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7DE0" w14:textId="77777777" w:rsidR="00955175" w:rsidRDefault="00955175" w:rsidP="00E2168B">
      <w:pPr>
        <w:spacing w:before="280" w:after="240"/>
        <w:rPr>
          <w:b/>
          <w:sz w:val="32"/>
          <w:szCs w:val="32"/>
        </w:rPr>
      </w:pPr>
    </w:p>
    <w:p w14:paraId="098BB02D" w14:textId="11C0158E" w:rsidR="00955175" w:rsidRPr="00A13515" w:rsidRDefault="005E7E8F" w:rsidP="00E2168B">
      <w:pPr>
        <w:spacing w:before="280" w:after="240"/>
        <w:rPr>
          <w:b/>
          <w:sz w:val="32"/>
          <w:szCs w:val="32"/>
        </w:rPr>
      </w:pPr>
      <w:r w:rsidRPr="00A13515">
        <w:rPr>
          <w:noProof/>
        </w:rPr>
        <w:drawing>
          <wp:anchor distT="0" distB="0" distL="114300" distR="114300" simplePos="0" relativeHeight="251658240" behindDoc="0" locked="0" layoutInCell="1" allowOverlap="1" wp14:anchorId="17096316" wp14:editId="6C771F04">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EF271DC" w14:textId="77777777" w:rsidR="00955175" w:rsidRPr="00A13515" w:rsidRDefault="00955175" w:rsidP="00955175">
      <w:pPr>
        <w:pStyle w:val="LI-Title"/>
        <w:pBdr>
          <w:top w:val="none" w:sz="0" w:space="0" w:color="auto"/>
        </w:pBdr>
        <w:jc w:val="center"/>
      </w:pPr>
    </w:p>
    <w:p w14:paraId="4606D1A6" w14:textId="77777777" w:rsidR="00955175" w:rsidRPr="00A13515" w:rsidRDefault="00955175" w:rsidP="00955175">
      <w:pPr>
        <w:pStyle w:val="LI-Title"/>
        <w:pBdr>
          <w:top w:val="none" w:sz="0" w:space="0" w:color="auto"/>
        </w:pBdr>
        <w:jc w:val="center"/>
      </w:pPr>
      <w:r w:rsidRPr="00A13515">
        <w:t>Explanatory Statement</w:t>
      </w:r>
    </w:p>
    <w:p w14:paraId="0EA5A726" w14:textId="77777777" w:rsidR="00955175" w:rsidRPr="00A13515" w:rsidRDefault="00955175" w:rsidP="00955175">
      <w:pPr>
        <w:rPr>
          <w:lang w:eastAsia="en-AU"/>
        </w:rPr>
      </w:pPr>
    </w:p>
    <w:p w14:paraId="040A081E" w14:textId="5B1E9C69" w:rsidR="00C4170B" w:rsidRPr="00A13515" w:rsidRDefault="00103F8E" w:rsidP="00C4170B">
      <w:pPr>
        <w:jc w:val="center"/>
        <w:rPr>
          <w:b/>
          <w:i/>
          <w:sz w:val="28"/>
          <w:szCs w:val="28"/>
          <w:lang w:eastAsia="en-AU"/>
        </w:rPr>
      </w:pPr>
      <w:r w:rsidRPr="00A13515">
        <w:rPr>
          <w:b/>
          <w:i/>
          <w:sz w:val="28"/>
          <w:szCs w:val="28"/>
          <w:lang w:eastAsia="en-AU"/>
        </w:rPr>
        <w:t>ASIC (Supervisory Cost Recovery</w:t>
      </w:r>
      <w:r w:rsidR="002D4FC0" w:rsidRPr="00A13515">
        <w:rPr>
          <w:b/>
          <w:i/>
          <w:sz w:val="28"/>
          <w:szCs w:val="28"/>
          <w:lang w:eastAsia="en-AU"/>
        </w:rPr>
        <w:t xml:space="preserve"> Levy—Annual Determination) Instrument </w:t>
      </w:r>
      <w:r w:rsidR="00D36B80" w:rsidRPr="00A13515">
        <w:rPr>
          <w:b/>
          <w:i/>
          <w:sz w:val="28"/>
          <w:szCs w:val="28"/>
          <w:lang w:eastAsia="en-AU"/>
        </w:rPr>
        <w:t>202</w:t>
      </w:r>
      <w:r w:rsidR="007538E0" w:rsidRPr="00A13515">
        <w:rPr>
          <w:b/>
          <w:i/>
          <w:sz w:val="28"/>
          <w:szCs w:val="28"/>
          <w:lang w:eastAsia="en-AU"/>
        </w:rPr>
        <w:t>3</w:t>
      </w:r>
      <w:r w:rsidR="00307DF6" w:rsidRPr="00A13515">
        <w:rPr>
          <w:b/>
          <w:i/>
          <w:sz w:val="28"/>
          <w:szCs w:val="28"/>
          <w:lang w:eastAsia="en-AU"/>
        </w:rPr>
        <w:t>/</w:t>
      </w:r>
      <w:r w:rsidR="005B7151" w:rsidRPr="00A13515">
        <w:rPr>
          <w:b/>
          <w:i/>
          <w:sz w:val="28"/>
          <w:szCs w:val="28"/>
          <w:lang w:eastAsia="en-AU"/>
        </w:rPr>
        <w:t>778</w:t>
      </w:r>
    </w:p>
    <w:p w14:paraId="0FE619EE" w14:textId="02B8DB88" w:rsidR="00F800C9" w:rsidRPr="00A13515" w:rsidRDefault="00F800C9" w:rsidP="00F800C9">
      <w:pPr>
        <w:pStyle w:val="LI-BodyTextParaa"/>
        <w:ind w:left="0" w:firstLine="0"/>
      </w:pPr>
      <w:bookmarkStart w:id="0" w:name="BK_S3P1L1C1"/>
      <w:bookmarkEnd w:id="0"/>
      <w:r w:rsidRPr="00A13515">
        <w:t xml:space="preserve">This is the Explanatory Statement for </w:t>
      </w:r>
      <w:r w:rsidR="00B05A5C" w:rsidRPr="00A13515">
        <w:t xml:space="preserve">the </w:t>
      </w:r>
      <w:r w:rsidR="00B05A5C" w:rsidRPr="00A13515">
        <w:rPr>
          <w:i/>
        </w:rPr>
        <w:t>ASIC</w:t>
      </w:r>
      <w:r w:rsidR="00931078" w:rsidRPr="00A13515">
        <w:rPr>
          <w:i/>
        </w:rPr>
        <w:t xml:space="preserve"> (Supervisory Cost Recovery Levy—Annual Determination) Instrument </w:t>
      </w:r>
      <w:r w:rsidR="00307DF6" w:rsidRPr="00A13515">
        <w:rPr>
          <w:i/>
        </w:rPr>
        <w:t>202</w:t>
      </w:r>
      <w:r w:rsidR="007538E0" w:rsidRPr="00A13515">
        <w:rPr>
          <w:i/>
        </w:rPr>
        <w:t>3</w:t>
      </w:r>
      <w:r w:rsidR="00307DF6" w:rsidRPr="00A13515">
        <w:rPr>
          <w:i/>
        </w:rPr>
        <w:t>/</w:t>
      </w:r>
      <w:r w:rsidR="005B7151" w:rsidRPr="00A13515">
        <w:rPr>
          <w:i/>
        </w:rPr>
        <w:t>778</w:t>
      </w:r>
      <w:r w:rsidR="00307DF6" w:rsidRPr="00A13515">
        <w:rPr>
          <w:i/>
        </w:rPr>
        <w:t xml:space="preserve">. </w:t>
      </w:r>
      <w:r w:rsidR="00931078" w:rsidRPr="00A13515">
        <w:t>T</w:t>
      </w:r>
      <w:r w:rsidR="00863657" w:rsidRPr="00A13515">
        <w:t>h</w:t>
      </w:r>
      <w:r w:rsidRPr="00A13515">
        <w:t>e</w:t>
      </w:r>
      <w:r w:rsidR="00863657" w:rsidRPr="00A13515">
        <w:t xml:space="preserve"> </w:t>
      </w:r>
      <w:r w:rsidRPr="00A13515">
        <w:t>Explanatory Statement is approved by the Australian Securities and Investments Commission (</w:t>
      </w:r>
      <w:r w:rsidRPr="00A13515">
        <w:rPr>
          <w:b/>
          <w:i/>
        </w:rPr>
        <w:t>ASIC</w:t>
      </w:r>
      <w:r w:rsidRPr="00A13515">
        <w:t>).</w:t>
      </w:r>
    </w:p>
    <w:p w14:paraId="097D6754" w14:textId="77777777" w:rsidR="00F800C9" w:rsidRPr="00A13515" w:rsidRDefault="005D1FEA" w:rsidP="00F800C9">
      <w:pPr>
        <w:pStyle w:val="LI-BodyTextNumbered"/>
        <w:ind w:left="0" w:firstLine="0"/>
        <w:rPr>
          <w:b/>
        </w:rPr>
      </w:pPr>
      <w:r w:rsidRPr="00A13515">
        <w:rPr>
          <w:b/>
        </w:rPr>
        <w:t>Summary</w:t>
      </w:r>
    </w:p>
    <w:p w14:paraId="2AF1A6E8" w14:textId="77777777" w:rsidR="004F0AAE" w:rsidRPr="00A13515" w:rsidRDefault="004F0AAE" w:rsidP="004F0AAE">
      <w:pPr>
        <w:spacing w:line="240" w:lineRule="auto"/>
        <w:ind w:left="567" w:hanging="567"/>
      </w:pPr>
    </w:p>
    <w:p w14:paraId="139CDE43" w14:textId="77777777" w:rsidR="003650C4" w:rsidRPr="00A13515" w:rsidRDefault="003650C4" w:rsidP="003650C4">
      <w:pPr>
        <w:spacing w:line="240" w:lineRule="auto"/>
        <w:ind w:left="567" w:hanging="567"/>
        <w:rPr>
          <w:rFonts w:eastAsia="Times New Roman"/>
          <w:sz w:val="24"/>
          <w:szCs w:val="24"/>
          <w:lang w:eastAsia="en-AU"/>
        </w:rPr>
      </w:pPr>
      <w:r w:rsidRPr="00A13515">
        <w:rPr>
          <w:sz w:val="24"/>
          <w:szCs w:val="24"/>
        </w:rPr>
        <w:t>1.</w:t>
      </w:r>
      <w:r w:rsidRPr="00A13515">
        <w:rPr>
          <w:sz w:val="24"/>
          <w:szCs w:val="24"/>
        </w:rPr>
        <w:tab/>
      </w:r>
      <w:r w:rsidRPr="00A13515">
        <w:rPr>
          <w:rFonts w:eastAsia="Times New Roman"/>
          <w:sz w:val="24"/>
          <w:szCs w:val="24"/>
          <w:lang w:eastAsia="en-AU"/>
        </w:rPr>
        <w:t xml:space="preserve">The instrument relates to levies imposed on ASIC’s regulatory population. These industry levies are imposed on an annual basis. The annual levies are aimed at recovering ASIC’s regulatory costs for the financial year. </w:t>
      </w:r>
    </w:p>
    <w:p w14:paraId="04076ADD" w14:textId="77777777" w:rsidR="003650C4" w:rsidRPr="00A13515" w:rsidRDefault="003650C4" w:rsidP="003650C4">
      <w:pPr>
        <w:spacing w:line="240" w:lineRule="auto"/>
        <w:ind w:left="567" w:hanging="567"/>
        <w:rPr>
          <w:rFonts w:eastAsia="Times New Roman"/>
          <w:sz w:val="24"/>
          <w:szCs w:val="24"/>
          <w:lang w:eastAsia="en-AU"/>
        </w:rPr>
      </w:pPr>
    </w:p>
    <w:p w14:paraId="2B9B4E71" w14:textId="77777777" w:rsidR="003650C4" w:rsidRPr="00A13515" w:rsidRDefault="003650C4" w:rsidP="003650C4">
      <w:pPr>
        <w:spacing w:line="240" w:lineRule="auto"/>
        <w:ind w:left="567" w:hanging="567"/>
        <w:rPr>
          <w:rFonts w:eastAsia="Times New Roman"/>
          <w:sz w:val="24"/>
          <w:szCs w:val="24"/>
          <w:lang w:eastAsia="en-AU"/>
        </w:rPr>
      </w:pPr>
      <w:r w:rsidRPr="00A13515">
        <w:rPr>
          <w:rFonts w:eastAsia="Times New Roman"/>
          <w:sz w:val="24"/>
          <w:szCs w:val="24"/>
          <w:lang w:eastAsia="en-AU"/>
        </w:rPr>
        <w:t xml:space="preserve">2. </w:t>
      </w:r>
      <w:r w:rsidRPr="00A13515">
        <w:rPr>
          <w:rFonts w:eastAsia="Times New Roman"/>
          <w:sz w:val="24"/>
          <w:szCs w:val="24"/>
          <w:lang w:eastAsia="en-AU"/>
        </w:rPr>
        <w:tab/>
        <w:t xml:space="preserve">This instrument specifies certain matters about size and composition of ASIC’s regulated population and of the metrics that apply to each industry sub-sector within that regulated population for the </w:t>
      </w:r>
      <w:r w:rsidR="00F429E9" w:rsidRPr="00A13515">
        <w:rPr>
          <w:rFonts w:eastAsia="Times New Roman"/>
          <w:sz w:val="24"/>
          <w:szCs w:val="24"/>
          <w:lang w:eastAsia="en-AU"/>
        </w:rPr>
        <w:t>20</w:t>
      </w:r>
      <w:r w:rsidR="008C54D7" w:rsidRPr="00A13515">
        <w:rPr>
          <w:rFonts w:eastAsia="Times New Roman"/>
          <w:sz w:val="24"/>
          <w:szCs w:val="24"/>
          <w:lang w:eastAsia="en-AU"/>
        </w:rPr>
        <w:t>2</w:t>
      </w:r>
      <w:r w:rsidR="007538E0" w:rsidRPr="00A13515">
        <w:rPr>
          <w:rFonts w:eastAsia="Times New Roman"/>
          <w:sz w:val="24"/>
          <w:szCs w:val="24"/>
          <w:lang w:eastAsia="en-AU"/>
        </w:rPr>
        <w:t>2</w:t>
      </w:r>
      <w:r w:rsidRPr="00A13515">
        <w:rPr>
          <w:rFonts w:eastAsia="Times New Roman"/>
          <w:sz w:val="24"/>
          <w:szCs w:val="24"/>
          <w:lang w:eastAsia="en-AU"/>
        </w:rPr>
        <w:t>-</w:t>
      </w:r>
      <w:r w:rsidR="00F429E9" w:rsidRPr="00A13515">
        <w:rPr>
          <w:rFonts w:eastAsia="Times New Roman"/>
          <w:sz w:val="24"/>
          <w:szCs w:val="24"/>
          <w:lang w:eastAsia="en-AU"/>
        </w:rPr>
        <w:t>2</w:t>
      </w:r>
      <w:r w:rsidR="007538E0" w:rsidRPr="00A13515">
        <w:rPr>
          <w:rFonts w:eastAsia="Times New Roman"/>
          <w:sz w:val="24"/>
          <w:szCs w:val="24"/>
          <w:lang w:eastAsia="en-AU"/>
        </w:rPr>
        <w:t>3</w:t>
      </w:r>
      <w:r w:rsidRPr="00A13515">
        <w:rPr>
          <w:rFonts w:eastAsia="Times New Roman"/>
          <w:sz w:val="24"/>
          <w:szCs w:val="24"/>
          <w:lang w:eastAsia="en-AU"/>
        </w:rPr>
        <w:t xml:space="preserve"> financial year. </w:t>
      </w:r>
    </w:p>
    <w:p w14:paraId="001D1AB3" w14:textId="77777777" w:rsidR="005D1FEA" w:rsidRPr="00B161E5" w:rsidRDefault="005D1FEA" w:rsidP="005D1FEA">
      <w:pPr>
        <w:pStyle w:val="LI-BodyTextNumbered"/>
        <w:ind w:hanging="1134"/>
        <w:rPr>
          <w:b/>
        </w:rPr>
      </w:pPr>
      <w:r w:rsidRPr="00A13515">
        <w:rPr>
          <w:b/>
        </w:rPr>
        <w:t>Purpose of the instrument</w:t>
      </w:r>
    </w:p>
    <w:p w14:paraId="7795E9BD" w14:textId="77777777" w:rsidR="006E6D0E" w:rsidRDefault="006E6D0E" w:rsidP="006E6D0E">
      <w:pPr>
        <w:spacing w:line="240" w:lineRule="auto"/>
        <w:ind w:left="567" w:hanging="567"/>
      </w:pPr>
    </w:p>
    <w:p w14:paraId="4D34F803" w14:textId="77777777" w:rsidR="00642206" w:rsidRDefault="003650C4" w:rsidP="00642206">
      <w:pPr>
        <w:spacing w:line="240" w:lineRule="auto"/>
        <w:ind w:left="567" w:hanging="567"/>
        <w:rPr>
          <w:rFonts w:eastAsia="Times New Roman"/>
          <w:i/>
          <w:sz w:val="24"/>
          <w:szCs w:val="24"/>
          <w:lang w:eastAsia="en-AU"/>
        </w:rPr>
      </w:pPr>
      <w:r>
        <w:rPr>
          <w:rFonts w:eastAsia="Times New Roman"/>
          <w:sz w:val="24"/>
          <w:szCs w:val="24"/>
          <w:lang w:eastAsia="en-AU"/>
        </w:rPr>
        <w:t>3</w:t>
      </w:r>
      <w:r w:rsidR="006E6D0E" w:rsidRPr="006E6D0E">
        <w:rPr>
          <w:rFonts w:eastAsia="Times New Roman"/>
          <w:sz w:val="24"/>
          <w:szCs w:val="24"/>
          <w:lang w:eastAsia="en-AU"/>
        </w:rPr>
        <w:t>.</w:t>
      </w:r>
      <w:r w:rsidR="006E6D0E" w:rsidRPr="006E6D0E">
        <w:rPr>
          <w:rFonts w:eastAsia="Times New Roman"/>
          <w:sz w:val="24"/>
          <w:szCs w:val="24"/>
          <w:lang w:eastAsia="en-AU"/>
        </w:rPr>
        <w:tab/>
        <w:t xml:space="preserve">The purpose of the instrument is to specify certain matters that are used in the formulae specified in the </w:t>
      </w:r>
      <w:r w:rsidR="006E6D0E" w:rsidRPr="006E6D0E">
        <w:rPr>
          <w:rFonts w:eastAsia="Times New Roman"/>
          <w:i/>
          <w:sz w:val="24"/>
          <w:szCs w:val="24"/>
          <w:lang w:eastAsia="en-AU"/>
        </w:rPr>
        <w:t>ASIC Supervisory Cost Recovery Levy Regulations 2017</w:t>
      </w:r>
      <w:r w:rsidR="006E6D0E" w:rsidRPr="006E6D0E">
        <w:rPr>
          <w:rFonts w:eastAsia="Times New Roman"/>
          <w:sz w:val="24"/>
          <w:szCs w:val="24"/>
          <w:lang w:eastAsia="en-AU"/>
        </w:rPr>
        <w:t xml:space="preserve"> (the </w:t>
      </w:r>
      <w:r w:rsidR="006E6D0E" w:rsidRPr="006E6D0E">
        <w:rPr>
          <w:rFonts w:eastAsia="Times New Roman"/>
          <w:b/>
          <w:i/>
          <w:sz w:val="24"/>
          <w:szCs w:val="24"/>
          <w:lang w:eastAsia="en-AU"/>
        </w:rPr>
        <w:t>Cost Recovery Regulations</w:t>
      </w:r>
      <w:r w:rsidR="006E6D0E" w:rsidRPr="006E6D0E">
        <w:rPr>
          <w:rFonts w:eastAsia="Times New Roman"/>
          <w:sz w:val="24"/>
          <w:szCs w:val="24"/>
          <w:lang w:eastAsia="en-AU"/>
        </w:rPr>
        <w:t xml:space="preserve">). </w:t>
      </w:r>
      <w:r w:rsidR="00642206" w:rsidRPr="006E6D0E">
        <w:rPr>
          <w:rFonts w:eastAsia="Times New Roman"/>
          <w:sz w:val="24"/>
          <w:szCs w:val="24"/>
          <w:lang w:eastAsia="en-AU"/>
        </w:rPr>
        <w:t xml:space="preserve">The Cost Recovery Regulations are made for the purposes of the </w:t>
      </w:r>
      <w:r w:rsidR="00642206" w:rsidRPr="006E6D0E">
        <w:rPr>
          <w:rFonts w:eastAsia="Times New Roman"/>
          <w:i/>
          <w:sz w:val="24"/>
          <w:szCs w:val="24"/>
          <w:lang w:eastAsia="en-AU"/>
        </w:rPr>
        <w:t xml:space="preserve">ASIC Supervisory Cost Recovery Levy Act 2017 </w:t>
      </w:r>
      <w:r w:rsidR="00642206" w:rsidRPr="006E6D0E">
        <w:rPr>
          <w:rFonts w:eastAsia="Times New Roman"/>
          <w:sz w:val="24"/>
          <w:szCs w:val="24"/>
          <w:lang w:eastAsia="en-AU"/>
        </w:rPr>
        <w:t xml:space="preserve">(the </w:t>
      </w:r>
      <w:r w:rsidR="00642206" w:rsidRPr="006E6D0E">
        <w:rPr>
          <w:rFonts w:eastAsia="Times New Roman"/>
          <w:b/>
          <w:i/>
          <w:sz w:val="24"/>
          <w:szCs w:val="24"/>
          <w:lang w:eastAsia="en-AU"/>
        </w:rPr>
        <w:t>Cost Recovery Act</w:t>
      </w:r>
      <w:r w:rsidR="00642206" w:rsidRPr="006E6D0E">
        <w:rPr>
          <w:rFonts w:eastAsia="Times New Roman"/>
          <w:sz w:val="24"/>
          <w:szCs w:val="24"/>
          <w:lang w:eastAsia="en-AU"/>
        </w:rPr>
        <w:t xml:space="preserve">). </w:t>
      </w:r>
      <w:r w:rsidR="00642206" w:rsidRPr="006E6D0E">
        <w:rPr>
          <w:rFonts w:eastAsia="Times New Roman"/>
          <w:i/>
          <w:sz w:val="24"/>
          <w:szCs w:val="24"/>
          <w:lang w:eastAsia="en-AU"/>
        </w:rPr>
        <w:t xml:space="preserve"> </w:t>
      </w:r>
    </w:p>
    <w:p w14:paraId="041B792A" w14:textId="77777777" w:rsidR="00EF280C" w:rsidRDefault="00EF280C" w:rsidP="00642206">
      <w:pPr>
        <w:spacing w:line="240" w:lineRule="auto"/>
        <w:ind w:left="567" w:hanging="567"/>
        <w:rPr>
          <w:rFonts w:eastAsia="Times New Roman"/>
          <w:i/>
          <w:sz w:val="24"/>
          <w:szCs w:val="24"/>
          <w:lang w:eastAsia="en-AU"/>
        </w:rPr>
      </w:pPr>
    </w:p>
    <w:p w14:paraId="2D03ED37" w14:textId="77777777" w:rsidR="00EF280C" w:rsidRDefault="00EF280C" w:rsidP="00EF280C">
      <w:pPr>
        <w:spacing w:line="240" w:lineRule="auto"/>
        <w:ind w:left="567" w:hanging="567"/>
        <w:rPr>
          <w:b/>
          <w:i/>
          <w:sz w:val="24"/>
          <w:szCs w:val="24"/>
        </w:rPr>
      </w:pPr>
      <w:r>
        <w:rPr>
          <w:sz w:val="24"/>
          <w:szCs w:val="24"/>
        </w:rPr>
        <w:t>4</w:t>
      </w:r>
      <w:r w:rsidRPr="00642206">
        <w:rPr>
          <w:sz w:val="24"/>
          <w:szCs w:val="24"/>
        </w:rPr>
        <w:t>.</w:t>
      </w:r>
      <w:r w:rsidRPr="00642206">
        <w:rPr>
          <w:sz w:val="24"/>
          <w:szCs w:val="24"/>
        </w:rPr>
        <w:tab/>
        <w:t>T</w:t>
      </w:r>
      <w:r w:rsidRPr="005738A2">
        <w:rPr>
          <w:sz w:val="24"/>
          <w:szCs w:val="24"/>
        </w:rPr>
        <w:t>he matters are</w:t>
      </w:r>
      <w:r w:rsidRPr="00642206">
        <w:rPr>
          <w:sz w:val="24"/>
          <w:szCs w:val="24"/>
        </w:rPr>
        <w:t xml:space="preserve"> </w:t>
      </w:r>
      <w:r w:rsidRPr="005738A2">
        <w:rPr>
          <w:sz w:val="24"/>
          <w:szCs w:val="24"/>
        </w:rPr>
        <w:t xml:space="preserve">the </w:t>
      </w:r>
      <w:r w:rsidRPr="005738A2">
        <w:rPr>
          <w:b/>
          <w:i/>
          <w:sz w:val="24"/>
          <w:szCs w:val="24"/>
        </w:rPr>
        <w:t>sub-sector population</w:t>
      </w:r>
      <w:r w:rsidRPr="00642206">
        <w:rPr>
          <w:sz w:val="24"/>
          <w:szCs w:val="24"/>
        </w:rPr>
        <w:t xml:space="preserve"> and t</w:t>
      </w:r>
      <w:r w:rsidRPr="005738A2">
        <w:rPr>
          <w:sz w:val="24"/>
          <w:szCs w:val="24"/>
        </w:rPr>
        <w:t xml:space="preserve">he </w:t>
      </w:r>
      <w:r w:rsidRPr="005738A2">
        <w:rPr>
          <w:b/>
          <w:i/>
          <w:sz w:val="24"/>
          <w:szCs w:val="24"/>
        </w:rPr>
        <w:t>sub-sector metrics</w:t>
      </w:r>
      <w:r w:rsidRPr="005738A2">
        <w:rPr>
          <w:sz w:val="24"/>
          <w:szCs w:val="24"/>
        </w:rPr>
        <w:t xml:space="preserve"> in relation to the </w:t>
      </w:r>
      <w:r w:rsidRPr="005738A2">
        <w:rPr>
          <w:b/>
          <w:i/>
          <w:sz w:val="24"/>
          <w:szCs w:val="24"/>
        </w:rPr>
        <w:t>basic levy component</w:t>
      </w:r>
      <w:r w:rsidRPr="005738A2">
        <w:rPr>
          <w:sz w:val="24"/>
          <w:szCs w:val="24"/>
        </w:rPr>
        <w:t xml:space="preserve"> and the </w:t>
      </w:r>
      <w:r w:rsidRPr="005738A2">
        <w:rPr>
          <w:b/>
          <w:i/>
          <w:sz w:val="24"/>
          <w:szCs w:val="24"/>
        </w:rPr>
        <w:t>graduated</w:t>
      </w:r>
      <w:r w:rsidRPr="00642206">
        <w:rPr>
          <w:b/>
          <w:i/>
          <w:sz w:val="24"/>
          <w:szCs w:val="24"/>
        </w:rPr>
        <w:t xml:space="preserve"> </w:t>
      </w:r>
      <w:r w:rsidRPr="005738A2">
        <w:rPr>
          <w:b/>
          <w:i/>
          <w:sz w:val="24"/>
          <w:szCs w:val="24"/>
        </w:rPr>
        <w:t>levy</w:t>
      </w:r>
      <w:r w:rsidRPr="00642206">
        <w:rPr>
          <w:b/>
          <w:i/>
          <w:sz w:val="24"/>
          <w:szCs w:val="24"/>
        </w:rPr>
        <w:t xml:space="preserve"> </w:t>
      </w:r>
      <w:r w:rsidRPr="005738A2">
        <w:rPr>
          <w:b/>
          <w:i/>
          <w:sz w:val="24"/>
          <w:szCs w:val="24"/>
        </w:rPr>
        <w:t>component</w:t>
      </w:r>
      <w:r w:rsidRPr="00642206">
        <w:rPr>
          <w:sz w:val="24"/>
          <w:szCs w:val="24"/>
        </w:rPr>
        <w:t>.</w:t>
      </w:r>
      <w:r w:rsidRPr="00642206">
        <w:rPr>
          <w:b/>
          <w:i/>
          <w:sz w:val="24"/>
          <w:szCs w:val="24"/>
        </w:rPr>
        <w:t xml:space="preserve"> </w:t>
      </w:r>
    </w:p>
    <w:p w14:paraId="0AB03039" w14:textId="77777777" w:rsidR="00642206" w:rsidRDefault="00642206" w:rsidP="006E6D0E">
      <w:pPr>
        <w:spacing w:line="240" w:lineRule="auto"/>
        <w:ind w:left="567" w:hanging="567"/>
        <w:rPr>
          <w:rFonts w:eastAsia="Times New Roman"/>
          <w:sz w:val="24"/>
          <w:szCs w:val="24"/>
          <w:lang w:eastAsia="en-AU"/>
        </w:rPr>
      </w:pPr>
    </w:p>
    <w:p w14:paraId="2436BAFF" w14:textId="7AD066FF" w:rsidR="00642206" w:rsidRPr="006E6D0E" w:rsidRDefault="00EF280C" w:rsidP="00642206">
      <w:pPr>
        <w:spacing w:line="240" w:lineRule="auto"/>
        <w:ind w:left="567" w:hanging="567"/>
        <w:rPr>
          <w:sz w:val="24"/>
          <w:szCs w:val="24"/>
        </w:rPr>
      </w:pPr>
      <w:r>
        <w:rPr>
          <w:sz w:val="24"/>
          <w:szCs w:val="24"/>
        </w:rPr>
        <w:t>5</w:t>
      </w:r>
      <w:r w:rsidR="00642206" w:rsidRPr="006E6D0E">
        <w:rPr>
          <w:sz w:val="24"/>
          <w:szCs w:val="24"/>
        </w:rPr>
        <w:t>.</w:t>
      </w:r>
      <w:r w:rsidR="00642206" w:rsidRPr="006E6D0E">
        <w:rPr>
          <w:sz w:val="24"/>
          <w:szCs w:val="24"/>
        </w:rPr>
        <w:tab/>
        <w:t xml:space="preserve">This instrument, together with </w:t>
      </w:r>
      <w:r w:rsidR="00642206" w:rsidRPr="006E6D0E">
        <w:rPr>
          <w:i/>
          <w:sz w:val="24"/>
          <w:szCs w:val="24"/>
        </w:rPr>
        <w:t xml:space="preserve">ASIC (Supervisory Cost Recovery Levy—Regulatory Costs) Instrument </w:t>
      </w:r>
      <w:r w:rsidR="00F429E9" w:rsidRPr="005B7151">
        <w:rPr>
          <w:i/>
          <w:sz w:val="24"/>
          <w:szCs w:val="24"/>
        </w:rPr>
        <w:t>202</w:t>
      </w:r>
      <w:r w:rsidR="007538E0" w:rsidRPr="005B7151">
        <w:rPr>
          <w:i/>
          <w:sz w:val="24"/>
          <w:szCs w:val="24"/>
        </w:rPr>
        <w:t>3</w:t>
      </w:r>
      <w:r w:rsidR="00307DF6" w:rsidRPr="005B7151">
        <w:rPr>
          <w:i/>
          <w:sz w:val="24"/>
          <w:szCs w:val="24"/>
        </w:rPr>
        <w:t>/</w:t>
      </w:r>
      <w:r w:rsidR="005B7151" w:rsidRPr="005B7151">
        <w:rPr>
          <w:i/>
          <w:sz w:val="24"/>
          <w:szCs w:val="24"/>
        </w:rPr>
        <w:t>777</w:t>
      </w:r>
      <w:r w:rsidR="00307DF6" w:rsidRPr="005B7151">
        <w:rPr>
          <w:sz w:val="24"/>
          <w:szCs w:val="24"/>
        </w:rPr>
        <w:t xml:space="preserve">, </w:t>
      </w:r>
      <w:r w:rsidR="00642206" w:rsidRPr="005B7151">
        <w:rPr>
          <w:sz w:val="24"/>
          <w:szCs w:val="24"/>
        </w:rPr>
        <w:t>p</w:t>
      </w:r>
      <w:r w:rsidR="00642206" w:rsidRPr="006E6D0E">
        <w:rPr>
          <w:sz w:val="24"/>
          <w:szCs w:val="24"/>
        </w:rPr>
        <w:t xml:space="preserve">rovide ASIC with the figures to enable it to calculate the levies payable by each leviable entity for the </w:t>
      </w:r>
      <w:r w:rsidR="00F429E9">
        <w:rPr>
          <w:sz w:val="24"/>
          <w:szCs w:val="24"/>
        </w:rPr>
        <w:t>20</w:t>
      </w:r>
      <w:r w:rsidR="008C54D7">
        <w:rPr>
          <w:sz w:val="24"/>
          <w:szCs w:val="24"/>
        </w:rPr>
        <w:t>2</w:t>
      </w:r>
      <w:r w:rsidR="007538E0">
        <w:rPr>
          <w:sz w:val="24"/>
          <w:szCs w:val="24"/>
        </w:rPr>
        <w:t>2</w:t>
      </w:r>
      <w:r w:rsidR="00642206" w:rsidRPr="006E6D0E">
        <w:rPr>
          <w:sz w:val="24"/>
          <w:szCs w:val="24"/>
        </w:rPr>
        <w:t>-</w:t>
      </w:r>
      <w:r w:rsidR="00F429E9">
        <w:rPr>
          <w:sz w:val="24"/>
          <w:szCs w:val="24"/>
        </w:rPr>
        <w:t>2</w:t>
      </w:r>
      <w:r w:rsidR="007538E0">
        <w:rPr>
          <w:sz w:val="24"/>
          <w:szCs w:val="24"/>
        </w:rPr>
        <w:t>3</w:t>
      </w:r>
      <w:r w:rsidR="00642206" w:rsidRPr="006E6D0E">
        <w:rPr>
          <w:sz w:val="24"/>
          <w:szCs w:val="24"/>
        </w:rPr>
        <w:t xml:space="preserve"> financial year. ASIC will use the figures in these instruments in preparing the invoices for the levies which will be sent out to the industry in January </w:t>
      </w:r>
      <w:r w:rsidR="00F429E9">
        <w:rPr>
          <w:sz w:val="24"/>
          <w:szCs w:val="24"/>
        </w:rPr>
        <w:t>202</w:t>
      </w:r>
      <w:r w:rsidR="007538E0">
        <w:rPr>
          <w:sz w:val="24"/>
          <w:szCs w:val="24"/>
        </w:rPr>
        <w:t>4</w:t>
      </w:r>
      <w:r w:rsidR="00642206" w:rsidRPr="006E6D0E">
        <w:rPr>
          <w:sz w:val="24"/>
          <w:szCs w:val="24"/>
        </w:rPr>
        <w:t xml:space="preserve">.  </w:t>
      </w:r>
    </w:p>
    <w:p w14:paraId="62B09CA1" w14:textId="77777777" w:rsidR="006E6D0E" w:rsidRPr="006E6D0E" w:rsidRDefault="006E6D0E" w:rsidP="006E6D0E">
      <w:pPr>
        <w:spacing w:line="240" w:lineRule="auto"/>
        <w:ind w:left="567" w:hanging="567"/>
        <w:rPr>
          <w:rFonts w:eastAsia="Times New Roman"/>
          <w:sz w:val="24"/>
          <w:szCs w:val="24"/>
          <w:lang w:eastAsia="en-AU"/>
        </w:rPr>
      </w:pPr>
    </w:p>
    <w:p w14:paraId="2C75BE15" w14:textId="77777777" w:rsidR="006E6D0E" w:rsidRPr="006E6D0E" w:rsidRDefault="00EF280C" w:rsidP="006E6D0E">
      <w:pPr>
        <w:spacing w:line="240" w:lineRule="auto"/>
        <w:ind w:left="567" w:hanging="567"/>
        <w:rPr>
          <w:rFonts w:eastAsia="Times New Roman"/>
          <w:sz w:val="24"/>
          <w:szCs w:val="24"/>
          <w:lang w:eastAsia="en-AU"/>
        </w:rPr>
      </w:pPr>
      <w:r>
        <w:rPr>
          <w:rFonts w:eastAsia="Times New Roman"/>
          <w:sz w:val="24"/>
          <w:szCs w:val="24"/>
          <w:lang w:eastAsia="en-AU"/>
        </w:rPr>
        <w:t>6</w:t>
      </w:r>
      <w:r w:rsidR="006E6D0E" w:rsidRPr="00642206">
        <w:rPr>
          <w:rFonts w:eastAsia="Times New Roman"/>
          <w:sz w:val="24"/>
          <w:szCs w:val="24"/>
          <w:lang w:eastAsia="en-AU"/>
        </w:rPr>
        <w:t>.</w:t>
      </w:r>
      <w:r w:rsidR="006E6D0E" w:rsidRPr="006E6D0E">
        <w:rPr>
          <w:rFonts w:eastAsia="Times New Roman"/>
          <w:sz w:val="24"/>
          <w:szCs w:val="24"/>
          <w:lang w:eastAsia="en-AU"/>
        </w:rPr>
        <w:tab/>
        <w:t xml:space="preserve">The Cost Recovery Regulations prescribe </w:t>
      </w:r>
      <w:r w:rsidR="00CB2376">
        <w:rPr>
          <w:rFonts w:eastAsia="Times New Roman"/>
          <w:sz w:val="24"/>
          <w:szCs w:val="24"/>
          <w:lang w:eastAsia="en-AU"/>
        </w:rPr>
        <w:t>6</w:t>
      </w:r>
      <w:r w:rsidR="006E6D0E" w:rsidRPr="006E6D0E">
        <w:rPr>
          <w:rFonts w:eastAsia="Times New Roman"/>
          <w:sz w:val="24"/>
          <w:szCs w:val="24"/>
          <w:lang w:eastAsia="en-AU"/>
        </w:rPr>
        <w:t xml:space="preserve"> sectors and </w:t>
      </w:r>
      <w:r w:rsidR="00817F4F" w:rsidRPr="00642206">
        <w:rPr>
          <w:rFonts w:eastAsia="Times New Roman"/>
          <w:sz w:val="24"/>
          <w:szCs w:val="24"/>
          <w:lang w:eastAsia="en-AU"/>
        </w:rPr>
        <w:t>5</w:t>
      </w:r>
      <w:r w:rsidR="00817F4F">
        <w:rPr>
          <w:rFonts w:eastAsia="Times New Roman"/>
          <w:sz w:val="24"/>
          <w:szCs w:val="24"/>
          <w:lang w:eastAsia="en-AU"/>
        </w:rPr>
        <w:t>2</w:t>
      </w:r>
      <w:r w:rsidR="00817F4F" w:rsidRPr="00642206">
        <w:rPr>
          <w:rFonts w:eastAsia="Times New Roman"/>
          <w:sz w:val="24"/>
          <w:szCs w:val="24"/>
          <w:lang w:eastAsia="en-AU"/>
        </w:rPr>
        <w:t xml:space="preserve"> </w:t>
      </w:r>
      <w:r w:rsidR="006E6D0E" w:rsidRPr="006E6D0E">
        <w:rPr>
          <w:rFonts w:eastAsia="Times New Roman"/>
          <w:sz w:val="24"/>
          <w:szCs w:val="24"/>
          <w:lang w:eastAsia="en-AU"/>
        </w:rPr>
        <w:t xml:space="preserve">sub-sectors for the </w:t>
      </w:r>
      <w:r w:rsidR="00F429E9">
        <w:rPr>
          <w:rFonts w:eastAsia="Times New Roman"/>
          <w:sz w:val="24"/>
          <w:szCs w:val="24"/>
          <w:lang w:eastAsia="en-AU"/>
        </w:rPr>
        <w:t>20</w:t>
      </w:r>
      <w:r w:rsidR="008C54D7">
        <w:rPr>
          <w:rFonts w:eastAsia="Times New Roman"/>
          <w:sz w:val="24"/>
          <w:szCs w:val="24"/>
          <w:lang w:eastAsia="en-AU"/>
        </w:rPr>
        <w:t>2</w:t>
      </w:r>
      <w:r w:rsidR="007538E0">
        <w:rPr>
          <w:rFonts w:eastAsia="Times New Roman"/>
          <w:sz w:val="24"/>
          <w:szCs w:val="24"/>
          <w:lang w:eastAsia="en-AU"/>
        </w:rPr>
        <w:t>2</w:t>
      </w:r>
      <w:r w:rsidR="006E6D0E" w:rsidRPr="006E6D0E">
        <w:rPr>
          <w:rFonts w:eastAsia="Times New Roman"/>
          <w:sz w:val="24"/>
          <w:szCs w:val="24"/>
          <w:lang w:eastAsia="en-AU"/>
        </w:rPr>
        <w:t>–</w:t>
      </w:r>
      <w:r w:rsidR="00F429E9">
        <w:rPr>
          <w:rFonts w:eastAsia="Times New Roman"/>
          <w:sz w:val="24"/>
          <w:szCs w:val="24"/>
          <w:lang w:eastAsia="en-AU"/>
        </w:rPr>
        <w:t>2</w:t>
      </w:r>
      <w:r w:rsidR="007538E0">
        <w:rPr>
          <w:rFonts w:eastAsia="Times New Roman"/>
          <w:sz w:val="24"/>
          <w:szCs w:val="24"/>
          <w:lang w:eastAsia="en-AU"/>
        </w:rPr>
        <w:t>3</w:t>
      </w:r>
      <w:r w:rsidR="00642206" w:rsidRPr="00642206">
        <w:rPr>
          <w:rFonts w:eastAsia="Times New Roman"/>
          <w:sz w:val="24"/>
          <w:szCs w:val="24"/>
          <w:lang w:eastAsia="en-AU"/>
        </w:rPr>
        <w:t xml:space="preserve"> </w:t>
      </w:r>
      <w:r w:rsidR="006E6D0E" w:rsidRPr="006E6D0E">
        <w:rPr>
          <w:rFonts w:eastAsia="Times New Roman"/>
          <w:sz w:val="24"/>
          <w:szCs w:val="24"/>
          <w:lang w:eastAsia="en-AU"/>
        </w:rPr>
        <w:t>financial year as follows:</w:t>
      </w:r>
    </w:p>
    <w:p w14:paraId="3C09ED31" w14:textId="77777777" w:rsidR="006E6D0E" w:rsidRPr="006E6D0E" w:rsidRDefault="006E6D0E" w:rsidP="006E6D0E">
      <w:pPr>
        <w:spacing w:line="240" w:lineRule="auto"/>
        <w:ind w:left="567" w:hanging="567"/>
        <w:rPr>
          <w:rFonts w:eastAsia="Times New Roman"/>
          <w:sz w:val="24"/>
          <w:szCs w:val="24"/>
          <w:lang w:eastAsia="en-AU"/>
        </w:rPr>
      </w:pPr>
    </w:p>
    <w:p w14:paraId="63DD482A"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(a)</w:t>
      </w:r>
      <w:r w:rsidRPr="006E6D0E">
        <w:rPr>
          <w:rFonts w:eastAsia="Times New Roman"/>
          <w:sz w:val="24"/>
          <w:szCs w:val="24"/>
          <w:lang w:eastAsia="en-AU"/>
        </w:rPr>
        <w:tab/>
        <w:t xml:space="preserve">the </w:t>
      </w:r>
      <w:r w:rsidRPr="006E6D0E">
        <w:rPr>
          <w:rFonts w:eastAsia="Times New Roman"/>
          <w:b/>
          <w:i/>
          <w:sz w:val="24"/>
          <w:szCs w:val="24"/>
          <w:lang w:eastAsia="en-AU"/>
        </w:rPr>
        <w:t xml:space="preserve">corporate sector </w:t>
      </w:r>
      <w:r w:rsidRPr="006E6D0E">
        <w:rPr>
          <w:rFonts w:eastAsia="Times New Roman"/>
          <w:sz w:val="24"/>
          <w:szCs w:val="24"/>
          <w:lang w:eastAsia="en-AU"/>
        </w:rPr>
        <w:t>(comprising 6 sub-sectors</w:t>
      </w:r>
      <w:proofErr w:type="gramStart"/>
      <w:r w:rsidRPr="006E6D0E">
        <w:rPr>
          <w:rFonts w:eastAsia="Times New Roman"/>
          <w:sz w:val="24"/>
          <w:szCs w:val="24"/>
          <w:lang w:eastAsia="en-AU"/>
        </w:rPr>
        <w:t>);</w:t>
      </w:r>
      <w:proofErr w:type="gramEnd"/>
    </w:p>
    <w:p w14:paraId="3B266B85" w14:textId="77777777" w:rsidR="006E6D0E" w:rsidRPr="006E6D0E" w:rsidRDefault="006E6D0E" w:rsidP="006E6D0E">
      <w:pPr>
        <w:spacing w:line="240" w:lineRule="auto"/>
        <w:ind w:left="1134" w:hanging="567"/>
        <w:rPr>
          <w:rFonts w:eastAsia="Times New Roman"/>
          <w:sz w:val="24"/>
          <w:szCs w:val="24"/>
          <w:lang w:eastAsia="en-AU"/>
        </w:rPr>
      </w:pPr>
    </w:p>
    <w:p w14:paraId="4BF7953F"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(b)</w:t>
      </w:r>
      <w:r w:rsidRPr="006E6D0E">
        <w:rPr>
          <w:rFonts w:eastAsia="Times New Roman"/>
          <w:sz w:val="24"/>
          <w:szCs w:val="24"/>
          <w:lang w:eastAsia="en-AU"/>
        </w:rPr>
        <w:tab/>
        <w:t xml:space="preserve">the </w:t>
      </w:r>
      <w:r w:rsidRPr="006E6D0E">
        <w:rPr>
          <w:rFonts w:eastAsia="Times New Roman"/>
          <w:b/>
          <w:i/>
          <w:sz w:val="24"/>
          <w:szCs w:val="24"/>
          <w:lang w:eastAsia="en-AU"/>
        </w:rPr>
        <w:t xml:space="preserve">deposit-taking and credit sector </w:t>
      </w:r>
      <w:r w:rsidRPr="006E6D0E">
        <w:rPr>
          <w:rFonts w:eastAsia="Times New Roman"/>
          <w:sz w:val="24"/>
          <w:szCs w:val="24"/>
          <w:lang w:eastAsia="en-AU"/>
        </w:rPr>
        <w:t>(comprising 6 sub-sectors</w:t>
      </w:r>
      <w:proofErr w:type="gramStart"/>
      <w:r w:rsidRPr="006E6D0E">
        <w:rPr>
          <w:rFonts w:eastAsia="Times New Roman"/>
          <w:sz w:val="24"/>
          <w:szCs w:val="24"/>
          <w:lang w:eastAsia="en-AU"/>
        </w:rPr>
        <w:t>);</w:t>
      </w:r>
      <w:proofErr w:type="gramEnd"/>
    </w:p>
    <w:p w14:paraId="74257A1C" w14:textId="77777777" w:rsidR="006E6D0E" w:rsidRPr="006E6D0E" w:rsidRDefault="006E6D0E" w:rsidP="006E6D0E">
      <w:pPr>
        <w:spacing w:line="240" w:lineRule="auto"/>
        <w:ind w:left="1134" w:hanging="567"/>
        <w:rPr>
          <w:rFonts w:eastAsia="Times New Roman"/>
          <w:sz w:val="24"/>
          <w:szCs w:val="24"/>
          <w:lang w:eastAsia="en-AU"/>
        </w:rPr>
      </w:pPr>
    </w:p>
    <w:p w14:paraId="5CCA7769"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(c)</w:t>
      </w:r>
      <w:r w:rsidRPr="006E6D0E">
        <w:rPr>
          <w:rFonts w:eastAsia="Times New Roman"/>
          <w:sz w:val="24"/>
          <w:szCs w:val="24"/>
          <w:lang w:eastAsia="en-AU"/>
        </w:rPr>
        <w:tab/>
        <w:t xml:space="preserve">the </w:t>
      </w:r>
      <w:r w:rsidRPr="006E6D0E">
        <w:rPr>
          <w:rFonts w:eastAsia="Times New Roman"/>
          <w:b/>
          <w:i/>
          <w:sz w:val="24"/>
          <w:szCs w:val="24"/>
          <w:lang w:eastAsia="en-AU"/>
        </w:rPr>
        <w:t>investment management, superannuation and related services sector</w:t>
      </w:r>
      <w:r w:rsidRPr="006E6D0E">
        <w:rPr>
          <w:rFonts w:eastAsia="Times New Roman"/>
          <w:sz w:val="24"/>
          <w:szCs w:val="24"/>
          <w:lang w:eastAsia="en-AU"/>
        </w:rPr>
        <w:t xml:space="preserve"> (comprising </w:t>
      </w:r>
      <w:r w:rsidR="00642206" w:rsidRPr="00642206">
        <w:rPr>
          <w:rFonts w:eastAsia="Times New Roman"/>
          <w:sz w:val="24"/>
          <w:szCs w:val="24"/>
          <w:lang w:eastAsia="en-AU"/>
        </w:rPr>
        <w:t>8</w:t>
      </w:r>
      <w:r w:rsidRPr="006E6D0E">
        <w:rPr>
          <w:rFonts w:eastAsia="Times New Roman"/>
          <w:sz w:val="24"/>
          <w:szCs w:val="24"/>
          <w:lang w:eastAsia="en-AU"/>
        </w:rPr>
        <w:t> sub-sectors</w:t>
      </w:r>
      <w:proofErr w:type="gramStart"/>
      <w:r w:rsidRPr="006E6D0E">
        <w:rPr>
          <w:rFonts w:eastAsia="Times New Roman"/>
          <w:sz w:val="24"/>
          <w:szCs w:val="24"/>
          <w:lang w:eastAsia="en-AU"/>
        </w:rPr>
        <w:t>);</w:t>
      </w:r>
      <w:proofErr w:type="gramEnd"/>
    </w:p>
    <w:p w14:paraId="5E53DF12" w14:textId="77777777" w:rsidR="006E6D0E" w:rsidRPr="006E6D0E" w:rsidRDefault="006E6D0E" w:rsidP="006E6D0E">
      <w:pPr>
        <w:spacing w:line="240" w:lineRule="auto"/>
        <w:ind w:left="1134" w:hanging="567"/>
        <w:rPr>
          <w:rFonts w:eastAsia="Times New Roman"/>
          <w:sz w:val="24"/>
          <w:szCs w:val="24"/>
          <w:lang w:eastAsia="en-AU"/>
        </w:rPr>
      </w:pPr>
    </w:p>
    <w:p w14:paraId="52A18CE8"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(d)</w:t>
      </w:r>
      <w:r w:rsidRPr="006E6D0E">
        <w:rPr>
          <w:rFonts w:eastAsia="Times New Roman"/>
          <w:sz w:val="24"/>
          <w:szCs w:val="24"/>
          <w:lang w:eastAsia="en-AU"/>
        </w:rPr>
        <w:tab/>
        <w:t xml:space="preserve">the </w:t>
      </w:r>
      <w:r w:rsidRPr="006E6D0E">
        <w:rPr>
          <w:rFonts w:eastAsia="Times New Roman"/>
          <w:b/>
          <w:i/>
          <w:sz w:val="24"/>
          <w:szCs w:val="24"/>
          <w:lang w:eastAsia="en-AU"/>
        </w:rPr>
        <w:t>financial advice sector</w:t>
      </w:r>
      <w:r w:rsidRPr="006E6D0E">
        <w:rPr>
          <w:rFonts w:eastAsia="Times New Roman"/>
          <w:sz w:val="24"/>
          <w:szCs w:val="24"/>
          <w:lang w:eastAsia="en-AU"/>
        </w:rPr>
        <w:t xml:space="preserve"> (comprising 4 sub-sectors</w:t>
      </w:r>
      <w:proofErr w:type="gramStart"/>
      <w:r w:rsidRPr="006E6D0E">
        <w:rPr>
          <w:rFonts w:eastAsia="Times New Roman"/>
          <w:sz w:val="24"/>
          <w:szCs w:val="24"/>
          <w:lang w:eastAsia="en-AU"/>
        </w:rPr>
        <w:t>);</w:t>
      </w:r>
      <w:proofErr w:type="gramEnd"/>
    </w:p>
    <w:p w14:paraId="1AA7722E" w14:textId="77777777" w:rsidR="006E6D0E" w:rsidRPr="006E6D0E" w:rsidRDefault="006E6D0E" w:rsidP="006E6D0E">
      <w:pPr>
        <w:spacing w:line="240" w:lineRule="auto"/>
        <w:ind w:left="1134" w:hanging="567"/>
        <w:rPr>
          <w:rFonts w:eastAsia="Times New Roman"/>
          <w:sz w:val="24"/>
          <w:szCs w:val="24"/>
          <w:lang w:eastAsia="en-AU"/>
        </w:rPr>
      </w:pPr>
    </w:p>
    <w:p w14:paraId="24D416A5"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(e)</w:t>
      </w:r>
      <w:r w:rsidRPr="006E6D0E">
        <w:rPr>
          <w:rFonts w:eastAsia="Times New Roman"/>
          <w:sz w:val="24"/>
          <w:szCs w:val="24"/>
          <w:lang w:eastAsia="en-AU"/>
        </w:rPr>
        <w:tab/>
        <w:t xml:space="preserve">the </w:t>
      </w:r>
      <w:r w:rsidRPr="006E6D0E">
        <w:rPr>
          <w:rFonts w:eastAsia="Times New Roman"/>
          <w:b/>
          <w:i/>
          <w:sz w:val="24"/>
          <w:szCs w:val="24"/>
          <w:lang w:eastAsia="en-AU"/>
        </w:rPr>
        <w:t>market infrastructure and intermediaries sector</w:t>
      </w:r>
      <w:r w:rsidRPr="006E6D0E">
        <w:rPr>
          <w:rFonts w:eastAsia="Times New Roman"/>
          <w:sz w:val="24"/>
          <w:szCs w:val="24"/>
          <w:lang w:eastAsia="en-AU"/>
        </w:rPr>
        <w:t xml:space="preserve"> </w:t>
      </w:r>
      <w:r w:rsidR="00642206" w:rsidRPr="00642206">
        <w:rPr>
          <w:rFonts w:eastAsia="Times New Roman"/>
          <w:sz w:val="24"/>
          <w:szCs w:val="24"/>
          <w:lang w:eastAsia="en-AU"/>
        </w:rPr>
        <w:br/>
      </w:r>
      <w:r w:rsidRPr="006E6D0E">
        <w:rPr>
          <w:rFonts w:eastAsia="Times New Roman"/>
          <w:sz w:val="24"/>
          <w:szCs w:val="24"/>
          <w:lang w:eastAsia="en-AU"/>
        </w:rPr>
        <w:t xml:space="preserve">(comprising </w:t>
      </w:r>
      <w:r w:rsidR="00642206" w:rsidRPr="00642206">
        <w:rPr>
          <w:rFonts w:eastAsia="Times New Roman"/>
          <w:sz w:val="24"/>
          <w:szCs w:val="24"/>
          <w:lang w:eastAsia="en-AU"/>
        </w:rPr>
        <w:t>2</w:t>
      </w:r>
      <w:r w:rsidR="00642206">
        <w:rPr>
          <w:rFonts w:eastAsia="Times New Roman"/>
          <w:sz w:val="24"/>
          <w:szCs w:val="24"/>
          <w:lang w:eastAsia="en-AU"/>
        </w:rPr>
        <w:t>4</w:t>
      </w:r>
      <w:r w:rsidRPr="006E6D0E">
        <w:rPr>
          <w:rFonts w:eastAsia="Times New Roman"/>
          <w:sz w:val="24"/>
          <w:szCs w:val="24"/>
          <w:lang w:eastAsia="en-AU"/>
        </w:rPr>
        <w:t xml:space="preserve"> sub-sectors</w:t>
      </w:r>
      <w:proofErr w:type="gramStart"/>
      <w:r w:rsidRPr="006E6D0E">
        <w:rPr>
          <w:rFonts w:eastAsia="Times New Roman"/>
          <w:sz w:val="24"/>
          <w:szCs w:val="24"/>
          <w:lang w:eastAsia="en-AU"/>
        </w:rPr>
        <w:t>);</w:t>
      </w:r>
      <w:proofErr w:type="gramEnd"/>
    </w:p>
    <w:p w14:paraId="777579CD" w14:textId="77777777" w:rsidR="006E6D0E" w:rsidRPr="006E6D0E" w:rsidRDefault="006E6D0E" w:rsidP="006E6D0E">
      <w:pPr>
        <w:spacing w:line="240" w:lineRule="auto"/>
        <w:ind w:left="1134" w:hanging="567"/>
        <w:rPr>
          <w:rFonts w:eastAsia="Times New Roman"/>
          <w:sz w:val="24"/>
          <w:szCs w:val="24"/>
          <w:lang w:eastAsia="en-AU"/>
        </w:rPr>
      </w:pPr>
    </w:p>
    <w:p w14:paraId="70CEA0B6" w14:textId="77777777" w:rsidR="006E6D0E" w:rsidRPr="00642206"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(f)</w:t>
      </w:r>
      <w:r w:rsidRPr="006E6D0E">
        <w:rPr>
          <w:rFonts w:eastAsia="Times New Roman"/>
          <w:sz w:val="24"/>
          <w:szCs w:val="24"/>
          <w:lang w:eastAsia="en-AU"/>
        </w:rPr>
        <w:tab/>
        <w:t xml:space="preserve">the </w:t>
      </w:r>
      <w:r w:rsidRPr="006E6D0E">
        <w:rPr>
          <w:rFonts w:eastAsia="Times New Roman"/>
          <w:b/>
          <w:i/>
          <w:sz w:val="24"/>
          <w:szCs w:val="24"/>
          <w:lang w:eastAsia="en-AU"/>
        </w:rPr>
        <w:t>insurance sector</w:t>
      </w:r>
      <w:r w:rsidRPr="006E6D0E">
        <w:rPr>
          <w:rFonts w:eastAsia="Times New Roman"/>
          <w:sz w:val="24"/>
          <w:szCs w:val="24"/>
          <w:lang w:eastAsia="en-AU"/>
        </w:rPr>
        <w:t xml:space="preserve"> (comprising </w:t>
      </w:r>
      <w:r w:rsidR="00817F4F">
        <w:rPr>
          <w:rFonts w:eastAsia="Times New Roman"/>
          <w:sz w:val="24"/>
          <w:szCs w:val="24"/>
          <w:lang w:eastAsia="en-AU"/>
        </w:rPr>
        <w:t>4</w:t>
      </w:r>
      <w:r w:rsidR="00817F4F" w:rsidRPr="006E6D0E">
        <w:rPr>
          <w:rFonts w:eastAsia="Times New Roman"/>
          <w:sz w:val="24"/>
          <w:szCs w:val="24"/>
          <w:lang w:eastAsia="en-AU"/>
        </w:rPr>
        <w:t xml:space="preserve"> </w:t>
      </w:r>
      <w:r w:rsidRPr="006E6D0E">
        <w:rPr>
          <w:rFonts w:eastAsia="Times New Roman"/>
          <w:sz w:val="24"/>
          <w:szCs w:val="24"/>
          <w:lang w:eastAsia="en-AU"/>
        </w:rPr>
        <w:t>sub-sectors)</w:t>
      </w:r>
      <w:r w:rsidR="008003F7">
        <w:rPr>
          <w:rFonts w:eastAsia="Times New Roman"/>
          <w:sz w:val="24"/>
          <w:szCs w:val="24"/>
          <w:lang w:eastAsia="en-AU"/>
        </w:rPr>
        <w:t>.</w:t>
      </w:r>
    </w:p>
    <w:p w14:paraId="41F84E0B" w14:textId="77777777" w:rsidR="006E6D0E" w:rsidRPr="006E6D0E" w:rsidRDefault="006E6D0E" w:rsidP="006E6D0E">
      <w:pPr>
        <w:spacing w:line="240" w:lineRule="auto"/>
        <w:rPr>
          <w:rFonts w:eastAsia="Times New Roman"/>
          <w:sz w:val="24"/>
          <w:szCs w:val="24"/>
          <w:lang w:eastAsia="en-AU"/>
        </w:rPr>
      </w:pPr>
    </w:p>
    <w:p w14:paraId="6DD6D36F" w14:textId="77777777" w:rsidR="006E6D0E" w:rsidRPr="006E6D0E" w:rsidRDefault="00EF280C" w:rsidP="006E6D0E">
      <w:pPr>
        <w:spacing w:line="240" w:lineRule="auto"/>
        <w:ind w:left="567" w:hanging="567"/>
        <w:rPr>
          <w:rFonts w:eastAsia="Times New Roman"/>
          <w:sz w:val="24"/>
          <w:szCs w:val="24"/>
          <w:lang w:eastAsia="en-AU"/>
        </w:rPr>
      </w:pPr>
      <w:r>
        <w:rPr>
          <w:rFonts w:eastAsia="Times New Roman"/>
          <w:sz w:val="24"/>
          <w:szCs w:val="24"/>
          <w:lang w:eastAsia="en-AU"/>
        </w:rPr>
        <w:t>7</w:t>
      </w:r>
      <w:r w:rsidR="00642206">
        <w:rPr>
          <w:rFonts w:eastAsia="Times New Roman"/>
          <w:sz w:val="24"/>
          <w:szCs w:val="24"/>
          <w:lang w:eastAsia="en-AU"/>
        </w:rPr>
        <w:t>.</w:t>
      </w:r>
      <w:r w:rsidR="006E6D0E" w:rsidRPr="006E6D0E">
        <w:rPr>
          <w:rFonts w:eastAsia="Times New Roman"/>
          <w:sz w:val="24"/>
          <w:szCs w:val="24"/>
          <w:lang w:eastAsia="en-AU"/>
        </w:rPr>
        <w:tab/>
        <w:t xml:space="preserve">Either a </w:t>
      </w:r>
      <w:r w:rsidR="006E6D0E" w:rsidRPr="006E6D0E">
        <w:rPr>
          <w:rFonts w:eastAsia="Times New Roman"/>
          <w:b/>
          <w:i/>
          <w:sz w:val="24"/>
          <w:szCs w:val="24"/>
          <w:lang w:eastAsia="en-AU"/>
        </w:rPr>
        <w:t>basic levy component</w:t>
      </w:r>
      <w:r w:rsidR="006E6D0E" w:rsidRPr="006E6D0E">
        <w:rPr>
          <w:rFonts w:eastAsia="Times New Roman"/>
          <w:sz w:val="24"/>
          <w:szCs w:val="24"/>
          <w:lang w:eastAsia="en-AU"/>
        </w:rPr>
        <w:t xml:space="preserve"> or a </w:t>
      </w:r>
      <w:r w:rsidR="006E6D0E" w:rsidRPr="006E6D0E">
        <w:rPr>
          <w:rFonts w:eastAsia="Times New Roman"/>
          <w:b/>
          <w:i/>
          <w:sz w:val="24"/>
          <w:szCs w:val="24"/>
          <w:lang w:eastAsia="en-AU"/>
        </w:rPr>
        <w:t xml:space="preserve">graduated levy component </w:t>
      </w:r>
      <w:r w:rsidR="006E6D0E" w:rsidRPr="006E6D0E">
        <w:rPr>
          <w:rFonts w:eastAsia="Times New Roman"/>
          <w:sz w:val="24"/>
          <w:szCs w:val="24"/>
          <w:lang w:eastAsia="en-AU"/>
        </w:rPr>
        <w:t xml:space="preserve">is applied to each sub-sector. A leviable entity may form part of 2 or more sub-sectors in a sector. The amount of levy payable by a leviable entity is the sum of each levy component the entity has for the financial year. </w:t>
      </w:r>
    </w:p>
    <w:p w14:paraId="657A488D" w14:textId="77777777" w:rsidR="006E6D0E" w:rsidRPr="006E6D0E" w:rsidRDefault="006E6D0E" w:rsidP="006E6D0E">
      <w:pPr>
        <w:spacing w:line="240" w:lineRule="auto"/>
        <w:ind w:left="567" w:hanging="567"/>
        <w:rPr>
          <w:rFonts w:eastAsia="Times New Roman"/>
          <w:sz w:val="24"/>
          <w:szCs w:val="24"/>
          <w:lang w:eastAsia="en-AU"/>
        </w:rPr>
      </w:pPr>
    </w:p>
    <w:p w14:paraId="1F3E338C" w14:textId="77777777" w:rsidR="006E6D0E" w:rsidRPr="006E6D0E" w:rsidRDefault="00EF280C" w:rsidP="006E6D0E">
      <w:pPr>
        <w:spacing w:line="240" w:lineRule="auto"/>
        <w:ind w:left="567" w:hanging="567"/>
        <w:rPr>
          <w:rFonts w:eastAsia="Times New Roman"/>
          <w:sz w:val="24"/>
          <w:szCs w:val="24"/>
          <w:lang w:eastAsia="en-AU"/>
        </w:rPr>
      </w:pPr>
      <w:r>
        <w:rPr>
          <w:rFonts w:eastAsia="Times New Roman"/>
          <w:sz w:val="24"/>
          <w:szCs w:val="24"/>
          <w:lang w:eastAsia="en-AU"/>
        </w:rPr>
        <w:t>8</w:t>
      </w:r>
      <w:r w:rsidR="00642206">
        <w:rPr>
          <w:rFonts w:eastAsia="Times New Roman"/>
          <w:sz w:val="24"/>
          <w:szCs w:val="24"/>
          <w:lang w:eastAsia="en-AU"/>
        </w:rPr>
        <w:t xml:space="preserve">. </w:t>
      </w:r>
      <w:r w:rsidR="006E6D0E" w:rsidRPr="006E6D0E">
        <w:rPr>
          <w:rFonts w:eastAsia="Times New Roman"/>
          <w:sz w:val="24"/>
          <w:szCs w:val="24"/>
          <w:lang w:eastAsia="en-AU"/>
        </w:rPr>
        <w:tab/>
        <w:t xml:space="preserve">The </w:t>
      </w:r>
      <w:r w:rsidR="006E6D0E" w:rsidRPr="006E6D0E">
        <w:rPr>
          <w:rFonts w:eastAsia="Times New Roman"/>
          <w:b/>
          <w:i/>
          <w:sz w:val="24"/>
          <w:szCs w:val="24"/>
          <w:lang w:eastAsia="en-AU"/>
        </w:rPr>
        <w:t>basic levy component</w:t>
      </w:r>
      <w:r w:rsidR="006E6D0E" w:rsidRPr="006E6D0E">
        <w:rPr>
          <w:rFonts w:eastAsia="Times New Roman"/>
          <w:sz w:val="24"/>
          <w:szCs w:val="24"/>
          <w:lang w:eastAsia="en-AU"/>
        </w:rPr>
        <w:t xml:space="preserve"> and the </w:t>
      </w:r>
      <w:r w:rsidR="006E6D0E" w:rsidRPr="006E6D0E">
        <w:rPr>
          <w:rFonts w:eastAsia="Times New Roman"/>
          <w:b/>
          <w:i/>
          <w:sz w:val="24"/>
          <w:szCs w:val="24"/>
          <w:lang w:eastAsia="en-AU"/>
        </w:rPr>
        <w:t>graduated levy component</w:t>
      </w:r>
      <w:r w:rsidR="006E6D0E" w:rsidRPr="006E6D0E">
        <w:rPr>
          <w:rFonts w:eastAsia="Times New Roman"/>
          <w:sz w:val="24"/>
          <w:szCs w:val="24"/>
          <w:lang w:eastAsia="en-AU"/>
        </w:rPr>
        <w:t xml:space="preserve">, for a leviable entity for a sub-sector for a financial year, is worked out according to formulae specified in the Cost Recovery Regulations. </w:t>
      </w:r>
      <w:r w:rsidR="006E6D0E" w:rsidRPr="006E6D0E">
        <w:rPr>
          <w:rFonts w:eastAsia="Times New Roman"/>
          <w:sz w:val="24"/>
          <w:szCs w:val="24"/>
          <w:lang w:eastAsia="en-AU"/>
        </w:rPr>
        <w:tab/>
        <w:t xml:space="preserve"> </w:t>
      </w:r>
    </w:p>
    <w:p w14:paraId="304C5209" w14:textId="77777777" w:rsidR="008C1080" w:rsidRDefault="008C1080" w:rsidP="006E6D0E">
      <w:pPr>
        <w:spacing w:line="240" w:lineRule="auto"/>
        <w:ind w:left="567" w:hanging="567"/>
        <w:rPr>
          <w:b/>
          <w:i/>
          <w:sz w:val="24"/>
          <w:szCs w:val="24"/>
        </w:rPr>
      </w:pPr>
    </w:p>
    <w:p w14:paraId="7AF3E461" w14:textId="77777777" w:rsidR="008C1080" w:rsidRPr="00C357F8" w:rsidRDefault="00EF280C" w:rsidP="008C1080">
      <w:pPr>
        <w:spacing w:line="240" w:lineRule="auto"/>
        <w:ind w:left="567" w:hanging="567"/>
        <w:rPr>
          <w:rFonts w:eastAsia="Times New Roman"/>
          <w:sz w:val="24"/>
          <w:szCs w:val="24"/>
          <w:lang w:eastAsia="en-AU"/>
        </w:rPr>
      </w:pPr>
      <w:r>
        <w:rPr>
          <w:rFonts w:eastAsia="Times New Roman"/>
          <w:sz w:val="24"/>
          <w:szCs w:val="24"/>
          <w:lang w:eastAsia="en-AU"/>
        </w:rPr>
        <w:t>9</w:t>
      </w:r>
      <w:r w:rsidR="008C1080" w:rsidRPr="00C357F8">
        <w:rPr>
          <w:rFonts w:eastAsia="Times New Roman"/>
          <w:sz w:val="24"/>
          <w:szCs w:val="24"/>
          <w:lang w:eastAsia="en-AU"/>
        </w:rPr>
        <w:t>.</w:t>
      </w:r>
      <w:r w:rsidR="008C1080" w:rsidRPr="00C357F8">
        <w:rPr>
          <w:rFonts w:eastAsia="Times New Roman"/>
          <w:sz w:val="24"/>
          <w:szCs w:val="24"/>
          <w:lang w:eastAsia="en-AU"/>
        </w:rPr>
        <w:tab/>
        <w:t>ASIC confirms that:</w:t>
      </w:r>
    </w:p>
    <w:p w14:paraId="798D5785" w14:textId="77777777" w:rsidR="008C1080" w:rsidRPr="00C357F8" w:rsidRDefault="008C1080" w:rsidP="008C1080">
      <w:pPr>
        <w:spacing w:line="240" w:lineRule="auto"/>
        <w:ind w:left="567" w:hanging="567"/>
        <w:rPr>
          <w:rFonts w:eastAsia="Times New Roman"/>
          <w:sz w:val="24"/>
          <w:szCs w:val="24"/>
          <w:lang w:eastAsia="en-AU"/>
        </w:rPr>
      </w:pPr>
    </w:p>
    <w:p w14:paraId="3E6373F1" w14:textId="77777777" w:rsidR="008C1080" w:rsidRPr="00C357F8" w:rsidRDefault="008C1080" w:rsidP="008C1080">
      <w:pPr>
        <w:spacing w:line="240" w:lineRule="auto"/>
        <w:ind w:left="1134" w:hanging="567"/>
        <w:rPr>
          <w:rFonts w:eastAsia="Times New Roman"/>
          <w:sz w:val="24"/>
          <w:szCs w:val="24"/>
          <w:lang w:eastAsia="en-AU"/>
        </w:rPr>
      </w:pPr>
      <w:r w:rsidRPr="00C357F8">
        <w:rPr>
          <w:rFonts w:eastAsia="Times New Roman"/>
          <w:sz w:val="24"/>
          <w:szCs w:val="24"/>
          <w:lang w:eastAsia="en-AU"/>
        </w:rPr>
        <w:t>(a)</w:t>
      </w:r>
      <w:r w:rsidRPr="00C357F8">
        <w:rPr>
          <w:rFonts w:eastAsia="Times New Roman"/>
          <w:sz w:val="24"/>
          <w:szCs w:val="24"/>
          <w:lang w:eastAsia="en-AU"/>
        </w:rPr>
        <w:tab/>
        <w:t>before ASIC made this instrument for the financial year, it was satisfied, having regard to information provided to ASIC, that the instrument is consistent with the objectives stated in subsection 9(2) of the Cost Recovery Act; and</w:t>
      </w:r>
    </w:p>
    <w:p w14:paraId="0863AA50" w14:textId="77777777" w:rsidR="008C1080" w:rsidRPr="00C357F8" w:rsidRDefault="008C1080" w:rsidP="008C1080">
      <w:pPr>
        <w:spacing w:line="240" w:lineRule="auto"/>
        <w:ind w:left="1134" w:hanging="567"/>
        <w:rPr>
          <w:rFonts w:eastAsia="Times New Roman"/>
          <w:sz w:val="24"/>
          <w:szCs w:val="24"/>
          <w:lang w:eastAsia="en-AU"/>
        </w:rPr>
      </w:pPr>
    </w:p>
    <w:p w14:paraId="728976A8" w14:textId="77777777" w:rsidR="008C1080" w:rsidRPr="00C357F8" w:rsidRDefault="008C1080" w:rsidP="008C1080">
      <w:pPr>
        <w:spacing w:line="240" w:lineRule="auto"/>
        <w:ind w:left="1134" w:hanging="567"/>
        <w:rPr>
          <w:rFonts w:eastAsia="Times New Roman"/>
          <w:sz w:val="24"/>
          <w:szCs w:val="24"/>
          <w:lang w:eastAsia="en-AU"/>
        </w:rPr>
      </w:pPr>
      <w:r w:rsidRPr="00C357F8">
        <w:rPr>
          <w:rFonts w:eastAsia="Times New Roman"/>
          <w:sz w:val="24"/>
          <w:szCs w:val="24"/>
          <w:lang w:eastAsia="en-AU"/>
        </w:rPr>
        <w:t>(b)</w:t>
      </w:r>
      <w:r w:rsidRPr="00C357F8">
        <w:rPr>
          <w:rFonts w:eastAsia="Times New Roman"/>
          <w:sz w:val="24"/>
          <w:szCs w:val="24"/>
          <w:lang w:eastAsia="en-AU"/>
        </w:rPr>
        <w:tab/>
        <w:t xml:space="preserve">this instrument was made after the last day by which returns relating to the financial year must be lodged with ASIC under section 11 of the Collection Act. ASIC determined that day to </w:t>
      </w:r>
      <w:r w:rsidRPr="00A26CCC">
        <w:rPr>
          <w:rFonts w:eastAsia="Times New Roman"/>
          <w:sz w:val="24"/>
          <w:szCs w:val="24"/>
          <w:lang w:eastAsia="en-AU"/>
        </w:rPr>
        <w:t xml:space="preserve">be </w:t>
      </w:r>
      <w:r w:rsidR="008C54D7">
        <w:rPr>
          <w:rFonts w:eastAsia="Times New Roman"/>
          <w:sz w:val="24"/>
          <w:szCs w:val="24"/>
          <w:lang w:eastAsia="en-AU"/>
        </w:rPr>
        <w:t>2</w:t>
      </w:r>
      <w:r w:rsidR="00F40EBF">
        <w:rPr>
          <w:rFonts w:eastAsia="Times New Roman"/>
          <w:sz w:val="24"/>
          <w:szCs w:val="24"/>
          <w:lang w:eastAsia="en-AU"/>
        </w:rPr>
        <w:t>7</w:t>
      </w:r>
      <w:r w:rsidR="007D504C">
        <w:rPr>
          <w:rFonts w:eastAsia="Times New Roman"/>
          <w:sz w:val="24"/>
          <w:szCs w:val="24"/>
          <w:lang w:eastAsia="en-AU"/>
        </w:rPr>
        <w:t xml:space="preserve"> </w:t>
      </w:r>
      <w:r w:rsidR="008C54D7">
        <w:rPr>
          <w:rFonts w:eastAsia="Times New Roman"/>
          <w:sz w:val="24"/>
          <w:szCs w:val="24"/>
          <w:lang w:eastAsia="en-AU"/>
        </w:rPr>
        <w:t xml:space="preserve">September </w:t>
      </w:r>
      <w:r w:rsidR="007D504C">
        <w:rPr>
          <w:rFonts w:eastAsia="Times New Roman"/>
          <w:sz w:val="24"/>
          <w:szCs w:val="24"/>
          <w:lang w:eastAsia="en-AU"/>
        </w:rPr>
        <w:t>202</w:t>
      </w:r>
      <w:r w:rsidR="007538E0">
        <w:rPr>
          <w:rFonts w:eastAsia="Times New Roman"/>
          <w:sz w:val="24"/>
          <w:szCs w:val="24"/>
          <w:lang w:eastAsia="en-AU"/>
        </w:rPr>
        <w:t>3</w:t>
      </w:r>
      <w:r w:rsidR="00A26CCC" w:rsidRPr="00A26CCC">
        <w:rPr>
          <w:rFonts w:eastAsia="Times New Roman"/>
          <w:sz w:val="24"/>
          <w:szCs w:val="24"/>
          <w:lang w:eastAsia="en-AU"/>
        </w:rPr>
        <w:t>.</w:t>
      </w:r>
    </w:p>
    <w:p w14:paraId="1E9A02B2" w14:textId="77777777" w:rsidR="009A3F74" w:rsidRPr="00B161E5" w:rsidRDefault="009A3F74" w:rsidP="009A3F74">
      <w:pPr>
        <w:pStyle w:val="LI-BodyTextNumbered"/>
        <w:ind w:hanging="1134"/>
        <w:rPr>
          <w:b/>
        </w:rPr>
      </w:pPr>
      <w:bookmarkStart w:id="1" w:name="_Hlk534291624"/>
      <w:r w:rsidRPr="00B161E5">
        <w:rPr>
          <w:b/>
        </w:rPr>
        <w:t>Consultation</w:t>
      </w:r>
    </w:p>
    <w:p w14:paraId="15661D4A" w14:textId="77777777" w:rsidR="00931078" w:rsidRPr="00B161E5" w:rsidRDefault="00931078" w:rsidP="00931078">
      <w:pPr>
        <w:spacing w:line="240" w:lineRule="auto"/>
        <w:ind w:left="567" w:hanging="567"/>
        <w:rPr>
          <w:sz w:val="24"/>
          <w:szCs w:val="24"/>
        </w:rPr>
      </w:pPr>
    </w:p>
    <w:p w14:paraId="097E6352" w14:textId="77777777" w:rsidR="00931078" w:rsidRPr="00931078" w:rsidRDefault="003650C4" w:rsidP="00931078">
      <w:pPr>
        <w:spacing w:line="240" w:lineRule="auto"/>
        <w:ind w:left="567" w:hanging="567"/>
        <w:rPr>
          <w:rFonts w:eastAsia="Times New Roman"/>
          <w:sz w:val="24"/>
          <w:szCs w:val="24"/>
          <w:lang w:eastAsia="en-AU"/>
        </w:rPr>
      </w:pPr>
      <w:r>
        <w:rPr>
          <w:sz w:val="24"/>
          <w:szCs w:val="24"/>
        </w:rPr>
        <w:t>1</w:t>
      </w:r>
      <w:r w:rsidR="00EF280C">
        <w:rPr>
          <w:sz w:val="24"/>
          <w:szCs w:val="24"/>
        </w:rPr>
        <w:t>0</w:t>
      </w:r>
      <w:r w:rsidR="009A3F74" w:rsidRPr="00B161E5">
        <w:rPr>
          <w:sz w:val="24"/>
          <w:szCs w:val="24"/>
        </w:rPr>
        <w:t>.</w:t>
      </w:r>
      <w:r w:rsidR="009A3F74" w:rsidRPr="00B161E5">
        <w:rPr>
          <w:sz w:val="24"/>
          <w:szCs w:val="24"/>
        </w:rPr>
        <w:tab/>
      </w:r>
      <w:r w:rsidR="00931078" w:rsidRPr="00931078">
        <w:rPr>
          <w:rFonts w:eastAsia="Times New Roman"/>
          <w:sz w:val="24"/>
          <w:szCs w:val="24"/>
          <w:lang w:eastAsia="en-AU"/>
        </w:rPr>
        <w:t xml:space="preserve">Section 17 of the </w:t>
      </w:r>
      <w:r w:rsidR="00931078" w:rsidRPr="00931078">
        <w:rPr>
          <w:rFonts w:eastAsia="Times New Roman"/>
          <w:i/>
          <w:sz w:val="24"/>
          <w:szCs w:val="24"/>
          <w:lang w:eastAsia="en-AU"/>
        </w:rPr>
        <w:t>Legislation Act 2003</w:t>
      </w:r>
      <w:r w:rsidR="00931078" w:rsidRPr="00931078">
        <w:rPr>
          <w:rFonts w:eastAsia="Times New Roman"/>
          <w:sz w:val="24"/>
          <w:szCs w:val="24"/>
          <w:lang w:eastAsia="en-AU"/>
        </w:rPr>
        <w:t xml:space="preserve"> </w:t>
      </w:r>
      <w:r w:rsidR="006A0927">
        <w:rPr>
          <w:rFonts w:eastAsia="Times New Roman"/>
          <w:sz w:val="24"/>
          <w:szCs w:val="24"/>
          <w:lang w:eastAsia="en-AU"/>
        </w:rPr>
        <w:t xml:space="preserve">(the </w:t>
      </w:r>
      <w:r w:rsidR="006A0927" w:rsidRPr="006A0927">
        <w:rPr>
          <w:rFonts w:eastAsia="Times New Roman"/>
          <w:b/>
          <w:i/>
          <w:sz w:val="24"/>
          <w:szCs w:val="24"/>
          <w:lang w:eastAsia="en-AU"/>
        </w:rPr>
        <w:t>Legislation Act</w:t>
      </w:r>
      <w:r w:rsidR="006A0927">
        <w:rPr>
          <w:rFonts w:eastAsia="Times New Roman"/>
          <w:sz w:val="24"/>
          <w:szCs w:val="24"/>
          <w:lang w:eastAsia="en-AU"/>
        </w:rPr>
        <w:t xml:space="preserve">) </w:t>
      </w:r>
      <w:r w:rsidR="00931078" w:rsidRPr="00931078">
        <w:rPr>
          <w:rFonts w:eastAsia="Times New Roman"/>
          <w:sz w:val="24"/>
          <w:szCs w:val="24"/>
          <w:lang w:eastAsia="en-AU"/>
        </w:rPr>
        <w:t xml:space="preserve">provides that, before a legislative instrument is made, the rule-maker must be satisfied that there has been undertaken any consultation that is considered by the rule-maker to be appropriate, and reasonably practicable to undertake. </w:t>
      </w:r>
    </w:p>
    <w:p w14:paraId="50B5068C" w14:textId="77777777" w:rsidR="00931078" w:rsidRPr="00931078" w:rsidRDefault="00931078" w:rsidP="00931078">
      <w:pPr>
        <w:spacing w:line="240" w:lineRule="auto"/>
        <w:ind w:left="567" w:hanging="567"/>
        <w:rPr>
          <w:rFonts w:eastAsia="Times New Roman"/>
          <w:sz w:val="24"/>
          <w:szCs w:val="24"/>
          <w:lang w:eastAsia="en-AU"/>
        </w:rPr>
      </w:pPr>
    </w:p>
    <w:p w14:paraId="4BC906D2" w14:textId="77777777" w:rsidR="00931078" w:rsidRDefault="008C1080" w:rsidP="00931078">
      <w:pPr>
        <w:spacing w:line="240" w:lineRule="auto"/>
        <w:ind w:left="567" w:hanging="567"/>
        <w:rPr>
          <w:rFonts w:eastAsia="Times New Roman"/>
          <w:sz w:val="24"/>
          <w:szCs w:val="24"/>
          <w:lang w:eastAsia="en-AU"/>
        </w:rPr>
      </w:pPr>
      <w:r>
        <w:rPr>
          <w:rFonts w:eastAsia="Times New Roman"/>
          <w:sz w:val="24"/>
          <w:szCs w:val="24"/>
          <w:lang w:eastAsia="en-AU"/>
        </w:rPr>
        <w:t>1</w:t>
      </w:r>
      <w:r w:rsidR="00EF280C">
        <w:rPr>
          <w:rFonts w:eastAsia="Times New Roman"/>
          <w:sz w:val="24"/>
          <w:szCs w:val="24"/>
          <w:lang w:eastAsia="en-AU"/>
        </w:rPr>
        <w:t>1</w:t>
      </w:r>
      <w:r w:rsidR="00931078" w:rsidRPr="00B161E5">
        <w:rPr>
          <w:rFonts w:eastAsia="Times New Roman"/>
          <w:sz w:val="24"/>
          <w:szCs w:val="24"/>
          <w:lang w:eastAsia="en-AU"/>
        </w:rPr>
        <w:t>.</w:t>
      </w:r>
      <w:r w:rsidR="00931078" w:rsidRPr="00931078">
        <w:rPr>
          <w:rFonts w:eastAsia="Times New Roman"/>
          <w:sz w:val="24"/>
          <w:szCs w:val="24"/>
          <w:lang w:eastAsia="en-AU"/>
        </w:rPr>
        <w:tab/>
        <w:t xml:space="preserve">In determining whether any consultation that was undertaken is appropriate, the rule-maker may have regard to any relevant matter, including the extent to which the consultation drew on the knowledge of persons having expertise in fields relevant to the proposed instrument. </w:t>
      </w:r>
    </w:p>
    <w:p w14:paraId="7A177795" w14:textId="77777777" w:rsidR="008C1080" w:rsidRPr="00931078" w:rsidRDefault="008C1080" w:rsidP="00931078">
      <w:pPr>
        <w:spacing w:line="240" w:lineRule="auto"/>
        <w:ind w:left="567" w:hanging="567"/>
        <w:rPr>
          <w:rFonts w:eastAsia="Times New Roman"/>
          <w:sz w:val="24"/>
          <w:szCs w:val="24"/>
          <w:lang w:eastAsia="en-AU"/>
        </w:rPr>
      </w:pPr>
    </w:p>
    <w:p w14:paraId="71539267" w14:textId="77777777" w:rsidR="00931078" w:rsidRPr="00931078" w:rsidRDefault="008C1080" w:rsidP="006E6D0E">
      <w:pPr>
        <w:pStyle w:val="BodyText"/>
        <w:spacing w:before="0" w:line="240" w:lineRule="auto"/>
        <w:ind w:left="567" w:hanging="567"/>
        <w:rPr>
          <w:szCs w:val="24"/>
          <w:lang w:eastAsia="en-AU"/>
        </w:rPr>
      </w:pPr>
      <w:r>
        <w:rPr>
          <w:szCs w:val="24"/>
          <w:lang w:eastAsia="en-AU"/>
        </w:rPr>
        <w:t>1</w:t>
      </w:r>
      <w:r w:rsidR="00EF280C">
        <w:rPr>
          <w:szCs w:val="24"/>
          <w:lang w:eastAsia="en-AU"/>
        </w:rPr>
        <w:t>2</w:t>
      </w:r>
      <w:r w:rsidR="00931078" w:rsidRPr="00B161E5">
        <w:rPr>
          <w:szCs w:val="24"/>
          <w:lang w:eastAsia="en-AU"/>
        </w:rPr>
        <w:t>.</w:t>
      </w:r>
      <w:r w:rsidR="00931078" w:rsidRPr="00931078">
        <w:rPr>
          <w:szCs w:val="24"/>
          <w:lang w:eastAsia="en-AU"/>
        </w:rPr>
        <w:tab/>
      </w:r>
      <w:r w:rsidR="00931078" w:rsidRPr="006E6D0E">
        <w:rPr>
          <w:szCs w:val="24"/>
          <w:lang w:eastAsia="en-AU"/>
        </w:rPr>
        <w:t>ASIC did not engage in consultation before making this legislative instrument. The reason why no consultation was undertaken was because the instrument specifies numbers</w:t>
      </w:r>
      <w:r w:rsidR="00B161E5" w:rsidRPr="006E6D0E">
        <w:rPr>
          <w:szCs w:val="24"/>
          <w:lang w:eastAsia="en-AU"/>
        </w:rPr>
        <w:t xml:space="preserve"> and </w:t>
      </w:r>
      <w:r w:rsidR="00931078" w:rsidRPr="006E6D0E">
        <w:rPr>
          <w:szCs w:val="24"/>
          <w:lang w:eastAsia="en-AU"/>
        </w:rPr>
        <w:t xml:space="preserve">amounts that are calculated based on the information contained in the returns lodged with ASIC under section 11 of the </w:t>
      </w:r>
      <w:r w:rsidR="006E6D0E" w:rsidRPr="006E6D0E">
        <w:rPr>
          <w:i/>
          <w:szCs w:val="24"/>
        </w:rPr>
        <w:t>ASIC Supervisory Cost Recovery Levy (Collection) Act 2017</w:t>
      </w:r>
      <w:r w:rsidR="006E6D0E" w:rsidRPr="006E6D0E">
        <w:rPr>
          <w:szCs w:val="24"/>
        </w:rPr>
        <w:t xml:space="preserve"> (the </w:t>
      </w:r>
      <w:r w:rsidR="006E6D0E" w:rsidRPr="006E6D0E">
        <w:rPr>
          <w:b/>
          <w:i/>
          <w:szCs w:val="24"/>
        </w:rPr>
        <w:t>Collection Act</w:t>
      </w:r>
      <w:r w:rsidR="006E6D0E" w:rsidRPr="006E6D0E">
        <w:rPr>
          <w:szCs w:val="24"/>
        </w:rPr>
        <w:t xml:space="preserve">). </w:t>
      </w:r>
    </w:p>
    <w:p w14:paraId="2E245C40" w14:textId="77777777" w:rsidR="00931078" w:rsidRPr="00931078" w:rsidRDefault="008C1080" w:rsidP="00931078">
      <w:pPr>
        <w:spacing w:before="240" w:line="240" w:lineRule="auto"/>
        <w:ind w:left="567" w:hanging="567"/>
        <w:rPr>
          <w:rFonts w:eastAsia="Times New Roman"/>
          <w:sz w:val="24"/>
          <w:szCs w:val="24"/>
          <w:lang w:eastAsia="en-AU"/>
        </w:rPr>
      </w:pPr>
      <w:r>
        <w:rPr>
          <w:rFonts w:eastAsia="Times New Roman"/>
          <w:sz w:val="24"/>
          <w:szCs w:val="24"/>
          <w:lang w:eastAsia="en-AU"/>
        </w:rPr>
        <w:lastRenderedPageBreak/>
        <w:t>1</w:t>
      </w:r>
      <w:r w:rsidR="00EF280C">
        <w:rPr>
          <w:rFonts w:eastAsia="Times New Roman"/>
          <w:sz w:val="24"/>
          <w:szCs w:val="24"/>
          <w:lang w:eastAsia="en-AU"/>
        </w:rPr>
        <w:t>3</w:t>
      </w:r>
      <w:r w:rsidR="00637593">
        <w:rPr>
          <w:rFonts w:eastAsia="Times New Roman"/>
          <w:sz w:val="24"/>
          <w:szCs w:val="24"/>
          <w:lang w:eastAsia="en-AU"/>
        </w:rPr>
        <w:t>.</w:t>
      </w:r>
      <w:r w:rsidR="00931078" w:rsidRPr="00931078">
        <w:rPr>
          <w:rFonts w:eastAsia="Times New Roman"/>
          <w:sz w:val="24"/>
          <w:szCs w:val="24"/>
          <w:lang w:eastAsia="en-AU"/>
        </w:rPr>
        <w:tab/>
        <w:t>In certain circumstances, ASIC may give a leviable entity a notice (a</w:t>
      </w:r>
      <w:r w:rsidR="00637593">
        <w:rPr>
          <w:rFonts w:eastAsia="Times New Roman"/>
          <w:sz w:val="24"/>
          <w:szCs w:val="24"/>
          <w:lang w:eastAsia="en-AU"/>
        </w:rPr>
        <w:t> </w:t>
      </w:r>
      <w:r w:rsidR="00931078" w:rsidRPr="00931078">
        <w:rPr>
          <w:rFonts w:eastAsia="Times New Roman"/>
          <w:b/>
          <w:i/>
          <w:sz w:val="24"/>
          <w:szCs w:val="24"/>
          <w:lang w:eastAsia="en-AU"/>
        </w:rPr>
        <w:t>default</w:t>
      </w:r>
      <w:r w:rsidR="00637593">
        <w:rPr>
          <w:rFonts w:eastAsia="Times New Roman"/>
          <w:b/>
          <w:i/>
          <w:sz w:val="24"/>
          <w:szCs w:val="24"/>
          <w:lang w:eastAsia="en-AU"/>
        </w:rPr>
        <w:t> </w:t>
      </w:r>
      <w:r w:rsidR="00931078" w:rsidRPr="00931078">
        <w:rPr>
          <w:rFonts w:eastAsia="Times New Roman"/>
          <w:b/>
          <w:i/>
          <w:sz w:val="24"/>
          <w:szCs w:val="24"/>
          <w:lang w:eastAsia="en-AU"/>
        </w:rPr>
        <w:t>notice</w:t>
      </w:r>
      <w:r w:rsidR="00931078" w:rsidRPr="00931078">
        <w:rPr>
          <w:rFonts w:eastAsia="Times New Roman"/>
          <w:sz w:val="24"/>
          <w:szCs w:val="24"/>
          <w:lang w:eastAsia="en-AU"/>
        </w:rPr>
        <w:t>) stating the amount that, in ASIC’s opinion, is the levy payable by the leviable entity for a financial year. These circumstances, which are set out in section 12 of the Collection Act, includes where a person has failed to provide to ASIC a return containing information relating to the leviable entity or ASIC is not satisfied with information provided by a person in a return.</w:t>
      </w:r>
    </w:p>
    <w:p w14:paraId="43F3CD34" w14:textId="77777777" w:rsidR="00931078" w:rsidRDefault="008C1080" w:rsidP="00931078">
      <w:pPr>
        <w:spacing w:before="240" w:line="240" w:lineRule="auto"/>
        <w:ind w:left="567" w:hanging="567"/>
        <w:rPr>
          <w:rFonts w:eastAsia="Times New Roman"/>
          <w:sz w:val="24"/>
          <w:szCs w:val="24"/>
          <w:lang w:eastAsia="en-AU"/>
        </w:rPr>
      </w:pPr>
      <w:r>
        <w:rPr>
          <w:rFonts w:eastAsia="Times New Roman"/>
          <w:sz w:val="24"/>
          <w:szCs w:val="24"/>
          <w:lang w:eastAsia="en-AU"/>
        </w:rPr>
        <w:t>1</w:t>
      </w:r>
      <w:r w:rsidR="00EF280C">
        <w:rPr>
          <w:rFonts w:eastAsia="Times New Roman"/>
          <w:sz w:val="24"/>
          <w:szCs w:val="24"/>
          <w:lang w:eastAsia="en-AU"/>
        </w:rPr>
        <w:t>4</w:t>
      </w:r>
      <w:r w:rsidR="00931078" w:rsidRPr="00931078">
        <w:rPr>
          <w:rFonts w:eastAsia="Times New Roman"/>
          <w:sz w:val="24"/>
          <w:szCs w:val="24"/>
          <w:lang w:eastAsia="en-AU"/>
        </w:rPr>
        <w:t>.</w:t>
      </w:r>
      <w:r w:rsidR="00931078" w:rsidRPr="00931078">
        <w:rPr>
          <w:rFonts w:eastAsia="Times New Roman"/>
          <w:sz w:val="24"/>
          <w:szCs w:val="24"/>
          <w:lang w:eastAsia="en-AU"/>
        </w:rPr>
        <w:tab/>
        <w:t>The amount stated in the default notice is taken to be the levy payable by the person for the financial year, unless the contrary is proved. While the issue of default notices involves the exercise by ASIC of a discretionary power where the amount of the levy stated in the default notice is based on ASIC’s opinion, it is anticipated that ASIC would only have cause to issue default notices in a minority of cases.</w:t>
      </w:r>
    </w:p>
    <w:p w14:paraId="7B142871" w14:textId="77777777" w:rsidR="005D1FEA" w:rsidRPr="00B161E5" w:rsidRDefault="00931078" w:rsidP="00637593">
      <w:pPr>
        <w:pStyle w:val="LI-BodyTextParaa"/>
        <w:ind w:left="567"/>
        <w:rPr>
          <w:b/>
        </w:rPr>
      </w:pPr>
      <w:r w:rsidRPr="00B161E5">
        <w:t xml:space="preserve"> </w:t>
      </w:r>
      <w:r w:rsidR="005D1FEA" w:rsidRPr="00B161E5">
        <w:rPr>
          <w:b/>
        </w:rPr>
        <w:t>Operation of the instrument</w:t>
      </w:r>
    </w:p>
    <w:p w14:paraId="4F606E1C" w14:textId="77777777" w:rsidR="00637593" w:rsidRDefault="008C1080" w:rsidP="005738A2">
      <w:pPr>
        <w:spacing w:before="200" w:line="300" w:lineRule="atLeast"/>
        <w:ind w:left="567" w:hanging="567"/>
        <w:rPr>
          <w:rFonts w:eastAsia="Times New Roman"/>
          <w:sz w:val="24"/>
          <w:szCs w:val="24"/>
          <w:lang w:eastAsia="en-AU"/>
        </w:rPr>
      </w:pPr>
      <w:r>
        <w:rPr>
          <w:rFonts w:eastAsia="Times New Roman"/>
          <w:sz w:val="24"/>
          <w:szCs w:val="24"/>
          <w:lang w:eastAsia="en-AU"/>
        </w:rPr>
        <w:t>1</w:t>
      </w:r>
      <w:r w:rsidR="00EF280C">
        <w:rPr>
          <w:rFonts w:eastAsia="Times New Roman"/>
          <w:sz w:val="24"/>
          <w:szCs w:val="24"/>
          <w:lang w:eastAsia="en-AU"/>
        </w:rPr>
        <w:t>5</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The legislative instrument applies in relation to the </w:t>
      </w:r>
      <w:r w:rsidR="00F429E9">
        <w:rPr>
          <w:rFonts w:eastAsia="Times New Roman"/>
          <w:b/>
          <w:sz w:val="24"/>
          <w:szCs w:val="24"/>
          <w:lang w:eastAsia="en-AU"/>
        </w:rPr>
        <w:t>20</w:t>
      </w:r>
      <w:r w:rsidR="008C54D7">
        <w:rPr>
          <w:rFonts w:eastAsia="Times New Roman"/>
          <w:b/>
          <w:sz w:val="24"/>
          <w:szCs w:val="24"/>
          <w:lang w:eastAsia="en-AU"/>
        </w:rPr>
        <w:t>2</w:t>
      </w:r>
      <w:r w:rsidR="007538E0">
        <w:rPr>
          <w:rFonts w:eastAsia="Times New Roman"/>
          <w:b/>
          <w:sz w:val="24"/>
          <w:szCs w:val="24"/>
          <w:lang w:eastAsia="en-AU"/>
        </w:rPr>
        <w:t>2</w:t>
      </w:r>
      <w:r w:rsidR="00637593" w:rsidRPr="00C357F8">
        <w:rPr>
          <w:rFonts w:eastAsia="Times New Roman"/>
          <w:b/>
          <w:sz w:val="24"/>
          <w:szCs w:val="24"/>
          <w:lang w:eastAsia="en-AU"/>
        </w:rPr>
        <w:t>–</w:t>
      </w:r>
      <w:r w:rsidR="00F429E9">
        <w:rPr>
          <w:rFonts w:eastAsia="Times New Roman"/>
          <w:b/>
          <w:sz w:val="24"/>
          <w:szCs w:val="24"/>
          <w:lang w:eastAsia="en-AU"/>
        </w:rPr>
        <w:t>2</w:t>
      </w:r>
      <w:r w:rsidR="007538E0">
        <w:rPr>
          <w:rFonts w:eastAsia="Times New Roman"/>
          <w:b/>
          <w:sz w:val="24"/>
          <w:szCs w:val="24"/>
          <w:lang w:eastAsia="en-AU"/>
        </w:rPr>
        <w:t>3</w:t>
      </w:r>
      <w:r w:rsidR="00637593" w:rsidRPr="00C357F8">
        <w:rPr>
          <w:rFonts w:eastAsia="Times New Roman"/>
          <w:b/>
          <w:sz w:val="24"/>
          <w:szCs w:val="24"/>
          <w:lang w:eastAsia="en-AU"/>
        </w:rPr>
        <w:t xml:space="preserve"> financial year</w:t>
      </w:r>
      <w:r w:rsidR="00637593" w:rsidRPr="00C357F8">
        <w:rPr>
          <w:rFonts w:eastAsia="Times New Roman"/>
          <w:sz w:val="24"/>
          <w:szCs w:val="24"/>
          <w:lang w:eastAsia="en-AU"/>
        </w:rPr>
        <w:t>.</w:t>
      </w:r>
    </w:p>
    <w:p w14:paraId="416D1A23" w14:textId="77777777" w:rsidR="00D57F07" w:rsidRDefault="00D57F07" w:rsidP="005738A2">
      <w:pPr>
        <w:spacing w:line="240" w:lineRule="auto"/>
        <w:ind w:left="567" w:hanging="567"/>
        <w:rPr>
          <w:rFonts w:eastAsia="Times New Roman"/>
          <w:sz w:val="24"/>
          <w:szCs w:val="24"/>
          <w:lang w:eastAsia="en-AU"/>
        </w:rPr>
      </w:pPr>
    </w:p>
    <w:p w14:paraId="1190951F" w14:textId="77777777" w:rsidR="00642206" w:rsidRDefault="008C1080" w:rsidP="00D57F07">
      <w:pPr>
        <w:spacing w:line="240" w:lineRule="auto"/>
        <w:ind w:left="567" w:hanging="567"/>
        <w:rPr>
          <w:rFonts w:eastAsia="Times New Roman"/>
          <w:sz w:val="24"/>
          <w:szCs w:val="24"/>
          <w:lang w:eastAsia="en-AU"/>
        </w:rPr>
      </w:pPr>
      <w:r>
        <w:rPr>
          <w:rFonts w:eastAsia="Times New Roman"/>
          <w:sz w:val="24"/>
          <w:szCs w:val="24"/>
          <w:lang w:eastAsia="en-AU"/>
        </w:rPr>
        <w:t>1</w:t>
      </w:r>
      <w:r w:rsidR="00EF280C">
        <w:rPr>
          <w:rFonts w:eastAsia="Times New Roman"/>
          <w:sz w:val="24"/>
          <w:szCs w:val="24"/>
          <w:lang w:eastAsia="en-AU"/>
        </w:rPr>
        <w:t>6</w:t>
      </w:r>
      <w:r w:rsidR="00D57F07">
        <w:rPr>
          <w:rFonts w:eastAsia="Times New Roman"/>
          <w:sz w:val="24"/>
          <w:szCs w:val="24"/>
          <w:lang w:eastAsia="en-AU"/>
        </w:rPr>
        <w:t>.</w:t>
      </w:r>
      <w:r w:rsidR="005738A2" w:rsidRPr="005738A2">
        <w:rPr>
          <w:rFonts w:eastAsia="Times New Roman"/>
          <w:sz w:val="24"/>
          <w:szCs w:val="24"/>
          <w:lang w:eastAsia="en-AU"/>
        </w:rPr>
        <w:tab/>
        <w:t>The instrument specif</w:t>
      </w:r>
      <w:r w:rsidR="00D57F07">
        <w:rPr>
          <w:rFonts w:eastAsia="Times New Roman"/>
          <w:sz w:val="24"/>
          <w:szCs w:val="24"/>
          <w:lang w:eastAsia="en-AU"/>
        </w:rPr>
        <w:t>ies</w:t>
      </w:r>
      <w:r w:rsidR="005738A2" w:rsidRPr="005738A2">
        <w:rPr>
          <w:rFonts w:eastAsia="Times New Roman"/>
          <w:sz w:val="24"/>
          <w:szCs w:val="24"/>
          <w:lang w:eastAsia="en-AU"/>
        </w:rPr>
        <w:t xml:space="preserve"> certain </w:t>
      </w:r>
      <w:r w:rsidR="00D57F07">
        <w:rPr>
          <w:rFonts w:eastAsia="Times New Roman"/>
          <w:sz w:val="24"/>
          <w:szCs w:val="24"/>
          <w:lang w:eastAsia="en-AU"/>
        </w:rPr>
        <w:t xml:space="preserve">matters (numbers and amounts) </w:t>
      </w:r>
      <w:r w:rsidR="005738A2" w:rsidRPr="005738A2">
        <w:rPr>
          <w:rFonts w:eastAsia="Times New Roman"/>
          <w:sz w:val="24"/>
          <w:szCs w:val="24"/>
          <w:lang w:eastAsia="en-AU"/>
        </w:rPr>
        <w:t>that are used in the formulae specified in the Cost Recovery Regulations</w:t>
      </w:r>
      <w:r w:rsidR="00D57F07">
        <w:rPr>
          <w:rFonts w:eastAsia="Times New Roman"/>
          <w:sz w:val="24"/>
          <w:szCs w:val="24"/>
          <w:lang w:eastAsia="en-AU"/>
        </w:rPr>
        <w:t>.</w:t>
      </w:r>
    </w:p>
    <w:p w14:paraId="72B58905" w14:textId="77777777" w:rsidR="00637593" w:rsidRPr="00C357F8" w:rsidRDefault="00637593" w:rsidP="00637593">
      <w:pPr>
        <w:spacing w:line="240" w:lineRule="auto"/>
        <w:ind w:left="1134" w:hanging="567"/>
        <w:rPr>
          <w:rFonts w:eastAsia="Times New Roman"/>
          <w:sz w:val="24"/>
          <w:szCs w:val="24"/>
          <w:lang w:eastAsia="en-AU"/>
        </w:rPr>
      </w:pPr>
    </w:p>
    <w:p w14:paraId="39567EF3" w14:textId="77777777" w:rsidR="00637593" w:rsidRPr="00C357F8" w:rsidRDefault="00637593" w:rsidP="00637593">
      <w:pPr>
        <w:spacing w:line="240" w:lineRule="auto"/>
        <w:ind w:left="567"/>
        <w:rPr>
          <w:rFonts w:eastAsia="Times New Roman"/>
          <w:sz w:val="24"/>
          <w:szCs w:val="24"/>
          <w:u w:val="single"/>
          <w:lang w:eastAsia="en-AU"/>
        </w:rPr>
      </w:pPr>
      <w:r w:rsidRPr="00C357F8">
        <w:rPr>
          <w:rFonts w:eastAsia="Times New Roman"/>
          <w:sz w:val="24"/>
          <w:szCs w:val="24"/>
          <w:u w:val="single"/>
          <w:lang w:eastAsia="en-AU"/>
        </w:rPr>
        <w:t>Sub-sector population</w:t>
      </w:r>
    </w:p>
    <w:p w14:paraId="46510D1D" w14:textId="77777777" w:rsidR="00637593" w:rsidRPr="00C357F8" w:rsidRDefault="00637593" w:rsidP="00637593">
      <w:pPr>
        <w:spacing w:line="240" w:lineRule="auto"/>
        <w:ind w:left="567" w:hanging="567"/>
        <w:rPr>
          <w:rFonts w:eastAsia="Times New Roman"/>
          <w:sz w:val="24"/>
          <w:szCs w:val="24"/>
          <w:lang w:eastAsia="en-AU"/>
        </w:rPr>
      </w:pPr>
    </w:p>
    <w:p w14:paraId="2E70ED66" w14:textId="77777777" w:rsidR="00637593" w:rsidRPr="00C357F8" w:rsidRDefault="00637593" w:rsidP="00637593">
      <w:pPr>
        <w:spacing w:line="240" w:lineRule="auto"/>
        <w:ind w:left="567" w:hanging="567"/>
        <w:rPr>
          <w:rFonts w:eastAsia="Times New Roman"/>
          <w:sz w:val="24"/>
          <w:szCs w:val="24"/>
          <w:lang w:eastAsia="en-AU"/>
        </w:rPr>
      </w:pPr>
      <w:r w:rsidRPr="00C357F8">
        <w:rPr>
          <w:rFonts w:eastAsia="Times New Roman"/>
          <w:sz w:val="24"/>
          <w:szCs w:val="24"/>
          <w:lang w:eastAsia="en-AU"/>
        </w:rPr>
        <w:t>1</w:t>
      </w:r>
      <w:r w:rsidR="00EF280C">
        <w:rPr>
          <w:rFonts w:eastAsia="Times New Roman"/>
          <w:sz w:val="24"/>
          <w:szCs w:val="24"/>
          <w:lang w:eastAsia="en-AU"/>
        </w:rPr>
        <w:t>7</w:t>
      </w:r>
      <w:r w:rsidRPr="00C357F8">
        <w:rPr>
          <w:rFonts w:eastAsia="Times New Roman"/>
          <w:sz w:val="24"/>
          <w:szCs w:val="24"/>
          <w:lang w:eastAsia="en-AU"/>
        </w:rPr>
        <w:t>.</w:t>
      </w:r>
      <w:r w:rsidRPr="00C357F8">
        <w:rPr>
          <w:rFonts w:eastAsia="Times New Roman"/>
          <w:sz w:val="24"/>
          <w:szCs w:val="24"/>
          <w:lang w:eastAsia="en-AU"/>
        </w:rPr>
        <w:tab/>
        <w:t xml:space="preserve">Section 6 of the instrument specifies the </w:t>
      </w:r>
      <w:r w:rsidRPr="00C357F8">
        <w:rPr>
          <w:rFonts w:eastAsia="Times New Roman"/>
          <w:b/>
          <w:i/>
          <w:sz w:val="24"/>
          <w:szCs w:val="24"/>
          <w:lang w:eastAsia="en-AU"/>
        </w:rPr>
        <w:t>sub-sector population</w:t>
      </w:r>
      <w:r w:rsidRPr="00C357F8">
        <w:rPr>
          <w:rFonts w:eastAsia="Times New Roman"/>
          <w:sz w:val="24"/>
          <w:szCs w:val="24"/>
          <w:lang w:eastAsia="en-AU"/>
        </w:rPr>
        <w:t xml:space="preserve"> for the financial year. The sub-sector population, in relation to a sub-sector, for a financial year, means the number of entities that form part of the sub-sector at any time in the financial year. </w:t>
      </w:r>
    </w:p>
    <w:p w14:paraId="3D50300E" w14:textId="77777777" w:rsidR="00637593" w:rsidRPr="00C357F8" w:rsidRDefault="00637593" w:rsidP="00637593">
      <w:pPr>
        <w:spacing w:line="240" w:lineRule="auto"/>
        <w:ind w:left="567" w:hanging="567"/>
        <w:rPr>
          <w:rFonts w:eastAsia="Times New Roman"/>
          <w:sz w:val="24"/>
          <w:szCs w:val="24"/>
          <w:lang w:eastAsia="en-AU"/>
        </w:rPr>
      </w:pPr>
    </w:p>
    <w:p w14:paraId="4850664C" w14:textId="77777777" w:rsidR="00637593" w:rsidRPr="00C357F8" w:rsidRDefault="00637593" w:rsidP="00637593">
      <w:pPr>
        <w:spacing w:line="240" w:lineRule="auto"/>
        <w:ind w:left="567" w:hanging="567"/>
        <w:rPr>
          <w:rFonts w:eastAsia="Times New Roman"/>
          <w:sz w:val="24"/>
          <w:szCs w:val="24"/>
          <w:lang w:eastAsia="en-AU"/>
        </w:rPr>
      </w:pPr>
      <w:r w:rsidRPr="00C357F8">
        <w:rPr>
          <w:rFonts w:eastAsia="Times New Roman"/>
          <w:sz w:val="24"/>
          <w:szCs w:val="24"/>
          <w:lang w:eastAsia="en-AU"/>
        </w:rPr>
        <w:t>1</w:t>
      </w:r>
      <w:r w:rsidR="00EF280C">
        <w:rPr>
          <w:rFonts w:eastAsia="Times New Roman"/>
          <w:sz w:val="24"/>
          <w:szCs w:val="24"/>
          <w:lang w:eastAsia="en-AU"/>
        </w:rPr>
        <w:t>8</w:t>
      </w:r>
      <w:r w:rsidRPr="00C357F8">
        <w:rPr>
          <w:rFonts w:eastAsia="Times New Roman"/>
          <w:sz w:val="24"/>
          <w:szCs w:val="24"/>
          <w:lang w:eastAsia="en-AU"/>
        </w:rPr>
        <w:t>.</w:t>
      </w:r>
      <w:r w:rsidRPr="00C357F8">
        <w:rPr>
          <w:rFonts w:eastAsia="Times New Roman"/>
          <w:sz w:val="24"/>
          <w:szCs w:val="24"/>
          <w:lang w:eastAsia="en-AU"/>
        </w:rPr>
        <w:tab/>
        <w:t xml:space="preserve">ASIC worked out the number of entities that form part of the sub-sector at any time in the financial year </w:t>
      </w:r>
      <w:bookmarkStart w:id="2" w:name="_Hlk524506078"/>
      <w:r w:rsidRPr="00C357F8">
        <w:rPr>
          <w:rFonts w:eastAsia="Times New Roman"/>
          <w:sz w:val="24"/>
          <w:szCs w:val="24"/>
          <w:lang w:eastAsia="en-AU"/>
        </w:rPr>
        <w:t xml:space="preserve">based on the information contained in </w:t>
      </w:r>
      <w:r w:rsidR="00C77531">
        <w:rPr>
          <w:rFonts w:eastAsia="Times New Roman"/>
          <w:sz w:val="24"/>
          <w:szCs w:val="24"/>
          <w:lang w:eastAsia="en-AU"/>
        </w:rPr>
        <w:t xml:space="preserve">ASIC’s registers and </w:t>
      </w:r>
      <w:r w:rsidR="00AA2C13">
        <w:rPr>
          <w:rFonts w:eastAsia="Times New Roman"/>
          <w:sz w:val="24"/>
          <w:szCs w:val="24"/>
          <w:lang w:eastAsia="en-AU"/>
        </w:rPr>
        <w:t xml:space="preserve">in </w:t>
      </w:r>
      <w:r w:rsidRPr="00C357F8">
        <w:rPr>
          <w:rFonts w:eastAsia="Times New Roman"/>
          <w:sz w:val="24"/>
          <w:szCs w:val="24"/>
          <w:lang w:eastAsia="en-AU"/>
        </w:rPr>
        <w:t>the returns lodged with ASIC under section 11 of the Collection Act.</w:t>
      </w:r>
      <w:bookmarkEnd w:id="2"/>
    </w:p>
    <w:p w14:paraId="4F7149F3" w14:textId="77777777" w:rsidR="00637593" w:rsidRPr="00C357F8" w:rsidRDefault="00637593" w:rsidP="00637593">
      <w:pPr>
        <w:spacing w:line="240" w:lineRule="auto"/>
        <w:ind w:left="567" w:hanging="567"/>
        <w:rPr>
          <w:rFonts w:eastAsia="Times New Roman"/>
          <w:sz w:val="24"/>
          <w:szCs w:val="24"/>
          <w:lang w:eastAsia="en-AU"/>
        </w:rPr>
      </w:pPr>
    </w:p>
    <w:p w14:paraId="482ECF09" w14:textId="77777777" w:rsidR="00637593" w:rsidRPr="00C357F8" w:rsidRDefault="00637593" w:rsidP="00637593">
      <w:pPr>
        <w:spacing w:line="240" w:lineRule="auto"/>
        <w:ind w:left="567"/>
        <w:rPr>
          <w:rFonts w:eastAsia="Times New Roman"/>
          <w:sz w:val="24"/>
          <w:szCs w:val="24"/>
          <w:u w:val="single"/>
          <w:lang w:eastAsia="en-AU"/>
        </w:rPr>
      </w:pPr>
      <w:bookmarkStart w:id="3" w:name="_Hlk524506220"/>
      <w:r w:rsidRPr="00C357F8">
        <w:rPr>
          <w:rFonts w:eastAsia="Times New Roman"/>
          <w:sz w:val="24"/>
          <w:szCs w:val="24"/>
          <w:u w:val="single"/>
          <w:lang w:eastAsia="en-AU"/>
        </w:rPr>
        <w:t>Sub-sector metrics</w:t>
      </w:r>
      <w:r w:rsidR="008C1080">
        <w:rPr>
          <w:rFonts w:eastAsia="Times New Roman"/>
          <w:sz w:val="24"/>
          <w:szCs w:val="24"/>
          <w:u w:val="single"/>
          <w:lang w:eastAsia="en-AU"/>
        </w:rPr>
        <w:t>—</w:t>
      </w:r>
      <w:r w:rsidRPr="00C357F8">
        <w:rPr>
          <w:rFonts w:eastAsia="Times New Roman"/>
          <w:sz w:val="24"/>
          <w:szCs w:val="24"/>
          <w:u w:val="single"/>
          <w:lang w:eastAsia="en-AU"/>
        </w:rPr>
        <w:t>basic levy component and the graduated levy component</w:t>
      </w:r>
    </w:p>
    <w:p w14:paraId="46C96B5A" w14:textId="77777777" w:rsidR="00637593" w:rsidRPr="00C357F8" w:rsidRDefault="00637593" w:rsidP="00637593">
      <w:pPr>
        <w:spacing w:line="240" w:lineRule="auto"/>
        <w:ind w:left="567" w:hanging="567"/>
        <w:rPr>
          <w:rFonts w:eastAsia="Times New Roman"/>
          <w:sz w:val="24"/>
          <w:szCs w:val="24"/>
          <w:lang w:eastAsia="en-AU"/>
        </w:rPr>
      </w:pPr>
    </w:p>
    <w:p w14:paraId="382848CB" w14:textId="77777777" w:rsidR="00637593" w:rsidRPr="00C357F8" w:rsidRDefault="00EF280C" w:rsidP="00637593">
      <w:pPr>
        <w:spacing w:line="240" w:lineRule="auto"/>
        <w:ind w:left="567" w:hanging="567"/>
        <w:rPr>
          <w:rFonts w:eastAsia="Times New Roman"/>
          <w:sz w:val="24"/>
          <w:szCs w:val="24"/>
          <w:lang w:eastAsia="en-AU"/>
        </w:rPr>
      </w:pPr>
      <w:r>
        <w:rPr>
          <w:rFonts w:eastAsia="Times New Roman"/>
          <w:sz w:val="24"/>
          <w:szCs w:val="24"/>
          <w:lang w:eastAsia="en-AU"/>
        </w:rPr>
        <w:t>19</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Section 7 of the instrument specifies the </w:t>
      </w:r>
      <w:r w:rsidR="00637593" w:rsidRPr="00C357F8">
        <w:rPr>
          <w:rFonts w:eastAsia="Times New Roman"/>
          <w:b/>
          <w:i/>
          <w:sz w:val="24"/>
          <w:szCs w:val="24"/>
          <w:lang w:eastAsia="en-AU"/>
        </w:rPr>
        <w:t xml:space="preserve">sub-sector metric </w:t>
      </w:r>
      <w:r w:rsidR="00637593" w:rsidRPr="00C357F8">
        <w:rPr>
          <w:rFonts w:eastAsia="Times New Roman"/>
          <w:sz w:val="24"/>
          <w:szCs w:val="24"/>
          <w:lang w:eastAsia="en-AU"/>
        </w:rPr>
        <w:t>in</w:t>
      </w:r>
      <w:r w:rsidR="00637593" w:rsidRPr="00C357F8">
        <w:rPr>
          <w:rFonts w:eastAsia="Times New Roman"/>
          <w:b/>
          <w:i/>
          <w:sz w:val="24"/>
          <w:szCs w:val="24"/>
          <w:lang w:eastAsia="en-AU"/>
        </w:rPr>
        <w:t xml:space="preserve"> </w:t>
      </w:r>
      <w:r w:rsidR="00637593" w:rsidRPr="00C357F8">
        <w:rPr>
          <w:rFonts w:eastAsia="Times New Roman"/>
          <w:sz w:val="24"/>
          <w:szCs w:val="24"/>
          <w:lang w:eastAsia="en-AU"/>
        </w:rPr>
        <w:t xml:space="preserve">relation to the </w:t>
      </w:r>
      <w:r w:rsidR="00637593" w:rsidRPr="00C357F8">
        <w:rPr>
          <w:rFonts w:eastAsia="Times New Roman"/>
          <w:b/>
          <w:i/>
          <w:sz w:val="24"/>
          <w:szCs w:val="24"/>
          <w:lang w:eastAsia="en-AU"/>
        </w:rPr>
        <w:t>basic levy component</w:t>
      </w:r>
      <w:r w:rsidR="00637593" w:rsidRPr="00C357F8">
        <w:rPr>
          <w:rFonts w:eastAsia="Times New Roman"/>
          <w:sz w:val="24"/>
          <w:szCs w:val="24"/>
          <w:lang w:eastAsia="en-AU"/>
        </w:rPr>
        <w:t xml:space="preserve"> and the </w:t>
      </w:r>
      <w:r w:rsidR="00637593" w:rsidRPr="00C357F8">
        <w:rPr>
          <w:rFonts w:eastAsia="Times New Roman"/>
          <w:b/>
          <w:i/>
          <w:sz w:val="24"/>
          <w:szCs w:val="24"/>
          <w:lang w:eastAsia="en-AU"/>
        </w:rPr>
        <w:t>graduated levy component</w:t>
      </w:r>
      <w:r w:rsidR="00637593" w:rsidRPr="00C357F8">
        <w:rPr>
          <w:rFonts w:eastAsia="Times New Roman"/>
          <w:sz w:val="24"/>
          <w:szCs w:val="24"/>
          <w:lang w:eastAsia="en-AU"/>
        </w:rPr>
        <w:t xml:space="preserve"> for the financial year. </w:t>
      </w:r>
    </w:p>
    <w:p w14:paraId="7C7D5934" w14:textId="77777777" w:rsidR="00637593" w:rsidRPr="00C357F8" w:rsidRDefault="00637593" w:rsidP="00637593">
      <w:pPr>
        <w:spacing w:line="240" w:lineRule="auto"/>
        <w:ind w:left="567" w:hanging="567"/>
        <w:rPr>
          <w:rFonts w:eastAsia="Times New Roman"/>
          <w:sz w:val="24"/>
          <w:szCs w:val="24"/>
          <w:lang w:eastAsia="en-AU"/>
        </w:rPr>
      </w:pPr>
    </w:p>
    <w:p w14:paraId="6FD40857" w14:textId="758547F5" w:rsidR="00637593" w:rsidRPr="00C357F8" w:rsidRDefault="003650C4" w:rsidP="00637593">
      <w:pPr>
        <w:spacing w:line="240" w:lineRule="auto"/>
        <w:ind w:left="567" w:hanging="567"/>
        <w:rPr>
          <w:rFonts w:eastAsia="Times New Roman"/>
          <w:sz w:val="24"/>
          <w:szCs w:val="24"/>
          <w:lang w:eastAsia="en-AU"/>
        </w:rPr>
      </w:pPr>
      <w:bookmarkStart w:id="4" w:name="_Hlk530153138"/>
      <w:r>
        <w:rPr>
          <w:rFonts w:eastAsia="Times New Roman"/>
          <w:sz w:val="24"/>
          <w:szCs w:val="24"/>
          <w:lang w:eastAsia="en-AU"/>
        </w:rPr>
        <w:t>2</w:t>
      </w:r>
      <w:r w:rsidR="00EF280C">
        <w:rPr>
          <w:rFonts w:eastAsia="Times New Roman"/>
          <w:sz w:val="24"/>
          <w:szCs w:val="24"/>
          <w:lang w:eastAsia="en-AU"/>
        </w:rPr>
        <w:t>0</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The </w:t>
      </w:r>
      <w:r w:rsidR="00637593" w:rsidRPr="00C357F8">
        <w:rPr>
          <w:rFonts w:eastAsia="Times New Roman"/>
          <w:b/>
          <w:i/>
          <w:sz w:val="24"/>
          <w:szCs w:val="24"/>
          <w:lang w:eastAsia="en-AU"/>
        </w:rPr>
        <w:t>sub-sector metric</w:t>
      </w:r>
      <w:r w:rsidR="00637593" w:rsidRPr="00C357F8">
        <w:rPr>
          <w:rFonts w:eastAsia="Times New Roman"/>
          <w:sz w:val="24"/>
          <w:szCs w:val="24"/>
          <w:lang w:eastAsia="en-AU"/>
        </w:rPr>
        <w:t xml:space="preserve"> in relation to the </w:t>
      </w:r>
      <w:r w:rsidR="00637593" w:rsidRPr="00C357F8">
        <w:rPr>
          <w:rFonts w:eastAsia="Times New Roman"/>
          <w:b/>
          <w:i/>
          <w:sz w:val="24"/>
          <w:szCs w:val="24"/>
          <w:lang w:eastAsia="en-AU"/>
        </w:rPr>
        <w:t>basic levy component</w:t>
      </w:r>
      <w:r w:rsidR="00637593" w:rsidRPr="00C357F8">
        <w:rPr>
          <w:rFonts w:eastAsia="Times New Roman"/>
          <w:sz w:val="24"/>
          <w:szCs w:val="24"/>
          <w:lang w:eastAsia="en-AU"/>
        </w:rPr>
        <w:t xml:space="preserve"> is the sum of the amounts of the </w:t>
      </w:r>
      <w:r w:rsidR="00637593" w:rsidRPr="00C357F8">
        <w:rPr>
          <w:rFonts w:eastAsia="Times New Roman"/>
          <w:b/>
          <w:i/>
          <w:sz w:val="24"/>
          <w:szCs w:val="24"/>
          <w:lang w:eastAsia="en-AU"/>
        </w:rPr>
        <w:t>basic rate entity metric</w:t>
      </w:r>
      <w:r w:rsidR="00637593" w:rsidRPr="00C357F8">
        <w:rPr>
          <w:rFonts w:eastAsia="Times New Roman"/>
          <w:sz w:val="24"/>
          <w:szCs w:val="24"/>
          <w:lang w:eastAsia="en-AU"/>
        </w:rPr>
        <w:t xml:space="preserve"> for each leviable entity that forms part of the sub-sector for the financial year. The </w:t>
      </w:r>
      <w:r w:rsidR="00637593" w:rsidRPr="00C357F8">
        <w:rPr>
          <w:rFonts w:eastAsia="Times New Roman"/>
          <w:b/>
          <w:i/>
          <w:sz w:val="24"/>
          <w:szCs w:val="24"/>
          <w:lang w:eastAsia="en-AU"/>
        </w:rPr>
        <w:t>basic rate entity metric</w:t>
      </w:r>
      <w:r w:rsidR="00637593" w:rsidRPr="00C357F8">
        <w:rPr>
          <w:rFonts w:eastAsia="Times New Roman"/>
          <w:sz w:val="24"/>
          <w:szCs w:val="24"/>
          <w:lang w:eastAsia="en-AU"/>
        </w:rPr>
        <w:t xml:space="preserve"> for each leviable entity for each sub-sector is the entity’s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that sub-sector for the financial year.  However, not all sub-sectors have an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w:t>
      </w:r>
      <w:r w:rsidR="00637593" w:rsidRPr="00C357F8">
        <w:rPr>
          <w:rFonts w:eastAsia="Times New Roman"/>
          <w:b/>
          <w:i/>
          <w:sz w:val="24"/>
          <w:szCs w:val="24"/>
          <w:lang w:eastAsia="en-AU"/>
        </w:rPr>
        <w:t xml:space="preserve">  </w:t>
      </w:r>
      <w:r w:rsidR="00637593" w:rsidRPr="00C357F8">
        <w:rPr>
          <w:rFonts w:eastAsia="Times New Roman"/>
          <w:sz w:val="24"/>
          <w:szCs w:val="24"/>
          <w:lang w:eastAsia="en-AU"/>
        </w:rPr>
        <w:t xml:space="preserve">In those cases, the </w:t>
      </w:r>
      <w:r w:rsidR="00637593" w:rsidRPr="00C357F8">
        <w:rPr>
          <w:rFonts w:eastAsia="Times New Roman"/>
          <w:b/>
          <w:i/>
          <w:sz w:val="24"/>
          <w:szCs w:val="24"/>
          <w:lang w:eastAsia="en-AU"/>
        </w:rPr>
        <w:t xml:space="preserve">basic rate entity metric </w:t>
      </w:r>
      <w:r w:rsidR="00637593" w:rsidRPr="00C357F8">
        <w:rPr>
          <w:rFonts w:eastAsia="Times New Roman"/>
          <w:sz w:val="24"/>
          <w:szCs w:val="24"/>
          <w:lang w:eastAsia="en-AU"/>
        </w:rPr>
        <w:t>for each leviable entity for that sub-sector will be 1</w:t>
      </w:r>
      <w:r w:rsidR="002D3EF3">
        <w:rPr>
          <w:rFonts w:eastAsia="Times New Roman"/>
          <w:sz w:val="24"/>
          <w:szCs w:val="24"/>
          <w:lang w:eastAsia="en-AU"/>
        </w:rPr>
        <w:t>: see section 9 of the Cost Recovery Regulations</w:t>
      </w:r>
      <w:r w:rsidR="00637593" w:rsidRPr="00C357F8">
        <w:rPr>
          <w:rFonts w:eastAsia="Times New Roman"/>
          <w:sz w:val="24"/>
          <w:szCs w:val="24"/>
          <w:lang w:eastAsia="en-AU"/>
        </w:rPr>
        <w:t>.</w:t>
      </w:r>
    </w:p>
    <w:bookmarkEnd w:id="4"/>
    <w:p w14:paraId="3450D38A" w14:textId="77777777" w:rsidR="00637593" w:rsidRPr="00C357F8" w:rsidRDefault="00637593" w:rsidP="00637593">
      <w:pPr>
        <w:spacing w:line="240" w:lineRule="auto"/>
        <w:ind w:left="567" w:hanging="567"/>
        <w:rPr>
          <w:rFonts w:eastAsia="Times New Roman"/>
          <w:sz w:val="24"/>
          <w:szCs w:val="24"/>
          <w:lang w:eastAsia="en-AU"/>
        </w:rPr>
      </w:pPr>
    </w:p>
    <w:p w14:paraId="29B03622" w14:textId="77777777" w:rsidR="00570BA0" w:rsidRDefault="008C1080" w:rsidP="00637593">
      <w:pPr>
        <w:spacing w:line="240" w:lineRule="auto"/>
        <w:ind w:left="567" w:hanging="567"/>
        <w:rPr>
          <w:rFonts w:eastAsia="Times New Roman"/>
          <w:sz w:val="24"/>
          <w:szCs w:val="24"/>
          <w:lang w:eastAsia="en-AU"/>
        </w:rPr>
      </w:pPr>
      <w:r>
        <w:rPr>
          <w:rFonts w:eastAsia="Times New Roman"/>
          <w:sz w:val="24"/>
          <w:szCs w:val="24"/>
          <w:lang w:eastAsia="en-AU"/>
        </w:rPr>
        <w:t>2</w:t>
      </w:r>
      <w:r w:rsidR="00EF280C">
        <w:rPr>
          <w:rFonts w:eastAsia="Times New Roman"/>
          <w:sz w:val="24"/>
          <w:szCs w:val="24"/>
          <w:lang w:eastAsia="en-AU"/>
        </w:rPr>
        <w:t>1</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The </w:t>
      </w:r>
      <w:r w:rsidR="00637593" w:rsidRPr="00C357F8">
        <w:rPr>
          <w:rFonts w:eastAsia="Times New Roman"/>
          <w:b/>
          <w:i/>
          <w:sz w:val="24"/>
          <w:szCs w:val="24"/>
          <w:lang w:eastAsia="en-AU"/>
        </w:rPr>
        <w:t>sub-sector metric</w:t>
      </w:r>
      <w:r w:rsidR="00637593" w:rsidRPr="00C357F8">
        <w:rPr>
          <w:rFonts w:eastAsia="Times New Roman"/>
          <w:sz w:val="24"/>
          <w:szCs w:val="24"/>
          <w:lang w:eastAsia="en-AU"/>
        </w:rPr>
        <w:t xml:space="preserve"> in relation to the </w:t>
      </w:r>
      <w:r w:rsidR="00637593" w:rsidRPr="00C357F8">
        <w:rPr>
          <w:rFonts w:eastAsia="Times New Roman"/>
          <w:b/>
          <w:i/>
          <w:sz w:val="24"/>
          <w:szCs w:val="24"/>
          <w:lang w:eastAsia="en-AU"/>
        </w:rPr>
        <w:t>graduated levy component</w:t>
      </w:r>
      <w:r w:rsidR="00637593" w:rsidRPr="00C357F8">
        <w:rPr>
          <w:rFonts w:eastAsia="Times New Roman"/>
          <w:sz w:val="24"/>
          <w:szCs w:val="24"/>
          <w:lang w:eastAsia="en-AU"/>
        </w:rPr>
        <w:t xml:space="preserve"> means a number that is the sum of the amounts of the </w:t>
      </w:r>
      <w:r w:rsidR="00637593" w:rsidRPr="00C357F8">
        <w:rPr>
          <w:rFonts w:eastAsia="Times New Roman"/>
          <w:b/>
          <w:i/>
          <w:sz w:val="24"/>
          <w:szCs w:val="24"/>
          <w:lang w:eastAsia="en-AU"/>
        </w:rPr>
        <w:t>graduated</w:t>
      </w:r>
      <w:r w:rsidR="00637593" w:rsidRPr="00C357F8">
        <w:rPr>
          <w:rFonts w:eastAsia="Times New Roman"/>
          <w:sz w:val="24"/>
          <w:szCs w:val="24"/>
          <w:lang w:eastAsia="en-AU"/>
        </w:rPr>
        <w:t xml:space="preserve">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all leviable entities that form part of the sub-sector for the financial year. The </w:t>
      </w:r>
      <w:r w:rsidR="00637593" w:rsidRPr="00C357F8">
        <w:rPr>
          <w:rFonts w:eastAsia="Times New Roman"/>
          <w:b/>
          <w:i/>
          <w:sz w:val="24"/>
          <w:szCs w:val="24"/>
          <w:lang w:eastAsia="en-AU"/>
        </w:rPr>
        <w:t>graduated</w:t>
      </w:r>
      <w:r w:rsidR="00637593" w:rsidRPr="00C357F8">
        <w:rPr>
          <w:rFonts w:eastAsia="Times New Roman"/>
          <w:sz w:val="24"/>
          <w:szCs w:val="24"/>
          <w:lang w:eastAsia="en-AU"/>
        </w:rPr>
        <w:t xml:space="preserve">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means</w:t>
      </w:r>
      <w:r w:rsidR="00570BA0">
        <w:rPr>
          <w:rFonts w:eastAsia="Times New Roman"/>
          <w:sz w:val="24"/>
          <w:szCs w:val="24"/>
          <w:lang w:eastAsia="en-AU"/>
        </w:rPr>
        <w:t>:</w:t>
      </w:r>
      <w:r w:rsidR="00637593" w:rsidRPr="00C357F8">
        <w:rPr>
          <w:rFonts w:eastAsia="Times New Roman"/>
          <w:sz w:val="24"/>
          <w:szCs w:val="24"/>
          <w:lang w:eastAsia="en-AU"/>
        </w:rPr>
        <w:t xml:space="preserve"> </w:t>
      </w:r>
    </w:p>
    <w:p w14:paraId="09323174" w14:textId="11317066" w:rsidR="00DB6E2F" w:rsidRDefault="00570BA0" w:rsidP="00570BA0">
      <w:pPr>
        <w:spacing w:line="240" w:lineRule="auto"/>
        <w:ind w:left="1134" w:hanging="567"/>
        <w:rPr>
          <w:rFonts w:eastAsia="Times New Roman"/>
          <w:sz w:val="24"/>
          <w:szCs w:val="24"/>
          <w:lang w:eastAsia="en-AU"/>
        </w:rPr>
      </w:pPr>
      <w:r>
        <w:rPr>
          <w:rFonts w:eastAsia="Times New Roman"/>
          <w:sz w:val="24"/>
          <w:szCs w:val="24"/>
          <w:lang w:eastAsia="en-AU"/>
        </w:rPr>
        <w:lastRenderedPageBreak/>
        <w:t>(a)</w:t>
      </w:r>
      <w:r>
        <w:rPr>
          <w:rFonts w:eastAsia="Times New Roman"/>
          <w:sz w:val="24"/>
          <w:szCs w:val="24"/>
          <w:lang w:eastAsia="en-AU"/>
        </w:rPr>
        <w:tab/>
        <w:t>unless paragraph (b) applies—</w:t>
      </w:r>
      <w:r w:rsidR="00637593" w:rsidRPr="00C357F8">
        <w:rPr>
          <w:rFonts w:eastAsia="Times New Roman"/>
          <w:sz w:val="24"/>
          <w:szCs w:val="24"/>
          <w:lang w:eastAsia="en-AU"/>
        </w:rPr>
        <w:t xml:space="preserve">the entity’s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the sub-sector for the financial year</w:t>
      </w:r>
      <w:r>
        <w:rPr>
          <w:rFonts w:eastAsia="Times New Roman"/>
          <w:sz w:val="24"/>
          <w:szCs w:val="24"/>
          <w:lang w:eastAsia="en-AU"/>
        </w:rPr>
        <w:t>; or</w:t>
      </w:r>
      <w:r w:rsidR="00DA3471">
        <w:rPr>
          <w:rFonts w:eastAsia="Times New Roman"/>
          <w:sz w:val="24"/>
          <w:szCs w:val="24"/>
          <w:lang w:eastAsia="en-AU"/>
        </w:rPr>
        <w:br/>
      </w:r>
    </w:p>
    <w:p w14:paraId="1BD01832" w14:textId="46C0A9C0" w:rsidR="00637593" w:rsidRPr="00C357F8" w:rsidRDefault="00DB6E2F" w:rsidP="00570BA0">
      <w:pPr>
        <w:spacing w:line="240" w:lineRule="auto"/>
        <w:ind w:left="1134" w:hanging="567"/>
        <w:rPr>
          <w:rFonts w:eastAsia="Times New Roman"/>
          <w:sz w:val="24"/>
          <w:szCs w:val="24"/>
          <w:lang w:eastAsia="en-AU"/>
        </w:rPr>
      </w:pPr>
      <w:r>
        <w:rPr>
          <w:rFonts w:eastAsia="Times New Roman"/>
          <w:sz w:val="24"/>
          <w:szCs w:val="24"/>
          <w:lang w:eastAsia="en-AU"/>
        </w:rPr>
        <w:t>(b)</w:t>
      </w:r>
      <w:r w:rsidR="00701176">
        <w:rPr>
          <w:rFonts w:eastAsia="Times New Roman"/>
          <w:sz w:val="24"/>
          <w:szCs w:val="24"/>
          <w:lang w:eastAsia="en-AU"/>
        </w:rPr>
        <w:t xml:space="preserve"> </w:t>
      </w:r>
      <w:r w:rsidR="00DA3471">
        <w:rPr>
          <w:rFonts w:eastAsia="Times New Roman"/>
          <w:sz w:val="24"/>
          <w:szCs w:val="24"/>
          <w:lang w:eastAsia="en-AU"/>
        </w:rPr>
        <w:tab/>
      </w:r>
      <w:r>
        <w:rPr>
          <w:rFonts w:eastAsia="Times New Roman"/>
          <w:sz w:val="24"/>
          <w:szCs w:val="24"/>
          <w:lang w:eastAsia="en-AU"/>
        </w:rPr>
        <w:t>if</w:t>
      </w:r>
      <w:r w:rsidR="00701176">
        <w:rPr>
          <w:rFonts w:eastAsia="Times New Roman"/>
          <w:sz w:val="24"/>
          <w:szCs w:val="24"/>
          <w:lang w:eastAsia="en-AU"/>
        </w:rPr>
        <w:t xml:space="preserve"> </w:t>
      </w:r>
      <w:r w:rsidR="00B968B9">
        <w:rPr>
          <w:rFonts w:eastAsia="Times New Roman"/>
          <w:sz w:val="24"/>
          <w:szCs w:val="24"/>
          <w:lang w:eastAsia="en-AU"/>
        </w:rPr>
        <w:t>Part 3 of the Cost Recovery Regulations specifi</w:t>
      </w:r>
      <w:r w:rsidR="00757C96">
        <w:rPr>
          <w:rFonts w:eastAsia="Times New Roman"/>
          <w:sz w:val="24"/>
          <w:szCs w:val="24"/>
          <w:lang w:eastAsia="en-AU"/>
        </w:rPr>
        <w:t xml:space="preserve">es </w:t>
      </w:r>
      <w:r w:rsidR="00701176">
        <w:rPr>
          <w:rFonts w:eastAsia="Times New Roman"/>
          <w:sz w:val="24"/>
          <w:szCs w:val="24"/>
          <w:lang w:eastAsia="en-AU"/>
        </w:rPr>
        <w:t xml:space="preserve">a </w:t>
      </w:r>
      <w:r w:rsidR="00701176" w:rsidRPr="0020458F">
        <w:rPr>
          <w:rFonts w:eastAsia="Times New Roman"/>
          <w:b/>
          <w:bCs/>
          <w:i/>
          <w:iCs/>
          <w:sz w:val="24"/>
          <w:szCs w:val="24"/>
          <w:lang w:eastAsia="en-AU"/>
        </w:rPr>
        <w:t>minimum levy threshold</w:t>
      </w:r>
      <w:r w:rsidR="00D86D97">
        <w:rPr>
          <w:rFonts w:eastAsia="Times New Roman"/>
          <w:sz w:val="24"/>
          <w:szCs w:val="24"/>
          <w:lang w:eastAsia="en-AU"/>
        </w:rPr>
        <w:t xml:space="preserve"> for the </w:t>
      </w:r>
      <w:r w:rsidR="00310037">
        <w:rPr>
          <w:rFonts w:eastAsia="Times New Roman"/>
          <w:sz w:val="24"/>
          <w:szCs w:val="24"/>
          <w:lang w:eastAsia="en-AU"/>
        </w:rPr>
        <w:t>sub-sector for the financial year</w:t>
      </w:r>
      <w:r>
        <w:rPr>
          <w:rFonts w:eastAsia="Times New Roman"/>
          <w:sz w:val="24"/>
          <w:szCs w:val="24"/>
          <w:lang w:eastAsia="en-AU"/>
        </w:rPr>
        <w:t>—</w:t>
      </w:r>
      <w:r w:rsidR="00310037">
        <w:rPr>
          <w:rFonts w:eastAsia="Times New Roman"/>
          <w:sz w:val="24"/>
          <w:szCs w:val="24"/>
          <w:lang w:eastAsia="en-AU"/>
        </w:rPr>
        <w:t xml:space="preserve">the difference </w:t>
      </w:r>
      <w:r w:rsidR="00DA3471">
        <w:rPr>
          <w:rFonts w:eastAsia="Times New Roman"/>
          <w:sz w:val="24"/>
          <w:szCs w:val="24"/>
          <w:lang w:eastAsia="en-AU"/>
        </w:rPr>
        <w:t>b</w:t>
      </w:r>
      <w:r w:rsidR="00DA3471">
        <w:rPr>
          <w:color w:val="000000"/>
          <w:szCs w:val="22"/>
          <w:shd w:val="clear" w:color="auto" w:fill="FFFFFF"/>
        </w:rPr>
        <w:t xml:space="preserve">etween the entity’s </w:t>
      </w:r>
      <w:r w:rsidR="00DA3471" w:rsidRPr="0020458F">
        <w:rPr>
          <w:b/>
          <w:bCs/>
          <w:i/>
          <w:iCs/>
          <w:color w:val="000000"/>
          <w:szCs w:val="22"/>
          <w:shd w:val="clear" w:color="auto" w:fill="FFFFFF"/>
        </w:rPr>
        <w:t>entity metric</w:t>
      </w:r>
      <w:r w:rsidR="00DA3471">
        <w:rPr>
          <w:color w:val="000000"/>
          <w:szCs w:val="22"/>
          <w:shd w:val="clear" w:color="auto" w:fill="FFFFFF"/>
        </w:rPr>
        <w:t xml:space="preserve"> for the sub</w:t>
      </w:r>
      <w:r w:rsidR="00DA3471">
        <w:rPr>
          <w:color w:val="000000"/>
          <w:szCs w:val="22"/>
          <w:shd w:val="clear" w:color="auto" w:fill="FFFFFF"/>
        </w:rPr>
        <w:noBreakHyphen/>
        <w:t xml:space="preserve">sector for the financial year and the </w:t>
      </w:r>
      <w:r w:rsidR="00DA3471" w:rsidRPr="0020458F">
        <w:rPr>
          <w:b/>
          <w:bCs/>
          <w:i/>
          <w:iCs/>
          <w:color w:val="000000"/>
          <w:szCs w:val="22"/>
          <w:shd w:val="clear" w:color="auto" w:fill="FFFFFF"/>
        </w:rPr>
        <w:t>minimum levy threshold</w:t>
      </w:r>
      <w:r w:rsidR="00D8769F">
        <w:rPr>
          <w:rFonts w:eastAsia="Times New Roman"/>
          <w:sz w:val="24"/>
          <w:szCs w:val="24"/>
          <w:lang w:eastAsia="en-AU"/>
        </w:rPr>
        <w:t xml:space="preserve">: see section </w:t>
      </w:r>
      <w:r w:rsidR="00DA3471">
        <w:rPr>
          <w:rFonts w:eastAsia="Times New Roman"/>
          <w:sz w:val="24"/>
          <w:szCs w:val="24"/>
          <w:lang w:eastAsia="en-AU"/>
        </w:rPr>
        <w:t>10</w:t>
      </w:r>
      <w:r w:rsidR="00D8769F">
        <w:rPr>
          <w:rFonts w:eastAsia="Times New Roman"/>
          <w:sz w:val="24"/>
          <w:szCs w:val="24"/>
          <w:lang w:eastAsia="en-AU"/>
        </w:rPr>
        <w:t xml:space="preserve"> of the Cost Recovery Regulations</w:t>
      </w:r>
      <w:r w:rsidR="00637593" w:rsidRPr="00C357F8">
        <w:rPr>
          <w:rFonts w:eastAsia="Times New Roman"/>
          <w:sz w:val="24"/>
          <w:szCs w:val="24"/>
          <w:lang w:eastAsia="en-AU"/>
        </w:rPr>
        <w:t>.</w:t>
      </w:r>
    </w:p>
    <w:p w14:paraId="193CFF72" w14:textId="77777777" w:rsidR="00637593" w:rsidRPr="00C357F8" w:rsidRDefault="00637593" w:rsidP="00637593">
      <w:pPr>
        <w:spacing w:line="240" w:lineRule="auto"/>
        <w:ind w:left="567" w:hanging="567"/>
        <w:rPr>
          <w:rFonts w:eastAsia="Times New Roman"/>
          <w:sz w:val="24"/>
          <w:szCs w:val="24"/>
          <w:lang w:eastAsia="en-AU"/>
        </w:rPr>
      </w:pPr>
    </w:p>
    <w:p w14:paraId="5420849D" w14:textId="77777777" w:rsidR="00637593" w:rsidRPr="00C357F8" w:rsidRDefault="008C1080" w:rsidP="00637593">
      <w:pPr>
        <w:spacing w:line="240" w:lineRule="auto"/>
        <w:ind w:left="567" w:hanging="567"/>
        <w:rPr>
          <w:rFonts w:eastAsia="Times New Roman"/>
          <w:sz w:val="24"/>
          <w:szCs w:val="24"/>
          <w:lang w:eastAsia="en-AU"/>
        </w:rPr>
      </w:pPr>
      <w:r>
        <w:rPr>
          <w:rFonts w:eastAsia="Times New Roman"/>
          <w:sz w:val="24"/>
          <w:szCs w:val="24"/>
          <w:lang w:eastAsia="en-AU"/>
        </w:rPr>
        <w:t>2</w:t>
      </w:r>
      <w:r w:rsidR="00EF280C">
        <w:rPr>
          <w:rFonts w:eastAsia="Times New Roman"/>
          <w:sz w:val="24"/>
          <w:szCs w:val="24"/>
          <w:lang w:eastAsia="en-AU"/>
        </w:rPr>
        <w:t>2</w:t>
      </w:r>
      <w:r w:rsidR="00637593" w:rsidRPr="00C357F8">
        <w:rPr>
          <w:rFonts w:eastAsia="Times New Roman"/>
          <w:sz w:val="24"/>
          <w:szCs w:val="24"/>
          <w:lang w:eastAsia="en-AU"/>
        </w:rPr>
        <w:t xml:space="preserve">. </w:t>
      </w:r>
      <w:r w:rsidR="00637593" w:rsidRPr="00C357F8">
        <w:rPr>
          <w:rFonts w:eastAsia="Times New Roman"/>
          <w:sz w:val="24"/>
          <w:szCs w:val="24"/>
          <w:lang w:eastAsia="en-AU"/>
        </w:rPr>
        <w:tab/>
        <w:t xml:space="preserve">The following table gives a brief description of the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to which the numbers specified in the table in section 7 of the instrument relate. If Part 3 of the Cost Recovery Regulations does not make provision for an amount to be the</w:t>
      </w:r>
      <w:r w:rsidR="00C357F8">
        <w:rPr>
          <w:rFonts w:eastAsia="Times New Roman"/>
          <w:sz w:val="24"/>
          <w:szCs w:val="24"/>
          <w:lang w:eastAsia="en-AU"/>
        </w:rPr>
        <w:t>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a sub</w:t>
      </w:r>
      <w:r w:rsidR="00637593" w:rsidRPr="00C357F8">
        <w:rPr>
          <w:rFonts w:eastAsia="Times New Roman"/>
          <w:sz w:val="24"/>
          <w:szCs w:val="24"/>
          <w:lang w:eastAsia="en-AU"/>
        </w:rPr>
        <w:noBreakHyphen/>
        <w:t xml:space="preserve">sector, then the following table describes the </w:t>
      </w:r>
      <w:r w:rsidR="00637593" w:rsidRPr="00C357F8">
        <w:rPr>
          <w:rFonts w:eastAsia="Times New Roman"/>
          <w:b/>
          <w:i/>
          <w:sz w:val="24"/>
          <w:szCs w:val="24"/>
          <w:lang w:eastAsia="en-AU"/>
        </w:rPr>
        <w:t>entity</w:t>
      </w:r>
      <w:r w:rsidR="00C357F8">
        <w:rPr>
          <w:rFonts w:eastAsia="Times New Roman"/>
          <w:b/>
          <w:i/>
          <w:sz w:val="24"/>
          <w:szCs w:val="24"/>
          <w:lang w:eastAsia="en-AU"/>
        </w:rPr>
        <w:t> </w:t>
      </w:r>
      <w:r w:rsidR="00637593" w:rsidRPr="00C357F8">
        <w:rPr>
          <w:rFonts w:eastAsia="Times New Roman"/>
          <w:b/>
          <w:i/>
          <w:sz w:val="24"/>
          <w:szCs w:val="24"/>
          <w:lang w:eastAsia="en-AU"/>
        </w:rPr>
        <w:t xml:space="preserve">metric </w:t>
      </w:r>
      <w:r w:rsidR="00637593" w:rsidRPr="00C357F8">
        <w:rPr>
          <w:rFonts w:eastAsia="Times New Roman"/>
          <w:sz w:val="24"/>
          <w:szCs w:val="24"/>
          <w:lang w:eastAsia="en-AU"/>
        </w:rPr>
        <w:t xml:space="preserve">as “not applicable”.  </w:t>
      </w:r>
    </w:p>
    <w:p w14:paraId="7E8C70D2" w14:textId="77777777" w:rsidR="00637593" w:rsidRPr="00931078" w:rsidRDefault="00637593" w:rsidP="00637593">
      <w:pPr>
        <w:spacing w:line="240" w:lineRule="auto"/>
        <w:ind w:left="567" w:hanging="567"/>
        <w:rPr>
          <w:rFonts w:eastAsia="Times New Roman"/>
          <w:sz w:val="24"/>
          <w:szCs w:val="24"/>
          <w:lang w:eastAsia="en-A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68"/>
        <w:gridCol w:w="2026"/>
        <w:gridCol w:w="2254"/>
      </w:tblGrid>
      <w:tr w:rsidR="00637593" w:rsidRPr="00931078" w14:paraId="09AECFF9" w14:textId="77777777" w:rsidTr="00C11069">
        <w:trPr>
          <w:tblHeader/>
        </w:trPr>
        <w:tc>
          <w:tcPr>
            <w:tcW w:w="993" w:type="dxa"/>
            <w:shd w:val="clear" w:color="auto" w:fill="auto"/>
          </w:tcPr>
          <w:p w14:paraId="6CD116CE" w14:textId="77777777" w:rsidR="00637593" w:rsidRPr="00931078" w:rsidRDefault="00637593" w:rsidP="002C0010">
            <w:pPr>
              <w:spacing w:line="240" w:lineRule="auto"/>
              <w:rPr>
                <w:rFonts w:eastAsia="Times New Roman"/>
                <w:b/>
                <w:sz w:val="18"/>
                <w:szCs w:val="18"/>
                <w:lang w:eastAsia="en-AU"/>
              </w:rPr>
            </w:pPr>
            <w:r w:rsidRPr="00931078">
              <w:rPr>
                <w:rFonts w:eastAsia="Times New Roman"/>
                <w:b/>
                <w:sz w:val="18"/>
                <w:szCs w:val="18"/>
                <w:lang w:eastAsia="en-AU"/>
              </w:rPr>
              <w:t>Column 1</w:t>
            </w:r>
          </w:p>
        </w:tc>
        <w:tc>
          <w:tcPr>
            <w:tcW w:w="2268" w:type="dxa"/>
            <w:shd w:val="clear" w:color="auto" w:fill="auto"/>
          </w:tcPr>
          <w:p w14:paraId="2C64DA0B" w14:textId="77777777" w:rsidR="00637593" w:rsidRPr="00931078" w:rsidRDefault="00637593" w:rsidP="002C0010">
            <w:pPr>
              <w:spacing w:line="240" w:lineRule="auto"/>
              <w:rPr>
                <w:rFonts w:eastAsia="Times New Roman"/>
                <w:b/>
                <w:sz w:val="18"/>
                <w:szCs w:val="18"/>
                <w:lang w:eastAsia="en-AU"/>
              </w:rPr>
            </w:pPr>
            <w:r w:rsidRPr="00931078">
              <w:rPr>
                <w:rFonts w:eastAsia="Times New Roman"/>
                <w:b/>
                <w:sz w:val="18"/>
                <w:szCs w:val="18"/>
                <w:lang w:eastAsia="en-AU"/>
              </w:rPr>
              <w:t>Column 2</w:t>
            </w:r>
          </w:p>
        </w:tc>
        <w:tc>
          <w:tcPr>
            <w:tcW w:w="4280" w:type="dxa"/>
            <w:gridSpan w:val="2"/>
            <w:shd w:val="clear" w:color="auto" w:fill="auto"/>
          </w:tcPr>
          <w:p w14:paraId="340D9F8E" w14:textId="77777777" w:rsidR="00637593" w:rsidRPr="00931078" w:rsidRDefault="00637593" w:rsidP="002C0010">
            <w:pPr>
              <w:jc w:val="center"/>
              <w:rPr>
                <w:b/>
                <w:sz w:val="18"/>
                <w:szCs w:val="18"/>
              </w:rPr>
            </w:pPr>
            <w:r w:rsidRPr="00931078">
              <w:rPr>
                <w:b/>
                <w:sz w:val="18"/>
                <w:szCs w:val="18"/>
              </w:rPr>
              <w:t>Column 3</w:t>
            </w:r>
          </w:p>
        </w:tc>
      </w:tr>
      <w:tr w:rsidR="00637593" w:rsidRPr="00931078" w14:paraId="509EFAF3" w14:textId="77777777" w:rsidTr="00C11069">
        <w:trPr>
          <w:tblHeader/>
        </w:trPr>
        <w:tc>
          <w:tcPr>
            <w:tcW w:w="993" w:type="dxa"/>
            <w:shd w:val="clear" w:color="auto" w:fill="auto"/>
          </w:tcPr>
          <w:p w14:paraId="126D3E94" w14:textId="77777777" w:rsidR="00637593" w:rsidRPr="00931078" w:rsidRDefault="00637593" w:rsidP="002C0010">
            <w:pPr>
              <w:spacing w:line="240" w:lineRule="auto"/>
              <w:rPr>
                <w:rFonts w:eastAsia="Times New Roman"/>
                <w:b/>
                <w:sz w:val="20"/>
                <w:lang w:eastAsia="en-AU"/>
              </w:rPr>
            </w:pPr>
            <w:r w:rsidRPr="00931078">
              <w:rPr>
                <w:rFonts w:eastAsia="Times New Roman"/>
                <w:b/>
                <w:sz w:val="20"/>
                <w:lang w:eastAsia="en-AU"/>
              </w:rPr>
              <w:t>Item</w:t>
            </w:r>
          </w:p>
        </w:tc>
        <w:tc>
          <w:tcPr>
            <w:tcW w:w="2268" w:type="dxa"/>
            <w:shd w:val="clear" w:color="auto" w:fill="auto"/>
          </w:tcPr>
          <w:p w14:paraId="0406734F" w14:textId="77777777" w:rsidR="00637593" w:rsidRPr="00931078" w:rsidRDefault="00637593" w:rsidP="002C0010">
            <w:pPr>
              <w:spacing w:line="240" w:lineRule="auto"/>
              <w:rPr>
                <w:rFonts w:eastAsia="Times New Roman"/>
                <w:b/>
                <w:sz w:val="20"/>
                <w:lang w:eastAsia="en-AU"/>
              </w:rPr>
            </w:pPr>
            <w:r w:rsidRPr="00931078">
              <w:rPr>
                <w:rFonts w:eastAsia="Times New Roman"/>
                <w:b/>
                <w:sz w:val="20"/>
                <w:lang w:eastAsia="en-AU"/>
              </w:rPr>
              <w:t>Sub-sectors</w:t>
            </w:r>
          </w:p>
        </w:tc>
        <w:tc>
          <w:tcPr>
            <w:tcW w:w="4280" w:type="dxa"/>
            <w:gridSpan w:val="2"/>
            <w:shd w:val="clear" w:color="auto" w:fill="auto"/>
          </w:tcPr>
          <w:p w14:paraId="06825261" w14:textId="77777777" w:rsidR="00637593" w:rsidRPr="00931078" w:rsidRDefault="00637593" w:rsidP="002C0010">
            <w:pPr>
              <w:jc w:val="center"/>
              <w:rPr>
                <w:b/>
                <w:sz w:val="20"/>
              </w:rPr>
            </w:pPr>
            <w:r w:rsidRPr="00931078">
              <w:rPr>
                <w:b/>
                <w:sz w:val="20"/>
              </w:rPr>
              <w:t>Description of entity metric</w:t>
            </w:r>
          </w:p>
        </w:tc>
      </w:tr>
      <w:tr w:rsidR="00637593" w:rsidRPr="00931078" w14:paraId="2F3D76B2" w14:textId="77777777" w:rsidTr="00C11069">
        <w:trPr>
          <w:tblHeader/>
        </w:trPr>
        <w:tc>
          <w:tcPr>
            <w:tcW w:w="993" w:type="dxa"/>
            <w:shd w:val="clear" w:color="auto" w:fill="auto"/>
          </w:tcPr>
          <w:p w14:paraId="7E0E2074" w14:textId="77777777" w:rsidR="00637593" w:rsidRPr="00931078" w:rsidRDefault="00637593" w:rsidP="002C0010">
            <w:pPr>
              <w:spacing w:line="240" w:lineRule="auto"/>
              <w:rPr>
                <w:rFonts w:eastAsia="Times New Roman"/>
                <w:sz w:val="18"/>
                <w:szCs w:val="18"/>
                <w:lang w:eastAsia="en-AU"/>
              </w:rPr>
            </w:pPr>
          </w:p>
        </w:tc>
        <w:tc>
          <w:tcPr>
            <w:tcW w:w="2268" w:type="dxa"/>
            <w:shd w:val="clear" w:color="auto" w:fill="auto"/>
          </w:tcPr>
          <w:p w14:paraId="7EFFFCB8" w14:textId="77777777" w:rsidR="00637593" w:rsidRPr="00931078" w:rsidRDefault="00637593" w:rsidP="002C0010">
            <w:pPr>
              <w:spacing w:line="240" w:lineRule="auto"/>
              <w:rPr>
                <w:rFonts w:eastAsia="Times New Roman"/>
                <w:sz w:val="18"/>
                <w:szCs w:val="18"/>
                <w:lang w:eastAsia="en-AU"/>
              </w:rPr>
            </w:pPr>
          </w:p>
        </w:tc>
        <w:tc>
          <w:tcPr>
            <w:tcW w:w="2026" w:type="dxa"/>
            <w:shd w:val="clear" w:color="auto" w:fill="auto"/>
          </w:tcPr>
          <w:p w14:paraId="3D8F2557" w14:textId="77777777" w:rsidR="00637593" w:rsidRPr="00931078" w:rsidRDefault="00637593" w:rsidP="002C0010">
            <w:pPr>
              <w:jc w:val="center"/>
              <w:rPr>
                <w:i/>
                <w:sz w:val="18"/>
                <w:szCs w:val="18"/>
              </w:rPr>
            </w:pPr>
            <w:r w:rsidRPr="00931078">
              <w:rPr>
                <w:i/>
                <w:sz w:val="18"/>
                <w:szCs w:val="18"/>
              </w:rPr>
              <w:t>Basic levy component</w:t>
            </w:r>
          </w:p>
          <w:p w14:paraId="3798563E" w14:textId="77777777" w:rsidR="00637593" w:rsidRPr="00931078" w:rsidRDefault="00637593" w:rsidP="002C0010">
            <w:pPr>
              <w:jc w:val="center"/>
              <w:rPr>
                <w:i/>
                <w:sz w:val="18"/>
                <w:szCs w:val="18"/>
              </w:rPr>
            </w:pPr>
            <w:r w:rsidRPr="00931078">
              <w:rPr>
                <w:i/>
                <w:sz w:val="18"/>
                <w:szCs w:val="18"/>
              </w:rPr>
              <w:t>(</w:t>
            </w:r>
            <w:proofErr w:type="gramStart"/>
            <w:r w:rsidRPr="00931078">
              <w:rPr>
                <w:i/>
                <w:sz w:val="18"/>
                <w:szCs w:val="18"/>
              </w:rPr>
              <w:t>as</w:t>
            </w:r>
            <w:proofErr w:type="gramEnd"/>
            <w:r w:rsidRPr="00931078">
              <w:rPr>
                <w:i/>
                <w:sz w:val="18"/>
                <w:szCs w:val="18"/>
              </w:rPr>
              <w:t xml:space="preserve"> applicable)</w:t>
            </w:r>
          </w:p>
        </w:tc>
        <w:tc>
          <w:tcPr>
            <w:tcW w:w="2254" w:type="dxa"/>
            <w:shd w:val="clear" w:color="auto" w:fill="auto"/>
          </w:tcPr>
          <w:p w14:paraId="6A3167FB" w14:textId="77777777" w:rsidR="00637593" w:rsidRPr="00931078" w:rsidRDefault="00637593" w:rsidP="002C0010">
            <w:pPr>
              <w:jc w:val="center"/>
              <w:rPr>
                <w:i/>
                <w:sz w:val="18"/>
                <w:szCs w:val="18"/>
              </w:rPr>
            </w:pPr>
            <w:r w:rsidRPr="00931078">
              <w:rPr>
                <w:i/>
                <w:sz w:val="18"/>
                <w:szCs w:val="18"/>
              </w:rPr>
              <w:t>Graduated levy component</w:t>
            </w:r>
          </w:p>
          <w:p w14:paraId="046EF1C3" w14:textId="77777777" w:rsidR="00637593" w:rsidRPr="00931078" w:rsidRDefault="00637593" w:rsidP="002C0010">
            <w:pPr>
              <w:jc w:val="center"/>
              <w:rPr>
                <w:i/>
                <w:sz w:val="18"/>
                <w:szCs w:val="18"/>
              </w:rPr>
            </w:pPr>
            <w:r w:rsidRPr="00931078">
              <w:rPr>
                <w:i/>
                <w:sz w:val="18"/>
                <w:szCs w:val="18"/>
              </w:rPr>
              <w:t>(</w:t>
            </w:r>
            <w:proofErr w:type="gramStart"/>
            <w:r w:rsidRPr="00931078">
              <w:rPr>
                <w:i/>
                <w:sz w:val="18"/>
                <w:szCs w:val="18"/>
              </w:rPr>
              <w:t>as</w:t>
            </w:r>
            <w:proofErr w:type="gramEnd"/>
            <w:r w:rsidRPr="00931078">
              <w:rPr>
                <w:i/>
                <w:sz w:val="18"/>
                <w:szCs w:val="18"/>
              </w:rPr>
              <w:t xml:space="preserve"> applicable)</w:t>
            </w:r>
          </w:p>
        </w:tc>
      </w:tr>
      <w:tr w:rsidR="00637593" w:rsidRPr="00931078" w14:paraId="5E6F9B44" w14:textId="77777777" w:rsidTr="00C11069">
        <w:tc>
          <w:tcPr>
            <w:tcW w:w="993" w:type="dxa"/>
            <w:shd w:val="clear" w:color="auto" w:fill="auto"/>
          </w:tcPr>
          <w:p w14:paraId="63FF4E9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w:t>
            </w:r>
          </w:p>
        </w:tc>
        <w:tc>
          <w:tcPr>
            <w:tcW w:w="2268" w:type="dxa"/>
            <w:shd w:val="clear" w:color="auto" w:fill="auto"/>
          </w:tcPr>
          <w:p w14:paraId="5478204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Auditors of disclosing entities</w:t>
            </w:r>
          </w:p>
        </w:tc>
        <w:tc>
          <w:tcPr>
            <w:tcW w:w="2026" w:type="dxa"/>
            <w:shd w:val="clear" w:color="auto" w:fill="auto"/>
          </w:tcPr>
          <w:p w14:paraId="1F7BEB16" w14:textId="77777777" w:rsidR="00637593" w:rsidRPr="00931078" w:rsidRDefault="00637593" w:rsidP="002C0010">
            <w:pPr>
              <w:rPr>
                <w:sz w:val="18"/>
                <w:szCs w:val="18"/>
              </w:rPr>
            </w:pPr>
            <w:r w:rsidRPr="00931078">
              <w:rPr>
                <w:rFonts w:eastAsia="Times New Roman"/>
                <w:sz w:val="18"/>
                <w:szCs w:val="18"/>
                <w:lang w:eastAsia="en-AU"/>
              </w:rPr>
              <w:t>Total of the fees paid or payable to the entity for the auditing and review of financial reports</w:t>
            </w:r>
          </w:p>
        </w:tc>
        <w:tc>
          <w:tcPr>
            <w:tcW w:w="2254" w:type="dxa"/>
            <w:shd w:val="clear" w:color="auto" w:fill="auto"/>
          </w:tcPr>
          <w:p w14:paraId="6FF67EE9" w14:textId="77777777" w:rsidR="00637593" w:rsidRPr="00931078" w:rsidRDefault="00637593" w:rsidP="002C0010">
            <w:pPr>
              <w:jc w:val="right"/>
              <w:rPr>
                <w:sz w:val="18"/>
                <w:szCs w:val="18"/>
              </w:rPr>
            </w:pPr>
          </w:p>
        </w:tc>
      </w:tr>
      <w:tr w:rsidR="00637593" w:rsidRPr="00931078" w14:paraId="0D426FFF" w14:textId="77777777" w:rsidTr="00C11069">
        <w:tc>
          <w:tcPr>
            <w:tcW w:w="993" w:type="dxa"/>
            <w:shd w:val="clear" w:color="auto" w:fill="auto"/>
          </w:tcPr>
          <w:p w14:paraId="7AA46BD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w:t>
            </w:r>
          </w:p>
        </w:tc>
        <w:tc>
          <w:tcPr>
            <w:tcW w:w="2268" w:type="dxa"/>
            <w:shd w:val="clear" w:color="auto" w:fill="auto"/>
          </w:tcPr>
          <w:p w14:paraId="10C95B9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Australian derivative trade repository operators </w:t>
            </w:r>
          </w:p>
        </w:tc>
        <w:tc>
          <w:tcPr>
            <w:tcW w:w="2026" w:type="dxa"/>
            <w:shd w:val="clear" w:color="auto" w:fill="auto"/>
          </w:tcPr>
          <w:p w14:paraId="17CC677C" w14:textId="77777777" w:rsidR="00637593" w:rsidRPr="00931078" w:rsidRDefault="00637593" w:rsidP="002C0010">
            <w:pPr>
              <w:jc w:val="right"/>
              <w:rPr>
                <w:sz w:val="18"/>
                <w:szCs w:val="18"/>
              </w:rPr>
            </w:pPr>
            <w:r w:rsidRPr="00931078">
              <w:rPr>
                <w:sz w:val="18"/>
                <w:szCs w:val="18"/>
              </w:rPr>
              <w:t>Number of days the repository was operated</w:t>
            </w:r>
          </w:p>
        </w:tc>
        <w:tc>
          <w:tcPr>
            <w:tcW w:w="2254" w:type="dxa"/>
            <w:shd w:val="clear" w:color="auto" w:fill="auto"/>
          </w:tcPr>
          <w:p w14:paraId="17AAC489" w14:textId="77777777" w:rsidR="00637593" w:rsidRPr="00931078" w:rsidRDefault="00637593" w:rsidP="002C0010">
            <w:pPr>
              <w:jc w:val="right"/>
              <w:rPr>
                <w:sz w:val="18"/>
                <w:szCs w:val="18"/>
              </w:rPr>
            </w:pPr>
          </w:p>
        </w:tc>
      </w:tr>
      <w:tr w:rsidR="00C11069" w:rsidRPr="00FA179D" w14:paraId="5D5FD364" w14:textId="77777777" w:rsidTr="00C11069">
        <w:tc>
          <w:tcPr>
            <w:tcW w:w="993" w:type="dxa"/>
            <w:shd w:val="clear" w:color="auto" w:fill="auto"/>
          </w:tcPr>
          <w:p w14:paraId="48CF5444"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2A</w:t>
            </w:r>
          </w:p>
        </w:tc>
        <w:tc>
          <w:tcPr>
            <w:tcW w:w="2268" w:type="dxa"/>
            <w:shd w:val="clear" w:color="auto" w:fill="auto"/>
          </w:tcPr>
          <w:p w14:paraId="54E08B3F"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 xml:space="preserve">Benchmark administrators </w:t>
            </w:r>
          </w:p>
        </w:tc>
        <w:tc>
          <w:tcPr>
            <w:tcW w:w="2026" w:type="dxa"/>
            <w:shd w:val="clear" w:color="auto" w:fill="auto"/>
          </w:tcPr>
          <w:p w14:paraId="454AC1DC" w14:textId="77777777" w:rsidR="00C11069" w:rsidRPr="00FA179D" w:rsidRDefault="001E15F7" w:rsidP="002C0010">
            <w:pPr>
              <w:jc w:val="right"/>
              <w:rPr>
                <w:sz w:val="18"/>
                <w:szCs w:val="18"/>
              </w:rPr>
            </w:pPr>
            <w:r w:rsidRPr="00FA179D">
              <w:rPr>
                <w:sz w:val="18"/>
                <w:szCs w:val="18"/>
              </w:rPr>
              <w:t xml:space="preserve">Number of days the entity administered the financial benchmark  </w:t>
            </w:r>
          </w:p>
        </w:tc>
        <w:tc>
          <w:tcPr>
            <w:tcW w:w="2254" w:type="dxa"/>
            <w:shd w:val="clear" w:color="auto" w:fill="auto"/>
          </w:tcPr>
          <w:p w14:paraId="5FFBE3D2" w14:textId="77777777" w:rsidR="00C11069" w:rsidRPr="00FA179D" w:rsidRDefault="00C11069" w:rsidP="002C0010">
            <w:pPr>
              <w:jc w:val="right"/>
              <w:rPr>
                <w:sz w:val="18"/>
                <w:szCs w:val="18"/>
              </w:rPr>
            </w:pPr>
          </w:p>
        </w:tc>
      </w:tr>
      <w:tr w:rsidR="00817F4F" w:rsidRPr="00931078" w14:paraId="7AE532BC" w14:textId="77777777" w:rsidTr="00C11069">
        <w:tc>
          <w:tcPr>
            <w:tcW w:w="993" w:type="dxa"/>
            <w:shd w:val="clear" w:color="auto" w:fill="auto"/>
          </w:tcPr>
          <w:p w14:paraId="403D96F1" w14:textId="77777777" w:rsidR="00817F4F" w:rsidRPr="00931078" w:rsidRDefault="00817F4F" w:rsidP="002C0010">
            <w:pPr>
              <w:spacing w:line="240" w:lineRule="auto"/>
              <w:rPr>
                <w:rFonts w:eastAsia="Times New Roman"/>
                <w:sz w:val="18"/>
                <w:szCs w:val="18"/>
                <w:lang w:eastAsia="en-AU"/>
              </w:rPr>
            </w:pPr>
            <w:r>
              <w:rPr>
                <w:rFonts w:eastAsia="Times New Roman"/>
                <w:sz w:val="18"/>
                <w:szCs w:val="18"/>
                <w:lang w:eastAsia="en-AU"/>
              </w:rPr>
              <w:t>2B</w:t>
            </w:r>
          </w:p>
        </w:tc>
        <w:tc>
          <w:tcPr>
            <w:tcW w:w="2268" w:type="dxa"/>
            <w:shd w:val="clear" w:color="auto" w:fill="auto"/>
          </w:tcPr>
          <w:p w14:paraId="15D47FCF" w14:textId="77777777" w:rsidR="00817F4F" w:rsidRPr="00931078" w:rsidRDefault="00817F4F" w:rsidP="002C0010">
            <w:pPr>
              <w:spacing w:line="240" w:lineRule="auto"/>
              <w:rPr>
                <w:rFonts w:eastAsia="Times New Roman"/>
                <w:sz w:val="18"/>
                <w:szCs w:val="18"/>
                <w:lang w:eastAsia="en-AU"/>
              </w:rPr>
            </w:pPr>
            <w:r w:rsidRPr="00817F4F">
              <w:rPr>
                <w:rFonts w:eastAsia="Times New Roman"/>
                <w:sz w:val="18"/>
                <w:szCs w:val="18"/>
                <w:lang w:eastAsia="en-AU"/>
              </w:rPr>
              <w:t>Claims handling and settling services providers</w:t>
            </w:r>
          </w:p>
        </w:tc>
        <w:tc>
          <w:tcPr>
            <w:tcW w:w="2026" w:type="dxa"/>
            <w:shd w:val="clear" w:color="auto" w:fill="auto"/>
          </w:tcPr>
          <w:p w14:paraId="1437DD07" w14:textId="77777777" w:rsidR="00817F4F" w:rsidRPr="00931078" w:rsidRDefault="00817F4F" w:rsidP="002C0010">
            <w:pPr>
              <w:jc w:val="right"/>
              <w:rPr>
                <w:sz w:val="18"/>
                <w:szCs w:val="18"/>
              </w:rPr>
            </w:pPr>
          </w:p>
        </w:tc>
        <w:tc>
          <w:tcPr>
            <w:tcW w:w="2254" w:type="dxa"/>
            <w:shd w:val="clear" w:color="auto" w:fill="auto"/>
          </w:tcPr>
          <w:p w14:paraId="3E270B31" w14:textId="77777777" w:rsidR="00817F4F" w:rsidRPr="00931078" w:rsidRDefault="00817F4F" w:rsidP="002C0010">
            <w:pPr>
              <w:jc w:val="right"/>
              <w:rPr>
                <w:sz w:val="18"/>
                <w:szCs w:val="18"/>
              </w:rPr>
            </w:pPr>
            <w:r>
              <w:rPr>
                <w:sz w:val="18"/>
                <w:szCs w:val="18"/>
              </w:rPr>
              <w:t>N</w:t>
            </w:r>
            <w:r w:rsidRPr="00817F4F">
              <w:rPr>
                <w:sz w:val="18"/>
                <w:szCs w:val="18"/>
              </w:rPr>
              <w:t xml:space="preserve">umber of claims under insurance products in relation to which the entity provides claims handling and settling services </w:t>
            </w:r>
          </w:p>
        </w:tc>
      </w:tr>
      <w:tr w:rsidR="00637593" w:rsidRPr="00931078" w14:paraId="18825EB2" w14:textId="77777777" w:rsidTr="00C11069">
        <w:tc>
          <w:tcPr>
            <w:tcW w:w="993" w:type="dxa"/>
            <w:shd w:val="clear" w:color="auto" w:fill="auto"/>
          </w:tcPr>
          <w:p w14:paraId="45D851A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w:t>
            </w:r>
          </w:p>
        </w:tc>
        <w:tc>
          <w:tcPr>
            <w:tcW w:w="2268" w:type="dxa"/>
            <w:shd w:val="clear" w:color="auto" w:fill="auto"/>
          </w:tcPr>
          <w:p w14:paraId="16C066B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Corporate advisors</w:t>
            </w:r>
          </w:p>
        </w:tc>
        <w:tc>
          <w:tcPr>
            <w:tcW w:w="2026" w:type="dxa"/>
            <w:shd w:val="clear" w:color="auto" w:fill="auto"/>
          </w:tcPr>
          <w:p w14:paraId="6E31D438" w14:textId="77777777" w:rsidR="00637593" w:rsidRPr="00931078" w:rsidRDefault="00637593" w:rsidP="002C0010">
            <w:pPr>
              <w:jc w:val="right"/>
              <w:rPr>
                <w:sz w:val="18"/>
                <w:szCs w:val="18"/>
              </w:rPr>
            </w:pPr>
          </w:p>
        </w:tc>
        <w:tc>
          <w:tcPr>
            <w:tcW w:w="2254" w:type="dxa"/>
            <w:shd w:val="clear" w:color="auto" w:fill="auto"/>
          </w:tcPr>
          <w:p w14:paraId="08A762B5" w14:textId="77777777" w:rsidR="00637593" w:rsidRPr="00931078" w:rsidRDefault="00637593" w:rsidP="002C0010">
            <w:pPr>
              <w:jc w:val="right"/>
              <w:rPr>
                <w:sz w:val="18"/>
                <w:szCs w:val="18"/>
              </w:rPr>
            </w:pPr>
            <w:r w:rsidRPr="00931078">
              <w:rPr>
                <w:sz w:val="18"/>
                <w:szCs w:val="18"/>
              </w:rPr>
              <w:t>Gross revenue</w:t>
            </w:r>
          </w:p>
        </w:tc>
      </w:tr>
      <w:tr w:rsidR="00637593" w:rsidRPr="00931078" w14:paraId="31F37485" w14:textId="77777777" w:rsidTr="00C11069">
        <w:tc>
          <w:tcPr>
            <w:tcW w:w="993" w:type="dxa"/>
            <w:shd w:val="clear" w:color="auto" w:fill="auto"/>
          </w:tcPr>
          <w:p w14:paraId="5C779B3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w:t>
            </w:r>
          </w:p>
        </w:tc>
        <w:tc>
          <w:tcPr>
            <w:tcW w:w="2268" w:type="dxa"/>
            <w:shd w:val="clear" w:color="auto" w:fill="auto"/>
          </w:tcPr>
          <w:p w14:paraId="7389A06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Credit intermediaries</w:t>
            </w:r>
          </w:p>
        </w:tc>
        <w:tc>
          <w:tcPr>
            <w:tcW w:w="2026" w:type="dxa"/>
            <w:shd w:val="clear" w:color="auto" w:fill="auto"/>
          </w:tcPr>
          <w:p w14:paraId="01DBAE6C" w14:textId="77777777" w:rsidR="00637593" w:rsidRPr="00931078" w:rsidRDefault="00637593" w:rsidP="002C0010">
            <w:pPr>
              <w:jc w:val="right"/>
              <w:rPr>
                <w:sz w:val="18"/>
                <w:szCs w:val="18"/>
              </w:rPr>
            </w:pPr>
          </w:p>
        </w:tc>
        <w:tc>
          <w:tcPr>
            <w:tcW w:w="2254" w:type="dxa"/>
            <w:shd w:val="clear" w:color="auto" w:fill="auto"/>
          </w:tcPr>
          <w:p w14:paraId="63BF036E" w14:textId="77777777" w:rsidR="00637593" w:rsidRPr="00931078" w:rsidRDefault="00637593" w:rsidP="002C0010">
            <w:pPr>
              <w:jc w:val="right"/>
              <w:rPr>
                <w:sz w:val="18"/>
                <w:szCs w:val="18"/>
              </w:rPr>
            </w:pPr>
            <w:r w:rsidRPr="00931078">
              <w:rPr>
                <w:sz w:val="18"/>
                <w:szCs w:val="18"/>
              </w:rPr>
              <w:t xml:space="preserve">Number of credit representatives </w:t>
            </w:r>
          </w:p>
        </w:tc>
      </w:tr>
      <w:tr w:rsidR="00637593" w:rsidRPr="00931078" w14:paraId="73FB6C6F" w14:textId="77777777" w:rsidTr="00C11069">
        <w:tc>
          <w:tcPr>
            <w:tcW w:w="993" w:type="dxa"/>
            <w:shd w:val="clear" w:color="auto" w:fill="auto"/>
          </w:tcPr>
          <w:p w14:paraId="63C9EFD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5</w:t>
            </w:r>
          </w:p>
        </w:tc>
        <w:tc>
          <w:tcPr>
            <w:tcW w:w="2268" w:type="dxa"/>
            <w:shd w:val="clear" w:color="auto" w:fill="auto"/>
          </w:tcPr>
          <w:p w14:paraId="550265D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Credit providers</w:t>
            </w:r>
          </w:p>
        </w:tc>
        <w:tc>
          <w:tcPr>
            <w:tcW w:w="2026" w:type="dxa"/>
            <w:shd w:val="clear" w:color="auto" w:fill="auto"/>
          </w:tcPr>
          <w:p w14:paraId="580AC4EC" w14:textId="77777777" w:rsidR="00637593" w:rsidRPr="00931078" w:rsidRDefault="00637593" w:rsidP="002C0010">
            <w:pPr>
              <w:jc w:val="right"/>
              <w:rPr>
                <w:sz w:val="18"/>
                <w:szCs w:val="18"/>
              </w:rPr>
            </w:pPr>
          </w:p>
        </w:tc>
        <w:tc>
          <w:tcPr>
            <w:tcW w:w="2254" w:type="dxa"/>
            <w:shd w:val="clear" w:color="auto" w:fill="auto"/>
          </w:tcPr>
          <w:p w14:paraId="30317251" w14:textId="77777777" w:rsidR="00637593" w:rsidRPr="00931078" w:rsidRDefault="00637593" w:rsidP="002C0010">
            <w:pPr>
              <w:jc w:val="right"/>
              <w:rPr>
                <w:sz w:val="18"/>
                <w:szCs w:val="18"/>
              </w:rPr>
            </w:pPr>
            <w:r w:rsidRPr="00931078">
              <w:rPr>
                <w:sz w:val="18"/>
                <w:szCs w:val="18"/>
              </w:rPr>
              <w:t>Gross amount of credit provided</w:t>
            </w:r>
          </w:p>
        </w:tc>
      </w:tr>
      <w:tr w:rsidR="00637593" w:rsidRPr="00931078" w14:paraId="5804D7B4" w14:textId="77777777" w:rsidTr="00C11069">
        <w:tc>
          <w:tcPr>
            <w:tcW w:w="993" w:type="dxa"/>
            <w:shd w:val="clear" w:color="auto" w:fill="auto"/>
          </w:tcPr>
          <w:p w14:paraId="0F7BC47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6</w:t>
            </w:r>
          </w:p>
        </w:tc>
        <w:tc>
          <w:tcPr>
            <w:tcW w:w="2268" w:type="dxa"/>
            <w:shd w:val="clear" w:color="auto" w:fill="auto"/>
          </w:tcPr>
          <w:p w14:paraId="1A2C5FC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Credit rating agencies</w:t>
            </w:r>
          </w:p>
        </w:tc>
        <w:tc>
          <w:tcPr>
            <w:tcW w:w="2026" w:type="dxa"/>
            <w:shd w:val="clear" w:color="auto" w:fill="auto"/>
          </w:tcPr>
          <w:p w14:paraId="3363DDCA" w14:textId="77777777" w:rsidR="00637593" w:rsidRPr="00931078" w:rsidRDefault="00637593" w:rsidP="002C0010">
            <w:pPr>
              <w:jc w:val="right"/>
              <w:rPr>
                <w:sz w:val="18"/>
                <w:szCs w:val="18"/>
              </w:rPr>
            </w:pPr>
          </w:p>
        </w:tc>
        <w:tc>
          <w:tcPr>
            <w:tcW w:w="2254" w:type="dxa"/>
            <w:shd w:val="clear" w:color="auto" w:fill="auto"/>
          </w:tcPr>
          <w:p w14:paraId="19406F91" w14:textId="77777777" w:rsidR="00637593" w:rsidRPr="00931078" w:rsidRDefault="00637593" w:rsidP="002C0010">
            <w:pPr>
              <w:jc w:val="right"/>
              <w:rPr>
                <w:sz w:val="18"/>
                <w:szCs w:val="18"/>
              </w:rPr>
            </w:pPr>
            <w:r w:rsidRPr="00931078">
              <w:rPr>
                <w:sz w:val="18"/>
                <w:szCs w:val="18"/>
              </w:rPr>
              <w:t>Number of days the licence was held</w:t>
            </w:r>
          </w:p>
        </w:tc>
      </w:tr>
      <w:tr w:rsidR="00637593" w:rsidRPr="00931078" w14:paraId="275CF4D2" w14:textId="77777777" w:rsidTr="00C11069">
        <w:tc>
          <w:tcPr>
            <w:tcW w:w="993" w:type="dxa"/>
            <w:shd w:val="clear" w:color="auto" w:fill="auto"/>
          </w:tcPr>
          <w:p w14:paraId="4CD3FFE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7</w:t>
            </w:r>
          </w:p>
        </w:tc>
        <w:tc>
          <w:tcPr>
            <w:tcW w:w="2268" w:type="dxa"/>
            <w:shd w:val="clear" w:color="auto" w:fill="auto"/>
          </w:tcPr>
          <w:p w14:paraId="7C0D809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Custodians</w:t>
            </w:r>
          </w:p>
        </w:tc>
        <w:tc>
          <w:tcPr>
            <w:tcW w:w="2026" w:type="dxa"/>
            <w:shd w:val="clear" w:color="auto" w:fill="auto"/>
          </w:tcPr>
          <w:p w14:paraId="2D0AC665"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1169EAAF" w14:textId="77777777" w:rsidR="00637593" w:rsidRPr="00931078" w:rsidRDefault="00637593" w:rsidP="002C0010">
            <w:pPr>
              <w:jc w:val="right"/>
              <w:rPr>
                <w:sz w:val="18"/>
                <w:szCs w:val="18"/>
              </w:rPr>
            </w:pPr>
          </w:p>
        </w:tc>
      </w:tr>
      <w:tr w:rsidR="00637593" w:rsidRPr="00931078" w14:paraId="1C8AEFD7" w14:textId="77777777" w:rsidTr="00C11069">
        <w:tc>
          <w:tcPr>
            <w:tcW w:w="993" w:type="dxa"/>
            <w:shd w:val="clear" w:color="auto" w:fill="auto"/>
          </w:tcPr>
          <w:p w14:paraId="3428ED7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8</w:t>
            </w:r>
          </w:p>
        </w:tc>
        <w:tc>
          <w:tcPr>
            <w:tcW w:w="2268" w:type="dxa"/>
            <w:shd w:val="clear" w:color="auto" w:fill="auto"/>
          </w:tcPr>
          <w:p w14:paraId="2129B0A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Deposit product providers </w:t>
            </w:r>
          </w:p>
        </w:tc>
        <w:tc>
          <w:tcPr>
            <w:tcW w:w="2026" w:type="dxa"/>
            <w:shd w:val="clear" w:color="auto" w:fill="auto"/>
          </w:tcPr>
          <w:p w14:paraId="576B2E77" w14:textId="77777777" w:rsidR="00637593" w:rsidRPr="00931078" w:rsidRDefault="00637593" w:rsidP="002C0010">
            <w:pPr>
              <w:jc w:val="right"/>
              <w:rPr>
                <w:sz w:val="18"/>
                <w:szCs w:val="18"/>
              </w:rPr>
            </w:pPr>
          </w:p>
        </w:tc>
        <w:tc>
          <w:tcPr>
            <w:tcW w:w="2254" w:type="dxa"/>
            <w:shd w:val="clear" w:color="auto" w:fill="auto"/>
          </w:tcPr>
          <w:p w14:paraId="45E27AB9" w14:textId="77777777" w:rsidR="00637593" w:rsidRPr="00931078" w:rsidRDefault="00637593" w:rsidP="002C0010">
            <w:pPr>
              <w:jc w:val="right"/>
              <w:rPr>
                <w:sz w:val="18"/>
                <w:szCs w:val="18"/>
              </w:rPr>
            </w:pPr>
            <w:r w:rsidRPr="00931078">
              <w:rPr>
                <w:sz w:val="18"/>
                <w:szCs w:val="18"/>
              </w:rPr>
              <w:t>Value of deposits</w:t>
            </w:r>
          </w:p>
        </w:tc>
      </w:tr>
      <w:tr w:rsidR="00C11069" w:rsidRPr="00FA179D" w14:paraId="3DD473A4" w14:textId="77777777" w:rsidTr="00C11069">
        <w:tc>
          <w:tcPr>
            <w:tcW w:w="993" w:type="dxa"/>
            <w:shd w:val="clear" w:color="auto" w:fill="auto"/>
          </w:tcPr>
          <w:p w14:paraId="191FBC69"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8A</w:t>
            </w:r>
          </w:p>
        </w:tc>
        <w:tc>
          <w:tcPr>
            <w:tcW w:w="2268" w:type="dxa"/>
            <w:shd w:val="clear" w:color="auto" w:fill="auto"/>
          </w:tcPr>
          <w:p w14:paraId="718BCF8C"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Established specialised market operators</w:t>
            </w:r>
          </w:p>
        </w:tc>
        <w:tc>
          <w:tcPr>
            <w:tcW w:w="2026" w:type="dxa"/>
            <w:shd w:val="clear" w:color="auto" w:fill="auto"/>
          </w:tcPr>
          <w:p w14:paraId="1BA63209" w14:textId="77777777" w:rsidR="00C11069" w:rsidRPr="00FA179D" w:rsidRDefault="002C0010" w:rsidP="002C0010">
            <w:pPr>
              <w:jc w:val="right"/>
              <w:rPr>
                <w:sz w:val="18"/>
                <w:szCs w:val="18"/>
              </w:rPr>
            </w:pPr>
            <w:r w:rsidRPr="00FA179D">
              <w:rPr>
                <w:sz w:val="18"/>
                <w:szCs w:val="18"/>
              </w:rPr>
              <w:t>Number of days the market was operated</w:t>
            </w:r>
          </w:p>
        </w:tc>
        <w:tc>
          <w:tcPr>
            <w:tcW w:w="2254" w:type="dxa"/>
            <w:shd w:val="clear" w:color="auto" w:fill="auto"/>
          </w:tcPr>
          <w:p w14:paraId="51DA46A1" w14:textId="77777777" w:rsidR="00C11069" w:rsidRPr="00FA179D" w:rsidRDefault="00C11069" w:rsidP="002C0010">
            <w:pPr>
              <w:jc w:val="right"/>
              <w:rPr>
                <w:sz w:val="18"/>
                <w:szCs w:val="18"/>
              </w:rPr>
            </w:pPr>
          </w:p>
        </w:tc>
      </w:tr>
      <w:tr w:rsidR="00637593" w:rsidRPr="00931078" w14:paraId="0907B1A6" w14:textId="77777777" w:rsidTr="00C11069">
        <w:tc>
          <w:tcPr>
            <w:tcW w:w="993" w:type="dxa"/>
            <w:shd w:val="clear" w:color="auto" w:fill="auto"/>
          </w:tcPr>
          <w:p w14:paraId="1A653CA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9</w:t>
            </w:r>
          </w:p>
        </w:tc>
        <w:tc>
          <w:tcPr>
            <w:tcW w:w="2268" w:type="dxa"/>
            <w:shd w:val="clear" w:color="auto" w:fill="auto"/>
          </w:tcPr>
          <w:p w14:paraId="38D4F05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Exempt CS facility operators</w:t>
            </w:r>
          </w:p>
        </w:tc>
        <w:tc>
          <w:tcPr>
            <w:tcW w:w="2026" w:type="dxa"/>
            <w:shd w:val="clear" w:color="auto" w:fill="auto"/>
          </w:tcPr>
          <w:p w14:paraId="5C1433DB"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shd w:val="clear" w:color="auto" w:fill="auto"/>
          </w:tcPr>
          <w:p w14:paraId="0E164FFF" w14:textId="77777777" w:rsidR="00637593" w:rsidRPr="00931078" w:rsidRDefault="00637593" w:rsidP="002C0010">
            <w:pPr>
              <w:jc w:val="right"/>
              <w:rPr>
                <w:sz w:val="18"/>
                <w:szCs w:val="18"/>
              </w:rPr>
            </w:pPr>
          </w:p>
        </w:tc>
      </w:tr>
      <w:tr w:rsidR="00637593" w:rsidRPr="00931078" w14:paraId="74F35137" w14:textId="77777777" w:rsidTr="00C11069">
        <w:tc>
          <w:tcPr>
            <w:tcW w:w="993" w:type="dxa"/>
            <w:shd w:val="clear" w:color="auto" w:fill="auto"/>
          </w:tcPr>
          <w:p w14:paraId="0736CFC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10</w:t>
            </w:r>
          </w:p>
        </w:tc>
        <w:tc>
          <w:tcPr>
            <w:tcW w:w="2268" w:type="dxa"/>
            <w:shd w:val="clear" w:color="auto" w:fill="auto"/>
          </w:tcPr>
          <w:p w14:paraId="5CCDA7A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Exempt market operators</w:t>
            </w:r>
          </w:p>
        </w:tc>
        <w:tc>
          <w:tcPr>
            <w:tcW w:w="2026" w:type="dxa"/>
            <w:shd w:val="clear" w:color="auto" w:fill="auto"/>
          </w:tcPr>
          <w:p w14:paraId="58A6CCB9" w14:textId="77777777" w:rsidR="00637593" w:rsidRPr="00931078" w:rsidRDefault="00637593" w:rsidP="002C0010">
            <w:pPr>
              <w:jc w:val="right"/>
              <w:rPr>
                <w:sz w:val="18"/>
                <w:szCs w:val="18"/>
              </w:rPr>
            </w:pPr>
            <w:r w:rsidRPr="00931078">
              <w:rPr>
                <w:sz w:val="18"/>
                <w:szCs w:val="18"/>
              </w:rPr>
              <w:t>Number of days the market was operated</w:t>
            </w:r>
          </w:p>
        </w:tc>
        <w:tc>
          <w:tcPr>
            <w:tcW w:w="2254" w:type="dxa"/>
            <w:shd w:val="clear" w:color="auto" w:fill="auto"/>
          </w:tcPr>
          <w:p w14:paraId="1208C17B" w14:textId="77777777" w:rsidR="00637593" w:rsidRPr="00931078" w:rsidRDefault="00637593" w:rsidP="002C0010">
            <w:pPr>
              <w:jc w:val="right"/>
              <w:rPr>
                <w:sz w:val="18"/>
                <w:szCs w:val="18"/>
              </w:rPr>
            </w:pPr>
          </w:p>
        </w:tc>
      </w:tr>
      <w:tr w:rsidR="00637593" w:rsidRPr="00931078" w14:paraId="4764965C" w14:textId="77777777" w:rsidTr="00C11069">
        <w:tc>
          <w:tcPr>
            <w:tcW w:w="993" w:type="dxa"/>
            <w:shd w:val="clear" w:color="auto" w:fill="auto"/>
          </w:tcPr>
          <w:p w14:paraId="357F9A66"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11</w:t>
            </w:r>
          </w:p>
        </w:tc>
        <w:tc>
          <w:tcPr>
            <w:tcW w:w="2268" w:type="dxa"/>
            <w:shd w:val="clear" w:color="auto" w:fill="auto"/>
          </w:tcPr>
          <w:p w14:paraId="7B5318C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Insurance product distributors</w:t>
            </w:r>
          </w:p>
        </w:tc>
        <w:tc>
          <w:tcPr>
            <w:tcW w:w="2026" w:type="dxa"/>
            <w:shd w:val="clear" w:color="auto" w:fill="auto"/>
          </w:tcPr>
          <w:p w14:paraId="3DEAE024"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76A58823" w14:textId="77777777" w:rsidR="00637593" w:rsidRPr="00931078" w:rsidRDefault="00637593" w:rsidP="002C0010">
            <w:pPr>
              <w:jc w:val="right"/>
              <w:rPr>
                <w:sz w:val="18"/>
                <w:szCs w:val="18"/>
              </w:rPr>
            </w:pPr>
          </w:p>
        </w:tc>
      </w:tr>
      <w:tr w:rsidR="00637593" w:rsidRPr="00931078" w14:paraId="685FD0E8" w14:textId="77777777" w:rsidTr="00C11069">
        <w:tc>
          <w:tcPr>
            <w:tcW w:w="993" w:type="dxa"/>
            <w:shd w:val="clear" w:color="auto" w:fill="auto"/>
          </w:tcPr>
          <w:p w14:paraId="78E913C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12</w:t>
            </w:r>
          </w:p>
        </w:tc>
        <w:tc>
          <w:tcPr>
            <w:tcW w:w="2268" w:type="dxa"/>
            <w:shd w:val="clear" w:color="auto" w:fill="auto"/>
          </w:tcPr>
          <w:p w14:paraId="20A8704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Insurance product providers</w:t>
            </w:r>
          </w:p>
        </w:tc>
        <w:tc>
          <w:tcPr>
            <w:tcW w:w="2026" w:type="dxa"/>
            <w:shd w:val="clear" w:color="auto" w:fill="auto"/>
          </w:tcPr>
          <w:p w14:paraId="78E8AD4E" w14:textId="77777777" w:rsidR="00637593" w:rsidRPr="00931078" w:rsidRDefault="00637593" w:rsidP="002C0010">
            <w:pPr>
              <w:jc w:val="right"/>
              <w:rPr>
                <w:sz w:val="18"/>
                <w:szCs w:val="18"/>
              </w:rPr>
            </w:pPr>
          </w:p>
        </w:tc>
        <w:tc>
          <w:tcPr>
            <w:tcW w:w="2254" w:type="dxa"/>
            <w:shd w:val="clear" w:color="auto" w:fill="auto"/>
          </w:tcPr>
          <w:p w14:paraId="114D9528" w14:textId="77777777" w:rsidR="00637593" w:rsidRPr="00931078" w:rsidRDefault="00637593" w:rsidP="002C0010">
            <w:pPr>
              <w:jc w:val="right"/>
              <w:rPr>
                <w:sz w:val="18"/>
                <w:szCs w:val="18"/>
              </w:rPr>
            </w:pPr>
            <w:r w:rsidRPr="00931078">
              <w:rPr>
                <w:sz w:val="18"/>
                <w:szCs w:val="18"/>
              </w:rPr>
              <w:t>Gross amount of premiums and other revenue</w:t>
            </w:r>
          </w:p>
        </w:tc>
      </w:tr>
      <w:tr w:rsidR="00637593" w:rsidRPr="00931078" w14:paraId="5F347479" w14:textId="77777777" w:rsidTr="00C11069">
        <w:tc>
          <w:tcPr>
            <w:tcW w:w="993" w:type="dxa"/>
            <w:shd w:val="clear" w:color="auto" w:fill="auto"/>
          </w:tcPr>
          <w:p w14:paraId="3EDE490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lastRenderedPageBreak/>
              <w:t>13</w:t>
            </w:r>
          </w:p>
        </w:tc>
        <w:tc>
          <w:tcPr>
            <w:tcW w:w="2268" w:type="dxa"/>
            <w:shd w:val="clear" w:color="auto" w:fill="auto"/>
          </w:tcPr>
          <w:p w14:paraId="70A41E8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futures exchange operators</w:t>
            </w:r>
          </w:p>
        </w:tc>
        <w:tc>
          <w:tcPr>
            <w:tcW w:w="2026" w:type="dxa"/>
            <w:shd w:val="clear" w:color="auto" w:fill="auto"/>
          </w:tcPr>
          <w:p w14:paraId="633324F6"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shd w:val="clear" w:color="auto" w:fill="auto"/>
          </w:tcPr>
          <w:p w14:paraId="3C1DD300" w14:textId="77777777" w:rsidR="00637593" w:rsidRPr="00931078" w:rsidRDefault="00637593" w:rsidP="002C0010">
            <w:pPr>
              <w:jc w:val="right"/>
              <w:rPr>
                <w:sz w:val="18"/>
                <w:szCs w:val="18"/>
              </w:rPr>
            </w:pPr>
          </w:p>
        </w:tc>
      </w:tr>
      <w:tr w:rsidR="00637593" w:rsidRPr="00931078" w14:paraId="0ECE007D" w14:textId="77777777" w:rsidTr="00C11069">
        <w:tc>
          <w:tcPr>
            <w:tcW w:w="993" w:type="dxa"/>
            <w:shd w:val="clear" w:color="auto" w:fill="auto"/>
          </w:tcPr>
          <w:p w14:paraId="7A653F1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14</w:t>
            </w:r>
          </w:p>
        </w:tc>
        <w:tc>
          <w:tcPr>
            <w:tcW w:w="2268" w:type="dxa"/>
            <w:shd w:val="clear" w:color="auto" w:fill="auto"/>
          </w:tcPr>
          <w:p w14:paraId="193330B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Large futures exchange participants </w:t>
            </w:r>
          </w:p>
        </w:tc>
        <w:tc>
          <w:tcPr>
            <w:tcW w:w="2026" w:type="dxa"/>
            <w:shd w:val="clear" w:color="auto" w:fill="auto"/>
          </w:tcPr>
          <w:p w14:paraId="5BE10657" w14:textId="77777777" w:rsidR="00637593" w:rsidRPr="00931078" w:rsidRDefault="00637593" w:rsidP="002C0010">
            <w:pPr>
              <w:jc w:val="right"/>
              <w:rPr>
                <w:sz w:val="18"/>
                <w:szCs w:val="18"/>
              </w:rPr>
            </w:pPr>
          </w:p>
        </w:tc>
        <w:tc>
          <w:tcPr>
            <w:tcW w:w="2254" w:type="dxa"/>
            <w:shd w:val="clear" w:color="auto" w:fill="auto"/>
          </w:tcPr>
          <w:p w14:paraId="62BD2F57" w14:textId="77777777" w:rsidR="00637593" w:rsidRPr="00931078" w:rsidRDefault="00637593" w:rsidP="0025483A">
            <w:pPr>
              <w:jc w:val="right"/>
              <w:rPr>
                <w:sz w:val="18"/>
                <w:szCs w:val="18"/>
              </w:rPr>
            </w:pPr>
            <w:r w:rsidRPr="00931078">
              <w:rPr>
                <w:sz w:val="18"/>
                <w:szCs w:val="18"/>
              </w:rPr>
              <w:t xml:space="preserve">Messages and </w:t>
            </w:r>
            <w:r w:rsidR="0025483A" w:rsidRPr="00D03E5F">
              <w:rPr>
                <w:sz w:val="18"/>
                <w:szCs w:val="18"/>
              </w:rPr>
              <w:t>lots</w:t>
            </w:r>
          </w:p>
        </w:tc>
      </w:tr>
      <w:tr w:rsidR="00637593" w:rsidRPr="00931078" w14:paraId="2C07DA02" w14:textId="77777777" w:rsidTr="00C11069">
        <w:tc>
          <w:tcPr>
            <w:tcW w:w="993" w:type="dxa"/>
            <w:shd w:val="clear" w:color="auto" w:fill="auto"/>
          </w:tcPr>
          <w:p w14:paraId="0FF573C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15</w:t>
            </w:r>
          </w:p>
        </w:tc>
        <w:tc>
          <w:tcPr>
            <w:tcW w:w="2268" w:type="dxa"/>
            <w:shd w:val="clear" w:color="auto" w:fill="auto"/>
          </w:tcPr>
          <w:p w14:paraId="5666A3B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proprietary companies</w:t>
            </w:r>
          </w:p>
        </w:tc>
        <w:tc>
          <w:tcPr>
            <w:tcW w:w="2026" w:type="dxa"/>
            <w:shd w:val="clear" w:color="auto" w:fill="auto"/>
          </w:tcPr>
          <w:p w14:paraId="3AA41700"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44131B37" w14:textId="77777777" w:rsidR="00637593" w:rsidRPr="00931078" w:rsidRDefault="00637593" w:rsidP="002C0010">
            <w:pPr>
              <w:jc w:val="right"/>
              <w:rPr>
                <w:sz w:val="18"/>
                <w:szCs w:val="18"/>
              </w:rPr>
            </w:pPr>
          </w:p>
        </w:tc>
      </w:tr>
      <w:tr w:rsidR="00637593" w:rsidRPr="00931078" w14:paraId="469C2C6B" w14:textId="77777777" w:rsidTr="00070253">
        <w:trPr>
          <w:cantSplit/>
        </w:trPr>
        <w:tc>
          <w:tcPr>
            <w:tcW w:w="993" w:type="dxa"/>
            <w:shd w:val="clear" w:color="auto" w:fill="auto"/>
          </w:tcPr>
          <w:p w14:paraId="44434E1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16</w:t>
            </w:r>
          </w:p>
        </w:tc>
        <w:tc>
          <w:tcPr>
            <w:tcW w:w="2268" w:type="dxa"/>
            <w:shd w:val="clear" w:color="auto" w:fill="auto"/>
          </w:tcPr>
          <w:p w14:paraId="6517167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securities exchange operators</w:t>
            </w:r>
          </w:p>
        </w:tc>
        <w:tc>
          <w:tcPr>
            <w:tcW w:w="2026" w:type="dxa"/>
            <w:shd w:val="clear" w:color="auto" w:fill="auto"/>
          </w:tcPr>
          <w:p w14:paraId="41C53B07" w14:textId="77777777" w:rsidR="00637593" w:rsidRPr="00931078" w:rsidRDefault="00637593" w:rsidP="002C0010">
            <w:pPr>
              <w:jc w:val="right"/>
              <w:rPr>
                <w:sz w:val="18"/>
                <w:szCs w:val="18"/>
              </w:rPr>
            </w:pPr>
            <w:r w:rsidRPr="00931078">
              <w:rPr>
                <w:sz w:val="18"/>
                <w:szCs w:val="18"/>
              </w:rPr>
              <w:t>Value of all transactions on exchange</w:t>
            </w:r>
          </w:p>
        </w:tc>
        <w:tc>
          <w:tcPr>
            <w:tcW w:w="2254" w:type="dxa"/>
            <w:shd w:val="clear" w:color="auto" w:fill="auto"/>
          </w:tcPr>
          <w:p w14:paraId="4676620B" w14:textId="77777777" w:rsidR="00637593" w:rsidRPr="00931078" w:rsidRDefault="00637593" w:rsidP="002C0010">
            <w:pPr>
              <w:jc w:val="right"/>
              <w:rPr>
                <w:sz w:val="18"/>
                <w:szCs w:val="18"/>
              </w:rPr>
            </w:pPr>
          </w:p>
        </w:tc>
      </w:tr>
      <w:tr w:rsidR="00637593" w:rsidRPr="00931078" w14:paraId="55A442CF" w14:textId="77777777" w:rsidTr="00070253">
        <w:trPr>
          <w:cantSplit/>
        </w:trPr>
        <w:tc>
          <w:tcPr>
            <w:tcW w:w="993" w:type="dxa"/>
            <w:shd w:val="clear" w:color="auto" w:fill="auto"/>
          </w:tcPr>
          <w:p w14:paraId="7060D85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17</w:t>
            </w:r>
          </w:p>
        </w:tc>
        <w:tc>
          <w:tcPr>
            <w:tcW w:w="2268" w:type="dxa"/>
            <w:shd w:val="clear" w:color="auto" w:fill="auto"/>
          </w:tcPr>
          <w:p w14:paraId="4E5868C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securities exchange participants</w:t>
            </w:r>
          </w:p>
        </w:tc>
        <w:tc>
          <w:tcPr>
            <w:tcW w:w="2026" w:type="dxa"/>
            <w:shd w:val="clear" w:color="auto" w:fill="auto"/>
          </w:tcPr>
          <w:p w14:paraId="30B89F24" w14:textId="77777777" w:rsidR="00637593" w:rsidRPr="00931078" w:rsidRDefault="00637593" w:rsidP="002C0010">
            <w:pPr>
              <w:jc w:val="right"/>
              <w:rPr>
                <w:sz w:val="18"/>
                <w:szCs w:val="18"/>
              </w:rPr>
            </w:pPr>
          </w:p>
        </w:tc>
        <w:tc>
          <w:tcPr>
            <w:tcW w:w="2254" w:type="dxa"/>
            <w:shd w:val="clear" w:color="auto" w:fill="auto"/>
          </w:tcPr>
          <w:p w14:paraId="35BE03CB" w14:textId="77777777" w:rsidR="00637593" w:rsidRPr="00931078" w:rsidRDefault="00637593" w:rsidP="002C0010">
            <w:pPr>
              <w:jc w:val="right"/>
              <w:rPr>
                <w:sz w:val="18"/>
                <w:szCs w:val="18"/>
              </w:rPr>
            </w:pPr>
            <w:r w:rsidRPr="00931078">
              <w:rPr>
                <w:sz w:val="18"/>
                <w:szCs w:val="18"/>
              </w:rPr>
              <w:t>Messages and transactions</w:t>
            </w:r>
          </w:p>
        </w:tc>
      </w:tr>
      <w:tr w:rsidR="00637593" w:rsidRPr="00931078" w14:paraId="150DEC0F" w14:textId="77777777" w:rsidTr="00C11069">
        <w:tc>
          <w:tcPr>
            <w:tcW w:w="993" w:type="dxa"/>
            <w:shd w:val="clear" w:color="auto" w:fill="auto"/>
          </w:tcPr>
          <w:p w14:paraId="19A3E4A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18</w:t>
            </w:r>
          </w:p>
        </w:tc>
        <w:tc>
          <w:tcPr>
            <w:tcW w:w="2268" w:type="dxa"/>
            <w:shd w:val="clear" w:color="auto" w:fill="auto"/>
          </w:tcPr>
          <w:p w14:paraId="3F87B24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Licensees that provide only general advice to retail clients or wholesale clients  </w:t>
            </w:r>
          </w:p>
        </w:tc>
        <w:tc>
          <w:tcPr>
            <w:tcW w:w="2026" w:type="dxa"/>
            <w:shd w:val="clear" w:color="auto" w:fill="auto"/>
          </w:tcPr>
          <w:p w14:paraId="53CE74C7"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3262D83A" w14:textId="77777777" w:rsidR="00637593" w:rsidRPr="00931078" w:rsidRDefault="00637593" w:rsidP="002C0010">
            <w:pPr>
              <w:jc w:val="right"/>
              <w:rPr>
                <w:sz w:val="18"/>
                <w:szCs w:val="18"/>
              </w:rPr>
            </w:pPr>
          </w:p>
        </w:tc>
      </w:tr>
      <w:tr w:rsidR="00637593" w:rsidRPr="00931078" w14:paraId="07000C40" w14:textId="77777777" w:rsidTr="00C11069">
        <w:tc>
          <w:tcPr>
            <w:tcW w:w="993" w:type="dxa"/>
            <w:shd w:val="clear" w:color="auto" w:fill="auto"/>
          </w:tcPr>
          <w:p w14:paraId="5225BDC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19</w:t>
            </w:r>
          </w:p>
        </w:tc>
        <w:tc>
          <w:tcPr>
            <w:tcW w:w="2268" w:type="dxa"/>
            <w:shd w:val="clear" w:color="auto" w:fill="auto"/>
          </w:tcPr>
          <w:p w14:paraId="0CEDB22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Licensees that provide personal advice on relevant financial products to retail clients </w:t>
            </w:r>
          </w:p>
        </w:tc>
        <w:tc>
          <w:tcPr>
            <w:tcW w:w="2026" w:type="dxa"/>
            <w:shd w:val="clear" w:color="auto" w:fill="auto"/>
          </w:tcPr>
          <w:p w14:paraId="15D8C44F" w14:textId="77777777" w:rsidR="00637593" w:rsidRPr="00931078" w:rsidRDefault="00637593" w:rsidP="002C0010">
            <w:pPr>
              <w:jc w:val="right"/>
              <w:rPr>
                <w:sz w:val="18"/>
                <w:szCs w:val="18"/>
              </w:rPr>
            </w:pPr>
          </w:p>
        </w:tc>
        <w:tc>
          <w:tcPr>
            <w:tcW w:w="2254" w:type="dxa"/>
            <w:shd w:val="clear" w:color="auto" w:fill="auto"/>
          </w:tcPr>
          <w:p w14:paraId="37EFD661" w14:textId="77777777" w:rsidR="00637593" w:rsidRPr="00931078" w:rsidRDefault="00F429E9" w:rsidP="002C0010">
            <w:pPr>
              <w:jc w:val="right"/>
              <w:rPr>
                <w:sz w:val="18"/>
                <w:szCs w:val="18"/>
              </w:rPr>
            </w:pPr>
            <w:r w:rsidRPr="007B0101">
              <w:rPr>
                <w:sz w:val="18"/>
                <w:szCs w:val="18"/>
              </w:rPr>
              <w:t>Number of financial advisers</w:t>
            </w:r>
          </w:p>
        </w:tc>
      </w:tr>
      <w:tr w:rsidR="00637593" w:rsidRPr="00931078" w14:paraId="61509C87" w14:textId="77777777" w:rsidTr="00C11069">
        <w:tc>
          <w:tcPr>
            <w:tcW w:w="993" w:type="dxa"/>
            <w:shd w:val="clear" w:color="auto" w:fill="auto"/>
          </w:tcPr>
          <w:p w14:paraId="27E2B1E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20</w:t>
            </w:r>
          </w:p>
        </w:tc>
        <w:tc>
          <w:tcPr>
            <w:tcW w:w="2268" w:type="dxa"/>
            <w:shd w:val="clear" w:color="auto" w:fill="auto"/>
          </w:tcPr>
          <w:p w14:paraId="3ECF4BF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Licensees that provide personal advice to only wholesale clients</w:t>
            </w:r>
          </w:p>
        </w:tc>
        <w:tc>
          <w:tcPr>
            <w:tcW w:w="2026" w:type="dxa"/>
            <w:shd w:val="clear" w:color="auto" w:fill="auto"/>
          </w:tcPr>
          <w:p w14:paraId="31A2689F"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3E947B72" w14:textId="77777777" w:rsidR="00637593" w:rsidRPr="00931078" w:rsidRDefault="00637593" w:rsidP="002C0010">
            <w:pPr>
              <w:jc w:val="right"/>
              <w:rPr>
                <w:sz w:val="18"/>
                <w:szCs w:val="18"/>
              </w:rPr>
            </w:pPr>
          </w:p>
        </w:tc>
      </w:tr>
      <w:tr w:rsidR="00637593" w:rsidRPr="00931078" w14:paraId="15C1041E" w14:textId="77777777" w:rsidTr="00C11069">
        <w:tc>
          <w:tcPr>
            <w:tcW w:w="993" w:type="dxa"/>
            <w:shd w:val="clear" w:color="auto" w:fill="auto"/>
          </w:tcPr>
          <w:p w14:paraId="6C91D84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21</w:t>
            </w:r>
          </w:p>
        </w:tc>
        <w:tc>
          <w:tcPr>
            <w:tcW w:w="2268" w:type="dxa"/>
            <w:shd w:val="clear" w:color="auto" w:fill="auto"/>
          </w:tcPr>
          <w:p w14:paraId="3222476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Licensees that provide personal advice to retail clients on only products that are not relevant financial products </w:t>
            </w:r>
          </w:p>
        </w:tc>
        <w:tc>
          <w:tcPr>
            <w:tcW w:w="2026" w:type="dxa"/>
            <w:shd w:val="clear" w:color="auto" w:fill="auto"/>
          </w:tcPr>
          <w:p w14:paraId="681AE65B" w14:textId="77777777" w:rsidR="00637593" w:rsidRPr="00931078" w:rsidRDefault="00637593" w:rsidP="002C0010">
            <w:pPr>
              <w:jc w:val="right"/>
              <w:rPr>
                <w:sz w:val="18"/>
                <w:szCs w:val="18"/>
              </w:rPr>
            </w:pPr>
            <w:r w:rsidRPr="00931078">
              <w:rPr>
                <w:sz w:val="18"/>
                <w:szCs w:val="18"/>
              </w:rPr>
              <w:t>Number of days the licence was held</w:t>
            </w:r>
          </w:p>
        </w:tc>
        <w:tc>
          <w:tcPr>
            <w:tcW w:w="2254" w:type="dxa"/>
            <w:shd w:val="clear" w:color="auto" w:fill="auto"/>
          </w:tcPr>
          <w:p w14:paraId="6B040F04" w14:textId="77777777" w:rsidR="00637593" w:rsidRPr="00931078" w:rsidRDefault="00637593" w:rsidP="002C0010">
            <w:pPr>
              <w:jc w:val="right"/>
              <w:rPr>
                <w:sz w:val="18"/>
                <w:szCs w:val="18"/>
              </w:rPr>
            </w:pPr>
          </w:p>
        </w:tc>
      </w:tr>
      <w:tr w:rsidR="00637593" w:rsidRPr="00931078" w14:paraId="51A71892" w14:textId="77777777" w:rsidTr="00C11069">
        <w:tc>
          <w:tcPr>
            <w:tcW w:w="993" w:type="dxa"/>
            <w:shd w:val="clear" w:color="auto" w:fill="auto"/>
          </w:tcPr>
          <w:p w14:paraId="28C7A986"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22</w:t>
            </w:r>
          </w:p>
        </w:tc>
        <w:tc>
          <w:tcPr>
            <w:tcW w:w="2268" w:type="dxa"/>
            <w:shd w:val="clear" w:color="auto" w:fill="auto"/>
          </w:tcPr>
          <w:p w14:paraId="0EBF3D1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Listed corporations</w:t>
            </w:r>
          </w:p>
        </w:tc>
        <w:tc>
          <w:tcPr>
            <w:tcW w:w="2026" w:type="dxa"/>
            <w:shd w:val="clear" w:color="auto" w:fill="auto"/>
          </w:tcPr>
          <w:p w14:paraId="59986DA8" w14:textId="77777777" w:rsidR="00637593" w:rsidRPr="00931078" w:rsidRDefault="00637593" w:rsidP="002C0010">
            <w:pPr>
              <w:jc w:val="right"/>
              <w:rPr>
                <w:sz w:val="18"/>
                <w:szCs w:val="18"/>
              </w:rPr>
            </w:pPr>
          </w:p>
        </w:tc>
        <w:tc>
          <w:tcPr>
            <w:tcW w:w="2254" w:type="dxa"/>
            <w:shd w:val="clear" w:color="auto" w:fill="auto"/>
          </w:tcPr>
          <w:p w14:paraId="47B3A3FE" w14:textId="77777777" w:rsidR="00637593" w:rsidRPr="00931078" w:rsidRDefault="00637593" w:rsidP="002C0010">
            <w:pPr>
              <w:jc w:val="right"/>
              <w:rPr>
                <w:sz w:val="18"/>
                <w:szCs w:val="18"/>
              </w:rPr>
            </w:pPr>
            <w:r w:rsidRPr="00931078">
              <w:rPr>
                <w:sz w:val="18"/>
                <w:szCs w:val="18"/>
              </w:rPr>
              <w:t>Market capitalisation</w:t>
            </w:r>
          </w:p>
        </w:tc>
      </w:tr>
      <w:tr w:rsidR="00637593" w:rsidRPr="00931078" w14:paraId="5298DD42" w14:textId="77777777" w:rsidTr="00C11069">
        <w:tc>
          <w:tcPr>
            <w:tcW w:w="993" w:type="dxa"/>
            <w:shd w:val="clear" w:color="auto" w:fill="auto"/>
          </w:tcPr>
          <w:p w14:paraId="126675F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23</w:t>
            </w:r>
          </w:p>
        </w:tc>
        <w:tc>
          <w:tcPr>
            <w:tcW w:w="2268" w:type="dxa"/>
            <w:shd w:val="clear" w:color="auto" w:fill="auto"/>
          </w:tcPr>
          <w:p w14:paraId="7FC7CE1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Managed discretionary account providers </w:t>
            </w:r>
          </w:p>
        </w:tc>
        <w:tc>
          <w:tcPr>
            <w:tcW w:w="2026" w:type="dxa"/>
            <w:shd w:val="clear" w:color="auto" w:fill="auto"/>
          </w:tcPr>
          <w:p w14:paraId="2F3AD20D" w14:textId="77777777" w:rsidR="00637593" w:rsidRPr="00931078" w:rsidRDefault="00637593" w:rsidP="002C0010">
            <w:pPr>
              <w:jc w:val="right"/>
              <w:rPr>
                <w:sz w:val="18"/>
                <w:szCs w:val="18"/>
              </w:rPr>
            </w:pPr>
            <w:r w:rsidRPr="00931078">
              <w:rPr>
                <w:sz w:val="18"/>
                <w:szCs w:val="18"/>
              </w:rPr>
              <w:t xml:space="preserve">Number of days the licence was held </w:t>
            </w:r>
          </w:p>
        </w:tc>
        <w:tc>
          <w:tcPr>
            <w:tcW w:w="2254" w:type="dxa"/>
            <w:shd w:val="clear" w:color="auto" w:fill="auto"/>
          </w:tcPr>
          <w:p w14:paraId="7E991A74" w14:textId="77777777" w:rsidR="00637593" w:rsidRPr="00931078" w:rsidRDefault="00637593" w:rsidP="002C0010">
            <w:pPr>
              <w:jc w:val="right"/>
              <w:rPr>
                <w:sz w:val="18"/>
                <w:szCs w:val="18"/>
              </w:rPr>
            </w:pPr>
          </w:p>
        </w:tc>
      </w:tr>
      <w:tr w:rsidR="00637593" w:rsidRPr="00931078" w14:paraId="7166D2F2" w14:textId="77777777" w:rsidTr="00C11069">
        <w:tc>
          <w:tcPr>
            <w:tcW w:w="993" w:type="dxa"/>
            <w:shd w:val="clear" w:color="auto" w:fill="auto"/>
          </w:tcPr>
          <w:p w14:paraId="4D6D1666"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24</w:t>
            </w:r>
          </w:p>
        </w:tc>
        <w:tc>
          <w:tcPr>
            <w:tcW w:w="2268" w:type="dxa"/>
            <w:shd w:val="clear" w:color="auto" w:fill="auto"/>
          </w:tcPr>
          <w:p w14:paraId="6D0136B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Margin lenders</w:t>
            </w:r>
          </w:p>
        </w:tc>
        <w:tc>
          <w:tcPr>
            <w:tcW w:w="2026" w:type="dxa"/>
            <w:shd w:val="clear" w:color="auto" w:fill="auto"/>
          </w:tcPr>
          <w:p w14:paraId="629C3D3A" w14:textId="77777777" w:rsidR="00637593" w:rsidRPr="00931078" w:rsidRDefault="00637593" w:rsidP="002C0010">
            <w:pPr>
              <w:jc w:val="right"/>
              <w:rPr>
                <w:sz w:val="18"/>
                <w:szCs w:val="18"/>
              </w:rPr>
            </w:pPr>
            <w:r w:rsidRPr="00931078">
              <w:rPr>
                <w:sz w:val="18"/>
                <w:szCs w:val="18"/>
              </w:rPr>
              <w:t xml:space="preserve">Number of days the licence was held </w:t>
            </w:r>
          </w:p>
        </w:tc>
        <w:tc>
          <w:tcPr>
            <w:tcW w:w="2254" w:type="dxa"/>
            <w:shd w:val="clear" w:color="auto" w:fill="auto"/>
          </w:tcPr>
          <w:p w14:paraId="1EE5CFEF" w14:textId="77777777" w:rsidR="00637593" w:rsidRPr="00931078" w:rsidRDefault="00637593" w:rsidP="002C0010">
            <w:pPr>
              <w:jc w:val="right"/>
              <w:rPr>
                <w:sz w:val="18"/>
                <w:szCs w:val="18"/>
              </w:rPr>
            </w:pPr>
          </w:p>
        </w:tc>
      </w:tr>
      <w:tr w:rsidR="00C11069" w:rsidRPr="00D03E5F" w14:paraId="4A1EB3B6" w14:textId="77777777" w:rsidTr="00C11069">
        <w:tc>
          <w:tcPr>
            <w:tcW w:w="993" w:type="dxa"/>
            <w:shd w:val="clear" w:color="auto" w:fill="auto"/>
          </w:tcPr>
          <w:p w14:paraId="10B786ED"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24A</w:t>
            </w:r>
          </w:p>
        </w:tc>
        <w:tc>
          <w:tcPr>
            <w:tcW w:w="2268" w:type="dxa"/>
            <w:shd w:val="clear" w:color="auto" w:fill="auto"/>
          </w:tcPr>
          <w:p w14:paraId="6BBFF30F"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New specialised market operators</w:t>
            </w:r>
          </w:p>
        </w:tc>
        <w:tc>
          <w:tcPr>
            <w:tcW w:w="2026" w:type="dxa"/>
            <w:shd w:val="clear" w:color="auto" w:fill="auto"/>
          </w:tcPr>
          <w:p w14:paraId="3DDC72CC" w14:textId="77777777" w:rsidR="00C11069" w:rsidRPr="00D03E5F" w:rsidRDefault="002C0010" w:rsidP="002C0010">
            <w:pPr>
              <w:jc w:val="right"/>
              <w:rPr>
                <w:sz w:val="18"/>
                <w:szCs w:val="18"/>
              </w:rPr>
            </w:pPr>
            <w:r w:rsidRPr="00D03E5F">
              <w:rPr>
                <w:sz w:val="18"/>
                <w:szCs w:val="18"/>
              </w:rPr>
              <w:t xml:space="preserve">Number of days the market was operated </w:t>
            </w:r>
          </w:p>
        </w:tc>
        <w:tc>
          <w:tcPr>
            <w:tcW w:w="2254" w:type="dxa"/>
            <w:shd w:val="clear" w:color="auto" w:fill="auto"/>
          </w:tcPr>
          <w:p w14:paraId="4D2CC8C3" w14:textId="77777777" w:rsidR="00C11069" w:rsidRPr="00D03E5F" w:rsidRDefault="00C11069" w:rsidP="002C0010">
            <w:pPr>
              <w:jc w:val="right"/>
              <w:rPr>
                <w:sz w:val="18"/>
                <w:szCs w:val="18"/>
              </w:rPr>
            </w:pPr>
          </w:p>
        </w:tc>
      </w:tr>
      <w:tr w:rsidR="00637593" w:rsidRPr="00931078" w14:paraId="500441CA" w14:textId="77777777" w:rsidTr="00C11069">
        <w:tc>
          <w:tcPr>
            <w:tcW w:w="993" w:type="dxa"/>
            <w:shd w:val="clear" w:color="auto" w:fill="auto"/>
          </w:tcPr>
          <w:p w14:paraId="16E122E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25</w:t>
            </w:r>
          </w:p>
        </w:tc>
        <w:tc>
          <w:tcPr>
            <w:tcW w:w="2268" w:type="dxa"/>
            <w:shd w:val="clear" w:color="auto" w:fill="auto"/>
          </w:tcPr>
          <w:p w14:paraId="56051DA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Operators of investor directed portfolio services </w:t>
            </w:r>
          </w:p>
        </w:tc>
        <w:tc>
          <w:tcPr>
            <w:tcW w:w="2026" w:type="dxa"/>
            <w:shd w:val="clear" w:color="auto" w:fill="auto"/>
          </w:tcPr>
          <w:p w14:paraId="1D4FAE25" w14:textId="77777777" w:rsidR="00637593" w:rsidRPr="00931078" w:rsidRDefault="00637593" w:rsidP="002C0010">
            <w:pPr>
              <w:jc w:val="right"/>
              <w:rPr>
                <w:sz w:val="18"/>
                <w:szCs w:val="18"/>
              </w:rPr>
            </w:pPr>
          </w:p>
        </w:tc>
        <w:tc>
          <w:tcPr>
            <w:tcW w:w="2254" w:type="dxa"/>
            <w:shd w:val="clear" w:color="auto" w:fill="auto"/>
          </w:tcPr>
          <w:p w14:paraId="14D87B70" w14:textId="77777777" w:rsidR="00637593" w:rsidRPr="00931078" w:rsidRDefault="00637593" w:rsidP="002C0010">
            <w:pPr>
              <w:jc w:val="right"/>
              <w:rPr>
                <w:sz w:val="18"/>
                <w:szCs w:val="18"/>
              </w:rPr>
            </w:pPr>
            <w:r w:rsidRPr="00931078">
              <w:rPr>
                <w:sz w:val="18"/>
                <w:szCs w:val="18"/>
              </w:rPr>
              <w:t>Gross revenue</w:t>
            </w:r>
          </w:p>
        </w:tc>
      </w:tr>
      <w:tr w:rsidR="00C11069" w:rsidRPr="00D03E5F" w14:paraId="6A19B0A1" w14:textId="77777777" w:rsidTr="00C11069">
        <w:tc>
          <w:tcPr>
            <w:tcW w:w="993" w:type="dxa"/>
            <w:shd w:val="clear" w:color="auto" w:fill="auto"/>
          </w:tcPr>
          <w:p w14:paraId="4E5CD4DF"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25A</w:t>
            </w:r>
          </w:p>
        </w:tc>
        <w:tc>
          <w:tcPr>
            <w:tcW w:w="2268" w:type="dxa"/>
            <w:shd w:val="clear" w:color="auto" w:fill="auto"/>
          </w:tcPr>
          <w:p w14:paraId="5A5F5DD4"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Operators of notified foreign passport funds and regulated former notified funds</w:t>
            </w:r>
          </w:p>
        </w:tc>
        <w:tc>
          <w:tcPr>
            <w:tcW w:w="2026" w:type="dxa"/>
            <w:shd w:val="clear" w:color="auto" w:fill="auto"/>
          </w:tcPr>
          <w:p w14:paraId="179F80A9" w14:textId="77777777" w:rsidR="00C11069" w:rsidRPr="00D03E5F" w:rsidRDefault="00C11069" w:rsidP="002C0010">
            <w:pPr>
              <w:jc w:val="right"/>
              <w:rPr>
                <w:sz w:val="18"/>
                <w:szCs w:val="18"/>
              </w:rPr>
            </w:pPr>
          </w:p>
        </w:tc>
        <w:tc>
          <w:tcPr>
            <w:tcW w:w="2254" w:type="dxa"/>
            <w:shd w:val="clear" w:color="auto" w:fill="auto"/>
          </w:tcPr>
          <w:p w14:paraId="5D17836C" w14:textId="77777777" w:rsidR="00C11069" w:rsidRPr="00D03E5F" w:rsidRDefault="001E15F7" w:rsidP="002C0010">
            <w:pPr>
              <w:jc w:val="right"/>
              <w:rPr>
                <w:sz w:val="18"/>
                <w:szCs w:val="18"/>
              </w:rPr>
            </w:pPr>
            <w:r w:rsidRPr="00D03E5F">
              <w:rPr>
                <w:sz w:val="18"/>
                <w:szCs w:val="18"/>
              </w:rPr>
              <w:t>Value of Australian</w:t>
            </w:r>
            <w:r w:rsidR="00D03E5F">
              <w:rPr>
                <w:sz w:val="18"/>
                <w:szCs w:val="18"/>
              </w:rPr>
              <w:t xml:space="preserve"> </w:t>
            </w:r>
            <w:r w:rsidRPr="00D03E5F">
              <w:rPr>
                <w:sz w:val="18"/>
                <w:szCs w:val="18"/>
              </w:rPr>
              <w:t>assets</w:t>
            </w:r>
          </w:p>
        </w:tc>
      </w:tr>
      <w:tr w:rsidR="00637593" w:rsidRPr="00931078" w14:paraId="6561B0B2" w14:textId="77777777" w:rsidTr="00C11069">
        <w:tc>
          <w:tcPr>
            <w:tcW w:w="993" w:type="dxa"/>
            <w:shd w:val="clear" w:color="auto" w:fill="auto"/>
          </w:tcPr>
          <w:p w14:paraId="769A0DF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26</w:t>
            </w:r>
          </w:p>
        </w:tc>
        <w:tc>
          <w:tcPr>
            <w:tcW w:w="2268" w:type="dxa"/>
            <w:shd w:val="clear" w:color="auto" w:fill="auto"/>
          </w:tcPr>
          <w:p w14:paraId="0F17ACA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Overseas market operators</w:t>
            </w:r>
          </w:p>
        </w:tc>
        <w:tc>
          <w:tcPr>
            <w:tcW w:w="2026" w:type="dxa"/>
            <w:shd w:val="clear" w:color="auto" w:fill="auto"/>
          </w:tcPr>
          <w:p w14:paraId="1A4670EF" w14:textId="77777777" w:rsidR="00637593" w:rsidRPr="00931078" w:rsidRDefault="00637593" w:rsidP="002C0010">
            <w:pPr>
              <w:jc w:val="right"/>
              <w:rPr>
                <w:sz w:val="18"/>
                <w:szCs w:val="18"/>
              </w:rPr>
            </w:pPr>
            <w:r w:rsidRPr="00931078">
              <w:rPr>
                <w:sz w:val="18"/>
                <w:szCs w:val="18"/>
              </w:rPr>
              <w:t>Number of days the market was operated</w:t>
            </w:r>
          </w:p>
        </w:tc>
        <w:tc>
          <w:tcPr>
            <w:tcW w:w="2254" w:type="dxa"/>
            <w:shd w:val="clear" w:color="auto" w:fill="auto"/>
          </w:tcPr>
          <w:p w14:paraId="1B674F80" w14:textId="77777777" w:rsidR="00637593" w:rsidRPr="00931078" w:rsidRDefault="00637593" w:rsidP="002C0010">
            <w:pPr>
              <w:jc w:val="right"/>
              <w:rPr>
                <w:sz w:val="18"/>
                <w:szCs w:val="18"/>
              </w:rPr>
            </w:pPr>
          </w:p>
        </w:tc>
      </w:tr>
      <w:tr w:rsidR="00637593" w:rsidRPr="00931078" w14:paraId="301995BA" w14:textId="77777777" w:rsidTr="00C11069">
        <w:tc>
          <w:tcPr>
            <w:tcW w:w="993" w:type="dxa"/>
            <w:shd w:val="clear" w:color="auto" w:fill="auto"/>
          </w:tcPr>
          <w:p w14:paraId="6FC49CA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27</w:t>
            </w:r>
          </w:p>
        </w:tc>
        <w:tc>
          <w:tcPr>
            <w:tcW w:w="2268" w:type="dxa"/>
            <w:shd w:val="clear" w:color="auto" w:fill="auto"/>
          </w:tcPr>
          <w:p w14:paraId="64BA22B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Over-the-counter traders</w:t>
            </w:r>
          </w:p>
        </w:tc>
        <w:tc>
          <w:tcPr>
            <w:tcW w:w="2026" w:type="dxa"/>
            <w:shd w:val="clear" w:color="auto" w:fill="auto"/>
          </w:tcPr>
          <w:p w14:paraId="53D25F95" w14:textId="77777777" w:rsidR="00637593" w:rsidRPr="00931078" w:rsidRDefault="00637593" w:rsidP="002C0010">
            <w:pPr>
              <w:jc w:val="right"/>
              <w:rPr>
                <w:sz w:val="18"/>
                <w:szCs w:val="18"/>
              </w:rPr>
            </w:pPr>
          </w:p>
        </w:tc>
        <w:tc>
          <w:tcPr>
            <w:tcW w:w="2254" w:type="dxa"/>
            <w:shd w:val="clear" w:color="auto" w:fill="auto"/>
          </w:tcPr>
          <w:p w14:paraId="48A9AB33" w14:textId="77777777" w:rsidR="00637593" w:rsidRPr="00931078" w:rsidRDefault="00637593" w:rsidP="002C0010">
            <w:pPr>
              <w:jc w:val="right"/>
              <w:rPr>
                <w:sz w:val="18"/>
                <w:szCs w:val="18"/>
              </w:rPr>
            </w:pPr>
            <w:r w:rsidRPr="00931078">
              <w:rPr>
                <w:sz w:val="18"/>
                <w:szCs w:val="18"/>
              </w:rPr>
              <w:t>Number of persons acting on behalf of the entity</w:t>
            </w:r>
          </w:p>
        </w:tc>
      </w:tr>
      <w:tr w:rsidR="00637593" w:rsidRPr="00931078" w14:paraId="2FC90493" w14:textId="77777777" w:rsidTr="00C11069">
        <w:tc>
          <w:tcPr>
            <w:tcW w:w="993" w:type="dxa"/>
            <w:shd w:val="clear" w:color="auto" w:fill="auto"/>
          </w:tcPr>
          <w:p w14:paraId="6091BE0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28</w:t>
            </w:r>
          </w:p>
        </w:tc>
        <w:tc>
          <w:tcPr>
            <w:tcW w:w="2268" w:type="dxa"/>
            <w:shd w:val="clear" w:color="auto" w:fill="auto"/>
          </w:tcPr>
          <w:p w14:paraId="523350D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Payment product providers</w:t>
            </w:r>
          </w:p>
        </w:tc>
        <w:tc>
          <w:tcPr>
            <w:tcW w:w="2026" w:type="dxa"/>
            <w:shd w:val="clear" w:color="auto" w:fill="auto"/>
          </w:tcPr>
          <w:p w14:paraId="15B0C9C2" w14:textId="77777777" w:rsidR="00637593" w:rsidRPr="00931078" w:rsidRDefault="00637593" w:rsidP="002C0010">
            <w:pPr>
              <w:jc w:val="right"/>
              <w:rPr>
                <w:sz w:val="18"/>
                <w:szCs w:val="18"/>
              </w:rPr>
            </w:pPr>
          </w:p>
        </w:tc>
        <w:tc>
          <w:tcPr>
            <w:tcW w:w="2254" w:type="dxa"/>
            <w:shd w:val="clear" w:color="auto" w:fill="auto"/>
          </w:tcPr>
          <w:p w14:paraId="3A38CACE" w14:textId="77777777" w:rsidR="00637593" w:rsidRPr="00AF7676" w:rsidRDefault="00AF7676" w:rsidP="002C0010">
            <w:pPr>
              <w:jc w:val="right"/>
              <w:rPr>
                <w:sz w:val="18"/>
                <w:szCs w:val="18"/>
              </w:rPr>
            </w:pPr>
            <w:r>
              <w:rPr>
                <w:sz w:val="18"/>
                <w:szCs w:val="18"/>
              </w:rPr>
              <w:t>G</w:t>
            </w:r>
            <w:r w:rsidRPr="008F1882">
              <w:rPr>
                <w:sz w:val="18"/>
                <w:szCs w:val="18"/>
              </w:rPr>
              <w:t>ross revenue received in connection with non</w:t>
            </w:r>
            <w:r w:rsidRPr="008F1882">
              <w:rPr>
                <w:sz w:val="18"/>
                <w:szCs w:val="18"/>
              </w:rPr>
              <w:noBreakHyphen/>
              <w:t>cash payment products issued by the entity less expenses incurred from dealing in non</w:t>
            </w:r>
            <w:r w:rsidRPr="008F1882">
              <w:rPr>
                <w:sz w:val="18"/>
                <w:szCs w:val="18"/>
              </w:rPr>
              <w:noBreakHyphen/>
              <w:t>cash payment facilities</w:t>
            </w:r>
          </w:p>
        </w:tc>
      </w:tr>
      <w:tr w:rsidR="00637593" w:rsidRPr="00931078" w14:paraId="6ADF99C3" w14:textId="77777777" w:rsidTr="00C11069">
        <w:tc>
          <w:tcPr>
            <w:tcW w:w="993" w:type="dxa"/>
            <w:shd w:val="clear" w:color="auto" w:fill="auto"/>
          </w:tcPr>
          <w:p w14:paraId="4DC136A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29</w:t>
            </w:r>
          </w:p>
        </w:tc>
        <w:tc>
          <w:tcPr>
            <w:tcW w:w="2268" w:type="dxa"/>
            <w:shd w:val="clear" w:color="auto" w:fill="auto"/>
          </w:tcPr>
          <w:p w14:paraId="085B31F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Public companies (unlisted)</w:t>
            </w:r>
          </w:p>
        </w:tc>
        <w:tc>
          <w:tcPr>
            <w:tcW w:w="2026" w:type="dxa"/>
            <w:shd w:val="clear" w:color="auto" w:fill="auto"/>
          </w:tcPr>
          <w:p w14:paraId="2D987D2A"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4E068315" w14:textId="77777777" w:rsidR="00637593" w:rsidRPr="00931078" w:rsidRDefault="00637593" w:rsidP="002C0010">
            <w:pPr>
              <w:jc w:val="right"/>
              <w:rPr>
                <w:sz w:val="18"/>
                <w:szCs w:val="18"/>
              </w:rPr>
            </w:pPr>
          </w:p>
        </w:tc>
      </w:tr>
      <w:tr w:rsidR="00637593" w:rsidRPr="00931078" w14:paraId="36968263" w14:textId="77777777" w:rsidTr="00C11069">
        <w:tc>
          <w:tcPr>
            <w:tcW w:w="993" w:type="dxa"/>
            <w:shd w:val="clear" w:color="auto" w:fill="auto"/>
          </w:tcPr>
          <w:p w14:paraId="1F1AC59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30</w:t>
            </w:r>
          </w:p>
        </w:tc>
        <w:tc>
          <w:tcPr>
            <w:tcW w:w="2268" w:type="dxa"/>
            <w:shd w:val="clear" w:color="auto" w:fill="auto"/>
          </w:tcPr>
          <w:p w14:paraId="611A7C6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Registered company auditors</w:t>
            </w:r>
          </w:p>
        </w:tc>
        <w:tc>
          <w:tcPr>
            <w:tcW w:w="2026" w:type="dxa"/>
            <w:shd w:val="clear" w:color="auto" w:fill="auto"/>
          </w:tcPr>
          <w:p w14:paraId="5024749B"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219A46B0" w14:textId="77777777" w:rsidR="00637593" w:rsidRPr="00931078" w:rsidRDefault="00637593" w:rsidP="002C0010">
            <w:pPr>
              <w:jc w:val="right"/>
              <w:rPr>
                <w:sz w:val="18"/>
                <w:szCs w:val="18"/>
              </w:rPr>
            </w:pPr>
          </w:p>
        </w:tc>
      </w:tr>
      <w:tr w:rsidR="00637593" w:rsidRPr="00931078" w14:paraId="7AF901EB" w14:textId="77777777" w:rsidTr="00C11069">
        <w:tc>
          <w:tcPr>
            <w:tcW w:w="993" w:type="dxa"/>
            <w:shd w:val="clear" w:color="auto" w:fill="auto"/>
          </w:tcPr>
          <w:p w14:paraId="4714EF8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31</w:t>
            </w:r>
          </w:p>
        </w:tc>
        <w:tc>
          <w:tcPr>
            <w:tcW w:w="2268" w:type="dxa"/>
            <w:shd w:val="clear" w:color="auto" w:fill="auto"/>
          </w:tcPr>
          <w:p w14:paraId="0934CBA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Registered liquidators </w:t>
            </w:r>
          </w:p>
        </w:tc>
        <w:tc>
          <w:tcPr>
            <w:tcW w:w="2026" w:type="dxa"/>
            <w:shd w:val="clear" w:color="auto" w:fill="auto"/>
          </w:tcPr>
          <w:p w14:paraId="4976A54E" w14:textId="77777777" w:rsidR="00637593" w:rsidRPr="00931078" w:rsidRDefault="00637593" w:rsidP="002C0010">
            <w:pPr>
              <w:jc w:val="right"/>
              <w:rPr>
                <w:sz w:val="18"/>
                <w:szCs w:val="18"/>
              </w:rPr>
            </w:pPr>
          </w:p>
        </w:tc>
        <w:tc>
          <w:tcPr>
            <w:tcW w:w="2254" w:type="dxa"/>
            <w:shd w:val="clear" w:color="auto" w:fill="auto"/>
          </w:tcPr>
          <w:p w14:paraId="67B08C08" w14:textId="77777777" w:rsidR="00637593" w:rsidRPr="00931078" w:rsidRDefault="00637593" w:rsidP="002C0010">
            <w:pPr>
              <w:jc w:val="right"/>
              <w:rPr>
                <w:sz w:val="18"/>
                <w:szCs w:val="18"/>
              </w:rPr>
            </w:pPr>
            <w:r w:rsidRPr="00931078">
              <w:rPr>
                <w:sz w:val="18"/>
                <w:szCs w:val="18"/>
              </w:rPr>
              <w:t xml:space="preserve">Appointments, </w:t>
            </w:r>
            <w:proofErr w:type="gramStart"/>
            <w:r w:rsidRPr="00931078">
              <w:rPr>
                <w:sz w:val="18"/>
                <w:szCs w:val="18"/>
              </w:rPr>
              <w:t>notices</w:t>
            </w:r>
            <w:proofErr w:type="gramEnd"/>
            <w:r w:rsidRPr="00931078">
              <w:rPr>
                <w:sz w:val="18"/>
                <w:szCs w:val="18"/>
              </w:rPr>
              <w:t xml:space="preserve"> and lodged documents</w:t>
            </w:r>
          </w:p>
        </w:tc>
      </w:tr>
      <w:tr w:rsidR="00637593" w:rsidRPr="00931078" w14:paraId="3E5A22CD" w14:textId="77777777" w:rsidTr="00C11069">
        <w:tc>
          <w:tcPr>
            <w:tcW w:w="993" w:type="dxa"/>
            <w:shd w:val="clear" w:color="auto" w:fill="auto"/>
          </w:tcPr>
          <w:p w14:paraId="3DCB8D9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lastRenderedPageBreak/>
              <w:t>32</w:t>
            </w:r>
          </w:p>
        </w:tc>
        <w:tc>
          <w:tcPr>
            <w:tcW w:w="2268" w:type="dxa"/>
            <w:shd w:val="clear" w:color="auto" w:fill="auto"/>
          </w:tcPr>
          <w:p w14:paraId="4504494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Responsible entities </w:t>
            </w:r>
          </w:p>
        </w:tc>
        <w:tc>
          <w:tcPr>
            <w:tcW w:w="2026" w:type="dxa"/>
            <w:shd w:val="clear" w:color="auto" w:fill="auto"/>
          </w:tcPr>
          <w:p w14:paraId="507B0333" w14:textId="77777777" w:rsidR="00637593" w:rsidRPr="00931078" w:rsidRDefault="00637593" w:rsidP="002C0010">
            <w:pPr>
              <w:jc w:val="right"/>
              <w:rPr>
                <w:sz w:val="18"/>
                <w:szCs w:val="18"/>
              </w:rPr>
            </w:pPr>
          </w:p>
        </w:tc>
        <w:tc>
          <w:tcPr>
            <w:tcW w:w="2254" w:type="dxa"/>
            <w:shd w:val="clear" w:color="auto" w:fill="auto"/>
          </w:tcPr>
          <w:p w14:paraId="1A36AB66" w14:textId="77777777" w:rsidR="00637593" w:rsidRPr="00931078" w:rsidRDefault="00637593" w:rsidP="002C0010">
            <w:pPr>
              <w:jc w:val="right"/>
              <w:rPr>
                <w:sz w:val="18"/>
                <w:szCs w:val="18"/>
              </w:rPr>
            </w:pPr>
            <w:r w:rsidRPr="00931078">
              <w:rPr>
                <w:sz w:val="18"/>
                <w:szCs w:val="18"/>
              </w:rPr>
              <w:t>Value of assets in all registered schemes</w:t>
            </w:r>
          </w:p>
        </w:tc>
      </w:tr>
      <w:tr w:rsidR="00637593" w:rsidRPr="00931078" w14:paraId="702EABD5" w14:textId="77777777" w:rsidTr="00C11069">
        <w:tc>
          <w:tcPr>
            <w:tcW w:w="993" w:type="dxa"/>
            <w:shd w:val="clear" w:color="auto" w:fill="auto"/>
          </w:tcPr>
          <w:p w14:paraId="22F5D58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33</w:t>
            </w:r>
          </w:p>
        </w:tc>
        <w:tc>
          <w:tcPr>
            <w:tcW w:w="2268" w:type="dxa"/>
            <w:shd w:val="clear" w:color="auto" w:fill="auto"/>
          </w:tcPr>
          <w:p w14:paraId="4C0DB20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Retail over-the-counter derivatives issuers </w:t>
            </w:r>
          </w:p>
        </w:tc>
        <w:tc>
          <w:tcPr>
            <w:tcW w:w="2026" w:type="dxa"/>
            <w:shd w:val="clear" w:color="auto" w:fill="auto"/>
          </w:tcPr>
          <w:p w14:paraId="447468ED" w14:textId="77777777" w:rsidR="00637593" w:rsidRPr="00931078" w:rsidRDefault="00637593" w:rsidP="002C0010">
            <w:pPr>
              <w:jc w:val="right"/>
              <w:rPr>
                <w:sz w:val="18"/>
                <w:szCs w:val="18"/>
              </w:rPr>
            </w:pPr>
            <w:r w:rsidRPr="00931078">
              <w:rPr>
                <w:sz w:val="18"/>
                <w:szCs w:val="18"/>
              </w:rPr>
              <w:t>Number of days the licence</w:t>
            </w:r>
            <w:r w:rsidR="00D03E5F">
              <w:rPr>
                <w:sz w:val="18"/>
                <w:szCs w:val="18"/>
              </w:rPr>
              <w:t xml:space="preserve"> </w:t>
            </w:r>
            <w:r w:rsidRPr="00931078">
              <w:rPr>
                <w:sz w:val="18"/>
                <w:szCs w:val="18"/>
              </w:rPr>
              <w:t>was held</w:t>
            </w:r>
          </w:p>
        </w:tc>
        <w:tc>
          <w:tcPr>
            <w:tcW w:w="2254" w:type="dxa"/>
            <w:shd w:val="clear" w:color="auto" w:fill="auto"/>
          </w:tcPr>
          <w:p w14:paraId="40EA1B86" w14:textId="77777777" w:rsidR="00637593" w:rsidRPr="00931078" w:rsidRDefault="00637593" w:rsidP="002C0010">
            <w:pPr>
              <w:jc w:val="right"/>
              <w:rPr>
                <w:sz w:val="18"/>
                <w:szCs w:val="18"/>
              </w:rPr>
            </w:pPr>
          </w:p>
        </w:tc>
      </w:tr>
      <w:tr w:rsidR="00637593" w:rsidRPr="00931078" w14:paraId="698807B1" w14:textId="77777777" w:rsidTr="00C11069">
        <w:tc>
          <w:tcPr>
            <w:tcW w:w="993" w:type="dxa"/>
            <w:shd w:val="clear" w:color="auto" w:fill="auto"/>
          </w:tcPr>
          <w:p w14:paraId="4983078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34</w:t>
            </w:r>
          </w:p>
        </w:tc>
        <w:tc>
          <w:tcPr>
            <w:tcW w:w="2268" w:type="dxa"/>
            <w:shd w:val="clear" w:color="auto" w:fill="auto"/>
          </w:tcPr>
          <w:p w14:paraId="42C3ED4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Risk management product providers</w:t>
            </w:r>
          </w:p>
        </w:tc>
        <w:tc>
          <w:tcPr>
            <w:tcW w:w="2026" w:type="dxa"/>
            <w:shd w:val="clear" w:color="auto" w:fill="auto"/>
          </w:tcPr>
          <w:p w14:paraId="7171A715" w14:textId="77777777" w:rsidR="00637593" w:rsidRPr="00931078" w:rsidRDefault="00637593" w:rsidP="002C0010">
            <w:pPr>
              <w:jc w:val="right"/>
              <w:rPr>
                <w:sz w:val="18"/>
                <w:szCs w:val="18"/>
              </w:rPr>
            </w:pPr>
            <w:r w:rsidRPr="00931078">
              <w:rPr>
                <w:sz w:val="18"/>
                <w:szCs w:val="18"/>
              </w:rPr>
              <w:t>Number of days the licence</w:t>
            </w:r>
            <w:r w:rsidR="00FA179D">
              <w:rPr>
                <w:sz w:val="18"/>
                <w:szCs w:val="18"/>
              </w:rPr>
              <w:t xml:space="preserve"> </w:t>
            </w:r>
            <w:r w:rsidRPr="00931078">
              <w:rPr>
                <w:sz w:val="18"/>
                <w:szCs w:val="18"/>
              </w:rPr>
              <w:t>was held</w:t>
            </w:r>
          </w:p>
        </w:tc>
        <w:tc>
          <w:tcPr>
            <w:tcW w:w="2254" w:type="dxa"/>
            <w:shd w:val="clear" w:color="auto" w:fill="auto"/>
          </w:tcPr>
          <w:p w14:paraId="3023D3FB" w14:textId="77777777" w:rsidR="00637593" w:rsidRPr="00931078" w:rsidRDefault="00637593" w:rsidP="002C0010">
            <w:pPr>
              <w:jc w:val="right"/>
              <w:rPr>
                <w:sz w:val="18"/>
                <w:szCs w:val="18"/>
              </w:rPr>
            </w:pPr>
          </w:p>
        </w:tc>
      </w:tr>
      <w:tr w:rsidR="00637593" w:rsidRPr="00931078" w14:paraId="2D764684" w14:textId="77777777" w:rsidTr="00C11069">
        <w:tc>
          <w:tcPr>
            <w:tcW w:w="993" w:type="dxa"/>
            <w:shd w:val="clear" w:color="auto" w:fill="auto"/>
          </w:tcPr>
          <w:p w14:paraId="229C046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35</w:t>
            </w:r>
          </w:p>
        </w:tc>
        <w:tc>
          <w:tcPr>
            <w:tcW w:w="2268" w:type="dxa"/>
            <w:shd w:val="clear" w:color="auto" w:fill="auto"/>
          </w:tcPr>
          <w:p w14:paraId="56614A2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Securities dealers</w:t>
            </w:r>
          </w:p>
        </w:tc>
        <w:tc>
          <w:tcPr>
            <w:tcW w:w="2026" w:type="dxa"/>
            <w:shd w:val="clear" w:color="auto" w:fill="auto"/>
          </w:tcPr>
          <w:p w14:paraId="6D67254A" w14:textId="77777777" w:rsidR="00637593" w:rsidRPr="00931078" w:rsidRDefault="00637593" w:rsidP="002C0010">
            <w:pPr>
              <w:jc w:val="right"/>
              <w:rPr>
                <w:sz w:val="18"/>
                <w:szCs w:val="18"/>
              </w:rPr>
            </w:pPr>
          </w:p>
        </w:tc>
        <w:tc>
          <w:tcPr>
            <w:tcW w:w="2254" w:type="dxa"/>
            <w:shd w:val="clear" w:color="auto" w:fill="auto"/>
          </w:tcPr>
          <w:p w14:paraId="290E87A3" w14:textId="77777777" w:rsidR="00637593" w:rsidRPr="00931078" w:rsidRDefault="00637593" w:rsidP="002C0010">
            <w:pPr>
              <w:jc w:val="right"/>
              <w:rPr>
                <w:sz w:val="18"/>
                <w:szCs w:val="18"/>
              </w:rPr>
            </w:pPr>
            <w:r w:rsidRPr="00931078">
              <w:rPr>
                <w:sz w:val="18"/>
                <w:szCs w:val="18"/>
              </w:rPr>
              <w:t>Value of transactions in securities</w:t>
            </w:r>
          </w:p>
        </w:tc>
      </w:tr>
      <w:tr w:rsidR="00637593" w:rsidRPr="00931078" w14:paraId="1E27F473" w14:textId="77777777" w:rsidTr="00C11069">
        <w:tc>
          <w:tcPr>
            <w:tcW w:w="993" w:type="dxa"/>
            <w:shd w:val="clear" w:color="auto" w:fill="auto"/>
          </w:tcPr>
          <w:p w14:paraId="2D7C08A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36</w:t>
            </w:r>
          </w:p>
        </w:tc>
        <w:tc>
          <w:tcPr>
            <w:tcW w:w="2268" w:type="dxa"/>
            <w:shd w:val="clear" w:color="auto" w:fill="auto"/>
          </w:tcPr>
          <w:p w14:paraId="0A659CB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Small </w:t>
            </w:r>
            <w:r w:rsidR="00C11069" w:rsidRPr="00D03E5F">
              <w:rPr>
                <w:rFonts w:eastAsia="Times New Roman"/>
                <w:sz w:val="18"/>
                <w:szCs w:val="18"/>
                <w:lang w:eastAsia="en-AU"/>
              </w:rPr>
              <w:t>and medium</w:t>
            </w:r>
            <w:r w:rsidR="00C11069">
              <w:rPr>
                <w:rFonts w:eastAsia="Times New Roman"/>
                <w:sz w:val="18"/>
                <w:szCs w:val="18"/>
                <w:lang w:eastAsia="en-AU"/>
              </w:rPr>
              <w:t xml:space="preserve"> </w:t>
            </w:r>
            <w:r w:rsidRPr="00931078">
              <w:rPr>
                <w:rFonts w:eastAsia="Times New Roman"/>
                <w:sz w:val="18"/>
                <w:szCs w:val="18"/>
                <w:lang w:eastAsia="en-AU"/>
              </w:rPr>
              <w:t>amount credit providers</w:t>
            </w:r>
          </w:p>
        </w:tc>
        <w:tc>
          <w:tcPr>
            <w:tcW w:w="2026" w:type="dxa"/>
            <w:shd w:val="clear" w:color="auto" w:fill="auto"/>
          </w:tcPr>
          <w:p w14:paraId="773986A5" w14:textId="77777777" w:rsidR="00637593" w:rsidRPr="00931078" w:rsidRDefault="00637593" w:rsidP="002C0010">
            <w:pPr>
              <w:jc w:val="right"/>
              <w:rPr>
                <w:sz w:val="18"/>
                <w:szCs w:val="18"/>
              </w:rPr>
            </w:pPr>
            <w:r w:rsidRPr="00931078">
              <w:rPr>
                <w:sz w:val="18"/>
                <w:szCs w:val="18"/>
              </w:rPr>
              <w:t xml:space="preserve">Gross amount of credit provided  </w:t>
            </w:r>
          </w:p>
        </w:tc>
        <w:tc>
          <w:tcPr>
            <w:tcW w:w="2254" w:type="dxa"/>
            <w:shd w:val="clear" w:color="auto" w:fill="auto"/>
          </w:tcPr>
          <w:p w14:paraId="74EF5F4D" w14:textId="77777777" w:rsidR="00637593" w:rsidRPr="00931078" w:rsidRDefault="00637593" w:rsidP="002C0010">
            <w:pPr>
              <w:jc w:val="right"/>
              <w:rPr>
                <w:sz w:val="18"/>
                <w:szCs w:val="18"/>
              </w:rPr>
            </w:pPr>
          </w:p>
        </w:tc>
      </w:tr>
      <w:tr w:rsidR="00637593" w:rsidRPr="00931078" w14:paraId="4681CBE9" w14:textId="77777777" w:rsidTr="00C11069">
        <w:tc>
          <w:tcPr>
            <w:tcW w:w="993" w:type="dxa"/>
            <w:shd w:val="clear" w:color="auto" w:fill="auto"/>
          </w:tcPr>
          <w:p w14:paraId="7DD9B3C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38</w:t>
            </w:r>
          </w:p>
        </w:tc>
        <w:tc>
          <w:tcPr>
            <w:tcW w:w="2268" w:type="dxa"/>
            <w:shd w:val="clear" w:color="auto" w:fill="auto"/>
          </w:tcPr>
          <w:p w14:paraId="23D27E2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Small futures exchange operators </w:t>
            </w:r>
          </w:p>
        </w:tc>
        <w:tc>
          <w:tcPr>
            <w:tcW w:w="2026" w:type="dxa"/>
            <w:shd w:val="clear" w:color="auto" w:fill="auto"/>
          </w:tcPr>
          <w:p w14:paraId="5D3EAC75"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shd w:val="clear" w:color="auto" w:fill="auto"/>
          </w:tcPr>
          <w:p w14:paraId="486ADBDF" w14:textId="77777777" w:rsidR="00637593" w:rsidRPr="00931078" w:rsidRDefault="00637593" w:rsidP="002C0010">
            <w:pPr>
              <w:jc w:val="right"/>
              <w:rPr>
                <w:sz w:val="18"/>
                <w:szCs w:val="18"/>
              </w:rPr>
            </w:pPr>
          </w:p>
        </w:tc>
      </w:tr>
      <w:tr w:rsidR="00637593" w:rsidRPr="00931078" w14:paraId="473BE3A2" w14:textId="77777777" w:rsidTr="00C11069">
        <w:tc>
          <w:tcPr>
            <w:tcW w:w="993" w:type="dxa"/>
            <w:shd w:val="clear" w:color="auto" w:fill="auto"/>
          </w:tcPr>
          <w:p w14:paraId="7C78719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39</w:t>
            </w:r>
          </w:p>
        </w:tc>
        <w:tc>
          <w:tcPr>
            <w:tcW w:w="2268" w:type="dxa"/>
            <w:shd w:val="clear" w:color="auto" w:fill="auto"/>
          </w:tcPr>
          <w:p w14:paraId="33A9FCA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Small securities exchange operators </w:t>
            </w:r>
          </w:p>
        </w:tc>
        <w:tc>
          <w:tcPr>
            <w:tcW w:w="2026" w:type="dxa"/>
            <w:shd w:val="clear" w:color="auto" w:fill="auto"/>
          </w:tcPr>
          <w:p w14:paraId="1B4D7971"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shd w:val="clear" w:color="auto" w:fill="auto"/>
          </w:tcPr>
          <w:p w14:paraId="0638AC6F" w14:textId="77777777" w:rsidR="00637593" w:rsidRPr="00931078" w:rsidRDefault="00637593" w:rsidP="002C0010">
            <w:pPr>
              <w:jc w:val="right"/>
              <w:rPr>
                <w:sz w:val="18"/>
                <w:szCs w:val="18"/>
              </w:rPr>
            </w:pPr>
          </w:p>
        </w:tc>
      </w:tr>
      <w:tr w:rsidR="00637593" w:rsidRPr="00931078" w14:paraId="333DAF44" w14:textId="77777777" w:rsidTr="00C11069">
        <w:tc>
          <w:tcPr>
            <w:tcW w:w="993" w:type="dxa"/>
            <w:shd w:val="clear" w:color="auto" w:fill="auto"/>
          </w:tcPr>
          <w:p w14:paraId="5F98985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40</w:t>
            </w:r>
          </w:p>
        </w:tc>
        <w:tc>
          <w:tcPr>
            <w:tcW w:w="2268" w:type="dxa"/>
            <w:shd w:val="clear" w:color="auto" w:fill="auto"/>
          </w:tcPr>
          <w:p w14:paraId="7C1A11C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Small securities exchange operators with self-listing function only</w:t>
            </w:r>
          </w:p>
        </w:tc>
        <w:tc>
          <w:tcPr>
            <w:tcW w:w="2026" w:type="dxa"/>
            <w:shd w:val="clear" w:color="auto" w:fill="auto"/>
          </w:tcPr>
          <w:p w14:paraId="0F2A0CDE"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shd w:val="clear" w:color="auto" w:fill="auto"/>
          </w:tcPr>
          <w:p w14:paraId="5B3C4C08" w14:textId="77777777" w:rsidR="00637593" w:rsidRPr="00931078" w:rsidRDefault="00637593" w:rsidP="002C0010">
            <w:pPr>
              <w:jc w:val="right"/>
              <w:rPr>
                <w:sz w:val="18"/>
                <w:szCs w:val="18"/>
              </w:rPr>
            </w:pPr>
          </w:p>
        </w:tc>
      </w:tr>
      <w:tr w:rsidR="00637593" w:rsidRPr="00931078" w14:paraId="60F02EB0" w14:textId="77777777" w:rsidTr="00C11069">
        <w:tc>
          <w:tcPr>
            <w:tcW w:w="993" w:type="dxa"/>
            <w:shd w:val="clear" w:color="auto" w:fill="auto"/>
          </w:tcPr>
          <w:p w14:paraId="60798DC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41</w:t>
            </w:r>
          </w:p>
        </w:tc>
        <w:tc>
          <w:tcPr>
            <w:tcW w:w="2268" w:type="dxa"/>
            <w:shd w:val="clear" w:color="auto" w:fill="auto"/>
          </w:tcPr>
          <w:p w14:paraId="32420A5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Superannuation trustees</w:t>
            </w:r>
          </w:p>
        </w:tc>
        <w:tc>
          <w:tcPr>
            <w:tcW w:w="2026" w:type="dxa"/>
            <w:shd w:val="clear" w:color="auto" w:fill="auto"/>
          </w:tcPr>
          <w:p w14:paraId="2A9300F9" w14:textId="77777777" w:rsidR="00637593" w:rsidRPr="00931078" w:rsidRDefault="00637593" w:rsidP="002C0010">
            <w:pPr>
              <w:jc w:val="right"/>
              <w:rPr>
                <w:sz w:val="18"/>
                <w:szCs w:val="18"/>
              </w:rPr>
            </w:pPr>
          </w:p>
        </w:tc>
        <w:tc>
          <w:tcPr>
            <w:tcW w:w="2254" w:type="dxa"/>
            <w:shd w:val="clear" w:color="auto" w:fill="auto"/>
          </w:tcPr>
          <w:p w14:paraId="64991CBB" w14:textId="77777777" w:rsidR="00637593" w:rsidRPr="00931078" w:rsidRDefault="00637593" w:rsidP="002C0010">
            <w:pPr>
              <w:jc w:val="right"/>
              <w:rPr>
                <w:sz w:val="18"/>
                <w:szCs w:val="18"/>
              </w:rPr>
            </w:pPr>
            <w:r w:rsidRPr="00931078">
              <w:rPr>
                <w:sz w:val="18"/>
                <w:szCs w:val="18"/>
              </w:rPr>
              <w:t>Value of assets in all registrable superannuation entities</w:t>
            </w:r>
          </w:p>
        </w:tc>
      </w:tr>
      <w:tr w:rsidR="00637593" w:rsidRPr="00931078" w14:paraId="633C7799" w14:textId="77777777" w:rsidTr="00C11069">
        <w:tc>
          <w:tcPr>
            <w:tcW w:w="993" w:type="dxa"/>
            <w:shd w:val="clear" w:color="auto" w:fill="auto"/>
          </w:tcPr>
          <w:p w14:paraId="793C005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42</w:t>
            </w:r>
          </w:p>
        </w:tc>
        <w:tc>
          <w:tcPr>
            <w:tcW w:w="2268" w:type="dxa"/>
            <w:shd w:val="clear" w:color="auto" w:fill="auto"/>
          </w:tcPr>
          <w:p w14:paraId="0DE5BA6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1 clearing and settlement facility operators</w:t>
            </w:r>
          </w:p>
        </w:tc>
        <w:tc>
          <w:tcPr>
            <w:tcW w:w="2026" w:type="dxa"/>
            <w:shd w:val="clear" w:color="auto" w:fill="auto"/>
          </w:tcPr>
          <w:p w14:paraId="412C2508"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shd w:val="clear" w:color="auto" w:fill="auto"/>
          </w:tcPr>
          <w:p w14:paraId="55957F2B" w14:textId="77777777" w:rsidR="00637593" w:rsidRPr="00931078" w:rsidRDefault="00637593" w:rsidP="002C0010">
            <w:pPr>
              <w:jc w:val="right"/>
              <w:rPr>
                <w:sz w:val="18"/>
                <w:szCs w:val="18"/>
              </w:rPr>
            </w:pPr>
          </w:p>
        </w:tc>
      </w:tr>
      <w:tr w:rsidR="00637593" w:rsidRPr="00931078" w14:paraId="285CC2D6" w14:textId="77777777" w:rsidTr="00C11069">
        <w:tc>
          <w:tcPr>
            <w:tcW w:w="993" w:type="dxa"/>
            <w:shd w:val="clear" w:color="auto" w:fill="auto"/>
          </w:tcPr>
          <w:p w14:paraId="21C526C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43</w:t>
            </w:r>
          </w:p>
        </w:tc>
        <w:tc>
          <w:tcPr>
            <w:tcW w:w="2268" w:type="dxa"/>
            <w:shd w:val="clear" w:color="auto" w:fill="auto"/>
          </w:tcPr>
          <w:p w14:paraId="236CDC2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2 clearing and settlement facility operators</w:t>
            </w:r>
          </w:p>
        </w:tc>
        <w:tc>
          <w:tcPr>
            <w:tcW w:w="2026" w:type="dxa"/>
            <w:shd w:val="clear" w:color="auto" w:fill="auto"/>
          </w:tcPr>
          <w:p w14:paraId="2247CCA5"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shd w:val="clear" w:color="auto" w:fill="auto"/>
          </w:tcPr>
          <w:p w14:paraId="37829A0D" w14:textId="77777777" w:rsidR="00637593" w:rsidRPr="00931078" w:rsidRDefault="00637593" w:rsidP="002C0010">
            <w:pPr>
              <w:jc w:val="right"/>
              <w:rPr>
                <w:sz w:val="18"/>
                <w:szCs w:val="18"/>
              </w:rPr>
            </w:pPr>
          </w:p>
        </w:tc>
      </w:tr>
      <w:tr w:rsidR="00637593" w:rsidRPr="00931078" w14:paraId="0BCF05FD" w14:textId="77777777" w:rsidTr="00C11069">
        <w:tc>
          <w:tcPr>
            <w:tcW w:w="993" w:type="dxa"/>
            <w:shd w:val="clear" w:color="auto" w:fill="auto"/>
          </w:tcPr>
          <w:p w14:paraId="09AB449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44</w:t>
            </w:r>
          </w:p>
        </w:tc>
        <w:tc>
          <w:tcPr>
            <w:tcW w:w="2268" w:type="dxa"/>
            <w:shd w:val="clear" w:color="auto" w:fill="auto"/>
          </w:tcPr>
          <w:p w14:paraId="0A740FB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3 clearing and settlement facility operators</w:t>
            </w:r>
          </w:p>
        </w:tc>
        <w:tc>
          <w:tcPr>
            <w:tcW w:w="2026" w:type="dxa"/>
            <w:shd w:val="clear" w:color="auto" w:fill="auto"/>
          </w:tcPr>
          <w:p w14:paraId="218B4FF9"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shd w:val="clear" w:color="auto" w:fill="auto"/>
          </w:tcPr>
          <w:p w14:paraId="7887C64A" w14:textId="77777777" w:rsidR="00637593" w:rsidRPr="00931078" w:rsidRDefault="00637593" w:rsidP="002C0010">
            <w:pPr>
              <w:jc w:val="right"/>
              <w:rPr>
                <w:sz w:val="18"/>
                <w:szCs w:val="18"/>
              </w:rPr>
            </w:pPr>
          </w:p>
        </w:tc>
      </w:tr>
      <w:tr w:rsidR="00637593" w:rsidRPr="00931078" w14:paraId="4A1FCC9E" w14:textId="77777777" w:rsidTr="00C11069">
        <w:tc>
          <w:tcPr>
            <w:tcW w:w="993" w:type="dxa"/>
            <w:shd w:val="clear" w:color="auto" w:fill="auto"/>
          </w:tcPr>
          <w:p w14:paraId="20256D3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45</w:t>
            </w:r>
          </w:p>
        </w:tc>
        <w:tc>
          <w:tcPr>
            <w:tcW w:w="2268" w:type="dxa"/>
            <w:shd w:val="clear" w:color="auto" w:fill="auto"/>
          </w:tcPr>
          <w:p w14:paraId="56DA9FB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4 clearing and settlement facility operators</w:t>
            </w:r>
          </w:p>
        </w:tc>
        <w:tc>
          <w:tcPr>
            <w:tcW w:w="2026" w:type="dxa"/>
            <w:shd w:val="clear" w:color="auto" w:fill="auto"/>
          </w:tcPr>
          <w:p w14:paraId="1C2DB15B"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shd w:val="clear" w:color="auto" w:fill="auto"/>
          </w:tcPr>
          <w:p w14:paraId="1FF9B84B" w14:textId="77777777" w:rsidR="00637593" w:rsidRPr="00931078" w:rsidRDefault="00637593" w:rsidP="002C0010">
            <w:pPr>
              <w:jc w:val="right"/>
              <w:rPr>
                <w:sz w:val="18"/>
                <w:szCs w:val="18"/>
              </w:rPr>
            </w:pPr>
          </w:p>
        </w:tc>
      </w:tr>
      <w:tr w:rsidR="00637593" w:rsidRPr="00931078" w14:paraId="6FB43B68" w14:textId="77777777" w:rsidTr="00C11069">
        <w:tc>
          <w:tcPr>
            <w:tcW w:w="993" w:type="dxa"/>
            <w:shd w:val="clear" w:color="auto" w:fill="auto"/>
          </w:tcPr>
          <w:p w14:paraId="40F9AC2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46</w:t>
            </w:r>
          </w:p>
        </w:tc>
        <w:tc>
          <w:tcPr>
            <w:tcW w:w="2268" w:type="dxa"/>
            <w:shd w:val="clear" w:color="auto" w:fill="auto"/>
          </w:tcPr>
          <w:p w14:paraId="454E3D7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Traditional trustee company service providers</w:t>
            </w:r>
          </w:p>
        </w:tc>
        <w:tc>
          <w:tcPr>
            <w:tcW w:w="2026" w:type="dxa"/>
            <w:shd w:val="clear" w:color="auto" w:fill="auto"/>
          </w:tcPr>
          <w:p w14:paraId="6597F9C1" w14:textId="77777777" w:rsidR="00637593" w:rsidRPr="00931078" w:rsidRDefault="00637593" w:rsidP="002C0010">
            <w:pPr>
              <w:jc w:val="right"/>
              <w:rPr>
                <w:sz w:val="18"/>
                <w:szCs w:val="18"/>
              </w:rPr>
            </w:pPr>
            <w:r w:rsidRPr="00931078">
              <w:rPr>
                <w:sz w:val="18"/>
                <w:szCs w:val="18"/>
              </w:rPr>
              <w:t>Number of days the licence was held</w:t>
            </w:r>
          </w:p>
        </w:tc>
        <w:tc>
          <w:tcPr>
            <w:tcW w:w="2254" w:type="dxa"/>
            <w:shd w:val="clear" w:color="auto" w:fill="auto"/>
          </w:tcPr>
          <w:p w14:paraId="12555BED" w14:textId="77777777" w:rsidR="00637593" w:rsidRPr="00931078" w:rsidRDefault="00637593" w:rsidP="002C0010">
            <w:pPr>
              <w:jc w:val="right"/>
              <w:rPr>
                <w:sz w:val="18"/>
                <w:szCs w:val="18"/>
              </w:rPr>
            </w:pPr>
          </w:p>
        </w:tc>
      </w:tr>
      <w:tr w:rsidR="00637593" w:rsidRPr="00931078" w14:paraId="440FE813" w14:textId="77777777" w:rsidTr="00C11069">
        <w:tc>
          <w:tcPr>
            <w:tcW w:w="993" w:type="dxa"/>
            <w:shd w:val="clear" w:color="auto" w:fill="auto"/>
          </w:tcPr>
          <w:p w14:paraId="7057FA5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47</w:t>
            </w:r>
          </w:p>
        </w:tc>
        <w:tc>
          <w:tcPr>
            <w:tcW w:w="2268" w:type="dxa"/>
            <w:shd w:val="clear" w:color="auto" w:fill="auto"/>
          </w:tcPr>
          <w:p w14:paraId="7A2BDBA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Wholesale electricity dealers</w:t>
            </w:r>
          </w:p>
        </w:tc>
        <w:tc>
          <w:tcPr>
            <w:tcW w:w="2026" w:type="dxa"/>
            <w:shd w:val="clear" w:color="auto" w:fill="auto"/>
          </w:tcPr>
          <w:p w14:paraId="7F96A633"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shd w:val="clear" w:color="auto" w:fill="auto"/>
          </w:tcPr>
          <w:p w14:paraId="51730191" w14:textId="77777777" w:rsidR="00637593" w:rsidRPr="00931078" w:rsidRDefault="00637593" w:rsidP="002C0010">
            <w:pPr>
              <w:jc w:val="right"/>
              <w:rPr>
                <w:sz w:val="18"/>
                <w:szCs w:val="18"/>
              </w:rPr>
            </w:pPr>
          </w:p>
        </w:tc>
      </w:tr>
      <w:tr w:rsidR="00637593" w:rsidRPr="00931078" w14:paraId="1EDE8E00" w14:textId="77777777" w:rsidTr="00C11069">
        <w:tc>
          <w:tcPr>
            <w:tcW w:w="993" w:type="dxa"/>
            <w:shd w:val="clear" w:color="auto" w:fill="auto"/>
          </w:tcPr>
          <w:p w14:paraId="3146F6E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48</w:t>
            </w:r>
          </w:p>
        </w:tc>
        <w:tc>
          <w:tcPr>
            <w:tcW w:w="2268" w:type="dxa"/>
            <w:shd w:val="clear" w:color="auto" w:fill="auto"/>
          </w:tcPr>
          <w:p w14:paraId="0A7B834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Wholesale trustees</w:t>
            </w:r>
          </w:p>
        </w:tc>
        <w:tc>
          <w:tcPr>
            <w:tcW w:w="2026" w:type="dxa"/>
            <w:shd w:val="clear" w:color="auto" w:fill="auto"/>
          </w:tcPr>
          <w:p w14:paraId="3F6899A1" w14:textId="77777777" w:rsidR="00637593" w:rsidRPr="00931078" w:rsidRDefault="00637593" w:rsidP="002C0010">
            <w:pPr>
              <w:jc w:val="right"/>
              <w:rPr>
                <w:sz w:val="18"/>
                <w:szCs w:val="18"/>
              </w:rPr>
            </w:pPr>
            <w:r w:rsidRPr="00931078">
              <w:rPr>
                <w:sz w:val="18"/>
                <w:szCs w:val="18"/>
              </w:rPr>
              <w:t xml:space="preserve"> </w:t>
            </w:r>
          </w:p>
        </w:tc>
        <w:tc>
          <w:tcPr>
            <w:tcW w:w="2254" w:type="dxa"/>
            <w:shd w:val="clear" w:color="auto" w:fill="auto"/>
          </w:tcPr>
          <w:p w14:paraId="2ADA96F9" w14:textId="77777777" w:rsidR="00637593" w:rsidRPr="00863828" w:rsidRDefault="00863828" w:rsidP="002C0010">
            <w:pPr>
              <w:jc w:val="right"/>
              <w:rPr>
                <w:sz w:val="18"/>
                <w:szCs w:val="18"/>
              </w:rPr>
            </w:pPr>
            <w:r>
              <w:rPr>
                <w:sz w:val="18"/>
                <w:szCs w:val="18"/>
              </w:rPr>
              <w:t>V</w:t>
            </w:r>
            <w:r w:rsidRPr="00D03E5F">
              <w:rPr>
                <w:sz w:val="18"/>
                <w:szCs w:val="18"/>
              </w:rPr>
              <w:t>alue of assets in all unregistered managed investment schemes</w:t>
            </w:r>
          </w:p>
        </w:tc>
      </w:tr>
    </w:tbl>
    <w:p w14:paraId="5AFA4AAC" w14:textId="77777777" w:rsidR="00637593" w:rsidRPr="00931078" w:rsidRDefault="00637593" w:rsidP="00637593">
      <w:pPr>
        <w:spacing w:line="240" w:lineRule="auto"/>
        <w:ind w:left="567" w:hanging="567"/>
        <w:rPr>
          <w:rFonts w:eastAsia="Times New Roman"/>
          <w:color w:val="FF0000"/>
          <w:szCs w:val="22"/>
          <w:lang w:eastAsia="en-AU"/>
        </w:rPr>
      </w:pPr>
    </w:p>
    <w:p w14:paraId="4F0F9CEC" w14:textId="77777777" w:rsidR="00637593" w:rsidRPr="00BD3426" w:rsidRDefault="004F0AAE" w:rsidP="00637593">
      <w:pPr>
        <w:spacing w:line="240" w:lineRule="auto"/>
        <w:ind w:left="567" w:hanging="567"/>
        <w:rPr>
          <w:rFonts w:eastAsia="Times New Roman"/>
          <w:sz w:val="24"/>
          <w:szCs w:val="24"/>
          <w:lang w:eastAsia="en-AU"/>
        </w:rPr>
      </w:pPr>
      <w:r>
        <w:rPr>
          <w:rFonts w:eastAsia="Times New Roman"/>
          <w:sz w:val="24"/>
          <w:szCs w:val="24"/>
          <w:lang w:eastAsia="en-AU"/>
        </w:rPr>
        <w:t>2</w:t>
      </w:r>
      <w:r w:rsidR="00EF280C">
        <w:rPr>
          <w:rFonts w:eastAsia="Times New Roman"/>
          <w:sz w:val="24"/>
          <w:szCs w:val="24"/>
          <w:lang w:eastAsia="en-AU"/>
        </w:rPr>
        <w:t>3</w:t>
      </w:r>
      <w:r>
        <w:rPr>
          <w:rFonts w:eastAsia="Times New Roman"/>
          <w:sz w:val="24"/>
          <w:szCs w:val="24"/>
          <w:lang w:eastAsia="en-AU"/>
        </w:rPr>
        <w:t>.</w:t>
      </w:r>
      <w:r w:rsidR="00BD3426" w:rsidRPr="00BD3426">
        <w:rPr>
          <w:rFonts w:eastAsia="Times New Roman"/>
          <w:sz w:val="24"/>
          <w:szCs w:val="24"/>
          <w:lang w:eastAsia="en-AU"/>
        </w:rPr>
        <w:t xml:space="preserve"> </w:t>
      </w:r>
      <w:r w:rsidR="00637593" w:rsidRPr="00BD3426">
        <w:rPr>
          <w:rFonts w:eastAsia="Times New Roman"/>
          <w:sz w:val="24"/>
          <w:szCs w:val="24"/>
          <w:lang w:eastAsia="en-AU"/>
        </w:rPr>
        <w:tab/>
        <w:t xml:space="preserve">ASIC worked out each </w:t>
      </w:r>
      <w:r w:rsidR="00637593" w:rsidRPr="00BD3426">
        <w:rPr>
          <w:rFonts w:eastAsia="Times New Roman"/>
          <w:b/>
          <w:i/>
          <w:sz w:val="24"/>
          <w:szCs w:val="24"/>
          <w:lang w:eastAsia="en-AU"/>
        </w:rPr>
        <w:t>sub-sector metric</w:t>
      </w:r>
      <w:r w:rsidR="00637593" w:rsidRPr="00BD3426">
        <w:rPr>
          <w:rFonts w:eastAsia="Times New Roman"/>
          <w:sz w:val="24"/>
          <w:szCs w:val="24"/>
          <w:lang w:eastAsia="en-AU"/>
        </w:rPr>
        <w:t xml:space="preserve"> based on the information contained in </w:t>
      </w:r>
      <w:r w:rsidR="00AA2C13">
        <w:rPr>
          <w:rFonts w:eastAsia="Times New Roman"/>
          <w:sz w:val="24"/>
          <w:szCs w:val="24"/>
          <w:lang w:eastAsia="en-AU"/>
        </w:rPr>
        <w:t xml:space="preserve">ASIC’s registers and in </w:t>
      </w:r>
      <w:r w:rsidR="00637593" w:rsidRPr="00BD3426">
        <w:rPr>
          <w:rFonts w:eastAsia="Times New Roman"/>
          <w:sz w:val="24"/>
          <w:szCs w:val="24"/>
          <w:lang w:eastAsia="en-AU"/>
        </w:rPr>
        <w:t>the</w:t>
      </w:r>
      <w:r w:rsidR="00C11069" w:rsidRPr="00BD3426">
        <w:rPr>
          <w:rFonts w:eastAsia="Times New Roman"/>
          <w:sz w:val="24"/>
          <w:szCs w:val="24"/>
          <w:lang w:eastAsia="en-AU"/>
        </w:rPr>
        <w:t> </w:t>
      </w:r>
      <w:r w:rsidR="00637593" w:rsidRPr="00BD3426">
        <w:rPr>
          <w:rFonts w:eastAsia="Times New Roman"/>
          <w:sz w:val="24"/>
          <w:szCs w:val="24"/>
          <w:lang w:eastAsia="en-AU"/>
        </w:rPr>
        <w:t>returns lodged by the leviable entities with ASIC under section 11 of the Collection</w:t>
      </w:r>
      <w:r w:rsidR="00C11069" w:rsidRPr="00BD3426">
        <w:rPr>
          <w:rFonts w:eastAsia="Times New Roman"/>
          <w:sz w:val="24"/>
          <w:szCs w:val="24"/>
          <w:lang w:eastAsia="en-AU"/>
        </w:rPr>
        <w:t> </w:t>
      </w:r>
      <w:r w:rsidR="00637593" w:rsidRPr="00BD3426">
        <w:rPr>
          <w:rFonts w:eastAsia="Times New Roman"/>
          <w:sz w:val="24"/>
          <w:szCs w:val="24"/>
          <w:lang w:eastAsia="en-AU"/>
        </w:rPr>
        <w:t xml:space="preserve">Act. </w:t>
      </w:r>
    </w:p>
    <w:bookmarkEnd w:id="3"/>
    <w:p w14:paraId="2503EDEA" w14:textId="77777777" w:rsidR="00BD3426" w:rsidRPr="00BD3426" w:rsidRDefault="00BD3426" w:rsidP="00BD3426">
      <w:pPr>
        <w:pStyle w:val="LI-BodyTextParaa"/>
        <w:ind w:hanging="1134"/>
        <w:rPr>
          <w:u w:val="single"/>
        </w:rPr>
      </w:pPr>
      <w:r w:rsidRPr="00BD3426">
        <w:rPr>
          <w:u w:val="single"/>
        </w:rPr>
        <w:t>Commencement</w:t>
      </w:r>
      <w:r w:rsidR="00BF06C4">
        <w:rPr>
          <w:u w:val="single"/>
        </w:rPr>
        <w:t xml:space="preserve"> and date of effect</w:t>
      </w:r>
    </w:p>
    <w:p w14:paraId="22CAFE3B" w14:textId="77777777" w:rsidR="00BD3426" w:rsidRPr="00BD3426" w:rsidRDefault="004F0AAE" w:rsidP="00BD3426">
      <w:pPr>
        <w:pStyle w:val="LI-BodyTextParaa"/>
        <w:ind w:left="567"/>
      </w:pPr>
      <w:r>
        <w:t>2</w:t>
      </w:r>
      <w:r w:rsidR="00EF280C">
        <w:t>4</w:t>
      </w:r>
      <w:r w:rsidR="00BD3426" w:rsidRPr="00BD3426">
        <w:t>.</w:t>
      </w:r>
      <w:r w:rsidR="00BD3426" w:rsidRPr="00BD3426">
        <w:tab/>
        <w:t>This instrument is a disallowable legislative instrument.</w:t>
      </w:r>
    </w:p>
    <w:p w14:paraId="6087D734" w14:textId="3A08F97C" w:rsidR="00BF06C4" w:rsidRDefault="004F0AAE" w:rsidP="00BD3426">
      <w:pPr>
        <w:pStyle w:val="LI-BodyTextParaa"/>
        <w:ind w:left="567"/>
      </w:pPr>
      <w:r>
        <w:t>2</w:t>
      </w:r>
      <w:r w:rsidR="00EF280C">
        <w:t>5</w:t>
      </w:r>
      <w:r w:rsidR="00BD3426" w:rsidRPr="00BD3426">
        <w:t>.</w:t>
      </w:r>
      <w:r w:rsidR="00BD3426" w:rsidRPr="00BD3426">
        <w:tab/>
        <w:t xml:space="preserve">The instrument </w:t>
      </w:r>
      <w:r w:rsidR="00BF06C4">
        <w:t xml:space="preserve">commences on the day after it is registered on the Federal Register of Legislation, but it </w:t>
      </w:r>
      <w:r w:rsidR="00BD3426" w:rsidRPr="00BD3426">
        <w:t>takes effect in accordance with paragraphs 11(3)(a) and 11(4)(a) of the Cost Recovery Act</w:t>
      </w:r>
      <w:r w:rsidR="00BD3426" w:rsidRPr="00182AF3">
        <w:t>. This means</w:t>
      </w:r>
      <w:bookmarkStart w:id="5" w:name="_Hlk117088832"/>
      <w:r w:rsidR="00BD3426" w:rsidRPr="00182AF3">
        <w:t xml:space="preserve"> </w:t>
      </w:r>
      <w:bookmarkEnd w:id="5"/>
      <w:r w:rsidR="00BD3426" w:rsidRPr="00182AF3">
        <w:t>the instrument takes effect at the end of the special disallowance period, being</w:t>
      </w:r>
      <w:r w:rsidR="00182AF3">
        <w:t xml:space="preserve"> </w:t>
      </w:r>
      <w:bookmarkStart w:id="6" w:name="_Hlk117088934"/>
      <w:r w:rsidR="00182AF3">
        <w:t>(unless</w:t>
      </w:r>
      <w:r w:rsidR="00182AF3" w:rsidRPr="004833F1">
        <w:t xml:space="preserve"> notice of a motion of disallowance </w:t>
      </w:r>
      <w:r w:rsidR="00182AF3">
        <w:t>is</w:t>
      </w:r>
      <w:r w:rsidR="00182AF3" w:rsidRPr="004833F1">
        <w:t xml:space="preserve"> given in either House of Parliament</w:t>
      </w:r>
      <w:r w:rsidR="00182AF3">
        <w:t>)</w:t>
      </w:r>
      <w:r w:rsidR="00182AF3" w:rsidRPr="004833F1">
        <w:t>,</w:t>
      </w:r>
      <w:r w:rsidR="00182AF3" w:rsidRPr="00182AF3">
        <w:t xml:space="preserve"> </w:t>
      </w:r>
      <w:bookmarkEnd w:id="6"/>
      <w:r w:rsidR="00BD3426" w:rsidRPr="00182AF3">
        <w:t xml:space="preserve">a period of </w:t>
      </w:r>
      <w:r w:rsidR="00BD3426" w:rsidRPr="00182AF3">
        <w:lastRenderedPageBreak/>
        <w:t>5</w:t>
      </w:r>
      <w:r w:rsidR="00BF06C4" w:rsidRPr="00182AF3">
        <w:t> </w:t>
      </w:r>
      <w:r w:rsidR="00BD3426" w:rsidRPr="00182AF3">
        <w:t>sitting days after the instrument has been tabled in both Houses of Parliament. The instrument does not take effect to the extent it is disallowed by either House of Parliament.</w:t>
      </w:r>
    </w:p>
    <w:p w14:paraId="5657C174" w14:textId="77777777" w:rsidR="00863657" w:rsidRPr="00B161E5" w:rsidRDefault="00BF06C4" w:rsidP="00BF06C4">
      <w:pPr>
        <w:pStyle w:val="LI-BodyTextParaa"/>
        <w:ind w:left="567"/>
        <w:rPr>
          <w:u w:val="single"/>
        </w:rPr>
      </w:pPr>
      <w:r>
        <w:br w:type="page"/>
      </w:r>
      <w:r w:rsidR="00863657" w:rsidRPr="00B161E5">
        <w:rPr>
          <w:u w:val="single"/>
        </w:rPr>
        <w:lastRenderedPageBreak/>
        <w:t>Retrospective application</w:t>
      </w:r>
    </w:p>
    <w:p w14:paraId="7FA557A1" w14:textId="77777777" w:rsidR="00BF06C4" w:rsidRDefault="004F0AAE" w:rsidP="006A0927">
      <w:pPr>
        <w:pStyle w:val="LI-BodyTextParaa"/>
        <w:ind w:left="567"/>
      </w:pPr>
      <w:r>
        <w:t>2</w:t>
      </w:r>
      <w:r w:rsidR="00EF280C">
        <w:t>6</w:t>
      </w:r>
      <w:r w:rsidR="00863657" w:rsidRPr="00B161E5">
        <w:t>.</w:t>
      </w:r>
      <w:r w:rsidR="00863657" w:rsidRPr="00B161E5">
        <w:tab/>
      </w:r>
      <w:r w:rsidR="00BD3426">
        <w:t xml:space="preserve">Subsection 12(2) (retrospective application of legislative instruments) of the </w:t>
      </w:r>
      <w:r w:rsidR="00BD3426" w:rsidRPr="006A0927">
        <w:t>Legislation Act</w:t>
      </w:r>
      <w:r w:rsidR="00BD3426" w:rsidRPr="00474390">
        <w:rPr>
          <w:i/>
        </w:rPr>
        <w:t xml:space="preserve"> </w:t>
      </w:r>
      <w:r w:rsidR="00BD3426">
        <w:t>does not apply to this instrument: see subsection 9(9) of the Cost Recovery Act.</w:t>
      </w:r>
      <w:bookmarkEnd w:id="1"/>
    </w:p>
    <w:p w14:paraId="051FA930" w14:textId="77777777" w:rsidR="00F03BB5" w:rsidRPr="00B161E5" w:rsidRDefault="00474B52" w:rsidP="006A0927">
      <w:pPr>
        <w:pStyle w:val="LI-BodyTextParaa"/>
        <w:ind w:left="567"/>
        <w:rPr>
          <w:b/>
        </w:rPr>
      </w:pPr>
      <w:r w:rsidRPr="00B161E5">
        <w:rPr>
          <w:b/>
        </w:rPr>
        <w:t>Legislative authority</w:t>
      </w:r>
    </w:p>
    <w:p w14:paraId="2AAA46EB" w14:textId="77777777" w:rsidR="000F2A8A" w:rsidRDefault="00BD3426" w:rsidP="00637593">
      <w:pPr>
        <w:pStyle w:val="LI-BodyTextParaa"/>
        <w:ind w:left="567"/>
      </w:pPr>
      <w:r>
        <w:t>2</w:t>
      </w:r>
      <w:r w:rsidR="00EF280C">
        <w:t>7</w:t>
      </w:r>
      <w:r w:rsidR="00F03BB5" w:rsidRPr="00B161E5">
        <w:t>.</w:t>
      </w:r>
      <w:r w:rsidR="00F03BB5" w:rsidRPr="00B161E5">
        <w:tab/>
      </w:r>
      <w:r w:rsidR="000F2A8A" w:rsidRPr="000F2A8A">
        <w:t xml:space="preserve">Section 73 of the </w:t>
      </w:r>
      <w:r w:rsidR="000F2A8A">
        <w:t>Cost Recovery Regulations</w:t>
      </w:r>
      <w:r w:rsidR="000F2A8A" w:rsidRPr="000F2A8A">
        <w:t xml:space="preserve">, which is made </w:t>
      </w:r>
      <w:r w:rsidR="000F2A8A">
        <w:t>for the purposes of subsection 9(6) of the Cost Recovery Act</w:t>
      </w:r>
      <w:r w:rsidR="000F2A8A" w:rsidRPr="000F2A8A">
        <w:t xml:space="preserve">, enables ASIC to make an annual determination specifying matters required or permitted by those regulations. </w:t>
      </w:r>
    </w:p>
    <w:p w14:paraId="616F6CDA" w14:textId="77777777" w:rsidR="00637593" w:rsidRDefault="000F2A8A" w:rsidP="00637593">
      <w:pPr>
        <w:pStyle w:val="LI-BodyTextParaa"/>
        <w:ind w:left="567"/>
      </w:pPr>
      <w:r>
        <w:t>28.</w:t>
      </w:r>
      <w:r>
        <w:tab/>
      </w:r>
      <w:r w:rsidR="00637593">
        <w:t xml:space="preserve">ASIC makes this instrument </w:t>
      </w:r>
      <w:r w:rsidR="00637593" w:rsidRPr="00931078">
        <w:t xml:space="preserve">under section 73 of the </w:t>
      </w:r>
      <w:r w:rsidR="00637593" w:rsidRPr="004F0AAE">
        <w:t>Cost Recovery Regulations.</w:t>
      </w:r>
    </w:p>
    <w:p w14:paraId="0AAFCBFA" w14:textId="77777777" w:rsidR="00EA17A6" w:rsidRPr="00B161E5" w:rsidRDefault="00EA17A6" w:rsidP="00435EEF">
      <w:pPr>
        <w:pStyle w:val="LI-BodyTextParaa"/>
        <w:ind w:left="567"/>
        <w:rPr>
          <w:b/>
        </w:rPr>
      </w:pPr>
      <w:r w:rsidRPr="00B161E5">
        <w:rPr>
          <w:b/>
        </w:rPr>
        <w:t>Statement of Compatibility with Human Rights</w:t>
      </w:r>
    </w:p>
    <w:p w14:paraId="1530F510" w14:textId="77777777" w:rsidR="00223DCF" w:rsidRPr="00B161E5" w:rsidRDefault="00BD3426" w:rsidP="00435EEF">
      <w:pPr>
        <w:pStyle w:val="LI-BodyTextParaa"/>
        <w:ind w:left="567"/>
      </w:pPr>
      <w:r>
        <w:t>2</w:t>
      </w:r>
      <w:r w:rsidR="000F2A8A">
        <w:t>9</w:t>
      </w:r>
      <w:r w:rsidR="00223DCF" w:rsidRPr="00B161E5">
        <w:t>.</w:t>
      </w:r>
      <w:r w:rsidR="00223DCF" w:rsidRPr="00B161E5">
        <w:tab/>
        <w:t xml:space="preserve">The Explanatory Statement for a disallowable legislative instrument must contain a Statement of Compatibility with Human Rights under subsection 9(1) of the </w:t>
      </w:r>
      <w:r w:rsidR="000F2A8A" w:rsidRPr="000F2A8A">
        <w:rPr>
          <w:i/>
        </w:rPr>
        <w:t>H</w:t>
      </w:r>
      <w:r w:rsidR="00223DCF" w:rsidRPr="00B161E5">
        <w:rPr>
          <w:i/>
          <w:iCs/>
        </w:rPr>
        <w:t>uman Rights (Parliamentary Scrutiny) Act 2011.</w:t>
      </w:r>
      <w:r w:rsidR="00223DCF" w:rsidRPr="00B161E5">
        <w:rPr>
          <w:iCs/>
        </w:rPr>
        <w:t xml:space="preserve"> </w:t>
      </w:r>
      <w:r w:rsidR="00223DCF" w:rsidRPr="00B161E5">
        <w:t xml:space="preserve">A Statement of Compatibility with Human Rights is in the </w:t>
      </w:r>
      <w:r w:rsidR="00223DCF" w:rsidRPr="00B161E5">
        <w:rPr>
          <w:u w:val="single"/>
        </w:rPr>
        <w:t>Attachment</w:t>
      </w:r>
      <w:r w:rsidR="00223DCF" w:rsidRPr="00B161E5">
        <w:t xml:space="preserve">. </w:t>
      </w:r>
    </w:p>
    <w:p w14:paraId="123625FB" w14:textId="77777777" w:rsidR="00223DCF" w:rsidRPr="00EA17A6" w:rsidRDefault="00223DCF" w:rsidP="00223DCF">
      <w:pPr>
        <w:pStyle w:val="LI-BodyTextParaa"/>
        <w:ind w:left="567"/>
        <w:jc w:val="right"/>
        <w:rPr>
          <w:u w:val="single"/>
        </w:rPr>
      </w:pPr>
      <w:r w:rsidRPr="00B161E5">
        <w:rPr>
          <w:color w:val="FF0000"/>
        </w:rPr>
        <w:br w:type="page"/>
      </w:r>
      <w:r w:rsidRPr="00EA17A6">
        <w:rPr>
          <w:u w:val="single"/>
        </w:rPr>
        <w:lastRenderedPageBreak/>
        <w:t xml:space="preserve">Attachment </w:t>
      </w:r>
    </w:p>
    <w:p w14:paraId="425BC661"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55D659EB" w14:textId="77777777" w:rsidR="00AE787B" w:rsidRPr="00EA17A6" w:rsidRDefault="00AE787B" w:rsidP="00223DCF">
      <w:pPr>
        <w:pStyle w:val="LI-BodyTextNumbered"/>
        <w:ind w:left="0" w:firstLine="0"/>
        <w:rPr>
          <w:iCs/>
        </w:rPr>
      </w:pPr>
      <w:bookmarkStart w:id="7" w:name="_Hlk534286677"/>
    </w:p>
    <w:p w14:paraId="1B446EAE"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8" w:name="_Hlk4054932"/>
      <w:r w:rsidRPr="00EA17A6">
        <w:rPr>
          <w:iCs/>
        </w:rPr>
        <w:t xml:space="preserve">the </w:t>
      </w:r>
      <w:r w:rsidRPr="00EA17A6">
        <w:rPr>
          <w:i/>
          <w:iCs/>
        </w:rPr>
        <w:t>Human Rights (Parliamentary Scrutiny) Act 2011</w:t>
      </w:r>
      <w:bookmarkEnd w:id="8"/>
      <w:r w:rsidRPr="00EA17A6">
        <w:rPr>
          <w:iCs/>
        </w:rPr>
        <w:t>.</w:t>
      </w:r>
    </w:p>
    <w:p w14:paraId="2B56C8AD" w14:textId="005BF6A9" w:rsidR="00223DCF" w:rsidRPr="00EF280C" w:rsidRDefault="00EF280C" w:rsidP="00223DCF">
      <w:pPr>
        <w:pStyle w:val="LI-BodyTextNumbered"/>
        <w:ind w:left="0" w:firstLine="0"/>
        <w:rPr>
          <w:b/>
          <w:i/>
        </w:rPr>
      </w:pPr>
      <w:r w:rsidRPr="006E6D0E">
        <w:rPr>
          <w:b/>
          <w:i/>
        </w:rPr>
        <w:t>ASIC (Supervisory Cost Recovery Levy—</w:t>
      </w:r>
      <w:r w:rsidRPr="00EF280C">
        <w:rPr>
          <w:b/>
          <w:i/>
        </w:rPr>
        <w:t>Annual Determination</w:t>
      </w:r>
      <w:r w:rsidRPr="006E6D0E">
        <w:rPr>
          <w:b/>
          <w:i/>
        </w:rPr>
        <w:t>) Instrument</w:t>
      </w:r>
      <w:r>
        <w:rPr>
          <w:b/>
          <w:i/>
        </w:rPr>
        <w:t> </w:t>
      </w:r>
      <w:r w:rsidR="00517BBE" w:rsidRPr="00817F4F">
        <w:rPr>
          <w:b/>
          <w:i/>
        </w:rPr>
        <w:t>202</w:t>
      </w:r>
      <w:r w:rsidR="007538E0">
        <w:rPr>
          <w:b/>
          <w:i/>
        </w:rPr>
        <w:t>3</w:t>
      </w:r>
      <w:r w:rsidR="00307DF6" w:rsidRPr="00817F4F">
        <w:rPr>
          <w:b/>
          <w:i/>
        </w:rPr>
        <w:t>/</w:t>
      </w:r>
      <w:r w:rsidR="00574DCA">
        <w:rPr>
          <w:b/>
          <w:i/>
        </w:rPr>
        <w:t>77</w:t>
      </w:r>
      <w:r w:rsidR="00CD03FE">
        <w:rPr>
          <w:b/>
          <w:i/>
        </w:rPr>
        <w:t>8</w:t>
      </w:r>
    </w:p>
    <w:p w14:paraId="3B5D68EB" w14:textId="77777777" w:rsidR="00223DCF" w:rsidRPr="00EA17A6" w:rsidRDefault="00223DCF" w:rsidP="001872DC">
      <w:pPr>
        <w:pStyle w:val="LI-BodyTextNumbered"/>
        <w:ind w:left="567"/>
        <w:rPr>
          <w:u w:val="single"/>
        </w:rPr>
      </w:pPr>
      <w:r w:rsidRPr="00EA17A6">
        <w:rPr>
          <w:u w:val="single"/>
        </w:rPr>
        <w:t>Overview</w:t>
      </w:r>
    </w:p>
    <w:p w14:paraId="098ED192" w14:textId="77777777" w:rsidR="000F2A8A" w:rsidRPr="000F2A8A" w:rsidRDefault="00EF280C" w:rsidP="000F2A8A">
      <w:pPr>
        <w:spacing w:before="240" w:line="240" w:lineRule="auto"/>
        <w:ind w:left="567" w:hanging="567"/>
        <w:rPr>
          <w:rFonts w:eastAsia="Times New Roman"/>
          <w:sz w:val="24"/>
          <w:szCs w:val="24"/>
          <w:lang w:eastAsia="en-AU"/>
        </w:rPr>
      </w:pPr>
      <w:r>
        <w:rPr>
          <w:rFonts w:eastAsia="Times New Roman"/>
          <w:sz w:val="24"/>
          <w:szCs w:val="24"/>
          <w:lang w:eastAsia="en-AU"/>
        </w:rPr>
        <w:t>1.</w:t>
      </w:r>
      <w:r>
        <w:rPr>
          <w:rFonts w:eastAsia="Times New Roman"/>
          <w:sz w:val="24"/>
          <w:szCs w:val="24"/>
          <w:lang w:eastAsia="en-AU"/>
        </w:rPr>
        <w:tab/>
      </w:r>
      <w:r w:rsidR="000F2A8A" w:rsidRPr="000F2A8A">
        <w:rPr>
          <w:rFonts w:eastAsia="Times New Roman"/>
          <w:sz w:val="24"/>
          <w:szCs w:val="24"/>
          <w:lang w:eastAsia="en-AU"/>
        </w:rPr>
        <w:t xml:space="preserve">Section 73 of the </w:t>
      </w:r>
      <w:r w:rsidR="000F2A8A" w:rsidRPr="000F2A8A">
        <w:rPr>
          <w:rFonts w:eastAsia="Times New Roman"/>
          <w:i/>
          <w:sz w:val="24"/>
          <w:szCs w:val="24"/>
          <w:lang w:eastAsia="en-AU"/>
        </w:rPr>
        <w:t>ASIC Supervisory Cost Recovery Levy Regulations 2017</w:t>
      </w:r>
      <w:r w:rsidR="000F2A8A" w:rsidRPr="000F2A8A">
        <w:rPr>
          <w:rFonts w:eastAsia="Times New Roman"/>
          <w:sz w:val="24"/>
          <w:szCs w:val="24"/>
          <w:lang w:eastAsia="en-AU"/>
        </w:rPr>
        <w:t xml:space="preserve">, which is made </w:t>
      </w:r>
      <w:r w:rsidR="000F2A8A">
        <w:rPr>
          <w:rFonts w:eastAsia="Times New Roman"/>
          <w:sz w:val="24"/>
          <w:szCs w:val="24"/>
          <w:lang w:eastAsia="en-AU"/>
        </w:rPr>
        <w:t xml:space="preserve">for the purposes of subsection 9(6) of the </w:t>
      </w:r>
      <w:r w:rsidR="000F2A8A" w:rsidRPr="000F2A8A">
        <w:rPr>
          <w:rFonts w:eastAsia="Times New Roman"/>
          <w:i/>
          <w:sz w:val="24"/>
          <w:szCs w:val="24"/>
          <w:lang w:eastAsia="en-AU"/>
        </w:rPr>
        <w:t>ASIC Supervisory Cost Recovery Levy Act 2017</w:t>
      </w:r>
      <w:r w:rsidR="000F2A8A" w:rsidRPr="000F2A8A">
        <w:rPr>
          <w:rFonts w:eastAsia="Times New Roman"/>
          <w:sz w:val="24"/>
          <w:szCs w:val="24"/>
          <w:lang w:eastAsia="en-AU"/>
        </w:rPr>
        <w:t>, enables ASIC to make an annual determination specifying matters required or permitted by those regulations.</w:t>
      </w:r>
    </w:p>
    <w:p w14:paraId="470A8B7B" w14:textId="77777777" w:rsidR="00EF280C" w:rsidRPr="00EF280C" w:rsidRDefault="00EF280C" w:rsidP="00EF280C">
      <w:pPr>
        <w:spacing w:before="240" w:line="240" w:lineRule="auto"/>
        <w:ind w:left="567" w:hanging="567"/>
        <w:rPr>
          <w:rFonts w:eastAsia="Times New Roman"/>
          <w:sz w:val="24"/>
          <w:szCs w:val="24"/>
          <w:lang w:eastAsia="en-AU"/>
        </w:rPr>
      </w:pPr>
      <w:r>
        <w:rPr>
          <w:rFonts w:eastAsia="Times New Roman"/>
          <w:sz w:val="24"/>
          <w:szCs w:val="24"/>
          <w:lang w:eastAsia="en-AU"/>
        </w:rPr>
        <w:t>2</w:t>
      </w:r>
      <w:r w:rsidR="00CB2D96" w:rsidRPr="00EA17A6">
        <w:rPr>
          <w:rFonts w:eastAsia="Times New Roman"/>
          <w:sz w:val="24"/>
          <w:szCs w:val="24"/>
          <w:lang w:eastAsia="en-AU"/>
        </w:rPr>
        <w:t>.</w:t>
      </w:r>
      <w:r w:rsidR="00CB2D96" w:rsidRPr="00EA17A6">
        <w:rPr>
          <w:rFonts w:eastAsia="Times New Roman"/>
          <w:sz w:val="24"/>
          <w:szCs w:val="24"/>
          <w:lang w:eastAsia="en-AU"/>
        </w:rPr>
        <w:tab/>
      </w:r>
      <w:r w:rsidRPr="0008149D">
        <w:rPr>
          <w:rFonts w:eastAsia="Times New Roman"/>
          <w:sz w:val="24"/>
          <w:szCs w:val="24"/>
          <w:lang w:eastAsia="en-AU"/>
        </w:rPr>
        <w:t>The instrument relates to levies</w:t>
      </w:r>
      <w:r w:rsidRPr="00EF280C">
        <w:rPr>
          <w:rFonts w:eastAsia="Times New Roman"/>
          <w:sz w:val="24"/>
          <w:szCs w:val="24"/>
          <w:lang w:eastAsia="en-AU"/>
        </w:rPr>
        <w:t xml:space="preserve"> imposed on ASIC’s regulatory population. These industry </w:t>
      </w:r>
      <w:r w:rsidRPr="0008149D">
        <w:rPr>
          <w:rFonts w:eastAsia="Times New Roman"/>
          <w:sz w:val="24"/>
          <w:szCs w:val="24"/>
          <w:lang w:eastAsia="en-AU"/>
        </w:rPr>
        <w:t>levies are imposed on an annual basis. The annual levies are aimed at recovering ASIC’s regulatory costs for the financial year.</w:t>
      </w:r>
    </w:p>
    <w:p w14:paraId="7A95C56C" w14:textId="77777777" w:rsidR="00EF280C" w:rsidRPr="00EF280C" w:rsidRDefault="00EF280C" w:rsidP="00EF280C">
      <w:pPr>
        <w:spacing w:before="240" w:line="240" w:lineRule="auto"/>
        <w:ind w:left="567" w:hanging="567"/>
        <w:rPr>
          <w:rFonts w:eastAsia="Times New Roman"/>
          <w:sz w:val="24"/>
          <w:szCs w:val="24"/>
          <w:lang w:eastAsia="en-AU"/>
        </w:rPr>
      </w:pPr>
      <w:r>
        <w:rPr>
          <w:rFonts w:eastAsia="Times New Roman"/>
          <w:sz w:val="24"/>
          <w:szCs w:val="24"/>
          <w:lang w:eastAsia="en-AU"/>
        </w:rPr>
        <w:t>3</w:t>
      </w:r>
      <w:r w:rsidRPr="00EF280C">
        <w:rPr>
          <w:rFonts w:eastAsia="Times New Roman"/>
          <w:sz w:val="24"/>
          <w:szCs w:val="24"/>
          <w:lang w:eastAsia="en-AU"/>
        </w:rPr>
        <w:t xml:space="preserve">. </w:t>
      </w:r>
      <w:r w:rsidRPr="00EF280C">
        <w:rPr>
          <w:rFonts w:eastAsia="Times New Roman"/>
          <w:sz w:val="24"/>
          <w:szCs w:val="24"/>
          <w:lang w:eastAsia="en-AU"/>
        </w:rPr>
        <w:tab/>
        <w:t xml:space="preserve">This instrument specifies certain matters about size and composition of ASIC’s regulated population and of the metrics that apply to each industry sub-sector within that regulated population for the </w:t>
      </w:r>
      <w:r w:rsidR="00517BBE">
        <w:rPr>
          <w:rFonts w:eastAsia="Times New Roman"/>
          <w:sz w:val="24"/>
          <w:szCs w:val="24"/>
          <w:lang w:eastAsia="en-AU"/>
        </w:rPr>
        <w:t>20</w:t>
      </w:r>
      <w:r w:rsidR="008C54D7">
        <w:rPr>
          <w:rFonts w:eastAsia="Times New Roman"/>
          <w:sz w:val="24"/>
          <w:szCs w:val="24"/>
          <w:lang w:eastAsia="en-AU"/>
        </w:rPr>
        <w:t>2</w:t>
      </w:r>
      <w:r w:rsidR="007538E0">
        <w:rPr>
          <w:rFonts w:eastAsia="Times New Roman"/>
          <w:sz w:val="24"/>
          <w:szCs w:val="24"/>
          <w:lang w:eastAsia="en-AU"/>
        </w:rPr>
        <w:t>2</w:t>
      </w:r>
      <w:r w:rsidRPr="00EF280C">
        <w:rPr>
          <w:rFonts w:eastAsia="Times New Roman"/>
          <w:sz w:val="24"/>
          <w:szCs w:val="24"/>
          <w:lang w:eastAsia="en-AU"/>
        </w:rPr>
        <w:t>-</w:t>
      </w:r>
      <w:r w:rsidR="00517BBE">
        <w:rPr>
          <w:rFonts w:eastAsia="Times New Roman"/>
          <w:sz w:val="24"/>
          <w:szCs w:val="24"/>
          <w:lang w:eastAsia="en-AU"/>
        </w:rPr>
        <w:t>2</w:t>
      </w:r>
      <w:r w:rsidR="007538E0">
        <w:rPr>
          <w:rFonts w:eastAsia="Times New Roman"/>
          <w:sz w:val="24"/>
          <w:szCs w:val="24"/>
          <w:lang w:eastAsia="en-AU"/>
        </w:rPr>
        <w:t>3</w:t>
      </w:r>
      <w:r w:rsidRPr="00EF280C">
        <w:rPr>
          <w:rFonts w:eastAsia="Times New Roman"/>
          <w:sz w:val="24"/>
          <w:szCs w:val="24"/>
          <w:lang w:eastAsia="en-AU"/>
        </w:rPr>
        <w:t xml:space="preserve"> financial year.</w:t>
      </w:r>
    </w:p>
    <w:p w14:paraId="5EC3B4F9" w14:textId="77777777" w:rsidR="001872DC" w:rsidRPr="00EF280C" w:rsidRDefault="001872DC" w:rsidP="00EF280C">
      <w:pPr>
        <w:spacing w:before="240" w:line="240" w:lineRule="auto"/>
        <w:ind w:left="567" w:hanging="567"/>
        <w:rPr>
          <w:sz w:val="24"/>
          <w:szCs w:val="24"/>
          <w:u w:val="single"/>
        </w:rPr>
      </w:pPr>
      <w:bookmarkStart w:id="9" w:name="_Hlk534286807"/>
      <w:bookmarkEnd w:id="7"/>
      <w:r w:rsidRPr="00EF280C">
        <w:rPr>
          <w:sz w:val="24"/>
          <w:szCs w:val="24"/>
          <w:u w:val="single"/>
        </w:rPr>
        <w:t>Assessment of human rights implications</w:t>
      </w:r>
    </w:p>
    <w:p w14:paraId="15028E4D" w14:textId="77777777" w:rsidR="00946759" w:rsidRPr="00EA17A6" w:rsidRDefault="00EF280C" w:rsidP="00D306F8">
      <w:pPr>
        <w:pStyle w:val="LI-BodyTextNumbered"/>
        <w:ind w:left="567"/>
      </w:pPr>
      <w:r>
        <w:t>4</w:t>
      </w:r>
      <w:r w:rsidR="001872DC" w:rsidRPr="00EF280C">
        <w:t>.</w:t>
      </w:r>
      <w:r w:rsidR="001872DC" w:rsidRPr="00EF280C">
        <w:tab/>
      </w:r>
      <w:bookmarkEnd w:id="9"/>
      <w:r w:rsidR="001872DC" w:rsidRPr="00EF280C">
        <w:t xml:space="preserve">This instrument </w:t>
      </w:r>
      <w:r w:rsidR="00D306F8" w:rsidRPr="00EF280C">
        <w:t>does not engage any of the applicable rights or freedoms</w:t>
      </w:r>
      <w:r>
        <w:t>.</w:t>
      </w:r>
    </w:p>
    <w:p w14:paraId="1E19CB49" w14:textId="77777777" w:rsidR="00CB2D96" w:rsidRPr="00EA17A6" w:rsidRDefault="00CB2D96" w:rsidP="00D306F8">
      <w:pPr>
        <w:pStyle w:val="LI-BodyTextNumbered"/>
        <w:ind w:left="567"/>
        <w:rPr>
          <w:u w:val="single"/>
        </w:rPr>
      </w:pPr>
      <w:r w:rsidRPr="00EA17A6">
        <w:rPr>
          <w:u w:val="single"/>
        </w:rPr>
        <w:t>Conclusion</w:t>
      </w:r>
    </w:p>
    <w:p w14:paraId="5E98628B" w14:textId="77777777" w:rsidR="00931078" w:rsidRDefault="00EF280C" w:rsidP="000F2A8A">
      <w:pPr>
        <w:pStyle w:val="LI-BodyTextNumbered"/>
        <w:ind w:left="567"/>
      </w:pPr>
      <w:r>
        <w:t>5</w:t>
      </w:r>
      <w:r w:rsidR="00CB2D96" w:rsidRPr="00EA17A6">
        <w:t>.</w:t>
      </w:r>
      <w:r w:rsidR="00CB2D96" w:rsidRPr="00EA17A6">
        <w:tab/>
        <w:t xml:space="preserve">This instrument is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sectPr w:rsidR="00931078" w:rsidSect="00863657">
      <w:headerReference w:type="even" r:id="rId15"/>
      <w:headerReference w:type="default" r:id="rId16"/>
      <w:footerReference w:type="even" r:id="rId17"/>
      <w:footerReference w:type="default" r:id="rId18"/>
      <w:headerReference w:type="first" r:id="rId19"/>
      <w:footerReference w:type="first" r:id="rId20"/>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CA0C" w14:textId="77777777" w:rsidR="00A21D13" w:rsidRDefault="00A21D13" w:rsidP="00715914">
      <w:pPr>
        <w:spacing w:line="240" w:lineRule="auto"/>
      </w:pPr>
      <w:r>
        <w:separator/>
      </w:r>
    </w:p>
  </w:endnote>
  <w:endnote w:type="continuationSeparator" w:id="0">
    <w:p w14:paraId="1BBF2961" w14:textId="77777777" w:rsidR="00A21D13" w:rsidRDefault="00A21D13" w:rsidP="00715914">
      <w:pPr>
        <w:spacing w:line="240" w:lineRule="auto"/>
      </w:pPr>
      <w:r>
        <w:continuationSeparator/>
      </w:r>
    </w:p>
  </w:endnote>
  <w:endnote w:type="continuationNotice" w:id="1">
    <w:p w14:paraId="2F3029E3" w14:textId="77777777" w:rsidR="00443C1C" w:rsidRDefault="00443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E756" w14:textId="77777777" w:rsidR="000B67AC" w:rsidRDefault="000B6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B100" w14:textId="77777777" w:rsidR="002C0010" w:rsidRDefault="002C0010">
    <w:pPr>
      <w:pStyle w:val="Footer"/>
      <w:jc w:val="center"/>
    </w:pPr>
    <w:r>
      <w:fldChar w:fldCharType="begin"/>
    </w:r>
    <w:r>
      <w:instrText xml:space="preserve"> PAGE   \* MERGEFORMAT </w:instrText>
    </w:r>
    <w:r>
      <w:fldChar w:fldCharType="separate"/>
    </w:r>
    <w:r>
      <w:rPr>
        <w:noProof/>
      </w:rPr>
      <w:t>2</w:t>
    </w:r>
    <w:r>
      <w:rPr>
        <w:noProof/>
      </w:rPr>
      <w:fldChar w:fldCharType="end"/>
    </w:r>
  </w:p>
  <w:p w14:paraId="712F2018" w14:textId="77777777" w:rsidR="002C0010" w:rsidRDefault="002C0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BB1C" w14:textId="77777777" w:rsidR="000B67AC" w:rsidRDefault="000B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02E8" w14:textId="77777777" w:rsidR="00A21D13" w:rsidRDefault="00A21D13" w:rsidP="00715914">
      <w:pPr>
        <w:spacing w:line="240" w:lineRule="auto"/>
      </w:pPr>
      <w:r>
        <w:separator/>
      </w:r>
    </w:p>
  </w:footnote>
  <w:footnote w:type="continuationSeparator" w:id="0">
    <w:p w14:paraId="0ABD17BF" w14:textId="77777777" w:rsidR="00A21D13" w:rsidRDefault="00A21D13" w:rsidP="00715914">
      <w:pPr>
        <w:spacing w:line="240" w:lineRule="auto"/>
      </w:pPr>
      <w:r>
        <w:continuationSeparator/>
      </w:r>
    </w:p>
  </w:footnote>
  <w:footnote w:type="continuationNotice" w:id="1">
    <w:p w14:paraId="0A5A15CB" w14:textId="77777777" w:rsidR="00443C1C" w:rsidRDefault="00443C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B02C" w14:textId="77777777" w:rsidR="002C0010" w:rsidRPr="00243EC0" w:rsidRDefault="002C001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2C0010" w:rsidRPr="00E40FF8" w14:paraId="5521B159" w14:textId="77777777" w:rsidTr="001E77ED">
      <w:tc>
        <w:tcPr>
          <w:tcW w:w="4253" w:type="dxa"/>
          <w:shd w:val="clear" w:color="auto" w:fill="auto"/>
        </w:tcPr>
        <w:p w14:paraId="0DB49EC9" w14:textId="77777777" w:rsidR="002C0010" w:rsidRDefault="002C0010" w:rsidP="00E40FF8">
          <w:pPr>
            <w:pStyle w:val="LI-Header"/>
            <w:pBdr>
              <w:bottom w:val="none" w:sz="0" w:space="0" w:color="auto"/>
            </w:pBdr>
            <w:jc w:val="left"/>
          </w:pPr>
        </w:p>
      </w:tc>
      <w:tc>
        <w:tcPr>
          <w:tcW w:w="4060" w:type="dxa"/>
          <w:shd w:val="clear" w:color="auto" w:fill="auto"/>
        </w:tcPr>
        <w:p w14:paraId="653C4B4D" w14:textId="77777777" w:rsidR="002C0010" w:rsidRDefault="002C0010" w:rsidP="00F03BB5">
          <w:pPr>
            <w:pStyle w:val="LI-BodyTextNumbered"/>
          </w:pPr>
        </w:p>
      </w:tc>
    </w:tr>
  </w:tbl>
  <w:p w14:paraId="089D7E26" w14:textId="77777777" w:rsidR="002C0010" w:rsidRPr="00F4215A" w:rsidRDefault="002C0010" w:rsidP="00F4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D1AD" w14:textId="77777777" w:rsidR="000B67AC" w:rsidRDefault="000B6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9560065">
    <w:abstractNumId w:val="9"/>
  </w:num>
  <w:num w:numId="2" w16cid:durableId="1141118119">
    <w:abstractNumId w:val="7"/>
  </w:num>
  <w:num w:numId="3" w16cid:durableId="150103745">
    <w:abstractNumId w:val="6"/>
  </w:num>
  <w:num w:numId="4" w16cid:durableId="1501697774">
    <w:abstractNumId w:val="5"/>
  </w:num>
  <w:num w:numId="5" w16cid:durableId="1782455353">
    <w:abstractNumId w:val="4"/>
  </w:num>
  <w:num w:numId="6" w16cid:durableId="2095937066">
    <w:abstractNumId w:val="8"/>
  </w:num>
  <w:num w:numId="7" w16cid:durableId="1878664080">
    <w:abstractNumId w:val="3"/>
  </w:num>
  <w:num w:numId="8" w16cid:durableId="1968928341">
    <w:abstractNumId w:val="2"/>
  </w:num>
  <w:num w:numId="9" w16cid:durableId="1714499015">
    <w:abstractNumId w:val="1"/>
  </w:num>
  <w:num w:numId="10" w16cid:durableId="1772041357">
    <w:abstractNumId w:val="0"/>
  </w:num>
  <w:num w:numId="11" w16cid:durableId="1057048435">
    <w:abstractNumId w:val="12"/>
  </w:num>
  <w:num w:numId="12" w16cid:durableId="1536892992">
    <w:abstractNumId w:val="10"/>
  </w:num>
  <w:num w:numId="13" w16cid:durableId="1603798050">
    <w:abstractNumId w:val="11"/>
  </w:num>
  <w:num w:numId="14" w16cid:durableId="684985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7B83"/>
    <w:rsid w:val="000136AF"/>
    <w:rsid w:val="00013B8D"/>
    <w:rsid w:val="000153BA"/>
    <w:rsid w:val="00015719"/>
    <w:rsid w:val="00023D53"/>
    <w:rsid w:val="000317B6"/>
    <w:rsid w:val="000437C1"/>
    <w:rsid w:val="00047834"/>
    <w:rsid w:val="0005365D"/>
    <w:rsid w:val="000614BF"/>
    <w:rsid w:val="0006250C"/>
    <w:rsid w:val="00070253"/>
    <w:rsid w:val="00081794"/>
    <w:rsid w:val="00084FF4"/>
    <w:rsid w:val="00092BBE"/>
    <w:rsid w:val="000A142F"/>
    <w:rsid w:val="000A6C39"/>
    <w:rsid w:val="000B58FA"/>
    <w:rsid w:val="000B67AC"/>
    <w:rsid w:val="000C55A0"/>
    <w:rsid w:val="000D041F"/>
    <w:rsid w:val="000D05EF"/>
    <w:rsid w:val="000E2261"/>
    <w:rsid w:val="000E3C2E"/>
    <w:rsid w:val="000F1C57"/>
    <w:rsid w:val="000F21C1"/>
    <w:rsid w:val="000F2A8A"/>
    <w:rsid w:val="00102CA6"/>
    <w:rsid w:val="00103F8E"/>
    <w:rsid w:val="0010745C"/>
    <w:rsid w:val="00125141"/>
    <w:rsid w:val="00132CEB"/>
    <w:rsid w:val="00142B62"/>
    <w:rsid w:val="00153B32"/>
    <w:rsid w:val="00157B8B"/>
    <w:rsid w:val="001624E1"/>
    <w:rsid w:val="00166C2F"/>
    <w:rsid w:val="00171A6E"/>
    <w:rsid w:val="001809D7"/>
    <w:rsid w:val="00182AF3"/>
    <w:rsid w:val="0018659E"/>
    <w:rsid w:val="001872DC"/>
    <w:rsid w:val="001939E1"/>
    <w:rsid w:val="00194C3E"/>
    <w:rsid w:val="00195382"/>
    <w:rsid w:val="00195BD4"/>
    <w:rsid w:val="001C61C5"/>
    <w:rsid w:val="001C69C4"/>
    <w:rsid w:val="001D01CD"/>
    <w:rsid w:val="001D37EF"/>
    <w:rsid w:val="001E15F7"/>
    <w:rsid w:val="001E3590"/>
    <w:rsid w:val="001E7407"/>
    <w:rsid w:val="001E77ED"/>
    <w:rsid w:val="001F02B1"/>
    <w:rsid w:val="001F5D5E"/>
    <w:rsid w:val="001F6219"/>
    <w:rsid w:val="001F6CD4"/>
    <w:rsid w:val="0020458F"/>
    <w:rsid w:val="00206C4D"/>
    <w:rsid w:val="0021053C"/>
    <w:rsid w:val="00215AF1"/>
    <w:rsid w:val="00220A36"/>
    <w:rsid w:val="00223DCF"/>
    <w:rsid w:val="002321E8"/>
    <w:rsid w:val="0023416E"/>
    <w:rsid w:val="00236EEC"/>
    <w:rsid w:val="0024010F"/>
    <w:rsid w:val="00240749"/>
    <w:rsid w:val="00243018"/>
    <w:rsid w:val="00243EC0"/>
    <w:rsid w:val="00244742"/>
    <w:rsid w:val="0025483A"/>
    <w:rsid w:val="002564A4"/>
    <w:rsid w:val="0026736C"/>
    <w:rsid w:val="00281308"/>
    <w:rsid w:val="00281813"/>
    <w:rsid w:val="00284719"/>
    <w:rsid w:val="00297ECB"/>
    <w:rsid w:val="002A7328"/>
    <w:rsid w:val="002A7BCF"/>
    <w:rsid w:val="002B19F3"/>
    <w:rsid w:val="002B4A0D"/>
    <w:rsid w:val="002C0010"/>
    <w:rsid w:val="002C7B6F"/>
    <w:rsid w:val="002D043A"/>
    <w:rsid w:val="002D3063"/>
    <w:rsid w:val="002D3248"/>
    <w:rsid w:val="002D3EF3"/>
    <w:rsid w:val="002D4FC0"/>
    <w:rsid w:val="002D6224"/>
    <w:rsid w:val="002E3F4B"/>
    <w:rsid w:val="00304F8B"/>
    <w:rsid w:val="00307DF6"/>
    <w:rsid w:val="00310037"/>
    <w:rsid w:val="003203A1"/>
    <w:rsid w:val="00327DDF"/>
    <w:rsid w:val="003354D2"/>
    <w:rsid w:val="00335BC6"/>
    <w:rsid w:val="003415D3"/>
    <w:rsid w:val="00344701"/>
    <w:rsid w:val="003528DA"/>
    <w:rsid w:val="00352B0F"/>
    <w:rsid w:val="00356690"/>
    <w:rsid w:val="00357DD0"/>
    <w:rsid w:val="00360459"/>
    <w:rsid w:val="00362F9B"/>
    <w:rsid w:val="003650C4"/>
    <w:rsid w:val="00365497"/>
    <w:rsid w:val="00374FD0"/>
    <w:rsid w:val="00387A96"/>
    <w:rsid w:val="003901D9"/>
    <w:rsid w:val="003A2A48"/>
    <w:rsid w:val="003B28C3"/>
    <w:rsid w:val="003B732F"/>
    <w:rsid w:val="003C2471"/>
    <w:rsid w:val="003C6231"/>
    <w:rsid w:val="003D0BFE"/>
    <w:rsid w:val="003D5700"/>
    <w:rsid w:val="003E0F99"/>
    <w:rsid w:val="003E341B"/>
    <w:rsid w:val="003F3EFD"/>
    <w:rsid w:val="0040053F"/>
    <w:rsid w:val="004116CD"/>
    <w:rsid w:val="004144EC"/>
    <w:rsid w:val="004164E7"/>
    <w:rsid w:val="00417EB9"/>
    <w:rsid w:val="00424CA9"/>
    <w:rsid w:val="00431E9B"/>
    <w:rsid w:val="00435EEF"/>
    <w:rsid w:val="004379E3"/>
    <w:rsid w:val="0044015E"/>
    <w:rsid w:val="0044291A"/>
    <w:rsid w:val="00443C1C"/>
    <w:rsid w:val="00444ABD"/>
    <w:rsid w:val="00447DB4"/>
    <w:rsid w:val="00460F1D"/>
    <w:rsid w:val="00465DC1"/>
    <w:rsid w:val="00467661"/>
    <w:rsid w:val="004705B7"/>
    <w:rsid w:val="00472AC2"/>
    <w:rsid w:val="00472DBE"/>
    <w:rsid w:val="00474390"/>
    <w:rsid w:val="00474A19"/>
    <w:rsid w:val="00474B52"/>
    <w:rsid w:val="00476D37"/>
    <w:rsid w:val="00481C24"/>
    <w:rsid w:val="004823C0"/>
    <w:rsid w:val="0048276B"/>
    <w:rsid w:val="00496B5F"/>
    <w:rsid w:val="00496F97"/>
    <w:rsid w:val="004A44FC"/>
    <w:rsid w:val="004B5B44"/>
    <w:rsid w:val="004C1CB1"/>
    <w:rsid w:val="004D45EB"/>
    <w:rsid w:val="004D7E7F"/>
    <w:rsid w:val="004E063A"/>
    <w:rsid w:val="004E7BEC"/>
    <w:rsid w:val="004F0AAE"/>
    <w:rsid w:val="0050044F"/>
    <w:rsid w:val="00505D3D"/>
    <w:rsid w:val="00506AF6"/>
    <w:rsid w:val="00507335"/>
    <w:rsid w:val="00516B8D"/>
    <w:rsid w:val="00517BBE"/>
    <w:rsid w:val="00517E56"/>
    <w:rsid w:val="00532049"/>
    <w:rsid w:val="005356A7"/>
    <w:rsid w:val="00536184"/>
    <w:rsid w:val="00537FBC"/>
    <w:rsid w:val="005574D1"/>
    <w:rsid w:val="00561ABB"/>
    <w:rsid w:val="005657FE"/>
    <w:rsid w:val="00566F96"/>
    <w:rsid w:val="00570BA0"/>
    <w:rsid w:val="00572BB1"/>
    <w:rsid w:val="005738A2"/>
    <w:rsid w:val="00574DCA"/>
    <w:rsid w:val="0057670F"/>
    <w:rsid w:val="00584811"/>
    <w:rsid w:val="00585784"/>
    <w:rsid w:val="0059028B"/>
    <w:rsid w:val="00593AA6"/>
    <w:rsid w:val="00594161"/>
    <w:rsid w:val="00594749"/>
    <w:rsid w:val="005B4067"/>
    <w:rsid w:val="005B7151"/>
    <w:rsid w:val="005B780C"/>
    <w:rsid w:val="005C3F41"/>
    <w:rsid w:val="005D0489"/>
    <w:rsid w:val="005D1FEA"/>
    <w:rsid w:val="005D2D09"/>
    <w:rsid w:val="005D3319"/>
    <w:rsid w:val="005D3D41"/>
    <w:rsid w:val="005D55A5"/>
    <w:rsid w:val="005D79C7"/>
    <w:rsid w:val="005E4810"/>
    <w:rsid w:val="005E7E8F"/>
    <w:rsid w:val="005F4140"/>
    <w:rsid w:val="005F65CD"/>
    <w:rsid w:val="00600219"/>
    <w:rsid w:val="006009C4"/>
    <w:rsid w:val="00603DC4"/>
    <w:rsid w:val="00607A71"/>
    <w:rsid w:val="006117CB"/>
    <w:rsid w:val="00620076"/>
    <w:rsid w:val="00634044"/>
    <w:rsid w:val="00637593"/>
    <w:rsid w:val="00640161"/>
    <w:rsid w:val="00642206"/>
    <w:rsid w:val="00652769"/>
    <w:rsid w:val="0065542F"/>
    <w:rsid w:val="006554FF"/>
    <w:rsid w:val="00670EA1"/>
    <w:rsid w:val="00677CC2"/>
    <w:rsid w:val="006905DE"/>
    <w:rsid w:val="0069207B"/>
    <w:rsid w:val="00693F29"/>
    <w:rsid w:val="006A0927"/>
    <w:rsid w:val="006B5789"/>
    <w:rsid w:val="006C30C5"/>
    <w:rsid w:val="006C48FA"/>
    <w:rsid w:val="006C6EE1"/>
    <w:rsid w:val="006C7F8C"/>
    <w:rsid w:val="006D156E"/>
    <w:rsid w:val="006E5320"/>
    <w:rsid w:val="006E6246"/>
    <w:rsid w:val="006E6D0E"/>
    <w:rsid w:val="006F318F"/>
    <w:rsid w:val="006F4226"/>
    <w:rsid w:val="0070017E"/>
    <w:rsid w:val="00700B2C"/>
    <w:rsid w:val="00701176"/>
    <w:rsid w:val="00702EFD"/>
    <w:rsid w:val="007050A2"/>
    <w:rsid w:val="00713084"/>
    <w:rsid w:val="0071399B"/>
    <w:rsid w:val="00714F20"/>
    <w:rsid w:val="0071590F"/>
    <w:rsid w:val="00715914"/>
    <w:rsid w:val="00726592"/>
    <w:rsid w:val="00731E00"/>
    <w:rsid w:val="00741EE8"/>
    <w:rsid w:val="007440B7"/>
    <w:rsid w:val="007500C8"/>
    <w:rsid w:val="007538E0"/>
    <w:rsid w:val="00756272"/>
    <w:rsid w:val="00757C96"/>
    <w:rsid w:val="007662B5"/>
    <w:rsid w:val="00766314"/>
    <w:rsid w:val="0076681A"/>
    <w:rsid w:val="007715C9"/>
    <w:rsid w:val="00771613"/>
    <w:rsid w:val="00774EDD"/>
    <w:rsid w:val="0077506D"/>
    <w:rsid w:val="007757EC"/>
    <w:rsid w:val="00783E89"/>
    <w:rsid w:val="007842CE"/>
    <w:rsid w:val="00785A9E"/>
    <w:rsid w:val="00793915"/>
    <w:rsid w:val="007A6DE3"/>
    <w:rsid w:val="007B0101"/>
    <w:rsid w:val="007B4C4F"/>
    <w:rsid w:val="007C2253"/>
    <w:rsid w:val="007D230B"/>
    <w:rsid w:val="007D504C"/>
    <w:rsid w:val="007E163D"/>
    <w:rsid w:val="007E667A"/>
    <w:rsid w:val="007E6B76"/>
    <w:rsid w:val="007F28C9"/>
    <w:rsid w:val="008003F7"/>
    <w:rsid w:val="00801B87"/>
    <w:rsid w:val="0080312D"/>
    <w:rsid w:val="00803587"/>
    <w:rsid w:val="008117E9"/>
    <w:rsid w:val="00817F4F"/>
    <w:rsid w:val="00824498"/>
    <w:rsid w:val="00826940"/>
    <w:rsid w:val="00835179"/>
    <w:rsid w:val="00840442"/>
    <w:rsid w:val="008527C0"/>
    <w:rsid w:val="00856A31"/>
    <w:rsid w:val="00860B58"/>
    <w:rsid w:val="0086266A"/>
    <w:rsid w:val="00863657"/>
    <w:rsid w:val="00863828"/>
    <w:rsid w:val="00867B37"/>
    <w:rsid w:val="008718DD"/>
    <w:rsid w:val="008754D0"/>
    <w:rsid w:val="008855C9"/>
    <w:rsid w:val="00886456"/>
    <w:rsid w:val="008945E0"/>
    <w:rsid w:val="0089527F"/>
    <w:rsid w:val="00896E23"/>
    <w:rsid w:val="008A0C2B"/>
    <w:rsid w:val="008A362B"/>
    <w:rsid w:val="008A46E1"/>
    <w:rsid w:val="008A4F43"/>
    <w:rsid w:val="008B2706"/>
    <w:rsid w:val="008B3EB7"/>
    <w:rsid w:val="008C0F29"/>
    <w:rsid w:val="008C1080"/>
    <w:rsid w:val="008C1596"/>
    <w:rsid w:val="008C54D7"/>
    <w:rsid w:val="008D0EE0"/>
    <w:rsid w:val="008D3422"/>
    <w:rsid w:val="008E6067"/>
    <w:rsid w:val="008F1882"/>
    <w:rsid w:val="008F54E7"/>
    <w:rsid w:val="009016BE"/>
    <w:rsid w:val="00903422"/>
    <w:rsid w:val="00913F74"/>
    <w:rsid w:val="009157B9"/>
    <w:rsid w:val="00915DF9"/>
    <w:rsid w:val="009254C3"/>
    <w:rsid w:val="00926940"/>
    <w:rsid w:val="00930A0A"/>
    <w:rsid w:val="00931078"/>
    <w:rsid w:val="00932377"/>
    <w:rsid w:val="009460DC"/>
    <w:rsid w:val="00946759"/>
    <w:rsid w:val="00947D5A"/>
    <w:rsid w:val="009532A5"/>
    <w:rsid w:val="00955175"/>
    <w:rsid w:val="0095528E"/>
    <w:rsid w:val="0096753E"/>
    <w:rsid w:val="00982242"/>
    <w:rsid w:val="009868E9"/>
    <w:rsid w:val="009944E6"/>
    <w:rsid w:val="009A3A6F"/>
    <w:rsid w:val="009A3F74"/>
    <w:rsid w:val="009A49C9"/>
    <w:rsid w:val="009D1171"/>
    <w:rsid w:val="009D1818"/>
    <w:rsid w:val="009D195A"/>
    <w:rsid w:val="009E5CFC"/>
    <w:rsid w:val="00A079CB"/>
    <w:rsid w:val="00A12128"/>
    <w:rsid w:val="00A12F48"/>
    <w:rsid w:val="00A13515"/>
    <w:rsid w:val="00A15512"/>
    <w:rsid w:val="00A21D13"/>
    <w:rsid w:val="00A22C98"/>
    <w:rsid w:val="00A231E2"/>
    <w:rsid w:val="00A26CCC"/>
    <w:rsid w:val="00A33D55"/>
    <w:rsid w:val="00A34412"/>
    <w:rsid w:val="00A40424"/>
    <w:rsid w:val="00A44C99"/>
    <w:rsid w:val="00A52943"/>
    <w:rsid w:val="00A52B0F"/>
    <w:rsid w:val="00A5632E"/>
    <w:rsid w:val="00A569C8"/>
    <w:rsid w:val="00A64912"/>
    <w:rsid w:val="00A70A74"/>
    <w:rsid w:val="00A91966"/>
    <w:rsid w:val="00AA2C13"/>
    <w:rsid w:val="00AA66AC"/>
    <w:rsid w:val="00AB1DE8"/>
    <w:rsid w:val="00AB69D9"/>
    <w:rsid w:val="00AC0886"/>
    <w:rsid w:val="00AD1F73"/>
    <w:rsid w:val="00AD5315"/>
    <w:rsid w:val="00AD5641"/>
    <w:rsid w:val="00AD7889"/>
    <w:rsid w:val="00AE787B"/>
    <w:rsid w:val="00AF021B"/>
    <w:rsid w:val="00AF06CF"/>
    <w:rsid w:val="00AF7676"/>
    <w:rsid w:val="00B0311C"/>
    <w:rsid w:val="00B04305"/>
    <w:rsid w:val="00B05A5C"/>
    <w:rsid w:val="00B07CDB"/>
    <w:rsid w:val="00B161E5"/>
    <w:rsid w:val="00B16A31"/>
    <w:rsid w:val="00B17DFD"/>
    <w:rsid w:val="00B2799D"/>
    <w:rsid w:val="00B308FE"/>
    <w:rsid w:val="00B33709"/>
    <w:rsid w:val="00B33B3C"/>
    <w:rsid w:val="00B33BD1"/>
    <w:rsid w:val="00B50ADC"/>
    <w:rsid w:val="00B566B1"/>
    <w:rsid w:val="00B577C8"/>
    <w:rsid w:val="00B63834"/>
    <w:rsid w:val="00B72734"/>
    <w:rsid w:val="00B80199"/>
    <w:rsid w:val="00B82D81"/>
    <w:rsid w:val="00B83204"/>
    <w:rsid w:val="00B84D7E"/>
    <w:rsid w:val="00B9126E"/>
    <w:rsid w:val="00B968B9"/>
    <w:rsid w:val="00BA220B"/>
    <w:rsid w:val="00BA3A57"/>
    <w:rsid w:val="00BB4E1A"/>
    <w:rsid w:val="00BB5C17"/>
    <w:rsid w:val="00BC015E"/>
    <w:rsid w:val="00BC7183"/>
    <w:rsid w:val="00BC76AC"/>
    <w:rsid w:val="00BC7B36"/>
    <w:rsid w:val="00BD0ECB"/>
    <w:rsid w:val="00BD3426"/>
    <w:rsid w:val="00BE2155"/>
    <w:rsid w:val="00BE2213"/>
    <w:rsid w:val="00BE6EF9"/>
    <w:rsid w:val="00BE719A"/>
    <w:rsid w:val="00BE720A"/>
    <w:rsid w:val="00BF06C4"/>
    <w:rsid w:val="00BF0D73"/>
    <w:rsid w:val="00BF2465"/>
    <w:rsid w:val="00BF75C9"/>
    <w:rsid w:val="00C0544A"/>
    <w:rsid w:val="00C11069"/>
    <w:rsid w:val="00C11452"/>
    <w:rsid w:val="00C25E7F"/>
    <w:rsid w:val="00C2746F"/>
    <w:rsid w:val="00C324A0"/>
    <w:rsid w:val="00C3300F"/>
    <w:rsid w:val="00C34E77"/>
    <w:rsid w:val="00C357F8"/>
    <w:rsid w:val="00C35875"/>
    <w:rsid w:val="00C35DAF"/>
    <w:rsid w:val="00C4170B"/>
    <w:rsid w:val="00C42BF8"/>
    <w:rsid w:val="00C43C90"/>
    <w:rsid w:val="00C45171"/>
    <w:rsid w:val="00C50043"/>
    <w:rsid w:val="00C50B97"/>
    <w:rsid w:val="00C576E8"/>
    <w:rsid w:val="00C63808"/>
    <w:rsid w:val="00C6434E"/>
    <w:rsid w:val="00C70CA8"/>
    <w:rsid w:val="00C7573B"/>
    <w:rsid w:val="00C77531"/>
    <w:rsid w:val="00C7761F"/>
    <w:rsid w:val="00C86B32"/>
    <w:rsid w:val="00C93C03"/>
    <w:rsid w:val="00CA66DC"/>
    <w:rsid w:val="00CB2376"/>
    <w:rsid w:val="00CB2C8E"/>
    <w:rsid w:val="00CB2D96"/>
    <w:rsid w:val="00CB602E"/>
    <w:rsid w:val="00CB6885"/>
    <w:rsid w:val="00CD03FE"/>
    <w:rsid w:val="00CD2E90"/>
    <w:rsid w:val="00CE0149"/>
    <w:rsid w:val="00CE051D"/>
    <w:rsid w:val="00CE1335"/>
    <w:rsid w:val="00CE3D2A"/>
    <w:rsid w:val="00CE493D"/>
    <w:rsid w:val="00CE541A"/>
    <w:rsid w:val="00CE6D42"/>
    <w:rsid w:val="00CF07FA"/>
    <w:rsid w:val="00CF0BB2"/>
    <w:rsid w:val="00CF3EE8"/>
    <w:rsid w:val="00CF5313"/>
    <w:rsid w:val="00D03E5F"/>
    <w:rsid w:val="00D050E6"/>
    <w:rsid w:val="00D13441"/>
    <w:rsid w:val="00D14886"/>
    <w:rsid w:val="00D150E7"/>
    <w:rsid w:val="00D20A4B"/>
    <w:rsid w:val="00D306F8"/>
    <w:rsid w:val="00D32F65"/>
    <w:rsid w:val="00D341C4"/>
    <w:rsid w:val="00D36B80"/>
    <w:rsid w:val="00D52DC2"/>
    <w:rsid w:val="00D53BCC"/>
    <w:rsid w:val="00D57F07"/>
    <w:rsid w:val="00D648BB"/>
    <w:rsid w:val="00D702DE"/>
    <w:rsid w:val="00D70DFB"/>
    <w:rsid w:val="00D732EC"/>
    <w:rsid w:val="00D73C22"/>
    <w:rsid w:val="00D766DF"/>
    <w:rsid w:val="00D86D97"/>
    <w:rsid w:val="00D8769F"/>
    <w:rsid w:val="00DA186E"/>
    <w:rsid w:val="00DA3471"/>
    <w:rsid w:val="00DA4116"/>
    <w:rsid w:val="00DA73F5"/>
    <w:rsid w:val="00DB251C"/>
    <w:rsid w:val="00DB280D"/>
    <w:rsid w:val="00DB38AD"/>
    <w:rsid w:val="00DB4630"/>
    <w:rsid w:val="00DB6E2F"/>
    <w:rsid w:val="00DC4445"/>
    <w:rsid w:val="00DC4F88"/>
    <w:rsid w:val="00DE0A85"/>
    <w:rsid w:val="00DE79F9"/>
    <w:rsid w:val="00E05704"/>
    <w:rsid w:val="00E06CC3"/>
    <w:rsid w:val="00E11E44"/>
    <w:rsid w:val="00E13AFA"/>
    <w:rsid w:val="00E2168B"/>
    <w:rsid w:val="00E21F03"/>
    <w:rsid w:val="00E338EF"/>
    <w:rsid w:val="00E33F16"/>
    <w:rsid w:val="00E40FF8"/>
    <w:rsid w:val="00E544BB"/>
    <w:rsid w:val="00E54C4C"/>
    <w:rsid w:val="00E578EC"/>
    <w:rsid w:val="00E60423"/>
    <w:rsid w:val="00E63571"/>
    <w:rsid w:val="00E649D7"/>
    <w:rsid w:val="00E662CB"/>
    <w:rsid w:val="00E74DC7"/>
    <w:rsid w:val="00E8075A"/>
    <w:rsid w:val="00E818A6"/>
    <w:rsid w:val="00E81A4A"/>
    <w:rsid w:val="00E85A91"/>
    <w:rsid w:val="00E87718"/>
    <w:rsid w:val="00E94D5E"/>
    <w:rsid w:val="00EA0BF6"/>
    <w:rsid w:val="00EA17A6"/>
    <w:rsid w:val="00EA7100"/>
    <w:rsid w:val="00EA7F9F"/>
    <w:rsid w:val="00EB0E70"/>
    <w:rsid w:val="00EB1274"/>
    <w:rsid w:val="00EC4757"/>
    <w:rsid w:val="00EC7EDB"/>
    <w:rsid w:val="00ED2BB6"/>
    <w:rsid w:val="00ED34E1"/>
    <w:rsid w:val="00ED3B8D"/>
    <w:rsid w:val="00EE2C44"/>
    <w:rsid w:val="00EF15D3"/>
    <w:rsid w:val="00EF280C"/>
    <w:rsid w:val="00EF2E3A"/>
    <w:rsid w:val="00EF3D04"/>
    <w:rsid w:val="00F02EF9"/>
    <w:rsid w:val="00F03BB5"/>
    <w:rsid w:val="00F047D8"/>
    <w:rsid w:val="00F072A7"/>
    <w:rsid w:val="00F078DC"/>
    <w:rsid w:val="00F14593"/>
    <w:rsid w:val="00F171A1"/>
    <w:rsid w:val="00F32BA8"/>
    <w:rsid w:val="00F349F1"/>
    <w:rsid w:val="00F37FDE"/>
    <w:rsid w:val="00F40EBF"/>
    <w:rsid w:val="00F4215A"/>
    <w:rsid w:val="00F429E9"/>
    <w:rsid w:val="00F4350D"/>
    <w:rsid w:val="00F50532"/>
    <w:rsid w:val="00F567F7"/>
    <w:rsid w:val="00F61B09"/>
    <w:rsid w:val="00F62036"/>
    <w:rsid w:val="00F65B52"/>
    <w:rsid w:val="00F67BCA"/>
    <w:rsid w:val="00F73BD6"/>
    <w:rsid w:val="00F800C9"/>
    <w:rsid w:val="00F83989"/>
    <w:rsid w:val="00F85099"/>
    <w:rsid w:val="00F90ADA"/>
    <w:rsid w:val="00F9379C"/>
    <w:rsid w:val="00F9632C"/>
    <w:rsid w:val="00FA179D"/>
    <w:rsid w:val="00FA1E52"/>
    <w:rsid w:val="00FA31DE"/>
    <w:rsid w:val="00FA7D17"/>
    <w:rsid w:val="00FA7ECA"/>
    <w:rsid w:val="00FC3EB8"/>
    <w:rsid w:val="00FC4335"/>
    <w:rsid w:val="00FC7D25"/>
    <w:rsid w:val="00FD13CC"/>
    <w:rsid w:val="00FE2FB8"/>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CE2B"/>
  <w15:chartTrackingRefBased/>
  <w15:docId w15:val="{721AD076-9D72-4097-8D2F-788B9960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Revision">
    <w:name w:val="Revision"/>
    <w:hidden/>
    <w:uiPriority w:val="99"/>
    <w:semiHidden/>
    <w:rsid w:val="00374FD0"/>
    <w:rPr>
      <w:sz w:val="22"/>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2A7ADFF6D74F1409A55FF9F4E253CCC" ma:contentTypeVersion="25" ma:contentTypeDescription="Create a new document." ma:contentTypeScope="" ma:versionID="b7d3d4496a7d678150fa37425a2d1198">
  <xsd:schema xmlns:xsd="http://www.w3.org/2001/XMLSchema" xmlns:xs="http://www.w3.org/2001/XMLSchema" xmlns:p="http://schemas.microsoft.com/office/2006/metadata/properties" xmlns:ns2="db2b92ca-6ed0-4085-802d-4c686a2e8c3f" xmlns:ns3="32b1aa61-305c-44f8-8736-ffb61b902b9f" xmlns:ns4="d7178837-db25-4e97-91b0-e28ab06ee2a7" targetNamespace="http://schemas.microsoft.com/office/2006/metadata/properties" ma:root="true" ma:fieldsID="9561173b6a76acdd94ad007cb3488210" ns2:_="" ns3:_="" ns4:_="">
    <xsd:import namespace="db2b92ca-6ed0-4085-802d-4c686a2e8c3f"/>
    <xsd:import namespace="32b1aa61-305c-44f8-8736-ffb61b902b9f"/>
    <xsd:import namespace="d7178837-db25-4e97-91b0-e28ab06ee2a7"/>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3:ECMSP13ModifiedBy" minOccurs="0"/>
                <xsd:element ref="ns3:ECMSP13CreatedBy" minOccurs="0"/>
                <xsd:element ref="ns4:_Flow_Signoff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d9b8cdf-fbb3-4029-b56a-1c46108e6169}" ma:internalName="TaxCatchAll" ma:showField="CatchAllData" ma:web="32b1aa61-305c-44f8-8736-ffb61b902b9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d9b8cdf-fbb3-4029-b56a-1c46108e6169}" ma:internalName="TaxCatchAllLabel" ma:readOnly="true" ma:showField="CatchAllDataLabel" ma:web="32b1aa61-305c-44f8-8736-ffb61b902b9f">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1aa61-305c-44f8-8736-ffb61b902b9f"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6" nillable="true" ma:displayName="ECM SP13 Modified By" ma:internalName="ECMSP13ModifiedBy">
      <xsd:simpleType>
        <xsd:restriction base="dms:Text"/>
      </xsd:simpleType>
    </xsd:element>
    <xsd:element name="ECMSP13CreatedBy" ma:index="17"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178837-db25-4e97-91b0-e28ab06ee2a7" elementFormDefault="qualified">
    <xsd:import namespace="http://schemas.microsoft.com/office/2006/documentManagement/types"/>
    <xsd:import namespace="http://schemas.microsoft.com/office/infopath/2007/PartnerControls"/>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ECMSP13ModifiedBy xmlns="32b1aa61-305c-44f8-8736-ffb61b902b9f">John Warton</ECMSP13ModifiedBy>
    <TaxCatchAll xmlns="db2b92ca-6ed0-4085-802d-4c686a2e8c3f">
      <Value>1</Value>
    </TaxCatchAll>
    <ECMSP13CreatedBy xmlns="32b1aa61-305c-44f8-8736-ffb61b902b9f">John Warton</ECMSP13CreatedBy>
    <ECMSP13SecurityClassification xmlns="32b1aa61-305c-44f8-8736-ffb61b902b9f">OFFICIAL - Sensitive</ECMSP13SecurityClassification>
    <ECMSP13DocumentID xmlns="32b1aa61-305c-44f8-8736-ffb61b902b9f">R20210000764408</ECMSP13DocumentID>
    <DocumentNotes xmlns="db2b92ca-6ed0-4085-802d-4c686a2e8c3f" xsi:nil="true"/>
    <_Flow_SignoffStatus xmlns="d7178837-db25-4e97-91b0-e28ab06ee2a7" xsi:nil="true"/>
    <NAPReason xmlns="db2b92ca-6ed0-4085-802d-4c686a2e8c3f" xsi:nil="true"/>
    <_dlc_DocId xmlns="32b1aa61-305c-44f8-8736-ffb61b902b9f">003104-1906218246-15446</_dlc_DocId>
    <_dlc_DocIdUrl xmlns="32b1aa61-305c-44f8-8736-ffb61b902b9f">
      <Url>https://asiclink.sharepoint.com/teams/003104/_layouts/15/DocIdRedir.aspx?ID=003104-1906218246-15446</Url>
      <Description>003104-1906218246-15446</Description>
    </_dlc_DocIdUrl>
  </documentManagement>
</p:properties>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737CC-2B85-4CD7-B6E2-B4CAD744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32b1aa61-305c-44f8-8736-ffb61b902b9f"/>
    <ds:schemaRef ds:uri="d7178837-db25-4e97-91b0-e28ab06ee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3B959-2A97-44B1-939F-1885A540958A}">
  <ds:schemaRefs>
    <ds:schemaRef ds:uri="http://schemas.openxmlformats.org/officeDocument/2006/bibliography"/>
  </ds:schemaRefs>
</ds:datastoreItem>
</file>

<file path=customXml/itemProps3.xml><?xml version="1.0" encoding="utf-8"?>
<ds:datastoreItem xmlns:ds="http://schemas.openxmlformats.org/officeDocument/2006/customXml" ds:itemID="{68CC8378-F637-4A15-9F18-6195D41AA5BF}">
  <ds:schemaRefs>
    <ds:schemaRef ds:uri="http://schemas.microsoft.com/sharepoint/events"/>
  </ds:schemaRefs>
</ds:datastoreItem>
</file>

<file path=customXml/itemProps4.xml><?xml version="1.0" encoding="utf-8"?>
<ds:datastoreItem xmlns:ds="http://schemas.openxmlformats.org/officeDocument/2006/customXml" ds:itemID="{3295A6FD-E759-4BF6-9A52-C673FD1FADAE}">
  <ds:schemaRefs>
    <ds:schemaRef ds:uri="http://schemas.microsoft.com/office/2006/metadata/longProperties"/>
  </ds:schemaRefs>
</ds:datastoreItem>
</file>

<file path=customXml/itemProps5.xml><?xml version="1.0" encoding="utf-8"?>
<ds:datastoreItem xmlns:ds="http://schemas.openxmlformats.org/officeDocument/2006/customXml" ds:itemID="{C9C1F741-8753-4F5D-82DA-C61E2CFA6431}">
  <ds:schemaRefs>
    <ds:schemaRef ds:uri="http://purl.org/dc/elements/1.1/"/>
    <ds:schemaRef ds:uri="http://schemas.microsoft.com/office/2006/metadata/properties"/>
    <ds:schemaRef ds:uri="db2b92ca-6ed0-4085-802d-4c686a2e8c3f"/>
    <ds:schemaRef ds:uri="http://purl.org/dc/terms/"/>
    <ds:schemaRef ds:uri="32b1aa61-305c-44f8-8736-ffb61b902b9f"/>
    <ds:schemaRef ds:uri="http://schemas.microsoft.com/office/2006/documentManagement/types"/>
    <ds:schemaRef ds:uri="http://schemas.microsoft.com/office/infopath/2007/PartnerControls"/>
    <ds:schemaRef ds:uri="http://schemas.openxmlformats.org/package/2006/metadata/core-properties"/>
    <ds:schemaRef ds:uri="d7178837-db25-4e97-91b0-e28ab06ee2a7"/>
    <ds:schemaRef ds:uri="http://www.w3.org/XML/1998/namespace"/>
    <ds:schemaRef ds:uri="http://purl.org/dc/dcmitype/"/>
  </ds:schemaRefs>
</ds:datastoreItem>
</file>

<file path=customXml/itemProps6.xml><?xml version="1.0" encoding="utf-8"?>
<ds:datastoreItem xmlns:ds="http://schemas.openxmlformats.org/officeDocument/2006/customXml" ds:itemID="{92B14F18-CB5D-426E-B159-2D8F7464892D}">
  <ds:schemaRefs>
    <ds:schemaRef ds:uri="Microsoft.SharePoint.Taxonomy.ContentTypeSync"/>
  </ds:schemaRefs>
</ds:datastoreItem>
</file>

<file path=customXml/itemProps7.xml><?xml version="1.0" encoding="utf-8"?>
<ds:datastoreItem xmlns:ds="http://schemas.openxmlformats.org/officeDocument/2006/customXml" ds:itemID="{5172B143-67D3-455A-86CF-3247535D5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5</TotalTime>
  <Pages>9</Pages>
  <Words>2265</Words>
  <Characters>12913</Characters>
  <Application>Microsoft Office Word</Application>
  <DocSecurity>0</DocSecurity>
  <PresentationFormat/>
  <Lines>107</Lines>
  <Paragraphs>30</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15148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Narelle Kane</dc:creator>
  <cp:keywords/>
  <cp:lastModifiedBy>Narelle Kane</cp:lastModifiedBy>
  <cp:revision>4</cp:revision>
  <cp:lastPrinted>2019-11-19T22:47:00Z</cp:lastPrinted>
  <dcterms:created xsi:type="dcterms:W3CDTF">2023-11-03T02:34:00Z</dcterms:created>
  <dcterms:modified xsi:type="dcterms:W3CDTF">2023-11-03T02:45:00Z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{59951a00-eab2-45ef-817a-a6c157253a13}</vt:lpwstr>
  </property>
  <property fmtid="{D5CDD505-2E9C-101B-9397-08002B2CF9AE}" pid="41" name="RecordPoint_ActiveItemListId">
    <vt:lpwstr>{e9b6cd0b-d786-46ed-b86e-81d5755e0e1c}</vt:lpwstr>
  </property>
  <property fmtid="{D5CDD505-2E9C-101B-9397-08002B2CF9AE}" pid="42" name="RecordPoint_ActiveItemUniqueId">
    <vt:lpwstr>{b2ab4972-4bb5-4ea8-8c68-508388fd9721}</vt:lpwstr>
  </property>
  <property fmtid="{D5CDD505-2E9C-101B-9397-08002B2CF9AE}" pid="43" name="RecordPoint_ActiveItemWebId">
    <vt:lpwstr>{a056d18a-53c3-48b0-b0a0-823f4c5d810b}</vt:lpwstr>
  </property>
  <property fmtid="{D5CDD505-2E9C-101B-9397-08002B2CF9AE}" pid="44" name="IconOverlay">
    <vt:lpwstr/>
  </property>
  <property fmtid="{D5CDD505-2E9C-101B-9397-08002B2CF9AE}" pid="45" name="RecordNumber">
    <vt:lpwstr>R20210000764408</vt:lpwstr>
  </property>
  <property fmtid="{D5CDD505-2E9C-101B-9397-08002B2CF9AE}" pid="46" name="RecordPoint_SubmissionCompleted">
    <vt:lpwstr>2021-11-12T15:43:10.0482221+11:00</vt:lpwstr>
  </property>
  <property fmtid="{D5CDD505-2E9C-101B-9397-08002B2CF9AE}" pid="47" name="RecordPoint_RecordNumberSubmitted">
    <vt:lpwstr>R20210000764408</vt:lpwstr>
  </property>
  <property fmtid="{D5CDD505-2E9C-101B-9397-08002B2CF9AE}" pid="48" name="Reviewers">
    <vt:lpwstr/>
  </property>
  <property fmtid="{D5CDD505-2E9C-101B-9397-08002B2CF9AE}" pid="49" name="NotesLinks">
    <vt:lpwstr/>
  </property>
  <property fmtid="{D5CDD505-2E9C-101B-9397-08002B2CF9AE}" pid="50" name="Approvers">
    <vt:lpwstr/>
  </property>
  <property fmtid="{D5CDD505-2E9C-101B-9397-08002B2CF9AE}" pid="51" name="SecurityClassification">
    <vt:lpwstr>1;#OFFICIAL - Sensitive|6eccc17f-024b-41b0-b6b1-faf98d2aff85</vt:lpwstr>
  </property>
  <property fmtid="{D5CDD505-2E9C-101B-9397-08002B2CF9AE}" pid="52" name="ObjectiveID">
    <vt:lpwstr/>
  </property>
  <property fmtid="{D5CDD505-2E9C-101B-9397-08002B2CF9AE}" pid="53" name="SignificantFlag">
    <vt:lpwstr>0</vt:lpwstr>
  </property>
  <property fmtid="{D5CDD505-2E9C-101B-9397-08002B2CF9AE}" pid="54" name="SenateOrder12">
    <vt:lpwstr>0</vt:lpwstr>
  </property>
  <property fmtid="{D5CDD505-2E9C-101B-9397-08002B2CF9AE}" pid="55" name="ded95d7ab059406991d558011d18c177">
    <vt:lpwstr/>
  </property>
  <property fmtid="{D5CDD505-2E9C-101B-9397-08002B2CF9AE}" pid="56" name="SignificantReason">
    <vt:lpwstr/>
  </property>
  <property fmtid="{D5CDD505-2E9C-101B-9397-08002B2CF9AE}" pid="57" name="Order">
    <vt:lpwstr>71900.0000000000</vt:lpwstr>
  </property>
  <property fmtid="{D5CDD505-2E9C-101B-9397-08002B2CF9AE}" pid="58" name="RecordPoint_SubmissionDate">
    <vt:lpwstr/>
  </property>
  <property fmtid="{D5CDD505-2E9C-101B-9397-08002B2CF9AE}" pid="59" name="RecordPoint_RecordFormat">
    <vt:lpwstr/>
  </property>
  <property fmtid="{D5CDD505-2E9C-101B-9397-08002B2CF9AE}" pid="60" name="ContentTypeId">
    <vt:lpwstr>0x010100B5F685A1365F544391EF8C813B164F3A006A0666AD55E74A4AA7B2AAEA6C351A600042A7ADFF6D74F1409A55FF9F4E253CCC</vt:lpwstr>
  </property>
  <property fmtid="{D5CDD505-2E9C-101B-9397-08002B2CF9AE}" pid="61" name="j6fc6a599c14497db952b10662d36cee">
    <vt:lpwstr>OFFICIAL - Sensitive|6eccc17f-024b-41b0-b6b1-faf98d2aff85</vt:lpwstr>
  </property>
  <property fmtid="{D5CDD505-2E9C-101B-9397-08002B2CF9AE}" pid="62" name="MailSubject">
    <vt:lpwstr/>
  </property>
  <property fmtid="{D5CDD505-2E9C-101B-9397-08002B2CF9AE}" pid="63" name="MailIn-Reply-To0">
    <vt:lpwstr/>
  </property>
  <property fmtid="{D5CDD505-2E9C-101B-9397-08002B2CF9AE}" pid="64" name="display_urn:schemas-microsoft-com:office:office#Editor">
    <vt:lpwstr>John Warton</vt:lpwstr>
  </property>
  <property fmtid="{D5CDD505-2E9C-101B-9397-08002B2CF9AE}" pid="65" name="MailCc">
    <vt:lpwstr/>
  </property>
  <property fmtid="{D5CDD505-2E9C-101B-9397-08002B2CF9AE}" pid="66" name="MailTo">
    <vt:lpwstr/>
  </property>
  <property fmtid="{D5CDD505-2E9C-101B-9397-08002B2CF9AE}" pid="67" name="DocumentSetDescription">
    <vt:lpwstr/>
  </property>
  <property fmtid="{D5CDD505-2E9C-101B-9397-08002B2CF9AE}" pid="68" name="display_urn:schemas-microsoft-com:office:office#Author">
    <vt:lpwstr>John Warton</vt:lpwstr>
  </property>
  <property fmtid="{D5CDD505-2E9C-101B-9397-08002B2CF9AE}" pid="69" name="MailDate">
    <vt:lpwstr/>
  </property>
  <property fmtid="{D5CDD505-2E9C-101B-9397-08002B2CF9AE}" pid="70" name="URL">
    <vt:lpwstr/>
  </property>
  <property fmtid="{D5CDD505-2E9C-101B-9397-08002B2CF9AE}" pid="71" name="MailReferences">
    <vt:lpwstr/>
  </property>
  <property fmtid="{D5CDD505-2E9C-101B-9397-08002B2CF9AE}" pid="72" name="Financial">
    <vt:lpwstr/>
  </property>
  <property fmtid="{D5CDD505-2E9C-101B-9397-08002B2CF9AE}" pid="73" name="MailOriginalSubject">
    <vt:lpwstr/>
  </property>
  <property fmtid="{D5CDD505-2E9C-101B-9397-08002B2CF9AE}" pid="74" name="MailFrom">
    <vt:lpwstr/>
  </property>
  <property fmtid="{D5CDD505-2E9C-101B-9397-08002B2CF9AE}" pid="75" name="MailAttachments">
    <vt:lpwstr/>
  </property>
  <property fmtid="{D5CDD505-2E9C-101B-9397-08002B2CF9AE}" pid="76" name="MailReply-To0">
    <vt:lpwstr/>
  </property>
  <property fmtid="{D5CDD505-2E9C-101B-9397-08002B2CF9AE}" pid="77" name="_dlc_DocId">
    <vt:lpwstr>003104-1906218246-14334</vt:lpwstr>
  </property>
  <property fmtid="{D5CDD505-2E9C-101B-9397-08002B2CF9AE}" pid="78" name="_dlc_DocIdItemGuid">
    <vt:lpwstr>5bc4f086-d3e0-4831-b16a-6ba09fdaf820</vt:lpwstr>
  </property>
  <property fmtid="{D5CDD505-2E9C-101B-9397-08002B2CF9AE}" pid="79" name="_dlc_DocIdUrl">
    <vt:lpwstr>https://asiclink.sharepoint.com/teams/003104/_layouts/15/DocIdRedir.aspx?ID=003104-1906218246-14334, 003104-1906218246-14334</vt:lpwstr>
  </property>
  <property fmtid="{D5CDD505-2E9C-101B-9397-08002B2CF9AE}" pid="80" name="MSIP_Label_a6aead41-07f8-4767-ac8e-ef1c9c793766_Enabled">
    <vt:lpwstr>true</vt:lpwstr>
  </property>
  <property fmtid="{D5CDD505-2E9C-101B-9397-08002B2CF9AE}" pid="81" name="MSIP_Label_a6aead41-07f8-4767-ac8e-ef1c9c793766_SetDate">
    <vt:lpwstr>2023-10-27T03:57:49Z</vt:lpwstr>
  </property>
  <property fmtid="{D5CDD505-2E9C-101B-9397-08002B2CF9AE}" pid="82" name="MSIP_Label_a6aead41-07f8-4767-ac8e-ef1c9c793766_Method">
    <vt:lpwstr>Standard</vt:lpwstr>
  </property>
  <property fmtid="{D5CDD505-2E9C-101B-9397-08002B2CF9AE}" pid="83" name="MSIP_Label_a6aead41-07f8-4767-ac8e-ef1c9c793766_Name">
    <vt:lpwstr>OFFICIAL</vt:lpwstr>
  </property>
  <property fmtid="{D5CDD505-2E9C-101B-9397-08002B2CF9AE}" pid="84" name="MSIP_Label_a6aead41-07f8-4767-ac8e-ef1c9c793766_SiteId">
    <vt:lpwstr>5f1de7c6-55cd-4bb2-902d-514c78cf10f4</vt:lpwstr>
  </property>
  <property fmtid="{D5CDD505-2E9C-101B-9397-08002B2CF9AE}" pid="85" name="MSIP_Label_a6aead41-07f8-4767-ac8e-ef1c9c793766_ActionId">
    <vt:lpwstr>21177eba-5dcd-479c-b9e3-8434f38dd636</vt:lpwstr>
  </property>
  <property fmtid="{D5CDD505-2E9C-101B-9397-08002B2CF9AE}" pid="86" name="MSIP_Label_a6aead41-07f8-4767-ac8e-ef1c9c793766_ContentBits">
    <vt:lpwstr>0</vt:lpwstr>
  </property>
</Properties>
</file>