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0BC4" w14:textId="77777777" w:rsidR="001E51F5" w:rsidRPr="00976E97" w:rsidRDefault="001E51F5" w:rsidP="001E51F5">
      <w:pPr>
        <w:spacing w:after="0" w:line="240" w:lineRule="auto"/>
        <w:jc w:val="center"/>
        <w:rPr>
          <w:rFonts w:ascii="Tms Rmn" w:eastAsia="Times New Roman" w:hAnsi="Tms Rmn"/>
          <w:b/>
          <w:sz w:val="22"/>
          <w:szCs w:val="22"/>
          <w:u w:val="single"/>
          <w:lang w:eastAsia="en-AU"/>
        </w:rPr>
      </w:pPr>
      <w:r w:rsidRPr="00976E97">
        <w:rPr>
          <w:rFonts w:ascii="Tms Rmn" w:eastAsia="Times New Roman" w:hAnsi="Tms Rmn"/>
          <w:b/>
          <w:sz w:val="22"/>
          <w:szCs w:val="22"/>
          <w:u w:val="single"/>
          <w:lang w:eastAsia="en-AU"/>
        </w:rPr>
        <w:t>EXPLANATORY STATEMENT</w:t>
      </w:r>
    </w:p>
    <w:p w14:paraId="6F4C5E54" w14:textId="77777777" w:rsidR="001E51F5" w:rsidRPr="00976E97" w:rsidRDefault="001E51F5" w:rsidP="001E51F5">
      <w:pPr>
        <w:spacing w:after="0" w:line="240" w:lineRule="auto"/>
        <w:jc w:val="center"/>
        <w:rPr>
          <w:rFonts w:ascii="Tms Rmn" w:eastAsia="Times New Roman" w:hAnsi="Tms Rmn"/>
          <w:bCs/>
          <w:sz w:val="22"/>
          <w:szCs w:val="22"/>
          <w:lang w:eastAsia="en-AU"/>
        </w:rPr>
      </w:pPr>
    </w:p>
    <w:p w14:paraId="5FCBADBB" w14:textId="77777777" w:rsidR="001E51F5" w:rsidRPr="00976E97" w:rsidRDefault="001E51F5" w:rsidP="001E51F5">
      <w:pPr>
        <w:spacing w:after="0" w:line="240" w:lineRule="auto"/>
        <w:jc w:val="center"/>
        <w:rPr>
          <w:rFonts w:ascii="Tms Rmn" w:eastAsia="Times New Roman" w:hAnsi="Tms Rmn"/>
          <w:sz w:val="22"/>
          <w:szCs w:val="22"/>
          <w:u w:val="single"/>
          <w:lang w:eastAsia="en-AU"/>
        </w:rPr>
      </w:pPr>
      <w:r w:rsidRPr="00976E97">
        <w:rPr>
          <w:rFonts w:eastAsia="Times New Roman"/>
          <w:i/>
          <w:sz w:val="22"/>
          <w:szCs w:val="22"/>
          <w:lang w:eastAsia="en-AU"/>
        </w:rPr>
        <w:t>Therapeutic Goods Act 1989</w:t>
      </w:r>
    </w:p>
    <w:p w14:paraId="23D4CA75" w14:textId="77777777" w:rsidR="001E51F5" w:rsidRPr="00976E97" w:rsidRDefault="001E51F5" w:rsidP="001E51F5">
      <w:pPr>
        <w:spacing w:after="0" w:line="240" w:lineRule="auto"/>
        <w:jc w:val="center"/>
        <w:rPr>
          <w:rFonts w:ascii="Tms Rmn" w:eastAsia="Times New Roman" w:hAnsi="Tms Rmn"/>
          <w:sz w:val="22"/>
          <w:szCs w:val="22"/>
          <w:u w:val="single"/>
          <w:lang w:eastAsia="en-AU"/>
        </w:rPr>
      </w:pPr>
    </w:p>
    <w:p w14:paraId="3567B715" w14:textId="41C40E64" w:rsidR="001E51F5" w:rsidRPr="00976E97" w:rsidRDefault="00E47491" w:rsidP="001E51F5">
      <w:pPr>
        <w:spacing w:after="0" w:line="240" w:lineRule="auto"/>
        <w:jc w:val="center"/>
        <w:rPr>
          <w:rFonts w:eastAsia="Times New Roman"/>
          <w:i/>
          <w:sz w:val="22"/>
          <w:szCs w:val="22"/>
          <w:lang w:eastAsia="en-AU"/>
        </w:rPr>
      </w:pPr>
      <w:r w:rsidRPr="00976E97">
        <w:rPr>
          <w:rFonts w:eastAsia="Times New Roman"/>
          <w:i/>
          <w:sz w:val="22"/>
          <w:szCs w:val="22"/>
          <w:lang w:eastAsia="en-AU"/>
        </w:rPr>
        <w:t>Therapeutic Goods (Medical Devices—Information that Must Accompany Application for Inclusion) Amendment (</w:t>
      </w:r>
      <w:r w:rsidR="00540A4F" w:rsidRPr="00976E97">
        <w:rPr>
          <w:rFonts w:eastAsia="Times New Roman"/>
          <w:i/>
          <w:sz w:val="22"/>
          <w:szCs w:val="22"/>
          <w:lang w:eastAsia="en-AU"/>
        </w:rPr>
        <w:t>European Union—</w:t>
      </w:r>
      <w:r w:rsidR="00573284" w:rsidRPr="00976E97">
        <w:rPr>
          <w:rFonts w:eastAsia="Times New Roman"/>
          <w:i/>
          <w:sz w:val="22"/>
          <w:szCs w:val="22"/>
          <w:lang w:eastAsia="en-AU"/>
        </w:rPr>
        <w:t>Class I</w:t>
      </w:r>
      <w:r w:rsidR="00DC540A" w:rsidRPr="00976E97">
        <w:rPr>
          <w:rFonts w:eastAsia="Times New Roman"/>
          <w:i/>
          <w:sz w:val="22"/>
          <w:szCs w:val="22"/>
          <w:lang w:eastAsia="en-AU"/>
        </w:rPr>
        <w:t>Ia</w:t>
      </w:r>
      <w:r w:rsidR="00140068" w:rsidRPr="00976E97">
        <w:rPr>
          <w:rFonts w:eastAsia="Times New Roman"/>
          <w:i/>
          <w:sz w:val="22"/>
          <w:szCs w:val="22"/>
          <w:lang w:eastAsia="en-AU"/>
        </w:rPr>
        <w:t xml:space="preserve"> and Class IIb</w:t>
      </w:r>
      <w:r w:rsidRPr="00976E97">
        <w:rPr>
          <w:rFonts w:eastAsia="Times New Roman"/>
          <w:i/>
          <w:sz w:val="22"/>
          <w:szCs w:val="22"/>
          <w:lang w:eastAsia="en-AU"/>
        </w:rPr>
        <w:t>) Determination 202</w:t>
      </w:r>
      <w:r w:rsidR="002A5E21" w:rsidRPr="00976E97">
        <w:rPr>
          <w:rFonts w:eastAsia="Times New Roman"/>
          <w:i/>
          <w:sz w:val="22"/>
          <w:szCs w:val="22"/>
          <w:lang w:eastAsia="en-AU"/>
        </w:rPr>
        <w:t>3</w:t>
      </w:r>
    </w:p>
    <w:p w14:paraId="66E76C87" w14:textId="77777777" w:rsidR="001E51F5" w:rsidRPr="00976E97" w:rsidRDefault="001E51F5" w:rsidP="001E51F5">
      <w:pPr>
        <w:autoSpaceDE w:val="0"/>
        <w:autoSpaceDN w:val="0"/>
        <w:adjustRightInd w:val="0"/>
        <w:spacing w:after="0" w:line="240" w:lineRule="auto"/>
        <w:jc w:val="center"/>
        <w:rPr>
          <w:rFonts w:eastAsia="Times New Roman"/>
          <w:sz w:val="22"/>
          <w:szCs w:val="22"/>
          <w:lang w:eastAsia="en-AU"/>
        </w:rPr>
      </w:pPr>
    </w:p>
    <w:p w14:paraId="573B7752" w14:textId="5361866B" w:rsidR="001E51F5" w:rsidRPr="00976E97" w:rsidRDefault="001E51F5" w:rsidP="001E51F5">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w:t>
      </w:r>
      <w:r w:rsidRPr="00976E97">
        <w:rPr>
          <w:rFonts w:eastAsia="Times New Roman"/>
          <w:i/>
          <w:sz w:val="22"/>
          <w:szCs w:val="22"/>
          <w:lang w:eastAsia="en-AU"/>
        </w:rPr>
        <w:t>Therapeutic Goods Act 1989</w:t>
      </w:r>
      <w:r w:rsidRPr="00976E97">
        <w:rPr>
          <w:rFonts w:eastAsia="Times New Roman"/>
          <w:sz w:val="22"/>
          <w:szCs w:val="22"/>
          <w:lang w:eastAsia="en-AU"/>
        </w:rPr>
        <w:t xml:space="preserve"> (“the Act”) provides for the establishment and maintenance of a national system of controls for the quality, safety, </w:t>
      </w:r>
      <w:proofErr w:type="gramStart"/>
      <w:r w:rsidR="009B6CB1" w:rsidRPr="00976E97">
        <w:rPr>
          <w:rFonts w:eastAsia="Times New Roman"/>
          <w:sz w:val="22"/>
          <w:szCs w:val="22"/>
          <w:lang w:eastAsia="en-AU"/>
        </w:rPr>
        <w:t>performance</w:t>
      </w:r>
      <w:proofErr w:type="gramEnd"/>
      <w:r w:rsidRPr="00976E97">
        <w:rPr>
          <w:rFonts w:eastAsia="Times New Roman"/>
          <w:sz w:val="22"/>
          <w:szCs w:val="22"/>
          <w:lang w:eastAsia="en-AU"/>
        </w:rPr>
        <w:t xml:space="preserve"> and timely availability of therapeutic goods that are used in, or exported from, Australia. The Act </w:t>
      </w:r>
      <w:proofErr w:type="gramStart"/>
      <w:r w:rsidRPr="00976E97">
        <w:rPr>
          <w:rFonts w:eastAsia="Times New Roman"/>
          <w:sz w:val="22"/>
          <w:szCs w:val="22"/>
          <w:lang w:eastAsia="en-AU"/>
        </w:rPr>
        <w:t>is administered</w:t>
      </w:r>
      <w:proofErr w:type="gramEnd"/>
      <w:r w:rsidRPr="00976E97">
        <w:rPr>
          <w:rFonts w:eastAsia="Times New Roman"/>
          <w:sz w:val="22"/>
          <w:szCs w:val="22"/>
          <w:lang w:eastAsia="en-AU"/>
        </w:rPr>
        <w:t xml:space="preserve"> by the Therapeutic Goods Administration (“the TGA”) within the Australian Government Department of Health</w:t>
      </w:r>
      <w:r w:rsidR="002A5E21" w:rsidRPr="00976E97">
        <w:rPr>
          <w:rFonts w:eastAsia="Times New Roman"/>
          <w:sz w:val="22"/>
          <w:szCs w:val="22"/>
          <w:lang w:eastAsia="en-AU"/>
        </w:rPr>
        <w:t xml:space="preserve"> and Aged Care</w:t>
      </w:r>
      <w:r w:rsidRPr="00976E97">
        <w:rPr>
          <w:rFonts w:eastAsia="Times New Roman"/>
          <w:sz w:val="22"/>
          <w:szCs w:val="22"/>
          <w:lang w:eastAsia="en-AU"/>
        </w:rPr>
        <w:t>.</w:t>
      </w:r>
    </w:p>
    <w:p w14:paraId="1F5D5D6E" w14:textId="77777777" w:rsidR="001E51F5" w:rsidRPr="00976E97" w:rsidRDefault="001E51F5" w:rsidP="001E51F5">
      <w:pPr>
        <w:autoSpaceDE w:val="0"/>
        <w:autoSpaceDN w:val="0"/>
        <w:adjustRightInd w:val="0"/>
        <w:spacing w:after="0" w:line="240" w:lineRule="auto"/>
        <w:rPr>
          <w:rFonts w:eastAsia="Times New Roman"/>
          <w:sz w:val="22"/>
          <w:szCs w:val="22"/>
          <w:lang w:eastAsia="en-AU"/>
        </w:rPr>
      </w:pPr>
    </w:p>
    <w:p w14:paraId="5BD61A3A" w14:textId="32437242" w:rsidR="000F38EB" w:rsidRPr="00976E97" w:rsidRDefault="000F38EB" w:rsidP="001E51F5">
      <w:pPr>
        <w:autoSpaceDE w:val="0"/>
        <w:autoSpaceDN w:val="0"/>
        <w:adjustRightInd w:val="0"/>
        <w:spacing w:after="0" w:line="240" w:lineRule="auto"/>
        <w:rPr>
          <w:rFonts w:eastAsia="Times New Roman"/>
          <w:sz w:val="22"/>
          <w:szCs w:val="22"/>
          <w:lang w:eastAsia="en-AU"/>
        </w:rPr>
      </w:pPr>
      <w:bookmarkStart w:id="0" w:name="_Hlk142035608"/>
      <w:r w:rsidRPr="00976E97">
        <w:rPr>
          <w:rFonts w:eastAsia="Times New Roman"/>
          <w:sz w:val="22"/>
          <w:szCs w:val="22"/>
          <w:lang w:eastAsia="en-AU"/>
        </w:rPr>
        <w:t xml:space="preserve">Section 41FDB of the Act sets out preliminary assessment requirements in relation to an application to the Secretary for a kind of medical device to </w:t>
      </w:r>
      <w:proofErr w:type="gramStart"/>
      <w:r w:rsidRPr="00976E97">
        <w:rPr>
          <w:rFonts w:eastAsia="Times New Roman"/>
          <w:sz w:val="22"/>
          <w:szCs w:val="22"/>
          <w:lang w:eastAsia="en-AU"/>
        </w:rPr>
        <w:t>be included</w:t>
      </w:r>
      <w:proofErr w:type="gramEnd"/>
      <w:r w:rsidRPr="00976E97">
        <w:rPr>
          <w:rFonts w:eastAsia="Times New Roman"/>
          <w:sz w:val="22"/>
          <w:szCs w:val="22"/>
          <w:lang w:eastAsia="en-AU"/>
        </w:rPr>
        <w:t xml:space="preserve"> in the </w:t>
      </w:r>
      <w:r w:rsidR="001760F0" w:rsidRPr="00976E97">
        <w:rPr>
          <w:rFonts w:eastAsia="Times New Roman"/>
          <w:sz w:val="22"/>
          <w:szCs w:val="22"/>
          <w:lang w:eastAsia="en-AU"/>
        </w:rPr>
        <w:t xml:space="preserve">Australian </w:t>
      </w:r>
      <w:r w:rsidRPr="00976E97">
        <w:rPr>
          <w:rFonts w:eastAsia="Times New Roman"/>
          <w:sz w:val="22"/>
          <w:szCs w:val="22"/>
          <w:lang w:eastAsia="en-AU"/>
        </w:rPr>
        <w:t>Register</w:t>
      </w:r>
      <w:r w:rsidR="001760F0" w:rsidRPr="00976E97">
        <w:rPr>
          <w:rFonts w:eastAsia="Times New Roman"/>
          <w:sz w:val="22"/>
          <w:szCs w:val="22"/>
          <w:lang w:eastAsia="en-AU"/>
        </w:rPr>
        <w:t xml:space="preserve"> of Therapeutic Goods (“the Register”)</w:t>
      </w:r>
      <w:r w:rsidRPr="00976E97">
        <w:rPr>
          <w:rFonts w:eastAsia="Times New Roman"/>
          <w:sz w:val="22"/>
          <w:szCs w:val="22"/>
          <w:lang w:eastAsia="en-AU"/>
        </w:rPr>
        <w:t xml:space="preserve">. These include </w:t>
      </w:r>
      <w:r w:rsidR="00573284" w:rsidRPr="00976E97">
        <w:rPr>
          <w:rFonts w:eastAsia="Times New Roman"/>
          <w:sz w:val="22"/>
          <w:szCs w:val="22"/>
          <w:lang w:eastAsia="en-AU"/>
        </w:rPr>
        <w:t xml:space="preserve">the </w:t>
      </w:r>
      <w:r w:rsidRPr="00976E97">
        <w:rPr>
          <w:rFonts w:eastAsia="Times New Roman"/>
          <w:sz w:val="22"/>
          <w:szCs w:val="22"/>
          <w:lang w:eastAsia="en-AU"/>
        </w:rPr>
        <w:t xml:space="preserve">requirements that an application </w:t>
      </w:r>
      <w:proofErr w:type="gramStart"/>
      <w:r w:rsidRPr="00976E97">
        <w:rPr>
          <w:rFonts w:eastAsia="Times New Roman"/>
          <w:sz w:val="22"/>
          <w:szCs w:val="22"/>
          <w:lang w:eastAsia="en-AU"/>
        </w:rPr>
        <w:t>be accompanied</w:t>
      </w:r>
      <w:proofErr w:type="gramEnd"/>
      <w:r w:rsidRPr="00976E97">
        <w:rPr>
          <w:rFonts w:eastAsia="Times New Roman"/>
          <w:sz w:val="22"/>
          <w:szCs w:val="22"/>
          <w:lang w:eastAsia="en-AU"/>
        </w:rPr>
        <w:t xml:space="preserve"> by information that is of a kind determined under subsection 41FDB(7)</w:t>
      </w:r>
      <w:r w:rsidR="00573284" w:rsidRPr="00976E97">
        <w:rPr>
          <w:rFonts w:eastAsia="Times New Roman"/>
          <w:sz w:val="22"/>
          <w:szCs w:val="22"/>
          <w:lang w:eastAsia="en-AU"/>
        </w:rPr>
        <w:t>,</w:t>
      </w:r>
      <w:r w:rsidRPr="00976E97">
        <w:rPr>
          <w:rFonts w:eastAsia="Times New Roman"/>
          <w:sz w:val="22"/>
          <w:szCs w:val="22"/>
          <w:lang w:eastAsia="en-AU"/>
        </w:rPr>
        <w:t xml:space="preserve"> in a form determined under subsection 41FDB(8), for the relevant classification of medical device</w:t>
      </w:r>
      <w:r w:rsidR="0091430D" w:rsidRPr="00976E97">
        <w:rPr>
          <w:rFonts w:eastAsia="Times New Roman"/>
          <w:sz w:val="22"/>
          <w:szCs w:val="22"/>
          <w:lang w:eastAsia="en-AU"/>
        </w:rPr>
        <w:t xml:space="preserve"> (subparagraphs 41FDB(2)(d)(i) and (ii) </w:t>
      </w:r>
      <w:r w:rsidR="00DB6ABF" w:rsidRPr="00976E97">
        <w:rPr>
          <w:rFonts w:eastAsia="Times New Roman"/>
          <w:sz w:val="22"/>
          <w:szCs w:val="22"/>
          <w:lang w:eastAsia="en-AU"/>
        </w:rPr>
        <w:t xml:space="preserve">of the Act </w:t>
      </w:r>
      <w:r w:rsidR="0091430D" w:rsidRPr="00976E97">
        <w:rPr>
          <w:rFonts w:eastAsia="Times New Roman"/>
          <w:sz w:val="22"/>
          <w:szCs w:val="22"/>
          <w:lang w:eastAsia="en-AU"/>
        </w:rPr>
        <w:t>refer)</w:t>
      </w:r>
      <w:r w:rsidRPr="00976E97">
        <w:rPr>
          <w:rFonts w:eastAsia="Times New Roman"/>
          <w:sz w:val="22"/>
          <w:szCs w:val="22"/>
          <w:lang w:eastAsia="en-AU"/>
        </w:rPr>
        <w:t>.</w:t>
      </w:r>
    </w:p>
    <w:p w14:paraId="3FB91809" w14:textId="77777777" w:rsidR="000F38EB" w:rsidRPr="00976E97" w:rsidRDefault="000F38EB" w:rsidP="001E51F5">
      <w:pPr>
        <w:autoSpaceDE w:val="0"/>
        <w:autoSpaceDN w:val="0"/>
        <w:adjustRightInd w:val="0"/>
        <w:spacing w:after="0" w:line="240" w:lineRule="auto"/>
        <w:rPr>
          <w:rFonts w:eastAsia="Times New Roman"/>
          <w:sz w:val="22"/>
          <w:szCs w:val="22"/>
          <w:lang w:eastAsia="en-AU"/>
        </w:rPr>
      </w:pPr>
    </w:p>
    <w:p w14:paraId="3ADBD980" w14:textId="77777777" w:rsidR="000F38EB" w:rsidRPr="00976E97" w:rsidRDefault="000F38EB" w:rsidP="001E51F5">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Relevantly, subsections 41FDB(7) and (8)</w:t>
      </w:r>
      <w:r w:rsidR="0091430D" w:rsidRPr="00976E97">
        <w:rPr>
          <w:rFonts w:eastAsia="Times New Roman"/>
          <w:sz w:val="22"/>
          <w:szCs w:val="22"/>
          <w:lang w:eastAsia="en-AU"/>
        </w:rPr>
        <w:t xml:space="preserve"> of the Act</w:t>
      </w:r>
      <w:r w:rsidRPr="00976E97">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sidRPr="00976E97">
        <w:rPr>
          <w:rFonts w:eastAsia="Times New Roman"/>
          <w:sz w:val="22"/>
          <w:szCs w:val="22"/>
          <w:lang w:eastAsia="en-AU"/>
        </w:rPr>
        <w:t>in subparagraphs 41FDB(2)(d)(i) and</w:t>
      </w:r>
      <w:r w:rsidR="00F7394F" w:rsidRPr="00976E97">
        <w:rPr>
          <w:rFonts w:eastAsia="Times New Roman"/>
          <w:sz w:val="22"/>
          <w:szCs w:val="22"/>
          <w:lang w:eastAsia="en-AU"/>
        </w:rPr>
        <w:t xml:space="preserve"> </w:t>
      </w:r>
      <w:r w:rsidR="0091430D" w:rsidRPr="00976E97">
        <w:rPr>
          <w:rFonts w:eastAsia="Times New Roman"/>
          <w:sz w:val="22"/>
          <w:szCs w:val="22"/>
          <w:lang w:eastAsia="en-AU"/>
        </w:rPr>
        <w:t>(ii) of the Act in relation to medical devices of a particular classification.</w:t>
      </w:r>
    </w:p>
    <w:p w14:paraId="1F33E13D" w14:textId="77777777" w:rsidR="0091430D" w:rsidRPr="00976E97" w:rsidRDefault="0091430D" w:rsidP="00E47491">
      <w:pPr>
        <w:autoSpaceDE w:val="0"/>
        <w:autoSpaceDN w:val="0"/>
        <w:adjustRightInd w:val="0"/>
        <w:spacing w:after="0" w:line="240" w:lineRule="auto"/>
        <w:rPr>
          <w:rFonts w:eastAsia="Times New Roman"/>
          <w:sz w:val="22"/>
          <w:szCs w:val="22"/>
          <w:lang w:eastAsia="en-AU"/>
        </w:rPr>
      </w:pPr>
    </w:p>
    <w:p w14:paraId="24549D8E" w14:textId="51010FA2" w:rsidR="0091430D" w:rsidRPr="00976E97" w:rsidRDefault="0091430D" w:rsidP="00E47491">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w:t>
      </w:r>
      <w:r w:rsidRPr="00976E97">
        <w:rPr>
          <w:rFonts w:eastAsia="Times New Roman"/>
          <w:i/>
          <w:iCs/>
          <w:sz w:val="22"/>
          <w:szCs w:val="22"/>
          <w:lang w:eastAsia="en-AU"/>
        </w:rPr>
        <w:t>Therapeutic Goods (Medical Devices—Information that Must Accompany Application for Inclusion) Determination 2018</w:t>
      </w:r>
      <w:r w:rsidRPr="00976E97">
        <w:rPr>
          <w:rFonts w:eastAsia="Times New Roman"/>
          <w:sz w:val="22"/>
          <w:szCs w:val="22"/>
          <w:lang w:eastAsia="en-AU"/>
        </w:rPr>
        <w:t xml:space="preserve"> (“</w:t>
      </w:r>
      <w:r w:rsidR="001760F0" w:rsidRPr="00976E97">
        <w:rPr>
          <w:rFonts w:eastAsia="Times New Roman"/>
          <w:sz w:val="22"/>
          <w:szCs w:val="22"/>
          <w:lang w:eastAsia="en-AU"/>
        </w:rPr>
        <w:t xml:space="preserve">the </w:t>
      </w:r>
      <w:r w:rsidRPr="00976E97">
        <w:rPr>
          <w:rFonts w:eastAsia="Times New Roman"/>
          <w:sz w:val="22"/>
          <w:szCs w:val="22"/>
          <w:lang w:eastAsia="en-AU"/>
        </w:rPr>
        <w:t xml:space="preserve">Principal Determination”) </w:t>
      </w:r>
      <w:proofErr w:type="gramStart"/>
      <w:r w:rsidR="001760F0" w:rsidRPr="00976E97">
        <w:rPr>
          <w:rFonts w:eastAsia="Times New Roman"/>
          <w:sz w:val="22"/>
          <w:szCs w:val="22"/>
          <w:lang w:eastAsia="en-AU"/>
        </w:rPr>
        <w:t xml:space="preserve">is </w:t>
      </w:r>
      <w:r w:rsidRPr="00976E97">
        <w:rPr>
          <w:rFonts w:eastAsia="Times New Roman"/>
          <w:sz w:val="22"/>
          <w:szCs w:val="22"/>
          <w:lang w:eastAsia="en-AU"/>
        </w:rPr>
        <w:t>made</w:t>
      </w:r>
      <w:proofErr w:type="gramEnd"/>
      <w:r w:rsidRPr="00976E97">
        <w:rPr>
          <w:rFonts w:eastAsia="Times New Roman"/>
          <w:sz w:val="22"/>
          <w:szCs w:val="22"/>
          <w:lang w:eastAsia="en-AU"/>
        </w:rPr>
        <w:t xml:space="preserve"> under</w:t>
      </w:r>
      <w:r w:rsidR="00F7394F" w:rsidRPr="00976E97">
        <w:rPr>
          <w:rFonts w:eastAsia="Times New Roman"/>
          <w:sz w:val="22"/>
          <w:szCs w:val="22"/>
          <w:lang w:eastAsia="en-AU"/>
        </w:rPr>
        <w:t xml:space="preserve"> subsections 41FDB(7) and </w:t>
      </w:r>
      <w:r w:rsidRPr="00976E97">
        <w:rPr>
          <w:rFonts w:eastAsia="Times New Roman"/>
          <w:sz w:val="22"/>
          <w:szCs w:val="22"/>
          <w:lang w:eastAsia="en-AU"/>
        </w:rPr>
        <w:t xml:space="preserve">(8) of the Act. The Principal Determination determines the kind and form of information that must accompany an application for kinds of medical devices of a particular classification to </w:t>
      </w:r>
      <w:proofErr w:type="gramStart"/>
      <w:r w:rsidRPr="00976E97">
        <w:rPr>
          <w:rFonts w:eastAsia="Times New Roman"/>
          <w:sz w:val="22"/>
          <w:szCs w:val="22"/>
          <w:lang w:eastAsia="en-AU"/>
        </w:rPr>
        <w:t>be included</w:t>
      </w:r>
      <w:proofErr w:type="gramEnd"/>
      <w:r w:rsidRPr="00976E97">
        <w:rPr>
          <w:rFonts w:eastAsia="Times New Roman"/>
          <w:sz w:val="22"/>
          <w:szCs w:val="22"/>
          <w:lang w:eastAsia="en-AU"/>
        </w:rPr>
        <w:t xml:space="preserve"> in the Register.</w:t>
      </w:r>
    </w:p>
    <w:p w14:paraId="5D2D137F" w14:textId="77777777" w:rsidR="0091430D" w:rsidRPr="00976E97" w:rsidRDefault="0091430D" w:rsidP="00E47491">
      <w:pPr>
        <w:autoSpaceDE w:val="0"/>
        <w:autoSpaceDN w:val="0"/>
        <w:adjustRightInd w:val="0"/>
        <w:spacing w:after="0" w:line="240" w:lineRule="auto"/>
        <w:rPr>
          <w:rFonts w:eastAsia="Times New Roman"/>
          <w:sz w:val="22"/>
          <w:szCs w:val="22"/>
          <w:lang w:eastAsia="en-AU"/>
        </w:rPr>
      </w:pPr>
    </w:p>
    <w:p w14:paraId="2551D0D8" w14:textId="02E13ED0" w:rsidR="0091430D" w:rsidRPr="00976E97" w:rsidRDefault="001760F0" w:rsidP="00E47491">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w:t>
      </w:r>
      <w:proofErr w:type="gramStart"/>
      <w:r w:rsidRPr="00976E97">
        <w:rPr>
          <w:rFonts w:eastAsia="Times New Roman"/>
          <w:sz w:val="22"/>
          <w:szCs w:val="22"/>
          <w:lang w:eastAsia="en-AU"/>
        </w:rPr>
        <w:t>kind of medical</w:t>
      </w:r>
      <w:proofErr w:type="gramEnd"/>
      <w:r w:rsidRPr="00976E97">
        <w:rPr>
          <w:rFonts w:eastAsia="Times New Roman"/>
          <w:sz w:val="22"/>
          <w:szCs w:val="22"/>
          <w:lang w:eastAsia="en-AU"/>
        </w:rPr>
        <w:t xml:space="preserve"> device.</w:t>
      </w:r>
      <w:r w:rsidR="008F5612" w:rsidRPr="00976E97">
        <w:rPr>
          <w:rFonts w:eastAsia="Times New Roman"/>
          <w:sz w:val="22"/>
          <w:szCs w:val="22"/>
          <w:lang w:eastAsia="en-AU"/>
        </w:rPr>
        <w:t xml:space="preserve"> </w:t>
      </w:r>
      <w:r w:rsidRPr="00976E97">
        <w:rPr>
          <w:rFonts w:eastAsia="Times New Roman"/>
          <w:sz w:val="22"/>
          <w:szCs w:val="22"/>
          <w:lang w:eastAsia="en-AU"/>
        </w:rPr>
        <w:t>The conformity assessment documents include certificates and other documents which have been issued or recognised by the Secretary and, in the alternative, comparable overseas regulators as defined in section 41BIB of the Act.</w:t>
      </w:r>
    </w:p>
    <w:p w14:paraId="66B8C84B" w14:textId="77777777" w:rsidR="00827A22" w:rsidRPr="00976E97" w:rsidRDefault="00827A22" w:rsidP="00E47491">
      <w:pPr>
        <w:autoSpaceDE w:val="0"/>
        <w:autoSpaceDN w:val="0"/>
        <w:adjustRightInd w:val="0"/>
        <w:spacing w:after="0" w:line="240" w:lineRule="auto"/>
        <w:rPr>
          <w:rFonts w:eastAsia="Times New Roman"/>
          <w:sz w:val="22"/>
          <w:szCs w:val="22"/>
          <w:lang w:eastAsia="en-AU"/>
        </w:rPr>
      </w:pPr>
    </w:p>
    <w:p w14:paraId="55E14862" w14:textId="21C518D1" w:rsidR="00206AC0" w:rsidRPr="00976E97" w:rsidRDefault="000C3DF8" w:rsidP="00E47491">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Under the Principal Determination,</w:t>
      </w:r>
      <w:r w:rsidR="0009481D" w:rsidRPr="00976E97">
        <w:rPr>
          <w:rFonts w:eastAsia="Times New Roman"/>
          <w:sz w:val="22"/>
          <w:szCs w:val="22"/>
          <w:lang w:eastAsia="en-AU"/>
        </w:rPr>
        <w:t xml:space="preserve"> an</w:t>
      </w:r>
      <w:r w:rsidRPr="00976E97">
        <w:rPr>
          <w:rFonts w:eastAsia="Times New Roman"/>
          <w:sz w:val="22"/>
          <w:szCs w:val="22"/>
          <w:lang w:eastAsia="en-AU"/>
        </w:rPr>
        <w:t xml:space="preserve"> application for</w:t>
      </w:r>
      <w:r w:rsidR="00F14C4A" w:rsidRPr="00976E97">
        <w:rPr>
          <w:rFonts w:eastAsia="Times New Roman"/>
          <w:sz w:val="22"/>
          <w:szCs w:val="22"/>
          <w:lang w:eastAsia="en-AU"/>
        </w:rPr>
        <w:t xml:space="preserve"> inclusion in the Register of</w:t>
      </w:r>
      <w:r w:rsidRPr="00976E97">
        <w:rPr>
          <w:rFonts w:eastAsia="Times New Roman"/>
          <w:sz w:val="22"/>
          <w:szCs w:val="22"/>
          <w:lang w:eastAsia="en-AU"/>
        </w:rPr>
        <w:t xml:space="preserve"> </w:t>
      </w:r>
      <w:r w:rsidR="0009481D" w:rsidRPr="00976E97">
        <w:rPr>
          <w:rFonts w:eastAsia="Times New Roman"/>
          <w:sz w:val="22"/>
          <w:szCs w:val="22"/>
          <w:lang w:eastAsia="en-AU"/>
        </w:rPr>
        <w:t xml:space="preserve">a </w:t>
      </w:r>
      <w:r w:rsidRPr="00976E97">
        <w:rPr>
          <w:rFonts w:eastAsia="Times New Roman"/>
          <w:sz w:val="22"/>
          <w:szCs w:val="22"/>
          <w:lang w:eastAsia="en-AU"/>
        </w:rPr>
        <w:t xml:space="preserve">Class IIa </w:t>
      </w:r>
      <w:r w:rsidR="0009481D" w:rsidRPr="00976E97">
        <w:rPr>
          <w:rFonts w:eastAsia="Times New Roman"/>
          <w:sz w:val="22"/>
          <w:szCs w:val="22"/>
          <w:lang w:eastAsia="en-AU"/>
        </w:rPr>
        <w:t xml:space="preserve">or </w:t>
      </w:r>
      <w:r w:rsidRPr="00976E97">
        <w:rPr>
          <w:rFonts w:eastAsia="Times New Roman"/>
          <w:sz w:val="22"/>
          <w:szCs w:val="22"/>
          <w:lang w:eastAsia="en-AU"/>
        </w:rPr>
        <w:t>Class IIb medical device</w:t>
      </w:r>
      <w:r w:rsidR="0028482C" w:rsidRPr="00976E97">
        <w:rPr>
          <w:rFonts w:eastAsia="Times New Roman"/>
          <w:sz w:val="22"/>
          <w:szCs w:val="22"/>
          <w:lang w:eastAsia="en-AU"/>
        </w:rPr>
        <w:t xml:space="preserve"> that </w:t>
      </w:r>
      <w:r w:rsidR="0009481D" w:rsidRPr="00976E97">
        <w:rPr>
          <w:rFonts w:eastAsia="Times New Roman"/>
          <w:sz w:val="22"/>
          <w:szCs w:val="22"/>
          <w:lang w:eastAsia="en-AU"/>
        </w:rPr>
        <w:t xml:space="preserve">is </w:t>
      </w:r>
      <w:r w:rsidR="00F14C4A" w:rsidRPr="00976E97">
        <w:rPr>
          <w:rFonts w:eastAsia="Times New Roman"/>
          <w:sz w:val="22"/>
          <w:szCs w:val="22"/>
          <w:lang w:eastAsia="en-AU"/>
        </w:rPr>
        <w:t>supported by</w:t>
      </w:r>
      <w:r w:rsidR="00F31114" w:rsidRPr="00976E97">
        <w:rPr>
          <w:rFonts w:eastAsia="Times New Roman"/>
          <w:sz w:val="22"/>
          <w:szCs w:val="22"/>
          <w:lang w:eastAsia="en-AU"/>
        </w:rPr>
        <w:t xml:space="preserve"> an EU quality management system certificate</w:t>
      </w:r>
      <w:r w:rsidR="00F14C4A" w:rsidRPr="00976E97">
        <w:rPr>
          <w:rFonts w:eastAsia="Times New Roman"/>
          <w:sz w:val="22"/>
          <w:szCs w:val="22"/>
          <w:lang w:eastAsia="en-AU"/>
        </w:rPr>
        <w:t xml:space="preserve"> </w:t>
      </w:r>
      <w:r w:rsidR="00F14C4A" w:rsidRPr="00976E97">
        <w:rPr>
          <w:sz w:val="22"/>
          <w:szCs w:val="22"/>
        </w:rPr>
        <w:t xml:space="preserve">issued by a notified body within the meaning of the </w:t>
      </w:r>
      <w:r w:rsidR="0028482C" w:rsidRPr="00976E97">
        <w:rPr>
          <w:i/>
          <w:iCs/>
          <w:sz w:val="22"/>
          <w:szCs w:val="22"/>
        </w:rPr>
        <w:t>Regulation (EU) 2017/745 of the European Parliament and of the Council of 5 April 2017 on medical devices</w:t>
      </w:r>
      <w:r w:rsidR="0028482C" w:rsidRPr="00976E97">
        <w:rPr>
          <w:sz w:val="22"/>
          <w:szCs w:val="22"/>
        </w:rPr>
        <w:t xml:space="preserve"> (“the </w:t>
      </w:r>
      <w:r w:rsidR="00F14C4A" w:rsidRPr="00976E97">
        <w:rPr>
          <w:sz w:val="22"/>
          <w:szCs w:val="22"/>
        </w:rPr>
        <w:t>EU medical devices regulation</w:t>
      </w:r>
      <w:r w:rsidR="008D6F7A" w:rsidRPr="00976E97">
        <w:rPr>
          <w:sz w:val="22"/>
          <w:szCs w:val="22"/>
        </w:rPr>
        <w:t>”</w:t>
      </w:r>
      <w:r w:rsidR="0028482C" w:rsidRPr="00976E97">
        <w:rPr>
          <w:sz w:val="22"/>
          <w:szCs w:val="22"/>
        </w:rPr>
        <w:t>)</w:t>
      </w:r>
      <w:r w:rsidR="00F31114" w:rsidRPr="00976E97">
        <w:rPr>
          <w:rFonts w:eastAsia="Times New Roman"/>
          <w:sz w:val="22"/>
          <w:szCs w:val="22"/>
          <w:lang w:eastAsia="en-AU"/>
        </w:rPr>
        <w:t xml:space="preserve"> under Annex IX of that Regulation</w:t>
      </w:r>
      <w:r w:rsidR="00F14C4A" w:rsidRPr="00976E97">
        <w:rPr>
          <w:sz w:val="22"/>
          <w:szCs w:val="22"/>
        </w:rPr>
        <w:t xml:space="preserve">, must be accompanied by </w:t>
      </w:r>
      <w:r w:rsidRPr="00976E97">
        <w:rPr>
          <w:rFonts w:eastAsia="Times New Roman"/>
          <w:sz w:val="22"/>
          <w:szCs w:val="22"/>
          <w:lang w:eastAsia="en-AU"/>
        </w:rPr>
        <w:t xml:space="preserve">an EU technical documentation assessment certificate issued under </w:t>
      </w:r>
      <w:r w:rsidR="000D07F6" w:rsidRPr="00976E97">
        <w:rPr>
          <w:rFonts w:eastAsia="Times New Roman"/>
          <w:sz w:val="22"/>
          <w:szCs w:val="22"/>
          <w:lang w:eastAsia="en-AU"/>
        </w:rPr>
        <w:t>C</w:t>
      </w:r>
      <w:r w:rsidRPr="00976E97">
        <w:rPr>
          <w:rFonts w:eastAsia="Times New Roman"/>
          <w:sz w:val="22"/>
          <w:szCs w:val="22"/>
          <w:lang w:eastAsia="en-AU"/>
        </w:rPr>
        <w:t xml:space="preserve">hapter II of </w:t>
      </w:r>
      <w:r w:rsidR="00F31114" w:rsidRPr="00976E97">
        <w:rPr>
          <w:rFonts w:eastAsia="Times New Roman"/>
          <w:sz w:val="22"/>
          <w:szCs w:val="22"/>
          <w:lang w:eastAsia="en-AU"/>
        </w:rPr>
        <w:t xml:space="preserve">that </w:t>
      </w:r>
      <w:r w:rsidRPr="00976E97">
        <w:rPr>
          <w:rFonts w:eastAsia="Times New Roman"/>
          <w:sz w:val="22"/>
          <w:szCs w:val="22"/>
          <w:lang w:eastAsia="en-AU"/>
        </w:rPr>
        <w:t>Annex (item 4 in Part 2 of Schedule 1</w:t>
      </w:r>
      <w:r w:rsidR="00892CA8" w:rsidRPr="00976E97">
        <w:rPr>
          <w:rFonts w:eastAsia="Times New Roman"/>
          <w:sz w:val="22"/>
          <w:szCs w:val="22"/>
          <w:lang w:eastAsia="en-AU"/>
        </w:rPr>
        <w:t>,</w:t>
      </w:r>
      <w:r w:rsidRPr="00976E97">
        <w:rPr>
          <w:rFonts w:eastAsia="Times New Roman"/>
          <w:sz w:val="22"/>
          <w:szCs w:val="22"/>
          <w:lang w:eastAsia="en-AU"/>
        </w:rPr>
        <w:t xml:space="preserve"> and item 6 in Part 3 of Schedule</w:t>
      </w:r>
      <w:r w:rsidR="009B6CB1" w:rsidRPr="00976E97">
        <w:rPr>
          <w:rFonts w:eastAsia="Times New Roman"/>
          <w:sz w:val="22"/>
          <w:szCs w:val="22"/>
          <w:lang w:eastAsia="en-AU"/>
        </w:rPr>
        <w:t> </w:t>
      </w:r>
      <w:r w:rsidRPr="00976E97">
        <w:rPr>
          <w:rFonts w:eastAsia="Times New Roman"/>
          <w:sz w:val="22"/>
          <w:szCs w:val="22"/>
          <w:lang w:eastAsia="en-AU"/>
        </w:rPr>
        <w:t>1</w:t>
      </w:r>
      <w:r w:rsidR="00892CA8" w:rsidRPr="00976E97">
        <w:rPr>
          <w:rFonts w:eastAsia="Times New Roman"/>
          <w:sz w:val="22"/>
          <w:szCs w:val="22"/>
          <w:lang w:eastAsia="en-AU"/>
        </w:rPr>
        <w:t>,</w:t>
      </w:r>
      <w:r w:rsidRPr="00976E97">
        <w:rPr>
          <w:rFonts w:eastAsia="Times New Roman"/>
          <w:sz w:val="22"/>
          <w:szCs w:val="22"/>
          <w:lang w:eastAsia="en-AU"/>
        </w:rPr>
        <w:t xml:space="preserve"> to the Principal Determination refer).</w:t>
      </w:r>
      <w:r w:rsidR="008F5612" w:rsidRPr="00976E97">
        <w:rPr>
          <w:rFonts w:eastAsia="Times New Roman"/>
          <w:sz w:val="22"/>
          <w:szCs w:val="22"/>
          <w:lang w:eastAsia="en-AU"/>
        </w:rPr>
        <w:t xml:space="preserve"> </w:t>
      </w:r>
      <w:r w:rsidRPr="00976E97">
        <w:rPr>
          <w:rFonts w:eastAsia="Times New Roman"/>
          <w:sz w:val="22"/>
          <w:szCs w:val="22"/>
          <w:lang w:eastAsia="en-AU"/>
        </w:rPr>
        <w:t xml:space="preserve">However, on review of current practices, it </w:t>
      </w:r>
      <w:r w:rsidR="00437295" w:rsidRPr="00976E97">
        <w:rPr>
          <w:rFonts w:eastAsia="Times New Roman"/>
          <w:sz w:val="22"/>
          <w:szCs w:val="22"/>
          <w:lang w:eastAsia="en-AU"/>
        </w:rPr>
        <w:t xml:space="preserve">has </w:t>
      </w:r>
      <w:proofErr w:type="gramStart"/>
      <w:r w:rsidR="00437295" w:rsidRPr="00976E97">
        <w:rPr>
          <w:rFonts w:eastAsia="Times New Roman"/>
          <w:sz w:val="22"/>
          <w:szCs w:val="22"/>
          <w:lang w:eastAsia="en-AU"/>
        </w:rPr>
        <w:t>been identified</w:t>
      </w:r>
      <w:proofErr w:type="gramEnd"/>
      <w:r w:rsidR="00437295" w:rsidRPr="00976E97">
        <w:rPr>
          <w:rFonts w:eastAsia="Times New Roman"/>
          <w:sz w:val="22"/>
          <w:szCs w:val="22"/>
          <w:lang w:eastAsia="en-AU"/>
        </w:rPr>
        <w:t xml:space="preserve"> that </w:t>
      </w:r>
      <w:r w:rsidR="00685C8A" w:rsidRPr="00976E97">
        <w:rPr>
          <w:rFonts w:eastAsia="Times New Roman"/>
          <w:sz w:val="22"/>
          <w:szCs w:val="22"/>
          <w:lang w:eastAsia="en-AU"/>
        </w:rPr>
        <w:t>such a certificate</w:t>
      </w:r>
      <w:r w:rsidR="00437295" w:rsidRPr="00976E97">
        <w:rPr>
          <w:rFonts w:eastAsia="Times New Roman"/>
          <w:sz w:val="22"/>
          <w:szCs w:val="22"/>
          <w:lang w:eastAsia="en-AU"/>
        </w:rPr>
        <w:t xml:space="preserve"> is not issued for Class IIa or </w:t>
      </w:r>
      <w:r w:rsidR="00976E97" w:rsidRPr="00976E97">
        <w:rPr>
          <w:rFonts w:eastAsia="Times New Roman"/>
          <w:sz w:val="22"/>
          <w:szCs w:val="22"/>
          <w:lang w:eastAsia="en-AU"/>
        </w:rPr>
        <w:t xml:space="preserve">certain </w:t>
      </w:r>
      <w:r w:rsidR="00437295" w:rsidRPr="00976E97">
        <w:rPr>
          <w:rFonts w:eastAsia="Times New Roman"/>
          <w:sz w:val="22"/>
          <w:szCs w:val="22"/>
          <w:lang w:eastAsia="en-AU"/>
        </w:rPr>
        <w:t>Class IIb medical devices</w:t>
      </w:r>
      <w:r w:rsidR="00892CA8" w:rsidRPr="00976E97">
        <w:rPr>
          <w:rFonts w:eastAsia="Times New Roman"/>
          <w:sz w:val="22"/>
          <w:szCs w:val="22"/>
          <w:lang w:eastAsia="en-AU"/>
        </w:rPr>
        <w:t xml:space="preserve"> in the EU</w:t>
      </w:r>
      <w:r w:rsidR="00437295" w:rsidRPr="00976E97">
        <w:rPr>
          <w:rFonts w:eastAsia="Times New Roman"/>
          <w:sz w:val="22"/>
          <w:szCs w:val="22"/>
          <w:lang w:eastAsia="en-AU"/>
        </w:rPr>
        <w:t>.</w:t>
      </w:r>
    </w:p>
    <w:p w14:paraId="4EC5C2EA" w14:textId="77777777" w:rsidR="001760F0" w:rsidRPr="00976E97" w:rsidRDefault="001760F0" w:rsidP="00E47491">
      <w:pPr>
        <w:autoSpaceDE w:val="0"/>
        <w:autoSpaceDN w:val="0"/>
        <w:adjustRightInd w:val="0"/>
        <w:spacing w:after="0" w:line="240" w:lineRule="auto"/>
        <w:rPr>
          <w:rFonts w:eastAsia="Times New Roman"/>
          <w:sz w:val="22"/>
          <w:szCs w:val="22"/>
          <w:lang w:eastAsia="en-AU"/>
        </w:rPr>
      </w:pPr>
    </w:p>
    <w:p w14:paraId="36DBD81E" w14:textId="2D1A6C3D" w:rsidR="00EE6335" w:rsidRPr="00976E97" w:rsidRDefault="00892CA8" w:rsidP="001E51F5">
      <w:pPr>
        <w:spacing w:after="0" w:line="240" w:lineRule="auto"/>
        <w:rPr>
          <w:sz w:val="22"/>
          <w:szCs w:val="22"/>
          <w:lang w:eastAsia="en-AU"/>
        </w:rPr>
      </w:pPr>
      <w:r w:rsidRPr="00976E97">
        <w:rPr>
          <w:rFonts w:eastAsia="Times New Roman"/>
          <w:sz w:val="22"/>
          <w:szCs w:val="22"/>
          <w:lang w:eastAsia="en-AU"/>
        </w:rPr>
        <w:t>Accordingly, t</w:t>
      </w:r>
      <w:r w:rsidR="001760F0" w:rsidRPr="00976E97">
        <w:rPr>
          <w:rFonts w:eastAsia="Times New Roman"/>
          <w:sz w:val="22"/>
          <w:szCs w:val="22"/>
          <w:lang w:eastAsia="en-AU"/>
        </w:rPr>
        <w:t xml:space="preserve">he </w:t>
      </w:r>
      <w:r w:rsidR="001760F0" w:rsidRPr="00976E97">
        <w:rPr>
          <w:rFonts w:eastAsia="Times New Roman"/>
          <w:i/>
          <w:sz w:val="22"/>
          <w:szCs w:val="22"/>
          <w:lang w:eastAsia="en-AU"/>
        </w:rPr>
        <w:t>Therapeutic Goods (Medical Devices—Information that Must Accompany Application for Inclusion) Amendment (</w:t>
      </w:r>
      <w:r w:rsidR="00540A4F" w:rsidRPr="00976E97">
        <w:rPr>
          <w:rFonts w:eastAsia="Times New Roman"/>
          <w:i/>
          <w:sz w:val="22"/>
          <w:szCs w:val="22"/>
          <w:lang w:eastAsia="en-AU"/>
        </w:rPr>
        <w:t>European Union—</w:t>
      </w:r>
      <w:r w:rsidR="00573284" w:rsidRPr="00976E97">
        <w:rPr>
          <w:rFonts w:eastAsia="Times New Roman"/>
          <w:i/>
          <w:sz w:val="22"/>
          <w:szCs w:val="22"/>
          <w:lang w:eastAsia="en-AU"/>
        </w:rPr>
        <w:t>Class I</w:t>
      </w:r>
      <w:r w:rsidR="00140068" w:rsidRPr="00976E97">
        <w:rPr>
          <w:rFonts w:eastAsia="Times New Roman"/>
          <w:i/>
          <w:sz w:val="22"/>
          <w:szCs w:val="22"/>
          <w:lang w:eastAsia="en-AU"/>
        </w:rPr>
        <w:t>Ia</w:t>
      </w:r>
      <w:r w:rsidR="00573284" w:rsidRPr="00976E97">
        <w:rPr>
          <w:rFonts w:eastAsia="Times New Roman"/>
          <w:i/>
          <w:sz w:val="22"/>
          <w:szCs w:val="22"/>
          <w:lang w:eastAsia="en-AU"/>
        </w:rPr>
        <w:t xml:space="preserve"> </w:t>
      </w:r>
      <w:r w:rsidR="00140068" w:rsidRPr="00976E97">
        <w:rPr>
          <w:rFonts w:eastAsia="Times New Roman"/>
          <w:i/>
          <w:sz w:val="22"/>
          <w:szCs w:val="22"/>
          <w:lang w:eastAsia="en-AU"/>
        </w:rPr>
        <w:t>and Class IIb</w:t>
      </w:r>
      <w:r w:rsidR="001760F0" w:rsidRPr="00976E97">
        <w:rPr>
          <w:rFonts w:eastAsia="Times New Roman"/>
          <w:i/>
          <w:sz w:val="22"/>
          <w:szCs w:val="22"/>
          <w:lang w:eastAsia="en-AU"/>
        </w:rPr>
        <w:t>) Determination 202</w:t>
      </w:r>
      <w:r w:rsidR="002A5E21" w:rsidRPr="00976E97">
        <w:rPr>
          <w:rFonts w:eastAsia="Times New Roman"/>
          <w:i/>
          <w:sz w:val="22"/>
          <w:szCs w:val="22"/>
          <w:lang w:eastAsia="en-AU"/>
        </w:rPr>
        <w:t>3</w:t>
      </w:r>
      <w:r w:rsidR="00573284" w:rsidRPr="00976E97">
        <w:rPr>
          <w:rFonts w:eastAsia="Times New Roman"/>
          <w:sz w:val="22"/>
          <w:szCs w:val="22"/>
          <w:lang w:eastAsia="en-AU"/>
        </w:rPr>
        <w:t xml:space="preserve"> </w:t>
      </w:r>
      <w:r w:rsidR="001760F0" w:rsidRPr="00976E97">
        <w:rPr>
          <w:rFonts w:eastAsia="Times New Roman"/>
          <w:sz w:val="22"/>
          <w:szCs w:val="22"/>
          <w:lang w:eastAsia="en-AU"/>
        </w:rPr>
        <w:t>(“the</w:t>
      </w:r>
      <w:r w:rsidR="00540A4F" w:rsidRPr="00976E97">
        <w:rPr>
          <w:rFonts w:eastAsia="Times New Roman"/>
          <w:sz w:val="22"/>
          <w:szCs w:val="22"/>
          <w:lang w:eastAsia="en-AU"/>
        </w:rPr>
        <w:t> </w:t>
      </w:r>
      <w:r w:rsidR="001760F0" w:rsidRPr="00976E97">
        <w:rPr>
          <w:rFonts w:eastAsia="Times New Roman"/>
          <w:sz w:val="22"/>
          <w:szCs w:val="22"/>
          <w:lang w:eastAsia="en-AU"/>
        </w:rPr>
        <w:t>Amendment Determination”) made under subsection 41FDB(7) of the Act</w:t>
      </w:r>
      <w:r w:rsidR="00F14C4A" w:rsidRPr="00976E97">
        <w:rPr>
          <w:rFonts w:eastAsia="Times New Roman"/>
          <w:sz w:val="22"/>
          <w:szCs w:val="22"/>
          <w:lang w:eastAsia="en-AU"/>
        </w:rPr>
        <w:t>,</w:t>
      </w:r>
      <w:r w:rsidR="008E3633" w:rsidRPr="00976E97">
        <w:rPr>
          <w:rFonts w:eastAsia="Times New Roman"/>
          <w:sz w:val="22"/>
          <w:szCs w:val="22"/>
          <w:lang w:eastAsia="en-AU"/>
        </w:rPr>
        <w:t xml:space="preserve"> amends the Principal Determination </w:t>
      </w:r>
      <w:r w:rsidR="00206AC0" w:rsidRPr="00976E97">
        <w:rPr>
          <w:rFonts w:eastAsia="Times New Roman"/>
          <w:sz w:val="22"/>
          <w:szCs w:val="22"/>
          <w:lang w:eastAsia="en-AU"/>
        </w:rPr>
        <w:t>to</w:t>
      </w:r>
      <w:r w:rsidR="00206AC0" w:rsidRPr="00976E97">
        <w:rPr>
          <w:sz w:val="22"/>
          <w:szCs w:val="22"/>
          <w:lang w:eastAsia="en-AU"/>
        </w:rPr>
        <w:t xml:space="preserve"> </w:t>
      </w:r>
      <w:r w:rsidR="00437295" w:rsidRPr="00976E97">
        <w:rPr>
          <w:sz w:val="22"/>
          <w:szCs w:val="22"/>
          <w:lang w:eastAsia="en-AU"/>
        </w:rPr>
        <w:t xml:space="preserve">correct the unintended misalignment with current practice under the EU </w:t>
      </w:r>
      <w:r w:rsidR="009948BD" w:rsidRPr="00976E97">
        <w:rPr>
          <w:sz w:val="22"/>
          <w:szCs w:val="22"/>
          <w:lang w:eastAsia="en-AU"/>
        </w:rPr>
        <w:t xml:space="preserve">medical devices </w:t>
      </w:r>
      <w:r w:rsidR="00437295" w:rsidRPr="00976E97">
        <w:rPr>
          <w:sz w:val="22"/>
          <w:szCs w:val="22"/>
          <w:lang w:eastAsia="en-AU"/>
        </w:rPr>
        <w:t>regulation, by</w:t>
      </w:r>
      <w:r w:rsidR="00EE6335" w:rsidRPr="00976E97">
        <w:rPr>
          <w:sz w:val="22"/>
          <w:szCs w:val="22"/>
          <w:lang w:eastAsia="en-AU"/>
        </w:rPr>
        <w:t>:</w:t>
      </w:r>
    </w:p>
    <w:p w14:paraId="12B61F4B" w14:textId="0691D4A1" w:rsidR="00EE6335" w:rsidRPr="00976E97" w:rsidRDefault="0044012B" w:rsidP="00A4675C">
      <w:pPr>
        <w:pStyle w:val="ListParagraph"/>
        <w:numPr>
          <w:ilvl w:val="0"/>
          <w:numId w:val="8"/>
        </w:numPr>
        <w:spacing w:after="0" w:line="240" w:lineRule="auto"/>
        <w:rPr>
          <w:sz w:val="22"/>
          <w:szCs w:val="22"/>
          <w:lang w:eastAsia="en-AU"/>
        </w:rPr>
      </w:pPr>
      <w:r w:rsidRPr="00976E97">
        <w:rPr>
          <w:sz w:val="22"/>
          <w:szCs w:val="22"/>
          <w:lang w:eastAsia="en-AU"/>
        </w:rPr>
        <w:t>removing the requirement for Class IIa and certain Class IIb medical devices to provide such documentation</w:t>
      </w:r>
      <w:r w:rsidR="00EE6335" w:rsidRPr="00976E97">
        <w:rPr>
          <w:sz w:val="22"/>
          <w:szCs w:val="22"/>
          <w:lang w:eastAsia="en-AU"/>
        </w:rPr>
        <w:t>; and</w:t>
      </w:r>
    </w:p>
    <w:p w14:paraId="33C6C4AA" w14:textId="6EA73572" w:rsidR="001E51F5" w:rsidRPr="00976E97" w:rsidRDefault="00EE6335" w:rsidP="00A4675C">
      <w:pPr>
        <w:pStyle w:val="ListParagraph"/>
        <w:numPr>
          <w:ilvl w:val="0"/>
          <w:numId w:val="8"/>
        </w:numPr>
        <w:spacing w:after="0" w:line="240" w:lineRule="auto"/>
        <w:rPr>
          <w:sz w:val="22"/>
          <w:szCs w:val="22"/>
          <w:lang w:eastAsia="en-AU"/>
        </w:rPr>
      </w:pPr>
      <w:r w:rsidRPr="00976E97">
        <w:rPr>
          <w:sz w:val="22"/>
          <w:szCs w:val="22"/>
          <w:lang w:eastAsia="en-AU"/>
        </w:rPr>
        <w:lastRenderedPageBreak/>
        <w:t>clarifying</w:t>
      </w:r>
      <w:r w:rsidR="00D171ED" w:rsidRPr="00976E97">
        <w:rPr>
          <w:sz w:val="22"/>
          <w:szCs w:val="22"/>
          <w:lang w:eastAsia="en-AU"/>
        </w:rPr>
        <w:t xml:space="preserve"> that</w:t>
      </w:r>
      <w:r w:rsidR="009948BD" w:rsidRPr="00976E97">
        <w:rPr>
          <w:sz w:val="22"/>
          <w:szCs w:val="22"/>
          <w:lang w:eastAsia="en-AU"/>
        </w:rPr>
        <w:t xml:space="preserve"> such</w:t>
      </w:r>
      <w:r w:rsidR="00D171ED" w:rsidRPr="00976E97">
        <w:rPr>
          <w:sz w:val="22"/>
          <w:szCs w:val="22"/>
          <w:lang w:eastAsia="en-AU"/>
        </w:rPr>
        <w:t xml:space="preserve"> </w:t>
      </w:r>
      <w:r w:rsidR="008C1B6F" w:rsidRPr="00976E97">
        <w:rPr>
          <w:sz w:val="22"/>
          <w:szCs w:val="22"/>
          <w:lang w:eastAsia="en-AU"/>
        </w:rPr>
        <w:t xml:space="preserve">an application for inclusion of a </w:t>
      </w:r>
      <w:r w:rsidR="00D171ED" w:rsidRPr="00976E97">
        <w:rPr>
          <w:sz w:val="22"/>
          <w:szCs w:val="22"/>
          <w:lang w:eastAsia="en-AU"/>
        </w:rPr>
        <w:t xml:space="preserve">Class IIb </w:t>
      </w:r>
      <w:r w:rsidR="00976E97" w:rsidRPr="00976E97">
        <w:rPr>
          <w:sz w:val="22"/>
          <w:szCs w:val="22"/>
          <w:lang w:eastAsia="en-AU"/>
        </w:rPr>
        <w:t xml:space="preserve">relevant </w:t>
      </w:r>
      <w:r w:rsidR="00D171ED" w:rsidRPr="00976E97">
        <w:rPr>
          <w:sz w:val="22"/>
          <w:szCs w:val="22"/>
          <w:lang w:eastAsia="en-AU"/>
        </w:rPr>
        <w:t xml:space="preserve">implantable medical device </w:t>
      </w:r>
      <w:r w:rsidR="00976E97" w:rsidRPr="00976E97">
        <w:rPr>
          <w:sz w:val="22"/>
          <w:szCs w:val="22"/>
          <w:lang w:eastAsia="en-AU"/>
        </w:rPr>
        <w:t xml:space="preserve">must </w:t>
      </w:r>
      <w:proofErr w:type="gramStart"/>
      <w:r w:rsidR="00D171ED" w:rsidRPr="00976E97">
        <w:rPr>
          <w:sz w:val="22"/>
          <w:szCs w:val="22"/>
          <w:lang w:eastAsia="en-AU"/>
        </w:rPr>
        <w:t>be supported</w:t>
      </w:r>
      <w:proofErr w:type="gramEnd"/>
      <w:r w:rsidR="00D171ED" w:rsidRPr="00976E97">
        <w:rPr>
          <w:sz w:val="22"/>
          <w:szCs w:val="22"/>
          <w:lang w:eastAsia="en-AU"/>
        </w:rPr>
        <w:t xml:space="preserve"> by an EU technical documentation assessment </w:t>
      </w:r>
      <w:r w:rsidR="00976E97" w:rsidRPr="00976E97">
        <w:rPr>
          <w:sz w:val="22"/>
          <w:szCs w:val="22"/>
          <w:lang w:eastAsia="en-AU"/>
        </w:rPr>
        <w:t xml:space="preserve">certificate </w:t>
      </w:r>
      <w:r w:rsidR="00540A4F" w:rsidRPr="00976E97">
        <w:rPr>
          <w:sz w:val="22"/>
          <w:szCs w:val="22"/>
          <w:lang w:eastAsia="en-AU"/>
        </w:rPr>
        <w:t xml:space="preserve">issued under </w:t>
      </w:r>
      <w:r w:rsidRPr="00976E97">
        <w:rPr>
          <w:sz w:val="22"/>
          <w:szCs w:val="22"/>
          <w:lang w:eastAsia="en-AU"/>
        </w:rPr>
        <w:t xml:space="preserve">Chapter II of </w:t>
      </w:r>
      <w:r w:rsidR="00540A4F" w:rsidRPr="00976E97">
        <w:rPr>
          <w:sz w:val="22"/>
          <w:szCs w:val="22"/>
          <w:lang w:eastAsia="en-AU"/>
        </w:rPr>
        <w:t>Annex IX of the EU medical devices regulation</w:t>
      </w:r>
      <w:r w:rsidR="00D171ED" w:rsidRPr="00976E97">
        <w:rPr>
          <w:sz w:val="22"/>
          <w:szCs w:val="22"/>
          <w:lang w:eastAsia="en-AU"/>
        </w:rPr>
        <w:t>.</w:t>
      </w:r>
    </w:p>
    <w:p w14:paraId="2D533986" w14:textId="77777777" w:rsidR="0009481D" w:rsidRPr="00976E97" w:rsidRDefault="0009481D" w:rsidP="001E51F5">
      <w:pPr>
        <w:spacing w:after="0" w:line="240" w:lineRule="auto"/>
        <w:rPr>
          <w:rFonts w:eastAsia="Times New Roman"/>
          <w:sz w:val="22"/>
          <w:szCs w:val="22"/>
          <w:lang w:eastAsia="en-AU"/>
        </w:rPr>
      </w:pPr>
    </w:p>
    <w:bookmarkEnd w:id="0"/>
    <w:p w14:paraId="5B0915E2" w14:textId="30E4D0DF" w:rsidR="0038420D" w:rsidRPr="00976E97" w:rsidRDefault="0038420D" w:rsidP="00976E97">
      <w:pPr>
        <w:spacing w:after="0" w:line="240" w:lineRule="auto"/>
        <w:rPr>
          <w:rFonts w:eastAsia="Times New Roman"/>
          <w:b/>
          <w:bCs/>
          <w:sz w:val="22"/>
          <w:szCs w:val="22"/>
          <w:lang w:eastAsia="en-AU"/>
        </w:rPr>
      </w:pPr>
      <w:r w:rsidRPr="00976E97">
        <w:rPr>
          <w:rFonts w:eastAsia="Times New Roman"/>
          <w:b/>
          <w:bCs/>
          <w:sz w:val="22"/>
          <w:szCs w:val="22"/>
          <w:lang w:eastAsia="en-AU"/>
        </w:rPr>
        <w:t>Incorporation by reference</w:t>
      </w:r>
    </w:p>
    <w:p w14:paraId="4828F6DB" w14:textId="552DC710" w:rsidR="0038420D" w:rsidRPr="00976E97" w:rsidRDefault="0038420D" w:rsidP="00976E97">
      <w:pPr>
        <w:spacing w:after="0" w:line="240" w:lineRule="auto"/>
        <w:rPr>
          <w:rFonts w:eastAsia="Times New Roman"/>
          <w:sz w:val="22"/>
          <w:szCs w:val="22"/>
          <w:lang w:eastAsia="en-AU"/>
        </w:rPr>
      </w:pPr>
    </w:p>
    <w:p w14:paraId="63F479AC" w14:textId="29B12325" w:rsidR="0038420D" w:rsidRPr="00976E97" w:rsidRDefault="0038420D" w:rsidP="00976E97">
      <w:pPr>
        <w:spacing w:after="0" w:line="240" w:lineRule="auto"/>
        <w:rPr>
          <w:rFonts w:eastAsia="Times New Roman"/>
          <w:sz w:val="22"/>
          <w:szCs w:val="22"/>
          <w:lang w:eastAsia="en-AU"/>
        </w:rPr>
      </w:pPr>
      <w:r w:rsidRPr="00976E97">
        <w:rPr>
          <w:rFonts w:eastAsia="Times New Roman"/>
          <w:sz w:val="22"/>
          <w:szCs w:val="22"/>
          <w:lang w:eastAsia="en-AU"/>
        </w:rPr>
        <w:t xml:space="preserve">The Amendment </w:t>
      </w:r>
      <w:r w:rsidR="0079719F" w:rsidRPr="00976E97">
        <w:rPr>
          <w:rFonts w:eastAsia="Times New Roman"/>
          <w:sz w:val="22"/>
          <w:szCs w:val="22"/>
          <w:lang w:eastAsia="en-AU"/>
        </w:rPr>
        <w:t xml:space="preserve">Determination </w:t>
      </w:r>
      <w:r w:rsidRPr="00976E97">
        <w:rPr>
          <w:rFonts w:eastAsia="Times New Roman"/>
          <w:sz w:val="22"/>
          <w:szCs w:val="22"/>
          <w:lang w:eastAsia="en-AU"/>
        </w:rPr>
        <w:t xml:space="preserve">specifies the kinds of information </w:t>
      </w:r>
      <w:r w:rsidR="009638EA" w:rsidRPr="00976E97">
        <w:rPr>
          <w:rFonts w:eastAsia="Times New Roman"/>
          <w:sz w:val="22"/>
          <w:szCs w:val="22"/>
          <w:lang w:eastAsia="en-AU"/>
        </w:rPr>
        <w:t>that may</w:t>
      </w:r>
      <w:r w:rsidRPr="00976E97">
        <w:rPr>
          <w:rFonts w:eastAsia="Times New Roman"/>
          <w:sz w:val="22"/>
          <w:szCs w:val="22"/>
          <w:lang w:eastAsia="en-AU"/>
        </w:rPr>
        <w:t xml:space="preserve"> accompany an application for inclusion of </w:t>
      </w:r>
      <w:r w:rsidR="00656043" w:rsidRPr="00976E97">
        <w:rPr>
          <w:rFonts w:eastAsia="Times New Roman"/>
          <w:sz w:val="22"/>
          <w:szCs w:val="22"/>
          <w:lang w:eastAsia="en-AU"/>
        </w:rPr>
        <w:t>certain</w:t>
      </w:r>
      <w:r w:rsidRPr="00976E97">
        <w:rPr>
          <w:rFonts w:eastAsia="Times New Roman"/>
          <w:sz w:val="22"/>
          <w:szCs w:val="22"/>
          <w:lang w:eastAsia="en-AU"/>
        </w:rPr>
        <w:t xml:space="preserve"> medical device</w:t>
      </w:r>
      <w:r w:rsidR="00656043" w:rsidRPr="00976E97">
        <w:rPr>
          <w:rFonts w:eastAsia="Times New Roman"/>
          <w:sz w:val="22"/>
          <w:szCs w:val="22"/>
          <w:lang w:eastAsia="en-AU"/>
        </w:rPr>
        <w:t>s</w:t>
      </w:r>
      <w:r w:rsidRPr="00976E97">
        <w:rPr>
          <w:rFonts w:eastAsia="Times New Roman"/>
          <w:sz w:val="22"/>
          <w:szCs w:val="22"/>
          <w:lang w:eastAsia="en-AU"/>
        </w:rPr>
        <w:t xml:space="preserve"> in the Register by reference to </w:t>
      </w:r>
      <w:r w:rsidR="00A6186F" w:rsidRPr="00976E97">
        <w:rPr>
          <w:rFonts w:eastAsia="Times New Roman"/>
          <w:sz w:val="22"/>
          <w:szCs w:val="22"/>
          <w:lang w:eastAsia="en-AU"/>
        </w:rPr>
        <w:t>the</w:t>
      </w:r>
      <w:r w:rsidR="00200E0C" w:rsidRPr="00976E97">
        <w:rPr>
          <w:rFonts w:eastAsia="Times New Roman"/>
          <w:sz w:val="22"/>
          <w:szCs w:val="22"/>
          <w:lang w:eastAsia="en-AU"/>
        </w:rPr>
        <w:t xml:space="preserve"> European Union</w:t>
      </w:r>
      <w:r w:rsidR="00A6186F" w:rsidRPr="00976E97">
        <w:rPr>
          <w:rFonts w:eastAsia="Times New Roman"/>
          <w:sz w:val="22"/>
          <w:szCs w:val="22"/>
          <w:lang w:eastAsia="en-AU"/>
        </w:rPr>
        <w:t xml:space="preserve"> regulation</w:t>
      </w:r>
      <w:r w:rsidR="00200E0C" w:rsidRPr="00976E97">
        <w:rPr>
          <w:rFonts w:eastAsia="Times New Roman"/>
          <w:sz w:val="22"/>
          <w:szCs w:val="22"/>
          <w:lang w:eastAsia="en-AU"/>
        </w:rPr>
        <w:t xml:space="preserve">, </w:t>
      </w:r>
      <w:r w:rsidRPr="00976E97">
        <w:rPr>
          <w:rFonts w:eastAsia="Times New Roman"/>
          <w:i/>
          <w:iCs/>
          <w:sz w:val="22"/>
          <w:szCs w:val="22"/>
          <w:lang w:eastAsia="en-AU"/>
        </w:rPr>
        <w:t>Regulation (EU) 2017/745 of the European Parliament and of the Council of 5 April 2017 on medical devices</w:t>
      </w:r>
      <w:r w:rsidR="000B2FF8" w:rsidRPr="00976E97">
        <w:rPr>
          <w:rFonts w:eastAsia="Times New Roman"/>
          <w:sz w:val="22"/>
          <w:szCs w:val="22"/>
          <w:lang w:eastAsia="en-AU"/>
        </w:rPr>
        <w:t xml:space="preserve">, which </w:t>
      </w:r>
      <w:r w:rsidR="00DE3B07" w:rsidRPr="00976E97">
        <w:rPr>
          <w:rFonts w:eastAsia="Times New Roman"/>
          <w:sz w:val="22"/>
          <w:szCs w:val="22"/>
          <w:lang w:eastAsia="en-AU"/>
        </w:rPr>
        <w:t>sets out safety and performance requirements for medical devices for human use</w:t>
      </w:r>
      <w:r w:rsidR="00200E0C" w:rsidRPr="00976E97">
        <w:rPr>
          <w:rFonts w:eastAsia="Times New Roman"/>
          <w:sz w:val="22"/>
          <w:szCs w:val="22"/>
          <w:lang w:eastAsia="en-AU"/>
        </w:rPr>
        <w:t>. This regulation</w:t>
      </w:r>
      <w:r w:rsidR="00DE3B07" w:rsidRPr="00976E97">
        <w:rPr>
          <w:rFonts w:eastAsia="Times New Roman"/>
          <w:sz w:val="22"/>
          <w:szCs w:val="22"/>
          <w:lang w:eastAsia="en-AU"/>
        </w:rPr>
        <w:t xml:space="preserve"> </w:t>
      </w:r>
      <w:r w:rsidR="000B2FF8" w:rsidRPr="00976E97">
        <w:rPr>
          <w:rFonts w:eastAsia="Times New Roman"/>
          <w:sz w:val="22"/>
          <w:szCs w:val="22"/>
          <w:lang w:eastAsia="en-AU"/>
        </w:rPr>
        <w:t>is freely available from EUR-Lex at</w:t>
      </w:r>
      <w:r w:rsidR="008C1B6F" w:rsidRPr="00976E97">
        <w:rPr>
          <w:sz w:val="22"/>
          <w:szCs w:val="22"/>
        </w:rPr>
        <w:t xml:space="preserve"> https://eur-lex.europa.eu/</w:t>
      </w:r>
      <w:r w:rsidR="0009481D" w:rsidRPr="00976E97">
        <w:rPr>
          <w:sz w:val="22"/>
          <w:szCs w:val="22"/>
        </w:rPr>
        <w:t>.</w:t>
      </w:r>
    </w:p>
    <w:p w14:paraId="516A85D8" w14:textId="65CD728C" w:rsidR="000B2FF8" w:rsidRPr="00976E97" w:rsidRDefault="000B2FF8" w:rsidP="001E51F5">
      <w:pPr>
        <w:spacing w:after="0" w:line="240" w:lineRule="auto"/>
        <w:rPr>
          <w:rFonts w:eastAsia="Times New Roman"/>
          <w:sz w:val="22"/>
          <w:szCs w:val="22"/>
          <w:lang w:eastAsia="en-AU"/>
        </w:rPr>
      </w:pPr>
    </w:p>
    <w:p w14:paraId="15B0557B" w14:textId="516CABF2" w:rsidR="000B2FF8" w:rsidRPr="00976E97" w:rsidRDefault="000B2FF8" w:rsidP="00D171ED">
      <w:pPr>
        <w:spacing w:after="0" w:line="240" w:lineRule="auto"/>
        <w:jc w:val="both"/>
        <w:rPr>
          <w:rFonts w:eastAsia="Times New Roman"/>
          <w:sz w:val="22"/>
          <w:szCs w:val="22"/>
          <w:lang w:eastAsia="en-AU"/>
        </w:rPr>
      </w:pPr>
      <w:r w:rsidRPr="00976E97">
        <w:rPr>
          <w:rFonts w:eastAsia="Times New Roman"/>
          <w:sz w:val="22"/>
          <w:szCs w:val="22"/>
          <w:lang w:eastAsia="en-AU"/>
        </w:rPr>
        <w:t xml:space="preserve">In accordance with section 14 of the </w:t>
      </w:r>
      <w:r w:rsidRPr="00976E97">
        <w:rPr>
          <w:rFonts w:eastAsia="Times New Roman"/>
          <w:i/>
          <w:iCs/>
          <w:sz w:val="22"/>
          <w:szCs w:val="22"/>
          <w:lang w:eastAsia="en-AU"/>
        </w:rPr>
        <w:t>Legislation Act 2003</w:t>
      </w:r>
      <w:r w:rsidRPr="00976E97">
        <w:rPr>
          <w:rFonts w:eastAsia="Times New Roman"/>
          <w:sz w:val="22"/>
          <w:szCs w:val="22"/>
          <w:lang w:eastAsia="en-AU"/>
        </w:rPr>
        <w:t xml:space="preserve"> (“the Legislation Act”), th</w:t>
      </w:r>
      <w:r w:rsidR="00D171ED" w:rsidRPr="00976E97">
        <w:rPr>
          <w:rFonts w:eastAsia="Times New Roman"/>
          <w:sz w:val="22"/>
          <w:szCs w:val="22"/>
          <w:lang w:eastAsia="en-AU"/>
        </w:rPr>
        <w:t>is</w:t>
      </w:r>
      <w:r w:rsidRPr="00976E97">
        <w:rPr>
          <w:rFonts w:eastAsia="Times New Roman"/>
          <w:sz w:val="22"/>
          <w:szCs w:val="22"/>
          <w:lang w:eastAsia="en-AU"/>
        </w:rPr>
        <w:t xml:space="preserve"> document </w:t>
      </w:r>
      <w:proofErr w:type="gramStart"/>
      <w:r w:rsidR="00D171ED" w:rsidRPr="00976E97">
        <w:rPr>
          <w:rFonts w:eastAsia="Times New Roman"/>
          <w:sz w:val="22"/>
          <w:szCs w:val="22"/>
          <w:lang w:eastAsia="en-AU"/>
        </w:rPr>
        <w:t>is</w:t>
      </w:r>
      <w:r w:rsidRPr="00976E97">
        <w:rPr>
          <w:rFonts w:eastAsia="Times New Roman"/>
          <w:sz w:val="22"/>
          <w:szCs w:val="22"/>
          <w:lang w:eastAsia="en-AU"/>
        </w:rPr>
        <w:t xml:space="preserve"> incorporated</w:t>
      </w:r>
      <w:proofErr w:type="gramEnd"/>
      <w:r w:rsidRPr="00976E97">
        <w:rPr>
          <w:rFonts w:eastAsia="Times New Roman"/>
          <w:sz w:val="22"/>
          <w:szCs w:val="22"/>
          <w:lang w:eastAsia="en-AU"/>
        </w:rPr>
        <w:t xml:space="preserve"> as in force or existing immediately before the commencement of the </w:t>
      </w:r>
      <w:r w:rsidR="00DE3B07" w:rsidRPr="00976E97">
        <w:rPr>
          <w:rFonts w:eastAsia="Times New Roman"/>
          <w:sz w:val="22"/>
          <w:szCs w:val="22"/>
          <w:lang w:eastAsia="en-AU"/>
        </w:rPr>
        <w:t xml:space="preserve">Principal </w:t>
      </w:r>
      <w:r w:rsidRPr="00976E97">
        <w:rPr>
          <w:rFonts w:eastAsia="Times New Roman"/>
          <w:sz w:val="22"/>
          <w:szCs w:val="22"/>
          <w:lang w:eastAsia="en-AU"/>
        </w:rPr>
        <w:t>Determination</w:t>
      </w:r>
      <w:r w:rsidR="00DE3B07" w:rsidRPr="00976E97">
        <w:rPr>
          <w:rFonts w:eastAsia="Times New Roman"/>
          <w:sz w:val="22"/>
          <w:szCs w:val="22"/>
          <w:lang w:eastAsia="en-AU"/>
        </w:rPr>
        <w:t xml:space="preserve"> (as specified in the definition of this term in section 4 of the Principal Determination)</w:t>
      </w:r>
      <w:r w:rsidRPr="00976E97">
        <w:rPr>
          <w:rFonts w:eastAsia="Times New Roman"/>
          <w:sz w:val="22"/>
          <w:szCs w:val="22"/>
          <w:lang w:eastAsia="en-AU"/>
        </w:rPr>
        <w:t>. This means that any subsequent changes to th</w:t>
      </w:r>
      <w:r w:rsidR="00A6186F" w:rsidRPr="00976E97">
        <w:rPr>
          <w:rFonts w:eastAsia="Times New Roman"/>
          <w:sz w:val="22"/>
          <w:szCs w:val="22"/>
          <w:lang w:eastAsia="en-AU"/>
        </w:rPr>
        <w:t>is</w:t>
      </w:r>
      <w:r w:rsidRPr="00976E97">
        <w:rPr>
          <w:rFonts w:eastAsia="Times New Roman"/>
          <w:sz w:val="22"/>
          <w:szCs w:val="22"/>
          <w:lang w:eastAsia="en-AU"/>
        </w:rPr>
        <w:t xml:space="preserve"> document will not </w:t>
      </w:r>
      <w:proofErr w:type="gramStart"/>
      <w:r w:rsidRPr="00976E97">
        <w:rPr>
          <w:rFonts w:eastAsia="Times New Roman"/>
          <w:sz w:val="22"/>
          <w:szCs w:val="22"/>
          <w:lang w:eastAsia="en-AU"/>
        </w:rPr>
        <w:t>be automatically applied</w:t>
      </w:r>
      <w:proofErr w:type="gramEnd"/>
      <w:r w:rsidRPr="00976E97">
        <w:rPr>
          <w:rFonts w:eastAsia="Times New Roman"/>
          <w:sz w:val="22"/>
          <w:szCs w:val="22"/>
          <w:lang w:eastAsia="en-AU"/>
        </w:rPr>
        <w:t xml:space="preserve"> under the </w:t>
      </w:r>
      <w:r w:rsidR="00976E97" w:rsidRPr="00976E97">
        <w:rPr>
          <w:rFonts w:eastAsia="Times New Roman"/>
          <w:sz w:val="22"/>
          <w:szCs w:val="22"/>
          <w:lang w:eastAsia="en-AU"/>
        </w:rPr>
        <w:t xml:space="preserve">Principal </w:t>
      </w:r>
      <w:r w:rsidRPr="00976E97">
        <w:rPr>
          <w:rFonts w:eastAsia="Times New Roman"/>
          <w:sz w:val="22"/>
          <w:szCs w:val="22"/>
          <w:lang w:eastAsia="en-AU"/>
        </w:rPr>
        <w:t>Determination.</w:t>
      </w:r>
    </w:p>
    <w:p w14:paraId="5EE99A5A" w14:textId="77777777" w:rsidR="000B2FF8" w:rsidRPr="00976E97" w:rsidRDefault="000B2FF8" w:rsidP="001E51F5">
      <w:pPr>
        <w:spacing w:after="0" w:line="240" w:lineRule="auto"/>
        <w:rPr>
          <w:rFonts w:eastAsia="Times New Roman"/>
          <w:sz w:val="22"/>
          <w:szCs w:val="22"/>
          <w:lang w:eastAsia="en-AU"/>
        </w:rPr>
      </w:pPr>
    </w:p>
    <w:p w14:paraId="6B738905" w14:textId="77777777" w:rsidR="00B83BD5" w:rsidRPr="00976E97" w:rsidRDefault="001E51F5" w:rsidP="00B83BD5">
      <w:pPr>
        <w:spacing w:after="0" w:line="240" w:lineRule="auto"/>
        <w:rPr>
          <w:rFonts w:eastAsia="Times New Roman"/>
          <w:b/>
          <w:sz w:val="22"/>
          <w:szCs w:val="22"/>
          <w:lang w:eastAsia="en-AU"/>
        </w:rPr>
      </w:pPr>
      <w:r w:rsidRPr="00976E97">
        <w:rPr>
          <w:rFonts w:eastAsia="Times New Roman"/>
          <w:b/>
          <w:sz w:val="22"/>
          <w:szCs w:val="22"/>
          <w:lang w:eastAsia="en-AU"/>
        </w:rPr>
        <w:t>Consultation</w:t>
      </w:r>
    </w:p>
    <w:p w14:paraId="4A5C67CC" w14:textId="1CD0C92C" w:rsidR="00B83BD5" w:rsidRPr="00976E97" w:rsidRDefault="00B83BD5" w:rsidP="00E47491">
      <w:pPr>
        <w:spacing w:after="0" w:line="240" w:lineRule="auto"/>
        <w:rPr>
          <w:rFonts w:eastAsia="Times New Roman"/>
          <w:sz w:val="22"/>
          <w:szCs w:val="22"/>
          <w:lang w:eastAsia="en-AU"/>
        </w:rPr>
      </w:pPr>
    </w:p>
    <w:p w14:paraId="10C26CC9" w14:textId="55F2CE6C" w:rsidR="009B6CB1" w:rsidRPr="00976E97" w:rsidRDefault="009B6CB1" w:rsidP="00E47491">
      <w:pPr>
        <w:spacing w:after="0" w:line="240" w:lineRule="auto"/>
        <w:rPr>
          <w:rFonts w:eastAsia="Times New Roman"/>
          <w:sz w:val="22"/>
          <w:szCs w:val="22"/>
          <w:lang w:eastAsia="en-AU"/>
        </w:rPr>
      </w:pPr>
      <w:r w:rsidRPr="00976E97">
        <w:rPr>
          <w:rFonts w:eastAsia="Times New Roman"/>
          <w:sz w:val="22"/>
          <w:szCs w:val="22"/>
          <w:lang w:eastAsia="en-AU"/>
        </w:rPr>
        <w:t>The TGA consulted with industry stakeholders in relation to the proposed amendments at the Regulatory and Technical Consultative Forum for medical devices (“RegTech”) meetings held on 2</w:t>
      </w:r>
      <w:r w:rsidR="00560971" w:rsidRPr="00976E97">
        <w:rPr>
          <w:rFonts w:eastAsia="Times New Roman"/>
          <w:sz w:val="22"/>
          <w:szCs w:val="22"/>
          <w:lang w:eastAsia="en-AU"/>
        </w:rPr>
        <w:t> </w:t>
      </w:r>
      <w:r w:rsidRPr="00976E97">
        <w:rPr>
          <w:rFonts w:eastAsia="Times New Roman"/>
          <w:sz w:val="22"/>
          <w:szCs w:val="22"/>
          <w:lang w:eastAsia="en-AU"/>
        </w:rPr>
        <w:t xml:space="preserve">June 2022 and 28 July 2023. </w:t>
      </w:r>
      <w:r w:rsidR="0058535D" w:rsidRPr="00976E97">
        <w:rPr>
          <w:rFonts w:eastAsia="Times New Roman"/>
          <w:sz w:val="22"/>
          <w:szCs w:val="22"/>
          <w:lang w:eastAsia="en-AU"/>
        </w:rPr>
        <w:t>In September 2023, the TGA provided a further update on the proposed amendments to RegTech via the TGA’s regular</w:t>
      </w:r>
      <w:r w:rsidR="003D43BB" w:rsidRPr="00976E97">
        <w:rPr>
          <w:rFonts w:eastAsia="Times New Roman"/>
          <w:sz w:val="22"/>
          <w:szCs w:val="22"/>
          <w:lang w:eastAsia="en-AU"/>
        </w:rPr>
        <w:t xml:space="preserve"> email</w:t>
      </w:r>
      <w:r w:rsidR="0058535D" w:rsidRPr="00976E97">
        <w:rPr>
          <w:rFonts w:eastAsia="Times New Roman"/>
          <w:sz w:val="22"/>
          <w:szCs w:val="22"/>
          <w:lang w:eastAsia="en-AU"/>
        </w:rPr>
        <w:t xml:space="preserve"> update. </w:t>
      </w:r>
      <w:r w:rsidRPr="00976E97">
        <w:rPr>
          <w:rFonts w:eastAsia="Times New Roman"/>
          <w:sz w:val="22"/>
          <w:szCs w:val="22"/>
          <w:lang w:eastAsia="en-AU"/>
        </w:rPr>
        <w:t xml:space="preserve">No concerns </w:t>
      </w:r>
      <w:proofErr w:type="gramStart"/>
      <w:r w:rsidRPr="00976E97">
        <w:rPr>
          <w:rFonts w:eastAsia="Times New Roman"/>
          <w:sz w:val="22"/>
          <w:szCs w:val="22"/>
          <w:lang w:eastAsia="en-AU"/>
        </w:rPr>
        <w:t>were raised</w:t>
      </w:r>
      <w:proofErr w:type="gramEnd"/>
      <w:r w:rsidRPr="00976E97">
        <w:rPr>
          <w:rFonts w:eastAsia="Times New Roman"/>
          <w:sz w:val="22"/>
          <w:szCs w:val="22"/>
          <w:lang w:eastAsia="en-AU"/>
        </w:rPr>
        <w:t>.</w:t>
      </w:r>
    </w:p>
    <w:p w14:paraId="17193432" w14:textId="2D5170E8" w:rsidR="009B6CB1" w:rsidRPr="00976E97" w:rsidRDefault="009B6CB1" w:rsidP="00E47491">
      <w:pPr>
        <w:spacing w:after="0" w:line="240" w:lineRule="auto"/>
        <w:rPr>
          <w:rFonts w:eastAsia="Times New Roman"/>
          <w:sz w:val="22"/>
          <w:szCs w:val="22"/>
          <w:lang w:eastAsia="en-AU"/>
        </w:rPr>
      </w:pPr>
    </w:p>
    <w:p w14:paraId="286536F9" w14:textId="45951054" w:rsidR="009B6CB1" w:rsidRPr="00976E97" w:rsidRDefault="0087538C" w:rsidP="00E47491">
      <w:pPr>
        <w:spacing w:after="0" w:line="240" w:lineRule="auto"/>
        <w:rPr>
          <w:rFonts w:eastAsia="Times New Roman"/>
          <w:sz w:val="22"/>
          <w:szCs w:val="22"/>
          <w:lang w:eastAsia="en-AU"/>
        </w:rPr>
      </w:pPr>
      <w:r w:rsidRPr="00976E97">
        <w:rPr>
          <w:color w:val="000000"/>
          <w:sz w:val="22"/>
          <w:szCs w:val="22"/>
          <w:shd w:val="clear" w:color="auto" w:fill="FFFFFF"/>
        </w:rPr>
        <w:t>RegTech is a forum of key industry bodies and associations that facilitates consultation between the TGA and the medical device industry</w:t>
      </w:r>
      <w:r w:rsidR="009B6CB1" w:rsidRPr="00976E97">
        <w:rPr>
          <w:rFonts w:eastAsia="Times New Roman"/>
          <w:sz w:val="22"/>
          <w:szCs w:val="22"/>
          <w:lang w:eastAsia="en-AU"/>
        </w:rPr>
        <w:t>. RegTech membership includes, for example, the Medical and Technology Association of Australia, the Australian Dental Industry Association, AusBiotech and Pathology Technology Australia.</w:t>
      </w:r>
    </w:p>
    <w:p w14:paraId="09442681" w14:textId="77777777" w:rsidR="009B6CB1" w:rsidRPr="00976E97" w:rsidRDefault="009B6CB1" w:rsidP="00E47491">
      <w:pPr>
        <w:spacing w:after="0" w:line="240" w:lineRule="auto"/>
        <w:rPr>
          <w:rFonts w:eastAsia="Times New Roman"/>
          <w:sz w:val="22"/>
          <w:szCs w:val="22"/>
          <w:lang w:eastAsia="en-AU"/>
        </w:rPr>
      </w:pPr>
    </w:p>
    <w:p w14:paraId="4794F524" w14:textId="72BE23B2" w:rsidR="00DC540A" w:rsidRPr="00976E97" w:rsidRDefault="00D077A1" w:rsidP="001E51F5">
      <w:pPr>
        <w:spacing w:after="0" w:line="240" w:lineRule="auto"/>
        <w:rPr>
          <w:rFonts w:eastAsia="Times New Roman"/>
          <w:sz w:val="22"/>
          <w:szCs w:val="22"/>
          <w:lang w:eastAsia="en-AU"/>
        </w:rPr>
      </w:pPr>
      <w:r w:rsidRPr="00976E97">
        <w:rPr>
          <w:rFonts w:eastAsia="Times New Roman"/>
          <w:sz w:val="22"/>
          <w:szCs w:val="22"/>
          <w:lang w:eastAsia="en-AU"/>
        </w:rPr>
        <w:t xml:space="preserve">The </w:t>
      </w:r>
      <w:r w:rsidR="009B6CB1" w:rsidRPr="00976E97">
        <w:rPr>
          <w:rFonts w:eastAsia="Times New Roman"/>
          <w:sz w:val="22"/>
          <w:szCs w:val="22"/>
          <w:lang w:eastAsia="en-AU"/>
        </w:rPr>
        <w:t xml:space="preserve">Office of </w:t>
      </w:r>
      <w:r w:rsidR="00560971" w:rsidRPr="00976E97">
        <w:rPr>
          <w:rFonts w:eastAsia="Times New Roman"/>
          <w:sz w:val="22"/>
          <w:szCs w:val="22"/>
          <w:lang w:eastAsia="en-AU"/>
        </w:rPr>
        <w:t>Impact Analysis</w:t>
      </w:r>
      <w:r w:rsidR="009B6CB1" w:rsidRPr="00976E97">
        <w:rPr>
          <w:rFonts w:eastAsia="Times New Roman"/>
          <w:sz w:val="22"/>
          <w:szCs w:val="22"/>
          <w:lang w:eastAsia="en-AU"/>
        </w:rPr>
        <w:t xml:space="preserve"> </w:t>
      </w:r>
      <w:r w:rsidR="00560971" w:rsidRPr="00976E97">
        <w:rPr>
          <w:rFonts w:eastAsia="Times New Roman"/>
          <w:sz w:val="22"/>
          <w:szCs w:val="22"/>
          <w:lang w:eastAsia="en-AU"/>
        </w:rPr>
        <w:t xml:space="preserve">(at the time, the Office of Best Practice Regulation) </w:t>
      </w:r>
      <w:r w:rsidR="009B6CB1" w:rsidRPr="00976E97">
        <w:rPr>
          <w:rFonts w:eastAsia="Times New Roman"/>
          <w:sz w:val="22"/>
          <w:szCs w:val="22"/>
          <w:lang w:eastAsia="en-AU"/>
        </w:rPr>
        <w:t xml:space="preserve">advised that the </w:t>
      </w:r>
      <w:r w:rsidRPr="00976E97">
        <w:rPr>
          <w:rFonts w:eastAsia="Times New Roman"/>
          <w:sz w:val="22"/>
          <w:szCs w:val="22"/>
          <w:lang w:eastAsia="en-AU"/>
        </w:rPr>
        <w:t>amendments</w:t>
      </w:r>
      <w:r w:rsidR="00033BA3" w:rsidRPr="00976E97">
        <w:rPr>
          <w:rFonts w:eastAsia="Times New Roman"/>
          <w:sz w:val="22"/>
          <w:szCs w:val="22"/>
          <w:lang w:eastAsia="en-AU"/>
        </w:rPr>
        <w:t xml:space="preserve"> are minor and m</w:t>
      </w:r>
      <w:r w:rsidRPr="00976E97">
        <w:rPr>
          <w:rFonts w:eastAsia="Times New Roman"/>
          <w:sz w:val="22"/>
          <w:szCs w:val="22"/>
          <w:lang w:eastAsia="en-AU"/>
        </w:rPr>
        <w:t xml:space="preserve">achinery in </w:t>
      </w:r>
      <w:r w:rsidR="0094488F" w:rsidRPr="00976E97">
        <w:rPr>
          <w:rFonts w:eastAsia="Times New Roman"/>
          <w:sz w:val="22"/>
          <w:szCs w:val="22"/>
          <w:lang w:eastAsia="en-AU"/>
        </w:rPr>
        <w:t>nature and</w:t>
      </w:r>
      <w:r w:rsidRPr="00976E97">
        <w:rPr>
          <w:rFonts w:eastAsia="Times New Roman"/>
          <w:sz w:val="22"/>
          <w:szCs w:val="22"/>
          <w:lang w:eastAsia="en-AU"/>
        </w:rPr>
        <w:t xml:space="preserve"> </w:t>
      </w:r>
      <w:r w:rsidR="00033BA3" w:rsidRPr="00976E97">
        <w:rPr>
          <w:rFonts w:eastAsia="Times New Roman"/>
          <w:sz w:val="22"/>
          <w:szCs w:val="22"/>
          <w:lang w:eastAsia="en-AU"/>
        </w:rPr>
        <w:t xml:space="preserve">therefore a Regulation Impact Statement </w:t>
      </w:r>
      <w:proofErr w:type="gramStart"/>
      <w:r w:rsidR="0094488F" w:rsidRPr="00976E97">
        <w:rPr>
          <w:rFonts w:eastAsia="Times New Roman"/>
          <w:sz w:val="22"/>
          <w:szCs w:val="22"/>
          <w:lang w:eastAsia="en-AU"/>
        </w:rPr>
        <w:t>is</w:t>
      </w:r>
      <w:r w:rsidR="00033BA3" w:rsidRPr="00976E97">
        <w:rPr>
          <w:rFonts w:eastAsia="Times New Roman"/>
          <w:sz w:val="22"/>
          <w:szCs w:val="22"/>
          <w:lang w:eastAsia="en-AU"/>
        </w:rPr>
        <w:t xml:space="preserve"> not required</w:t>
      </w:r>
      <w:proofErr w:type="gramEnd"/>
      <w:r w:rsidR="00033BA3" w:rsidRPr="00976E97">
        <w:rPr>
          <w:rFonts w:eastAsia="Times New Roman"/>
          <w:sz w:val="22"/>
          <w:szCs w:val="22"/>
          <w:lang w:eastAsia="en-AU"/>
        </w:rPr>
        <w:t xml:space="preserve"> (OPBR Ref </w:t>
      </w:r>
      <w:r w:rsidR="009B6CB1" w:rsidRPr="00976E97">
        <w:rPr>
          <w:rFonts w:eastAsia="Times New Roman"/>
          <w:sz w:val="22"/>
          <w:szCs w:val="22"/>
          <w:lang w:eastAsia="en-AU"/>
        </w:rPr>
        <w:t>21178</w:t>
      </w:r>
      <w:r w:rsidR="00033BA3" w:rsidRPr="00976E97">
        <w:rPr>
          <w:rFonts w:eastAsia="Times New Roman"/>
          <w:sz w:val="22"/>
          <w:szCs w:val="22"/>
          <w:lang w:eastAsia="en-AU"/>
        </w:rPr>
        <w:t>).</w:t>
      </w:r>
    </w:p>
    <w:p w14:paraId="742E4635" w14:textId="77777777" w:rsidR="00D077A1" w:rsidRPr="00976E97" w:rsidRDefault="00D077A1" w:rsidP="001E51F5">
      <w:pPr>
        <w:spacing w:after="0" w:line="240" w:lineRule="auto"/>
        <w:rPr>
          <w:rFonts w:eastAsia="Times New Roman"/>
          <w:sz w:val="22"/>
          <w:szCs w:val="22"/>
          <w:lang w:eastAsia="en-AU"/>
        </w:rPr>
      </w:pPr>
    </w:p>
    <w:p w14:paraId="7146F1F5" w14:textId="77777777" w:rsidR="001E51F5"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t xml:space="preserve">Details of the Amendment </w:t>
      </w:r>
      <w:r w:rsidR="00D12E65" w:rsidRPr="00976E97">
        <w:rPr>
          <w:rFonts w:eastAsia="Times New Roman"/>
          <w:sz w:val="22"/>
          <w:szCs w:val="22"/>
          <w:lang w:eastAsia="en-AU"/>
        </w:rPr>
        <w:t>Determination</w:t>
      </w:r>
      <w:r w:rsidRPr="00976E97">
        <w:rPr>
          <w:rFonts w:eastAsia="Times New Roman"/>
          <w:sz w:val="22"/>
          <w:szCs w:val="22"/>
          <w:lang w:eastAsia="en-AU"/>
        </w:rPr>
        <w:t xml:space="preserve"> are set out in </w:t>
      </w:r>
      <w:r w:rsidRPr="00976E97">
        <w:rPr>
          <w:rFonts w:eastAsia="Times New Roman"/>
          <w:b/>
          <w:sz w:val="22"/>
          <w:szCs w:val="22"/>
          <w:lang w:eastAsia="en-AU"/>
        </w:rPr>
        <w:t>Attachment A</w:t>
      </w:r>
      <w:r w:rsidRPr="00976E97">
        <w:rPr>
          <w:rFonts w:eastAsia="Times New Roman"/>
          <w:sz w:val="22"/>
          <w:szCs w:val="22"/>
          <w:lang w:eastAsia="en-AU"/>
        </w:rPr>
        <w:t>.</w:t>
      </w:r>
    </w:p>
    <w:p w14:paraId="49BD3C6A" w14:textId="77777777" w:rsidR="001E51F5" w:rsidRPr="00976E97" w:rsidRDefault="001E51F5" w:rsidP="001E51F5">
      <w:pPr>
        <w:spacing w:after="0" w:line="240" w:lineRule="auto"/>
        <w:rPr>
          <w:rFonts w:eastAsia="Times New Roman"/>
          <w:sz w:val="22"/>
          <w:szCs w:val="22"/>
          <w:lang w:eastAsia="en-AU"/>
        </w:rPr>
      </w:pPr>
    </w:p>
    <w:p w14:paraId="7BC38472" w14:textId="75CAB33E" w:rsidR="001E51F5"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t xml:space="preserve">The Amendment </w:t>
      </w:r>
      <w:r w:rsidR="00D12E65" w:rsidRPr="00976E97">
        <w:rPr>
          <w:rFonts w:eastAsia="Times New Roman"/>
          <w:sz w:val="22"/>
          <w:szCs w:val="22"/>
          <w:lang w:eastAsia="en-AU"/>
        </w:rPr>
        <w:t>Determination</w:t>
      </w:r>
      <w:r w:rsidRPr="00976E97">
        <w:rPr>
          <w:rFonts w:eastAsia="Times New Roman"/>
          <w:sz w:val="22"/>
          <w:szCs w:val="22"/>
          <w:lang w:eastAsia="en-AU"/>
        </w:rPr>
        <w:t xml:space="preserve"> is compatible with </w:t>
      </w:r>
      <w:r w:rsidR="004B33DC" w:rsidRPr="00976E97">
        <w:rPr>
          <w:rFonts w:eastAsia="Times New Roman"/>
          <w:sz w:val="22"/>
          <w:szCs w:val="22"/>
          <w:lang w:eastAsia="en-AU"/>
        </w:rPr>
        <w:t xml:space="preserve">the </w:t>
      </w:r>
      <w:r w:rsidRPr="00976E97">
        <w:rPr>
          <w:rFonts w:eastAsia="Times New Roman"/>
          <w:sz w:val="22"/>
          <w:szCs w:val="22"/>
          <w:lang w:eastAsia="en-AU"/>
        </w:rPr>
        <w:t xml:space="preserve">human rights and freedoms recognised or declared under section 3 of the </w:t>
      </w:r>
      <w:r w:rsidRPr="00976E97">
        <w:rPr>
          <w:rFonts w:eastAsia="Times New Roman"/>
          <w:i/>
          <w:sz w:val="22"/>
          <w:szCs w:val="22"/>
          <w:lang w:eastAsia="en-AU"/>
        </w:rPr>
        <w:t>Human Rights (Parliamentary Scrutiny) Act 2011</w:t>
      </w:r>
      <w:r w:rsidRPr="00976E97">
        <w:rPr>
          <w:rFonts w:eastAsia="Times New Roman"/>
          <w:sz w:val="22"/>
          <w:szCs w:val="22"/>
          <w:lang w:eastAsia="en-AU"/>
        </w:rPr>
        <w:t>.</w:t>
      </w:r>
      <w:r w:rsidR="008F5612" w:rsidRPr="00976E97">
        <w:rPr>
          <w:rFonts w:eastAsia="Times New Roman"/>
          <w:sz w:val="22"/>
          <w:szCs w:val="22"/>
          <w:lang w:eastAsia="en-AU"/>
        </w:rPr>
        <w:t xml:space="preserve"> </w:t>
      </w:r>
      <w:r w:rsidRPr="00976E97">
        <w:rPr>
          <w:rFonts w:eastAsia="Times New Roman"/>
          <w:sz w:val="22"/>
          <w:szCs w:val="22"/>
          <w:lang w:eastAsia="en-AU"/>
        </w:rPr>
        <w:t xml:space="preserve">A full statement of compatibility is set out in </w:t>
      </w:r>
      <w:r w:rsidRPr="00976E97">
        <w:rPr>
          <w:rFonts w:eastAsia="Times New Roman"/>
          <w:b/>
          <w:sz w:val="22"/>
          <w:szCs w:val="22"/>
          <w:lang w:eastAsia="en-AU"/>
        </w:rPr>
        <w:t>Attachment B</w:t>
      </w:r>
      <w:r w:rsidRPr="00976E97">
        <w:rPr>
          <w:rFonts w:eastAsia="Times New Roman"/>
          <w:sz w:val="22"/>
          <w:szCs w:val="22"/>
          <w:lang w:eastAsia="en-AU"/>
        </w:rPr>
        <w:t>.</w:t>
      </w:r>
    </w:p>
    <w:p w14:paraId="16BD16BB" w14:textId="77777777" w:rsidR="001E51F5" w:rsidRPr="00976E97" w:rsidRDefault="001E51F5" w:rsidP="001E51F5">
      <w:pPr>
        <w:spacing w:after="0" w:line="240" w:lineRule="auto"/>
        <w:rPr>
          <w:rFonts w:eastAsia="Times New Roman"/>
          <w:sz w:val="22"/>
          <w:szCs w:val="22"/>
          <w:lang w:eastAsia="en-AU"/>
        </w:rPr>
      </w:pPr>
    </w:p>
    <w:p w14:paraId="0C9FA311" w14:textId="77777777" w:rsidR="009B6CB1"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t xml:space="preserve">The Amendment </w:t>
      </w:r>
      <w:r w:rsidR="00103A0E" w:rsidRPr="00976E97">
        <w:rPr>
          <w:rFonts w:eastAsia="Times New Roman"/>
          <w:sz w:val="22"/>
          <w:szCs w:val="22"/>
          <w:lang w:eastAsia="en-AU"/>
        </w:rPr>
        <w:t>Determination</w:t>
      </w:r>
      <w:r w:rsidRPr="00976E97">
        <w:rPr>
          <w:rFonts w:eastAsia="Times New Roman"/>
          <w:sz w:val="22"/>
          <w:szCs w:val="22"/>
          <w:lang w:eastAsia="en-AU"/>
        </w:rPr>
        <w:t xml:space="preserve"> is a disallowable legislative instrument</w:t>
      </w:r>
      <w:r w:rsidRPr="00976E97">
        <w:rPr>
          <w:rFonts w:eastAsia="Times New Roman"/>
          <w:i/>
          <w:sz w:val="22"/>
          <w:szCs w:val="22"/>
          <w:lang w:eastAsia="en-AU"/>
        </w:rPr>
        <w:t xml:space="preserve"> </w:t>
      </w:r>
      <w:r w:rsidRPr="00976E97">
        <w:rPr>
          <w:rFonts w:eastAsia="Times New Roman"/>
          <w:sz w:val="22"/>
          <w:szCs w:val="22"/>
          <w:lang w:eastAsia="en-AU"/>
        </w:rPr>
        <w:t xml:space="preserve">for the purposes of the </w:t>
      </w:r>
      <w:r w:rsidRPr="00976E97">
        <w:rPr>
          <w:rFonts w:eastAsia="Times New Roman"/>
          <w:iCs/>
          <w:sz w:val="22"/>
          <w:szCs w:val="22"/>
          <w:lang w:eastAsia="en-AU"/>
        </w:rPr>
        <w:t>Legislation Act</w:t>
      </w:r>
      <w:r w:rsidR="00E81D7C" w:rsidRPr="00976E97">
        <w:rPr>
          <w:rFonts w:eastAsia="Times New Roman"/>
          <w:i/>
          <w:sz w:val="22"/>
          <w:szCs w:val="22"/>
          <w:lang w:eastAsia="en-AU"/>
        </w:rPr>
        <w:t xml:space="preserve"> </w:t>
      </w:r>
      <w:r w:rsidRPr="00976E97">
        <w:rPr>
          <w:rFonts w:eastAsia="Times New Roman"/>
          <w:sz w:val="22"/>
          <w:szCs w:val="22"/>
          <w:lang w:eastAsia="en-AU"/>
        </w:rPr>
        <w:t xml:space="preserve">and commences on </w:t>
      </w:r>
      <w:r w:rsidR="00A76FF1" w:rsidRPr="00976E97">
        <w:rPr>
          <w:rFonts w:eastAsia="Times New Roman"/>
          <w:sz w:val="22"/>
          <w:szCs w:val="22"/>
          <w:lang w:eastAsia="en-AU"/>
        </w:rPr>
        <w:t xml:space="preserve">the day after it </w:t>
      </w:r>
      <w:proofErr w:type="gramStart"/>
      <w:r w:rsidR="00A76FF1" w:rsidRPr="00976E97">
        <w:rPr>
          <w:rFonts w:eastAsia="Times New Roman"/>
          <w:sz w:val="22"/>
          <w:szCs w:val="22"/>
          <w:lang w:eastAsia="en-AU"/>
        </w:rPr>
        <w:t>is registered</w:t>
      </w:r>
      <w:proofErr w:type="gramEnd"/>
      <w:r w:rsidR="00A76FF1" w:rsidRPr="00976E97">
        <w:rPr>
          <w:rFonts w:eastAsia="Times New Roman"/>
          <w:sz w:val="22"/>
          <w:szCs w:val="22"/>
          <w:lang w:eastAsia="en-AU"/>
        </w:rPr>
        <w:t xml:space="preserve"> on the Federal Register of Legislation</w:t>
      </w:r>
      <w:r w:rsidRPr="00976E97">
        <w:rPr>
          <w:rFonts w:eastAsia="Times New Roman"/>
          <w:sz w:val="22"/>
          <w:szCs w:val="22"/>
          <w:lang w:eastAsia="en-AU"/>
        </w:rPr>
        <w:t>.</w:t>
      </w:r>
    </w:p>
    <w:p w14:paraId="6F1DCD96" w14:textId="18F51126" w:rsidR="001E51F5" w:rsidRPr="00976E97" w:rsidRDefault="001E51F5" w:rsidP="001E51F5">
      <w:pPr>
        <w:spacing w:after="0" w:line="240" w:lineRule="auto"/>
        <w:rPr>
          <w:rFonts w:eastAsia="Times New Roman"/>
          <w:sz w:val="22"/>
          <w:szCs w:val="22"/>
          <w:lang w:eastAsia="en-AU"/>
        </w:rPr>
      </w:pPr>
      <w:r w:rsidRPr="00976E97">
        <w:rPr>
          <w:rFonts w:eastAsia="Times New Roman"/>
          <w:b/>
          <w:bCs/>
          <w:sz w:val="22"/>
          <w:szCs w:val="22"/>
          <w:lang w:eastAsia="en-AU"/>
        </w:rPr>
        <w:br w:type="page"/>
      </w:r>
    </w:p>
    <w:p w14:paraId="6564E289" w14:textId="77777777" w:rsidR="001E51F5" w:rsidRPr="00976E97" w:rsidRDefault="001E51F5" w:rsidP="001E51F5">
      <w:pPr>
        <w:spacing w:after="0" w:line="240" w:lineRule="auto"/>
        <w:jc w:val="right"/>
        <w:rPr>
          <w:rFonts w:eastAsia="Times New Roman"/>
          <w:b/>
          <w:bCs/>
          <w:sz w:val="22"/>
          <w:szCs w:val="22"/>
          <w:lang w:eastAsia="en-AU"/>
        </w:rPr>
      </w:pPr>
      <w:r w:rsidRPr="00976E97">
        <w:rPr>
          <w:rFonts w:eastAsia="Times New Roman"/>
          <w:b/>
          <w:bCs/>
          <w:sz w:val="22"/>
          <w:szCs w:val="22"/>
          <w:lang w:eastAsia="en-AU"/>
        </w:rPr>
        <w:lastRenderedPageBreak/>
        <w:t>Attachment A</w:t>
      </w:r>
    </w:p>
    <w:p w14:paraId="6A538319" w14:textId="77777777" w:rsidR="001E51F5" w:rsidRPr="00976E97" w:rsidRDefault="001E51F5" w:rsidP="001E51F5">
      <w:pPr>
        <w:spacing w:after="0" w:line="240" w:lineRule="auto"/>
        <w:rPr>
          <w:rFonts w:eastAsia="Times New Roman"/>
          <w:b/>
          <w:bCs/>
          <w:sz w:val="22"/>
          <w:szCs w:val="22"/>
          <w:lang w:eastAsia="en-AU"/>
        </w:rPr>
      </w:pPr>
    </w:p>
    <w:p w14:paraId="20D9546A" w14:textId="792C0889" w:rsidR="001E51F5" w:rsidRPr="00976E97" w:rsidRDefault="001E51F5" w:rsidP="001E51F5">
      <w:pPr>
        <w:spacing w:after="0" w:line="240" w:lineRule="auto"/>
        <w:rPr>
          <w:rFonts w:eastAsia="Times New Roman"/>
          <w:b/>
          <w:bCs/>
          <w:i/>
          <w:sz w:val="22"/>
          <w:szCs w:val="22"/>
          <w:lang w:eastAsia="en-AU"/>
        </w:rPr>
      </w:pPr>
      <w:r w:rsidRPr="00976E97">
        <w:rPr>
          <w:rFonts w:eastAsia="Times New Roman"/>
          <w:b/>
          <w:bCs/>
          <w:sz w:val="22"/>
          <w:szCs w:val="22"/>
          <w:lang w:eastAsia="en-AU"/>
        </w:rPr>
        <w:t xml:space="preserve">Details of the </w:t>
      </w:r>
      <w:r w:rsidR="004875B7" w:rsidRPr="00976E97">
        <w:rPr>
          <w:rFonts w:eastAsia="Times New Roman"/>
          <w:b/>
          <w:bCs/>
          <w:i/>
          <w:sz w:val="22"/>
          <w:szCs w:val="22"/>
          <w:lang w:eastAsia="en-AU"/>
        </w:rPr>
        <w:t>Therapeutic Goods (Medical Devices—Information that Must Accompany Application for Inclusion) Amendment (</w:t>
      </w:r>
      <w:r w:rsidR="00540A4F" w:rsidRPr="00976E97">
        <w:rPr>
          <w:rFonts w:eastAsia="Times New Roman"/>
          <w:b/>
          <w:bCs/>
          <w:i/>
          <w:sz w:val="22"/>
          <w:szCs w:val="22"/>
          <w:lang w:eastAsia="en-AU"/>
        </w:rPr>
        <w:t>European Union—</w:t>
      </w:r>
      <w:r w:rsidR="00B22A73" w:rsidRPr="00976E97">
        <w:rPr>
          <w:rFonts w:eastAsia="Times New Roman"/>
          <w:b/>
          <w:bCs/>
          <w:i/>
          <w:sz w:val="22"/>
          <w:szCs w:val="22"/>
          <w:lang w:eastAsia="en-AU"/>
        </w:rPr>
        <w:t>Class I</w:t>
      </w:r>
      <w:r w:rsidR="00A76FF1" w:rsidRPr="00976E97">
        <w:rPr>
          <w:rFonts w:eastAsia="Times New Roman"/>
          <w:b/>
          <w:bCs/>
          <w:i/>
          <w:sz w:val="22"/>
          <w:szCs w:val="22"/>
          <w:lang w:eastAsia="en-AU"/>
        </w:rPr>
        <w:t>Ia</w:t>
      </w:r>
      <w:r w:rsidR="00951C44" w:rsidRPr="00976E97">
        <w:rPr>
          <w:rFonts w:eastAsia="Times New Roman"/>
          <w:b/>
          <w:bCs/>
          <w:i/>
          <w:sz w:val="22"/>
          <w:szCs w:val="22"/>
          <w:lang w:eastAsia="en-AU"/>
        </w:rPr>
        <w:t xml:space="preserve"> and Class IIb</w:t>
      </w:r>
      <w:r w:rsidR="004875B7" w:rsidRPr="00976E97">
        <w:rPr>
          <w:rFonts w:eastAsia="Times New Roman"/>
          <w:b/>
          <w:bCs/>
          <w:i/>
          <w:sz w:val="22"/>
          <w:szCs w:val="22"/>
          <w:lang w:eastAsia="en-AU"/>
        </w:rPr>
        <w:t>) Determination 202</w:t>
      </w:r>
      <w:r w:rsidR="002A5E21" w:rsidRPr="00976E97">
        <w:rPr>
          <w:rFonts w:eastAsia="Times New Roman"/>
          <w:b/>
          <w:bCs/>
          <w:i/>
          <w:sz w:val="22"/>
          <w:szCs w:val="22"/>
          <w:lang w:eastAsia="en-AU"/>
        </w:rPr>
        <w:t>3</w:t>
      </w:r>
    </w:p>
    <w:p w14:paraId="4C88236D" w14:textId="77777777" w:rsidR="001E51F5" w:rsidRPr="00976E97" w:rsidRDefault="001E51F5" w:rsidP="001E51F5">
      <w:pPr>
        <w:spacing w:after="0" w:line="240" w:lineRule="auto"/>
        <w:rPr>
          <w:rFonts w:eastAsia="Times New Roman"/>
          <w:iCs/>
          <w:sz w:val="22"/>
          <w:szCs w:val="22"/>
          <w:lang w:eastAsia="en-AU"/>
        </w:rPr>
      </w:pPr>
    </w:p>
    <w:p w14:paraId="1DC3D9ED" w14:textId="77777777" w:rsidR="001E51F5" w:rsidRPr="00976E97" w:rsidRDefault="001E51F5" w:rsidP="001E51F5">
      <w:pPr>
        <w:spacing w:after="0" w:line="240" w:lineRule="auto"/>
        <w:rPr>
          <w:rFonts w:eastAsia="Times New Roman"/>
          <w:b/>
          <w:bCs/>
          <w:sz w:val="22"/>
          <w:szCs w:val="22"/>
          <w:lang w:eastAsia="en-AU"/>
        </w:rPr>
      </w:pPr>
      <w:r w:rsidRPr="00976E97">
        <w:rPr>
          <w:rFonts w:eastAsia="Times New Roman"/>
          <w:b/>
          <w:bCs/>
          <w:sz w:val="22"/>
          <w:szCs w:val="22"/>
          <w:lang w:eastAsia="en-AU"/>
        </w:rPr>
        <w:t>Section 1 – Name</w:t>
      </w:r>
    </w:p>
    <w:p w14:paraId="7D8C1DF4" w14:textId="77777777" w:rsidR="001E51F5" w:rsidRPr="00976E97" w:rsidRDefault="001E51F5" w:rsidP="001E51F5">
      <w:pPr>
        <w:spacing w:after="0" w:line="240" w:lineRule="auto"/>
        <w:rPr>
          <w:rFonts w:eastAsia="Times New Roman"/>
          <w:sz w:val="22"/>
          <w:szCs w:val="22"/>
          <w:lang w:eastAsia="en-AU"/>
        </w:rPr>
      </w:pPr>
    </w:p>
    <w:p w14:paraId="03661713" w14:textId="29506B2E" w:rsidR="001E51F5"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t xml:space="preserve">This section provides that the name of the instrument is the </w:t>
      </w:r>
      <w:r w:rsidR="00D12E65" w:rsidRPr="00976E97">
        <w:rPr>
          <w:rFonts w:eastAsia="Times New Roman"/>
          <w:bCs/>
          <w:i/>
          <w:sz w:val="22"/>
          <w:szCs w:val="22"/>
          <w:lang w:eastAsia="en-AU"/>
        </w:rPr>
        <w:t>Therapeutic Goods (Medical Devices—Information that Must Accompany Application for Inclusion) Amendment (</w:t>
      </w:r>
      <w:r w:rsidR="00540A4F" w:rsidRPr="00976E97">
        <w:rPr>
          <w:rFonts w:eastAsia="Times New Roman"/>
          <w:bCs/>
          <w:i/>
          <w:sz w:val="22"/>
          <w:szCs w:val="22"/>
          <w:lang w:eastAsia="en-AU"/>
        </w:rPr>
        <w:t>European Union—</w:t>
      </w:r>
      <w:r w:rsidR="00B22A73" w:rsidRPr="00976E97">
        <w:rPr>
          <w:rFonts w:eastAsia="Times New Roman"/>
          <w:bCs/>
          <w:i/>
          <w:sz w:val="22"/>
          <w:szCs w:val="22"/>
          <w:lang w:eastAsia="en-AU"/>
        </w:rPr>
        <w:t>Class I</w:t>
      </w:r>
      <w:r w:rsidR="00A76FF1" w:rsidRPr="00976E97">
        <w:rPr>
          <w:rFonts w:eastAsia="Times New Roman"/>
          <w:bCs/>
          <w:i/>
          <w:sz w:val="22"/>
          <w:szCs w:val="22"/>
          <w:lang w:eastAsia="en-AU"/>
        </w:rPr>
        <w:t>Ia</w:t>
      </w:r>
      <w:r w:rsidR="00B22A73" w:rsidRPr="00976E97">
        <w:rPr>
          <w:rFonts w:eastAsia="Times New Roman"/>
          <w:bCs/>
          <w:i/>
          <w:sz w:val="22"/>
          <w:szCs w:val="22"/>
          <w:lang w:eastAsia="en-AU"/>
        </w:rPr>
        <w:t xml:space="preserve"> </w:t>
      </w:r>
      <w:r w:rsidR="00B822AA" w:rsidRPr="00976E97">
        <w:rPr>
          <w:rFonts w:eastAsia="Times New Roman"/>
          <w:bCs/>
          <w:i/>
          <w:sz w:val="22"/>
          <w:szCs w:val="22"/>
          <w:lang w:eastAsia="en-AU"/>
        </w:rPr>
        <w:t>and Class IIb</w:t>
      </w:r>
      <w:r w:rsidR="00D12E65" w:rsidRPr="00976E97">
        <w:rPr>
          <w:rFonts w:eastAsia="Times New Roman"/>
          <w:bCs/>
          <w:i/>
          <w:sz w:val="22"/>
          <w:szCs w:val="22"/>
          <w:lang w:eastAsia="en-AU"/>
        </w:rPr>
        <w:t>) Determination 202</w:t>
      </w:r>
      <w:r w:rsidR="002A5E21" w:rsidRPr="00976E97">
        <w:rPr>
          <w:rFonts w:eastAsia="Times New Roman"/>
          <w:bCs/>
          <w:i/>
          <w:sz w:val="22"/>
          <w:szCs w:val="22"/>
          <w:lang w:eastAsia="en-AU"/>
        </w:rPr>
        <w:t>3</w:t>
      </w:r>
      <w:r w:rsidRPr="00976E97">
        <w:rPr>
          <w:rFonts w:eastAsia="Times New Roman"/>
          <w:i/>
          <w:sz w:val="22"/>
          <w:szCs w:val="22"/>
          <w:lang w:eastAsia="en-AU"/>
        </w:rPr>
        <w:t xml:space="preserve"> </w:t>
      </w:r>
      <w:r w:rsidRPr="00976E97">
        <w:rPr>
          <w:rFonts w:eastAsia="Times New Roman"/>
          <w:sz w:val="22"/>
          <w:szCs w:val="22"/>
          <w:lang w:eastAsia="en-AU"/>
        </w:rPr>
        <w:t xml:space="preserve">(“the Amendment </w:t>
      </w:r>
      <w:r w:rsidR="00E81D7C" w:rsidRPr="00976E97">
        <w:rPr>
          <w:rFonts w:eastAsia="Times New Roman"/>
          <w:sz w:val="22"/>
          <w:szCs w:val="22"/>
          <w:lang w:eastAsia="en-AU"/>
        </w:rPr>
        <w:t>Determination</w:t>
      </w:r>
      <w:r w:rsidRPr="00976E97">
        <w:rPr>
          <w:rFonts w:eastAsia="Times New Roman"/>
          <w:sz w:val="22"/>
          <w:szCs w:val="22"/>
          <w:lang w:eastAsia="en-AU"/>
        </w:rPr>
        <w:t>”).</w:t>
      </w:r>
    </w:p>
    <w:p w14:paraId="7E8FEA12" w14:textId="77777777" w:rsidR="001E51F5" w:rsidRPr="00976E97" w:rsidRDefault="001E51F5" w:rsidP="001E51F5">
      <w:pPr>
        <w:spacing w:after="0" w:line="240" w:lineRule="auto"/>
        <w:rPr>
          <w:rFonts w:eastAsia="Times New Roman"/>
          <w:bCs/>
          <w:sz w:val="22"/>
          <w:szCs w:val="22"/>
          <w:lang w:eastAsia="en-AU"/>
        </w:rPr>
      </w:pPr>
    </w:p>
    <w:p w14:paraId="7213C140" w14:textId="77777777" w:rsidR="001E51F5" w:rsidRPr="00976E97" w:rsidRDefault="001E51F5" w:rsidP="001E51F5">
      <w:pPr>
        <w:spacing w:after="0" w:line="240" w:lineRule="auto"/>
        <w:rPr>
          <w:rFonts w:eastAsia="Times New Roman"/>
          <w:b/>
          <w:bCs/>
          <w:sz w:val="22"/>
          <w:szCs w:val="22"/>
          <w:lang w:eastAsia="en-AU"/>
        </w:rPr>
      </w:pPr>
      <w:r w:rsidRPr="00976E97">
        <w:rPr>
          <w:rFonts w:eastAsia="Times New Roman"/>
          <w:b/>
          <w:bCs/>
          <w:sz w:val="22"/>
          <w:szCs w:val="22"/>
          <w:lang w:eastAsia="en-AU"/>
        </w:rPr>
        <w:t>Section 2 – Commencement</w:t>
      </w:r>
    </w:p>
    <w:p w14:paraId="7AE9B93F" w14:textId="77777777" w:rsidR="001E51F5" w:rsidRPr="00976E97" w:rsidRDefault="001E51F5" w:rsidP="001E51F5">
      <w:pPr>
        <w:spacing w:after="0" w:line="240" w:lineRule="auto"/>
        <w:rPr>
          <w:rFonts w:eastAsia="Times New Roman"/>
          <w:bCs/>
          <w:sz w:val="22"/>
          <w:szCs w:val="22"/>
          <w:lang w:eastAsia="en-AU"/>
        </w:rPr>
      </w:pPr>
    </w:p>
    <w:p w14:paraId="73748F9C" w14:textId="597B14A9" w:rsidR="001E51F5" w:rsidRPr="00976E97" w:rsidRDefault="001E51F5" w:rsidP="001E51F5">
      <w:pPr>
        <w:spacing w:after="0" w:line="240" w:lineRule="auto"/>
        <w:rPr>
          <w:rFonts w:eastAsia="Times New Roman"/>
          <w:bCs/>
          <w:sz w:val="22"/>
          <w:szCs w:val="22"/>
          <w:lang w:eastAsia="en-AU"/>
        </w:rPr>
      </w:pPr>
      <w:r w:rsidRPr="00976E97">
        <w:rPr>
          <w:rFonts w:eastAsia="Times New Roman"/>
          <w:bCs/>
          <w:sz w:val="22"/>
          <w:szCs w:val="22"/>
          <w:lang w:eastAsia="en-AU"/>
        </w:rPr>
        <w:t xml:space="preserve">This section provides that the Amendment </w:t>
      </w:r>
      <w:r w:rsidR="00E81D7C" w:rsidRPr="00976E97">
        <w:rPr>
          <w:rFonts w:eastAsia="Times New Roman"/>
          <w:bCs/>
          <w:sz w:val="22"/>
          <w:szCs w:val="22"/>
          <w:lang w:eastAsia="en-AU"/>
        </w:rPr>
        <w:t>Determination</w:t>
      </w:r>
      <w:r w:rsidRPr="00976E97">
        <w:rPr>
          <w:rFonts w:eastAsia="Times New Roman"/>
          <w:bCs/>
          <w:sz w:val="22"/>
          <w:szCs w:val="22"/>
          <w:lang w:eastAsia="en-AU"/>
        </w:rPr>
        <w:t xml:space="preserve"> commences on </w:t>
      </w:r>
      <w:r w:rsidR="00A76FF1" w:rsidRPr="00976E97">
        <w:rPr>
          <w:rFonts w:eastAsia="Times New Roman"/>
          <w:bCs/>
          <w:sz w:val="22"/>
          <w:szCs w:val="22"/>
          <w:lang w:eastAsia="en-AU"/>
        </w:rPr>
        <w:t xml:space="preserve">the day after it </w:t>
      </w:r>
      <w:proofErr w:type="gramStart"/>
      <w:r w:rsidR="00A76FF1" w:rsidRPr="00976E97">
        <w:rPr>
          <w:rFonts w:eastAsia="Times New Roman"/>
          <w:bCs/>
          <w:sz w:val="22"/>
          <w:szCs w:val="22"/>
          <w:lang w:eastAsia="en-AU"/>
        </w:rPr>
        <w:t>is registered</w:t>
      </w:r>
      <w:proofErr w:type="gramEnd"/>
      <w:r w:rsidR="00A76FF1" w:rsidRPr="00976E97">
        <w:rPr>
          <w:rFonts w:eastAsia="Times New Roman"/>
          <w:bCs/>
          <w:sz w:val="22"/>
          <w:szCs w:val="22"/>
          <w:lang w:eastAsia="en-AU"/>
        </w:rPr>
        <w:t xml:space="preserve"> on the Federal Register of Legislation</w:t>
      </w:r>
      <w:r w:rsidR="00AB3017" w:rsidRPr="00976E97">
        <w:rPr>
          <w:rFonts w:eastAsia="Times New Roman"/>
          <w:bCs/>
          <w:sz w:val="22"/>
          <w:szCs w:val="22"/>
          <w:lang w:eastAsia="en-AU"/>
        </w:rPr>
        <w:t>.</w:t>
      </w:r>
    </w:p>
    <w:p w14:paraId="59B638E6" w14:textId="77777777" w:rsidR="001E51F5" w:rsidRPr="00976E97" w:rsidRDefault="001E51F5" w:rsidP="001E51F5">
      <w:pPr>
        <w:spacing w:after="0" w:line="240" w:lineRule="auto"/>
        <w:rPr>
          <w:rFonts w:eastAsia="Times New Roman"/>
          <w:bCs/>
          <w:sz w:val="22"/>
          <w:szCs w:val="22"/>
          <w:lang w:eastAsia="en-AU"/>
        </w:rPr>
      </w:pPr>
    </w:p>
    <w:p w14:paraId="3EB1B8AE" w14:textId="77777777" w:rsidR="001E51F5" w:rsidRPr="00976E97" w:rsidRDefault="001E51F5" w:rsidP="001E51F5">
      <w:pPr>
        <w:spacing w:after="0" w:line="240" w:lineRule="auto"/>
        <w:rPr>
          <w:rFonts w:eastAsia="Times New Roman"/>
          <w:b/>
          <w:bCs/>
          <w:sz w:val="22"/>
          <w:szCs w:val="22"/>
          <w:lang w:eastAsia="en-AU"/>
        </w:rPr>
      </w:pPr>
      <w:r w:rsidRPr="00976E97">
        <w:rPr>
          <w:rFonts w:eastAsia="Times New Roman"/>
          <w:b/>
          <w:bCs/>
          <w:sz w:val="22"/>
          <w:szCs w:val="22"/>
          <w:lang w:eastAsia="en-AU"/>
        </w:rPr>
        <w:t>Section 3 – Authority</w:t>
      </w:r>
    </w:p>
    <w:p w14:paraId="4306BEFB" w14:textId="77777777" w:rsidR="001E51F5" w:rsidRPr="00976E97" w:rsidRDefault="001E51F5" w:rsidP="001E51F5">
      <w:pPr>
        <w:spacing w:after="0" w:line="240" w:lineRule="auto"/>
        <w:rPr>
          <w:rFonts w:eastAsia="Times New Roman"/>
          <w:sz w:val="22"/>
          <w:szCs w:val="22"/>
          <w:lang w:eastAsia="en-AU"/>
        </w:rPr>
      </w:pPr>
    </w:p>
    <w:p w14:paraId="74D97FDE" w14:textId="77777777" w:rsidR="001E51F5" w:rsidRPr="00976E97" w:rsidRDefault="001E51F5" w:rsidP="001E51F5">
      <w:pPr>
        <w:spacing w:after="0" w:line="240" w:lineRule="auto"/>
        <w:rPr>
          <w:rFonts w:eastAsia="Times New Roman"/>
          <w:bCs/>
          <w:sz w:val="22"/>
          <w:szCs w:val="22"/>
          <w:lang w:eastAsia="en-AU"/>
        </w:rPr>
      </w:pPr>
      <w:r w:rsidRPr="00976E97">
        <w:rPr>
          <w:rFonts w:eastAsia="Times New Roman"/>
          <w:bCs/>
          <w:sz w:val="22"/>
          <w:szCs w:val="22"/>
          <w:lang w:eastAsia="en-AU"/>
        </w:rPr>
        <w:t xml:space="preserve">This section provides that the legislative authority for making the Amendment </w:t>
      </w:r>
      <w:r w:rsidR="00E81D7C" w:rsidRPr="00976E97">
        <w:rPr>
          <w:rFonts w:eastAsia="Times New Roman"/>
          <w:bCs/>
          <w:sz w:val="22"/>
          <w:szCs w:val="22"/>
          <w:lang w:eastAsia="en-AU"/>
        </w:rPr>
        <w:t>Determination</w:t>
      </w:r>
      <w:r w:rsidRPr="00976E97">
        <w:rPr>
          <w:rFonts w:eastAsia="Times New Roman"/>
          <w:bCs/>
          <w:sz w:val="22"/>
          <w:szCs w:val="22"/>
          <w:lang w:eastAsia="en-AU"/>
        </w:rPr>
        <w:t xml:space="preserve"> is </w:t>
      </w:r>
      <w:r w:rsidR="00AB3017" w:rsidRPr="00976E97">
        <w:rPr>
          <w:rFonts w:eastAsia="Times New Roman"/>
          <w:bCs/>
          <w:sz w:val="22"/>
          <w:szCs w:val="22"/>
          <w:lang w:eastAsia="en-AU"/>
        </w:rPr>
        <w:t>sub</w:t>
      </w:r>
      <w:r w:rsidRPr="00976E97">
        <w:rPr>
          <w:rFonts w:eastAsia="Times New Roman"/>
          <w:bCs/>
          <w:sz w:val="22"/>
          <w:szCs w:val="22"/>
          <w:lang w:eastAsia="en-AU"/>
        </w:rPr>
        <w:t xml:space="preserve">section </w:t>
      </w:r>
      <w:r w:rsidR="00AB3017" w:rsidRPr="00976E97">
        <w:rPr>
          <w:rFonts w:eastAsia="Times New Roman"/>
          <w:bCs/>
          <w:sz w:val="22"/>
          <w:szCs w:val="22"/>
          <w:lang w:eastAsia="en-AU"/>
        </w:rPr>
        <w:t>41FDB(7)</w:t>
      </w:r>
      <w:r w:rsidRPr="00976E97">
        <w:rPr>
          <w:rFonts w:eastAsia="Times New Roman"/>
          <w:bCs/>
          <w:sz w:val="22"/>
          <w:szCs w:val="22"/>
          <w:lang w:eastAsia="en-AU"/>
        </w:rPr>
        <w:t xml:space="preserve"> of the </w:t>
      </w:r>
      <w:r w:rsidRPr="00976E97">
        <w:rPr>
          <w:rFonts w:eastAsia="Times New Roman"/>
          <w:bCs/>
          <w:i/>
          <w:sz w:val="22"/>
          <w:szCs w:val="22"/>
          <w:lang w:eastAsia="en-AU"/>
        </w:rPr>
        <w:t xml:space="preserve">Therapeutic Goods Act 1989 </w:t>
      </w:r>
      <w:r w:rsidRPr="00976E97">
        <w:rPr>
          <w:rFonts w:eastAsia="Times New Roman"/>
          <w:bCs/>
          <w:sz w:val="22"/>
          <w:szCs w:val="22"/>
          <w:lang w:eastAsia="en-AU"/>
        </w:rPr>
        <w:t>(“the Act”)</w:t>
      </w:r>
      <w:r w:rsidRPr="00976E97">
        <w:rPr>
          <w:rFonts w:eastAsia="Times New Roman"/>
          <w:bCs/>
          <w:i/>
          <w:sz w:val="22"/>
          <w:szCs w:val="22"/>
          <w:lang w:eastAsia="en-AU"/>
        </w:rPr>
        <w:t>.</w:t>
      </w:r>
    </w:p>
    <w:p w14:paraId="570B5BF0" w14:textId="77777777" w:rsidR="001E51F5" w:rsidRPr="00976E97" w:rsidRDefault="001E51F5" w:rsidP="001E51F5">
      <w:pPr>
        <w:spacing w:after="0" w:line="240" w:lineRule="auto"/>
        <w:rPr>
          <w:rFonts w:eastAsia="Times New Roman"/>
          <w:bCs/>
          <w:iCs/>
          <w:sz w:val="22"/>
          <w:szCs w:val="22"/>
          <w:lang w:eastAsia="en-AU"/>
        </w:rPr>
      </w:pPr>
    </w:p>
    <w:p w14:paraId="69D2DC6E" w14:textId="62154A66" w:rsidR="001E51F5" w:rsidRPr="00976E97" w:rsidRDefault="001E51F5" w:rsidP="001E51F5">
      <w:pPr>
        <w:spacing w:after="0" w:line="240" w:lineRule="auto"/>
        <w:rPr>
          <w:rFonts w:eastAsia="Times New Roman"/>
          <w:bCs/>
          <w:sz w:val="22"/>
          <w:szCs w:val="22"/>
          <w:lang w:eastAsia="en-AU"/>
        </w:rPr>
      </w:pPr>
      <w:r w:rsidRPr="00976E97">
        <w:rPr>
          <w:rFonts w:eastAsia="Times New Roman"/>
          <w:bCs/>
          <w:sz w:val="22"/>
          <w:szCs w:val="22"/>
          <w:lang w:eastAsia="en-AU"/>
        </w:rPr>
        <w:t xml:space="preserve">Subsection 33(3) of the </w:t>
      </w:r>
      <w:r w:rsidRPr="00976E97">
        <w:rPr>
          <w:rFonts w:eastAsia="Times New Roman"/>
          <w:bCs/>
          <w:i/>
          <w:sz w:val="22"/>
          <w:szCs w:val="22"/>
          <w:lang w:eastAsia="en-AU"/>
        </w:rPr>
        <w:t>Acts Interpretation Act 1901</w:t>
      </w:r>
      <w:r w:rsidRPr="00976E97">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w:t>
      </w:r>
      <w:r w:rsidR="00976E97" w:rsidRPr="00976E97">
        <w:rPr>
          <w:rFonts w:eastAsia="Times New Roman"/>
          <w:bCs/>
          <w:sz w:val="22"/>
          <w:szCs w:val="22"/>
          <w:lang w:eastAsia="en-AU"/>
        </w:rPr>
        <w:t>e Amendment Determination</w:t>
      </w:r>
      <w:r w:rsidRPr="00976E97">
        <w:rPr>
          <w:rFonts w:eastAsia="Times New Roman"/>
          <w:bCs/>
          <w:sz w:val="22"/>
          <w:szCs w:val="22"/>
          <w:lang w:eastAsia="en-AU"/>
        </w:rPr>
        <w:t xml:space="preserve"> </w:t>
      </w:r>
      <w:proofErr w:type="gramStart"/>
      <w:r w:rsidRPr="00976E97">
        <w:rPr>
          <w:rFonts w:eastAsia="Times New Roman"/>
          <w:bCs/>
          <w:sz w:val="22"/>
          <w:szCs w:val="22"/>
          <w:lang w:eastAsia="en-AU"/>
        </w:rPr>
        <w:t>is made</w:t>
      </w:r>
      <w:proofErr w:type="gramEnd"/>
      <w:r w:rsidRPr="00976E97">
        <w:rPr>
          <w:rFonts w:eastAsia="Times New Roman"/>
          <w:bCs/>
          <w:sz w:val="22"/>
          <w:szCs w:val="22"/>
          <w:lang w:eastAsia="en-AU"/>
        </w:rPr>
        <w:t xml:space="preserve"> in accordance with that provision.</w:t>
      </w:r>
    </w:p>
    <w:p w14:paraId="595F446C" w14:textId="77777777" w:rsidR="001E51F5" w:rsidRPr="00976E97" w:rsidRDefault="001E51F5" w:rsidP="001E51F5">
      <w:pPr>
        <w:spacing w:after="0" w:line="240" w:lineRule="auto"/>
        <w:rPr>
          <w:rFonts w:eastAsia="Times New Roman"/>
          <w:bCs/>
          <w:sz w:val="22"/>
          <w:szCs w:val="22"/>
          <w:lang w:eastAsia="en-AU"/>
        </w:rPr>
      </w:pPr>
    </w:p>
    <w:p w14:paraId="36D0C29E" w14:textId="77777777" w:rsidR="001E51F5" w:rsidRPr="00976E97" w:rsidRDefault="001E51F5" w:rsidP="001E51F5">
      <w:pPr>
        <w:spacing w:after="0" w:line="240" w:lineRule="auto"/>
        <w:rPr>
          <w:rFonts w:eastAsia="Times New Roman"/>
          <w:b/>
          <w:bCs/>
          <w:sz w:val="22"/>
          <w:szCs w:val="22"/>
          <w:lang w:eastAsia="en-AU"/>
        </w:rPr>
      </w:pPr>
      <w:r w:rsidRPr="00976E97">
        <w:rPr>
          <w:rFonts w:eastAsia="Times New Roman"/>
          <w:b/>
          <w:bCs/>
          <w:sz w:val="22"/>
          <w:szCs w:val="22"/>
          <w:lang w:eastAsia="en-AU"/>
        </w:rPr>
        <w:t>Section 4 – Schedules</w:t>
      </w:r>
    </w:p>
    <w:p w14:paraId="01C70A02" w14:textId="77777777" w:rsidR="001E51F5" w:rsidRPr="00976E97" w:rsidRDefault="001E51F5" w:rsidP="001E51F5">
      <w:pPr>
        <w:spacing w:after="0" w:line="240" w:lineRule="auto"/>
        <w:rPr>
          <w:rFonts w:eastAsia="Times New Roman"/>
          <w:bCs/>
          <w:sz w:val="22"/>
          <w:szCs w:val="22"/>
          <w:lang w:eastAsia="en-AU"/>
        </w:rPr>
      </w:pPr>
    </w:p>
    <w:p w14:paraId="4BD7A3B3" w14:textId="77777777" w:rsidR="001E51F5" w:rsidRPr="00976E97" w:rsidRDefault="001E51F5" w:rsidP="001E51F5">
      <w:pPr>
        <w:spacing w:after="0" w:line="240" w:lineRule="auto"/>
        <w:rPr>
          <w:rFonts w:eastAsia="Times New Roman"/>
          <w:bCs/>
          <w:sz w:val="22"/>
          <w:szCs w:val="22"/>
          <w:lang w:eastAsia="en-AU"/>
        </w:rPr>
      </w:pPr>
      <w:r w:rsidRPr="00976E97">
        <w:rPr>
          <w:rFonts w:eastAsia="Times New Roman"/>
          <w:bCs/>
          <w:sz w:val="22"/>
          <w:szCs w:val="22"/>
          <w:lang w:eastAsia="en-AU"/>
        </w:rPr>
        <w:t xml:space="preserve">This section provides that each instrument that </w:t>
      </w:r>
      <w:proofErr w:type="gramStart"/>
      <w:r w:rsidRPr="00976E97">
        <w:rPr>
          <w:rFonts w:eastAsia="Times New Roman"/>
          <w:bCs/>
          <w:sz w:val="22"/>
          <w:szCs w:val="22"/>
          <w:lang w:eastAsia="en-AU"/>
        </w:rPr>
        <w:t>is specified</w:t>
      </w:r>
      <w:proofErr w:type="gramEnd"/>
      <w:r w:rsidRPr="00976E97">
        <w:rPr>
          <w:rFonts w:eastAsia="Times New Roman"/>
          <w:bCs/>
          <w:sz w:val="22"/>
          <w:szCs w:val="22"/>
          <w:lang w:eastAsia="en-AU"/>
        </w:rPr>
        <w:t xml:space="preserve"> in a Schedule to the Amendment </w:t>
      </w:r>
      <w:r w:rsidR="00E81D7C" w:rsidRPr="00976E97">
        <w:rPr>
          <w:rFonts w:eastAsia="Times New Roman"/>
          <w:bCs/>
          <w:sz w:val="22"/>
          <w:szCs w:val="22"/>
          <w:lang w:eastAsia="en-AU"/>
        </w:rPr>
        <w:t>Determination</w:t>
      </w:r>
      <w:r w:rsidRPr="00976E97">
        <w:rPr>
          <w:rFonts w:eastAsia="Times New Roman"/>
          <w:bCs/>
          <w:sz w:val="22"/>
          <w:szCs w:val="22"/>
          <w:lang w:eastAsia="en-AU"/>
        </w:rPr>
        <w:t xml:space="preserve"> is amended or repealed as set out in the applicable items in the Schedule concerned, and any other item in a Schedule to the Amendment </w:t>
      </w:r>
      <w:r w:rsidR="00E81D7C" w:rsidRPr="00976E97">
        <w:rPr>
          <w:rFonts w:eastAsia="Times New Roman"/>
          <w:bCs/>
          <w:sz w:val="22"/>
          <w:szCs w:val="22"/>
          <w:lang w:eastAsia="en-AU"/>
        </w:rPr>
        <w:t>Determination</w:t>
      </w:r>
      <w:r w:rsidRPr="00976E97">
        <w:rPr>
          <w:rFonts w:eastAsia="Times New Roman"/>
          <w:bCs/>
          <w:sz w:val="22"/>
          <w:szCs w:val="22"/>
          <w:lang w:eastAsia="en-AU"/>
        </w:rPr>
        <w:t xml:space="preserve"> has effect according to its terms.</w:t>
      </w:r>
    </w:p>
    <w:p w14:paraId="2AAFF3FB" w14:textId="77777777" w:rsidR="001E51F5" w:rsidRPr="00976E97" w:rsidRDefault="001E51F5" w:rsidP="001E51F5">
      <w:pPr>
        <w:spacing w:after="0" w:line="240" w:lineRule="auto"/>
        <w:rPr>
          <w:rFonts w:eastAsia="Times New Roman"/>
          <w:bCs/>
          <w:sz w:val="22"/>
          <w:szCs w:val="22"/>
          <w:lang w:eastAsia="en-AU"/>
        </w:rPr>
      </w:pPr>
    </w:p>
    <w:p w14:paraId="3B2FA885" w14:textId="77777777" w:rsidR="001E51F5" w:rsidRPr="00976E97" w:rsidRDefault="001E51F5" w:rsidP="001E51F5">
      <w:pPr>
        <w:spacing w:after="0" w:line="240" w:lineRule="auto"/>
        <w:rPr>
          <w:rFonts w:eastAsia="Times New Roman"/>
          <w:b/>
          <w:bCs/>
          <w:sz w:val="22"/>
          <w:szCs w:val="22"/>
          <w:lang w:eastAsia="en-AU"/>
        </w:rPr>
      </w:pPr>
      <w:r w:rsidRPr="00976E97">
        <w:rPr>
          <w:rFonts w:eastAsia="Times New Roman"/>
          <w:b/>
          <w:bCs/>
          <w:sz w:val="22"/>
          <w:szCs w:val="22"/>
          <w:lang w:eastAsia="en-AU"/>
        </w:rPr>
        <w:t>Schedule 1 – Amendments</w:t>
      </w:r>
    </w:p>
    <w:p w14:paraId="2E60C2F8" w14:textId="77777777" w:rsidR="001E51F5" w:rsidRPr="00976E97" w:rsidRDefault="001E51F5" w:rsidP="001E51F5">
      <w:pPr>
        <w:spacing w:after="0" w:line="240" w:lineRule="auto"/>
        <w:rPr>
          <w:rFonts w:eastAsia="Times New Roman"/>
          <w:bCs/>
          <w:sz w:val="22"/>
          <w:szCs w:val="22"/>
          <w:lang w:eastAsia="en-AU"/>
        </w:rPr>
      </w:pPr>
    </w:p>
    <w:p w14:paraId="512476F7" w14:textId="77777777" w:rsidR="00F964B7" w:rsidRPr="00976E97" w:rsidRDefault="00F964B7" w:rsidP="00F964B7">
      <w:pPr>
        <w:spacing w:after="0" w:line="240" w:lineRule="auto"/>
        <w:rPr>
          <w:rFonts w:eastAsia="Times New Roman"/>
          <w:bCs/>
          <w:sz w:val="22"/>
          <w:szCs w:val="22"/>
          <w:lang w:val="en-US" w:eastAsia="en-AU"/>
        </w:rPr>
      </w:pPr>
      <w:r w:rsidRPr="00976E97">
        <w:rPr>
          <w:rFonts w:eastAsia="Times New Roman"/>
          <w:bCs/>
          <w:sz w:val="22"/>
          <w:szCs w:val="22"/>
          <w:lang w:eastAsia="en-AU"/>
        </w:rPr>
        <w:t>This Schedule amends the</w:t>
      </w:r>
      <w:r w:rsidRPr="00976E97">
        <w:rPr>
          <w:rFonts w:eastAsia="Times New Roman"/>
          <w:i/>
          <w:iCs/>
          <w:sz w:val="22"/>
          <w:szCs w:val="22"/>
          <w:lang w:eastAsia="en-AU"/>
        </w:rPr>
        <w:t xml:space="preserve"> </w:t>
      </w:r>
      <w:r w:rsidRPr="00976E97">
        <w:rPr>
          <w:rFonts w:eastAsia="Times New Roman"/>
          <w:bCs/>
          <w:i/>
          <w:iCs/>
          <w:sz w:val="22"/>
          <w:szCs w:val="22"/>
          <w:lang w:eastAsia="en-AU"/>
        </w:rPr>
        <w:t>Therapeutic Goods (Medical Devices—Information that Must Accompany Application for Inclusion) Determination 2018</w:t>
      </w:r>
      <w:r w:rsidRPr="00976E97">
        <w:rPr>
          <w:rFonts w:eastAsia="Times New Roman"/>
          <w:bCs/>
          <w:sz w:val="22"/>
          <w:szCs w:val="22"/>
          <w:lang w:eastAsia="en-AU"/>
        </w:rPr>
        <w:t xml:space="preserve"> (“the Principal Determination”).</w:t>
      </w:r>
    </w:p>
    <w:p w14:paraId="7EF4B785" w14:textId="0D3471D2" w:rsidR="00F964B7" w:rsidRPr="00976E97" w:rsidRDefault="00F964B7" w:rsidP="00F964B7">
      <w:pPr>
        <w:spacing w:after="0" w:line="240" w:lineRule="auto"/>
        <w:rPr>
          <w:rFonts w:eastAsia="Times New Roman"/>
          <w:bCs/>
          <w:sz w:val="22"/>
          <w:szCs w:val="22"/>
          <w:lang w:val="en-US" w:eastAsia="en-AU"/>
        </w:rPr>
      </w:pPr>
    </w:p>
    <w:p w14:paraId="1E495A95" w14:textId="168100AE" w:rsidR="00AD225F" w:rsidRPr="00976E97" w:rsidRDefault="00F964B7" w:rsidP="00F964B7">
      <w:pPr>
        <w:spacing w:after="0" w:line="240" w:lineRule="auto"/>
        <w:rPr>
          <w:rFonts w:eastAsia="Times New Roman"/>
          <w:bCs/>
          <w:sz w:val="22"/>
          <w:szCs w:val="22"/>
          <w:lang w:eastAsia="en-AU"/>
        </w:rPr>
      </w:pPr>
      <w:r w:rsidRPr="00976E97">
        <w:rPr>
          <w:rFonts w:eastAsia="Times New Roman"/>
          <w:bCs/>
          <w:sz w:val="22"/>
          <w:szCs w:val="22"/>
          <w:lang w:eastAsia="en-AU"/>
        </w:rPr>
        <w:t>Item 1 of this Schedule</w:t>
      </w:r>
      <w:r w:rsidR="00B822AA" w:rsidRPr="00976E97">
        <w:rPr>
          <w:rFonts w:eastAsia="Times New Roman"/>
          <w:bCs/>
          <w:sz w:val="22"/>
          <w:szCs w:val="22"/>
          <w:lang w:eastAsia="en-AU"/>
        </w:rPr>
        <w:t xml:space="preserve"> inserts</w:t>
      </w:r>
      <w:r w:rsidR="0079719F" w:rsidRPr="00976E97">
        <w:rPr>
          <w:rFonts w:eastAsia="Times New Roman"/>
          <w:bCs/>
          <w:sz w:val="22"/>
          <w:szCs w:val="22"/>
          <w:lang w:eastAsia="en-AU"/>
        </w:rPr>
        <w:t xml:space="preserve"> </w:t>
      </w:r>
      <w:r w:rsidR="00B822AA" w:rsidRPr="00976E97">
        <w:rPr>
          <w:rFonts w:eastAsia="Times New Roman"/>
          <w:bCs/>
          <w:sz w:val="22"/>
          <w:szCs w:val="22"/>
          <w:lang w:eastAsia="en-AU"/>
        </w:rPr>
        <w:t>definition</w:t>
      </w:r>
      <w:r w:rsidR="00976E97" w:rsidRPr="00976E97">
        <w:rPr>
          <w:rFonts w:eastAsia="Times New Roman"/>
          <w:bCs/>
          <w:sz w:val="22"/>
          <w:szCs w:val="22"/>
          <w:lang w:eastAsia="en-AU"/>
        </w:rPr>
        <w:t>s</w:t>
      </w:r>
      <w:r w:rsidR="0079719F" w:rsidRPr="00976E97">
        <w:rPr>
          <w:rFonts w:eastAsia="Times New Roman"/>
          <w:bCs/>
          <w:sz w:val="22"/>
          <w:szCs w:val="22"/>
          <w:lang w:eastAsia="en-AU"/>
        </w:rPr>
        <w:t xml:space="preserve"> of</w:t>
      </w:r>
      <w:r w:rsidR="00B822AA" w:rsidRPr="00976E97">
        <w:rPr>
          <w:rFonts w:eastAsia="Times New Roman"/>
          <w:bCs/>
          <w:sz w:val="22"/>
          <w:szCs w:val="22"/>
          <w:lang w:eastAsia="en-AU"/>
        </w:rPr>
        <w:t xml:space="preserve"> </w:t>
      </w:r>
      <w:r w:rsidR="00492D66" w:rsidRPr="00976E97">
        <w:rPr>
          <w:rFonts w:eastAsia="Times New Roman"/>
          <w:bCs/>
          <w:sz w:val="22"/>
          <w:szCs w:val="22"/>
          <w:lang w:eastAsia="en-AU"/>
        </w:rPr>
        <w:t>‘</w:t>
      </w:r>
      <w:r w:rsidR="00B822AA" w:rsidRPr="00976E97">
        <w:rPr>
          <w:rFonts w:eastAsia="Times New Roman"/>
          <w:bCs/>
          <w:sz w:val="22"/>
          <w:szCs w:val="22"/>
          <w:lang w:eastAsia="en-AU"/>
        </w:rPr>
        <w:t>implantable medical device</w:t>
      </w:r>
      <w:r w:rsidR="00492D66" w:rsidRPr="00976E97">
        <w:rPr>
          <w:rFonts w:eastAsia="Times New Roman"/>
          <w:bCs/>
          <w:sz w:val="22"/>
          <w:szCs w:val="22"/>
          <w:lang w:eastAsia="en-AU"/>
        </w:rPr>
        <w:t>’</w:t>
      </w:r>
      <w:r w:rsidR="00B822AA" w:rsidRPr="00976E97">
        <w:rPr>
          <w:rFonts w:eastAsia="Times New Roman"/>
          <w:bCs/>
          <w:sz w:val="22"/>
          <w:szCs w:val="22"/>
          <w:lang w:eastAsia="en-AU"/>
        </w:rPr>
        <w:t xml:space="preserve"> </w:t>
      </w:r>
      <w:r w:rsidR="00AD225F" w:rsidRPr="00976E97">
        <w:rPr>
          <w:rFonts w:eastAsia="Times New Roman"/>
          <w:bCs/>
          <w:sz w:val="22"/>
          <w:szCs w:val="22"/>
          <w:lang w:eastAsia="en-AU"/>
        </w:rPr>
        <w:t xml:space="preserve">and ‘relevant implantable medical device’ </w:t>
      </w:r>
      <w:r w:rsidR="00B822AA" w:rsidRPr="00976E97">
        <w:rPr>
          <w:rFonts w:eastAsia="Times New Roman"/>
          <w:bCs/>
          <w:sz w:val="22"/>
          <w:szCs w:val="22"/>
          <w:lang w:eastAsia="en-AU"/>
        </w:rPr>
        <w:t>in section 4 of the Principal Determination</w:t>
      </w:r>
      <w:r w:rsidR="00492D66" w:rsidRPr="00976E97">
        <w:rPr>
          <w:rFonts w:eastAsia="Times New Roman"/>
          <w:bCs/>
          <w:sz w:val="22"/>
          <w:szCs w:val="22"/>
          <w:lang w:eastAsia="en-AU"/>
        </w:rPr>
        <w:t>.</w:t>
      </w:r>
    </w:p>
    <w:p w14:paraId="43832C58" w14:textId="77777777" w:rsidR="00AD225F" w:rsidRPr="00976E97" w:rsidRDefault="00AD225F" w:rsidP="00F964B7">
      <w:pPr>
        <w:spacing w:after="0" w:line="240" w:lineRule="auto"/>
        <w:rPr>
          <w:rFonts w:eastAsia="Times New Roman"/>
          <w:bCs/>
          <w:sz w:val="22"/>
          <w:szCs w:val="22"/>
          <w:lang w:eastAsia="en-AU"/>
        </w:rPr>
      </w:pPr>
    </w:p>
    <w:p w14:paraId="0D3168B3" w14:textId="66E22DE1" w:rsidR="00F964B7" w:rsidRPr="00976E97" w:rsidRDefault="00492D66" w:rsidP="00F964B7">
      <w:pPr>
        <w:spacing w:after="0" w:line="240" w:lineRule="auto"/>
        <w:rPr>
          <w:rFonts w:eastAsia="Times New Roman"/>
          <w:bCs/>
          <w:sz w:val="22"/>
          <w:szCs w:val="22"/>
          <w:lang w:eastAsia="en-AU"/>
        </w:rPr>
      </w:pPr>
      <w:r w:rsidRPr="00976E97">
        <w:rPr>
          <w:rFonts w:eastAsia="Times New Roman"/>
          <w:bCs/>
          <w:sz w:val="22"/>
          <w:szCs w:val="22"/>
          <w:lang w:eastAsia="en-AU"/>
        </w:rPr>
        <w:t xml:space="preserve">Implantable medical device has the same meaning as in the </w:t>
      </w:r>
      <w:r w:rsidRPr="00976E97">
        <w:rPr>
          <w:rFonts w:eastAsia="Times New Roman"/>
          <w:bCs/>
          <w:i/>
          <w:iCs/>
          <w:sz w:val="22"/>
          <w:szCs w:val="22"/>
          <w:lang w:eastAsia="en-AU"/>
        </w:rPr>
        <w:t>Therapeutic Goods (Medical Devices) Regulations 2002</w:t>
      </w:r>
      <w:r w:rsidR="00D9090E" w:rsidRPr="00976E97">
        <w:rPr>
          <w:rFonts w:eastAsia="Times New Roman"/>
          <w:bCs/>
          <w:sz w:val="22"/>
          <w:szCs w:val="22"/>
          <w:lang w:eastAsia="en-AU"/>
        </w:rPr>
        <w:t xml:space="preserve"> ("the MD Regulations")</w:t>
      </w:r>
      <w:r w:rsidRPr="00976E97">
        <w:rPr>
          <w:rFonts w:eastAsia="Times New Roman"/>
          <w:bCs/>
          <w:sz w:val="22"/>
          <w:szCs w:val="22"/>
          <w:lang w:eastAsia="en-AU"/>
        </w:rPr>
        <w:t>.</w:t>
      </w:r>
    </w:p>
    <w:p w14:paraId="7FFD5605" w14:textId="34DA0450" w:rsidR="00AD225F" w:rsidRPr="00976E97" w:rsidRDefault="00AD225F" w:rsidP="00F964B7">
      <w:pPr>
        <w:spacing w:after="0" w:line="240" w:lineRule="auto"/>
        <w:rPr>
          <w:rFonts w:eastAsia="Times New Roman"/>
          <w:bCs/>
          <w:sz w:val="22"/>
          <w:szCs w:val="22"/>
          <w:lang w:eastAsia="en-AU"/>
        </w:rPr>
      </w:pPr>
    </w:p>
    <w:p w14:paraId="1EA07AA8" w14:textId="2E6B1B3E" w:rsidR="0084275D" w:rsidRPr="00976E97" w:rsidRDefault="00AD225F" w:rsidP="00F964B7">
      <w:pPr>
        <w:spacing w:after="0" w:line="240" w:lineRule="auto"/>
        <w:rPr>
          <w:rFonts w:eastAsia="Times New Roman"/>
          <w:bCs/>
          <w:sz w:val="22"/>
          <w:szCs w:val="22"/>
          <w:lang w:eastAsia="en-AU"/>
        </w:rPr>
      </w:pPr>
      <w:r w:rsidRPr="00976E97">
        <w:rPr>
          <w:rFonts w:eastAsia="Times New Roman"/>
          <w:bCs/>
          <w:sz w:val="22"/>
          <w:szCs w:val="22"/>
          <w:lang w:eastAsia="en-AU"/>
        </w:rPr>
        <w:t xml:space="preserve">Relevant </w:t>
      </w:r>
      <w:r w:rsidR="00931C76" w:rsidRPr="00976E97">
        <w:rPr>
          <w:rFonts w:eastAsia="Times New Roman"/>
          <w:bCs/>
          <w:sz w:val="22"/>
          <w:szCs w:val="22"/>
          <w:lang w:eastAsia="en-AU"/>
        </w:rPr>
        <w:t xml:space="preserve">implantable </w:t>
      </w:r>
      <w:r w:rsidRPr="00976E97">
        <w:rPr>
          <w:rFonts w:eastAsia="Times New Roman"/>
          <w:bCs/>
          <w:sz w:val="22"/>
          <w:szCs w:val="22"/>
          <w:lang w:eastAsia="en-AU"/>
        </w:rPr>
        <w:t>medical device means an implantable medical device</w:t>
      </w:r>
      <w:r w:rsidR="0084275D" w:rsidRPr="00976E97">
        <w:rPr>
          <w:rFonts w:eastAsia="Times New Roman"/>
          <w:bCs/>
          <w:sz w:val="22"/>
          <w:szCs w:val="22"/>
          <w:lang w:eastAsia="en-AU"/>
        </w:rPr>
        <w:t xml:space="preserve"> other than a </w:t>
      </w:r>
      <w:r w:rsidR="00BF6EED" w:rsidRPr="00976E97">
        <w:rPr>
          <w:rFonts w:eastAsia="Times New Roman"/>
          <w:bCs/>
          <w:sz w:val="22"/>
          <w:szCs w:val="22"/>
          <w:lang w:eastAsia="en-AU"/>
        </w:rPr>
        <w:t xml:space="preserve">medical </w:t>
      </w:r>
      <w:r w:rsidR="0084275D" w:rsidRPr="00976E97">
        <w:rPr>
          <w:rFonts w:eastAsia="Times New Roman"/>
          <w:bCs/>
          <w:sz w:val="22"/>
          <w:szCs w:val="22"/>
          <w:lang w:eastAsia="en-AU"/>
        </w:rPr>
        <w:t>device that is:</w:t>
      </w:r>
    </w:p>
    <w:p w14:paraId="57745D2C" w14:textId="34FE210C" w:rsidR="0084275D" w:rsidRPr="00976E97" w:rsidRDefault="00D9090E" w:rsidP="00A4675C">
      <w:pPr>
        <w:pStyle w:val="ListParagraph"/>
        <w:numPr>
          <w:ilvl w:val="0"/>
          <w:numId w:val="9"/>
        </w:numPr>
        <w:spacing w:after="0" w:line="240" w:lineRule="auto"/>
        <w:rPr>
          <w:rFonts w:eastAsia="Times New Roman"/>
          <w:bCs/>
          <w:sz w:val="22"/>
          <w:szCs w:val="22"/>
          <w:lang w:eastAsia="en-AU"/>
        </w:rPr>
      </w:pPr>
      <w:r w:rsidRPr="00976E97">
        <w:rPr>
          <w:rFonts w:eastAsia="Times New Roman"/>
          <w:bCs/>
          <w:sz w:val="22"/>
          <w:szCs w:val="22"/>
          <w:lang w:eastAsia="en-AU"/>
        </w:rPr>
        <w:t>mentioned in paragraph 13A.1</w:t>
      </w:r>
      <w:r w:rsidR="00976E97" w:rsidRPr="00976E97">
        <w:rPr>
          <w:rFonts w:eastAsia="Times New Roman"/>
          <w:bCs/>
          <w:sz w:val="22"/>
          <w:szCs w:val="22"/>
          <w:lang w:eastAsia="en-AU"/>
        </w:rPr>
        <w:t>(1)</w:t>
      </w:r>
      <w:r w:rsidRPr="00976E97">
        <w:rPr>
          <w:rFonts w:eastAsia="Times New Roman"/>
          <w:bCs/>
          <w:sz w:val="22"/>
          <w:szCs w:val="22"/>
          <w:lang w:eastAsia="en-AU"/>
        </w:rPr>
        <w:t xml:space="preserve">(b) of Schedule 1 to the MD Regulations – this paragraph currently mentions </w:t>
      </w:r>
      <w:r w:rsidR="00AD225F" w:rsidRPr="00976E97">
        <w:rPr>
          <w:rFonts w:eastAsia="Times New Roman"/>
          <w:bCs/>
          <w:sz w:val="22"/>
          <w:szCs w:val="22"/>
          <w:lang w:eastAsia="en-AU"/>
        </w:rPr>
        <w:t xml:space="preserve">a suture, staple, dental filling, dental brace, tooth crown, screw, wedge, plate, </w:t>
      </w:r>
      <w:r w:rsidR="00976E97" w:rsidRPr="00976E97">
        <w:rPr>
          <w:rFonts w:eastAsia="Times New Roman"/>
          <w:bCs/>
          <w:sz w:val="22"/>
          <w:szCs w:val="22"/>
          <w:lang w:eastAsia="en-AU"/>
        </w:rPr>
        <w:t xml:space="preserve">wire, </w:t>
      </w:r>
      <w:r w:rsidR="00AD225F" w:rsidRPr="00976E97">
        <w:rPr>
          <w:rFonts w:eastAsia="Times New Roman"/>
          <w:bCs/>
          <w:sz w:val="22"/>
          <w:szCs w:val="22"/>
          <w:lang w:eastAsia="en-AU"/>
        </w:rPr>
        <w:t xml:space="preserve">pin, clip, </w:t>
      </w:r>
      <w:proofErr w:type="gramStart"/>
      <w:r w:rsidR="00AD225F" w:rsidRPr="00976E97">
        <w:rPr>
          <w:rFonts w:eastAsia="Times New Roman"/>
          <w:bCs/>
          <w:sz w:val="22"/>
          <w:szCs w:val="22"/>
          <w:lang w:eastAsia="en-AU"/>
        </w:rPr>
        <w:t>connector</w:t>
      </w:r>
      <w:proofErr w:type="gramEnd"/>
      <w:r w:rsidR="00AD225F" w:rsidRPr="00976E97">
        <w:rPr>
          <w:rFonts w:eastAsia="Times New Roman"/>
          <w:bCs/>
          <w:sz w:val="22"/>
          <w:szCs w:val="22"/>
          <w:lang w:eastAsia="en-AU"/>
        </w:rPr>
        <w:t xml:space="preserve"> or other similar article</w:t>
      </w:r>
      <w:r w:rsidR="0084275D" w:rsidRPr="00976E97">
        <w:rPr>
          <w:rFonts w:eastAsia="Times New Roman"/>
          <w:bCs/>
          <w:sz w:val="22"/>
          <w:szCs w:val="22"/>
          <w:lang w:eastAsia="en-AU"/>
        </w:rPr>
        <w:t>;</w:t>
      </w:r>
      <w:r w:rsidR="00AD225F" w:rsidRPr="00976E97">
        <w:rPr>
          <w:rFonts w:eastAsia="Times New Roman"/>
          <w:bCs/>
          <w:sz w:val="22"/>
          <w:szCs w:val="22"/>
          <w:lang w:eastAsia="en-AU"/>
        </w:rPr>
        <w:t xml:space="preserve"> or</w:t>
      </w:r>
    </w:p>
    <w:p w14:paraId="2DA07DCA" w14:textId="5747D4BE" w:rsidR="0084275D" w:rsidRPr="00976E97" w:rsidRDefault="00687756" w:rsidP="00A4675C">
      <w:pPr>
        <w:pStyle w:val="ListParagraph"/>
        <w:numPr>
          <w:ilvl w:val="0"/>
          <w:numId w:val="9"/>
        </w:numPr>
        <w:spacing w:after="0" w:line="240" w:lineRule="auto"/>
        <w:rPr>
          <w:rFonts w:eastAsia="Times New Roman"/>
          <w:bCs/>
          <w:sz w:val="22"/>
          <w:szCs w:val="22"/>
          <w:lang w:eastAsia="en-AU"/>
        </w:rPr>
      </w:pPr>
      <w:r w:rsidRPr="00976E97">
        <w:rPr>
          <w:rFonts w:eastAsia="Times New Roman"/>
          <w:bCs/>
          <w:sz w:val="22"/>
          <w:szCs w:val="22"/>
          <w:lang w:eastAsia="en-AU"/>
        </w:rPr>
        <w:t>mentioned in paragraph 13A.1</w:t>
      </w:r>
      <w:r w:rsidR="00976E97" w:rsidRPr="00976E97">
        <w:rPr>
          <w:rFonts w:eastAsia="Times New Roman"/>
          <w:bCs/>
          <w:sz w:val="22"/>
          <w:szCs w:val="22"/>
          <w:lang w:eastAsia="en-AU"/>
        </w:rPr>
        <w:t>(1)</w:t>
      </w:r>
      <w:r w:rsidRPr="00976E97">
        <w:rPr>
          <w:rFonts w:eastAsia="Times New Roman"/>
          <w:bCs/>
          <w:sz w:val="22"/>
          <w:szCs w:val="22"/>
          <w:lang w:eastAsia="en-AU"/>
        </w:rPr>
        <w:t xml:space="preserve">(ba) of Schedule 1 to the MD Regulations – this paragraph refers to medical devices that </w:t>
      </w:r>
      <w:proofErr w:type="gramStart"/>
      <w:r w:rsidRPr="00976E97">
        <w:rPr>
          <w:rFonts w:eastAsia="Times New Roman"/>
          <w:bCs/>
          <w:sz w:val="22"/>
          <w:szCs w:val="22"/>
          <w:lang w:eastAsia="en-AU"/>
        </w:rPr>
        <w:t xml:space="preserve">are </w:t>
      </w:r>
      <w:r w:rsidR="0084275D" w:rsidRPr="00976E97">
        <w:rPr>
          <w:rFonts w:eastAsia="Times New Roman"/>
          <w:bCs/>
          <w:sz w:val="22"/>
          <w:szCs w:val="22"/>
          <w:lang w:eastAsia="en-AU"/>
        </w:rPr>
        <w:t>intended</w:t>
      </w:r>
      <w:proofErr w:type="gramEnd"/>
      <w:r w:rsidR="0084275D" w:rsidRPr="00976E97">
        <w:rPr>
          <w:rFonts w:eastAsia="Times New Roman"/>
          <w:bCs/>
          <w:sz w:val="22"/>
          <w:szCs w:val="22"/>
          <w:lang w:eastAsia="en-AU"/>
        </w:rPr>
        <w:t xml:space="preserve"> by the</w:t>
      </w:r>
      <w:r w:rsidRPr="00976E97">
        <w:rPr>
          <w:rFonts w:eastAsia="Times New Roman"/>
          <w:bCs/>
          <w:sz w:val="22"/>
          <w:szCs w:val="22"/>
          <w:lang w:eastAsia="en-AU"/>
        </w:rPr>
        <w:t>ir</w:t>
      </w:r>
      <w:r w:rsidR="0084275D" w:rsidRPr="00976E97">
        <w:rPr>
          <w:rFonts w:eastAsia="Times New Roman"/>
          <w:bCs/>
          <w:sz w:val="22"/>
          <w:szCs w:val="22"/>
          <w:lang w:eastAsia="en-AU"/>
        </w:rPr>
        <w:t xml:space="preserve"> manufacturer to be for export only; or</w:t>
      </w:r>
    </w:p>
    <w:p w14:paraId="2AE44CB4" w14:textId="477C8B3F" w:rsidR="00AD225F" w:rsidRPr="00976E97" w:rsidRDefault="008E0FFF" w:rsidP="00A4675C">
      <w:pPr>
        <w:pStyle w:val="ListParagraph"/>
        <w:numPr>
          <w:ilvl w:val="0"/>
          <w:numId w:val="9"/>
        </w:numPr>
        <w:spacing w:after="0" w:line="240" w:lineRule="auto"/>
        <w:rPr>
          <w:rFonts w:eastAsia="Times New Roman"/>
          <w:bCs/>
          <w:sz w:val="22"/>
          <w:szCs w:val="22"/>
          <w:lang w:val="en-US" w:eastAsia="en-AU"/>
        </w:rPr>
      </w:pPr>
      <w:r w:rsidRPr="00976E97">
        <w:rPr>
          <w:rFonts w:eastAsia="Times New Roman"/>
          <w:bCs/>
          <w:sz w:val="22"/>
          <w:szCs w:val="22"/>
          <w:lang w:eastAsia="en-AU"/>
        </w:rPr>
        <w:t>a device to which subclause 13A.1(2) of Schedule 1 to the MD Regulations applies – this refers to medical device</w:t>
      </w:r>
      <w:r w:rsidR="00A4675C" w:rsidRPr="00976E97">
        <w:rPr>
          <w:rFonts w:eastAsia="Times New Roman"/>
          <w:bCs/>
          <w:sz w:val="22"/>
          <w:szCs w:val="22"/>
          <w:lang w:eastAsia="en-AU"/>
        </w:rPr>
        <w:t>s that</w:t>
      </w:r>
      <w:r w:rsidR="00976E97" w:rsidRPr="00976E97">
        <w:rPr>
          <w:rFonts w:eastAsia="Times New Roman"/>
          <w:bCs/>
          <w:sz w:val="22"/>
          <w:szCs w:val="22"/>
          <w:lang w:eastAsia="en-AU"/>
        </w:rPr>
        <w:t xml:space="preserve"> are</w:t>
      </w:r>
      <w:r w:rsidR="00A4675C" w:rsidRPr="00976E97">
        <w:rPr>
          <w:rFonts w:eastAsia="Times New Roman"/>
          <w:bCs/>
          <w:sz w:val="22"/>
          <w:szCs w:val="22"/>
          <w:lang w:eastAsia="en-AU"/>
        </w:rPr>
        <w:t>, principally,</w:t>
      </w:r>
      <w:r w:rsidRPr="00976E97">
        <w:rPr>
          <w:rFonts w:eastAsia="Times New Roman"/>
          <w:bCs/>
          <w:sz w:val="22"/>
          <w:szCs w:val="22"/>
          <w:lang w:eastAsia="en-AU"/>
        </w:rPr>
        <w:t xml:space="preserve"> </w:t>
      </w:r>
      <w:r w:rsidR="00AD225F" w:rsidRPr="00976E97">
        <w:rPr>
          <w:rFonts w:eastAsia="Times New Roman"/>
          <w:bCs/>
          <w:sz w:val="22"/>
          <w:szCs w:val="22"/>
          <w:lang w:eastAsia="en-AU"/>
        </w:rPr>
        <w:t xml:space="preserve">intended by the manufacturer to be wholly, or </w:t>
      </w:r>
      <w:r w:rsidR="00AD225F" w:rsidRPr="00976E97">
        <w:rPr>
          <w:rFonts w:eastAsia="Times New Roman"/>
          <w:bCs/>
          <w:sz w:val="22"/>
          <w:szCs w:val="22"/>
          <w:lang w:eastAsia="en-AU"/>
        </w:rPr>
        <w:lastRenderedPageBreak/>
        <w:t>mostly</w:t>
      </w:r>
      <w:r w:rsidR="009B2EFB" w:rsidRPr="00976E97">
        <w:rPr>
          <w:rFonts w:eastAsia="Times New Roman"/>
          <w:bCs/>
          <w:sz w:val="22"/>
          <w:szCs w:val="22"/>
          <w:lang w:eastAsia="en-AU"/>
        </w:rPr>
        <w:t>,</w:t>
      </w:r>
      <w:r w:rsidR="00AD225F" w:rsidRPr="00976E97">
        <w:rPr>
          <w:rFonts w:eastAsia="Times New Roman"/>
          <w:bCs/>
          <w:sz w:val="22"/>
          <w:szCs w:val="22"/>
          <w:lang w:eastAsia="en-AU"/>
        </w:rPr>
        <w:t xml:space="preserve"> absorbed by a patient’s body within 6 months of being implanted and</w:t>
      </w:r>
      <w:r w:rsidR="007E4E4D" w:rsidRPr="00976E97">
        <w:rPr>
          <w:rFonts w:eastAsia="Times New Roman"/>
          <w:bCs/>
          <w:sz w:val="22"/>
          <w:szCs w:val="22"/>
          <w:lang w:eastAsia="en-AU"/>
        </w:rPr>
        <w:t xml:space="preserve"> that</w:t>
      </w:r>
      <w:r w:rsidR="00AD225F" w:rsidRPr="00976E97">
        <w:rPr>
          <w:rFonts w:eastAsia="Times New Roman"/>
          <w:bCs/>
          <w:sz w:val="22"/>
          <w:szCs w:val="22"/>
          <w:lang w:eastAsia="en-AU"/>
        </w:rPr>
        <w:t xml:space="preserve"> is </w:t>
      </w:r>
      <w:r w:rsidR="007E4E4D" w:rsidRPr="00976E97">
        <w:rPr>
          <w:rFonts w:eastAsia="Times New Roman"/>
          <w:bCs/>
          <w:sz w:val="22"/>
          <w:szCs w:val="22"/>
          <w:lang w:eastAsia="en-AU"/>
        </w:rPr>
        <w:t xml:space="preserve">for </w:t>
      </w:r>
      <w:r w:rsidR="00AD225F" w:rsidRPr="00976E97">
        <w:rPr>
          <w:rFonts w:eastAsia="Times New Roman"/>
          <w:bCs/>
          <w:sz w:val="22"/>
          <w:szCs w:val="22"/>
          <w:lang w:eastAsia="en-AU"/>
        </w:rPr>
        <w:t>use as a filler, or for haemostasis, or for tissue approximation, or for the fixation of other medical devices within tissue.</w:t>
      </w:r>
    </w:p>
    <w:p w14:paraId="3B8A4669" w14:textId="77777777" w:rsidR="00F964B7" w:rsidRPr="00976E97" w:rsidRDefault="00F964B7" w:rsidP="001E51F5">
      <w:pPr>
        <w:spacing w:after="0" w:line="240" w:lineRule="auto"/>
        <w:rPr>
          <w:rFonts w:eastAsia="Times New Roman"/>
          <w:bCs/>
          <w:sz w:val="22"/>
          <w:szCs w:val="22"/>
          <w:lang w:eastAsia="en-AU"/>
        </w:rPr>
      </w:pPr>
    </w:p>
    <w:p w14:paraId="42EBC0F8" w14:textId="4506E5A9" w:rsidR="001E2F1D" w:rsidRPr="00976E97" w:rsidRDefault="00BD33A7" w:rsidP="001E51F5">
      <w:pPr>
        <w:spacing w:after="0" w:line="240" w:lineRule="auto"/>
        <w:rPr>
          <w:rFonts w:eastAsia="Times New Roman"/>
          <w:bCs/>
          <w:sz w:val="22"/>
          <w:szCs w:val="22"/>
          <w:lang w:eastAsia="en-AU"/>
        </w:rPr>
      </w:pPr>
      <w:r w:rsidRPr="00976E97">
        <w:rPr>
          <w:rFonts w:eastAsia="Times New Roman"/>
          <w:bCs/>
          <w:sz w:val="22"/>
          <w:szCs w:val="22"/>
          <w:lang w:eastAsia="en-AU"/>
        </w:rPr>
        <w:t>Item 2 of this Schedul</w:t>
      </w:r>
      <w:r w:rsidR="00492D66" w:rsidRPr="00976E97">
        <w:rPr>
          <w:rFonts w:eastAsia="Times New Roman"/>
          <w:bCs/>
          <w:sz w:val="22"/>
          <w:szCs w:val="22"/>
          <w:lang w:eastAsia="en-AU"/>
        </w:rPr>
        <w:t>e repeals the cell</w:t>
      </w:r>
      <w:r w:rsidR="00A557DC" w:rsidRPr="00976E97">
        <w:rPr>
          <w:rFonts w:eastAsia="Times New Roman"/>
          <w:bCs/>
          <w:sz w:val="22"/>
          <w:szCs w:val="22"/>
          <w:lang w:eastAsia="en-AU"/>
        </w:rPr>
        <w:t xml:space="preserve"> at</w:t>
      </w:r>
      <w:r w:rsidR="00412DE3" w:rsidRPr="00976E97">
        <w:rPr>
          <w:rFonts w:eastAsia="Times New Roman"/>
          <w:bCs/>
          <w:sz w:val="22"/>
          <w:szCs w:val="22"/>
          <w:lang w:eastAsia="en-AU"/>
        </w:rPr>
        <w:t xml:space="preserve"> column 4 of</w:t>
      </w:r>
      <w:r w:rsidR="00A557DC" w:rsidRPr="00976E97">
        <w:rPr>
          <w:rFonts w:eastAsia="Times New Roman"/>
          <w:bCs/>
          <w:sz w:val="22"/>
          <w:szCs w:val="22"/>
          <w:lang w:eastAsia="en-AU"/>
        </w:rPr>
        <w:t xml:space="preserve"> item 4 of the table in Part 2 of Schedule 1 to the Principal Determination</w:t>
      </w:r>
      <w:r w:rsidR="00EE6335" w:rsidRPr="00976E97">
        <w:rPr>
          <w:rFonts w:eastAsia="Times New Roman"/>
          <w:bCs/>
          <w:sz w:val="22"/>
          <w:szCs w:val="22"/>
          <w:lang w:eastAsia="en-AU"/>
        </w:rPr>
        <w:t xml:space="preserve"> with the effect of removing the requirement </w:t>
      </w:r>
      <w:r w:rsidR="00D171ED" w:rsidRPr="00976E97">
        <w:rPr>
          <w:rFonts w:eastAsia="Times New Roman"/>
          <w:bCs/>
          <w:sz w:val="22"/>
          <w:szCs w:val="22"/>
          <w:lang w:eastAsia="en-AU"/>
        </w:rPr>
        <w:t>that an application</w:t>
      </w:r>
      <w:r w:rsidR="00EE6335" w:rsidRPr="00976E97">
        <w:rPr>
          <w:rFonts w:eastAsia="Times New Roman"/>
          <w:bCs/>
          <w:sz w:val="22"/>
          <w:szCs w:val="22"/>
          <w:lang w:eastAsia="en-AU"/>
        </w:rPr>
        <w:t xml:space="preserve"> for inclusion of</w:t>
      </w:r>
      <w:r w:rsidR="00D171ED" w:rsidRPr="00976E97">
        <w:rPr>
          <w:rFonts w:eastAsia="Times New Roman"/>
          <w:bCs/>
          <w:sz w:val="22"/>
          <w:szCs w:val="22"/>
          <w:lang w:eastAsia="en-AU"/>
        </w:rPr>
        <w:t xml:space="preserve"> a Class IIa medical device</w:t>
      </w:r>
      <w:r w:rsidR="00EE6335" w:rsidRPr="00976E97">
        <w:rPr>
          <w:rFonts w:eastAsia="Times New Roman"/>
          <w:bCs/>
          <w:sz w:val="22"/>
          <w:szCs w:val="22"/>
          <w:lang w:eastAsia="en-AU"/>
        </w:rPr>
        <w:t xml:space="preserve"> </w:t>
      </w:r>
      <w:r w:rsidR="00D171ED" w:rsidRPr="00976E97">
        <w:rPr>
          <w:rFonts w:eastAsia="Times New Roman"/>
          <w:bCs/>
          <w:sz w:val="22"/>
          <w:szCs w:val="22"/>
          <w:lang w:eastAsia="en-AU"/>
        </w:rPr>
        <w:t>be accompanied by an EU technical documentation assessment</w:t>
      </w:r>
      <w:r w:rsidR="00EE6335" w:rsidRPr="00976E97">
        <w:rPr>
          <w:rFonts w:eastAsia="Times New Roman"/>
          <w:bCs/>
          <w:sz w:val="22"/>
          <w:szCs w:val="22"/>
          <w:lang w:eastAsia="en-AU"/>
        </w:rPr>
        <w:t xml:space="preserve"> certificate</w:t>
      </w:r>
      <w:r w:rsidR="00D171ED" w:rsidRPr="00976E97">
        <w:rPr>
          <w:rFonts w:eastAsia="Times New Roman"/>
          <w:bCs/>
          <w:sz w:val="22"/>
          <w:szCs w:val="22"/>
          <w:lang w:eastAsia="en-AU"/>
        </w:rPr>
        <w:t xml:space="preserve">, issued under </w:t>
      </w:r>
      <w:r w:rsidR="00EE6335" w:rsidRPr="00976E97">
        <w:rPr>
          <w:rFonts w:eastAsia="Times New Roman"/>
          <w:bCs/>
          <w:sz w:val="22"/>
          <w:szCs w:val="22"/>
          <w:lang w:eastAsia="en-AU"/>
        </w:rPr>
        <w:t xml:space="preserve">Chapter II of </w:t>
      </w:r>
      <w:r w:rsidR="00D171ED" w:rsidRPr="00976E97">
        <w:rPr>
          <w:rFonts w:eastAsia="Times New Roman"/>
          <w:bCs/>
          <w:sz w:val="22"/>
          <w:szCs w:val="22"/>
          <w:lang w:eastAsia="en-AU"/>
        </w:rPr>
        <w:t xml:space="preserve">Annex IX </w:t>
      </w:r>
      <w:r w:rsidR="00DF15A3" w:rsidRPr="00976E97">
        <w:rPr>
          <w:rFonts w:eastAsia="Times New Roman"/>
          <w:bCs/>
          <w:sz w:val="22"/>
          <w:szCs w:val="22"/>
          <w:lang w:eastAsia="en-AU"/>
        </w:rPr>
        <w:t xml:space="preserve">of </w:t>
      </w:r>
      <w:r w:rsidR="00D171ED" w:rsidRPr="00976E97">
        <w:rPr>
          <w:rFonts w:eastAsia="Times New Roman"/>
          <w:bCs/>
          <w:sz w:val="22"/>
          <w:szCs w:val="22"/>
          <w:lang w:eastAsia="en-AU"/>
        </w:rPr>
        <w:t>the EU medical devices regulation</w:t>
      </w:r>
      <w:r w:rsidR="00EE6335" w:rsidRPr="00976E97">
        <w:rPr>
          <w:rFonts w:eastAsia="Times New Roman"/>
          <w:bCs/>
          <w:sz w:val="22"/>
          <w:szCs w:val="22"/>
          <w:lang w:eastAsia="en-AU"/>
        </w:rPr>
        <w:t>.</w:t>
      </w:r>
    </w:p>
    <w:p w14:paraId="2774B4FA" w14:textId="434FAB25" w:rsidR="00B822AA" w:rsidRPr="00976E97" w:rsidRDefault="00B822AA" w:rsidP="001E51F5">
      <w:pPr>
        <w:spacing w:after="0" w:line="240" w:lineRule="auto"/>
        <w:rPr>
          <w:rFonts w:eastAsia="Times New Roman"/>
          <w:bCs/>
          <w:sz w:val="22"/>
          <w:szCs w:val="22"/>
          <w:lang w:eastAsia="en-AU"/>
        </w:rPr>
      </w:pPr>
    </w:p>
    <w:p w14:paraId="770803A0" w14:textId="0AA7553C" w:rsidR="006862CE" w:rsidRPr="00976E97" w:rsidRDefault="00B822AA" w:rsidP="00A557DC">
      <w:pPr>
        <w:spacing w:after="0" w:line="240" w:lineRule="auto"/>
        <w:rPr>
          <w:rFonts w:eastAsia="Times New Roman"/>
          <w:bCs/>
          <w:sz w:val="22"/>
          <w:szCs w:val="22"/>
          <w:lang w:eastAsia="en-AU"/>
        </w:rPr>
      </w:pPr>
      <w:r w:rsidRPr="00976E97">
        <w:rPr>
          <w:rFonts w:eastAsia="Times New Roman"/>
          <w:bCs/>
          <w:sz w:val="22"/>
          <w:szCs w:val="22"/>
          <w:lang w:eastAsia="en-AU"/>
        </w:rPr>
        <w:t xml:space="preserve">Item 3 of this Schedule </w:t>
      </w:r>
      <w:r w:rsidR="00492D66" w:rsidRPr="00976E97">
        <w:rPr>
          <w:rFonts w:eastAsia="Times New Roman"/>
          <w:bCs/>
          <w:sz w:val="22"/>
          <w:szCs w:val="22"/>
          <w:lang w:eastAsia="en-AU"/>
        </w:rPr>
        <w:t xml:space="preserve">repeals and </w:t>
      </w:r>
      <w:r w:rsidR="00CF18B1" w:rsidRPr="00976E97">
        <w:rPr>
          <w:rFonts w:eastAsia="Times New Roman"/>
          <w:bCs/>
          <w:sz w:val="22"/>
          <w:szCs w:val="22"/>
          <w:lang w:eastAsia="en-AU"/>
        </w:rPr>
        <w:t>substitutes</w:t>
      </w:r>
      <w:r w:rsidR="00A557DC" w:rsidRPr="00976E97">
        <w:rPr>
          <w:rFonts w:eastAsia="Times New Roman"/>
          <w:bCs/>
          <w:sz w:val="22"/>
          <w:szCs w:val="22"/>
          <w:lang w:eastAsia="en-AU"/>
        </w:rPr>
        <w:t xml:space="preserve"> the cell at</w:t>
      </w:r>
      <w:r w:rsidR="006D199B" w:rsidRPr="00976E97">
        <w:rPr>
          <w:rFonts w:eastAsia="Times New Roman"/>
          <w:bCs/>
          <w:sz w:val="22"/>
          <w:szCs w:val="22"/>
          <w:lang w:eastAsia="en-AU"/>
        </w:rPr>
        <w:t xml:space="preserve"> column 4 of</w:t>
      </w:r>
      <w:r w:rsidR="00A557DC" w:rsidRPr="00976E97">
        <w:rPr>
          <w:rFonts w:eastAsia="Times New Roman"/>
          <w:bCs/>
          <w:sz w:val="22"/>
          <w:szCs w:val="22"/>
          <w:lang w:eastAsia="en-AU"/>
        </w:rPr>
        <w:t xml:space="preserve"> item 6 of the table in Part 3 of Schedule 1 to the Principal Determinati</w:t>
      </w:r>
      <w:r w:rsidR="007852A9" w:rsidRPr="00976E97">
        <w:rPr>
          <w:rFonts w:eastAsia="Times New Roman"/>
          <w:bCs/>
          <w:sz w:val="22"/>
          <w:szCs w:val="22"/>
          <w:lang w:eastAsia="en-AU"/>
        </w:rPr>
        <w:t>on</w:t>
      </w:r>
      <w:r w:rsidR="000F16DC" w:rsidRPr="00976E97">
        <w:rPr>
          <w:rFonts w:eastAsia="Times New Roman"/>
          <w:bCs/>
          <w:sz w:val="22"/>
          <w:szCs w:val="22"/>
          <w:lang w:eastAsia="en-AU"/>
        </w:rPr>
        <w:t>,</w:t>
      </w:r>
      <w:r w:rsidR="007852A9" w:rsidRPr="00976E97">
        <w:rPr>
          <w:rFonts w:eastAsia="Times New Roman"/>
          <w:bCs/>
          <w:sz w:val="22"/>
          <w:szCs w:val="22"/>
          <w:lang w:eastAsia="en-AU"/>
        </w:rPr>
        <w:t xml:space="preserve"> to</w:t>
      </w:r>
      <w:r w:rsidR="00CF18B1" w:rsidRPr="00976E97">
        <w:rPr>
          <w:rFonts w:eastAsia="Times New Roman"/>
          <w:bCs/>
          <w:sz w:val="22"/>
          <w:szCs w:val="22"/>
          <w:lang w:eastAsia="en-AU"/>
        </w:rPr>
        <w:t xml:space="preserve"> </w:t>
      </w:r>
      <w:r w:rsidR="002D5576" w:rsidRPr="00976E97">
        <w:rPr>
          <w:rFonts w:eastAsia="Times New Roman"/>
          <w:bCs/>
          <w:sz w:val="22"/>
          <w:szCs w:val="22"/>
          <w:lang w:eastAsia="en-AU"/>
        </w:rPr>
        <w:t>determine</w:t>
      </w:r>
      <w:r w:rsidR="00CF18B1" w:rsidRPr="00976E97">
        <w:rPr>
          <w:rFonts w:eastAsia="Times New Roman"/>
          <w:bCs/>
          <w:sz w:val="22"/>
          <w:szCs w:val="22"/>
          <w:lang w:eastAsia="en-AU"/>
        </w:rPr>
        <w:t xml:space="preserve"> </w:t>
      </w:r>
      <w:r w:rsidR="007852A9" w:rsidRPr="00976E97">
        <w:rPr>
          <w:rFonts w:eastAsia="Times New Roman"/>
          <w:bCs/>
          <w:sz w:val="22"/>
          <w:szCs w:val="22"/>
          <w:lang w:eastAsia="en-AU"/>
        </w:rPr>
        <w:t>that</w:t>
      </w:r>
      <w:r w:rsidR="006862CE" w:rsidRPr="00976E97">
        <w:rPr>
          <w:rFonts w:eastAsia="Times New Roman"/>
          <w:bCs/>
          <w:sz w:val="22"/>
          <w:szCs w:val="22"/>
          <w:lang w:eastAsia="en-AU"/>
        </w:rPr>
        <w:t xml:space="preserve"> an application for a relevant implantable medical device must be accompanied by an EU technical documentation assessment certificate issued under chapter II of Annex IX of the EU medical devices regulation,</w:t>
      </w:r>
      <w:r w:rsidR="006862CE" w:rsidRPr="00976E97">
        <w:rPr>
          <w:sz w:val="22"/>
          <w:szCs w:val="22"/>
        </w:rPr>
        <w:t xml:space="preserve"> where the application is accompanied by </w:t>
      </w:r>
      <w:r w:rsidR="006862CE" w:rsidRPr="00976E97">
        <w:rPr>
          <w:sz w:val="22"/>
          <w:szCs w:val="22"/>
          <w:lang w:eastAsia="en-AU"/>
        </w:rPr>
        <w:t>an EU quality management system certificate issued under Chapter I of that Annex (in accordance with column 3 of that item).</w:t>
      </w:r>
    </w:p>
    <w:p w14:paraId="4B64B841" w14:textId="66B7AE6F" w:rsidR="0084275D" w:rsidRPr="00976E97" w:rsidRDefault="0084275D" w:rsidP="00A557DC">
      <w:pPr>
        <w:spacing w:after="0" w:line="240" w:lineRule="auto"/>
        <w:rPr>
          <w:rFonts w:eastAsia="Times New Roman"/>
          <w:bCs/>
          <w:sz w:val="22"/>
          <w:szCs w:val="22"/>
          <w:lang w:eastAsia="en-AU"/>
        </w:rPr>
      </w:pPr>
    </w:p>
    <w:p w14:paraId="0EB308C7" w14:textId="6BF879DB" w:rsidR="004B4A30" w:rsidRPr="00976E97" w:rsidRDefault="0084275D" w:rsidP="00A4675C">
      <w:pPr>
        <w:spacing w:after="0" w:line="240" w:lineRule="auto"/>
        <w:rPr>
          <w:lang w:eastAsia="en-AU"/>
        </w:rPr>
      </w:pPr>
      <w:r w:rsidRPr="00976E97">
        <w:rPr>
          <w:rFonts w:eastAsia="Times New Roman"/>
          <w:bCs/>
          <w:sz w:val="22"/>
          <w:szCs w:val="22"/>
          <w:lang w:eastAsia="en-AU"/>
        </w:rPr>
        <w:t xml:space="preserve">This </w:t>
      </w:r>
      <w:r w:rsidR="006552A5" w:rsidRPr="00976E97">
        <w:rPr>
          <w:rFonts w:eastAsia="Times New Roman"/>
          <w:bCs/>
          <w:sz w:val="22"/>
          <w:szCs w:val="22"/>
          <w:lang w:eastAsia="en-AU"/>
        </w:rPr>
        <w:t>has</w:t>
      </w:r>
      <w:r w:rsidRPr="00976E97">
        <w:rPr>
          <w:rFonts w:eastAsia="Times New Roman"/>
          <w:bCs/>
          <w:sz w:val="22"/>
          <w:szCs w:val="22"/>
          <w:lang w:eastAsia="en-AU"/>
        </w:rPr>
        <w:t xml:space="preserve"> the effect that an application for inclusion in the Register of a Class IIb implantable medical device </w:t>
      </w:r>
      <w:r w:rsidR="002855F8" w:rsidRPr="00976E97">
        <w:rPr>
          <w:rFonts w:eastAsia="Times New Roman"/>
          <w:bCs/>
          <w:sz w:val="22"/>
          <w:szCs w:val="22"/>
          <w:lang w:eastAsia="en-AU"/>
        </w:rPr>
        <w:t>(</w:t>
      </w:r>
      <w:r w:rsidRPr="00976E97">
        <w:rPr>
          <w:rFonts w:eastAsia="Times New Roman"/>
          <w:bCs/>
          <w:sz w:val="22"/>
          <w:szCs w:val="22"/>
          <w:lang w:eastAsia="en-AU"/>
        </w:rPr>
        <w:t>other than a device that is, for example, a suture, staple or dental filling</w:t>
      </w:r>
      <w:r w:rsidR="002855F8" w:rsidRPr="00976E97">
        <w:rPr>
          <w:rFonts w:eastAsia="Times New Roman"/>
          <w:bCs/>
          <w:sz w:val="22"/>
          <w:szCs w:val="22"/>
          <w:lang w:eastAsia="en-AU"/>
        </w:rPr>
        <w:t>)</w:t>
      </w:r>
      <w:r w:rsidRPr="00976E97">
        <w:rPr>
          <w:rFonts w:eastAsia="Times New Roman"/>
          <w:bCs/>
          <w:sz w:val="22"/>
          <w:szCs w:val="22"/>
          <w:lang w:eastAsia="en-AU"/>
        </w:rPr>
        <w:t xml:space="preserve"> </w:t>
      </w:r>
      <w:r w:rsidRPr="00976E97">
        <w:rPr>
          <w:rFonts w:eastAsia="Times New Roman"/>
          <w:sz w:val="22"/>
          <w:szCs w:val="22"/>
          <w:lang w:eastAsia="en-AU"/>
        </w:rPr>
        <w:t xml:space="preserve">that is supported by an EU quality management system certificate </w:t>
      </w:r>
      <w:r w:rsidRPr="00976E97">
        <w:rPr>
          <w:sz w:val="22"/>
          <w:szCs w:val="22"/>
        </w:rPr>
        <w:t>issued by a notified body within the meaning of the EU medical devices regulation</w:t>
      </w:r>
      <w:r w:rsidRPr="00976E97">
        <w:rPr>
          <w:rFonts w:eastAsia="Times New Roman"/>
          <w:sz w:val="22"/>
          <w:szCs w:val="22"/>
          <w:lang w:eastAsia="en-AU"/>
        </w:rPr>
        <w:t xml:space="preserve"> under Annex IX of that Regulation</w:t>
      </w:r>
      <w:r w:rsidRPr="00976E97">
        <w:rPr>
          <w:sz w:val="22"/>
          <w:szCs w:val="22"/>
        </w:rPr>
        <w:t xml:space="preserve">, must be accompanied by </w:t>
      </w:r>
      <w:r w:rsidRPr="00976E97">
        <w:rPr>
          <w:rFonts w:eastAsia="Times New Roman"/>
          <w:sz w:val="22"/>
          <w:szCs w:val="22"/>
          <w:lang w:eastAsia="en-AU"/>
        </w:rPr>
        <w:t>an EU technical documentation assessment certificate issued under Chapter II of that Annex.</w:t>
      </w:r>
    </w:p>
    <w:p w14:paraId="5755998D" w14:textId="51AA3B07" w:rsidR="001E51F5" w:rsidRPr="00976E97" w:rsidRDefault="001E51F5" w:rsidP="0002519E">
      <w:pPr>
        <w:rPr>
          <w:lang w:eastAsia="en-AU"/>
        </w:rPr>
      </w:pPr>
      <w:r w:rsidRPr="00976E97">
        <w:rPr>
          <w:lang w:eastAsia="en-AU"/>
        </w:rPr>
        <w:br w:type="page"/>
      </w:r>
    </w:p>
    <w:p w14:paraId="09F08A98" w14:textId="77777777" w:rsidR="001E51F5" w:rsidRPr="00976E97" w:rsidRDefault="001E51F5" w:rsidP="001E51F5">
      <w:pPr>
        <w:spacing w:after="0" w:line="240" w:lineRule="auto"/>
        <w:rPr>
          <w:rFonts w:eastAsia="Times New Roman"/>
          <w:b/>
          <w:bCs/>
          <w:sz w:val="22"/>
          <w:szCs w:val="22"/>
          <w:lang w:eastAsia="en-AU"/>
        </w:rPr>
      </w:pPr>
    </w:p>
    <w:p w14:paraId="6C01B0EC" w14:textId="77777777" w:rsidR="001E51F5" w:rsidRPr="00976E97" w:rsidRDefault="001E51F5" w:rsidP="001E51F5">
      <w:pPr>
        <w:spacing w:after="0" w:line="240" w:lineRule="auto"/>
        <w:jc w:val="right"/>
        <w:rPr>
          <w:rFonts w:eastAsia="Times New Roman"/>
          <w:b/>
          <w:bCs/>
          <w:sz w:val="22"/>
          <w:szCs w:val="22"/>
          <w:lang w:eastAsia="en-AU"/>
        </w:rPr>
      </w:pPr>
      <w:r w:rsidRPr="00976E97">
        <w:rPr>
          <w:rFonts w:eastAsia="Times New Roman"/>
          <w:b/>
          <w:bCs/>
          <w:sz w:val="22"/>
          <w:szCs w:val="22"/>
          <w:lang w:eastAsia="en-AU"/>
        </w:rPr>
        <w:t>Attachment B</w:t>
      </w:r>
    </w:p>
    <w:p w14:paraId="17ED476C" w14:textId="77777777" w:rsidR="001E51F5" w:rsidRPr="00976E97" w:rsidRDefault="001E51F5" w:rsidP="001E51F5">
      <w:pPr>
        <w:spacing w:after="0" w:line="240" w:lineRule="auto"/>
        <w:rPr>
          <w:rFonts w:eastAsia="Times New Roman"/>
          <w:sz w:val="22"/>
          <w:szCs w:val="22"/>
          <w:lang w:eastAsia="en-AU"/>
        </w:rPr>
      </w:pPr>
    </w:p>
    <w:p w14:paraId="04D9AD1D" w14:textId="77777777" w:rsidR="001E51F5" w:rsidRPr="00976E97" w:rsidRDefault="001E51F5" w:rsidP="001E51F5">
      <w:pPr>
        <w:spacing w:after="0" w:line="240" w:lineRule="auto"/>
        <w:jc w:val="center"/>
        <w:rPr>
          <w:rFonts w:eastAsia="Times New Roman"/>
          <w:b/>
          <w:sz w:val="22"/>
          <w:szCs w:val="22"/>
          <w:lang w:val="en-US" w:eastAsia="en-AU"/>
        </w:rPr>
      </w:pPr>
      <w:r w:rsidRPr="00976E97">
        <w:rPr>
          <w:rFonts w:eastAsia="Times New Roman"/>
          <w:b/>
          <w:sz w:val="22"/>
          <w:szCs w:val="22"/>
          <w:lang w:eastAsia="en-AU"/>
        </w:rPr>
        <w:t>Statement of Compatibility with Human Rights</w:t>
      </w:r>
    </w:p>
    <w:p w14:paraId="2DD2F1D3" w14:textId="77777777" w:rsidR="001E51F5" w:rsidRPr="00976E97" w:rsidRDefault="001E51F5" w:rsidP="001E51F5">
      <w:pPr>
        <w:spacing w:after="0" w:line="240" w:lineRule="auto"/>
        <w:rPr>
          <w:rFonts w:eastAsia="Times New Roman"/>
          <w:sz w:val="22"/>
          <w:szCs w:val="22"/>
          <w:lang w:eastAsia="en-AU"/>
        </w:rPr>
      </w:pPr>
    </w:p>
    <w:p w14:paraId="1093FFA6" w14:textId="77777777" w:rsidR="001E51F5" w:rsidRPr="00976E97" w:rsidRDefault="001E51F5" w:rsidP="001E51F5">
      <w:pPr>
        <w:spacing w:after="0" w:line="240" w:lineRule="auto"/>
        <w:ind w:right="-142"/>
        <w:jc w:val="center"/>
        <w:rPr>
          <w:rFonts w:eastAsia="Times New Roman"/>
          <w:i/>
          <w:sz w:val="22"/>
          <w:szCs w:val="22"/>
          <w:lang w:eastAsia="en-AU"/>
        </w:rPr>
      </w:pPr>
      <w:r w:rsidRPr="00976E97">
        <w:rPr>
          <w:rFonts w:eastAsia="Times New Roman"/>
          <w:iCs/>
          <w:sz w:val="22"/>
          <w:szCs w:val="22"/>
          <w:lang w:eastAsia="en-AU"/>
        </w:rPr>
        <w:t>Prepared in accordance with Part 3 of the</w:t>
      </w:r>
      <w:r w:rsidRPr="00976E97">
        <w:rPr>
          <w:rFonts w:eastAsia="Times New Roman"/>
          <w:i/>
          <w:iCs/>
          <w:sz w:val="22"/>
          <w:szCs w:val="22"/>
          <w:lang w:eastAsia="en-AU"/>
        </w:rPr>
        <w:t xml:space="preserve"> Human Rights (Parliamentary Scrutiny) Act 2011</w:t>
      </w:r>
    </w:p>
    <w:p w14:paraId="18C34E89" w14:textId="77777777" w:rsidR="001E51F5" w:rsidRPr="00976E97" w:rsidRDefault="001E51F5" w:rsidP="001E51F5">
      <w:pPr>
        <w:spacing w:after="0" w:line="240" w:lineRule="auto"/>
        <w:rPr>
          <w:rFonts w:eastAsia="Times New Roman"/>
          <w:sz w:val="22"/>
          <w:szCs w:val="22"/>
          <w:lang w:val="en-US" w:eastAsia="en-AU"/>
        </w:rPr>
      </w:pPr>
    </w:p>
    <w:p w14:paraId="17A89F56" w14:textId="4DBA54B9" w:rsidR="001E51F5" w:rsidRPr="00976E97" w:rsidRDefault="004875B7" w:rsidP="001E51F5">
      <w:pPr>
        <w:spacing w:after="0" w:line="240" w:lineRule="auto"/>
        <w:jc w:val="center"/>
        <w:rPr>
          <w:rFonts w:eastAsia="Times New Roman"/>
          <w:b/>
          <w:sz w:val="22"/>
          <w:szCs w:val="22"/>
          <w:lang w:eastAsia="en-AU"/>
        </w:rPr>
      </w:pPr>
      <w:r w:rsidRPr="00976E97">
        <w:rPr>
          <w:rFonts w:eastAsia="Times New Roman"/>
          <w:b/>
          <w:i/>
          <w:sz w:val="22"/>
          <w:szCs w:val="22"/>
          <w:lang w:eastAsia="en-AU"/>
        </w:rPr>
        <w:t>Therapeutic Goods (Medical Devices—Information that Must Accompany Application for Inclusion) Amendment (</w:t>
      </w:r>
      <w:r w:rsidR="00AD225F" w:rsidRPr="00976E97">
        <w:rPr>
          <w:rFonts w:eastAsia="Times New Roman"/>
          <w:b/>
          <w:i/>
          <w:sz w:val="22"/>
          <w:szCs w:val="22"/>
          <w:lang w:eastAsia="en-AU"/>
        </w:rPr>
        <w:t>European Union—</w:t>
      </w:r>
      <w:r w:rsidR="00B22A73" w:rsidRPr="00976E97">
        <w:rPr>
          <w:rFonts w:eastAsia="Times New Roman"/>
          <w:b/>
          <w:i/>
          <w:sz w:val="22"/>
          <w:szCs w:val="22"/>
          <w:lang w:eastAsia="en-AU"/>
        </w:rPr>
        <w:t>Class I</w:t>
      </w:r>
      <w:r w:rsidR="00DC540A" w:rsidRPr="00976E97">
        <w:rPr>
          <w:rFonts w:eastAsia="Times New Roman"/>
          <w:b/>
          <w:i/>
          <w:sz w:val="22"/>
          <w:szCs w:val="22"/>
          <w:lang w:eastAsia="en-AU"/>
        </w:rPr>
        <w:t>Ia</w:t>
      </w:r>
      <w:r w:rsidR="00B22A73" w:rsidRPr="00976E97">
        <w:rPr>
          <w:rFonts w:eastAsia="Times New Roman"/>
          <w:b/>
          <w:i/>
          <w:sz w:val="22"/>
          <w:szCs w:val="22"/>
          <w:lang w:eastAsia="en-AU"/>
        </w:rPr>
        <w:t xml:space="preserve"> </w:t>
      </w:r>
      <w:r w:rsidR="00351D7B" w:rsidRPr="00976E97">
        <w:rPr>
          <w:rFonts w:eastAsia="Times New Roman"/>
          <w:b/>
          <w:i/>
          <w:sz w:val="22"/>
          <w:szCs w:val="22"/>
          <w:lang w:eastAsia="en-AU"/>
        </w:rPr>
        <w:t>and Class IIb</w:t>
      </w:r>
      <w:r w:rsidRPr="00976E97">
        <w:rPr>
          <w:rFonts w:eastAsia="Times New Roman"/>
          <w:b/>
          <w:i/>
          <w:sz w:val="22"/>
          <w:szCs w:val="22"/>
          <w:lang w:eastAsia="en-AU"/>
        </w:rPr>
        <w:t>) Determination 202</w:t>
      </w:r>
      <w:r w:rsidR="002A5E21" w:rsidRPr="00976E97">
        <w:rPr>
          <w:rFonts w:eastAsia="Times New Roman"/>
          <w:b/>
          <w:i/>
          <w:sz w:val="22"/>
          <w:szCs w:val="22"/>
          <w:lang w:eastAsia="en-AU"/>
        </w:rPr>
        <w:t>3</w:t>
      </w:r>
    </w:p>
    <w:p w14:paraId="3AF5573F" w14:textId="77777777" w:rsidR="001E51F5" w:rsidRPr="00976E97" w:rsidRDefault="001E51F5" w:rsidP="001E51F5">
      <w:pPr>
        <w:spacing w:after="0" w:line="240" w:lineRule="auto"/>
        <w:rPr>
          <w:rFonts w:eastAsia="Times New Roman"/>
          <w:sz w:val="22"/>
          <w:szCs w:val="22"/>
          <w:lang w:eastAsia="en-AU"/>
        </w:rPr>
      </w:pPr>
    </w:p>
    <w:p w14:paraId="7120DDC8" w14:textId="32D22FD9" w:rsidR="001E51F5"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t>This disallowable legislative instrument is compatible with the</w:t>
      </w:r>
      <w:r w:rsidR="00F631E1" w:rsidRPr="00976E97">
        <w:rPr>
          <w:rFonts w:eastAsia="Times New Roman"/>
          <w:sz w:val="22"/>
          <w:szCs w:val="22"/>
          <w:lang w:eastAsia="en-AU"/>
        </w:rPr>
        <w:t xml:space="preserve"> </w:t>
      </w:r>
      <w:r w:rsidRPr="00976E97">
        <w:rPr>
          <w:rFonts w:eastAsia="Times New Roman"/>
          <w:sz w:val="22"/>
          <w:szCs w:val="22"/>
          <w:lang w:eastAsia="en-AU"/>
        </w:rPr>
        <w:t xml:space="preserve">human rights and freedoms recognised or declared in the international instruments listed in section 3 of the </w:t>
      </w:r>
      <w:r w:rsidRPr="00976E97">
        <w:rPr>
          <w:rFonts w:eastAsia="Times New Roman"/>
          <w:i/>
          <w:sz w:val="22"/>
          <w:szCs w:val="22"/>
          <w:lang w:eastAsia="en-AU"/>
        </w:rPr>
        <w:t>Human Rights (Parliamentary Scrutiny) Act 2011</w:t>
      </w:r>
      <w:r w:rsidRPr="00976E97">
        <w:rPr>
          <w:rFonts w:eastAsia="Times New Roman"/>
          <w:sz w:val="22"/>
          <w:szCs w:val="22"/>
          <w:lang w:eastAsia="en-AU"/>
        </w:rPr>
        <w:t>.</w:t>
      </w:r>
    </w:p>
    <w:p w14:paraId="14E92FF4" w14:textId="77777777" w:rsidR="001E51F5" w:rsidRPr="00976E97" w:rsidRDefault="001E51F5" w:rsidP="001E51F5">
      <w:pPr>
        <w:spacing w:after="0" w:line="240" w:lineRule="auto"/>
        <w:rPr>
          <w:rFonts w:eastAsia="Times New Roman"/>
          <w:sz w:val="22"/>
          <w:szCs w:val="22"/>
          <w:lang w:eastAsia="en-AU"/>
        </w:rPr>
      </w:pPr>
    </w:p>
    <w:p w14:paraId="50E16580" w14:textId="77777777" w:rsidR="001E51F5" w:rsidRPr="00976E97" w:rsidRDefault="001E51F5" w:rsidP="001E51F5">
      <w:pPr>
        <w:spacing w:after="0" w:line="240" w:lineRule="auto"/>
        <w:rPr>
          <w:rFonts w:eastAsia="Times New Roman"/>
          <w:b/>
          <w:sz w:val="22"/>
          <w:szCs w:val="22"/>
          <w:lang w:eastAsia="en-AU"/>
        </w:rPr>
      </w:pPr>
      <w:r w:rsidRPr="00976E97">
        <w:rPr>
          <w:rFonts w:eastAsia="Times New Roman"/>
          <w:b/>
          <w:sz w:val="22"/>
          <w:szCs w:val="22"/>
          <w:lang w:eastAsia="en-AU"/>
        </w:rPr>
        <w:t>Overview of legislative instrument</w:t>
      </w:r>
    </w:p>
    <w:p w14:paraId="71FFD2BD" w14:textId="77777777" w:rsidR="001E51F5" w:rsidRPr="00976E97" w:rsidRDefault="001E51F5" w:rsidP="001E51F5">
      <w:pPr>
        <w:spacing w:after="0" w:line="240" w:lineRule="auto"/>
        <w:rPr>
          <w:rFonts w:eastAsia="Times New Roman"/>
          <w:sz w:val="22"/>
          <w:szCs w:val="22"/>
          <w:lang w:eastAsia="en-AU"/>
        </w:rPr>
      </w:pPr>
    </w:p>
    <w:p w14:paraId="260DB0D9" w14:textId="41459015" w:rsidR="009B6CB1" w:rsidRPr="00976E97" w:rsidRDefault="009B6CB1" w:rsidP="009B6CB1">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w:t>
      </w:r>
      <w:r w:rsidRPr="00976E97">
        <w:rPr>
          <w:rFonts w:eastAsia="Times New Roman"/>
          <w:i/>
          <w:iCs/>
          <w:sz w:val="22"/>
          <w:szCs w:val="22"/>
          <w:lang w:eastAsia="en-AU"/>
        </w:rPr>
        <w:t>Therapeutic Goods (Medical Devices—Information that Must Accompany Application for Inclusion) Determination 2018</w:t>
      </w:r>
      <w:r w:rsidRPr="00976E97">
        <w:rPr>
          <w:rFonts w:eastAsia="Times New Roman"/>
          <w:sz w:val="22"/>
          <w:szCs w:val="22"/>
          <w:lang w:eastAsia="en-AU"/>
        </w:rPr>
        <w:t xml:space="preserve"> (“the Principal Determination”) </w:t>
      </w:r>
      <w:proofErr w:type="gramStart"/>
      <w:r w:rsidRPr="00976E97">
        <w:rPr>
          <w:rFonts w:eastAsia="Times New Roman"/>
          <w:sz w:val="22"/>
          <w:szCs w:val="22"/>
          <w:lang w:eastAsia="en-AU"/>
        </w:rPr>
        <w:t>is made</w:t>
      </w:r>
      <w:proofErr w:type="gramEnd"/>
      <w:r w:rsidRPr="00976E97">
        <w:rPr>
          <w:rFonts w:eastAsia="Times New Roman"/>
          <w:sz w:val="22"/>
          <w:szCs w:val="22"/>
          <w:lang w:eastAsia="en-AU"/>
        </w:rPr>
        <w:t xml:space="preserve"> under subsections 41FDB(7) and (8) of the Act. The Principal Determination determines the kind and form of information that must accompany an application for kinds of medical devices of a particular classification to </w:t>
      </w:r>
      <w:proofErr w:type="gramStart"/>
      <w:r w:rsidRPr="00976E97">
        <w:rPr>
          <w:rFonts w:eastAsia="Times New Roman"/>
          <w:sz w:val="22"/>
          <w:szCs w:val="22"/>
          <w:lang w:eastAsia="en-AU"/>
        </w:rPr>
        <w:t>be included</w:t>
      </w:r>
      <w:proofErr w:type="gramEnd"/>
      <w:r w:rsidRPr="00976E97">
        <w:rPr>
          <w:rFonts w:eastAsia="Times New Roman"/>
          <w:sz w:val="22"/>
          <w:szCs w:val="22"/>
          <w:lang w:eastAsia="en-AU"/>
        </w:rPr>
        <w:t xml:space="preserve"> in the </w:t>
      </w:r>
      <w:r w:rsidR="00976E97" w:rsidRPr="00976E97">
        <w:rPr>
          <w:rFonts w:eastAsia="Times New Roman"/>
          <w:sz w:val="22"/>
          <w:szCs w:val="22"/>
          <w:lang w:eastAsia="en-AU"/>
        </w:rPr>
        <w:t xml:space="preserve">Australian Register of Therapeutic Goods (“the </w:t>
      </w:r>
      <w:r w:rsidRPr="00976E97">
        <w:rPr>
          <w:rFonts w:eastAsia="Times New Roman"/>
          <w:sz w:val="22"/>
          <w:szCs w:val="22"/>
          <w:lang w:eastAsia="en-AU"/>
        </w:rPr>
        <w:t>Register</w:t>
      </w:r>
      <w:r w:rsidR="00976E97" w:rsidRPr="00976E97">
        <w:rPr>
          <w:rFonts w:eastAsia="Times New Roman"/>
          <w:sz w:val="22"/>
          <w:szCs w:val="22"/>
          <w:lang w:eastAsia="en-AU"/>
        </w:rPr>
        <w:t>”)</w:t>
      </w:r>
      <w:r w:rsidRPr="00976E97">
        <w:rPr>
          <w:rFonts w:eastAsia="Times New Roman"/>
          <w:sz w:val="22"/>
          <w:szCs w:val="22"/>
          <w:lang w:eastAsia="en-AU"/>
        </w:rPr>
        <w:t>.</w:t>
      </w:r>
    </w:p>
    <w:p w14:paraId="76463604" w14:textId="77777777" w:rsidR="009B6CB1" w:rsidRPr="00976E97" w:rsidRDefault="009B6CB1" w:rsidP="009B6CB1">
      <w:pPr>
        <w:autoSpaceDE w:val="0"/>
        <w:autoSpaceDN w:val="0"/>
        <w:adjustRightInd w:val="0"/>
        <w:spacing w:after="0" w:line="240" w:lineRule="auto"/>
        <w:rPr>
          <w:rFonts w:eastAsia="Times New Roman"/>
          <w:sz w:val="22"/>
          <w:szCs w:val="22"/>
          <w:lang w:eastAsia="en-AU"/>
        </w:rPr>
      </w:pPr>
    </w:p>
    <w:p w14:paraId="4A1EFBB7" w14:textId="77777777" w:rsidR="00976E97" w:rsidRPr="00976E97" w:rsidRDefault="00976E97" w:rsidP="00976E97">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kinds of information specified in the Principal Determination relate to the conformity assessment documents that are required to demonstrate that appropriate conformity assessment procedures have been applied by the manufacturer to its quality management system and </w:t>
      </w:r>
      <w:proofErr w:type="gramStart"/>
      <w:r w:rsidRPr="00976E97">
        <w:rPr>
          <w:rFonts w:eastAsia="Times New Roman"/>
          <w:sz w:val="22"/>
          <w:szCs w:val="22"/>
          <w:lang w:eastAsia="en-AU"/>
        </w:rPr>
        <w:t>kind of medical</w:t>
      </w:r>
      <w:proofErr w:type="gramEnd"/>
      <w:r w:rsidRPr="00976E97">
        <w:rPr>
          <w:rFonts w:eastAsia="Times New Roman"/>
          <w:sz w:val="22"/>
          <w:szCs w:val="22"/>
          <w:lang w:eastAsia="en-AU"/>
        </w:rPr>
        <w:t xml:space="preserve"> device. The conformity assessment documents include certificates and other documents which have been issued or recognised by the Secretary and, in the alternative, comparable overseas regulators as defined in section 41BIB of the Act.</w:t>
      </w:r>
    </w:p>
    <w:p w14:paraId="21AB7433" w14:textId="77777777" w:rsidR="00976E97" w:rsidRPr="00976E97" w:rsidRDefault="00976E97" w:rsidP="00976E97">
      <w:pPr>
        <w:autoSpaceDE w:val="0"/>
        <w:autoSpaceDN w:val="0"/>
        <w:adjustRightInd w:val="0"/>
        <w:spacing w:after="0" w:line="240" w:lineRule="auto"/>
        <w:rPr>
          <w:rFonts w:eastAsia="Times New Roman"/>
          <w:sz w:val="22"/>
          <w:szCs w:val="22"/>
          <w:lang w:eastAsia="en-AU"/>
        </w:rPr>
      </w:pPr>
    </w:p>
    <w:p w14:paraId="49959567" w14:textId="3154FFDA" w:rsidR="00976E97" w:rsidRPr="00976E97" w:rsidRDefault="00976E97" w:rsidP="00976E97">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Under the Principal Determination, an application for inclusion in the Register of a Class IIa or Class IIb medical device that is supported by an EU quality management system certificate </w:t>
      </w:r>
      <w:r w:rsidRPr="00976E97">
        <w:rPr>
          <w:sz w:val="22"/>
          <w:szCs w:val="22"/>
        </w:rPr>
        <w:t xml:space="preserve">issued by a notified body within the meaning of the </w:t>
      </w:r>
      <w:r w:rsidRPr="00976E97">
        <w:rPr>
          <w:i/>
          <w:iCs/>
          <w:sz w:val="22"/>
          <w:szCs w:val="22"/>
        </w:rPr>
        <w:t>Regulation (EU) 2017/745 of the European Parliament and of the Council of 5 April 2017 on medical devices</w:t>
      </w:r>
      <w:r w:rsidRPr="00976E97">
        <w:rPr>
          <w:sz w:val="22"/>
          <w:szCs w:val="22"/>
        </w:rPr>
        <w:t xml:space="preserve"> (“the EU medical devices regulation”)</w:t>
      </w:r>
      <w:r w:rsidRPr="00976E97">
        <w:rPr>
          <w:rFonts w:eastAsia="Times New Roman"/>
          <w:sz w:val="22"/>
          <w:szCs w:val="22"/>
          <w:lang w:eastAsia="en-AU"/>
        </w:rPr>
        <w:t xml:space="preserve"> under Annex IX of that Regulation</w:t>
      </w:r>
      <w:r w:rsidRPr="00976E97">
        <w:rPr>
          <w:sz w:val="22"/>
          <w:szCs w:val="22"/>
        </w:rPr>
        <w:t xml:space="preserve">, must be accompanied by </w:t>
      </w:r>
      <w:r w:rsidRPr="00976E97">
        <w:rPr>
          <w:rFonts w:eastAsia="Times New Roman"/>
          <w:sz w:val="22"/>
          <w:szCs w:val="22"/>
          <w:lang w:eastAsia="en-AU"/>
        </w:rPr>
        <w:t xml:space="preserve">an EU technical documentation assessment certificate issued under Chapter II of that Annex (item 4 in Part 2 of Schedule 1, and item 6 in Part 3 of Schedule 1, to the Principal Determination refer). However, on review of current practices, it has </w:t>
      </w:r>
      <w:proofErr w:type="gramStart"/>
      <w:r w:rsidRPr="00976E97">
        <w:rPr>
          <w:rFonts w:eastAsia="Times New Roman"/>
          <w:sz w:val="22"/>
          <w:szCs w:val="22"/>
          <w:lang w:eastAsia="en-AU"/>
        </w:rPr>
        <w:t>been identified</w:t>
      </w:r>
      <w:proofErr w:type="gramEnd"/>
      <w:r w:rsidRPr="00976E97">
        <w:rPr>
          <w:rFonts w:eastAsia="Times New Roman"/>
          <w:sz w:val="22"/>
          <w:szCs w:val="22"/>
          <w:lang w:eastAsia="en-AU"/>
        </w:rPr>
        <w:t xml:space="preserve"> that such a certificate is not issued for Class IIa or certain Class IIb medical devices in the EU.</w:t>
      </w:r>
    </w:p>
    <w:p w14:paraId="0A917832" w14:textId="77777777" w:rsidR="00976E97" w:rsidRPr="00976E97" w:rsidRDefault="00976E97" w:rsidP="00976E97">
      <w:pPr>
        <w:autoSpaceDE w:val="0"/>
        <w:autoSpaceDN w:val="0"/>
        <w:adjustRightInd w:val="0"/>
        <w:spacing w:after="0" w:line="240" w:lineRule="auto"/>
        <w:rPr>
          <w:rFonts w:eastAsia="Times New Roman"/>
          <w:sz w:val="22"/>
          <w:szCs w:val="22"/>
          <w:lang w:eastAsia="en-AU"/>
        </w:rPr>
      </w:pPr>
    </w:p>
    <w:p w14:paraId="09BCDF99" w14:textId="77777777" w:rsidR="00976E97" w:rsidRPr="00976E97" w:rsidRDefault="00976E97" w:rsidP="00976E97">
      <w:pPr>
        <w:spacing w:after="0" w:line="240" w:lineRule="auto"/>
        <w:rPr>
          <w:sz w:val="22"/>
          <w:szCs w:val="22"/>
          <w:lang w:eastAsia="en-AU"/>
        </w:rPr>
      </w:pPr>
      <w:r w:rsidRPr="00976E97">
        <w:rPr>
          <w:rFonts w:eastAsia="Times New Roman"/>
          <w:sz w:val="22"/>
          <w:szCs w:val="22"/>
          <w:lang w:eastAsia="en-AU"/>
        </w:rPr>
        <w:t xml:space="preserve">Accordingly, the </w:t>
      </w:r>
      <w:r w:rsidRPr="00976E97">
        <w:rPr>
          <w:rFonts w:eastAsia="Times New Roman"/>
          <w:i/>
          <w:sz w:val="22"/>
          <w:szCs w:val="22"/>
          <w:lang w:eastAsia="en-AU"/>
        </w:rPr>
        <w:t>Therapeutic Goods (Medical Devices—Information that Must Accompany Application for Inclusion) Amendment (European Union—Class IIa and Class IIb) Determination 2023</w:t>
      </w:r>
      <w:r w:rsidRPr="00976E97">
        <w:rPr>
          <w:rFonts w:eastAsia="Times New Roman"/>
          <w:sz w:val="22"/>
          <w:szCs w:val="22"/>
          <w:lang w:eastAsia="en-AU"/>
        </w:rPr>
        <w:t xml:space="preserve"> (“the Amendment Determination”) made under subsection 41FDB(7) of the Act, amends the Principal Determination to</w:t>
      </w:r>
      <w:r w:rsidRPr="00976E97">
        <w:rPr>
          <w:sz w:val="22"/>
          <w:szCs w:val="22"/>
          <w:lang w:eastAsia="en-AU"/>
        </w:rPr>
        <w:t xml:space="preserve"> correct the unintended misalignment with current practice under the EU medical devices regulation, by:</w:t>
      </w:r>
    </w:p>
    <w:p w14:paraId="2DDAA45C" w14:textId="77777777" w:rsidR="00976E97" w:rsidRPr="00976E97" w:rsidRDefault="00976E97" w:rsidP="00976E97">
      <w:pPr>
        <w:pStyle w:val="ListParagraph"/>
        <w:numPr>
          <w:ilvl w:val="0"/>
          <w:numId w:val="8"/>
        </w:numPr>
        <w:spacing w:after="0" w:line="240" w:lineRule="auto"/>
        <w:rPr>
          <w:sz w:val="22"/>
          <w:szCs w:val="22"/>
          <w:lang w:eastAsia="en-AU"/>
        </w:rPr>
      </w:pPr>
      <w:r w:rsidRPr="00976E97">
        <w:rPr>
          <w:sz w:val="22"/>
          <w:szCs w:val="22"/>
          <w:lang w:eastAsia="en-AU"/>
        </w:rPr>
        <w:t>removing the requirement for Class IIa and certain Class IIb medical devices to provide such documentation; and</w:t>
      </w:r>
    </w:p>
    <w:p w14:paraId="37E0249B" w14:textId="77777777" w:rsidR="00976E97" w:rsidRPr="00976E97" w:rsidRDefault="00976E97" w:rsidP="00976E97">
      <w:pPr>
        <w:pStyle w:val="ListParagraph"/>
        <w:numPr>
          <w:ilvl w:val="0"/>
          <w:numId w:val="8"/>
        </w:numPr>
        <w:spacing w:after="0" w:line="240" w:lineRule="auto"/>
        <w:rPr>
          <w:sz w:val="22"/>
          <w:szCs w:val="22"/>
          <w:lang w:eastAsia="en-AU"/>
        </w:rPr>
      </w:pPr>
      <w:r w:rsidRPr="00976E97">
        <w:rPr>
          <w:sz w:val="22"/>
          <w:szCs w:val="22"/>
          <w:lang w:eastAsia="en-AU"/>
        </w:rPr>
        <w:t xml:space="preserve">clarifying that such an application for inclusion of a Class IIb relevant implantable medical device must </w:t>
      </w:r>
      <w:proofErr w:type="gramStart"/>
      <w:r w:rsidRPr="00976E97">
        <w:rPr>
          <w:sz w:val="22"/>
          <w:szCs w:val="22"/>
          <w:lang w:eastAsia="en-AU"/>
        </w:rPr>
        <w:t>be supported</w:t>
      </w:r>
      <w:proofErr w:type="gramEnd"/>
      <w:r w:rsidRPr="00976E97">
        <w:rPr>
          <w:sz w:val="22"/>
          <w:szCs w:val="22"/>
          <w:lang w:eastAsia="en-AU"/>
        </w:rPr>
        <w:t xml:space="preserve"> by an EU technical documentation assessment certificate issued under Chapter II of Annex IX of the EU medical devices regulation.</w:t>
      </w:r>
    </w:p>
    <w:p w14:paraId="371825F4" w14:textId="77777777" w:rsidR="008D28FD" w:rsidRPr="00976E97" w:rsidRDefault="008D28FD" w:rsidP="008D28FD">
      <w:pPr>
        <w:spacing w:after="0" w:line="240" w:lineRule="auto"/>
        <w:rPr>
          <w:rFonts w:eastAsia="Times New Roman"/>
          <w:sz w:val="22"/>
          <w:szCs w:val="22"/>
          <w:lang w:eastAsia="en-AU"/>
        </w:rPr>
      </w:pPr>
    </w:p>
    <w:p w14:paraId="0DBDE6FC" w14:textId="77777777" w:rsidR="001E51F5" w:rsidRPr="00976E97" w:rsidRDefault="001E51F5" w:rsidP="00976E97">
      <w:pPr>
        <w:spacing w:after="0" w:line="240" w:lineRule="auto"/>
        <w:rPr>
          <w:rFonts w:eastAsia="Times New Roman"/>
          <w:b/>
          <w:sz w:val="22"/>
          <w:szCs w:val="22"/>
          <w:lang w:eastAsia="en-AU"/>
        </w:rPr>
      </w:pPr>
      <w:r w:rsidRPr="00976E97">
        <w:rPr>
          <w:rFonts w:eastAsia="Times New Roman"/>
          <w:b/>
          <w:sz w:val="22"/>
          <w:szCs w:val="22"/>
          <w:lang w:eastAsia="en-AU"/>
        </w:rPr>
        <w:t>Human rights implications</w:t>
      </w:r>
    </w:p>
    <w:p w14:paraId="49531B93" w14:textId="77777777" w:rsidR="001E51F5" w:rsidRPr="00976E97" w:rsidRDefault="001E51F5" w:rsidP="00976E97">
      <w:pPr>
        <w:spacing w:after="0" w:line="240" w:lineRule="auto"/>
        <w:rPr>
          <w:rFonts w:eastAsia="Times New Roman"/>
          <w:sz w:val="22"/>
          <w:szCs w:val="22"/>
          <w:lang w:eastAsia="en-AU"/>
        </w:rPr>
      </w:pPr>
    </w:p>
    <w:p w14:paraId="1455C1ED" w14:textId="4F9DD41A" w:rsidR="001E51F5" w:rsidRPr="00976E97" w:rsidRDefault="001E51F5" w:rsidP="00976E97">
      <w:pPr>
        <w:spacing w:after="0" w:line="240" w:lineRule="auto"/>
        <w:rPr>
          <w:rFonts w:eastAsia="Times New Roman"/>
          <w:i/>
          <w:sz w:val="22"/>
          <w:szCs w:val="22"/>
          <w:lang w:eastAsia="en-AU"/>
        </w:rPr>
      </w:pPr>
      <w:r w:rsidRPr="00976E97">
        <w:rPr>
          <w:rFonts w:eastAsia="Times New Roman"/>
          <w:sz w:val="22"/>
          <w:szCs w:val="22"/>
          <w:lang w:eastAsia="en-AU"/>
        </w:rPr>
        <w:t xml:space="preserve">The </w:t>
      </w:r>
      <w:r w:rsidR="00976E97" w:rsidRPr="00976E97">
        <w:rPr>
          <w:rFonts w:eastAsia="Times New Roman"/>
          <w:sz w:val="22"/>
          <w:szCs w:val="22"/>
          <w:lang w:eastAsia="en-AU"/>
        </w:rPr>
        <w:t xml:space="preserve">Amendment Determination </w:t>
      </w:r>
      <w:r w:rsidRPr="00976E97">
        <w:rPr>
          <w:rFonts w:eastAsia="Times New Roman"/>
          <w:sz w:val="22"/>
          <w:szCs w:val="22"/>
          <w:lang w:eastAsia="en-AU"/>
        </w:rPr>
        <w:t>engages the right to health in Article 12 of the International Covenant on Economic, Social and Cultural rights (“ICESCR”).</w:t>
      </w:r>
    </w:p>
    <w:p w14:paraId="38FD6DAD" w14:textId="77777777" w:rsidR="001E51F5" w:rsidRPr="00976E97" w:rsidRDefault="001E51F5" w:rsidP="001E51F5">
      <w:pPr>
        <w:spacing w:after="0" w:line="240" w:lineRule="auto"/>
        <w:rPr>
          <w:rFonts w:eastAsia="Times New Roman"/>
          <w:sz w:val="22"/>
          <w:szCs w:val="22"/>
          <w:lang w:eastAsia="en-AU"/>
        </w:rPr>
      </w:pPr>
    </w:p>
    <w:p w14:paraId="6D6551BF" w14:textId="5250FD03" w:rsidR="001E51F5" w:rsidRPr="00976E97" w:rsidRDefault="001E51F5" w:rsidP="001E51F5">
      <w:pPr>
        <w:spacing w:after="0" w:line="240" w:lineRule="auto"/>
        <w:rPr>
          <w:rFonts w:eastAsia="Times New Roman"/>
          <w:sz w:val="22"/>
          <w:szCs w:val="22"/>
          <w:lang w:eastAsia="en-AU"/>
        </w:rPr>
      </w:pPr>
      <w:r w:rsidRPr="00976E97">
        <w:rPr>
          <w:rFonts w:eastAsia="Times New Roman"/>
          <w:sz w:val="22"/>
          <w:szCs w:val="22"/>
          <w:lang w:eastAsia="en-AU"/>
        </w:rPr>
        <w:lastRenderedPageBreak/>
        <w:t xml:space="preserve">Article 12 of the ICESCR promotes the right of all individuals to enjoy the highest attainable standards of physical and mental health. In </w:t>
      </w:r>
      <w:r w:rsidRPr="00976E97">
        <w:rPr>
          <w:rFonts w:eastAsia="Times New Roman"/>
          <w:i/>
          <w:sz w:val="22"/>
          <w:szCs w:val="22"/>
          <w:lang w:eastAsia="en-AU"/>
        </w:rPr>
        <w:t>General Comment No. 14: The Right to the Highest Attainable Standard of Health (Art. 12)</w:t>
      </w:r>
      <w:r w:rsidRPr="00976E97">
        <w:rPr>
          <w:rFonts w:eastAsia="Times New Roman"/>
          <w:sz w:val="22"/>
          <w:szCs w:val="22"/>
          <w:lang w:eastAsia="en-AU"/>
        </w:rPr>
        <w:t xml:space="preserve"> (2000), the United</w:t>
      </w:r>
      <w:r w:rsidR="00F631E1" w:rsidRPr="00976E97">
        <w:rPr>
          <w:rFonts w:eastAsia="Times New Roman"/>
          <w:sz w:val="22"/>
          <w:szCs w:val="22"/>
          <w:lang w:eastAsia="en-AU"/>
        </w:rPr>
        <w:t xml:space="preserve"> </w:t>
      </w:r>
      <w:r w:rsidRPr="00976E97">
        <w:rPr>
          <w:rFonts w:eastAsia="Times New Roman"/>
          <w:sz w:val="22"/>
          <w:szCs w:val="22"/>
          <w:lang w:eastAsia="en-AU"/>
        </w:rPr>
        <w:t>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2FE0CAA" w14:textId="77777777" w:rsidR="001E51F5" w:rsidRPr="00976E97" w:rsidRDefault="001E51F5" w:rsidP="001E51F5">
      <w:pPr>
        <w:spacing w:after="0" w:line="240" w:lineRule="auto"/>
        <w:rPr>
          <w:rFonts w:eastAsia="Times New Roman"/>
          <w:sz w:val="22"/>
          <w:szCs w:val="22"/>
          <w:lang w:eastAsia="en-AU"/>
        </w:rPr>
      </w:pPr>
    </w:p>
    <w:p w14:paraId="4738AE66" w14:textId="20B19C4C" w:rsidR="00E47491" w:rsidRPr="00976E97" w:rsidRDefault="00E47491" w:rsidP="00683911">
      <w:pPr>
        <w:autoSpaceDE w:val="0"/>
        <w:autoSpaceDN w:val="0"/>
        <w:adjustRightInd w:val="0"/>
        <w:spacing w:after="0" w:line="240" w:lineRule="auto"/>
        <w:rPr>
          <w:rFonts w:eastAsia="Times New Roman"/>
          <w:sz w:val="22"/>
          <w:szCs w:val="22"/>
          <w:lang w:eastAsia="en-AU"/>
        </w:rPr>
      </w:pPr>
      <w:r w:rsidRPr="00976E97">
        <w:rPr>
          <w:rFonts w:eastAsia="Times New Roman"/>
          <w:sz w:val="22"/>
          <w:szCs w:val="22"/>
          <w:lang w:eastAsia="en-AU"/>
        </w:rPr>
        <w:t xml:space="preserve">The </w:t>
      </w:r>
      <w:r w:rsidR="00976E97" w:rsidRPr="00976E97">
        <w:rPr>
          <w:rFonts w:eastAsia="Times New Roman"/>
          <w:sz w:val="22"/>
          <w:szCs w:val="22"/>
          <w:lang w:eastAsia="en-AU"/>
        </w:rPr>
        <w:t>A</w:t>
      </w:r>
      <w:r w:rsidR="0001622B" w:rsidRPr="00976E97">
        <w:rPr>
          <w:rFonts w:eastAsia="Times New Roman"/>
          <w:sz w:val="22"/>
          <w:szCs w:val="22"/>
          <w:lang w:eastAsia="en-AU"/>
        </w:rPr>
        <w:t xml:space="preserve">mendment </w:t>
      </w:r>
      <w:r w:rsidR="00976E97" w:rsidRPr="00976E97">
        <w:rPr>
          <w:rFonts w:eastAsia="Times New Roman"/>
          <w:sz w:val="22"/>
          <w:szCs w:val="22"/>
          <w:lang w:eastAsia="en-AU"/>
        </w:rPr>
        <w:t>Determination</w:t>
      </w:r>
      <w:r w:rsidR="00FB62EC" w:rsidRPr="00976E97">
        <w:rPr>
          <w:rFonts w:eastAsia="Times New Roman"/>
          <w:sz w:val="22"/>
          <w:szCs w:val="22"/>
          <w:lang w:eastAsia="en-AU"/>
        </w:rPr>
        <w:t xml:space="preserve"> </w:t>
      </w:r>
      <w:r w:rsidRPr="00976E97">
        <w:rPr>
          <w:rFonts w:eastAsia="Times New Roman"/>
          <w:sz w:val="22"/>
          <w:szCs w:val="22"/>
          <w:lang w:eastAsia="en-AU"/>
        </w:rPr>
        <w:t>takes positive steps to promote the right to health b</w:t>
      </w:r>
      <w:r w:rsidR="00685C8A" w:rsidRPr="00976E97">
        <w:rPr>
          <w:rFonts w:eastAsia="Times New Roman"/>
          <w:sz w:val="22"/>
          <w:szCs w:val="22"/>
          <w:lang w:eastAsia="en-AU"/>
        </w:rPr>
        <w:t xml:space="preserve">y ensuring there is appropriate documentary evidence accompanying an application for inclusion of </w:t>
      </w:r>
      <w:r w:rsidR="008F6D99" w:rsidRPr="00976E97">
        <w:rPr>
          <w:rFonts w:eastAsia="Times New Roman"/>
          <w:sz w:val="22"/>
          <w:szCs w:val="22"/>
          <w:lang w:eastAsia="en-AU"/>
        </w:rPr>
        <w:t xml:space="preserve">a Class IIb medical device in the Register to enable the application to </w:t>
      </w:r>
      <w:proofErr w:type="gramStart"/>
      <w:r w:rsidR="008F6D99" w:rsidRPr="00976E97">
        <w:rPr>
          <w:rFonts w:eastAsia="Times New Roman"/>
          <w:sz w:val="22"/>
          <w:szCs w:val="22"/>
          <w:lang w:eastAsia="en-AU"/>
        </w:rPr>
        <w:t>be processed</w:t>
      </w:r>
      <w:proofErr w:type="gramEnd"/>
      <w:r w:rsidR="008F6D99" w:rsidRPr="00976E97">
        <w:rPr>
          <w:rFonts w:eastAsia="Times New Roman"/>
          <w:sz w:val="22"/>
          <w:szCs w:val="22"/>
          <w:lang w:eastAsia="en-AU"/>
        </w:rPr>
        <w:t xml:space="preserve"> by the Secretary of the Department of Health</w:t>
      </w:r>
      <w:r w:rsidR="002A5E21" w:rsidRPr="00976E97">
        <w:rPr>
          <w:rFonts w:eastAsia="Times New Roman"/>
          <w:sz w:val="22"/>
          <w:szCs w:val="22"/>
          <w:lang w:eastAsia="en-AU"/>
        </w:rPr>
        <w:t xml:space="preserve"> and Aged Care</w:t>
      </w:r>
      <w:r w:rsidR="008F6D99" w:rsidRPr="00976E97">
        <w:rPr>
          <w:rFonts w:eastAsia="Times New Roman"/>
          <w:sz w:val="22"/>
          <w:szCs w:val="22"/>
          <w:lang w:eastAsia="en-AU"/>
        </w:rPr>
        <w:t xml:space="preserve"> in an effective and timely manner. The information that must accompany an application for inclusion in the Register will assist in ensuring the safety and satisfactory performance of medical devices, as well as their timely availability, in Australia.</w:t>
      </w:r>
    </w:p>
    <w:p w14:paraId="64875452" w14:textId="77777777" w:rsidR="00E47491" w:rsidRPr="00976E97" w:rsidRDefault="00E47491" w:rsidP="001E51F5">
      <w:pPr>
        <w:spacing w:after="0" w:line="240" w:lineRule="auto"/>
        <w:rPr>
          <w:rFonts w:eastAsia="Times New Roman"/>
          <w:sz w:val="22"/>
          <w:szCs w:val="22"/>
          <w:lang w:eastAsia="en-AU"/>
        </w:rPr>
      </w:pPr>
    </w:p>
    <w:p w14:paraId="36BAC2C1" w14:textId="77777777" w:rsidR="001E51F5" w:rsidRPr="00976E97" w:rsidRDefault="001E51F5" w:rsidP="001E51F5">
      <w:pPr>
        <w:spacing w:after="0" w:line="240" w:lineRule="auto"/>
        <w:rPr>
          <w:rFonts w:eastAsia="Times New Roman"/>
          <w:b/>
          <w:sz w:val="22"/>
          <w:szCs w:val="22"/>
          <w:lang w:eastAsia="en-AU"/>
        </w:rPr>
      </w:pPr>
      <w:r w:rsidRPr="00976E97">
        <w:rPr>
          <w:rFonts w:eastAsia="Times New Roman"/>
          <w:b/>
          <w:sz w:val="22"/>
          <w:szCs w:val="22"/>
          <w:lang w:eastAsia="en-AU"/>
        </w:rPr>
        <w:t>Conclusion</w:t>
      </w:r>
    </w:p>
    <w:p w14:paraId="35CE2E58" w14:textId="77777777" w:rsidR="001E51F5" w:rsidRPr="00976E97" w:rsidRDefault="001E51F5" w:rsidP="001E51F5">
      <w:pPr>
        <w:spacing w:after="0" w:line="240" w:lineRule="auto"/>
        <w:rPr>
          <w:rFonts w:eastAsia="Times New Roman"/>
          <w:sz w:val="22"/>
          <w:szCs w:val="22"/>
          <w:lang w:eastAsia="en-AU"/>
        </w:rPr>
      </w:pPr>
    </w:p>
    <w:p w14:paraId="1A64B326" w14:textId="25C79EA8" w:rsidR="00280050" w:rsidRDefault="001E51F5" w:rsidP="008F5612">
      <w:pPr>
        <w:spacing w:after="0" w:line="240" w:lineRule="auto"/>
      </w:pPr>
      <w:r w:rsidRPr="00976E97">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Sect="00464FC6">
      <w:headerReference w:type="even" r:id="rId7"/>
      <w:headerReference w:type="default" r:id="rId8"/>
      <w:footerReference w:type="default" r:id="rId9"/>
      <w:footerReference w:type="first" r:id="rId1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CFBF" w14:textId="77777777" w:rsidR="00BC283D" w:rsidRDefault="00BC283D">
      <w:pPr>
        <w:spacing w:after="0" w:line="240" w:lineRule="auto"/>
      </w:pPr>
      <w:r>
        <w:separator/>
      </w:r>
    </w:p>
  </w:endnote>
  <w:endnote w:type="continuationSeparator" w:id="0">
    <w:p w14:paraId="3967C2AE" w14:textId="77777777" w:rsidR="00BC283D" w:rsidRDefault="00BC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C826692" w14:textId="0D840262" w:rsidR="001E2F1D" w:rsidRPr="00BF658A" w:rsidRDefault="001E2F1D">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B2F71">
          <w:rPr>
            <w:noProof/>
            <w:sz w:val="22"/>
            <w:szCs w:val="22"/>
          </w:rPr>
          <w:t>6</w:t>
        </w:r>
        <w:r w:rsidRPr="00BF658A">
          <w:rPr>
            <w:noProof/>
            <w:sz w:val="22"/>
            <w:szCs w:val="22"/>
          </w:rPr>
          <w:fldChar w:fldCharType="end"/>
        </w:r>
      </w:p>
    </w:sdtContent>
  </w:sdt>
  <w:p w14:paraId="31A5E6A0" w14:textId="77777777" w:rsidR="001E2F1D" w:rsidRPr="00877529" w:rsidRDefault="001E2F1D"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9920" w14:textId="77777777" w:rsidR="001E2F1D" w:rsidRDefault="001E2F1D"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1A0B" w14:textId="77777777" w:rsidR="00BC283D" w:rsidRDefault="00BC283D">
      <w:pPr>
        <w:spacing w:after="0" w:line="240" w:lineRule="auto"/>
      </w:pPr>
      <w:r>
        <w:separator/>
      </w:r>
    </w:p>
  </w:footnote>
  <w:footnote w:type="continuationSeparator" w:id="0">
    <w:p w14:paraId="4566BF37" w14:textId="77777777" w:rsidR="00BC283D" w:rsidRDefault="00BC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6315" w14:textId="77777777" w:rsidR="001E2F1D" w:rsidRDefault="001E2F1D"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C518" w14:textId="77777777" w:rsidR="001E2F1D" w:rsidRDefault="001E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324" w14:textId="77777777" w:rsidR="001E2F1D" w:rsidRDefault="001E2F1D"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862"/>
    <w:multiLevelType w:val="hybridMultilevel"/>
    <w:tmpl w:val="2852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D4B1A"/>
    <w:multiLevelType w:val="hybridMultilevel"/>
    <w:tmpl w:val="F426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57F19"/>
    <w:multiLevelType w:val="hybridMultilevel"/>
    <w:tmpl w:val="738419B8"/>
    <w:lvl w:ilvl="0" w:tplc="0C09001B">
      <w:start w:val="1"/>
      <w:numFmt w:val="lowerRoman"/>
      <w:lvlText w:val="%1."/>
      <w:lvlJc w:val="righ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02C6D41"/>
    <w:multiLevelType w:val="hybridMultilevel"/>
    <w:tmpl w:val="6DE8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FD5FF1"/>
    <w:multiLevelType w:val="hybridMultilevel"/>
    <w:tmpl w:val="B354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D30425"/>
    <w:multiLevelType w:val="hybridMultilevel"/>
    <w:tmpl w:val="47FE5D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741544">
    <w:abstractNumId w:val="8"/>
  </w:num>
  <w:num w:numId="2" w16cid:durableId="1443643509">
    <w:abstractNumId w:val="4"/>
  </w:num>
  <w:num w:numId="3" w16cid:durableId="867447958">
    <w:abstractNumId w:val="7"/>
  </w:num>
  <w:num w:numId="4" w16cid:durableId="865412208">
    <w:abstractNumId w:val="6"/>
  </w:num>
  <w:num w:numId="5" w16cid:durableId="963266033">
    <w:abstractNumId w:val="2"/>
  </w:num>
  <w:num w:numId="6" w16cid:durableId="1190995579">
    <w:abstractNumId w:val="1"/>
  </w:num>
  <w:num w:numId="7" w16cid:durableId="496842464">
    <w:abstractNumId w:val="0"/>
  </w:num>
  <w:num w:numId="8" w16cid:durableId="150296238">
    <w:abstractNumId w:val="3"/>
  </w:num>
  <w:num w:numId="9" w16cid:durableId="578832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15646"/>
    <w:rsid w:val="0001622B"/>
    <w:rsid w:val="0001643C"/>
    <w:rsid w:val="0002519E"/>
    <w:rsid w:val="00027463"/>
    <w:rsid w:val="00033BA3"/>
    <w:rsid w:val="0004220B"/>
    <w:rsid w:val="0004561D"/>
    <w:rsid w:val="00050390"/>
    <w:rsid w:val="00052D17"/>
    <w:rsid w:val="000554CE"/>
    <w:rsid w:val="000722DC"/>
    <w:rsid w:val="0009481D"/>
    <w:rsid w:val="000A78C9"/>
    <w:rsid w:val="000B2FF8"/>
    <w:rsid w:val="000C3DF8"/>
    <w:rsid w:val="000D07F6"/>
    <w:rsid w:val="000D75F1"/>
    <w:rsid w:val="000F16DC"/>
    <w:rsid w:val="000F38EB"/>
    <w:rsid w:val="00103A0E"/>
    <w:rsid w:val="00122F2E"/>
    <w:rsid w:val="00125CB9"/>
    <w:rsid w:val="00133D92"/>
    <w:rsid w:val="00140068"/>
    <w:rsid w:val="0015368D"/>
    <w:rsid w:val="001760F0"/>
    <w:rsid w:val="00185258"/>
    <w:rsid w:val="00196C1C"/>
    <w:rsid w:val="001A3897"/>
    <w:rsid w:val="001B02FC"/>
    <w:rsid w:val="001C5975"/>
    <w:rsid w:val="001C5C7C"/>
    <w:rsid w:val="001D280F"/>
    <w:rsid w:val="001D7D3D"/>
    <w:rsid w:val="001E2481"/>
    <w:rsid w:val="001E2F1D"/>
    <w:rsid w:val="001E51F5"/>
    <w:rsid w:val="00200E0C"/>
    <w:rsid w:val="00205D5E"/>
    <w:rsid w:val="00206AC0"/>
    <w:rsid w:val="00225970"/>
    <w:rsid w:val="00235D13"/>
    <w:rsid w:val="00243199"/>
    <w:rsid w:val="002442FB"/>
    <w:rsid w:val="0024775A"/>
    <w:rsid w:val="0025038A"/>
    <w:rsid w:val="00274E3F"/>
    <w:rsid w:val="00280050"/>
    <w:rsid w:val="0028482C"/>
    <w:rsid w:val="002855F8"/>
    <w:rsid w:val="002A5E21"/>
    <w:rsid w:val="002B650B"/>
    <w:rsid w:val="002C0A61"/>
    <w:rsid w:val="002D5576"/>
    <w:rsid w:val="00301A54"/>
    <w:rsid w:val="003071FB"/>
    <w:rsid w:val="00310965"/>
    <w:rsid w:val="00310B59"/>
    <w:rsid w:val="0031629D"/>
    <w:rsid w:val="00342B6B"/>
    <w:rsid w:val="003460A8"/>
    <w:rsid w:val="00351D7B"/>
    <w:rsid w:val="00364C69"/>
    <w:rsid w:val="00374344"/>
    <w:rsid w:val="00375F1F"/>
    <w:rsid w:val="0038420D"/>
    <w:rsid w:val="0039340E"/>
    <w:rsid w:val="003973AB"/>
    <w:rsid w:val="003C0D65"/>
    <w:rsid w:val="003C36B4"/>
    <w:rsid w:val="003C56F8"/>
    <w:rsid w:val="003D07BD"/>
    <w:rsid w:val="003D43BB"/>
    <w:rsid w:val="00412DE3"/>
    <w:rsid w:val="00437295"/>
    <w:rsid w:val="0044012B"/>
    <w:rsid w:val="00443BD5"/>
    <w:rsid w:val="004521BA"/>
    <w:rsid w:val="00452C85"/>
    <w:rsid w:val="00463ACD"/>
    <w:rsid w:val="00464FC6"/>
    <w:rsid w:val="004875B7"/>
    <w:rsid w:val="00492D66"/>
    <w:rsid w:val="004A67CB"/>
    <w:rsid w:val="004B33DC"/>
    <w:rsid w:val="004B4A30"/>
    <w:rsid w:val="004B5595"/>
    <w:rsid w:val="004C7BCE"/>
    <w:rsid w:val="004D2B23"/>
    <w:rsid w:val="00505E4C"/>
    <w:rsid w:val="0051143F"/>
    <w:rsid w:val="005144CD"/>
    <w:rsid w:val="0053519F"/>
    <w:rsid w:val="00540A4F"/>
    <w:rsid w:val="00550BB2"/>
    <w:rsid w:val="00560971"/>
    <w:rsid w:val="00573284"/>
    <w:rsid w:val="00573401"/>
    <w:rsid w:val="0058535D"/>
    <w:rsid w:val="00586C40"/>
    <w:rsid w:val="005A4B9E"/>
    <w:rsid w:val="005B5FF4"/>
    <w:rsid w:val="005C6E1B"/>
    <w:rsid w:val="005E096D"/>
    <w:rsid w:val="005E7A56"/>
    <w:rsid w:val="00600A78"/>
    <w:rsid w:val="00601EE5"/>
    <w:rsid w:val="006361E9"/>
    <w:rsid w:val="006538F1"/>
    <w:rsid w:val="006552A5"/>
    <w:rsid w:val="00656043"/>
    <w:rsid w:val="00683911"/>
    <w:rsid w:val="00685658"/>
    <w:rsid w:val="00685C8A"/>
    <w:rsid w:val="006862CE"/>
    <w:rsid w:val="00687756"/>
    <w:rsid w:val="006D199B"/>
    <w:rsid w:val="006D6145"/>
    <w:rsid w:val="006E5EEE"/>
    <w:rsid w:val="0070652F"/>
    <w:rsid w:val="00722EE0"/>
    <w:rsid w:val="007254DE"/>
    <w:rsid w:val="007355A5"/>
    <w:rsid w:val="00737C40"/>
    <w:rsid w:val="00743324"/>
    <w:rsid w:val="007436F9"/>
    <w:rsid w:val="00751077"/>
    <w:rsid w:val="007852A9"/>
    <w:rsid w:val="0079719F"/>
    <w:rsid w:val="007A587B"/>
    <w:rsid w:val="007B1C63"/>
    <w:rsid w:val="007C1A12"/>
    <w:rsid w:val="007C65B6"/>
    <w:rsid w:val="007E4E4D"/>
    <w:rsid w:val="007F1156"/>
    <w:rsid w:val="008056CA"/>
    <w:rsid w:val="00810DEB"/>
    <w:rsid w:val="0081149F"/>
    <w:rsid w:val="008121EF"/>
    <w:rsid w:val="00827A22"/>
    <w:rsid w:val="00830770"/>
    <w:rsid w:val="00836203"/>
    <w:rsid w:val="0084275D"/>
    <w:rsid w:val="008600C6"/>
    <w:rsid w:val="0087538C"/>
    <w:rsid w:val="00876C93"/>
    <w:rsid w:val="008925C6"/>
    <w:rsid w:val="00892CA8"/>
    <w:rsid w:val="00894B88"/>
    <w:rsid w:val="008A1261"/>
    <w:rsid w:val="008A648E"/>
    <w:rsid w:val="008C1B6F"/>
    <w:rsid w:val="008D0155"/>
    <w:rsid w:val="008D28FD"/>
    <w:rsid w:val="008D6F7A"/>
    <w:rsid w:val="008E0FFF"/>
    <w:rsid w:val="008E3633"/>
    <w:rsid w:val="008F5612"/>
    <w:rsid w:val="008F6D99"/>
    <w:rsid w:val="009021F4"/>
    <w:rsid w:val="0091430D"/>
    <w:rsid w:val="00931474"/>
    <w:rsid w:val="00931C76"/>
    <w:rsid w:val="009374C4"/>
    <w:rsid w:val="0094488F"/>
    <w:rsid w:val="00951C44"/>
    <w:rsid w:val="00955D48"/>
    <w:rsid w:val="009638EA"/>
    <w:rsid w:val="00974BA7"/>
    <w:rsid w:val="00976E97"/>
    <w:rsid w:val="009948BD"/>
    <w:rsid w:val="00994E54"/>
    <w:rsid w:val="00996764"/>
    <w:rsid w:val="009A2EAD"/>
    <w:rsid w:val="009B2EFB"/>
    <w:rsid w:val="009B3821"/>
    <w:rsid w:val="009B6CB1"/>
    <w:rsid w:val="009C70F9"/>
    <w:rsid w:val="009D336F"/>
    <w:rsid w:val="00A06503"/>
    <w:rsid w:val="00A1477C"/>
    <w:rsid w:val="00A31837"/>
    <w:rsid w:val="00A34388"/>
    <w:rsid w:val="00A4675C"/>
    <w:rsid w:val="00A50C70"/>
    <w:rsid w:val="00A557DC"/>
    <w:rsid w:val="00A6186F"/>
    <w:rsid w:val="00A76FF1"/>
    <w:rsid w:val="00AA0C9E"/>
    <w:rsid w:val="00AB0218"/>
    <w:rsid w:val="00AB3017"/>
    <w:rsid w:val="00AB4485"/>
    <w:rsid w:val="00AD225F"/>
    <w:rsid w:val="00B22A73"/>
    <w:rsid w:val="00B23BE5"/>
    <w:rsid w:val="00B2663D"/>
    <w:rsid w:val="00B3155E"/>
    <w:rsid w:val="00B5474B"/>
    <w:rsid w:val="00B6399A"/>
    <w:rsid w:val="00B7352E"/>
    <w:rsid w:val="00B771B9"/>
    <w:rsid w:val="00B822AA"/>
    <w:rsid w:val="00B83BD5"/>
    <w:rsid w:val="00BA15EA"/>
    <w:rsid w:val="00BC283D"/>
    <w:rsid w:val="00BD33A7"/>
    <w:rsid w:val="00BF6EED"/>
    <w:rsid w:val="00C070E7"/>
    <w:rsid w:val="00C24838"/>
    <w:rsid w:val="00C31B89"/>
    <w:rsid w:val="00C4515F"/>
    <w:rsid w:val="00C475F3"/>
    <w:rsid w:val="00C542E4"/>
    <w:rsid w:val="00C629A9"/>
    <w:rsid w:val="00C630D5"/>
    <w:rsid w:val="00C65767"/>
    <w:rsid w:val="00C72299"/>
    <w:rsid w:val="00C75AB3"/>
    <w:rsid w:val="00C75C51"/>
    <w:rsid w:val="00C81410"/>
    <w:rsid w:val="00CD1B43"/>
    <w:rsid w:val="00CD5775"/>
    <w:rsid w:val="00CE105B"/>
    <w:rsid w:val="00CF18B1"/>
    <w:rsid w:val="00D077A1"/>
    <w:rsid w:val="00D12E65"/>
    <w:rsid w:val="00D13852"/>
    <w:rsid w:val="00D171ED"/>
    <w:rsid w:val="00D305E4"/>
    <w:rsid w:val="00D30B54"/>
    <w:rsid w:val="00D36D53"/>
    <w:rsid w:val="00D40D96"/>
    <w:rsid w:val="00D438C2"/>
    <w:rsid w:val="00D55AFD"/>
    <w:rsid w:val="00D9090E"/>
    <w:rsid w:val="00DB2F71"/>
    <w:rsid w:val="00DB6ABF"/>
    <w:rsid w:val="00DC540A"/>
    <w:rsid w:val="00DC577F"/>
    <w:rsid w:val="00DD71DA"/>
    <w:rsid w:val="00DE3B07"/>
    <w:rsid w:val="00DF15A3"/>
    <w:rsid w:val="00DF3CD4"/>
    <w:rsid w:val="00E03E8A"/>
    <w:rsid w:val="00E47491"/>
    <w:rsid w:val="00E52CD9"/>
    <w:rsid w:val="00E7444B"/>
    <w:rsid w:val="00E81D7C"/>
    <w:rsid w:val="00E860DD"/>
    <w:rsid w:val="00EC68CB"/>
    <w:rsid w:val="00ED3400"/>
    <w:rsid w:val="00EE6335"/>
    <w:rsid w:val="00F14C4A"/>
    <w:rsid w:val="00F14D6C"/>
    <w:rsid w:val="00F204CA"/>
    <w:rsid w:val="00F31114"/>
    <w:rsid w:val="00F46F0B"/>
    <w:rsid w:val="00F61EF1"/>
    <w:rsid w:val="00F631E1"/>
    <w:rsid w:val="00F7394F"/>
    <w:rsid w:val="00F964B7"/>
    <w:rsid w:val="00FB3D54"/>
    <w:rsid w:val="00FB62EC"/>
    <w:rsid w:val="00FC6A0B"/>
    <w:rsid w:val="00FE05D9"/>
    <w:rsid w:val="00FE5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67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basedOn w:val="Normal"/>
    <w:uiPriority w:val="34"/>
    <w:qFormat/>
    <w:rsid w:val="00C65767"/>
    <w:pPr>
      <w:ind w:left="720"/>
      <w:contextualSpacing/>
    </w:pPr>
  </w:style>
  <w:style w:type="character" w:styleId="UnresolvedMention">
    <w:name w:val="Unresolved Mention"/>
    <w:basedOn w:val="DefaultParagraphFont"/>
    <w:uiPriority w:val="99"/>
    <w:semiHidden/>
    <w:unhideWhenUsed/>
    <w:rsid w:val="000B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580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4</cp:revision>
  <cp:lastPrinted>2020-09-25T07:41:00Z</cp:lastPrinted>
  <dcterms:created xsi:type="dcterms:W3CDTF">2023-10-04T00:23:00Z</dcterms:created>
  <dcterms:modified xsi:type="dcterms:W3CDTF">2023-10-04T00:25:00Z</dcterms:modified>
</cp:coreProperties>
</file>