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264D" w14:textId="70596DD2" w:rsidR="009121B9" w:rsidRPr="00FE2FDD" w:rsidRDefault="009121B9" w:rsidP="009121B9">
      <w:pPr>
        <w:pStyle w:val="Heading"/>
        <w:spacing w:before="120"/>
        <w:jc w:val="center"/>
        <w:rPr>
          <w:rFonts w:ascii="Times New Roman" w:hAnsi="Times New Roman"/>
          <w:sz w:val="24"/>
          <w:szCs w:val="24"/>
        </w:rPr>
      </w:pPr>
      <w:r w:rsidRPr="00E30C24">
        <w:rPr>
          <w:rFonts w:ascii="Times New Roman" w:hAnsi="Times New Roman"/>
          <w:sz w:val="24"/>
          <w:szCs w:val="24"/>
        </w:rPr>
        <w:t>Ba</w:t>
      </w:r>
      <w:r w:rsidRPr="00FE2FDD">
        <w:rPr>
          <w:rFonts w:ascii="Times New Roman" w:hAnsi="Times New Roman"/>
          <w:sz w:val="24"/>
          <w:szCs w:val="24"/>
        </w:rPr>
        <w:t xml:space="preserve">nking, Insurance, Life Insurance, Health Insurance and Superannuation (prudential standard) determination No. </w:t>
      </w:r>
      <w:r w:rsidR="00C56621" w:rsidRPr="00FE2FDD">
        <w:rPr>
          <w:rFonts w:ascii="Times New Roman" w:hAnsi="Times New Roman"/>
          <w:sz w:val="24"/>
          <w:szCs w:val="24"/>
        </w:rPr>
        <w:t xml:space="preserve">1 </w:t>
      </w:r>
      <w:r w:rsidRPr="00FE2FDD">
        <w:rPr>
          <w:rFonts w:ascii="Times New Roman" w:hAnsi="Times New Roman"/>
          <w:sz w:val="24"/>
          <w:szCs w:val="24"/>
        </w:rPr>
        <w:t>of 202</w:t>
      </w:r>
      <w:r w:rsidR="00E658EC" w:rsidRPr="00FE2FDD">
        <w:rPr>
          <w:rFonts w:ascii="Times New Roman" w:hAnsi="Times New Roman"/>
          <w:sz w:val="24"/>
          <w:szCs w:val="24"/>
        </w:rPr>
        <w:t>3</w:t>
      </w:r>
    </w:p>
    <w:p w14:paraId="110F0DD9" w14:textId="77777777" w:rsidR="009121B9" w:rsidRPr="00FE2FDD" w:rsidRDefault="009121B9" w:rsidP="009121B9">
      <w:pPr>
        <w:pStyle w:val="Heading"/>
        <w:tabs>
          <w:tab w:val="left" w:pos="360"/>
        </w:tabs>
        <w:spacing w:before="120"/>
        <w:jc w:val="center"/>
        <w:rPr>
          <w:rFonts w:ascii="Times New Roman" w:hAnsi="Times New Roman"/>
          <w:sz w:val="24"/>
          <w:szCs w:val="24"/>
          <w:u w:val="single"/>
        </w:rPr>
      </w:pPr>
      <w:bookmarkStart w:id="0" w:name="bkInstrumentSubTitle"/>
      <w:bookmarkStart w:id="1" w:name="_Hlk83890998"/>
      <w:bookmarkEnd w:id="0"/>
      <w:r w:rsidRPr="00FE2FDD">
        <w:rPr>
          <w:rFonts w:ascii="Times New Roman" w:hAnsi="Times New Roman"/>
          <w:sz w:val="24"/>
          <w:szCs w:val="24"/>
          <w:u w:val="single"/>
        </w:rPr>
        <w:t>EXPLANATORY STATEMENT</w:t>
      </w:r>
    </w:p>
    <w:bookmarkEnd w:id="1"/>
    <w:p w14:paraId="09930851" w14:textId="77777777" w:rsidR="009121B9" w:rsidRPr="00FE2FDD" w:rsidRDefault="009121B9" w:rsidP="009121B9">
      <w:pPr>
        <w:pStyle w:val="Heading"/>
        <w:spacing w:before="120"/>
        <w:jc w:val="center"/>
        <w:rPr>
          <w:rFonts w:ascii="Times New Roman" w:hAnsi="Times New Roman"/>
          <w:sz w:val="24"/>
          <w:szCs w:val="24"/>
        </w:rPr>
      </w:pPr>
      <w:r w:rsidRPr="00FE2FDD">
        <w:rPr>
          <w:rFonts w:ascii="Times New Roman" w:hAnsi="Times New Roman"/>
          <w:sz w:val="24"/>
          <w:szCs w:val="24"/>
        </w:rPr>
        <w:t>Prepared by the Australian Prudential Regulation Authority (APRA)</w:t>
      </w:r>
    </w:p>
    <w:p w14:paraId="68B2C4AB" w14:textId="77777777" w:rsidR="009121B9" w:rsidRPr="00FE2FDD" w:rsidRDefault="009121B9" w:rsidP="009121B9">
      <w:pPr>
        <w:pStyle w:val="Heading"/>
        <w:tabs>
          <w:tab w:val="left" w:pos="360"/>
        </w:tabs>
        <w:spacing w:before="120"/>
        <w:jc w:val="center"/>
        <w:rPr>
          <w:rFonts w:ascii="Times New Roman" w:hAnsi="Times New Roman"/>
          <w:b w:val="0"/>
          <w:i/>
          <w:sz w:val="24"/>
          <w:szCs w:val="24"/>
        </w:rPr>
      </w:pPr>
      <w:r w:rsidRPr="00FE2FDD">
        <w:rPr>
          <w:rFonts w:ascii="Times New Roman" w:hAnsi="Times New Roman"/>
          <w:b w:val="0"/>
          <w:i/>
          <w:sz w:val="24"/>
          <w:szCs w:val="24"/>
        </w:rPr>
        <w:t xml:space="preserve">Banking Act 1959, </w:t>
      </w:r>
      <w:r w:rsidRPr="00FE2FDD">
        <w:rPr>
          <w:rFonts w:ascii="Times New Roman" w:hAnsi="Times New Roman"/>
          <w:b w:val="0"/>
          <w:sz w:val="24"/>
          <w:szCs w:val="24"/>
        </w:rPr>
        <w:t>section 11AF</w:t>
      </w:r>
    </w:p>
    <w:p w14:paraId="2D2FCBA2" w14:textId="77777777" w:rsidR="009121B9" w:rsidRPr="00FE2FDD" w:rsidRDefault="009121B9" w:rsidP="009121B9">
      <w:pPr>
        <w:pStyle w:val="Heading"/>
        <w:tabs>
          <w:tab w:val="left" w:pos="360"/>
        </w:tabs>
        <w:spacing w:before="120"/>
        <w:jc w:val="center"/>
        <w:rPr>
          <w:rFonts w:ascii="Times New Roman" w:hAnsi="Times New Roman"/>
          <w:b w:val="0"/>
          <w:i/>
          <w:sz w:val="24"/>
          <w:szCs w:val="24"/>
        </w:rPr>
      </w:pPr>
      <w:r w:rsidRPr="00FE2FDD">
        <w:rPr>
          <w:rFonts w:ascii="Times New Roman" w:hAnsi="Times New Roman"/>
          <w:b w:val="0"/>
          <w:i/>
          <w:sz w:val="24"/>
          <w:szCs w:val="24"/>
        </w:rPr>
        <w:t xml:space="preserve">Insurance Act 1973, </w:t>
      </w:r>
      <w:r w:rsidRPr="00FE2FDD">
        <w:rPr>
          <w:rFonts w:ascii="Times New Roman" w:hAnsi="Times New Roman"/>
          <w:b w:val="0"/>
          <w:sz w:val="24"/>
          <w:szCs w:val="24"/>
        </w:rPr>
        <w:t>section 32</w:t>
      </w:r>
    </w:p>
    <w:p w14:paraId="1DA3D4D4" w14:textId="77777777" w:rsidR="009121B9" w:rsidRPr="00FE2FDD" w:rsidRDefault="009121B9" w:rsidP="009121B9">
      <w:pPr>
        <w:pStyle w:val="Heading"/>
        <w:tabs>
          <w:tab w:val="left" w:pos="360"/>
        </w:tabs>
        <w:spacing w:before="120"/>
        <w:jc w:val="center"/>
        <w:rPr>
          <w:rFonts w:ascii="Times New Roman" w:hAnsi="Times New Roman"/>
        </w:rPr>
      </w:pPr>
      <w:r w:rsidRPr="00FE2FDD">
        <w:rPr>
          <w:rFonts w:ascii="Times New Roman" w:hAnsi="Times New Roman"/>
          <w:b w:val="0"/>
          <w:i/>
          <w:sz w:val="24"/>
          <w:szCs w:val="24"/>
        </w:rPr>
        <w:t xml:space="preserve">Life Insurance Act 1995, </w:t>
      </w:r>
      <w:r w:rsidRPr="00FE2FDD">
        <w:rPr>
          <w:rFonts w:ascii="Times New Roman" w:hAnsi="Times New Roman"/>
          <w:b w:val="0"/>
          <w:sz w:val="24"/>
          <w:szCs w:val="24"/>
        </w:rPr>
        <w:t>section 230A</w:t>
      </w:r>
    </w:p>
    <w:p w14:paraId="31288DBA" w14:textId="77777777" w:rsidR="009121B9" w:rsidRPr="00FE2FDD" w:rsidRDefault="009121B9" w:rsidP="009121B9">
      <w:pPr>
        <w:pStyle w:val="Heading"/>
        <w:tabs>
          <w:tab w:val="left" w:pos="360"/>
        </w:tabs>
        <w:spacing w:before="120"/>
        <w:jc w:val="center"/>
        <w:rPr>
          <w:rFonts w:ascii="Times New Roman" w:hAnsi="Times New Roman"/>
          <w:b w:val="0"/>
          <w:i/>
          <w:sz w:val="24"/>
          <w:szCs w:val="24"/>
        </w:rPr>
      </w:pPr>
      <w:r w:rsidRPr="00FE2FDD">
        <w:rPr>
          <w:rFonts w:ascii="Times New Roman" w:hAnsi="Times New Roman"/>
          <w:b w:val="0"/>
          <w:i/>
          <w:sz w:val="24"/>
          <w:szCs w:val="24"/>
        </w:rPr>
        <w:t xml:space="preserve">Private Health Insurance (Prudential Supervision) Act 2015, </w:t>
      </w:r>
      <w:r w:rsidRPr="00FE2FDD">
        <w:rPr>
          <w:rFonts w:ascii="Times New Roman" w:hAnsi="Times New Roman"/>
          <w:b w:val="0"/>
          <w:sz w:val="24"/>
          <w:szCs w:val="24"/>
        </w:rPr>
        <w:t>section 92</w:t>
      </w:r>
    </w:p>
    <w:p w14:paraId="7BD1E1B2" w14:textId="77777777" w:rsidR="009121B9" w:rsidRPr="00FE2FDD" w:rsidRDefault="009121B9" w:rsidP="009121B9">
      <w:pPr>
        <w:pStyle w:val="Heading"/>
        <w:tabs>
          <w:tab w:val="left" w:pos="360"/>
        </w:tabs>
        <w:spacing w:before="120"/>
        <w:jc w:val="center"/>
        <w:rPr>
          <w:rFonts w:ascii="Times New Roman" w:hAnsi="Times New Roman"/>
          <w:b w:val="0"/>
          <w:i/>
          <w:sz w:val="24"/>
          <w:szCs w:val="24"/>
        </w:rPr>
      </w:pPr>
      <w:r w:rsidRPr="00FE2FDD">
        <w:rPr>
          <w:rFonts w:ascii="Times New Roman" w:hAnsi="Times New Roman"/>
          <w:b w:val="0"/>
          <w:i/>
          <w:sz w:val="24"/>
          <w:szCs w:val="24"/>
        </w:rPr>
        <w:t xml:space="preserve">Superannuation Industry (Supervision) Act 1993, </w:t>
      </w:r>
      <w:r w:rsidRPr="00FE2FDD">
        <w:rPr>
          <w:rFonts w:ascii="Times New Roman" w:hAnsi="Times New Roman"/>
          <w:b w:val="0"/>
          <w:sz w:val="24"/>
          <w:szCs w:val="24"/>
        </w:rPr>
        <w:t>section 34C</w:t>
      </w:r>
    </w:p>
    <w:p w14:paraId="3DCC74A8" w14:textId="77777777" w:rsidR="009121B9" w:rsidRPr="00FE2FDD" w:rsidRDefault="009121B9" w:rsidP="009121B9">
      <w:pPr>
        <w:rPr>
          <w:rFonts w:ascii="Times New Roman" w:hAnsi="Times New Roman" w:cs="Times New Roman"/>
          <w:sz w:val="24"/>
          <w:szCs w:val="24"/>
        </w:rPr>
      </w:pPr>
    </w:p>
    <w:p w14:paraId="67A428C5" w14:textId="77777777" w:rsidR="009121B9" w:rsidRPr="00FE2FDD" w:rsidRDefault="009121B9" w:rsidP="005116CA">
      <w:pPr>
        <w:rPr>
          <w:rFonts w:ascii="Times New Roman" w:hAnsi="Times New Roman" w:cs="Times New Roman"/>
          <w:sz w:val="24"/>
          <w:szCs w:val="24"/>
        </w:rPr>
      </w:pPr>
      <w:r w:rsidRPr="00FE2FDD">
        <w:rPr>
          <w:rFonts w:ascii="Times New Roman" w:hAnsi="Times New Roman" w:cs="Times New Roman"/>
          <w:sz w:val="24"/>
          <w:szCs w:val="24"/>
        </w:rPr>
        <w:t>APRA may, in writing, determine a prudential standard that applies to an APRA-regulated entity under:</w:t>
      </w:r>
    </w:p>
    <w:p w14:paraId="1FBD024F" w14:textId="3DAD2794" w:rsidR="009121B9" w:rsidRPr="00FE2FDD" w:rsidRDefault="009121B9" w:rsidP="005116CA">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FE2FDD">
        <w:rPr>
          <w:rFonts w:ascii="Times New Roman" w:hAnsi="Times New Roman" w:cs="Times New Roman"/>
          <w:sz w:val="24"/>
          <w:szCs w:val="24"/>
        </w:rPr>
        <w:t>subsection 11</w:t>
      </w:r>
      <w:proofErr w:type="gramStart"/>
      <w:r w:rsidRPr="00FE2FDD">
        <w:rPr>
          <w:rFonts w:ascii="Times New Roman" w:hAnsi="Times New Roman" w:cs="Times New Roman"/>
          <w:sz w:val="24"/>
          <w:szCs w:val="24"/>
        </w:rPr>
        <w:t>AF(</w:t>
      </w:r>
      <w:proofErr w:type="gramEnd"/>
      <w:r w:rsidRPr="00FE2FDD">
        <w:rPr>
          <w:rFonts w:ascii="Times New Roman" w:hAnsi="Times New Roman" w:cs="Times New Roman"/>
          <w:sz w:val="24"/>
          <w:szCs w:val="24"/>
        </w:rPr>
        <w:t xml:space="preserve">1) of the </w:t>
      </w:r>
      <w:r w:rsidRPr="00FE2FDD">
        <w:rPr>
          <w:rFonts w:ascii="Times New Roman" w:hAnsi="Times New Roman" w:cs="Times New Roman"/>
          <w:i/>
          <w:iCs/>
          <w:sz w:val="24"/>
          <w:szCs w:val="24"/>
        </w:rPr>
        <w:t>Banking Act 1959</w:t>
      </w:r>
      <w:r w:rsidRPr="00FE2FDD">
        <w:rPr>
          <w:rFonts w:ascii="Times New Roman" w:hAnsi="Times New Roman" w:cs="Times New Roman"/>
          <w:sz w:val="24"/>
          <w:szCs w:val="24"/>
        </w:rPr>
        <w:t xml:space="preserve"> (Banking Act), which applies to all authorised deposit-taking institutions (ADIs), authorised banking non-operating holding companies (authorised banking NOHCs)</w:t>
      </w:r>
      <w:r w:rsidR="00522B22" w:rsidRPr="00FE2FDD">
        <w:rPr>
          <w:rFonts w:ascii="Times New Roman" w:hAnsi="Times New Roman" w:cs="Times New Roman"/>
          <w:sz w:val="24"/>
          <w:szCs w:val="24"/>
        </w:rPr>
        <w:t>, and subsidiaries of ADIs and authorised banking NOHCs</w:t>
      </w:r>
      <w:r w:rsidRPr="00FE2FDD">
        <w:rPr>
          <w:rFonts w:ascii="Times New Roman" w:hAnsi="Times New Roman" w:cs="Times New Roman"/>
          <w:sz w:val="24"/>
          <w:szCs w:val="24"/>
        </w:rPr>
        <w:t>;</w:t>
      </w:r>
    </w:p>
    <w:p w14:paraId="310E4407" w14:textId="6F605576" w:rsidR="009121B9" w:rsidRPr="00FE2FDD" w:rsidRDefault="009121B9" w:rsidP="005116CA">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FE2FDD">
        <w:rPr>
          <w:rFonts w:ascii="Times New Roman" w:hAnsi="Times New Roman" w:cs="Times New Roman"/>
          <w:sz w:val="24"/>
          <w:szCs w:val="24"/>
        </w:rPr>
        <w:t xml:space="preserve">subsection 32(1) of the </w:t>
      </w:r>
      <w:r w:rsidRPr="00FE2FDD">
        <w:rPr>
          <w:rFonts w:ascii="Times New Roman" w:hAnsi="Times New Roman" w:cs="Times New Roman"/>
          <w:i/>
          <w:sz w:val="24"/>
          <w:szCs w:val="24"/>
        </w:rPr>
        <w:t>Insurance Act 1973</w:t>
      </w:r>
      <w:r w:rsidRPr="00FE2FDD">
        <w:rPr>
          <w:rFonts w:ascii="Times New Roman" w:hAnsi="Times New Roman" w:cs="Times New Roman"/>
          <w:sz w:val="24"/>
          <w:szCs w:val="24"/>
        </w:rPr>
        <w:t xml:space="preserve"> (Insurance Act), which applies to all general insurers and authorised </w:t>
      </w:r>
      <w:r w:rsidR="00CE25BD" w:rsidRPr="00FE2FDD">
        <w:rPr>
          <w:rFonts w:ascii="Times New Roman" w:hAnsi="Times New Roman" w:cs="Times New Roman"/>
          <w:sz w:val="24"/>
          <w:szCs w:val="24"/>
        </w:rPr>
        <w:t xml:space="preserve">insurance </w:t>
      </w:r>
      <w:r w:rsidRPr="00FE2FDD">
        <w:rPr>
          <w:rFonts w:ascii="Times New Roman" w:hAnsi="Times New Roman" w:cs="Times New Roman"/>
          <w:sz w:val="24"/>
          <w:szCs w:val="24"/>
        </w:rPr>
        <w:t xml:space="preserve">non-operating holding companies (authorised </w:t>
      </w:r>
      <w:r w:rsidR="007261A3" w:rsidRPr="00FE2FDD">
        <w:rPr>
          <w:rFonts w:ascii="Times New Roman" w:hAnsi="Times New Roman" w:cs="Times New Roman"/>
          <w:sz w:val="24"/>
          <w:szCs w:val="24"/>
        </w:rPr>
        <w:t xml:space="preserve">insurance </w:t>
      </w:r>
      <w:r w:rsidRPr="00FE2FDD">
        <w:rPr>
          <w:rFonts w:ascii="Times New Roman" w:hAnsi="Times New Roman" w:cs="Times New Roman"/>
          <w:sz w:val="24"/>
          <w:szCs w:val="24"/>
        </w:rPr>
        <w:t xml:space="preserve">NOHCs), and subsidiaries of general insurers and authorised insurance </w:t>
      </w:r>
      <w:proofErr w:type="gramStart"/>
      <w:r w:rsidRPr="00FE2FDD">
        <w:rPr>
          <w:rFonts w:ascii="Times New Roman" w:hAnsi="Times New Roman" w:cs="Times New Roman"/>
          <w:sz w:val="24"/>
          <w:szCs w:val="24"/>
        </w:rPr>
        <w:t>NOHCs;</w:t>
      </w:r>
      <w:proofErr w:type="gramEnd"/>
    </w:p>
    <w:p w14:paraId="0B548448" w14:textId="6750FFE7" w:rsidR="009121B9" w:rsidRPr="00FE2FDD" w:rsidRDefault="009121B9" w:rsidP="005116CA">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FE2FDD">
        <w:rPr>
          <w:rFonts w:ascii="Times New Roman" w:hAnsi="Times New Roman" w:cs="Times New Roman"/>
          <w:sz w:val="24"/>
          <w:szCs w:val="24"/>
        </w:rPr>
        <w:t>subsection 230</w:t>
      </w:r>
      <w:proofErr w:type="gramStart"/>
      <w:r w:rsidRPr="00FE2FDD">
        <w:rPr>
          <w:rFonts w:ascii="Times New Roman" w:hAnsi="Times New Roman" w:cs="Times New Roman"/>
          <w:sz w:val="24"/>
          <w:szCs w:val="24"/>
        </w:rPr>
        <w:t>A(</w:t>
      </w:r>
      <w:proofErr w:type="gramEnd"/>
      <w:r w:rsidRPr="00FE2FDD">
        <w:rPr>
          <w:rFonts w:ascii="Times New Roman" w:hAnsi="Times New Roman" w:cs="Times New Roman"/>
          <w:sz w:val="24"/>
          <w:szCs w:val="24"/>
        </w:rPr>
        <w:t xml:space="preserve">1) of the </w:t>
      </w:r>
      <w:r w:rsidRPr="00FE2FDD">
        <w:rPr>
          <w:rFonts w:ascii="Times New Roman" w:hAnsi="Times New Roman" w:cs="Times New Roman"/>
          <w:i/>
          <w:sz w:val="24"/>
          <w:szCs w:val="24"/>
        </w:rPr>
        <w:t>Life Insurance Act 1995</w:t>
      </w:r>
      <w:r w:rsidRPr="00FE2FDD">
        <w:rPr>
          <w:rFonts w:ascii="Times New Roman" w:hAnsi="Times New Roman" w:cs="Times New Roman"/>
          <w:sz w:val="24"/>
          <w:szCs w:val="24"/>
        </w:rPr>
        <w:t xml:space="preserve"> (Life Insurance Act), which applies to all life companies, including friendly societies, registered life non-operating holding companies (registered life NOHCs)</w:t>
      </w:r>
      <w:r w:rsidR="007261A3" w:rsidRPr="00FE2FDD">
        <w:rPr>
          <w:rFonts w:ascii="Times New Roman" w:hAnsi="Times New Roman" w:cs="Times New Roman"/>
          <w:sz w:val="24"/>
          <w:szCs w:val="24"/>
        </w:rPr>
        <w:t>, and subsidiaries of life companies and registered life NOHCs</w:t>
      </w:r>
      <w:r w:rsidRPr="00FE2FDD">
        <w:rPr>
          <w:rFonts w:ascii="Times New Roman" w:hAnsi="Times New Roman" w:cs="Times New Roman"/>
          <w:sz w:val="24"/>
          <w:szCs w:val="24"/>
        </w:rPr>
        <w:t xml:space="preserve">; </w:t>
      </w:r>
    </w:p>
    <w:p w14:paraId="4463796D" w14:textId="70394CF3" w:rsidR="009121B9" w:rsidRPr="00FE2FDD" w:rsidRDefault="009121B9" w:rsidP="005116CA">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FE2FDD">
        <w:rPr>
          <w:rFonts w:ascii="Times New Roman" w:hAnsi="Times New Roman" w:cs="Times New Roman"/>
          <w:sz w:val="24"/>
          <w:szCs w:val="24"/>
        </w:rPr>
        <w:t xml:space="preserve">subsection 92(1) of the </w:t>
      </w:r>
      <w:r w:rsidRPr="00FE2FDD">
        <w:rPr>
          <w:rFonts w:ascii="Times New Roman" w:hAnsi="Times New Roman" w:cs="Times New Roman"/>
          <w:i/>
          <w:sz w:val="24"/>
          <w:szCs w:val="24"/>
        </w:rPr>
        <w:t>Private Health Insurance (Prudential Supervision) Act 2015</w:t>
      </w:r>
      <w:r w:rsidRPr="00FE2FDD">
        <w:rPr>
          <w:rFonts w:ascii="Times New Roman" w:hAnsi="Times New Roman" w:cs="Times New Roman"/>
          <w:sz w:val="24"/>
          <w:szCs w:val="24"/>
        </w:rPr>
        <w:t xml:space="preserve"> (PHIPS Act), which applies to all private health insurers; and</w:t>
      </w:r>
    </w:p>
    <w:p w14:paraId="37361813" w14:textId="6B3490A0" w:rsidR="009121B9" w:rsidRPr="00FE2FDD" w:rsidRDefault="009121B9" w:rsidP="005116CA">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FE2FDD">
        <w:rPr>
          <w:rFonts w:ascii="Times New Roman" w:hAnsi="Times New Roman" w:cs="Times New Roman"/>
          <w:sz w:val="24"/>
          <w:szCs w:val="24"/>
        </w:rPr>
        <w:t>subsection 34</w:t>
      </w:r>
      <w:proofErr w:type="gramStart"/>
      <w:r w:rsidRPr="00FE2FDD">
        <w:rPr>
          <w:rFonts w:ascii="Times New Roman" w:hAnsi="Times New Roman" w:cs="Times New Roman"/>
          <w:sz w:val="24"/>
          <w:szCs w:val="24"/>
        </w:rPr>
        <w:t>C(</w:t>
      </w:r>
      <w:proofErr w:type="gramEnd"/>
      <w:r w:rsidRPr="00FE2FDD">
        <w:rPr>
          <w:rFonts w:ascii="Times New Roman" w:hAnsi="Times New Roman" w:cs="Times New Roman"/>
          <w:sz w:val="24"/>
          <w:szCs w:val="24"/>
        </w:rPr>
        <w:t xml:space="preserve">1) of the </w:t>
      </w:r>
      <w:r w:rsidRPr="00FE2FDD">
        <w:rPr>
          <w:rFonts w:ascii="Times New Roman" w:hAnsi="Times New Roman" w:cs="Times New Roman"/>
          <w:i/>
          <w:sz w:val="24"/>
          <w:szCs w:val="24"/>
        </w:rPr>
        <w:t>Superannuation Industry (Supervision) Act 1993</w:t>
      </w:r>
      <w:r w:rsidRPr="00FE2FDD">
        <w:rPr>
          <w:rFonts w:ascii="Times New Roman" w:hAnsi="Times New Roman" w:cs="Times New Roman"/>
          <w:sz w:val="24"/>
          <w:szCs w:val="24"/>
        </w:rPr>
        <w:t xml:space="preserve"> (SIS Act), which applies to all Registered Superannuation Entity Licensees (RSE licensees)</w:t>
      </w:r>
      <w:r w:rsidR="00455F13" w:rsidRPr="00FE2FDD">
        <w:rPr>
          <w:rFonts w:ascii="Times New Roman" w:hAnsi="Times New Roman" w:cs="Times New Roman"/>
          <w:sz w:val="24"/>
          <w:szCs w:val="24"/>
        </w:rPr>
        <w:t>, and connected entities of RSE licensees</w:t>
      </w:r>
      <w:r w:rsidRPr="00FE2FDD">
        <w:rPr>
          <w:rFonts w:ascii="Times New Roman" w:hAnsi="Times New Roman" w:cs="Times New Roman"/>
          <w:sz w:val="24"/>
          <w:szCs w:val="24"/>
        </w:rPr>
        <w:t>.</w:t>
      </w:r>
    </w:p>
    <w:p w14:paraId="4B604B88" w14:textId="209FDD57" w:rsidR="002C75A4" w:rsidRPr="00FE2FDD" w:rsidRDefault="009121B9" w:rsidP="002C75A4">
      <w:pPr>
        <w:rPr>
          <w:rFonts w:ascii="Times New Roman" w:hAnsi="Times New Roman" w:cs="Times New Roman"/>
          <w:sz w:val="24"/>
          <w:szCs w:val="24"/>
        </w:rPr>
      </w:pPr>
      <w:r w:rsidRPr="00FE2FDD">
        <w:rPr>
          <w:rFonts w:ascii="Times New Roman" w:hAnsi="Times New Roman" w:cs="Times New Roman"/>
          <w:sz w:val="24"/>
          <w:szCs w:val="24"/>
        </w:rPr>
        <w:t xml:space="preserve">On </w:t>
      </w:r>
      <w:r w:rsidR="0090003D">
        <w:rPr>
          <w:rFonts w:ascii="Times New Roman" w:hAnsi="Times New Roman" w:cs="Times New Roman"/>
          <w:sz w:val="24"/>
          <w:szCs w:val="24"/>
        </w:rPr>
        <w:t>10</w:t>
      </w:r>
      <w:r w:rsidR="00E658EC" w:rsidRPr="00FE2FDD">
        <w:rPr>
          <w:rFonts w:ascii="Times New Roman" w:hAnsi="Times New Roman" w:cs="Times New Roman"/>
          <w:sz w:val="24"/>
          <w:szCs w:val="24"/>
        </w:rPr>
        <w:t xml:space="preserve"> </w:t>
      </w:r>
      <w:r w:rsidR="007C6FEA" w:rsidRPr="00FE2FDD">
        <w:rPr>
          <w:rFonts w:ascii="Times New Roman" w:hAnsi="Times New Roman" w:cs="Times New Roman"/>
          <w:sz w:val="24"/>
          <w:szCs w:val="24"/>
        </w:rPr>
        <w:t>October</w:t>
      </w:r>
      <w:r w:rsidR="001F535C" w:rsidRPr="00FE2FDD">
        <w:rPr>
          <w:rFonts w:ascii="Times New Roman" w:hAnsi="Times New Roman" w:cs="Times New Roman"/>
          <w:sz w:val="24"/>
          <w:szCs w:val="24"/>
        </w:rPr>
        <w:t xml:space="preserve"> </w:t>
      </w:r>
      <w:r w:rsidR="00E658EC" w:rsidRPr="00FE2FDD">
        <w:rPr>
          <w:rFonts w:ascii="Times New Roman" w:hAnsi="Times New Roman" w:cs="Times New Roman"/>
          <w:sz w:val="24"/>
          <w:szCs w:val="24"/>
        </w:rPr>
        <w:t>2023</w:t>
      </w:r>
      <w:r w:rsidRPr="00FE2FDD">
        <w:rPr>
          <w:rFonts w:ascii="Times New Roman" w:hAnsi="Times New Roman" w:cs="Times New Roman"/>
          <w:sz w:val="24"/>
          <w:szCs w:val="24"/>
        </w:rPr>
        <w:t>, APRA made Banking, Insurance, Life Insurance, Health Insurance and Superannuation (prudential standard) determination No</w:t>
      </w:r>
      <w:r w:rsidR="00E658EC" w:rsidRPr="00FE2FDD">
        <w:rPr>
          <w:rFonts w:ascii="Times New Roman" w:hAnsi="Times New Roman" w:cs="Times New Roman"/>
          <w:sz w:val="24"/>
          <w:szCs w:val="24"/>
        </w:rPr>
        <w:t>.</w:t>
      </w:r>
      <w:r w:rsidRPr="00FE2FDD">
        <w:rPr>
          <w:rFonts w:ascii="Times New Roman" w:hAnsi="Times New Roman" w:cs="Times New Roman"/>
          <w:sz w:val="24"/>
          <w:szCs w:val="24"/>
        </w:rPr>
        <w:t xml:space="preserve"> </w:t>
      </w:r>
      <w:r w:rsidR="00892E29" w:rsidRPr="00FE2FDD">
        <w:rPr>
          <w:rFonts w:ascii="Times New Roman" w:hAnsi="Times New Roman" w:cs="Times New Roman"/>
          <w:sz w:val="24"/>
          <w:szCs w:val="24"/>
        </w:rPr>
        <w:t xml:space="preserve">1 </w:t>
      </w:r>
      <w:r w:rsidRPr="00FE2FDD">
        <w:rPr>
          <w:rFonts w:ascii="Times New Roman" w:hAnsi="Times New Roman" w:cs="Times New Roman"/>
          <w:sz w:val="24"/>
          <w:szCs w:val="24"/>
        </w:rPr>
        <w:t>of 202</w:t>
      </w:r>
      <w:r w:rsidR="00E658EC" w:rsidRPr="00FE2FDD">
        <w:rPr>
          <w:rFonts w:ascii="Times New Roman" w:hAnsi="Times New Roman" w:cs="Times New Roman"/>
          <w:sz w:val="24"/>
          <w:szCs w:val="24"/>
        </w:rPr>
        <w:t>3</w:t>
      </w:r>
      <w:r w:rsidRPr="00FE2FDD">
        <w:rPr>
          <w:rFonts w:ascii="Times New Roman" w:hAnsi="Times New Roman" w:cs="Times New Roman"/>
          <w:sz w:val="24"/>
          <w:szCs w:val="24"/>
        </w:rPr>
        <w:t xml:space="preserve"> (the instrument), which determines a new cross-industry </w:t>
      </w:r>
      <w:r w:rsidR="005E7FC1" w:rsidRPr="00FE2FDD">
        <w:rPr>
          <w:rFonts w:ascii="Times New Roman" w:hAnsi="Times New Roman" w:cs="Times New Roman"/>
          <w:i/>
          <w:sz w:val="24"/>
          <w:szCs w:val="24"/>
        </w:rPr>
        <w:t xml:space="preserve">Prudential Standard </w:t>
      </w:r>
      <w:r w:rsidR="00E658EC" w:rsidRPr="00FE2FDD">
        <w:rPr>
          <w:rFonts w:ascii="Times New Roman" w:hAnsi="Times New Roman" w:cs="Times New Roman"/>
          <w:i/>
          <w:sz w:val="24"/>
          <w:szCs w:val="24"/>
        </w:rPr>
        <w:t>CPS 190</w:t>
      </w:r>
      <w:r w:rsidR="005E7FC1" w:rsidRPr="00FE2FDD">
        <w:rPr>
          <w:rFonts w:ascii="Times New Roman" w:hAnsi="Times New Roman" w:cs="Times New Roman"/>
          <w:i/>
          <w:sz w:val="24"/>
          <w:szCs w:val="24"/>
        </w:rPr>
        <w:t xml:space="preserve"> Recovery and Exit Planning </w:t>
      </w:r>
      <w:r w:rsidR="005E7FC1" w:rsidRPr="00FE2FDD">
        <w:rPr>
          <w:rFonts w:ascii="Times New Roman" w:hAnsi="Times New Roman" w:cs="Times New Roman"/>
          <w:sz w:val="24"/>
          <w:szCs w:val="24"/>
        </w:rPr>
        <w:t>(CPS 190)</w:t>
      </w:r>
      <w:r w:rsidRPr="00FE2FDD">
        <w:rPr>
          <w:rFonts w:ascii="Times New Roman" w:hAnsi="Times New Roman" w:cs="Times New Roman"/>
          <w:sz w:val="24"/>
          <w:szCs w:val="24"/>
        </w:rPr>
        <w:t>.</w:t>
      </w:r>
      <w:r w:rsidR="00522B22" w:rsidRPr="00FE2FDD">
        <w:rPr>
          <w:rFonts w:ascii="Times New Roman" w:hAnsi="Times New Roman" w:cs="Times New Roman"/>
          <w:sz w:val="24"/>
          <w:szCs w:val="24"/>
        </w:rPr>
        <w:t xml:space="preserve"> </w:t>
      </w:r>
      <w:r w:rsidR="002C75A4" w:rsidRPr="00FE2FDD">
        <w:rPr>
          <w:rFonts w:ascii="Times New Roman" w:hAnsi="Times New Roman" w:cs="Times New Roman"/>
          <w:sz w:val="24"/>
          <w:szCs w:val="24"/>
        </w:rPr>
        <w:t xml:space="preserve">Paragraphs 2 to 4 of the prudential standard specify the scope of </w:t>
      </w:r>
      <w:bookmarkStart w:id="2" w:name="_Hlk129341567"/>
      <w:r w:rsidR="002C75A4" w:rsidRPr="00FE2FDD">
        <w:rPr>
          <w:rFonts w:ascii="Times New Roman" w:hAnsi="Times New Roman" w:cs="Times New Roman"/>
          <w:sz w:val="24"/>
          <w:szCs w:val="24"/>
        </w:rPr>
        <w:t xml:space="preserve">APRA-regulated entities </w:t>
      </w:r>
      <w:bookmarkEnd w:id="2"/>
      <w:r w:rsidR="002C75A4" w:rsidRPr="00FE2FDD">
        <w:rPr>
          <w:rFonts w:ascii="Times New Roman" w:hAnsi="Times New Roman" w:cs="Times New Roman"/>
          <w:sz w:val="24"/>
          <w:szCs w:val="24"/>
        </w:rPr>
        <w:t>to which the standard applies</w:t>
      </w:r>
      <w:r w:rsidR="00A04710" w:rsidRPr="00FE2FDD">
        <w:rPr>
          <w:rFonts w:ascii="Times New Roman" w:hAnsi="Times New Roman" w:cs="Times New Roman"/>
          <w:sz w:val="24"/>
          <w:szCs w:val="24"/>
        </w:rPr>
        <w:t>,</w:t>
      </w:r>
      <w:r w:rsidR="00B959C7" w:rsidRPr="00FE2FDD">
        <w:rPr>
          <w:rFonts w:ascii="Times New Roman" w:hAnsi="Times New Roman" w:cs="Times New Roman"/>
          <w:sz w:val="24"/>
          <w:szCs w:val="24"/>
        </w:rPr>
        <w:t xml:space="preserve"> including </w:t>
      </w:r>
      <w:r w:rsidR="00CD04B9" w:rsidRPr="00FE2FDD">
        <w:rPr>
          <w:rFonts w:ascii="Times New Roman" w:hAnsi="Times New Roman" w:cs="Times New Roman"/>
          <w:sz w:val="24"/>
          <w:szCs w:val="24"/>
        </w:rPr>
        <w:t xml:space="preserve">the exclusion of some types of </w:t>
      </w:r>
      <w:r w:rsidR="00B959C7" w:rsidRPr="00FE2FDD">
        <w:rPr>
          <w:rFonts w:ascii="Times New Roman" w:hAnsi="Times New Roman" w:cs="Times New Roman"/>
          <w:sz w:val="24"/>
          <w:szCs w:val="24"/>
        </w:rPr>
        <w:t>APRA-regulated entities</w:t>
      </w:r>
      <w:r w:rsidR="002C75A4" w:rsidRPr="00FE2FDD">
        <w:rPr>
          <w:rFonts w:ascii="Times New Roman" w:hAnsi="Times New Roman" w:cs="Times New Roman"/>
          <w:sz w:val="24"/>
          <w:szCs w:val="24"/>
        </w:rPr>
        <w:t xml:space="preserve">. </w:t>
      </w:r>
    </w:p>
    <w:p w14:paraId="746B98D9" w14:textId="277082AB" w:rsidR="009121B9" w:rsidRDefault="002C2277" w:rsidP="009121B9">
      <w:pPr>
        <w:rPr>
          <w:rFonts w:ascii="Times New Roman" w:hAnsi="Times New Roman" w:cs="Times New Roman"/>
          <w:sz w:val="24"/>
          <w:szCs w:val="24"/>
        </w:rPr>
      </w:pPr>
      <w:r w:rsidRPr="00FE2FDD">
        <w:rPr>
          <w:rFonts w:ascii="Times New Roman" w:hAnsi="Times New Roman" w:cs="Times New Roman"/>
          <w:sz w:val="24"/>
          <w:szCs w:val="24"/>
        </w:rPr>
        <w:t>The instrument commences on 1 January 2024 for all APRA-regulated entities</w:t>
      </w:r>
      <w:r w:rsidR="00A75316" w:rsidRPr="00FE2FDD">
        <w:rPr>
          <w:rFonts w:ascii="Times New Roman" w:hAnsi="Times New Roman" w:cs="Times New Roman"/>
          <w:sz w:val="24"/>
          <w:szCs w:val="24"/>
        </w:rPr>
        <w:t>,</w:t>
      </w:r>
      <w:r w:rsidRPr="00FE2FDD">
        <w:rPr>
          <w:rFonts w:ascii="Times New Roman" w:hAnsi="Times New Roman" w:cs="Times New Roman"/>
          <w:sz w:val="24"/>
          <w:szCs w:val="24"/>
        </w:rPr>
        <w:t xml:space="preserve"> except </w:t>
      </w:r>
      <w:r w:rsidR="00A75316" w:rsidRPr="00FE2FDD">
        <w:rPr>
          <w:rFonts w:ascii="Times New Roman" w:hAnsi="Times New Roman" w:cs="Times New Roman"/>
          <w:sz w:val="24"/>
          <w:szCs w:val="24"/>
        </w:rPr>
        <w:t xml:space="preserve">for </w:t>
      </w:r>
      <w:r w:rsidRPr="00FE2FDD">
        <w:rPr>
          <w:rFonts w:ascii="Times New Roman" w:hAnsi="Times New Roman" w:cs="Times New Roman"/>
          <w:sz w:val="24"/>
          <w:szCs w:val="24"/>
        </w:rPr>
        <w:t xml:space="preserve">RSE licensees. The instrument commences on 1 January 2025 </w:t>
      </w:r>
      <w:r w:rsidR="007C42F8" w:rsidRPr="00FE2FDD">
        <w:rPr>
          <w:rFonts w:ascii="Times New Roman" w:hAnsi="Times New Roman" w:cs="Times New Roman"/>
          <w:sz w:val="24"/>
          <w:szCs w:val="24"/>
        </w:rPr>
        <w:t>for</w:t>
      </w:r>
      <w:r w:rsidRPr="00FE2FDD">
        <w:rPr>
          <w:rFonts w:ascii="Times New Roman" w:hAnsi="Times New Roman" w:cs="Times New Roman"/>
          <w:sz w:val="24"/>
          <w:szCs w:val="24"/>
        </w:rPr>
        <w:t xml:space="preserve"> RSE licensees</w:t>
      </w:r>
      <w:r w:rsidR="00E658EC" w:rsidRPr="00FE2FDD">
        <w:rPr>
          <w:rFonts w:ascii="Times New Roman" w:hAnsi="Times New Roman" w:cs="Times New Roman"/>
          <w:sz w:val="24"/>
          <w:szCs w:val="24"/>
        </w:rPr>
        <w:t>.</w:t>
      </w:r>
    </w:p>
    <w:p w14:paraId="2251AB92" w14:textId="77777777" w:rsidR="005116CA" w:rsidRPr="00FE2FDD" w:rsidRDefault="005116CA" w:rsidP="009121B9">
      <w:pPr>
        <w:rPr>
          <w:rFonts w:ascii="Times New Roman" w:hAnsi="Times New Roman" w:cs="Times New Roman"/>
          <w:sz w:val="24"/>
          <w:szCs w:val="24"/>
        </w:rPr>
      </w:pPr>
    </w:p>
    <w:p w14:paraId="5ED3C054" w14:textId="77777777" w:rsidR="009121B9" w:rsidRPr="00FE2FDD" w:rsidRDefault="009121B9" w:rsidP="00807D80">
      <w:pPr>
        <w:pStyle w:val="Heading1Numbers"/>
      </w:pPr>
      <w:r w:rsidRPr="00807D80">
        <w:lastRenderedPageBreak/>
        <w:t>Background</w:t>
      </w:r>
    </w:p>
    <w:p w14:paraId="7C864E53" w14:textId="794F282A" w:rsidR="009121B9" w:rsidRPr="00FE2FDD" w:rsidRDefault="009121B9" w:rsidP="009121B9">
      <w:pPr>
        <w:rPr>
          <w:rFonts w:ascii="Times New Roman" w:hAnsi="Times New Roman" w:cs="Times New Roman"/>
          <w:sz w:val="24"/>
          <w:szCs w:val="24"/>
        </w:rPr>
      </w:pPr>
      <w:r w:rsidRPr="00FE2FDD">
        <w:rPr>
          <w:rFonts w:ascii="Times New Roman" w:hAnsi="Times New Roman" w:cs="Times New Roman"/>
          <w:sz w:val="24"/>
          <w:szCs w:val="24"/>
        </w:rPr>
        <w:t xml:space="preserve">APRA’s mandate is to ensure the safety and soundness of prudentially regulated financial institutions so that they can meet their financial promises to </w:t>
      </w:r>
      <w:r w:rsidR="00C54666" w:rsidRPr="00FE2FDD">
        <w:rPr>
          <w:rFonts w:ascii="Times New Roman" w:hAnsi="Times New Roman" w:cs="Times New Roman"/>
          <w:sz w:val="24"/>
          <w:szCs w:val="24"/>
        </w:rPr>
        <w:t xml:space="preserve">bank </w:t>
      </w:r>
      <w:r w:rsidRPr="00FE2FDD">
        <w:rPr>
          <w:rFonts w:ascii="Times New Roman" w:hAnsi="Times New Roman" w:cs="Times New Roman"/>
          <w:sz w:val="24"/>
          <w:szCs w:val="24"/>
        </w:rPr>
        <w:t xml:space="preserve">depositors, </w:t>
      </w:r>
      <w:r w:rsidR="00C54666" w:rsidRPr="00FE2FDD">
        <w:rPr>
          <w:rFonts w:ascii="Times New Roman" w:hAnsi="Times New Roman" w:cs="Times New Roman"/>
          <w:sz w:val="24"/>
          <w:szCs w:val="24"/>
        </w:rPr>
        <w:t>insurance</w:t>
      </w:r>
      <w:r w:rsidRPr="00FE2FDD">
        <w:rPr>
          <w:rFonts w:ascii="Times New Roman" w:hAnsi="Times New Roman" w:cs="Times New Roman"/>
          <w:sz w:val="24"/>
          <w:szCs w:val="24"/>
        </w:rPr>
        <w:t xml:space="preserve"> policyholders and </w:t>
      </w:r>
      <w:r w:rsidR="00C54666" w:rsidRPr="00FE2FDD">
        <w:rPr>
          <w:rFonts w:ascii="Times New Roman" w:hAnsi="Times New Roman" w:cs="Times New Roman"/>
          <w:sz w:val="24"/>
          <w:szCs w:val="24"/>
        </w:rPr>
        <w:t xml:space="preserve">superannuation </w:t>
      </w:r>
      <w:r w:rsidRPr="00FE2FDD">
        <w:rPr>
          <w:rFonts w:ascii="Times New Roman" w:hAnsi="Times New Roman" w:cs="Times New Roman"/>
          <w:sz w:val="24"/>
          <w:szCs w:val="24"/>
        </w:rPr>
        <w:t xml:space="preserve">fund members </w:t>
      </w:r>
      <w:r w:rsidR="00E563AA" w:rsidRPr="00FE2FDD">
        <w:rPr>
          <w:rFonts w:ascii="Times New Roman" w:hAnsi="Times New Roman" w:cs="Times New Roman"/>
          <w:sz w:val="24"/>
          <w:szCs w:val="24"/>
        </w:rPr>
        <w:t xml:space="preserve">(beneficiaries) </w:t>
      </w:r>
      <w:r w:rsidRPr="00FE2FDD">
        <w:rPr>
          <w:rFonts w:ascii="Times New Roman" w:hAnsi="Times New Roman" w:cs="Times New Roman"/>
          <w:sz w:val="24"/>
          <w:szCs w:val="24"/>
        </w:rPr>
        <w:t xml:space="preserve">within a stable, </w:t>
      </w:r>
      <w:proofErr w:type="gramStart"/>
      <w:r w:rsidRPr="00FE2FDD">
        <w:rPr>
          <w:rFonts w:ascii="Times New Roman" w:hAnsi="Times New Roman" w:cs="Times New Roman"/>
          <w:sz w:val="24"/>
          <w:szCs w:val="24"/>
        </w:rPr>
        <w:t>efficient</w:t>
      </w:r>
      <w:proofErr w:type="gramEnd"/>
      <w:r w:rsidRPr="00FE2FDD">
        <w:rPr>
          <w:rFonts w:ascii="Times New Roman" w:hAnsi="Times New Roman" w:cs="Times New Roman"/>
          <w:sz w:val="24"/>
          <w:szCs w:val="24"/>
        </w:rPr>
        <w:t xml:space="preserve"> and competitive financial system.</w:t>
      </w:r>
    </w:p>
    <w:p w14:paraId="6237C245" w14:textId="31AB39FB" w:rsidR="00917037" w:rsidRPr="00FE2FDD" w:rsidRDefault="00917037" w:rsidP="00917037">
      <w:pPr>
        <w:rPr>
          <w:rFonts w:ascii="Times New Roman" w:hAnsi="Times New Roman" w:cs="Times New Roman"/>
          <w:sz w:val="24"/>
          <w:szCs w:val="24"/>
        </w:rPr>
      </w:pPr>
      <w:r w:rsidRPr="00FE2FDD">
        <w:rPr>
          <w:rFonts w:ascii="Times New Roman" w:hAnsi="Times New Roman" w:cs="Times New Roman"/>
          <w:sz w:val="24"/>
          <w:szCs w:val="24"/>
        </w:rPr>
        <w:t>APRA carries out this mandate through a multi-layered prudential framework that encompasses licensing and supervision of entities. The Banking Act, Insurance Act, Life Insurance Act, PHIPS Act and SIS Act allow APRA to issue legally binding prudential standards that set out specific prudential requirements with which APRA-regulated entities must comply.</w:t>
      </w:r>
    </w:p>
    <w:p w14:paraId="17B46B9D" w14:textId="11A6945B" w:rsidR="009E1366" w:rsidRPr="00FE2FDD" w:rsidRDefault="00917037" w:rsidP="00917037">
      <w:pPr>
        <w:numPr>
          <w:ilvl w:val="0"/>
          <w:numId w:val="0"/>
        </w:numPr>
        <w:rPr>
          <w:rFonts w:ascii="Times New Roman" w:hAnsi="Times New Roman" w:cs="Times New Roman"/>
          <w:sz w:val="24"/>
          <w:szCs w:val="24"/>
        </w:rPr>
      </w:pPr>
      <w:r w:rsidRPr="00FE2FDD">
        <w:rPr>
          <w:rFonts w:ascii="Times New Roman" w:hAnsi="Times New Roman" w:cs="Times New Roman"/>
          <w:sz w:val="24"/>
          <w:szCs w:val="24"/>
        </w:rPr>
        <w:t>In undertaking its role, APRA</w:t>
      </w:r>
      <w:r w:rsidR="00F5276D" w:rsidRPr="00FE2FDD">
        <w:rPr>
          <w:rFonts w:ascii="Times New Roman" w:hAnsi="Times New Roman" w:cs="Times New Roman"/>
          <w:sz w:val="24"/>
          <w:szCs w:val="24"/>
        </w:rPr>
        <w:t xml:space="preserve">’s key focus is </w:t>
      </w:r>
      <w:r w:rsidR="000C0AAC" w:rsidRPr="00FE2FDD">
        <w:rPr>
          <w:rFonts w:ascii="Times New Roman" w:hAnsi="Times New Roman" w:cs="Times New Roman"/>
          <w:sz w:val="24"/>
          <w:szCs w:val="24"/>
        </w:rPr>
        <w:t xml:space="preserve">the financial safety of regulated entities </w:t>
      </w:r>
      <w:r w:rsidR="000E3AB9" w:rsidRPr="00FE2FDD">
        <w:rPr>
          <w:rFonts w:ascii="Times New Roman" w:hAnsi="Times New Roman" w:cs="Times New Roman"/>
          <w:sz w:val="24"/>
          <w:szCs w:val="24"/>
        </w:rPr>
        <w:t>and</w:t>
      </w:r>
      <w:r w:rsidR="00F5276D" w:rsidRPr="00FE2FDD">
        <w:rPr>
          <w:rFonts w:ascii="Times New Roman" w:hAnsi="Times New Roman" w:cs="Times New Roman"/>
          <w:sz w:val="24"/>
          <w:szCs w:val="24"/>
        </w:rPr>
        <w:t xml:space="preserve"> </w:t>
      </w:r>
      <w:r w:rsidR="000C0AAC" w:rsidRPr="00FE2FDD">
        <w:rPr>
          <w:rFonts w:ascii="Times New Roman" w:hAnsi="Times New Roman" w:cs="Times New Roman"/>
          <w:sz w:val="24"/>
          <w:szCs w:val="24"/>
        </w:rPr>
        <w:t>minimising the</w:t>
      </w:r>
      <w:r w:rsidR="00F5276D" w:rsidRPr="00FE2FDD">
        <w:rPr>
          <w:rFonts w:ascii="Times New Roman" w:hAnsi="Times New Roman" w:cs="Times New Roman"/>
          <w:sz w:val="24"/>
          <w:szCs w:val="24"/>
        </w:rPr>
        <w:t xml:space="preserve"> </w:t>
      </w:r>
      <w:r w:rsidR="000C0AAC" w:rsidRPr="00FE2FDD">
        <w:rPr>
          <w:rFonts w:ascii="Times New Roman" w:hAnsi="Times New Roman" w:cs="Times New Roman"/>
          <w:sz w:val="24"/>
          <w:szCs w:val="24"/>
        </w:rPr>
        <w:t xml:space="preserve">risk of </w:t>
      </w:r>
      <w:r w:rsidR="00F5276D" w:rsidRPr="00FE2FDD">
        <w:rPr>
          <w:rFonts w:ascii="Times New Roman" w:hAnsi="Times New Roman" w:cs="Times New Roman"/>
          <w:sz w:val="24"/>
          <w:szCs w:val="24"/>
        </w:rPr>
        <w:t xml:space="preserve">their </w:t>
      </w:r>
      <w:r w:rsidR="000C0AAC" w:rsidRPr="00FE2FDD">
        <w:rPr>
          <w:rFonts w:ascii="Times New Roman" w:hAnsi="Times New Roman" w:cs="Times New Roman"/>
          <w:sz w:val="24"/>
          <w:szCs w:val="24"/>
        </w:rPr>
        <w:t xml:space="preserve">failure. </w:t>
      </w:r>
      <w:r w:rsidR="000E3AB9" w:rsidRPr="00FE2FDD">
        <w:rPr>
          <w:rFonts w:ascii="Times New Roman" w:hAnsi="Times New Roman" w:cs="Times New Roman"/>
          <w:sz w:val="24"/>
          <w:szCs w:val="24"/>
        </w:rPr>
        <w:t xml:space="preserve">As a resolution authority, </w:t>
      </w:r>
      <w:r w:rsidR="000C0AAC" w:rsidRPr="00FE2FDD">
        <w:rPr>
          <w:rFonts w:ascii="Times New Roman" w:hAnsi="Times New Roman" w:cs="Times New Roman"/>
          <w:sz w:val="24"/>
          <w:szCs w:val="24"/>
        </w:rPr>
        <w:t>APRA is also responsible for minimising the impact of any entity failure, by ensuring that beneficiaries are protected and risks to financial stability are minimised.</w:t>
      </w:r>
      <w:r w:rsidR="0089253A" w:rsidRPr="00FE2FDD">
        <w:rPr>
          <w:rFonts w:ascii="Times New Roman" w:hAnsi="Times New Roman" w:cs="Times New Roman"/>
          <w:sz w:val="24"/>
          <w:szCs w:val="24"/>
        </w:rPr>
        <w:t xml:space="preserve"> </w:t>
      </w:r>
    </w:p>
    <w:p w14:paraId="4F56DFA4" w14:textId="1AC9E198" w:rsidR="000C0AAC" w:rsidRPr="00FE2FDD" w:rsidRDefault="0089253A" w:rsidP="009121B9">
      <w:pPr>
        <w:rPr>
          <w:rFonts w:ascii="Times New Roman" w:hAnsi="Times New Roman" w:cs="Times New Roman"/>
          <w:sz w:val="24"/>
          <w:szCs w:val="24"/>
        </w:rPr>
      </w:pPr>
      <w:r w:rsidRPr="00FE2FDD">
        <w:rPr>
          <w:rFonts w:ascii="Times New Roman" w:hAnsi="Times New Roman" w:cs="Times New Roman"/>
          <w:sz w:val="24"/>
          <w:szCs w:val="24"/>
        </w:rPr>
        <w:t>Th</w:t>
      </w:r>
      <w:r w:rsidR="007112C2" w:rsidRPr="00FE2FDD">
        <w:rPr>
          <w:rFonts w:ascii="Times New Roman" w:hAnsi="Times New Roman" w:cs="Times New Roman"/>
          <w:sz w:val="24"/>
          <w:szCs w:val="24"/>
        </w:rPr>
        <w:t>is</w:t>
      </w:r>
      <w:r w:rsidRPr="00FE2FDD">
        <w:rPr>
          <w:rFonts w:ascii="Times New Roman" w:hAnsi="Times New Roman" w:cs="Times New Roman"/>
          <w:sz w:val="24"/>
          <w:szCs w:val="24"/>
        </w:rPr>
        <w:t xml:space="preserve"> new prudential standard, </w:t>
      </w:r>
      <w:r w:rsidR="00D24EE3" w:rsidRPr="00FE2FDD">
        <w:rPr>
          <w:rFonts w:ascii="Times New Roman" w:hAnsi="Times New Roman" w:cs="Times New Roman"/>
          <w:sz w:val="24"/>
          <w:szCs w:val="24"/>
        </w:rPr>
        <w:t>CPS 190</w:t>
      </w:r>
      <w:r w:rsidRPr="00FE2FDD">
        <w:rPr>
          <w:rFonts w:ascii="Times New Roman" w:hAnsi="Times New Roman" w:cs="Times New Roman"/>
          <w:sz w:val="24"/>
          <w:szCs w:val="24"/>
        </w:rPr>
        <w:t>,</w:t>
      </w:r>
      <w:r w:rsidR="00D24EE3" w:rsidRPr="00FE2FDD">
        <w:rPr>
          <w:rFonts w:ascii="Times New Roman" w:hAnsi="Times New Roman" w:cs="Times New Roman"/>
          <w:sz w:val="24"/>
          <w:szCs w:val="24"/>
        </w:rPr>
        <w:t xml:space="preserve"> </w:t>
      </w:r>
      <w:r w:rsidR="009E1366" w:rsidRPr="00FE2FDD">
        <w:rPr>
          <w:rFonts w:ascii="Times New Roman" w:hAnsi="Times New Roman" w:cs="Times New Roman"/>
          <w:sz w:val="24"/>
          <w:szCs w:val="24"/>
        </w:rPr>
        <w:t xml:space="preserve">requires </w:t>
      </w:r>
      <w:r w:rsidRPr="00FE2FDD">
        <w:rPr>
          <w:rFonts w:ascii="Times New Roman" w:hAnsi="Times New Roman" w:cs="Times New Roman"/>
          <w:sz w:val="24"/>
          <w:szCs w:val="24"/>
        </w:rPr>
        <w:t xml:space="preserve">APRA-regulated </w:t>
      </w:r>
      <w:r w:rsidR="00B819D1" w:rsidRPr="00FE2FDD">
        <w:rPr>
          <w:rFonts w:ascii="Times New Roman" w:hAnsi="Times New Roman" w:cs="Times New Roman"/>
          <w:sz w:val="24"/>
          <w:szCs w:val="24"/>
        </w:rPr>
        <w:t>entit</w:t>
      </w:r>
      <w:r w:rsidR="009E1366" w:rsidRPr="00FE2FDD">
        <w:rPr>
          <w:rFonts w:ascii="Times New Roman" w:hAnsi="Times New Roman" w:cs="Times New Roman"/>
          <w:sz w:val="24"/>
          <w:szCs w:val="24"/>
        </w:rPr>
        <w:t>ies</w:t>
      </w:r>
      <w:r w:rsidR="00B819D1" w:rsidRPr="00FE2FDD">
        <w:rPr>
          <w:rFonts w:ascii="Times New Roman" w:hAnsi="Times New Roman" w:cs="Times New Roman"/>
          <w:sz w:val="24"/>
          <w:szCs w:val="24"/>
        </w:rPr>
        <w:t xml:space="preserve"> </w:t>
      </w:r>
      <w:r w:rsidR="009E1366" w:rsidRPr="00FE2FDD">
        <w:rPr>
          <w:rFonts w:ascii="Times New Roman" w:hAnsi="Times New Roman" w:cs="Times New Roman"/>
          <w:sz w:val="24"/>
          <w:szCs w:val="24"/>
        </w:rPr>
        <w:t>to</w:t>
      </w:r>
      <w:r w:rsidR="00B819D1" w:rsidRPr="00FE2FDD">
        <w:rPr>
          <w:rFonts w:ascii="Times New Roman" w:hAnsi="Times New Roman" w:cs="Times New Roman"/>
          <w:sz w:val="24"/>
          <w:szCs w:val="24"/>
        </w:rPr>
        <w:t xml:space="preserve"> </w:t>
      </w:r>
      <w:r w:rsidR="009D708D" w:rsidRPr="00FE2FDD">
        <w:rPr>
          <w:rFonts w:ascii="Times New Roman" w:hAnsi="Times New Roman" w:cs="Times New Roman"/>
          <w:sz w:val="24"/>
          <w:szCs w:val="24"/>
        </w:rPr>
        <w:t xml:space="preserve">develop and maintain </w:t>
      </w:r>
      <w:r w:rsidR="00B819D1" w:rsidRPr="00FE2FDD">
        <w:rPr>
          <w:rFonts w:ascii="Times New Roman" w:hAnsi="Times New Roman" w:cs="Times New Roman"/>
          <w:sz w:val="24"/>
          <w:szCs w:val="24"/>
        </w:rPr>
        <w:t>a recovery and exit plan</w:t>
      </w:r>
      <w:r w:rsidR="001856AE" w:rsidRPr="00FE2FDD">
        <w:rPr>
          <w:rFonts w:ascii="Times New Roman" w:hAnsi="Times New Roman" w:cs="Times New Roman"/>
          <w:sz w:val="24"/>
          <w:szCs w:val="24"/>
        </w:rPr>
        <w:t>. This plan</w:t>
      </w:r>
      <w:r w:rsidR="00B819D1" w:rsidRPr="00FE2FDD">
        <w:rPr>
          <w:rFonts w:ascii="Times New Roman" w:hAnsi="Times New Roman" w:cs="Times New Roman"/>
          <w:sz w:val="24"/>
          <w:szCs w:val="24"/>
        </w:rPr>
        <w:t xml:space="preserve"> would </w:t>
      </w:r>
      <w:r w:rsidR="001856AE" w:rsidRPr="00FE2FDD">
        <w:rPr>
          <w:rFonts w:ascii="Times New Roman" w:hAnsi="Times New Roman" w:cs="Times New Roman"/>
          <w:sz w:val="24"/>
          <w:szCs w:val="24"/>
        </w:rPr>
        <w:t xml:space="preserve">set out </w:t>
      </w:r>
      <w:r w:rsidR="0040266E" w:rsidRPr="00FE2FDD">
        <w:rPr>
          <w:rFonts w:ascii="Times New Roman" w:hAnsi="Times New Roman" w:cs="Times New Roman"/>
          <w:sz w:val="24"/>
          <w:szCs w:val="24"/>
        </w:rPr>
        <w:t>how</w:t>
      </w:r>
      <w:r w:rsidR="001856AE" w:rsidRPr="00FE2FDD">
        <w:rPr>
          <w:rFonts w:ascii="Times New Roman" w:hAnsi="Times New Roman" w:cs="Times New Roman"/>
          <w:sz w:val="24"/>
          <w:szCs w:val="24"/>
        </w:rPr>
        <w:t xml:space="preserve"> an entity </w:t>
      </w:r>
      <w:r w:rsidR="0040266E" w:rsidRPr="00FE2FDD">
        <w:rPr>
          <w:rFonts w:ascii="Times New Roman" w:hAnsi="Times New Roman" w:cs="Times New Roman"/>
          <w:sz w:val="24"/>
          <w:szCs w:val="24"/>
        </w:rPr>
        <w:t xml:space="preserve">could restore </w:t>
      </w:r>
      <w:r w:rsidR="001856AE" w:rsidRPr="00FE2FDD">
        <w:rPr>
          <w:rFonts w:ascii="Times New Roman" w:hAnsi="Times New Roman" w:cs="Times New Roman"/>
          <w:sz w:val="24"/>
          <w:szCs w:val="24"/>
        </w:rPr>
        <w:t xml:space="preserve">its </w:t>
      </w:r>
      <w:r w:rsidR="00B819D1" w:rsidRPr="00FE2FDD">
        <w:rPr>
          <w:rFonts w:ascii="Times New Roman" w:hAnsi="Times New Roman" w:cs="Times New Roman"/>
          <w:sz w:val="24"/>
          <w:szCs w:val="24"/>
        </w:rPr>
        <w:t xml:space="preserve">financial resilience in </w:t>
      </w:r>
      <w:r w:rsidR="002F0571" w:rsidRPr="00FE2FDD">
        <w:rPr>
          <w:rFonts w:ascii="Times New Roman" w:hAnsi="Times New Roman" w:cs="Times New Roman"/>
          <w:sz w:val="24"/>
          <w:szCs w:val="24"/>
        </w:rPr>
        <w:t xml:space="preserve">periods </w:t>
      </w:r>
      <w:r w:rsidR="00F5276D" w:rsidRPr="00FE2FDD">
        <w:rPr>
          <w:rFonts w:ascii="Times New Roman" w:hAnsi="Times New Roman" w:cs="Times New Roman"/>
          <w:sz w:val="24"/>
          <w:szCs w:val="24"/>
        </w:rPr>
        <w:t>of</w:t>
      </w:r>
      <w:r w:rsidR="00B819D1" w:rsidRPr="00FE2FDD">
        <w:rPr>
          <w:rFonts w:ascii="Times New Roman" w:hAnsi="Times New Roman" w:cs="Times New Roman"/>
          <w:sz w:val="24"/>
          <w:szCs w:val="24"/>
        </w:rPr>
        <w:t xml:space="preserve"> stress or</w:t>
      </w:r>
      <w:r w:rsidR="001856AE" w:rsidRPr="00FE2FDD">
        <w:rPr>
          <w:rFonts w:ascii="Times New Roman" w:hAnsi="Times New Roman" w:cs="Times New Roman"/>
          <w:sz w:val="24"/>
          <w:szCs w:val="24"/>
        </w:rPr>
        <w:t>,</w:t>
      </w:r>
      <w:r w:rsidR="00B819D1" w:rsidRPr="00FE2FDD">
        <w:rPr>
          <w:rFonts w:ascii="Times New Roman" w:hAnsi="Times New Roman" w:cs="Times New Roman"/>
          <w:sz w:val="24"/>
          <w:szCs w:val="24"/>
        </w:rPr>
        <w:t xml:space="preserve"> </w:t>
      </w:r>
      <w:r w:rsidR="007112C2" w:rsidRPr="00FE2FDD">
        <w:rPr>
          <w:rFonts w:ascii="Times New Roman" w:hAnsi="Times New Roman" w:cs="Times New Roman"/>
          <w:sz w:val="24"/>
          <w:szCs w:val="24"/>
        </w:rPr>
        <w:t xml:space="preserve">where </w:t>
      </w:r>
      <w:r w:rsidR="0040266E" w:rsidRPr="00FE2FDD">
        <w:rPr>
          <w:rFonts w:ascii="Times New Roman" w:hAnsi="Times New Roman" w:cs="Times New Roman"/>
          <w:sz w:val="24"/>
          <w:szCs w:val="24"/>
        </w:rPr>
        <w:t xml:space="preserve">this </w:t>
      </w:r>
      <w:r w:rsidR="007112C2" w:rsidRPr="00FE2FDD">
        <w:rPr>
          <w:rFonts w:ascii="Times New Roman" w:hAnsi="Times New Roman" w:cs="Times New Roman"/>
          <w:sz w:val="24"/>
          <w:szCs w:val="24"/>
        </w:rPr>
        <w:t>is</w:t>
      </w:r>
      <w:r w:rsidR="00B819D1" w:rsidRPr="00FE2FDD">
        <w:rPr>
          <w:rFonts w:ascii="Times New Roman" w:hAnsi="Times New Roman" w:cs="Times New Roman"/>
          <w:sz w:val="24"/>
          <w:szCs w:val="24"/>
        </w:rPr>
        <w:t xml:space="preserve"> not possible, exit </w:t>
      </w:r>
      <w:r w:rsidR="00A3742A" w:rsidRPr="00FE2FDD">
        <w:rPr>
          <w:rFonts w:ascii="Times New Roman" w:hAnsi="Times New Roman" w:cs="Times New Roman"/>
          <w:sz w:val="24"/>
          <w:szCs w:val="24"/>
        </w:rPr>
        <w:t>regulated activity in an orderly and solvent manner</w:t>
      </w:r>
      <w:r w:rsidR="00B819D1" w:rsidRPr="00FE2FDD">
        <w:rPr>
          <w:rFonts w:ascii="Times New Roman" w:hAnsi="Times New Roman" w:cs="Times New Roman"/>
          <w:sz w:val="24"/>
          <w:szCs w:val="24"/>
        </w:rPr>
        <w:t>.</w:t>
      </w:r>
      <w:r w:rsidR="00D24EE3" w:rsidRPr="00FE2FDD">
        <w:rPr>
          <w:rFonts w:ascii="Times New Roman" w:hAnsi="Times New Roman" w:cs="Times New Roman"/>
          <w:sz w:val="24"/>
          <w:szCs w:val="24"/>
        </w:rPr>
        <w:t xml:space="preserve"> </w:t>
      </w:r>
      <w:r w:rsidR="000A3754" w:rsidRPr="00FE2FDD">
        <w:rPr>
          <w:rFonts w:ascii="Times New Roman" w:hAnsi="Times New Roman" w:cs="Times New Roman"/>
          <w:sz w:val="24"/>
          <w:szCs w:val="24"/>
        </w:rPr>
        <w:t>It aims to ensure that the</w:t>
      </w:r>
      <w:r w:rsidR="007C6DB2" w:rsidRPr="00FE2FDD">
        <w:rPr>
          <w:rFonts w:ascii="Times New Roman" w:hAnsi="Times New Roman" w:cs="Times New Roman"/>
          <w:sz w:val="24"/>
          <w:szCs w:val="24"/>
        </w:rPr>
        <w:t xml:space="preserve"> financial </w:t>
      </w:r>
      <w:r w:rsidR="00A85A24" w:rsidRPr="00FE2FDD">
        <w:rPr>
          <w:rFonts w:ascii="Times New Roman" w:hAnsi="Times New Roman" w:cs="Times New Roman"/>
          <w:sz w:val="24"/>
          <w:szCs w:val="24"/>
        </w:rPr>
        <w:t xml:space="preserve">system is </w:t>
      </w:r>
      <w:r w:rsidR="005B7F23" w:rsidRPr="00FE2FDD">
        <w:rPr>
          <w:rFonts w:ascii="Times New Roman" w:hAnsi="Times New Roman" w:cs="Times New Roman"/>
          <w:sz w:val="24"/>
          <w:szCs w:val="24"/>
        </w:rPr>
        <w:t xml:space="preserve">adequately </w:t>
      </w:r>
      <w:r w:rsidR="00A85A24" w:rsidRPr="00FE2FDD">
        <w:rPr>
          <w:rFonts w:ascii="Times New Roman" w:hAnsi="Times New Roman" w:cs="Times New Roman"/>
          <w:sz w:val="24"/>
          <w:szCs w:val="24"/>
        </w:rPr>
        <w:t>prepared to manage periods of severe financial stress.</w:t>
      </w:r>
    </w:p>
    <w:p w14:paraId="3BB74E50" w14:textId="103BFFA7" w:rsidR="00D24EE3" w:rsidRPr="00FE2FDD" w:rsidRDefault="00D24EE3" w:rsidP="00D825E9">
      <w:pPr>
        <w:rPr>
          <w:rFonts w:ascii="Times New Roman" w:hAnsi="Times New Roman" w:cs="Times New Roman"/>
          <w:sz w:val="24"/>
          <w:szCs w:val="24"/>
        </w:rPr>
      </w:pPr>
      <w:r w:rsidRPr="00FE2FDD">
        <w:rPr>
          <w:rFonts w:ascii="Times New Roman" w:hAnsi="Times New Roman" w:cs="Times New Roman"/>
          <w:sz w:val="24"/>
          <w:szCs w:val="24"/>
        </w:rPr>
        <w:t>These requirements are a common feature of international prudential frameworks</w:t>
      </w:r>
      <w:r w:rsidR="00B819D1" w:rsidRPr="00FE2FDD">
        <w:rPr>
          <w:rFonts w:ascii="Times New Roman" w:hAnsi="Times New Roman" w:cs="Times New Roman"/>
          <w:sz w:val="24"/>
          <w:szCs w:val="24"/>
        </w:rPr>
        <w:t xml:space="preserve">. </w:t>
      </w:r>
      <w:r w:rsidR="0089253A" w:rsidRPr="00FE2FDD">
        <w:rPr>
          <w:rFonts w:ascii="Times New Roman" w:hAnsi="Times New Roman" w:cs="Times New Roman"/>
          <w:sz w:val="24"/>
          <w:szCs w:val="24"/>
        </w:rPr>
        <w:t xml:space="preserve">A </w:t>
      </w:r>
      <w:r w:rsidR="007112C2" w:rsidRPr="00FE2FDD">
        <w:rPr>
          <w:rFonts w:ascii="Times New Roman" w:hAnsi="Times New Roman" w:cs="Times New Roman"/>
          <w:sz w:val="24"/>
          <w:szCs w:val="24"/>
        </w:rPr>
        <w:t xml:space="preserve">credible recovery and exit plan </w:t>
      </w:r>
      <w:proofErr w:type="gramStart"/>
      <w:r w:rsidR="007112C2" w:rsidRPr="00FE2FDD">
        <w:rPr>
          <w:rFonts w:ascii="Times New Roman" w:hAnsi="Times New Roman" w:cs="Times New Roman"/>
          <w:sz w:val="24"/>
          <w:szCs w:val="24"/>
        </w:rPr>
        <w:t>is</w:t>
      </w:r>
      <w:proofErr w:type="gramEnd"/>
      <w:r w:rsidR="007112C2" w:rsidRPr="00FE2FDD">
        <w:rPr>
          <w:rFonts w:ascii="Times New Roman" w:hAnsi="Times New Roman" w:cs="Times New Roman"/>
          <w:sz w:val="24"/>
          <w:szCs w:val="24"/>
        </w:rPr>
        <w:t xml:space="preserve"> essential to ensuring that </w:t>
      </w:r>
      <w:r w:rsidR="00F5276D" w:rsidRPr="00FE2FDD">
        <w:rPr>
          <w:rFonts w:ascii="Times New Roman" w:hAnsi="Times New Roman" w:cs="Times New Roman"/>
          <w:sz w:val="24"/>
          <w:szCs w:val="24"/>
        </w:rPr>
        <w:t>financial institutions</w:t>
      </w:r>
      <w:r w:rsidR="007112C2" w:rsidRPr="00FE2FDD">
        <w:rPr>
          <w:rFonts w:ascii="Times New Roman" w:hAnsi="Times New Roman" w:cs="Times New Roman"/>
          <w:sz w:val="24"/>
          <w:szCs w:val="24"/>
        </w:rPr>
        <w:t xml:space="preserve"> can respond to</w:t>
      </w:r>
      <w:r w:rsidR="0089253A" w:rsidRPr="00FE2FDD">
        <w:rPr>
          <w:rFonts w:ascii="Times New Roman" w:hAnsi="Times New Roman" w:cs="Times New Roman"/>
          <w:sz w:val="24"/>
          <w:szCs w:val="24"/>
        </w:rPr>
        <w:t xml:space="preserve"> </w:t>
      </w:r>
      <w:r w:rsidR="007112C2" w:rsidRPr="00FE2FDD">
        <w:rPr>
          <w:rFonts w:ascii="Times New Roman" w:hAnsi="Times New Roman" w:cs="Times New Roman"/>
          <w:sz w:val="24"/>
          <w:szCs w:val="24"/>
        </w:rPr>
        <w:t xml:space="preserve">scenarios which may threaten their viability, thereby protecting beneficiaries and avoiding the significant </w:t>
      </w:r>
      <w:r w:rsidR="00F5276D" w:rsidRPr="00FE2FDD">
        <w:rPr>
          <w:rFonts w:ascii="Times New Roman" w:hAnsi="Times New Roman" w:cs="Times New Roman"/>
          <w:sz w:val="24"/>
          <w:szCs w:val="24"/>
        </w:rPr>
        <w:t xml:space="preserve">public </w:t>
      </w:r>
      <w:r w:rsidR="007112C2" w:rsidRPr="00FE2FDD">
        <w:rPr>
          <w:rFonts w:ascii="Times New Roman" w:hAnsi="Times New Roman" w:cs="Times New Roman"/>
          <w:sz w:val="24"/>
          <w:szCs w:val="24"/>
        </w:rPr>
        <w:t xml:space="preserve">costs associated </w:t>
      </w:r>
      <w:r w:rsidR="00426154" w:rsidRPr="00FE2FDD">
        <w:rPr>
          <w:rFonts w:ascii="Times New Roman" w:hAnsi="Times New Roman" w:cs="Times New Roman"/>
          <w:sz w:val="24"/>
          <w:szCs w:val="24"/>
        </w:rPr>
        <w:t xml:space="preserve">with a </w:t>
      </w:r>
      <w:r w:rsidR="003F0E18" w:rsidRPr="00FE2FDD">
        <w:rPr>
          <w:rFonts w:ascii="Times New Roman" w:hAnsi="Times New Roman" w:cs="Times New Roman"/>
          <w:sz w:val="24"/>
          <w:szCs w:val="24"/>
        </w:rPr>
        <w:t xml:space="preserve">possible </w:t>
      </w:r>
      <w:r w:rsidR="00426154" w:rsidRPr="00FE2FDD">
        <w:rPr>
          <w:rFonts w:ascii="Times New Roman" w:hAnsi="Times New Roman" w:cs="Times New Roman"/>
          <w:sz w:val="24"/>
          <w:szCs w:val="24"/>
        </w:rPr>
        <w:t xml:space="preserve">disorderly failure. </w:t>
      </w:r>
    </w:p>
    <w:p w14:paraId="18C994EE" w14:textId="30A8381A" w:rsidR="00725791" w:rsidRPr="00FE2FDD" w:rsidRDefault="00725791" w:rsidP="00D825E9">
      <w:pPr>
        <w:rPr>
          <w:rFonts w:ascii="Times New Roman" w:hAnsi="Times New Roman" w:cs="Times New Roman"/>
          <w:sz w:val="24"/>
          <w:szCs w:val="24"/>
        </w:rPr>
      </w:pPr>
      <w:r w:rsidRPr="00FE2FDD">
        <w:rPr>
          <w:rFonts w:ascii="Times New Roman" w:hAnsi="Times New Roman" w:cs="Times New Roman"/>
          <w:sz w:val="24"/>
          <w:szCs w:val="24"/>
        </w:rPr>
        <w:t xml:space="preserve">For banks and insurers, many of whom have been required by APRA to undertake recovery planning for </w:t>
      </w:r>
      <w:proofErr w:type="gramStart"/>
      <w:r w:rsidRPr="00FE2FDD">
        <w:rPr>
          <w:rFonts w:ascii="Times New Roman" w:hAnsi="Times New Roman" w:cs="Times New Roman"/>
          <w:sz w:val="24"/>
          <w:szCs w:val="24"/>
        </w:rPr>
        <w:t>a number of</w:t>
      </w:r>
      <w:proofErr w:type="gramEnd"/>
      <w:r w:rsidRPr="00FE2FDD">
        <w:rPr>
          <w:rFonts w:ascii="Times New Roman" w:hAnsi="Times New Roman" w:cs="Times New Roman"/>
          <w:sz w:val="24"/>
          <w:szCs w:val="24"/>
        </w:rPr>
        <w:t xml:space="preserve"> years, the requirements of CPS 190 will commence</w:t>
      </w:r>
      <w:r w:rsidR="00361D9D" w:rsidRPr="00FE2FDD">
        <w:rPr>
          <w:rFonts w:ascii="Times New Roman" w:hAnsi="Times New Roman" w:cs="Times New Roman"/>
          <w:sz w:val="24"/>
          <w:szCs w:val="24"/>
        </w:rPr>
        <w:t xml:space="preserve"> on</w:t>
      </w:r>
      <w:r w:rsidRPr="00FE2FDD">
        <w:rPr>
          <w:rFonts w:ascii="Times New Roman" w:hAnsi="Times New Roman" w:cs="Times New Roman"/>
          <w:sz w:val="24"/>
          <w:szCs w:val="24"/>
        </w:rPr>
        <w:t xml:space="preserve"> 1 January 2024. For RSE </w:t>
      </w:r>
      <w:r w:rsidR="00E563AA" w:rsidRPr="00FE2FDD">
        <w:rPr>
          <w:rFonts w:ascii="Times New Roman" w:hAnsi="Times New Roman" w:cs="Times New Roman"/>
          <w:sz w:val="24"/>
          <w:szCs w:val="24"/>
        </w:rPr>
        <w:t>licensees</w:t>
      </w:r>
      <w:r w:rsidRPr="00FE2FDD">
        <w:rPr>
          <w:rFonts w:ascii="Times New Roman" w:hAnsi="Times New Roman" w:cs="Times New Roman"/>
          <w:sz w:val="24"/>
          <w:szCs w:val="24"/>
        </w:rPr>
        <w:t>,</w:t>
      </w:r>
      <w:r w:rsidR="00361D9D" w:rsidRPr="00FE2FDD">
        <w:rPr>
          <w:rFonts w:ascii="Times New Roman" w:hAnsi="Times New Roman" w:cs="Times New Roman"/>
          <w:sz w:val="24"/>
          <w:szCs w:val="24"/>
        </w:rPr>
        <w:t xml:space="preserve"> the requirements of</w:t>
      </w:r>
      <w:r w:rsidRPr="00FE2FDD">
        <w:rPr>
          <w:rFonts w:ascii="Times New Roman" w:hAnsi="Times New Roman" w:cs="Times New Roman"/>
          <w:sz w:val="24"/>
          <w:szCs w:val="24"/>
        </w:rPr>
        <w:t xml:space="preserve"> CPS 190 will commence </w:t>
      </w:r>
      <w:r w:rsidR="00361D9D" w:rsidRPr="00FE2FDD">
        <w:rPr>
          <w:rFonts w:ascii="Times New Roman" w:hAnsi="Times New Roman" w:cs="Times New Roman"/>
          <w:sz w:val="24"/>
          <w:szCs w:val="24"/>
        </w:rPr>
        <w:t xml:space="preserve">on </w:t>
      </w:r>
      <w:r w:rsidRPr="00FE2FDD">
        <w:rPr>
          <w:rFonts w:ascii="Times New Roman" w:hAnsi="Times New Roman" w:cs="Times New Roman"/>
          <w:sz w:val="24"/>
          <w:szCs w:val="24"/>
        </w:rPr>
        <w:t>1 January 2025. This will allow additional time for implementation, given</w:t>
      </w:r>
      <w:r w:rsidR="00361D9D" w:rsidRPr="00FE2FDD">
        <w:rPr>
          <w:rFonts w:ascii="Times New Roman" w:hAnsi="Times New Roman" w:cs="Times New Roman"/>
          <w:sz w:val="24"/>
          <w:szCs w:val="24"/>
        </w:rPr>
        <w:t xml:space="preserve"> that</w:t>
      </w:r>
      <w:r w:rsidRPr="00FE2FDD">
        <w:rPr>
          <w:rFonts w:ascii="Times New Roman" w:hAnsi="Times New Roman" w:cs="Times New Roman"/>
          <w:sz w:val="24"/>
          <w:szCs w:val="24"/>
        </w:rPr>
        <w:t xml:space="preserve"> recovery and exit planning is </w:t>
      </w:r>
      <w:r w:rsidR="002B748C" w:rsidRPr="00FE2FDD">
        <w:rPr>
          <w:rFonts w:ascii="Times New Roman" w:hAnsi="Times New Roman" w:cs="Times New Roman"/>
          <w:sz w:val="24"/>
          <w:szCs w:val="24"/>
        </w:rPr>
        <w:t xml:space="preserve">a </w:t>
      </w:r>
      <w:r w:rsidRPr="00FE2FDD">
        <w:rPr>
          <w:rFonts w:ascii="Times New Roman" w:hAnsi="Times New Roman" w:cs="Times New Roman"/>
          <w:sz w:val="24"/>
          <w:szCs w:val="24"/>
        </w:rPr>
        <w:t xml:space="preserve">new requirement for the </w:t>
      </w:r>
      <w:r w:rsidR="00E563AA" w:rsidRPr="00FE2FDD">
        <w:rPr>
          <w:rFonts w:ascii="Times New Roman" w:hAnsi="Times New Roman" w:cs="Times New Roman"/>
          <w:sz w:val="24"/>
          <w:szCs w:val="24"/>
        </w:rPr>
        <w:t xml:space="preserve">superannuation </w:t>
      </w:r>
      <w:r w:rsidRPr="00FE2FDD">
        <w:rPr>
          <w:rFonts w:ascii="Times New Roman" w:hAnsi="Times New Roman" w:cs="Times New Roman"/>
          <w:sz w:val="24"/>
          <w:szCs w:val="24"/>
        </w:rPr>
        <w:t>industry.</w:t>
      </w:r>
    </w:p>
    <w:p w14:paraId="532F8518" w14:textId="407CFF88" w:rsidR="009121B9" w:rsidRPr="00FE2FDD" w:rsidRDefault="009121B9" w:rsidP="00807D80">
      <w:pPr>
        <w:pStyle w:val="Heading1Numbers"/>
      </w:pPr>
      <w:r w:rsidRPr="00FE2FDD">
        <w:t>Purpose and operation of the instrument</w:t>
      </w:r>
    </w:p>
    <w:p w14:paraId="6111D11E" w14:textId="6A25960F" w:rsidR="009121B9" w:rsidRPr="00FE2FDD" w:rsidRDefault="009121B9" w:rsidP="005116CA">
      <w:pPr>
        <w:rPr>
          <w:rFonts w:ascii="Times New Roman" w:hAnsi="Times New Roman" w:cs="Times New Roman"/>
          <w:sz w:val="24"/>
          <w:szCs w:val="24"/>
        </w:rPr>
      </w:pPr>
      <w:r w:rsidRPr="00FE2FDD">
        <w:rPr>
          <w:rFonts w:ascii="Times New Roman" w:hAnsi="Times New Roman" w:cs="Times New Roman"/>
          <w:sz w:val="24"/>
          <w:szCs w:val="24"/>
        </w:rPr>
        <w:t xml:space="preserve">The purpose of </w:t>
      </w:r>
      <w:r w:rsidR="00E563AA" w:rsidRPr="00FE2FDD">
        <w:rPr>
          <w:rFonts w:ascii="Times New Roman" w:hAnsi="Times New Roman" w:cs="Times New Roman"/>
          <w:sz w:val="24"/>
          <w:szCs w:val="24"/>
        </w:rPr>
        <w:t>th</w:t>
      </w:r>
      <w:r w:rsidR="00D61418">
        <w:rPr>
          <w:rFonts w:ascii="Times New Roman" w:hAnsi="Times New Roman" w:cs="Times New Roman"/>
          <w:sz w:val="24"/>
          <w:szCs w:val="24"/>
        </w:rPr>
        <w:t>e</w:t>
      </w:r>
      <w:r w:rsidR="00E563AA" w:rsidRPr="00FE2FDD">
        <w:rPr>
          <w:rFonts w:ascii="Times New Roman" w:hAnsi="Times New Roman" w:cs="Times New Roman"/>
          <w:sz w:val="24"/>
          <w:szCs w:val="24"/>
        </w:rPr>
        <w:t xml:space="preserve"> </w:t>
      </w:r>
      <w:r w:rsidRPr="00FE2FDD">
        <w:rPr>
          <w:rFonts w:ascii="Times New Roman" w:hAnsi="Times New Roman" w:cs="Times New Roman"/>
          <w:sz w:val="24"/>
          <w:szCs w:val="24"/>
        </w:rPr>
        <w:t xml:space="preserve">instrument is to determine a new prudential standard, </w:t>
      </w:r>
      <w:r w:rsidR="00E658EC" w:rsidRPr="00FE2FDD">
        <w:rPr>
          <w:rFonts w:ascii="Times New Roman" w:hAnsi="Times New Roman" w:cs="Times New Roman"/>
          <w:sz w:val="24"/>
          <w:szCs w:val="24"/>
        </w:rPr>
        <w:t>CPS 190</w:t>
      </w:r>
      <w:r w:rsidRPr="00FE2FDD">
        <w:rPr>
          <w:rFonts w:ascii="Times New Roman" w:hAnsi="Times New Roman" w:cs="Times New Roman"/>
          <w:sz w:val="24"/>
          <w:szCs w:val="24"/>
        </w:rPr>
        <w:t>.</w:t>
      </w:r>
    </w:p>
    <w:p w14:paraId="7AECD87E" w14:textId="2441463F" w:rsidR="00D41DBD" w:rsidRPr="00FE2FDD" w:rsidRDefault="00D41DBD" w:rsidP="005116CA">
      <w:pPr>
        <w:spacing w:after="200"/>
        <w:rPr>
          <w:rFonts w:ascii="Times New Roman" w:hAnsi="Times New Roman" w:cs="Times New Roman"/>
          <w:sz w:val="24"/>
          <w:szCs w:val="24"/>
        </w:rPr>
      </w:pPr>
      <w:r w:rsidRPr="00FE2FDD">
        <w:rPr>
          <w:rFonts w:ascii="Times New Roman" w:hAnsi="Times New Roman" w:cs="Times New Roman"/>
          <w:sz w:val="24"/>
          <w:szCs w:val="24"/>
        </w:rPr>
        <w:t xml:space="preserve">The key requirement of </w:t>
      </w:r>
      <w:r w:rsidR="00520557" w:rsidRPr="00FE2FDD">
        <w:rPr>
          <w:rFonts w:ascii="Times New Roman" w:hAnsi="Times New Roman" w:cs="Times New Roman"/>
          <w:sz w:val="24"/>
          <w:szCs w:val="24"/>
        </w:rPr>
        <w:t>CPS 190</w:t>
      </w:r>
      <w:r w:rsidRPr="00FE2FDD">
        <w:rPr>
          <w:rFonts w:ascii="Times New Roman" w:hAnsi="Times New Roman" w:cs="Times New Roman"/>
          <w:sz w:val="24"/>
          <w:szCs w:val="24"/>
        </w:rPr>
        <w:t xml:space="preserve"> </w:t>
      </w:r>
      <w:r w:rsidR="00520557" w:rsidRPr="00FE2FDD">
        <w:rPr>
          <w:rFonts w:ascii="Times New Roman" w:hAnsi="Times New Roman" w:cs="Times New Roman"/>
          <w:sz w:val="24"/>
          <w:szCs w:val="24"/>
        </w:rPr>
        <w:t xml:space="preserve">is </w:t>
      </w:r>
      <w:r w:rsidRPr="00FE2FDD">
        <w:rPr>
          <w:rFonts w:ascii="Times New Roman" w:hAnsi="Times New Roman" w:cs="Times New Roman"/>
          <w:sz w:val="24"/>
          <w:szCs w:val="24"/>
        </w:rPr>
        <w:t xml:space="preserve">that an APRA-regulated entity must </w:t>
      </w:r>
      <w:r w:rsidR="00E563AA" w:rsidRPr="00FE2FDD">
        <w:rPr>
          <w:rFonts w:ascii="Times New Roman" w:hAnsi="Times New Roman" w:cs="Times New Roman"/>
          <w:sz w:val="24"/>
          <w:szCs w:val="24"/>
        </w:rPr>
        <w:t xml:space="preserve">develop and </w:t>
      </w:r>
      <w:r w:rsidRPr="00FE2FDD">
        <w:rPr>
          <w:rFonts w:ascii="Times New Roman" w:hAnsi="Times New Roman" w:cs="Times New Roman"/>
          <w:sz w:val="24"/>
          <w:szCs w:val="24"/>
        </w:rPr>
        <w:t xml:space="preserve">maintain a credible </w:t>
      </w:r>
      <w:r w:rsidR="00F5276D" w:rsidRPr="00FE2FDD">
        <w:rPr>
          <w:rFonts w:ascii="Times New Roman" w:hAnsi="Times New Roman" w:cs="Times New Roman"/>
          <w:sz w:val="24"/>
          <w:szCs w:val="24"/>
        </w:rPr>
        <w:t xml:space="preserve">recovery and exit </w:t>
      </w:r>
      <w:r w:rsidRPr="00FE2FDD">
        <w:rPr>
          <w:rFonts w:ascii="Times New Roman" w:hAnsi="Times New Roman" w:cs="Times New Roman"/>
          <w:sz w:val="24"/>
          <w:szCs w:val="24"/>
        </w:rPr>
        <w:t>plan</w:t>
      </w:r>
      <w:r w:rsidR="00F5276D" w:rsidRPr="00FE2FDD">
        <w:rPr>
          <w:rFonts w:ascii="Times New Roman" w:hAnsi="Times New Roman" w:cs="Times New Roman"/>
          <w:sz w:val="24"/>
          <w:szCs w:val="24"/>
        </w:rPr>
        <w:t>.</w:t>
      </w:r>
      <w:r w:rsidR="00383204" w:rsidRPr="00FE2FDD">
        <w:rPr>
          <w:rFonts w:ascii="Times New Roman" w:hAnsi="Times New Roman" w:cs="Times New Roman"/>
          <w:sz w:val="24"/>
          <w:szCs w:val="24"/>
        </w:rPr>
        <w:t xml:space="preserve"> </w:t>
      </w:r>
      <w:r w:rsidR="00A0519D" w:rsidRPr="00FE2FDD">
        <w:rPr>
          <w:rFonts w:ascii="Times New Roman" w:hAnsi="Times New Roman" w:cs="Times New Roman"/>
          <w:sz w:val="24"/>
          <w:szCs w:val="24"/>
        </w:rPr>
        <w:t>The main comp</w:t>
      </w:r>
      <w:r w:rsidR="00383204" w:rsidRPr="00FE2FDD">
        <w:rPr>
          <w:rFonts w:ascii="Times New Roman" w:hAnsi="Times New Roman" w:cs="Times New Roman"/>
          <w:sz w:val="24"/>
          <w:szCs w:val="24"/>
        </w:rPr>
        <w:t xml:space="preserve">onents of </w:t>
      </w:r>
      <w:r w:rsidR="005022A5" w:rsidRPr="00FE2FDD">
        <w:rPr>
          <w:rFonts w:ascii="Times New Roman" w:hAnsi="Times New Roman" w:cs="Times New Roman"/>
          <w:sz w:val="24"/>
          <w:szCs w:val="24"/>
        </w:rPr>
        <w:t>a recovery and exit plan</w:t>
      </w:r>
      <w:r w:rsidR="000706A7" w:rsidRPr="00FE2FDD">
        <w:rPr>
          <w:rFonts w:ascii="Times New Roman" w:hAnsi="Times New Roman" w:cs="Times New Roman"/>
          <w:sz w:val="24"/>
          <w:szCs w:val="24"/>
        </w:rPr>
        <w:t xml:space="preserve">, as required under CPS 190, are </w:t>
      </w:r>
      <w:r w:rsidR="005C1601" w:rsidRPr="00FE2FDD">
        <w:rPr>
          <w:rFonts w:ascii="Times New Roman" w:hAnsi="Times New Roman" w:cs="Times New Roman"/>
          <w:sz w:val="24"/>
          <w:szCs w:val="24"/>
        </w:rPr>
        <w:t xml:space="preserve">set out in paragraph </w:t>
      </w:r>
      <w:r w:rsidR="00AF339D" w:rsidRPr="00FE2FDD">
        <w:rPr>
          <w:rFonts w:ascii="Times New Roman" w:hAnsi="Times New Roman" w:cs="Times New Roman"/>
          <w:sz w:val="24"/>
          <w:szCs w:val="24"/>
        </w:rPr>
        <w:t xml:space="preserve">19 of the prudential standard, </w:t>
      </w:r>
      <w:r w:rsidR="00AB17A4" w:rsidRPr="00FE2FDD">
        <w:rPr>
          <w:rFonts w:ascii="Times New Roman" w:hAnsi="Times New Roman" w:cs="Times New Roman"/>
          <w:sz w:val="24"/>
          <w:szCs w:val="24"/>
        </w:rPr>
        <w:t xml:space="preserve">and </w:t>
      </w:r>
      <w:r w:rsidR="002949B7" w:rsidRPr="00FE2FDD">
        <w:rPr>
          <w:rFonts w:ascii="Times New Roman" w:hAnsi="Times New Roman" w:cs="Times New Roman"/>
          <w:sz w:val="24"/>
          <w:szCs w:val="24"/>
        </w:rPr>
        <w:t>include</w:t>
      </w:r>
      <w:r w:rsidR="00AB17A4" w:rsidRPr="00FE2FDD">
        <w:rPr>
          <w:rFonts w:ascii="Times New Roman" w:hAnsi="Times New Roman" w:cs="Times New Roman"/>
          <w:sz w:val="24"/>
          <w:szCs w:val="24"/>
        </w:rPr>
        <w:t xml:space="preserve">: </w:t>
      </w:r>
    </w:p>
    <w:p w14:paraId="1DD287ED" w14:textId="05BAE7D6" w:rsidR="00B24C71" w:rsidRPr="00FE2FDD" w:rsidRDefault="000C40EE" w:rsidP="005116CA">
      <w:pPr>
        <w:pStyle w:val="ListParagraph"/>
        <w:numPr>
          <w:ilvl w:val="0"/>
          <w:numId w:val="41"/>
        </w:numPr>
        <w:tabs>
          <w:tab w:val="clear" w:pos="425"/>
          <w:tab w:val="clear" w:pos="851"/>
        </w:tabs>
        <w:spacing w:after="200"/>
        <w:contextualSpacing w:val="0"/>
        <w:rPr>
          <w:rFonts w:ascii="Times New Roman" w:hAnsi="Times New Roman" w:cs="Times New Roman"/>
          <w:sz w:val="24"/>
          <w:szCs w:val="24"/>
        </w:rPr>
      </w:pPr>
      <w:r w:rsidRPr="00FE2FDD">
        <w:rPr>
          <w:rFonts w:ascii="Times New Roman" w:hAnsi="Times New Roman" w:cs="Times New Roman"/>
          <w:sz w:val="24"/>
          <w:szCs w:val="24"/>
        </w:rPr>
        <w:t xml:space="preserve">a trigger framework, for early identification and monitoring of </w:t>
      </w:r>
      <w:proofErr w:type="gramStart"/>
      <w:r w:rsidRPr="00FE2FDD">
        <w:rPr>
          <w:rFonts w:ascii="Times New Roman" w:hAnsi="Times New Roman" w:cs="Times New Roman"/>
          <w:sz w:val="24"/>
          <w:szCs w:val="24"/>
        </w:rPr>
        <w:t>stress;</w:t>
      </w:r>
      <w:proofErr w:type="gramEnd"/>
      <w:r w:rsidRPr="00FE2FDD">
        <w:rPr>
          <w:rFonts w:ascii="Times New Roman" w:hAnsi="Times New Roman" w:cs="Times New Roman"/>
          <w:sz w:val="24"/>
          <w:szCs w:val="24"/>
        </w:rPr>
        <w:t xml:space="preserve"> </w:t>
      </w:r>
    </w:p>
    <w:p w14:paraId="6A4B7BA3" w14:textId="4391F20C" w:rsidR="000C40EE" w:rsidRPr="00FE2FDD" w:rsidRDefault="000C40EE" w:rsidP="005116CA">
      <w:pPr>
        <w:pStyle w:val="ListParagraph"/>
        <w:numPr>
          <w:ilvl w:val="0"/>
          <w:numId w:val="41"/>
        </w:numPr>
        <w:tabs>
          <w:tab w:val="clear" w:pos="425"/>
          <w:tab w:val="clear" w:pos="851"/>
        </w:tabs>
        <w:spacing w:after="200"/>
        <w:contextualSpacing w:val="0"/>
        <w:rPr>
          <w:rFonts w:ascii="Times New Roman" w:hAnsi="Times New Roman" w:cs="Times New Roman"/>
          <w:sz w:val="24"/>
          <w:szCs w:val="24"/>
        </w:rPr>
      </w:pPr>
      <w:r w:rsidRPr="00FE2FDD">
        <w:rPr>
          <w:rFonts w:ascii="Times New Roman" w:hAnsi="Times New Roman" w:cs="Times New Roman"/>
          <w:sz w:val="24"/>
          <w:szCs w:val="24"/>
        </w:rPr>
        <w:t xml:space="preserve">governance arrangements, for monitoring triggers and timely activation of the plan or specific actions within </w:t>
      </w:r>
      <w:proofErr w:type="gramStart"/>
      <w:r w:rsidRPr="00FE2FDD">
        <w:rPr>
          <w:rFonts w:ascii="Times New Roman" w:hAnsi="Times New Roman" w:cs="Times New Roman"/>
          <w:sz w:val="24"/>
          <w:szCs w:val="24"/>
        </w:rPr>
        <w:t>it;</w:t>
      </w:r>
      <w:proofErr w:type="gramEnd"/>
      <w:r w:rsidRPr="00FE2FDD">
        <w:rPr>
          <w:rFonts w:ascii="Times New Roman" w:hAnsi="Times New Roman" w:cs="Times New Roman"/>
          <w:sz w:val="24"/>
          <w:szCs w:val="24"/>
        </w:rPr>
        <w:t xml:space="preserve"> </w:t>
      </w:r>
    </w:p>
    <w:p w14:paraId="6FD89BB9" w14:textId="0FDE7666" w:rsidR="000C40EE" w:rsidRPr="00FE2FDD" w:rsidRDefault="000C40EE" w:rsidP="005116CA">
      <w:pPr>
        <w:pStyle w:val="ListParagraph"/>
        <w:numPr>
          <w:ilvl w:val="0"/>
          <w:numId w:val="41"/>
        </w:numPr>
        <w:tabs>
          <w:tab w:val="clear" w:pos="425"/>
          <w:tab w:val="clear" w:pos="851"/>
        </w:tabs>
        <w:spacing w:after="200"/>
        <w:contextualSpacing w:val="0"/>
        <w:rPr>
          <w:rFonts w:ascii="Times New Roman" w:hAnsi="Times New Roman" w:cs="Times New Roman"/>
          <w:sz w:val="24"/>
          <w:szCs w:val="24"/>
        </w:rPr>
      </w:pPr>
      <w:r w:rsidRPr="00FE2FDD">
        <w:rPr>
          <w:rFonts w:ascii="Times New Roman" w:hAnsi="Times New Roman" w:cs="Times New Roman"/>
          <w:sz w:val="24"/>
          <w:szCs w:val="24"/>
        </w:rPr>
        <w:t xml:space="preserve">recovery and exit actions, </w:t>
      </w:r>
      <w:r w:rsidR="009D5A30" w:rsidRPr="00FE2FDD">
        <w:rPr>
          <w:rFonts w:ascii="Times New Roman" w:hAnsi="Times New Roman" w:cs="Times New Roman"/>
          <w:sz w:val="24"/>
          <w:szCs w:val="24"/>
        </w:rPr>
        <w:t xml:space="preserve">for stabilising and restoring financial resilience, or affecting an orderly and solvent exit; </w:t>
      </w:r>
      <w:r w:rsidR="00664EE1" w:rsidRPr="00FE2FDD">
        <w:rPr>
          <w:rFonts w:ascii="Times New Roman" w:hAnsi="Times New Roman" w:cs="Times New Roman"/>
          <w:sz w:val="24"/>
          <w:szCs w:val="24"/>
        </w:rPr>
        <w:t>and</w:t>
      </w:r>
    </w:p>
    <w:p w14:paraId="5BB762EC" w14:textId="72241AAD" w:rsidR="00FF3BB4" w:rsidRPr="00FE2FDD" w:rsidRDefault="004E1013"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 xml:space="preserve">a </w:t>
      </w:r>
      <w:r w:rsidR="009D5A30" w:rsidRPr="00FE2FDD">
        <w:rPr>
          <w:rFonts w:ascii="Times New Roman" w:hAnsi="Times New Roman" w:cs="Times New Roman"/>
          <w:sz w:val="24"/>
          <w:szCs w:val="24"/>
        </w:rPr>
        <w:t xml:space="preserve">communication strategy, to support the execution of </w:t>
      </w:r>
      <w:r w:rsidR="00FF3BB4" w:rsidRPr="00FE2FDD">
        <w:rPr>
          <w:rFonts w:ascii="Times New Roman" w:hAnsi="Times New Roman" w:cs="Times New Roman"/>
          <w:sz w:val="24"/>
          <w:szCs w:val="24"/>
        </w:rPr>
        <w:t>recovery and exit actions</w:t>
      </w:r>
      <w:r w:rsidR="00664EE1" w:rsidRPr="00FE2FDD">
        <w:rPr>
          <w:rFonts w:ascii="Times New Roman" w:hAnsi="Times New Roman" w:cs="Times New Roman"/>
          <w:sz w:val="24"/>
          <w:szCs w:val="24"/>
        </w:rPr>
        <w:t>.</w:t>
      </w:r>
      <w:r w:rsidR="00FF3BB4" w:rsidRPr="00FE2FDD">
        <w:rPr>
          <w:rFonts w:ascii="Times New Roman" w:hAnsi="Times New Roman" w:cs="Times New Roman"/>
          <w:sz w:val="24"/>
          <w:szCs w:val="24"/>
        </w:rPr>
        <w:t xml:space="preserve"> </w:t>
      </w:r>
    </w:p>
    <w:p w14:paraId="6775D411" w14:textId="4630A95E" w:rsidR="007A4FC8" w:rsidRPr="00FE2FDD" w:rsidRDefault="00664EE1" w:rsidP="005116CA">
      <w:pPr>
        <w:numPr>
          <w:ilvl w:val="0"/>
          <w:numId w:val="0"/>
        </w:numPr>
        <w:spacing w:after="200"/>
        <w:rPr>
          <w:rFonts w:ascii="Times New Roman" w:hAnsi="Times New Roman" w:cs="Times New Roman"/>
          <w:sz w:val="24"/>
          <w:szCs w:val="24"/>
        </w:rPr>
      </w:pPr>
      <w:r w:rsidRPr="00FE2FDD">
        <w:rPr>
          <w:rFonts w:ascii="Times New Roman" w:hAnsi="Times New Roman" w:cs="Times New Roman"/>
          <w:sz w:val="24"/>
          <w:szCs w:val="24"/>
        </w:rPr>
        <w:lastRenderedPageBreak/>
        <w:t>L</w:t>
      </w:r>
      <w:r w:rsidR="00520557" w:rsidRPr="00FE2FDD">
        <w:rPr>
          <w:rFonts w:ascii="Times New Roman" w:hAnsi="Times New Roman" w:cs="Times New Roman"/>
          <w:sz w:val="24"/>
          <w:szCs w:val="24"/>
        </w:rPr>
        <w:t>arger and more complex entities (significant financial institutions,</w:t>
      </w:r>
      <w:r w:rsidR="001B6423" w:rsidRPr="00FE2FDD">
        <w:rPr>
          <w:rFonts w:ascii="Times New Roman" w:hAnsi="Times New Roman" w:cs="Times New Roman"/>
          <w:sz w:val="24"/>
          <w:szCs w:val="24"/>
        </w:rPr>
        <w:t xml:space="preserve"> or</w:t>
      </w:r>
      <w:r w:rsidR="00520557" w:rsidRPr="00FE2FDD">
        <w:rPr>
          <w:rFonts w:ascii="Times New Roman" w:hAnsi="Times New Roman" w:cs="Times New Roman"/>
          <w:sz w:val="24"/>
          <w:szCs w:val="24"/>
        </w:rPr>
        <w:t xml:space="preserve"> SFIs)</w:t>
      </w:r>
      <w:r w:rsidR="009B65C1" w:rsidRPr="00FE2FDD">
        <w:rPr>
          <w:rFonts w:ascii="Times New Roman" w:hAnsi="Times New Roman" w:cs="Times New Roman"/>
          <w:sz w:val="24"/>
          <w:szCs w:val="24"/>
        </w:rPr>
        <w:t xml:space="preserve"> are </w:t>
      </w:r>
      <w:r w:rsidRPr="00FE2FDD">
        <w:rPr>
          <w:rFonts w:ascii="Times New Roman" w:hAnsi="Times New Roman" w:cs="Times New Roman"/>
          <w:sz w:val="24"/>
          <w:szCs w:val="24"/>
        </w:rPr>
        <w:t>subject to additional requirements in developing their recovery and exit plans</w:t>
      </w:r>
      <w:r w:rsidR="001B6423" w:rsidRPr="00FE2FDD">
        <w:rPr>
          <w:rFonts w:ascii="Times New Roman" w:hAnsi="Times New Roman" w:cs="Times New Roman"/>
          <w:sz w:val="24"/>
          <w:szCs w:val="24"/>
        </w:rPr>
        <w:t>,</w:t>
      </w:r>
      <w:r w:rsidR="00E658BC" w:rsidRPr="00FE2FDD">
        <w:rPr>
          <w:rFonts w:ascii="Times New Roman" w:hAnsi="Times New Roman" w:cs="Times New Roman"/>
          <w:sz w:val="24"/>
          <w:szCs w:val="24"/>
        </w:rPr>
        <w:t xml:space="preserve"> consistent with </w:t>
      </w:r>
      <w:r w:rsidR="001B6423" w:rsidRPr="00FE2FDD">
        <w:rPr>
          <w:rFonts w:ascii="Times New Roman" w:hAnsi="Times New Roman" w:cs="Times New Roman"/>
          <w:sz w:val="24"/>
          <w:szCs w:val="24"/>
        </w:rPr>
        <w:t>the</w:t>
      </w:r>
      <w:r w:rsidR="00216E0E" w:rsidRPr="00FE2FDD">
        <w:rPr>
          <w:rFonts w:ascii="Times New Roman" w:hAnsi="Times New Roman" w:cs="Times New Roman"/>
          <w:sz w:val="24"/>
          <w:szCs w:val="24"/>
        </w:rPr>
        <w:t xml:space="preserve"> </w:t>
      </w:r>
      <w:r w:rsidR="001C5CBE" w:rsidRPr="00FE2FDD">
        <w:rPr>
          <w:rFonts w:ascii="Times New Roman" w:hAnsi="Times New Roman" w:cs="Times New Roman"/>
          <w:sz w:val="24"/>
          <w:szCs w:val="24"/>
        </w:rPr>
        <w:t xml:space="preserve">heightened </w:t>
      </w:r>
      <w:r w:rsidR="00E658BC" w:rsidRPr="00FE2FDD">
        <w:rPr>
          <w:rFonts w:ascii="Times New Roman" w:hAnsi="Times New Roman" w:cs="Times New Roman"/>
          <w:sz w:val="24"/>
          <w:szCs w:val="24"/>
        </w:rPr>
        <w:t>risk</w:t>
      </w:r>
      <w:r w:rsidR="00216E0E" w:rsidRPr="00FE2FDD">
        <w:rPr>
          <w:rFonts w:ascii="Times New Roman" w:hAnsi="Times New Roman" w:cs="Times New Roman"/>
          <w:sz w:val="24"/>
          <w:szCs w:val="24"/>
        </w:rPr>
        <w:t xml:space="preserve">s </w:t>
      </w:r>
      <w:r w:rsidR="002949B7" w:rsidRPr="00FE2FDD">
        <w:rPr>
          <w:rFonts w:ascii="Times New Roman" w:hAnsi="Times New Roman" w:cs="Times New Roman"/>
          <w:sz w:val="24"/>
          <w:szCs w:val="24"/>
        </w:rPr>
        <w:t xml:space="preserve">they pose </w:t>
      </w:r>
      <w:r w:rsidR="00216E0E" w:rsidRPr="00FE2FDD">
        <w:rPr>
          <w:rFonts w:ascii="Times New Roman" w:hAnsi="Times New Roman" w:cs="Times New Roman"/>
          <w:sz w:val="24"/>
          <w:szCs w:val="24"/>
        </w:rPr>
        <w:t>to financial stability</w:t>
      </w:r>
      <w:r w:rsidR="00E658BC" w:rsidRPr="00FE2FDD">
        <w:rPr>
          <w:rFonts w:ascii="Times New Roman" w:hAnsi="Times New Roman" w:cs="Times New Roman"/>
          <w:sz w:val="24"/>
          <w:szCs w:val="24"/>
        </w:rPr>
        <w:t>.</w:t>
      </w:r>
      <w:r w:rsidRPr="00FE2FDD">
        <w:rPr>
          <w:rFonts w:ascii="Times New Roman" w:hAnsi="Times New Roman" w:cs="Times New Roman"/>
          <w:sz w:val="24"/>
          <w:szCs w:val="24"/>
        </w:rPr>
        <w:t xml:space="preserve"> </w:t>
      </w:r>
      <w:r w:rsidR="007A4FC8" w:rsidRPr="00FE2FDD">
        <w:rPr>
          <w:rFonts w:ascii="Times New Roman" w:hAnsi="Times New Roman" w:cs="Times New Roman"/>
          <w:sz w:val="24"/>
          <w:szCs w:val="24"/>
        </w:rPr>
        <w:t>T</w:t>
      </w:r>
      <w:r w:rsidRPr="00FE2FDD">
        <w:rPr>
          <w:rFonts w:ascii="Times New Roman" w:hAnsi="Times New Roman" w:cs="Times New Roman"/>
          <w:sz w:val="24"/>
          <w:szCs w:val="24"/>
        </w:rPr>
        <w:t xml:space="preserve">hese entities are also required to </w:t>
      </w:r>
      <w:r w:rsidR="00F60BD8" w:rsidRPr="00FE2FDD">
        <w:rPr>
          <w:rFonts w:ascii="Times New Roman" w:hAnsi="Times New Roman" w:cs="Times New Roman"/>
          <w:sz w:val="24"/>
          <w:szCs w:val="24"/>
        </w:rPr>
        <w:t>include:</w:t>
      </w:r>
      <w:r w:rsidR="00F00348" w:rsidRPr="00FE2FDD">
        <w:rPr>
          <w:rFonts w:ascii="Times New Roman" w:hAnsi="Times New Roman" w:cs="Times New Roman"/>
          <w:sz w:val="24"/>
          <w:szCs w:val="24"/>
        </w:rPr>
        <w:t xml:space="preserve"> </w:t>
      </w:r>
    </w:p>
    <w:p w14:paraId="361B78DF" w14:textId="46D4F8AD" w:rsidR="007A4FC8" w:rsidRPr="00FE2FDD" w:rsidRDefault="00F60BD8" w:rsidP="005116CA">
      <w:pPr>
        <w:pStyle w:val="ListParagraph"/>
        <w:numPr>
          <w:ilvl w:val="0"/>
          <w:numId w:val="41"/>
        </w:numPr>
        <w:tabs>
          <w:tab w:val="clear" w:pos="425"/>
          <w:tab w:val="clear" w:pos="851"/>
        </w:tabs>
        <w:spacing w:after="200"/>
        <w:ind w:left="714" w:hanging="357"/>
        <w:contextualSpacing w:val="0"/>
        <w:rPr>
          <w:rFonts w:ascii="Times New Roman" w:hAnsi="Times New Roman" w:cs="Times New Roman"/>
          <w:sz w:val="24"/>
          <w:szCs w:val="24"/>
        </w:rPr>
      </w:pPr>
      <w:r w:rsidRPr="00FE2FDD">
        <w:rPr>
          <w:rFonts w:ascii="Times New Roman" w:hAnsi="Times New Roman" w:cs="Times New Roman"/>
          <w:sz w:val="24"/>
          <w:szCs w:val="24"/>
        </w:rPr>
        <w:t>scenario analysis, for assessing the effectiveness of triggers and recovery and exit actions</w:t>
      </w:r>
      <w:r w:rsidR="007A4FC8" w:rsidRPr="00FE2FDD">
        <w:rPr>
          <w:rFonts w:ascii="Times New Roman" w:hAnsi="Times New Roman" w:cs="Times New Roman"/>
          <w:sz w:val="24"/>
          <w:szCs w:val="24"/>
        </w:rPr>
        <w:t xml:space="preserve">, </w:t>
      </w:r>
      <w:r w:rsidRPr="00FE2FDD">
        <w:rPr>
          <w:rFonts w:ascii="Times New Roman" w:hAnsi="Times New Roman" w:cs="Times New Roman"/>
          <w:sz w:val="24"/>
          <w:szCs w:val="24"/>
        </w:rPr>
        <w:t>and</w:t>
      </w:r>
      <w:r w:rsidR="00F00348" w:rsidRPr="00FE2FDD">
        <w:rPr>
          <w:rFonts w:ascii="Times New Roman" w:hAnsi="Times New Roman" w:cs="Times New Roman"/>
          <w:sz w:val="24"/>
          <w:szCs w:val="24"/>
        </w:rPr>
        <w:t xml:space="preserve"> </w:t>
      </w:r>
      <w:r w:rsidRPr="00FE2FDD">
        <w:rPr>
          <w:rFonts w:ascii="Times New Roman" w:hAnsi="Times New Roman" w:cs="Times New Roman"/>
          <w:sz w:val="24"/>
          <w:szCs w:val="24"/>
        </w:rPr>
        <w:t xml:space="preserve">an assessment of recovery capacity, </w:t>
      </w:r>
      <w:r w:rsidR="00CF198E" w:rsidRPr="00FE2FDD">
        <w:rPr>
          <w:rFonts w:ascii="Times New Roman" w:hAnsi="Times New Roman" w:cs="Times New Roman"/>
          <w:sz w:val="24"/>
          <w:szCs w:val="24"/>
        </w:rPr>
        <w:t>to review the extent to which recovery actions can offset losses in stress</w:t>
      </w:r>
      <w:r w:rsidR="007A4FC8" w:rsidRPr="00FE2FDD">
        <w:rPr>
          <w:rFonts w:ascii="Times New Roman" w:hAnsi="Times New Roman" w:cs="Times New Roman"/>
          <w:sz w:val="24"/>
          <w:szCs w:val="24"/>
        </w:rPr>
        <w:t xml:space="preserve"> (paragraph 20); </w:t>
      </w:r>
      <w:r w:rsidR="00537A8B" w:rsidRPr="00FE2FDD">
        <w:rPr>
          <w:rFonts w:ascii="Times New Roman" w:hAnsi="Times New Roman" w:cs="Times New Roman"/>
          <w:sz w:val="24"/>
          <w:szCs w:val="24"/>
        </w:rPr>
        <w:t>and</w:t>
      </w:r>
    </w:p>
    <w:p w14:paraId="70B7D82C" w14:textId="104CE998" w:rsidR="00F60BD8" w:rsidRPr="00FE2FDD" w:rsidRDefault="00F00348" w:rsidP="005116CA">
      <w:pPr>
        <w:pStyle w:val="ListParagraph"/>
        <w:numPr>
          <w:ilvl w:val="0"/>
          <w:numId w:val="41"/>
        </w:numPr>
        <w:tabs>
          <w:tab w:val="clear" w:pos="425"/>
          <w:tab w:val="clear" w:pos="851"/>
        </w:tabs>
        <w:spacing w:after="200"/>
        <w:ind w:left="714" w:hanging="357"/>
        <w:contextualSpacing w:val="0"/>
        <w:rPr>
          <w:rFonts w:ascii="Times New Roman" w:hAnsi="Times New Roman" w:cs="Times New Roman"/>
          <w:sz w:val="24"/>
          <w:szCs w:val="24"/>
        </w:rPr>
      </w:pPr>
      <w:r w:rsidRPr="00FE2FDD">
        <w:rPr>
          <w:rFonts w:ascii="Times New Roman" w:hAnsi="Times New Roman" w:cs="Times New Roman"/>
          <w:sz w:val="24"/>
          <w:szCs w:val="24"/>
        </w:rPr>
        <w:t>additional analysis around each recovery and exit action</w:t>
      </w:r>
      <w:r w:rsidR="004E1013" w:rsidRPr="00FE2FDD">
        <w:rPr>
          <w:rFonts w:ascii="Times New Roman" w:hAnsi="Times New Roman" w:cs="Times New Roman"/>
          <w:sz w:val="24"/>
          <w:szCs w:val="24"/>
        </w:rPr>
        <w:t>, including a timeline</w:t>
      </w:r>
      <w:r w:rsidR="002949B7" w:rsidRPr="00FE2FDD">
        <w:rPr>
          <w:rFonts w:ascii="Times New Roman" w:hAnsi="Times New Roman" w:cs="Times New Roman"/>
          <w:sz w:val="24"/>
          <w:szCs w:val="24"/>
        </w:rPr>
        <w:t xml:space="preserve"> for implementation</w:t>
      </w:r>
      <w:r w:rsidR="004E1013" w:rsidRPr="00FE2FDD">
        <w:rPr>
          <w:rFonts w:ascii="Times New Roman" w:hAnsi="Times New Roman" w:cs="Times New Roman"/>
          <w:sz w:val="24"/>
          <w:szCs w:val="24"/>
        </w:rPr>
        <w:t>, an analysis of barriers to implementation</w:t>
      </w:r>
      <w:r w:rsidR="000B79F8">
        <w:rPr>
          <w:rFonts w:ascii="Times New Roman" w:hAnsi="Times New Roman" w:cs="Times New Roman"/>
          <w:sz w:val="24"/>
          <w:szCs w:val="24"/>
        </w:rPr>
        <w:t xml:space="preserve">, </w:t>
      </w:r>
      <w:r w:rsidR="002949B7" w:rsidRPr="00FE2FDD">
        <w:rPr>
          <w:rFonts w:ascii="Times New Roman" w:hAnsi="Times New Roman" w:cs="Times New Roman"/>
          <w:sz w:val="24"/>
          <w:szCs w:val="24"/>
        </w:rPr>
        <w:t>execution</w:t>
      </w:r>
      <w:r w:rsidR="002C3AFC" w:rsidRPr="00FE2FDD">
        <w:rPr>
          <w:rFonts w:ascii="Times New Roman" w:hAnsi="Times New Roman" w:cs="Times New Roman"/>
          <w:sz w:val="24"/>
          <w:szCs w:val="24"/>
        </w:rPr>
        <w:t xml:space="preserve"> risks</w:t>
      </w:r>
      <w:r w:rsidR="000B79F8">
        <w:rPr>
          <w:rFonts w:ascii="Times New Roman" w:hAnsi="Times New Roman" w:cs="Times New Roman"/>
          <w:sz w:val="24"/>
          <w:szCs w:val="24"/>
        </w:rPr>
        <w:t xml:space="preserve"> and key dependencies</w:t>
      </w:r>
      <w:r w:rsidR="004E1013" w:rsidRPr="00FE2FDD">
        <w:rPr>
          <w:rFonts w:ascii="Times New Roman" w:hAnsi="Times New Roman" w:cs="Times New Roman"/>
          <w:sz w:val="24"/>
          <w:szCs w:val="24"/>
        </w:rPr>
        <w:t xml:space="preserve">, a summary of preparatory measures </w:t>
      </w:r>
      <w:r w:rsidR="007A4FC8" w:rsidRPr="00FE2FDD">
        <w:rPr>
          <w:rFonts w:ascii="Times New Roman" w:hAnsi="Times New Roman" w:cs="Times New Roman"/>
          <w:sz w:val="24"/>
          <w:szCs w:val="24"/>
        </w:rPr>
        <w:t xml:space="preserve">needed to support the execution of the action </w:t>
      </w:r>
      <w:r w:rsidR="004E1013" w:rsidRPr="00FE2FDD">
        <w:rPr>
          <w:rFonts w:ascii="Times New Roman" w:hAnsi="Times New Roman" w:cs="Times New Roman"/>
          <w:sz w:val="24"/>
          <w:szCs w:val="24"/>
        </w:rPr>
        <w:t>and</w:t>
      </w:r>
      <w:r w:rsidR="002949B7" w:rsidRPr="00FE2FDD">
        <w:rPr>
          <w:rFonts w:ascii="Times New Roman" w:hAnsi="Times New Roman" w:cs="Times New Roman"/>
          <w:sz w:val="24"/>
          <w:szCs w:val="24"/>
        </w:rPr>
        <w:t>,</w:t>
      </w:r>
      <w:r w:rsidR="004E1013" w:rsidRPr="00FE2FDD">
        <w:rPr>
          <w:rFonts w:ascii="Times New Roman" w:hAnsi="Times New Roman" w:cs="Times New Roman"/>
          <w:sz w:val="24"/>
          <w:szCs w:val="24"/>
        </w:rPr>
        <w:t xml:space="preserve"> where relevant, an estimate of the impact of the action on the entity’s capital and liquidity position</w:t>
      </w:r>
      <w:r w:rsidR="007A4FC8" w:rsidRPr="00FE2FDD">
        <w:rPr>
          <w:rFonts w:ascii="Times New Roman" w:hAnsi="Times New Roman" w:cs="Times New Roman"/>
          <w:sz w:val="24"/>
          <w:szCs w:val="24"/>
        </w:rPr>
        <w:t xml:space="preserve"> (paragraph 21).</w:t>
      </w:r>
    </w:p>
    <w:p w14:paraId="272B04EF" w14:textId="5165177B" w:rsidR="007A4FC8" w:rsidRPr="00FE2FDD" w:rsidRDefault="002F5790" w:rsidP="005116CA">
      <w:pPr>
        <w:numPr>
          <w:ilvl w:val="0"/>
          <w:numId w:val="0"/>
        </w:numPr>
        <w:rPr>
          <w:rFonts w:ascii="Times New Roman" w:hAnsi="Times New Roman" w:cs="Times New Roman"/>
          <w:sz w:val="24"/>
          <w:szCs w:val="24"/>
        </w:rPr>
      </w:pPr>
      <w:r w:rsidRPr="00FE2FDD">
        <w:rPr>
          <w:rFonts w:ascii="Times New Roman" w:hAnsi="Times New Roman" w:cs="Times New Roman"/>
          <w:sz w:val="24"/>
          <w:szCs w:val="24"/>
        </w:rPr>
        <w:t xml:space="preserve">Paragraphs 24 to 27 </w:t>
      </w:r>
      <w:r w:rsidR="00A37526" w:rsidRPr="00FE2FDD">
        <w:rPr>
          <w:rFonts w:ascii="Times New Roman" w:hAnsi="Times New Roman" w:cs="Times New Roman"/>
          <w:sz w:val="24"/>
          <w:szCs w:val="24"/>
        </w:rPr>
        <w:t xml:space="preserve">of CPS 190 </w:t>
      </w:r>
      <w:r w:rsidRPr="00FE2FDD">
        <w:rPr>
          <w:rFonts w:ascii="Times New Roman" w:hAnsi="Times New Roman" w:cs="Times New Roman"/>
          <w:sz w:val="24"/>
          <w:szCs w:val="24"/>
        </w:rPr>
        <w:t>set out</w:t>
      </w:r>
      <w:r w:rsidR="00DF76B4" w:rsidRPr="00FE2FDD">
        <w:rPr>
          <w:rFonts w:ascii="Times New Roman" w:hAnsi="Times New Roman" w:cs="Times New Roman"/>
          <w:sz w:val="24"/>
          <w:szCs w:val="24"/>
        </w:rPr>
        <w:t xml:space="preserve"> the</w:t>
      </w:r>
      <w:r w:rsidRPr="00FE2FDD">
        <w:rPr>
          <w:rFonts w:ascii="Times New Roman" w:hAnsi="Times New Roman" w:cs="Times New Roman"/>
          <w:sz w:val="24"/>
          <w:szCs w:val="24"/>
        </w:rPr>
        <w:t xml:space="preserve"> </w:t>
      </w:r>
      <w:r w:rsidR="00D8555F" w:rsidRPr="00FE2FDD">
        <w:rPr>
          <w:rFonts w:ascii="Times New Roman" w:hAnsi="Times New Roman" w:cs="Times New Roman"/>
          <w:sz w:val="24"/>
          <w:szCs w:val="24"/>
        </w:rPr>
        <w:t xml:space="preserve">minimum requirements for capabilities, monitoring and execution of </w:t>
      </w:r>
      <w:r w:rsidR="00DF76B4" w:rsidRPr="00FE2FDD">
        <w:rPr>
          <w:rFonts w:ascii="Times New Roman" w:hAnsi="Times New Roman" w:cs="Times New Roman"/>
          <w:sz w:val="24"/>
          <w:szCs w:val="24"/>
        </w:rPr>
        <w:t xml:space="preserve">an entity’s </w:t>
      </w:r>
      <w:r w:rsidR="00D8555F" w:rsidRPr="00FE2FDD">
        <w:rPr>
          <w:rFonts w:ascii="Times New Roman" w:hAnsi="Times New Roman" w:cs="Times New Roman"/>
          <w:sz w:val="24"/>
          <w:szCs w:val="24"/>
        </w:rPr>
        <w:t xml:space="preserve">recovery and exit plan. </w:t>
      </w:r>
      <w:r w:rsidR="0047024C" w:rsidRPr="00FE2FDD">
        <w:rPr>
          <w:rFonts w:ascii="Times New Roman" w:hAnsi="Times New Roman" w:cs="Times New Roman"/>
          <w:sz w:val="24"/>
          <w:szCs w:val="24"/>
        </w:rPr>
        <w:t xml:space="preserve">These requirements </w:t>
      </w:r>
      <w:r w:rsidR="0025571C" w:rsidRPr="00FE2FDD">
        <w:rPr>
          <w:rFonts w:ascii="Times New Roman" w:hAnsi="Times New Roman" w:cs="Times New Roman"/>
          <w:sz w:val="24"/>
          <w:szCs w:val="24"/>
        </w:rPr>
        <w:t>are aimed at ensuring entities are adequately pre-positioned to execute their</w:t>
      </w:r>
      <w:r w:rsidR="0047024C" w:rsidRPr="00FE2FDD">
        <w:rPr>
          <w:rFonts w:ascii="Times New Roman" w:hAnsi="Times New Roman" w:cs="Times New Roman"/>
          <w:sz w:val="24"/>
          <w:szCs w:val="24"/>
        </w:rPr>
        <w:t xml:space="preserve"> recovery and exit plan</w:t>
      </w:r>
      <w:r w:rsidR="0025571C" w:rsidRPr="00FE2FDD">
        <w:rPr>
          <w:rFonts w:ascii="Times New Roman" w:hAnsi="Times New Roman" w:cs="Times New Roman"/>
          <w:sz w:val="24"/>
          <w:szCs w:val="24"/>
        </w:rPr>
        <w:t>s</w:t>
      </w:r>
      <w:r w:rsidR="0047024C" w:rsidRPr="00FE2FDD">
        <w:rPr>
          <w:rFonts w:ascii="Times New Roman" w:hAnsi="Times New Roman" w:cs="Times New Roman"/>
          <w:sz w:val="24"/>
          <w:szCs w:val="24"/>
        </w:rPr>
        <w:t xml:space="preserve"> as intended during</w:t>
      </w:r>
      <w:r w:rsidR="0025571C" w:rsidRPr="00FE2FDD">
        <w:rPr>
          <w:rFonts w:ascii="Times New Roman" w:hAnsi="Times New Roman" w:cs="Times New Roman"/>
          <w:sz w:val="24"/>
          <w:szCs w:val="24"/>
        </w:rPr>
        <w:t xml:space="preserve"> periods of</w:t>
      </w:r>
      <w:r w:rsidR="0047024C" w:rsidRPr="00FE2FDD">
        <w:rPr>
          <w:rFonts w:ascii="Times New Roman" w:hAnsi="Times New Roman" w:cs="Times New Roman"/>
          <w:sz w:val="24"/>
          <w:szCs w:val="24"/>
        </w:rPr>
        <w:t xml:space="preserve"> stress.</w:t>
      </w:r>
    </w:p>
    <w:p w14:paraId="2B32EACB" w14:textId="148E8392" w:rsidR="00DD0B61" w:rsidRPr="00FE2FDD" w:rsidRDefault="00BA5EA8" w:rsidP="005116CA">
      <w:pPr>
        <w:numPr>
          <w:ilvl w:val="0"/>
          <w:numId w:val="0"/>
        </w:numPr>
        <w:rPr>
          <w:rFonts w:ascii="Times New Roman" w:hAnsi="Times New Roman" w:cs="Times New Roman"/>
          <w:sz w:val="24"/>
          <w:szCs w:val="24"/>
        </w:rPr>
      </w:pPr>
      <w:r w:rsidRPr="00FE2FDD">
        <w:rPr>
          <w:rFonts w:ascii="Times New Roman" w:hAnsi="Times New Roman" w:cs="Times New Roman"/>
          <w:sz w:val="24"/>
          <w:szCs w:val="24"/>
        </w:rPr>
        <w:t>Under</w:t>
      </w:r>
      <w:r w:rsidR="002F5790" w:rsidRPr="00FE2FDD" w:rsidDel="00D8555F">
        <w:rPr>
          <w:rFonts w:ascii="Times New Roman" w:hAnsi="Times New Roman" w:cs="Times New Roman"/>
          <w:sz w:val="24"/>
          <w:szCs w:val="24"/>
        </w:rPr>
        <w:t xml:space="preserve"> </w:t>
      </w:r>
      <w:r w:rsidRPr="00FE2FDD">
        <w:rPr>
          <w:rFonts w:ascii="Times New Roman" w:hAnsi="Times New Roman" w:cs="Times New Roman"/>
          <w:sz w:val="24"/>
          <w:szCs w:val="24"/>
        </w:rPr>
        <w:t>paragraphs 28 to 31</w:t>
      </w:r>
      <w:r w:rsidR="00A37526" w:rsidRPr="00FE2FDD">
        <w:rPr>
          <w:rFonts w:ascii="Times New Roman" w:hAnsi="Times New Roman" w:cs="Times New Roman"/>
          <w:sz w:val="24"/>
          <w:szCs w:val="24"/>
        </w:rPr>
        <w:t xml:space="preserve"> of the prudential standard</w:t>
      </w:r>
      <w:r w:rsidRPr="00FE2FDD">
        <w:rPr>
          <w:rFonts w:ascii="Times New Roman" w:hAnsi="Times New Roman" w:cs="Times New Roman"/>
          <w:sz w:val="24"/>
          <w:szCs w:val="24"/>
        </w:rPr>
        <w:t xml:space="preserve">, </w:t>
      </w:r>
      <w:r w:rsidR="00E33AD4" w:rsidRPr="00FE2FDD">
        <w:rPr>
          <w:rFonts w:ascii="Times New Roman" w:hAnsi="Times New Roman" w:cs="Times New Roman"/>
          <w:sz w:val="24"/>
          <w:szCs w:val="24"/>
        </w:rPr>
        <w:t xml:space="preserve">entities are also subject to requirements for testing and reviewing the recovery and exit plan. </w:t>
      </w:r>
      <w:r w:rsidR="001F1CE0" w:rsidRPr="00FE2FDD">
        <w:rPr>
          <w:rFonts w:ascii="Times New Roman" w:hAnsi="Times New Roman" w:cs="Times New Roman"/>
          <w:sz w:val="24"/>
          <w:szCs w:val="24"/>
        </w:rPr>
        <w:t xml:space="preserve">These </w:t>
      </w:r>
      <w:r w:rsidR="002E2770" w:rsidRPr="00FE2FDD">
        <w:rPr>
          <w:rFonts w:ascii="Times New Roman" w:hAnsi="Times New Roman" w:cs="Times New Roman"/>
          <w:sz w:val="24"/>
          <w:szCs w:val="24"/>
        </w:rPr>
        <w:t>requirements</w:t>
      </w:r>
      <w:r w:rsidR="001F1CE0" w:rsidRPr="00FE2FDD">
        <w:rPr>
          <w:rFonts w:ascii="Times New Roman" w:hAnsi="Times New Roman" w:cs="Times New Roman"/>
          <w:sz w:val="24"/>
          <w:szCs w:val="24"/>
        </w:rPr>
        <w:t xml:space="preserve"> a</w:t>
      </w:r>
      <w:r w:rsidR="002E2770" w:rsidRPr="00FE2FDD">
        <w:rPr>
          <w:rFonts w:ascii="Times New Roman" w:hAnsi="Times New Roman" w:cs="Times New Roman"/>
          <w:sz w:val="24"/>
          <w:szCs w:val="24"/>
        </w:rPr>
        <w:t>im to ensure that plans remain current and effective for the entity and the risks it faces.</w:t>
      </w:r>
    </w:p>
    <w:p w14:paraId="060C9C6F" w14:textId="46AC252F" w:rsidR="00BA5EA8" w:rsidRPr="00807D80" w:rsidRDefault="00DD0B61" w:rsidP="00807D80">
      <w:pPr>
        <w:pStyle w:val="Heading2"/>
      </w:pPr>
      <w:r w:rsidRPr="00807D80">
        <w:t xml:space="preserve">Exercise </w:t>
      </w:r>
      <w:r w:rsidR="00175C5E" w:rsidRPr="00807D80">
        <w:t>of discretion by APRA</w:t>
      </w:r>
    </w:p>
    <w:p w14:paraId="7CF28085" w14:textId="77777777" w:rsidR="00EC68CB" w:rsidRPr="00FE2FDD" w:rsidRDefault="00E65C80" w:rsidP="00975E10">
      <w:pPr>
        <w:rPr>
          <w:rFonts w:ascii="Times New Roman" w:hAnsi="Times New Roman" w:cs="Times New Roman"/>
          <w:sz w:val="24"/>
          <w:szCs w:val="24"/>
        </w:rPr>
      </w:pPr>
      <w:r w:rsidRPr="00FE2FDD">
        <w:rPr>
          <w:rFonts w:ascii="Times New Roman" w:hAnsi="Times New Roman" w:cs="Times New Roman"/>
          <w:sz w:val="24"/>
          <w:szCs w:val="24"/>
        </w:rPr>
        <w:t xml:space="preserve">CPS 190 provides for APRA to exercise various discretions. </w:t>
      </w:r>
      <w:r w:rsidR="00EC68CB" w:rsidRPr="00FE2FDD">
        <w:rPr>
          <w:rFonts w:ascii="Times New Roman" w:hAnsi="Times New Roman" w:cs="Times New Roman"/>
          <w:sz w:val="24"/>
          <w:szCs w:val="24"/>
        </w:rPr>
        <w:t>Decisions made by APRA in exercising those discretions are not subject to merits review. This is because these decisions are preliminary decisions that may facilitate or lead to substantive decisions which are subject to merits review.</w:t>
      </w:r>
    </w:p>
    <w:p w14:paraId="5027EBFB" w14:textId="77777777" w:rsidR="00EC68CB" w:rsidRPr="00FE2FDD" w:rsidRDefault="00EC68CB" w:rsidP="00EC68CB">
      <w:pPr>
        <w:rPr>
          <w:rFonts w:ascii="Times New Roman" w:hAnsi="Times New Roman" w:cs="Times New Roman"/>
          <w:sz w:val="24"/>
          <w:szCs w:val="24"/>
        </w:rPr>
      </w:pPr>
      <w:r w:rsidRPr="00FE2FDD">
        <w:rPr>
          <w:rFonts w:ascii="Times New Roman" w:hAnsi="Times New Roman" w:cs="Times New Roman"/>
          <w:sz w:val="24"/>
          <w:szCs w:val="24"/>
        </w:rPr>
        <w:t xml:space="preserve">Under the Banking Act, Insurance Act, Life Insurance Act and PHIPS Act, a breach of a prudential standard is a breach of the enabling legislation, as each enabling Act provides that regulated entities must comply with the standard. Under the SIS Act, it is a condition on all RSE licences that the RSE licensee must comply with the RSE licensee law, which includes prudential standards. However, there are no penalties prescribed for breach of the prudential standards under any of these Acts. Instead, an entity’s breach of the enabling legislation or RSE licence condition is grounds for APRA to make further, substantive decisions under the relevant enabling legislation in relation to the entity. Those decisions may include the decision: </w:t>
      </w:r>
    </w:p>
    <w:p w14:paraId="2694EE73" w14:textId="77777777" w:rsidR="00EC68CB" w:rsidRPr="00FE2FDD" w:rsidRDefault="00EC68CB" w:rsidP="00EC68CB">
      <w:pPr>
        <w:pStyle w:val="ListParagraph"/>
        <w:numPr>
          <w:ilvl w:val="0"/>
          <w:numId w:val="17"/>
        </w:numPr>
        <w:tabs>
          <w:tab w:val="clear" w:pos="425"/>
          <w:tab w:val="clear" w:pos="851"/>
        </w:tabs>
        <w:spacing w:after="200"/>
        <w:ind w:left="714" w:hanging="357"/>
        <w:contextualSpacing w:val="0"/>
        <w:rPr>
          <w:rFonts w:ascii="Times New Roman" w:hAnsi="Times New Roman" w:cs="Times New Roman"/>
          <w:sz w:val="24"/>
          <w:szCs w:val="24"/>
        </w:rPr>
      </w:pPr>
      <w:r w:rsidRPr="00FE2FDD">
        <w:rPr>
          <w:rFonts w:ascii="Times New Roman" w:hAnsi="Times New Roman" w:cs="Times New Roman"/>
          <w:sz w:val="24"/>
          <w:szCs w:val="24"/>
        </w:rPr>
        <w:t>to issue a direction to the regulated entity, including: a direction to comply with the whole or part of a prudential standard (section 11CA of the Banking Act, section 104 of the Insurance Act, section 230B of the Life Insurance Act, section 131D of the SIS Act); and a direction to comply with all, or specified obligations, which includes prudential standards (section 96 of the PHIPS Act); or</w:t>
      </w:r>
    </w:p>
    <w:p w14:paraId="3A8C8BB1" w14:textId="48BCF8AA" w:rsidR="00EC68CB" w:rsidRPr="00FE2FDD" w:rsidRDefault="00EC68CB" w:rsidP="00EC68CB">
      <w:pPr>
        <w:pStyle w:val="ListParagraph"/>
        <w:numPr>
          <w:ilvl w:val="0"/>
          <w:numId w:val="17"/>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 xml:space="preserve">to revoke: an authority to carry on banking business (section 9A of the Banking Act); a banking NOHC authorisation (section 11AB of the Banking Act); an authority to carry on insurance business (section 15 of the Insurance Act); an insurance NOHC authorisation (section 21 of the Insurance Act); registration of life insurance business (section 26 of the Life Insurance Act); a life NOHC authorisation (section 28C of the Life Insurance Act); or to revoke an authority to operate an APRA-regulated superannuation fund (section 29G of the SIS Act). </w:t>
      </w:r>
    </w:p>
    <w:p w14:paraId="3CD7DDF1" w14:textId="2C9ED42B" w:rsidR="00EC68CB" w:rsidRPr="00FE2FDD" w:rsidRDefault="00EC68CB" w:rsidP="00EC68CB">
      <w:pPr>
        <w:rPr>
          <w:rFonts w:ascii="Times New Roman" w:hAnsi="Times New Roman" w:cs="Times New Roman"/>
          <w:sz w:val="24"/>
          <w:szCs w:val="24"/>
        </w:rPr>
      </w:pPr>
      <w:r w:rsidRPr="00FE2FDD">
        <w:rPr>
          <w:rFonts w:ascii="Times New Roman" w:hAnsi="Times New Roman" w:cs="Times New Roman"/>
          <w:sz w:val="24"/>
          <w:szCs w:val="24"/>
        </w:rPr>
        <w:lastRenderedPageBreak/>
        <w:t>It is only at this stage that an entity is exposed to a penalty, loss of licence or imposition of a penalty if it breaches the direction (50 penalty units each day under section 11CG of the Banking Act, section 108 of the Insurance Act, and section 230F of the Life Insurance Act; 30 penalty units each day under section 104 of the PHIPS Act; and 100 penalty units each day under section 131DD of the SIS Act).</w:t>
      </w:r>
      <w:r w:rsidRPr="00FE2FDD">
        <w:rPr>
          <w:rStyle w:val="FootnoteReference"/>
          <w:rFonts w:ascii="Times New Roman" w:hAnsi="Times New Roman" w:cs="Times New Roman"/>
          <w:color w:val="auto"/>
          <w:sz w:val="24"/>
          <w:szCs w:val="24"/>
        </w:rPr>
        <w:footnoteReference w:id="2"/>
      </w:r>
      <w:r w:rsidRPr="00FE2FDD">
        <w:rPr>
          <w:rFonts w:ascii="Times New Roman" w:hAnsi="Times New Roman" w:cs="Times New Roman"/>
          <w:sz w:val="24"/>
          <w:szCs w:val="24"/>
        </w:rPr>
        <w:t xml:space="preserve"> In nearly all cases,</w:t>
      </w:r>
      <w:r w:rsidRPr="00FE2FDD">
        <w:rPr>
          <w:rStyle w:val="FootnoteReference"/>
          <w:rFonts w:ascii="Times New Roman" w:hAnsi="Times New Roman" w:cs="Times New Roman"/>
          <w:color w:val="auto"/>
          <w:sz w:val="24"/>
          <w:szCs w:val="24"/>
        </w:rPr>
        <w:footnoteReference w:id="3"/>
      </w:r>
      <w:r w:rsidRPr="00FE2FDD">
        <w:rPr>
          <w:rFonts w:ascii="Times New Roman" w:hAnsi="Times New Roman" w:cs="Times New Roman"/>
          <w:sz w:val="24"/>
          <w:szCs w:val="24"/>
        </w:rPr>
        <w:t xml:space="preserve"> the decisions are preceded by a full consultation with the regulated entity to raise any concerns</w:t>
      </w:r>
      <w:r w:rsidR="00B96AEC" w:rsidRPr="00FE2FDD">
        <w:rPr>
          <w:rFonts w:ascii="Times New Roman" w:hAnsi="Times New Roman" w:cs="Times New Roman"/>
          <w:sz w:val="24"/>
          <w:szCs w:val="24"/>
        </w:rPr>
        <w:t xml:space="preserve"> that</w:t>
      </w:r>
      <w:r w:rsidRPr="00FE2FDD">
        <w:rPr>
          <w:rFonts w:ascii="Times New Roman" w:hAnsi="Times New Roman" w:cs="Times New Roman"/>
          <w:sz w:val="24"/>
          <w:szCs w:val="24"/>
        </w:rPr>
        <w:t xml:space="preserve"> </w:t>
      </w:r>
      <w:r w:rsidR="00B96AEC" w:rsidRPr="00FE2FDD">
        <w:rPr>
          <w:rFonts w:ascii="Times New Roman" w:hAnsi="Times New Roman" w:cs="Times New Roman"/>
          <w:sz w:val="24"/>
          <w:szCs w:val="24"/>
        </w:rPr>
        <w:t xml:space="preserve">the entity </w:t>
      </w:r>
      <w:r w:rsidRPr="00FE2FDD">
        <w:rPr>
          <w:rFonts w:ascii="Times New Roman" w:hAnsi="Times New Roman" w:cs="Times New Roman"/>
          <w:sz w:val="24"/>
          <w:szCs w:val="24"/>
        </w:rPr>
        <w:t>may have in relation to the decision.</w:t>
      </w:r>
    </w:p>
    <w:p w14:paraId="406A3BD2" w14:textId="77777777" w:rsidR="00EC68CB" w:rsidRPr="00FE2FDD" w:rsidRDefault="00EC68CB" w:rsidP="00EC68CB">
      <w:pPr>
        <w:rPr>
          <w:rFonts w:ascii="Times New Roman" w:hAnsi="Times New Roman" w:cs="Times New Roman"/>
          <w:sz w:val="24"/>
          <w:szCs w:val="24"/>
        </w:rPr>
      </w:pPr>
      <w:r w:rsidRPr="00FE2FDD">
        <w:rPr>
          <w:rFonts w:ascii="Times New Roman" w:hAnsi="Times New Roman" w:cs="Times New Roman"/>
          <w:sz w:val="24"/>
          <w:szCs w:val="24"/>
        </w:rPr>
        <w:t>The decisions of APRA to impose a direction are subject to merits review (section 11CA of the Banking Act, section 104 of the Insurance Act, section 236 of the Life Insurance Act, section 168 of the PHIPS Act and section 344 of the SIS Act), which is appropriately available at the point where an entity could be exposed to a penalty.</w:t>
      </w:r>
    </w:p>
    <w:p w14:paraId="4685B5E4" w14:textId="5295B990" w:rsidR="00EC68CB" w:rsidRPr="00FE2FDD" w:rsidRDefault="00EC68CB" w:rsidP="00EC68CB">
      <w:pPr>
        <w:rPr>
          <w:rFonts w:ascii="Times New Roman" w:hAnsi="Times New Roman" w:cs="Times New Roman"/>
          <w:sz w:val="24"/>
          <w:szCs w:val="24"/>
        </w:rPr>
      </w:pPr>
      <w:r w:rsidRPr="00FE2FDD">
        <w:rPr>
          <w:rFonts w:ascii="Times New Roman" w:hAnsi="Times New Roman" w:cs="Times New Roman"/>
          <w:sz w:val="24"/>
          <w:szCs w:val="24"/>
        </w:rPr>
        <w:t>All decisions to revoke authorisations or registrations under the Banking Act, Insurance Act, Life Insurance Act and SIS Act are subject to merits review, unless specifically excluded by the enabling legislation.</w:t>
      </w:r>
    </w:p>
    <w:p w14:paraId="129FB410" w14:textId="77777777" w:rsidR="00EC68CB" w:rsidRPr="00FE2FDD" w:rsidRDefault="00EC68CB" w:rsidP="00EC68CB">
      <w:pPr>
        <w:rPr>
          <w:rFonts w:ascii="Times New Roman" w:hAnsi="Times New Roman" w:cs="Times New Roman"/>
          <w:sz w:val="24"/>
          <w:szCs w:val="24"/>
        </w:rPr>
      </w:pPr>
      <w:r w:rsidRPr="00FE2FDD">
        <w:rPr>
          <w:rFonts w:ascii="Times New Roman" w:hAnsi="Times New Roman" w:cs="Times New Roman"/>
          <w:sz w:val="24"/>
          <w:szCs w:val="24"/>
        </w:rPr>
        <w:t>Revocation of an authorisation to carry on banking business or a banking NOHC authorisation is subject to merits review unless either:</w:t>
      </w:r>
    </w:p>
    <w:p w14:paraId="13CB8130" w14:textId="77777777" w:rsidR="00EC68CB" w:rsidRPr="00FE2FDD" w:rsidRDefault="00EC68CB" w:rsidP="00EC68CB">
      <w:pPr>
        <w:pStyle w:val="ListParagraph"/>
        <w:numPr>
          <w:ilvl w:val="0"/>
          <w:numId w:val="18"/>
        </w:numPr>
        <w:tabs>
          <w:tab w:val="clear" w:pos="425"/>
          <w:tab w:val="clear" w:pos="851"/>
        </w:tabs>
        <w:spacing w:after="200"/>
        <w:ind w:left="714" w:hanging="357"/>
        <w:contextualSpacing w:val="0"/>
        <w:rPr>
          <w:rFonts w:ascii="Times New Roman" w:hAnsi="Times New Roman" w:cs="Times New Roman"/>
          <w:sz w:val="24"/>
          <w:szCs w:val="24"/>
        </w:rPr>
      </w:pPr>
      <w:r w:rsidRPr="00FE2FDD">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0127CAD5" w14:textId="77777777" w:rsidR="00EC68CB" w:rsidRPr="00FE2FDD" w:rsidRDefault="00EC68CB" w:rsidP="00EC68CB">
      <w:pPr>
        <w:pStyle w:val="ListParagraph"/>
        <w:numPr>
          <w:ilvl w:val="0"/>
          <w:numId w:val="18"/>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(in the case of ADIs only) the authority is an authority that is to cease to have effect on a day specified in the authority (subsection 9</w:t>
      </w:r>
      <w:proofErr w:type="gramStart"/>
      <w:r w:rsidRPr="00FE2FDD">
        <w:rPr>
          <w:rFonts w:ascii="Times New Roman" w:hAnsi="Times New Roman" w:cs="Times New Roman"/>
          <w:sz w:val="24"/>
          <w:szCs w:val="24"/>
        </w:rPr>
        <w:t>A(</w:t>
      </w:r>
      <w:proofErr w:type="gramEnd"/>
      <w:r w:rsidRPr="00FE2FDD">
        <w:rPr>
          <w:rFonts w:ascii="Times New Roman" w:hAnsi="Times New Roman" w:cs="Times New Roman"/>
          <w:sz w:val="24"/>
          <w:szCs w:val="24"/>
        </w:rPr>
        <w:t>8) of the Banking Act).</w:t>
      </w:r>
    </w:p>
    <w:p w14:paraId="6E9D104A" w14:textId="77777777" w:rsidR="00EC68CB" w:rsidRPr="00FE2FDD" w:rsidRDefault="00EC68CB" w:rsidP="00EC68CB">
      <w:pPr>
        <w:rPr>
          <w:rFonts w:ascii="Times New Roman" w:hAnsi="Times New Roman" w:cs="Times New Roman"/>
          <w:sz w:val="24"/>
          <w:szCs w:val="24"/>
        </w:rPr>
      </w:pPr>
      <w:r w:rsidRPr="00FE2FDD">
        <w:rPr>
          <w:rFonts w:ascii="Times New Roman" w:hAnsi="Times New Roman" w:cs="Times New Roman"/>
          <w:sz w:val="24"/>
          <w:szCs w:val="24"/>
        </w:rPr>
        <w:t>Revocation of an authorisation to carry on insurance business or an insurance NOHC authorisation is subject to merits review (sections 15 and 21 of the Insurance Act).</w:t>
      </w:r>
    </w:p>
    <w:p w14:paraId="44FFD70B" w14:textId="6E3CA1C4" w:rsidR="00007C99" w:rsidRPr="00FE2FDD" w:rsidRDefault="00EC68CB" w:rsidP="00975E10">
      <w:pPr>
        <w:rPr>
          <w:rFonts w:ascii="Times New Roman" w:hAnsi="Times New Roman" w:cs="Times New Roman"/>
          <w:sz w:val="24"/>
          <w:szCs w:val="24"/>
        </w:rPr>
      </w:pPr>
      <w:r w:rsidRPr="00FE2FDD">
        <w:rPr>
          <w:rFonts w:ascii="Times New Roman" w:hAnsi="Times New Roman" w:cs="Times New Roman"/>
          <w:sz w:val="24"/>
          <w:szCs w:val="24"/>
        </w:rPr>
        <w:t>Revocation of registration as a life insurance company or a life NOHC authorisation is subject to merits review (section 236 of the Life Insurance Act). The situation in relation to cancellation of registration under the PHIPS Act is different to the other enabling legislation.</w:t>
      </w:r>
      <w:r w:rsidR="00BA364E" w:rsidRPr="00FE2FDD">
        <w:rPr>
          <w:rFonts w:ascii="Times New Roman" w:hAnsi="Times New Roman" w:cs="Times New Roman"/>
          <w:sz w:val="24"/>
          <w:szCs w:val="24"/>
        </w:rPr>
        <w:t xml:space="preserve"> </w:t>
      </w:r>
    </w:p>
    <w:p w14:paraId="6058E2AF" w14:textId="7EA5C1C0" w:rsidR="00CC6296" w:rsidRPr="00FE2FDD" w:rsidRDefault="00CC6296" w:rsidP="00807D80">
      <w:pPr>
        <w:pStyle w:val="Heading2"/>
      </w:pPr>
      <w:r w:rsidRPr="00FE2FDD">
        <w:t>Application to the Australian branch operations of foreign ADIs</w:t>
      </w:r>
      <w:r w:rsidRPr="00FE2FDD" w:rsidDel="00CC6296">
        <w:t xml:space="preserve"> </w:t>
      </w:r>
    </w:p>
    <w:p w14:paraId="1A5E0E79" w14:textId="5862BA00" w:rsidR="009A4BA7" w:rsidRPr="00FE2FDD" w:rsidRDefault="00CC6296" w:rsidP="009A4BA7">
      <w:pPr>
        <w:numPr>
          <w:ilvl w:val="0"/>
          <w:numId w:val="0"/>
        </w:numPr>
        <w:rPr>
          <w:rFonts w:ascii="Times New Roman" w:hAnsi="Times New Roman" w:cs="Times New Roman"/>
          <w:b/>
          <w:i/>
          <w:sz w:val="24"/>
          <w:szCs w:val="24"/>
        </w:rPr>
      </w:pPr>
      <w:r w:rsidRPr="00FE2FDD">
        <w:rPr>
          <w:rFonts w:ascii="Times New Roman" w:hAnsi="Times New Roman" w:cs="Times New Roman"/>
          <w:sz w:val="24"/>
          <w:szCs w:val="24"/>
        </w:rPr>
        <w:t>Under paragraph 3 of the prudential standard, APRA may determine that all or part of the requirements of CPS 190 are to apply to the Australian branch operations of foreign ADIs. This power is to be exercised u</w:t>
      </w:r>
      <w:r w:rsidR="009A4BA7" w:rsidRPr="00FE2FDD">
        <w:rPr>
          <w:rFonts w:ascii="Times New Roman" w:hAnsi="Times New Roman" w:cs="Times New Roman"/>
          <w:sz w:val="24"/>
          <w:szCs w:val="24"/>
        </w:rPr>
        <w:t>nder subsection 11</w:t>
      </w:r>
      <w:proofErr w:type="gramStart"/>
      <w:r w:rsidR="009A4BA7" w:rsidRPr="00FE2FDD">
        <w:rPr>
          <w:rFonts w:ascii="Times New Roman" w:hAnsi="Times New Roman" w:cs="Times New Roman"/>
          <w:sz w:val="24"/>
          <w:szCs w:val="24"/>
        </w:rPr>
        <w:t>AF(</w:t>
      </w:r>
      <w:proofErr w:type="gramEnd"/>
      <w:r w:rsidR="009A4BA7" w:rsidRPr="00FE2FDD">
        <w:rPr>
          <w:rFonts w:ascii="Times New Roman" w:hAnsi="Times New Roman" w:cs="Times New Roman"/>
          <w:sz w:val="24"/>
          <w:szCs w:val="24"/>
        </w:rPr>
        <w:t>1) of the Banking Act,</w:t>
      </w:r>
      <w:r w:rsidRPr="00FE2FDD">
        <w:rPr>
          <w:rFonts w:ascii="Times New Roman" w:hAnsi="Times New Roman" w:cs="Times New Roman"/>
          <w:sz w:val="24"/>
          <w:szCs w:val="24"/>
        </w:rPr>
        <w:t xml:space="preserve"> which gives </w:t>
      </w:r>
      <w:r w:rsidR="009A4BA7" w:rsidRPr="00FE2FDD">
        <w:rPr>
          <w:rFonts w:ascii="Times New Roman" w:hAnsi="Times New Roman" w:cs="Times New Roman"/>
          <w:sz w:val="24"/>
          <w:szCs w:val="24"/>
        </w:rPr>
        <w:t>APRA the power to determine standards that must be complied with by one or more specified ADIs, or a specified class of ADIs. A decision to determine a prudential standard to be complied with by one or more specified ADIs is a reviewable decision under Part VI of the Banking Act.</w:t>
      </w:r>
    </w:p>
    <w:p w14:paraId="0B5BECF2" w14:textId="159301F3" w:rsidR="00BB1C80" w:rsidRPr="00FE2FDD" w:rsidRDefault="00BB1C80" w:rsidP="00807D80">
      <w:pPr>
        <w:pStyle w:val="Heading2"/>
      </w:pPr>
      <w:r w:rsidRPr="00FE2FDD">
        <w:lastRenderedPageBreak/>
        <w:t xml:space="preserve">Adjust and exclude </w:t>
      </w:r>
      <w:proofErr w:type="gramStart"/>
      <w:r w:rsidR="003F0CB7" w:rsidRPr="00FE2FDD">
        <w:t>powers</w:t>
      </w:r>
      <w:proofErr w:type="gramEnd"/>
    </w:p>
    <w:p w14:paraId="7951C703" w14:textId="77777777" w:rsidR="000A709F" w:rsidRPr="00FE2FDD" w:rsidRDefault="00EC68CB" w:rsidP="005116CA">
      <w:pPr>
        <w:rPr>
          <w:rFonts w:ascii="Times New Roman" w:hAnsi="Times New Roman" w:cs="Times New Roman"/>
          <w:i/>
          <w:sz w:val="24"/>
          <w:szCs w:val="24"/>
        </w:rPr>
      </w:pPr>
      <w:r w:rsidRPr="00FE2FDD">
        <w:rPr>
          <w:rFonts w:ascii="Times New Roman" w:hAnsi="Times New Roman" w:cs="Times New Roman"/>
          <w:sz w:val="24"/>
          <w:szCs w:val="24"/>
        </w:rPr>
        <w:t xml:space="preserve">CPS 190 gives APRA the discretion to adjust or exclude a provision of the prudential standard (paragraph 12). </w:t>
      </w:r>
      <w:r w:rsidR="003C5BC6" w:rsidRPr="00FE2FDD">
        <w:rPr>
          <w:rFonts w:ascii="Times New Roman" w:hAnsi="Times New Roman" w:cs="Times New Roman"/>
          <w:sz w:val="24"/>
          <w:szCs w:val="24"/>
        </w:rPr>
        <w:t>The power to create such a discretion</w:t>
      </w:r>
      <w:r w:rsidRPr="00FE2FDD">
        <w:rPr>
          <w:rFonts w:ascii="Times New Roman" w:hAnsi="Times New Roman" w:cs="Times New Roman"/>
          <w:sz w:val="24"/>
          <w:szCs w:val="24"/>
        </w:rPr>
        <w:t xml:space="preserve"> is provided for under </w:t>
      </w:r>
      <w:r w:rsidR="0034504D" w:rsidRPr="00FE2FDD">
        <w:rPr>
          <w:rFonts w:ascii="Times New Roman" w:hAnsi="Times New Roman" w:cs="Times New Roman"/>
          <w:sz w:val="24"/>
          <w:szCs w:val="24"/>
        </w:rPr>
        <w:t>s</w:t>
      </w:r>
      <w:r w:rsidR="000A709F" w:rsidRPr="00FE2FDD">
        <w:rPr>
          <w:rFonts w:ascii="Times New Roman" w:hAnsi="Times New Roman" w:cs="Times New Roman"/>
          <w:sz w:val="24"/>
          <w:szCs w:val="24"/>
        </w:rPr>
        <w:t>ubsections:</w:t>
      </w:r>
    </w:p>
    <w:p w14:paraId="0F3BDC51" w14:textId="77777777" w:rsidR="001D270E" w:rsidRPr="00FE2FDD" w:rsidRDefault="001D270E"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11</w:t>
      </w:r>
      <w:proofErr w:type="gramStart"/>
      <w:r w:rsidRPr="00FE2FDD">
        <w:rPr>
          <w:rFonts w:ascii="Times New Roman" w:hAnsi="Times New Roman" w:cs="Times New Roman"/>
          <w:sz w:val="24"/>
          <w:szCs w:val="24"/>
        </w:rPr>
        <w:t>AF(</w:t>
      </w:r>
      <w:proofErr w:type="gramEnd"/>
      <w:r w:rsidRPr="00FE2FDD">
        <w:rPr>
          <w:rFonts w:ascii="Times New Roman" w:hAnsi="Times New Roman" w:cs="Times New Roman"/>
          <w:sz w:val="24"/>
          <w:szCs w:val="24"/>
        </w:rPr>
        <w:t xml:space="preserve">2) of the Banking Act; </w:t>
      </w:r>
    </w:p>
    <w:p w14:paraId="067FBDCF" w14:textId="77777777" w:rsidR="001D270E" w:rsidRPr="00FE2FDD" w:rsidRDefault="001D270E"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 xml:space="preserve">32(3D) of the Insurance </w:t>
      </w:r>
      <w:proofErr w:type="gramStart"/>
      <w:r w:rsidRPr="00FE2FDD">
        <w:rPr>
          <w:rFonts w:ascii="Times New Roman" w:hAnsi="Times New Roman" w:cs="Times New Roman"/>
          <w:sz w:val="24"/>
          <w:szCs w:val="24"/>
        </w:rPr>
        <w:t>Act;</w:t>
      </w:r>
      <w:proofErr w:type="gramEnd"/>
      <w:r w:rsidRPr="00FE2FDD">
        <w:rPr>
          <w:rFonts w:ascii="Times New Roman" w:hAnsi="Times New Roman" w:cs="Times New Roman"/>
          <w:sz w:val="24"/>
          <w:szCs w:val="24"/>
        </w:rPr>
        <w:t xml:space="preserve"> </w:t>
      </w:r>
    </w:p>
    <w:p w14:paraId="6DA17262" w14:textId="77777777" w:rsidR="001D270E" w:rsidRPr="00FE2FDD" w:rsidRDefault="001D270E"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230</w:t>
      </w:r>
      <w:proofErr w:type="gramStart"/>
      <w:r w:rsidRPr="00FE2FDD">
        <w:rPr>
          <w:rFonts w:ascii="Times New Roman" w:hAnsi="Times New Roman" w:cs="Times New Roman"/>
          <w:sz w:val="24"/>
          <w:szCs w:val="24"/>
        </w:rPr>
        <w:t>A(</w:t>
      </w:r>
      <w:proofErr w:type="gramEnd"/>
      <w:r w:rsidRPr="00FE2FDD">
        <w:rPr>
          <w:rFonts w:ascii="Times New Roman" w:hAnsi="Times New Roman" w:cs="Times New Roman"/>
          <w:sz w:val="24"/>
          <w:szCs w:val="24"/>
        </w:rPr>
        <w:t xml:space="preserve">4) of the Life Insurance Act; </w:t>
      </w:r>
    </w:p>
    <w:p w14:paraId="65ADFEAE" w14:textId="77777777" w:rsidR="001D270E" w:rsidRPr="00FE2FDD" w:rsidRDefault="001D270E"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 xml:space="preserve">92(4) of the PHIPS Act; and </w:t>
      </w:r>
    </w:p>
    <w:p w14:paraId="5F103466" w14:textId="77777777" w:rsidR="001D270E" w:rsidRPr="00FE2FDD" w:rsidRDefault="001D270E"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34</w:t>
      </w:r>
      <w:proofErr w:type="gramStart"/>
      <w:r w:rsidRPr="00FE2FDD">
        <w:rPr>
          <w:rFonts w:ascii="Times New Roman" w:hAnsi="Times New Roman" w:cs="Times New Roman"/>
          <w:sz w:val="24"/>
          <w:szCs w:val="24"/>
        </w:rPr>
        <w:t>C(</w:t>
      </w:r>
      <w:proofErr w:type="gramEnd"/>
      <w:r w:rsidRPr="00FE2FDD">
        <w:rPr>
          <w:rFonts w:ascii="Times New Roman" w:hAnsi="Times New Roman" w:cs="Times New Roman"/>
          <w:sz w:val="24"/>
          <w:szCs w:val="24"/>
        </w:rPr>
        <w:t xml:space="preserve">5) of the SIS Act. </w:t>
      </w:r>
    </w:p>
    <w:p w14:paraId="47BC49CA" w14:textId="457F1CA1" w:rsidR="00EC68CB" w:rsidRPr="00FE2FDD" w:rsidRDefault="00D87B9C" w:rsidP="005116CA">
      <w:pPr>
        <w:rPr>
          <w:rFonts w:ascii="Times New Roman" w:hAnsi="Times New Roman" w:cs="Times New Roman"/>
          <w:sz w:val="24"/>
          <w:szCs w:val="24"/>
        </w:rPr>
      </w:pPr>
      <w:r w:rsidRPr="00FE2FDD">
        <w:rPr>
          <w:rFonts w:ascii="Times New Roman" w:hAnsi="Times New Roman" w:cs="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depositors, </w:t>
      </w:r>
      <w:proofErr w:type="gramStart"/>
      <w:r w:rsidRPr="00FE2FDD">
        <w:rPr>
          <w:rFonts w:ascii="Times New Roman" w:hAnsi="Times New Roman" w:cs="Times New Roman"/>
          <w:sz w:val="24"/>
          <w:szCs w:val="24"/>
        </w:rPr>
        <w:t>policyholders</w:t>
      </w:r>
      <w:proofErr w:type="gramEnd"/>
      <w:r w:rsidRPr="00FE2FDD">
        <w:rPr>
          <w:rFonts w:ascii="Times New Roman" w:hAnsi="Times New Roman" w:cs="Times New Roman"/>
          <w:sz w:val="24"/>
          <w:szCs w:val="24"/>
        </w:rPr>
        <w:t xml:space="preserve"> and fund members. APRA will also </w:t>
      </w:r>
      <w:proofErr w:type="gramStart"/>
      <w:r w:rsidRPr="00FE2FDD">
        <w:rPr>
          <w:rFonts w:ascii="Times New Roman" w:hAnsi="Times New Roman" w:cs="Times New Roman"/>
          <w:sz w:val="24"/>
          <w:szCs w:val="24"/>
        </w:rPr>
        <w:t>take into account</w:t>
      </w:r>
      <w:proofErr w:type="gramEnd"/>
      <w:r w:rsidRPr="00FE2FDD">
        <w:rPr>
          <w:rFonts w:ascii="Times New Roman" w:hAnsi="Times New Roman" w:cs="Times New Roman"/>
          <w:sz w:val="24"/>
          <w:szCs w:val="24"/>
        </w:rPr>
        <w:t xml:space="preserve"> other considerations, such as efficiency, competition, contestability, competitive neutrality and regulatory burden, including comparisons with the entity’s peer group.</w:t>
      </w:r>
    </w:p>
    <w:p w14:paraId="4B5D9C6F" w14:textId="11D8A53A" w:rsidR="00435777" w:rsidRPr="00FE2FDD" w:rsidRDefault="00435777" w:rsidP="005116CA">
      <w:pPr>
        <w:numPr>
          <w:ilvl w:val="0"/>
          <w:numId w:val="0"/>
        </w:numPr>
        <w:rPr>
          <w:rFonts w:ascii="Times New Roman" w:hAnsi="Times New Roman" w:cs="Times New Roman"/>
          <w:sz w:val="24"/>
          <w:szCs w:val="24"/>
        </w:rPr>
      </w:pPr>
      <w:r w:rsidRPr="00FE2FDD">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228A1C58" w14:textId="0A27D480" w:rsidR="006569DF" w:rsidRPr="00FE2FDD" w:rsidRDefault="00366C00" w:rsidP="00807D80">
      <w:pPr>
        <w:pStyle w:val="Heading2"/>
      </w:pPr>
      <w:r w:rsidRPr="00FE2FDD">
        <w:t>Documents i</w:t>
      </w:r>
      <w:r w:rsidR="006569DF" w:rsidRPr="00FE2FDD">
        <w:t>ncorporat</w:t>
      </w:r>
      <w:r w:rsidRPr="00FE2FDD">
        <w:t>ed</w:t>
      </w:r>
      <w:r w:rsidR="006569DF" w:rsidRPr="00FE2FDD">
        <w:t xml:space="preserve"> by </w:t>
      </w:r>
      <w:proofErr w:type="gramStart"/>
      <w:r w:rsidR="006569DF" w:rsidRPr="00FE2FDD">
        <w:t>reference</w:t>
      </w:r>
      <w:proofErr w:type="gramEnd"/>
    </w:p>
    <w:p w14:paraId="276E11FE" w14:textId="6AF190C4" w:rsidR="006569DF" w:rsidRPr="00FE2FDD" w:rsidRDefault="006569DF" w:rsidP="005116CA">
      <w:pPr>
        <w:numPr>
          <w:ilvl w:val="0"/>
          <w:numId w:val="0"/>
        </w:numPr>
        <w:rPr>
          <w:rFonts w:ascii="Times New Roman" w:hAnsi="Times New Roman" w:cs="Times New Roman"/>
          <w:sz w:val="24"/>
          <w:szCs w:val="24"/>
        </w:rPr>
      </w:pPr>
      <w:r w:rsidRPr="00FE2FDD">
        <w:rPr>
          <w:rFonts w:ascii="Times New Roman" w:hAnsi="Times New Roman" w:cs="Times New Roman"/>
          <w:sz w:val="24"/>
          <w:szCs w:val="24"/>
        </w:rPr>
        <w:t xml:space="preserve">Under </w:t>
      </w:r>
      <w:r w:rsidR="00366C00" w:rsidRPr="00FE2FDD">
        <w:rPr>
          <w:rFonts w:ascii="Times New Roman" w:hAnsi="Times New Roman" w:cs="Times New Roman"/>
          <w:sz w:val="24"/>
          <w:szCs w:val="24"/>
        </w:rPr>
        <w:t xml:space="preserve">paragraph </w:t>
      </w:r>
      <w:r w:rsidRPr="00FE2FDD">
        <w:rPr>
          <w:rFonts w:ascii="Times New Roman" w:hAnsi="Times New Roman" w:cs="Times New Roman"/>
          <w:sz w:val="24"/>
          <w:szCs w:val="24"/>
        </w:rPr>
        <w:t xml:space="preserve">14(1)(a) of the </w:t>
      </w:r>
      <w:r w:rsidRPr="00FE2FDD">
        <w:rPr>
          <w:rFonts w:ascii="Times New Roman" w:hAnsi="Times New Roman" w:cs="Times New Roman"/>
          <w:i/>
          <w:sz w:val="24"/>
          <w:szCs w:val="24"/>
        </w:rPr>
        <w:t>Legislation Act 2003</w:t>
      </w:r>
      <w:r w:rsidRPr="00FE2FDD">
        <w:rPr>
          <w:rFonts w:ascii="Times New Roman" w:hAnsi="Times New Roman" w:cs="Times New Roman"/>
          <w:sz w:val="24"/>
          <w:szCs w:val="24"/>
        </w:rPr>
        <w:t xml:space="preserve"> (Legislation Act), </w:t>
      </w:r>
      <w:r w:rsidR="00C91D58" w:rsidRPr="00FE2FDD">
        <w:rPr>
          <w:rFonts w:ascii="Times New Roman" w:hAnsi="Times New Roman" w:cs="Times New Roman"/>
          <w:sz w:val="24"/>
          <w:szCs w:val="24"/>
        </w:rPr>
        <w:t>CPS 190</w:t>
      </w:r>
      <w:r w:rsidRPr="00FE2FDD">
        <w:rPr>
          <w:rFonts w:ascii="Times New Roman" w:hAnsi="Times New Roman" w:cs="Times New Roman"/>
          <w:sz w:val="24"/>
          <w:szCs w:val="24"/>
        </w:rPr>
        <w:t xml:space="preserve"> incorporates by reference </w:t>
      </w:r>
      <w:r w:rsidR="00B900CD" w:rsidRPr="00FE2FDD">
        <w:rPr>
          <w:rFonts w:ascii="Times New Roman" w:hAnsi="Times New Roman" w:cs="Times New Roman"/>
          <w:sz w:val="24"/>
          <w:szCs w:val="24"/>
        </w:rPr>
        <w:t xml:space="preserve">the following documents </w:t>
      </w:r>
      <w:r w:rsidRPr="00FE2FDD">
        <w:rPr>
          <w:rFonts w:ascii="Times New Roman" w:hAnsi="Times New Roman" w:cs="Times New Roman"/>
          <w:sz w:val="24"/>
          <w:szCs w:val="24"/>
        </w:rPr>
        <w:t>as in force from time to time:</w:t>
      </w:r>
    </w:p>
    <w:p w14:paraId="05641E7B" w14:textId="42CE892A" w:rsidR="006569DF" w:rsidRPr="00FE2FDD" w:rsidRDefault="006569DF" w:rsidP="005116CA">
      <w:pPr>
        <w:pStyle w:val="ListParagraph"/>
        <w:numPr>
          <w:ilvl w:val="0"/>
          <w:numId w:val="41"/>
        </w:numPr>
        <w:tabs>
          <w:tab w:val="clear" w:pos="425"/>
          <w:tab w:val="clear" w:pos="851"/>
        </w:tabs>
        <w:spacing w:after="200"/>
        <w:rPr>
          <w:rFonts w:ascii="Times New Roman" w:hAnsi="Times New Roman" w:cs="Times New Roman"/>
          <w:sz w:val="24"/>
          <w:szCs w:val="24"/>
        </w:rPr>
      </w:pPr>
      <w:r w:rsidRPr="00FE2FDD">
        <w:rPr>
          <w:rFonts w:ascii="Times New Roman" w:hAnsi="Times New Roman" w:cs="Times New Roman"/>
          <w:sz w:val="24"/>
          <w:szCs w:val="24"/>
        </w:rPr>
        <w:t>Acts of Parliament and associated delegated laws;</w:t>
      </w:r>
      <w:r w:rsidR="008F453A" w:rsidRPr="00FE2FDD">
        <w:rPr>
          <w:rFonts w:ascii="Times New Roman" w:hAnsi="Times New Roman" w:cs="Times New Roman"/>
          <w:sz w:val="24"/>
          <w:szCs w:val="24"/>
        </w:rPr>
        <w:t xml:space="preserve"> and</w:t>
      </w:r>
    </w:p>
    <w:p w14:paraId="6CF20BC1" w14:textId="0CD683E5" w:rsidR="006569DF" w:rsidRPr="00FE2FDD" w:rsidRDefault="006569DF" w:rsidP="005116CA">
      <w:pPr>
        <w:pStyle w:val="ListParagraph"/>
        <w:numPr>
          <w:ilvl w:val="0"/>
          <w:numId w:val="41"/>
        </w:numPr>
        <w:tabs>
          <w:tab w:val="clear" w:pos="425"/>
          <w:tab w:val="clear" w:pos="851"/>
        </w:tabs>
        <w:spacing w:after="0"/>
        <w:ind w:left="714" w:hanging="357"/>
        <w:contextualSpacing w:val="0"/>
        <w:rPr>
          <w:rFonts w:ascii="Times New Roman" w:hAnsi="Times New Roman" w:cs="Times New Roman"/>
          <w:sz w:val="24"/>
          <w:szCs w:val="24"/>
        </w:rPr>
      </w:pPr>
      <w:r w:rsidRPr="00FE2FDD">
        <w:rPr>
          <w:rFonts w:ascii="Times New Roman" w:hAnsi="Times New Roman" w:cs="Times New Roman"/>
          <w:sz w:val="24"/>
          <w:szCs w:val="24"/>
        </w:rPr>
        <w:t>Prudential Standards determined by APRA under:</w:t>
      </w:r>
    </w:p>
    <w:p w14:paraId="1CB9D85C" w14:textId="24A94FCC" w:rsidR="006569DF" w:rsidRPr="00FE2FDD" w:rsidRDefault="006569DF" w:rsidP="005116CA">
      <w:pPr>
        <w:pStyle w:val="paragraph"/>
        <w:numPr>
          <w:ilvl w:val="2"/>
          <w:numId w:val="26"/>
        </w:numPr>
        <w:tabs>
          <w:tab w:val="clear" w:pos="2160"/>
          <w:tab w:val="num" w:pos="300"/>
          <w:tab w:val="num" w:pos="1440"/>
        </w:tabs>
        <w:spacing w:before="0" w:beforeAutospacing="0" w:after="0" w:afterAutospacing="0"/>
        <w:ind w:left="1440"/>
        <w:jc w:val="both"/>
        <w:textAlignment w:val="baseline"/>
        <w:rPr>
          <w:rStyle w:val="normaltextrun"/>
          <w:rFonts w:ascii="Times New Roman" w:hAnsi="Times New Roman" w:cs="Times New Roman"/>
          <w:color w:val="000000"/>
          <w:sz w:val="24"/>
          <w:szCs w:val="24"/>
        </w:rPr>
      </w:pPr>
      <w:r w:rsidRPr="00FE2FDD">
        <w:rPr>
          <w:rStyle w:val="normaltextrun"/>
          <w:rFonts w:ascii="Times New Roman" w:hAnsi="Times New Roman" w:cs="Times New Roman"/>
          <w:color w:val="000000"/>
          <w:sz w:val="24"/>
          <w:szCs w:val="24"/>
        </w:rPr>
        <w:t>subsection 11</w:t>
      </w:r>
      <w:proofErr w:type="gramStart"/>
      <w:r w:rsidRPr="00FE2FDD">
        <w:rPr>
          <w:rStyle w:val="normaltextrun"/>
          <w:rFonts w:ascii="Times New Roman" w:hAnsi="Times New Roman" w:cs="Times New Roman"/>
          <w:color w:val="000000"/>
          <w:sz w:val="24"/>
          <w:szCs w:val="24"/>
        </w:rPr>
        <w:t>AF(</w:t>
      </w:r>
      <w:proofErr w:type="gramEnd"/>
      <w:r w:rsidRPr="00FE2FDD">
        <w:rPr>
          <w:rStyle w:val="normaltextrun"/>
          <w:rFonts w:ascii="Times New Roman" w:hAnsi="Times New Roman" w:cs="Times New Roman"/>
          <w:color w:val="000000"/>
          <w:sz w:val="24"/>
          <w:szCs w:val="24"/>
        </w:rPr>
        <w:t>1) of the Banking Act;</w:t>
      </w:r>
    </w:p>
    <w:p w14:paraId="20AE14F8" w14:textId="21F0866C" w:rsidR="006569DF" w:rsidRPr="00FE2FDD" w:rsidRDefault="006569DF" w:rsidP="005116CA">
      <w:pPr>
        <w:pStyle w:val="paragraph"/>
        <w:numPr>
          <w:ilvl w:val="2"/>
          <w:numId w:val="26"/>
        </w:numPr>
        <w:tabs>
          <w:tab w:val="clear" w:pos="2160"/>
          <w:tab w:val="num" w:pos="300"/>
          <w:tab w:val="num" w:pos="1440"/>
        </w:tabs>
        <w:spacing w:before="0" w:beforeAutospacing="0" w:after="0" w:afterAutospacing="0"/>
        <w:ind w:left="1440"/>
        <w:jc w:val="both"/>
        <w:textAlignment w:val="baseline"/>
        <w:rPr>
          <w:rStyle w:val="normaltextrun"/>
          <w:rFonts w:ascii="Times New Roman" w:hAnsi="Times New Roman" w:cs="Times New Roman"/>
          <w:color w:val="000000"/>
          <w:sz w:val="24"/>
          <w:szCs w:val="24"/>
        </w:rPr>
      </w:pPr>
      <w:r w:rsidRPr="00FE2FDD">
        <w:rPr>
          <w:rStyle w:val="normaltextrun"/>
          <w:rFonts w:ascii="Times New Roman" w:hAnsi="Times New Roman" w:cs="Times New Roman"/>
          <w:color w:val="000000"/>
          <w:sz w:val="24"/>
          <w:szCs w:val="24"/>
        </w:rPr>
        <w:t xml:space="preserve">subsection 32(1) of the Insurance </w:t>
      </w:r>
      <w:proofErr w:type="gramStart"/>
      <w:r w:rsidRPr="00FE2FDD">
        <w:rPr>
          <w:rStyle w:val="normaltextrun"/>
          <w:rFonts w:ascii="Times New Roman" w:hAnsi="Times New Roman" w:cs="Times New Roman"/>
          <w:color w:val="000000"/>
          <w:sz w:val="24"/>
          <w:szCs w:val="24"/>
        </w:rPr>
        <w:t>Act;</w:t>
      </w:r>
      <w:proofErr w:type="gramEnd"/>
    </w:p>
    <w:p w14:paraId="516735E0" w14:textId="7297552A" w:rsidR="006569DF" w:rsidRPr="00FE2FDD" w:rsidRDefault="006569DF" w:rsidP="005116CA">
      <w:pPr>
        <w:pStyle w:val="paragraph"/>
        <w:numPr>
          <w:ilvl w:val="2"/>
          <w:numId w:val="26"/>
        </w:numPr>
        <w:tabs>
          <w:tab w:val="clear" w:pos="2160"/>
          <w:tab w:val="num" w:pos="300"/>
          <w:tab w:val="num" w:pos="1440"/>
        </w:tabs>
        <w:spacing w:before="0" w:beforeAutospacing="0" w:after="0" w:afterAutospacing="0"/>
        <w:ind w:left="1440"/>
        <w:jc w:val="both"/>
        <w:textAlignment w:val="baseline"/>
        <w:rPr>
          <w:rStyle w:val="normaltextrun"/>
          <w:rFonts w:ascii="Times New Roman" w:hAnsi="Times New Roman" w:cs="Times New Roman"/>
          <w:color w:val="000000"/>
          <w:sz w:val="24"/>
          <w:szCs w:val="24"/>
        </w:rPr>
      </w:pPr>
      <w:r w:rsidRPr="00FE2FDD">
        <w:rPr>
          <w:rStyle w:val="normaltextrun"/>
          <w:rFonts w:ascii="Times New Roman" w:hAnsi="Times New Roman" w:cs="Times New Roman"/>
          <w:color w:val="000000"/>
          <w:sz w:val="24"/>
          <w:szCs w:val="24"/>
        </w:rPr>
        <w:t>subsection 230</w:t>
      </w:r>
      <w:proofErr w:type="gramStart"/>
      <w:r w:rsidRPr="00FE2FDD">
        <w:rPr>
          <w:rStyle w:val="normaltextrun"/>
          <w:rFonts w:ascii="Times New Roman" w:hAnsi="Times New Roman" w:cs="Times New Roman"/>
          <w:color w:val="000000"/>
          <w:sz w:val="24"/>
          <w:szCs w:val="24"/>
        </w:rPr>
        <w:t>A(</w:t>
      </w:r>
      <w:proofErr w:type="gramEnd"/>
      <w:r w:rsidRPr="00FE2FDD">
        <w:rPr>
          <w:rStyle w:val="normaltextrun"/>
          <w:rFonts w:ascii="Times New Roman" w:hAnsi="Times New Roman" w:cs="Times New Roman"/>
          <w:color w:val="000000"/>
          <w:sz w:val="24"/>
          <w:szCs w:val="24"/>
        </w:rPr>
        <w:t>1) of the Life Insurance Act; and</w:t>
      </w:r>
    </w:p>
    <w:p w14:paraId="7F8AACA9" w14:textId="69125C6D" w:rsidR="006569DF" w:rsidRPr="00FE2FDD" w:rsidRDefault="006569DF" w:rsidP="005116CA">
      <w:pPr>
        <w:pStyle w:val="paragraph"/>
        <w:numPr>
          <w:ilvl w:val="2"/>
          <w:numId w:val="26"/>
        </w:numPr>
        <w:tabs>
          <w:tab w:val="clear" w:pos="2160"/>
          <w:tab w:val="num" w:pos="300"/>
          <w:tab w:val="num" w:pos="1440"/>
        </w:tabs>
        <w:spacing w:before="0" w:beforeAutospacing="0" w:after="240" w:afterAutospacing="0"/>
        <w:ind w:left="1434" w:hanging="357"/>
        <w:jc w:val="both"/>
        <w:textAlignment w:val="baseline"/>
        <w:rPr>
          <w:rStyle w:val="normaltextrun"/>
          <w:rFonts w:ascii="Times New Roman" w:hAnsi="Times New Roman" w:cs="Times New Roman"/>
          <w:color w:val="000000"/>
          <w:sz w:val="24"/>
          <w:szCs w:val="24"/>
        </w:rPr>
      </w:pPr>
      <w:r w:rsidRPr="00FE2FDD">
        <w:rPr>
          <w:rStyle w:val="normaltextrun"/>
          <w:rFonts w:ascii="Times New Roman" w:hAnsi="Times New Roman" w:cs="Times New Roman"/>
          <w:color w:val="000000"/>
          <w:sz w:val="24"/>
          <w:szCs w:val="24"/>
        </w:rPr>
        <w:t>subsection 92(1) of the PHIPS Act.</w:t>
      </w:r>
    </w:p>
    <w:p w14:paraId="3AE974A2" w14:textId="0526FB66" w:rsidR="0076157B" w:rsidRPr="00FE2FDD" w:rsidRDefault="006569DF" w:rsidP="005116CA">
      <w:pPr>
        <w:rPr>
          <w:rFonts w:ascii="Times New Roman" w:hAnsi="Times New Roman" w:cs="Times New Roman"/>
          <w:sz w:val="24"/>
          <w:szCs w:val="24"/>
        </w:rPr>
      </w:pPr>
      <w:r w:rsidRPr="00FE2FDD">
        <w:rPr>
          <w:rFonts w:ascii="Times New Roman" w:hAnsi="Times New Roman" w:cs="Times New Roman"/>
          <w:sz w:val="24"/>
          <w:szCs w:val="24"/>
        </w:rPr>
        <w:t xml:space="preserve">Under </w:t>
      </w:r>
      <w:r w:rsidR="00366C00" w:rsidRPr="00FE2FDD">
        <w:rPr>
          <w:rFonts w:ascii="Times New Roman" w:hAnsi="Times New Roman" w:cs="Times New Roman"/>
          <w:sz w:val="24"/>
          <w:szCs w:val="24"/>
        </w:rPr>
        <w:t xml:space="preserve">paragraph </w:t>
      </w:r>
      <w:r w:rsidRPr="00FE2FDD">
        <w:rPr>
          <w:rFonts w:ascii="Times New Roman" w:hAnsi="Times New Roman" w:cs="Times New Roman"/>
          <w:sz w:val="24"/>
          <w:szCs w:val="24"/>
        </w:rPr>
        <w:t xml:space="preserve">14(1)(b) of the Legislation Act, </w:t>
      </w:r>
      <w:r w:rsidR="00452747" w:rsidRPr="00FE2FDD">
        <w:rPr>
          <w:rFonts w:ascii="Times New Roman" w:hAnsi="Times New Roman" w:cs="Times New Roman"/>
          <w:sz w:val="24"/>
          <w:szCs w:val="24"/>
        </w:rPr>
        <w:t xml:space="preserve">where </w:t>
      </w:r>
      <w:r w:rsidR="00366C00" w:rsidRPr="00FE2FDD">
        <w:rPr>
          <w:rFonts w:ascii="Times New Roman" w:hAnsi="Times New Roman" w:cs="Times New Roman"/>
          <w:sz w:val="24"/>
          <w:szCs w:val="24"/>
        </w:rPr>
        <w:t>CPS 190</w:t>
      </w:r>
      <w:r w:rsidRPr="00FE2FDD">
        <w:rPr>
          <w:rFonts w:ascii="Times New Roman" w:hAnsi="Times New Roman" w:cs="Times New Roman"/>
          <w:sz w:val="24"/>
          <w:szCs w:val="24"/>
        </w:rPr>
        <w:t xml:space="preserve"> incorporates by reference </w:t>
      </w:r>
      <w:r w:rsidR="00452747" w:rsidRPr="00FE2FDD">
        <w:rPr>
          <w:rFonts w:ascii="Times New Roman" w:hAnsi="Times New Roman" w:cs="Times New Roman"/>
          <w:sz w:val="24"/>
          <w:szCs w:val="24"/>
        </w:rPr>
        <w:t>another Superannuation</w:t>
      </w:r>
      <w:r w:rsidRPr="00FE2FDD">
        <w:rPr>
          <w:rFonts w:ascii="Times New Roman" w:hAnsi="Times New Roman" w:cs="Times New Roman"/>
          <w:sz w:val="24"/>
          <w:szCs w:val="24"/>
        </w:rPr>
        <w:t xml:space="preserve"> Prudential Standard determined by APRA under section 34C of the SIS Act</w:t>
      </w:r>
      <w:r w:rsidR="00452747" w:rsidRPr="00FE2FDD">
        <w:rPr>
          <w:rFonts w:ascii="Times New Roman" w:hAnsi="Times New Roman" w:cs="Times New Roman"/>
          <w:sz w:val="24"/>
          <w:szCs w:val="24"/>
        </w:rPr>
        <w:t xml:space="preserve">, </w:t>
      </w:r>
      <w:r w:rsidR="003655C2" w:rsidRPr="00FE2FDD">
        <w:rPr>
          <w:rFonts w:ascii="Times New Roman" w:hAnsi="Times New Roman" w:cs="Times New Roman"/>
          <w:sz w:val="24"/>
          <w:szCs w:val="24"/>
        </w:rPr>
        <w:t>the Superannuation Prudential Standard referred to is the version that exists at the time the Instrument was determine</w:t>
      </w:r>
      <w:r w:rsidR="00550E3D" w:rsidRPr="00FE2FDD">
        <w:rPr>
          <w:rFonts w:ascii="Times New Roman" w:hAnsi="Times New Roman" w:cs="Times New Roman"/>
          <w:sz w:val="24"/>
          <w:szCs w:val="24"/>
        </w:rPr>
        <w:t>d</w:t>
      </w:r>
      <w:r w:rsidR="0025200A" w:rsidRPr="00FE2FDD">
        <w:rPr>
          <w:rFonts w:ascii="Times New Roman" w:hAnsi="Times New Roman" w:cs="Times New Roman"/>
          <w:sz w:val="24"/>
          <w:szCs w:val="24"/>
        </w:rPr>
        <w:t>.</w:t>
      </w:r>
    </w:p>
    <w:p w14:paraId="30075B9E" w14:textId="036462E0" w:rsidR="0025200A" w:rsidRPr="00FE2FDD" w:rsidRDefault="007E3508" w:rsidP="005116CA">
      <w:pPr>
        <w:rPr>
          <w:rFonts w:ascii="Times New Roman" w:hAnsi="Times New Roman" w:cs="Times New Roman"/>
          <w:sz w:val="24"/>
          <w:szCs w:val="24"/>
        </w:rPr>
      </w:pPr>
      <w:r w:rsidRPr="00FE2FDD">
        <w:rPr>
          <w:rFonts w:ascii="Times New Roman" w:hAnsi="Times New Roman" w:cs="Times New Roman"/>
          <w:sz w:val="24"/>
          <w:szCs w:val="24"/>
        </w:rPr>
        <w:t>All</w:t>
      </w:r>
      <w:r w:rsidR="0025200A" w:rsidRPr="00FE2FDD">
        <w:rPr>
          <w:rFonts w:ascii="Times New Roman" w:hAnsi="Times New Roman" w:cs="Times New Roman"/>
          <w:sz w:val="24"/>
          <w:szCs w:val="24"/>
        </w:rPr>
        <w:t xml:space="preserve"> documents </w:t>
      </w:r>
      <w:r w:rsidRPr="00FE2FDD">
        <w:rPr>
          <w:rFonts w:ascii="Times New Roman" w:hAnsi="Times New Roman" w:cs="Times New Roman"/>
          <w:sz w:val="24"/>
          <w:szCs w:val="24"/>
        </w:rPr>
        <w:t xml:space="preserve">incorporated by reference </w:t>
      </w:r>
      <w:r w:rsidR="00AA670B" w:rsidRPr="00FE2FDD">
        <w:rPr>
          <w:rFonts w:ascii="Times New Roman" w:hAnsi="Times New Roman" w:cs="Times New Roman"/>
          <w:sz w:val="24"/>
          <w:szCs w:val="24"/>
        </w:rPr>
        <w:t xml:space="preserve">in this </w:t>
      </w:r>
      <w:r w:rsidR="00593CE7" w:rsidRPr="00FE2FDD">
        <w:rPr>
          <w:rFonts w:ascii="Times New Roman" w:hAnsi="Times New Roman" w:cs="Times New Roman"/>
          <w:sz w:val="24"/>
          <w:szCs w:val="24"/>
        </w:rPr>
        <w:t xml:space="preserve">standard </w:t>
      </w:r>
      <w:r w:rsidR="0025200A" w:rsidRPr="00FE2FDD">
        <w:rPr>
          <w:rFonts w:ascii="Times New Roman" w:hAnsi="Times New Roman" w:cs="Times New Roman"/>
          <w:sz w:val="24"/>
          <w:szCs w:val="24"/>
        </w:rPr>
        <w:t xml:space="preserve">are available on the Federal Register of Legislation at </w:t>
      </w:r>
      <w:hyperlink r:id="rId11" w:history="1">
        <w:r w:rsidR="0025200A" w:rsidRPr="00FE2FDD">
          <w:rPr>
            <w:rStyle w:val="Hyperlink"/>
            <w:rFonts w:ascii="Times New Roman" w:hAnsi="Times New Roman" w:cs="Times New Roman"/>
            <w:sz w:val="24"/>
            <w:szCs w:val="24"/>
          </w:rPr>
          <w:t>www.legislation.gov.au</w:t>
        </w:r>
      </w:hyperlink>
      <w:r w:rsidR="0025200A" w:rsidRPr="00FE2FDD">
        <w:rPr>
          <w:rFonts w:ascii="Times New Roman" w:hAnsi="Times New Roman" w:cs="Times New Roman"/>
          <w:sz w:val="24"/>
          <w:szCs w:val="24"/>
        </w:rPr>
        <w:t>.</w:t>
      </w:r>
    </w:p>
    <w:p w14:paraId="4B83DE13" w14:textId="43873892" w:rsidR="003C0DC0" w:rsidRPr="00FE2FDD" w:rsidRDefault="009121B9" w:rsidP="00807D80">
      <w:pPr>
        <w:pStyle w:val="Heading1Numbers"/>
      </w:pPr>
      <w:r w:rsidRPr="00FE2FDD">
        <w:t>Consultatio</w:t>
      </w:r>
      <w:r w:rsidR="003C0DC0" w:rsidRPr="00FE2FDD">
        <w:t>n</w:t>
      </w:r>
    </w:p>
    <w:p w14:paraId="7E25690C" w14:textId="70BA0290" w:rsidR="005448F9" w:rsidRPr="00FE2FDD" w:rsidRDefault="009B0625" w:rsidP="005448F9">
      <w:pPr>
        <w:rPr>
          <w:rFonts w:ascii="Times New Roman" w:hAnsi="Times New Roman" w:cs="Times New Roman"/>
          <w:sz w:val="24"/>
          <w:szCs w:val="24"/>
        </w:rPr>
      </w:pPr>
      <w:r w:rsidRPr="00FE2FDD">
        <w:rPr>
          <w:rFonts w:ascii="Times New Roman" w:hAnsi="Times New Roman" w:cs="Times New Roman"/>
          <w:sz w:val="24"/>
          <w:szCs w:val="24"/>
        </w:rPr>
        <w:lastRenderedPageBreak/>
        <w:t xml:space="preserve">APRA released a draft </w:t>
      </w:r>
      <w:r w:rsidR="001D5C83" w:rsidRPr="00FE2FDD">
        <w:rPr>
          <w:rFonts w:ascii="Times New Roman" w:hAnsi="Times New Roman" w:cs="Times New Roman"/>
          <w:sz w:val="24"/>
          <w:szCs w:val="24"/>
        </w:rPr>
        <w:t xml:space="preserve">version </w:t>
      </w:r>
      <w:r w:rsidRPr="00FE2FDD">
        <w:rPr>
          <w:rFonts w:ascii="Times New Roman" w:hAnsi="Times New Roman" w:cs="Times New Roman"/>
          <w:sz w:val="24"/>
          <w:szCs w:val="24"/>
        </w:rPr>
        <w:t>of CPS 190 for consultation in December 2021</w:t>
      </w:r>
      <w:r w:rsidR="001D5C83" w:rsidRPr="00FE2FDD">
        <w:rPr>
          <w:rFonts w:ascii="Times New Roman" w:hAnsi="Times New Roman" w:cs="Times New Roman"/>
          <w:sz w:val="24"/>
          <w:szCs w:val="24"/>
        </w:rPr>
        <w:t>.</w:t>
      </w:r>
      <w:r w:rsidR="00551999" w:rsidRPr="00FE2FDD">
        <w:rPr>
          <w:rStyle w:val="FootnoteReference"/>
          <w:rFonts w:ascii="Times New Roman" w:hAnsi="Times New Roman" w:cs="Times New Roman"/>
          <w:sz w:val="24"/>
          <w:szCs w:val="24"/>
        </w:rPr>
        <w:footnoteReference w:id="4"/>
      </w:r>
      <w:r w:rsidR="001D5C83" w:rsidRPr="00FE2FDD">
        <w:rPr>
          <w:rFonts w:ascii="Times New Roman" w:hAnsi="Times New Roman" w:cs="Times New Roman"/>
          <w:sz w:val="24"/>
          <w:szCs w:val="24"/>
        </w:rPr>
        <w:t xml:space="preserve"> This consultation</w:t>
      </w:r>
      <w:r w:rsidR="0047665C" w:rsidRPr="00FE2FDD">
        <w:rPr>
          <w:rFonts w:ascii="Times New Roman" w:hAnsi="Times New Roman" w:cs="Times New Roman"/>
          <w:sz w:val="24"/>
          <w:szCs w:val="24"/>
        </w:rPr>
        <w:t xml:space="preserve"> </w:t>
      </w:r>
      <w:r w:rsidRPr="00FE2FDD">
        <w:rPr>
          <w:rFonts w:ascii="Times New Roman" w:hAnsi="Times New Roman" w:cs="Times New Roman"/>
          <w:sz w:val="24"/>
          <w:szCs w:val="24"/>
        </w:rPr>
        <w:t>ran until April 2022</w:t>
      </w:r>
      <w:r w:rsidR="001D5C83" w:rsidRPr="00FE2FDD">
        <w:rPr>
          <w:rFonts w:ascii="Times New Roman" w:hAnsi="Times New Roman" w:cs="Times New Roman"/>
          <w:sz w:val="24"/>
          <w:szCs w:val="24"/>
        </w:rPr>
        <w:t>, with</w:t>
      </w:r>
      <w:r w:rsidRPr="00FE2FDD">
        <w:rPr>
          <w:rFonts w:ascii="Times New Roman" w:hAnsi="Times New Roman" w:cs="Times New Roman"/>
          <w:sz w:val="24"/>
          <w:szCs w:val="24"/>
        </w:rPr>
        <w:t xml:space="preserve"> APRA </w:t>
      </w:r>
      <w:r w:rsidR="001D5C83" w:rsidRPr="00FE2FDD">
        <w:rPr>
          <w:rFonts w:ascii="Times New Roman" w:hAnsi="Times New Roman" w:cs="Times New Roman"/>
          <w:sz w:val="24"/>
          <w:szCs w:val="24"/>
        </w:rPr>
        <w:t xml:space="preserve">receiving </w:t>
      </w:r>
      <w:r w:rsidRPr="00FE2FDD">
        <w:rPr>
          <w:rFonts w:ascii="Times New Roman" w:hAnsi="Times New Roman" w:cs="Times New Roman"/>
          <w:sz w:val="24"/>
          <w:szCs w:val="24"/>
        </w:rPr>
        <w:t xml:space="preserve">23 submissions </w:t>
      </w:r>
      <w:r w:rsidR="001D5C83" w:rsidRPr="00FE2FDD">
        <w:rPr>
          <w:rFonts w:ascii="Times New Roman" w:hAnsi="Times New Roman" w:cs="Times New Roman"/>
          <w:sz w:val="24"/>
          <w:szCs w:val="24"/>
        </w:rPr>
        <w:t>in response</w:t>
      </w:r>
      <w:r w:rsidRPr="00FE2FDD">
        <w:rPr>
          <w:rFonts w:ascii="Times New Roman" w:hAnsi="Times New Roman" w:cs="Times New Roman"/>
          <w:sz w:val="24"/>
          <w:szCs w:val="24"/>
        </w:rPr>
        <w:t>.</w:t>
      </w:r>
      <w:r w:rsidR="005448F9" w:rsidRPr="00FE2FDD">
        <w:rPr>
          <w:rFonts w:ascii="Times New Roman" w:hAnsi="Times New Roman" w:cs="Times New Roman"/>
          <w:sz w:val="24"/>
          <w:szCs w:val="24"/>
        </w:rPr>
        <w:t xml:space="preserve"> </w:t>
      </w:r>
      <w:r w:rsidRPr="00FE2FDD">
        <w:rPr>
          <w:rFonts w:ascii="Times New Roman" w:hAnsi="Times New Roman" w:cs="Times New Roman"/>
          <w:sz w:val="24"/>
          <w:szCs w:val="24"/>
        </w:rPr>
        <w:t>During this time, APRA also met with a variety of</w:t>
      </w:r>
      <w:r w:rsidR="009121B9" w:rsidRPr="00FE2FDD">
        <w:rPr>
          <w:rFonts w:ascii="Times New Roman" w:hAnsi="Times New Roman" w:cs="Times New Roman"/>
          <w:sz w:val="24"/>
          <w:szCs w:val="24"/>
        </w:rPr>
        <w:t xml:space="preserve"> stakeholders</w:t>
      </w:r>
      <w:r w:rsidR="005F2014" w:rsidRPr="00FE2FDD">
        <w:rPr>
          <w:rFonts w:ascii="Times New Roman" w:hAnsi="Times New Roman" w:cs="Times New Roman"/>
          <w:sz w:val="24"/>
          <w:szCs w:val="24"/>
        </w:rPr>
        <w:t>,</w:t>
      </w:r>
      <w:r w:rsidR="009121B9" w:rsidRPr="00FE2FDD">
        <w:rPr>
          <w:rFonts w:ascii="Times New Roman" w:hAnsi="Times New Roman" w:cs="Times New Roman"/>
          <w:sz w:val="24"/>
          <w:szCs w:val="24"/>
        </w:rPr>
        <w:t xml:space="preserve"> including individual entities, industry associations</w:t>
      </w:r>
      <w:r w:rsidR="00574CA7" w:rsidRPr="00FE2FDD">
        <w:rPr>
          <w:rFonts w:ascii="Times New Roman" w:hAnsi="Times New Roman" w:cs="Times New Roman"/>
          <w:sz w:val="24"/>
          <w:szCs w:val="24"/>
        </w:rPr>
        <w:t xml:space="preserve"> and</w:t>
      </w:r>
      <w:r w:rsidR="009121B9" w:rsidRPr="00FE2FDD">
        <w:rPr>
          <w:rFonts w:ascii="Times New Roman" w:hAnsi="Times New Roman" w:cs="Times New Roman"/>
          <w:sz w:val="24"/>
          <w:szCs w:val="24"/>
        </w:rPr>
        <w:t xml:space="preserve"> consultants.</w:t>
      </w:r>
      <w:r w:rsidRPr="00FE2FDD">
        <w:rPr>
          <w:rFonts w:ascii="Times New Roman" w:hAnsi="Times New Roman" w:cs="Times New Roman"/>
          <w:sz w:val="24"/>
          <w:szCs w:val="24"/>
        </w:rPr>
        <w:t xml:space="preserve"> </w:t>
      </w:r>
    </w:p>
    <w:p w14:paraId="4D2C6DFD" w14:textId="75BA93D3" w:rsidR="009121B9" w:rsidRPr="00FE2FDD" w:rsidRDefault="000403FB" w:rsidP="005448F9">
      <w:pPr>
        <w:rPr>
          <w:rFonts w:ascii="Times New Roman" w:hAnsi="Times New Roman" w:cs="Times New Roman"/>
          <w:sz w:val="24"/>
          <w:szCs w:val="24"/>
        </w:rPr>
      </w:pPr>
      <w:r w:rsidRPr="00FE2FDD">
        <w:rPr>
          <w:rFonts w:ascii="Times New Roman" w:hAnsi="Times New Roman" w:cs="Times New Roman"/>
          <w:sz w:val="24"/>
          <w:szCs w:val="24"/>
        </w:rPr>
        <w:t xml:space="preserve">APRA also released related draft guidance, </w:t>
      </w:r>
      <w:r w:rsidRPr="00FE2FDD">
        <w:rPr>
          <w:rFonts w:ascii="Times New Roman" w:hAnsi="Times New Roman" w:cs="Times New Roman"/>
          <w:i/>
          <w:iCs/>
          <w:sz w:val="24"/>
          <w:szCs w:val="24"/>
        </w:rPr>
        <w:t xml:space="preserve">Prudential Practice Guide CPG 190 Recovery and Exit Planning </w:t>
      </w:r>
      <w:r w:rsidRPr="00FE2FDD">
        <w:rPr>
          <w:rFonts w:ascii="Times New Roman" w:hAnsi="Times New Roman" w:cs="Times New Roman"/>
          <w:sz w:val="24"/>
          <w:szCs w:val="24"/>
        </w:rPr>
        <w:t>(CPG 190), for public consultation in September 2022.</w:t>
      </w:r>
      <w:r w:rsidR="009B0625" w:rsidRPr="00FE2FDD">
        <w:rPr>
          <w:rFonts w:ascii="Times New Roman" w:hAnsi="Times New Roman" w:cs="Times New Roman"/>
          <w:sz w:val="24"/>
          <w:szCs w:val="24"/>
        </w:rPr>
        <w:t xml:space="preserve"> </w:t>
      </w:r>
      <w:r w:rsidR="00D81412" w:rsidRPr="00FE2FDD">
        <w:rPr>
          <w:rFonts w:ascii="Times New Roman" w:hAnsi="Times New Roman" w:cs="Times New Roman"/>
          <w:sz w:val="24"/>
          <w:szCs w:val="24"/>
        </w:rPr>
        <w:t>Consultation on the guidance</w:t>
      </w:r>
      <w:r w:rsidR="00DD7067" w:rsidRPr="00FE2FDD">
        <w:rPr>
          <w:rFonts w:ascii="Times New Roman" w:hAnsi="Times New Roman" w:cs="Times New Roman"/>
          <w:sz w:val="24"/>
          <w:szCs w:val="24"/>
        </w:rPr>
        <w:t xml:space="preserve"> </w:t>
      </w:r>
      <w:r w:rsidR="00D81412" w:rsidRPr="00FE2FDD">
        <w:rPr>
          <w:rFonts w:ascii="Times New Roman" w:hAnsi="Times New Roman" w:cs="Times New Roman"/>
          <w:sz w:val="24"/>
          <w:szCs w:val="24"/>
        </w:rPr>
        <w:t>involved</w:t>
      </w:r>
      <w:r w:rsidR="009B0625" w:rsidRPr="00FE2FDD">
        <w:rPr>
          <w:rFonts w:ascii="Times New Roman" w:hAnsi="Times New Roman" w:cs="Times New Roman"/>
          <w:sz w:val="24"/>
          <w:szCs w:val="24"/>
        </w:rPr>
        <w:t xml:space="preserve"> further meeting</w:t>
      </w:r>
      <w:r w:rsidR="001D5C83" w:rsidRPr="00FE2FDD">
        <w:rPr>
          <w:rFonts w:ascii="Times New Roman" w:hAnsi="Times New Roman" w:cs="Times New Roman"/>
          <w:sz w:val="24"/>
          <w:szCs w:val="24"/>
        </w:rPr>
        <w:t>s</w:t>
      </w:r>
      <w:r w:rsidR="009B0625" w:rsidRPr="00FE2FDD">
        <w:rPr>
          <w:rFonts w:ascii="Times New Roman" w:hAnsi="Times New Roman" w:cs="Times New Roman"/>
          <w:sz w:val="24"/>
          <w:szCs w:val="24"/>
        </w:rPr>
        <w:t xml:space="preserve"> with industry associations and </w:t>
      </w:r>
      <w:r w:rsidR="001D5C83" w:rsidRPr="00FE2FDD">
        <w:rPr>
          <w:rFonts w:ascii="Times New Roman" w:hAnsi="Times New Roman" w:cs="Times New Roman"/>
          <w:sz w:val="24"/>
          <w:szCs w:val="24"/>
        </w:rPr>
        <w:t xml:space="preserve">regulated </w:t>
      </w:r>
      <w:r w:rsidR="009B0625" w:rsidRPr="00FE2FDD">
        <w:rPr>
          <w:rFonts w:ascii="Times New Roman" w:hAnsi="Times New Roman" w:cs="Times New Roman"/>
          <w:sz w:val="24"/>
          <w:szCs w:val="24"/>
        </w:rPr>
        <w:t>entities in late 2022</w:t>
      </w:r>
      <w:r w:rsidR="00436A6F" w:rsidRPr="00FE2FDD">
        <w:rPr>
          <w:rFonts w:ascii="Times New Roman" w:hAnsi="Times New Roman" w:cs="Times New Roman"/>
          <w:sz w:val="24"/>
          <w:szCs w:val="24"/>
        </w:rPr>
        <w:t>, to engage feedback on the proposed prudential standard</w:t>
      </w:r>
      <w:r w:rsidR="008405E9" w:rsidRPr="00FE2FDD">
        <w:rPr>
          <w:rFonts w:ascii="Times New Roman" w:hAnsi="Times New Roman" w:cs="Times New Roman"/>
          <w:sz w:val="24"/>
          <w:szCs w:val="24"/>
        </w:rPr>
        <w:t xml:space="preserve"> and guidance</w:t>
      </w:r>
      <w:r w:rsidR="009B0625" w:rsidRPr="00FE2FDD">
        <w:rPr>
          <w:rFonts w:ascii="Times New Roman" w:hAnsi="Times New Roman" w:cs="Times New Roman"/>
          <w:sz w:val="24"/>
          <w:szCs w:val="24"/>
        </w:rPr>
        <w:t>.</w:t>
      </w:r>
    </w:p>
    <w:p w14:paraId="08E7B7E4" w14:textId="4B0182DD" w:rsidR="00CF24EF" w:rsidRPr="00FE2FDD" w:rsidRDefault="009121B9" w:rsidP="00410AFC">
      <w:pPr>
        <w:rPr>
          <w:rFonts w:ascii="Times New Roman" w:hAnsi="Times New Roman" w:cs="Times New Roman"/>
          <w:sz w:val="24"/>
          <w:szCs w:val="24"/>
        </w:rPr>
      </w:pPr>
      <w:r w:rsidRPr="00FE2FDD">
        <w:rPr>
          <w:rFonts w:ascii="Times New Roman" w:hAnsi="Times New Roman" w:cs="Times New Roman"/>
          <w:sz w:val="24"/>
          <w:szCs w:val="24"/>
        </w:rPr>
        <w:t xml:space="preserve">In </w:t>
      </w:r>
      <w:r w:rsidR="0047665C" w:rsidRPr="00FE2FDD">
        <w:rPr>
          <w:rFonts w:ascii="Times New Roman" w:hAnsi="Times New Roman" w:cs="Times New Roman"/>
          <w:sz w:val="24"/>
          <w:szCs w:val="24"/>
        </w:rPr>
        <w:t>December 2022</w:t>
      </w:r>
      <w:r w:rsidRPr="00FE2FDD">
        <w:rPr>
          <w:rFonts w:ascii="Times New Roman" w:hAnsi="Times New Roman" w:cs="Times New Roman"/>
          <w:sz w:val="24"/>
          <w:szCs w:val="24"/>
        </w:rPr>
        <w:t xml:space="preserve">, APRA released a </w:t>
      </w:r>
      <w:r w:rsidR="00C307D7" w:rsidRPr="00FE2FDD">
        <w:rPr>
          <w:rFonts w:ascii="Times New Roman" w:hAnsi="Times New Roman" w:cs="Times New Roman"/>
          <w:sz w:val="24"/>
          <w:szCs w:val="24"/>
        </w:rPr>
        <w:t xml:space="preserve">letter </w:t>
      </w:r>
      <w:r w:rsidR="00682604" w:rsidRPr="00FE2FDD">
        <w:rPr>
          <w:rFonts w:ascii="Times New Roman" w:hAnsi="Times New Roman" w:cs="Times New Roman"/>
          <w:sz w:val="24"/>
          <w:szCs w:val="24"/>
        </w:rPr>
        <w:t>responding</w:t>
      </w:r>
      <w:r w:rsidRPr="00FE2FDD">
        <w:rPr>
          <w:rFonts w:ascii="Times New Roman" w:hAnsi="Times New Roman" w:cs="Times New Roman"/>
          <w:sz w:val="24"/>
          <w:szCs w:val="24"/>
        </w:rPr>
        <w:t xml:space="preserve"> to issues raised </w:t>
      </w:r>
      <w:r w:rsidR="00410AFC" w:rsidRPr="00FE2FDD">
        <w:rPr>
          <w:rFonts w:ascii="Times New Roman" w:hAnsi="Times New Roman" w:cs="Times New Roman"/>
          <w:sz w:val="24"/>
          <w:szCs w:val="24"/>
        </w:rPr>
        <w:t>during</w:t>
      </w:r>
      <w:r w:rsidRPr="00FE2FDD">
        <w:rPr>
          <w:rFonts w:ascii="Times New Roman" w:hAnsi="Times New Roman" w:cs="Times New Roman"/>
          <w:sz w:val="24"/>
          <w:szCs w:val="24"/>
        </w:rPr>
        <w:t xml:space="preserve"> consultation</w:t>
      </w:r>
      <w:r w:rsidR="00C539D2" w:rsidRPr="00FE2FDD">
        <w:rPr>
          <w:rFonts w:ascii="Times New Roman" w:hAnsi="Times New Roman" w:cs="Times New Roman"/>
          <w:sz w:val="24"/>
          <w:szCs w:val="24"/>
        </w:rPr>
        <w:t xml:space="preserve"> on </w:t>
      </w:r>
      <w:r w:rsidR="007D468E" w:rsidRPr="00FE2FDD">
        <w:rPr>
          <w:rFonts w:ascii="Times New Roman" w:hAnsi="Times New Roman" w:cs="Times New Roman"/>
          <w:sz w:val="24"/>
          <w:szCs w:val="24"/>
        </w:rPr>
        <w:t>d</w:t>
      </w:r>
      <w:r w:rsidR="002B236A" w:rsidRPr="00FE2FDD">
        <w:rPr>
          <w:rFonts w:ascii="Times New Roman" w:hAnsi="Times New Roman" w:cs="Times New Roman"/>
          <w:sz w:val="24"/>
          <w:szCs w:val="24"/>
        </w:rPr>
        <w:t xml:space="preserve">raft </w:t>
      </w:r>
      <w:r w:rsidR="00C539D2" w:rsidRPr="00FE2FDD">
        <w:rPr>
          <w:rFonts w:ascii="Times New Roman" w:hAnsi="Times New Roman" w:cs="Times New Roman"/>
          <w:sz w:val="24"/>
          <w:szCs w:val="24"/>
        </w:rPr>
        <w:t>CPS 190</w:t>
      </w:r>
      <w:r w:rsidRPr="00FE2FDD">
        <w:rPr>
          <w:rFonts w:ascii="Times New Roman" w:hAnsi="Times New Roman" w:cs="Times New Roman"/>
          <w:sz w:val="24"/>
          <w:szCs w:val="24"/>
        </w:rPr>
        <w:t>.</w:t>
      </w:r>
      <w:r w:rsidRPr="00FE2FDD">
        <w:rPr>
          <w:rStyle w:val="FootnoteReference"/>
          <w:rFonts w:ascii="Times New Roman" w:hAnsi="Times New Roman" w:cs="Times New Roman"/>
          <w:color w:val="auto"/>
          <w:sz w:val="24"/>
          <w:szCs w:val="24"/>
        </w:rPr>
        <w:footnoteReference w:id="5"/>
      </w:r>
      <w:r w:rsidRPr="00FE2FDD">
        <w:rPr>
          <w:rFonts w:ascii="Times New Roman" w:hAnsi="Times New Roman" w:cs="Times New Roman"/>
          <w:sz w:val="24"/>
          <w:szCs w:val="24"/>
        </w:rPr>
        <w:t xml:space="preserve"> </w:t>
      </w:r>
      <w:r w:rsidR="0047665C" w:rsidRPr="00FE2FDD">
        <w:rPr>
          <w:rFonts w:ascii="Times New Roman" w:hAnsi="Times New Roman" w:cs="Times New Roman"/>
          <w:sz w:val="24"/>
          <w:szCs w:val="24"/>
        </w:rPr>
        <w:t xml:space="preserve">The major changes </w:t>
      </w:r>
      <w:r w:rsidR="000F29F2" w:rsidRPr="00FE2FDD">
        <w:rPr>
          <w:rFonts w:ascii="Times New Roman" w:hAnsi="Times New Roman" w:cs="Times New Roman"/>
          <w:sz w:val="24"/>
          <w:szCs w:val="24"/>
        </w:rPr>
        <w:t xml:space="preserve">made </w:t>
      </w:r>
      <w:r w:rsidR="0047665C" w:rsidRPr="00FE2FDD">
        <w:rPr>
          <w:rFonts w:ascii="Times New Roman" w:hAnsi="Times New Roman" w:cs="Times New Roman"/>
          <w:sz w:val="24"/>
          <w:szCs w:val="24"/>
        </w:rPr>
        <w:t xml:space="preserve">to </w:t>
      </w:r>
      <w:r w:rsidR="00D84CC1" w:rsidRPr="00FE2FDD">
        <w:rPr>
          <w:rFonts w:ascii="Times New Roman" w:hAnsi="Times New Roman" w:cs="Times New Roman"/>
          <w:sz w:val="24"/>
          <w:szCs w:val="24"/>
        </w:rPr>
        <w:t xml:space="preserve">CPS 190 </w:t>
      </w:r>
      <w:r w:rsidR="00410AFC" w:rsidRPr="00FE2FDD">
        <w:rPr>
          <w:rFonts w:ascii="Times New Roman" w:hAnsi="Times New Roman" w:cs="Times New Roman"/>
          <w:sz w:val="24"/>
          <w:szCs w:val="24"/>
        </w:rPr>
        <w:t xml:space="preserve">in response to </w:t>
      </w:r>
      <w:r w:rsidR="00A01604" w:rsidRPr="00FE2FDD">
        <w:rPr>
          <w:rFonts w:ascii="Times New Roman" w:hAnsi="Times New Roman" w:cs="Times New Roman"/>
          <w:sz w:val="24"/>
          <w:szCs w:val="24"/>
        </w:rPr>
        <w:t xml:space="preserve">consultation </w:t>
      </w:r>
      <w:r w:rsidR="00410AFC" w:rsidRPr="00FE2FDD">
        <w:rPr>
          <w:rFonts w:ascii="Times New Roman" w:hAnsi="Times New Roman" w:cs="Times New Roman"/>
          <w:sz w:val="24"/>
          <w:szCs w:val="24"/>
        </w:rPr>
        <w:t xml:space="preserve">feedback </w:t>
      </w:r>
      <w:r w:rsidR="00BA10A3" w:rsidRPr="00FE2FDD">
        <w:rPr>
          <w:rFonts w:ascii="Times New Roman" w:hAnsi="Times New Roman" w:cs="Times New Roman"/>
          <w:sz w:val="24"/>
          <w:szCs w:val="24"/>
        </w:rPr>
        <w:t>were presentational in nature and aimed at simplif</w:t>
      </w:r>
      <w:r w:rsidR="00AF1BE1" w:rsidRPr="00FE2FDD">
        <w:rPr>
          <w:rFonts w:ascii="Times New Roman" w:hAnsi="Times New Roman" w:cs="Times New Roman"/>
          <w:sz w:val="24"/>
          <w:szCs w:val="24"/>
        </w:rPr>
        <w:t>ication</w:t>
      </w:r>
      <w:r w:rsidR="00BA10A3" w:rsidRPr="00FE2FDD">
        <w:rPr>
          <w:rFonts w:ascii="Times New Roman" w:hAnsi="Times New Roman" w:cs="Times New Roman"/>
          <w:sz w:val="24"/>
          <w:szCs w:val="24"/>
        </w:rPr>
        <w:t xml:space="preserve"> – for example, a reordering </w:t>
      </w:r>
      <w:r w:rsidR="00682604" w:rsidRPr="00FE2FDD">
        <w:rPr>
          <w:rFonts w:ascii="Times New Roman" w:hAnsi="Times New Roman" w:cs="Times New Roman"/>
          <w:sz w:val="24"/>
          <w:szCs w:val="24"/>
        </w:rPr>
        <w:t xml:space="preserve">of the standard </w:t>
      </w:r>
      <w:r w:rsidR="00BA10A3" w:rsidRPr="00FE2FDD">
        <w:rPr>
          <w:rFonts w:ascii="Times New Roman" w:hAnsi="Times New Roman" w:cs="Times New Roman"/>
          <w:sz w:val="24"/>
          <w:szCs w:val="24"/>
        </w:rPr>
        <w:t xml:space="preserve">to </w:t>
      </w:r>
      <w:r w:rsidR="00A01604" w:rsidRPr="00FE2FDD">
        <w:rPr>
          <w:rFonts w:ascii="Times New Roman" w:hAnsi="Times New Roman" w:cs="Times New Roman"/>
          <w:sz w:val="24"/>
          <w:szCs w:val="24"/>
        </w:rPr>
        <w:t xml:space="preserve">avoid </w:t>
      </w:r>
      <w:r w:rsidR="005A59B7" w:rsidRPr="00FE2FDD">
        <w:rPr>
          <w:rFonts w:ascii="Times New Roman" w:hAnsi="Times New Roman" w:cs="Times New Roman"/>
          <w:sz w:val="24"/>
          <w:szCs w:val="24"/>
        </w:rPr>
        <w:t>restating</w:t>
      </w:r>
      <w:r w:rsidR="00A01604" w:rsidRPr="00FE2FDD">
        <w:rPr>
          <w:rFonts w:ascii="Times New Roman" w:hAnsi="Times New Roman" w:cs="Times New Roman"/>
          <w:sz w:val="24"/>
          <w:szCs w:val="24"/>
        </w:rPr>
        <w:t xml:space="preserve"> common</w:t>
      </w:r>
      <w:r w:rsidR="00BA10A3" w:rsidRPr="00FE2FDD">
        <w:rPr>
          <w:rFonts w:ascii="Times New Roman" w:hAnsi="Times New Roman" w:cs="Times New Roman"/>
          <w:sz w:val="24"/>
          <w:szCs w:val="24"/>
        </w:rPr>
        <w:t xml:space="preserve"> </w:t>
      </w:r>
      <w:r w:rsidR="000712AB" w:rsidRPr="00FE2FDD">
        <w:rPr>
          <w:rFonts w:ascii="Times New Roman" w:hAnsi="Times New Roman" w:cs="Times New Roman"/>
          <w:sz w:val="24"/>
          <w:szCs w:val="24"/>
        </w:rPr>
        <w:t xml:space="preserve">requirements between </w:t>
      </w:r>
      <w:r w:rsidR="00BA10A3" w:rsidRPr="00FE2FDD">
        <w:rPr>
          <w:rFonts w:ascii="Times New Roman" w:hAnsi="Times New Roman" w:cs="Times New Roman"/>
          <w:sz w:val="24"/>
          <w:szCs w:val="24"/>
        </w:rPr>
        <w:t xml:space="preserve">SFIs and non-SFIs. </w:t>
      </w:r>
      <w:r w:rsidR="000712AB" w:rsidRPr="00FE2FDD">
        <w:rPr>
          <w:rFonts w:ascii="Times New Roman" w:hAnsi="Times New Roman" w:cs="Times New Roman"/>
          <w:sz w:val="24"/>
          <w:szCs w:val="24"/>
        </w:rPr>
        <w:t>O</w:t>
      </w:r>
      <w:r w:rsidR="00AF1BE1" w:rsidRPr="00FE2FDD">
        <w:rPr>
          <w:rFonts w:ascii="Times New Roman" w:hAnsi="Times New Roman" w:cs="Times New Roman"/>
          <w:sz w:val="24"/>
          <w:szCs w:val="24"/>
        </w:rPr>
        <w:t>ther</w:t>
      </w:r>
      <w:r w:rsidR="00BA10A3" w:rsidRPr="00FE2FDD">
        <w:rPr>
          <w:rFonts w:ascii="Times New Roman" w:hAnsi="Times New Roman" w:cs="Times New Roman"/>
          <w:sz w:val="24"/>
          <w:szCs w:val="24"/>
        </w:rPr>
        <w:t xml:space="preserve"> </w:t>
      </w:r>
      <w:r w:rsidR="00AF1BE1" w:rsidRPr="00FE2FDD">
        <w:rPr>
          <w:rFonts w:ascii="Times New Roman" w:hAnsi="Times New Roman" w:cs="Times New Roman"/>
          <w:sz w:val="24"/>
          <w:szCs w:val="24"/>
        </w:rPr>
        <w:t xml:space="preserve">changes were </w:t>
      </w:r>
      <w:r w:rsidR="00F5276D" w:rsidRPr="00FE2FDD">
        <w:rPr>
          <w:rFonts w:ascii="Times New Roman" w:hAnsi="Times New Roman" w:cs="Times New Roman"/>
          <w:sz w:val="24"/>
          <w:szCs w:val="24"/>
        </w:rPr>
        <w:t xml:space="preserve">relatively </w:t>
      </w:r>
      <w:r w:rsidR="00AF1BE1" w:rsidRPr="00FE2FDD">
        <w:rPr>
          <w:rFonts w:ascii="Times New Roman" w:hAnsi="Times New Roman" w:cs="Times New Roman"/>
          <w:sz w:val="24"/>
          <w:szCs w:val="24"/>
        </w:rPr>
        <w:t>minor</w:t>
      </w:r>
      <w:r w:rsidR="00F5276D" w:rsidRPr="00FE2FDD">
        <w:rPr>
          <w:rFonts w:ascii="Times New Roman" w:hAnsi="Times New Roman" w:cs="Times New Roman"/>
          <w:sz w:val="24"/>
          <w:szCs w:val="24"/>
        </w:rPr>
        <w:t xml:space="preserve"> and </w:t>
      </w:r>
      <w:r w:rsidR="00D17039" w:rsidRPr="00FE2FDD">
        <w:rPr>
          <w:rFonts w:ascii="Times New Roman" w:hAnsi="Times New Roman" w:cs="Times New Roman"/>
          <w:sz w:val="24"/>
          <w:szCs w:val="24"/>
        </w:rPr>
        <w:t xml:space="preserve">did not </w:t>
      </w:r>
      <w:r w:rsidR="00AE3450" w:rsidRPr="00FE2FDD">
        <w:rPr>
          <w:rFonts w:ascii="Times New Roman" w:hAnsi="Times New Roman" w:cs="Times New Roman"/>
          <w:sz w:val="24"/>
          <w:szCs w:val="24"/>
        </w:rPr>
        <w:t>significantly change the</w:t>
      </w:r>
      <w:r w:rsidR="00F5276D" w:rsidRPr="00FE2FDD">
        <w:rPr>
          <w:rFonts w:ascii="Times New Roman" w:hAnsi="Times New Roman" w:cs="Times New Roman"/>
          <w:sz w:val="24"/>
          <w:szCs w:val="24"/>
        </w:rPr>
        <w:t xml:space="preserve"> </w:t>
      </w:r>
      <w:r w:rsidR="00AB6E8A" w:rsidRPr="00FE2FDD">
        <w:rPr>
          <w:rFonts w:ascii="Times New Roman" w:hAnsi="Times New Roman" w:cs="Times New Roman"/>
          <w:sz w:val="24"/>
          <w:szCs w:val="24"/>
        </w:rPr>
        <w:t>proposed</w:t>
      </w:r>
      <w:r w:rsidR="00A01604" w:rsidRPr="00FE2FDD">
        <w:rPr>
          <w:rFonts w:ascii="Times New Roman" w:hAnsi="Times New Roman" w:cs="Times New Roman"/>
          <w:sz w:val="24"/>
          <w:szCs w:val="24"/>
        </w:rPr>
        <w:t xml:space="preserve"> </w:t>
      </w:r>
      <w:r w:rsidR="00F5276D" w:rsidRPr="00FE2FDD">
        <w:rPr>
          <w:rFonts w:ascii="Times New Roman" w:hAnsi="Times New Roman" w:cs="Times New Roman"/>
          <w:sz w:val="24"/>
          <w:szCs w:val="24"/>
        </w:rPr>
        <w:t>requirements</w:t>
      </w:r>
      <w:r w:rsidR="00AF1BE1" w:rsidRPr="00FE2FDD">
        <w:rPr>
          <w:rFonts w:ascii="Times New Roman" w:hAnsi="Times New Roman" w:cs="Times New Roman"/>
          <w:sz w:val="24"/>
          <w:szCs w:val="24"/>
        </w:rPr>
        <w:t>. The letter</w:t>
      </w:r>
      <w:r w:rsidR="009F4556" w:rsidRPr="00FE2FDD">
        <w:rPr>
          <w:rFonts w:ascii="Times New Roman" w:hAnsi="Times New Roman" w:cs="Times New Roman"/>
          <w:sz w:val="24"/>
          <w:szCs w:val="24"/>
        </w:rPr>
        <w:t xml:space="preserve"> also</w:t>
      </w:r>
      <w:r w:rsidR="00AF1BE1" w:rsidRPr="00FE2FDD">
        <w:rPr>
          <w:rFonts w:ascii="Times New Roman" w:hAnsi="Times New Roman" w:cs="Times New Roman"/>
          <w:sz w:val="24"/>
          <w:szCs w:val="24"/>
        </w:rPr>
        <w:t xml:space="preserve"> provide</w:t>
      </w:r>
      <w:r w:rsidR="000712AB" w:rsidRPr="00FE2FDD">
        <w:rPr>
          <w:rFonts w:ascii="Times New Roman" w:hAnsi="Times New Roman" w:cs="Times New Roman"/>
          <w:sz w:val="24"/>
          <w:szCs w:val="24"/>
        </w:rPr>
        <w:t>d</w:t>
      </w:r>
      <w:r w:rsidR="00AF1BE1" w:rsidRPr="00FE2FDD">
        <w:rPr>
          <w:rFonts w:ascii="Times New Roman" w:hAnsi="Times New Roman" w:cs="Times New Roman"/>
          <w:sz w:val="24"/>
          <w:szCs w:val="24"/>
        </w:rPr>
        <w:t xml:space="preserve"> </w:t>
      </w:r>
      <w:r w:rsidR="00A01604" w:rsidRPr="00FE2FDD">
        <w:rPr>
          <w:rFonts w:ascii="Times New Roman" w:hAnsi="Times New Roman" w:cs="Times New Roman"/>
          <w:sz w:val="24"/>
          <w:szCs w:val="24"/>
        </w:rPr>
        <w:t xml:space="preserve">further clarity </w:t>
      </w:r>
      <w:r w:rsidR="00AF1BE1" w:rsidRPr="00FE2FDD">
        <w:rPr>
          <w:rFonts w:ascii="Times New Roman" w:hAnsi="Times New Roman" w:cs="Times New Roman"/>
          <w:sz w:val="24"/>
          <w:szCs w:val="24"/>
        </w:rPr>
        <w:t xml:space="preserve">on </w:t>
      </w:r>
      <w:r w:rsidR="002C56C4" w:rsidRPr="00FE2FDD">
        <w:rPr>
          <w:rFonts w:ascii="Times New Roman" w:hAnsi="Times New Roman" w:cs="Times New Roman"/>
          <w:sz w:val="24"/>
          <w:szCs w:val="24"/>
        </w:rPr>
        <w:t>certain requirements</w:t>
      </w:r>
      <w:r w:rsidR="00AF1BE1" w:rsidRPr="00FE2FDD">
        <w:rPr>
          <w:rFonts w:ascii="Times New Roman" w:hAnsi="Times New Roman" w:cs="Times New Roman"/>
          <w:sz w:val="24"/>
          <w:szCs w:val="24"/>
        </w:rPr>
        <w:t>.</w:t>
      </w:r>
      <w:r w:rsidR="00410AFC" w:rsidRPr="00FE2FDD">
        <w:rPr>
          <w:rFonts w:ascii="Times New Roman" w:hAnsi="Times New Roman" w:cs="Times New Roman"/>
          <w:sz w:val="24"/>
          <w:szCs w:val="24"/>
        </w:rPr>
        <w:t xml:space="preserve"> </w:t>
      </w:r>
      <w:r w:rsidR="00CF24EF" w:rsidRPr="00FE2FDD">
        <w:rPr>
          <w:rFonts w:ascii="Times New Roman" w:hAnsi="Times New Roman" w:cs="Times New Roman"/>
          <w:sz w:val="24"/>
          <w:szCs w:val="24"/>
        </w:rPr>
        <w:t xml:space="preserve">More detailed guidance </w:t>
      </w:r>
      <w:r w:rsidR="00A01604" w:rsidRPr="00FE2FDD">
        <w:rPr>
          <w:rFonts w:ascii="Times New Roman" w:hAnsi="Times New Roman" w:cs="Times New Roman"/>
          <w:sz w:val="24"/>
          <w:szCs w:val="24"/>
        </w:rPr>
        <w:t>on the requirements</w:t>
      </w:r>
      <w:r w:rsidR="002C56C4" w:rsidRPr="00FE2FDD">
        <w:rPr>
          <w:rFonts w:ascii="Times New Roman" w:hAnsi="Times New Roman" w:cs="Times New Roman"/>
          <w:sz w:val="24"/>
          <w:szCs w:val="24"/>
        </w:rPr>
        <w:t xml:space="preserve"> of CPS 190</w:t>
      </w:r>
      <w:r w:rsidR="00CF24EF" w:rsidRPr="00FE2FDD">
        <w:rPr>
          <w:rFonts w:ascii="Times New Roman" w:hAnsi="Times New Roman" w:cs="Times New Roman"/>
          <w:sz w:val="24"/>
          <w:szCs w:val="24"/>
        </w:rPr>
        <w:t xml:space="preserve"> was </w:t>
      </w:r>
      <w:r w:rsidR="00CC6296" w:rsidRPr="00FE2FDD">
        <w:rPr>
          <w:rFonts w:ascii="Times New Roman" w:hAnsi="Times New Roman" w:cs="Times New Roman"/>
          <w:sz w:val="24"/>
          <w:szCs w:val="24"/>
        </w:rPr>
        <w:t xml:space="preserve">also </w:t>
      </w:r>
      <w:r w:rsidR="00A01604" w:rsidRPr="00FE2FDD">
        <w:rPr>
          <w:rFonts w:ascii="Times New Roman" w:hAnsi="Times New Roman" w:cs="Times New Roman"/>
          <w:sz w:val="24"/>
          <w:szCs w:val="24"/>
        </w:rPr>
        <w:t>provided</w:t>
      </w:r>
      <w:r w:rsidR="00CF24EF" w:rsidRPr="00FE2FDD">
        <w:rPr>
          <w:rFonts w:ascii="Times New Roman" w:hAnsi="Times New Roman" w:cs="Times New Roman"/>
          <w:sz w:val="24"/>
          <w:szCs w:val="24"/>
        </w:rPr>
        <w:t xml:space="preserve"> </w:t>
      </w:r>
      <w:r w:rsidR="00410AFC" w:rsidRPr="00FE2FDD">
        <w:rPr>
          <w:rFonts w:ascii="Times New Roman" w:hAnsi="Times New Roman" w:cs="Times New Roman"/>
          <w:sz w:val="24"/>
          <w:szCs w:val="24"/>
        </w:rPr>
        <w:t>in</w:t>
      </w:r>
      <w:r w:rsidR="00CF24EF" w:rsidRPr="00FE2FDD">
        <w:rPr>
          <w:rFonts w:ascii="Times New Roman" w:hAnsi="Times New Roman" w:cs="Times New Roman"/>
          <w:sz w:val="24"/>
          <w:szCs w:val="24"/>
        </w:rPr>
        <w:t xml:space="preserve"> </w:t>
      </w:r>
      <w:r w:rsidR="00280738" w:rsidRPr="00FE2FDD">
        <w:rPr>
          <w:rFonts w:ascii="Times New Roman" w:hAnsi="Times New Roman" w:cs="Times New Roman"/>
          <w:sz w:val="24"/>
          <w:szCs w:val="24"/>
        </w:rPr>
        <w:t>the finalised CPG 190</w:t>
      </w:r>
      <w:r w:rsidR="00A01604" w:rsidRPr="00FE2FDD">
        <w:rPr>
          <w:rFonts w:ascii="Times New Roman" w:hAnsi="Times New Roman" w:cs="Times New Roman"/>
          <w:sz w:val="24"/>
          <w:szCs w:val="24"/>
        </w:rPr>
        <w:t>.</w:t>
      </w:r>
      <w:r w:rsidR="00CF24EF" w:rsidRPr="00FE2FDD">
        <w:rPr>
          <w:rStyle w:val="FootnoteReference"/>
          <w:rFonts w:ascii="Times New Roman" w:hAnsi="Times New Roman" w:cs="Times New Roman"/>
          <w:sz w:val="24"/>
          <w:szCs w:val="24"/>
        </w:rPr>
        <w:footnoteReference w:id="6"/>
      </w:r>
    </w:p>
    <w:p w14:paraId="43AAE140" w14:textId="77777777" w:rsidR="009121B9" w:rsidRPr="00FE2FDD" w:rsidRDefault="009121B9" w:rsidP="00807D80">
      <w:pPr>
        <w:pStyle w:val="Heading1Numbers"/>
      </w:pPr>
      <w:r w:rsidRPr="00FE2FDD">
        <w:t>Regulation Impact Statement</w:t>
      </w:r>
    </w:p>
    <w:p w14:paraId="2C639BF3" w14:textId="2082BAA8" w:rsidR="003069B6" w:rsidRPr="00FE2FDD" w:rsidRDefault="0095493F" w:rsidP="003069B6">
      <w:pPr>
        <w:rPr>
          <w:rFonts w:ascii="Times New Roman" w:hAnsi="Times New Roman" w:cs="Times New Roman"/>
          <w:sz w:val="24"/>
          <w:szCs w:val="24"/>
        </w:rPr>
      </w:pPr>
      <w:r w:rsidRPr="00FE2FDD">
        <w:rPr>
          <w:rFonts w:ascii="Times New Roman" w:hAnsi="Times New Roman" w:cs="Times New Roman"/>
          <w:sz w:val="24"/>
          <w:szCs w:val="24"/>
        </w:rPr>
        <w:t xml:space="preserve">In </w:t>
      </w:r>
      <w:r w:rsidR="00D17039" w:rsidRPr="00FE2FDD">
        <w:rPr>
          <w:rFonts w:ascii="Times New Roman" w:hAnsi="Times New Roman" w:cs="Times New Roman"/>
          <w:sz w:val="24"/>
          <w:szCs w:val="24"/>
        </w:rPr>
        <w:t>developing</w:t>
      </w:r>
      <w:r w:rsidRPr="00FE2FDD">
        <w:rPr>
          <w:rFonts w:ascii="Times New Roman" w:hAnsi="Times New Roman" w:cs="Times New Roman"/>
          <w:sz w:val="24"/>
          <w:szCs w:val="24"/>
        </w:rPr>
        <w:t xml:space="preserve"> CPS 190, the Office of </w:t>
      </w:r>
      <w:r w:rsidR="002F3976" w:rsidRPr="00FE2FDD">
        <w:rPr>
          <w:rFonts w:ascii="Times New Roman" w:hAnsi="Times New Roman" w:cs="Times New Roman"/>
          <w:sz w:val="24"/>
          <w:szCs w:val="24"/>
        </w:rPr>
        <w:t>Impact Analysis</w:t>
      </w:r>
      <w:r w:rsidRPr="00FE2FDD">
        <w:rPr>
          <w:rFonts w:ascii="Times New Roman" w:hAnsi="Times New Roman" w:cs="Times New Roman"/>
          <w:sz w:val="24"/>
          <w:szCs w:val="24"/>
        </w:rPr>
        <w:t xml:space="preserve"> (</w:t>
      </w:r>
      <w:r w:rsidR="002F3976" w:rsidRPr="00FE2FDD">
        <w:rPr>
          <w:rFonts w:ascii="Times New Roman" w:hAnsi="Times New Roman" w:cs="Times New Roman"/>
          <w:sz w:val="24"/>
          <w:szCs w:val="24"/>
        </w:rPr>
        <w:t xml:space="preserve">formerly </w:t>
      </w:r>
      <w:r w:rsidR="00D17039" w:rsidRPr="00FE2FDD">
        <w:rPr>
          <w:rFonts w:ascii="Times New Roman" w:hAnsi="Times New Roman" w:cs="Times New Roman"/>
          <w:sz w:val="24"/>
          <w:szCs w:val="24"/>
        </w:rPr>
        <w:t xml:space="preserve">known as </w:t>
      </w:r>
      <w:r w:rsidRPr="00FE2FDD">
        <w:rPr>
          <w:rFonts w:ascii="Times New Roman" w:hAnsi="Times New Roman" w:cs="Times New Roman"/>
          <w:sz w:val="24"/>
          <w:szCs w:val="24"/>
        </w:rPr>
        <w:t xml:space="preserve">the </w:t>
      </w:r>
      <w:r w:rsidR="00790072" w:rsidRPr="00FE2FDD">
        <w:rPr>
          <w:rFonts w:ascii="Times New Roman" w:hAnsi="Times New Roman" w:cs="Times New Roman"/>
          <w:sz w:val="24"/>
          <w:szCs w:val="24"/>
        </w:rPr>
        <w:t xml:space="preserve">Office of </w:t>
      </w:r>
      <w:r w:rsidRPr="00FE2FDD">
        <w:rPr>
          <w:rFonts w:ascii="Times New Roman" w:hAnsi="Times New Roman" w:cs="Times New Roman"/>
          <w:sz w:val="24"/>
          <w:szCs w:val="24"/>
        </w:rPr>
        <w:t>Best Practice Regulation)</w:t>
      </w:r>
      <w:r w:rsidR="00790072" w:rsidRPr="00FE2FDD">
        <w:rPr>
          <w:rFonts w:ascii="Times New Roman" w:hAnsi="Times New Roman" w:cs="Times New Roman"/>
          <w:sz w:val="24"/>
          <w:szCs w:val="24"/>
        </w:rPr>
        <w:t xml:space="preserve"> confirmed that a Regulation Impact Statement </w:t>
      </w:r>
      <w:r w:rsidRPr="00FE2FDD">
        <w:rPr>
          <w:rFonts w:ascii="Times New Roman" w:hAnsi="Times New Roman" w:cs="Times New Roman"/>
          <w:sz w:val="24"/>
          <w:szCs w:val="24"/>
        </w:rPr>
        <w:t>wa</w:t>
      </w:r>
      <w:r w:rsidR="00790072" w:rsidRPr="00FE2FDD">
        <w:rPr>
          <w:rFonts w:ascii="Times New Roman" w:hAnsi="Times New Roman" w:cs="Times New Roman"/>
          <w:sz w:val="24"/>
          <w:szCs w:val="24"/>
        </w:rPr>
        <w:t xml:space="preserve">s not required </w:t>
      </w:r>
      <w:r w:rsidR="00CD22FA" w:rsidRPr="00FE2FDD">
        <w:rPr>
          <w:rFonts w:ascii="Times New Roman" w:hAnsi="Times New Roman" w:cs="Times New Roman"/>
          <w:sz w:val="24"/>
          <w:szCs w:val="24"/>
        </w:rPr>
        <w:t>as CPS</w:t>
      </w:r>
      <w:r w:rsidR="007E2757" w:rsidRPr="00FE2FDD">
        <w:rPr>
          <w:rFonts w:ascii="Times New Roman" w:hAnsi="Times New Roman" w:cs="Times New Roman"/>
          <w:sz w:val="24"/>
          <w:szCs w:val="24"/>
        </w:rPr>
        <w:t> </w:t>
      </w:r>
      <w:r w:rsidR="00CD22FA" w:rsidRPr="00FE2FDD">
        <w:rPr>
          <w:rFonts w:ascii="Times New Roman" w:hAnsi="Times New Roman" w:cs="Times New Roman"/>
          <w:sz w:val="24"/>
          <w:szCs w:val="24"/>
        </w:rPr>
        <w:t>190</w:t>
      </w:r>
      <w:r w:rsidR="00790072" w:rsidRPr="00FE2FDD">
        <w:rPr>
          <w:rFonts w:ascii="Times New Roman" w:hAnsi="Times New Roman" w:cs="Times New Roman"/>
          <w:sz w:val="24"/>
          <w:szCs w:val="24"/>
        </w:rPr>
        <w:t xml:space="preserve"> </w:t>
      </w:r>
      <w:r w:rsidRPr="00FE2FDD">
        <w:rPr>
          <w:rFonts w:ascii="Times New Roman" w:hAnsi="Times New Roman" w:cs="Times New Roman"/>
          <w:sz w:val="24"/>
          <w:szCs w:val="24"/>
        </w:rPr>
        <w:t>w</w:t>
      </w:r>
      <w:r w:rsidR="00CD22FA" w:rsidRPr="00FE2FDD">
        <w:rPr>
          <w:rFonts w:ascii="Times New Roman" w:hAnsi="Times New Roman" w:cs="Times New Roman"/>
          <w:sz w:val="24"/>
          <w:szCs w:val="24"/>
        </w:rPr>
        <w:t>as</w:t>
      </w:r>
      <w:r w:rsidRPr="00FE2FDD">
        <w:rPr>
          <w:rFonts w:ascii="Times New Roman" w:hAnsi="Times New Roman" w:cs="Times New Roman"/>
          <w:sz w:val="24"/>
          <w:szCs w:val="24"/>
        </w:rPr>
        <w:t xml:space="preserve"> </w:t>
      </w:r>
      <w:r w:rsidR="00F81BBB" w:rsidRPr="00FE2FDD">
        <w:rPr>
          <w:rFonts w:ascii="Times New Roman" w:hAnsi="Times New Roman" w:cs="Times New Roman"/>
          <w:sz w:val="24"/>
          <w:szCs w:val="24"/>
        </w:rPr>
        <w:t xml:space="preserve">assessed as </w:t>
      </w:r>
      <w:r w:rsidR="00CD22FA" w:rsidRPr="00FE2FDD">
        <w:rPr>
          <w:rFonts w:ascii="Times New Roman" w:hAnsi="Times New Roman" w:cs="Times New Roman"/>
          <w:sz w:val="24"/>
          <w:szCs w:val="24"/>
        </w:rPr>
        <w:t>likely to only have a minor</w:t>
      </w:r>
      <w:r w:rsidR="00790072" w:rsidRPr="00FE2FDD">
        <w:rPr>
          <w:rFonts w:ascii="Times New Roman" w:hAnsi="Times New Roman" w:cs="Times New Roman"/>
          <w:sz w:val="24"/>
          <w:szCs w:val="24"/>
        </w:rPr>
        <w:t xml:space="preserve"> regulatory impact. </w:t>
      </w:r>
    </w:p>
    <w:p w14:paraId="6DA70CA6" w14:textId="0AA867DF" w:rsidR="009121B9" w:rsidRPr="00FE2FDD" w:rsidRDefault="009121B9" w:rsidP="00807D80">
      <w:pPr>
        <w:pStyle w:val="Heading1Numbers"/>
        <w:rPr>
          <w:i/>
        </w:rPr>
      </w:pPr>
      <w:r w:rsidRPr="00FE2FDD">
        <w:t xml:space="preserve">Statement of compatibility prepared in accordance with Part 3 of the </w:t>
      </w:r>
      <w:r w:rsidRPr="00FE2FDD">
        <w:rPr>
          <w:i/>
        </w:rPr>
        <w:t>Human Rights (Parliamentary Scrutiny) Act 2011</w:t>
      </w:r>
    </w:p>
    <w:p w14:paraId="3C9D27AD" w14:textId="77777777" w:rsidR="009121B9" w:rsidRPr="00FE2FDD" w:rsidRDefault="009121B9" w:rsidP="009121B9">
      <w:pPr>
        <w:pStyle w:val="Heading"/>
        <w:spacing w:after="240"/>
        <w:rPr>
          <w:rFonts w:ascii="Times New Roman" w:hAnsi="Times New Roman"/>
          <w:b w:val="0"/>
          <w:sz w:val="24"/>
          <w:szCs w:val="24"/>
        </w:rPr>
      </w:pPr>
      <w:r w:rsidRPr="00FE2FDD">
        <w:rPr>
          <w:rFonts w:ascii="Times New Roman" w:hAnsi="Times New Roman"/>
          <w:b w:val="0"/>
          <w:sz w:val="24"/>
          <w:szCs w:val="24"/>
        </w:rPr>
        <w:t xml:space="preserve">A Statement of compatibility prepared in accordance with Part 3 of the </w:t>
      </w:r>
      <w:r w:rsidRPr="00FE2FDD">
        <w:rPr>
          <w:rFonts w:ascii="Times New Roman" w:hAnsi="Times New Roman"/>
          <w:b w:val="0"/>
          <w:i/>
          <w:sz w:val="24"/>
          <w:szCs w:val="24"/>
        </w:rPr>
        <w:t>Human Rights (Parliamentary Scrutiny) Act 2011</w:t>
      </w:r>
      <w:r w:rsidRPr="00FE2FDD">
        <w:rPr>
          <w:rFonts w:ascii="Times New Roman" w:hAnsi="Times New Roman"/>
          <w:b w:val="0"/>
          <w:sz w:val="24"/>
          <w:szCs w:val="24"/>
        </w:rPr>
        <w:t xml:space="preserve"> is provided at the Attachment to this Explanatory Statement.</w:t>
      </w:r>
    </w:p>
    <w:p w14:paraId="7407FCEC" w14:textId="77777777" w:rsidR="009121B9" w:rsidRPr="00212A8A" w:rsidRDefault="009121B9" w:rsidP="00C30BC5">
      <w:pPr>
        <w:rPr>
          <w:u w:val="single"/>
        </w:rPr>
      </w:pPr>
      <w:r w:rsidRPr="00E30C24">
        <w:rPr>
          <w:b/>
        </w:rPr>
        <w:br w:type="page"/>
      </w:r>
      <w:r w:rsidRPr="00212A8A">
        <w:rPr>
          <w:u w:val="single"/>
        </w:rPr>
        <w:lastRenderedPageBreak/>
        <w:t xml:space="preserve">ATTACHMENT </w:t>
      </w:r>
    </w:p>
    <w:p w14:paraId="717EEB35" w14:textId="77777777" w:rsidR="009121B9" w:rsidRPr="00807D80" w:rsidRDefault="009121B9" w:rsidP="00807D80">
      <w:pPr>
        <w:pStyle w:val="Heading1"/>
      </w:pPr>
      <w:r w:rsidRPr="00807D80">
        <w:t>Statement of Compatibility with Human Rights</w:t>
      </w:r>
    </w:p>
    <w:p w14:paraId="2D124BAA" w14:textId="77777777" w:rsidR="009121B9" w:rsidRPr="00E30C24" w:rsidRDefault="009121B9" w:rsidP="009121B9">
      <w:pPr>
        <w:shd w:val="clear" w:color="auto" w:fill="FFFFFF"/>
        <w:spacing w:before="100" w:beforeAutospacing="1"/>
        <w:rPr>
          <w:rFonts w:ascii="Times New Roman" w:hAnsi="Times New Roman"/>
          <w:sz w:val="24"/>
          <w:szCs w:val="24"/>
          <w:lang w:val="en-US"/>
        </w:rPr>
      </w:pPr>
      <w:r w:rsidRPr="00E30C24">
        <w:rPr>
          <w:rFonts w:ascii="Times New Roman" w:hAnsi="Times New Roman"/>
          <w:sz w:val="24"/>
          <w:szCs w:val="24"/>
        </w:rPr>
        <w:t xml:space="preserve">Prepared in accordance with Part 3 of the </w:t>
      </w:r>
      <w:r w:rsidRPr="00E30C24">
        <w:rPr>
          <w:rFonts w:ascii="Times New Roman" w:hAnsi="Times New Roman"/>
          <w:i/>
          <w:iCs/>
          <w:sz w:val="24"/>
          <w:szCs w:val="24"/>
        </w:rPr>
        <w:t>Human Rights (Parliamentary Scrutiny) Act 2011.</w:t>
      </w:r>
    </w:p>
    <w:p w14:paraId="31ED7287" w14:textId="25BD70FD" w:rsidR="009121B9" w:rsidRPr="00E30C24" w:rsidRDefault="009121B9" w:rsidP="00807D80">
      <w:pPr>
        <w:pStyle w:val="Heading1"/>
      </w:pPr>
      <w:r w:rsidRPr="00E30C24">
        <w:t xml:space="preserve">Banking, Insurance, Life Insurance, Health Insurance and Superannuation (prudential standard) determination </w:t>
      </w:r>
      <w:r w:rsidRPr="00C30BC5">
        <w:t xml:space="preserve">No. </w:t>
      </w:r>
      <w:r w:rsidR="00C56621" w:rsidRPr="007C6FEA">
        <w:t>1</w:t>
      </w:r>
      <w:r w:rsidR="00C56621" w:rsidRPr="00C30BC5">
        <w:t xml:space="preserve"> </w:t>
      </w:r>
      <w:r w:rsidRPr="00C30BC5">
        <w:t>of 202</w:t>
      </w:r>
      <w:r w:rsidR="00267444" w:rsidRPr="00C30BC5">
        <w:t>3</w:t>
      </w:r>
    </w:p>
    <w:p w14:paraId="7D4F809A" w14:textId="47477BF1" w:rsidR="009121B9" w:rsidRPr="00E30C24" w:rsidRDefault="009121B9" w:rsidP="009121B9">
      <w:pPr>
        <w:shd w:val="clear" w:color="auto" w:fill="FFFFFF"/>
        <w:spacing w:before="100" w:beforeAutospacing="1"/>
        <w:rPr>
          <w:rFonts w:ascii="Times New Roman" w:hAnsi="Times New Roman" w:cs="Times New Roman"/>
          <w:sz w:val="24"/>
          <w:szCs w:val="24"/>
          <w:lang w:val="en-US"/>
        </w:rPr>
      </w:pPr>
      <w:r w:rsidRPr="00E30C24">
        <w:rPr>
          <w:rFonts w:ascii="Times New Roman" w:hAnsi="Times New Roman" w:cs="Times New Roman"/>
          <w:sz w:val="24"/>
          <w:szCs w:val="24"/>
        </w:rPr>
        <w:t xml:space="preserve">The </w:t>
      </w:r>
      <w:r w:rsidR="00EE121D">
        <w:rPr>
          <w:rFonts w:ascii="Times New Roman" w:hAnsi="Times New Roman" w:cs="Times New Roman"/>
          <w:sz w:val="24"/>
          <w:szCs w:val="24"/>
        </w:rPr>
        <w:t>L</w:t>
      </w:r>
      <w:r w:rsidRPr="00E30C24">
        <w:rPr>
          <w:rFonts w:ascii="Times New Roman" w:hAnsi="Times New Roman" w:cs="Times New Roman"/>
          <w:sz w:val="24"/>
          <w:szCs w:val="24"/>
        </w:rPr>
        <w:t xml:space="preserve">egislative </w:t>
      </w:r>
      <w:r w:rsidR="00EE121D">
        <w:rPr>
          <w:rFonts w:ascii="Times New Roman" w:hAnsi="Times New Roman" w:cs="Times New Roman"/>
          <w:sz w:val="24"/>
          <w:szCs w:val="24"/>
        </w:rPr>
        <w:t>I</w:t>
      </w:r>
      <w:r w:rsidRPr="00E30C24">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E30C24">
        <w:rPr>
          <w:rFonts w:ascii="Times New Roman" w:hAnsi="Times New Roman" w:cs="Times New Roman"/>
          <w:i/>
          <w:iCs/>
          <w:sz w:val="24"/>
          <w:szCs w:val="24"/>
        </w:rPr>
        <w:t>Human Rights (Parliamentary Scrutiny) Act 2011</w:t>
      </w:r>
      <w:r w:rsidRPr="00E30C24">
        <w:rPr>
          <w:rFonts w:ascii="Times New Roman" w:hAnsi="Times New Roman" w:cs="Times New Roman"/>
          <w:sz w:val="24"/>
          <w:szCs w:val="24"/>
        </w:rPr>
        <w:t xml:space="preserve"> (HRPS Act).</w:t>
      </w:r>
    </w:p>
    <w:p w14:paraId="6E0592CC" w14:textId="77777777" w:rsidR="009121B9" w:rsidRPr="00E30C24" w:rsidRDefault="009121B9" w:rsidP="00807D80">
      <w:pPr>
        <w:pStyle w:val="Heading1"/>
        <w:rPr>
          <w:lang w:val="en-US"/>
        </w:rPr>
      </w:pPr>
      <w:r w:rsidRPr="00E30C24">
        <w:t>Overview of the Legislative Instrument</w:t>
      </w:r>
    </w:p>
    <w:p w14:paraId="66DD89E1" w14:textId="1A45CB7F"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 xml:space="preserve">The purpose of the instrument is to determine a new </w:t>
      </w:r>
      <w:r w:rsidRPr="00E30C24">
        <w:rPr>
          <w:rFonts w:ascii="Times New Roman" w:hAnsi="Times New Roman" w:cs="Times New Roman"/>
          <w:i/>
          <w:sz w:val="24"/>
          <w:szCs w:val="24"/>
        </w:rPr>
        <w:t xml:space="preserve">Prudential Standard </w:t>
      </w:r>
      <w:r w:rsidR="00E658EC" w:rsidRPr="00E30C24">
        <w:rPr>
          <w:rFonts w:ascii="Times New Roman" w:hAnsi="Times New Roman" w:cs="Times New Roman"/>
          <w:i/>
          <w:sz w:val="24"/>
          <w:szCs w:val="24"/>
        </w:rPr>
        <w:t xml:space="preserve">CPS 190 Recovery and Exit Planning </w:t>
      </w:r>
      <w:r w:rsidRPr="00E30C24">
        <w:rPr>
          <w:rFonts w:ascii="Times New Roman" w:hAnsi="Times New Roman" w:cs="Times New Roman"/>
          <w:sz w:val="24"/>
          <w:szCs w:val="24"/>
        </w:rPr>
        <w:t>(</w:t>
      </w:r>
      <w:r w:rsidR="00E658EC" w:rsidRPr="00E30C24">
        <w:rPr>
          <w:rFonts w:ascii="Times New Roman" w:hAnsi="Times New Roman" w:cs="Times New Roman"/>
          <w:sz w:val="24"/>
          <w:szCs w:val="24"/>
        </w:rPr>
        <w:t>CPS 190</w:t>
      </w:r>
      <w:r w:rsidRPr="00E30C24">
        <w:rPr>
          <w:rFonts w:ascii="Times New Roman" w:hAnsi="Times New Roman" w:cs="Times New Roman"/>
          <w:sz w:val="24"/>
          <w:szCs w:val="24"/>
        </w:rPr>
        <w:t>)</w:t>
      </w:r>
      <w:r w:rsidRPr="00E30C24">
        <w:rPr>
          <w:rFonts w:ascii="Times New Roman" w:hAnsi="Times New Roman" w:cs="Times New Roman"/>
          <w:i/>
          <w:sz w:val="24"/>
          <w:szCs w:val="24"/>
        </w:rPr>
        <w:t>.</w:t>
      </w:r>
    </w:p>
    <w:p w14:paraId="17B0390B" w14:textId="214DCDBB" w:rsidR="00110092" w:rsidRPr="00E30C24" w:rsidRDefault="00E658EC" w:rsidP="00D825E9">
      <w:pPr>
        <w:rPr>
          <w:rFonts w:ascii="Times New Roman" w:hAnsi="Times New Roman" w:cs="Times New Roman"/>
          <w:sz w:val="24"/>
          <w:szCs w:val="24"/>
        </w:rPr>
      </w:pPr>
      <w:r w:rsidRPr="00E30C24">
        <w:rPr>
          <w:rFonts w:ascii="Times New Roman" w:hAnsi="Times New Roman" w:cs="Times New Roman"/>
          <w:sz w:val="24"/>
          <w:szCs w:val="24"/>
        </w:rPr>
        <w:t>CPS 190</w:t>
      </w:r>
      <w:r w:rsidR="009121B9" w:rsidRPr="00E30C24">
        <w:rPr>
          <w:rFonts w:ascii="Times New Roman" w:hAnsi="Times New Roman" w:cs="Times New Roman"/>
          <w:sz w:val="24"/>
          <w:szCs w:val="24"/>
        </w:rPr>
        <w:t xml:space="preserve"> </w:t>
      </w:r>
      <w:r w:rsidR="00110092" w:rsidRPr="00E30C24">
        <w:rPr>
          <w:rFonts w:ascii="Times New Roman" w:hAnsi="Times New Roman" w:cs="Times New Roman"/>
          <w:sz w:val="24"/>
          <w:szCs w:val="24"/>
        </w:rPr>
        <w:t xml:space="preserve">requires APRA-regulated entities to </w:t>
      </w:r>
      <w:r w:rsidR="002C56C4">
        <w:rPr>
          <w:rFonts w:ascii="Times New Roman" w:hAnsi="Times New Roman" w:cs="Times New Roman"/>
          <w:sz w:val="24"/>
          <w:szCs w:val="24"/>
        </w:rPr>
        <w:t>develop and maintain</w:t>
      </w:r>
      <w:r w:rsidR="002C56C4" w:rsidRPr="00E30C24">
        <w:rPr>
          <w:rFonts w:ascii="Times New Roman" w:hAnsi="Times New Roman" w:cs="Times New Roman"/>
          <w:sz w:val="24"/>
          <w:szCs w:val="24"/>
        </w:rPr>
        <w:t xml:space="preserve"> </w:t>
      </w:r>
      <w:r w:rsidR="00110092" w:rsidRPr="00E30C24">
        <w:rPr>
          <w:rFonts w:ascii="Times New Roman" w:hAnsi="Times New Roman" w:cs="Times New Roman"/>
          <w:sz w:val="24"/>
          <w:szCs w:val="24"/>
        </w:rPr>
        <w:t>a recovery and exit plan, which would enable them to restore financial resilience in response to financial stress (recovery) or</w:t>
      </w:r>
      <w:r w:rsidR="002C56C4">
        <w:rPr>
          <w:rFonts w:ascii="Times New Roman" w:hAnsi="Times New Roman" w:cs="Times New Roman"/>
          <w:sz w:val="24"/>
          <w:szCs w:val="24"/>
        </w:rPr>
        <w:t>,</w:t>
      </w:r>
      <w:r w:rsidR="00110092" w:rsidRPr="00E30C24">
        <w:rPr>
          <w:rFonts w:ascii="Times New Roman" w:hAnsi="Times New Roman" w:cs="Times New Roman"/>
          <w:sz w:val="24"/>
          <w:szCs w:val="24"/>
        </w:rPr>
        <w:t xml:space="preserve"> where recovery is not possible, exit </w:t>
      </w:r>
      <w:r w:rsidR="002C56C4">
        <w:rPr>
          <w:rFonts w:ascii="Times New Roman" w:hAnsi="Times New Roman" w:cs="Times New Roman"/>
          <w:sz w:val="24"/>
          <w:szCs w:val="24"/>
        </w:rPr>
        <w:t>regulated activity in an orderly and solvent manner</w:t>
      </w:r>
      <w:r w:rsidR="00110092" w:rsidRPr="00E30C24">
        <w:rPr>
          <w:rFonts w:ascii="Times New Roman" w:hAnsi="Times New Roman" w:cs="Times New Roman"/>
          <w:sz w:val="24"/>
          <w:szCs w:val="24"/>
        </w:rPr>
        <w:t xml:space="preserve">. APRA-regulated entities must also maintain the capabilities </w:t>
      </w:r>
      <w:r w:rsidR="002C56C4">
        <w:rPr>
          <w:rFonts w:ascii="Times New Roman" w:hAnsi="Times New Roman" w:cs="Times New Roman"/>
          <w:sz w:val="24"/>
          <w:szCs w:val="24"/>
        </w:rPr>
        <w:t>and financial resources necessary to</w:t>
      </w:r>
      <w:r w:rsidR="00110092" w:rsidRPr="00E30C24">
        <w:rPr>
          <w:rFonts w:ascii="Times New Roman" w:hAnsi="Times New Roman" w:cs="Times New Roman"/>
          <w:sz w:val="24"/>
          <w:szCs w:val="24"/>
        </w:rPr>
        <w:t xml:space="preserve"> execute their recovery and exit plan</w:t>
      </w:r>
      <w:r w:rsidR="002C56C4">
        <w:rPr>
          <w:rFonts w:ascii="Times New Roman" w:hAnsi="Times New Roman" w:cs="Times New Roman"/>
          <w:sz w:val="24"/>
          <w:szCs w:val="24"/>
        </w:rPr>
        <w:t>,</w:t>
      </w:r>
      <w:r w:rsidR="00110092" w:rsidRPr="00E30C24">
        <w:rPr>
          <w:rFonts w:ascii="Times New Roman" w:hAnsi="Times New Roman" w:cs="Times New Roman"/>
          <w:sz w:val="24"/>
          <w:szCs w:val="24"/>
        </w:rPr>
        <w:t xml:space="preserve"> when and if required, and regularly review, </w:t>
      </w:r>
      <w:proofErr w:type="gramStart"/>
      <w:r w:rsidR="00110092" w:rsidRPr="00E30C24">
        <w:rPr>
          <w:rFonts w:ascii="Times New Roman" w:hAnsi="Times New Roman" w:cs="Times New Roman"/>
          <w:sz w:val="24"/>
          <w:szCs w:val="24"/>
        </w:rPr>
        <w:t>update</w:t>
      </w:r>
      <w:proofErr w:type="gramEnd"/>
      <w:r w:rsidR="00110092" w:rsidRPr="00E30C24">
        <w:rPr>
          <w:rFonts w:ascii="Times New Roman" w:hAnsi="Times New Roman" w:cs="Times New Roman"/>
          <w:sz w:val="24"/>
          <w:szCs w:val="24"/>
        </w:rPr>
        <w:t xml:space="preserve"> and test their plans.</w:t>
      </w:r>
    </w:p>
    <w:p w14:paraId="2CC452DC" w14:textId="77777777" w:rsidR="009121B9" w:rsidRPr="00E30C24" w:rsidRDefault="009121B9" w:rsidP="00807D80">
      <w:pPr>
        <w:pStyle w:val="Heading1"/>
        <w:rPr>
          <w:lang w:val="en-US"/>
        </w:rPr>
      </w:pPr>
      <w:r w:rsidRPr="00E30C24">
        <w:t>Human rights implications</w:t>
      </w:r>
    </w:p>
    <w:p w14:paraId="02AB953F" w14:textId="77777777"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B8944C4" w14:textId="77777777" w:rsidR="009121B9" w:rsidRPr="00E30C24" w:rsidRDefault="009121B9" w:rsidP="00807D80">
      <w:pPr>
        <w:pStyle w:val="Heading1"/>
        <w:rPr>
          <w:lang w:val="en-US"/>
        </w:rPr>
      </w:pPr>
      <w:r w:rsidRPr="00E30C24">
        <w:t>Conclusion</w:t>
      </w:r>
    </w:p>
    <w:p w14:paraId="2C1FD37F" w14:textId="77777777" w:rsidR="009121B9" w:rsidRPr="00E30C24" w:rsidRDefault="009121B9" w:rsidP="009121B9">
      <w:pPr>
        <w:spacing w:after="120" w:line="288" w:lineRule="auto"/>
        <w:rPr>
          <w:rFonts w:ascii="Times New Roman" w:eastAsia="Times New Roman" w:hAnsi="Times New Roman" w:cs="Times New Roman"/>
          <w:sz w:val="24"/>
          <w:szCs w:val="24"/>
        </w:rPr>
      </w:pPr>
      <w:r w:rsidRPr="00E30C24">
        <w:rPr>
          <w:rFonts w:ascii="Times New Roman" w:hAnsi="Times New Roman" w:cs="Times New Roman"/>
          <w:sz w:val="24"/>
          <w:szCs w:val="24"/>
        </w:rPr>
        <w:t>The instrument is compatible with human rights as it does not raise any human rights issues.</w:t>
      </w:r>
    </w:p>
    <w:p w14:paraId="702DD52E" w14:textId="77777777" w:rsidR="00A533A9" w:rsidRPr="00E30C24" w:rsidRDefault="00A533A9" w:rsidP="00A34ADD"/>
    <w:sectPr w:rsidR="00A533A9" w:rsidRPr="00E30C24" w:rsidSect="00D825E9">
      <w:headerReference w:type="default" r:id="rId12"/>
      <w:footerReference w:type="default" r:id="rId13"/>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A669" w14:textId="77777777" w:rsidR="00526F0E" w:rsidRPr="000D4EDE" w:rsidRDefault="00526F0E" w:rsidP="000D4EDE">
      <w:r>
        <w:separator/>
      </w:r>
    </w:p>
  </w:endnote>
  <w:endnote w:type="continuationSeparator" w:id="0">
    <w:p w14:paraId="4E9F9007" w14:textId="77777777" w:rsidR="00526F0E" w:rsidRPr="000D4EDE" w:rsidRDefault="00526F0E" w:rsidP="000D4EDE">
      <w:r>
        <w:continuationSeparator/>
      </w:r>
    </w:p>
  </w:endnote>
  <w:endnote w:type="continuationNotice" w:id="1">
    <w:p w14:paraId="78880589" w14:textId="77777777" w:rsidR="00526F0E" w:rsidRDefault="00526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969505"/>
      <w:docPartObj>
        <w:docPartGallery w:val="Page Numbers (Bottom of Page)"/>
        <w:docPartUnique/>
      </w:docPartObj>
    </w:sdtPr>
    <w:sdtEndPr>
      <w:rPr>
        <w:rFonts w:ascii="Times New Roman" w:hAnsi="Times New Roman" w:cs="Times New Roman"/>
        <w:noProof/>
        <w:sz w:val="24"/>
        <w:szCs w:val="24"/>
      </w:rPr>
    </w:sdtEndPr>
    <w:sdtContent>
      <w:p w14:paraId="2598C9AE" w14:textId="77777777" w:rsidR="00D825E9" w:rsidRPr="00777743" w:rsidRDefault="009F4556">
        <w:pPr>
          <w:pStyle w:val="Footer"/>
          <w:jc w:val="center"/>
          <w:rPr>
            <w:rFonts w:ascii="Times New Roman" w:hAnsi="Times New Roman" w:cs="Times New Roman"/>
            <w:sz w:val="24"/>
            <w:szCs w:val="24"/>
          </w:rPr>
        </w:pPr>
        <w:r w:rsidRPr="00777743">
          <w:rPr>
            <w:rFonts w:ascii="Times New Roman" w:hAnsi="Times New Roman" w:cs="Times New Roman"/>
            <w:sz w:val="24"/>
            <w:szCs w:val="24"/>
          </w:rPr>
          <w:fldChar w:fldCharType="begin"/>
        </w:r>
        <w:r w:rsidRPr="00777743">
          <w:rPr>
            <w:rFonts w:ascii="Times New Roman" w:hAnsi="Times New Roman" w:cs="Times New Roman"/>
            <w:sz w:val="24"/>
            <w:szCs w:val="24"/>
          </w:rPr>
          <w:instrText xml:space="preserve"> PAGE   \* MERGEFORMAT </w:instrText>
        </w:r>
        <w:r w:rsidRPr="00777743">
          <w:rPr>
            <w:rFonts w:ascii="Times New Roman" w:hAnsi="Times New Roman" w:cs="Times New Roman"/>
            <w:sz w:val="24"/>
            <w:szCs w:val="24"/>
          </w:rPr>
          <w:fldChar w:fldCharType="separate"/>
        </w:r>
        <w:r w:rsidRPr="00777743">
          <w:rPr>
            <w:rFonts w:ascii="Times New Roman" w:hAnsi="Times New Roman" w:cs="Times New Roman"/>
            <w:noProof/>
            <w:sz w:val="24"/>
            <w:szCs w:val="24"/>
          </w:rPr>
          <w:t>2</w:t>
        </w:r>
        <w:r w:rsidRPr="00777743">
          <w:rPr>
            <w:rFonts w:ascii="Times New Roman" w:hAnsi="Times New Roman" w:cs="Times New Roman"/>
            <w:noProof/>
            <w:sz w:val="24"/>
            <w:szCs w:val="24"/>
          </w:rPr>
          <w:fldChar w:fldCharType="end"/>
        </w:r>
      </w:p>
    </w:sdtContent>
  </w:sdt>
  <w:p w14:paraId="717DE8E8" w14:textId="77777777" w:rsidR="00D825E9" w:rsidRDefault="00D8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34B" w14:textId="77777777" w:rsidR="00D825E9" w:rsidRPr="00777743" w:rsidRDefault="009F4556">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p w14:paraId="3DD0B488" w14:textId="77777777" w:rsidR="00D825E9" w:rsidRDefault="00D8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41BB" w14:textId="77777777" w:rsidR="00526F0E" w:rsidRPr="000D4EDE" w:rsidRDefault="00526F0E" w:rsidP="000D4EDE">
      <w:r>
        <w:separator/>
      </w:r>
    </w:p>
  </w:footnote>
  <w:footnote w:type="continuationSeparator" w:id="0">
    <w:p w14:paraId="0E721792" w14:textId="77777777" w:rsidR="00526F0E" w:rsidRPr="000D4EDE" w:rsidRDefault="00526F0E" w:rsidP="000D4EDE">
      <w:r>
        <w:continuationSeparator/>
      </w:r>
    </w:p>
  </w:footnote>
  <w:footnote w:type="continuationNotice" w:id="1">
    <w:p w14:paraId="579B8591" w14:textId="77777777" w:rsidR="00526F0E" w:rsidRDefault="00526F0E">
      <w:pPr>
        <w:spacing w:after="0"/>
      </w:pPr>
    </w:p>
  </w:footnote>
  <w:footnote w:id="2">
    <w:p w14:paraId="56831FAA" w14:textId="6C2EE6E0" w:rsidR="00EC68CB" w:rsidRPr="00950C96" w:rsidRDefault="00EC68CB" w:rsidP="00EC68CB">
      <w:pPr>
        <w:pStyle w:val="FootnoteText"/>
        <w:rPr>
          <w:rFonts w:ascii="Times New Roman" w:hAnsi="Times New Roman" w:cs="Times New Roman"/>
        </w:rPr>
      </w:pPr>
      <w:r w:rsidRPr="00950C96">
        <w:rPr>
          <w:rStyle w:val="FootnoteReference"/>
          <w:rFonts w:ascii="Times New Roman" w:hAnsi="Times New Roman" w:cs="Times New Roman"/>
        </w:rPr>
        <w:footnoteRef/>
      </w:r>
      <w:r w:rsidRPr="00950C96">
        <w:rPr>
          <w:rFonts w:ascii="Times New Roman" w:hAnsi="Times New Roman" w:cs="Times New Roman"/>
        </w:rPr>
        <w:t xml:space="preserve"> </w:t>
      </w:r>
      <w:r w:rsidR="006144F9" w:rsidRPr="00950C96">
        <w:rPr>
          <w:rFonts w:ascii="Times New Roman" w:hAnsi="Times New Roman" w:cs="Times New Roman"/>
        </w:rPr>
        <w:tab/>
      </w:r>
      <w:r w:rsidRPr="00950C96">
        <w:rPr>
          <w:rFonts w:ascii="Times New Roman" w:hAnsi="Times New Roman" w:cs="Times New Roman"/>
        </w:rPr>
        <w:t xml:space="preserve">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w:t>
      </w:r>
      <w:proofErr w:type="spellStart"/>
      <w:r w:rsidRPr="00950C96">
        <w:rPr>
          <w:rFonts w:ascii="Times New Roman" w:hAnsi="Times New Roman" w:cs="Times New Roman"/>
        </w:rPr>
        <w:t>MySuper</w:t>
      </w:r>
      <w:proofErr w:type="spellEnd"/>
      <w:r w:rsidRPr="00950C96">
        <w:rPr>
          <w:rFonts w:ascii="Times New Roman" w:hAnsi="Times New Roman" w:cs="Times New Roman"/>
        </w:rPr>
        <w:t xml:space="preserve"> and choice products). CPS 190 is not a standard in relation to any of these topics.</w:t>
      </w:r>
    </w:p>
  </w:footnote>
  <w:footnote w:id="3">
    <w:p w14:paraId="7F62A9B3" w14:textId="38F00CFC" w:rsidR="00EC68CB" w:rsidRDefault="00EC68CB" w:rsidP="00EC68CB">
      <w:pPr>
        <w:pStyle w:val="FootnoteText"/>
        <w:rPr>
          <w:rFonts w:ascii="Trebuchet MS" w:hAnsi="Trebuchet MS"/>
        </w:rPr>
      </w:pPr>
      <w:r w:rsidRPr="00950C96">
        <w:rPr>
          <w:rStyle w:val="FootnoteReference"/>
          <w:rFonts w:ascii="Times New Roman" w:hAnsi="Times New Roman" w:cs="Times New Roman"/>
        </w:rPr>
        <w:footnoteRef/>
      </w:r>
      <w:r w:rsidRPr="00950C96">
        <w:rPr>
          <w:rFonts w:ascii="Times New Roman" w:hAnsi="Times New Roman" w:cs="Times New Roman"/>
        </w:rPr>
        <w:t xml:space="preserve"> </w:t>
      </w:r>
      <w:r w:rsidR="006144F9" w:rsidRPr="00950C96">
        <w:rPr>
          <w:rFonts w:ascii="Times New Roman" w:hAnsi="Times New Roman" w:cs="Times New Roman"/>
        </w:rPr>
        <w:tab/>
      </w:r>
      <w:r w:rsidRPr="00950C96">
        <w:rPr>
          <w:rFonts w:ascii="Times New Roman" w:hAnsi="Times New Roman" w:cs="Times New Roman"/>
        </w:rPr>
        <w:t>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w:t>
      </w:r>
      <w:r w:rsidRPr="000B49D8">
        <w:rPr>
          <w:rFonts w:ascii="Times New Roman" w:hAnsi="Times New Roman"/>
        </w:rPr>
        <w:t xml:space="preserve"> </w:t>
      </w:r>
    </w:p>
  </w:footnote>
  <w:footnote w:id="4">
    <w:p w14:paraId="0FBB2A7E" w14:textId="0FFA5EBB" w:rsidR="00551999" w:rsidRPr="006144F9" w:rsidRDefault="00551999">
      <w:pPr>
        <w:pStyle w:val="FootnoteText"/>
        <w:rPr>
          <w:rFonts w:ascii="Times New Roman" w:hAnsi="Times New Roman" w:cs="Times New Roman"/>
          <w:color w:val="auto"/>
        </w:rPr>
      </w:pPr>
      <w:r w:rsidRPr="006144F9">
        <w:rPr>
          <w:rStyle w:val="FootnoteReference"/>
          <w:rFonts w:ascii="Times New Roman" w:hAnsi="Times New Roman" w:cs="Times New Roman"/>
        </w:rPr>
        <w:footnoteRef/>
      </w:r>
      <w:r w:rsidRPr="006144F9">
        <w:rPr>
          <w:rFonts w:ascii="Times New Roman" w:hAnsi="Times New Roman" w:cs="Times New Roman"/>
        </w:rPr>
        <w:t xml:space="preserve"> </w:t>
      </w:r>
      <w:r w:rsidRPr="006144F9">
        <w:rPr>
          <w:rFonts w:ascii="Times New Roman" w:hAnsi="Times New Roman" w:cs="Times New Roman"/>
        </w:rPr>
        <w:tab/>
        <w:t xml:space="preserve">See </w:t>
      </w:r>
      <w:r w:rsidR="00AF57B8" w:rsidRPr="006144F9">
        <w:rPr>
          <w:rFonts w:ascii="Times New Roman" w:hAnsi="Times New Roman" w:cs="Times New Roman"/>
        </w:rPr>
        <w:t>APRA Media Release</w:t>
      </w:r>
      <w:r w:rsidR="0048147B" w:rsidRPr="006144F9">
        <w:rPr>
          <w:rFonts w:ascii="Times New Roman" w:hAnsi="Times New Roman" w:cs="Times New Roman"/>
        </w:rPr>
        <w:t xml:space="preserve"> </w:t>
      </w:r>
      <w:r w:rsidR="002054C6" w:rsidRPr="006144F9">
        <w:rPr>
          <w:rFonts w:ascii="Times New Roman" w:hAnsi="Times New Roman" w:cs="Times New Roman"/>
        </w:rPr>
        <w:t>–</w:t>
      </w:r>
      <w:r w:rsidR="00AF57B8" w:rsidRPr="006144F9">
        <w:rPr>
          <w:rFonts w:ascii="Times New Roman" w:hAnsi="Times New Roman" w:cs="Times New Roman"/>
        </w:rPr>
        <w:t xml:space="preserve"> </w:t>
      </w:r>
      <w:hyperlink r:id="rId1" w:history="1">
        <w:r w:rsidRPr="006144F9">
          <w:rPr>
            <w:rStyle w:val="Hyperlink"/>
            <w:rFonts w:ascii="Times New Roman" w:hAnsi="Times New Roman" w:cs="Times New Roman"/>
          </w:rPr>
          <w:t>APRA moves to strengthen crisis preparedness in banking, insurance and superannuation | APRA</w:t>
        </w:r>
      </w:hyperlink>
      <w:r w:rsidR="00D0134C" w:rsidRPr="006144F9">
        <w:rPr>
          <w:rStyle w:val="Hyperlink"/>
          <w:rFonts w:ascii="Times New Roman" w:hAnsi="Times New Roman" w:cs="Times New Roman"/>
          <w:color w:val="auto"/>
          <w:u w:val="none"/>
        </w:rPr>
        <w:t xml:space="preserve">, </w:t>
      </w:r>
      <w:r w:rsidR="00D42E46" w:rsidRPr="006144F9">
        <w:rPr>
          <w:rStyle w:val="Hyperlink"/>
          <w:rFonts w:ascii="Times New Roman" w:hAnsi="Times New Roman" w:cs="Times New Roman"/>
          <w:color w:val="auto"/>
          <w:u w:val="none"/>
        </w:rPr>
        <w:t xml:space="preserve">dated </w:t>
      </w:r>
      <w:r w:rsidR="00AF57B8" w:rsidRPr="006144F9">
        <w:rPr>
          <w:rStyle w:val="Hyperlink"/>
          <w:rFonts w:ascii="Times New Roman" w:hAnsi="Times New Roman" w:cs="Times New Roman"/>
          <w:color w:val="auto"/>
          <w:u w:val="none"/>
        </w:rPr>
        <w:t xml:space="preserve">2 </w:t>
      </w:r>
      <w:r w:rsidR="00D0134C" w:rsidRPr="006144F9">
        <w:rPr>
          <w:rStyle w:val="Hyperlink"/>
          <w:rFonts w:ascii="Times New Roman" w:hAnsi="Times New Roman" w:cs="Times New Roman"/>
          <w:color w:val="auto"/>
          <w:u w:val="none"/>
        </w:rPr>
        <w:t>December 2021</w:t>
      </w:r>
      <w:r w:rsidR="00AD5E3C" w:rsidRPr="006144F9">
        <w:rPr>
          <w:rStyle w:val="Hyperlink"/>
          <w:rFonts w:ascii="Times New Roman" w:hAnsi="Times New Roman" w:cs="Times New Roman"/>
          <w:color w:val="auto"/>
          <w:u w:val="none"/>
        </w:rPr>
        <w:t>.</w:t>
      </w:r>
    </w:p>
  </w:footnote>
  <w:footnote w:id="5">
    <w:p w14:paraId="4C95DD88" w14:textId="3B800296" w:rsidR="009121B9" w:rsidRPr="006144F9" w:rsidRDefault="009121B9" w:rsidP="006144F9">
      <w:pPr>
        <w:spacing w:after="120"/>
        <w:ind w:left="170" w:hanging="170"/>
        <w:rPr>
          <w:rFonts w:ascii="Times New Roman" w:hAnsi="Times New Roman" w:cs="Times New Roman"/>
          <w:sz w:val="18"/>
          <w:szCs w:val="18"/>
        </w:rPr>
      </w:pPr>
      <w:r w:rsidRPr="006144F9">
        <w:rPr>
          <w:rStyle w:val="FootnoteReference"/>
          <w:rFonts w:ascii="Times New Roman" w:hAnsi="Times New Roman" w:cs="Times New Roman"/>
          <w:szCs w:val="18"/>
        </w:rPr>
        <w:footnoteRef/>
      </w:r>
      <w:r w:rsidR="00260891" w:rsidRPr="006144F9">
        <w:rPr>
          <w:rFonts w:ascii="Times New Roman" w:hAnsi="Times New Roman" w:cs="Times New Roman"/>
          <w:sz w:val="18"/>
        </w:rPr>
        <w:t xml:space="preserve">  </w:t>
      </w:r>
      <w:r w:rsidR="0047665C" w:rsidRPr="006144F9">
        <w:rPr>
          <w:rFonts w:ascii="Times New Roman" w:hAnsi="Times New Roman" w:cs="Times New Roman"/>
          <w:sz w:val="18"/>
          <w:szCs w:val="18"/>
        </w:rPr>
        <w:t xml:space="preserve">See </w:t>
      </w:r>
      <w:r w:rsidR="00AF57B8" w:rsidRPr="006144F9">
        <w:rPr>
          <w:rFonts w:ascii="Times New Roman" w:hAnsi="Times New Roman" w:cs="Times New Roman"/>
          <w:sz w:val="18"/>
          <w:szCs w:val="18"/>
        </w:rPr>
        <w:t>APRA Letter</w:t>
      </w:r>
      <w:r w:rsidR="004C615A" w:rsidRPr="006144F9">
        <w:rPr>
          <w:rFonts w:ascii="Times New Roman" w:hAnsi="Times New Roman" w:cs="Times New Roman"/>
          <w:sz w:val="18"/>
          <w:szCs w:val="18"/>
        </w:rPr>
        <w:t xml:space="preserve"> </w:t>
      </w:r>
      <w:r w:rsidR="002054C6" w:rsidRPr="006144F9">
        <w:rPr>
          <w:rFonts w:ascii="Times New Roman" w:hAnsi="Times New Roman" w:cs="Times New Roman"/>
          <w:sz w:val="18"/>
          <w:szCs w:val="18"/>
        </w:rPr>
        <w:t>–</w:t>
      </w:r>
      <w:r w:rsidR="00AF57B8" w:rsidRPr="006144F9">
        <w:rPr>
          <w:rFonts w:ascii="Times New Roman" w:hAnsi="Times New Roman" w:cs="Times New Roman"/>
          <w:sz w:val="18"/>
          <w:szCs w:val="18"/>
        </w:rPr>
        <w:t xml:space="preserve"> </w:t>
      </w:r>
      <w:r w:rsidR="0047665C" w:rsidRPr="006144F9">
        <w:rPr>
          <w:rFonts w:ascii="Times New Roman" w:hAnsi="Times New Roman" w:cs="Times New Roman"/>
          <w:i/>
          <w:sz w:val="18"/>
          <w:szCs w:val="18"/>
        </w:rPr>
        <w:t>Letter to all APRA-regulated entities: Recovery and exit planning</w:t>
      </w:r>
      <w:r w:rsidR="0048147B" w:rsidRPr="006144F9">
        <w:rPr>
          <w:rFonts w:ascii="Times New Roman" w:hAnsi="Times New Roman" w:cs="Times New Roman"/>
          <w:sz w:val="18"/>
          <w:szCs w:val="18"/>
        </w:rPr>
        <w:t xml:space="preserve"> – on APRA</w:t>
      </w:r>
      <w:r w:rsidR="006D2AC2" w:rsidRPr="006144F9">
        <w:rPr>
          <w:rFonts w:ascii="Times New Roman" w:hAnsi="Times New Roman" w:cs="Times New Roman"/>
          <w:sz w:val="18"/>
          <w:szCs w:val="18"/>
        </w:rPr>
        <w:t>’</w:t>
      </w:r>
      <w:r w:rsidR="0048147B" w:rsidRPr="006144F9">
        <w:rPr>
          <w:rFonts w:ascii="Times New Roman" w:hAnsi="Times New Roman" w:cs="Times New Roman"/>
          <w:sz w:val="18"/>
          <w:szCs w:val="18"/>
        </w:rPr>
        <w:t>s website at</w:t>
      </w:r>
      <w:r w:rsidR="0047665C" w:rsidRPr="006144F9">
        <w:rPr>
          <w:rFonts w:ascii="Times New Roman" w:hAnsi="Times New Roman" w:cs="Times New Roman"/>
          <w:sz w:val="18"/>
          <w:szCs w:val="18"/>
        </w:rPr>
        <w:t xml:space="preserve"> </w:t>
      </w:r>
      <w:hyperlink r:id="rId2" w:history="1">
        <w:r w:rsidR="0047665C" w:rsidRPr="006144F9">
          <w:rPr>
            <w:rStyle w:val="Hyperlink"/>
            <w:rFonts w:ascii="Times New Roman" w:hAnsi="Times New Roman" w:cs="Times New Roman"/>
            <w:sz w:val="18"/>
            <w:szCs w:val="18"/>
          </w:rPr>
          <w:t>Recovery and exit planning | APRA</w:t>
        </w:r>
      </w:hyperlink>
      <w:r w:rsidR="00AD5E3C" w:rsidRPr="006144F9">
        <w:rPr>
          <w:rStyle w:val="Hyperlink"/>
          <w:rFonts w:ascii="Times New Roman" w:hAnsi="Times New Roman" w:cs="Times New Roman"/>
          <w:color w:val="auto"/>
          <w:sz w:val="18"/>
          <w:szCs w:val="18"/>
          <w:u w:val="none"/>
        </w:rPr>
        <w:t xml:space="preserve">, </w:t>
      </w:r>
      <w:r w:rsidR="00D42E46" w:rsidRPr="006144F9">
        <w:rPr>
          <w:rStyle w:val="Hyperlink"/>
          <w:rFonts w:ascii="Times New Roman" w:hAnsi="Times New Roman" w:cs="Times New Roman"/>
          <w:color w:val="auto"/>
          <w:sz w:val="18"/>
          <w:szCs w:val="18"/>
          <w:u w:val="none"/>
        </w:rPr>
        <w:t xml:space="preserve">dated </w:t>
      </w:r>
      <w:r w:rsidR="00AD5E3C" w:rsidRPr="006144F9">
        <w:rPr>
          <w:rStyle w:val="Hyperlink"/>
          <w:rFonts w:ascii="Times New Roman" w:hAnsi="Times New Roman" w:cs="Times New Roman"/>
          <w:color w:val="auto"/>
          <w:sz w:val="18"/>
          <w:szCs w:val="18"/>
          <w:u w:val="none"/>
        </w:rPr>
        <w:t>1 December 2022</w:t>
      </w:r>
      <w:r w:rsidR="00AF57B8" w:rsidRPr="006144F9">
        <w:rPr>
          <w:rStyle w:val="Hyperlink"/>
          <w:rFonts w:ascii="Times New Roman" w:hAnsi="Times New Roman" w:cs="Times New Roman"/>
          <w:color w:val="auto"/>
          <w:sz w:val="18"/>
          <w:szCs w:val="18"/>
          <w:u w:val="none"/>
        </w:rPr>
        <w:t>.</w:t>
      </w:r>
    </w:p>
  </w:footnote>
  <w:footnote w:id="6">
    <w:p w14:paraId="3C865D20" w14:textId="352A86BE" w:rsidR="00CF24EF" w:rsidRPr="00050BEF" w:rsidRDefault="00CF24EF" w:rsidP="006144F9">
      <w:pPr>
        <w:pStyle w:val="FootnoteText"/>
        <w:rPr>
          <w:rFonts w:ascii="Times New Roman" w:hAnsi="Times New Roman" w:cs="Times New Roman"/>
        </w:rPr>
      </w:pPr>
      <w:r w:rsidRPr="006144F9">
        <w:rPr>
          <w:rStyle w:val="FootnoteReference"/>
          <w:rFonts w:ascii="Times New Roman" w:hAnsi="Times New Roman" w:cs="Times New Roman"/>
        </w:rPr>
        <w:footnoteRef/>
      </w:r>
      <w:r w:rsidR="006144F9" w:rsidRPr="006144F9">
        <w:rPr>
          <w:rFonts w:ascii="Times New Roman" w:hAnsi="Times New Roman" w:cs="Times New Roman"/>
        </w:rPr>
        <w:t xml:space="preserve"> </w:t>
      </w:r>
      <w:r w:rsidR="006144F9" w:rsidRPr="006144F9">
        <w:rPr>
          <w:rFonts w:ascii="Times New Roman" w:hAnsi="Times New Roman" w:cs="Times New Roman"/>
        </w:rPr>
        <w:tab/>
      </w:r>
      <w:r w:rsidR="00ED5E4D" w:rsidRPr="006144F9">
        <w:rPr>
          <w:rFonts w:ascii="Times New Roman" w:hAnsi="Times New Roman" w:cs="Times New Roman"/>
        </w:rPr>
        <w:t>See f</w:t>
      </w:r>
      <w:r w:rsidRPr="006144F9">
        <w:rPr>
          <w:rFonts w:ascii="Times New Roman" w:hAnsi="Times New Roman" w:cs="Times New Roman"/>
        </w:rPr>
        <w:t xml:space="preserve">inal </w:t>
      </w:r>
      <w:r w:rsidRPr="006144F9">
        <w:rPr>
          <w:rFonts w:ascii="Times New Roman" w:hAnsi="Times New Roman" w:cs="Times New Roman"/>
          <w:i/>
        </w:rPr>
        <w:t xml:space="preserve">Prudential Practice Guide CPG </w:t>
      </w:r>
      <w:r w:rsidR="00073503" w:rsidRPr="006144F9">
        <w:rPr>
          <w:rFonts w:ascii="Times New Roman" w:hAnsi="Times New Roman" w:cs="Times New Roman"/>
          <w:i/>
        </w:rPr>
        <w:t>190</w:t>
      </w:r>
      <w:r w:rsidRPr="006144F9">
        <w:rPr>
          <w:rFonts w:ascii="Times New Roman" w:hAnsi="Times New Roman" w:cs="Times New Roman"/>
          <w:i/>
        </w:rPr>
        <w:t xml:space="preserve"> </w:t>
      </w:r>
      <w:r w:rsidR="00073503" w:rsidRPr="006144F9">
        <w:rPr>
          <w:rFonts w:ascii="Times New Roman" w:hAnsi="Times New Roman" w:cs="Times New Roman"/>
          <w:i/>
        </w:rPr>
        <w:t>Recovery and Exit Planning</w:t>
      </w:r>
      <w:r w:rsidRPr="006144F9">
        <w:rPr>
          <w:rFonts w:ascii="Times New Roman" w:hAnsi="Times New Roman" w:cs="Times New Roman"/>
        </w:rPr>
        <w:t xml:space="preserve"> on APRA’s website at </w:t>
      </w:r>
      <w:hyperlink r:id="rId3" w:history="1">
        <w:r w:rsidRPr="006144F9">
          <w:rPr>
            <w:rStyle w:val="Hyperlink"/>
            <w:rFonts w:ascii="Times New Roman" w:hAnsi="Times New Roman" w:cs="Times New Roman"/>
          </w:rPr>
          <w:t>Strengthening crisis preparedness | APRA</w:t>
        </w:r>
      </w:hyperlink>
      <w:r w:rsidRPr="006144F9">
        <w:rPr>
          <w:rFonts w:ascii="Times New Roman" w:hAnsi="Times New Roman" w:cs="Times New Roman"/>
        </w:rPr>
        <w:t>, dated 18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E19C" w14:textId="77777777" w:rsidR="00D825E9" w:rsidRPr="00665727" w:rsidRDefault="00D825E9" w:rsidP="00D825E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B6C" w14:textId="77777777" w:rsidR="00D825E9" w:rsidRDefault="00D825E9" w:rsidP="00D825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901F6C"/>
    <w:lvl w:ilvl="0">
      <w:start w:val="1"/>
      <w:numFmt w:val="lowerRoman"/>
      <w:lvlText w:val="%1."/>
      <w:lvlJc w:val="right"/>
      <w:pPr>
        <w:ind w:left="1209"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1B75191"/>
    <w:multiLevelType w:val="multilevel"/>
    <w:tmpl w:val="EA7C24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11FA5344"/>
    <w:multiLevelType w:val="hybridMultilevel"/>
    <w:tmpl w:val="5FD4C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7E3650"/>
    <w:multiLevelType w:val="hybridMultilevel"/>
    <w:tmpl w:val="B0B4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9274A"/>
    <w:multiLevelType w:val="hybridMultilevel"/>
    <w:tmpl w:val="2ED036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5C4674"/>
    <w:multiLevelType w:val="hybridMultilevel"/>
    <w:tmpl w:val="2ED036EE"/>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D263FE"/>
    <w:multiLevelType w:val="hybridMultilevel"/>
    <w:tmpl w:val="B6EE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7" w15:restartNumberingAfterBreak="0">
    <w:nsid w:val="32B33625"/>
    <w:multiLevelType w:val="hybridMultilevel"/>
    <w:tmpl w:val="2F02E5E2"/>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8" w15:restartNumberingAfterBreak="0">
    <w:nsid w:val="35D20AA3"/>
    <w:multiLevelType w:val="hybridMultilevel"/>
    <w:tmpl w:val="6CA43E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371901E2"/>
    <w:multiLevelType w:val="multilevel"/>
    <w:tmpl w:val="BA0AB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14660F1"/>
    <w:multiLevelType w:val="multilevel"/>
    <w:tmpl w:val="79DA0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8B19F2"/>
    <w:multiLevelType w:val="hybridMultilevel"/>
    <w:tmpl w:val="E13AE856"/>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6250AA9"/>
    <w:multiLevelType w:val="hybridMultilevel"/>
    <w:tmpl w:val="71309EAA"/>
    <w:lvl w:ilvl="0" w:tplc="73167EB4">
      <w:start w:val="1"/>
      <w:numFmt w:val="decimal"/>
      <w:pStyle w:val="Heading1Numbers"/>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17A3F"/>
    <w:multiLevelType w:val="multilevel"/>
    <w:tmpl w:val="B5DC5108"/>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41D3B89"/>
    <w:multiLevelType w:val="hybridMultilevel"/>
    <w:tmpl w:val="8ED62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844F9B"/>
    <w:multiLevelType w:val="hybridMultilevel"/>
    <w:tmpl w:val="49827F56"/>
    <w:lvl w:ilvl="0" w:tplc="77463F1A">
      <w:numFmt w:val="bullet"/>
      <w:lvlText w:val=""/>
      <w:lvlJc w:val="left"/>
      <w:pPr>
        <w:ind w:left="785" w:hanging="360"/>
      </w:pPr>
      <w:rPr>
        <w:rFonts w:ascii="Symbol" w:eastAsiaTheme="minorHAnsi" w:hAnsi="Symbol" w:cs="Times New Roman"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79323FC0"/>
    <w:multiLevelType w:val="hybridMultilevel"/>
    <w:tmpl w:val="D4BA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D072E8"/>
    <w:multiLevelType w:val="multilevel"/>
    <w:tmpl w:val="0C36B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891398"/>
    <w:multiLevelType w:val="hybridMultilevel"/>
    <w:tmpl w:val="E72AE416"/>
    <w:lvl w:ilvl="0" w:tplc="77463F1A">
      <w:numFmt w:val="bullet"/>
      <w:lvlText w:val=""/>
      <w:lvlJc w:val="left"/>
      <w:pPr>
        <w:ind w:left="785"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D17A2"/>
    <w:multiLevelType w:val="hybridMultilevel"/>
    <w:tmpl w:val="C598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793169">
    <w:abstractNumId w:val="2"/>
  </w:num>
  <w:num w:numId="2" w16cid:durableId="1352873499">
    <w:abstractNumId w:val="0"/>
  </w:num>
  <w:num w:numId="3" w16cid:durableId="545458277">
    <w:abstractNumId w:val="7"/>
  </w:num>
  <w:num w:numId="4" w16cid:durableId="271477229">
    <w:abstractNumId w:val="23"/>
  </w:num>
  <w:num w:numId="5" w16cid:durableId="1551115286">
    <w:abstractNumId w:val="28"/>
  </w:num>
  <w:num w:numId="6" w16cid:durableId="2104914487">
    <w:abstractNumId w:val="20"/>
  </w:num>
  <w:num w:numId="7" w16cid:durableId="366687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2393830">
    <w:abstractNumId w:val="16"/>
  </w:num>
  <w:num w:numId="9" w16cid:durableId="427165818">
    <w:abstractNumId w:val="3"/>
  </w:num>
  <w:num w:numId="10" w16cid:durableId="1061562603">
    <w:abstractNumId w:val="8"/>
  </w:num>
  <w:num w:numId="11" w16cid:durableId="21370828">
    <w:abstractNumId w:val="6"/>
  </w:num>
  <w:num w:numId="12" w16cid:durableId="1448547454">
    <w:abstractNumId w:val="1"/>
  </w:num>
  <w:num w:numId="13" w16cid:durableId="1798143679">
    <w:abstractNumId w:val="5"/>
  </w:num>
  <w:num w:numId="14" w16cid:durableId="1105542345">
    <w:abstractNumId w:val="15"/>
  </w:num>
  <w:num w:numId="15" w16cid:durableId="610599249">
    <w:abstractNumId w:val="24"/>
  </w:num>
  <w:num w:numId="16" w16cid:durableId="908730792">
    <w:abstractNumId w:val="13"/>
  </w:num>
  <w:num w:numId="17" w16cid:durableId="1910263691">
    <w:abstractNumId w:val="4"/>
  </w:num>
  <w:num w:numId="18" w16cid:durableId="1151214626">
    <w:abstractNumId w:val="26"/>
  </w:num>
  <w:num w:numId="19" w16cid:durableId="128212902">
    <w:abstractNumId w:val="14"/>
  </w:num>
  <w:num w:numId="20" w16cid:durableId="1546676720">
    <w:abstractNumId w:val="25"/>
  </w:num>
  <w:num w:numId="21" w16cid:durableId="632757960">
    <w:abstractNumId w:val="11"/>
  </w:num>
  <w:num w:numId="22" w16cid:durableId="1893155380">
    <w:abstractNumId w:val="12"/>
  </w:num>
  <w:num w:numId="23" w16cid:durableId="223370632">
    <w:abstractNumId w:val="34"/>
  </w:num>
  <w:num w:numId="24" w16cid:durableId="1461339917">
    <w:abstractNumId w:val="32"/>
  </w:num>
  <w:num w:numId="25" w16cid:durableId="1464349257">
    <w:abstractNumId w:val="21"/>
  </w:num>
  <w:num w:numId="26" w16cid:durableId="774903946">
    <w:abstractNumId w:val="9"/>
  </w:num>
  <w:num w:numId="27" w16cid:durableId="739331723">
    <w:abstractNumId w:val="19"/>
  </w:num>
  <w:num w:numId="28" w16cid:durableId="1422943969">
    <w:abstractNumId w:val="18"/>
  </w:num>
  <w:num w:numId="29" w16cid:durableId="1876261829">
    <w:abstractNumId w:val="32"/>
  </w:num>
  <w:num w:numId="30" w16cid:durableId="122626080">
    <w:abstractNumId w:val="21"/>
  </w:num>
  <w:num w:numId="31" w16cid:durableId="919094523">
    <w:abstractNumId w:val="9"/>
  </w:num>
  <w:num w:numId="32" w16cid:durableId="323054240">
    <w:abstractNumId w:val="19"/>
  </w:num>
  <w:num w:numId="33" w16cid:durableId="248278216">
    <w:abstractNumId w:val="18"/>
  </w:num>
  <w:num w:numId="34" w16cid:durableId="1439524180">
    <w:abstractNumId w:val="30"/>
  </w:num>
  <w:num w:numId="35" w16cid:durableId="632834631">
    <w:abstractNumId w:val="22"/>
  </w:num>
  <w:num w:numId="36" w16cid:durableId="1403989339">
    <w:abstractNumId w:val="17"/>
  </w:num>
  <w:num w:numId="37" w16cid:durableId="739327002">
    <w:abstractNumId w:val="33"/>
  </w:num>
  <w:num w:numId="38" w16cid:durableId="2106267537">
    <w:abstractNumId w:val="29"/>
  </w:num>
  <w:num w:numId="39" w16cid:durableId="914172676">
    <w:abstractNumId w:val="31"/>
  </w:num>
  <w:num w:numId="40" w16cid:durableId="1378358066">
    <w:abstractNumId w:val="10"/>
  </w:num>
  <w:num w:numId="41" w16cid:durableId="6384119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9"/>
    <w:rsid w:val="00004ED1"/>
    <w:rsid w:val="00005D98"/>
    <w:rsid w:val="00005F96"/>
    <w:rsid w:val="00007262"/>
    <w:rsid w:val="00007C99"/>
    <w:rsid w:val="00007D92"/>
    <w:rsid w:val="00011C96"/>
    <w:rsid w:val="000141B9"/>
    <w:rsid w:val="00031DFD"/>
    <w:rsid w:val="00033305"/>
    <w:rsid w:val="00034A19"/>
    <w:rsid w:val="00036F9E"/>
    <w:rsid w:val="000403FB"/>
    <w:rsid w:val="000413B3"/>
    <w:rsid w:val="000453D9"/>
    <w:rsid w:val="000473D8"/>
    <w:rsid w:val="00050DD3"/>
    <w:rsid w:val="00053E6F"/>
    <w:rsid w:val="00056F1B"/>
    <w:rsid w:val="000573E5"/>
    <w:rsid w:val="00057B71"/>
    <w:rsid w:val="00061F8F"/>
    <w:rsid w:val="00063458"/>
    <w:rsid w:val="00067F9B"/>
    <w:rsid w:val="000706A7"/>
    <w:rsid w:val="00070B97"/>
    <w:rsid w:val="000712AB"/>
    <w:rsid w:val="0007202C"/>
    <w:rsid w:val="00072B30"/>
    <w:rsid w:val="0007319C"/>
    <w:rsid w:val="000732AA"/>
    <w:rsid w:val="00073503"/>
    <w:rsid w:val="000767DD"/>
    <w:rsid w:val="0008011A"/>
    <w:rsid w:val="00080270"/>
    <w:rsid w:val="00084343"/>
    <w:rsid w:val="00084F8B"/>
    <w:rsid w:val="000851D0"/>
    <w:rsid w:val="00086D07"/>
    <w:rsid w:val="00086F71"/>
    <w:rsid w:val="00093915"/>
    <w:rsid w:val="000949AD"/>
    <w:rsid w:val="00095109"/>
    <w:rsid w:val="000956D5"/>
    <w:rsid w:val="00096B0F"/>
    <w:rsid w:val="00097657"/>
    <w:rsid w:val="000A3754"/>
    <w:rsid w:val="000A490E"/>
    <w:rsid w:val="000A709F"/>
    <w:rsid w:val="000B04C5"/>
    <w:rsid w:val="000B63CA"/>
    <w:rsid w:val="000B752A"/>
    <w:rsid w:val="000B78AF"/>
    <w:rsid w:val="000B79F8"/>
    <w:rsid w:val="000C0AAC"/>
    <w:rsid w:val="000C14D9"/>
    <w:rsid w:val="000C15C7"/>
    <w:rsid w:val="000C40EE"/>
    <w:rsid w:val="000D4EDE"/>
    <w:rsid w:val="000E2460"/>
    <w:rsid w:val="000E3AB9"/>
    <w:rsid w:val="000E43AC"/>
    <w:rsid w:val="000E4648"/>
    <w:rsid w:val="000E6E37"/>
    <w:rsid w:val="000F0E6F"/>
    <w:rsid w:val="000F1888"/>
    <w:rsid w:val="000F29F2"/>
    <w:rsid w:val="001014E1"/>
    <w:rsid w:val="001018A5"/>
    <w:rsid w:val="00106F56"/>
    <w:rsid w:val="00107164"/>
    <w:rsid w:val="00110092"/>
    <w:rsid w:val="00113013"/>
    <w:rsid w:val="00113380"/>
    <w:rsid w:val="00115A39"/>
    <w:rsid w:val="0011614B"/>
    <w:rsid w:val="0011633A"/>
    <w:rsid w:val="00117479"/>
    <w:rsid w:val="001202A9"/>
    <w:rsid w:val="00122FC8"/>
    <w:rsid w:val="00123576"/>
    <w:rsid w:val="001241CB"/>
    <w:rsid w:val="00124B21"/>
    <w:rsid w:val="00126585"/>
    <w:rsid w:val="001327B8"/>
    <w:rsid w:val="0013471B"/>
    <w:rsid w:val="001352D4"/>
    <w:rsid w:val="00140203"/>
    <w:rsid w:val="001406EA"/>
    <w:rsid w:val="001445C6"/>
    <w:rsid w:val="00144BAD"/>
    <w:rsid w:val="00147F20"/>
    <w:rsid w:val="00155789"/>
    <w:rsid w:val="00157C98"/>
    <w:rsid w:val="001619B7"/>
    <w:rsid w:val="001653B6"/>
    <w:rsid w:val="00165BF6"/>
    <w:rsid w:val="00174B0F"/>
    <w:rsid w:val="00175024"/>
    <w:rsid w:val="00175C5E"/>
    <w:rsid w:val="00177C89"/>
    <w:rsid w:val="0018235E"/>
    <w:rsid w:val="00184187"/>
    <w:rsid w:val="001856AE"/>
    <w:rsid w:val="001916C1"/>
    <w:rsid w:val="0019349E"/>
    <w:rsid w:val="001948C9"/>
    <w:rsid w:val="001A0F43"/>
    <w:rsid w:val="001A170A"/>
    <w:rsid w:val="001A4EA4"/>
    <w:rsid w:val="001A531A"/>
    <w:rsid w:val="001A664F"/>
    <w:rsid w:val="001B1232"/>
    <w:rsid w:val="001B2DB7"/>
    <w:rsid w:val="001B3A9F"/>
    <w:rsid w:val="001B3B1E"/>
    <w:rsid w:val="001B5C6F"/>
    <w:rsid w:val="001B6423"/>
    <w:rsid w:val="001C1B15"/>
    <w:rsid w:val="001C5CBE"/>
    <w:rsid w:val="001D0C02"/>
    <w:rsid w:val="001D270E"/>
    <w:rsid w:val="001D3D43"/>
    <w:rsid w:val="001D5C83"/>
    <w:rsid w:val="001E0CA1"/>
    <w:rsid w:val="001E0F51"/>
    <w:rsid w:val="001E1250"/>
    <w:rsid w:val="001E55BF"/>
    <w:rsid w:val="001F1CE0"/>
    <w:rsid w:val="001F535C"/>
    <w:rsid w:val="001F6E1A"/>
    <w:rsid w:val="001F780A"/>
    <w:rsid w:val="001F7917"/>
    <w:rsid w:val="00200613"/>
    <w:rsid w:val="0020451F"/>
    <w:rsid w:val="002054C6"/>
    <w:rsid w:val="00206A5D"/>
    <w:rsid w:val="00210F3A"/>
    <w:rsid w:val="00212428"/>
    <w:rsid w:val="00212A8A"/>
    <w:rsid w:val="00212E1C"/>
    <w:rsid w:val="00214399"/>
    <w:rsid w:val="00214883"/>
    <w:rsid w:val="002156F6"/>
    <w:rsid w:val="002168AD"/>
    <w:rsid w:val="00216E0E"/>
    <w:rsid w:val="00217BD2"/>
    <w:rsid w:val="00220550"/>
    <w:rsid w:val="002301A2"/>
    <w:rsid w:val="00230A99"/>
    <w:rsid w:val="00236C2D"/>
    <w:rsid w:val="002374B7"/>
    <w:rsid w:val="00237B0A"/>
    <w:rsid w:val="00237EC6"/>
    <w:rsid w:val="00240126"/>
    <w:rsid w:val="00241D16"/>
    <w:rsid w:val="00242384"/>
    <w:rsid w:val="0024304D"/>
    <w:rsid w:val="0024438D"/>
    <w:rsid w:val="00244826"/>
    <w:rsid w:val="00247ACA"/>
    <w:rsid w:val="00247C62"/>
    <w:rsid w:val="0025200A"/>
    <w:rsid w:val="00252E6A"/>
    <w:rsid w:val="0025571C"/>
    <w:rsid w:val="00255A20"/>
    <w:rsid w:val="0025782A"/>
    <w:rsid w:val="00260891"/>
    <w:rsid w:val="00263414"/>
    <w:rsid w:val="002661A6"/>
    <w:rsid w:val="00266C23"/>
    <w:rsid w:val="00267444"/>
    <w:rsid w:val="00277D6C"/>
    <w:rsid w:val="00280738"/>
    <w:rsid w:val="00286EAD"/>
    <w:rsid w:val="00290EB7"/>
    <w:rsid w:val="00292858"/>
    <w:rsid w:val="00292A60"/>
    <w:rsid w:val="0029389B"/>
    <w:rsid w:val="002949B7"/>
    <w:rsid w:val="00294CA4"/>
    <w:rsid w:val="0029644E"/>
    <w:rsid w:val="002A113A"/>
    <w:rsid w:val="002A1894"/>
    <w:rsid w:val="002A2188"/>
    <w:rsid w:val="002A36F2"/>
    <w:rsid w:val="002A7D14"/>
    <w:rsid w:val="002B0913"/>
    <w:rsid w:val="002B236A"/>
    <w:rsid w:val="002B28E4"/>
    <w:rsid w:val="002B748C"/>
    <w:rsid w:val="002B7504"/>
    <w:rsid w:val="002B75F8"/>
    <w:rsid w:val="002C0D97"/>
    <w:rsid w:val="002C16D4"/>
    <w:rsid w:val="002C1782"/>
    <w:rsid w:val="002C2277"/>
    <w:rsid w:val="002C23B5"/>
    <w:rsid w:val="002C2ACC"/>
    <w:rsid w:val="002C3868"/>
    <w:rsid w:val="002C3AFC"/>
    <w:rsid w:val="002C56C4"/>
    <w:rsid w:val="002C5B5D"/>
    <w:rsid w:val="002C66D1"/>
    <w:rsid w:val="002C7065"/>
    <w:rsid w:val="002C75A4"/>
    <w:rsid w:val="002C7F4A"/>
    <w:rsid w:val="002D1C6A"/>
    <w:rsid w:val="002D240F"/>
    <w:rsid w:val="002D2804"/>
    <w:rsid w:val="002D4B6C"/>
    <w:rsid w:val="002D5274"/>
    <w:rsid w:val="002E105C"/>
    <w:rsid w:val="002E1EE3"/>
    <w:rsid w:val="002E2770"/>
    <w:rsid w:val="002E3F51"/>
    <w:rsid w:val="002F0135"/>
    <w:rsid w:val="002F0571"/>
    <w:rsid w:val="002F0C2C"/>
    <w:rsid w:val="002F3976"/>
    <w:rsid w:val="002F50B6"/>
    <w:rsid w:val="002F5790"/>
    <w:rsid w:val="00300655"/>
    <w:rsid w:val="00300974"/>
    <w:rsid w:val="00303D18"/>
    <w:rsid w:val="003069B6"/>
    <w:rsid w:val="00307ADD"/>
    <w:rsid w:val="00307E55"/>
    <w:rsid w:val="00312A66"/>
    <w:rsid w:val="003130CA"/>
    <w:rsid w:val="0032180D"/>
    <w:rsid w:val="00321DCD"/>
    <w:rsid w:val="003306A5"/>
    <w:rsid w:val="00336836"/>
    <w:rsid w:val="0033701D"/>
    <w:rsid w:val="003407F0"/>
    <w:rsid w:val="003433EF"/>
    <w:rsid w:val="0034504D"/>
    <w:rsid w:val="003523EA"/>
    <w:rsid w:val="00355D40"/>
    <w:rsid w:val="00361D9D"/>
    <w:rsid w:val="003655C2"/>
    <w:rsid w:val="00366C00"/>
    <w:rsid w:val="003678D4"/>
    <w:rsid w:val="0037050E"/>
    <w:rsid w:val="00371AAC"/>
    <w:rsid w:val="00371F54"/>
    <w:rsid w:val="00372456"/>
    <w:rsid w:val="003759D0"/>
    <w:rsid w:val="00376487"/>
    <w:rsid w:val="0037770C"/>
    <w:rsid w:val="00377C8B"/>
    <w:rsid w:val="00383204"/>
    <w:rsid w:val="00383A95"/>
    <w:rsid w:val="00385CA0"/>
    <w:rsid w:val="00390BCD"/>
    <w:rsid w:val="003A1B8C"/>
    <w:rsid w:val="003A2733"/>
    <w:rsid w:val="003A3021"/>
    <w:rsid w:val="003A5042"/>
    <w:rsid w:val="003A627E"/>
    <w:rsid w:val="003A79EE"/>
    <w:rsid w:val="003B0CAC"/>
    <w:rsid w:val="003B6E16"/>
    <w:rsid w:val="003B7092"/>
    <w:rsid w:val="003C0DC0"/>
    <w:rsid w:val="003C180A"/>
    <w:rsid w:val="003C1E25"/>
    <w:rsid w:val="003C4DA7"/>
    <w:rsid w:val="003C5BC6"/>
    <w:rsid w:val="003D02C1"/>
    <w:rsid w:val="003D0E6E"/>
    <w:rsid w:val="003D186E"/>
    <w:rsid w:val="003D27CB"/>
    <w:rsid w:val="003D329D"/>
    <w:rsid w:val="003E2040"/>
    <w:rsid w:val="003E3346"/>
    <w:rsid w:val="003E6BF6"/>
    <w:rsid w:val="003F0CB7"/>
    <w:rsid w:val="003F0E18"/>
    <w:rsid w:val="003F0F0D"/>
    <w:rsid w:val="003F7ACF"/>
    <w:rsid w:val="003F7FF9"/>
    <w:rsid w:val="0040156E"/>
    <w:rsid w:val="0040173E"/>
    <w:rsid w:val="0040266E"/>
    <w:rsid w:val="0040703F"/>
    <w:rsid w:val="00407FA6"/>
    <w:rsid w:val="00410AFC"/>
    <w:rsid w:val="004138B1"/>
    <w:rsid w:val="00415B6A"/>
    <w:rsid w:val="00426154"/>
    <w:rsid w:val="00435339"/>
    <w:rsid w:val="00435777"/>
    <w:rsid w:val="00436A6F"/>
    <w:rsid w:val="004410DC"/>
    <w:rsid w:val="0044322F"/>
    <w:rsid w:val="0044447D"/>
    <w:rsid w:val="00447C5B"/>
    <w:rsid w:val="00450C67"/>
    <w:rsid w:val="00452747"/>
    <w:rsid w:val="00455F13"/>
    <w:rsid w:val="004561C4"/>
    <w:rsid w:val="00456EE6"/>
    <w:rsid w:val="00457C6E"/>
    <w:rsid w:val="00460CF7"/>
    <w:rsid w:val="004624F1"/>
    <w:rsid w:val="00463FA8"/>
    <w:rsid w:val="00464F0B"/>
    <w:rsid w:val="00466648"/>
    <w:rsid w:val="004672AF"/>
    <w:rsid w:val="0047024C"/>
    <w:rsid w:val="004728F8"/>
    <w:rsid w:val="00472CBC"/>
    <w:rsid w:val="0047371D"/>
    <w:rsid w:val="00475F24"/>
    <w:rsid w:val="004765B3"/>
    <w:rsid w:val="0047665C"/>
    <w:rsid w:val="00480B61"/>
    <w:rsid w:val="0048147B"/>
    <w:rsid w:val="004843CA"/>
    <w:rsid w:val="00493DAA"/>
    <w:rsid w:val="00494335"/>
    <w:rsid w:val="00495A4C"/>
    <w:rsid w:val="004967A1"/>
    <w:rsid w:val="00496965"/>
    <w:rsid w:val="004A2480"/>
    <w:rsid w:val="004A6732"/>
    <w:rsid w:val="004A7DF5"/>
    <w:rsid w:val="004B584E"/>
    <w:rsid w:val="004B6929"/>
    <w:rsid w:val="004C086E"/>
    <w:rsid w:val="004C1106"/>
    <w:rsid w:val="004C615A"/>
    <w:rsid w:val="004C6D4B"/>
    <w:rsid w:val="004C766B"/>
    <w:rsid w:val="004D035A"/>
    <w:rsid w:val="004D0782"/>
    <w:rsid w:val="004D2ED7"/>
    <w:rsid w:val="004D33E3"/>
    <w:rsid w:val="004D76C1"/>
    <w:rsid w:val="004D7C22"/>
    <w:rsid w:val="004E1013"/>
    <w:rsid w:val="004E2269"/>
    <w:rsid w:val="004E451A"/>
    <w:rsid w:val="004E7314"/>
    <w:rsid w:val="004F3339"/>
    <w:rsid w:val="004F45BF"/>
    <w:rsid w:val="004F4FD6"/>
    <w:rsid w:val="004F72A2"/>
    <w:rsid w:val="004F78E5"/>
    <w:rsid w:val="005022A5"/>
    <w:rsid w:val="005026D4"/>
    <w:rsid w:val="00503A51"/>
    <w:rsid w:val="00506774"/>
    <w:rsid w:val="005116CA"/>
    <w:rsid w:val="00512309"/>
    <w:rsid w:val="00520557"/>
    <w:rsid w:val="00522B22"/>
    <w:rsid w:val="005254B2"/>
    <w:rsid w:val="00526F0E"/>
    <w:rsid w:val="005361E6"/>
    <w:rsid w:val="005374F7"/>
    <w:rsid w:val="00537A8B"/>
    <w:rsid w:val="0054077E"/>
    <w:rsid w:val="005410D6"/>
    <w:rsid w:val="00541425"/>
    <w:rsid w:val="00541D54"/>
    <w:rsid w:val="00542522"/>
    <w:rsid w:val="00543F16"/>
    <w:rsid w:val="005448F9"/>
    <w:rsid w:val="00544D52"/>
    <w:rsid w:val="0054526E"/>
    <w:rsid w:val="00545CE1"/>
    <w:rsid w:val="005476B5"/>
    <w:rsid w:val="00550E3D"/>
    <w:rsid w:val="005516C9"/>
    <w:rsid w:val="00551999"/>
    <w:rsid w:val="00553CA4"/>
    <w:rsid w:val="005549D7"/>
    <w:rsid w:val="00554DC2"/>
    <w:rsid w:val="005602DA"/>
    <w:rsid w:val="005604E4"/>
    <w:rsid w:val="00562087"/>
    <w:rsid w:val="00563755"/>
    <w:rsid w:val="00563DE8"/>
    <w:rsid w:val="005678FC"/>
    <w:rsid w:val="0057138A"/>
    <w:rsid w:val="00573327"/>
    <w:rsid w:val="00574CA7"/>
    <w:rsid w:val="005846C5"/>
    <w:rsid w:val="005917DD"/>
    <w:rsid w:val="00592F64"/>
    <w:rsid w:val="00593CE7"/>
    <w:rsid w:val="005949F9"/>
    <w:rsid w:val="005A03A0"/>
    <w:rsid w:val="005A1632"/>
    <w:rsid w:val="005A3F63"/>
    <w:rsid w:val="005A59B7"/>
    <w:rsid w:val="005A59D0"/>
    <w:rsid w:val="005A6015"/>
    <w:rsid w:val="005B073E"/>
    <w:rsid w:val="005B227F"/>
    <w:rsid w:val="005B2406"/>
    <w:rsid w:val="005B297F"/>
    <w:rsid w:val="005B7801"/>
    <w:rsid w:val="005B7913"/>
    <w:rsid w:val="005B7F23"/>
    <w:rsid w:val="005C1601"/>
    <w:rsid w:val="005C5891"/>
    <w:rsid w:val="005C7EE0"/>
    <w:rsid w:val="005D04CC"/>
    <w:rsid w:val="005D092A"/>
    <w:rsid w:val="005D264E"/>
    <w:rsid w:val="005D5FAE"/>
    <w:rsid w:val="005E486E"/>
    <w:rsid w:val="005E4BC9"/>
    <w:rsid w:val="005E7FC1"/>
    <w:rsid w:val="005F0141"/>
    <w:rsid w:val="005F2014"/>
    <w:rsid w:val="005F29B7"/>
    <w:rsid w:val="005F3522"/>
    <w:rsid w:val="005F5FC6"/>
    <w:rsid w:val="00600268"/>
    <w:rsid w:val="00606EB5"/>
    <w:rsid w:val="00606FC8"/>
    <w:rsid w:val="006144F9"/>
    <w:rsid w:val="00616247"/>
    <w:rsid w:val="00616C90"/>
    <w:rsid w:val="00617FDA"/>
    <w:rsid w:val="0062069A"/>
    <w:rsid w:val="0062116F"/>
    <w:rsid w:val="00621921"/>
    <w:rsid w:val="00623B71"/>
    <w:rsid w:val="00623FD7"/>
    <w:rsid w:val="00626087"/>
    <w:rsid w:val="00626F84"/>
    <w:rsid w:val="006278D7"/>
    <w:rsid w:val="00630598"/>
    <w:rsid w:val="00630781"/>
    <w:rsid w:val="00634E4C"/>
    <w:rsid w:val="00636B8B"/>
    <w:rsid w:val="00637605"/>
    <w:rsid w:val="0064153C"/>
    <w:rsid w:val="00641EAA"/>
    <w:rsid w:val="006427FE"/>
    <w:rsid w:val="006506C1"/>
    <w:rsid w:val="00651DDA"/>
    <w:rsid w:val="006569DF"/>
    <w:rsid w:val="00657459"/>
    <w:rsid w:val="0065747A"/>
    <w:rsid w:val="00657733"/>
    <w:rsid w:val="006629C1"/>
    <w:rsid w:val="00662E28"/>
    <w:rsid w:val="00663371"/>
    <w:rsid w:val="00664EE1"/>
    <w:rsid w:val="0066674D"/>
    <w:rsid w:val="00666A78"/>
    <w:rsid w:val="0067353E"/>
    <w:rsid w:val="00673C7E"/>
    <w:rsid w:val="00676C12"/>
    <w:rsid w:val="006770C4"/>
    <w:rsid w:val="00682604"/>
    <w:rsid w:val="006853D0"/>
    <w:rsid w:val="0069271C"/>
    <w:rsid w:val="00692B26"/>
    <w:rsid w:val="0069375D"/>
    <w:rsid w:val="0069407C"/>
    <w:rsid w:val="0069574E"/>
    <w:rsid w:val="006969C0"/>
    <w:rsid w:val="006A1921"/>
    <w:rsid w:val="006A2303"/>
    <w:rsid w:val="006A2C82"/>
    <w:rsid w:val="006A4C84"/>
    <w:rsid w:val="006B08B0"/>
    <w:rsid w:val="006B65AF"/>
    <w:rsid w:val="006C0752"/>
    <w:rsid w:val="006C700D"/>
    <w:rsid w:val="006D2A45"/>
    <w:rsid w:val="006D2AC2"/>
    <w:rsid w:val="006D2F4E"/>
    <w:rsid w:val="006D315C"/>
    <w:rsid w:val="006D71B8"/>
    <w:rsid w:val="006E34D8"/>
    <w:rsid w:val="006E4272"/>
    <w:rsid w:val="006F145A"/>
    <w:rsid w:val="006F27CB"/>
    <w:rsid w:val="006F359B"/>
    <w:rsid w:val="006F5865"/>
    <w:rsid w:val="00701EC6"/>
    <w:rsid w:val="00706179"/>
    <w:rsid w:val="007112C2"/>
    <w:rsid w:val="00714F78"/>
    <w:rsid w:val="007152B0"/>
    <w:rsid w:val="00716272"/>
    <w:rsid w:val="007170F7"/>
    <w:rsid w:val="00717589"/>
    <w:rsid w:val="00722F9F"/>
    <w:rsid w:val="00724616"/>
    <w:rsid w:val="007253B8"/>
    <w:rsid w:val="00725791"/>
    <w:rsid w:val="007261A3"/>
    <w:rsid w:val="0072779D"/>
    <w:rsid w:val="00732546"/>
    <w:rsid w:val="00735BDF"/>
    <w:rsid w:val="00736E7D"/>
    <w:rsid w:val="00743D35"/>
    <w:rsid w:val="00743DF7"/>
    <w:rsid w:val="00745896"/>
    <w:rsid w:val="007509A6"/>
    <w:rsid w:val="00753E65"/>
    <w:rsid w:val="00753F83"/>
    <w:rsid w:val="007541B0"/>
    <w:rsid w:val="0075469B"/>
    <w:rsid w:val="00755163"/>
    <w:rsid w:val="007551CA"/>
    <w:rsid w:val="00756AAB"/>
    <w:rsid w:val="00757F63"/>
    <w:rsid w:val="0076157B"/>
    <w:rsid w:val="00762C6A"/>
    <w:rsid w:val="007645AE"/>
    <w:rsid w:val="00764992"/>
    <w:rsid w:val="00765749"/>
    <w:rsid w:val="00773327"/>
    <w:rsid w:val="00774476"/>
    <w:rsid w:val="00775AA0"/>
    <w:rsid w:val="00775D7F"/>
    <w:rsid w:val="00776DF9"/>
    <w:rsid w:val="007770FA"/>
    <w:rsid w:val="00777DA0"/>
    <w:rsid w:val="00783DB7"/>
    <w:rsid w:val="00786097"/>
    <w:rsid w:val="00790072"/>
    <w:rsid w:val="007910A3"/>
    <w:rsid w:val="00791738"/>
    <w:rsid w:val="00791780"/>
    <w:rsid w:val="00792D37"/>
    <w:rsid w:val="00797B2E"/>
    <w:rsid w:val="007A0EB7"/>
    <w:rsid w:val="007A4FC8"/>
    <w:rsid w:val="007B475B"/>
    <w:rsid w:val="007B5EB6"/>
    <w:rsid w:val="007B6871"/>
    <w:rsid w:val="007B7899"/>
    <w:rsid w:val="007C08B1"/>
    <w:rsid w:val="007C2182"/>
    <w:rsid w:val="007C2CC2"/>
    <w:rsid w:val="007C38BD"/>
    <w:rsid w:val="007C3D8B"/>
    <w:rsid w:val="007C42F8"/>
    <w:rsid w:val="007C4FB2"/>
    <w:rsid w:val="007C6DB2"/>
    <w:rsid w:val="007C6FEA"/>
    <w:rsid w:val="007C79AA"/>
    <w:rsid w:val="007D0845"/>
    <w:rsid w:val="007D31DA"/>
    <w:rsid w:val="007D468E"/>
    <w:rsid w:val="007D72C5"/>
    <w:rsid w:val="007E2757"/>
    <w:rsid w:val="007E3508"/>
    <w:rsid w:val="007E525D"/>
    <w:rsid w:val="007F0323"/>
    <w:rsid w:val="007F1DA9"/>
    <w:rsid w:val="007F22DA"/>
    <w:rsid w:val="007F2D33"/>
    <w:rsid w:val="007F379E"/>
    <w:rsid w:val="007F471C"/>
    <w:rsid w:val="007F4BDC"/>
    <w:rsid w:val="0080030C"/>
    <w:rsid w:val="00800C90"/>
    <w:rsid w:val="00807D80"/>
    <w:rsid w:val="008125F8"/>
    <w:rsid w:val="00812F9C"/>
    <w:rsid w:val="008208A8"/>
    <w:rsid w:val="008242A8"/>
    <w:rsid w:val="00826012"/>
    <w:rsid w:val="00834CE0"/>
    <w:rsid w:val="0083557E"/>
    <w:rsid w:val="008405E9"/>
    <w:rsid w:val="0084110F"/>
    <w:rsid w:val="00841D19"/>
    <w:rsid w:val="008424D7"/>
    <w:rsid w:val="00844B1D"/>
    <w:rsid w:val="00844F5C"/>
    <w:rsid w:val="00845843"/>
    <w:rsid w:val="00846D34"/>
    <w:rsid w:val="00850C72"/>
    <w:rsid w:val="008525A0"/>
    <w:rsid w:val="00852C0F"/>
    <w:rsid w:val="00863020"/>
    <w:rsid w:val="0086360D"/>
    <w:rsid w:val="008637EC"/>
    <w:rsid w:val="00865412"/>
    <w:rsid w:val="0086606D"/>
    <w:rsid w:val="00870BC6"/>
    <w:rsid w:val="00875DAD"/>
    <w:rsid w:val="00877B84"/>
    <w:rsid w:val="00877E5F"/>
    <w:rsid w:val="0088036D"/>
    <w:rsid w:val="00881155"/>
    <w:rsid w:val="00881E76"/>
    <w:rsid w:val="008821F6"/>
    <w:rsid w:val="00882892"/>
    <w:rsid w:val="00884FC7"/>
    <w:rsid w:val="00885A14"/>
    <w:rsid w:val="00885C38"/>
    <w:rsid w:val="0088689B"/>
    <w:rsid w:val="00890FA0"/>
    <w:rsid w:val="008922A3"/>
    <w:rsid w:val="0089253A"/>
    <w:rsid w:val="00892E29"/>
    <w:rsid w:val="00893428"/>
    <w:rsid w:val="00894026"/>
    <w:rsid w:val="008947BF"/>
    <w:rsid w:val="008958BA"/>
    <w:rsid w:val="008A0CBE"/>
    <w:rsid w:val="008A1CA8"/>
    <w:rsid w:val="008A214D"/>
    <w:rsid w:val="008A2282"/>
    <w:rsid w:val="008A3F0A"/>
    <w:rsid w:val="008A72D2"/>
    <w:rsid w:val="008A74A3"/>
    <w:rsid w:val="008B3668"/>
    <w:rsid w:val="008B6868"/>
    <w:rsid w:val="008B68FE"/>
    <w:rsid w:val="008B6D24"/>
    <w:rsid w:val="008C34F7"/>
    <w:rsid w:val="008C6A43"/>
    <w:rsid w:val="008D080C"/>
    <w:rsid w:val="008D1867"/>
    <w:rsid w:val="008D4234"/>
    <w:rsid w:val="008D5341"/>
    <w:rsid w:val="008D6437"/>
    <w:rsid w:val="008D6EDF"/>
    <w:rsid w:val="008E1434"/>
    <w:rsid w:val="008E320F"/>
    <w:rsid w:val="008E3EF5"/>
    <w:rsid w:val="008F33B5"/>
    <w:rsid w:val="008F453A"/>
    <w:rsid w:val="0090003D"/>
    <w:rsid w:val="00901414"/>
    <w:rsid w:val="00906799"/>
    <w:rsid w:val="0090757F"/>
    <w:rsid w:val="00910B4E"/>
    <w:rsid w:val="009121B9"/>
    <w:rsid w:val="00915C9F"/>
    <w:rsid w:val="00917037"/>
    <w:rsid w:val="00917C1C"/>
    <w:rsid w:val="00922193"/>
    <w:rsid w:val="00924152"/>
    <w:rsid w:val="0092457C"/>
    <w:rsid w:val="0093194D"/>
    <w:rsid w:val="00934C3F"/>
    <w:rsid w:val="00936545"/>
    <w:rsid w:val="009417AE"/>
    <w:rsid w:val="00945B3F"/>
    <w:rsid w:val="00946696"/>
    <w:rsid w:val="009508B9"/>
    <w:rsid w:val="00950C96"/>
    <w:rsid w:val="00950DCB"/>
    <w:rsid w:val="00952D47"/>
    <w:rsid w:val="00952D4C"/>
    <w:rsid w:val="009533A8"/>
    <w:rsid w:val="00953B43"/>
    <w:rsid w:val="00954441"/>
    <w:rsid w:val="0095493F"/>
    <w:rsid w:val="00960246"/>
    <w:rsid w:val="009720E1"/>
    <w:rsid w:val="00974F0E"/>
    <w:rsid w:val="00975CD7"/>
    <w:rsid w:val="00975E10"/>
    <w:rsid w:val="00980CA1"/>
    <w:rsid w:val="00985E70"/>
    <w:rsid w:val="0098783B"/>
    <w:rsid w:val="00993C2B"/>
    <w:rsid w:val="00993DF9"/>
    <w:rsid w:val="009943CF"/>
    <w:rsid w:val="00994F74"/>
    <w:rsid w:val="009979F4"/>
    <w:rsid w:val="009A01C3"/>
    <w:rsid w:val="009A1B46"/>
    <w:rsid w:val="009A246D"/>
    <w:rsid w:val="009A2FB6"/>
    <w:rsid w:val="009A45B2"/>
    <w:rsid w:val="009A4BA7"/>
    <w:rsid w:val="009A5585"/>
    <w:rsid w:val="009A59D5"/>
    <w:rsid w:val="009A72C2"/>
    <w:rsid w:val="009A7B41"/>
    <w:rsid w:val="009B0625"/>
    <w:rsid w:val="009B2C1A"/>
    <w:rsid w:val="009B2CB7"/>
    <w:rsid w:val="009B5594"/>
    <w:rsid w:val="009B65C1"/>
    <w:rsid w:val="009C0EA7"/>
    <w:rsid w:val="009C2198"/>
    <w:rsid w:val="009C2FA5"/>
    <w:rsid w:val="009C3F2D"/>
    <w:rsid w:val="009D2DDD"/>
    <w:rsid w:val="009D5A30"/>
    <w:rsid w:val="009D708D"/>
    <w:rsid w:val="009E0375"/>
    <w:rsid w:val="009E0C10"/>
    <w:rsid w:val="009E1366"/>
    <w:rsid w:val="009E3B6E"/>
    <w:rsid w:val="009E4116"/>
    <w:rsid w:val="009E529F"/>
    <w:rsid w:val="009E5A4E"/>
    <w:rsid w:val="009F4556"/>
    <w:rsid w:val="009F6A05"/>
    <w:rsid w:val="009F6EA4"/>
    <w:rsid w:val="00A004C2"/>
    <w:rsid w:val="00A00BA5"/>
    <w:rsid w:val="00A01604"/>
    <w:rsid w:val="00A04710"/>
    <w:rsid w:val="00A0519D"/>
    <w:rsid w:val="00A10DA6"/>
    <w:rsid w:val="00A11865"/>
    <w:rsid w:val="00A1238F"/>
    <w:rsid w:val="00A128DD"/>
    <w:rsid w:val="00A14528"/>
    <w:rsid w:val="00A151E9"/>
    <w:rsid w:val="00A15DBB"/>
    <w:rsid w:val="00A21EC7"/>
    <w:rsid w:val="00A259F2"/>
    <w:rsid w:val="00A25C59"/>
    <w:rsid w:val="00A2758A"/>
    <w:rsid w:val="00A33802"/>
    <w:rsid w:val="00A34ADD"/>
    <w:rsid w:val="00A34FC2"/>
    <w:rsid w:val="00A37162"/>
    <w:rsid w:val="00A3742A"/>
    <w:rsid w:val="00A37526"/>
    <w:rsid w:val="00A37E51"/>
    <w:rsid w:val="00A410E2"/>
    <w:rsid w:val="00A41193"/>
    <w:rsid w:val="00A417B3"/>
    <w:rsid w:val="00A47DB0"/>
    <w:rsid w:val="00A51E2D"/>
    <w:rsid w:val="00A5319F"/>
    <w:rsid w:val="00A533A9"/>
    <w:rsid w:val="00A53690"/>
    <w:rsid w:val="00A5521C"/>
    <w:rsid w:val="00A554BE"/>
    <w:rsid w:val="00A62D31"/>
    <w:rsid w:val="00A63380"/>
    <w:rsid w:val="00A72C07"/>
    <w:rsid w:val="00A75316"/>
    <w:rsid w:val="00A8129D"/>
    <w:rsid w:val="00A82188"/>
    <w:rsid w:val="00A84633"/>
    <w:rsid w:val="00A85A24"/>
    <w:rsid w:val="00A865C7"/>
    <w:rsid w:val="00A909CC"/>
    <w:rsid w:val="00A91634"/>
    <w:rsid w:val="00A91DB6"/>
    <w:rsid w:val="00A95C7D"/>
    <w:rsid w:val="00A964A5"/>
    <w:rsid w:val="00A97E3B"/>
    <w:rsid w:val="00AA00CB"/>
    <w:rsid w:val="00AA20A1"/>
    <w:rsid w:val="00AA26EA"/>
    <w:rsid w:val="00AA41F2"/>
    <w:rsid w:val="00AA439D"/>
    <w:rsid w:val="00AA5AA7"/>
    <w:rsid w:val="00AA5D21"/>
    <w:rsid w:val="00AA670B"/>
    <w:rsid w:val="00AB039E"/>
    <w:rsid w:val="00AB17A4"/>
    <w:rsid w:val="00AB4206"/>
    <w:rsid w:val="00AB5FFB"/>
    <w:rsid w:val="00AB6E8A"/>
    <w:rsid w:val="00AC44FC"/>
    <w:rsid w:val="00AC7E54"/>
    <w:rsid w:val="00AD5E3C"/>
    <w:rsid w:val="00AD6DDF"/>
    <w:rsid w:val="00AD7D66"/>
    <w:rsid w:val="00AE3450"/>
    <w:rsid w:val="00AE6A4E"/>
    <w:rsid w:val="00AE7B98"/>
    <w:rsid w:val="00AF129F"/>
    <w:rsid w:val="00AF1BE1"/>
    <w:rsid w:val="00AF339D"/>
    <w:rsid w:val="00AF3DEB"/>
    <w:rsid w:val="00AF4B02"/>
    <w:rsid w:val="00AF57B8"/>
    <w:rsid w:val="00B0788B"/>
    <w:rsid w:val="00B10DA3"/>
    <w:rsid w:val="00B127D7"/>
    <w:rsid w:val="00B12DC9"/>
    <w:rsid w:val="00B13F84"/>
    <w:rsid w:val="00B14604"/>
    <w:rsid w:val="00B15ABA"/>
    <w:rsid w:val="00B20FA0"/>
    <w:rsid w:val="00B22AD1"/>
    <w:rsid w:val="00B22BE0"/>
    <w:rsid w:val="00B24C71"/>
    <w:rsid w:val="00B24DD4"/>
    <w:rsid w:val="00B26FE8"/>
    <w:rsid w:val="00B33955"/>
    <w:rsid w:val="00B33F43"/>
    <w:rsid w:val="00B34339"/>
    <w:rsid w:val="00B376DC"/>
    <w:rsid w:val="00B379A4"/>
    <w:rsid w:val="00B405F1"/>
    <w:rsid w:val="00B40B7D"/>
    <w:rsid w:val="00B42B2F"/>
    <w:rsid w:val="00B43B19"/>
    <w:rsid w:val="00B44900"/>
    <w:rsid w:val="00B467F6"/>
    <w:rsid w:val="00B472E1"/>
    <w:rsid w:val="00B479A9"/>
    <w:rsid w:val="00B52821"/>
    <w:rsid w:val="00B53095"/>
    <w:rsid w:val="00B538BB"/>
    <w:rsid w:val="00B53DAD"/>
    <w:rsid w:val="00B56C63"/>
    <w:rsid w:val="00B63324"/>
    <w:rsid w:val="00B65037"/>
    <w:rsid w:val="00B664C7"/>
    <w:rsid w:val="00B6696E"/>
    <w:rsid w:val="00B66C96"/>
    <w:rsid w:val="00B70AEC"/>
    <w:rsid w:val="00B71170"/>
    <w:rsid w:val="00B76248"/>
    <w:rsid w:val="00B76F9E"/>
    <w:rsid w:val="00B77C96"/>
    <w:rsid w:val="00B80BCE"/>
    <w:rsid w:val="00B81524"/>
    <w:rsid w:val="00B81740"/>
    <w:rsid w:val="00B819D1"/>
    <w:rsid w:val="00B82C17"/>
    <w:rsid w:val="00B82D13"/>
    <w:rsid w:val="00B83542"/>
    <w:rsid w:val="00B85D7B"/>
    <w:rsid w:val="00B8681A"/>
    <w:rsid w:val="00B875B5"/>
    <w:rsid w:val="00B900CD"/>
    <w:rsid w:val="00B900EA"/>
    <w:rsid w:val="00B91069"/>
    <w:rsid w:val="00B916EA"/>
    <w:rsid w:val="00B92842"/>
    <w:rsid w:val="00B959C7"/>
    <w:rsid w:val="00B966AE"/>
    <w:rsid w:val="00B96AEC"/>
    <w:rsid w:val="00BA10A3"/>
    <w:rsid w:val="00BA1A74"/>
    <w:rsid w:val="00BA2713"/>
    <w:rsid w:val="00BA2941"/>
    <w:rsid w:val="00BA2E57"/>
    <w:rsid w:val="00BA364E"/>
    <w:rsid w:val="00BA4C61"/>
    <w:rsid w:val="00BA5B99"/>
    <w:rsid w:val="00BA5EA8"/>
    <w:rsid w:val="00BA627A"/>
    <w:rsid w:val="00BB14CC"/>
    <w:rsid w:val="00BB1C80"/>
    <w:rsid w:val="00BB22FA"/>
    <w:rsid w:val="00BB4E0F"/>
    <w:rsid w:val="00BB6432"/>
    <w:rsid w:val="00BC6935"/>
    <w:rsid w:val="00BD12A1"/>
    <w:rsid w:val="00BD1D09"/>
    <w:rsid w:val="00BD7B83"/>
    <w:rsid w:val="00BE0638"/>
    <w:rsid w:val="00BE18CA"/>
    <w:rsid w:val="00BF17C6"/>
    <w:rsid w:val="00BF2634"/>
    <w:rsid w:val="00BF683D"/>
    <w:rsid w:val="00BF6F09"/>
    <w:rsid w:val="00C00FDA"/>
    <w:rsid w:val="00C02057"/>
    <w:rsid w:val="00C02517"/>
    <w:rsid w:val="00C02EB9"/>
    <w:rsid w:val="00C0309C"/>
    <w:rsid w:val="00C0373C"/>
    <w:rsid w:val="00C03879"/>
    <w:rsid w:val="00C04E4B"/>
    <w:rsid w:val="00C07891"/>
    <w:rsid w:val="00C11381"/>
    <w:rsid w:val="00C11531"/>
    <w:rsid w:val="00C11B56"/>
    <w:rsid w:val="00C14C04"/>
    <w:rsid w:val="00C1529E"/>
    <w:rsid w:val="00C1533F"/>
    <w:rsid w:val="00C16045"/>
    <w:rsid w:val="00C21E27"/>
    <w:rsid w:val="00C2332A"/>
    <w:rsid w:val="00C263E3"/>
    <w:rsid w:val="00C27A54"/>
    <w:rsid w:val="00C27F72"/>
    <w:rsid w:val="00C307D7"/>
    <w:rsid w:val="00C30BC5"/>
    <w:rsid w:val="00C311DD"/>
    <w:rsid w:val="00C32020"/>
    <w:rsid w:val="00C33AF5"/>
    <w:rsid w:val="00C36005"/>
    <w:rsid w:val="00C411FB"/>
    <w:rsid w:val="00C42EA5"/>
    <w:rsid w:val="00C50F83"/>
    <w:rsid w:val="00C52EAC"/>
    <w:rsid w:val="00C539D2"/>
    <w:rsid w:val="00C54666"/>
    <w:rsid w:val="00C54F3A"/>
    <w:rsid w:val="00C56621"/>
    <w:rsid w:val="00C60C34"/>
    <w:rsid w:val="00C61896"/>
    <w:rsid w:val="00C62BF5"/>
    <w:rsid w:val="00C636DA"/>
    <w:rsid w:val="00C674F5"/>
    <w:rsid w:val="00C67D47"/>
    <w:rsid w:val="00C67E22"/>
    <w:rsid w:val="00C72271"/>
    <w:rsid w:val="00C72A17"/>
    <w:rsid w:val="00C73D92"/>
    <w:rsid w:val="00C81356"/>
    <w:rsid w:val="00C813CD"/>
    <w:rsid w:val="00C858D9"/>
    <w:rsid w:val="00C87DA0"/>
    <w:rsid w:val="00C90908"/>
    <w:rsid w:val="00C91D58"/>
    <w:rsid w:val="00C921FD"/>
    <w:rsid w:val="00C927A8"/>
    <w:rsid w:val="00C950A5"/>
    <w:rsid w:val="00CA0018"/>
    <w:rsid w:val="00CA4E4D"/>
    <w:rsid w:val="00CA6AF1"/>
    <w:rsid w:val="00CA6FF9"/>
    <w:rsid w:val="00CB1A89"/>
    <w:rsid w:val="00CB1EB2"/>
    <w:rsid w:val="00CB4238"/>
    <w:rsid w:val="00CB54EA"/>
    <w:rsid w:val="00CB5938"/>
    <w:rsid w:val="00CB5B27"/>
    <w:rsid w:val="00CC13F5"/>
    <w:rsid w:val="00CC1A64"/>
    <w:rsid w:val="00CC279E"/>
    <w:rsid w:val="00CC34EB"/>
    <w:rsid w:val="00CC5F8D"/>
    <w:rsid w:val="00CC6296"/>
    <w:rsid w:val="00CC66EA"/>
    <w:rsid w:val="00CD04B9"/>
    <w:rsid w:val="00CD0781"/>
    <w:rsid w:val="00CD13B4"/>
    <w:rsid w:val="00CD22FA"/>
    <w:rsid w:val="00CD3C17"/>
    <w:rsid w:val="00CD62B5"/>
    <w:rsid w:val="00CE1F9C"/>
    <w:rsid w:val="00CE25BD"/>
    <w:rsid w:val="00CE2E48"/>
    <w:rsid w:val="00CE4211"/>
    <w:rsid w:val="00CE47D8"/>
    <w:rsid w:val="00CE5C37"/>
    <w:rsid w:val="00CF0184"/>
    <w:rsid w:val="00CF198E"/>
    <w:rsid w:val="00CF24EF"/>
    <w:rsid w:val="00CF55F6"/>
    <w:rsid w:val="00CF59E0"/>
    <w:rsid w:val="00CF6672"/>
    <w:rsid w:val="00CF6E2A"/>
    <w:rsid w:val="00D00B0A"/>
    <w:rsid w:val="00D0134C"/>
    <w:rsid w:val="00D021F7"/>
    <w:rsid w:val="00D02E2F"/>
    <w:rsid w:val="00D0664E"/>
    <w:rsid w:val="00D069C7"/>
    <w:rsid w:val="00D078A2"/>
    <w:rsid w:val="00D167CF"/>
    <w:rsid w:val="00D17039"/>
    <w:rsid w:val="00D21123"/>
    <w:rsid w:val="00D24A90"/>
    <w:rsid w:val="00D24EE3"/>
    <w:rsid w:val="00D25C13"/>
    <w:rsid w:val="00D26BB7"/>
    <w:rsid w:val="00D367EB"/>
    <w:rsid w:val="00D36C91"/>
    <w:rsid w:val="00D41871"/>
    <w:rsid w:val="00D41DBD"/>
    <w:rsid w:val="00D42E46"/>
    <w:rsid w:val="00D43689"/>
    <w:rsid w:val="00D45954"/>
    <w:rsid w:val="00D45C5C"/>
    <w:rsid w:val="00D461C2"/>
    <w:rsid w:val="00D54DCD"/>
    <w:rsid w:val="00D558BE"/>
    <w:rsid w:val="00D61418"/>
    <w:rsid w:val="00D61AAE"/>
    <w:rsid w:val="00D64CB8"/>
    <w:rsid w:val="00D66273"/>
    <w:rsid w:val="00D71FCD"/>
    <w:rsid w:val="00D720AE"/>
    <w:rsid w:val="00D7284A"/>
    <w:rsid w:val="00D72FD8"/>
    <w:rsid w:val="00D73D10"/>
    <w:rsid w:val="00D74ECD"/>
    <w:rsid w:val="00D80489"/>
    <w:rsid w:val="00D81412"/>
    <w:rsid w:val="00D825E9"/>
    <w:rsid w:val="00D82823"/>
    <w:rsid w:val="00D84CC1"/>
    <w:rsid w:val="00D8539F"/>
    <w:rsid w:val="00D8555F"/>
    <w:rsid w:val="00D87B9C"/>
    <w:rsid w:val="00D92A45"/>
    <w:rsid w:val="00D941DD"/>
    <w:rsid w:val="00D9673C"/>
    <w:rsid w:val="00D9697A"/>
    <w:rsid w:val="00DA3023"/>
    <w:rsid w:val="00DA4C48"/>
    <w:rsid w:val="00DA53BE"/>
    <w:rsid w:val="00DA727D"/>
    <w:rsid w:val="00DA7D93"/>
    <w:rsid w:val="00DB53A7"/>
    <w:rsid w:val="00DB755F"/>
    <w:rsid w:val="00DC135E"/>
    <w:rsid w:val="00DC55E6"/>
    <w:rsid w:val="00DC7B59"/>
    <w:rsid w:val="00DD0B61"/>
    <w:rsid w:val="00DD170F"/>
    <w:rsid w:val="00DD3C11"/>
    <w:rsid w:val="00DD6072"/>
    <w:rsid w:val="00DD61FF"/>
    <w:rsid w:val="00DD7067"/>
    <w:rsid w:val="00DE0A8A"/>
    <w:rsid w:val="00DE0D06"/>
    <w:rsid w:val="00DE37B3"/>
    <w:rsid w:val="00DE3BC2"/>
    <w:rsid w:val="00DE6C8E"/>
    <w:rsid w:val="00DF2F8B"/>
    <w:rsid w:val="00DF6837"/>
    <w:rsid w:val="00DF68E4"/>
    <w:rsid w:val="00DF6E54"/>
    <w:rsid w:val="00DF76B4"/>
    <w:rsid w:val="00DF76C6"/>
    <w:rsid w:val="00E04228"/>
    <w:rsid w:val="00E04457"/>
    <w:rsid w:val="00E04BBC"/>
    <w:rsid w:val="00E10450"/>
    <w:rsid w:val="00E1478E"/>
    <w:rsid w:val="00E159D7"/>
    <w:rsid w:val="00E213AB"/>
    <w:rsid w:val="00E21653"/>
    <w:rsid w:val="00E21C9B"/>
    <w:rsid w:val="00E2414E"/>
    <w:rsid w:val="00E26830"/>
    <w:rsid w:val="00E26FAF"/>
    <w:rsid w:val="00E30C24"/>
    <w:rsid w:val="00E33956"/>
    <w:rsid w:val="00E33AD4"/>
    <w:rsid w:val="00E345D1"/>
    <w:rsid w:val="00E34CD3"/>
    <w:rsid w:val="00E355DE"/>
    <w:rsid w:val="00E35BFD"/>
    <w:rsid w:val="00E40B36"/>
    <w:rsid w:val="00E51672"/>
    <w:rsid w:val="00E522FC"/>
    <w:rsid w:val="00E55EE5"/>
    <w:rsid w:val="00E563AA"/>
    <w:rsid w:val="00E573E4"/>
    <w:rsid w:val="00E61784"/>
    <w:rsid w:val="00E625B3"/>
    <w:rsid w:val="00E63687"/>
    <w:rsid w:val="00E64743"/>
    <w:rsid w:val="00E64F71"/>
    <w:rsid w:val="00E658BC"/>
    <w:rsid w:val="00E658EC"/>
    <w:rsid w:val="00E65C80"/>
    <w:rsid w:val="00E7257D"/>
    <w:rsid w:val="00E728CB"/>
    <w:rsid w:val="00E7336F"/>
    <w:rsid w:val="00E74F3B"/>
    <w:rsid w:val="00E76262"/>
    <w:rsid w:val="00E77076"/>
    <w:rsid w:val="00E81D2A"/>
    <w:rsid w:val="00E84A6B"/>
    <w:rsid w:val="00E91848"/>
    <w:rsid w:val="00E92385"/>
    <w:rsid w:val="00E93F74"/>
    <w:rsid w:val="00E96DEA"/>
    <w:rsid w:val="00EA1585"/>
    <w:rsid w:val="00EA48AE"/>
    <w:rsid w:val="00EA722F"/>
    <w:rsid w:val="00EB09E2"/>
    <w:rsid w:val="00EB520E"/>
    <w:rsid w:val="00EB574E"/>
    <w:rsid w:val="00EB74A5"/>
    <w:rsid w:val="00EC68CB"/>
    <w:rsid w:val="00EC6AC7"/>
    <w:rsid w:val="00EC7F32"/>
    <w:rsid w:val="00ED4A08"/>
    <w:rsid w:val="00ED5E4D"/>
    <w:rsid w:val="00EE0126"/>
    <w:rsid w:val="00EE0C89"/>
    <w:rsid w:val="00EE121D"/>
    <w:rsid w:val="00EE47FE"/>
    <w:rsid w:val="00EE50C6"/>
    <w:rsid w:val="00EE5D41"/>
    <w:rsid w:val="00EE655B"/>
    <w:rsid w:val="00EE766D"/>
    <w:rsid w:val="00EF2A15"/>
    <w:rsid w:val="00EF3BDF"/>
    <w:rsid w:val="00EF3E9D"/>
    <w:rsid w:val="00EF5BFD"/>
    <w:rsid w:val="00EF7B33"/>
    <w:rsid w:val="00F00348"/>
    <w:rsid w:val="00F00470"/>
    <w:rsid w:val="00F00A61"/>
    <w:rsid w:val="00F01C6F"/>
    <w:rsid w:val="00F0414E"/>
    <w:rsid w:val="00F04179"/>
    <w:rsid w:val="00F0509B"/>
    <w:rsid w:val="00F05ABD"/>
    <w:rsid w:val="00F06EE2"/>
    <w:rsid w:val="00F07080"/>
    <w:rsid w:val="00F074DC"/>
    <w:rsid w:val="00F110E4"/>
    <w:rsid w:val="00F13682"/>
    <w:rsid w:val="00F13D4A"/>
    <w:rsid w:val="00F15632"/>
    <w:rsid w:val="00F17535"/>
    <w:rsid w:val="00F178EA"/>
    <w:rsid w:val="00F20949"/>
    <w:rsid w:val="00F20AC2"/>
    <w:rsid w:val="00F24F8F"/>
    <w:rsid w:val="00F303B2"/>
    <w:rsid w:val="00F307BA"/>
    <w:rsid w:val="00F307E0"/>
    <w:rsid w:val="00F34427"/>
    <w:rsid w:val="00F34D63"/>
    <w:rsid w:val="00F377E1"/>
    <w:rsid w:val="00F405E4"/>
    <w:rsid w:val="00F5276D"/>
    <w:rsid w:val="00F52D0F"/>
    <w:rsid w:val="00F53648"/>
    <w:rsid w:val="00F57F7A"/>
    <w:rsid w:val="00F60BD8"/>
    <w:rsid w:val="00F62D33"/>
    <w:rsid w:val="00F64AB3"/>
    <w:rsid w:val="00F6570B"/>
    <w:rsid w:val="00F6736A"/>
    <w:rsid w:val="00F67615"/>
    <w:rsid w:val="00F70E6D"/>
    <w:rsid w:val="00F720D5"/>
    <w:rsid w:val="00F73282"/>
    <w:rsid w:val="00F76844"/>
    <w:rsid w:val="00F76C98"/>
    <w:rsid w:val="00F804CD"/>
    <w:rsid w:val="00F80750"/>
    <w:rsid w:val="00F81BBB"/>
    <w:rsid w:val="00F83AFC"/>
    <w:rsid w:val="00F85F59"/>
    <w:rsid w:val="00F86538"/>
    <w:rsid w:val="00F86717"/>
    <w:rsid w:val="00F86847"/>
    <w:rsid w:val="00F86DD4"/>
    <w:rsid w:val="00F86F6B"/>
    <w:rsid w:val="00F97C7A"/>
    <w:rsid w:val="00FA183E"/>
    <w:rsid w:val="00FA1D85"/>
    <w:rsid w:val="00FA1EB6"/>
    <w:rsid w:val="00FA2909"/>
    <w:rsid w:val="00FA3CEC"/>
    <w:rsid w:val="00FA4A45"/>
    <w:rsid w:val="00FA674B"/>
    <w:rsid w:val="00FA6FB0"/>
    <w:rsid w:val="00FB4CF2"/>
    <w:rsid w:val="00FC222D"/>
    <w:rsid w:val="00FC4845"/>
    <w:rsid w:val="00FC6B03"/>
    <w:rsid w:val="00FC748E"/>
    <w:rsid w:val="00FD06D5"/>
    <w:rsid w:val="00FD28FF"/>
    <w:rsid w:val="00FD36FF"/>
    <w:rsid w:val="00FD3D5D"/>
    <w:rsid w:val="00FD68A1"/>
    <w:rsid w:val="00FE1246"/>
    <w:rsid w:val="00FE2FDD"/>
    <w:rsid w:val="00FE419E"/>
    <w:rsid w:val="00FE7DE6"/>
    <w:rsid w:val="00FF2484"/>
    <w:rsid w:val="00FF3BB4"/>
    <w:rsid w:val="00FF4201"/>
    <w:rsid w:val="4BE3A157"/>
    <w:rsid w:val="4D08866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DC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807D80"/>
    <w:pPr>
      <w:shd w:val="clear" w:color="auto" w:fill="FFFFFF"/>
      <w:spacing w:before="100" w:beforeAutospacing="1"/>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807D80"/>
    <w:pPr>
      <w:numPr>
        <w:numId w:val="0"/>
      </w:numPr>
      <w:outlineLvl w:val="1"/>
    </w:pPr>
    <w:rPr>
      <w:rFonts w:ascii="Times New Roman" w:hAnsi="Times New Roman" w:cs="Times New Roman"/>
      <w:b/>
      <w:i/>
      <w:sz w:val="24"/>
      <w:szCs w:val="24"/>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D80"/>
    <w:rPr>
      <w:rFonts w:ascii="Times New Roman" w:hAnsi="Times New Roman"/>
      <w:b/>
      <w:bCs/>
      <w:sz w:val="24"/>
      <w:szCs w:val="24"/>
      <w:shd w:val="clear" w:color="auto" w:fill="FFFFFF"/>
    </w:rPr>
  </w:style>
  <w:style w:type="character" w:customStyle="1" w:styleId="Heading2Char">
    <w:name w:val="Heading 2 Char"/>
    <w:basedOn w:val="DefaultParagraphFont"/>
    <w:link w:val="Heading2"/>
    <w:uiPriority w:val="9"/>
    <w:rsid w:val="00807D80"/>
    <w:rPr>
      <w:rFonts w:ascii="Times New Roman" w:hAnsi="Times New Roman" w:cs="Times New Roman"/>
      <w:b/>
      <w:i/>
      <w:sz w:val="24"/>
      <w:szCs w:val="24"/>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99"/>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807D80"/>
    <w:pPr>
      <w:numPr>
        <w:numId w:val="15"/>
      </w:numPr>
      <w:ind w:left="567" w:hanging="567"/>
    </w:pPr>
    <w:rPr>
      <w:rFonts w:cs="Times New Roman"/>
    </w:rPr>
  </w:style>
  <w:style w:type="paragraph" w:customStyle="1" w:styleId="Heading2Numbers">
    <w:name w:val="Heading 2 Numbers"/>
    <w:basedOn w:val="Heading2"/>
    <w:next w:val="Normal"/>
    <w:uiPriority w:val="9"/>
    <w:qFormat/>
    <w:rsid w:val="00E61784"/>
    <w:pPr>
      <w:numPr>
        <w:ilvl w:val="1"/>
        <w:numId w:val="10"/>
      </w:numPr>
    </w:pPr>
    <w:rPr>
      <w:bCs/>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9121B9"/>
    <w:pPr>
      <w:numPr>
        <w:numId w:val="0"/>
      </w:numPr>
      <w:spacing w:after="0"/>
    </w:pPr>
    <w:rPr>
      <w:rFonts w:ascii="Trebuchet MS" w:eastAsia="Times New Roman" w:hAnsi="Trebuchet MS" w:cs="Times New Roman"/>
      <w:b/>
      <w:color w:val="auto"/>
      <w:sz w:val="26"/>
      <w:lang w:eastAsia="en-AU"/>
    </w:rPr>
  </w:style>
  <w:style w:type="paragraph" w:styleId="Revision">
    <w:name w:val="Revision"/>
    <w:hidden/>
    <w:uiPriority w:val="99"/>
    <w:semiHidden/>
    <w:rsid w:val="009D708D"/>
    <w:pPr>
      <w:spacing w:after="0"/>
      <w:jc w:val="left"/>
    </w:pPr>
  </w:style>
  <w:style w:type="paragraph" w:customStyle="1" w:styleId="paragraph">
    <w:name w:val="paragraph"/>
    <w:basedOn w:val="Normal"/>
    <w:rsid w:val="003D0E6E"/>
    <w:pPr>
      <w:numPr>
        <w:numId w:val="0"/>
      </w:numPr>
      <w:spacing w:before="100" w:beforeAutospacing="1" w:after="100" w:afterAutospacing="1"/>
      <w:jc w:val="left"/>
    </w:pPr>
    <w:rPr>
      <w:rFonts w:ascii="Calibri" w:hAnsi="Calibri" w:cs="Calibri"/>
      <w:color w:val="auto"/>
      <w:lang w:eastAsia="en-AU"/>
    </w:rPr>
  </w:style>
  <w:style w:type="character" w:customStyle="1" w:styleId="normaltextrun">
    <w:name w:val="normaltextrun"/>
    <w:basedOn w:val="DefaultParagraphFont"/>
    <w:rsid w:val="003D0E6E"/>
  </w:style>
  <w:style w:type="character" w:customStyle="1" w:styleId="eop">
    <w:name w:val="eop"/>
    <w:basedOn w:val="DefaultParagraphFont"/>
    <w:rsid w:val="003D0E6E"/>
  </w:style>
  <w:style w:type="character" w:styleId="UnresolvedMention">
    <w:name w:val="Unresolved Mention"/>
    <w:basedOn w:val="DefaultParagraphFont"/>
    <w:uiPriority w:val="99"/>
    <w:semiHidden/>
    <w:unhideWhenUsed/>
    <w:locked/>
    <w:rsid w:val="00B4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71191894">
      <w:bodyDiv w:val="1"/>
      <w:marLeft w:val="0"/>
      <w:marRight w:val="0"/>
      <w:marTop w:val="0"/>
      <w:marBottom w:val="0"/>
      <w:divBdr>
        <w:top w:val="none" w:sz="0" w:space="0" w:color="auto"/>
        <w:left w:val="none" w:sz="0" w:space="0" w:color="auto"/>
        <w:bottom w:val="none" w:sz="0" w:space="0" w:color="auto"/>
        <w:right w:val="none" w:sz="0" w:space="0" w:color="auto"/>
      </w:divBdr>
    </w:div>
    <w:div w:id="33319097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strengthening-crisis-preparedness" TargetMode="External"/><Relationship Id="rId2" Type="http://schemas.openxmlformats.org/officeDocument/2006/relationships/hyperlink" Target="https://www.apra.gov.au/recovery-and-exit-planning" TargetMode="External"/><Relationship Id="rId1" Type="http://schemas.openxmlformats.org/officeDocument/2006/relationships/hyperlink" Target="https://www.apra.gov.au/news-and-publications/apra-moves-to-strengthen-crisis-preparedness-banking-insurance-and"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Clare Gibney</DisplayName>
        <AccountId>266</AccountId>
        <AccountType/>
      </UserInfo>
      <UserInfo>
        <DisplayName>Gideon Holland</DisplayName>
        <AccountId>23</AccountId>
        <AccountType/>
      </UserInfo>
      <UserInfo>
        <DisplayName>Ben Mowatt</DisplayName>
        <AccountId>40</AccountId>
        <AccountType/>
      </UserInfo>
      <UserInfo>
        <DisplayName>Tom Heagney</DisplayName>
        <AccountId>52</AccountId>
        <AccountType/>
      </UserInfo>
      <UserInfo>
        <DisplayName>Robert Armstrong</DisplayName>
        <AccountId>31</AccountId>
        <AccountType/>
      </UserInfo>
      <UserInfo>
        <DisplayName>Segolene Autret</DisplayName>
        <AccountId>113</AccountId>
        <AccountType/>
      </UserInfo>
      <UserInfo>
        <DisplayName>Jessica Chung</DisplayName>
        <AccountId>291</AccountId>
        <AccountType/>
      </UserInfo>
      <UserInfo>
        <DisplayName>Matt Deane</DisplayName>
        <AccountId>55</AccountId>
        <AccountType/>
      </UserInfo>
      <UserInfo>
        <DisplayName>Lucinda McCann</DisplayName>
        <AccountId>122</AccountId>
        <AccountType/>
      </UserInfo>
      <UserInfo>
        <DisplayName>Paul Tattersall</DisplayName>
        <AccountId>143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-1</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26B60-E074-4562-9C58-0F7BB94C4E7F}">
  <ds:schemaRefs>
    <ds:schemaRef ds:uri="http://purl.org/dc/elements/1.1/"/>
    <ds:schemaRef ds:uri="79530295-9eea-494d-b82a-9ff74409eaf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5664482d-1961-4d38-bfc2-b109b341883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65E6C6-3FD2-4A2A-AE86-1A73B33D2FFE}">
  <ds:schemaRefs>
    <ds:schemaRef ds:uri="http://schemas.microsoft.com/sharepoint/v3/contenttype/forms"/>
  </ds:schemaRefs>
</ds:datastoreItem>
</file>

<file path=customXml/itemProps3.xml><?xml version="1.0" encoding="utf-8"?>
<ds:datastoreItem xmlns:ds="http://schemas.openxmlformats.org/officeDocument/2006/customXml" ds:itemID="{7E20C15F-19FC-4261-B739-93AD18CB1CC1}">
  <ds:schemaRefs>
    <ds:schemaRef ds:uri="http://schemas.openxmlformats.org/officeDocument/2006/bibliography"/>
  </ds:schemaRefs>
</ds:datastoreItem>
</file>

<file path=customXml/itemProps4.xml><?xml version="1.0" encoding="utf-8"?>
<ds:datastoreItem xmlns:ds="http://schemas.openxmlformats.org/officeDocument/2006/customXml" ds:itemID="{8A9D9283-E65C-4462-9BDA-A27B9D2A364D}"/>
</file>

<file path=docProps/app.xml><?xml version="1.0" encoding="utf-8"?>
<Properties xmlns="http://schemas.openxmlformats.org/officeDocument/2006/extended-properties" xmlns:vt="http://schemas.openxmlformats.org/officeDocument/2006/docPropsVTypes">
  <Template>Normal.dotm</Template>
  <TotalTime>0</TotalTime>
  <Pages>7</Pages>
  <Words>2655</Words>
  <Characters>14659</Characters>
  <Application>Microsoft Office Word</Application>
  <DocSecurity>0</DocSecurity>
  <Lines>240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Links>
    <vt:vector size="12" baseType="variant">
      <vt:variant>
        <vt:i4>3670063</vt:i4>
      </vt:variant>
      <vt:variant>
        <vt:i4>3</vt:i4>
      </vt:variant>
      <vt:variant>
        <vt:i4>0</vt:i4>
      </vt:variant>
      <vt:variant>
        <vt:i4>5</vt:i4>
      </vt:variant>
      <vt:variant>
        <vt:lpwstr>https://www.apra.gov.au/recovery-and-exit-planning</vt:lpwstr>
      </vt:variant>
      <vt:variant>
        <vt:lpwstr/>
      </vt:variant>
      <vt:variant>
        <vt:i4>6225993</vt:i4>
      </vt:variant>
      <vt:variant>
        <vt:i4>0</vt:i4>
      </vt:variant>
      <vt:variant>
        <vt:i4>0</vt:i4>
      </vt:variant>
      <vt:variant>
        <vt:i4>5</vt:i4>
      </vt:variant>
      <vt:variant>
        <vt:lpwstr>https://www.apra.gov.au/news-and-publications/apra-moves-to-strengthen-crisis-preparedness-banking-insurance-and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2023-10-13T07:17:00Z</dcterms:created>
  <dcterms:modified xsi:type="dcterms:W3CDTF">2023-10-13T07:17:00Z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MSIP_Label_c0129afb-6481-4f92-bc9f-5a4a6346364d_Method">
    <vt:lpwstr>Privileged</vt:lpwstr>
  </property>
  <property fmtid="{D5CDD505-2E9C-101B-9397-08002B2CF9AE}" pid="5" name="PM_SecurityClassification">
    <vt:lpwstr>OFFICIAL</vt:lpwstr>
  </property>
  <property fmtid="{D5CDD505-2E9C-101B-9397-08002B2CF9AE}" pid="6" name="PMHMAC">
    <vt:lpwstr>v=2022.1;a=SHA256;h=74B16955A1866CDE4725AB8D3896EFB76EC27D0899FBCDF0C726183AB176BBF2</vt:lpwstr>
  </property>
  <property fmtid="{D5CDD505-2E9C-101B-9397-08002B2CF9AE}" pid="7" name="PM_Qualifier">
    <vt:lpwstr/>
  </property>
  <property fmtid="{D5CDD505-2E9C-101B-9397-08002B2CF9AE}" pid="8" name="PM_Note">
    <vt:lpwstr/>
  </property>
  <property fmtid="{D5CDD505-2E9C-101B-9397-08002B2CF9AE}" pid="9" name="MSIP_Label_c0129afb-6481-4f92-bc9f-5a4a6346364d_Name">
    <vt:lpwstr>OFFICIAL</vt:lpwstr>
  </property>
  <property fmtid="{D5CDD505-2E9C-101B-9397-08002B2CF9AE}" pid="10" name="PM_OriginationTimeStamp">
    <vt:lpwstr>2023-01-20T03:56:42Z</vt:lpwstr>
  </property>
  <property fmtid="{D5CDD505-2E9C-101B-9397-08002B2CF9AE}" pid="11" name="PM_ProtectiveMarkingValue_Header">
    <vt:lpwstr>OFFICIAL</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Enabled">
    <vt:lpwstr>true</vt:lpwstr>
  </property>
  <property fmtid="{D5CDD505-2E9C-101B-9397-08002B2CF9AE}" pid="15" name="MSIP_Label_c0129afb-6481-4f92-bc9f-5a4a6346364d_ContentBits">
    <vt:lpwstr>0</vt:lpwstr>
  </property>
  <property fmtid="{D5CDD505-2E9C-101B-9397-08002B2CF9AE}" pid="16" name="PM_Hash_Salt_Prev">
    <vt:lpwstr>3B6042C18D974120E49938E909D36826</vt:lpwstr>
  </property>
  <property fmtid="{D5CDD505-2E9C-101B-9397-08002B2CF9AE}" pid="17" name="MSIP_Label_c0129afb-6481-4f92-bc9f-5a4a6346364d_SetDate">
    <vt:lpwstr>2023-01-20T03:56:42Z</vt:lpwstr>
  </property>
  <property fmtid="{D5CDD505-2E9C-101B-9397-08002B2CF9AE}" pid="18" name="PM_InsertionValue">
    <vt:lpwstr>OFFICIAL</vt:lpwstr>
  </property>
  <property fmtid="{D5CDD505-2E9C-101B-9397-08002B2CF9AE}" pid="19" name="PM_DisplayValueSecClassificationWithQualifier">
    <vt:lpwstr>OFFICIAL</vt:lpwstr>
  </property>
  <property fmtid="{D5CDD505-2E9C-101B-9397-08002B2CF9AE}" pid="20" name="PM_ProtectiveMarkingValue_Footer">
    <vt:lpwstr>OFFICIAL</vt:lpwstr>
  </property>
  <property fmtid="{D5CDD505-2E9C-101B-9397-08002B2CF9AE}" pid="21" name="PM_Originating_FileId">
    <vt:lpwstr>E5795C6A553A4B52B63EDF03539B5723</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Display">
    <vt:lpwstr>OFFICIAL</vt:lpwstr>
  </property>
  <property fmtid="{D5CDD505-2E9C-101B-9397-08002B2CF9AE}" pid="25" name="PM_OriginatorDomainName_SHA256">
    <vt:lpwstr>ECBDE2B44A971754412B3FB70606937A119CC0D4B6C1B658A40FBD41C30BE3EC</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Originator_Hash_SHA1">
    <vt:lpwstr>C3AD57350F36D8E1BD75F8F67CB06D435C9C43CA</vt:lpwstr>
  </property>
  <property fmtid="{D5CDD505-2E9C-101B-9397-08002B2CF9AE}" pid="31" name="PM_OriginatorUserAccountName_SHA256">
    <vt:lpwstr>6E3018F28A186D2E5FF5207C041E7A82E907C3008E071057026A53705873B72E</vt:lpwstr>
  </property>
  <property fmtid="{D5CDD505-2E9C-101B-9397-08002B2CF9AE}" pid="32" name="MSIP_Label_c0129afb-6481-4f92-bc9f-5a4a6346364d_ActionId">
    <vt:lpwstr>cf5d0767d0a54d4fb114d18725e8e638</vt:lpwstr>
  </property>
  <property fmtid="{D5CDD505-2E9C-101B-9397-08002B2CF9AE}" pid="33" name="PM_Hash_Salt">
    <vt:lpwstr>BA99EE8A4F0FD1DD12D381B6CC68843A</vt:lpwstr>
  </property>
  <property fmtid="{D5CDD505-2E9C-101B-9397-08002B2CF9AE}" pid="34" name="PM_Hash_SHA1">
    <vt:lpwstr>ECDBF135261BDF6F05FAF0FB993377B0D8EBA0E1</vt:lpwstr>
  </property>
  <property fmtid="{D5CDD505-2E9C-101B-9397-08002B2CF9AE}" pid="35" name="PM_Caveats_Count">
    <vt:lpwstr>0</vt:lpwstr>
  </property>
  <property fmtid="{D5CDD505-2E9C-101B-9397-08002B2CF9AE}" pid="36" name="ContentTypeId">
    <vt:lpwstr>0x01010080D163DB4DEE504FAB457909715FEC45</vt:lpwstr>
  </property>
</Properties>
</file>