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3196" w14:textId="58134FCE" w:rsidR="00CC2E84" w:rsidRPr="00F25B73" w:rsidRDefault="00CC2E84" w:rsidP="00CC2E84">
      <w:pPr>
        <w:autoSpaceDE w:val="0"/>
        <w:autoSpaceDN w:val="0"/>
        <w:adjustRightInd w:val="0"/>
        <w:spacing w:after="0" w:line="240" w:lineRule="auto"/>
        <w:jc w:val="center"/>
        <w:rPr>
          <w:rFonts w:ascii="Times New Roman" w:hAnsi="Times New Roman" w:cs="Times New Roman"/>
          <w:color w:val="FF0000"/>
          <w:sz w:val="24"/>
          <w:szCs w:val="24"/>
        </w:rPr>
      </w:pPr>
      <w:r w:rsidRPr="00F25B73">
        <w:rPr>
          <w:rFonts w:ascii="Times New Roman" w:hAnsi="Times New Roman" w:cs="Times New Roman"/>
          <w:b/>
          <w:bCs/>
          <w:color w:val="000000"/>
          <w:sz w:val="24"/>
          <w:szCs w:val="24"/>
        </w:rPr>
        <w:t>EXPLANATORY STATEMENT</w:t>
      </w:r>
      <w:r w:rsidR="003F7AA8" w:rsidRPr="00F25B73">
        <w:rPr>
          <w:rFonts w:ascii="Times New Roman" w:hAnsi="Times New Roman" w:cs="Times New Roman"/>
          <w:b/>
          <w:bCs/>
          <w:color w:val="000000"/>
          <w:sz w:val="24"/>
          <w:szCs w:val="24"/>
        </w:rPr>
        <w:t xml:space="preserve"> </w:t>
      </w:r>
    </w:p>
    <w:p w14:paraId="30F42933" w14:textId="77777777" w:rsidR="00CC2E84" w:rsidRPr="00F25B73" w:rsidRDefault="00CC2E84" w:rsidP="00CC2E84">
      <w:pPr>
        <w:autoSpaceDE w:val="0"/>
        <w:autoSpaceDN w:val="0"/>
        <w:adjustRightInd w:val="0"/>
        <w:spacing w:after="0" w:line="240" w:lineRule="auto"/>
        <w:jc w:val="center"/>
        <w:rPr>
          <w:rFonts w:ascii="Times New Roman" w:hAnsi="Times New Roman" w:cs="Times New Roman"/>
          <w:b/>
          <w:bCs/>
          <w:color w:val="000000"/>
          <w:sz w:val="24"/>
          <w:szCs w:val="24"/>
        </w:rPr>
      </w:pPr>
    </w:p>
    <w:p w14:paraId="21DD5DF9" w14:textId="041B1B38" w:rsidR="00CC2E84" w:rsidRPr="00F25B73" w:rsidRDefault="000870DA"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sidRPr="00F25B73">
        <w:rPr>
          <w:rFonts w:ascii="Times New Roman" w:hAnsi="Times New Roman" w:cs="Times New Roman"/>
          <w:b/>
          <w:bCs/>
          <w:i/>
          <w:iCs/>
          <w:color w:val="000000"/>
          <w:sz w:val="24"/>
          <w:szCs w:val="24"/>
        </w:rPr>
        <w:t>Biosecurity Act 2015</w:t>
      </w:r>
    </w:p>
    <w:p w14:paraId="446AE822" w14:textId="77777777" w:rsidR="00CC2E84" w:rsidRPr="00F25B73" w:rsidRDefault="00CC2E84"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p>
    <w:p w14:paraId="54582F8D" w14:textId="58FA2997" w:rsidR="00CC2E84" w:rsidRPr="00F25B73" w:rsidRDefault="00595C9A"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bookmarkStart w:id="0" w:name="_Hlk137119220"/>
      <w:r w:rsidRPr="00F25B73">
        <w:rPr>
          <w:rFonts w:ascii="Times New Roman" w:hAnsi="Times New Roman" w:cs="Times New Roman"/>
          <w:b/>
          <w:bCs/>
          <w:i/>
          <w:iCs/>
          <w:color w:val="000000"/>
          <w:sz w:val="24"/>
          <w:szCs w:val="24"/>
        </w:rPr>
        <w:t xml:space="preserve">Biosecurity (Entry Requirements) Amendment </w:t>
      </w:r>
      <w:r w:rsidR="002A53EA" w:rsidRPr="00F25B73">
        <w:rPr>
          <w:rFonts w:ascii="Times New Roman" w:hAnsi="Times New Roman" w:cs="Times New Roman"/>
          <w:b/>
          <w:bCs/>
          <w:i/>
          <w:iCs/>
          <w:color w:val="000000"/>
          <w:sz w:val="24"/>
          <w:szCs w:val="24"/>
        </w:rPr>
        <w:t xml:space="preserve">(2023 Measures No. 1) </w:t>
      </w:r>
      <w:r w:rsidRPr="00F25B73">
        <w:rPr>
          <w:rFonts w:ascii="Times New Roman" w:hAnsi="Times New Roman" w:cs="Times New Roman"/>
          <w:b/>
          <w:bCs/>
          <w:i/>
          <w:iCs/>
          <w:color w:val="000000"/>
          <w:sz w:val="24"/>
          <w:szCs w:val="24"/>
        </w:rPr>
        <w:t>Determination 2023</w:t>
      </w:r>
    </w:p>
    <w:bookmarkEnd w:id="0"/>
    <w:p w14:paraId="56250DD6" w14:textId="77777777"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690ADDF" w14:textId="77777777" w:rsidR="00CC2E84" w:rsidRPr="00F25B73" w:rsidRDefault="00CC2E84" w:rsidP="00CC2E84">
      <w:pPr>
        <w:spacing w:after="0" w:line="240" w:lineRule="auto"/>
        <w:rPr>
          <w:rFonts w:ascii="Times New Roman" w:eastAsia="Times New Roman" w:hAnsi="Times New Roman" w:cs="Times New Roman"/>
          <w:b/>
          <w:bCs/>
          <w:sz w:val="24"/>
          <w:szCs w:val="24"/>
          <w:lang w:eastAsia="en-AU"/>
        </w:rPr>
      </w:pPr>
      <w:r w:rsidRPr="00F25B73">
        <w:rPr>
          <w:rFonts w:ascii="Times New Roman" w:eastAsia="Times New Roman" w:hAnsi="Times New Roman" w:cs="Times New Roman"/>
          <w:b/>
          <w:bCs/>
          <w:sz w:val="24"/>
          <w:szCs w:val="24"/>
          <w:lang w:eastAsia="en-AU"/>
        </w:rPr>
        <w:t>Purpose and operation</w:t>
      </w:r>
    </w:p>
    <w:p w14:paraId="576B29C3" w14:textId="77777777" w:rsidR="00CC2E84" w:rsidRPr="00F25B73" w:rsidRDefault="00CC2E84" w:rsidP="00CC2E84">
      <w:pPr>
        <w:spacing w:after="0" w:line="240" w:lineRule="auto"/>
        <w:rPr>
          <w:rFonts w:ascii="Times New Roman" w:eastAsia="Times New Roman" w:hAnsi="Times New Roman" w:cs="Times New Roman"/>
          <w:sz w:val="24"/>
          <w:szCs w:val="24"/>
          <w:u w:val="single"/>
          <w:lang w:eastAsia="en-AU"/>
        </w:rPr>
      </w:pPr>
    </w:p>
    <w:p w14:paraId="57854ED3" w14:textId="06B1576D" w:rsidR="00A271F4" w:rsidRPr="00F25B73" w:rsidRDefault="00124879" w:rsidP="00DA20B5">
      <w:pPr>
        <w:spacing w:after="0" w:line="240" w:lineRule="auto"/>
        <w:rPr>
          <w:rFonts w:ascii="Times New Roman" w:hAnsi="Times New Roman" w:cs="Times New Roman"/>
          <w:color w:val="000000"/>
          <w:sz w:val="24"/>
          <w:szCs w:val="24"/>
        </w:rPr>
      </w:pPr>
      <w:r w:rsidRPr="00F25B73">
        <w:rPr>
          <w:rFonts w:ascii="Times New Roman" w:hAnsi="Times New Roman" w:cs="Times New Roman"/>
          <w:color w:val="000000"/>
          <w:sz w:val="24"/>
          <w:szCs w:val="24"/>
        </w:rPr>
        <w:t xml:space="preserve">The </w:t>
      </w:r>
      <w:r w:rsidR="00DA20B5" w:rsidRPr="00F25B73">
        <w:rPr>
          <w:rFonts w:ascii="Times New Roman" w:hAnsi="Times New Roman" w:cs="Times New Roman"/>
          <w:i/>
          <w:iCs/>
          <w:color w:val="000000"/>
          <w:sz w:val="24"/>
          <w:szCs w:val="24"/>
        </w:rPr>
        <w:t xml:space="preserve">Biosecurity (Entry Requirements) Amendment </w:t>
      </w:r>
      <w:r w:rsidR="002A53EA" w:rsidRPr="00F25B73">
        <w:rPr>
          <w:rFonts w:ascii="Times New Roman" w:hAnsi="Times New Roman" w:cs="Times New Roman"/>
          <w:i/>
          <w:iCs/>
          <w:color w:val="000000"/>
          <w:sz w:val="24"/>
          <w:szCs w:val="24"/>
        </w:rPr>
        <w:t xml:space="preserve">(2023 Measures No. 1) </w:t>
      </w:r>
      <w:r w:rsidR="00DA20B5" w:rsidRPr="00F25B73">
        <w:rPr>
          <w:rFonts w:ascii="Times New Roman" w:hAnsi="Times New Roman" w:cs="Times New Roman"/>
          <w:i/>
          <w:iCs/>
          <w:color w:val="000000"/>
          <w:sz w:val="24"/>
          <w:szCs w:val="24"/>
        </w:rPr>
        <w:t>Determination 20</w:t>
      </w:r>
      <w:r w:rsidR="00595C9A" w:rsidRPr="00F25B73">
        <w:rPr>
          <w:rFonts w:ascii="Times New Roman" w:hAnsi="Times New Roman" w:cs="Times New Roman"/>
          <w:i/>
          <w:iCs/>
          <w:color w:val="000000"/>
          <w:sz w:val="24"/>
          <w:szCs w:val="24"/>
        </w:rPr>
        <w:t>23</w:t>
      </w:r>
      <w:r w:rsidR="00DA20B5" w:rsidRPr="00F25B73">
        <w:rPr>
          <w:rFonts w:ascii="Times New Roman" w:hAnsi="Times New Roman" w:cs="Times New Roman"/>
          <w:i/>
          <w:iCs/>
          <w:color w:val="000000"/>
          <w:sz w:val="24"/>
          <w:szCs w:val="24"/>
        </w:rPr>
        <w:t xml:space="preserve"> </w:t>
      </w:r>
      <w:r w:rsidR="002A53EA" w:rsidRPr="00F25B73">
        <w:rPr>
          <w:rFonts w:ascii="Times New Roman" w:hAnsi="Times New Roman" w:cs="Times New Roman"/>
          <w:color w:val="000000"/>
          <w:sz w:val="24"/>
          <w:szCs w:val="24"/>
        </w:rPr>
        <w:t xml:space="preserve">(the Amendment Determination) </w:t>
      </w:r>
      <w:r w:rsidRPr="00F25B73">
        <w:rPr>
          <w:rFonts w:ascii="Times New Roman" w:hAnsi="Times New Roman" w:cs="Times New Roman"/>
          <w:color w:val="000000"/>
          <w:sz w:val="24"/>
          <w:szCs w:val="24"/>
        </w:rPr>
        <w:t xml:space="preserve">amends the </w:t>
      </w:r>
      <w:r w:rsidRPr="00F25B73">
        <w:rPr>
          <w:rFonts w:ascii="Times New Roman" w:hAnsi="Times New Roman" w:cs="Times New Roman"/>
          <w:i/>
          <w:iCs/>
          <w:color w:val="000000"/>
          <w:sz w:val="24"/>
          <w:szCs w:val="24"/>
        </w:rPr>
        <w:t>Biosecurity (Entry Requirements) Determination 2016</w:t>
      </w:r>
      <w:r w:rsidR="00DA20B5" w:rsidRPr="00F25B73">
        <w:rPr>
          <w:rFonts w:ascii="Times New Roman" w:hAnsi="Times New Roman" w:cs="Times New Roman"/>
          <w:color w:val="000000"/>
          <w:sz w:val="24"/>
          <w:szCs w:val="24"/>
        </w:rPr>
        <w:t xml:space="preserve"> </w:t>
      </w:r>
      <w:r w:rsidR="005716B4" w:rsidRPr="00F25B73">
        <w:rPr>
          <w:rFonts w:ascii="Times New Roman" w:hAnsi="Times New Roman" w:cs="Times New Roman"/>
          <w:color w:val="000000"/>
          <w:sz w:val="24"/>
          <w:szCs w:val="24"/>
        </w:rPr>
        <w:t xml:space="preserve">(the Principal Determination) </w:t>
      </w:r>
      <w:r w:rsidRPr="00F25B73">
        <w:rPr>
          <w:rFonts w:ascii="Times New Roman" w:hAnsi="Times New Roman" w:cs="Times New Roman"/>
          <w:color w:val="000000"/>
          <w:sz w:val="24"/>
          <w:szCs w:val="24"/>
        </w:rPr>
        <w:t>to enable the inclusion of</w:t>
      </w:r>
      <w:r w:rsidR="00CA2AFA" w:rsidRPr="00F25B73">
        <w:rPr>
          <w:rFonts w:ascii="Times New Roman" w:hAnsi="Times New Roman" w:cs="Times New Roman"/>
          <w:color w:val="000000"/>
          <w:sz w:val="24"/>
          <w:szCs w:val="24"/>
        </w:rPr>
        <w:t xml:space="preserve"> an</w:t>
      </w:r>
      <w:r w:rsidRPr="00F25B73">
        <w:rPr>
          <w:rFonts w:ascii="Times New Roman" w:hAnsi="Times New Roman" w:cs="Times New Roman"/>
          <w:color w:val="000000"/>
          <w:sz w:val="24"/>
          <w:szCs w:val="24"/>
        </w:rPr>
        <w:t xml:space="preserve"> additional area </w:t>
      </w:r>
      <w:r w:rsidR="00E74A64" w:rsidRPr="00F25B73">
        <w:rPr>
          <w:rFonts w:ascii="Times New Roman" w:hAnsi="Times New Roman" w:cs="Times New Roman"/>
          <w:color w:val="000000"/>
          <w:sz w:val="24"/>
          <w:szCs w:val="24"/>
        </w:rPr>
        <w:t xml:space="preserve">in </w:t>
      </w:r>
      <w:r w:rsidRPr="00F25B73">
        <w:rPr>
          <w:rFonts w:ascii="Times New Roman" w:hAnsi="Times New Roman" w:cs="Times New Roman"/>
          <w:color w:val="000000"/>
          <w:sz w:val="24"/>
          <w:szCs w:val="24"/>
        </w:rPr>
        <w:t>the yellow fever risk countries</w:t>
      </w:r>
      <w:r w:rsidR="00DA20B5" w:rsidRPr="00F25B73">
        <w:rPr>
          <w:rFonts w:ascii="Times New Roman" w:hAnsi="Times New Roman" w:cs="Times New Roman"/>
          <w:color w:val="000000"/>
          <w:sz w:val="24"/>
          <w:szCs w:val="24"/>
        </w:rPr>
        <w:t xml:space="preserve"> list</w:t>
      </w:r>
      <w:r w:rsidR="00595C9A" w:rsidRPr="00F25B73">
        <w:rPr>
          <w:rFonts w:ascii="Times New Roman" w:hAnsi="Times New Roman" w:cs="Times New Roman"/>
          <w:color w:val="000000"/>
          <w:sz w:val="24"/>
          <w:szCs w:val="24"/>
        </w:rPr>
        <w:t xml:space="preserve"> in Schedule 1</w:t>
      </w:r>
      <w:r w:rsidR="00E74A64" w:rsidRPr="00F25B73">
        <w:rPr>
          <w:rFonts w:ascii="Times New Roman" w:hAnsi="Times New Roman" w:cs="Times New Roman"/>
          <w:color w:val="000000"/>
          <w:sz w:val="24"/>
          <w:szCs w:val="24"/>
        </w:rPr>
        <w:t xml:space="preserve"> to the </w:t>
      </w:r>
      <w:r w:rsidR="00A56C3E" w:rsidRPr="00F25B73">
        <w:rPr>
          <w:rFonts w:ascii="Times New Roman" w:hAnsi="Times New Roman" w:cs="Times New Roman"/>
          <w:color w:val="000000"/>
          <w:sz w:val="24"/>
          <w:szCs w:val="24"/>
        </w:rPr>
        <w:t>Principal D</w:t>
      </w:r>
      <w:r w:rsidR="00E74A64" w:rsidRPr="00F25B73">
        <w:rPr>
          <w:rFonts w:ascii="Times New Roman" w:hAnsi="Times New Roman" w:cs="Times New Roman"/>
          <w:color w:val="000000"/>
          <w:sz w:val="24"/>
          <w:szCs w:val="24"/>
        </w:rPr>
        <w:t>etermination</w:t>
      </w:r>
      <w:r w:rsidRPr="00F25B73">
        <w:rPr>
          <w:rFonts w:ascii="Times New Roman" w:hAnsi="Times New Roman" w:cs="Times New Roman"/>
          <w:color w:val="000000"/>
          <w:sz w:val="24"/>
          <w:szCs w:val="24"/>
        </w:rPr>
        <w:t>.</w:t>
      </w:r>
      <w:r w:rsidR="00DA20B5" w:rsidRPr="00F25B73">
        <w:rPr>
          <w:rFonts w:ascii="Times New Roman" w:hAnsi="Times New Roman" w:cs="Times New Roman"/>
          <w:color w:val="000000"/>
          <w:sz w:val="24"/>
          <w:szCs w:val="24"/>
        </w:rPr>
        <w:br/>
      </w:r>
    </w:p>
    <w:p w14:paraId="780CBABF" w14:textId="0CBBB114" w:rsidR="00595C9A" w:rsidRPr="00F25B73" w:rsidRDefault="00B1269C" w:rsidP="00595C9A">
      <w:pPr>
        <w:rPr>
          <w:rFonts w:ascii="Times New Roman" w:hAnsi="Times New Roman" w:cs="Times New Roman"/>
          <w:b/>
          <w:bCs/>
          <w:sz w:val="24"/>
          <w:szCs w:val="24"/>
        </w:rPr>
      </w:pPr>
      <w:bookmarkStart w:id="1" w:name="_Hlk137123280"/>
      <w:r w:rsidRPr="00F25B73">
        <w:rPr>
          <w:rFonts w:ascii="Times New Roman" w:hAnsi="Times New Roman" w:cs="Times New Roman"/>
          <w:sz w:val="24"/>
          <w:szCs w:val="24"/>
        </w:rPr>
        <w:t xml:space="preserve">The purpose of the </w:t>
      </w:r>
      <w:r w:rsidR="005716B4" w:rsidRPr="00F25B73">
        <w:rPr>
          <w:rFonts w:ascii="Times New Roman" w:hAnsi="Times New Roman" w:cs="Times New Roman"/>
          <w:sz w:val="24"/>
          <w:szCs w:val="24"/>
        </w:rPr>
        <w:t xml:space="preserve">Amendment Determination </w:t>
      </w:r>
      <w:r w:rsidR="00595C9A" w:rsidRPr="00F25B73">
        <w:rPr>
          <w:rFonts w:ascii="Times New Roman" w:hAnsi="Times New Roman" w:cs="Times New Roman"/>
          <w:sz w:val="24"/>
          <w:szCs w:val="24"/>
        </w:rPr>
        <w:t>is administrative in nature, making</w:t>
      </w:r>
      <w:r w:rsidR="00CA2AFA" w:rsidRPr="00F25B73">
        <w:rPr>
          <w:rFonts w:ascii="Times New Roman" w:hAnsi="Times New Roman" w:cs="Times New Roman"/>
          <w:sz w:val="24"/>
          <w:szCs w:val="24"/>
        </w:rPr>
        <w:t xml:space="preserve"> a</w:t>
      </w:r>
      <w:r w:rsidR="00595C9A" w:rsidRPr="00F25B73">
        <w:rPr>
          <w:rFonts w:ascii="Times New Roman" w:hAnsi="Times New Roman" w:cs="Times New Roman"/>
          <w:sz w:val="24"/>
          <w:szCs w:val="24"/>
        </w:rPr>
        <w:t xml:space="preserve"> minor amendment to Schedule 1 of the </w:t>
      </w:r>
      <w:r w:rsidR="005716B4" w:rsidRPr="00F25B73">
        <w:rPr>
          <w:rFonts w:ascii="Times New Roman" w:hAnsi="Times New Roman" w:cs="Times New Roman"/>
          <w:sz w:val="24"/>
          <w:szCs w:val="24"/>
        </w:rPr>
        <w:t xml:space="preserve">Principal Determination </w:t>
      </w:r>
      <w:r w:rsidR="00595C9A" w:rsidRPr="00F25B73">
        <w:rPr>
          <w:rFonts w:ascii="Times New Roman" w:hAnsi="Times New Roman" w:cs="Times New Roman"/>
          <w:sz w:val="24"/>
          <w:szCs w:val="24"/>
        </w:rPr>
        <w:t xml:space="preserve">to align with the World Health Organization’s </w:t>
      </w:r>
      <w:r w:rsidR="0066553F" w:rsidRPr="00F25B73">
        <w:rPr>
          <w:rFonts w:ascii="Times New Roman" w:hAnsi="Times New Roman" w:cs="Times New Roman"/>
          <w:sz w:val="24"/>
          <w:szCs w:val="24"/>
        </w:rPr>
        <w:t xml:space="preserve">(WHO) </w:t>
      </w:r>
      <w:r w:rsidR="00595C9A" w:rsidRPr="00F25B73">
        <w:rPr>
          <w:rFonts w:ascii="Times New Roman" w:hAnsi="Times New Roman" w:cs="Times New Roman"/>
          <w:sz w:val="24"/>
          <w:szCs w:val="24"/>
        </w:rPr>
        <w:t>“</w:t>
      </w:r>
      <w:hyperlink r:id="rId8" w:history="1">
        <w:r w:rsidR="00595C9A" w:rsidRPr="00F25B73">
          <w:rPr>
            <w:rStyle w:val="Hyperlink"/>
            <w:rFonts w:ascii="Times New Roman" w:hAnsi="Times New Roman" w:cs="Times New Roman"/>
            <w:sz w:val="24"/>
            <w:szCs w:val="24"/>
          </w:rPr>
          <w:t>Countries with risk of yellow fever transmission and countries requiring yellow fever vaccination</w:t>
        </w:r>
        <w:bookmarkEnd w:id="1"/>
      </w:hyperlink>
      <w:r w:rsidR="00595C9A" w:rsidRPr="00F25B73">
        <w:rPr>
          <w:rFonts w:ascii="Times New Roman" w:hAnsi="Times New Roman" w:cs="Times New Roman"/>
          <w:sz w:val="24"/>
          <w:szCs w:val="24"/>
        </w:rPr>
        <w:t>”</w:t>
      </w:r>
      <w:r w:rsidR="00CB4775" w:rsidRPr="00F25B73">
        <w:rPr>
          <w:rFonts w:ascii="Times New Roman" w:hAnsi="Times New Roman" w:cs="Times New Roman"/>
          <w:sz w:val="24"/>
          <w:szCs w:val="24"/>
        </w:rPr>
        <w:t xml:space="preserve"> guidance document</w:t>
      </w:r>
      <w:r w:rsidR="00963472" w:rsidRPr="00F25B73">
        <w:rPr>
          <w:rFonts w:ascii="Times New Roman" w:hAnsi="Times New Roman" w:cs="Times New Roman"/>
          <w:sz w:val="24"/>
          <w:szCs w:val="24"/>
        </w:rPr>
        <w:t xml:space="preserve"> (</w:t>
      </w:r>
      <w:r w:rsidR="000C5A2E" w:rsidRPr="00F25B73">
        <w:rPr>
          <w:rFonts w:ascii="Times New Roman" w:hAnsi="Times New Roman" w:cs="Times New Roman"/>
          <w:sz w:val="24"/>
          <w:szCs w:val="24"/>
        </w:rPr>
        <w:t>WHO guidance document)</w:t>
      </w:r>
      <w:r w:rsidR="00116475" w:rsidRPr="00F25B73">
        <w:rPr>
          <w:rFonts w:ascii="Times New Roman" w:hAnsi="Times New Roman" w:cs="Times New Roman"/>
          <w:sz w:val="24"/>
          <w:szCs w:val="24"/>
        </w:rPr>
        <w:t>, published on</w:t>
      </w:r>
      <w:r w:rsidR="00E879B6" w:rsidRPr="00F25B73">
        <w:rPr>
          <w:rFonts w:ascii="Times New Roman" w:hAnsi="Times New Roman" w:cs="Times New Roman"/>
          <w:sz w:val="24"/>
          <w:szCs w:val="24"/>
        </w:rPr>
        <w:t xml:space="preserve"> the WHO’s website on</w:t>
      </w:r>
      <w:r w:rsidR="00116475" w:rsidRPr="00F25B73">
        <w:rPr>
          <w:rFonts w:ascii="Times New Roman" w:hAnsi="Times New Roman" w:cs="Times New Roman"/>
          <w:sz w:val="24"/>
          <w:szCs w:val="24"/>
        </w:rPr>
        <w:t xml:space="preserve"> 18 November 2022</w:t>
      </w:r>
      <w:r w:rsidR="00595C9A" w:rsidRPr="00F25B73">
        <w:rPr>
          <w:rFonts w:ascii="Times New Roman" w:hAnsi="Times New Roman" w:cs="Times New Roman"/>
          <w:sz w:val="24"/>
          <w:szCs w:val="24"/>
        </w:rPr>
        <w:t>.</w:t>
      </w:r>
      <w:r w:rsidR="00207E53" w:rsidRPr="00F25B73">
        <w:rPr>
          <w:rFonts w:ascii="Times New Roman" w:hAnsi="Times New Roman" w:cs="Times New Roman"/>
          <w:sz w:val="24"/>
          <w:szCs w:val="24"/>
        </w:rPr>
        <w:t xml:space="preserve"> </w:t>
      </w:r>
      <w:r w:rsidR="00C53420" w:rsidRPr="00F25B73">
        <w:rPr>
          <w:rFonts w:ascii="Times New Roman" w:hAnsi="Times New Roman"/>
          <w:sz w:val="24"/>
          <w:szCs w:val="24"/>
          <w:lang w:eastAsia="ja-JP"/>
        </w:rPr>
        <w:t>The amendment add</w:t>
      </w:r>
      <w:r w:rsidR="00C50EE9" w:rsidRPr="00F25B73">
        <w:rPr>
          <w:rFonts w:ascii="Times New Roman" w:hAnsi="Times New Roman"/>
          <w:sz w:val="24"/>
          <w:szCs w:val="24"/>
          <w:lang w:eastAsia="ja-JP"/>
        </w:rPr>
        <w:t>s an</w:t>
      </w:r>
      <w:r w:rsidR="00C53420" w:rsidRPr="00F25B73">
        <w:rPr>
          <w:rFonts w:ascii="Times New Roman" w:hAnsi="Times New Roman"/>
          <w:sz w:val="24"/>
          <w:szCs w:val="24"/>
          <w:lang w:eastAsia="ja-JP"/>
        </w:rPr>
        <w:t xml:space="preserve"> area to existing listed countries rather than establishing </w:t>
      </w:r>
      <w:r w:rsidR="00C50EE9" w:rsidRPr="00F25B73">
        <w:rPr>
          <w:rFonts w:ascii="Times New Roman" w:hAnsi="Times New Roman"/>
          <w:sz w:val="24"/>
          <w:szCs w:val="24"/>
          <w:lang w:eastAsia="ja-JP"/>
        </w:rPr>
        <w:t xml:space="preserve">a </w:t>
      </w:r>
      <w:r w:rsidR="00C53420" w:rsidRPr="00F25B73">
        <w:rPr>
          <w:rFonts w:ascii="Times New Roman" w:hAnsi="Times New Roman"/>
          <w:sz w:val="24"/>
          <w:szCs w:val="24"/>
          <w:lang w:eastAsia="ja-JP"/>
        </w:rPr>
        <w:t>new countr</w:t>
      </w:r>
      <w:r w:rsidR="00C50EE9" w:rsidRPr="00F25B73">
        <w:rPr>
          <w:rFonts w:ascii="Times New Roman" w:hAnsi="Times New Roman"/>
          <w:sz w:val="24"/>
          <w:szCs w:val="24"/>
          <w:lang w:eastAsia="ja-JP"/>
        </w:rPr>
        <w:t>y</w:t>
      </w:r>
      <w:r w:rsidR="00C53420" w:rsidRPr="00F25B73">
        <w:rPr>
          <w:rFonts w:ascii="Times New Roman" w:hAnsi="Times New Roman"/>
          <w:sz w:val="24"/>
          <w:szCs w:val="24"/>
          <w:lang w:eastAsia="ja-JP"/>
        </w:rPr>
        <w:t xml:space="preserve"> of risk</w:t>
      </w:r>
      <w:r w:rsidR="004164AC" w:rsidRPr="00F25B73">
        <w:rPr>
          <w:rFonts w:ascii="Times New Roman" w:hAnsi="Times New Roman"/>
          <w:sz w:val="24"/>
          <w:szCs w:val="24"/>
          <w:lang w:eastAsia="ja-JP"/>
        </w:rPr>
        <w:t xml:space="preserve">; specifically, including Tobago in the </w:t>
      </w:r>
      <w:r w:rsidR="00AB4B11" w:rsidRPr="00F25B73">
        <w:rPr>
          <w:rFonts w:ascii="Times New Roman" w:hAnsi="Times New Roman"/>
          <w:sz w:val="24"/>
          <w:szCs w:val="24"/>
          <w:lang w:eastAsia="ja-JP"/>
        </w:rPr>
        <w:t>listing for Trinidad</w:t>
      </w:r>
      <w:r w:rsidR="00C53420" w:rsidRPr="00F25B73">
        <w:rPr>
          <w:rFonts w:ascii="Times New Roman" w:hAnsi="Times New Roman"/>
          <w:sz w:val="24"/>
          <w:szCs w:val="24"/>
          <w:lang w:eastAsia="ja-JP"/>
        </w:rPr>
        <w:t>.</w:t>
      </w:r>
    </w:p>
    <w:p w14:paraId="12EF50B0" w14:textId="7CB5A8DC" w:rsidR="00C718E8" w:rsidRPr="00F25B73" w:rsidRDefault="00B1269C" w:rsidP="00595C9A">
      <w:pPr>
        <w:rPr>
          <w:rFonts w:ascii="Times New Roman" w:hAnsi="Times New Roman" w:cs="Times New Roman"/>
          <w:b/>
          <w:bCs/>
          <w:sz w:val="24"/>
          <w:szCs w:val="24"/>
        </w:rPr>
      </w:pPr>
      <w:r w:rsidRPr="00F25B73">
        <w:rPr>
          <w:rFonts w:ascii="Times New Roman" w:hAnsi="Times New Roman" w:cs="Times New Roman"/>
          <w:sz w:val="24"/>
          <w:szCs w:val="24"/>
        </w:rPr>
        <w:t>Th</w:t>
      </w:r>
      <w:r w:rsidR="00761E1A" w:rsidRPr="00F25B73">
        <w:rPr>
          <w:rFonts w:ascii="Times New Roman" w:hAnsi="Times New Roman" w:cs="Times New Roman"/>
          <w:sz w:val="24"/>
          <w:szCs w:val="24"/>
        </w:rPr>
        <w:t>e</w:t>
      </w:r>
      <w:r w:rsidRPr="00F25B73">
        <w:rPr>
          <w:rFonts w:ascii="Times New Roman" w:hAnsi="Times New Roman" w:cs="Times New Roman"/>
          <w:sz w:val="24"/>
          <w:szCs w:val="24"/>
        </w:rPr>
        <w:t xml:space="preserve"> </w:t>
      </w:r>
      <w:r w:rsidR="00AE6BE3" w:rsidRPr="00F25B73">
        <w:rPr>
          <w:rFonts w:ascii="Times New Roman" w:hAnsi="Times New Roman" w:cs="Times New Roman"/>
          <w:sz w:val="24"/>
          <w:szCs w:val="24"/>
        </w:rPr>
        <w:t>Principal D</w:t>
      </w:r>
      <w:r w:rsidRPr="00F25B73">
        <w:rPr>
          <w:rFonts w:ascii="Times New Roman" w:hAnsi="Times New Roman" w:cs="Times New Roman"/>
          <w:sz w:val="24"/>
          <w:szCs w:val="24"/>
        </w:rPr>
        <w:t xml:space="preserve">etermination is a legislative instrument for the purposes of the </w:t>
      </w:r>
      <w:r w:rsidRPr="00F25B73">
        <w:rPr>
          <w:rFonts w:ascii="Times New Roman" w:hAnsi="Times New Roman" w:cs="Times New Roman"/>
          <w:i/>
          <w:sz w:val="24"/>
          <w:szCs w:val="24"/>
        </w:rPr>
        <w:t>Legislation Act 2003.</w:t>
      </w:r>
      <w:r w:rsidR="00DA20B5" w:rsidRPr="00F25B73">
        <w:rPr>
          <w:rFonts w:ascii="Times New Roman" w:hAnsi="Times New Roman" w:cs="Times New Roman"/>
          <w:i/>
          <w:sz w:val="24"/>
          <w:szCs w:val="24"/>
        </w:rPr>
        <w:t xml:space="preserve"> </w:t>
      </w:r>
      <w:r w:rsidR="0038351A" w:rsidRPr="00F25B73">
        <w:rPr>
          <w:rFonts w:ascii="Times New Roman" w:hAnsi="Times New Roman" w:cs="Times New Roman"/>
          <w:iCs/>
          <w:sz w:val="24"/>
          <w:szCs w:val="24"/>
        </w:rPr>
        <w:t>Th</w:t>
      </w:r>
      <w:r w:rsidR="00761E1A" w:rsidRPr="00F25B73">
        <w:rPr>
          <w:rFonts w:ascii="Times New Roman" w:hAnsi="Times New Roman" w:cs="Times New Roman"/>
          <w:iCs/>
          <w:sz w:val="24"/>
          <w:szCs w:val="24"/>
        </w:rPr>
        <w:t>e</w:t>
      </w:r>
      <w:r w:rsidR="0038351A" w:rsidRPr="00F25B73">
        <w:rPr>
          <w:rFonts w:ascii="Times New Roman" w:hAnsi="Times New Roman" w:cs="Times New Roman"/>
          <w:iCs/>
          <w:sz w:val="24"/>
          <w:szCs w:val="24"/>
        </w:rPr>
        <w:t xml:space="preserve"> </w:t>
      </w:r>
      <w:r w:rsidR="00AE6BE3" w:rsidRPr="00F25B73">
        <w:rPr>
          <w:rFonts w:ascii="Times New Roman" w:hAnsi="Times New Roman" w:cs="Times New Roman"/>
          <w:iCs/>
          <w:sz w:val="24"/>
          <w:szCs w:val="24"/>
        </w:rPr>
        <w:t>Principal D</w:t>
      </w:r>
      <w:r w:rsidR="0038351A" w:rsidRPr="00F25B73">
        <w:rPr>
          <w:rFonts w:ascii="Times New Roman" w:hAnsi="Times New Roman" w:cs="Times New Roman"/>
          <w:iCs/>
          <w:sz w:val="24"/>
          <w:szCs w:val="24"/>
        </w:rPr>
        <w:t xml:space="preserve">etermination was made under subsection 44(2) of the </w:t>
      </w:r>
      <w:r w:rsidR="0038351A" w:rsidRPr="00F25B73">
        <w:rPr>
          <w:rFonts w:ascii="Times New Roman" w:hAnsi="Times New Roman" w:cs="Times New Roman"/>
          <w:i/>
          <w:sz w:val="24"/>
          <w:szCs w:val="24"/>
        </w:rPr>
        <w:t>Biosecurity Act 2015</w:t>
      </w:r>
      <w:r w:rsidR="00E74A64" w:rsidRPr="00F25B73">
        <w:rPr>
          <w:rFonts w:ascii="Times New Roman" w:hAnsi="Times New Roman" w:cs="Times New Roman"/>
          <w:i/>
          <w:sz w:val="24"/>
          <w:szCs w:val="24"/>
        </w:rPr>
        <w:t xml:space="preserve"> </w:t>
      </w:r>
      <w:r w:rsidR="00E74A64" w:rsidRPr="00F25B73">
        <w:rPr>
          <w:rFonts w:ascii="Times New Roman" w:hAnsi="Times New Roman" w:cs="Times New Roman"/>
          <w:iCs/>
          <w:sz w:val="24"/>
          <w:szCs w:val="24"/>
        </w:rPr>
        <w:t>(</w:t>
      </w:r>
      <w:proofErr w:type="spellStart"/>
      <w:r w:rsidR="00E74A64" w:rsidRPr="00F25B73">
        <w:rPr>
          <w:rFonts w:ascii="Times New Roman" w:hAnsi="Times New Roman" w:cs="Times New Roman"/>
          <w:iCs/>
          <w:sz w:val="24"/>
          <w:szCs w:val="24"/>
        </w:rPr>
        <w:t>Cth</w:t>
      </w:r>
      <w:proofErr w:type="spellEnd"/>
      <w:r w:rsidR="00E74A64" w:rsidRPr="00F25B73">
        <w:rPr>
          <w:rFonts w:ascii="Times New Roman" w:hAnsi="Times New Roman" w:cs="Times New Roman"/>
          <w:iCs/>
          <w:sz w:val="24"/>
          <w:szCs w:val="24"/>
        </w:rPr>
        <w:t>)</w:t>
      </w:r>
      <w:r w:rsidR="00CC279C" w:rsidRPr="00F25B73">
        <w:rPr>
          <w:rFonts w:ascii="Times New Roman" w:hAnsi="Times New Roman" w:cs="Times New Roman"/>
          <w:i/>
          <w:sz w:val="24"/>
          <w:szCs w:val="24"/>
        </w:rPr>
        <w:t xml:space="preserve"> </w:t>
      </w:r>
      <w:r w:rsidR="00CC279C" w:rsidRPr="00F25B73">
        <w:rPr>
          <w:rFonts w:ascii="Times New Roman" w:hAnsi="Times New Roman" w:cs="Times New Roman"/>
          <w:iCs/>
          <w:sz w:val="24"/>
          <w:szCs w:val="24"/>
        </w:rPr>
        <w:t>(the Biosecurity Act)</w:t>
      </w:r>
      <w:r w:rsidR="0038351A" w:rsidRPr="00F25B73">
        <w:rPr>
          <w:rFonts w:ascii="Times New Roman" w:hAnsi="Times New Roman" w:cs="Times New Roman"/>
          <w:i/>
          <w:sz w:val="24"/>
          <w:szCs w:val="24"/>
        </w:rPr>
        <w:t xml:space="preserve">, </w:t>
      </w:r>
      <w:r w:rsidR="0038351A" w:rsidRPr="00F25B73">
        <w:rPr>
          <w:rFonts w:ascii="Times New Roman" w:hAnsi="Times New Roman" w:cs="Times New Roman"/>
          <w:iCs/>
          <w:sz w:val="24"/>
          <w:szCs w:val="24"/>
        </w:rPr>
        <w:t>and subsection 44(3) provides</w:t>
      </w:r>
      <w:r w:rsidR="009E4A9B" w:rsidRPr="00F25B73">
        <w:rPr>
          <w:rFonts w:ascii="Times New Roman" w:hAnsi="Times New Roman" w:cs="Times New Roman"/>
          <w:iCs/>
          <w:sz w:val="24"/>
          <w:szCs w:val="24"/>
        </w:rPr>
        <w:t xml:space="preserve"> that</w:t>
      </w:r>
      <w:r w:rsidR="0038351A" w:rsidRPr="00F25B73">
        <w:rPr>
          <w:rFonts w:ascii="Times New Roman" w:hAnsi="Times New Roman" w:cs="Times New Roman"/>
          <w:iCs/>
          <w:sz w:val="24"/>
          <w:szCs w:val="24"/>
        </w:rPr>
        <w:t xml:space="preserve"> a determination made under subsection 44(2) is a legislative instrument, but section 42 (disallowance) of the </w:t>
      </w:r>
      <w:r w:rsidR="0038351A" w:rsidRPr="00F25B73">
        <w:rPr>
          <w:rFonts w:ascii="Times New Roman" w:hAnsi="Times New Roman" w:cs="Times New Roman"/>
          <w:i/>
          <w:sz w:val="24"/>
          <w:szCs w:val="24"/>
        </w:rPr>
        <w:t>Legislation Act 2003</w:t>
      </w:r>
      <w:r w:rsidR="0038351A" w:rsidRPr="00F25B73">
        <w:rPr>
          <w:rFonts w:ascii="Times New Roman" w:hAnsi="Times New Roman" w:cs="Times New Roman"/>
          <w:iCs/>
          <w:sz w:val="24"/>
          <w:szCs w:val="24"/>
        </w:rPr>
        <w:t xml:space="preserve"> does not apply to the instrument</w:t>
      </w:r>
      <w:r w:rsidR="0038351A" w:rsidRPr="00F25B73">
        <w:rPr>
          <w:rFonts w:ascii="Times New Roman" w:hAnsi="Times New Roman" w:cs="Times New Roman"/>
          <w:sz w:val="24"/>
          <w:szCs w:val="24"/>
        </w:rPr>
        <w:t>.</w:t>
      </w:r>
    </w:p>
    <w:p w14:paraId="0EE959AE" w14:textId="77777777"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069546C9" w14:textId="79133609" w:rsidR="00C718E8" w:rsidRPr="00F25B73"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r w:rsidRPr="00F25B73">
        <w:rPr>
          <w:rFonts w:ascii="Times New Roman" w:hAnsi="Times New Roman" w:cs="Times New Roman"/>
          <w:b/>
          <w:bCs/>
          <w:color w:val="000000"/>
          <w:sz w:val="24"/>
          <w:szCs w:val="24"/>
        </w:rPr>
        <w:t xml:space="preserve">Background </w:t>
      </w:r>
    </w:p>
    <w:p w14:paraId="02DA25DA" w14:textId="77777777" w:rsidR="00C95E5D" w:rsidRPr="00F25B73" w:rsidRDefault="000870DA" w:rsidP="005571B1">
      <w:pPr>
        <w:rPr>
          <w:rFonts w:ascii="Times New Roman" w:hAnsi="Times New Roman" w:cs="Times New Roman"/>
          <w:iCs/>
          <w:sz w:val="24"/>
          <w:szCs w:val="24"/>
        </w:rPr>
      </w:pPr>
      <w:r w:rsidRPr="00F25B73">
        <w:rPr>
          <w:rFonts w:ascii="Times New Roman" w:hAnsi="Times New Roman" w:cs="Times New Roman"/>
          <w:color w:val="000000"/>
          <w:sz w:val="24"/>
          <w:szCs w:val="24"/>
        </w:rPr>
        <w:br/>
      </w:r>
      <w:bookmarkStart w:id="2" w:name="_Hlk137123327"/>
      <w:r w:rsidR="00B1269C" w:rsidRPr="00F25B73">
        <w:rPr>
          <w:rFonts w:ascii="Times New Roman" w:hAnsi="Times New Roman" w:cs="Times New Roman"/>
          <w:sz w:val="24"/>
          <w:szCs w:val="24"/>
        </w:rPr>
        <w:t xml:space="preserve">The </w:t>
      </w:r>
      <w:r w:rsidR="00B1269C" w:rsidRPr="00F25B73">
        <w:rPr>
          <w:rFonts w:ascii="Times New Roman" w:hAnsi="Times New Roman" w:cs="Times New Roman"/>
          <w:iCs/>
          <w:sz w:val="24"/>
          <w:szCs w:val="24"/>
        </w:rPr>
        <w:t>Biosecurity Act</w:t>
      </w:r>
      <w:r w:rsidR="00B1269C" w:rsidRPr="00F25B73">
        <w:rPr>
          <w:rFonts w:ascii="Times New Roman" w:hAnsi="Times New Roman" w:cs="Times New Roman"/>
          <w:i/>
          <w:sz w:val="24"/>
          <w:szCs w:val="24"/>
        </w:rPr>
        <w:t xml:space="preserve"> </w:t>
      </w:r>
      <w:r w:rsidR="00B1269C" w:rsidRPr="00F25B73">
        <w:rPr>
          <w:rFonts w:ascii="Times New Roman" w:hAnsi="Times New Roman" w:cs="Times New Roman"/>
          <w:sz w:val="24"/>
          <w:szCs w:val="24"/>
        </w:rPr>
        <w:t>provides the primary legislative means and a regulatory framework for the Australian Government to manage the risk of pests and diseases from entering Australian territory and causing harm to animal, plant and human health, the environment, and the economy.  The</w:t>
      </w:r>
      <w:r w:rsidR="0038351A" w:rsidRPr="00F25B73">
        <w:rPr>
          <w:rFonts w:ascii="Times New Roman" w:hAnsi="Times New Roman" w:cs="Times New Roman"/>
          <w:sz w:val="24"/>
          <w:szCs w:val="24"/>
        </w:rPr>
        <w:t xml:space="preserve"> Biosecurity</w:t>
      </w:r>
      <w:r w:rsidR="00B1269C" w:rsidRPr="00F25B73">
        <w:rPr>
          <w:rFonts w:ascii="Times New Roman" w:hAnsi="Times New Roman" w:cs="Times New Roman"/>
          <w:sz w:val="24"/>
          <w:szCs w:val="24"/>
        </w:rPr>
        <w:t xml:space="preserve"> Act manages biosecurity risks – including the risk of listed human diseases – entering Australian territory, or emerging, establishing themselves, or spreading in Australian territory or a part of Australian territory.</w:t>
      </w:r>
      <w:r w:rsidR="0062101D" w:rsidRPr="00F25B73">
        <w:rPr>
          <w:rFonts w:ascii="Times New Roman" w:hAnsi="Times New Roman" w:cs="Times New Roman"/>
          <w:sz w:val="24"/>
          <w:szCs w:val="24"/>
        </w:rPr>
        <w:t xml:space="preserve"> Yellow fever is a listed human disease </w:t>
      </w:r>
      <w:r w:rsidR="00E74A64" w:rsidRPr="00F25B73">
        <w:rPr>
          <w:rFonts w:ascii="Times New Roman" w:hAnsi="Times New Roman" w:cs="Times New Roman"/>
          <w:sz w:val="24"/>
          <w:szCs w:val="24"/>
        </w:rPr>
        <w:t xml:space="preserve">for the purposes of subsection 42(1) of </w:t>
      </w:r>
      <w:r w:rsidR="0062101D" w:rsidRPr="00F25B73">
        <w:rPr>
          <w:rFonts w:ascii="Times New Roman" w:hAnsi="Times New Roman" w:cs="Times New Roman"/>
          <w:sz w:val="24"/>
          <w:szCs w:val="24"/>
        </w:rPr>
        <w:t xml:space="preserve">the </w:t>
      </w:r>
      <w:r w:rsidR="0062101D" w:rsidRPr="00F25B73">
        <w:rPr>
          <w:rFonts w:ascii="Times New Roman" w:hAnsi="Times New Roman" w:cs="Times New Roman"/>
          <w:iCs/>
          <w:sz w:val="24"/>
          <w:szCs w:val="24"/>
        </w:rPr>
        <w:t>Biosecurity Act</w:t>
      </w:r>
      <w:r w:rsidR="00E74A64" w:rsidRPr="00F25B73">
        <w:rPr>
          <w:rFonts w:ascii="Times New Roman" w:hAnsi="Times New Roman" w:cs="Times New Roman"/>
          <w:iCs/>
          <w:sz w:val="24"/>
          <w:szCs w:val="24"/>
        </w:rPr>
        <w:t xml:space="preserve">. </w:t>
      </w:r>
      <w:bookmarkEnd w:id="2"/>
    </w:p>
    <w:p w14:paraId="6E491EFB" w14:textId="28EC0DCC" w:rsidR="00C718E8" w:rsidRPr="00F25B73" w:rsidRDefault="00B1269C" w:rsidP="005571B1">
      <w:pPr>
        <w:rPr>
          <w:rFonts w:ascii="Times New Roman" w:hAnsi="Times New Roman" w:cs="Times New Roman"/>
          <w:iCs/>
          <w:sz w:val="24"/>
          <w:szCs w:val="24"/>
        </w:rPr>
      </w:pPr>
      <w:r w:rsidRPr="00F25B73">
        <w:br/>
      </w:r>
      <w:bookmarkStart w:id="3" w:name="_Hlk137120789"/>
      <w:r w:rsidR="005571B1" w:rsidRPr="00F25B73">
        <w:rPr>
          <w:rFonts w:ascii="Times New Roman" w:hAnsi="Times New Roman" w:cs="Times New Roman"/>
          <w:sz w:val="24"/>
          <w:szCs w:val="24"/>
        </w:rPr>
        <w:t>Australia is a signatory</w:t>
      </w:r>
      <w:r w:rsidR="0038351A" w:rsidRPr="00F25B73">
        <w:rPr>
          <w:rFonts w:ascii="Times New Roman" w:hAnsi="Times New Roman" w:cs="Times New Roman"/>
          <w:sz w:val="24"/>
          <w:szCs w:val="24"/>
        </w:rPr>
        <w:t xml:space="preserve"> and Member State</w:t>
      </w:r>
      <w:r w:rsidR="005571B1" w:rsidRPr="00F25B73">
        <w:rPr>
          <w:rFonts w:ascii="Times New Roman" w:hAnsi="Times New Roman" w:cs="Times New Roman"/>
          <w:sz w:val="24"/>
          <w:szCs w:val="24"/>
        </w:rPr>
        <w:t xml:space="preserve"> to the </w:t>
      </w:r>
      <w:r w:rsidR="0066553F" w:rsidRPr="00F25B73">
        <w:rPr>
          <w:rFonts w:ascii="Times New Roman" w:hAnsi="Times New Roman" w:cs="Times New Roman"/>
          <w:sz w:val="24"/>
          <w:szCs w:val="24"/>
        </w:rPr>
        <w:t>WHO</w:t>
      </w:r>
      <w:r w:rsidR="005571B1" w:rsidRPr="00F25B73">
        <w:rPr>
          <w:rFonts w:ascii="Times New Roman" w:hAnsi="Times New Roman" w:cs="Times New Roman"/>
          <w:sz w:val="24"/>
          <w:szCs w:val="24"/>
        </w:rPr>
        <w:t xml:space="preserve"> </w:t>
      </w:r>
      <w:r w:rsidR="005571B1" w:rsidRPr="00F25B73">
        <w:rPr>
          <w:rFonts w:ascii="Times New Roman" w:hAnsi="Times New Roman" w:cs="Times New Roman"/>
          <w:i/>
          <w:sz w:val="24"/>
          <w:szCs w:val="24"/>
        </w:rPr>
        <w:t xml:space="preserve">International Health Regulations 2005 </w:t>
      </w:r>
      <w:r w:rsidR="005571B1" w:rsidRPr="00F25B73">
        <w:rPr>
          <w:rFonts w:ascii="Times New Roman" w:hAnsi="Times New Roman" w:cs="Times New Roman"/>
          <w:sz w:val="24"/>
          <w:szCs w:val="24"/>
        </w:rPr>
        <w:t xml:space="preserve">(IHR). </w:t>
      </w:r>
      <w:r w:rsidR="005571B1" w:rsidRPr="00F25B73">
        <w:rPr>
          <w:rFonts w:ascii="Times New Roman" w:hAnsi="Times New Roman" w:cs="Times New Roman"/>
          <w:color w:val="000000"/>
          <w:sz w:val="24"/>
          <w:szCs w:val="24"/>
          <w:shd w:val="clear" w:color="auto" w:fill="FFFFFF"/>
        </w:rPr>
        <w:t>The IHR allow Member States to require arriving travellers to provide proof of vaccination against certain diseases and t</w:t>
      </w:r>
      <w:r w:rsidR="005571B1" w:rsidRPr="00F25B73">
        <w:rPr>
          <w:rFonts w:ascii="Times New Roman" w:hAnsi="Times New Roman" w:cs="Times New Roman"/>
          <w:sz w:val="24"/>
          <w:szCs w:val="24"/>
        </w:rPr>
        <w:t>o have the capacity to apply entry and exit requirements for arriving and departing travellers in response to public health risks and emergencies of international concern.</w:t>
      </w:r>
      <w:r w:rsidR="0038351A" w:rsidRPr="00F25B73">
        <w:rPr>
          <w:rFonts w:ascii="Times New Roman" w:hAnsi="Times New Roman" w:cs="Times New Roman"/>
          <w:sz w:val="24"/>
          <w:szCs w:val="24"/>
        </w:rPr>
        <w:t xml:space="preserve"> Australia </w:t>
      </w:r>
      <w:r w:rsidR="00E879B6" w:rsidRPr="00F25B73">
        <w:rPr>
          <w:rFonts w:ascii="Times New Roman" w:hAnsi="Times New Roman" w:cs="Times New Roman"/>
          <w:sz w:val="24"/>
          <w:szCs w:val="24"/>
        </w:rPr>
        <w:t>has done this</w:t>
      </w:r>
      <w:r w:rsidR="0038351A" w:rsidRPr="00F25B73">
        <w:rPr>
          <w:rFonts w:ascii="Times New Roman" w:hAnsi="Times New Roman" w:cs="Times New Roman"/>
          <w:sz w:val="24"/>
          <w:szCs w:val="24"/>
        </w:rPr>
        <w:t xml:space="preserve"> </w:t>
      </w:r>
      <w:r w:rsidR="00575E65" w:rsidRPr="00F25B73">
        <w:rPr>
          <w:rFonts w:ascii="Times New Roman" w:hAnsi="Times New Roman" w:cs="Times New Roman"/>
          <w:sz w:val="24"/>
          <w:szCs w:val="24"/>
        </w:rPr>
        <w:t>by making the Principal D</w:t>
      </w:r>
      <w:r w:rsidR="0038351A" w:rsidRPr="00F25B73">
        <w:rPr>
          <w:rFonts w:ascii="Times New Roman" w:hAnsi="Times New Roman" w:cs="Times New Roman"/>
          <w:sz w:val="24"/>
          <w:szCs w:val="24"/>
        </w:rPr>
        <w:t>etermination under s</w:t>
      </w:r>
      <w:r w:rsidR="00E74A64" w:rsidRPr="00F25B73">
        <w:rPr>
          <w:rFonts w:ascii="Times New Roman" w:hAnsi="Times New Roman" w:cs="Times New Roman"/>
          <w:sz w:val="24"/>
          <w:szCs w:val="24"/>
        </w:rPr>
        <w:t>ub</w:t>
      </w:r>
      <w:r w:rsidR="0028703A" w:rsidRPr="00F25B73">
        <w:rPr>
          <w:rFonts w:ascii="Times New Roman" w:hAnsi="Times New Roman" w:cs="Times New Roman"/>
          <w:sz w:val="24"/>
          <w:szCs w:val="24"/>
        </w:rPr>
        <w:t>s</w:t>
      </w:r>
      <w:r w:rsidR="0038351A" w:rsidRPr="00F25B73">
        <w:rPr>
          <w:rFonts w:ascii="Times New Roman" w:hAnsi="Times New Roman" w:cs="Times New Roman"/>
          <w:sz w:val="24"/>
          <w:szCs w:val="24"/>
        </w:rPr>
        <w:t>ection 44(2) of the Biosecurity Act.</w:t>
      </w:r>
      <w:r w:rsidR="005571B1" w:rsidRPr="00F25B73">
        <w:rPr>
          <w:rFonts w:ascii="Times New Roman" w:hAnsi="Times New Roman" w:cs="Times New Roman"/>
          <w:sz w:val="24"/>
          <w:szCs w:val="24"/>
        </w:rPr>
        <w:br/>
      </w:r>
      <w:r w:rsidR="005571B1" w:rsidRPr="00F25B73">
        <w:rPr>
          <w:rFonts w:ascii="Times New Roman" w:hAnsi="Times New Roman" w:cs="Times New Roman"/>
          <w:color w:val="000000"/>
          <w:sz w:val="24"/>
          <w:szCs w:val="24"/>
          <w:shd w:val="clear" w:color="auto" w:fill="FFFFFF"/>
        </w:rPr>
        <w:br/>
      </w:r>
      <w:r w:rsidR="005571B1" w:rsidRPr="00F25B73">
        <w:rPr>
          <w:rFonts w:ascii="Times New Roman" w:hAnsi="Times New Roman" w:cs="Times New Roman"/>
          <w:sz w:val="24"/>
          <w:szCs w:val="24"/>
        </w:rPr>
        <w:t xml:space="preserve">Consistent with the IHR, the </w:t>
      </w:r>
      <w:r w:rsidR="00575E65" w:rsidRPr="00F25B73">
        <w:rPr>
          <w:rFonts w:ascii="Times New Roman" w:hAnsi="Times New Roman" w:cs="Times New Roman"/>
          <w:sz w:val="24"/>
          <w:szCs w:val="24"/>
        </w:rPr>
        <w:t xml:space="preserve">Principal Determination </w:t>
      </w:r>
      <w:r w:rsidR="005571B1" w:rsidRPr="00F25B73">
        <w:rPr>
          <w:rFonts w:ascii="Times New Roman" w:hAnsi="Times New Roman" w:cs="Times New Roman"/>
          <w:sz w:val="24"/>
          <w:szCs w:val="24"/>
        </w:rPr>
        <w:t xml:space="preserve">provides that </w:t>
      </w:r>
      <w:r w:rsidR="006243C4" w:rsidRPr="00F25B73">
        <w:rPr>
          <w:rFonts w:ascii="Times New Roman" w:hAnsi="Times New Roman" w:cs="Times New Roman"/>
          <w:sz w:val="24"/>
          <w:szCs w:val="24"/>
        </w:rPr>
        <w:t xml:space="preserve">an </w:t>
      </w:r>
      <w:r w:rsidR="005571B1" w:rsidRPr="00F25B73">
        <w:rPr>
          <w:rFonts w:ascii="Times New Roman" w:hAnsi="Times New Roman" w:cs="Times New Roman"/>
          <w:sz w:val="24"/>
          <w:szCs w:val="24"/>
        </w:rPr>
        <w:t>individual entering Australia who ha</w:t>
      </w:r>
      <w:r w:rsidR="006243C4" w:rsidRPr="00F25B73">
        <w:rPr>
          <w:rFonts w:ascii="Times New Roman" w:hAnsi="Times New Roman" w:cs="Times New Roman"/>
          <w:sz w:val="24"/>
          <w:szCs w:val="24"/>
        </w:rPr>
        <w:t>s</w:t>
      </w:r>
      <w:r w:rsidR="005571B1" w:rsidRPr="00F25B73">
        <w:rPr>
          <w:rFonts w:ascii="Times New Roman" w:hAnsi="Times New Roman" w:cs="Times New Roman"/>
          <w:sz w:val="24"/>
          <w:szCs w:val="24"/>
        </w:rPr>
        <w:t xml:space="preserve"> been in a yellow fever risk country in the last 6 days</w:t>
      </w:r>
      <w:r w:rsidR="005571B1" w:rsidRPr="00F25B73">
        <w:rPr>
          <w:rFonts w:ascii="Times New Roman" w:hAnsi="Times New Roman" w:cs="Times New Roman"/>
          <w:color w:val="000000"/>
          <w:sz w:val="24"/>
          <w:szCs w:val="24"/>
          <w:shd w:val="clear" w:color="auto" w:fill="FFFFFF"/>
        </w:rPr>
        <w:t xml:space="preserve"> must make </w:t>
      </w:r>
      <w:r w:rsidR="006243C4" w:rsidRPr="00F25B73">
        <w:rPr>
          <w:rFonts w:ascii="Times New Roman" w:hAnsi="Times New Roman" w:cs="Times New Roman"/>
          <w:color w:val="000000"/>
          <w:sz w:val="24"/>
          <w:szCs w:val="24"/>
          <w:shd w:val="clear" w:color="auto" w:fill="FFFFFF"/>
        </w:rPr>
        <w:t xml:space="preserve">a </w:t>
      </w:r>
      <w:r w:rsidR="005571B1" w:rsidRPr="00F25B73">
        <w:rPr>
          <w:rFonts w:ascii="Times New Roman" w:hAnsi="Times New Roman" w:cs="Times New Roman"/>
          <w:color w:val="000000"/>
          <w:sz w:val="24"/>
          <w:szCs w:val="24"/>
          <w:shd w:val="clear" w:color="auto" w:fill="FFFFFF"/>
        </w:rPr>
        <w:t xml:space="preserve">declaration as to their travel history </w:t>
      </w:r>
      <w:r w:rsidR="00F46BD5" w:rsidRPr="00F25B73">
        <w:rPr>
          <w:rFonts w:ascii="Times New Roman" w:hAnsi="Times New Roman" w:cs="Times New Roman"/>
          <w:color w:val="000000"/>
          <w:sz w:val="24"/>
          <w:szCs w:val="24"/>
          <w:shd w:val="clear" w:color="auto" w:fill="FFFFFF"/>
        </w:rPr>
        <w:t xml:space="preserve">in those 6 days </w:t>
      </w:r>
      <w:r w:rsidR="005571B1" w:rsidRPr="00F25B73">
        <w:rPr>
          <w:rFonts w:ascii="Times New Roman" w:hAnsi="Times New Roman" w:cs="Times New Roman"/>
          <w:color w:val="000000"/>
          <w:sz w:val="24"/>
          <w:szCs w:val="24"/>
          <w:shd w:val="clear" w:color="auto" w:fill="FFFFFF"/>
        </w:rPr>
        <w:t>and</w:t>
      </w:r>
      <w:r w:rsidR="005571B1" w:rsidRPr="00F25B73">
        <w:rPr>
          <w:rFonts w:ascii="Times New Roman" w:hAnsi="Times New Roman" w:cs="Times New Roman"/>
          <w:sz w:val="24"/>
          <w:szCs w:val="24"/>
        </w:rPr>
        <w:t xml:space="preserve"> may be required to carry and show a </w:t>
      </w:r>
      <w:r w:rsidR="005571B1" w:rsidRPr="00F25B73">
        <w:rPr>
          <w:rFonts w:ascii="Times New Roman" w:hAnsi="Times New Roman" w:cs="Times New Roman"/>
          <w:sz w:val="24"/>
          <w:szCs w:val="24"/>
        </w:rPr>
        <w:lastRenderedPageBreak/>
        <w:t xml:space="preserve">certificate of vaccination against yellow fever. </w:t>
      </w:r>
      <w:r w:rsidR="00487ACB" w:rsidRPr="00F25B73">
        <w:rPr>
          <w:rFonts w:ascii="Times New Roman" w:hAnsi="Times New Roman" w:cs="Times New Roman"/>
          <w:sz w:val="24"/>
          <w:szCs w:val="24"/>
        </w:rPr>
        <w:t>This</w:t>
      </w:r>
      <w:r w:rsidR="005571B1" w:rsidRPr="00F25B73">
        <w:rPr>
          <w:rFonts w:ascii="Times New Roman" w:hAnsi="Times New Roman" w:cs="Times New Roman"/>
          <w:sz w:val="24"/>
          <w:szCs w:val="24"/>
        </w:rPr>
        <w:t xml:space="preserve"> list of countries is based on information provided by the </w:t>
      </w:r>
      <w:r w:rsidR="000C5A2E" w:rsidRPr="00F25B73">
        <w:rPr>
          <w:rFonts w:ascii="Times New Roman" w:hAnsi="Times New Roman" w:cs="Times New Roman"/>
          <w:sz w:val="24"/>
          <w:szCs w:val="24"/>
        </w:rPr>
        <w:t>WHO guidance document</w:t>
      </w:r>
      <w:r w:rsidR="005571B1" w:rsidRPr="00F25B73">
        <w:rPr>
          <w:rFonts w:ascii="Times New Roman" w:hAnsi="Times New Roman" w:cs="Times New Roman"/>
          <w:sz w:val="24"/>
          <w:szCs w:val="24"/>
        </w:rPr>
        <w:t xml:space="preserve"> and will continue to be regularly reviewed, as appropriate.</w:t>
      </w:r>
    </w:p>
    <w:bookmarkEnd w:id="3"/>
    <w:p w14:paraId="703F2E0B" w14:textId="77777777" w:rsidR="00C718E8" w:rsidRPr="00F25B73"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p>
    <w:p w14:paraId="1EA6912B" w14:textId="5E6CFB8C" w:rsidR="000870DA" w:rsidRPr="00F25B73" w:rsidRDefault="00CC2E84" w:rsidP="0062101D">
      <w:pPr>
        <w:autoSpaceDE w:val="0"/>
        <w:autoSpaceDN w:val="0"/>
        <w:adjustRightInd w:val="0"/>
        <w:spacing w:after="0" w:line="240" w:lineRule="auto"/>
        <w:rPr>
          <w:rFonts w:ascii="Times New Roman" w:hAnsi="Times New Roman" w:cs="Times New Roman"/>
          <w:b/>
          <w:bCs/>
          <w:color w:val="000000"/>
          <w:sz w:val="24"/>
          <w:szCs w:val="24"/>
        </w:rPr>
      </w:pPr>
      <w:r w:rsidRPr="00F25B73">
        <w:rPr>
          <w:rFonts w:ascii="Times New Roman" w:hAnsi="Times New Roman" w:cs="Times New Roman"/>
          <w:b/>
          <w:bCs/>
          <w:color w:val="000000"/>
          <w:sz w:val="24"/>
          <w:szCs w:val="24"/>
        </w:rPr>
        <w:t>Authority</w:t>
      </w:r>
      <w:r w:rsidR="0062101D" w:rsidRPr="00F25B73">
        <w:rPr>
          <w:rFonts w:ascii="Times New Roman" w:hAnsi="Times New Roman" w:cs="Times New Roman"/>
          <w:b/>
          <w:bCs/>
          <w:color w:val="000000"/>
          <w:sz w:val="24"/>
          <w:szCs w:val="24"/>
        </w:rPr>
        <w:br/>
      </w:r>
    </w:p>
    <w:p w14:paraId="565C4E1C" w14:textId="16DBCA4B" w:rsidR="00CC2E84" w:rsidRPr="00F25B73" w:rsidRDefault="000870DA" w:rsidP="00A271F4">
      <w:pPr>
        <w:rPr>
          <w:rFonts w:ascii="Times New Roman" w:hAnsi="Times New Roman" w:cs="Times New Roman"/>
          <w:sz w:val="24"/>
          <w:szCs w:val="24"/>
        </w:rPr>
      </w:pPr>
      <w:bookmarkStart w:id="4" w:name="_Hlk137129943"/>
      <w:r w:rsidRPr="00F25B73">
        <w:rPr>
          <w:rFonts w:ascii="Times New Roman" w:hAnsi="Times New Roman" w:cs="Times New Roman"/>
          <w:sz w:val="24"/>
          <w:szCs w:val="24"/>
        </w:rPr>
        <w:t xml:space="preserve">Subsection 44(2) of the </w:t>
      </w:r>
      <w:r w:rsidR="0038351A" w:rsidRPr="00F25B73">
        <w:rPr>
          <w:rFonts w:ascii="Times New Roman" w:hAnsi="Times New Roman" w:cs="Times New Roman"/>
          <w:iCs/>
          <w:sz w:val="24"/>
          <w:szCs w:val="24"/>
        </w:rPr>
        <w:t>Biosecurity Act</w:t>
      </w:r>
      <w:r w:rsidR="0038351A" w:rsidRPr="00F25B73">
        <w:rPr>
          <w:rFonts w:ascii="Times New Roman" w:hAnsi="Times New Roman" w:cs="Times New Roman"/>
          <w:i/>
          <w:sz w:val="24"/>
          <w:szCs w:val="24"/>
        </w:rPr>
        <w:t xml:space="preserve"> </w:t>
      </w:r>
      <w:r w:rsidRPr="00F25B73">
        <w:rPr>
          <w:rFonts w:ascii="Times New Roman" w:hAnsi="Times New Roman" w:cs="Times New Roman"/>
          <w:sz w:val="24"/>
          <w:szCs w:val="24"/>
        </w:rPr>
        <w:t xml:space="preserve">provides that the </w:t>
      </w:r>
      <w:proofErr w:type="gramStart"/>
      <w:r w:rsidRPr="00F25B73">
        <w:rPr>
          <w:rFonts w:ascii="Times New Roman" w:hAnsi="Times New Roman" w:cs="Times New Roman"/>
          <w:sz w:val="24"/>
          <w:szCs w:val="24"/>
        </w:rPr>
        <w:t>Health</w:t>
      </w:r>
      <w:proofErr w:type="gramEnd"/>
      <w:r w:rsidRPr="00F25B73">
        <w:rPr>
          <w:rFonts w:ascii="Times New Roman" w:hAnsi="Times New Roman" w:cs="Times New Roman"/>
          <w:sz w:val="24"/>
          <w:szCs w:val="24"/>
        </w:rPr>
        <w:t xml:space="preserve"> Minister may determine one or more requirements for individuals who are entering Australian territory at a landing place or port.</w:t>
      </w:r>
      <w:r w:rsidR="0038351A" w:rsidRPr="00F25B73">
        <w:rPr>
          <w:rFonts w:ascii="Times New Roman" w:hAnsi="Times New Roman" w:cs="Times New Roman"/>
          <w:sz w:val="24"/>
          <w:szCs w:val="24"/>
        </w:rPr>
        <w:t xml:space="preserve"> Subsections 44(4), (5) and (6) of the </w:t>
      </w:r>
      <w:r w:rsidR="0038351A" w:rsidRPr="00F25B73">
        <w:rPr>
          <w:rFonts w:ascii="Times New Roman" w:hAnsi="Times New Roman" w:cs="Times New Roman"/>
          <w:iCs/>
          <w:sz w:val="24"/>
          <w:szCs w:val="24"/>
        </w:rPr>
        <w:t>Biosecurity Act</w:t>
      </w:r>
      <w:r w:rsidR="0038351A" w:rsidRPr="00F25B73">
        <w:rPr>
          <w:rFonts w:ascii="Times New Roman" w:hAnsi="Times New Roman" w:cs="Times New Roman"/>
          <w:sz w:val="24"/>
          <w:szCs w:val="24"/>
        </w:rPr>
        <w:t xml:space="preserve"> set out what a determination made under subsection 44(2) may specify</w:t>
      </w:r>
      <w:r w:rsidR="004075AB" w:rsidRPr="00F25B73">
        <w:rPr>
          <w:rFonts w:ascii="Times New Roman" w:hAnsi="Times New Roman" w:cs="Times New Roman"/>
          <w:sz w:val="24"/>
          <w:szCs w:val="24"/>
        </w:rPr>
        <w:t>, and subsection 44(7) sets out what a determination made under subsection 44(2) must not specify</w:t>
      </w:r>
      <w:r w:rsidR="0038351A" w:rsidRPr="00F25B73">
        <w:rPr>
          <w:rFonts w:ascii="Times New Roman" w:hAnsi="Times New Roman" w:cs="Times New Roman"/>
          <w:sz w:val="24"/>
          <w:szCs w:val="24"/>
        </w:rPr>
        <w:t xml:space="preserve">. </w:t>
      </w:r>
    </w:p>
    <w:bookmarkEnd w:id="4"/>
    <w:p w14:paraId="27D9A156" w14:textId="77777777" w:rsidR="00C718E8" w:rsidRPr="00F25B73"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2E2D73D8" w14:textId="77777777"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F25B73">
        <w:rPr>
          <w:rFonts w:ascii="Times New Roman" w:hAnsi="Times New Roman" w:cs="Times New Roman"/>
          <w:b/>
          <w:bCs/>
          <w:color w:val="000000"/>
          <w:sz w:val="24"/>
          <w:szCs w:val="24"/>
        </w:rPr>
        <w:t xml:space="preserve">Reliance on subsection 33(3) of the </w:t>
      </w:r>
      <w:r w:rsidRPr="00F25B73">
        <w:rPr>
          <w:rFonts w:ascii="Times New Roman" w:hAnsi="Times New Roman" w:cs="Times New Roman"/>
          <w:b/>
          <w:bCs/>
          <w:i/>
          <w:iCs/>
          <w:color w:val="000000"/>
          <w:sz w:val="24"/>
          <w:szCs w:val="24"/>
        </w:rPr>
        <w:t>Acts Interpretation Act 1901</w:t>
      </w:r>
    </w:p>
    <w:p w14:paraId="20C1FFFC" w14:textId="77777777"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2F0E0DEB" w14:textId="626D9AE9" w:rsidR="00CC2E84" w:rsidRPr="00F25B73" w:rsidRDefault="00685F0D" w:rsidP="00CC2E84">
      <w:pPr>
        <w:autoSpaceDE w:val="0"/>
        <w:autoSpaceDN w:val="0"/>
        <w:adjustRightInd w:val="0"/>
        <w:spacing w:after="0" w:line="240" w:lineRule="auto"/>
        <w:rPr>
          <w:rFonts w:ascii="Times New Roman" w:hAnsi="Times New Roman" w:cs="Times New Roman"/>
          <w:color w:val="000000"/>
          <w:sz w:val="24"/>
          <w:szCs w:val="24"/>
        </w:rPr>
      </w:pPr>
      <w:r w:rsidRPr="00F25B73">
        <w:rPr>
          <w:rFonts w:ascii="Times New Roman" w:hAnsi="Times New Roman" w:cs="Times New Roman"/>
          <w:color w:val="000000"/>
          <w:sz w:val="24"/>
          <w:szCs w:val="24"/>
        </w:rPr>
        <w:t>S</w:t>
      </w:r>
      <w:r w:rsidR="00CC2E84" w:rsidRPr="00F25B73">
        <w:rPr>
          <w:rFonts w:ascii="Times New Roman" w:hAnsi="Times New Roman" w:cs="Times New Roman"/>
          <w:color w:val="000000"/>
          <w:sz w:val="24"/>
          <w:szCs w:val="24"/>
        </w:rPr>
        <w:t xml:space="preserve">ubsection 33(3) of the </w:t>
      </w:r>
      <w:r w:rsidR="00CC2E84" w:rsidRPr="00F25B73">
        <w:rPr>
          <w:rFonts w:ascii="Times New Roman" w:hAnsi="Times New Roman" w:cs="Times New Roman"/>
          <w:i/>
          <w:iCs/>
          <w:color w:val="000000"/>
          <w:sz w:val="24"/>
          <w:szCs w:val="24"/>
        </w:rPr>
        <w:t>Acts Interpretation Act 1901</w:t>
      </w:r>
      <w:r w:rsidRPr="00F25B73">
        <w:rPr>
          <w:rFonts w:ascii="Times New Roman" w:hAnsi="Times New Roman" w:cs="Times New Roman"/>
          <w:color w:val="000000"/>
          <w:sz w:val="24"/>
          <w:szCs w:val="24"/>
        </w:rPr>
        <w:t xml:space="preserve"> provides that</w:t>
      </w:r>
      <w:r w:rsidR="00CC2E84" w:rsidRPr="00F25B73">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AABD8C" w14:textId="77777777" w:rsidR="00C718E8" w:rsidRPr="00F25B73"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4ABDAF4D" w14:textId="77777777" w:rsidR="00CC2E84" w:rsidRPr="00F25B73"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F25B73">
        <w:rPr>
          <w:rFonts w:ascii="Times New Roman" w:hAnsi="Times New Roman" w:cs="Times New Roman"/>
          <w:b/>
          <w:bCs/>
          <w:color w:val="000000"/>
          <w:sz w:val="24"/>
          <w:szCs w:val="24"/>
        </w:rPr>
        <w:t>Commencement</w:t>
      </w:r>
    </w:p>
    <w:p w14:paraId="69FAE859" w14:textId="77777777"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51BA3418" w14:textId="230BCD9D" w:rsidR="00C718E8" w:rsidRPr="00F25B73" w:rsidRDefault="00E74A64" w:rsidP="00A271F4">
      <w:pPr>
        <w:rPr>
          <w:rFonts w:ascii="Times New Roman" w:hAnsi="Times New Roman" w:cs="Times New Roman"/>
          <w:sz w:val="24"/>
          <w:szCs w:val="24"/>
        </w:rPr>
      </w:pPr>
      <w:r w:rsidRPr="00F25B73">
        <w:rPr>
          <w:rFonts w:ascii="Times New Roman" w:hAnsi="Times New Roman" w:cs="Times New Roman"/>
          <w:sz w:val="24"/>
          <w:szCs w:val="24"/>
        </w:rPr>
        <w:t>The Amendment Determination</w:t>
      </w:r>
      <w:r w:rsidR="00A271F4" w:rsidRPr="00F25B73">
        <w:rPr>
          <w:rFonts w:ascii="Times New Roman" w:hAnsi="Times New Roman" w:cs="Times New Roman"/>
          <w:sz w:val="24"/>
          <w:szCs w:val="24"/>
        </w:rPr>
        <w:t xml:space="preserve"> commences the day after </w:t>
      </w:r>
      <w:r w:rsidRPr="00F25B73">
        <w:rPr>
          <w:rFonts w:ascii="Times New Roman" w:hAnsi="Times New Roman" w:cs="Times New Roman"/>
          <w:sz w:val="24"/>
          <w:szCs w:val="24"/>
        </w:rPr>
        <w:t xml:space="preserve">it is registered </w:t>
      </w:r>
      <w:r w:rsidR="00A271F4" w:rsidRPr="00F25B73">
        <w:rPr>
          <w:rFonts w:ascii="Times New Roman" w:hAnsi="Times New Roman" w:cs="Times New Roman"/>
          <w:sz w:val="24"/>
          <w:szCs w:val="24"/>
        </w:rPr>
        <w:t>on the Federal Register of Legislation.</w:t>
      </w:r>
    </w:p>
    <w:p w14:paraId="35E368BF" w14:textId="77777777" w:rsidR="005977E9" w:rsidRPr="00F25B73" w:rsidRDefault="005977E9" w:rsidP="00CC2E84">
      <w:pPr>
        <w:autoSpaceDE w:val="0"/>
        <w:autoSpaceDN w:val="0"/>
        <w:adjustRightInd w:val="0"/>
        <w:spacing w:after="0" w:line="240" w:lineRule="auto"/>
        <w:rPr>
          <w:rFonts w:ascii="Times New Roman" w:hAnsi="Times New Roman" w:cs="Times New Roman"/>
          <w:b/>
          <w:bCs/>
          <w:color w:val="000000"/>
          <w:sz w:val="24"/>
          <w:szCs w:val="24"/>
        </w:rPr>
      </w:pPr>
    </w:p>
    <w:p w14:paraId="29CE1688" w14:textId="7431CF1C" w:rsidR="00CC2E84" w:rsidRPr="00F25B73"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F25B73">
        <w:rPr>
          <w:rFonts w:ascii="Times New Roman" w:hAnsi="Times New Roman" w:cs="Times New Roman"/>
          <w:b/>
          <w:bCs/>
          <w:color w:val="000000"/>
          <w:sz w:val="24"/>
          <w:szCs w:val="24"/>
        </w:rPr>
        <w:t>Consultation</w:t>
      </w:r>
    </w:p>
    <w:p w14:paraId="42CD76B0" w14:textId="25740839" w:rsidR="00132EEB" w:rsidRPr="00F25B73" w:rsidRDefault="00DA20B5" w:rsidP="00DA20B5">
      <w:pPr>
        <w:rPr>
          <w:rFonts w:ascii="Times New Roman" w:hAnsi="Times New Roman" w:cs="Times New Roman"/>
          <w:color w:val="000000"/>
          <w:sz w:val="24"/>
          <w:szCs w:val="24"/>
        </w:rPr>
      </w:pPr>
      <w:r w:rsidRPr="00F25B73">
        <w:rPr>
          <w:rFonts w:ascii="Times New Roman" w:hAnsi="Times New Roman" w:cs="Times New Roman"/>
          <w:color w:val="000000"/>
          <w:sz w:val="24"/>
          <w:szCs w:val="24"/>
        </w:rPr>
        <w:br/>
      </w:r>
      <w:r w:rsidRPr="00F25B73">
        <w:rPr>
          <w:rFonts w:ascii="Times New Roman" w:hAnsi="Times New Roman"/>
          <w:sz w:val="24"/>
          <w:szCs w:val="24"/>
          <w:lang w:eastAsia="ja-JP"/>
        </w:rPr>
        <w:t xml:space="preserve">The Department of </w:t>
      </w:r>
      <w:r w:rsidR="00CB4775" w:rsidRPr="00F25B73">
        <w:rPr>
          <w:rFonts w:ascii="Times New Roman" w:hAnsi="Times New Roman"/>
          <w:sz w:val="24"/>
          <w:szCs w:val="24"/>
          <w:lang w:eastAsia="ja-JP"/>
        </w:rPr>
        <w:t>Agriculture, Fisheries and Forestry was notified about</w:t>
      </w:r>
      <w:r w:rsidRPr="00F25B73">
        <w:rPr>
          <w:rFonts w:ascii="Times New Roman" w:hAnsi="Times New Roman"/>
          <w:sz w:val="24"/>
          <w:szCs w:val="24"/>
          <w:lang w:eastAsia="ja-JP"/>
        </w:rPr>
        <w:t xml:space="preserve"> the amendment</w:t>
      </w:r>
      <w:r w:rsidR="00CB4775" w:rsidRPr="00F25B73">
        <w:rPr>
          <w:rFonts w:ascii="Times New Roman" w:hAnsi="Times New Roman"/>
          <w:sz w:val="24"/>
          <w:szCs w:val="24"/>
          <w:lang w:eastAsia="ja-JP"/>
        </w:rPr>
        <w:t xml:space="preserve">, given </w:t>
      </w:r>
      <w:r w:rsidR="008D6233" w:rsidRPr="00F25B73">
        <w:rPr>
          <w:rFonts w:ascii="Times New Roman" w:hAnsi="Times New Roman"/>
          <w:sz w:val="24"/>
          <w:szCs w:val="24"/>
          <w:lang w:eastAsia="ja-JP"/>
        </w:rPr>
        <w:t xml:space="preserve">its </w:t>
      </w:r>
      <w:r w:rsidR="00CB4775" w:rsidRPr="00F25B73">
        <w:rPr>
          <w:rFonts w:ascii="Times New Roman" w:hAnsi="Times New Roman"/>
          <w:sz w:val="24"/>
          <w:szCs w:val="24"/>
          <w:lang w:eastAsia="ja-JP"/>
        </w:rPr>
        <w:t>joint responsibility for the Biosecurity Act</w:t>
      </w:r>
      <w:r w:rsidRPr="00F25B73">
        <w:rPr>
          <w:rFonts w:ascii="Times New Roman" w:hAnsi="Times New Roman"/>
          <w:sz w:val="24"/>
          <w:szCs w:val="24"/>
          <w:lang w:eastAsia="ja-JP"/>
        </w:rPr>
        <w:t>. Further consultation was not considered to be necessary as</w:t>
      </w:r>
      <w:r w:rsidR="00CB4775" w:rsidRPr="00F25B73">
        <w:rPr>
          <w:rFonts w:ascii="Times New Roman" w:hAnsi="Times New Roman"/>
          <w:sz w:val="24"/>
          <w:szCs w:val="24"/>
          <w:lang w:eastAsia="ja-JP"/>
        </w:rPr>
        <w:t xml:space="preserve"> the amendment</w:t>
      </w:r>
      <w:r w:rsidR="00C95E5D" w:rsidRPr="00F25B73">
        <w:rPr>
          <w:rFonts w:ascii="Times New Roman" w:hAnsi="Times New Roman"/>
          <w:sz w:val="24"/>
          <w:szCs w:val="24"/>
          <w:lang w:eastAsia="ja-JP"/>
        </w:rPr>
        <w:t xml:space="preserve"> is</w:t>
      </w:r>
      <w:r w:rsidR="00E74A64" w:rsidRPr="00F25B73">
        <w:rPr>
          <w:rFonts w:ascii="Times New Roman" w:hAnsi="Times New Roman"/>
          <w:sz w:val="24"/>
          <w:szCs w:val="24"/>
          <w:lang w:eastAsia="ja-JP"/>
        </w:rPr>
        <w:t xml:space="preserve"> minor and</w:t>
      </w:r>
      <w:r w:rsidR="00CB4775" w:rsidRPr="00F25B73">
        <w:rPr>
          <w:rFonts w:ascii="Times New Roman" w:hAnsi="Times New Roman"/>
          <w:sz w:val="24"/>
          <w:szCs w:val="24"/>
          <w:lang w:eastAsia="ja-JP"/>
        </w:rPr>
        <w:t xml:space="preserve"> administrative</w:t>
      </w:r>
      <w:r w:rsidR="00BE6739" w:rsidRPr="00F25B73">
        <w:rPr>
          <w:rFonts w:ascii="Times New Roman" w:hAnsi="Times New Roman"/>
          <w:sz w:val="24"/>
          <w:szCs w:val="24"/>
          <w:lang w:eastAsia="ja-JP"/>
        </w:rPr>
        <w:t xml:space="preserve"> in nature</w:t>
      </w:r>
      <w:r w:rsidR="00CB4775" w:rsidRPr="00F25B73">
        <w:rPr>
          <w:rFonts w:ascii="Times New Roman" w:hAnsi="Times New Roman"/>
          <w:sz w:val="24"/>
          <w:szCs w:val="24"/>
          <w:lang w:eastAsia="ja-JP"/>
        </w:rPr>
        <w:t>.</w:t>
      </w:r>
      <w:r w:rsidRPr="00F25B73">
        <w:rPr>
          <w:rFonts w:ascii="Times New Roman" w:hAnsi="Times New Roman"/>
          <w:sz w:val="24"/>
          <w:szCs w:val="24"/>
          <w:lang w:eastAsia="ja-JP"/>
        </w:rPr>
        <w:t xml:space="preserve"> </w:t>
      </w:r>
      <w:r w:rsidRPr="00F25B73">
        <w:rPr>
          <w:rFonts w:ascii="Times New Roman" w:hAnsi="Times New Roman" w:cs="Times New Roman"/>
          <w:sz w:val="24"/>
          <w:szCs w:val="24"/>
        </w:rPr>
        <w:t xml:space="preserve">Schedule 1 </w:t>
      </w:r>
      <w:r w:rsidR="00E74A64" w:rsidRPr="00F25B73">
        <w:rPr>
          <w:rFonts w:ascii="Times New Roman" w:hAnsi="Times New Roman" w:cs="Times New Roman"/>
          <w:sz w:val="24"/>
          <w:szCs w:val="24"/>
        </w:rPr>
        <w:t xml:space="preserve">to </w:t>
      </w:r>
      <w:r w:rsidRPr="00F25B73">
        <w:rPr>
          <w:rFonts w:ascii="Times New Roman" w:hAnsi="Times New Roman" w:cs="Times New Roman"/>
          <w:sz w:val="24"/>
          <w:szCs w:val="24"/>
        </w:rPr>
        <w:t xml:space="preserve">the </w:t>
      </w:r>
      <w:r w:rsidR="0028703A" w:rsidRPr="00F25B73">
        <w:rPr>
          <w:rFonts w:ascii="Times New Roman" w:hAnsi="Times New Roman" w:cs="Times New Roman"/>
          <w:sz w:val="24"/>
          <w:szCs w:val="24"/>
        </w:rPr>
        <w:t>Principal D</w:t>
      </w:r>
      <w:r w:rsidRPr="00F25B73">
        <w:rPr>
          <w:rFonts w:ascii="Times New Roman" w:hAnsi="Times New Roman" w:cs="Times New Roman"/>
          <w:sz w:val="24"/>
          <w:szCs w:val="24"/>
        </w:rPr>
        <w:t>etermination is</w:t>
      </w:r>
      <w:r w:rsidR="00E74A64" w:rsidRPr="00F25B73">
        <w:rPr>
          <w:rFonts w:ascii="Times New Roman" w:hAnsi="Times New Roman" w:cs="Times New Roman"/>
          <w:sz w:val="24"/>
          <w:szCs w:val="24"/>
        </w:rPr>
        <w:t xml:space="preserve"> drafted in accordance with</w:t>
      </w:r>
      <w:r w:rsidRPr="00F25B73">
        <w:rPr>
          <w:rFonts w:ascii="Times New Roman" w:hAnsi="Times New Roman" w:cs="Times New Roman"/>
          <w:sz w:val="24"/>
          <w:szCs w:val="24"/>
        </w:rPr>
        <w:t xml:space="preserve"> </w:t>
      </w:r>
      <w:r w:rsidR="00E74A64" w:rsidRPr="00F25B73">
        <w:rPr>
          <w:rFonts w:ascii="Times New Roman" w:hAnsi="Times New Roman" w:cs="Times New Roman"/>
          <w:sz w:val="24"/>
          <w:szCs w:val="24"/>
        </w:rPr>
        <w:t>the WHO</w:t>
      </w:r>
      <w:r w:rsidR="00271294" w:rsidRPr="00F25B73">
        <w:rPr>
          <w:rFonts w:ascii="Times New Roman" w:hAnsi="Times New Roman" w:cs="Times New Roman"/>
          <w:sz w:val="24"/>
          <w:szCs w:val="24"/>
        </w:rPr>
        <w:t xml:space="preserve"> guidance document</w:t>
      </w:r>
      <w:r w:rsidRPr="00F25B73">
        <w:rPr>
          <w:rFonts w:ascii="Times New Roman" w:hAnsi="Times New Roman" w:cs="Times New Roman"/>
          <w:sz w:val="24"/>
          <w:szCs w:val="24"/>
        </w:rPr>
        <w:t xml:space="preserve"> and associated international surveillance data. </w:t>
      </w:r>
    </w:p>
    <w:p w14:paraId="75663E41" w14:textId="4694C7A8"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54BC4AAD" w14:textId="7F1708FF" w:rsidR="005977E9" w:rsidRPr="00F25B73" w:rsidRDefault="005977E9" w:rsidP="00CC2E84">
      <w:pPr>
        <w:autoSpaceDE w:val="0"/>
        <w:autoSpaceDN w:val="0"/>
        <w:adjustRightInd w:val="0"/>
        <w:spacing w:after="0" w:line="240" w:lineRule="auto"/>
        <w:rPr>
          <w:rFonts w:ascii="Times New Roman" w:hAnsi="Times New Roman" w:cs="Times New Roman"/>
          <w:color w:val="000000"/>
          <w:sz w:val="24"/>
          <w:szCs w:val="24"/>
        </w:rPr>
      </w:pPr>
      <w:r w:rsidRPr="00F25B73">
        <w:rPr>
          <w:rFonts w:ascii="Times New Roman" w:hAnsi="Times New Roman" w:cs="Times New Roman"/>
          <w:b/>
          <w:bCs/>
          <w:color w:val="000000"/>
          <w:sz w:val="24"/>
          <w:szCs w:val="24"/>
        </w:rPr>
        <w:t xml:space="preserve">General </w:t>
      </w:r>
    </w:p>
    <w:p w14:paraId="31C10BA9" w14:textId="77777777" w:rsidR="005977E9" w:rsidRPr="00F25B73" w:rsidRDefault="005977E9" w:rsidP="00CC2E84">
      <w:pPr>
        <w:autoSpaceDE w:val="0"/>
        <w:autoSpaceDN w:val="0"/>
        <w:adjustRightInd w:val="0"/>
        <w:spacing w:after="0" w:line="240" w:lineRule="auto"/>
        <w:rPr>
          <w:rFonts w:ascii="Times New Roman" w:hAnsi="Times New Roman" w:cs="Times New Roman"/>
          <w:color w:val="000000"/>
          <w:sz w:val="24"/>
          <w:szCs w:val="24"/>
        </w:rPr>
      </w:pPr>
    </w:p>
    <w:p w14:paraId="5BCDA9B8" w14:textId="148BCF23" w:rsidR="005977E9" w:rsidRPr="00F25B73" w:rsidRDefault="00E74A64" w:rsidP="005977E9">
      <w:pPr>
        <w:autoSpaceDE w:val="0"/>
        <w:autoSpaceDN w:val="0"/>
        <w:adjustRightInd w:val="0"/>
        <w:spacing w:after="0" w:line="240" w:lineRule="auto"/>
        <w:rPr>
          <w:rFonts w:ascii="Times New Roman" w:hAnsi="Times New Roman" w:cs="Times New Roman"/>
          <w:color w:val="000000"/>
          <w:sz w:val="24"/>
          <w:szCs w:val="24"/>
        </w:rPr>
      </w:pPr>
      <w:r w:rsidRPr="00F25B73">
        <w:rPr>
          <w:rFonts w:ascii="Times New Roman" w:hAnsi="Times New Roman" w:cs="Times New Roman"/>
          <w:color w:val="000000"/>
          <w:sz w:val="24"/>
          <w:szCs w:val="24"/>
        </w:rPr>
        <w:t>The Amendment Determination</w:t>
      </w:r>
      <w:r w:rsidR="00761E1A" w:rsidRPr="00F25B73">
        <w:rPr>
          <w:rFonts w:ascii="Times New Roman" w:hAnsi="Times New Roman" w:cs="Times New Roman"/>
          <w:sz w:val="24"/>
          <w:szCs w:val="24"/>
        </w:rPr>
        <w:t xml:space="preserve"> </w:t>
      </w:r>
      <w:r w:rsidR="005977E9" w:rsidRPr="00F25B73">
        <w:rPr>
          <w:rFonts w:ascii="Times New Roman" w:hAnsi="Times New Roman" w:cs="Times New Roman"/>
          <w:color w:val="000000"/>
          <w:sz w:val="24"/>
          <w:szCs w:val="24"/>
        </w:rPr>
        <w:t xml:space="preserve">is a legislative instrument for the purposes of the </w:t>
      </w:r>
      <w:r w:rsidR="005977E9" w:rsidRPr="00F25B73">
        <w:rPr>
          <w:rFonts w:ascii="Times New Roman" w:hAnsi="Times New Roman" w:cs="Times New Roman"/>
          <w:i/>
          <w:iCs/>
          <w:color w:val="000000"/>
          <w:sz w:val="24"/>
          <w:szCs w:val="24"/>
        </w:rPr>
        <w:t>Legislation Act 2003</w:t>
      </w:r>
      <w:r w:rsidR="005977E9" w:rsidRPr="00F25B73">
        <w:rPr>
          <w:rFonts w:ascii="Times New Roman" w:hAnsi="Times New Roman" w:cs="Times New Roman"/>
          <w:color w:val="000000"/>
          <w:sz w:val="24"/>
          <w:szCs w:val="24"/>
        </w:rPr>
        <w:t xml:space="preserve">. </w:t>
      </w:r>
    </w:p>
    <w:p w14:paraId="7A1A185F" w14:textId="77777777" w:rsidR="005977E9" w:rsidRPr="00F25B73" w:rsidRDefault="005977E9" w:rsidP="005977E9">
      <w:pPr>
        <w:autoSpaceDE w:val="0"/>
        <w:autoSpaceDN w:val="0"/>
        <w:adjustRightInd w:val="0"/>
        <w:spacing w:after="0" w:line="240" w:lineRule="auto"/>
        <w:rPr>
          <w:rFonts w:ascii="Times New Roman" w:hAnsi="Times New Roman" w:cs="Times New Roman"/>
          <w:color w:val="000000"/>
          <w:sz w:val="24"/>
          <w:szCs w:val="24"/>
        </w:rPr>
      </w:pPr>
    </w:p>
    <w:p w14:paraId="6E6F307B" w14:textId="143823B4"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F25B73">
        <w:rPr>
          <w:rFonts w:ascii="Times New Roman" w:hAnsi="Times New Roman" w:cs="Times New Roman"/>
          <w:color w:val="000000"/>
          <w:sz w:val="24"/>
          <w:szCs w:val="24"/>
        </w:rPr>
        <w:t xml:space="preserve">Details of this </w:t>
      </w:r>
      <w:r w:rsidR="00761E1A" w:rsidRPr="00F25B73">
        <w:rPr>
          <w:rFonts w:ascii="Times New Roman" w:hAnsi="Times New Roman" w:cs="Times New Roman"/>
          <w:sz w:val="24"/>
          <w:szCs w:val="24"/>
        </w:rPr>
        <w:t xml:space="preserve">instrument </w:t>
      </w:r>
      <w:r w:rsidRPr="00F25B73">
        <w:rPr>
          <w:rFonts w:ascii="Times New Roman" w:hAnsi="Times New Roman" w:cs="Times New Roman"/>
          <w:color w:val="000000"/>
          <w:sz w:val="24"/>
          <w:szCs w:val="24"/>
        </w:rPr>
        <w:t xml:space="preserve">are set out in </w:t>
      </w:r>
      <w:r w:rsidRPr="00F25B73">
        <w:rPr>
          <w:rFonts w:ascii="Times New Roman" w:hAnsi="Times New Roman" w:cs="Times New Roman"/>
          <w:b/>
          <w:bCs/>
          <w:color w:val="000000"/>
          <w:sz w:val="24"/>
          <w:szCs w:val="24"/>
        </w:rPr>
        <w:t>Attachment A</w:t>
      </w:r>
      <w:r w:rsidRPr="00F25B73">
        <w:rPr>
          <w:rFonts w:ascii="Times New Roman" w:hAnsi="Times New Roman" w:cs="Times New Roman"/>
          <w:color w:val="000000"/>
          <w:sz w:val="24"/>
          <w:szCs w:val="24"/>
        </w:rPr>
        <w:t>.</w:t>
      </w:r>
    </w:p>
    <w:p w14:paraId="3AA3DC0A" w14:textId="77777777" w:rsidR="00CC2E84" w:rsidRPr="00F25B73"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5A0B319" w14:textId="165CBEA4" w:rsidR="005A230F" w:rsidRPr="00F25B73" w:rsidRDefault="00CC2E84" w:rsidP="00CC2E84">
      <w:pPr>
        <w:rPr>
          <w:rFonts w:ascii="Times New Roman" w:hAnsi="Times New Roman" w:cs="Times New Roman"/>
          <w:sz w:val="24"/>
          <w:szCs w:val="24"/>
        </w:rPr>
      </w:pPr>
      <w:r w:rsidRPr="00F25B73">
        <w:rPr>
          <w:rFonts w:ascii="Times New Roman" w:eastAsia="Times New Roman" w:hAnsi="Times New Roman" w:cs="Times New Roman"/>
          <w:i/>
          <w:sz w:val="24"/>
          <w:szCs w:val="24"/>
          <w:u w:val="single"/>
          <w:lang w:eastAsia="en-AU"/>
        </w:rPr>
        <w:br/>
      </w:r>
    </w:p>
    <w:p w14:paraId="7F0A5DC2" w14:textId="77777777" w:rsidR="005A230F" w:rsidRPr="00F25B73" w:rsidRDefault="005A230F">
      <w:pPr>
        <w:rPr>
          <w:rFonts w:ascii="Times New Roman" w:hAnsi="Times New Roman" w:cs="Times New Roman"/>
          <w:sz w:val="24"/>
          <w:szCs w:val="24"/>
        </w:rPr>
      </w:pPr>
      <w:r w:rsidRPr="00F25B73">
        <w:rPr>
          <w:rFonts w:ascii="Times New Roman" w:hAnsi="Times New Roman" w:cs="Times New Roman"/>
          <w:sz w:val="24"/>
          <w:szCs w:val="24"/>
        </w:rPr>
        <w:br w:type="page"/>
      </w:r>
    </w:p>
    <w:p w14:paraId="410396EE" w14:textId="77777777" w:rsidR="00CC2E84" w:rsidRPr="00F25B73" w:rsidRDefault="00CC2E84" w:rsidP="00CC2E84">
      <w:pPr>
        <w:spacing w:after="0" w:line="240" w:lineRule="auto"/>
        <w:jc w:val="right"/>
        <w:rPr>
          <w:rFonts w:ascii="Times New Roman" w:eastAsia="Times New Roman" w:hAnsi="Times New Roman" w:cs="Times New Roman"/>
          <w:b/>
          <w:sz w:val="24"/>
          <w:szCs w:val="24"/>
          <w:lang w:eastAsia="en-AU"/>
        </w:rPr>
      </w:pPr>
      <w:r w:rsidRPr="00F25B73">
        <w:rPr>
          <w:rFonts w:ascii="Times New Roman" w:eastAsia="Times New Roman" w:hAnsi="Times New Roman" w:cs="Times New Roman"/>
          <w:b/>
          <w:sz w:val="24"/>
          <w:szCs w:val="24"/>
          <w:lang w:eastAsia="en-AU"/>
        </w:rPr>
        <w:lastRenderedPageBreak/>
        <w:t>ATTACHMENT A</w:t>
      </w:r>
    </w:p>
    <w:p w14:paraId="41C201ED" w14:textId="77777777" w:rsidR="00CC2E84" w:rsidRPr="00F25B73" w:rsidRDefault="00CC2E84" w:rsidP="00CC2E84">
      <w:pPr>
        <w:spacing w:after="0" w:line="240" w:lineRule="auto"/>
        <w:jc w:val="right"/>
        <w:rPr>
          <w:rFonts w:ascii="Times New Roman" w:eastAsia="Times New Roman" w:hAnsi="Times New Roman" w:cs="Times New Roman"/>
          <w:b/>
          <w:sz w:val="24"/>
          <w:szCs w:val="24"/>
          <w:lang w:eastAsia="en-AU"/>
        </w:rPr>
      </w:pPr>
    </w:p>
    <w:p w14:paraId="150CCE28" w14:textId="2024402C" w:rsidR="005A230F" w:rsidRPr="00F25B73" w:rsidRDefault="005A230F" w:rsidP="00CC2E84">
      <w:pPr>
        <w:spacing w:after="0" w:line="240" w:lineRule="auto"/>
        <w:rPr>
          <w:rFonts w:ascii="Times New Roman" w:eastAsia="Times New Roman" w:hAnsi="Times New Roman" w:cs="Times New Roman"/>
          <w:b/>
          <w:sz w:val="24"/>
          <w:szCs w:val="24"/>
          <w:u w:val="single"/>
          <w:lang w:eastAsia="en-AU"/>
        </w:rPr>
      </w:pPr>
      <w:r w:rsidRPr="00F25B73">
        <w:rPr>
          <w:rFonts w:ascii="Times New Roman" w:eastAsia="Times New Roman" w:hAnsi="Times New Roman" w:cs="Times New Roman"/>
          <w:b/>
          <w:sz w:val="24"/>
          <w:szCs w:val="24"/>
          <w:u w:val="single"/>
          <w:lang w:eastAsia="en-AU"/>
        </w:rPr>
        <w:t xml:space="preserve">Details of the </w:t>
      </w:r>
      <w:r w:rsidR="006A0724" w:rsidRPr="00F25B73">
        <w:rPr>
          <w:rFonts w:ascii="Times New Roman" w:hAnsi="Times New Roman" w:cs="Times New Roman"/>
          <w:b/>
          <w:i/>
          <w:sz w:val="24"/>
          <w:szCs w:val="24"/>
          <w:u w:val="single"/>
        </w:rPr>
        <w:t xml:space="preserve">Biosecurity (Entry Requirements) Amendment </w:t>
      </w:r>
      <w:r w:rsidR="0029231E" w:rsidRPr="00F25B73">
        <w:rPr>
          <w:rFonts w:ascii="Times New Roman" w:hAnsi="Times New Roman" w:cs="Times New Roman"/>
          <w:b/>
          <w:i/>
          <w:sz w:val="24"/>
          <w:szCs w:val="24"/>
          <w:u w:val="single"/>
        </w:rPr>
        <w:t xml:space="preserve">(2023 Measures No. 1) </w:t>
      </w:r>
      <w:r w:rsidR="006A0724" w:rsidRPr="00F25B73">
        <w:rPr>
          <w:rFonts w:ascii="Times New Roman" w:hAnsi="Times New Roman" w:cs="Times New Roman"/>
          <w:b/>
          <w:i/>
          <w:sz w:val="24"/>
          <w:szCs w:val="24"/>
          <w:u w:val="single"/>
        </w:rPr>
        <w:t>Determination 2023</w:t>
      </w:r>
    </w:p>
    <w:p w14:paraId="43EE22E1" w14:textId="655EBB46" w:rsidR="00CC2E84" w:rsidRPr="00F25B73" w:rsidRDefault="00CC2E84" w:rsidP="00CC2E84">
      <w:pPr>
        <w:spacing w:after="0" w:line="240" w:lineRule="auto"/>
        <w:rPr>
          <w:rFonts w:ascii="Times New Roman" w:eastAsia="Times New Roman" w:hAnsi="Times New Roman" w:cs="Times New Roman"/>
          <w:i/>
          <w:sz w:val="24"/>
          <w:szCs w:val="24"/>
          <w:u w:val="single"/>
          <w:lang w:eastAsia="en-AU"/>
        </w:rPr>
      </w:pPr>
    </w:p>
    <w:p w14:paraId="65A0F5B7" w14:textId="77777777" w:rsidR="00CC2E84" w:rsidRPr="00F25B73" w:rsidRDefault="00CC2E84" w:rsidP="00CC2E84">
      <w:pPr>
        <w:spacing w:after="0" w:line="240" w:lineRule="auto"/>
        <w:rPr>
          <w:rFonts w:ascii="Times New Roman" w:eastAsia="Times New Roman" w:hAnsi="Times New Roman" w:cs="Times New Roman"/>
          <w:b/>
          <w:sz w:val="24"/>
          <w:szCs w:val="24"/>
          <w:lang w:eastAsia="en-AU"/>
        </w:rPr>
      </w:pPr>
    </w:p>
    <w:p w14:paraId="716F4465" w14:textId="5589E9A3" w:rsidR="0024216B" w:rsidRPr="00F25B73" w:rsidRDefault="0024216B" w:rsidP="00CC2E84">
      <w:pPr>
        <w:spacing w:after="0" w:line="240" w:lineRule="auto"/>
        <w:rPr>
          <w:rFonts w:ascii="Times New Roman" w:eastAsia="Times New Roman" w:hAnsi="Times New Roman" w:cs="Times New Roman"/>
          <w:b/>
          <w:sz w:val="24"/>
          <w:szCs w:val="24"/>
          <w:lang w:eastAsia="en-AU"/>
        </w:rPr>
      </w:pPr>
      <w:r w:rsidRPr="00F25B73">
        <w:rPr>
          <w:rFonts w:ascii="Times New Roman" w:eastAsia="Times New Roman" w:hAnsi="Times New Roman" w:cs="Times New Roman"/>
          <w:b/>
          <w:sz w:val="24"/>
          <w:szCs w:val="24"/>
          <w:lang w:eastAsia="en-AU"/>
        </w:rPr>
        <w:t xml:space="preserve">Section 1 – Name </w:t>
      </w:r>
    </w:p>
    <w:p w14:paraId="052274EA" w14:textId="71293C7F" w:rsidR="0024216B" w:rsidRPr="00F25B73" w:rsidRDefault="0024216B" w:rsidP="00CC2E84">
      <w:pPr>
        <w:spacing w:after="0" w:line="240" w:lineRule="auto"/>
        <w:rPr>
          <w:rFonts w:ascii="Times New Roman" w:eastAsia="Times New Roman" w:hAnsi="Times New Roman" w:cs="Times New Roman"/>
          <w:b/>
          <w:sz w:val="24"/>
          <w:szCs w:val="24"/>
          <w:lang w:eastAsia="en-AU"/>
        </w:rPr>
      </w:pPr>
    </w:p>
    <w:p w14:paraId="5602CDE5" w14:textId="7AB96AD8" w:rsidR="0024216B" w:rsidRPr="00F25B73" w:rsidRDefault="0024216B" w:rsidP="00CC2E84">
      <w:pPr>
        <w:spacing w:after="0" w:line="240" w:lineRule="auto"/>
        <w:rPr>
          <w:rFonts w:ascii="Times New Roman" w:eastAsia="Times New Roman" w:hAnsi="Times New Roman" w:cs="Times New Roman"/>
          <w:bCs/>
          <w:sz w:val="24"/>
          <w:szCs w:val="24"/>
          <w:lang w:eastAsia="en-AU"/>
        </w:rPr>
      </w:pPr>
      <w:r w:rsidRPr="00F25B73">
        <w:rPr>
          <w:rFonts w:ascii="Times New Roman" w:eastAsia="Times New Roman" w:hAnsi="Times New Roman" w:cs="Times New Roman"/>
          <w:bCs/>
          <w:sz w:val="24"/>
          <w:szCs w:val="24"/>
          <w:lang w:eastAsia="en-AU"/>
        </w:rPr>
        <w:t xml:space="preserve">Section 1 provides the name of the </w:t>
      </w:r>
      <w:r w:rsidR="00602136" w:rsidRPr="00F25B73">
        <w:rPr>
          <w:rFonts w:ascii="Times New Roman" w:hAnsi="Times New Roman" w:cs="Times New Roman"/>
          <w:sz w:val="24"/>
          <w:szCs w:val="24"/>
        </w:rPr>
        <w:t xml:space="preserve">Amendment Determination </w:t>
      </w:r>
      <w:r w:rsidR="00A271F4" w:rsidRPr="00F25B73">
        <w:rPr>
          <w:rFonts w:ascii="Times New Roman" w:hAnsi="Times New Roman" w:cs="Times New Roman"/>
          <w:sz w:val="24"/>
          <w:szCs w:val="24"/>
        </w:rPr>
        <w:t xml:space="preserve">is the </w:t>
      </w:r>
      <w:bookmarkStart w:id="5" w:name="_Hlk137128501"/>
      <w:r w:rsidR="00A271F4" w:rsidRPr="00F25B73">
        <w:rPr>
          <w:rFonts w:ascii="Times New Roman" w:hAnsi="Times New Roman" w:cs="Times New Roman"/>
          <w:i/>
          <w:sz w:val="24"/>
          <w:szCs w:val="24"/>
        </w:rPr>
        <w:t xml:space="preserve">Biosecurity (Entry Requirements) Amendment </w:t>
      </w:r>
      <w:r w:rsidR="00E83C3B" w:rsidRPr="00F25B73">
        <w:rPr>
          <w:rFonts w:ascii="Times New Roman" w:hAnsi="Times New Roman" w:cs="Times New Roman"/>
          <w:i/>
          <w:sz w:val="24"/>
          <w:szCs w:val="24"/>
        </w:rPr>
        <w:t xml:space="preserve">(2023 Measures No. 1) </w:t>
      </w:r>
      <w:r w:rsidR="00A271F4" w:rsidRPr="00F25B73">
        <w:rPr>
          <w:rFonts w:ascii="Times New Roman" w:hAnsi="Times New Roman" w:cs="Times New Roman"/>
          <w:i/>
          <w:sz w:val="24"/>
          <w:szCs w:val="24"/>
        </w:rPr>
        <w:t xml:space="preserve">Determination </w:t>
      </w:r>
      <w:r w:rsidR="00CD2C27" w:rsidRPr="00F25B73">
        <w:rPr>
          <w:rFonts w:ascii="Times New Roman" w:hAnsi="Times New Roman" w:cs="Times New Roman"/>
          <w:i/>
          <w:sz w:val="24"/>
          <w:szCs w:val="24"/>
        </w:rPr>
        <w:t>20</w:t>
      </w:r>
      <w:r w:rsidR="00CB4775" w:rsidRPr="00F25B73">
        <w:rPr>
          <w:rFonts w:ascii="Times New Roman" w:hAnsi="Times New Roman" w:cs="Times New Roman"/>
          <w:i/>
          <w:sz w:val="24"/>
          <w:szCs w:val="24"/>
        </w:rPr>
        <w:t>23</w:t>
      </w:r>
      <w:r w:rsidR="00A271F4" w:rsidRPr="00F25B73">
        <w:rPr>
          <w:rFonts w:ascii="Times New Roman" w:hAnsi="Times New Roman" w:cs="Times New Roman"/>
          <w:sz w:val="24"/>
          <w:szCs w:val="24"/>
        </w:rPr>
        <w:t>.</w:t>
      </w:r>
      <w:bookmarkEnd w:id="5"/>
    </w:p>
    <w:p w14:paraId="4C065845" w14:textId="2A7537F8" w:rsidR="0024216B" w:rsidRPr="00F25B73" w:rsidRDefault="0024216B" w:rsidP="00CC2E84">
      <w:pPr>
        <w:spacing w:after="0" w:line="240" w:lineRule="auto"/>
        <w:rPr>
          <w:rFonts w:ascii="Times New Roman" w:eastAsia="Times New Roman" w:hAnsi="Times New Roman" w:cs="Times New Roman"/>
          <w:bCs/>
          <w:sz w:val="24"/>
          <w:szCs w:val="24"/>
          <w:lang w:eastAsia="en-AU"/>
        </w:rPr>
      </w:pPr>
    </w:p>
    <w:p w14:paraId="6DF0E3F5" w14:textId="74A61C6B" w:rsidR="0024216B" w:rsidRPr="00F25B73" w:rsidRDefault="0024216B" w:rsidP="00CC2E84">
      <w:pPr>
        <w:spacing w:after="0" w:line="240" w:lineRule="auto"/>
        <w:rPr>
          <w:rFonts w:ascii="Times New Roman" w:eastAsia="Times New Roman" w:hAnsi="Times New Roman" w:cs="Times New Roman"/>
          <w:b/>
          <w:sz w:val="24"/>
          <w:szCs w:val="24"/>
          <w:lang w:eastAsia="en-AU"/>
        </w:rPr>
      </w:pPr>
      <w:r w:rsidRPr="00F25B73">
        <w:rPr>
          <w:rFonts w:ascii="Times New Roman" w:eastAsia="Times New Roman" w:hAnsi="Times New Roman" w:cs="Times New Roman"/>
          <w:b/>
          <w:sz w:val="24"/>
          <w:szCs w:val="24"/>
          <w:lang w:eastAsia="en-AU"/>
        </w:rPr>
        <w:t xml:space="preserve">Section 2 – Commencement </w:t>
      </w:r>
    </w:p>
    <w:p w14:paraId="0915CD76" w14:textId="2477D1C1" w:rsidR="0024216B" w:rsidRPr="00F25B73" w:rsidRDefault="0024216B" w:rsidP="00CC2E84">
      <w:pPr>
        <w:spacing w:after="0" w:line="240" w:lineRule="auto"/>
        <w:rPr>
          <w:rFonts w:ascii="Times New Roman" w:eastAsia="Times New Roman" w:hAnsi="Times New Roman" w:cs="Times New Roman"/>
          <w:b/>
          <w:sz w:val="24"/>
          <w:szCs w:val="24"/>
          <w:lang w:eastAsia="en-AU"/>
        </w:rPr>
      </w:pPr>
    </w:p>
    <w:p w14:paraId="24826D3C" w14:textId="7BE7A30E" w:rsidR="00A271F4" w:rsidRPr="00F25B73" w:rsidRDefault="0024216B" w:rsidP="00A271F4">
      <w:pPr>
        <w:rPr>
          <w:rFonts w:ascii="Times New Roman" w:hAnsi="Times New Roman" w:cs="Times New Roman"/>
          <w:sz w:val="24"/>
          <w:szCs w:val="24"/>
        </w:rPr>
      </w:pPr>
      <w:r w:rsidRPr="00F25B73">
        <w:rPr>
          <w:rFonts w:ascii="Times New Roman" w:eastAsia="Times New Roman" w:hAnsi="Times New Roman" w:cs="Times New Roman"/>
          <w:bCs/>
          <w:sz w:val="24"/>
          <w:szCs w:val="24"/>
          <w:lang w:eastAsia="en-AU"/>
        </w:rPr>
        <w:t xml:space="preserve">Section 2 provides </w:t>
      </w:r>
      <w:r w:rsidR="00E83C3B" w:rsidRPr="00F25B73">
        <w:rPr>
          <w:rFonts w:ascii="Times New Roman" w:hAnsi="Times New Roman" w:cs="Times New Roman"/>
          <w:sz w:val="24"/>
          <w:szCs w:val="24"/>
        </w:rPr>
        <w:t xml:space="preserve">the </w:t>
      </w:r>
      <w:r w:rsidR="00602136" w:rsidRPr="00F25B73">
        <w:rPr>
          <w:rFonts w:ascii="Times New Roman" w:hAnsi="Times New Roman" w:cs="Times New Roman"/>
          <w:sz w:val="24"/>
          <w:szCs w:val="24"/>
        </w:rPr>
        <w:t>Amendment Determination</w:t>
      </w:r>
      <w:r w:rsidR="00A271F4" w:rsidRPr="00F25B73">
        <w:rPr>
          <w:rFonts w:ascii="Times New Roman" w:hAnsi="Times New Roman" w:cs="Times New Roman"/>
          <w:sz w:val="24"/>
          <w:szCs w:val="24"/>
        </w:rPr>
        <w:t xml:space="preserve"> commence</w:t>
      </w:r>
      <w:r w:rsidR="00E83C3B" w:rsidRPr="00F25B73">
        <w:rPr>
          <w:rFonts w:ascii="Times New Roman" w:hAnsi="Times New Roman" w:cs="Times New Roman"/>
          <w:sz w:val="24"/>
          <w:szCs w:val="24"/>
        </w:rPr>
        <w:t>s</w:t>
      </w:r>
      <w:r w:rsidR="00A271F4" w:rsidRPr="00F25B73">
        <w:rPr>
          <w:rFonts w:ascii="Times New Roman" w:hAnsi="Times New Roman" w:cs="Times New Roman"/>
          <w:sz w:val="24"/>
          <w:szCs w:val="24"/>
        </w:rPr>
        <w:t xml:space="preserve"> on the day after </w:t>
      </w:r>
      <w:r w:rsidR="00E83C3B" w:rsidRPr="00F25B73">
        <w:rPr>
          <w:rFonts w:ascii="Times New Roman" w:hAnsi="Times New Roman" w:cs="Times New Roman"/>
          <w:sz w:val="24"/>
          <w:szCs w:val="24"/>
        </w:rPr>
        <w:t>it</w:t>
      </w:r>
      <w:r w:rsidR="00CB4775" w:rsidRPr="00F25B73">
        <w:rPr>
          <w:rFonts w:ascii="Times New Roman" w:hAnsi="Times New Roman" w:cs="Times New Roman"/>
          <w:sz w:val="24"/>
          <w:szCs w:val="24"/>
        </w:rPr>
        <w:t xml:space="preserve"> </w:t>
      </w:r>
      <w:r w:rsidR="00A271F4" w:rsidRPr="00F25B73">
        <w:rPr>
          <w:rFonts w:ascii="Times New Roman" w:hAnsi="Times New Roman" w:cs="Times New Roman"/>
          <w:sz w:val="24"/>
          <w:szCs w:val="24"/>
        </w:rPr>
        <w:t xml:space="preserve">is registered on the Federal Register of Legislation. </w:t>
      </w:r>
    </w:p>
    <w:p w14:paraId="740478A6" w14:textId="3AA56480" w:rsidR="0024216B" w:rsidRPr="00F25B73" w:rsidRDefault="0024216B" w:rsidP="00CC2E84">
      <w:pPr>
        <w:spacing w:after="0" w:line="240" w:lineRule="auto"/>
        <w:rPr>
          <w:rFonts w:ascii="Times New Roman" w:eastAsia="Times New Roman" w:hAnsi="Times New Roman" w:cs="Times New Roman"/>
          <w:bCs/>
          <w:sz w:val="24"/>
          <w:szCs w:val="24"/>
          <w:lang w:eastAsia="en-AU"/>
        </w:rPr>
      </w:pPr>
    </w:p>
    <w:p w14:paraId="003A87A3" w14:textId="223965E3" w:rsidR="0024216B" w:rsidRPr="00F25B73" w:rsidRDefault="0024216B" w:rsidP="00CC2E84">
      <w:pPr>
        <w:spacing w:after="0" w:line="240" w:lineRule="auto"/>
        <w:rPr>
          <w:rFonts w:ascii="Times New Roman" w:eastAsia="Times New Roman" w:hAnsi="Times New Roman" w:cs="Times New Roman"/>
          <w:bCs/>
          <w:sz w:val="24"/>
          <w:szCs w:val="24"/>
          <w:lang w:eastAsia="en-AU"/>
        </w:rPr>
      </w:pPr>
      <w:r w:rsidRPr="00F25B73">
        <w:rPr>
          <w:rFonts w:ascii="Times New Roman" w:eastAsia="Times New Roman" w:hAnsi="Times New Roman" w:cs="Times New Roman"/>
          <w:b/>
          <w:sz w:val="24"/>
          <w:szCs w:val="24"/>
          <w:lang w:eastAsia="en-AU"/>
        </w:rPr>
        <w:t xml:space="preserve">Section 3 – Authority </w:t>
      </w:r>
    </w:p>
    <w:p w14:paraId="0F0677DB" w14:textId="0630BD7E" w:rsidR="0024216B" w:rsidRPr="00F25B73" w:rsidRDefault="0024216B" w:rsidP="00CC2E84">
      <w:pPr>
        <w:spacing w:after="0" w:line="240" w:lineRule="auto"/>
        <w:rPr>
          <w:rFonts w:ascii="Times New Roman" w:eastAsia="Times New Roman" w:hAnsi="Times New Roman" w:cs="Times New Roman"/>
          <w:bCs/>
          <w:sz w:val="24"/>
          <w:szCs w:val="24"/>
          <w:lang w:eastAsia="en-AU"/>
        </w:rPr>
      </w:pPr>
    </w:p>
    <w:p w14:paraId="16E22F57" w14:textId="08FD349B" w:rsidR="0024216B" w:rsidRPr="00F25B73" w:rsidRDefault="0024216B" w:rsidP="00CC2E84">
      <w:pPr>
        <w:spacing w:after="0" w:line="240" w:lineRule="auto"/>
        <w:rPr>
          <w:rFonts w:ascii="Times New Roman" w:eastAsia="Times New Roman" w:hAnsi="Times New Roman" w:cs="Times New Roman"/>
          <w:bCs/>
          <w:sz w:val="24"/>
          <w:szCs w:val="24"/>
          <w:lang w:eastAsia="en-AU"/>
        </w:rPr>
      </w:pPr>
      <w:r w:rsidRPr="00F25B73">
        <w:rPr>
          <w:rFonts w:ascii="Times New Roman" w:eastAsia="Times New Roman" w:hAnsi="Times New Roman" w:cs="Times New Roman"/>
          <w:bCs/>
          <w:sz w:val="24"/>
          <w:szCs w:val="24"/>
          <w:lang w:eastAsia="en-AU"/>
        </w:rPr>
        <w:t xml:space="preserve">Section 3 provides </w:t>
      </w:r>
      <w:r w:rsidR="00A271F4" w:rsidRPr="00F25B73">
        <w:rPr>
          <w:rFonts w:ascii="Times New Roman" w:hAnsi="Times New Roman" w:cs="Times New Roman"/>
          <w:sz w:val="24"/>
          <w:szCs w:val="24"/>
        </w:rPr>
        <w:t xml:space="preserve">the </w:t>
      </w:r>
      <w:r w:rsidR="00602136" w:rsidRPr="00F25B73">
        <w:rPr>
          <w:rFonts w:ascii="Times New Roman" w:hAnsi="Times New Roman" w:cs="Times New Roman"/>
          <w:sz w:val="24"/>
          <w:szCs w:val="24"/>
        </w:rPr>
        <w:t>Amendment Determination is made under</w:t>
      </w:r>
      <w:r w:rsidR="00A271F4" w:rsidRPr="00F25B73">
        <w:rPr>
          <w:rFonts w:ascii="Times New Roman" w:hAnsi="Times New Roman" w:cs="Times New Roman"/>
          <w:sz w:val="24"/>
          <w:szCs w:val="24"/>
        </w:rPr>
        <w:t xml:space="preserve"> subsection 44(2) of the </w:t>
      </w:r>
      <w:r w:rsidR="00A271F4" w:rsidRPr="00F25B73">
        <w:rPr>
          <w:rFonts w:ascii="Times New Roman" w:hAnsi="Times New Roman" w:cs="Times New Roman"/>
          <w:i/>
          <w:sz w:val="24"/>
          <w:szCs w:val="24"/>
        </w:rPr>
        <w:t>Biosecurity Act 2015</w:t>
      </w:r>
      <w:r w:rsidR="00A271F4" w:rsidRPr="00F25B73">
        <w:rPr>
          <w:rFonts w:ascii="Times New Roman" w:hAnsi="Times New Roman" w:cs="Times New Roman"/>
          <w:sz w:val="24"/>
          <w:szCs w:val="24"/>
        </w:rPr>
        <w:t>.</w:t>
      </w:r>
    </w:p>
    <w:p w14:paraId="1505F860" w14:textId="4BB24CFC" w:rsidR="00CC2E84" w:rsidRPr="00F25B73" w:rsidRDefault="00CC2E84" w:rsidP="00CC2E84">
      <w:pPr>
        <w:spacing w:after="0" w:line="240" w:lineRule="auto"/>
        <w:rPr>
          <w:rFonts w:ascii="Times New Roman" w:eastAsia="Times New Roman" w:hAnsi="Times New Roman" w:cs="Times New Roman"/>
          <w:bCs/>
          <w:sz w:val="24"/>
          <w:szCs w:val="24"/>
          <w:lang w:eastAsia="en-AU"/>
        </w:rPr>
      </w:pPr>
    </w:p>
    <w:p w14:paraId="4FF07909" w14:textId="136EEB2B" w:rsidR="0099535A" w:rsidRPr="00F25B73" w:rsidRDefault="0099535A" w:rsidP="0099535A">
      <w:pPr>
        <w:spacing w:after="0" w:line="240" w:lineRule="auto"/>
        <w:rPr>
          <w:rFonts w:ascii="Times New Roman" w:hAnsi="Times New Roman" w:cs="Times New Roman"/>
          <w:b/>
          <w:i/>
          <w:sz w:val="24"/>
          <w:szCs w:val="24"/>
        </w:rPr>
      </w:pPr>
      <w:r w:rsidRPr="00F25B73">
        <w:rPr>
          <w:rFonts w:ascii="Times New Roman" w:hAnsi="Times New Roman" w:cs="Times New Roman"/>
          <w:b/>
          <w:sz w:val="24"/>
          <w:szCs w:val="24"/>
        </w:rPr>
        <w:t xml:space="preserve">Section 4 – </w:t>
      </w:r>
      <w:r w:rsidR="005E5DE8" w:rsidRPr="00F25B73">
        <w:rPr>
          <w:rFonts w:ascii="Times New Roman" w:hAnsi="Times New Roman" w:cs="Times New Roman"/>
          <w:b/>
          <w:sz w:val="24"/>
          <w:szCs w:val="24"/>
        </w:rPr>
        <w:t>Schedules</w:t>
      </w:r>
      <w:r w:rsidRPr="00F25B73">
        <w:rPr>
          <w:rFonts w:ascii="Times New Roman" w:hAnsi="Times New Roman" w:cs="Times New Roman"/>
          <w:b/>
          <w:sz w:val="24"/>
          <w:szCs w:val="24"/>
        </w:rPr>
        <w:br/>
      </w:r>
    </w:p>
    <w:p w14:paraId="6D306E19" w14:textId="57652B4E" w:rsidR="00694C0D" w:rsidRPr="00F25B73" w:rsidRDefault="0099535A" w:rsidP="00A271F4">
      <w:pPr>
        <w:rPr>
          <w:rFonts w:ascii="Times New Roman" w:hAnsi="Times New Roman" w:cs="Times New Roman"/>
          <w:b/>
          <w:sz w:val="24"/>
          <w:szCs w:val="24"/>
          <w:u w:val="single"/>
        </w:rPr>
      </w:pPr>
      <w:r w:rsidRPr="00F25B73">
        <w:rPr>
          <w:rFonts w:ascii="Times New Roman" w:hAnsi="Times New Roman" w:cs="Times New Roman"/>
          <w:sz w:val="24"/>
          <w:szCs w:val="24"/>
        </w:rPr>
        <w:t xml:space="preserve">Section 4 </w:t>
      </w:r>
      <w:r w:rsidR="00CD2C27" w:rsidRPr="00F25B73">
        <w:rPr>
          <w:rFonts w:ascii="Times New Roman" w:hAnsi="Times New Roman" w:cs="Times New Roman"/>
          <w:sz w:val="24"/>
          <w:szCs w:val="24"/>
        </w:rPr>
        <w:t xml:space="preserve">provides </w:t>
      </w:r>
      <w:r w:rsidR="000700C2" w:rsidRPr="00F25B73">
        <w:rPr>
          <w:rFonts w:ascii="Times New Roman" w:hAnsi="Times New Roman" w:cs="Times New Roman"/>
          <w:sz w:val="24"/>
          <w:szCs w:val="24"/>
        </w:rPr>
        <w:t xml:space="preserve">that </w:t>
      </w:r>
      <w:r w:rsidR="00CD2C27" w:rsidRPr="00F25B73">
        <w:rPr>
          <w:rFonts w:ascii="Times New Roman" w:hAnsi="Times New Roman" w:cs="Times New Roman"/>
          <w:sz w:val="24"/>
          <w:szCs w:val="24"/>
        </w:rPr>
        <w:t xml:space="preserve">each </w:t>
      </w:r>
      <w:r w:rsidR="000D5485" w:rsidRPr="00F25B73">
        <w:rPr>
          <w:rFonts w:ascii="Times New Roman" w:hAnsi="Times New Roman" w:cs="Times New Roman"/>
          <w:sz w:val="24"/>
          <w:szCs w:val="24"/>
        </w:rPr>
        <w:t xml:space="preserve">instrument that is specified in a Schedule to the </w:t>
      </w:r>
      <w:r w:rsidR="00602136" w:rsidRPr="00F25B73">
        <w:rPr>
          <w:rFonts w:ascii="Times New Roman" w:hAnsi="Times New Roman" w:cs="Times New Roman"/>
          <w:sz w:val="24"/>
          <w:szCs w:val="24"/>
        </w:rPr>
        <w:t>Amendment Determination</w:t>
      </w:r>
      <w:r w:rsidR="000D5485" w:rsidRPr="00F25B73">
        <w:rPr>
          <w:rFonts w:ascii="Times New Roman" w:hAnsi="Times New Roman" w:cs="Times New Roman"/>
          <w:sz w:val="24"/>
          <w:szCs w:val="24"/>
        </w:rPr>
        <w:t xml:space="preserve"> is amended or repealed as set out in the applicable items in the Schedule concerned, and that any other item in a Schedule has effect according to its terms. </w:t>
      </w:r>
    </w:p>
    <w:p w14:paraId="62E314DD" w14:textId="2C771F20" w:rsidR="000870DA" w:rsidRPr="00F25B73" w:rsidRDefault="00A271F4" w:rsidP="000870DA">
      <w:r w:rsidRPr="00F25B73">
        <w:rPr>
          <w:rFonts w:ascii="Times New Roman" w:hAnsi="Times New Roman" w:cs="Times New Roman"/>
          <w:b/>
          <w:sz w:val="24"/>
          <w:szCs w:val="24"/>
          <w:u w:val="single"/>
        </w:rPr>
        <w:t xml:space="preserve">Schedule 1 </w:t>
      </w:r>
      <w:r w:rsidR="006A0ADD" w:rsidRPr="00F25B73">
        <w:rPr>
          <w:rFonts w:ascii="Times New Roman" w:hAnsi="Times New Roman" w:cs="Times New Roman"/>
          <w:b/>
          <w:sz w:val="24"/>
          <w:szCs w:val="24"/>
          <w:u w:val="single"/>
        </w:rPr>
        <w:t xml:space="preserve">- </w:t>
      </w:r>
      <w:r w:rsidR="00DC0DFD" w:rsidRPr="00F25B73">
        <w:rPr>
          <w:rFonts w:ascii="Times New Roman" w:hAnsi="Times New Roman" w:cs="Times New Roman"/>
          <w:b/>
          <w:sz w:val="24"/>
          <w:szCs w:val="24"/>
          <w:u w:val="single"/>
        </w:rPr>
        <w:t>Amendments</w:t>
      </w:r>
      <w:r w:rsidRPr="00F25B73">
        <w:rPr>
          <w:rFonts w:ascii="Times New Roman" w:eastAsia="Times New Roman" w:hAnsi="Times New Roman" w:cs="Times New Roman"/>
          <w:bCs/>
          <w:sz w:val="24"/>
          <w:szCs w:val="24"/>
          <w:lang w:eastAsia="en-AU"/>
        </w:rPr>
        <w:br/>
      </w:r>
      <w:r w:rsidR="000870DA" w:rsidRPr="00F25B73">
        <w:rPr>
          <w:rFonts w:ascii="Times New Roman" w:eastAsia="Times New Roman" w:hAnsi="Times New Roman" w:cs="Times New Roman"/>
          <w:bCs/>
          <w:sz w:val="24"/>
          <w:szCs w:val="24"/>
          <w:lang w:eastAsia="en-AU"/>
        </w:rPr>
        <w:br/>
      </w:r>
      <w:r w:rsidR="002E4D1B" w:rsidRPr="00F25B73">
        <w:rPr>
          <w:rFonts w:ascii="Times New Roman" w:hAnsi="Times New Roman" w:cs="Times New Roman"/>
          <w:b/>
          <w:sz w:val="24"/>
          <w:szCs w:val="24"/>
        </w:rPr>
        <w:t xml:space="preserve">Item </w:t>
      </w:r>
      <w:r w:rsidR="00831253" w:rsidRPr="00F25B73">
        <w:rPr>
          <w:rFonts w:ascii="Times New Roman" w:hAnsi="Times New Roman" w:cs="Times New Roman"/>
          <w:b/>
          <w:sz w:val="24"/>
          <w:szCs w:val="24"/>
        </w:rPr>
        <w:t>1</w:t>
      </w:r>
      <w:r w:rsidR="002E4D1B" w:rsidRPr="00F25B73">
        <w:rPr>
          <w:rFonts w:ascii="Times New Roman" w:hAnsi="Times New Roman" w:cs="Times New Roman"/>
          <w:b/>
          <w:sz w:val="24"/>
          <w:szCs w:val="24"/>
        </w:rPr>
        <w:t xml:space="preserve"> – </w:t>
      </w:r>
      <w:r w:rsidR="002354AD" w:rsidRPr="00F25B73">
        <w:rPr>
          <w:rFonts w:ascii="Times New Roman" w:hAnsi="Times New Roman" w:cs="Times New Roman"/>
          <w:b/>
          <w:sz w:val="24"/>
          <w:szCs w:val="24"/>
        </w:rPr>
        <w:t xml:space="preserve">Section </w:t>
      </w:r>
      <w:r w:rsidR="00823D9A" w:rsidRPr="00F25B73">
        <w:rPr>
          <w:rFonts w:ascii="Times New Roman" w:hAnsi="Times New Roman" w:cs="Times New Roman"/>
          <w:b/>
          <w:sz w:val="24"/>
          <w:szCs w:val="24"/>
        </w:rPr>
        <w:t>1</w:t>
      </w:r>
      <w:r w:rsidR="00AD6E5B" w:rsidRPr="00F25B73">
        <w:rPr>
          <w:rFonts w:ascii="Times New Roman" w:hAnsi="Times New Roman" w:cs="Times New Roman"/>
          <w:b/>
          <w:sz w:val="24"/>
          <w:szCs w:val="24"/>
        </w:rPr>
        <w:t xml:space="preserve"> of Schedule 1</w:t>
      </w:r>
      <w:r w:rsidR="00823D9A" w:rsidRPr="00F25B73">
        <w:rPr>
          <w:rFonts w:ascii="Times New Roman" w:hAnsi="Times New Roman" w:cs="Times New Roman"/>
          <w:b/>
          <w:sz w:val="24"/>
          <w:szCs w:val="24"/>
        </w:rPr>
        <w:t xml:space="preserve"> (table item </w:t>
      </w:r>
      <w:r w:rsidR="002E4D1B" w:rsidRPr="00F25B73">
        <w:rPr>
          <w:rFonts w:ascii="Times New Roman" w:hAnsi="Times New Roman" w:cs="Times New Roman"/>
          <w:b/>
          <w:sz w:val="24"/>
          <w:szCs w:val="24"/>
        </w:rPr>
        <w:t>40)</w:t>
      </w:r>
      <w:r w:rsidR="0099535A" w:rsidRPr="00F25B73">
        <w:rPr>
          <w:rFonts w:ascii="Times New Roman" w:hAnsi="Times New Roman" w:cs="Times New Roman"/>
          <w:sz w:val="24"/>
          <w:szCs w:val="24"/>
        </w:rPr>
        <w:br/>
      </w:r>
      <w:r w:rsidR="000870DA" w:rsidRPr="00F25B73">
        <w:rPr>
          <w:rFonts w:ascii="Times New Roman" w:hAnsi="Times New Roman" w:cs="Times New Roman"/>
          <w:sz w:val="24"/>
          <w:szCs w:val="24"/>
        </w:rPr>
        <w:t xml:space="preserve">Item </w:t>
      </w:r>
      <w:r w:rsidR="00831253" w:rsidRPr="00F25B73">
        <w:rPr>
          <w:rFonts w:ascii="Times New Roman" w:hAnsi="Times New Roman" w:cs="Times New Roman"/>
          <w:sz w:val="24"/>
          <w:szCs w:val="24"/>
        </w:rPr>
        <w:t>1</w:t>
      </w:r>
      <w:r w:rsidRPr="00F25B73">
        <w:rPr>
          <w:rFonts w:ascii="Times New Roman" w:hAnsi="Times New Roman" w:cs="Times New Roman"/>
          <w:sz w:val="24"/>
          <w:szCs w:val="24"/>
        </w:rPr>
        <w:t xml:space="preserve"> </w:t>
      </w:r>
      <w:r w:rsidR="004F13C1" w:rsidRPr="00F25B73">
        <w:rPr>
          <w:rFonts w:ascii="Times New Roman" w:hAnsi="Times New Roman" w:cs="Times New Roman"/>
          <w:sz w:val="24"/>
          <w:szCs w:val="24"/>
        </w:rPr>
        <w:t xml:space="preserve">replaces </w:t>
      </w:r>
      <w:r w:rsidR="001E5DDE" w:rsidRPr="00F25B73">
        <w:rPr>
          <w:rFonts w:ascii="Times New Roman" w:hAnsi="Times New Roman" w:cs="Times New Roman"/>
          <w:sz w:val="24"/>
          <w:szCs w:val="24"/>
        </w:rPr>
        <w:t>“</w:t>
      </w:r>
      <w:r w:rsidR="004F13C1" w:rsidRPr="00F25B73">
        <w:rPr>
          <w:rFonts w:ascii="Times New Roman" w:hAnsi="Times New Roman" w:cs="Times New Roman"/>
          <w:sz w:val="24"/>
          <w:szCs w:val="24"/>
        </w:rPr>
        <w:t>Trinidad</w:t>
      </w:r>
      <w:r w:rsidR="001E5DDE" w:rsidRPr="00F25B73">
        <w:rPr>
          <w:rFonts w:ascii="Times New Roman" w:hAnsi="Times New Roman" w:cs="Times New Roman"/>
          <w:sz w:val="24"/>
          <w:szCs w:val="24"/>
        </w:rPr>
        <w:t>”</w:t>
      </w:r>
      <w:r w:rsidR="004F13C1" w:rsidRPr="00F25B73">
        <w:rPr>
          <w:rFonts w:ascii="Times New Roman" w:hAnsi="Times New Roman" w:cs="Times New Roman"/>
          <w:sz w:val="24"/>
          <w:szCs w:val="24"/>
        </w:rPr>
        <w:t xml:space="preserve"> with </w:t>
      </w:r>
      <w:r w:rsidR="001E5DDE" w:rsidRPr="00F25B73">
        <w:rPr>
          <w:rFonts w:ascii="Times New Roman" w:hAnsi="Times New Roman" w:cs="Times New Roman"/>
          <w:sz w:val="24"/>
          <w:szCs w:val="24"/>
        </w:rPr>
        <w:t>“</w:t>
      </w:r>
      <w:r w:rsidR="004F13C1" w:rsidRPr="00F25B73">
        <w:rPr>
          <w:rFonts w:ascii="Times New Roman" w:hAnsi="Times New Roman" w:cs="Times New Roman"/>
          <w:sz w:val="24"/>
          <w:szCs w:val="24"/>
        </w:rPr>
        <w:t>Trinidad and Tobago</w:t>
      </w:r>
      <w:r w:rsidR="001E5DDE" w:rsidRPr="00F25B73">
        <w:rPr>
          <w:rFonts w:ascii="Times New Roman" w:hAnsi="Times New Roman" w:cs="Times New Roman"/>
          <w:sz w:val="24"/>
          <w:szCs w:val="24"/>
        </w:rPr>
        <w:t>”</w:t>
      </w:r>
      <w:r w:rsidR="006A0724" w:rsidRPr="00F25B73">
        <w:rPr>
          <w:rFonts w:ascii="Times New Roman" w:hAnsi="Times New Roman" w:cs="Times New Roman"/>
          <w:sz w:val="24"/>
          <w:szCs w:val="24"/>
        </w:rPr>
        <w:t>.</w:t>
      </w:r>
    </w:p>
    <w:p w14:paraId="3BB4FAFE" w14:textId="6986462D" w:rsidR="00854014" w:rsidRPr="0099535A" w:rsidRDefault="009975CA" w:rsidP="000870DA">
      <w:pPr>
        <w:rPr>
          <w:rFonts w:ascii="Times New Roman" w:hAnsi="Times New Roman" w:cs="Times New Roman"/>
          <w:sz w:val="24"/>
          <w:szCs w:val="24"/>
        </w:rPr>
      </w:pPr>
      <w:r w:rsidRPr="00F25B73">
        <w:rPr>
          <w:rFonts w:ascii="Times New Roman" w:hAnsi="Times New Roman" w:cs="Times New Roman"/>
          <w:sz w:val="24"/>
          <w:szCs w:val="24"/>
        </w:rPr>
        <w:t>Th</w:t>
      </w:r>
      <w:r w:rsidR="00831253" w:rsidRPr="00F25B73">
        <w:rPr>
          <w:rFonts w:ascii="Times New Roman" w:hAnsi="Times New Roman" w:cs="Times New Roman"/>
          <w:sz w:val="24"/>
          <w:szCs w:val="24"/>
        </w:rPr>
        <w:t>is</w:t>
      </w:r>
      <w:r w:rsidRPr="00F25B73">
        <w:rPr>
          <w:rFonts w:ascii="Times New Roman" w:hAnsi="Times New Roman" w:cs="Times New Roman"/>
          <w:sz w:val="24"/>
          <w:szCs w:val="24"/>
        </w:rPr>
        <w:t xml:space="preserve"> amendment </w:t>
      </w:r>
      <w:r w:rsidR="00831253" w:rsidRPr="00F25B73">
        <w:rPr>
          <w:rFonts w:ascii="Times New Roman" w:hAnsi="Times New Roman" w:cs="Times New Roman"/>
          <w:sz w:val="24"/>
          <w:szCs w:val="24"/>
        </w:rPr>
        <w:t>is</w:t>
      </w:r>
      <w:r w:rsidR="00B6216B" w:rsidRPr="00F25B73">
        <w:rPr>
          <w:rFonts w:ascii="Times New Roman" w:hAnsi="Times New Roman" w:cs="Times New Roman"/>
          <w:sz w:val="24"/>
          <w:szCs w:val="24"/>
        </w:rPr>
        <w:t xml:space="preserve"> made to align</w:t>
      </w:r>
      <w:r w:rsidR="00AF74D7" w:rsidRPr="00F25B73">
        <w:rPr>
          <w:rFonts w:ascii="Times New Roman" w:hAnsi="Times New Roman" w:cs="Times New Roman"/>
          <w:sz w:val="24"/>
          <w:szCs w:val="24"/>
        </w:rPr>
        <w:t xml:space="preserve"> the Schedule</w:t>
      </w:r>
      <w:r w:rsidR="00026302" w:rsidRPr="00F25B73">
        <w:rPr>
          <w:rFonts w:ascii="Times New Roman" w:hAnsi="Times New Roman" w:cs="Times New Roman"/>
          <w:sz w:val="24"/>
          <w:szCs w:val="24"/>
        </w:rPr>
        <w:t xml:space="preserve"> to the </w:t>
      </w:r>
      <w:r w:rsidR="004B785C" w:rsidRPr="00F25B73">
        <w:rPr>
          <w:rFonts w:ascii="Times New Roman" w:hAnsi="Times New Roman" w:cs="Times New Roman"/>
          <w:i/>
          <w:iCs/>
          <w:sz w:val="24"/>
          <w:szCs w:val="24"/>
        </w:rPr>
        <w:t xml:space="preserve">Biosecurity (Entry Requirements) Determination 2016 </w:t>
      </w:r>
      <w:r w:rsidR="00B6216B" w:rsidRPr="00F25B73">
        <w:rPr>
          <w:rFonts w:ascii="Times New Roman" w:hAnsi="Times New Roman" w:cs="Times New Roman"/>
          <w:sz w:val="24"/>
          <w:szCs w:val="24"/>
        </w:rPr>
        <w:t xml:space="preserve">with </w:t>
      </w:r>
      <w:r w:rsidR="00026302" w:rsidRPr="00F25B73">
        <w:rPr>
          <w:rFonts w:ascii="Times New Roman" w:hAnsi="Times New Roman" w:cs="Times New Roman"/>
          <w:sz w:val="24"/>
          <w:szCs w:val="24"/>
        </w:rPr>
        <w:t>the WHO guidance document.</w:t>
      </w:r>
      <w:r w:rsidR="00026302">
        <w:rPr>
          <w:rFonts w:ascii="Times New Roman" w:hAnsi="Times New Roman" w:cs="Times New Roman"/>
          <w:sz w:val="24"/>
          <w:szCs w:val="24"/>
        </w:rPr>
        <w:t xml:space="preserve"> </w:t>
      </w:r>
    </w:p>
    <w:p w14:paraId="12404AB3" w14:textId="3CA450E1" w:rsidR="0024216B" w:rsidRDefault="0024216B" w:rsidP="00CC2E84">
      <w:pPr>
        <w:spacing w:after="0" w:line="240" w:lineRule="auto"/>
        <w:rPr>
          <w:rFonts w:ascii="Times New Roman" w:eastAsia="Times New Roman" w:hAnsi="Times New Roman" w:cs="Times New Roman"/>
          <w:bCs/>
          <w:sz w:val="24"/>
          <w:szCs w:val="24"/>
          <w:lang w:eastAsia="en-AU"/>
        </w:rPr>
      </w:pPr>
    </w:p>
    <w:p w14:paraId="24563E60" w14:textId="77777777" w:rsidR="000700C2" w:rsidRDefault="000700C2" w:rsidP="00CC2E84">
      <w:pPr>
        <w:spacing w:after="0" w:line="240" w:lineRule="auto"/>
        <w:rPr>
          <w:rFonts w:ascii="Times New Roman" w:eastAsia="Times New Roman" w:hAnsi="Times New Roman" w:cs="Times New Roman"/>
          <w:bCs/>
          <w:sz w:val="24"/>
          <w:szCs w:val="24"/>
          <w:lang w:eastAsia="en-AU"/>
        </w:rPr>
      </w:pPr>
    </w:p>
    <w:p w14:paraId="33C244DD" w14:textId="5F3B3037" w:rsidR="00694C0D" w:rsidRPr="00CB4775" w:rsidRDefault="00694C0D" w:rsidP="00E879B6">
      <w:pPr>
        <w:spacing w:before="120" w:after="120" w:line="276" w:lineRule="auto"/>
        <w:jc w:val="center"/>
        <w:rPr>
          <w:rFonts w:ascii="Times New Roman" w:hAnsi="Times New Roman" w:cs="Times New Roman"/>
          <w:b/>
          <w:bCs/>
          <w:color w:val="000000"/>
          <w:sz w:val="24"/>
          <w:szCs w:val="24"/>
        </w:rPr>
      </w:pPr>
    </w:p>
    <w:p w14:paraId="1B3676C2" w14:textId="3ED8A1C9" w:rsidR="00CC2E84" w:rsidRPr="00765FBF" w:rsidRDefault="00CC2E84" w:rsidP="00E879B6">
      <w:pPr>
        <w:pStyle w:val="Heading2"/>
        <w:jc w:val="left"/>
        <w:rPr>
          <w:rFonts w:eastAsia="Times New Roman" w:cs="Times New Roman"/>
          <w:sz w:val="24"/>
          <w:szCs w:val="24"/>
          <w:lang w:eastAsia="en-AU"/>
        </w:rPr>
      </w:pPr>
    </w:p>
    <w:p w14:paraId="3F68C419" w14:textId="280BA40E" w:rsidR="002317DD" w:rsidRPr="00CB4775" w:rsidRDefault="002317DD" w:rsidP="00417893">
      <w:pPr>
        <w:rPr>
          <w:rFonts w:ascii="Times New Roman" w:hAnsi="Times New Roman" w:cs="Times New Roman"/>
          <w:sz w:val="28"/>
          <w:szCs w:val="28"/>
        </w:rPr>
      </w:pPr>
    </w:p>
    <w:p w14:paraId="6A48F612" w14:textId="0C14EFDA" w:rsidR="002317DD" w:rsidRDefault="002317DD" w:rsidP="002317DD">
      <w:pPr>
        <w:rPr>
          <w:rFonts w:ascii="Times New Roman" w:hAnsi="Times New Roman"/>
          <w:sz w:val="24"/>
          <w:szCs w:val="24"/>
        </w:rPr>
      </w:pPr>
    </w:p>
    <w:p w14:paraId="1467764D" w14:textId="66C71AC2" w:rsidR="002317DD" w:rsidRPr="00B00A93" w:rsidRDefault="002317DD" w:rsidP="00417893">
      <w:pPr>
        <w:tabs>
          <w:tab w:val="left" w:pos="3720"/>
        </w:tabs>
        <w:rPr>
          <w:rFonts w:ascii="Times New Roman" w:hAnsi="Times New Roman"/>
          <w:sz w:val="24"/>
          <w:szCs w:val="24"/>
        </w:rPr>
      </w:pPr>
    </w:p>
    <w:sectPr w:rsidR="002317DD" w:rsidRPr="00B00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73C43"/>
    <w:multiLevelType w:val="hybridMultilevel"/>
    <w:tmpl w:val="AF5E4AE8"/>
    <w:lvl w:ilvl="0" w:tplc="18082AA6">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1D2C9C"/>
    <w:multiLevelType w:val="hybridMultilevel"/>
    <w:tmpl w:val="DA688488"/>
    <w:lvl w:ilvl="0" w:tplc="883CF482">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3781779">
    <w:abstractNumId w:val="2"/>
  </w:num>
  <w:num w:numId="2" w16cid:durableId="2115010553">
    <w:abstractNumId w:val="3"/>
  </w:num>
  <w:num w:numId="3" w16cid:durableId="1901943523">
    <w:abstractNumId w:val="0"/>
  </w:num>
  <w:num w:numId="4" w16cid:durableId="198010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26302"/>
    <w:rsid w:val="000269D8"/>
    <w:rsid w:val="000518C2"/>
    <w:rsid w:val="000700C2"/>
    <w:rsid w:val="000870DA"/>
    <w:rsid w:val="000A06A1"/>
    <w:rsid w:val="000C3CE2"/>
    <w:rsid w:val="000C5A2E"/>
    <w:rsid w:val="000D5485"/>
    <w:rsid w:val="00102E98"/>
    <w:rsid w:val="00106295"/>
    <w:rsid w:val="00116475"/>
    <w:rsid w:val="00124879"/>
    <w:rsid w:val="00132EEB"/>
    <w:rsid w:val="00153FB4"/>
    <w:rsid w:val="001A75AA"/>
    <w:rsid w:val="001C343D"/>
    <w:rsid w:val="001E5DDE"/>
    <w:rsid w:val="00207E53"/>
    <w:rsid w:val="002317DD"/>
    <w:rsid w:val="002354AD"/>
    <w:rsid w:val="0024216B"/>
    <w:rsid w:val="00271294"/>
    <w:rsid w:val="002838A7"/>
    <w:rsid w:val="0028703A"/>
    <w:rsid w:val="0029231E"/>
    <w:rsid w:val="002A53EA"/>
    <w:rsid w:val="002C36CC"/>
    <w:rsid w:val="002E15C0"/>
    <w:rsid w:val="002E4D1B"/>
    <w:rsid w:val="00311984"/>
    <w:rsid w:val="003246B6"/>
    <w:rsid w:val="00333BC4"/>
    <w:rsid w:val="00365D63"/>
    <w:rsid w:val="0038351A"/>
    <w:rsid w:val="003C6FA6"/>
    <w:rsid w:val="003F0BFC"/>
    <w:rsid w:val="003F7AA8"/>
    <w:rsid w:val="004075AB"/>
    <w:rsid w:val="004164AC"/>
    <w:rsid w:val="00417893"/>
    <w:rsid w:val="00434650"/>
    <w:rsid w:val="00444A60"/>
    <w:rsid w:val="00483832"/>
    <w:rsid w:val="00487ACB"/>
    <w:rsid w:val="004B785C"/>
    <w:rsid w:val="004F13C1"/>
    <w:rsid w:val="005149AD"/>
    <w:rsid w:val="00527B43"/>
    <w:rsid w:val="00537B19"/>
    <w:rsid w:val="005571B1"/>
    <w:rsid w:val="005642C1"/>
    <w:rsid w:val="005716B4"/>
    <w:rsid w:val="00575E65"/>
    <w:rsid w:val="00595C9A"/>
    <w:rsid w:val="005977E9"/>
    <w:rsid w:val="005A230F"/>
    <w:rsid w:val="005B7631"/>
    <w:rsid w:val="005E5DE8"/>
    <w:rsid w:val="00602136"/>
    <w:rsid w:val="006032EE"/>
    <w:rsid w:val="0062101D"/>
    <w:rsid w:val="006243C4"/>
    <w:rsid w:val="00652D8C"/>
    <w:rsid w:val="0066553F"/>
    <w:rsid w:val="00665A0D"/>
    <w:rsid w:val="00685F0D"/>
    <w:rsid w:val="006935B1"/>
    <w:rsid w:val="00694C0D"/>
    <w:rsid w:val="006A0724"/>
    <w:rsid w:val="006A0ADD"/>
    <w:rsid w:val="006D2F37"/>
    <w:rsid w:val="00700296"/>
    <w:rsid w:val="00761E1A"/>
    <w:rsid w:val="007E2A5D"/>
    <w:rsid w:val="007F2BF2"/>
    <w:rsid w:val="00823D9A"/>
    <w:rsid w:val="00831253"/>
    <w:rsid w:val="00837144"/>
    <w:rsid w:val="00853EE8"/>
    <w:rsid w:val="00854014"/>
    <w:rsid w:val="00857E5C"/>
    <w:rsid w:val="00880187"/>
    <w:rsid w:val="008A0AFC"/>
    <w:rsid w:val="008A4392"/>
    <w:rsid w:val="008D6233"/>
    <w:rsid w:val="008E71A2"/>
    <w:rsid w:val="008F311E"/>
    <w:rsid w:val="0091699F"/>
    <w:rsid w:val="00920C32"/>
    <w:rsid w:val="009256A4"/>
    <w:rsid w:val="009504A4"/>
    <w:rsid w:val="00963472"/>
    <w:rsid w:val="0099052E"/>
    <w:rsid w:val="0099535A"/>
    <w:rsid w:val="009975CA"/>
    <w:rsid w:val="009E4A9B"/>
    <w:rsid w:val="009F5A1C"/>
    <w:rsid w:val="00A271F4"/>
    <w:rsid w:val="00A35981"/>
    <w:rsid w:val="00A56C3E"/>
    <w:rsid w:val="00A97F79"/>
    <w:rsid w:val="00AB22EC"/>
    <w:rsid w:val="00AB462E"/>
    <w:rsid w:val="00AB4B11"/>
    <w:rsid w:val="00AD6E5B"/>
    <w:rsid w:val="00AE6BE3"/>
    <w:rsid w:val="00AF118C"/>
    <w:rsid w:val="00AF3CB5"/>
    <w:rsid w:val="00AF5BD7"/>
    <w:rsid w:val="00AF74D7"/>
    <w:rsid w:val="00B00107"/>
    <w:rsid w:val="00B00A93"/>
    <w:rsid w:val="00B0255F"/>
    <w:rsid w:val="00B1269C"/>
    <w:rsid w:val="00B52731"/>
    <w:rsid w:val="00B61D04"/>
    <w:rsid w:val="00B6216B"/>
    <w:rsid w:val="00B67C45"/>
    <w:rsid w:val="00B859CD"/>
    <w:rsid w:val="00BA4CDC"/>
    <w:rsid w:val="00BB58B8"/>
    <w:rsid w:val="00BD1F67"/>
    <w:rsid w:val="00BD6AFD"/>
    <w:rsid w:val="00BE6739"/>
    <w:rsid w:val="00BF047D"/>
    <w:rsid w:val="00C465A4"/>
    <w:rsid w:val="00C46BC6"/>
    <w:rsid w:val="00C50EE9"/>
    <w:rsid w:val="00C53420"/>
    <w:rsid w:val="00C56365"/>
    <w:rsid w:val="00C718E8"/>
    <w:rsid w:val="00C95E5D"/>
    <w:rsid w:val="00CA2AFA"/>
    <w:rsid w:val="00CB4775"/>
    <w:rsid w:val="00CC279C"/>
    <w:rsid w:val="00CC2E84"/>
    <w:rsid w:val="00CD2C27"/>
    <w:rsid w:val="00CF167F"/>
    <w:rsid w:val="00D33C25"/>
    <w:rsid w:val="00D54363"/>
    <w:rsid w:val="00D63C58"/>
    <w:rsid w:val="00DA20B5"/>
    <w:rsid w:val="00DC0DFD"/>
    <w:rsid w:val="00DD4ADC"/>
    <w:rsid w:val="00DD5937"/>
    <w:rsid w:val="00DD66C1"/>
    <w:rsid w:val="00E21180"/>
    <w:rsid w:val="00E26EAB"/>
    <w:rsid w:val="00E365C8"/>
    <w:rsid w:val="00E47F4E"/>
    <w:rsid w:val="00E56620"/>
    <w:rsid w:val="00E653AC"/>
    <w:rsid w:val="00E74A64"/>
    <w:rsid w:val="00E810F4"/>
    <w:rsid w:val="00E83C3B"/>
    <w:rsid w:val="00E879B6"/>
    <w:rsid w:val="00EC700D"/>
    <w:rsid w:val="00F016DD"/>
    <w:rsid w:val="00F25B73"/>
    <w:rsid w:val="00F46BD5"/>
    <w:rsid w:val="00F56B83"/>
    <w:rsid w:val="00FE2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DEB"/>
  <w15:docId w15:val="{974A3B30-B427-4D75-9105-09375B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1">
    <w:name w:val="heading 1"/>
    <w:basedOn w:val="Normal"/>
    <w:next w:val="Normal"/>
    <w:link w:val="Heading1Char"/>
    <w:uiPriority w:val="9"/>
    <w:qFormat/>
    <w:rsid w:val="00595C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semiHidden/>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semiHidden/>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character" w:customStyle="1" w:styleId="Heading1Char">
    <w:name w:val="Heading 1 Char"/>
    <w:basedOn w:val="DefaultParagraphFont"/>
    <w:link w:val="Heading1"/>
    <w:uiPriority w:val="9"/>
    <w:rsid w:val="00595C9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m/item/countries-with-risk-of-yellow-fever-transmission-and-countries-requiring-yellow-fever-vaccination-(november-20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F36FE0D320B094988219DB2FDC5BCAD" ma:contentTypeVersion="" ma:contentTypeDescription="PDMS Document Site Content Type" ma:contentTypeScope="" ma:versionID="f20e93c64e6a02c89a009b3edc4f9644">
  <xsd:schema xmlns:xsd="http://www.w3.org/2001/XMLSchema" xmlns:xs="http://www.w3.org/2001/XMLSchema" xmlns:p="http://schemas.microsoft.com/office/2006/metadata/properties" xmlns:ns2="4EF8F306-9689-4829-A01C-11C5BC367AAB" targetNamespace="http://schemas.microsoft.com/office/2006/metadata/properties" ma:root="true" ma:fieldsID="852c0b044973ca9796ccda7ee48f2d28" ns2:_="">
    <xsd:import namespace="4EF8F306-9689-4829-A01C-11C5BC367A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8F306-9689-4829-A01C-11C5BC367A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F8F306-9689-4829-A01C-11C5BC367AAB" xsi:nil="true"/>
  </documentManagement>
</p:properties>
</file>

<file path=customXml/itemProps1.xml><?xml version="1.0" encoding="utf-8"?>
<ds:datastoreItem xmlns:ds="http://schemas.openxmlformats.org/officeDocument/2006/customXml" ds:itemID="{9B260201-5367-4E82-ACAE-83FA5B9B6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8F306-9689-4829-A01C-11C5BC367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C9A0D-9429-4FAD-87CB-EB6386EAEB1E}">
  <ds:schemaRefs>
    <ds:schemaRef ds:uri="http://schemas.microsoft.com/sharepoint/v3/contenttype/forms"/>
  </ds:schemaRefs>
</ds:datastoreItem>
</file>

<file path=customXml/itemProps3.xml><?xml version="1.0" encoding="utf-8"?>
<ds:datastoreItem xmlns:ds="http://schemas.openxmlformats.org/officeDocument/2006/customXml" ds:itemID="{641A7168-7AC3-4FA3-9098-6DC544E9F83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EF8F306-9689-4829-A01C-11C5BC367A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VANCUYLENBURG, Chrisanne</cp:lastModifiedBy>
  <cp:revision>9</cp:revision>
  <dcterms:created xsi:type="dcterms:W3CDTF">2023-07-06T06:17:00Z</dcterms:created>
  <dcterms:modified xsi:type="dcterms:W3CDTF">2023-10-13T06:20:00Z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0x010100266966F133664895A6EE3632470D45F5000F36FE0D320B094988219DB2FDC5BCAD</vt:lpwstr>
  </property>
</Properties>
</file>