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BE06" w14:textId="557DD9A4" w:rsidR="002436BD" w:rsidRPr="004000D3" w:rsidRDefault="001A2D6A" w:rsidP="002436BD">
      <w:pPr>
        <w:pStyle w:val="Heading"/>
        <w:spacing w:before="120"/>
        <w:jc w:val="center"/>
        <w:rPr>
          <w:rFonts w:ascii="Times New Roman" w:hAnsi="Times New Roman"/>
          <w:sz w:val="24"/>
          <w:szCs w:val="24"/>
        </w:rPr>
      </w:pPr>
      <w:r w:rsidRPr="004000D3">
        <w:rPr>
          <w:rFonts w:ascii="Times New Roman" w:hAnsi="Times New Roman"/>
          <w:sz w:val="24"/>
          <w:szCs w:val="24"/>
        </w:rPr>
        <w:t xml:space="preserve">Financial Sector (Collection of Data) exemption No. </w:t>
      </w:r>
      <w:r w:rsidR="002B4759" w:rsidRPr="004000D3">
        <w:rPr>
          <w:rFonts w:ascii="Times New Roman" w:hAnsi="Times New Roman"/>
          <w:sz w:val="24"/>
          <w:szCs w:val="24"/>
        </w:rPr>
        <w:t>1</w:t>
      </w:r>
      <w:r w:rsidRPr="004000D3">
        <w:rPr>
          <w:rFonts w:ascii="Times New Roman" w:hAnsi="Times New Roman"/>
          <w:sz w:val="24"/>
          <w:szCs w:val="24"/>
        </w:rPr>
        <w:t xml:space="preserve"> of 2023</w:t>
      </w:r>
    </w:p>
    <w:p w14:paraId="3E99B4C9" w14:textId="77777777" w:rsidR="002436BD" w:rsidRPr="004000D3" w:rsidRDefault="002436BD" w:rsidP="002436BD">
      <w:pPr>
        <w:pStyle w:val="Heading"/>
        <w:tabs>
          <w:tab w:val="left" w:pos="360"/>
        </w:tabs>
        <w:spacing w:before="120"/>
        <w:jc w:val="center"/>
        <w:rPr>
          <w:rFonts w:ascii="Times New Roman" w:hAnsi="Times New Roman"/>
          <w:sz w:val="24"/>
          <w:szCs w:val="24"/>
          <w:u w:val="single"/>
        </w:rPr>
      </w:pPr>
      <w:bookmarkStart w:id="0" w:name="bkInstrumentSubTitle"/>
      <w:bookmarkEnd w:id="0"/>
      <w:r w:rsidRPr="004000D3">
        <w:rPr>
          <w:rFonts w:ascii="Times New Roman" w:hAnsi="Times New Roman"/>
          <w:sz w:val="24"/>
          <w:szCs w:val="24"/>
          <w:u w:val="single"/>
        </w:rPr>
        <w:t>EXPLANATORY STATEMENT</w:t>
      </w:r>
    </w:p>
    <w:p w14:paraId="29B95D3C" w14:textId="77777777" w:rsidR="002436BD" w:rsidRPr="004000D3" w:rsidRDefault="002436BD" w:rsidP="002436BD">
      <w:pPr>
        <w:pStyle w:val="Heading"/>
        <w:spacing w:before="120"/>
        <w:jc w:val="center"/>
        <w:rPr>
          <w:rFonts w:ascii="Times New Roman" w:hAnsi="Times New Roman"/>
          <w:sz w:val="24"/>
          <w:szCs w:val="24"/>
        </w:rPr>
      </w:pPr>
      <w:r w:rsidRPr="004000D3">
        <w:rPr>
          <w:rFonts w:ascii="Times New Roman" w:hAnsi="Times New Roman"/>
          <w:sz w:val="24"/>
          <w:szCs w:val="24"/>
        </w:rPr>
        <w:t>Prepared by the Australian Prudential Regulation Authority (APRA)</w:t>
      </w:r>
    </w:p>
    <w:p w14:paraId="473A94F2" w14:textId="4CC8AEC9" w:rsidR="002436BD" w:rsidRPr="004000D3" w:rsidRDefault="0061121A" w:rsidP="00967D16">
      <w:pPr>
        <w:pStyle w:val="Heading"/>
        <w:tabs>
          <w:tab w:val="left" w:pos="360"/>
        </w:tabs>
        <w:spacing w:before="120" w:after="240"/>
        <w:jc w:val="center"/>
        <w:rPr>
          <w:rFonts w:ascii="Times New Roman" w:hAnsi="Times New Roman"/>
          <w:b w:val="0"/>
          <w:color w:val="000000"/>
          <w:sz w:val="24"/>
          <w:szCs w:val="24"/>
        </w:rPr>
      </w:pPr>
      <w:r w:rsidRPr="004000D3">
        <w:rPr>
          <w:rFonts w:ascii="Times New Roman" w:hAnsi="Times New Roman"/>
          <w:b w:val="0"/>
          <w:i/>
          <w:sz w:val="24"/>
          <w:szCs w:val="24"/>
        </w:rPr>
        <w:t>Financial Sector (Collection of Data) Act 2001</w:t>
      </w:r>
      <w:r w:rsidR="002436BD" w:rsidRPr="004000D3">
        <w:rPr>
          <w:rFonts w:ascii="Times New Roman" w:hAnsi="Times New Roman"/>
          <w:b w:val="0"/>
          <w:sz w:val="24"/>
          <w:szCs w:val="24"/>
        </w:rPr>
        <w:t xml:space="preserve">, </w:t>
      </w:r>
      <w:r w:rsidR="002436BD" w:rsidRPr="004000D3">
        <w:rPr>
          <w:rFonts w:ascii="Times New Roman" w:hAnsi="Times New Roman"/>
          <w:b w:val="0"/>
          <w:color w:val="000000"/>
          <w:sz w:val="24"/>
          <w:szCs w:val="24"/>
        </w:rPr>
        <w:t xml:space="preserve">section </w:t>
      </w:r>
      <w:r w:rsidRPr="004000D3">
        <w:rPr>
          <w:rFonts w:ascii="Times New Roman" w:hAnsi="Times New Roman"/>
          <w:b w:val="0"/>
          <w:color w:val="000000"/>
          <w:sz w:val="24"/>
          <w:szCs w:val="24"/>
        </w:rPr>
        <w:t>16</w:t>
      </w:r>
    </w:p>
    <w:p w14:paraId="2D70F310" w14:textId="749FD2C9" w:rsidR="008B10B8" w:rsidRPr="004000D3" w:rsidRDefault="0061121A" w:rsidP="00E31428">
      <w:pPr>
        <w:widowControl w:val="0"/>
        <w:spacing w:before="120"/>
        <w:jc w:val="both"/>
        <w:rPr>
          <w:rFonts w:ascii="Times New Roman" w:hAnsi="Times New Roman"/>
          <w:sz w:val="24"/>
          <w:szCs w:val="24"/>
        </w:rPr>
      </w:pPr>
      <w:bookmarkStart w:id="1" w:name="bkAct"/>
      <w:bookmarkStart w:id="2" w:name="bkExplanatory"/>
      <w:bookmarkEnd w:id="1"/>
      <w:bookmarkEnd w:id="2"/>
      <w:r w:rsidRPr="004000D3">
        <w:rPr>
          <w:rFonts w:ascii="Times New Roman" w:hAnsi="Times New Roman"/>
          <w:sz w:val="24"/>
          <w:szCs w:val="24"/>
        </w:rPr>
        <w:t>Under subsection 16(1B) of the Financial Sector (Collection of Data) Act 2001 (the Act), APRA may, by legislative instrument, exempt a class or kind of financial sector entities from the requirement to comply with all the requirements contained in any one or more applicable reporting standards or a specified requirement or requirements contained in an applicable reporting standard or applicable reporting standards.</w:t>
      </w:r>
      <w:r w:rsidR="008B10B8" w:rsidRPr="004000D3">
        <w:rPr>
          <w:rFonts w:ascii="Times New Roman" w:hAnsi="Times New Roman"/>
          <w:sz w:val="24"/>
          <w:szCs w:val="24"/>
        </w:rPr>
        <w:t xml:space="preserve"> </w:t>
      </w:r>
    </w:p>
    <w:p w14:paraId="435DFF63" w14:textId="3C4AE6F7" w:rsidR="0061121A" w:rsidRPr="004000D3" w:rsidRDefault="0061121A" w:rsidP="00E31428">
      <w:pPr>
        <w:widowControl w:val="0"/>
        <w:spacing w:before="120"/>
        <w:jc w:val="both"/>
        <w:rPr>
          <w:rFonts w:ascii="Times New Roman" w:hAnsi="Times New Roman"/>
          <w:sz w:val="24"/>
          <w:szCs w:val="24"/>
        </w:rPr>
      </w:pPr>
      <w:r w:rsidRPr="004000D3">
        <w:rPr>
          <w:rFonts w:ascii="Times New Roman" w:hAnsi="Times New Roman"/>
          <w:sz w:val="24"/>
          <w:szCs w:val="24"/>
        </w:rPr>
        <w:t xml:space="preserve">On 16 March 2023, APRA </w:t>
      </w:r>
      <w:r w:rsidRPr="004000D3">
        <w:rPr>
          <w:rFonts w:ascii="Times New Roman" w:hAnsi="Times New Roman"/>
          <w:i/>
          <w:sz w:val="24"/>
          <w:szCs w:val="24"/>
        </w:rPr>
        <w:t>determined Reporting Standard GRS 310.3 Details of Income and Expenses</w:t>
      </w:r>
      <w:r w:rsidRPr="004000D3">
        <w:rPr>
          <w:rFonts w:ascii="Times New Roman" w:hAnsi="Times New Roman"/>
          <w:sz w:val="24"/>
          <w:szCs w:val="24"/>
        </w:rPr>
        <w:t xml:space="preserve"> (GRS 310.3) under Financial Sector (Collection of Data) (reporting standard) determination No. 17 of 2023.  GRS 310.</w:t>
      </w:r>
      <w:r w:rsidR="002969B5" w:rsidRPr="004000D3">
        <w:rPr>
          <w:rFonts w:ascii="Times New Roman" w:hAnsi="Times New Roman"/>
          <w:sz w:val="24"/>
          <w:szCs w:val="24"/>
        </w:rPr>
        <w:t>3</w:t>
      </w:r>
      <w:r w:rsidRPr="004000D3">
        <w:rPr>
          <w:rFonts w:ascii="Times New Roman" w:hAnsi="Times New Roman"/>
          <w:sz w:val="24"/>
          <w:szCs w:val="24"/>
        </w:rPr>
        <w:t xml:space="preserve"> applies to all general insurers authorised under the </w:t>
      </w:r>
      <w:r w:rsidRPr="004000D3">
        <w:rPr>
          <w:rFonts w:ascii="Times New Roman" w:hAnsi="Times New Roman"/>
          <w:i/>
          <w:sz w:val="24"/>
          <w:szCs w:val="24"/>
        </w:rPr>
        <w:t>Insurance Act 1973</w:t>
      </w:r>
      <w:r w:rsidRPr="004000D3">
        <w:rPr>
          <w:rFonts w:ascii="Times New Roman" w:hAnsi="Times New Roman"/>
          <w:sz w:val="24"/>
          <w:szCs w:val="24"/>
        </w:rPr>
        <w:t xml:space="preserve"> (collectively the financial sector entities).</w:t>
      </w:r>
    </w:p>
    <w:p w14:paraId="578852F9" w14:textId="77777777" w:rsidR="003B412F" w:rsidRPr="004000D3" w:rsidRDefault="003B412F" w:rsidP="00E31428">
      <w:pPr>
        <w:widowControl w:val="0"/>
        <w:spacing w:before="120"/>
        <w:jc w:val="both"/>
        <w:rPr>
          <w:rFonts w:ascii="Times New Roman" w:hAnsi="Times New Roman"/>
          <w:sz w:val="24"/>
          <w:szCs w:val="24"/>
        </w:rPr>
      </w:pPr>
    </w:p>
    <w:p w14:paraId="61297CE9" w14:textId="0FF5D4BE" w:rsidR="00246723" w:rsidRPr="004000D3" w:rsidRDefault="002436BD" w:rsidP="007F3553">
      <w:pPr>
        <w:pStyle w:val="Header"/>
        <w:tabs>
          <w:tab w:val="clear" w:pos="4513"/>
          <w:tab w:val="clear" w:pos="9026"/>
          <w:tab w:val="center" w:pos="4320"/>
          <w:tab w:val="right" w:pos="8640"/>
        </w:tabs>
        <w:jc w:val="both"/>
        <w:rPr>
          <w:b/>
          <w:sz w:val="24"/>
          <w:szCs w:val="24"/>
        </w:rPr>
      </w:pPr>
      <w:r w:rsidRPr="004000D3">
        <w:rPr>
          <w:rFonts w:ascii="Times New Roman" w:hAnsi="Times New Roman"/>
          <w:sz w:val="24"/>
          <w:szCs w:val="24"/>
        </w:rPr>
        <w:t xml:space="preserve">On </w:t>
      </w:r>
      <w:r w:rsidR="00ED74A7" w:rsidRPr="004000D3">
        <w:rPr>
          <w:rFonts w:ascii="Times New Roman" w:hAnsi="Times New Roman"/>
          <w:sz w:val="24"/>
          <w:szCs w:val="24"/>
        </w:rPr>
        <w:t>9</w:t>
      </w:r>
      <w:r w:rsidR="0061121A" w:rsidRPr="004000D3">
        <w:rPr>
          <w:rFonts w:ascii="Times New Roman" w:hAnsi="Times New Roman"/>
          <w:sz w:val="24"/>
          <w:szCs w:val="24"/>
        </w:rPr>
        <w:t xml:space="preserve"> </w:t>
      </w:r>
      <w:r w:rsidR="002B4759" w:rsidRPr="004000D3">
        <w:rPr>
          <w:rFonts w:ascii="Times New Roman" w:hAnsi="Times New Roman"/>
          <w:sz w:val="24"/>
          <w:szCs w:val="24"/>
        </w:rPr>
        <w:t>October</w:t>
      </w:r>
      <w:r w:rsidR="005A0E2B" w:rsidRPr="004000D3">
        <w:rPr>
          <w:rFonts w:ascii="Times New Roman" w:hAnsi="Times New Roman"/>
          <w:sz w:val="24"/>
          <w:szCs w:val="24"/>
        </w:rPr>
        <w:t xml:space="preserve"> 2023</w:t>
      </w:r>
      <w:r w:rsidRPr="004000D3">
        <w:rPr>
          <w:rFonts w:ascii="Times New Roman" w:hAnsi="Times New Roman"/>
          <w:sz w:val="24"/>
          <w:szCs w:val="24"/>
        </w:rPr>
        <w:t xml:space="preserve">, APRA made </w:t>
      </w:r>
      <w:r w:rsidR="0061121A" w:rsidRPr="004000D3">
        <w:rPr>
          <w:rFonts w:ascii="Times New Roman" w:hAnsi="Times New Roman"/>
          <w:sz w:val="24"/>
          <w:szCs w:val="24"/>
        </w:rPr>
        <w:t xml:space="preserve">Financial Sector (Collection of Data) exemption No. </w:t>
      </w:r>
      <w:r w:rsidR="00E5090A" w:rsidRPr="004000D3">
        <w:rPr>
          <w:rFonts w:ascii="Times New Roman" w:hAnsi="Times New Roman"/>
          <w:sz w:val="24"/>
          <w:szCs w:val="24"/>
        </w:rPr>
        <w:t>1</w:t>
      </w:r>
      <w:r w:rsidR="0061121A" w:rsidRPr="004000D3">
        <w:rPr>
          <w:rFonts w:ascii="Times New Roman" w:hAnsi="Times New Roman"/>
          <w:sz w:val="24"/>
          <w:szCs w:val="24"/>
        </w:rPr>
        <w:t xml:space="preserve"> of 2023 </w:t>
      </w:r>
      <w:r w:rsidRPr="004000D3">
        <w:rPr>
          <w:rFonts w:ascii="Times New Roman" w:hAnsi="Times New Roman"/>
          <w:sz w:val="24"/>
          <w:szCs w:val="24"/>
        </w:rPr>
        <w:t xml:space="preserve">(the instrument) which </w:t>
      </w:r>
      <w:r w:rsidR="00E75DCE" w:rsidRPr="004000D3">
        <w:rPr>
          <w:rFonts w:ascii="Times New Roman" w:hAnsi="Times New Roman"/>
          <w:sz w:val="24"/>
          <w:szCs w:val="24"/>
        </w:rPr>
        <w:t xml:space="preserve">exempts </w:t>
      </w:r>
      <w:r w:rsidR="0061121A" w:rsidRPr="004000D3">
        <w:rPr>
          <w:rFonts w:ascii="Times New Roman" w:hAnsi="Times New Roman"/>
          <w:sz w:val="24"/>
          <w:szCs w:val="24"/>
        </w:rPr>
        <w:t>all the financial sector entities from the requirement</w:t>
      </w:r>
      <w:r w:rsidR="003B412F" w:rsidRPr="004000D3">
        <w:rPr>
          <w:rFonts w:ascii="Times New Roman" w:hAnsi="Times New Roman"/>
          <w:sz w:val="24"/>
          <w:szCs w:val="24"/>
        </w:rPr>
        <w:t xml:space="preserve"> under paragraph 4 of GRS 310</w:t>
      </w:r>
      <w:r w:rsidR="002969B5" w:rsidRPr="004000D3">
        <w:rPr>
          <w:rFonts w:ascii="Times New Roman" w:hAnsi="Times New Roman"/>
          <w:sz w:val="24"/>
          <w:szCs w:val="24"/>
        </w:rPr>
        <w:t>.3</w:t>
      </w:r>
      <w:r w:rsidR="0061121A" w:rsidRPr="004000D3">
        <w:rPr>
          <w:rFonts w:ascii="Times New Roman" w:hAnsi="Times New Roman"/>
          <w:sz w:val="24"/>
          <w:szCs w:val="24"/>
        </w:rPr>
        <w:t>, to provide information for Item 4 Underwriting expenses and Acquisition costs – Section 1: Direct Business</w:t>
      </w:r>
      <w:r w:rsidR="00096BDD" w:rsidRPr="004000D3">
        <w:rPr>
          <w:rFonts w:ascii="Times New Roman" w:hAnsi="Times New Roman"/>
          <w:sz w:val="24"/>
          <w:szCs w:val="24"/>
        </w:rPr>
        <w:t xml:space="preserve">, </w:t>
      </w:r>
      <w:r w:rsidR="0061121A" w:rsidRPr="004000D3">
        <w:rPr>
          <w:rFonts w:ascii="Times New Roman" w:hAnsi="Times New Roman"/>
          <w:sz w:val="24"/>
          <w:szCs w:val="24"/>
        </w:rPr>
        <w:t>Item 4 Underwriting expenses and Acquisition costs – Section 2: Reinsurance Business in GRS 310.3</w:t>
      </w:r>
      <w:r w:rsidR="00096BDD" w:rsidRPr="004000D3">
        <w:rPr>
          <w:rFonts w:ascii="Times New Roman" w:hAnsi="Times New Roman"/>
          <w:sz w:val="24"/>
          <w:szCs w:val="24"/>
        </w:rPr>
        <w:t xml:space="preserve"> and </w:t>
      </w:r>
      <w:r w:rsidR="00096BDD" w:rsidRPr="004000D3">
        <w:rPr>
          <w:rFonts w:ascii="Times New Roman" w:hAnsi="Times New Roman"/>
          <w:bCs/>
          <w:sz w:val="24"/>
          <w:szCs w:val="24"/>
        </w:rPr>
        <w:t>Item 4 Underwriting expenses and Acquisition costs – Section 3: Total</w:t>
      </w:r>
      <w:r w:rsidR="002969B5" w:rsidRPr="004000D3">
        <w:rPr>
          <w:rFonts w:ascii="Times New Roman" w:hAnsi="Times New Roman"/>
          <w:bCs/>
          <w:sz w:val="24"/>
          <w:szCs w:val="24"/>
        </w:rPr>
        <w:t xml:space="preserve"> under </w:t>
      </w:r>
      <w:r w:rsidR="00933894" w:rsidRPr="004000D3">
        <w:rPr>
          <w:rFonts w:ascii="Times New Roman" w:hAnsi="Times New Roman"/>
          <w:bCs/>
          <w:i/>
          <w:sz w:val="24"/>
          <w:szCs w:val="24"/>
        </w:rPr>
        <w:t>R</w:t>
      </w:r>
      <w:r w:rsidR="002969B5" w:rsidRPr="004000D3">
        <w:rPr>
          <w:rFonts w:ascii="Times New Roman" w:hAnsi="Times New Roman"/>
          <w:bCs/>
          <w:i/>
          <w:sz w:val="24"/>
          <w:szCs w:val="24"/>
        </w:rPr>
        <w:t xml:space="preserve">eporting From GRF 310.3 </w:t>
      </w:r>
      <w:r w:rsidR="00933894" w:rsidRPr="004000D3">
        <w:rPr>
          <w:rFonts w:ascii="Times New Roman" w:hAnsi="Times New Roman"/>
          <w:bCs/>
          <w:i/>
          <w:sz w:val="24"/>
          <w:szCs w:val="24"/>
        </w:rPr>
        <w:t>Details of Income and Expenses</w:t>
      </w:r>
      <w:r w:rsidR="00961625" w:rsidRPr="004000D3">
        <w:rPr>
          <w:rFonts w:ascii="Times New Roman" w:hAnsi="Times New Roman"/>
          <w:bCs/>
          <w:sz w:val="24"/>
          <w:szCs w:val="24"/>
        </w:rPr>
        <w:t xml:space="preserve"> (GRF 310.3)</w:t>
      </w:r>
      <w:r w:rsidR="00933894" w:rsidRPr="004000D3">
        <w:rPr>
          <w:rFonts w:ascii="Times New Roman" w:hAnsi="Times New Roman"/>
          <w:bCs/>
          <w:sz w:val="24"/>
          <w:szCs w:val="24"/>
        </w:rPr>
        <w:t xml:space="preserve">. </w:t>
      </w:r>
    </w:p>
    <w:p w14:paraId="0FA9D728" w14:textId="45C6C26B" w:rsidR="002436BD" w:rsidRPr="004000D3" w:rsidRDefault="00246723" w:rsidP="00E31428">
      <w:pPr>
        <w:widowControl w:val="0"/>
        <w:spacing w:before="120" w:after="60"/>
        <w:jc w:val="both"/>
        <w:rPr>
          <w:rFonts w:ascii="Times New Roman" w:hAnsi="Times New Roman"/>
          <w:sz w:val="24"/>
          <w:szCs w:val="24"/>
        </w:rPr>
      </w:pPr>
      <w:r w:rsidRPr="004000D3">
        <w:rPr>
          <w:rFonts w:ascii="Times New Roman" w:hAnsi="Times New Roman"/>
          <w:sz w:val="24"/>
          <w:szCs w:val="24"/>
        </w:rPr>
        <w:t xml:space="preserve">The instrument commences </w:t>
      </w:r>
      <w:r w:rsidR="0061121A" w:rsidRPr="004000D3">
        <w:rPr>
          <w:rFonts w:ascii="Times New Roman" w:hAnsi="Times New Roman"/>
          <w:sz w:val="24"/>
          <w:szCs w:val="24"/>
        </w:rPr>
        <w:t>at the start of the day after the day the instrument is registered on the Federal Register of Legislation</w:t>
      </w:r>
      <w:r w:rsidR="002436BD" w:rsidRPr="004000D3">
        <w:rPr>
          <w:rFonts w:ascii="Times New Roman" w:hAnsi="Times New Roman"/>
          <w:sz w:val="24"/>
          <w:szCs w:val="24"/>
        </w:rPr>
        <w:t xml:space="preserve">. </w:t>
      </w:r>
    </w:p>
    <w:p w14:paraId="01AFCB36" w14:textId="77777777" w:rsidR="002436BD" w:rsidRPr="004000D3" w:rsidRDefault="002436BD" w:rsidP="00E31428">
      <w:pPr>
        <w:pStyle w:val="Heading"/>
        <w:keepNext/>
        <w:numPr>
          <w:ilvl w:val="0"/>
          <w:numId w:val="2"/>
        </w:numPr>
        <w:spacing w:before="240" w:after="60"/>
        <w:ind w:left="0" w:firstLine="0"/>
        <w:outlineLvl w:val="0"/>
        <w:rPr>
          <w:rFonts w:ascii="Times New Roman" w:hAnsi="Times New Roman"/>
          <w:sz w:val="24"/>
          <w:szCs w:val="24"/>
        </w:rPr>
      </w:pPr>
      <w:r w:rsidRPr="004000D3">
        <w:rPr>
          <w:rFonts w:ascii="Times New Roman" w:hAnsi="Times New Roman"/>
          <w:sz w:val="24"/>
          <w:szCs w:val="24"/>
        </w:rPr>
        <w:t>Background</w:t>
      </w:r>
    </w:p>
    <w:p w14:paraId="758E80ED" w14:textId="77777777" w:rsidR="00C22FB0" w:rsidRPr="004000D3" w:rsidRDefault="00C22FB0" w:rsidP="00E31428">
      <w:pPr>
        <w:jc w:val="both"/>
        <w:rPr>
          <w:rFonts w:ascii="Times New Roman" w:hAnsi="Times New Roman"/>
          <w:sz w:val="24"/>
          <w:szCs w:val="24"/>
        </w:rPr>
      </w:pPr>
    </w:p>
    <w:p w14:paraId="50139A80" w14:textId="29A7BD2E" w:rsidR="00E75DCE" w:rsidRPr="004000D3" w:rsidRDefault="0022265F" w:rsidP="0022265F">
      <w:pPr>
        <w:jc w:val="both"/>
        <w:rPr>
          <w:rFonts w:ascii="Times New Roman" w:hAnsi="Times New Roman"/>
          <w:sz w:val="24"/>
          <w:szCs w:val="24"/>
        </w:rPr>
      </w:pPr>
      <w:r w:rsidRPr="004000D3">
        <w:rPr>
          <w:rFonts w:ascii="Times New Roman" w:hAnsi="Times New Roman"/>
          <w:sz w:val="24"/>
          <w:szCs w:val="24"/>
        </w:rPr>
        <w:t>APRA’s prudential framework includes a suite of prudential standards that impose capital requirements for general insurers (GIs), for the purpose of ensuring GIs hold sufficient capital to address the risks associated with their operations. GRS 310.3 collects details of general insurers’ income and expenses</w:t>
      </w:r>
      <w:r w:rsidR="00E75DCE" w:rsidRPr="004000D3">
        <w:rPr>
          <w:rFonts w:ascii="Times New Roman" w:hAnsi="Times New Roman"/>
          <w:sz w:val="24"/>
          <w:szCs w:val="24"/>
        </w:rPr>
        <w:t xml:space="preserve">.  </w:t>
      </w:r>
    </w:p>
    <w:p w14:paraId="1B1B1013" w14:textId="77777777" w:rsidR="00E75DCE" w:rsidRPr="004000D3" w:rsidRDefault="00E75DCE" w:rsidP="00E31428">
      <w:pPr>
        <w:jc w:val="both"/>
        <w:rPr>
          <w:rFonts w:ascii="Times New Roman" w:hAnsi="Times New Roman"/>
          <w:sz w:val="24"/>
          <w:szCs w:val="24"/>
        </w:rPr>
      </w:pPr>
    </w:p>
    <w:p w14:paraId="78445EC6" w14:textId="268B26C6" w:rsidR="00BF1DFC" w:rsidRPr="004000D3" w:rsidRDefault="00CB0CB1" w:rsidP="00E31428">
      <w:pPr>
        <w:jc w:val="both"/>
        <w:rPr>
          <w:rFonts w:ascii="Times New Roman" w:hAnsi="Times New Roman"/>
          <w:sz w:val="24"/>
          <w:szCs w:val="24"/>
        </w:rPr>
      </w:pPr>
      <w:r w:rsidRPr="004000D3">
        <w:rPr>
          <w:rFonts w:ascii="Times New Roman" w:hAnsi="Times New Roman"/>
          <w:sz w:val="24"/>
          <w:szCs w:val="24"/>
        </w:rPr>
        <w:t>In M</w:t>
      </w:r>
      <w:r w:rsidR="008E5079" w:rsidRPr="004000D3">
        <w:rPr>
          <w:rFonts w:ascii="Times New Roman" w:hAnsi="Times New Roman"/>
          <w:sz w:val="24"/>
          <w:szCs w:val="24"/>
        </w:rPr>
        <w:t>ay</w:t>
      </w:r>
      <w:r w:rsidR="00C63C6F" w:rsidRPr="004000D3">
        <w:rPr>
          <w:rFonts w:ascii="Times New Roman" w:hAnsi="Times New Roman"/>
          <w:sz w:val="24"/>
          <w:szCs w:val="24"/>
        </w:rPr>
        <w:t xml:space="preserve"> and June</w:t>
      </w:r>
      <w:r w:rsidRPr="004000D3">
        <w:rPr>
          <w:rFonts w:ascii="Times New Roman" w:hAnsi="Times New Roman"/>
          <w:sz w:val="24"/>
          <w:szCs w:val="24"/>
        </w:rPr>
        <w:t xml:space="preserve"> 2023</w:t>
      </w:r>
      <w:r w:rsidR="00BF1DFC" w:rsidRPr="004000D3">
        <w:rPr>
          <w:rFonts w:ascii="Times New Roman" w:hAnsi="Times New Roman"/>
          <w:sz w:val="24"/>
          <w:szCs w:val="24"/>
        </w:rPr>
        <w:t xml:space="preserve">, APRA determined a suite of reporting standards applying to general insurers for reporting periods </w:t>
      </w:r>
      <w:r w:rsidRPr="004000D3">
        <w:rPr>
          <w:rFonts w:ascii="Times New Roman" w:hAnsi="Times New Roman"/>
          <w:sz w:val="24"/>
          <w:szCs w:val="24"/>
        </w:rPr>
        <w:t>commencing</w:t>
      </w:r>
      <w:r w:rsidR="00BF1DFC" w:rsidRPr="004000D3">
        <w:rPr>
          <w:rFonts w:ascii="Times New Roman" w:hAnsi="Times New Roman"/>
          <w:sz w:val="24"/>
          <w:szCs w:val="24"/>
        </w:rPr>
        <w:t xml:space="preserve"> on or after 1 J</w:t>
      </w:r>
      <w:r w:rsidRPr="004000D3">
        <w:rPr>
          <w:rFonts w:ascii="Times New Roman" w:hAnsi="Times New Roman"/>
          <w:sz w:val="24"/>
          <w:szCs w:val="24"/>
        </w:rPr>
        <w:t>ul</w:t>
      </w:r>
      <w:r w:rsidR="00BF1DFC" w:rsidRPr="004000D3">
        <w:rPr>
          <w:rFonts w:ascii="Times New Roman" w:hAnsi="Times New Roman"/>
          <w:sz w:val="24"/>
          <w:szCs w:val="24"/>
        </w:rPr>
        <w:t>y 20</w:t>
      </w:r>
      <w:r w:rsidRPr="004000D3">
        <w:rPr>
          <w:rFonts w:ascii="Times New Roman" w:hAnsi="Times New Roman"/>
          <w:sz w:val="24"/>
          <w:szCs w:val="24"/>
        </w:rPr>
        <w:t>2</w:t>
      </w:r>
      <w:r w:rsidR="00BF1DFC" w:rsidRPr="004000D3">
        <w:rPr>
          <w:rFonts w:ascii="Times New Roman" w:hAnsi="Times New Roman"/>
          <w:sz w:val="24"/>
          <w:szCs w:val="24"/>
        </w:rPr>
        <w:t xml:space="preserve">3. These reporting standards implemented revised reporting requirements for general insurers </w:t>
      </w:r>
      <w:r w:rsidR="00895B0B" w:rsidRPr="004000D3">
        <w:rPr>
          <w:rFonts w:ascii="Times New Roman" w:hAnsi="Times New Roman"/>
          <w:sz w:val="24"/>
          <w:szCs w:val="24"/>
        </w:rPr>
        <w:t>due to</w:t>
      </w:r>
      <w:r w:rsidR="00BF1DFC" w:rsidRPr="004000D3">
        <w:rPr>
          <w:rFonts w:ascii="Times New Roman" w:hAnsi="Times New Roman"/>
          <w:sz w:val="24"/>
          <w:szCs w:val="24"/>
        </w:rPr>
        <w:t xml:space="preserve"> the </w:t>
      </w:r>
      <w:r w:rsidRPr="004000D3">
        <w:rPr>
          <w:rFonts w:ascii="Times New Roman" w:hAnsi="Times New Roman"/>
          <w:sz w:val="24"/>
          <w:szCs w:val="24"/>
        </w:rPr>
        <w:t xml:space="preserve">introduction of </w:t>
      </w:r>
      <w:r w:rsidR="00895B0B" w:rsidRPr="004000D3">
        <w:rPr>
          <w:rFonts w:ascii="Times New Roman" w:hAnsi="Times New Roman"/>
          <w:sz w:val="24"/>
          <w:szCs w:val="24"/>
        </w:rPr>
        <w:t xml:space="preserve">the new </w:t>
      </w:r>
      <w:r w:rsidR="00DB6B25" w:rsidRPr="004000D3">
        <w:rPr>
          <w:rFonts w:ascii="Times New Roman" w:hAnsi="Times New Roman"/>
          <w:i/>
          <w:sz w:val="24"/>
          <w:szCs w:val="24"/>
        </w:rPr>
        <w:t>AASB 17 Insurance Contracts</w:t>
      </w:r>
      <w:r w:rsidR="00DB6B25" w:rsidRPr="004000D3">
        <w:rPr>
          <w:rFonts w:ascii="Times New Roman" w:hAnsi="Times New Roman"/>
          <w:sz w:val="24"/>
          <w:szCs w:val="24"/>
        </w:rPr>
        <w:t xml:space="preserve"> (AASB 17)</w:t>
      </w:r>
      <w:r w:rsidR="000D0E02" w:rsidRPr="004000D3">
        <w:rPr>
          <w:rFonts w:ascii="Times New Roman" w:hAnsi="Times New Roman"/>
          <w:sz w:val="24"/>
          <w:szCs w:val="24"/>
        </w:rPr>
        <w:t xml:space="preserve"> and updates to the capital framework for general insurers</w:t>
      </w:r>
      <w:r w:rsidR="00DB6B25" w:rsidRPr="004000D3">
        <w:rPr>
          <w:rFonts w:ascii="Times New Roman" w:hAnsi="Times New Roman"/>
          <w:sz w:val="24"/>
          <w:szCs w:val="24"/>
        </w:rPr>
        <w:t>.</w:t>
      </w:r>
      <w:r w:rsidR="000D0E02" w:rsidRPr="004000D3">
        <w:rPr>
          <w:rFonts w:ascii="Times New Roman" w:hAnsi="Times New Roman"/>
          <w:sz w:val="24"/>
          <w:szCs w:val="24"/>
        </w:rPr>
        <w:t xml:space="preserve"> </w:t>
      </w:r>
      <w:r w:rsidR="00BF1DFC" w:rsidRPr="004000D3">
        <w:rPr>
          <w:rFonts w:ascii="Times New Roman" w:hAnsi="Times New Roman"/>
          <w:sz w:val="24"/>
          <w:szCs w:val="24"/>
        </w:rPr>
        <w:t>The reporting requirements under these reporting standards include both quarterly and annual reporting requirements.</w:t>
      </w:r>
    </w:p>
    <w:p w14:paraId="71F4C2C5" w14:textId="77777777" w:rsidR="00BF1DFC" w:rsidRPr="004000D3" w:rsidRDefault="00BF1DFC" w:rsidP="00E31428">
      <w:pPr>
        <w:jc w:val="both"/>
        <w:rPr>
          <w:rFonts w:ascii="Times New Roman" w:hAnsi="Times New Roman"/>
          <w:sz w:val="24"/>
          <w:szCs w:val="24"/>
        </w:rPr>
      </w:pPr>
    </w:p>
    <w:p w14:paraId="3319E19A" w14:textId="46B77766" w:rsidR="00E75DCE" w:rsidRPr="004000D3" w:rsidRDefault="00961625" w:rsidP="00E31428">
      <w:pPr>
        <w:jc w:val="both"/>
        <w:rPr>
          <w:rFonts w:ascii="Times New Roman" w:hAnsi="Times New Roman"/>
          <w:sz w:val="24"/>
          <w:szCs w:val="24"/>
        </w:rPr>
      </w:pPr>
      <w:r w:rsidRPr="004000D3">
        <w:rPr>
          <w:rFonts w:ascii="Times New Roman" w:hAnsi="Times New Roman"/>
          <w:sz w:val="24"/>
          <w:szCs w:val="24"/>
        </w:rPr>
        <w:t xml:space="preserve">Section 1, 2 and 3 or </w:t>
      </w:r>
      <w:r w:rsidR="0022265F" w:rsidRPr="004000D3">
        <w:rPr>
          <w:rFonts w:ascii="Times New Roman" w:hAnsi="Times New Roman"/>
          <w:sz w:val="24"/>
          <w:szCs w:val="24"/>
        </w:rPr>
        <w:t>Item 4 GR</w:t>
      </w:r>
      <w:r w:rsidRPr="004000D3">
        <w:rPr>
          <w:rFonts w:ascii="Times New Roman" w:hAnsi="Times New Roman"/>
          <w:sz w:val="24"/>
          <w:szCs w:val="24"/>
        </w:rPr>
        <w:t>F</w:t>
      </w:r>
      <w:r w:rsidR="0022265F" w:rsidRPr="004000D3">
        <w:rPr>
          <w:rFonts w:ascii="Times New Roman" w:hAnsi="Times New Roman"/>
          <w:sz w:val="24"/>
          <w:szCs w:val="24"/>
        </w:rPr>
        <w:t xml:space="preserve"> 310.3 collect data that relate to a previous accounting standard that has been superseded by AASB 17. As a result, APRA does not require the information collected under sections 1 and 2 of Item 4 and is exempting financial sector entities from the requirement to provide this information.</w:t>
      </w:r>
    </w:p>
    <w:p w14:paraId="64F1B141" w14:textId="77777777" w:rsidR="002436BD" w:rsidRPr="004000D3" w:rsidRDefault="002436BD" w:rsidP="00E31428">
      <w:pPr>
        <w:pStyle w:val="Heading"/>
        <w:keepNext/>
        <w:numPr>
          <w:ilvl w:val="0"/>
          <w:numId w:val="2"/>
        </w:numPr>
        <w:spacing w:before="240" w:after="60"/>
        <w:ind w:left="0" w:firstLine="0"/>
        <w:outlineLvl w:val="0"/>
        <w:rPr>
          <w:rFonts w:ascii="Times New Roman" w:hAnsi="Times New Roman"/>
          <w:sz w:val="24"/>
          <w:szCs w:val="24"/>
        </w:rPr>
      </w:pPr>
      <w:bookmarkStart w:id="3" w:name="bkBackground"/>
      <w:bookmarkEnd w:id="3"/>
      <w:r w:rsidRPr="004000D3">
        <w:rPr>
          <w:rFonts w:ascii="Times New Roman" w:hAnsi="Times New Roman"/>
          <w:sz w:val="24"/>
          <w:szCs w:val="24"/>
        </w:rPr>
        <w:lastRenderedPageBreak/>
        <w:t xml:space="preserve">Purpose </w:t>
      </w:r>
      <w:r w:rsidR="00DF524E" w:rsidRPr="004000D3">
        <w:rPr>
          <w:rFonts w:ascii="Times New Roman" w:hAnsi="Times New Roman"/>
          <w:sz w:val="24"/>
          <w:szCs w:val="24"/>
        </w:rPr>
        <w:t xml:space="preserve">and operation </w:t>
      </w:r>
      <w:r w:rsidRPr="004000D3">
        <w:rPr>
          <w:rFonts w:ascii="Times New Roman" w:hAnsi="Times New Roman"/>
          <w:sz w:val="24"/>
          <w:szCs w:val="24"/>
        </w:rPr>
        <w:t>of the instrument</w:t>
      </w:r>
      <w:bookmarkStart w:id="4" w:name="bkPurpose"/>
      <w:bookmarkEnd w:id="4"/>
    </w:p>
    <w:p w14:paraId="511100D6" w14:textId="6526D72B" w:rsidR="00E31428" w:rsidRPr="004000D3" w:rsidRDefault="0022265F" w:rsidP="00E31428">
      <w:pPr>
        <w:jc w:val="both"/>
        <w:rPr>
          <w:rFonts w:ascii="Times New Roman" w:hAnsi="Times New Roman"/>
          <w:sz w:val="24"/>
          <w:szCs w:val="24"/>
        </w:rPr>
      </w:pPr>
      <w:r w:rsidRPr="004000D3">
        <w:rPr>
          <w:rFonts w:ascii="Times New Roman" w:hAnsi="Times New Roman"/>
          <w:sz w:val="24"/>
          <w:szCs w:val="24"/>
        </w:rPr>
        <w:t xml:space="preserve">The purpose of the instrument is to exempt financial sector entities from the requirement to provide information required by </w:t>
      </w:r>
      <w:r w:rsidR="00A80DE0" w:rsidRPr="004000D3">
        <w:rPr>
          <w:rFonts w:ascii="Times New Roman" w:hAnsi="Times New Roman"/>
          <w:sz w:val="24"/>
          <w:szCs w:val="24"/>
        </w:rPr>
        <w:t>sections 1</w:t>
      </w:r>
      <w:r w:rsidR="00B964A3" w:rsidRPr="004000D3">
        <w:rPr>
          <w:rFonts w:ascii="Times New Roman" w:hAnsi="Times New Roman"/>
          <w:sz w:val="24"/>
          <w:szCs w:val="24"/>
        </w:rPr>
        <w:t xml:space="preserve">, </w:t>
      </w:r>
      <w:r w:rsidR="00A80DE0" w:rsidRPr="004000D3">
        <w:rPr>
          <w:rFonts w:ascii="Times New Roman" w:hAnsi="Times New Roman"/>
          <w:sz w:val="24"/>
          <w:szCs w:val="24"/>
        </w:rPr>
        <w:t>2</w:t>
      </w:r>
      <w:r w:rsidR="00B964A3" w:rsidRPr="004000D3">
        <w:rPr>
          <w:rFonts w:ascii="Times New Roman" w:hAnsi="Times New Roman"/>
          <w:sz w:val="24"/>
          <w:szCs w:val="24"/>
        </w:rPr>
        <w:t xml:space="preserve"> and 3</w:t>
      </w:r>
      <w:r w:rsidR="00A80DE0" w:rsidRPr="004000D3">
        <w:rPr>
          <w:rFonts w:ascii="Times New Roman" w:hAnsi="Times New Roman"/>
          <w:sz w:val="24"/>
          <w:szCs w:val="24"/>
        </w:rPr>
        <w:t xml:space="preserve"> of Item 4</w:t>
      </w:r>
      <w:r w:rsidR="005045A1" w:rsidRPr="004000D3">
        <w:rPr>
          <w:rFonts w:ascii="Times New Roman" w:hAnsi="Times New Roman"/>
          <w:sz w:val="24"/>
          <w:szCs w:val="24"/>
        </w:rPr>
        <w:t xml:space="preserve"> of GRF 310.3</w:t>
      </w:r>
      <w:r w:rsidR="00A80DE0" w:rsidRPr="004000D3">
        <w:rPr>
          <w:rFonts w:ascii="Times New Roman" w:hAnsi="Times New Roman"/>
          <w:sz w:val="24"/>
          <w:szCs w:val="24"/>
        </w:rPr>
        <w:t xml:space="preserve">. This will reduce </w:t>
      </w:r>
      <w:r w:rsidR="009F2F95" w:rsidRPr="004000D3">
        <w:rPr>
          <w:rFonts w:ascii="Times New Roman" w:hAnsi="Times New Roman"/>
          <w:sz w:val="24"/>
          <w:szCs w:val="24"/>
        </w:rPr>
        <w:t xml:space="preserve">the </w:t>
      </w:r>
      <w:r w:rsidR="00A80DE0" w:rsidRPr="004000D3">
        <w:rPr>
          <w:rFonts w:ascii="Times New Roman" w:hAnsi="Times New Roman"/>
          <w:sz w:val="24"/>
          <w:szCs w:val="24"/>
        </w:rPr>
        <w:t>reporting burden for general insurers.</w:t>
      </w:r>
    </w:p>
    <w:p w14:paraId="256E433D" w14:textId="77777777" w:rsidR="0022265F" w:rsidRPr="004000D3" w:rsidRDefault="0022265F" w:rsidP="00E31428">
      <w:pPr>
        <w:jc w:val="both"/>
        <w:rPr>
          <w:rFonts w:ascii="Times New Roman" w:hAnsi="Times New Roman"/>
          <w:sz w:val="24"/>
          <w:szCs w:val="24"/>
        </w:rPr>
      </w:pPr>
    </w:p>
    <w:p w14:paraId="0EC9682C" w14:textId="77777777" w:rsidR="00A80DE0" w:rsidRPr="004000D3" w:rsidRDefault="00A80DE0" w:rsidP="00A80DE0">
      <w:pPr>
        <w:rPr>
          <w:rFonts w:ascii="Times New Roman" w:hAnsi="Times New Roman"/>
          <w:bCs/>
          <w:i/>
          <w:iCs/>
          <w:sz w:val="24"/>
          <w:szCs w:val="24"/>
        </w:rPr>
      </w:pPr>
      <w:r w:rsidRPr="004000D3">
        <w:rPr>
          <w:rFonts w:ascii="Times New Roman" w:hAnsi="Times New Roman"/>
          <w:bCs/>
          <w:i/>
          <w:iCs/>
          <w:sz w:val="24"/>
          <w:szCs w:val="24"/>
        </w:rPr>
        <w:t>Explanation of each provision in the instrument</w:t>
      </w:r>
    </w:p>
    <w:p w14:paraId="15063D17" w14:textId="77777777" w:rsidR="00B964A3" w:rsidRPr="004000D3" w:rsidRDefault="00B964A3" w:rsidP="00A80DE0">
      <w:pPr>
        <w:rPr>
          <w:rFonts w:ascii="Times New Roman" w:hAnsi="Times New Roman"/>
          <w:bCs/>
          <w:i/>
          <w:iCs/>
          <w:sz w:val="24"/>
          <w:szCs w:val="24"/>
        </w:rPr>
      </w:pPr>
    </w:p>
    <w:p w14:paraId="5FAE17F4" w14:textId="77777777" w:rsidR="00A80DE0" w:rsidRPr="004000D3" w:rsidRDefault="00A80DE0" w:rsidP="00A80DE0">
      <w:pPr>
        <w:rPr>
          <w:rFonts w:ascii="Times New Roman" w:hAnsi="Times New Roman"/>
          <w:sz w:val="24"/>
          <w:szCs w:val="24"/>
        </w:rPr>
      </w:pPr>
      <w:r w:rsidRPr="004000D3">
        <w:rPr>
          <w:rFonts w:ascii="Times New Roman" w:hAnsi="Times New Roman"/>
          <w:sz w:val="24"/>
          <w:szCs w:val="24"/>
        </w:rPr>
        <w:t xml:space="preserve">The Legislative Instrument is comprised of: </w:t>
      </w:r>
    </w:p>
    <w:p w14:paraId="358E6EFC" w14:textId="77777777" w:rsidR="00B964A3" w:rsidRPr="004000D3" w:rsidRDefault="00B964A3" w:rsidP="00A80DE0">
      <w:pPr>
        <w:rPr>
          <w:rFonts w:ascii="Times New Roman" w:hAnsi="Times New Roman"/>
          <w:sz w:val="24"/>
          <w:szCs w:val="24"/>
        </w:rPr>
      </w:pPr>
    </w:p>
    <w:p w14:paraId="34D9DFC8" w14:textId="13549489" w:rsidR="00A80DE0" w:rsidRPr="004000D3" w:rsidRDefault="00A80DE0" w:rsidP="00A80DE0">
      <w:pPr>
        <w:pStyle w:val="ListParagraph"/>
        <w:numPr>
          <w:ilvl w:val="0"/>
          <w:numId w:val="10"/>
        </w:numPr>
        <w:tabs>
          <w:tab w:val="left" w:pos="425"/>
          <w:tab w:val="left" w:pos="851"/>
        </w:tabs>
        <w:spacing w:after="240"/>
        <w:contextualSpacing/>
        <w:jc w:val="both"/>
        <w:rPr>
          <w:rFonts w:ascii="Times New Roman" w:hAnsi="Times New Roman"/>
          <w:sz w:val="24"/>
          <w:szCs w:val="24"/>
        </w:rPr>
      </w:pPr>
      <w:r w:rsidRPr="004000D3">
        <w:rPr>
          <w:rFonts w:ascii="Times New Roman" w:hAnsi="Times New Roman"/>
          <w:sz w:val="24"/>
          <w:szCs w:val="24"/>
        </w:rPr>
        <w:t xml:space="preserve">a determination section made under subsection16(1B) of the Act </w:t>
      </w:r>
      <w:r w:rsidRPr="004000D3">
        <w:rPr>
          <w:rFonts w:ascii="Times New Roman" w:hAnsi="Times New Roman"/>
          <w:iCs/>
          <w:sz w:val="24"/>
          <w:szCs w:val="24"/>
        </w:rPr>
        <w:t xml:space="preserve">which exempts general </w:t>
      </w:r>
      <w:r w:rsidR="00437E5F" w:rsidRPr="004000D3">
        <w:rPr>
          <w:rFonts w:ascii="Times New Roman" w:hAnsi="Times New Roman"/>
          <w:iCs/>
          <w:sz w:val="24"/>
          <w:szCs w:val="24"/>
        </w:rPr>
        <w:t>insurers</w:t>
      </w:r>
      <w:r w:rsidRPr="004000D3">
        <w:rPr>
          <w:rFonts w:ascii="Times New Roman" w:hAnsi="Times New Roman"/>
          <w:iCs/>
          <w:sz w:val="24"/>
          <w:szCs w:val="24"/>
        </w:rPr>
        <w:t xml:space="preserve"> from</w:t>
      </w:r>
      <w:r w:rsidR="00CF5820" w:rsidRPr="004000D3">
        <w:rPr>
          <w:rFonts w:ascii="Times New Roman" w:hAnsi="Times New Roman"/>
          <w:iCs/>
          <w:sz w:val="24"/>
          <w:szCs w:val="24"/>
        </w:rPr>
        <w:t xml:space="preserve"> </w:t>
      </w:r>
      <w:r w:rsidR="00F24136" w:rsidRPr="004000D3">
        <w:rPr>
          <w:rFonts w:ascii="Times New Roman" w:hAnsi="Times New Roman"/>
          <w:iCs/>
          <w:sz w:val="24"/>
          <w:szCs w:val="24"/>
        </w:rPr>
        <w:t>s</w:t>
      </w:r>
      <w:r w:rsidR="003825B3" w:rsidRPr="004000D3">
        <w:rPr>
          <w:rFonts w:ascii="Times New Roman" w:hAnsi="Times New Roman"/>
          <w:iCs/>
          <w:sz w:val="24"/>
          <w:szCs w:val="24"/>
        </w:rPr>
        <w:t>pecified requirements of GRS 310.3</w:t>
      </w:r>
      <w:r w:rsidRPr="004000D3">
        <w:rPr>
          <w:rFonts w:ascii="Times New Roman" w:hAnsi="Times New Roman"/>
          <w:iCs/>
          <w:sz w:val="24"/>
          <w:szCs w:val="24"/>
        </w:rPr>
        <w:t xml:space="preserve">. It also states when this exemption </w:t>
      </w:r>
      <w:proofErr w:type="gramStart"/>
      <w:r w:rsidRPr="004000D3">
        <w:rPr>
          <w:rFonts w:ascii="Times New Roman" w:hAnsi="Times New Roman"/>
          <w:iCs/>
          <w:sz w:val="24"/>
          <w:szCs w:val="24"/>
        </w:rPr>
        <w:t>commences;</w:t>
      </w:r>
      <w:proofErr w:type="gramEnd"/>
      <w:r w:rsidRPr="004000D3">
        <w:rPr>
          <w:rFonts w:ascii="Times New Roman" w:hAnsi="Times New Roman"/>
          <w:iCs/>
          <w:sz w:val="24"/>
          <w:szCs w:val="24"/>
        </w:rPr>
        <w:t xml:space="preserve"> </w:t>
      </w:r>
    </w:p>
    <w:p w14:paraId="256AC3F7" w14:textId="77777777" w:rsidR="00A80DE0" w:rsidRPr="004000D3" w:rsidRDefault="00A80DE0" w:rsidP="00A80DE0">
      <w:pPr>
        <w:pStyle w:val="ListParagraph"/>
        <w:rPr>
          <w:rFonts w:ascii="Times New Roman" w:hAnsi="Times New Roman"/>
          <w:sz w:val="24"/>
          <w:szCs w:val="24"/>
        </w:rPr>
      </w:pPr>
    </w:p>
    <w:p w14:paraId="0BEC9913" w14:textId="7C0CC5D4" w:rsidR="00A80DE0" w:rsidRPr="004000D3" w:rsidRDefault="00A80DE0" w:rsidP="00A80DE0">
      <w:pPr>
        <w:pStyle w:val="ListParagraph"/>
        <w:numPr>
          <w:ilvl w:val="0"/>
          <w:numId w:val="10"/>
        </w:numPr>
        <w:tabs>
          <w:tab w:val="left" w:pos="425"/>
          <w:tab w:val="left" w:pos="851"/>
        </w:tabs>
        <w:spacing w:after="240"/>
        <w:contextualSpacing/>
        <w:jc w:val="both"/>
        <w:rPr>
          <w:rFonts w:ascii="Times New Roman" w:hAnsi="Times New Roman"/>
          <w:sz w:val="24"/>
          <w:szCs w:val="24"/>
        </w:rPr>
      </w:pPr>
      <w:r w:rsidRPr="004000D3">
        <w:rPr>
          <w:rFonts w:ascii="Times New Roman" w:hAnsi="Times New Roman"/>
          <w:sz w:val="24"/>
          <w:szCs w:val="24"/>
          <w:shd w:val="clear" w:color="auto" w:fill="FFFFFF"/>
        </w:rPr>
        <w:t>an interpretation section that defines key terms</w:t>
      </w:r>
      <w:r w:rsidR="003825B3" w:rsidRPr="004000D3">
        <w:rPr>
          <w:rFonts w:ascii="Times New Roman" w:hAnsi="Times New Roman"/>
          <w:sz w:val="24"/>
          <w:szCs w:val="24"/>
          <w:shd w:val="clear" w:color="auto" w:fill="FFFFFF"/>
        </w:rPr>
        <w:t>; and</w:t>
      </w:r>
    </w:p>
    <w:p w14:paraId="3F84FD0C" w14:textId="77777777" w:rsidR="002E690F" w:rsidRPr="004000D3" w:rsidRDefault="002E690F" w:rsidP="007F3553">
      <w:pPr>
        <w:pStyle w:val="ListParagraph"/>
        <w:rPr>
          <w:rFonts w:ascii="Times New Roman" w:hAnsi="Times New Roman"/>
          <w:sz w:val="24"/>
          <w:szCs w:val="24"/>
        </w:rPr>
      </w:pPr>
    </w:p>
    <w:p w14:paraId="36B7AD6D" w14:textId="0B578BC3" w:rsidR="002E690F" w:rsidRPr="004000D3" w:rsidRDefault="00A16945" w:rsidP="00A80DE0">
      <w:pPr>
        <w:pStyle w:val="ListParagraph"/>
        <w:numPr>
          <w:ilvl w:val="0"/>
          <w:numId w:val="10"/>
        </w:numPr>
        <w:tabs>
          <w:tab w:val="left" w:pos="425"/>
          <w:tab w:val="left" w:pos="851"/>
        </w:tabs>
        <w:spacing w:after="240"/>
        <w:contextualSpacing/>
        <w:jc w:val="both"/>
        <w:rPr>
          <w:rFonts w:ascii="Times New Roman" w:hAnsi="Times New Roman"/>
          <w:sz w:val="24"/>
          <w:szCs w:val="24"/>
        </w:rPr>
      </w:pPr>
      <w:r w:rsidRPr="004000D3">
        <w:rPr>
          <w:rFonts w:ascii="Times New Roman" w:hAnsi="Times New Roman"/>
          <w:sz w:val="24"/>
          <w:szCs w:val="24"/>
        </w:rPr>
        <w:t>a</w:t>
      </w:r>
      <w:r w:rsidR="002E690F" w:rsidRPr="004000D3">
        <w:rPr>
          <w:rFonts w:ascii="Times New Roman" w:hAnsi="Times New Roman"/>
          <w:sz w:val="24"/>
          <w:szCs w:val="24"/>
        </w:rPr>
        <w:t xml:space="preserve"> schedule outlining the </w:t>
      </w:r>
      <w:r w:rsidRPr="004000D3">
        <w:rPr>
          <w:rFonts w:ascii="Times New Roman" w:hAnsi="Times New Roman"/>
          <w:sz w:val="24"/>
          <w:szCs w:val="24"/>
        </w:rPr>
        <w:t xml:space="preserve">sections of GRF 310.3 from which general insurers are exempt. </w:t>
      </w:r>
    </w:p>
    <w:p w14:paraId="068A2CF4" w14:textId="3EB8A171" w:rsidR="00CF2CBE" w:rsidRPr="004000D3" w:rsidRDefault="00CF2CBE" w:rsidP="00E31428">
      <w:pPr>
        <w:pStyle w:val="Heading"/>
        <w:rPr>
          <w:rFonts w:ascii="Times New Roman" w:hAnsi="Times New Roman"/>
          <w:b w:val="0"/>
          <w:sz w:val="24"/>
          <w:szCs w:val="24"/>
        </w:rPr>
      </w:pPr>
    </w:p>
    <w:p w14:paraId="49737130" w14:textId="43B819F2" w:rsidR="006E4269" w:rsidRPr="004000D3" w:rsidRDefault="006E4269" w:rsidP="00E31428">
      <w:pPr>
        <w:pStyle w:val="Heading"/>
        <w:rPr>
          <w:rFonts w:ascii="Times New Roman" w:hAnsi="Times New Roman"/>
          <w:b w:val="0"/>
          <w:sz w:val="24"/>
          <w:szCs w:val="24"/>
        </w:rPr>
      </w:pPr>
    </w:p>
    <w:p w14:paraId="713F79DA" w14:textId="77777777" w:rsidR="00384772" w:rsidRPr="004000D3" w:rsidRDefault="00376CB1" w:rsidP="00E31428">
      <w:pPr>
        <w:pStyle w:val="Heading5"/>
        <w:jc w:val="both"/>
        <w:rPr>
          <w:rFonts w:ascii="Times New Roman" w:hAnsi="Times New Roman"/>
          <w:sz w:val="24"/>
          <w:szCs w:val="24"/>
        </w:rPr>
      </w:pPr>
      <w:r w:rsidRPr="004000D3">
        <w:rPr>
          <w:rFonts w:ascii="Times New Roman" w:hAnsi="Times New Roman"/>
          <w:sz w:val="24"/>
          <w:szCs w:val="24"/>
        </w:rPr>
        <w:t xml:space="preserve">Documents incorporated by </w:t>
      </w:r>
      <w:proofErr w:type="gramStart"/>
      <w:r w:rsidRPr="004000D3">
        <w:rPr>
          <w:rFonts w:ascii="Times New Roman" w:hAnsi="Times New Roman"/>
          <w:sz w:val="24"/>
          <w:szCs w:val="24"/>
        </w:rPr>
        <w:t>reference</w:t>
      </w:r>
      <w:proofErr w:type="gramEnd"/>
    </w:p>
    <w:p w14:paraId="60979D40" w14:textId="3D92D0D7" w:rsidR="00376CB1" w:rsidRPr="004000D3" w:rsidRDefault="00384772" w:rsidP="00384772">
      <w:pPr>
        <w:pStyle w:val="Heading5"/>
        <w:jc w:val="both"/>
        <w:rPr>
          <w:rFonts w:ascii="Times New Roman" w:hAnsi="Times New Roman"/>
          <w:b w:val="0"/>
          <w:sz w:val="24"/>
          <w:szCs w:val="24"/>
        </w:rPr>
      </w:pPr>
      <w:r w:rsidRPr="004000D3">
        <w:rPr>
          <w:rFonts w:ascii="Times New Roman" w:hAnsi="Times New Roman"/>
          <w:sz w:val="24"/>
          <w:szCs w:val="24"/>
        </w:rPr>
        <w:t xml:space="preserve"> </w:t>
      </w:r>
      <w:r w:rsidRPr="004000D3">
        <w:rPr>
          <w:rFonts w:ascii="Times New Roman" w:hAnsi="Times New Roman"/>
          <w:sz w:val="24"/>
          <w:szCs w:val="24"/>
        </w:rPr>
        <w:br/>
      </w:r>
      <w:r w:rsidR="00376CB1" w:rsidRPr="004000D3">
        <w:rPr>
          <w:rFonts w:ascii="Times New Roman" w:hAnsi="Times New Roman"/>
          <w:b w:val="0"/>
          <w:sz w:val="24"/>
          <w:szCs w:val="24"/>
        </w:rPr>
        <w:t xml:space="preserve">Under paragraph 14(1)(a) of the </w:t>
      </w:r>
      <w:r w:rsidR="00376CB1" w:rsidRPr="004000D3">
        <w:rPr>
          <w:rFonts w:ascii="Times New Roman" w:hAnsi="Times New Roman"/>
          <w:b w:val="0"/>
          <w:i/>
          <w:sz w:val="24"/>
          <w:szCs w:val="24"/>
        </w:rPr>
        <w:t>Legislation Act 2003</w:t>
      </w:r>
      <w:r w:rsidR="00376CB1" w:rsidRPr="004000D3">
        <w:rPr>
          <w:rFonts w:ascii="Times New Roman" w:hAnsi="Times New Roman"/>
          <w:b w:val="0"/>
          <w:sz w:val="24"/>
          <w:szCs w:val="24"/>
        </w:rPr>
        <w:t xml:space="preserve">, the </w:t>
      </w:r>
      <w:r w:rsidR="00FB4068" w:rsidRPr="004000D3">
        <w:rPr>
          <w:rFonts w:ascii="Times New Roman" w:hAnsi="Times New Roman"/>
          <w:b w:val="0"/>
          <w:sz w:val="24"/>
          <w:szCs w:val="24"/>
        </w:rPr>
        <w:t xml:space="preserve">instrument </w:t>
      </w:r>
      <w:r w:rsidR="00376CB1" w:rsidRPr="004000D3">
        <w:rPr>
          <w:rFonts w:ascii="Times New Roman" w:hAnsi="Times New Roman"/>
          <w:b w:val="0"/>
          <w:sz w:val="24"/>
          <w:szCs w:val="24"/>
        </w:rPr>
        <w:t>incorporate</w:t>
      </w:r>
      <w:r w:rsidR="00FB4068" w:rsidRPr="004000D3">
        <w:rPr>
          <w:rFonts w:ascii="Times New Roman" w:hAnsi="Times New Roman"/>
          <w:b w:val="0"/>
          <w:sz w:val="24"/>
          <w:szCs w:val="24"/>
        </w:rPr>
        <w:t>s</w:t>
      </w:r>
      <w:r w:rsidR="00376CB1" w:rsidRPr="004000D3">
        <w:rPr>
          <w:rFonts w:ascii="Times New Roman" w:hAnsi="Times New Roman"/>
          <w:b w:val="0"/>
          <w:sz w:val="24"/>
          <w:szCs w:val="24"/>
        </w:rPr>
        <w:t xml:space="preserve"> by reference as in force from time to time: </w:t>
      </w:r>
    </w:p>
    <w:p w14:paraId="10320FE9" w14:textId="77777777" w:rsidR="00681FD0" w:rsidRPr="004000D3" w:rsidRDefault="00681FD0" w:rsidP="00681FD0"/>
    <w:p w14:paraId="3378846E" w14:textId="446299A1" w:rsidR="00376CB1" w:rsidRPr="004000D3" w:rsidRDefault="0006010F" w:rsidP="00E31428">
      <w:pPr>
        <w:numPr>
          <w:ilvl w:val="0"/>
          <w:numId w:val="8"/>
        </w:numPr>
        <w:spacing w:after="240"/>
        <w:jc w:val="both"/>
        <w:rPr>
          <w:rFonts w:ascii="Times New Roman" w:hAnsi="Times New Roman"/>
          <w:sz w:val="24"/>
          <w:szCs w:val="24"/>
        </w:rPr>
      </w:pPr>
      <w:r w:rsidRPr="004000D3">
        <w:rPr>
          <w:rFonts w:ascii="Times New Roman" w:hAnsi="Times New Roman"/>
          <w:sz w:val="24"/>
          <w:szCs w:val="24"/>
        </w:rPr>
        <w:t xml:space="preserve">sections of the </w:t>
      </w:r>
      <w:r w:rsidR="007D6A27" w:rsidRPr="004000D3">
        <w:rPr>
          <w:rFonts w:ascii="Times New Roman" w:hAnsi="Times New Roman"/>
          <w:i/>
          <w:sz w:val="24"/>
          <w:szCs w:val="24"/>
        </w:rPr>
        <w:t>Financial Sector (Collection of Data) Ac</w:t>
      </w:r>
      <w:r w:rsidR="007D6A27" w:rsidRPr="004000D3">
        <w:rPr>
          <w:rFonts w:ascii="Times New Roman" w:hAnsi="Times New Roman"/>
          <w:sz w:val="24"/>
          <w:szCs w:val="24"/>
        </w:rPr>
        <w:t>t 2001 (</w:t>
      </w:r>
      <w:proofErr w:type="spellStart"/>
      <w:r w:rsidR="007D6A27" w:rsidRPr="004000D3">
        <w:rPr>
          <w:rFonts w:ascii="Times New Roman" w:hAnsi="Times New Roman"/>
          <w:sz w:val="24"/>
          <w:szCs w:val="24"/>
        </w:rPr>
        <w:t>Cth</w:t>
      </w:r>
      <w:proofErr w:type="spellEnd"/>
      <w:r w:rsidR="007D6A27" w:rsidRPr="004000D3">
        <w:rPr>
          <w:rFonts w:ascii="Times New Roman" w:hAnsi="Times New Roman"/>
          <w:sz w:val="24"/>
          <w:szCs w:val="24"/>
        </w:rPr>
        <w:t xml:space="preserve">); </w:t>
      </w:r>
      <w:proofErr w:type="gramStart"/>
      <w:r w:rsidR="007D6A27" w:rsidRPr="004000D3">
        <w:rPr>
          <w:rFonts w:ascii="Times New Roman" w:hAnsi="Times New Roman"/>
          <w:sz w:val="24"/>
          <w:szCs w:val="24"/>
        </w:rPr>
        <w:t>and</w:t>
      </w:r>
      <w:r w:rsidRPr="004000D3">
        <w:rPr>
          <w:rFonts w:ascii="Times New Roman" w:hAnsi="Times New Roman"/>
          <w:sz w:val="24"/>
          <w:szCs w:val="24"/>
        </w:rPr>
        <w:t xml:space="preserve"> </w:t>
      </w:r>
      <w:r w:rsidR="00376CB1" w:rsidRPr="004000D3">
        <w:rPr>
          <w:rFonts w:ascii="Times New Roman" w:hAnsi="Times New Roman"/>
          <w:sz w:val="24"/>
          <w:szCs w:val="24"/>
        </w:rPr>
        <w:t>;</w:t>
      </w:r>
      <w:proofErr w:type="gramEnd"/>
      <w:r w:rsidR="00A80DE0" w:rsidRPr="004000D3">
        <w:rPr>
          <w:rFonts w:ascii="Times New Roman" w:hAnsi="Times New Roman"/>
          <w:sz w:val="24"/>
          <w:szCs w:val="24"/>
        </w:rPr>
        <w:t xml:space="preserve"> and</w:t>
      </w:r>
    </w:p>
    <w:p w14:paraId="30EF19AE" w14:textId="0713F818" w:rsidR="00376CB1" w:rsidRPr="004000D3" w:rsidRDefault="00376CB1" w:rsidP="00E31428">
      <w:pPr>
        <w:numPr>
          <w:ilvl w:val="0"/>
          <w:numId w:val="8"/>
        </w:numPr>
        <w:spacing w:after="240"/>
        <w:jc w:val="both"/>
        <w:rPr>
          <w:rFonts w:ascii="Times New Roman" w:hAnsi="Times New Roman"/>
          <w:sz w:val="24"/>
          <w:szCs w:val="24"/>
        </w:rPr>
      </w:pPr>
      <w:r w:rsidRPr="004000D3">
        <w:rPr>
          <w:rFonts w:ascii="Times New Roman" w:hAnsi="Times New Roman"/>
          <w:sz w:val="24"/>
          <w:szCs w:val="24"/>
        </w:rPr>
        <w:t>Reporting Standard</w:t>
      </w:r>
      <w:r w:rsidR="0006010F" w:rsidRPr="004000D3">
        <w:rPr>
          <w:rFonts w:ascii="Times New Roman" w:hAnsi="Times New Roman"/>
          <w:sz w:val="24"/>
          <w:szCs w:val="24"/>
        </w:rPr>
        <w:t xml:space="preserve"> GRS 310.3. </w:t>
      </w:r>
    </w:p>
    <w:p w14:paraId="06FE9D55" w14:textId="76348AD1" w:rsidR="00376CB1" w:rsidRPr="004000D3" w:rsidRDefault="00376CB1" w:rsidP="00E31428">
      <w:pPr>
        <w:jc w:val="both"/>
        <w:rPr>
          <w:rFonts w:ascii="Times New Roman" w:hAnsi="Times New Roman"/>
          <w:sz w:val="24"/>
          <w:szCs w:val="24"/>
        </w:rPr>
      </w:pPr>
      <w:r w:rsidRPr="004000D3">
        <w:rPr>
          <w:rFonts w:ascii="Times New Roman" w:hAnsi="Times New Roman"/>
          <w:sz w:val="24"/>
          <w:szCs w:val="24"/>
        </w:rPr>
        <w:t xml:space="preserve">These documents may be freely obtained at </w:t>
      </w:r>
      <w:hyperlink r:id="rId11" w:history="1">
        <w:r w:rsidRPr="004000D3">
          <w:rPr>
            <w:rStyle w:val="Hyperlink"/>
            <w:rFonts w:ascii="Times New Roman" w:hAnsi="Times New Roman"/>
            <w:sz w:val="24"/>
            <w:szCs w:val="24"/>
          </w:rPr>
          <w:t>www.legislation.gov.au</w:t>
        </w:r>
      </w:hyperlink>
      <w:r w:rsidRPr="004000D3">
        <w:rPr>
          <w:rFonts w:ascii="Times New Roman" w:hAnsi="Times New Roman"/>
          <w:sz w:val="24"/>
          <w:szCs w:val="24"/>
        </w:rPr>
        <w:t>.</w:t>
      </w:r>
    </w:p>
    <w:p w14:paraId="43C5CC68" w14:textId="77777777" w:rsidR="00E31428" w:rsidRPr="004000D3" w:rsidRDefault="00E31428" w:rsidP="00E31428">
      <w:pPr>
        <w:autoSpaceDE w:val="0"/>
        <w:autoSpaceDN w:val="0"/>
        <w:adjustRightInd w:val="0"/>
        <w:jc w:val="both"/>
        <w:rPr>
          <w:rFonts w:ascii="Times New Roman" w:hAnsi="Times New Roman"/>
          <w:sz w:val="24"/>
          <w:szCs w:val="24"/>
        </w:rPr>
      </w:pPr>
    </w:p>
    <w:p w14:paraId="1027ED97" w14:textId="77777777" w:rsidR="002436BD" w:rsidRPr="004000D3" w:rsidRDefault="002436BD" w:rsidP="00E31428">
      <w:pPr>
        <w:pStyle w:val="Heading"/>
        <w:numPr>
          <w:ilvl w:val="0"/>
          <w:numId w:val="2"/>
        </w:numPr>
        <w:rPr>
          <w:rFonts w:ascii="Times New Roman" w:hAnsi="Times New Roman"/>
          <w:sz w:val="24"/>
          <w:szCs w:val="24"/>
        </w:rPr>
      </w:pPr>
      <w:bookmarkStart w:id="5" w:name="bkoperation"/>
      <w:bookmarkStart w:id="6" w:name="bkConsultationNo"/>
      <w:bookmarkEnd w:id="5"/>
      <w:bookmarkEnd w:id="6"/>
      <w:r w:rsidRPr="004000D3">
        <w:rPr>
          <w:rFonts w:ascii="Times New Roman" w:hAnsi="Times New Roman"/>
          <w:sz w:val="24"/>
          <w:szCs w:val="24"/>
        </w:rPr>
        <w:t>Consultation</w:t>
      </w:r>
    </w:p>
    <w:p w14:paraId="66D2708D" w14:textId="77777777" w:rsidR="002436BD" w:rsidRPr="004000D3" w:rsidRDefault="002436BD" w:rsidP="00E31428">
      <w:pPr>
        <w:pStyle w:val="Heading"/>
        <w:tabs>
          <w:tab w:val="left" w:pos="360"/>
        </w:tabs>
        <w:rPr>
          <w:rFonts w:ascii="Times New Roman" w:hAnsi="Times New Roman"/>
          <w:b w:val="0"/>
          <w:sz w:val="24"/>
          <w:szCs w:val="24"/>
        </w:rPr>
      </w:pPr>
      <w:r w:rsidRPr="004000D3">
        <w:rPr>
          <w:rFonts w:ascii="Times New Roman" w:hAnsi="Times New Roman"/>
          <w:sz w:val="24"/>
          <w:szCs w:val="24"/>
        </w:rPr>
        <w:tab/>
      </w:r>
    </w:p>
    <w:p w14:paraId="642BEFAA" w14:textId="4666191A" w:rsidR="00EF62DA" w:rsidRPr="004000D3" w:rsidRDefault="00EF62DA" w:rsidP="00E31428">
      <w:pPr>
        <w:spacing w:after="240"/>
        <w:jc w:val="both"/>
        <w:rPr>
          <w:rFonts w:ascii="Times New Roman" w:eastAsia="Arial" w:hAnsi="Times New Roman"/>
          <w:color w:val="000000"/>
          <w:sz w:val="24"/>
          <w:szCs w:val="24"/>
          <w:lang w:eastAsia="en-US"/>
        </w:rPr>
      </w:pPr>
      <w:r w:rsidRPr="004000D3">
        <w:rPr>
          <w:rFonts w:ascii="Times New Roman" w:eastAsia="Arial" w:hAnsi="Times New Roman"/>
          <w:color w:val="000000"/>
          <w:sz w:val="24"/>
          <w:szCs w:val="24"/>
          <w:lang w:eastAsia="en-US"/>
        </w:rPr>
        <w:t>APRA undertook public consultation on proposed updates to general insurance reporting standards from November 2020 to September 2022</w:t>
      </w:r>
      <w:r w:rsidRPr="004000D3">
        <w:rPr>
          <w:rFonts w:ascii="Times New Roman" w:eastAsia="Arial" w:hAnsi="Times New Roman"/>
          <w:color w:val="000000"/>
          <w:sz w:val="18"/>
          <w:szCs w:val="24"/>
          <w:vertAlign w:val="superscript"/>
          <w:lang w:eastAsia="en-US"/>
        </w:rPr>
        <w:footnoteReference w:id="2"/>
      </w:r>
      <w:r w:rsidRPr="004000D3">
        <w:rPr>
          <w:rFonts w:ascii="Times New Roman" w:eastAsia="Arial" w:hAnsi="Times New Roman"/>
          <w:color w:val="000000"/>
          <w:sz w:val="24"/>
          <w:szCs w:val="24"/>
          <w:lang w:eastAsia="en-US"/>
        </w:rPr>
        <w:t xml:space="preserve">. </w:t>
      </w:r>
    </w:p>
    <w:p w14:paraId="0B27AE37" w14:textId="2F6DAA39" w:rsidR="00EF62DA" w:rsidRPr="004000D3" w:rsidRDefault="008F5B51" w:rsidP="00E31428">
      <w:pPr>
        <w:spacing w:after="240"/>
        <w:jc w:val="both"/>
        <w:rPr>
          <w:rFonts w:ascii="Times New Roman" w:eastAsia="Arial" w:hAnsi="Times New Roman"/>
          <w:color w:val="000000"/>
          <w:sz w:val="24"/>
          <w:szCs w:val="24"/>
          <w:lang w:eastAsia="en-US"/>
        </w:rPr>
      </w:pPr>
      <w:r w:rsidRPr="004000D3">
        <w:rPr>
          <w:rFonts w:ascii="Times New Roman" w:eastAsia="Arial" w:hAnsi="Times New Roman"/>
          <w:color w:val="000000"/>
          <w:sz w:val="24"/>
          <w:szCs w:val="24"/>
          <w:lang w:eastAsia="en-US"/>
        </w:rPr>
        <w:t xml:space="preserve">The final round of consultation for this instrument was completed on 27 September 2022, when </w:t>
      </w:r>
      <w:r w:rsidR="00EF62DA" w:rsidRPr="004000D3">
        <w:rPr>
          <w:rFonts w:ascii="Times New Roman" w:eastAsia="Arial" w:hAnsi="Times New Roman"/>
          <w:color w:val="000000"/>
          <w:sz w:val="24"/>
          <w:szCs w:val="24"/>
          <w:lang w:eastAsia="en-US"/>
        </w:rPr>
        <w:t>APRA released finalised changes to the capital and reporting frameworks for insurance in response to the introduction of AASB 17</w:t>
      </w:r>
      <w:r w:rsidR="00EF62DA" w:rsidRPr="004000D3">
        <w:rPr>
          <w:rFonts w:ascii="Times New Roman" w:eastAsia="Arial" w:hAnsi="Times New Roman"/>
          <w:color w:val="000000"/>
          <w:sz w:val="18"/>
          <w:szCs w:val="24"/>
          <w:vertAlign w:val="superscript"/>
          <w:lang w:eastAsia="en-US"/>
        </w:rPr>
        <w:footnoteReference w:id="3"/>
      </w:r>
      <w:r w:rsidR="00EF62DA" w:rsidRPr="004000D3">
        <w:rPr>
          <w:rFonts w:ascii="Times New Roman" w:eastAsia="Arial" w:hAnsi="Times New Roman"/>
          <w:color w:val="000000"/>
          <w:sz w:val="24"/>
          <w:szCs w:val="24"/>
          <w:lang w:eastAsia="en-US"/>
        </w:rPr>
        <w:t>.</w:t>
      </w:r>
    </w:p>
    <w:p w14:paraId="0C53394B" w14:textId="77777777" w:rsidR="00EF62DA" w:rsidRPr="004000D3" w:rsidRDefault="00EF62DA" w:rsidP="00E31428">
      <w:pPr>
        <w:spacing w:after="240"/>
        <w:jc w:val="both"/>
        <w:rPr>
          <w:rFonts w:ascii="Times New Roman" w:eastAsia="Arial" w:hAnsi="Times New Roman" w:cs="Cordia New"/>
          <w:color w:val="000000"/>
          <w:sz w:val="24"/>
          <w:szCs w:val="24"/>
          <w:lang w:eastAsia="en-US"/>
        </w:rPr>
      </w:pPr>
      <w:r w:rsidRPr="004000D3">
        <w:rPr>
          <w:rFonts w:ascii="Times New Roman" w:eastAsia="Arial" w:hAnsi="Times New Roman" w:cs="Cordia New"/>
          <w:color w:val="000000"/>
          <w:sz w:val="24"/>
          <w:szCs w:val="24"/>
          <w:lang w:eastAsia="en-US"/>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12E8758F" w14:textId="0136AFC6" w:rsidR="00715BA2" w:rsidRPr="004000D3" w:rsidRDefault="007368AD" w:rsidP="00E31428">
      <w:pPr>
        <w:pStyle w:val="Heading"/>
        <w:tabs>
          <w:tab w:val="left" w:pos="360"/>
        </w:tabs>
        <w:rPr>
          <w:rFonts w:ascii="Times New Roman" w:hAnsi="Times New Roman"/>
          <w:b w:val="0"/>
          <w:sz w:val="24"/>
          <w:szCs w:val="24"/>
        </w:rPr>
      </w:pPr>
      <w:r w:rsidRPr="004000D3">
        <w:rPr>
          <w:rFonts w:ascii="Times New Roman" w:hAnsi="Times New Roman"/>
          <w:b w:val="0"/>
          <w:sz w:val="24"/>
          <w:szCs w:val="24"/>
        </w:rPr>
        <w:t xml:space="preserve">The instrument is minor in nature and does not substantially alter existing </w:t>
      </w:r>
      <w:r w:rsidR="001A2D6A" w:rsidRPr="004000D3">
        <w:rPr>
          <w:rFonts w:ascii="Times New Roman" w:hAnsi="Times New Roman"/>
          <w:b w:val="0"/>
          <w:sz w:val="24"/>
          <w:szCs w:val="24"/>
        </w:rPr>
        <w:t>reporting</w:t>
      </w:r>
      <w:r w:rsidR="00B634B4" w:rsidRPr="004000D3">
        <w:rPr>
          <w:rFonts w:ascii="Times New Roman" w:hAnsi="Times New Roman"/>
          <w:b w:val="0"/>
          <w:sz w:val="24"/>
          <w:szCs w:val="24"/>
        </w:rPr>
        <w:t xml:space="preserve"> </w:t>
      </w:r>
      <w:r w:rsidRPr="004000D3">
        <w:rPr>
          <w:rFonts w:ascii="Times New Roman" w:hAnsi="Times New Roman"/>
          <w:b w:val="0"/>
          <w:sz w:val="24"/>
          <w:szCs w:val="24"/>
        </w:rPr>
        <w:t>arrangements.</w:t>
      </w:r>
      <w:r w:rsidR="00167489" w:rsidRPr="004000D3">
        <w:rPr>
          <w:rFonts w:ascii="Times New Roman" w:hAnsi="Times New Roman"/>
          <w:b w:val="0"/>
          <w:sz w:val="24"/>
          <w:szCs w:val="24"/>
        </w:rPr>
        <w:t xml:space="preserve"> The instrument will also reduce regulatory burden and align APRA’s reporting framework with current accounting standards.</w:t>
      </w:r>
      <w:r w:rsidR="00A51446" w:rsidRPr="004000D3">
        <w:rPr>
          <w:rFonts w:ascii="Times New Roman" w:hAnsi="Times New Roman"/>
          <w:b w:val="0"/>
          <w:sz w:val="24"/>
          <w:szCs w:val="24"/>
        </w:rPr>
        <w:t xml:space="preserve"> </w:t>
      </w:r>
    </w:p>
    <w:p w14:paraId="4A8A330B" w14:textId="77777777" w:rsidR="00715BA2" w:rsidRPr="004000D3" w:rsidRDefault="00715BA2" w:rsidP="00E31428">
      <w:pPr>
        <w:pStyle w:val="Heading"/>
        <w:tabs>
          <w:tab w:val="left" w:pos="360"/>
        </w:tabs>
        <w:rPr>
          <w:rFonts w:ascii="Times New Roman" w:hAnsi="Times New Roman"/>
          <w:b w:val="0"/>
          <w:sz w:val="24"/>
          <w:szCs w:val="24"/>
        </w:rPr>
      </w:pPr>
    </w:p>
    <w:p w14:paraId="09D1C4F8" w14:textId="7D671A12" w:rsidR="007368AD" w:rsidRPr="004000D3" w:rsidRDefault="00A51446" w:rsidP="00E31428">
      <w:pPr>
        <w:pStyle w:val="Heading"/>
        <w:tabs>
          <w:tab w:val="left" w:pos="360"/>
        </w:tabs>
        <w:rPr>
          <w:rFonts w:ascii="Times New Roman" w:hAnsi="Times New Roman"/>
          <w:b w:val="0"/>
          <w:sz w:val="24"/>
          <w:szCs w:val="24"/>
        </w:rPr>
      </w:pPr>
      <w:r w:rsidRPr="004000D3">
        <w:rPr>
          <w:rFonts w:ascii="Times New Roman" w:hAnsi="Times New Roman"/>
          <w:b w:val="0"/>
          <w:sz w:val="24"/>
          <w:szCs w:val="24"/>
        </w:rPr>
        <w:t>APRA is satisfied the consultation was appropriate and reasonably practicable.</w:t>
      </w:r>
    </w:p>
    <w:p w14:paraId="4F7E0847" w14:textId="77777777" w:rsidR="002436BD" w:rsidRPr="004000D3" w:rsidRDefault="002436BD" w:rsidP="00E31428">
      <w:pPr>
        <w:pStyle w:val="ListParagraph"/>
        <w:jc w:val="both"/>
        <w:rPr>
          <w:rFonts w:ascii="Times New Roman" w:hAnsi="Times New Roman"/>
          <w:b/>
          <w:sz w:val="24"/>
          <w:szCs w:val="24"/>
        </w:rPr>
      </w:pPr>
    </w:p>
    <w:p w14:paraId="31106FC0" w14:textId="77777777" w:rsidR="002436BD" w:rsidRPr="004000D3" w:rsidRDefault="00DF524E" w:rsidP="00E31428">
      <w:pPr>
        <w:pStyle w:val="Heading"/>
        <w:tabs>
          <w:tab w:val="left" w:pos="360"/>
        </w:tabs>
        <w:rPr>
          <w:rFonts w:ascii="Times New Roman" w:hAnsi="Times New Roman"/>
          <w:sz w:val="24"/>
          <w:szCs w:val="24"/>
        </w:rPr>
      </w:pPr>
      <w:bookmarkStart w:id="7" w:name="bkConsultation"/>
      <w:bookmarkStart w:id="8" w:name="bkRISNO"/>
      <w:bookmarkStart w:id="9" w:name="bkRIS"/>
      <w:bookmarkEnd w:id="7"/>
      <w:bookmarkEnd w:id="8"/>
      <w:r w:rsidRPr="004000D3">
        <w:rPr>
          <w:rFonts w:ascii="Times New Roman" w:hAnsi="Times New Roman"/>
          <w:sz w:val="24"/>
          <w:szCs w:val="24"/>
        </w:rPr>
        <w:t>4</w:t>
      </w:r>
      <w:r w:rsidR="002436BD" w:rsidRPr="004000D3">
        <w:rPr>
          <w:rFonts w:ascii="Times New Roman" w:hAnsi="Times New Roman"/>
          <w:sz w:val="24"/>
          <w:szCs w:val="24"/>
        </w:rPr>
        <w:t xml:space="preserve">. </w:t>
      </w:r>
      <w:r w:rsidR="002436BD" w:rsidRPr="004000D3">
        <w:rPr>
          <w:rFonts w:ascii="Times New Roman" w:hAnsi="Times New Roman"/>
          <w:sz w:val="24"/>
          <w:szCs w:val="24"/>
        </w:rPr>
        <w:tab/>
        <w:t>Regulation Impact Statement</w:t>
      </w:r>
    </w:p>
    <w:p w14:paraId="5E9BD810" w14:textId="77777777" w:rsidR="002436BD" w:rsidRPr="004000D3" w:rsidRDefault="002436BD" w:rsidP="00E31428">
      <w:pPr>
        <w:pStyle w:val="Heading"/>
        <w:tabs>
          <w:tab w:val="left" w:pos="360"/>
        </w:tabs>
        <w:rPr>
          <w:rFonts w:ascii="Times New Roman" w:hAnsi="Times New Roman"/>
          <w:sz w:val="24"/>
          <w:szCs w:val="24"/>
        </w:rPr>
      </w:pPr>
    </w:p>
    <w:bookmarkEnd w:id="9"/>
    <w:p w14:paraId="1BBCCA50" w14:textId="36EF8AD7" w:rsidR="00D3484E" w:rsidRPr="004000D3" w:rsidRDefault="00D3484E" w:rsidP="00E31428">
      <w:pPr>
        <w:pStyle w:val="Heading"/>
        <w:rPr>
          <w:rFonts w:ascii="Times New Roman" w:hAnsi="Times New Roman"/>
          <w:b w:val="0"/>
          <w:sz w:val="24"/>
          <w:szCs w:val="24"/>
        </w:rPr>
      </w:pPr>
      <w:r w:rsidRPr="004000D3">
        <w:rPr>
          <w:rFonts w:ascii="Times New Roman" w:hAnsi="Times New Roman"/>
          <w:b w:val="0"/>
          <w:sz w:val="24"/>
          <w:szCs w:val="24"/>
        </w:rPr>
        <w:t xml:space="preserve">The Office of </w:t>
      </w:r>
      <w:r w:rsidR="00F512AE" w:rsidRPr="004000D3">
        <w:rPr>
          <w:rFonts w:ascii="Times New Roman" w:hAnsi="Times New Roman"/>
          <w:b w:val="0"/>
          <w:sz w:val="24"/>
          <w:szCs w:val="24"/>
        </w:rPr>
        <w:t>Impact Analysis</w:t>
      </w:r>
      <w:r w:rsidRPr="004000D3">
        <w:rPr>
          <w:rFonts w:ascii="Times New Roman" w:hAnsi="Times New Roman"/>
          <w:b w:val="0"/>
          <w:sz w:val="24"/>
          <w:szCs w:val="24"/>
        </w:rPr>
        <w:t xml:space="preserve"> </w:t>
      </w:r>
      <w:r w:rsidR="00356BCC" w:rsidRPr="004000D3">
        <w:rPr>
          <w:rFonts w:ascii="Times New Roman" w:hAnsi="Times New Roman"/>
          <w:b w:val="0"/>
          <w:sz w:val="24"/>
          <w:szCs w:val="24"/>
        </w:rPr>
        <w:t>confirmed</w:t>
      </w:r>
      <w:r w:rsidRPr="004000D3">
        <w:rPr>
          <w:rFonts w:ascii="Times New Roman" w:hAnsi="Times New Roman"/>
          <w:b w:val="0"/>
          <w:sz w:val="24"/>
          <w:szCs w:val="24"/>
        </w:rPr>
        <w:t xml:space="preserve"> that a Regulation Impact Statement </w:t>
      </w:r>
      <w:r w:rsidR="00356BCC" w:rsidRPr="004000D3">
        <w:rPr>
          <w:rFonts w:ascii="Times New Roman" w:hAnsi="Times New Roman"/>
          <w:b w:val="0"/>
          <w:sz w:val="24"/>
          <w:szCs w:val="24"/>
        </w:rPr>
        <w:t>wa</w:t>
      </w:r>
      <w:r w:rsidRPr="004000D3">
        <w:rPr>
          <w:rFonts w:ascii="Times New Roman" w:hAnsi="Times New Roman"/>
          <w:b w:val="0"/>
          <w:sz w:val="24"/>
          <w:szCs w:val="24"/>
        </w:rPr>
        <w:t>s not required.</w:t>
      </w:r>
    </w:p>
    <w:p w14:paraId="34AA1324" w14:textId="77777777" w:rsidR="002436BD" w:rsidRPr="004000D3" w:rsidRDefault="002436BD" w:rsidP="00E31428">
      <w:pPr>
        <w:pStyle w:val="Heading"/>
        <w:rPr>
          <w:rFonts w:ascii="Times New Roman" w:hAnsi="Times New Roman"/>
          <w:b w:val="0"/>
          <w:sz w:val="24"/>
          <w:szCs w:val="24"/>
        </w:rPr>
      </w:pPr>
    </w:p>
    <w:p w14:paraId="7BAD08C4" w14:textId="77777777" w:rsidR="002436BD" w:rsidRPr="004000D3" w:rsidRDefault="00DF524E" w:rsidP="00E31428">
      <w:pPr>
        <w:pStyle w:val="Heading"/>
        <w:tabs>
          <w:tab w:val="left" w:pos="360"/>
        </w:tabs>
        <w:rPr>
          <w:rFonts w:ascii="Times New Roman" w:hAnsi="Times New Roman"/>
          <w:sz w:val="24"/>
          <w:szCs w:val="24"/>
        </w:rPr>
      </w:pPr>
      <w:r w:rsidRPr="004000D3">
        <w:rPr>
          <w:rFonts w:ascii="Times New Roman" w:hAnsi="Times New Roman"/>
          <w:sz w:val="24"/>
          <w:szCs w:val="24"/>
        </w:rPr>
        <w:t>5</w:t>
      </w:r>
      <w:r w:rsidR="002436BD" w:rsidRPr="004000D3">
        <w:rPr>
          <w:rFonts w:ascii="Times New Roman" w:hAnsi="Times New Roman"/>
          <w:sz w:val="24"/>
          <w:szCs w:val="24"/>
        </w:rPr>
        <w:t>.</w:t>
      </w:r>
      <w:r w:rsidR="002436BD" w:rsidRPr="004000D3">
        <w:rPr>
          <w:rFonts w:ascii="Times New Roman" w:hAnsi="Times New Roman"/>
          <w:sz w:val="24"/>
          <w:szCs w:val="24"/>
        </w:rPr>
        <w:tab/>
        <w:t>Statement of compatibility prepared in accordance with Part 3 of the Human Rights (Parliamentary Scrutiny) Act 2011</w:t>
      </w:r>
    </w:p>
    <w:p w14:paraId="38364C5A" w14:textId="77777777" w:rsidR="002436BD" w:rsidRPr="004000D3" w:rsidRDefault="002436BD" w:rsidP="00E31428">
      <w:pPr>
        <w:pStyle w:val="Heading"/>
        <w:rPr>
          <w:rFonts w:ascii="Times New Roman" w:hAnsi="Times New Roman"/>
          <w:b w:val="0"/>
          <w:sz w:val="24"/>
          <w:szCs w:val="24"/>
        </w:rPr>
      </w:pPr>
    </w:p>
    <w:p w14:paraId="161BE9FF" w14:textId="77777777" w:rsidR="002436BD" w:rsidRPr="004000D3" w:rsidRDefault="0030506B" w:rsidP="00E31428">
      <w:pPr>
        <w:pStyle w:val="Heading"/>
        <w:rPr>
          <w:rFonts w:ascii="Times New Roman" w:hAnsi="Times New Roman"/>
          <w:b w:val="0"/>
          <w:sz w:val="24"/>
          <w:szCs w:val="24"/>
        </w:rPr>
      </w:pPr>
      <w:r w:rsidRPr="004000D3">
        <w:rPr>
          <w:rFonts w:ascii="Times New Roman" w:hAnsi="Times New Roman"/>
          <w:b w:val="0"/>
          <w:sz w:val="24"/>
          <w:szCs w:val="24"/>
        </w:rPr>
        <w:t xml:space="preserve">A Statement of compatibility prepared in accordance with Part 3 of the </w:t>
      </w:r>
      <w:r w:rsidRPr="004000D3">
        <w:rPr>
          <w:rFonts w:ascii="Times New Roman" w:hAnsi="Times New Roman"/>
          <w:b w:val="0"/>
          <w:i/>
          <w:sz w:val="24"/>
          <w:szCs w:val="24"/>
        </w:rPr>
        <w:t>Human Rights (Parliamentary Scrutiny) Act 2011</w:t>
      </w:r>
      <w:r w:rsidRPr="004000D3">
        <w:rPr>
          <w:rFonts w:ascii="Times New Roman" w:hAnsi="Times New Roman"/>
          <w:b w:val="0"/>
          <w:sz w:val="24"/>
          <w:szCs w:val="24"/>
        </w:rPr>
        <w:t xml:space="preserve"> is provided at Attachment A to this Explanatory Statement.</w:t>
      </w:r>
    </w:p>
    <w:p w14:paraId="47EC922F" w14:textId="77777777" w:rsidR="00B634B4" w:rsidRPr="004000D3" w:rsidRDefault="00B634B4" w:rsidP="000B0675">
      <w:pPr>
        <w:autoSpaceDE w:val="0"/>
        <w:autoSpaceDN w:val="0"/>
        <w:adjustRightInd w:val="0"/>
        <w:jc w:val="center"/>
        <w:rPr>
          <w:rFonts w:ascii="Times New Roman" w:hAnsi="Times New Roman"/>
          <w:b/>
          <w:sz w:val="24"/>
          <w:szCs w:val="24"/>
        </w:rPr>
      </w:pPr>
      <w:r w:rsidRPr="004000D3">
        <w:br w:type="page"/>
      </w:r>
      <w:r w:rsidRPr="004000D3">
        <w:rPr>
          <w:rFonts w:ascii="Times New Roman" w:hAnsi="Times New Roman"/>
          <w:b/>
          <w:sz w:val="24"/>
          <w:szCs w:val="24"/>
        </w:rPr>
        <w:lastRenderedPageBreak/>
        <w:t>Attachment A</w:t>
      </w:r>
    </w:p>
    <w:p w14:paraId="59B0F7E7" w14:textId="77777777" w:rsidR="00B634B4" w:rsidRPr="004000D3" w:rsidRDefault="00B634B4" w:rsidP="000B0675">
      <w:pPr>
        <w:autoSpaceDE w:val="0"/>
        <w:autoSpaceDN w:val="0"/>
        <w:adjustRightInd w:val="0"/>
        <w:ind w:left="360"/>
        <w:jc w:val="center"/>
        <w:rPr>
          <w:rFonts w:ascii="Times New Roman" w:hAnsi="Times New Roman"/>
          <w:sz w:val="24"/>
          <w:szCs w:val="24"/>
        </w:rPr>
      </w:pPr>
    </w:p>
    <w:p w14:paraId="75234928" w14:textId="77777777" w:rsidR="00B634B4" w:rsidRPr="004000D3" w:rsidRDefault="00B634B4" w:rsidP="000B0675">
      <w:pPr>
        <w:autoSpaceDE w:val="0"/>
        <w:autoSpaceDN w:val="0"/>
        <w:adjustRightInd w:val="0"/>
        <w:jc w:val="center"/>
        <w:rPr>
          <w:rFonts w:ascii="Times New Roman" w:hAnsi="Times New Roman"/>
          <w:b/>
          <w:sz w:val="24"/>
          <w:szCs w:val="24"/>
        </w:rPr>
      </w:pPr>
      <w:r w:rsidRPr="004000D3">
        <w:rPr>
          <w:rFonts w:ascii="Times New Roman" w:hAnsi="Times New Roman"/>
          <w:b/>
          <w:sz w:val="24"/>
          <w:szCs w:val="24"/>
        </w:rPr>
        <w:t>Statement of Compatibility with Human Rights</w:t>
      </w:r>
    </w:p>
    <w:p w14:paraId="65BA877A" w14:textId="77777777" w:rsidR="00B634B4" w:rsidRPr="004000D3" w:rsidRDefault="00B634B4" w:rsidP="00E31428">
      <w:pPr>
        <w:autoSpaceDE w:val="0"/>
        <w:autoSpaceDN w:val="0"/>
        <w:adjustRightInd w:val="0"/>
        <w:jc w:val="both"/>
        <w:rPr>
          <w:rFonts w:ascii="Times New Roman" w:hAnsi="Times New Roman"/>
          <w:b/>
          <w:sz w:val="24"/>
          <w:szCs w:val="24"/>
        </w:rPr>
      </w:pPr>
    </w:p>
    <w:p w14:paraId="3FEC4E94" w14:textId="77777777" w:rsidR="00B634B4" w:rsidRPr="004000D3" w:rsidRDefault="00B634B4" w:rsidP="00E31428">
      <w:pPr>
        <w:autoSpaceDE w:val="0"/>
        <w:autoSpaceDN w:val="0"/>
        <w:adjustRightInd w:val="0"/>
        <w:jc w:val="both"/>
        <w:rPr>
          <w:rFonts w:ascii="Times New Roman" w:hAnsi="Times New Roman"/>
          <w:i/>
          <w:sz w:val="24"/>
          <w:szCs w:val="24"/>
        </w:rPr>
      </w:pPr>
      <w:r w:rsidRPr="004000D3">
        <w:rPr>
          <w:rFonts w:ascii="Times New Roman" w:hAnsi="Times New Roman"/>
          <w:i/>
          <w:sz w:val="24"/>
          <w:szCs w:val="24"/>
        </w:rPr>
        <w:t>Prepared in accordance with Part 3 of the Human Rights (Parliamentary Scrutiny) Act 2011</w:t>
      </w:r>
    </w:p>
    <w:p w14:paraId="678F55E3" w14:textId="77777777" w:rsidR="00B634B4" w:rsidRPr="004000D3" w:rsidRDefault="00B634B4" w:rsidP="00E31428">
      <w:pPr>
        <w:pStyle w:val="Title"/>
        <w:spacing w:before="0"/>
        <w:jc w:val="both"/>
        <w:rPr>
          <w:sz w:val="24"/>
          <w:szCs w:val="24"/>
        </w:rPr>
      </w:pPr>
    </w:p>
    <w:p w14:paraId="00DEC24E" w14:textId="3E94B1F6" w:rsidR="00B634B4" w:rsidRPr="004000D3" w:rsidRDefault="001A2D6A" w:rsidP="000B0675">
      <w:pPr>
        <w:pStyle w:val="Heading"/>
        <w:spacing w:before="120"/>
        <w:jc w:val="center"/>
        <w:rPr>
          <w:rFonts w:ascii="Times New Roman" w:hAnsi="Times New Roman"/>
          <w:sz w:val="24"/>
          <w:szCs w:val="24"/>
        </w:rPr>
      </w:pPr>
      <w:r w:rsidRPr="004000D3">
        <w:rPr>
          <w:rFonts w:ascii="Times New Roman" w:hAnsi="Times New Roman"/>
          <w:sz w:val="24"/>
          <w:szCs w:val="24"/>
        </w:rPr>
        <w:t xml:space="preserve">Financial Sector (Collection of Data) exemption No. </w:t>
      </w:r>
      <w:r w:rsidR="002B4759" w:rsidRPr="004000D3">
        <w:rPr>
          <w:rFonts w:ascii="Times New Roman" w:hAnsi="Times New Roman"/>
          <w:sz w:val="24"/>
          <w:szCs w:val="24"/>
        </w:rPr>
        <w:t>1</w:t>
      </w:r>
      <w:r w:rsidRPr="004000D3">
        <w:rPr>
          <w:rFonts w:ascii="Times New Roman" w:hAnsi="Times New Roman"/>
          <w:sz w:val="24"/>
          <w:szCs w:val="24"/>
        </w:rPr>
        <w:t xml:space="preserve"> of 2023</w:t>
      </w:r>
    </w:p>
    <w:p w14:paraId="7CD0DFD5" w14:textId="77777777" w:rsidR="00B634B4" w:rsidRPr="004000D3" w:rsidRDefault="00B634B4" w:rsidP="00E31428">
      <w:pPr>
        <w:pStyle w:val="BodyText"/>
        <w:spacing w:after="0"/>
        <w:jc w:val="both"/>
        <w:rPr>
          <w:szCs w:val="24"/>
        </w:rPr>
      </w:pPr>
    </w:p>
    <w:p w14:paraId="7427E2BE" w14:textId="77777777" w:rsidR="00B634B4" w:rsidRPr="004000D3" w:rsidRDefault="00B634B4" w:rsidP="00E31428">
      <w:pPr>
        <w:pStyle w:val="BodyText"/>
        <w:spacing w:after="0"/>
        <w:jc w:val="both"/>
        <w:rPr>
          <w:i/>
          <w:szCs w:val="24"/>
        </w:rPr>
      </w:pPr>
      <w:r w:rsidRPr="004000D3">
        <w:rPr>
          <w:szCs w:val="24"/>
        </w:rPr>
        <w:t xml:space="preserve">This Legislative Instrument is compatible with the human rights and freedoms recognised or declared in the international instruments listed in section 3 of the </w:t>
      </w:r>
      <w:r w:rsidRPr="004000D3">
        <w:rPr>
          <w:i/>
          <w:szCs w:val="24"/>
        </w:rPr>
        <w:t>Human Rights (Parliamentary Scrutiny) Act 2011</w:t>
      </w:r>
      <w:r w:rsidR="00447919" w:rsidRPr="004000D3">
        <w:rPr>
          <w:szCs w:val="24"/>
        </w:rPr>
        <w:t xml:space="preserve"> (HRPS Act)</w:t>
      </w:r>
      <w:r w:rsidRPr="004000D3">
        <w:rPr>
          <w:i/>
          <w:szCs w:val="24"/>
        </w:rPr>
        <w:t>.</w:t>
      </w:r>
    </w:p>
    <w:p w14:paraId="39327BD9" w14:textId="77777777" w:rsidR="00B634B4" w:rsidRPr="004000D3" w:rsidRDefault="00B634B4" w:rsidP="00E31428">
      <w:pPr>
        <w:pStyle w:val="BodyText"/>
        <w:spacing w:after="0"/>
        <w:jc w:val="both"/>
        <w:rPr>
          <w:i/>
          <w:szCs w:val="24"/>
        </w:rPr>
      </w:pPr>
    </w:p>
    <w:p w14:paraId="60C6122A" w14:textId="77777777" w:rsidR="00B634B4" w:rsidRPr="004000D3" w:rsidRDefault="00B634B4" w:rsidP="00E31428">
      <w:pPr>
        <w:pStyle w:val="BodyText"/>
        <w:spacing w:after="0"/>
        <w:jc w:val="both"/>
        <w:rPr>
          <w:b/>
          <w:szCs w:val="24"/>
        </w:rPr>
      </w:pPr>
      <w:r w:rsidRPr="004000D3">
        <w:rPr>
          <w:b/>
          <w:szCs w:val="24"/>
        </w:rPr>
        <w:t>Overview of the Legislative Instrument</w:t>
      </w:r>
    </w:p>
    <w:p w14:paraId="29B3C966" w14:textId="77777777" w:rsidR="00B634B4" w:rsidRPr="004000D3" w:rsidRDefault="00B634B4" w:rsidP="00E31428">
      <w:pPr>
        <w:pStyle w:val="BodyText"/>
        <w:spacing w:after="0"/>
        <w:jc w:val="both"/>
        <w:rPr>
          <w:b/>
          <w:szCs w:val="24"/>
        </w:rPr>
      </w:pPr>
    </w:p>
    <w:p w14:paraId="7142165C" w14:textId="433D3C67" w:rsidR="00AA65EC" w:rsidRPr="004000D3" w:rsidRDefault="00AA65EC" w:rsidP="00E31428">
      <w:pPr>
        <w:pStyle w:val="BodyText"/>
        <w:spacing w:after="0"/>
        <w:jc w:val="both"/>
        <w:rPr>
          <w:szCs w:val="24"/>
        </w:rPr>
      </w:pPr>
      <w:r w:rsidRPr="004000D3">
        <w:rPr>
          <w:szCs w:val="24"/>
        </w:rPr>
        <w:t xml:space="preserve">This Legislative Instrument </w:t>
      </w:r>
      <w:r w:rsidR="001A2D6A" w:rsidRPr="004000D3">
        <w:rPr>
          <w:szCs w:val="24"/>
        </w:rPr>
        <w:t xml:space="preserve">exempts financial sector entities from the requirement to provide information required by sections 1 and 2 of Item 4 in </w:t>
      </w:r>
      <w:r w:rsidR="001A2D6A" w:rsidRPr="004000D3">
        <w:rPr>
          <w:i/>
          <w:szCs w:val="24"/>
        </w:rPr>
        <w:t>Reporting Standard GRS 310.3 Details of Income and Expenses</w:t>
      </w:r>
      <w:r w:rsidR="001A2D6A" w:rsidRPr="004000D3">
        <w:rPr>
          <w:szCs w:val="24"/>
        </w:rPr>
        <w:t xml:space="preserve"> </w:t>
      </w:r>
      <w:r w:rsidR="00447919" w:rsidRPr="004000D3">
        <w:rPr>
          <w:szCs w:val="24"/>
        </w:rPr>
        <w:t xml:space="preserve">made </w:t>
      </w:r>
      <w:r w:rsidRPr="004000D3">
        <w:rPr>
          <w:szCs w:val="24"/>
        </w:rPr>
        <w:t xml:space="preserve">under the </w:t>
      </w:r>
      <w:r w:rsidRPr="004000D3">
        <w:rPr>
          <w:i/>
          <w:szCs w:val="24"/>
        </w:rPr>
        <w:t>Financial Sector (Collection of Data) Act</w:t>
      </w:r>
      <w:r w:rsidR="001371FA" w:rsidRPr="004000D3">
        <w:rPr>
          <w:i/>
          <w:szCs w:val="24"/>
        </w:rPr>
        <w:t xml:space="preserve"> 2001</w:t>
      </w:r>
      <w:r w:rsidRPr="004000D3">
        <w:rPr>
          <w:szCs w:val="24"/>
        </w:rPr>
        <w:t xml:space="preserve">. </w:t>
      </w:r>
    </w:p>
    <w:p w14:paraId="0F60AC21" w14:textId="77777777" w:rsidR="00AA65EC" w:rsidRPr="004000D3" w:rsidRDefault="00AA65EC" w:rsidP="00E31428">
      <w:pPr>
        <w:pStyle w:val="BodyText"/>
        <w:spacing w:after="0"/>
        <w:jc w:val="both"/>
        <w:rPr>
          <w:szCs w:val="24"/>
        </w:rPr>
      </w:pPr>
    </w:p>
    <w:p w14:paraId="0AB82643" w14:textId="77777777" w:rsidR="00B634B4" w:rsidRPr="004000D3" w:rsidRDefault="00B634B4" w:rsidP="00E31428">
      <w:pPr>
        <w:pStyle w:val="BodyText"/>
        <w:jc w:val="both"/>
        <w:rPr>
          <w:b/>
        </w:rPr>
      </w:pPr>
      <w:r w:rsidRPr="004000D3">
        <w:rPr>
          <w:b/>
        </w:rPr>
        <w:t>Human rights implications</w:t>
      </w:r>
    </w:p>
    <w:p w14:paraId="55A09BA0" w14:textId="77777777" w:rsidR="00447919" w:rsidRPr="004000D3" w:rsidRDefault="00447919" w:rsidP="00E31428">
      <w:pPr>
        <w:autoSpaceDE w:val="0"/>
        <w:autoSpaceDN w:val="0"/>
        <w:adjustRightInd w:val="0"/>
        <w:jc w:val="both"/>
      </w:pPr>
      <w:r w:rsidRPr="004000D3">
        <w:rPr>
          <w:rFonts w:ascii="Times New Roman" w:eastAsia="Calibri" w:hAnsi="Times New Roman"/>
          <w:sz w:val="24"/>
          <w:szCs w:val="24"/>
        </w:rPr>
        <w:t>APRA has assessed this Legislative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0D7F2750" w14:textId="77777777" w:rsidR="00B634B4" w:rsidRPr="004000D3" w:rsidRDefault="00B634B4" w:rsidP="00E31428">
      <w:pPr>
        <w:pStyle w:val="BodyText"/>
        <w:spacing w:after="0"/>
        <w:jc w:val="both"/>
      </w:pPr>
    </w:p>
    <w:p w14:paraId="6213E7E6" w14:textId="77777777" w:rsidR="00B634B4" w:rsidRPr="004000D3" w:rsidRDefault="00B634B4" w:rsidP="00E31428">
      <w:pPr>
        <w:pStyle w:val="BodyText"/>
        <w:jc w:val="both"/>
        <w:rPr>
          <w:b/>
        </w:rPr>
      </w:pPr>
      <w:r w:rsidRPr="004000D3">
        <w:rPr>
          <w:b/>
        </w:rPr>
        <w:t>Conclusion</w:t>
      </w:r>
    </w:p>
    <w:p w14:paraId="30B45978" w14:textId="77777777" w:rsidR="00B634B4" w:rsidRPr="00740541" w:rsidRDefault="00B634B4" w:rsidP="00E31428">
      <w:pPr>
        <w:pStyle w:val="BodyText"/>
        <w:jc w:val="both"/>
        <w:rPr>
          <w:szCs w:val="24"/>
        </w:rPr>
      </w:pPr>
      <w:r w:rsidRPr="004000D3">
        <w:t xml:space="preserve">This Legislative Instrument is compatible with human rights </w:t>
      </w:r>
      <w:r w:rsidR="00447919" w:rsidRPr="004000D3">
        <w:t>because</w:t>
      </w:r>
      <w:r w:rsidRPr="004000D3">
        <w:t xml:space="preserve"> it does not raise any human rights issues.</w:t>
      </w:r>
    </w:p>
    <w:p w14:paraId="11D90E30" w14:textId="77777777" w:rsidR="00B634B4" w:rsidRPr="0099646B" w:rsidRDefault="00B634B4" w:rsidP="00E31428">
      <w:pPr>
        <w:autoSpaceDE w:val="0"/>
        <w:autoSpaceDN w:val="0"/>
        <w:adjustRightInd w:val="0"/>
        <w:ind w:left="360"/>
        <w:jc w:val="both"/>
        <w:rPr>
          <w:szCs w:val="24"/>
        </w:rPr>
      </w:pPr>
    </w:p>
    <w:p w14:paraId="4F0206C0" w14:textId="77777777" w:rsidR="00B04B20" w:rsidRPr="00FA5345" w:rsidRDefault="00B04B20" w:rsidP="00B634B4">
      <w:pPr>
        <w:jc w:val="both"/>
      </w:pPr>
    </w:p>
    <w:sectPr w:rsidR="00B04B20" w:rsidRPr="00FA5345" w:rsidSect="006F7F77">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1B3B" w14:textId="77777777" w:rsidR="003610C3" w:rsidRDefault="003610C3" w:rsidP="00B81CB0">
      <w:r>
        <w:separator/>
      </w:r>
    </w:p>
  </w:endnote>
  <w:endnote w:type="continuationSeparator" w:id="0">
    <w:p w14:paraId="38AE5E38" w14:textId="77777777" w:rsidR="003610C3" w:rsidRDefault="003610C3" w:rsidP="00B81CB0">
      <w:r>
        <w:continuationSeparator/>
      </w:r>
    </w:p>
  </w:endnote>
  <w:endnote w:type="continuationNotice" w:id="1">
    <w:p w14:paraId="73C0D99C" w14:textId="77777777" w:rsidR="003610C3" w:rsidRDefault="00361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727217"/>
      <w:docPartObj>
        <w:docPartGallery w:val="Page Numbers (Bottom of Page)"/>
        <w:docPartUnique/>
      </w:docPartObj>
    </w:sdtPr>
    <w:sdtEndPr>
      <w:rPr>
        <w:rFonts w:ascii="Times New Roman" w:hAnsi="Times New Roman"/>
        <w:noProof/>
        <w:sz w:val="24"/>
        <w:szCs w:val="24"/>
      </w:rPr>
    </w:sdtEndPr>
    <w:sdtContent>
      <w:p w14:paraId="53964681" w14:textId="6B1DF0AB" w:rsidR="00575849" w:rsidRPr="00575849" w:rsidRDefault="00575849">
        <w:pPr>
          <w:pStyle w:val="Footer"/>
          <w:jc w:val="right"/>
          <w:rPr>
            <w:rFonts w:ascii="Times New Roman" w:hAnsi="Times New Roman"/>
            <w:sz w:val="24"/>
            <w:szCs w:val="24"/>
          </w:rPr>
        </w:pPr>
        <w:r w:rsidRPr="00575849">
          <w:rPr>
            <w:rFonts w:ascii="Times New Roman" w:hAnsi="Times New Roman"/>
            <w:sz w:val="24"/>
            <w:szCs w:val="24"/>
          </w:rPr>
          <w:fldChar w:fldCharType="begin"/>
        </w:r>
        <w:r w:rsidRPr="00575849">
          <w:rPr>
            <w:rFonts w:ascii="Times New Roman" w:hAnsi="Times New Roman"/>
            <w:sz w:val="24"/>
            <w:szCs w:val="24"/>
          </w:rPr>
          <w:instrText xml:space="preserve"> PAGE   \* MERGEFORMAT </w:instrText>
        </w:r>
        <w:r w:rsidRPr="00575849">
          <w:rPr>
            <w:rFonts w:ascii="Times New Roman" w:hAnsi="Times New Roman"/>
            <w:sz w:val="24"/>
            <w:szCs w:val="24"/>
          </w:rPr>
          <w:fldChar w:fldCharType="separate"/>
        </w:r>
        <w:r w:rsidRPr="00575849">
          <w:rPr>
            <w:rFonts w:ascii="Times New Roman" w:hAnsi="Times New Roman"/>
            <w:noProof/>
            <w:sz w:val="24"/>
            <w:szCs w:val="24"/>
          </w:rPr>
          <w:t>2</w:t>
        </w:r>
        <w:r w:rsidRPr="00575849">
          <w:rPr>
            <w:rFonts w:ascii="Times New Roman" w:hAnsi="Times New Roman"/>
            <w:noProof/>
            <w:sz w:val="24"/>
            <w:szCs w:val="24"/>
          </w:rPr>
          <w:fldChar w:fldCharType="end"/>
        </w:r>
      </w:p>
    </w:sdtContent>
  </w:sdt>
  <w:p w14:paraId="3B87B2B0" w14:textId="77777777" w:rsidR="00575849" w:rsidRPr="00575849" w:rsidRDefault="00575849">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E059D" w14:textId="77777777" w:rsidR="003610C3" w:rsidRDefault="003610C3" w:rsidP="00B81CB0">
      <w:r>
        <w:separator/>
      </w:r>
    </w:p>
  </w:footnote>
  <w:footnote w:type="continuationSeparator" w:id="0">
    <w:p w14:paraId="3B9FC659" w14:textId="77777777" w:rsidR="003610C3" w:rsidRDefault="003610C3" w:rsidP="00B81CB0">
      <w:r>
        <w:continuationSeparator/>
      </w:r>
    </w:p>
  </w:footnote>
  <w:footnote w:type="continuationNotice" w:id="1">
    <w:p w14:paraId="55F2B42E" w14:textId="77777777" w:rsidR="003610C3" w:rsidRDefault="003610C3"/>
  </w:footnote>
  <w:footnote w:id="2">
    <w:p w14:paraId="26015AB8" w14:textId="77777777" w:rsidR="00EF62DA" w:rsidRPr="004A1269" w:rsidRDefault="00EF62DA" w:rsidP="00EF62DA">
      <w:pPr>
        <w:pStyle w:val="FootnoteText"/>
        <w:rPr>
          <w:rFonts w:ascii="Times New Roman" w:hAnsi="Times New Roman"/>
        </w:rPr>
      </w:pPr>
      <w:r w:rsidRPr="004A1269">
        <w:rPr>
          <w:rStyle w:val="FootnoteReference"/>
          <w:rFonts w:ascii="Times New Roman" w:hAnsi="Times New Roman"/>
        </w:rPr>
        <w:footnoteRef/>
      </w:r>
      <w:r w:rsidRPr="004A1269">
        <w:rPr>
          <w:rFonts w:ascii="Times New Roman" w:hAnsi="Times New Roman"/>
        </w:rPr>
        <w:t xml:space="preserve"> </w:t>
      </w:r>
      <w:hyperlink r:id="rId1" w:history="1">
        <w:r w:rsidRPr="004A1269">
          <w:rPr>
            <w:rStyle w:val="Hyperlink"/>
            <w:rFonts w:ascii="Times New Roman" w:hAnsi="Times New Roman"/>
          </w:rPr>
          <w:t>New accounting standard – AASB 17 Insurance contracts | APRA</w:t>
        </w:r>
      </w:hyperlink>
    </w:p>
  </w:footnote>
  <w:footnote w:id="3">
    <w:p w14:paraId="1B3005F2" w14:textId="77777777" w:rsidR="00EF62DA" w:rsidRDefault="00EF62DA" w:rsidP="00EF62DA">
      <w:pPr>
        <w:pStyle w:val="FootnoteText"/>
      </w:pPr>
      <w:r w:rsidRPr="004A1269">
        <w:rPr>
          <w:rStyle w:val="FootnoteReference"/>
          <w:rFonts w:ascii="Times New Roman" w:hAnsi="Times New Roman"/>
        </w:rPr>
        <w:footnoteRef/>
      </w:r>
      <w:r w:rsidRPr="004A1269">
        <w:rPr>
          <w:rFonts w:ascii="Times New Roman" w:hAnsi="Times New Roman"/>
        </w:rPr>
        <w:t xml:space="preserve"> </w:t>
      </w:r>
      <w:hyperlink r:id="rId2" w:history="1">
        <w:r w:rsidRPr="004A1269">
          <w:rPr>
            <w:rStyle w:val="Hyperlink"/>
            <w:rFonts w:ascii="Times New Roman" w:hAnsi="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5170"/>
    <w:multiLevelType w:val="hybridMultilevel"/>
    <w:tmpl w:val="F03A7E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F5D5F0B"/>
    <w:multiLevelType w:val="hybridMultilevel"/>
    <w:tmpl w:val="06648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39B20FBE"/>
    <w:multiLevelType w:val="hybridMultilevel"/>
    <w:tmpl w:val="5F0A8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7E279B"/>
    <w:multiLevelType w:val="hybridMultilevel"/>
    <w:tmpl w:val="64FEF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DA3D61"/>
    <w:multiLevelType w:val="hybridMultilevel"/>
    <w:tmpl w:val="842E7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B17A3F"/>
    <w:multiLevelType w:val="multilevel"/>
    <w:tmpl w:val="078A7828"/>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C275904"/>
    <w:multiLevelType w:val="hybridMultilevel"/>
    <w:tmpl w:val="67D2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6581895">
    <w:abstractNumId w:val="5"/>
  </w:num>
  <w:num w:numId="2" w16cid:durableId="534460822">
    <w:abstractNumId w:val="1"/>
  </w:num>
  <w:num w:numId="3" w16cid:durableId="1790511606">
    <w:abstractNumId w:val="7"/>
  </w:num>
  <w:num w:numId="4" w16cid:durableId="1697853642">
    <w:abstractNumId w:val="0"/>
  </w:num>
  <w:num w:numId="5" w16cid:durableId="1631083496">
    <w:abstractNumId w:val="2"/>
  </w:num>
  <w:num w:numId="6" w16cid:durableId="1129124442">
    <w:abstractNumId w:val="4"/>
  </w:num>
  <w:num w:numId="7" w16cid:durableId="1479110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667489">
    <w:abstractNumId w:val="3"/>
  </w:num>
  <w:num w:numId="9" w16cid:durableId="1472406929">
    <w:abstractNumId w:val="8"/>
  </w:num>
  <w:num w:numId="10" w16cid:durableId="1470518153">
    <w:abstractNumId w:val="6"/>
  </w:num>
  <w:num w:numId="11" w16cid:durableId="1256018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BD"/>
    <w:rsid w:val="00004912"/>
    <w:rsid w:val="000111B3"/>
    <w:rsid w:val="00035449"/>
    <w:rsid w:val="000401FC"/>
    <w:rsid w:val="0005430F"/>
    <w:rsid w:val="0006010F"/>
    <w:rsid w:val="000856C2"/>
    <w:rsid w:val="00096BDD"/>
    <w:rsid w:val="00096E5A"/>
    <w:rsid w:val="000B0675"/>
    <w:rsid w:val="000D0E02"/>
    <w:rsid w:val="000D5289"/>
    <w:rsid w:val="000E369C"/>
    <w:rsid w:val="001177CF"/>
    <w:rsid w:val="00131BF5"/>
    <w:rsid w:val="001371FA"/>
    <w:rsid w:val="00152BCC"/>
    <w:rsid w:val="00167489"/>
    <w:rsid w:val="00173298"/>
    <w:rsid w:val="00182FA1"/>
    <w:rsid w:val="00194BC5"/>
    <w:rsid w:val="001A2D6A"/>
    <w:rsid w:val="001A6E9C"/>
    <w:rsid w:val="001E086D"/>
    <w:rsid w:val="001E303F"/>
    <w:rsid w:val="001F3E50"/>
    <w:rsid w:val="00204CC7"/>
    <w:rsid w:val="0022265F"/>
    <w:rsid w:val="00231F4E"/>
    <w:rsid w:val="002436BD"/>
    <w:rsid w:val="00246723"/>
    <w:rsid w:val="002610E0"/>
    <w:rsid w:val="00273F92"/>
    <w:rsid w:val="00274D09"/>
    <w:rsid w:val="002969B5"/>
    <w:rsid w:val="002A73BD"/>
    <w:rsid w:val="002B4759"/>
    <w:rsid w:val="002C20F7"/>
    <w:rsid w:val="002E690F"/>
    <w:rsid w:val="002E7184"/>
    <w:rsid w:val="00304A47"/>
    <w:rsid w:val="0030506B"/>
    <w:rsid w:val="00310CF8"/>
    <w:rsid w:val="00310EF8"/>
    <w:rsid w:val="003535E7"/>
    <w:rsid w:val="00354CB8"/>
    <w:rsid w:val="00356BCC"/>
    <w:rsid w:val="003610C3"/>
    <w:rsid w:val="00376CB1"/>
    <w:rsid w:val="00381D23"/>
    <w:rsid w:val="003825B3"/>
    <w:rsid w:val="00384772"/>
    <w:rsid w:val="003866AD"/>
    <w:rsid w:val="00387F80"/>
    <w:rsid w:val="003A52A5"/>
    <w:rsid w:val="003B412F"/>
    <w:rsid w:val="003B7EA4"/>
    <w:rsid w:val="003D5032"/>
    <w:rsid w:val="003D790C"/>
    <w:rsid w:val="003E7AA5"/>
    <w:rsid w:val="004000D3"/>
    <w:rsid w:val="0040175E"/>
    <w:rsid w:val="00407654"/>
    <w:rsid w:val="00422164"/>
    <w:rsid w:val="00424E79"/>
    <w:rsid w:val="004352F4"/>
    <w:rsid w:val="00437E5F"/>
    <w:rsid w:val="00443A02"/>
    <w:rsid w:val="00447919"/>
    <w:rsid w:val="004513B6"/>
    <w:rsid w:val="00467B86"/>
    <w:rsid w:val="004A7FED"/>
    <w:rsid w:val="004C03DB"/>
    <w:rsid w:val="004C12C8"/>
    <w:rsid w:val="004C3D07"/>
    <w:rsid w:val="004E2008"/>
    <w:rsid w:val="004F560A"/>
    <w:rsid w:val="005045A1"/>
    <w:rsid w:val="0051536A"/>
    <w:rsid w:val="00533A69"/>
    <w:rsid w:val="00547C47"/>
    <w:rsid w:val="00555B10"/>
    <w:rsid w:val="0056141D"/>
    <w:rsid w:val="005619CD"/>
    <w:rsid w:val="00575849"/>
    <w:rsid w:val="00586A6C"/>
    <w:rsid w:val="005876CB"/>
    <w:rsid w:val="00591C0A"/>
    <w:rsid w:val="005A0E03"/>
    <w:rsid w:val="005A0E2B"/>
    <w:rsid w:val="005D420E"/>
    <w:rsid w:val="005E5910"/>
    <w:rsid w:val="006053B4"/>
    <w:rsid w:val="00610CC0"/>
    <w:rsid w:val="0061121A"/>
    <w:rsid w:val="00622480"/>
    <w:rsid w:val="00631D38"/>
    <w:rsid w:val="00647D58"/>
    <w:rsid w:val="00657678"/>
    <w:rsid w:val="00671BA8"/>
    <w:rsid w:val="00681866"/>
    <w:rsid w:val="00681FD0"/>
    <w:rsid w:val="00682824"/>
    <w:rsid w:val="00682865"/>
    <w:rsid w:val="00684F73"/>
    <w:rsid w:val="006B093F"/>
    <w:rsid w:val="006C5F15"/>
    <w:rsid w:val="006D228F"/>
    <w:rsid w:val="006E4269"/>
    <w:rsid w:val="006F7F77"/>
    <w:rsid w:val="00702735"/>
    <w:rsid w:val="007031F4"/>
    <w:rsid w:val="00704870"/>
    <w:rsid w:val="007049CF"/>
    <w:rsid w:val="007119D0"/>
    <w:rsid w:val="00712E1A"/>
    <w:rsid w:val="00715BA2"/>
    <w:rsid w:val="007368AD"/>
    <w:rsid w:val="007428D4"/>
    <w:rsid w:val="00747AFF"/>
    <w:rsid w:val="00761B22"/>
    <w:rsid w:val="00766895"/>
    <w:rsid w:val="0078517E"/>
    <w:rsid w:val="00785CDC"/>
    <w:rsid w:val="00796C3D"/>
    <w:rsid w:val="007B19BB"/>
    <w:rsid w:val="007C1D04"/>
    <w:rsid w:val="007C2298"/>
    <w:rsid w:val="007C33DC"/>
    <w:rsid w:val="007C7B7D"/>
    <w:rsid w:val="007D1BD9"/>
    <w:rsid w:val="007D6A27"/>
    <w:rsid w:val="007E08CE"/>
    <w:rsid w:val="007E472C"/>
    <w:rsid w:val="007E4B2A"/>
    <w:rsid w:val="007F3553"/>
    <w:rsid w:val="00800656"/>
    <w:rsid w:val="00830F66"/>
    <w:rsid w:val="0083375C"/>
    <w:rsid w:val="00856369"/>
    <w:rsid w:val="00895B0B"/>
    <w:rsid w:val="008A4F3D"/>
    <w:rsid w:val="008B10B8"/>
    <w:rsid w:val="008B66FB"/>
    <w:rsid w:val="008D4984"/>
    <w:rsid w:val="008E5079"/>
    <w:rsid w:val="008F5B51"/>
    <w:rsid w:val="008F7719"/>
    <w:rsid w:val="0091308F"/>
    <w:rsid w:val="00932EFA"/>
    <w:rsid w:val="00933894"/>
    <w:rsid w:val="00961625"/>
    <w:rsid w:val="00967D16"/>
    <w:rsid w:val="009A7E35"/>
    <w:rsid w:val="009B0C3B"/>
    <w:rsid w:val="009C11C8"/>
    <w:rsid w:val="009C5368"/>
    <w:rsid w:val="009C683A"/>
    <w:rsid w:val="009E0508"/>
    <w:rsid w:val="009E3E37"/>
    <w:rsid w:val="009F2F95"/>
    <w:rsid w:val="00A0746A"/>
    <w:rsid w:val="00A16945"/>
    <w:rsid w:val="00A279AF"/>
    <w:rsid w:val="00A4133B"/>
    <w:rsid w:val="00A51446"/>
    <w:rsid w:val="00A5635C"/>
    <w:rsid w:val="00A63A2B"/>
    <w:rsid w:val="00A80DE0"/>
    <w:rsid w:val="00A92D17"/>
    <w:rsid w:val="00A9384B"/>
    <w:rsid w:val="00AA3E4A"/>
    <w:rsid w:val="00AA65EC"/>
    <w:rsid w:val="00AC1478"/>
    <w:rsid w:val="00AC2517"/>
    <w:rsid w:val="00AC7A56"/>
    <w:rsid w:val="00B03C92"/>
    <w:rsid w:val="00B04B20"/>
    <w:rsid w:val="00B06C19"/>
    <w:rsid w:val="00B10C5D"/>
    <w:rsid w:val="00B2704F"/>
    <w:rsid w:val="00B634B4"/>
    <w:rsid w:val="00B64B2E"/>
    <w:rsid w:val="00B64D0A"/>
    <w:rsid w:val="00B75D5C"/>
    <w:rsid w:val="00B81CB0"/>
    <w:rsid w:val="00B829D1"/>
    <w:rsid w:val="00B85B6E"/>
    <w:rsid w:val="00B9073A"/>
    <w:rsid w:val="00B95DD8"/>
    <w:rsid w:val="00B964A3"/>
    <w:rsid w:val="00BB1678"/>
    <w:rsid w:val="00BE36B6"/>
    <w:rsid w:val="00BF1DFC"/>
    <w:rsid w:val="00BF2953"/>
    <w:rsid w:val="00C22FB0"/>
    <w:rsid w:val="00C302FA"/>
    <w:rsid w:val="00C351F1"/>
    <w:rsid w:val="00C63C6F"/>
    <w:rsid w:val="00C66A6A"/>
    <w:rsid w:val="00C803D4"/>
    <w:rsid w:val="00C948AA"/>
    <w:rsid w:val="00CA6CB3"/>
    <w:rsid w:val="00CB0CB1"/>
    <w:rsid w:val="00CB384A"/>
    <w:rsid w:val="00CD1947"/>
    <w:rsid w:val="00CD2564"/>
    <w:rsid w:val="00CE3EF2"/>
    <w:rsid w:val="00CE7052"/>
    <w:rsid w:val="00CF2CBE"/>
    <w:rsid w:val="00CF5820"/>
    <w:rsid w:val="00D119F5"/>
    <w:rsid w:val="00D135C4"/>
    <w:rsid w:val="00D3366C"/>
    <w:rsid w:val="00D3484E"/>
    <w:rsid w:val="00D53B59"/>
    <w:rsid w:val="00D64906"/>
    <w:rsid w:val="00D83531"/>
    <w:rsid w:val="00D87E36"/>
    <w:rsid w:val="00DA3673"/>
    <w:rsid w:val="00DB1EE9"/>
    <w:rsid w:val="00DB6B25"/>
    <w:rsid w:val="00DC7EBF"/>
    <w:rsid w:val="00DF2A0B"/>
    <w:rsid w:val="00DF524E"/>
    <w:rsid w:val="00DF61A6"/>
    <w:rsid w:val="00E15497"/>
    <w:rsid w:val="00E154A3"/>
    <w:rsid w:val="00E16789"/>
    <w:rsid w:val="00E201A8"/>
    <w:rsid w:val="00E25419"/>
    <w:rsid w:val="00E31428"/>
    <w:rsid w:val="00E5090A"/>
    <w:rsid w:val="00E52DFE"/>
    <w:rsid w:val="00E61B19"/>
    <w:rsid w:val="00E75DCE"/>
    <w:rsid w:val="00E85371"/>
    <w:rsid w:val="00E90B4B"/>
    <w:rsid w:val="00E90C89"/>
    <w:rsid w:val="00E95FA0"/>
    <w:rsid w:val="00EC5653"/>
    <w:rsid w:val="00ED74A7"/>
    <w:rsid w:val="00EF2E16"/>
    <w:rsid w:val="00EF62DA"/>
    <w:rsid w:val="00F06CA3"/>
    <w:rsid w:val="00F12F86"/>
    <w:rsid w:val="00F24136"/>
    <w:rsid w:val="00F30080"/>
    <w:rsid w:val="00F41EEB"/>
    <w:rsid w:val="00F436BC"/>
    <w:rsid w:val="00F4541D"/>
    <w:rsid w:val="00F512AE"/>
    <w:rsid w:val="00F65616"/>
    <w:rsid w:val="00F7706D"/>
    <w:rsid w:val="00F81546"/>
    <w:rsid w:val="00F92C93"/>
    <w:rsid w:val="00FA5345"/>
    <w:rsid w:val="00FB4068"/>
    <w:rsid w:val="00FF2382"/>
    <w:rsid w:val="19DA75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038D8"/>
  <w15:chartTrackingRefBased/>
  <w15:docId w15:val="{BBB61BCC-B3F1-4861-9775-B355C523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9"/>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9"/>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766895"/>
    <w:pPr>
      <w:spacing w:before="100" w:beforeAutospacing="1" w:after="100" w:afterAutospacing="1"/>
    </w:pPr>
    <w:rPr>
      <w:rFonts w:ascii="Times New Roman" w:hAnsi="Times New Roman"/>
      <w:sz w:val="24"/>
      <w:szCs w:val="24"/>
    </w:rPr>
  </w:style>
  <w:style w:type="character" w:styleId="FootnoteReference">
    <w:name w:val="footnote reference"/>
    <w:uiPriority w:val="99"/>
    <w:semiHidden/>
    <w:unhideWhenUsed/>
    <w:rsid w:val="000856C2"/>
  </w:style>
  <w:style w:type="paragraph" w:styleId="Title">
    <w:name w:val="Title"/>
    <w:basedOn w:val="Normal"/>
    <w:link w:val="TitleChar"/>
    <w:qFormat/>
    <w:rsid w:val="00B634B4"/>
    <w:pPr>
      <w:spacing w:before="360"/>
      <w:jc w:val="center"/>
    </w:pPr>
    <w:rPr>
      <w:rFonts w:ascii="Times New Roman" w:hAnsi="Times New Roman"/>
      <w:b/>
      <w:sz w:val="32"/>
    </w:rPr>
  </w:style>
  <w:style w:type="character" w:customStyle="1" w:styleId="TitleChar">
    <w:name w:val="Title Char"/>
    <w:link w:val="Title"/>
    <w:rsid w:val="00B634B4"/>
    <w:rPr>
      <w:rFonts w:ascii="Times New Roman" w:eastAsia="Times New Roman" w:hAnsi="Times New Roman"/>
      <w:b/>
      <w:sz w:val="32"/>
    </w:rPr>
  </w:style>
  <w:style w:type="paragraph" w:styleId="BodyText">
    <w:name w:val="Body Text"/>
    <w:basedOn w:val="Normal"/>
    <w:link w:val="BodyTextChar"/>
    <w:rsid w:val="00B634B4"/>
    <w:pPr>
      <w:spacing w:after="240"/>
    </w:pPr>
    <w:rPr>
      <w:rFonts w:ascii="Times New Roman" w:hAnsi="Times New Roman"/>
      <w:sz w:val="24"/>
    </w:rPr>
  </w:style>
  <w:style w:type="character" w:customStyle="1" w:styleId="BodyTextChar">
    <w:name w:val="Body Text Char"/>
    <w:link w:val="BodyText"/>
    <w:rsid w:val="00B634B4"/>
    <w:rPr>
      <w:rFonts w:ascii="Times New Roman" w:eastAsia="Times New Roman" w:hAnsi="Times New Roman"/>
      <w:sz w:val="24"/>
    </w:rPr>
  </w:style>
  <w:style w:type="paragraph" w:styleId="Revision">
    <w:name w:val="Revision"/>
    <w:hidden/>
    <w:uiPriority w:val="99"/>
    <w:semiHidden/>
    <w:rsid w:val="00B81CB0"/>
    <w:rPr>
      <w:rFonts w:ascii="Trebuchet MS" w:eastAsia="Times New Roman" w:hAnsi="Trebuchet MS"/>
      <w:sz w:val="22"/>
    </w:rPr>
  </w:style>
  <w:style w:type="paragraph" w:styleId="FootnoteText">
    <w:name w:val="footnote text"/>
    <w:basedOn w:val="Normal"/>
    <w:link w:val="FootnoteTextChar"/>
    <w:uiPriority w:val="99"/>
    <w:semiHidden/>
    <w:unhideWhenUsed/>
    <w:rsid w:val="00EF62DA"/>
    <w:rPr>
      <w:sz w:val="20"/>
    </w:rPr>
  </w:style>
  <w:style w:type="character" w:customStyle="1" w:styleId="FootnoteTextChar">
    <w:name w:val="Footnote Text Char"/>
    <w:basedOn w:val="DefaultParagraphFont"/>
    <w:link w:val="FootnoteText"/>
    <w:uiPriority w:val="99"/>
    <w:semiHidden/>
    <w:rsid w:val="00EF62DA"/>
    <w:rPr>
      <w:rFonts w:ascii="Trebuchet MS" w:eastAsia="Times New Roman" w:hAnsi="Trebuchet MS"/>
    </w:rPr>
  </w:style>
  <w:style w:type="character" w:styleId="UnresolvedMention">
    <w:name w:val="Unresolved Mention"/>
    <w:basedOn w:val="DefaultParagraphFont"/>
    <w:uiPriority w:val="99"/>
    <w:semiHidden/>
    <w:unhideWhenUsed/>
    <w:rsid w:val="006E4269"/>
    <w:rPr>
      <w:color w:val="605E5C"/>
      <w:shd w:val="clear" w:color="auto" w:fill="E1DFDD"/>
    </w:rPr>
  </w:style>
  <w:style w:type="paragraph" w:styleId="Header">
    <w:name w:val="header"/>
    <w:basedOn w:val="Normal"/>
    <w:link w:val="HeaderChar"/>
    <w:unhideWhenUsed/>
    <w:rsid w:val="00575849"/>
    <w:pPr>
      <w:tabs>
        <w:tab w:val="center" w:pos="4513"/>
        <w:tab w:val="right" w:pos="9026"/>
      </w:tabs>
    </w:pPr>
  </w:style>
  <w:style w:type="character" w:customStyle="1" w:styleId="HeaderChar">
    <w:name w:val="Header Char"/>
    <w:basedOn w:val="DefaultParagraphFont"/>
    <w:link w:val="Header"/>
    <w:rsid w:val="00575849"/>
    <w:rPr>
      <w:rFonts w:ascii="Trebuchet MS" w:eastAsia="Times New Roman" w:hAnsi="Trebuchet MS"/>
      <w:sz w:val="22"/>
    </w:rPr>
  </w:style>
  <w:style w:type="paragraph" w:styleId="Footer">
    <w:name w:val="footer"/>
    <w:basedOn w:val="Normal"/>
    <w:link w:val="FooterChar"/>
    <w:uiPriority w:val="99"/>
    <w:unhideWhenUsed/>
    <w:rsid w:val="00575849"/>
    <w:pPr>
      <w:tabs>
        <w:tab w:val="center" w:pos="4513"/>
        <w:tab w:val="right" w:pos="9026"/>
      </w:tabs>
    </w:pPr>
  </w:style>
  <w:style w:type="character" w:customStyle="1" w:styleId="FooterChar">
    <w:name w:val="Footer Char"/>
    <w:basedOn w:val="DefaultParagraphFont"/>
    <w:link w:val="Footer"/>
    <w:uiPriority w:val="99"/>
    <w:rsid w:val="00575849"/>
    <w:rPr>
      <w:rFonts w:ascii="Trebuchet MS" w:eastAsia="Times New Roman" w:hAnsi="Trebuchet MS"/>
      <w:sz w:val="22"/>
    </w:rPr>
  </w:style>
  <w:style w:type="paragraph" w:styleId="List">
    <w:name w:val="List"/>
    <w:basedOn w:val="Normal"/>
    <w:uiPriority w:val="17"/>
    <w:qFormat/>
    <w:rsid w:val="00A80DE0"/>
    <w:pPr>
      <w:tabs>
        <w:tab w:val="num" w:pos="425"/>
      </w:tabs>
      <w:spacing w:after="240"/>
      <w:ind w:left="425" w:hanging="425"/>
      <w:jc w:val="both"/>
    </w:pPr>
    <w:rPr>
      <w:rFonts w:ascii="Arial" w:eastAsiaTheme="minorHAnsi" w:hAnsi="Arial" w:cstheme="minorBidi"/>
      <w:color w:val="000000"/>
      <w:szCs w:val="22"/>
      <w:lang w:eastAsia="en-US"/>
    </w:rPr>
  </w:style>
  <w:style w:type="paragraph" w:styleId="List2">
    <w:name w:val="List 2"/>
    <w:basedOn w:val="Normal"/>
    <w:uiPriority w:val="17"/>
    <w:qFormat/>
    <w:rsid w:val="00A80DE0"/>
    <w:pPr>
      <w:tabs>
        <w:tab w:val="num" w:pos="851"/>
      </w:tabs>
      <w:spacing w:after="240"/>
      <w:ind w:left="851" w:hanging="426"/>
      <w:jc w:val="both"/>
    </w:pPr>
    <w:rPr>
      <w:rFonts w:ascii="Arial" w:eastAsiaTheme="minorHAnsi" w:hAnsi="Arial" w:cstheme="minorBidi"/>
      <w:color w:val="000000"/>
      <w:szCs w:val="22"/>
      <w:lang w:eastAsia="en-US"/>
    </w:rPr>
  </w:style>
  <w:style w:type="paragraph" w:styleId="List3">
    <w:name w:val="List 3"/>
    <w:basedOn w:val="Normal"/>
    <w:uiPriority w:val="17"/>
    <w:qFormat/>
    <w:rsid w:val="00A80DE0"/>
    <w:pPr>
      <w:tabs>
        <w:tab w:val="num" w:pos="1276"/>
      </w:tabs>
      <w:spacing w:after="240"/>
      <w:ind w:left="1276" w:hanging="425"/>
      <w:jc w:val="both"/>
    </w:pPr>
    <w:rPr>
      <w:rFonts w:ascii="Arial" w:eastAsiaTheme="minorHAnsi" w:hAnsi="Arial" w:cstheme="minorBidi"/>
      <w:color w:val="000000"/>
      <w:szCs w:val="22"/>
      <w:lang w:eastAsia="en-US"/>
    </w:rPr>
  </w:style>
  <w:style w:type="numbering" w:styleId="1ai">
    <w:name w:val="Outline List 1"/>
    <w:basedOn w:val="NoList"/>
    <w:uiPriority w:val="99"/>
    <w:semiHidden/>
    <w:unhideWhenUsed/>
    <w:rsid w:val="00A80DE0"/>
  </w:style>
  <w:style w:type="character" w:styleId="Mention">
    <w:name w:val="Mention"/>
    <w:basedOn w:val="DefaultParagraphFont"/>
    <w:uiPriority w:val="99"/>
    <w:unhideWhenUsed/>
    <w:rsid w:val="008D4984"/>
    <w:rPr>
      <w:color w:val="2B579A"/>
      <w:shd w:val="clear" w:color="auto" w:fill="E1DFDD"/>
    </w:rPr>
  </w:style>
  <w:style w:type="character" w:styleId="FollowedHyperlink">
    <w:name w:val="FollowedHyperlink"/>
    <w:basedOn w:val="DefaultParagraphFont"/>
    <w:uiPriority w:val="99"/>
    <w:semiHidden/>
    <w:unhideWhenUsed/>
    <w:rsid w:val="008D4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700">
      <w:bodyDiv w:val="1"/>
      <w:marLeft w:val="0"/>
      <w:marRight w:val="0"/>
      <w:marTop w:val="0"/>
      <w:marBottom w:val="0"/>
      <w:divBdr>
        <w:top w:val="none" w:sz="0" w:space="0" w:color="auto"/>
        <w:left w:val="none" w:sz="0" w:space="0" w:color="auto"/>
        <w:bottom w:val="none" w:sz="0" w:space="0" w:color="auto"/>
        <w:right w:val="none" w:sz="0" w:space="0" w:color="auto"/>
      </w:divBdr>
      <w:divsChild>
        <w:div w:id="2122916807">
          <w:marLeft w:val="0"/>
          <w:marRight w:val="0"/>
          <w:marTop w:val="0"/>
          <w:marBottom w:val="0"/>
          <w:divBdr>
            <w:top w:val="none" w:sz="0" w:space="0" w:color="auto"/>
            <w:left w:val="none" w:sz="0" w:space="0" w:color="auto"/>
            <w:bottom w:val="none" w:sz="0" w:space="0" w:color="auto"/>
            <w:right w:val="none" w:sz="0" w:space="0" w:color="auto"/>
          </w:divBdr>
          <w:divsChild>
            <w:div w:id="663824690">
              <w:marLeft w:val="0"/>
              <w:marRight w:val="0"/>
              <w:marTop w:val="0"/>
              <w:marBottom w:val="0"/>
              <w:divBdr>
                <w:top w:val="none" w:sz="0" w:space="0" w:color="auto"/>
                <w:left w:val="none" w:sz="0" w:space="0" w:color="auto"/>
                <w:bottom w:val="none" w:sz="0" w:space="0" w:color="auto"/>
                <w:right w:val="none" w:sz="0" w:space="0" w:color="auto"/>
              </w:divBdr>
              <w:divsChild>
                <w:div w:id="1738166018">
                  <w:marLeft w:val="0"/>
                  <w:marRight w:val="0"/>
                  <w:marTop w:val="0"/>
                  <w:marBottom w:val="0"/>
                  <w:divBdr>
                    <w:top w:val="none" w:sz="0" w:space="0" w:color="auto"/>
                    <w:left w:val="none" w:sz="0" w:space="0" w:color="auto"/>
                    <w:bottom w:val="none" w:sz="0" w:space="0" w:color="auto"/>
                    <w:right w:val="none" w:sz="0" w:space="0" w:color="auto"/>
                  </w:divBdr>
                  <w:divsChild>
                    <w:div w:id="1226650490">
                      <w:marLeft w:val="0"/>
                      <w:marRight w:val="0"/>
                      <w:marTop w:val="0"/>
                      <w:marBottom w:val="0"/>
                      <w:divBdr>
                        <w:top w:val="none" w:sz="0" w:space="0" w:color="auto"/>
                        <w:left w:val="none" w:sz="0" w:space="0" w:color="auto"/>
                        <w:bottom w:val="none" w:sz="0" w:space="0" w:color="auto"/>
                        <w:right w:val="none" w:sz="0" w:space="0" w:color="auto"/>
                      </w:divBdr>
                      <w:divsChild>
                        <w:div w:id="165024871">
                          <w:marLeft w:val="0"/>
                          <w:marRight w:val="0"/>
                          <w:marTop w:val="0"/>
                          <w:marBottom w:val="0"/>
                          <w:divBdr>
                            <w:top w:val="single" w:sz="6" w:space="0" w:color="828282"/>
                            <w:left w:val="single" w:sz="6" w:space="0" w:color="828282"/>
                            <w:bottom w:val="single" w:sz="6" w:space="0" w:color="828282"/>
                            <w:right w:val="single" w:sz="6" w:space="0" w:color="828282"/>
                          </w:divBdr>
                          <w:divsChild>
                            <w:div w:id="1681732975">
                              <w:marLeft w:val="0"/>
                              <w:marRight w:val="0"/>
                              <w:marTop w:val="0"/>
                              <w:marBottom w:val="0"/>
                              <w:divBdr>
                                <w:top w:val="none" w:sz="0" w:space="0" w:color="auto"/>
                                <w:left w:val="none" w:sz="0" w:space="0" w:color="auto"/>
                                <w:bottom w:val="none" w:sz="0" w:space="0" w:color="auto"/>
                                <w:right w:val="none" w:sz="0" w:space="0" w:color="auto"/>
                              </w:divBdr>
                              <w:divsChild>
                                <w:div w:id="437069065">
                                  <w:marLeft w:val="0"/>
                                  <w:marRight w:val="0"/>
                                  <w:marTop w:val="0"/>
                                  <w:marBottom w:val="0"/>
                                  <w:divBdr>
                                    <w:top w:val="none" w:sz="0" w:space="0" w:color="auto"/>
                                    <w:left w:val="none" w:sz="0" w:space="0" w:color="auto"/>
                                    <w:bottom w:val="none" w:sz="0" w:space="0" w:color="auto"/>
                                    <w:right w:val="none" w:sz="0" w:space="0" w:color="auto"/>
                                  </w:divBdr>
                                  <w:divsChild>
                                    <w:div w:id="212623142">
                                      <w:marLeft w:val="0"/>
                                      <w:marRight w:val="0"/>
                                      <w:marTop w:val="0"/>
                                      <w:marBottom w:val="0"/>
                                      <w:divBdr>
                                        <w:top w:val="none" w:sz="0" w:space="0" w:color="auto"/>
                                        <w:left w:val="none" w:sz="0" w:space="0" w:color="auto"/>
                                        <w:bottom w:val="none" w:sz="0" w:space="0" w:color="auto"/>
                                        <w:right w:val="none" w:sz="0" w:space="0" w:color="auto"/>
                                      </w:divBdr>
                                      <w:divsChild>
                                        <w:div w:id="1077750667">
                                          <w:marLeft w:val="0"/>
                                          <w:marRight w:val="0"/>
                                          <w:marTop w:val="0"/>
                                          <w:marBottom w:val="0"/>
                                          <w:divBdr>
                                            <w:top w:val="none" w:sz="0" w:space="0" w:color="auto"/>
                                            <w:left w:val="none" w:sz="0" w:space="0" w:color="auto"/>
                                            <w:bottom w:val="none" w:sz="0" w:space="0" w:color="auto"/>
                                            <w:right w:val="none" w:sz="0" w:space="0" w:color="auto"/>
                                          </w:divBdr>
                                          <w:divsChild>
                                            <w:div w:id="1275597523">
                                              <w:marLeft w:val="0"/>
                                              <w:marRight w:val="0"/>
                                              <w:marTop w:val="0"/>
                                              <w:marBottom w:val="0"/>
                                              <w:divBdr>
                                                <w:top w:val="none" w:sz="0" w:space="0" w:color="auto"/>
                                                <w:left w:val="none" w:sz="0" w:space="0" w:color="auto"/>
                                                <w:bottom w:val="none" w:sz="0" w:space="0" w:color="auto"/>
                                                <w:right w:val="none" w:sz="0" w:space="0" w:color="auto"/>
                                              </w:divBdr>
                                              <w:divsChild>
                                                <w:div w:id="14396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379294">
      <w:bodyDiv w:val="1"/>
      <w:marLeft w:val="0"/>
      <w:marRight w:val="0"/>
      <w:marTop w:val="0"/>
      <w:marBottom w:val="0"/>
      <w:divBdr>
        <w:top w:val="none" w:sz="0" w:space="0" w:color="auto"/>
        <w:left w:val="none" w:sz="0" w:space="0" w:color="auto"/>
        <w:bottom w:val="none" w:sz="0" w:space="0" w:color="auto"/>
        <w:right w:val="none" w:sz="0" w:space="0" w:color="auto"/>
      </w:divBdr>
      <w:divsChild>
        <w:div w:id="1680932984">
          <w:marLeft w:val="0"/>
          <w:marRight w:val="0"/>
          <w:marTop w:val="0"/>
          <w:marBottom w:val="0"/>
          <w:divBdr>
            <w:top w:val="none" w:sz="0" w:space="0" w:color="auto"/>
            <w:left w:val="none" w:sz="0" w:space="0" w:color="auto"/>
            <w:bottom w:val="none" w:sz="0" w:space="0" w:color="auto"/>
            <w:right w:val="none" w:sz="0" w:space="0" w:color="auto"/>
          </w:divBdr>
          <w:divsChild>
            <w:div w:id="1355040792">
              <w:marLeft w:val="0"/>
              <w:marRight w:val="0"/>
              <w:marTop w:val="0"/>
              <w:marBottom w:val="0"/>
              <w:divBdr>
                <w:top w:val="none" w:sz="0" w:space="0" w:color="auto"/>
                <w:left w:val="none" w:sz="0" w:space="0" w:color="auto"/>
                <w:bottom w:val="none" w:sz="0" w:space="0" w:color="auto"/>
                <w:right w:val="none" w:sz="0" w:space="0" w:color="auto"/>
              </w:divBdr>
              <w:divsChild>
                <w:div w:id="1095130924">
                  <w:marLeft w:val="0"/>
                  <w:marRight w:val="0"/>
                  <w:marTop w:val="0"/>
                  <w:marBottom w:val="0"/>
                  <w:divBdr>
                    <w:top w:val="none" w:sz="0" w:space="0" w:color="auto"/>
                    <w:left w:val="none" w:sz="0" w:space="0" w:color="auto"/>
                    <w:bottom w:val="none" w:sz="0" w:space="0" w:color="auto"/>
                    <w:right w:val="none" w:sz="0" w:space="0" w:color="auto"/>
                  </w:divBdr>
                  <w:divsChild>
                    <w:div w:id="1010333269">
                      <w:marLeft w:val="0"/>
                      <w:marRight w:val="0"/>
                      <w:marTop w:val="0"/>
                      <w:marBottom w:val="0"/>
                      <w:divBdr>
                        <w:top w:val="none" w:sz="0" w:space="0" w:color="auto"/>
                        <w:left w:val="none" w:sz="0" w:space="0" w:color="auto"/>
                        <w:bottom w:val="none" w:sz="0" w:space="0" w:color="auto"/>
                        <w:right w:val="none" w:sz="0" w:space="0" w:color="auto"/>
                      </w:divBdr>
                      <w:divsChild>
                        <w:div w:id="1201935356">
                          <w:marLeft w:val="0"/>
                          <w:marRight w:val="0"/>
                          <w:marTop w:val="0"/>
                          <w:marBottom w:val="0"/>
                          <w:divBdr>
                            <w:top w:val="single" w:sz="6" w:space="0" w:color="828282"/>
                            <w:left w:val="single" w:sz="6" w:space="0" w:color="828282"/>
                            <w:bottom w:val="single" w:sz="6" w:space="0" w:color="828282"/>
                            <w:right w:val="single" w:sz="6" w:space="0" w:color="828282"/>
                          </w:divBdr>
                          <w:divsChild>
                            <w:div w:id="982080764">
                              <w:marLeft w:val="0"/>
                              <w:marRight w:val="0"/>
                              <w:marTop w:val="0"/>
                              <w:marBottom w:val="0"/>
                              <w:divBdr>
                                <w:top w:val="none" w:sz="0" w:space="0" w:color="auto"/>
                                <w:left w:val="none" w:sz="0" w:space="0" w:color="auto"/>
                                <w:bottom w:val="none" w:sz="0" w:space="0" w:color="auto"/>
                                <w:right w:val="none" w:sz="0" w:space="0" w:color="auto"/>
                              </w:divBdr>
                              <w:divsChild>
                                <w:div w:id="1936328946">
                                  <w:marLeft w:val="0"/>
                                  <w:marRight w:val="0"/>
                                  <w:marTop w:val="0"/>
                                  <w:marBottom w:val="0"/>
                                  <w:divBdr>
                                    <w:top w:val="none" w:sz="0" w:space="0" w:color="auto"/>
                                    <w:left w:val="none" w:sz="0" w:space="0" w:color="auto"/>
                                    <w:bottom w:val="none" w:sz="0" w:space="0" w:color="auto"/>
                                    <w:right w:val="none" w:sz="0" w:space="0" w:color="auto"/>
                                  </w:divBdr>
                                  <w:divsChild>
                                    <w:div w:id="1348173124">
                                      <w:marLeft w:val="0"/>
                                      <w:marRight w:val="0"/>
                                      <w:marTop w:val="0"/>
                                      <w:marBottom w:val="0"/>
                                      <w:divBdr>
                                        <w:top w:val="none" w:sz="0" w:space="0" w:color="auto"/>
                                        <w:left w:val="none" w:sz="0" w:space="0" w:color="auto"/>
                                        <w:bottom w:val="none" w:sz="0" w:space="0" w:color="auto"/>
                                        <w:right w:val="none" w:sz="0" w:space="0" w:color="auto"/>
                                      </w:divBdr>
                                      <w:divsChild>
                                        <w:div w:id="659430441">
                                          <w:marLeft w:val="0"/>
                                          <w:marRight w:val="0"/>
                                          <w:marTop w:val="0"/>
                                          <w:marBottom w:val="0"/>
                                          <w:divBdr>
                                            <w:top w:val="none" w:sz="0" w:space="0" w:color="auto"/>
                                            <w:left w:val="none" w:sz="0" w:space="0" w:color="auto"/>
                                            <w:bottom w:val="none" w:sz="0" w:space="0" w:color="auto"/>
                                            <w:right w:val="none" w:sz="0" w:space="0" w:color="auto"/>
                                          </w:divBdr>
                                          <w:divsChild>
                                            <w:div w:id="1155489990">
                                              <w:marLeft w:val="0"/>
                                              <w:marRight w:val="0"/>
                                              <w:marTop w:val="0"/>
                                              <w:marBottom w:val="0"/>
                                              <w:divBdr>
                                                <w:top w:val="none" w:sz="0" w:space="0" w:color="auto"/>
                                                <w:left w:val="none" w:sz="0" w:space="0" w:color="auto"/>
                                                <w:bottom w:val="none" w:sz="0" w:space="0" w:color="auto"/>
                                                <w:right w:val="none" w:sz="0" w:space="0" w:color="auto"/>
                                              </w:divBdr>
                                              <w:divsChild>
                                                <w:div w:id="15151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001142">
      <w:bodyDiv w:val="1"/>
      <w:marLeft w:val="0"/>
      <w:marRight w:val="0"/>
      <w:marTop w:val="0"/>
      <w:marBottom w:val="0"/>
      <w:divBdr>
        <w:top w:val="none" w:sz="0" w:space="0" w:color="auto"/>
        <w:left w:val="none" w:sz="0" w:space="0" w:color="auto"/>
        <w:bottom w:val="none" w:sz="0" w:space="0" w:color="auto"/>
        <w:right w:val="none" w:sz="0" w:space="0" w:color="auto"/>
      </w:divBdr>
    </w:div>
    <w:div w:id="17156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new-accounting-standard-%E2%80%93-aasb-17-insurance-contracts" TargetMode="External"/><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7" ma:contentTypeDescription="Create a new document." ma:contentTypeScope="" ma:versionID="2331766db4130645ec45f560b66a01a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c7b84690dd511863869f0c959d2cd8df"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7199-CC46-4B87-A6F0-406EC06FFC47}"/>
</file>

<file path=customXml/itemProps2.xml><?xml version="1.0" encoding="utf-8"?>
<ds:datastoreItem xmlns:ds="http://schemas.openxmlformats.org/officeDocument/2006/customXml" ds:itemID="{A113C716-3A1A-4D6E-BBC8-53BD3F9D84E4}">
  <ds:schemaRefs>
    <ds:schemaRef ds:uri="http://schemas.microsoft.com/sharepoint/v3"/>
    <ds:schemaRef ds:uri="http://purl.org/dc/dcmitype/"/>
    <ds:schemaRef ds:uri="5e7d1d2f-1d1d-4328-b1c4-d23268d86024"/>
    <ds:schemaRef ds:uri="http://schemas.microsoft.com/office/2006/documentManagement/types"/>
    <ds:schemaRef ds:uri="http://purl.org/dc/elements/1.1/"/>
    <ds:schemaRef ds:uri="http://www.w3.org/XML/1998/namespace"/>
    <ds:schemaRef ds:uri="0873f81f-5545-4105-9cf3-1e567ff68fe4"/>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03DC7D9-0471-4222-9EEB-6D71E127A918}">
  <ds:schemaRefs>
    <ds:schemaRef ds:uri="http://schemas.microsoft.com/sharepoint/v3/contenttype/forms"/>
  </ds:schemaRefs>
</ds:datastoreItem>
</file>

<file path=customXml/itemProps4.xml><?xml version="1.0" encoding="utf-8"?>
<ds:datastoreItem xmlns:ds="http://schemas.openxmlformats.org/officeDocument/2006/customXml" ds:itemID="{700827E1-3DB8-4738-9896-5D37D040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990</Words>
  <Characters>5646</Characters>
  <Application>Microsoft Office Word</Application>
  <DocSecurity>0</DocSecurity>
  <Lines>128</Lines>
  <Paragraphs>53</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dcsull</dc:creator>
  <cp:keywords>[SEC=OFFICIAL]</cp:keywords>
  <cp:lastModifiedBy>Toni Michalis</cp:lastModifiedBy>
  <cp:revision>2</cp:revision>
  <cp:lastPrinted>2023-05-03T02:06:00Z</cp:lastPrinted>
  <dcterms:created xsi:type="dcterms:W3CDTF">2023-10-13T01:49:00Z</dcterms:created>
  <dcterms:modified xsi:type="dcterms:W3CDTF">2023-10-13T01:49:00Z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_Qualifier">
    <vt:lpwstr/>
  </property>
  <property fmtid="{D5CDD505-2E9C-101B-9397-08002B2CF9AE}" pid="8" name="MSIP_Label_c0129afb-6481-4f92-bc9f-5a4a6346364d_Method">
    <vt:lpwstr>Privileged</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2023-04-20T04:32:18Z</vt:lpwstr>
  </property>
  <property fmtid="{D5CDD505-2E9C-101B-9397-08002B2CF9AE}" pid="12" name="PM_Markers">
    <vt:lpwstr/>
  </property>
  <property fmtid="{D5CDD505-2E9C-101B-9397-08002B2CF9AE}" pid="13" name="MSIP_Label_c0129afb-6481-4f92-bc9f-5a4a6346364d_SiteId">
    <vt:lpwstr>c05e3ffd-b491-4431-9809-e61d4dc78816</vt:lpwstr>
  </property>
  <property fmtid="{D5CDD505-2E9C-101B-9397-08002B2CF9AE}" pid="14" name="MSIP_Label_c0129afb-6481-4f92-bc9f-5a4a6346364d_ContentBits">
    <vt:lpwstr>0</vt:lpwstr>
  </property>
  <property fmtid="{D5CDD505-2E9C-101B-9397-08002B2CF9AE}" pid="15" name="MSIP_Label_c0129afb-6481-4f92-bc9f-5a4a6346364d_Enabled">
    <vt:lpwstr>true</vt:lpwstr>
  </property>
  <property fmtid="{D5CDD505-2E9C-101B-9397-08002B2CF9AE}" pid="16" name="MSIP_Label_c0129afb-6481-4f92-bc9f-5a4a6346364d_SetDate">
    <vt:lpwstr>2023-04-20T04:32:18Z</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C93A11D8325A429591B9CCE5861BAEA2</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ContentTypeId">
    <vt:lpwstr>0x01010080D163DB4DEE504FAB457909715FEC45</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Originator_Hash_SHA1">
    <vt:lpwstr>C3AD57350F36D8E1BD75F8F67CB06D435C9C43CA</vt:lpwstr>
  </property>
  <property fmtid="{D5CDD505-2E9C-101B-9397-08002B2CF9AE}" pid="32" name="PM_OriginatorUserAccountName_SHA256">
    <vt:lpwstr>6E3018F28A186D2E5FF5207C041E7A82E907C3008E071057026A53705873B72E</vt:lpwstr>
  </property>
  <property fmtid="{D5CDD505-2E9C-101B-9397-08002B2CF9AE}" pid="33" name="PMHMAC">
    <vt:lpwstr>v=2022.1;a=SHA256;h=322B3E45F98BB12FDF65B7276FAF6D23D9733CC73C01843CF83F08B1F0281B1F</vt:lpwstr>
  </property>
  <property fmtid="{D5CDD505-2E9C-101B-9397-08002B2CF9AE}" pid="34" name="PM_Hash_Salt_Prev">
    <vt:lpwstr>6C7C10D0266398C9F680DDE87AFD322F</vt:lpwstr>
  </property>
  <property fmtid="{D5CDD505-2E9C-101B-9397-08002B2CF9AE}" pid="35" name="MSIP_Label_c0129afb-6481-4f92-bc9f-5a4a6346364d_ActionId">
    <vt:lpwstr>a5a08ea7c135487f9d264ed0943e1c7c</vt:lpwstr>
  </property>
  <property fmtid="{D5CDD505-2E9C-101B-9397-08002B2CF9AE}" pid="36" name="PM_Hash_Salt">
    <vt:lpwstr>9F801ED074936CC36AE8A03F0A51C366</vt:lpwstr>
  </property>
  <property fmtid="{D5CDD505-2E9C-101B-9397-08002B2CF9AE}" pid="37" name="PM_Hash_SHA1">
    <vt:lpwstr>E6228B4C3EE74496466151FDA92FCEF140D5ED94</vt:lpwstr>
  </property>
</Properties>
</file>