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7F803" w14:textId="77777777" w:rsidR="00F65CD1" w:rsidRPr="0042208D" w:rsidRDefault="00F65CD1" w:rsidP="11E6A16C">
      <w:pPr>
        <w:jc w:val="center"/>
        <w:rPr>
          <w:b/>
          <w:bCs/>
        </w:rPr>
      </w:pPr>
      <w:r w:rsidRPr="0042208D">
        <w:rPr>
          <w:b/>
          <w:bCs/>
        </w:rPr>
        <w:t>EXPLANATORY STATEMENT</w:t>
      </w:r>
    </w:p>
    <w:p w14:paraId="6B825FD5" w14:textId="77777777" w:rsidR="00F65CD1" w:rsidRPr="0042208D" w:rsidRDefault="00F65CD1" w:rsidP="00FE635F">
      <w:pPr>
        <w:jc w:val="center"/>
        <w:rPr>
          <w:b/>
          <w:i/>
        </w:rPr>
      </w:pPr>
    </w:p>
    <w:p w14:paraId="03A358EE" w14:textId="77777777" w:rsidR="00F65CD1" w:rsidRPr="0042208D" w:rsidRDefault="00F65CD1" w:rsidP="00FE635F">
      <w:pPr>
        <w:jc w:val="center"/>
        <w:rPr>
          <w:b/>
          <w:i/>
        </w:rPr>
      </w:pPr>
      <w:r w:rsidRPr="0042208D">
        <w:rPr>
          <w:b/>
          <w:i/>
        </w:rPr>
        <w:t>National Health Act 1953</w:t>
      </w:r>
    </w:p>
    <w:p w14:paraId="2C976154" w14:textId="77777777" w:rsidR="00F65CD1" w:rsidRPr="0042208D" w:rsidRDefault="00F65CD1" w:rsidP="00FE635F">
      <w:pPr>
        <w:jc w:val="center"/>
        <w:rPr>
          <w:bCs/>
          <w:i/>
        </w:rPr>
      </w:pPr>
    </w:p>
    <w:p w14:paraId="467D9634" w14:textId="4F9E00D2" w:rsidR="00F65CD1" w:rsidRPr="0042208D" w:rsidRDefault="00F65CD1" w:rsidP="325FB5DF">
      <w:pPr>
        <w:jc w:val="center"/>
        <w:rPr>
          <w:b/>
          <w:bCs/>
          <w:i/>
          <w:iCs/>
        </w:rPr>
      </w:pPr>
      <w:r w:rsidRPr="0042208D">
        <w:rPr>
          <w:b/>
          <w:bCs/>
          <w:i/>
          <w:iCs/>
        </w:rPr>
        <w:t xml:space="preserve">National Health (Immunisation Program – Designated Vaccines) Amendment Determination (No. </w:t>
      </w:r>
      <w:r w:rsidR="008A0C3C" w:rsidRPr="0042208D">
        <w:rPr>
          <w:b/>
          <w:bCs/>
          <w:i/>
          <w:iCs/>
        </w:rPr>
        <w:t>2</w:t>
      </w:r>
      <w:r w:rsidRPr="0042208D">
        <w:rPr>
          <w:b/>
          <w:bCs/>
          <w:i/>
          <w:iCs/>
        </w:rPr>
        <w:t xml:space="preserve">) </w:t>
      </w:r>
      <w:r w:rsidR="00F24AAB" w:rsidRPr="0042208D">
        <w:rPr>
          <w:b/>
          <w:bCs/>
          <w:i/>
          <w:iCs/>
        </w:rPr>
        <w:t>2023</w:t>
      </w:r>
    </w:p>
    <w:p w14:paraId="5AF815B1" w14:textId="77777777" w:rsidR="00F65CD1" w:rsidRPr="0042208D" w:rsidRDefault="00F65CD1" w:rsidP="00FE635F">
      <w:pPr>
        <w:jc w:val="center"/>
        <w:rPr>
          <w:sz w:val="28"/>
          <w:szCs w:val="28"/>
        </w:rPr>
      </w:pPr>
    </w:p>
    <w:p w14:paraId="0C8230A7" w14:textId="77777777" w:rsidR="00A80E02" w:rsidRPr="0042208D" w:rsidRDefault="00A80E02" w:rsidP="00FE635F">
      <w:pPr>
        <w:jc w:val="center"/>
      </w:pPr>
    </w:p>
    <w:p w14:paraId="76726407" w14:textId="69237180" w:rsidR="00F65CD1" w:rsidRPr="0042208D" w:rsidRDefault="00F65CD1" w:rsidP="00FE635F">
      <w:pPr>
        <w:pStyle w:val="Header"/>
        <w:tabs>
          <w:tab w:val="clear" w:pos="4153"/>
          <w:tab w:val="clear" w:pos="8306"/>
          <w:tab w:val="left" w:pos="720"/>
          <w:tab w:val="left" w:pos="8115"/>
        </w:tabs>
      </w:pPr>
      <w:r w:rsidRPr="0042208D">
        <w:rPr>
          <w:b/>
          <w:bCs/>
        </w:rPr>
        <w:t>Purpose</w:t>
      </w:r>
      <w:r w:rsidR="008C5AD2" w:rsidRPr="0042208D">
        <w:rPr>
          <w:b/>
          <w:bCs/>
        </w:rPr>
        <w:t xml:space="preserve"> and operation</w:t>
      </w:r>
      <w:r w:rsidRPr="0042208D">
        <w:rPr>
          <w:b/>
          <w:bCs/>
        </w:rPr>
        <w:tab/>
      </w:r>
    </w:p>
    <w:p w14:paraId="1D74604C" w14:textId="0C690CC6" w:rsidR="00F65CD1" w:rsidRPr="0042208D" w:rsidRDefault="00F65CD1" w:rsidP="00FE635F">
      <w:pPr>
        <w:jc w:val="both"/>
      </w:pPr>
      <w:r w:rsidRPr="0042208D">
        <w:t>The</w:t>
      </w:r>
      <w:r w:rsidRPr="0042208D">
        <w:rPr>
          <w:i/>
          <w:iCs/>
        </w:rPr>
        <w:t xml:space="preserve"> National Health (Immunisation Program – Designated Vaccines) Amendment Determination (No.</w:t>
      </w:r>
      <w:r w:rsidR="00305301" w:rsidRPr="0042208D">
        <w:rPr>
          <w:i/>
          <w:iCs/>
        </w:rPr>
        <w:t xml:space="preserve"> </w:t>
      </w:r>
      <w:r w:rsidR="002354AF" w:rsidRPr="0042208D">
        <w:rPr>
          <w:i/>
          <w:iCs/>
        </w:rPr>
        <w:t>2</w:t>
      </w:r>
      <w:r w:rsidRPr="0042208D">
        <w:rPr>
          <w:i/>
          <w:iCs/>
        </w:rPr>
        <w:t>) 202</w:t>
      </w:r>
      <w:r w:rsidR="002354AF" w:rsidRPr="0042208D">
        <w:rPr>
          <w:i/>
          <w:iCs/>
        </w:rPr>
        <w:t>3</w:t>
      </w:r>
      <w:r w:rsidRPr="0042208D">
        <w:rPr>
          <w:i/>
          <w:iCs/>
        </w:rPr>
        <w:t xml:space="preserve"> </w:t>
      </w:r>
      <w:r w:rsidRPr="0042208D">
        <w:t xml:space="preserve">(the Amendment Determination) amends the </w:t>
      </w:r>
      <w:r w:rsidRPr="0042208D">
        <w:rPr>
          <w:i/>
          <w:iCs/>
        </w:rPr>
        <w:t>National Health (Immunisation Program – Designated Vaccines) Determination 2014 (No. 1)</w:t>
      </w:r>
      <w:r w:rsidRPr="0042208D">
        <w:t xml:space="preserve"> (the Determination) </w:t>
      </w:r>
      <w:r w:rsidR="003F5BB8" w:rsidRPr="0042208D">
        <w:t xml:space="preserve">as described below. </w:t>
      </w:r>
    </w:p>
    <w:p w14:paraId="1EAE267F" w14:textId="77777777" w:rsidR="00990F65" w:rsidRPr="0042208D" w:rsidRDefault="00990F65" w:rsidP="00FE635F">
      <w:pPr>
        <w:jc w:val="both"/>
        <w:rPr>
          <w:bCs/>
        </w:rPr>
      </w:pPr>
    </w:p>
    <w:p w14:paraId="7B1284F8" w14:textId="436EF640" w:rsidR="00FB141A" w:rsidRPr="0042208D" w:rsidRDefault="00B3097C" w:rsidP="00C85491">
      <w:pPr>
        <w:jc w:val="both"/>
      </w:pPr>
      <w:proofErr w:type="spellStart"/>
      <w:r w:rsidRPr="0042208D">
        <w:rPr>
          <w:i/>
          <w:iCs/>
        </w:rPr>
        <w:t>Menquadfi</w:t>
      </w:r>
      <w:proofErr w:type="spellEnd"/>
      <w:r w:rsidR="00164F0E" w:rsidRPr="0042208D">
        <w:rPr>
          <w:i/>
          <w:iCs/>
        </w:rPr>
        <w:t xml:space="preserve"> </w:t>
      </w:r>
    </w:p>
    <w:p w14:paraId="3B2FDA7C" w14:textId="6BB0CC3D" w:rsidR="002442A7" w:rsidRPr="0042208D" w:rsidRDefault="008E0966" w:rsidP="009B1A02">
      <w:pPr>
        <w:pStyle w:val="Item"/>
        <w:ind w:left="0"/>
        <w:jc w:val="both"/>
        <w:rPr>
          <w:sz w:val="24"/>
          <w:szCs w:val="24"/>
        </w:rPr>
      </w:pPr>
      <w:r w:rsidRPr="0042208D">
        <w:rPr>
          <w:sz w:val="24"/>
          <w:szCs w:val="24"/>
        </w:rPr>
        <w:t>R</w:t>
      </w:r>
      <w:r w:rsidR="0083316D" w:rsidRPr="0042208D">
        <w:rPr>
          <w:sz w:val="24"/>
          <w:szCs w:val="24"/>
        </w:rPr>
        <w:t>emove reconstitution instructions from the designated vaccine listing</w:t>
      </w:r>
      <w:r w:rsidR="00585839" w:rsidRPr="0042208D">
        <w:rPr>
          <w:sz w:val="24"/>
          <w:szCs w:val="24"/>
        </w:rPr>
        <w:t xml:space="preserve"> for </w:t>
      </w:r>
      <w:proofErr w:type="spellStart"/>
      <w:r w:rsidR="00585839" w:rsidRPr="0042208D">
        <w:rPr>
          <w:sz w:val="24"/>
          <w:szCs w:val="24"/>
        </w:rPr>
        <w:t>MenQuadfi</w:t>
      </w:r>
      <w:proofErr w:type="spellEnd"/>
      <w:r w:rsidR="00585839" w:rsidRPr="0042208D">
        <w:rPr>
          <w:color w:val="000000" w:themeColor="text1"/>
          <w:sz w:val="24"/>
          <w:szCs w:val="24"/>
        </w:rPr>
        <w:t>®</w:t>
      </w:r>
      <w:r w:rsidR="002442A7" w:rsidRPr="0042208D">
        <w:rPr>
          <w:sz w:val="24"/>
          <w:szCs w:val="24"/>
        </w:rPr>
        <w:t>.</w:t>
      </w:r>
    </w:p>
    <w:p w14:paraId="357EEA5E" w14:textId="4EC48535" w:rsidR="00F65CD1" w:rsidRPr="0042208D" w:rsidRDefault="00F65CD1" w:rsidP="7A101FAE">
      <w:pPr>
        <w:jc w:val="both"/>
      </w:pPr>
    </w:p>
    <w:p w14:paraId="60F1E001" w14:textId="683300C8" w:rsidR="00F65CD1" w:rsidRPr="0042208D" w:rsidRDefault="00F65CD1" w:rsidP="00FE635F">
      <w:pPr>
        <w:jc w:val="both"/>
        <w:rPr>
          <w:lang w:eastAsia="en-US"/>
        </w:rPr>
      </w:pPr>
      <w:r w:rsidRPr="0042208D">
        <w:t xml:space="preserve">The Amendment Determination </w:t>
      </w:r>
      <w:r w:rsidR="009A3746" w:rsidRPr="0042208D">
        <w:t xml:space="preserve">corrects an error </w:t>
      </w:r>
      <w:r w:rsidR="00E755D1" w:rsidRPr="0042208D">
        <w:t xml:space="preserve">on </w:t>
      </w:r>
      <w:r w:rsidR="00B42C6E" w:rsidRPr="0042208D">
        <w:rPr>
          <w:color w:val="000000" w:themeColor="text1"/>
        </w:rPr>
        <w:t xml:space="preserve">the listing of designated vaccine </w:t>
      </w:r>
      <w:proofErr w:type="spellStart"/>
      <w:r w:rsidR="00572F7D" w:rsidRPr="0042208D">
        <w:t>MenQuadfi</w:t>
      </w:r>
      <w:proofErr w:type="spellEnd"/>
      <w:r w:rsidR="008806E1" w:rsidRPr="0042208D">
        <w:rPr>
          <w:color w:val="000000" w:themeColor="text1"/>
        </w:rPr>
        <w:t>®</w:t>
      </w:r>
      <w:r w:rsidR="00664FA1" w:rsidRPr="0042208D">
        <w:rPr>
          <w:lang w:eastAsia="en-US"/>
        </w:rPr>
        <w:t xml:space="preserve"> to reflect that</w:t>
      </w:r>
      <w:r w:rsidRPr="0042208D">
        <w:rPr>
          <w:lang w:eastAsia="en-US"/>
        </w:rPr>
        <w:t xml:space="preserve"> </w:t>
      </w:r>
      <w:proofErr w:type="spellStart"/>
      <w:r w:rsidR="006815AE" w:rsidRPr="0042208D">
        <w:rPr>
          <w:lang w:eastAsia="en-US"/>
        </w:rPr>
        <w:t>MenQuadfi</w:t>
      </w:r>
      <w:proofErr w:type="spellEnd"/>
      <w:r w:rsidR="008806E1" w:rsidRPr="0042208D">
        <w:rPr>
          <w:color w:val="000000" w:themeColor="text1"/>
        </w:rPr>
        <w:t>®</w:t>
      </w:r>
      <w:r w:rsidR="006815AE" w:rsidRPr="0042208D">
        <w:rPr>
          <w:lang w:eastAsia="en-US"/>
        </w:rPr>
        <w:t xml:space="preserve"> is a fully liquid formulation and does not require reconstitution. </w:t>
      </w:r>
      <w:bookmarkStart w:id="0" w:name="_Hlk121296345"/>
      <w:bookmarkEnd w:id="0"/>
    </w:p>
    <w:p w14:paraId="00D3EBB7" w14:textId="77777777" w:rsidR="00BB108A" w:rsidRPr="0042208D" w:rsidRDefault="00BB108A" w:rsidP="00FE635F">
      <w:pPr>
        <w:jc w:val="both"/>
        <w:rPr>
          <w:lang w:eastAsia="en-US"/>
        </w:rPr>
      </w:pPr>
    </w:p>
    <w:p w14:paraId="5DA30A47" w14:textId="31247B39" w:rsidR="00BB108A" w:rsidRPr="0042208D" w:rsidRDefault="00A21343" w:rsidP="325FB5DF">
      <w:pPr>
        <w:jc w:val="both"/>
        <w:rPr>
          <w:i/>
          <w:iCs/>
          <w:lang w:eastAsia="en-US"/>
        </w:rPr>
      </w:pPr>
      <w:r w:rsidRPr="0042208D">
        <w:rPr>
          <w:i/>
          <w:iCs/>
          <w:lang w:eastAsia="en-US"/>
        </w:rPr>
        <w:t>Shingrix</w:t>
      </w:r>
      <w:r w:rsidR="005528F1" w:rsidRPr="0042208D">
        <w:rPr>
          <w:i/>
          <w:iCs/>
          <w:lang w:eastAsia="en-US"/>
        </w:rPr>
        <w:t xml:space="preserve"> </w:t>
      </w:r>
    </w:p>
    <w:p w14:paraId="6DEBC2D7" w14:textId="7C05F59C" w:rsidR="00D5191D" w:rsidRPr="0042208D" w:rsidRDefault="008E0966" w:rsidP="008D5EC7">
      <w:pPr>
        <w:jc w:val="both"/>
        <w:rPr>
          <w:color w:val="000000"/>
        </w:rPr>
      </w:pPr>
      <w:bookmarkStart w:id="1" w:name="_Hlk123728004"/>
      <w:r w:rsidRPr="0042208D">
        <w:rPr>
          <w:color w:val="000000" w:themeColor="text1"/>
        </w:rPr>
        <w:t>R</w:t>
      </w:r>
      <w:r w:rsidR="00AC71BC" w:rsidRPr="0042208D">
        <w:rPr>
          <w:color w:val="000000" w:themeColor="text1"/>
        </w:rPr>
        <w:t xml:space="preserve">epeal </w:t>
      </w:r>
      <w:r w:rsidR="00E04FCE" w:rsidRPr="0042208D">
        <w:rPr>
          <w:color w:val="000000" w:themeColor="text1"/>
        </w:rPr>
        <w:t xml:space="preserve">existing listing </w:t>
      </w:r>
      <w:r w:rsidR="001A33C8" w:rsidRPr="0042208D">
        <w:rPr>
          <w:color w:val="000000" w:themeColor="text1"/>
        </w:rPr>
        <w:t xml:space="preserve">and </w:t>
      </w:r>
      <w:r w:rsidR="00D5191D" w:rsidRPr="0042208D">
        <w:rPr>
          <w:color w:val="000000" w:themeColor="text1"/>
        </w:rPr>
        <w:t xml:space="preserve">add </w:t>
      </w:r>
      <w:r w:rsidR="001A33C8" w:rsidRPr="0042208D">
        <w:rPr>
          <w:color w:val="000000" w:themeColor="text1"/>
        </w:rPr>
        <w:t>Shingrix</w:t>
      </w:r>
      <w:r w:rsidR="009F68FB" w:rsidRPr="0042208D">
        <w:rPr>
          <w:color w:val="000000" w:themeColor="text1"/>
        </w:rPr>
        <w:t>®</w:t>
      </w:r>
      <w:r w:rsidR="001A33C8" w:rsidRPr="0042208D">
        <w:rPr>
          <w:color w:val="000000" w:themeColor="text1"/>
        </w:rPr>
        <w:t xml:space="preserve"> </w:t>
      </w:r>
      <w:r w:rsidR="00D5191D" w:rsidRPr="0042208D">
        <w:rPr>
          <w:color w:val="000000" w:themeColor="text1"/>
        </w:rPr>
        <w:t xml:space="preserve">to the list of designated vaccines. </w:t>
      </w:r>
    </w:p>
    <w:p w14:paraId="50419309" w14:textId="77777777" w:rsidR="00A56863" w:rsidRPr="0042208D" w:rsidRDefault="00A56863" w:rsidP="00FE635F">
      <w:pPr>
        <w:pStyle w:val="ListParagraph"/>
        <w:ind w:left="780"/>
        <w:jc w:val="both"/>
        <w:rPr>
          <w:color w:val="000000"/>
        </w:rPr>
      </w:pPr>
    </w:p>
    <w:p w14:paraId="2174D754" w14:textId="313B2F37" w:rsidR="00C30E91" w:rsidRPr="0042208D" w:rsidRDefault="00A56863" w:rsidP="00FE635F">
      <w:pPr>
        <w:jc w:val="both"/>
        <w:rPr>
          <w:snapToGrid w:val="0"/>
          <w:lang w:val="en-GB"/>
        </w:rPr>
      </w:pPr>
      <w:r w:rsidRPr="0042208D">
        <w:rPr>
          <w:color w:val="000000" w:themeColor="text1"/>
        </w:rPr>
        <w:t>The Amendment Determination</w:t>
      </w:r>
      <w:r w:rsidR="003C33BB" w:rsidRPr="0042208D">
        <w:rPr>
          <w:color w:val="000000" w:themeColor="text1"/>
        </w:rPr>
        <w:t xml:space="preserve"> removes Zostava</w:t>
      </w:r>
      <w:r w:rsidR="009F68FB" w:rsidRPr="0042208D">
        <w:rPr>
          <w:color w:val="000000" w:themeColor="text1"/>
        </w:rPr>
        <w:t>x</w:t>
      </w:r>
      <w:r w:rsidR="003C33BB" w:rsidRPr="0042208D">
        <w:rPr>
          <w:color w:val="000000" w:themeColor="text1"/>
        </w:rPr>
        <w:t xml:space="preserve"> and</w:t>
      </w:r>
      <w:r w:rsidRPr="0042208D">
        <w:rPr>
          <w:color w:val="000000" w:themeColor="text1"/>
        </w:rPr>
        <w:t xml:space="preserve"> adds</w:t>
      </w:r>
      <w:r w:rsidR="00612D6C" w:rsidRPr="0042208D">
        <w:t xml:space="preserve"> </w:t>
      </w:r>
      <w:r w:rsidR="00F47448" w:rsidRPr="0042208D">
        <w:t>recombinant zoster vaccine (</w:t>
      </w:r>
      <w:r w:rsidR="008806E1" w:rsidRPr="0042208D">
        <w:t>RZV</w:t>
      </w:r>
      <w:r w:rsidR="00F47448" w:rsidRPr="0042208D">
        <w:t>)</w:t>
      </w:r>
      <w:r w:rsidR="008806E1" w:rsidRPr="0042208D">
        <w:rPr>
          <w:color w:val="000000" w:themeColor="text1"/>
        </w:rPr>
        <w:t>,</w:t>
      </w:r>
      <w:r w:rsidR="009C590C" w:rsidRPr="0042208D">
        <w:rPr>
          <w:color w:val="000000" w:themeColor="text1"/>
        </w:rPr>
        <w:t xml:space="preserve"> </w:t>
      </w:r>
      <w:r w:rsidR="00612D6C" w:rsidRPr="0042208D">
        <w:rPr>
          <w:color w:val="000000" w:themeColor="text1"/>
        </w:rPr>
        <w:t xml:space="preserve">Shingrix® </w:t>
      </w:r>
      <w:r w:rsidRPr="0042208D">
        <w:t xml:space="preserve">as </w:t>
      </w:r>
      <w:r w:rsidR="006B51F4" w:rsidRPr="0042208D">
        <w:t>the</w:t>
      </w:r>
      <w:r w:rsidRPr="0042208D">
        <w:t xml:space="preserve"> designated </w:t>
      </w:r>
      <w:r w:rsidR="000E4408" w:rsidRPr="0042208D">
        <w:t xml:space="preserve">primary </w:t>
      </w:r>
      <w:r w:rsidRPr="0042208D">
        <w:t xml:space="preserve">vaccine for the </w:t>
      </w:r>
      <w:r w:rsidR="00153C80" w:rsidRPr="0042208D">
        <w:rPr>
          <w:lang w:val="en-GB"/>
        </w:rPr>
        <w:t>prevention of herpes zoster (HZ) and post-herpetic neuralgia (PHN)</w:t>
      </w:r>
      <w:r w:rsidR="0027604D" w:rsidRPr="0042208D">
        <w:rPr>
          <w:lang w:val="en-GB"/>
        </w:rPr>
        <w:t xml:space="preserve"> for </w:t>
      </w:r>
      <w:r w:rsidR="002F63CC" w:rsidRPr="0042208D">
        <w:t>non-Indigenous individuals aged</w:t>
      </w:r>
      <w:r w:rsidR="001C05F4" w:rsidRPr="0042208D">
        <w:t xml:space="preserve"> </w:t>
      </w:r>
      <w:r w:rsidR="008D5EC7" w:rsidRPr="0042208D">
        <w:t>≥</w:t>
      </w:r>
      <w:r w:rsidR="00A172EB" w:rsidRPr="0042208D">
        <w:t>65</w:t>
      </w:r>
      <w:r w:rsidR="002F63CC" w:rsidRPr="0042208D">
        <w:t xml:space="preserve"> years, Aboriginal and Torres Strait Islander individuals aged ≥50 years and immunocompromised individuals aged ≥18 years with conditions at high risk of HZ infection.</w:t>
      </w:r>
      <w:r w:rsidR="003A7F8E" w:rsidRPr="0042208D">
        <w:t xml:space="preserve"> </w:t>
      </w:r>
    </w:p>
    <w:p w14:paraId="78BDB8E3" w14:textId="77777777" w:rsidR="0052333F" w:rsidRPr="0042208D" w:rsidRDefault="0052333F" w:rsidP="00FE635F">
      <w:pPr>
        <w:jc w:val="both"/>
        <w:rPr>
          <w:snapToGrid w:val="0"/>
          <w:lang w:val="en-GB"/>
        </w:rPr>
      </w:pPr>
    </w:p>
    <w:p w14:paraId="298E416D" w14:textId="5FC0CA50" w:rsidR="002A5852" w:rsidRPr="0042208D" w:rsidRDefault="005937C5" w:rsidP="00FE635F">
      <w:pPr>
        <w:jc w:val="both"/>
      </w:pPr>
      <w:r w:rsidRPr="0042208D">
        <w:t>In</w:t>
      </w:r>
      <w:r w:rsidR="0052333F" w:rsidRPr="0042208D">
        <w:t xml:space="preserve"> March 2023</w:t>
      </w:r>
      <w:r w:rsidR="00D02194" w:rsidRPr="0042208D">
        <w:t>,</w:t>
      </w:r>
      <w:r w:rsidR="0052333F" w:rsidRPr="0042208D">
        <w:t xml:space="preserve"> </w:t>
      </w:r>
      <w:r w:rsidR="009F7321" w:rsidRPr="0042208D">
        <w:t>the Pharmaceutical Benefits Advisory Committee (</w:t>
      </w:r>
      <w:r w:rsidR="00092656" w:rsidRPr="0042208D">
        <w:t xml:space="preserve">the </w:t>
      </w:r>
      <w:r w:rsidR="0052333F" w:rsidRPr="0042208D">
        <w:t>PBAC</w:t>
      </w:r>
      <w:r w:rsidR="009F7321" w:rsidRPr="0042208D">
        <w:t>)</w:t>
      </w:r>
      <w:r w:rsidR="00B37983" w:rsidRPr="0042208D">
        <w:t xml:space="preserve"> </w:t>
      </w:r>
      <w:r w:rsidRPr="0042208D">
        <w:t>approved</w:t>
      </w:r>
      <w:r w:rsidR="00B37983" w:rsidRPr="0042208D">
        <w:t xml:space="preserve"> </w:t>
      </w:r>
      <w:r w:rsidR="00B37983" w:rsidRPr="0042208D">
        <w:rPr>
          <w:color w:val="000000" w:themeColor="text1"/>
        </w:rPr>
        <w:t xml:space="preserve">Shingrix® </w:t>
      </w:r>
      <w:r w:rsidRPr="0042208D">
        <w:rPr>
          <w:color w:val="000000" w:themeColor="text1"/>
        </w:rPr>
        <w:t xml:space="preserve">for non-Indigenous </w:t>
      </w:r>
      <w:r w:rsidR="0060384D" w:rsidRPr="0042208D">
        <w:rPr>
          <w:color w:val="000000" w:themeColor="text1"/>
        </w:rPr>
        <w:t>individuals aged 70 years</w:t>
      </w:r>
      <w:r w:rsidR="007172F5" w:rsidRPr="0042208D">
        <w:rPr>
          <w:color w:val="000000" w:themeColor="text1"/>
        </w:rPr>
        <w:t xml:space="preserve"> and over</w:t>
      </w:r>
      <w:r w:rsidRPr="0042208D">
        <w:t xml:space="preserve">. </w:t>
      </w:r>
      <w:r w:rsidR="00A06F76" w:rsidRPr="0042208D">
        <w:t>In July 2023</w:t>
      </w:r>
      <w:r w:rsidR="00D02194" w:rsidRPr="0042208D">
        <w:t>,</w:t>
      </w:r>
      <w:r w:rsidR="00E14EAD" w:rsidRPr="0042208D">
        <w:t xml:space="preserve"> </w:t>
      </w:r>
      <w:r w:rsidR="00092656" w:rsidRPr="0042208D">
        <w:t xml:space="preserve">the </w:t>
      </w:r>
      <w:r w:rsidR="009940AF" w:rsidRPr="0042208D">
        <w:t xml:space="preserve">PBAC </w:t>
      </w:r>
      <w:r w:rsidR="003158AF" w:rsidRPr="0042208D">
        <w:t>considered,</w:t>
      </w:r>
      <w:r w:rsidR="009940AF" w:rsidRPr="0042208D">
        <w:t xml:space="preserve"> based on the reduced price proposed, that RZV is cost-effective</w:t>
      </w:r>
      <w:r w:rsidR="007149E8" w:rsidRPr="0042208D">
        <w:t>, and</w:t>
      </w:r>
      <w:r w:rsidR="009940AF" w:rsidRPr="0042208D">
        <w:t xml:space="preserve"> </w:t>
      </w:r>
      <w:r w:rsidR="001B455B" w:rsidRPr="0042208D">
        <w:t xml:space="preserve">the </w:t>
      </w:r>
      <w:r w:rsidR="009940AF" w:rsidRPr="0042208D">
        <w:t xml:space="preserve">age for the primary program </w:t>
      </w:r>
      <w:r w:rsidR="007149E8" w:rsidRPr="0042208D">
        <w:t xml:space="preserve">was </w:t>
      </w:r>
      <w:r w:rsidR="009940AF" w:rsidRPr="0042208D">
        <w:t>lowered to 65 years</w:t>
      </w:r>
      <w:r w:rsidR="00804514" w:rsidRPr="0042208D">
        <w:t xml:space="preserve"> with no upper limit</w:t>
      </w:r>
      <w:r w:rsidR="00457E44" w:rsidRPr="0042208D">
        <w:t>.</w:t>
      </w:r>
      <w:bookmarkEnd w:id="1"/>
    </w:p>
    <w:p w14:paraId="52ED1ADA" w14:textId="59FE6902" w:rsidR="7A101FAE" w:rsidRPr="0042208D" w:rsidRDefault="7A101FAE" w:rsidP="7A101FAE">
      <w:pPr>
        <w:jc w:val="both"/>
      </w:pPr>
    </w:p>
    <w:p w14:paraId="1A5830ED" w14:textId="59E4FDAF" w:rsidR="1F57C0F8" w:rsidRPr="0042208D" w:rsidRDefault="1F57C0F8" w:rsidP="7A101FAE">
      <w:pPr>
        <w:jc w:val="both"/>
        <w:rPr>
          <w:i/>
          <w:iCs/>
        </w:rPr>
      </w:pPr>
      <w:r w:rsidRPr="0042208D">
        <w:rPr>
          <w:i/>
          <w:iCs/>
        </w:rPr>
        <w:t>Flucelvax</w:t>
      </w:r>
    </w:p>
    <w:p w14:paraId="167ED610" w14:textId="3199B18E" w:rsidR="6953A0F7" w:rsidRPr="0042208D" w:rsidRDefault="009449EC" w:rsidP="008D5EC7">
      <w:pPr>
        <w:jc w:val="both"/>
        <w:rPr>
          <w:color w:val="000000" w:themeColor="text1"/>
        </w:rPr>
      </w:pPr>
      <w:r w:rsidRPr="0042208D">
        <w:rPr>
          <w:color w:val="000000" w:themeColor="text1"/>
        </w:rPr>
        <w:t>A</w:t>
      </w:r>
      <w:r w:rsidR="6953A0F7" w:rsidRPr="0042208D">
        <w:rPr>
          <w:color w:val="000000" w:themeColor="text1"/>
        </w:rPr>
        <w:t xml:space="preserve">dd </w:t>
      </w:r>
      <w:r w:rsidR="6953A0F7" w:rsidRPr="0042208D">
        <w:t>Flucelvax® Quad</w:t>
      </w:r>
      <w:r w:rsidR="6953A0F7" w:rsidRPr="0042208D">
        <w:rPr>
          <w:color w:val="000000" w:themeColor="text1"/>
        </w:rPr>
        <w:t xml:space="preserve"> to the list of designated vaccines.</w:t>
      </w:r>
    </w:p>
    <w:p w14:paraId="1C77DF01" w14:textId="25A31379" w:rsidR="7A101FAE" w:rsidRPr="0042208D" w:rsidRDefault="7A101FAE" w:rsidP="7A101FAE">
      <w:pPr>
        <w:jc w:val="both"/>
        <w:rPr>
          <w:color w:val="000000" w:themeColor="text1"/>
        </w:rPr>
      </w:pPr>
    </w:p>
    <w:p w14:paraId="272A1D73" w14:textId="3F288637" w:rsidR="6F350A45" w:rsidRPr="0042208D" w:rsidRDefault="6F350A45" w:rsidP="7A101FAE">
      <w:pPr>
        <w:jc w:val="both"/>
      </w:pPr>
      <w:r w:rsidRPr="0042208D">
        <w:t>The Amendment Determination adds Flucelvax® Quad as a designated vaccine for the prevention of in</w:t>
      </w:r>
      <w:r w:rsidR="26F7781C" w:rsidRPr="0042208D">
        <w:t>fluenza virus.</w:t>
      </w:r>
      <w:r w:rsidR="7E3C65DA" w:rsidRPr="0042208D">
        <w:t xml:space="preserve"> </w:t>
      </w:r>
      <w:r w:rsidRPr="0042208D">
        <w:t xml:space="preserve">In September 2022, </w:t>
      </w:r>
      <w:r w:rsidR="00170C82" w:rsidRPr="0042208D">
        <w:t xml:space="preserve">the </w:t>
      </w:r>
      <w:r w:rsidRPr="0042208D">
        <w:t xml:space="preserve">PBAC </w:t>
      </w:r>
      <w:r w:rsidR="28A10789" w:rsidRPr="0042208D">
        <w:t>approved</w:t>
      </w:r>
      <w:r w:rsidR="00E3676A" w:rsidRPr="0042208D">
        <w:t xml:space="preserve"> </w:t>
      </w:r>
      <w:r w:rsidR="00A22F1E" w:rsidRPr="0042208D">
        <w:t xml:space="preserve">quadrivalent </w:t>
      </w:r>
      <w:r w:rsidR="00D02194" w:rsidRPr="0042208D">
        <w:t>cell-based</w:t>
      </w:r>
      <w:r w:rsidR="00A22F1E" w:rsidRPr="0042208D">
        <w:t xml:space="preserve"> influenza vaccine (</w:t>
      </w:r>
      <w:proofErr w:type="spellStart"/>
      <w:r w:rsidR="00E3676A" w:rsidRPr="0042208D">
        <w:t>QIVc</w:t>
      </w:r>
      <w:proofErr w:type="spellEnd"/>
      <w:r w:rsidR="00A22F1E" w:rsidRPr="0042208D">
        <w:t>)</w:t>
      </w:r>
      <w:r w:rsidR="00E3676A" w:rsidRPr="0042208D">
        <w:t xml:space="preserve">, Flucelvax® Quad, </w:t>
      </w:r>
      <w:r w:rsidR="49C7BC3F" w:rsidRPr="0042208D">
        <w:t>as a</w:t>
      </w:r>
      <w:r w:rsidRPr="0042208D">
        <w:t xml:space="preserve"> designated vaccine for the </w:t>
      </w:r>
      <w:r w:rsidR="2E3D1040" w:rsidRPr="0042208D">
        <w:t>prevention of</w:t>
      </w:r>
      <w:r w:rsidRPr="0042208D">
        <w:t xml:space="preserve"> influenza in Aboriginal and Torres Strait Islander people aged ≥5 to &lt;65 years, people at increased risk of influenza disease complications aged ≥5 to &lt;65 years and pregnant women</w:t>
      </w:r>
      <w:r w:rsidR="456AB0DD" w:rsidRPr="0042208D">
        <w:t>.</w:t>
      </w:r>
    </w:p>
    <w:p w14:paraId="6F5436E0" w14:textId="77777777" w:rsidR="002A5852" w:rsidRPr="0042208D" w:rsidRDefault="002A5852" w:rsidP="00FE635F">
      <w:pPr>
        <w:jc w:val="both"/>
        <w:rPr>
          <w:snapToGrid w:val="0"/>
        </w:rPr>
      </w:pPr>
    </w:p>
    <w:p w14:paraId="2C52C5B7" w14:textId="7AF7D838" w:rsidR="00D5191D" w:rsidRPr="0042208D" w:rsidRDefault="0067601C" w:rsidP="325FB5DF">
      <w:pPr>
        <w:jc w:val="both"/>
        <w:rPr>
          <w:color w:val="000000"/>
        </w:rPr>
      </w:pPr>
      <w:r w:rsidRPr="0042208D">
        <w:rPr>
          <w:color w:val="000000" w:themeColor="text1"/>
        </w:rPr>
        <w:t xml:space="preserve">These amendments </w:t>
      </w:r>
      <w:r w:rsidR="00AD5110" w:rsidRPr="0042208D">
        <w:rPr>
          <w:color w:val="000000" w:themeColor="text1"/>
        </w:rPr>
        <w:t>implement</w:t>
      </w:r>
      <w:r w:rsidRPr="0042208D">
        <w:rPr>
          <w:color w:val="000000" w:themeColor="text1"/>
        </w:rPr>
        <w:t xml:space="preserve"> new recommendations from the Australian Technical Advisory Group on Immunisation (ATAGI) and </w:t>
      </w:r>
      <w:r w:rsidR="00092656" w:rsidRPr="0042208D">
        <w:rPr>
          <w:color w:val="000000" w:themeColor="text1"/>
        </w:rPr>
        <w:t xml:space="preserve">the </w:t>
      </w:r>
      <w:r w:rsidR="009F7321" w:rsidRPr="0042208D">
        <w:rPr>
          <w:color w:val="000000" w:themeColor="text1"/>
        </w:rPr>
        <w:t>PBAC</w:t>
      </w:r>
      <w:r w:rsidR="00974FB3" w:rsidRPr="0042208D">
        <w:rPr>
          <w:color w:val="000000" w:themeColor="text1"/>
        </w:rPr>
        <w:t>.</w:t>
      </w:r>
    </w:p>
    <w:p w14:paraId="4C6ACD63" w14:textId="77777777" w:rsidR="00A80E02" w:rsidRPr="0042208D" w:rsidRDefault="00A80E02" w:rsidP="325FB5DF">
      <w:pPr>
        <w:autoSpaceDE w:val="0"/>
        <w:autoSpaceDN w:val="0"/>
        <w:adjustRightInd w:val="0"/>
        <w:rPr>
          <w:rStyle w:val="normalchar"/>
          <w:i/>
          <w:iCs/>
        </w:rPr>
      </w:pPr>
    </w:p>
    <w:p w14:paraId="2E330FC3" w14:textId="77777777" w:rsidR="00F65CD1" w:rsidRPr="0042208D" w:rsidRDefault="00F65CD1" w:rsidP="00FE635F">
      <w:pPr>
        <w:autoSpaceDE w:val="0"/>
        <w:autoSpaceDN w:val="0"/>
        <w:adjustRightInd w:val="0"/>
        <w:jc w:val="both"/>
        <w:rPr>
          <w:rStyle w:val="normalchar"/>
          <w:b/>
        </w:rPr>
      </w:pPr>
      <w:r w:rsidRPr="0042208D">
        <w:rPr>
          <w:rStyle w:val="normalchar"/>
          <w:b/>
        </w:rPr>
        <w:t>Background</w:t>
      </w:r>
    </w:p>
    <w:p w14:paraId="77F06CE0" w14:textId="1CB8FF7D" w:rsidR="00F65CD1" w:rsidRPr="0042208D" w:rsidRDefault="00F65CD1" w:rsidP="325FB5DF">
      <w:pPr>
        <w:autoSpaceDE w:val="0"/>
        <w:autoSpaceDN w:val="0"/>
        <w:adjustRightInd w:val="0"/>
        <w:jc w:val="both"/>
        <w:rPr>
          <w:rStyle w:val="normalchar"/>
          <w:b/>
          <w:bCs/>
        </w:rPr>
      </w:pPr>
      <w:r w:rsidRPr="0042208D">
        <w:rPr>
          <w:i/>
          <w:iCs/>
          <w:u w:val="single"/>
        </w:rPr>
        <w:t xml:space="preserve">The National Immunisation Program </w:t>
      </w:r>
      <w:r w:rsidR="00BF1E65" w:rsidRPr="0042208D">
        <w:rPr>
          <w:i/>
          <w:iCs/>
          <w:u w:val="single"/>
        </w:rPr>
        <w:t>(NIP)</w:t>
      </w:r>
    </w:p>
    <w:p w14:paraId="5D8DC0B0" w14:textId="64F67A00" w:rsidR="00F65CD1" w:rsidRPr="00FC7B8B" w:rsidRDefault="00F65CD1" w:rsidP="00FE635F">
      <w:pPr>
        <w:autoSpaceDE w:val="0"/>
        <w:autoSpaceDN w:val="0"/>
        <w:adjustRightInd w:val="0"/>
        <w:jc w:val="both"/>
        <w:rPr>
          <w:color w:val="000000"/>
        </w:rPr>
      </w:pPr>
      <w:r w:rsidRPr="0042208D">
        <w:rPr>
          <w:color w:val="000000"/>
        </w:rPr>
        <w:t>The NIP is a joint initiative of the Commonwealth</w:t>
      </w:r>
      <w:r w:rsidR="00496FAD" w:rsidRPr="0042208D">
        <w:rPr>
          <w:color w:val="000000"/>
        </w:rPr>
        <w:t>, S</w:t>
      </w:r>
      <w:r w:rsidRPr="0042208D">
        <w:rPr>
          <w:color w:val="000000"/>
        </w:rPr>
        <w:t xml:space="preserve">tate and </w:t>
      </w:r>
      <w:r w:rsidR="00496FAD" w:rsidRPr="0042208D">
        <w:rPr>
          <w:color w:val="000000"/>
        </w:rPr>
        <w:t>T</w:t>
      </w:r>
      <w:r w:rsidRPr="0042208D">
        <w:rPr>
          <w:color w:val="000000"/>
        </w:rPr>
        <w:t xml:space="preserve">erritory governments </w:t>
      </w:r>
      <w:r w:rsidR="00583A82" w:rsidRPr="0042208D">
        <w:rPr>
          <w:color w:val="000000"/>
        </w:rPr>
        <w:t xml:space="preserve">delivered under the </w:t>
      </w:r>
      <w:r w:rsidRPr="0042208D">
        <w:rPr>
          <w:color w:val="000000"/>
        </w:rPr>
        <w:t>Essential Vaccines</w:t>
      </w:r>
      <w:r w:rsidR="00583A82" w:rsidRPr="0042208D">
        <w:rPr>
          <w:color w:val="000000"/>
        </w:rPr>
        <w:t xml:space="preserve"> Schedule</w:t>
      </w:r>
      <w:r w:rsidRPr="0042208D">
        <w:rPr>
          <w:color w:val="000000"/>
        </w:rPr>
        <w:t>. The NIP provides free vaccines to eligible people, including children, adolescents, the elderly, pregnant women</w:t>
      </w:r>
      <w:r w:rsidR="00D02194" w:rsidRPr="0042208D">
        <w:rPr>
          <w:color w:val="000000"/>
        </w:rPr>
        <w:t>,</w:t>
      </w:r>
      <w:r w:rsidRPr="0042208D">
        <w:rPr>
          <w:color w:val="000000"/>
        </w:rPr>
        <w:t xml:space="preserve"> and Aboriginal and Torres Strait </w:t>
      </w:r>
      <w:r w:rsidRPr="00FC7B8B">
        <w:rPr>
          <w:color w:val="000000"/>
        </w:rPr>
        <w:t>Islander people</w:t>
      </w:r>
      <w:r w:rsidR="000C0353" w:rsidRPr="00FC7B8B">
        <w:rPr>
          <w:color w:val="000000"/>
        </w:rPr>
        <w:t>, to protect against 18 disease groups</w:t>
      </w:r>
      <w:r w:rsidRPr="00FC7B8B">
        <w:rPr>
          <w:color w:val="000000"/>
        </w:rPr>
        <w:t>.</w:t>
      </w:r>
    </w:p>
    <w:p w14:paraId="22260EC2" w14:textId="77777777" w:rsidR="00F65CD1" w:rsidRPr="00FC7B8B" w:rsidRDefault="00F65CD1" w:rsidP="00FE635F">
      <w:pPr>
        <w:jc w:val="both"/>
        <w:rPr>
          <w:i/>
        </w:rPr>
      </w:pPr>
    </w:p>
    <w:p w14:paraId="2910F4C1" w14:textId="7B88203D" w:rsidR="00F65CD1" w:rsidRPr="0042208D" w:rsidRDefault="00F65CD1" w:rsidP="00FE635F">
      <w:pPr>
        <w:jc w:val="both"/>
        <w:rPr>
          <w:i/>
          <w:u w:val="single"/>
        </w:rPr>
      </w:pPr>
      <w:r w:rsidRPr="0042208D">
        <w:rPr>
          <w:i/>
          <w:u w:val="single"/>
        </w:rPr>
        <w:lastRenderedPageBreak/>
        <w:t>PBAC recommendations</w:t>
      </w:r>
    </w:p>
    <w:p w14:paraId="0A8A6682" w14:textId="67D09EBE" w:rsidR="00F65CD1" w:rsidRPr="0042208D" w:rsidRDefault="00F65CD1" w:rsidP="00FE635F">
      <w:pPr>
        <w:spacing w:after="240"/>
        <w:jc w:val="both"/>
      </w:pPr>
      <w:r w:rsidRPr="0042208D">
        <w:t>Subsection 9</w:t>
      </w:r>
      <w:proofErr w:type="gramStart"/>
      <w:r w:rsidRPr="0042208D">
        <w:t>B(</w:t>
      </w:r>
      <w:proofErr w:type="gramEnd"/>
      <w:r w:rsidRPr="0042208D">
        <w:t>7) of the</w:t>
      </w:r>
      <w:r w:rsidR="00614CD1" w:rsidRPr="0042208D">
        <w:t xml:space="preserve"> </w:t>
      </w:r>
      <w:r w:rsidR="00614CD1" w:rsidRPr="0042208D">
        <w:rPr>
          <w:i/>
          <w:iCs/>
        </w:rPr>
        <w:t>National Health Act 1953</w:t>
      </w:r>
      <w:r w:rsidRPr="0042208D">
        <w:t xml:space="preserve"> </w:t>
      </w:r>
      <w:r w:rsidR="002059C4" w:rsidRPr="0042208D">
        <w:t xml:space="preserve">(the Act) </w:t>
      </w:r>
      <w:r w:rsidRPr="0042208D">
        <w:t xml:space="preserve">relevantly provides that a vaccine must not be specified in a determination under subsection 9B(2) </w:t>
      </w:r>
      <w:r w:rsidR="009B3E04" w:rsidRPr="0042208D">
        <w:t>o</w:t>
      </w:r>
      <w:r w:rsidR="00CE05A7" w:rsidRPr="0042208D">
        <w:t xml:space="preserve">f the Act </w:t>
      </w:r>
      <w:r w:rsidRPr="0042208D">
        <w:t>unless the PBAC has recommended to the Minister that the vaccine be a designated vaccine.</w:t>
      </w:r>
    </w:p>
    <w:p w14:paraId="7A8B4D42" w14:textId="77777777" w:rsidR="00F65CD1" w:rsidRPr="0042208D" w:rsidRDefault="00F65CD1" w:rsidP="00FE635F">
      <w:pPr>
        <w:jc w:val="both"/>
        <w:rPr>
          <w:i/>
        </w:rPr>
      </w:pPr>
      <w:proofErr w:type="spellStart"/>
      <w:r w:rsidRPr="0042208D">
        <w:rPr>
          <w:i/>
        </w:rPr>
        <w:t>Menquadfi</w:t>
      </w:r>
      <w:proofErr w:type="spellEnd"/>
    </w:p>
    <w:p w14:paraId="4D1FDA7B" w14:textId="7DA30AB7" w:rsidR="00F65CD1" w:rsidRPr="0042208D" w:rsidRDefault="00F65CD1" w:rsidP="00FE635F">
      <w:pPr>
        <w:jc w:val="both"/>
        <w:rPr>
          <w:lang w:eastAsia="en-US"/>
        </w:rPr>
      </w:pPr>
      <w:r w:rsidRPr="0042208D">
        <w:t xml:space="preserve">In November 2020, </w:t>
      </w:r>
      <w:r w:rsidR="00092656" w:rsidRPr="0042208D">
        <w:t xml:space="preserve">the </w:t>
      </w:r>
      <w:r w:rsidRPr="0042208D">
        <w:t xml:space="preserve">PBAC recommended that </w:t>
      </w:r>
      <w:proofErr w:type="spellStart"/>
      <w:r w:rsidRPr="0042208D">
        <w:t>MenQuadfi</w:t>
      </w:r>
      <w:proofErr w:type="spellEnd"/>
      <w:r w:rsidRPr="0042208D">
        <w:t xml:space="preserve">® vaccine should be a designated vaccine for the prevention of </w:t>
      </w:r>
      <w:r w:rsidR="003001D1" w:rsidRPr="0042208D">
        <w:t xml:space="preserve">invasive meningococcal disease </w:t>
      </w:r>
      <w:r w:rsidRPr="0042208D">
        <w:t xml:space="preserve">caused by </w:t>
      </w:r>
      <w:r w:rsidRPr="0042208D">
        <w:rPr>
          <w:i/>
          <w:iCs/>
        </w:rPr>
        <w:t>Neisseria meningitidis</w:t>
      </w:r>
      <w:r w:rsidRPr="0042208D">
        <w:t xml:space="preserve"> serogroups A, C, W-135 and Y for </w:t>
      </w:r>
      <w:r w:rsidRPr="0042208D">
        <w:rPr>
          <w:lang w:eastAsia="en-US"/>
        </w:rPr>
        <w:t>children aged 12 months, adolescents aged 14 to 19 years and at-risk individuals who are 12 months of age and older</w:t>
      </w:r>
      <w:r w:rsidR="00527AA1" w:rsidRPr="0042208D">
        <w:rPr>
          <w:lang w:eastAsia="en-US"/>
        </w:rPr>
        <w:t>.</w:t>
      </w:r>
      <w:r w:rsidR="005F6267" w:rsidRPr="0042208D">
        <w:rPr>
          <w:lang w:eastAsia="en-US"/>
        </w:rPr>
        <w:t xml:space="preserve"> </w:t>
      </w:r>
      <w:proofErr w:type="spellStart"/>
      <w:r w:rsidR="00B03684" w:rsidRPr="0042208D">
        <w:t>MenQuadfi</w:t>
      </w:r>
      <w:proofErr w:type="spellEnd"/>
      <w:r w:rsidR="00B03684" w:rsidRPr="0042208D">
        <w:t xml:space="preserve">® was </w:t>
      </w:r>
      <w:r w:rsidR="00D06682" w:rsidRPr="0042208D">
        <w:rPr>
          <w:lang w:eastAsia="en-US"/>
        </w:rPr>
        <w:t>listed as requiring rec</w:t>
      </w:r>
      <w:r w:rsidR="00B03684" w:rsidRPr="0042208D">
        <w:rPr>
          <w:lang w:eastAsia="en-US"/>
        </w:rPr>
        <w:t xml:space="preserve">onstitution in error, </w:t>
      </w:r>
      <w:r w:rsidR="00980F02" w:rsidRPr="0042208D">
        <w:rPr>
          <w:lang w:eastAsia="en-US"/>
        </w:rPr>
        <w:t xml:space="preserve">as </w:t>
      </w:r>
      <w:r w:rsidR="005F6267" w:rsidRPr="0042208D">
        <w:rPr>
          <w:lang w:eastAsia="en-US"/>
        </w:rPr>
        <w:t>i</w:t>
      </w:r>
      <w:r w:rsidR="00A66650" w:rsidRPr="0042208D">
        <w:rPr>
          <w:lang w:eastAsia="en-US"/>
        </w:rPr>
        <w:t>t</w:t>
      </w:r>
      <w:r w:rsidR="005F6267" w:rsidRPr="0042208D">
        <w:rPr>
          <w:lang w:eastAsia="en-US"/>
        </w:rPr>
        <w:t xml:space="preserve"> is a fully liquid formulation and does not require reconstitution</w:t>
      </w:r>
      <w:r w:rsidR="00D06682" w:rsidRPr="0042208D">
        <w:rPr>
          <w:lang w:eastAsia="en-US"/>
        </w:rPr>
        <w:t>.</w:t>
      </w:r>
    </w:p>
    <w:p w14:paraId="290DA017" w14:textId="33E80A3F" w:rsidR="00F65CD1" w:rsidRPr="0042208D" w:rsidRDefault="00F65CD1" w:rsidP="00FE635F">
      <w:pPr>
        <w:autoSpaceDE w:val="0"/>
        <w:autoSpaceDN w:val="0"/>
        <w:adjustRightInd w:val="0"/>
        <w:jc w:val="both"/>
        <w:rPr>
          <w:rStyle w:val="normalchar"/>
          <w:b/>
        </w:rPr>
      </w:pPr>
    </w:p>
    <w:p w14:paraId="50D09507" w14:textId="0B22D7E0" w:rsidR="00515BE7" w:rsidRPr="0042208D" w:rsidRDefault="00515BE7" w:rsidP="325FB5DF">
      <w:pPr>
        <w:autoSpaceDE w:val="0"/>
        <w:autoSpaceDN w:val="0"/>
        <w:adjustRightInd w:val="0"/>
        <w:jc w:val="both"/>
        <w:rPr>
          <w:rStyle w:val="normalchar"/>
          <w:i/>
          <w:iCs/>
        </w:rPr>
      </w:pPr>
      <w:r w:rsidRPr="0042208D">
        <w:rPr>
          <w:i/>
          <w:iCs/>
          <w:lang w:eastAsia="en-US"/>
        </w:rPr>
        <w:t>Shingrix</w:t>
      </w:r>
      <w:r w:rsidRPr="0042208D">
        <w:rPr>
          <w:rStyle w:val="normalchar"/>
          <w:i/>
          <w:iCs/>
        </w:rPr>
        <w:t xml:space="preserve"> </w:t>
      </w:r>
    </w:p>
    <w:p w14:paraId="245B9B25" w14:textId="0F237ADD" w:rsidR="00AE14A7" w:rsidRPr="0042208D" w:rsidRDefault="00E74791" w:rsidP="00FE635F">
      <w:pPr>
        <w:autoSpaceDE w:val="0"/>
        <w:autoSpaceDN w:val="0"/>
        <w:adjustRightInd w:val="0"/>
        <w:jc w:val="both"/>
      </w:pPr>
      <w:r w:rsidRPr="0042208D">
        <w:t>In March 202</w:t>
      </w:r>
      <w:r w:rsidR="00E809F5" w:rsidRPr="0042208D">
        <w:t>3</w:t>
      </w:r>
      <w:r w:rsidRPr="0042208D">
        <w:t>,</w:t>
      </w:r>
      <w:r w:rsidR="00431A17" w:rsidRPr="0042208D">
        <w:t xml:space="preserve"> </w:t>
      </w:r>
      <w:r w:rsidR="00092656" w:rsidRPr="0042208D">
        <w:t xml:space="preserve">the </w:t>
      </w:r>
      <w:r w:rsidR="00431A17" w:rsidRPr="0042208D">
        <w:t>PBAC recommend</w:t>
      </w:r>
      <w:r w:rsidR="00D17BC2" w:rsidRPr="0042208D">
        <w:t>ed</w:t>
      </w:r>
      <w:r w:rsidRPr="0042208D">
        <w:t xml:space="preserve"> </w:t>
      </w:r>
      <w:r w:rsidR="009B2024" w:rsidRPr="0042208D">
        <w:t>that varicella virus recombinant vaccine (RZV, Shingrix®) be a designated vaccine for the purposes of the</w:t>
      </w:r>
      <w:r w:rsidR="002059C4" w:rsidRPr="0042208D">
        <w:t xml:space="preserve"> Act</w:t>
      </w:r>
      <w:r w:rsidR="009B2024" w:rsidRPr="0042208D">
        <w:t xml:space="preserve">, for the prevention of HZ and </w:t>
      </w:r>
      <w:r w:rsidR="007C529A" w:rsidRPr="0042208D">
        <w:rPr>
          <w:snapToGrid w:val="0"/>
          <w:lang w:val="en-GB"/>
        </w:rPr>
        <w:t>PHN</w:t>
      </w:r>
      <w:r w:rsidR="00AE14A7" w:rsidRPr="0042208D">
        <w:t xml:space="preserve"> </w:t>
      </w:r>
      <w:r w:rsidR="00AE14A7" w:rsidRPr="0042208D">
        <w:rPr>
          <w:snapToGrid w:val="0"/>
          <w:lang w:val="en-GB"/>
        </w:rPr>
        <w:t xml:space="preserve">for </w:t>
      </w:r>
      <w:r w:rsidR="00AE14A7" w:rsidRPr="0042208D">
        <w:t xml:space="preserve">non-Indigenous individuals aged </w:t>
      </w:r>
      <w:r w:rsidR="00E17F03" w:rsidRPr="0042208D">
        <w:t>≥</w:t>
      </w:r>
      <w:r w:rsidR="00AE14A7" w:rsidRPr="0042208D">
        <w:t>70 years</w:t>
      </w:r>
      <w:r w:rsidR="000E40B2" w:rsidRPr="0042208D">
        <w:t xml:space="preserve"> (the primary program)</w:t>
      </w:r>
      <w:r w:rsidR="00AE14A7" w:rsidRPr="0042208D">
        <w:t xml:space="preserve">, Aboriginal and Torres Strait Islander individuals aged ≥50 years and immunocompromised individuals aged ≥18 years with conditions at high risk of HZ infection. </w:t>
      </w:r>
    </w:p>
    <w:p w14:paraId="789C9F53" w14:textId="77777777" w:rsidR="00AE14A7" w:rsidRPr="0042208D" w:rsidRDefault="00AE14A7" w:rsidP="00FE635F">
      <w:pPr>
        <w:autoSpaceDE w:val="0"/>
        <w:autoSpaceDN w:val="0"/>
        <w:adjustRightInd w:val="0"/>
        <w:jc w:val="both"/>
      </w:pPr>
    </w:p>
    <w:p w14:paraId="1D82F238" w14:textId="2E2B8AA0" w:rsidR="00D5191D" w:rsidRPr="0042208D" w:rsidRDefault="00AE14A7" w:rsidP="325FB5DF">
      <w:pPr>
        <w:autoSpaceDE w:val="0"/>
        <w:autoSpaceDN w:val="0"/>
        <w:adjustRightInd w:val="0"/>
        <w:jc w:val="both"/>
      </w:pPr>
      <w:r w:rsidRPr="0042208D">
        <w:t xml:space="preserve">At </w:t>
      </w:r>
      <w:r w:rsidR="000D545D" w:rsidRPr="0042208D">
        <w:t xml:space="preserve">its </w:t>
      </w:r>
      <w:r w:rsidRPr="0042208D">
        <w:t xml:space="preserve">July 2023 meeting, </w:t>
      </w:r>
      <w:r w:rsidR="00596E41" w:rsidRPr="0042208D">
        <w:t xml:space="preserve">the </w:t>
      </w:r>
      <w:r w:rsidRPr="0042208D">
        <w:t xml:space="preserve">PBAC recommended the cohort be extended </w:t>
      </w:r>
      <w:r w:rsidR="26F7CB03" w:rsidRPr="0042208D">
        <w:t xml:space="preserve">and </w:t>
      </w:r>
      <w:r w:rsidRPr="0042208D">
        <w:t>the age for the primary program lowered to 65 years with no upper limit</w:t>
      </w:r>
      <w:r w:rsidR="00FA52A1" w:rsidRPr="0042208D">
        <w:t>,</w:t>
      </w:r>
      <w:r w:rsidR="006F1AFF" w:rsidRPr="0042208D">
        <w:t xml:space="preserve"> due to a</w:t>
      </w:r>
      <w:r w:rsidR="48AEA821" w:rsidRPr="0042208D">
        <w:t xml:space="preserve"> </w:t>
      </w:r>
      <w:r w:rsidR="001600F7" w:rsidRPr="0042208D">
        <w:t xml:space="preserve">reduced price proposed by the </w:t>
      </w:r>
      <w:r w:rsidR="006455B7" w:rsidRPr="0042208D">
        <w:t xml:space="preserve">vaccine </w:t>
      </w:r>
      <w:r w:rsidR="001600F7" w:rsidRPr="0042208D">
        <w:t>sponsor.</w:t>
      </w:r>
    </w:p>
    <w:p w14:paraId="2FDF4877" w14:textId="5C069D3C" w:rsidR="00D5191D" w:rsidRPr="0042208D" w:rsidRDefault="00D5191D" w:rsidP="7A101FAE">
      <w:pPr>
        <w:autoSpaceDE w:val="0"/>
        <w:autoSpaceDN w:val="0"/>
        <w:adjustRightInd w:val="0"/>
        <w:jc w:val="both"/>
      </w:pPr>
    </w:p>
    <w:p w14:paraId="2E5B7502" w14:textId="73805C6E" w:rsidR="00D5191D" w:rsidRPr="0042208D" w:rsidRDefault="351C7590" w:rsidP="295E67EC">
      <w:pPr>
        <w:autoSpaceDE w:val="0"/>
        <w:autoSpaceDN w:val="0"/>
        <w:adjustRightInd w:val="0"/>
        <w:jc w:val="both"/>
        <w:rPr>
          <w:i/>
          <w:iCs/>
          <w:u w:val="single"/>
        </w:rPr>
      </w:pPr>
      <w:r w:rsidRPr="0042208D">
        <w:rPr>
          <w:i/>
          <w:iCs/>
        </w:rPr>
        <w:t>Flucelvax</w:t>
      </w:r>
    </w:p>
    <w:p w14:paraId="29497FC7" w14:textId="239E0C72" w:rsidR="00D5191D" w:rsidRPr="0042208D" w:rsidRDefault="351C7590" w:rsidP="7A101FAE">
      <w:pPr>
        <w:autoSpaceDE w:val="0"/>
        <w:autoSpaceDN w:val="0"/>
        <w:adjustRightInd w:val="0"/>
        <w:jc w:val="both"/>
      </w:pPr>
      <w:r w:rsidRPr="0042208D">
        <w:t xml:space="preserve">Flucelvax® Quad is a quadrivalent influenza vaccine that is manufactured in cell-culture from cell-derived candidate vaccine viruses and is commonly referred as </w:t>
      </w:r>
      <w:proofErr w:type="spellStart"/>
      <w:r w:rsidR="00A22F1E" w:rsidRPr="0042208D">
        <w:t>QIVc</w:t>
      </w:r>
      <w:proofErr w:type="spellEnd"/>
      <w:r w:rsidR="00A22F1E" w:rsidRPr="0042208D">
        <w:t>.</w:t>
      </w:r>
      <w:r w:rsidRPr="0042208D">
        <w:t xml:space="preserve"> The traditional manufacturing process for influenza vaccines </w:t>
      </w:r>
      <w:r w:rsidR="00D02194" w:rsidRPr="0042208D">
        <w:t>uses</w:t>
      </w:r>
      <w:r w:rsidRPr="0042208D">
        <w:t xml:space="preserve"> fertilised chicken eggs.</w:t>
      </w:r>
    </w:p>
    <w:p w14:paraId="4413B5E7" w14:textId="09B877C4" w:rsidR="00D5191D" w:rsidRPr="0042208D" w:rsidRDefault="351C7590" w:rsidP="7A101FAE">
      <w:pPr>
        <w:autoSpaceDE w:val="0"/>
        <w:autoSpaceDN w:val="0"/>
        <w:adjustRightInd w:val="0"/>
        <w:jc w:val="both"/>
      </w:pPr>
      <w:r w:rsidRPr="0042208D">
        <w:t xml:space="preserve"> </w:t>
      </w:r>
    </w:p>
    <w:p w14:paraId="44A97693" w14:textId="0D634F8E" w:rsidR="00D5191D" w:rsidRPr="0042208D" w:rsidRDefault="351C7590" w:rsidP="7A101FAE">
      <w:pPr>
        <w:autoSpaceDE w:val="0"/>
        <w:autoSpaceDN w:val="0"/>
        <w:adjustRightInd w:val="0"/>
        <w:jc w:val="both"/>
      </w:pPr>
      <w:r w:rsidRPr="0042208D">
        <w:t xml:space="preserve">The PBAC’s recommendation for listing Flucelvax® Quad was based on, among other matters, its assessment that the cost-effectiveness of </w:t>
      </w:r>
      <w:proofErr w:type="spellStart"/>
      <w:r w:rsidRPr="0042208D">
        <w:t>QIVc</w:t>
      </w:r>
      <w:proofErr w:type="spellEnd"/>
      <w:r w:rsidRPr="0042208D">
        <w:t xml:space="preserve"> would be acceptable with a price premium compared to egg-based quadrivalent influenza virus vaccines and the acknowledgment of potential benefits associated with the diversification of vaccine manufacturing.</w:t>
      </w:r>
    </w:p>
    <w:p w14:paraId="1CFCD0CA" w14:textId="7AEA9785" w:rsidR="00D5191D" w:rsidRPr="0042208D" w:rsidRDefault="00D5191D" w:rsidP="325FB5DF">
      <w:pPr>
        <w:autoSpaceDE w:val="0"/>
        <w:autoSpaceDN w:val="0"/>
        <w:adjustRightInd w:val="0"/>
        <w:jc w:val="both"/>
      </w:pPr>
    </w:p>
    <w:p w14:paraId="17D6434A" w14:textId="48716276" w:rsidR="00E74791" w:rsidRPr="0042208D" w:rsidRDefault="00E74791" w:rsidP="005A5CF0">
      <w:pPr>
        <w:jc w:val="both"/>
        <w:rPr>
          <w:rStyle w:val="normalchar"/>
          <w:b/>
          <w:bCs/>
        </w:rPr>
      </w:pPr>
      <w:r w:rsidRPr="0042208D">
        <w:t>Once a vaccine is listed in the Determination, the supplier of that vaccine is eligible to participate in any procurement processes undertaken by the Department of Health</w:t>
      </w:r>
      <w:r w:rsidR="008265BC" w:rsidRPr="0042208D">
        <w:t xml:space="preserve"> and Aged Care</w:t>
      </w:r>
      <w:r w:rsidRPr="0042208D">
        <w:t xml:space="preserve"> for the supply of vaccines on the NIP.</w:t>
      </w:r>
    </w:p>
    <w:p w14:paraId="0490B7FF" w14:textId="77777777" w:rsidR="005A5CF0" w:rsidRPr="0042208D" w:rsidRDefault="005A5CF0" w:rsidP="00305301">
      <w:pPr>
        <w:pStyle w:val="Header"/>
        <w:tabs>
          <w:tab w:val="left" w:pos="720"/>
        </w:tabs>
        <w:rPr>
          <w:b/>
          <w:bCs/>
        </w:rPr>
      </w:pPr>
    </w:p>
    <w:p w14:paraId="3137685E" w14:textId="05B825D9" w:rsidR="00305301" w:rsidRPr="0042208D" w:rsidRDefault="00305301" w:rsidP="00305301">
      <w:pPr>
        <w:pStyle w:val="Header"/>
        <w:tabs>
          <w:tab w:val="left" w:pos="720"/>
        </w:tabs>
      </w:pPr>
      <w:r w:rsidRPr="0042208D">
        <w:rPr>
          <w:b/>
          <w:bCs/>
        </w:rPr>
        <w:t>Authority</w:t>
      </w:r>
    </w:p>
    <w:p w14:paraId="35ABA28F" w14:textId="78FA9E01" w:rsidR="00305301" w:rsidRPr="0042208D" w:rsidRDefault="00305301" w:rsidP="008D5EC7">
      <w:pPr>
        <w:jc w:val="both"/>
        <w:rPr>
          <w:color w:val="000000"/>
        </w:rPr>
      </w:pPr>
      <w:r w:rsidRPr="0042208D">
        <w:rPr>
          <w:color w:val="000000" w:themeColor="text1"/>
        </w:rPr>
        <w:t xml:space="preserve">Subsection 9B(1) of the </w:t>
      </w:r>
      <w:r w:rsidR="00614CD1" w:rsidRPr="0042208D">
        <w:rPr>
          <w:color w:val="000000" w:themeColor="text1"/>
        </w:rPr>
        <w:t>Act</w:t>
      </w:r>
      <w:r w:rsidRPr="0042208D">
        <w:rPr>
          <w:color w:val="000000" w:themeColor="text1"/>
        </w:rPr>
        <w:t xml:space="preserve"> provides that the Minister may provide, or arrange for the provision of, designated vaccines and goods or services that are associated with, or incidental to, the provision or administration of designated vaccines. </w:t>
      </w:r>
    </w:p>
    <w:p w14:paraId="7F3F898A" w14:textId="77777777" w:rsidR="00640EA2" w:rsidRPr="0042208D" w:rsidRDefault="00640EA2" w:rsidP="00640EA2">
      <w:pPr>
        <w:jc w:val="both"/>
        <w:rPr>
          <w:color w:val="000000"/>
        </w:rPr>
      </w:pPr>
    </w:p>
    <w:p w14:paraId="14881B92" w14:textId="58CB0304" w:rsidR="00305301" w:rsidRPr="0042208D" w:rsidRDefault="00305301" w:rsidP="008D5EC7">
      <w:pPr>
        <w:jc w:val="both"/>
        <w:rPr>
          <w:color w:val="000000"/>
        </w:rPr>
      </w:pPr>
      <w:r w:rsidRPr="0042208D">
        <w:rPr>
          <w:color w:val="000000"/>
        </w:rPr>
        <w:t>Subsection 9</w:t>
      </w:r>
      <w:proofErr w:type="gramStart"/>
      <w:r w:rsidRPr="0042208D">
        <w:rPr>
          <w:color w:val="000000"/>
        </w:rPr>
        <w:t>B(</w:t>
      </w:r>
      <w:proofErr w:type="gramEnd"/>
      <w:r w:rsidRPr="0042208D">
        <w:rPr>
          <w:color w:val="000000"/>
        </w:rPr>
        <w:t>2) provides that the Minister may, by legislative instrument, determine that a specified vaccine is a designated vaccine for the purposes of the Act. Subsection 9</w:t>
      </w:r>
      <w:proofErr w:type="gramStart"/>
      <w:r w:rsidRPr="0042208D">
        <w:rPr>
          <w:color w:val="000000"/>
        </w:rPr>
        <w:t>B(</w:t>
      </w:r>
      <w:proofErr w:type="gramEnd"/>
      <w:r w:rsidRPr="0042208D">
        <w:rPr>
          <w:color w:val="000000"/>
        </w:rPr>
        <w:t>5) provides that in addition to specifying a vaccine, a determination may specify the circumstances in which the vaccine may be provided.</w:t>
      </w:r>
    </w:p>
    <w:p w14:paraId="4CD4DA0E" w14:textId="77777777" w:rsidR="00640EA2" w:rsidRPr="0042208D" w:rsidRDefault="00640EA2" w:rsidP="00640EA2">
      <w:pPr>
        <w:jc w:val="both"/>
        <w:rPr>
          <w:color w:val="000000" w:themeColor="text1"/>
        </w:rPr>
      </w:pPr>
    </w:p>
    <w:p w14:paraId="2C117CB4" w14:textId="163A8097" w:rsidR="00A80E02" w:rsidRPr="0042208D" w:rsidRDefault="00A80E02" w:rsidP="00640EA2">
      <w:pPr>
        <w:jc w:val="both"/>
        <w:rPr>
          <w:color w:val="000000" w:themeColor="text1"/>
        </w:rPr>
      </w:pPr>
    </w:p>
    <w:p w14:paraId="692A6E8A" w14:textId="22BFEEE7" w:rsidR="00B313F4" w:rsidRPr="0042208D" w:rsidRDefault="00B313F4" w:rsidP="00640EA2">
      <w:pPr>
        <w:jc w:val="both"/>
        <w:rPr>
          <w:b/>
          <w:bCs/>
          <w:i/>
          <w:iCs/>
          <w:color w:val="000000" w:themeColor="text1"/>
        </w:rPr>
      </w:pPr>
      <w:r w:rsidRPr="0042208D">
        <w:rPr>
          <w:b/>
          <w:bCs/>
          <w:color w:val="000000" w:themeColor="text1"/>
        </w:rPr>
        <w:t xml:space="preserve">Reliance on subsection 33(3) of the </w:t>
      </w:r>
      <w:r w:rsidRPr="0042208D">
        <w:rPr>
          <w:b/>
          <w:bCs/>
          <w:i/>
          <w:iCs/>
          <w:color w:val="000000" w:themeColor="text1"/>
        </w:rPr>
        <w:t>Acts Interpretation Act 1901</w:t>
      </w:r>
    </w:p>
    <w:p w14:paraId="44967ECA" w14:textId="1ACB9C76" w:rsidR="00305301" w:rsidRPr="0042208D" w:rsidRDefault="00B313F4" w:rsidP="008D5EC7">
      <w:pPr>
        <w:jc w:val="both"/>
        <w:rPr>
          <w:color w:val="000000"/>
        </w:rPr>
      </w:pPr>
      <w:r w:rsidRPr="0042208D">
        <w:rPr>
          <w:color w:val="000000" w:themeColor="text1"/>
        </w:rPr>
        <w:t>S</w:t>
      </w:r>
      <w:r w:rsidR="00305301" w:rsidRPr="0042208D">
        <w:rPr>
          <w:color w:val="000000" w:themeColor="text1"/>
        </w:rPr>
        <w:t xml:space="preserve">ubsection 33(3) of the </w:t>
      </w:r>
      <w:r w:rsidR="00305301" w:rsidRPr="0042208D">
        <w:rPr>
          <w:i/>
          <w:iCs/>
          <w:color w:val="000000" w:themeColor="text1"/>
        </w:rPr>
        <w:t>Acts Interpretation Act 1901</w:t>
      </w:r>
      <w:r w:rsidR="00305301" w:rsidRPr="0042208D">
        <w:rPr>
          <w:color w:val="000000" w:themeColor="text1"/>
        </w:rPr>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3221D1EA" w14:textId="77777777" w:rsidR="005842BC" w:rsidRPr="0042208D" w:rsidRDefault="005842BC" w:rsidP="00640EA2">
      <w:pPr>
        <w:autoSpaceDE w:val="0"/>
        <w:autoSpaceDN w:val="0"/>
        <w:adjustRightInd w:val="0"/>
        <w:rPr>
          <w:rStyle w:val="normalchar"/>
          <w:b/>
          <w:bCs/>
        </w:rPr>
      </w:pPr>
    </w:p>
    <w:p w14:paraId="1128139D" w14:textId="77777777" w:rsidR="00A80E02" w:rsidRPr="0042208D" w:rsidRDefault="00A80E02" w:rsidP="00640EA2">
      <w:pPr>
        <w:autoSpaceDE w:val="0"/>
        <w:autoSpaceDN w:val="0"/>
        <w:adjustRightInd w:val="0"/>
        <w:rPr>
          <w:rStyle w:val="normalchar"/>
          <w:b/>
          <w:bCs/>
        </w:rPr>
      </w:pPr>
    </w:p>
    <w:p w14:paraId="7C2684FC" w14:textId="77777777" w:rsidR="0017170D" w:rsidRPr="0042208D" w:rsidRDefault="0017170D" w:rsidP="009B1A02">
      <w:pPr>
        <w:rPr>
          <w:rStyle w:val="normalchar"/>
          <w:b/>
        </w:rPr>
      </w:pPr>
      <w:r w:rsidRPr="0042208D">
        <w:rPr>
          <w:rStyle w:val="normalchar"/>
          <w:b/>
        </w:rPr>
        <w:t>Commencement</w:t>
      </w:r>
    </w:p>
    <w:p w14:paraId="714D75A2" w14:textId="14F3E1BE" w:rsidR="0017170D" w:rsidRPr="0042208D" w:rsidRDefault="0017170D" w:rsidP="009B1A02">
      <w:pPr>
        <w:rPr>
          <w:rStyle w:val="normalchar"/>
          <w:bCs/>
        </w:rPr>
      </w:pPr>
      <w:r w:rsidRPr="0042208D">
        <w:rPr>
          <w:rStyle w:val="normalchar"/>
          <w:bCs/>
        </w:rPr>
        <w:t xml:space="preserve">The Amendment Determination commences on 1 November 2023. </w:t>
      </w:r>
    </w:p>
    <w:p w14:paraId="7A8142AC" w14:textId="77777777" w:rsidR="0017170D" w:rsidRPr="0042208D" w:rsidRDefault="0017170D" w:rsidP="00640EA2">
      <w:pPr>
        <w:autoSpaceDE w:val="0"/>
        <w:autoSpaceDN w:val="0"/>
        <w:adjustRightInd w:val="0"/>
        <w:jc w:val="both"/>
        <w:rPr>
          <w:rStyle w:val="normalchar"/>
          <w:bCs/>
        </w:rPr>
      </w:pPr>
    </w:p>
    <w:p w14:paraId="073BD3DB" w14:textId="77777777" w:rsidR="0017170D" w:rsidRPr="0042208D" w:rsidRDefault="0017170D" w:rsidP="00640EA2">
      <w:pPr>
        <w:autoSpaceDE w:val="0"/>
        <w:autoSpaceDN w:val="0"/>
        <w:adjustRightInd w:val="0"/>
        <w:jc w:val="both"/>
        <w:rPr>
          <w:rStyle w:val="normalchar"/>
          <w:bCs/>
        </w:rPr>
      </w:pPr>
    </w:p>
    <w:p w14:paraId="0AC36A2D" w14:textId="4710F9D7" w:rsidR="00F65CD1" w:rsidRPr="0042208D" w:rsidRDefault="00F65CD1" w:rsidP="00640EA2">
      <w:pPr>
        <w:autoSpaceDE w:val="0"/>
        <w:autoSpaceDN w:val="0"/>
        <w:adjustRightInd w:val="0"/>
        <w:jc w:val="both"/>
        <w:rPr>
          <w:b/>
        </w:rPr>
      </w:pPr>
      <w:r w:rsidRPr="0042208D">
        <w:rPr>
          <w:rStyle w:val="normalchar"/>
          <w:b/>
        </w:rPr>
        <w:t>Consultation</w:t>
      </w:r>
    </w:p>
    <w:p w14:paraId="05CCEF55" w14:textId="5760A667" w:rsidR="00F65CD1" w:rsidRPr="0042208D" w:rsidRDefault="00F65CD1" w:rsidP="008D5EC7">
      <w:pPr>
        <w:jc w:val="both"/>
        <w:rPr>
          <w:color w:val="000000"/>
        </w:rPr>
      </w:pPr>
      <w:r w:rsidRPr="0042208D">
        <w:rPr>
          <w:color w:val="000000" w:themeColor="text1"/>
        </w:rPr>
        <w:t>The involvement of interested parties through the membership of the PBAC constitutes a formal and ongoing process of consultation. The PBAC is an independent expert body established by section 100A of the Act, which makes recommendations to, and advises the Minister about, the determination of specified vaccines as designated vaccines under section 9B</w:t>
      </w:r>
      <w:r w:rsidR="00510C27" w:rsidRPr="0042208D">
        <w:rPr>
          <w:color w:val="000000" w:themeColor="text1"/>
        </w:rPr>
        <w:t xml:space="preserve"> of the Act</w:t>
      </w:r>
      <w:r w:rsidRPr="0042208D">
        <w:rPr>
          <w:color w:val="000000" w:themeColor="text1"/>
        </w:rPr>
        <w:t xml:space="preserve"> for the</w:t>
      </w:r>
      <w:r w:rsidR="00510C27" w:rsidRPr="0042208D">
        <w:rPr>
          <w:color w:val="000000" w:themeColor="text1"/>
        </w:rPr>
        <w:t xml:space="preserve"> purposes of the</w:t>
      </w:r>
      <w:r w:rsidRPr="0042208D">
        <w:rPr>
          <w:color w:val="000000" w:themeColor="text1"/>
        </w:rPr>
        <w:t xml:space="preserve"> NIP. The PBAC members are appointed from nominations by organisations and associations representing industry, consumers, health economists, practising community pharmacists, general practitioners, clinical pharmacologists</w:t>
      </w:r>
      <w:r w:rsidR="00D02194" w:rsidRPr="0042208D">
        <w:rPr>
          <w:color w:val="000000" w:themeColor="text1"/>
        </w:rPr>
        <w:t>,</w:t>
      </w:r>
      <w:r w:rsidRPr="0042208D">
        <w:rPr>
          <w:color w:val="000000" w:themeColor="text1"/>
        </w:rPr>
        <w:t xml:space="preserve"> and specialists, with at least one member selected from each of those interests or professions. Remaining members are persons whom the Minister is satisfied have qualifications or experience in a field relevant to the functions of the PBAC that would enable them to contribute meaningfully to the deliberations of the PBAC.</w:t>
      </w:r>
    </w:p>
    <w:p w14:paraId="52CECDFE" w14:textId="77777777" w:rsidR="00640EA2" w:rsidRPr="0042208D" w:rsidRDefault="00640EA2" w:rsidP="00640EA2">
      <w:pPr>
        <w:jc w:val="both"/>
        <w:rPr>
          <w:color w:val="000000"/>
        </w:rPr>
      </w:pPr>
    </w:p>
    <w:p w14:paraId="22063F16" w14:textId="7BA6DA86" w:rsidR="00F65CD1" w:rsidRPr="0042208D" w:rsidRDefault="00F65CD1" w:rsidP="008D5EC7">
      <w:pPr>
        <w:jc w:val="both"/>
        <w:rPr>
          <w:color w:val="000000"/>
        </w:rPr>
      </w:pPr>
      <w:r w:rsidRPr="0042208D">
        <w:rPr>
          <w:color w:val="000000"/>
        </w:rPr>
        <w:t xml:space="preserve">When recommending the listing of a vaccine on the NIP and the circumstances in which a designated vaccine should be provided, </w:t>
      </w:r>
      <w:r w:rsidR="007A177C" w:rsidRPr="0042208D">
        <w:rPr>
          <w:color w:val="000000"/>
        </w:rPr>
        <w:t xml:space="preserve">the </w:t>
      </w:r>
      <w:r w:rsidRPr="0042208D">
        <w:rPr>
          <w:color w:val="000000"/>
        </w:rPr>
        <w:t>PBAC takes into account the target population for which the vaccine has been approved for use in Australia and its clinical effectiveness, safety and cost-effectiveness. The PBAC also receive</w:t>
      </w:r>
      <w:r w:rsidR="00B03F12" w:rsidRPr="0042208D">
        <w:rPr>
          <w:color w:val="000000"/>
        </w:rPr>
        <w:t>s</w:t>
      </w:r>
      <w:r w:rsidRPr="0042208D">
        <w:rPr>
          <w:color w:val="000000"/>
        </w:rPr>
        <w:t xml:space="preserve"> advice from ATAGI regarding the clinical aspects of the disease and the vaccine.</w:t>
      </w:r>
    </w:p>
    <w:p w14:paraId="5190839D" w14:textId="77777777" w:rsidR="00640EA2" w:rsidRPr="0042208D" w:rsidRDefault="00640EA2" w:rsidP="00640EA2">
      <w:pPr>
        <w:jc w:val="both"/>
        <w:rPr>
          <w:color w:val="000000"/>
        </w:rPr>
      </w:pPr>
    </w:p>
    <w:p w14:paraId="64AEF31A" w14:textId="5015BA74" w:rsidR="00F65CD1" w:rsidRPr="0042208D" w:rsidRDefault="00F65CD1" w:rsidP="008D5EC7">
      <w:pPr>
        <w:jc w:val="both"/>
        <w:rPr>
          <w:color w:val="000000"/>
        </w:rPr>
      </w:pPr>
      <w:r w:rsidRPr="0042208D">
        <w:rPr>
          <w:color w:val="000000"/>
        </w:rPr>
        <w:t xml:space="preserve">Pharmaceutical companies are consulted throughout the process of the listing of their vaccine on the NIP and in relation to changes to those listings. This includes the company submission to the PBAC </w:t>
      </w:r>
      <w:r w:rsidR="005861C1" w:rsidRPr="0042208D">
        <w:rPr>
          <w:color w:val="000000"/>
        </w:rPr>
        <w:t xml:space="preserve">to have their vaccine listed, </w:t>
      </w:r>
      <w:r w:rsidRPr="0042208D">
        <w:rPr>
          <w:color w:val="000000"/>
        </w:rPr>
        <w:t>and involvement throughout the PBAC process.</w:t>
      </w:r>
    </w:p>
    <w:p w14:paraId="13072992" w14:textId="77777777" w:rsidR="00640EA2" w:rsidRPr="0042208D" w:rsidRDefault="00640EA2" w:rsidP="00640EA2">
      <w:pPr>
        <w:jc w:val="both"/>
        <w:rPr>
          <w:color w:val="000000"/>
        </w:rPr>
      </w:pPr>
    </w:p>
    <w:p w14:paraId="26B10A8F" w14:textId="79502778" w:rsidR="00F65CD1" w:rsidRPr="0042208D" w:rsidRDefault="00F65CD1" w:rsidP="008D5EC7">
      <w:pPr>
        <w:jc w:val="both"/>
        <w:rPr>
          <w:color w:val="000000"/>
        </w:rPr>
      </w:pPr>
      <w:r w:rsidRPr="0042208D">
        <w:rPr>
          <w:color w:val="000000"/>
        </w:rPr>
        <w:t>As part of the PBAC process, patients, carers, members of the public, health professionals or members of consumer interest groups may provide comments and feedback on vaccines being considered by the PBAC via a web interface or in writing over a period of six weeks prior to PBAC meetings. These are provided to the PBAC in a de-identified form for consideration alongside the company submission.</w:t>
      </w:r>
    </w:p>
    <w:p w14:paraId="068F5599" w14:textId="77777777" w:rsidR="00640EA2" w:rsidRPr="0042208D" w:rsidRDefault="00640EA2" w:rsidP="00640EA2">
      <w:pPr>
        <w:jc w:val="both"/>
        <w:rPr>
          <w:color w:val="000000" w:themeColor="text1"/>
        </w:rPr>
      </w:pPr>
    </w:p>
    <w:p w14:paraId="70EEC8D1" w14:textId="4F413A3D" w:rsidR="00F65CD1" w:rsidRPr="0042208D" w:rsidRDefault="00F65CD1" w:rsidP="008D5EC7">
      <w:pPr>
        <w:jc w:val="both"/>
        <w:rPr>
          <w:color w:val="000000"/>
        </w:rPr>
      </w:pPr>
      <w:r w:rsidRPr="0042208D">
        <w:rPr>
          <w:color w:val="000000" w:themeColor="text1"/>
        </w:rPr>
        <w:t>It was considered that further consultation for th</w:t>
      </w:r>
      <w:r w:rsidR="00B724EA" w:rsidRPr="0042208D">
        <w:rPr>
          <w:color w:val="000000" w:themeColor="text1"/>
        </w:rPr>
        <w:t>e</w:t>
      </w:r>
      <w:r w:rsidRPr="0042208D">
        <w:rPr>
          <w:color w:val="000000" w:themeColor="text1"/>
        </w:rPr>
        <w:t xml:space="preserve"> Amendment Determination was unnecessary due to the nature of the consultation that had already taken place</w:t>
      </w:r>
      <w:r w:rsidR="00B724EA" w:rsidRPr="0042208D">
        <w:rPr>
          <w:color w:val="000000" w:themeColor="text1"/>
        </w:rPr>
        <w:t xml:space="preserve"> with the PBAC</w:t>
      </w:r>
      <w:r w:rsidRPr="0042208D">
        <w:rPr>
          <w:color w:val="000000" w:themeColor="text1"/>
        </w:rPr>
        <w:t>.</w:t>
      </w:r>
    </w:p>
    <w:p w14:paraId="6B29A0BA" w14:textId="77777777" w:rsidR="00640EA2" w:rsidRPr="0042208D" w:rsidRDefault="00640EA2" w:rsidP="00640EA2">
      <w:pPr>
        <w:jc w:val="both"/>
        <w:rPr>
          <w:color w:val="000000" w:themeColor="text1"/>
        </w:rPr>
      </w:pPr>
    </w:p>
    <w:p w14:paraId="3271777C" w14:textId="77777777" w:rsidR="00F1499B" w:rsidRPr="0042208D" w:rsidRDefault="00F1499B" w:rsidP="00640EA2">
      <w:pPr>
        <w:jc w:val="both"/>
        <w:rPr>
          <w:b/>
          <w:bCs/>
          <w:color w:val="000000" w:themeColor="text1"/>
        </w:rPr>
      </w:pPr>
    </w:p>
    <w:p w14:paraId="4187B43A" w14:textId="119B6673" w:rsidR="00127F5E" w:rsidRPr="0042208D" w:rsidRDefault="00127F5E" w:rsidP="00640EA2">
      <w:pPr>
        <w:jc w:val="both"/>
        <w:rPr>
          <w:b/>
          <w:bCs/>
          <w:color w:val="000000" w:themeColor="text1"/>
        </w:rPr>
      </w:pPr>
      <w:r w:rsidRPr="0042208D">
        <w:rPr>
          <w:b/>
          <w:bCs/>
          <w:color w:val="000000" w:themeColor="text1"/>
        </w:rPr>
        <w:t>General</w:t>
      </w:r>
    </w:p>
    <w:p w14:paraId="57CEFCFC" w14:textId="77777777" w:rsidR="00127F5E" w:rsidRPr="0042208D" w:rsidRDefault="00127F5E" w:rsidP="009B1A02">
      <w:pPr>
        <w:spacing w:line="276" w:lineRule="auto"/>
        <w:jc w:val="both"/>
        <w:rPr>
          <w:color w:val="000000" w:themeColor="text1"/>
        </w:rPr>
      </w:pPr>
      <w:r w:rsidRPr="0042208D">
        <w:rPr>
          <w:color w:val="000000" w:themeColor="text1"/>
        </w:rPr>
        <w:t xml:space="preserve">The Amendment Determination is a legislative instrument for the purposes of the </w:t>
      </w:r>
      <w:r w:rsidRPr="0042208D">
        <w:rPr>
          <w:i/>
          <w:iCs/>
          <w:color w:val="000000" w:themeColor="text1"/>
        </w:rPr>
        <w:t>Legislation Act 2003</w:t>
      </w:r>
      <w:r w:rsidRPr="0042208D">
        <w:rPr>
          <w:color w:val="000000" w:themeColor="text1"/>
        </w:rPr>
        <w:t>.</w:t>
      </w:r>
    </w:p>
    <w:p w14:paraId="40DC1806" w14:textId="77777777" w:rsidR="00127F5E" w:rsidRPr="0042208D" w:rsidRDefault="00127F5E" w:rsidP="00127F5E">
      <w:pPr>
        <w:spacing w:line="276" w:lineRule="auto"/>
        <w:rPr>
          <w:color w:val="000000"/>
        </w:rPr>
      </w:pPr>
    </w:p>
    <w:p w14:paraId="139AF4F6" w14:textId="3A76370E" w:rsidR="00F65CD1" w:rsidRPr="0042208D" w:rsidRDefault="00F65CD1" w:rsidP="00640EA2">
      <w:pPr>
        <w:jc w:val="both"/>
        <w:rPr>
          <w:color w:val="000000" w:themeColor="text1"/>
        </w:rPr>
      </w:pPr>
      <w:r w:rsidRPr="0042208D">
        <w:rPr>
          <w:color w:val="000000" w:themeColor="text1"/>
        </w:rPr>
        <w:t xml:space="preserve">Details of the Amendment Determination are set out in </w:t>
      </w:r>
      <w:r w:rsidRPr="0042208D">
        <w:rPr>
          <w:b/>
          <w:bCs/>
          <w:color w:val="000000" w:themeColor="text1"/>
        </w:rPr>
        <w:t xml:space="preserve">Attachment </w:t>
      </w:r>
      <w:r w:rsidR="00127F5E" w:rsidRPr="0042208D">
        <w:rPr>
          <w:b/>
          <w:bCs/>
          <w:color w:val="000000" w:themeColor="text1"/>
        </w:rPr>
        <w:t>A</w:t>
      </w:r>
      <w:r w:rsidRPr="0042208D">
        <w:rPr>
          <w:color w:val="000000" w:themeColor="text1"/>
        </w:rPr>
        <w:t>.</w:t>
      </w:r>
    </w:p>
    <w:p w14:paraId="3A648D9D" w14:textId="77777777" w:rsidR="000A3F59" w:rsidRPr="0042208D" w:rsidRDefault="000A3F59" w:rsidP="00640EA2">
      <w:pPr>
        <w:jc w:val="both"/>
        <w:rPr>
          <w:color w:val="000000" w:themeColor="text1"/>
        </w:rPr>
      </w:pPr>
    </w:p>
    <w:p w14:paraId="08FEE5B8" w14:textId="4F833BC3" w:rsidR="000A3F59" w:rsidRPr="0042208D" w:rsidRDefault="000A3F59" w:rsidP="008D5EC7">
      <w:pPr>
        <w:autoSpaceDE w:val="0"/>
        <w:autoSpaceDN w:val="0"/>
        <w:adjustRightInd w:val="0"/>
        <w:rPr>
          <w:color w:val="000000"/>
        </w:rPr>
      </w:pPr>
      <w:r w:rsidRPr="0042208D">
        <w:rPr>
          <w:color w:val="000000"/>
        </w:rPr>
        <w:t xml:space="preserve">The Amendment Determination is compatible with the human rights and freedoms recognised or declared under section 3 of the </w:t>
      </w:r>
      <w:r w:rsidRPr="0042208D">
        <w:rPr>
          <w:i/>
          <w:iCs/>
          <w:color w:val="000000"/>
        </w:rPr>
        <w:t>Human Rights (Parliamentary Scrutiny) Act 2011</w:t>
      </w:r>
      <w:r w:rsidRPr="0042208D">
        <w:rPr>
          <w:color w:val="000000"/>
        </w:rPr>
        <w:t xml:space="preserve">. A full statement of compatibility is set out in </w:t>
      </w:r>
      <w:r w:rsidRPr="0042208D">
        <w:rPr>
          <w:b/>
          <w:bCs/>
          <w:color w:val="000000"/>
        </w:rPr>
        <w:t>Attachment B</w:t>
      </w:r>
      <w:r w:rsidRPr="0042208D">
        <w:rPr>
          <w:color w:val="000000"/>
        </w:rPr>
        <w:t>.</w:t>
      </w:r>
    </w:p>
    <w:p w14:paraId="0E6FCB74" w14:textId="77777777" w:rsidR="00640EA2" w:rsidRPr="0042208D" w:rsidRDefault="00640EA2" w:rsidP="00640EA2">
      <w:pPr>
        <w:spacing w:line="276" w:lineRule="auto"/>
        <w:rPr>
          <w:color w:val="000000" w:themeColor="text1"/>
        </w:rPr>
      </w:pPr>
    </w:p>
    <w:p w14:paraId="72821A40" w14:textId="77777777" w:rsidR="00E968B1" w:rsidRPr="0042208D" w:rsidRDefault="00E968B1" w:rsidP="00FE635F">
      <w:pPr>
        <w:spacing w:after="200" w:line="276" w:lineRule="auto"/>
        <w:rPr>
          <w:color w:val="000000"/>
        </w:rPr>
      </w:pPr>
      <w:r w:rsidRPr="0042208D">
        <w:rPr>
          <w:color w:val="000000"/>
        </w:rPr>
        <w:br w:type="page"/>
      </w:r>
    </w:p>
    <w:p w14:paraId="248A00A0" w14:textId="59692D1E" w:rsidR="00F65CD1" w:rsidRPr="0042208D" w:rsidRDefault="00F65CD1" w:rsidP="692BB23F">
      <w:pPr>
        <w:spacing w:after="200" w:line="276" w:lineRule="auto"/>
        <w:jc w:val="right"/>
        <w:rPr>
          <w:b/>
          <w:bCs/>
          <w:i/>
          <w:iCs/>
        </w:rPr>
      </w:pPr>
      <w:r w:rsidRPr="0042208D">
        <w:rPr>
          <w:b/>
          <w:bCs/>
        </w:rPr>
        <w:lastRenderedPageBreak/>
        <w:t xml:space="preserve">ATTACHMENT </w:t>
      </w:r>
      <w:r w:rsidR="000A3F59" w:rsidRPr="0042208D">
        <w:rPr>
          <w:b/>
          <w:bCs/>
        </w:rPr>
        <w:t>A</w:t>
      </w:r>
    </w:p>
    <w:p w14:paraId="5D46C5BA" w14:textId="77777777" w:rsidR="00F65CD1" w:rsidRPr="0042208D" w:rsidRDefault="00F65CD1" w:rsidP="00FE635F">
      <w:pPr>
        <w:jc w:val="both"/>
        <w:rPr>
          <w:b/>
        </w:rPr>
      </w:pPr>
    </w:p>
    <w:p w14:paraId="7F1C54F8" w14:textId="39324F8A" w:rsidR="00F65CD1" w:rsidRPr="0042208D" w:rsidRDefault="00F65CD1" w:rsidP="325FB5DF">
      <w:pPr>
        <w:jc w:val="both"/>
        <w:rPr>
          <w:b/>
          <w:bCs/>
        </w:rPr>
      </w:pPr>
      <w:r w:rsidRPr="0042208D">
        <w:rPr>
          <w:b/>
          <w:bCs/>
        </w:rPr>
        <w:t xml:space="preserve">Details of the </w:t>
      </w:r>
      <w:r w:rsidRPr="0042208D">
        <w:rPr>
          <w:b/>
          <w:bCs/>
          <w:i/>
          <w:iCs/>
        </w:rPr>
        <w:t xml:space="preserve">National Health (Immunisation Program – Designated Vaccines) Amendment Determination (No. </w:t>
      </w:r>
      <w:r w:rsidR="00F8350B" w:rsidRPr="0042208D">
        <w:rPr>
          <w:b/>
          <w:bCs/>
          <w:i/>
          <w:iCs/>
        </w:rPr>
        <w:t>2</w:t>
      </w:r>
      <w:r w:rsidRPr="0042208D">
        <w:rPr>
          <w:b/>
          <w:bCs/>
          <w:i/>
          <w:iCs/>
        </w:rPr>
        <w:t>) 20</w:t>
      </w:r>
      <w:r w:rsidR="001A59A8" w:rsidRPr="0042208D">
        <w:rPr>
          <w:b/>
          <w:bCs/>
          <w:i/>
          <w:iCs/>
        </w:rPr>
        <w:t>2</w:t>
      </w:r>
      <w:r w:rsidR="00F8350B" w:rsidRPr="0042208D">
        <w:rPr>
          <w:b/>
          <w:bCs/>
          <w:i/>
          <w:iCs/>
        </w:rPr>
        <w:t>3</w:t>
      </w:r>
      <w:r w:rsidR="00E968B1" w:rsidRPr="0042208D">
        <w:rPr>
          <w:b/>
          <w:bCs/>
          <w:i/>
          <w:iCs/>
        </w:rPr>
        <w:t xml:space="preserve"> </w:t>
      </w:r>
    </w:p>
    <w:p w14:paraId="7CF4BD94" w14:textId="77777777" w:rsidR="00F65CD1" w:rsidRPr="00986512" w:rsidRDefault="00F65CD1" w:rsidP="00FE635F">
      <w:pPr>
        <w:jc w:val="both"/>
        <w:rPr>
          <w:b/>
        </w:rPr>
      </w:pPr>
    </w:p>
    <w:p w14:paraId="6CCD845B" w14:textId="77777777" w:rsidR="000C5B78" w:rsidRPr="00986512" w:rsidRDefault="000C5B78" w:rsidP="00FE635F">
      <w:pPr>
        <w:jc w:val="both"/>
        <w:rPr>
          <w:b/>
        </w:rPr>
      </w:pPr>
    </w:p>
    <w:p w14:paraId="5419D0F9" w14:textId="77777777" w:rsidR="00F65CD1" w:rsidRPr="00986512" w:rsidRDefault="00F65CD1" w:rsidP="00FE635F">
      <w:pPr>
        <w:jc w:val="both"/>
        <w:rPr>
          <w:b/>
          <w:bCs/>
        </w:rPr>
      </w:pPr>
      <w:r w:rsidRPr="00986512">
        <w:rPr>
          <w:b/>
          <w:bCs/>
        </w:rPr>
        <w:t>Section 1 – Name</w:t>
      </w:r>
    </w:p>
    <w:p w14:paraId="7D72C42F" w14:textId="77777777" w:rsidR="00F65CD1" w:rsidRPr="00986512" w:rsidRDefault="00F65CD1" w:rsidP="00FE635F">
      <w:pPr>
        <w:jc w:val="both"/>
      </w:pPr>
    </w:p>
    <w:p w14:paraId="36DD3636" w14:textId="22853AEB" w:rsidR="00F65CD1" w:rsidRPr="00986512" w:rsidRDefault="00F65CD1" w:rsidP="325FB5DF">
      <w:pPr>
        <w:jc w:val="both"/>
        <w:rPr>
          <w:i/>
          <w:iCs/>
        </w:rPr>
      </w:pPr>
      <w:r w:rsidRPr="00986512">
        <w:t xml:space="preserve">Section 1 provides that the name of the instrument is the </w:t>
      </w:r>
      <w:r w:rsidRPr="00986512">
        <w:rPr>
          <w:i/>
          <w:iCs/>
        </w:rPr>
        <w:t>National Health (Immunisation Program – Designated Vaccines) Amendment Determination (No.1) 202</w:t>
      </w:r>
      <w:r w:rsidR="0001028C" w:rsidRPr="00986512">
        <w:rPr>
          <w:i/>
          <w:iCs/>
        </w:rPr>
        <w:t>3</w:t>
      </w:r>
      <w:r w:rsidR="007D052F" w:rsidRPr="00986512">
        <w:rPr>
          <w:i/>
          <w:iCs/>
        </w:rPr>
        <w:t xml:space="preserve"> </w:t>
      </w:r>
      <w:r w:rsidR="007D052F" w:rsidRPr="00986512">
        <w:t>(the Amendment Determination)</w:t>
      </w:r>
      <w:r w:rsidRPr="00986512">
        <w:rPr>
          <w:i/>
          <w:iCs/>
        </w:rPr>
        <w:t>.</w:t>
      </w:r>
    </w:p>
    <w:p w14:paraId="5F758843" w14:textId="77777777" w:rsidR="00F65CD1" w:rsidRPr="00986512" w:rsidRDefault="00F65CD1" w:rsidP="00FE635F">
      <w:pPr>
        <w:jc w:val="both"/>
      </w:pPr>
    </w:p>
    <w:p w14:paraId="3AF95997" w14:textId="77777777" w:rsidR="00F65CD1" w:rsidRPr="00986512" w:rsidRDefault="00F65CD1" w:rsidP="00FE635F">
      <w:pPr>
        <w:jc w:val="both"/>
        <w:rPr>
          <w:b/>
          <w:bCs/>
        </w:rPr>
      </w:pPr>
      <w:r w:rsidRPr="00986512">
        <w:rPr>
          <w:b/>
          <w:bCs/>
        </w:rPr>
        <w:t>Section 2 - Commencement</w:t>
      </w:r>
    </w:p>
    <w:p w14:paraId="0AEEDB3D" w14:textId="77777777" w:rsidR="00F65CD1" w:rsidRPr="00986512" w:rsidRDefault="00F65CD1" w:rsidP="00FE635F">
      <w:pPr>
        <w:jc w:val="both"/>
        <w:rPr>
          <w:b/>
        </w:rPr>
      </w:pPr>
    </w:p>
    <w:p w14:paraId="085D5D6C" w14:textId="3CC63BCE" w:rsidR="00F65CD1" w:rsidRPr="00986512" w:rsidRDefault="00F65CD1" w:rsidP="00FE635F">
      <w:pPr>
        <w:jc w:val="both"/>
      </w:pPr>
      <w:r w:rsidRPr="00986512">
        <w:t xml:space="preserve">Section 2 provides that the Amendment Determination commences on </w:t>
      </w:r>
      <w:r w:rsidR="007D052F" w:rsidRPr="00986512">
        <w:t>1 November 2023</w:t>
      </w:r>
      <w:r w:rsidRPr="00986512">
        <w:t>.</w:t>
      </w:r>
    </w:p>
    <w:p w14:paraId="00D5BCCC" w14:textId="77777777" w:rsidR="00F65CD1" w:rsidRPr="00986512" w:rsidRDefault="00F65CD1" w:rsidP="00FE635F">
      <w:pPr>
        <w:jc w:val="both"/>
      </w:pPr>
    </w:p>
    <w:p w14:paraId="22B8994E" w14:textId="77777777" w:rsidR="00F65CD1" w:rsidRPr="00986512" w:rsidRDefault="00F65CD1" w:rsidP="00FE635F">
      <w:pPr>
        <w:jc w:val="both"/>
        <w:rPr>
          <w:b/>
          <w:bCs/>
        </w:rPr>
      </w:pPr>
      <w:r w:rsidRPr="00986512">
        <w:rPr>
          <w:b/>
          <w:bCs/>
        </w:rPr>
        <w:t>Section 3 - Authority</w:t>
      </w:r>
    </w:p>
    <w:p w14:paraId="1EDE0BD9" w14:textId="77777777" w:rsidR="00F65CD1" w:rsidRPr="00986512" w:rsidRDefault="00F65CD1" w:rsidP="00FE635F">
      <w:pPr>
        <w:jc w:val="both"/>
        <w:rPr>
          <w:b/>
        </w:rPr>
      </w:pPr>
    </w:p>
    <w:p w14:paraId="47793FE3" w14:textId="61D60192" w:rsidR="00F65CD1" w:rsidRPr="00986512" w:rsidRDefault="00F65CD1" w:rsidP="00FE635F">
      <w:pPr>
        <w:jc w:val="both"/>
        <w:rPr>
          <w:b/>
        </w:rPr>
      </w:pPr>
      <w:r w:rsidRPr="00986512">
        <w:t>Section 3 provides that the Amendment Determination is made under subsections 9</w:t>
      </w:r>
      <w:proofErr w:type="gramStart"/>
      <w:r w:rsidRPr="00986512">
        <w:t>B(</w:t>
      </w:r>
      <w:proofErr w:type="gramEnd"/>
      <w:r w:rsidRPr="00986512">
        <w:t xml:space="preserve">2) and (5) of the </w:t>
      </w:r>
      <w:r w:rsidRPr="00986512">
        <w:rPr>
          <w:i/>
          <w:iCs/>
        </w:rPr>
        <w:t>National Health Act 1953</w:t>
      </w:r>
      <w:r w:rsidR="00C055DE" w:rsidRPr="00986512">
        <w:rPr>
          <w:i/>
          <w:iCs/>
        </w:rPr>
        <w:t xml:space="preserve"> </w:t>
      </w:r>
      <w:r w:rsidR="00C055DE" w:rsidRPr="00986512">
        <w:t>(the Act)</w:t>
      </w:r>
      <w:r w:rsidRPr="00986512">
        <w:t>.</w:t>
      </w:r>
    </w:p>
    <w:p w14:paraId="1194C491" w14:textId="77777777" w:rsidR="00F65CD1" w:rsidRPr="00986512" w:rsidRDefault="00F65CD1" w:rsidP="00FE635F">
      <w:pPr>
        <w:jc w:val="both"/>
        <w:rPr>
          <w:b/>
        </w:rPr>
      </w:pPr>
    </w:p>
    <w:p w14:paraId="1345A96C" w14:textId="77777777" w:rsidR="00F65CD1" w:rsidRPr="00986512" w:rsidRDefault="00F65CD1" w:rsidP="00FE635F">
      <w:pPr>
        <w:jc w:val="both"/>
        <w:rPr>
          <w:b/>
          <w:bCs/>
        </w:rPr>
      </w:pPr>
      <w:r w:rsidRPr="00986512">
        <w:rPr>
          <w:b/>
          <w:bCs/>
        </w:rPr>
        <w:t>Section 4 - Schedules</w:t>
      </w:r>
    </w:p>
    <w:p w14:paraId="7281574B" w14:textId="77777777" w:rsidR="00F65CD1" w:rsidRPr="00986512" w:rsidRDefault="00F65CD1" w:rsidP="00FE635F">
      <w:pPr>
        <w:jc w:val="both"/>
        <w:rPr>
          <w:b/>
        </w:rPr>
      </w:pPr>
    </w:p>
    <w:p w14:paraId="66FEC7E3" w14:textId="7497583F" w:rsidR="00F65CD1" w:rsidRPr="00986512" w:rsidRDefault="00F65CD1" w:rsidP="00FE635F">
      <w:pPr>
        <w:jc w:val="both"/>
      </w:pPr>
      <w:r w:rsidRPr="00986512">
        <w:t xml:space="preserve">Section 4 provides that the Amendment Determination amends the instrument specified in a </w:t>
      </w:r>
      <w:r w:rsidR="00774F7D" w:rsidRPr="00986512">
        <w:t xml:space="preserve">Schedule </w:t>
      </w:r>
      <w:r w:rsidRPr="00986512">
        <w:t>to the Amendment Determination, and any other item in a Schedule to the instrument has effect according to its terms.</w:t>
      </w:r>
    </w:p>
    <w:p w14:paraId="72356315" w14:textId="77777777" w:rsidR="002F7E19" w:rsidRPr="00986512" w:rsidRDefault="002F7E19" w:rsidP="00FE635F">
      <w:pPr>
        <w:jc w:val="both"/>
        <w:rPr>
          <w:b/>
          <w:bCs/>
        </w:rPr>
      </w:pPr>
    </w:p>
    <w:p w14:paraId="63C2BC12" w14:textId="554925A1" w:rsidR="00F65CD1" w:rsidRPr="00986512" w:rsidRDefault="00F65CD1" w:rsidP="00FE635F">
      <w:pPr>
        <w:jc w:val="both"/>
        <w:rPr>
          <w:b/>
          <w:bCs/>
        </w:rPr>
      </w:pPr>
      <w:r w:rsidRPr="00986512">
        <w:rPr>
          <w:b/>
          <w:bCs/>
        </w:rPr>
        <w:t>Schedule 1 - Amendments</w:t>
      </w:r>
    </w:p>
    <w:p w14:paraId="40B5E4D1" w14:textId="77777777" w:rsidR="00F65CD1" w:rsidRPr="00986512" w:rsidRDefault="00F65CD1" w:rsidP="00FE635F">
      <w:pPr>
        <w:jc w:val="both"/>
      </w:pPr>
    </w:p>
    <w:p w14:paraId="1D17FD72" w14:textId="14EDC1E1" w:rsidR="00F65CD1" w:rsidRPr="0042208D" w:rsidRDefault="00F65CD1" w:rsidP="00FE635F">
      <w:pPr>
        <w:jc w:val="both"/>
      </w:pPr>
      <w:r w:rsidRPr="00986512">
        <w:t xml:space="preserve">Schedule 1 </w:t>
      </w:r>
      <w:r w:rsidR="002F7E19" w:rsidRPr="00986512">
        <w:t xml:space="preserve">amends </w:t>
      </w:r>
      <w:r w:rsidRPr="00986512">
        <w:t xml:space="preserve">the </w:t>
      </w:r>
      <w:r w:rsidRPr="00986512">
        <w:rPr>
          <w:i/>
        </w:rPr>
        <w:t>National Health (Immunisation Program – Designated Vaccines) Determination</w:t>
      </w:r>
      <w:r w:rsidRPr="0042208D">
        <w:rPr>
          <w:i/>
        </w:rPr>
        <w:t xml:space="preserve"> 2014 (No. 1) </w:t>
      </w:r>
      <w:r w:rsidRPr="0042208D">
        <w:t>(the Determination).</w:t>
      </w:r>
    </w:p>
    <w:p w14:paraId="3C62B7E2" w14:textId="77777777" w:rsidR="00F65CD1" w:rsidRPr="0042208D" w:rsidRDefault="00F65CD1" w:rsidP="00FE635F">
      <w:pPr>
        <w:jc w:val="both"/>
        <w:rPr>
          <w:b/>
          <w:i/>
        </w:rPr>
      </w:pPr>
    </w:p>
    <w:p w14:paraId="23A258D3" w14:textId="54F8B062" w:rsidR="00F65CD1" w:rsidRPr="0042208D" w:rsidRDefault="62C85B45" w:rsidP="295E67EC">
      <w:pPr>
        <w:jc w:val="both"/>
        <w:rPr>
          <w:b/>
          <w:bCs/>
          <w:color w:val="000000" w:themeColor="text1"/>
        </w:rPr>
      </w:pPr>
      <w:r w:rsidRPr="0042208D">
        <w:rPr>
          <w:b/>
          <w:bCs/>
          <w:color w:val="000000" w:themeColor="text1"/>
        </w:rPr>
        <w:t xml:space="preserve">Item 1 – </w:t>
      </w:r>
      <w:r w:rsidR="66F5BDD0" w:rsidRPr="0042208D">
        <w:rPr>
          <w:b/>
          <w:bCs/>
          <w:color w:val="000000" w:themeColor="text1"/>
        </w:rPr>
        <w:t>After subsection 7(9)</w:t>
      </w:r>
    </w:p>
    <w:p w14:paraId="1BF2E849" w14:textId="593C143F" w:rsidR="005A5CF0" w:rsidRPr="0042208D" w:rsidRDefault="62C85B45" w:rsidP="295E67EC">
      <w:pPr>
        <w:jc w:val="both"/>
        <w:rPr>
          <w:color w:val="000000" w:themeColor="text1"/>
        </w:rPr>
      </w:pPr>
      <w:r w:rsidRPr="0042208D">
        <w:rPr>
          <w:color w:val="000000" w:themeColor="text1"/>
        </w:rPr>
        <w:t xml:space="preserve">Item 1 </w:t>
      </w:r>
      <w:r w:rsidR="6113598E" w:rsidRPr="0042208D">
        <w:rPr>
          <w:color w:val="000000" w:themeColor="text1"/>
        </w:rPr>
        <w:t xml:space="preserve">inserts </w:t>
      </w:r>
      <w:r w:rsidR="0037774F" w:rsidRPr="0042208D">
        <w:rPr>
          <w:color w:val="000000" w:themeColor="text1"/>
        </w:rPr>
        <w:t>a new subsection 7(9A)</w:t>
      </w:r>
      <w:r w:rsidR="003A517F" w:rsidRPr="0042208D">
        <w:rPr>
          <w:color w:val="000000" w:themeColor="text1"/>
        </w:rPr>
        <w:t xml:space="preserve"> after subsection 7(9) of the Determination. For</w:t>
      </w:r>
      <w:r w:rsidR="6113598E" w:rsidRPr="0042208D">
        <w:rPr>
          <w:color w:val="000000" w:themeColor="text1"/>
        </w:rPr>
        <w:t xml:space="preserve"> item 210A of Schedule 1</w:t>
      </w:r>
      <w:r w:rsidR="003A517F" w:rsidRPr="0042208D">
        <w:rPr>
          <w:color w:val="000000" w:themeColor="text1"/>
        </w:rPr>
        <w:t>, subsection 7(</w:t>
      </w:r>
      <w:r w:rsidR="2018CE50" w:rsidRPr="0042208D">
        <w:rPr>
          <w:color w:val="000000" w:themeColor="text1"/>
        </w:rPr>
        <w:t>9A</w:t>
      </w:r>
      <w:r w:rsidR="003A517F" w:rsidRPr="0042208D">
        <w:rPr>
          <w:color w:val="000000" w:themeColor="text1"/>
        </w:rPr>
        <w:t>)</w:t>
      </w:r>
      <w:r w:rsidR="2018CE50" w:rsidRPr="0042208D">
        <w:rPr>
          <w:color w:val="000000" w:themeColor="text1"/>
        </w:rPr>
        <w:t xml:space="preserve"> specifies </w:t>
      </w:r>
      <w:r w:rsidR="6113598E" w:rsidRPr="0042208D">
        <w:rPr>
          <w:color w:val="000000" w:themeColor="text1"/>
        </w:rPr>
        <w:t xml:space="preserve">the </w:t>
      </w:r>
      <w:r w:rsidR="00AA5428" w:rsidRPr="0042208D">
        <w:rPr>
          <w:color w:val="000000" w:themeColor="text1"/>
        </w:rPr>
        <w:t>persons to whom</w:t>
      </w:r>
      <w:r w:rsidR="003A517F" w:rsidRPr="0042208D">
        <w:rPr>
          <w:color w:val="000000" w:themeColor="text1"/>
        </w:rPr>
        <w:t xml:space="preserve"> </w:t>
      </w:r>
      <w:r w:rsidR="6113598E" w:rsidRPr="0042208D">
        <w:rPr>
          <w:color w:val="000000" w:themeColor="text1"/>
        </w:rPr>
        <w:t xml:space="preserve">the </w:t>
      </w:r>
      <w:r w:rsidR="6F874EF3" w:rsidRPr="0042208D">
        <w:rPr>
          <w:color w:val="000000" w:themeColor="text1"/>
        </w:rPr>
        <w:t>designated</w:t>
      </w:r>
      <w:r w:rsidR="6113598E" w:rsidRPr="0042208D">
        <w:rPr>
          <w:color w:val="000000" w:themeColor="text1"/>
        </w:rPr>
        <w:t xml:space="preserve"> vaccine Flucel</w:t>
      </w:r>
      <w:r w:rsidR="1951A85C" w:rsidRPr="0042208D">
        <w:rPr>
          <w:color w:val="000000" w:themeColor="text1"/>
        </w:rPr>
        <w:t>vax</w:t>
      </w:r>
      <w:r w:rsidR="6113598E" w:rsidRPr="0042208D">
        <w:rPr>
          <w:color w:val="000000" w:themeColor="text1"/>
        </w:rPr>
        <w:t xml:space="preserve"> may be provided. </w:t>
      </w:r>
      <w:r w:rsidR="00763FFC" w:rsidRPr="0042208D">
        <w:rPr>
          <w:color w:val="000000" w:themeColor="text1"/>
        </w:rPr>
        <w:t>The persons to whom a Flucelvax may be provided under this provision are</w:t>
      </w:r>
      <w:r w:rsidR="00716DAD" w:rsidRPr="0042208D">
        <w:rPr>
          <w:color w:val="000000" w:themeColor="text1"/>
        </w:rPr>
        <w:t xml:space="preserve">: </w:t>
      </w:r>
    </w:p>
    <w:p w14:paraId="5713D5F5" w14:textId="77777777" w:rsidR="005A5CF0" w:rsidRPr="0042208D" w:rsidRDefault="005A5CF0" w:rsidP="005A5CF0">
      <w:pPr>
        <w:pStyle w:val="paragraph"/>
        <w:rPr>
          <w:sz w:val="24"/>
          <w:szCs w:val="24"/>
        </w:rPr>
      </w:pPr>
      <w:r w:rsidRPr="0042208D">
        <w:rPr>
          <w:sz w:val="24"/>
          <w:szCs w:val="24"/>
        </w:rPr>
        <w:tab/>
        <w:t>(a)</w:t>
      </w:r>
      <w:r w:rsidRPr="0042208D">
        <w:rPr>
          <w:sz w:val="24"/>
          <w:szCs w:val="24"/>
        </w:rPr>
        <w:tab/>
        <w:t>an Aboriginal or Torres Strait Islander who is at least 5 years of age but less than 65 years of age;</w:t>
      </w:r>
    </w:p>
    <w:p w14:paraId="2F03F597" w14:textId="77777777" w:rsidR="005A5CF0" w:rsidRPr="0042208D" w:rsidRDefault="005A5CF0" w:rsidP="005A5CF0">
      <w:pPr>
        <w:pStyle w:val="paragraph"/>
        <w:rPr>
          <w:sz w:val="24"/>
          <w:szCs w:val="24"/>
        </w:rPr>
      </w:pPr>
      <w:r w:rsidRPr="0042208D">
        <w:rPr>
          <w:sz w:val="24"/>
          <w:szCs w:val="24"/>
        </w:rPr>
        <w:tab/>
        <w:t>(b)</w:t>
      </w:r>
      <w:r w:rsidRPr="0042208D">
        <w:rPr>
          <w:sz w:val="24"/>
          <w:szCs w:val="24"/>
        </w:rPr>
        <w:tab/>
        <w:t>a person who is at least 5 years of age but less than 65 years of age and who:</w:t>
      </w:r>
    </w:p>
    <w:p w14:paraId="45F176AD" w14:textId="77777777" w:rsidR="005A5CF0" w:rsidRPr="0042208D" w:rsidRDefault="005A5CF0" w:rsidP="005A5CF0">
      <w:pPr>
        <w:pStyle w:val="paragraphsub"/>
        <w:rPr>
          <w:sz w:val="24"/>
          <w:szCs w:val="24"/>
        </w:rPr>
      </w:pPr>
      <w:r w:rsidRPr="0042208D">
        <w:rPr>
          <w:sz w:val="24"/>
          <w:szCs w:val="24"/>
        </w:rPr>
        <w:tab/>
        <w:t>(</w:t>
      </w:r>
      <w:proofErr w:type="spellStart"/>
      <w:r w:rsidRPr="0042208D">
        <w:rPr>
          <w:sz w:val="24"/>
          <w:szCs w:val="24"/>
        </w:rPr>
        <w:t>i</w:t>
      </w:r>
      <w:proofErr w:type="spellEnd"/>
      <w:r w:rsidRPr="0042208D">
        <w:rPr>
          <w:sz w:val="24"/>
          <w:szCs w:val="24"/>
        </w:rPr>
        <w:t>)</w:t>
      </w:r>
      <w:r w:rsidRPr="0042208D">
        <w:rPr>
          <w:sz w:val="24"/>
          <w:szCs w:val="24"/>
        </w:rPr>
        <w:tab/>
        <w:t>has cardiac disease including cyanotic congenital heart disease, coronary artery disease and congestive heart failure; or</w:t>
      </w:r>
    </w:p>
    <w:p w14:paraId="5B629600" w14:textId="4327F1F1" w:rsidR="005A5CF0" w:rsidRPr="0042208D" w:rsidRDefault="005A5CF0" w:rsidP="005A5CF0">
      <w:pPr>
        <w:pStyle w:val="paragraphsub"/>
        <w:rPr>
          <w:sz w:val="24"/>
          <w:szCs w:val="24"/>
        </w:rPr>
      </w:pPr>
      <w:r w:rsidRPr="0042208D">
        <w:rPr>
          <w:sz w:val="24"/>
          <w:szCs w:val="24"/>
        </w:rPr>
        <w:tab/>
        <w:t>(ii)</w:t>
      </w:r>
      <w:r w:rsidRPr="0042208D">
        <w:rPr>
          <w:sz w:val="24"/>
          <w:szCs w:val="24"/>
        </w:rPr>
        <w:tab/>
        <w:t>has a chronic respiratory condition including suppurative lung disease, bronchiectasis, cystic fibrosis, chronic obstructive pulmonary disease, chronic emphysema</w:t>
      </w:r>
      <w:r w:rsidR="00D02194" w:rsidRPr="0042208D">
        <w:rPr>
          <w:sz w:val="24"/>
          <w:szCs w:val="24"/>
        </w:rPr>
        <w:t>,</w:t>
      </w:r>
      <w:r w:rsidRPr="0042208D">
        <w:rPr>
          <w:sz w:val="24"/>
          <w:szCs w:val="24"/>
        </w:rPr>
        <w:t xml:space="preserve"> and severe asthma; or</w:t>
      </w:r>
    </w:p>
    <w:p w14:paraId="70215EF4" w14:textId="77777777" w:rsidR="005A5CF0" w:rsidRPr="0042208D" w:rsidRDefault="005A5CF0" w:rsidP="005A5CF0">
      <w:pPr>
        <w:pStyle w:val="paragraphsub"/>
        <w:rPr>
          <w:sz w:val="24"/>
          <w:szCs w:val="24"/>
        </w:rPr>
      </w:pPr>
      <w:r w:rsidRPr="0042208D">
        <w:rPr>
          <w:sz w:val="24"/>
          <w:szCs w:val="24"/>
        </w:rPr>
        <w:tab/>
        <w:t>(iii)</w:t>
      </w:r>
      <w:r w:rsidRPr="0042208D">
        <w:rPr>
          <w:sz w:val="24"/>
          <w:szCs w:val="24"/>
        </w:rPr>
        <w:tab/>
        <w:t>has another chronic illness requiring regular medical follow</w:t>
      </w:r>
      <w:r w:rsidRPr="0042208D">
        <w:rPr>
          <w:sz w:val="24"/>
          <w:szCs w:val="24"/>
        </w:rPr>
        <w:noBreakHyphen/>
        <w:t>up or hospitalisation in the preceding year, including diabetes mellitus, chronic metabolic diseases, chronic renal failure, haemoglobinopathies and impaired immunity (including drug</w:t>
      </w:r>
      <w:r w:rsidRPr="0042208D">
        <w:rPr>
          <w:sz w:val="24"/>
          <w:szCs w:val="24"/>
        </w:rPr>
        <w:noBreakHyphen/>
        <w:t>induced immune impairment); or</w:t>
      </w:r>
    </w:p>
    <w:p w14:paraId="4B44B87E" w14:textId="77777777" w:rsidR="005A5CF0" w:rsidRPr="0042208D" w:rsidRDefault="005A5CF0" w:rsidP="005A5CF0">
      <w:pPr>
        <w:pStyle w:val="paragraphsub"/>
        <w:rPr>
          <w:sz w:val="24"/>
          <w:szCs w:val="24"/>
        </w:rPr>
      </w:pPr>
      <w:r w:rsidRPr="0042208D">
        <w:rPr>
          <w:sz w:val="24"/>
          <w:szCs w:val="24"/>
        </w:rPr>
        <w:tab/>
        <w:t>(iv)</w:t>
      </w:r>
      <w:r w:rsidRPr="0042208D">
        <w:rPr>
          <w:sz w:val="24"/>
          <w:szCs w:val="24"/>
        </w:rPr>
        <w:tab/>
        <w:t>has a chronic neurological condition, including multiple sclerosis, spinal cord injuries, seizure disorders or other neuromuscular disorders; or</w:t>
      </w:r>
    </w:p>
    <w:p w14:paraId="26668B5F" w14:textId="77777777" w:rsidR="005A5CF0" w:rsidRPr="0042208D" w:rsidRDefault="005A5CF0" w:rsidP="005A5CF0">
      <w:pPr>
        <w:pStyle w:val="paragraphsub"/>
        <w:rPr>
          <w:sz w:val="24"/>
          <w:szCs w:val="24"/>
        </w:rPr>
      </w:pPr>
      <w:r w:rsidRPr="0042208D">
        <w:rPr>
          <w:sz w:val="24"/>
          <w:szCs w:val="24"/>
        </w:rPr>
        <w:lastRenderedPageBreak/>
        <w:tab/>
        <w:t>(v)</w:t>
      </w:r>
      <w:r w:rsidRPr="0042208D">
        <w:rPr>
          <w:sz w:val="24"/>
          <w:szCs w:val="24"/>
        </w:rPr>
        <w:tab/>
        <w:t xml:space="preserve">has impaired immunity, including HIV </w:t>
      </w:r>
      <w:proofErr w:type="gramStart"/>
      <w:r w:rsidRPr="0042208D">
        <w:rPr>
          <w:sz w:val="24"/>
          <w:szCs w:val="24"/>
        </w:rPr>
        <w:t>infection;</w:t>
      </w:r>
      <w:proofErr w:type="gramEnd"/>
    </w:p>
    <w:p w14:paraId="46FD8DEF" w14:textId="77777777" w:rsidR="005A5CF0" w:rsidRPr="0042208D" w:rsidRDefault="005A5CF0" w:rsidP="005A5CF0">
      <w:pPr>
        <w:pStyle w:val="paragraph"/>
        <w:rPr>
          <w:sz w:val="24"/>
          <w:szCs w:val="24"/>
        </w:rPr>
      </w:pPr>
      <w:r w:rsidRPr="0042208D">
        <w:rPr>
          <w:sz w:val="24"/>
          <w:szCs w:val="24"/>
        </w:rPr>
        <w:tab/>
        <w:t>(c)</w:t>
      </w:r>
      <w:r w:rsidRPr="0042208D">
        <w:rPr>
          <w:sz w:val="24"/>
          <w:szCs w:val="24"/>
        </w:rPr>
        <w:tab/>
        <w:t>a person who is at least 5 years of age but less than 11 years of age and is receiving long</w:t>
      </w:r>
      <w:r w:rsidRPr="0042208D">
        <w:rPr>
          <w:sz w:val="24"/>
          <w:szCs w:val="24"/>
        </w:rPr>
        <w:noBreakHyphen/>
        <w:t>term aspirin therapy;</w:t>
      </w:r>
    </w:p>
    <w:p w14:paraId="2CE0A3A3" w14:textId="3E1FDDB0" w:rsidR="005A5CF0" w:rsidRPr="0042208D" w:rsidRDefault="005A5CF0" w:rsidP="005A5CF0">
      <w:pPr>
        <w:pStyle w:val="paragraph"/>
        <w:rPr>
          <w:sz w:val="24"/>
          <w:szCs w:val="24"/>
        </w:rPr>
      </w:pPr>
      <w:r w:rsidRPr="0042208D">
        <w:rPr>
          <w:sz w:val="24"/>
          <w:szCs w:val="24"/>
        </w:rPr>
        <w:tab/>
        <w:t>(d)</w:t>
      </w:r>
      <w:r w:rsidRPr="0042208D">
        <w:rPr>
          <w:sz w:val="24"/>
          <w:szCs w:val="24"/>
        </w:rPr>
        <w:tab/>
        <w:t>a woman who is pregnant.</w:t>
      </w:r>
    </w:p>
    <w:p w14:paraId="374AAB07" w14:textId="51333415" w:rsidR="00F65CD1" w:rsidRPr="0042208D" w:rsidRDefault="00F65CD1" w:rsidP="295E67EC">
      <w:pPr>
        <w:jc w:val="both"/>
        <w:rPr>
          <w:color w:val="000000" w:themeColor="text1"/>
        </w:rPr>
      </w:pPr>
    </w:p>
    <w:p w14:paraId="32353F28" w14:textId="0F866E72" w:rsidR="00F65CD1" w:rsidRPr="0042208D" w:rsidRDefault="00F65CD1" w:rsidP="295E67EC">
      <w:pPr>
        <w:jc w:val="both"/>
        <w:rPr>
          <w:b/>
          <w:bCs/>
          <w:color w:val="000000" w:themeColor="text1"/>
        </w:rPr>
      </w:pPr>
      <w:r w:rsidRPr="0042208D">
        <w:rPr>
          <w:b/>
          <w:bCs/>
          <w:color w:val="000000" w:themeColor="text1"/>
        </w:rPr>
        <w:t xml:space="preserve">Item </w:t>
      </w:r>
      <w:r w:rsidR="1BF854A0" w:rsidRPr="0042208D">
        <w:rPr>
          <w:b/>
          <w:bCs/>
          <w:color w:val="000000" w:themeColor="text1"/>
        </w:rPr>
        <w:t>2</w:t>
      </w:r>
      <w:r w:rsidRPr="0042208D">
        <w:rPr>
          <w:b/>
          <w:bCs/>
          <w:color w:val="000000" w:themeColor="text1"/>
        </w:rPr>
        <w:t xml:space="preserve"> –</w:t>
      </w:r>
      <w:r w:rsidR="00E968B1" w:rsidRPr="0042208D">
        <w:rPr>
          <w:b/>
          <w:bCs/>
          <w:color w:val="000000" w:themeColor="text1"/>
        </w:rPr>
        <w:t xml:space="preserve"> </w:t>
      </w:r>
      <w:r w:rsidR="00FC2C84" w:rsidRPr="0042208D">
        <w:rPr>
          <w:b/>
          <w:bCs/>
          <w:color w:val="000000" w:themeColor="text1"/>
        </w:rPr>
        <w:t>Part 2 of Schedule 1</w:t>
      </w:r>
      <w:r w:rsidR="0DFBA882" w:rsidRPr="0042208D">
        <w:rPr>
          <w:b/>
          <w:bCs/>
          <w:color w:val="000000" w:themeColor="text1"/>
        </w:rPr>
        <w:t xml:space="preserve"> (table item 108C, column headed “</w:t>
      </w:r>
      <w:r w:rsidR="00D02194" w:rsidRPr="0042208D">
        <w:rPr>
          <w:b/>
          <w:bCs/>
          <w:color w:val="000000" w:themeColor="text1"/>
        </w:rPr>
        <w:t>A</w:t>
      </w:r>
      <w:r w:rsidR="0DFBA882" w:rsidRPr="0042208D">
        <w:rPr>
          <w:b/>
          <w:bCs/>
          <w:color w:val="000000" w:themeColor="text1"/>
        </w:rPr>
        <w:t>ctive ingredient and strength”)</w:t>
      </w:r>
    </w:p>
    <w:p w14:paraId="396550C0" w14:textId="1D3F9D31" w:rsidR="00D9005D" w:rsidRPr="0042208D" w:rsidRDefault="001570B8" w:rsidP="325FB5DF">
      <w:pPr>
        <w:jc w:val="both"/>
        <w:rPr>
          <w:color w:val="000000" w:themeColor="text1"/>
        </w:rPr>
      </w:pPr>
      <w:r w:rsidRPr="0042208D">
        <w:rPr>
          <w:color w:val="000000" w:themeColor="text1"/>
        </w:rPr>
        <w:t xml:space="preserve">Item </w:t>
      </w:r>
      <w:r w:rsidR="5F3BFCBB" w:rsidRPr="0042208D">
        <w:rPr>
          <w:color w:val="000000" w:themeColor="text1"/>
        </w:rPr>
        <w:t>2</w:t>
      </w:r>
      <w:r w:rsidRPr="0042208D">
        <w:rPr>
          <w:color w:val="000000" w:themeColor="text1"/>
        </w:rPr>
        <w:t xml:space="preserve"> amends table item 108C </w:t>
      </w:r>
      <w:r w:rsidR="000C7E6C" w:rsidRPr="0042208D">
        <w:rPr>
          <w:color w:val="000000" w:themeColor="text1"/>
        </w:rPr>
        <w:t xml:space="preserve">of </w:t>
      </w:r>
      <w:r w:rsidR="00795A7E" w:rsidRPr="0042208D">
        <w:rPr>
          <w:color w:val="000000" w:themeColor="text1"/>
        </w:rPr>
        <w:t xml:space="preserve">Part 2 of </w:t>
      </w:r>
      <w:r w:rsidR="000C7E6C" w:rsidRPr="0042208D">
        <w:rPr>
          <w:color w:val="000000" w:themeColor="text1"/>
        </w:rPr>
        <w:t xml:space="preserve">Schedule 1 of the Determination </w:t>
      </w:r>
      <w:r w:rsidRPr="0042208D">
        <w:rPr>
          <w:color w:val="000000" w:themeColor="text1"/>
        </w:rPr>
        <w:t>to omit</w:t>
      </w:r>
      <w:r w:rsidR="00C34109" w:rsidRPr="0042208D">
        <w:rPr>
          <w:color w:val="000000" w:themeColor="text1"/>
        </w:rPr>
        <w:t xml:space="preserve"> </w:t>
      </w:r>
      <w:r w:rsidR="00F1179F" w:rsidRPr="0042208D">
        <w:rPr>
          <w:color w:val="000000" w:themeColor="text1"/>
        </w:rPr>
        <w:t>the reference to reconstitution in the listing for</w:t>
      </w:r>
      <w:r w:rsidR="003C375D" w:rsidRPr="0042208D">
        <w:rPr>
          <w:color w:val="000000" w:themeColor="text1"/>
        </w:rPr>
        <w:t xml:space="preserve"> designated vaccine</w:t>
      </w:r>
      <w:r w:rsidR="00F1179F" w:rsidRPr="0042208D">
        <w:rPr>
          <w:color w:val="000000" w:themeColor="text1"/>
        </w:rPr>
        <w:t xml:space="preserve"> </w:t>
      </w:r>
      <w:proofErr w:type="spellStart"/>
      <w:r w:rsidR="00F1179F" w:rsidRPr="0042208D">
        <w:t>MenQuadfi</w:t>
      </w:r>
      <w:proofErr w:type="spellEnd"/>
      <w:r w:rsidR="00F1179F" w:rsidRPr="0042208D">
        <w:rPr>
          <w:color w:val="000000" w:themeColor="text1"/>
        </w:rPr>
        <w:t>®</w:t>
      </w:r>
      <w:r w:rsidRPr="0042208D">
        <w:rPr>
          <w:color w:val="000000" w:themeColor="text1"/>
        </w:rPr>
        <w:t>.</w:t>
      </w:r>
      <w:r w:rsidR="003C375D" w:rsidRPr="0042208D">
        <w:rPr>
          <w:color w:val="000000" w:themeColor="text1"/>
        </w:rPr>
        <w:t xml:space="preserve"> This corrects </w:t>
      </w:r>
      <w:r w:rsidR="00D9005D" w:rsidRPr="0042208D">
        <w:t xml:space="preserve">an error on </w:t>
      </w:r>
      <w:r w:rsidR="00D9005D" w:rsidRPr="0042208D">
        <w:rPr>
          <w:color w:val="000000" w:themeColor="text1"/>
        </w:rPr>
        <w:t xml:space="preserve">the listing of </w:t>
      </w:r>
      <w:proofErr w:type="spellStart"/>
      <w:r w:rsidR="00D9005D" w:rsidRPr="0042208D">
        <w:t>MenQuadfi</w:t>
      </w:r>
      <w:proofErr w:type="spellEnd"/>
      <w:r w:rsidR="00D9005D" w:rsidRPr="0042208D">
        <w:rPr>
          <w:color w:val="000000" w:themeColor="text1"/>
        </w:rPr>
        <w:t>®</w:t>
      </w:r>
      <w:r w:rsidR="003C375D" w:rsidRPr="0042208D">
        <w:rPr>
          <w:lang w:eastAsia="en-US"/>
        </w:rPr>
        <w:t xml:space="preserve">, reflecting that it </w:t>
      </w:r>
      <w:r w:rsidR="00D9005D" w:rsidRPr="0042208D">
        <w:rPr>
          <w:lang w:eastAsia="en-US"/>
        </w:rPr>
        <w:t xml:space="preserve">is a fully liquid formulation and does not require reconstitution. </w:t>
      </w:r>
    </w:p>
    <w:p w14:paraId="4B861340" w14:textId="24636708" w:rsidR="295E67EC" w:rsidRPr="0042208D" w:rsidRDefault="295E67EC" w:rsidP="295E67EC">
      <w:pPr>
        <w:jc w:val="both"/>
        <w:rPr>
          <w:color w:val="000000" w:themeColor="text1"/>
        </w:rPr>
      </w:pPr>
    </w:p>
    <w:p w14:paraId="6D64B69C" w14:textId="13CB1CB5" w:rsidR="74FF0481" w:rsidRPr="0042208D" w:rsidRDefault="74FF0481" w:rsidP="295E67EC">
      <w:pPr>
        <w:jc w:val="both"/>
        <w:rPr>
          <w:b/>
          <w:bCs/>
          <w:color w:val="000000" w:themeColor="text1"/>
        </w:rPr>
      </w:pPr>
      <w:r w:rsidRPr="0042208D">
        <w:rPr>
          <w:b/>
          <w:bCs/>
          <w:color w:val="000000" w:themeColor="text1"/>
        </w:rPr>
        <w:t xml:space="preserve">Item </w:t>
      </w:r>
      <w:r w:rsidR="5DD8F1CF" w:rsidRPr="0042208D">
        <w:rPr>
          <w:b/>
          <w:bCs/>
          <w:color w:val="000000" w:themeColor="text1"/>
        </w:rPr>
        <w:t>3</w:t>
      </w:r>
      <w:r w:rsidRPr="0042208D">
        <w:rPr>
          <w:b/>
          <w:bCs/>
          <w:color w:val="000000" w:themeColor="text1"/>
        </w:rPr>
        <w:t xml:space="preserve"> – Part 2 of Schedule 1</w:t>
      </w:r>
      <w:r w:rsidR="3E4BA39D" w:rsidRPr="0042208D">
        <w:rPr>
          <w:b/>
          <w:bCs/>
          <w:color w:val="000000" w:themeColor="text1"/>
        </w:rPr>
        <w:t xml:space="preserve"> </w:t>
      </w:r>
      <w:r w:rsidR="060398F5" w:rsidRPr="0042208D">
        <w:rPr>
          <w:b/>
          <w:bCs/>
          <w:color w:val="000000" w:themeColor="text1"/>
        </w:rPr>
        <w:t>(after table item 210)</w:t>
      </w:r>
    </w:p>
    <w:p w14:paraId="32F0F978" w14:textId="41D4F89E" w:rsidR="74FF0481" w:rsidRPr="0042208D" w:rsidRDefault="74FF0481" w:rsidP="295E67EC">
      <w:pPr>
        <w:jc w:val="both"/>
      </w:pPr>
      <w:r w:rsidRPr="0042208D">
        <w:rPr>
          <w:color w:val="000000" w:themeColor="text1"/>
        </w:rPr>
        <w:t xml:space="preserve">Item </w:t>
      </w:r>
      <w:r w:rsidR="10CB3225" w:rsidRPr="0042208D">
        <w:rPr>
          <w:color w:val="000000" w:themeColor="text1"/>
        </w:rPr>
        <w:t xml:space="preserve">3 inserts </w:t>
      </w:r>
      <w:r w:rsidR="00D71920" w:rsidRPr="0042208D">
        <w:rPr>
          <w:color w:val="000000" w:themeColor="text1"/>
        </w:rPr>
        <w:t xml:space="preserve">a new </w:t>
      </w:r>
      <w:r w:rsidR="303EAECD" w:rsidRPr="0042208D">
        <w:rPr>
          <w:color w:val="000000" w:themeColor="text1"/>
        </w:rPr>
        <w:t>table item 210A</w:t>
      </w:r>
      <w:r w:rsidR="00795A7E" w:rsidRPr="0042208D">
        <w:rPr>
          <w:color w:val="000000" w:themeColor="text1"/>
        </w:rPr>
        <w:t xml:space="preserve"> into </w:t>
      </w:r>
      <w:r w:rsidR="303EAECD" w:rsidRPr="0042208D">
        <w:rPr>
          <w:color w:val="000000" w:themeColor="text1"/>
        </w:rPr>
        <w:t>Part 2 of Schedule 1</w:t>
      </w:r>
      <w:r w:rsidR="00795A7E" w:rsidRPr="0042208D">
        <w:rPr>
          <w:color w:val="000000" w:themeColor="text1"/>
        </w:rPr>
        <w:t xml:space="preserve"> to</w:t>
      </w:r>
      <w:r w:rsidR="303EAECD" w:rsidRPr="0042208D">
        <w:rPr>
          <w:color w:val="000000" w:themeColor="text1"/>
        </w:rPr>
        <w:t xml:space="preserve"> determine that </w:t>
      </w:r>
      <w:r w:rsidR="00795A7E" w:rsidRPr="0042208D">
        <w:rPr>
          <w:color w:val="000000" w:themeColor="text1"/>
        </w:rPr>
        <w:t>i</w:t>
      </w:r>
      <w:r w:rsidR="303EAECD" w:rsidRPr="0042208D">
        <w:rPr>
          <w:color w:val="000000" w:themeColor="text1"/>
        </w:rPr>
        <w:t xml:space="preserve">nfluenza vaccine </w:t>
      </w:r>
      <w:r w:rsidR="3A752ECB" w:rsidRPr="0042208D">
        <w:t>Flucelvax® Quad is a designated vaccine for the purposes of the Act</w:t>
      </w:r>
      <w:r w:rsidR="005F2C6D" w:rsidRPr="0042208D">
        <w:t xml:space="preserve">, which may be provided in the circumstances set out in the new subsection 7(9A). </w:t>
      </w:r>
    </w:p>
    <w:p w14:paraId="0FDA5533" w14:textId="46034930" w:rsidR="005201A3" w:rsidRPr="0042208D" w:rsidRDefault="005201A3" w:rsidP="00FE635F">
      <w:pPr>
        <w:jc w:val="both"/>
        <w:rPr>
          <w:color w:val="000000" w:themeColor="text1"/>
        </w:rPr>
      </w:pPr>
    </w:p>
    <w:p w14:paraId="071B911B" w14:textId="77B93545" w:rsidR="005201A3" w:rsidRPr="0042208D" w:rsidRDefault="005201A3" w:rsidP="00FE635F">
      <w:pPr>
        <w:jc w:val="both"/>
        <w:rPr>
          <w:b/>
          <w:bCs/>
          <w:color w:val="000000" w:themeColor="text1"/>
        </w:rPr>
      </w:pPr>
      <w:r w:rsidRPr="0042208D">
        <w:rPr>
          <w:b/>
          <w:bCs/>
          <w:color w:val="000000" w:themeColor="text1"/>
        </w:rPr>
        <w:t xml:space="preserve">Item </w:t>
      </w:r>
      <w:r w:rsidR="090BD33F" w:rsidRPr="0042208D">
        <w:rPr>
          <w:b/>
          <w:bCs/>
          <w:color w:val="000000" w:themeColor="text1"/>
        </w:rPr>
        <w:t>4</w:t>
      </w:r>
      <w:r w:rsidRPr="0042208D">
        <w:rPr>
          <w:b/>
          <w:bCs/>
          <w:color w:val="000000" w:themeColor="text1"/>
        </w:rPr>
        <w:t xml:space="preserve"> –</w:t>
      </w:r>
      <w:r w:rsidR="009E6FE5" w:rsidRPr="0042208D">
        <w:rPr>
          <w:b/>
          <w:bCs/>
          <w:color w:val="000000" w:themeColor="text1"/>
        </w:rPr>
        <w:t xml:space="preserve"> Part 2 of Schedule 1</w:t>
      </w:r>
      <w:r w:rsidR="00093E9E" w:rsidRPr="0042208D">
        <w:rPr>
          <w:b/>
          <w:bCs/>
          <w:color w:val="000000" w:themeColor="text1"/>
        </w:rPr>
        <w:t xml:space="preserve"> (table item 217A)</w:t>
      </w:r>
    </w:p>
    <w:p w14:paraId="2B92DBA4" w14:textId="72898CB3" w:rsidR="005A5CF0" w:rsidRPr="0042208D" w:rsidRDefault="00EE7839" w:rsidP="325FB5DF">
      <w:pPr>
        <w:jc w:val="both"/>
        <w:rPr>
          <w:color w:val="000000" w:themeColor="text1"/>
        </w:rPr>
      </w:pPr>
      <w:r w:rsidRPr="0042208D">
        <w:rPr>
          <w:color w:val="000000" w:themeColor="text1"/>
        </w:rPr>
        <w:t xml:space="preserve">Item </w:t>
      </w:r>
      <w:r w:rsidR="3DA01A96" w:rsidRPr="0042208D">
        <w:rPr>
          <w:color w:val="000000" w:themeColor="text1"/>
        </w:rPr>
        <w:t>4</w:t>
      </w:r>
      <w:r w:rsidRPr="0042208D">
        <w:rPr>
          <w:color w:val="000000" w:themeColor="text1"/>
        </w:rPr>
        <w:t xml:space="preserve"> </w:t>
      </w:r>
      <w:r w:rsidR="009E6FE5" w:rsidRPr="0042208D">
        <w:rPr>
          <w:color w:val="000000" w:themeColor="text1"/>
        </w:rPr>
        <w:t xml:space="preserve">repeals table item 217A </w:t>
      </w:r>
      <w:r w:rsidR="000C5B78" w:rsidRPr="0042208D">
        <w:rPr>
          <w:color w:val="000000" w:themeColor="text1"/>
        </w:rPr>
        <w:t>of</w:t>
      </w:r>
      <w:r w:rsidR="009E6FE5" w:rsidRPr="0042208D">
        <w:rPr>
          <w:color w:val="000000" w:themeColor="text1"/>
        </w:rPr>
        <w:t xml:space="preserve"> Part 2 of Schedule 1</w:t>
      </w:r>
      <w:r w:rsidR="00385D46" w:rsidRPr="0042208D">
        <w:rPr>
          <w:color w:val="000000" w:themeColor="text1"/>
        </w:rPr>
        <w:t xml:space="preserve"> of the Determination</w:t>
      </w:r>
      <w:r w:rsidR="009E6FE5" w:rsidRPr="0042208D">
        <w:rPr>
          <w:color w:val="000000" w:themeColor="text1"/>
        </w:rPr>
        <w:t xml:space="preserve"> and inserts a new item 217A in</w:t>
      </w:r>
      <w:r w:rsidR="00F208C7" w:rsidRPr="0042208D">
        <w:rPr>
          <w:color w:val="000000" w:themeColor="text1"/>
        </w:rPr>
        <w:t>to</w:t>
      </w:r>
      <w:r w:rsidR="009E6FE5" w:rsidRPr="0042208D">
        <w:rPr>
          <w:color w:val="000000" w:themeColor="text1"/>
        </w:rPr>
        <w:t xml:space="preserve"> Part 2 of Schedule 1</w:t>
      </w:r>
      <w:r w:rsidR="00F208C7" w:rsidRPr="0042208D">
        <w:rPr>
          <w:color w:val="000000" w:themeColor="text1"/>
        </w:rPr>
        <w:t>. This has the effect of removing the listing for Zostavax, and instead</w:t>
      </w:r>
      <w:r w:rsidR="009E6FE5" w:rsidRPr="0042208D">
        <w:rPr>
          <w:color w:val="000000" w:themeColor="text1"/>
        </w:rPr>
        <w:t xml:space="preserve"> determin</w:t>
      </w:r>
      <w:r w:rsidR="00F208C7" w:rsidRPr="0042208D">
        <w:rPr>
          <w:color w:val="000000" w:themeColor="text1"/>
        </w:rPr>
        <w:t>ing</w:t>
      </w:r>
      <w:r w:rsidR="009E6FE5" w:rsidRPr="0042208D">
        <w:rPr>
          <w:color w:val="000000" w:themeColor="text1"/>
        </w:rPr>
        <w:t xml:space="preserve"> that the herpes zoster and post-herpetic neuralgia </w:t>
      </w:r>
      <w:r w:rsidR="00BE4829" w:rsidRPr="0042208D">
        <w:rPr>
          <w:color w:val="000000" w:themeColor="text1"/>
        </w:rPr>
        <w:t>v</w:t>
      </w:r>
      <w:r w:rsidR="009E6FE5" w:rsidRPr="0042208D">
        <w:rPr>
          <w:color w:val="000000" w:themeColor="text1"/>
        </w:rPr>
        <w:t>accine (</w:t>
      </w:r>
      <w:r w:rsidR="00BE4829" w:rsidRPr="0042208D">
        <w:rPr>
          <w:color w:val="000000" w:themeColor="text1"/>
        </w:rPr>
        <w:t>recombinant zoster virus</w:t>
      </w:r>
      <w:r w:rsidR="009E6FE5" w:rsidRPr="0042208D">
        <w:rPr>
          <w:color w:val="000000" w:themeColor="text1"/>
        </w:rPr>
        <w:t xml:space="preserve">, Shingrix®) is a designated vaccine for the purposes of the Act. </w:t>
      </w:r>
      <w:r w:rsidR="00F75ED4" w:rsidRPr="0042208D">
        <w:rPr>
          <w:color w:val="000000" w:themeColor="text1"/>
        </w:rPr>
        <w:t>Item 4 also</w:t>
      </w:r>
      <w:r w:rsidR="009E6FE5" w:rsidRPr="0042208D">
        <w:rPr>
          <w:color w:val="000000" w:themeColor="text1"/>
        </w:rPr>
        <w:t xml:space="preserve"> specifies the </w:t>
      </w:r>
      <w:r w:rsidR="00851DC5" w:rsidRPr="0042208D">
        <w:rPr>
          <w:color w:val="000000" w:themeColor="text1"/>
        </w:rPr>
        <w:t>persons to whom</w:t>
      </w:r>
      <w:r w:rsidR="009E6FE5" w:rsidRPr="0042208D">
        <w:rPr>
          <w:color w:val="000000" w:themeColor="text1"/>
        </w:rPr>
        <w:t xml:space="preserve"> th</w:t>
      </w:r>
      <w:r w:rsidR="007E2A15" w:rsidRPr="0042208D">
        <w:rPr>
          <w:color w:val="000000" w:themeColor="text1"/>
        </w:rPr>
        <w:t>is</w:t>
      </w:r>
      <w:r w:rsidR="009E6FE5" w:rsidRPr="0042208D">
        <w:rPr>
          <w:color w:val="000000" w:themeColor="text1"/>
        </w:rPr>
        <w:t xml:space="preserve"> vaccine can be provided</w:t>
      </w:r>
      <w:r w:rsidR="005A5CF0" w:rsidRPr="0042208D">
        <w:rPr>
          <w:color w:val="000000" w:themeColor="text1"/>
        </w:rPr>
        <w:t>:</w:t>
      </w:r>
    </w:p>
    <w:p w14:paraId="531FC4D6" w14:textId="23002784" w:rsidR="005A5CF0" w:rsidRPr="0042208D" w:rsidRDefault="005A5CF0" w:rsidP="005A5CF0">
      <w:pPr>
        <w:pStyle w:val="paragraph"/>
        <w:ind w:left="3084" w:hanging="1808"/>
        <w:rPr>
          <w:sz w:val="24"/>
          <w:szCs w:val="24"/>
        </w:rPr>
      </w:pPr>
      <w:r w:rsidRPr="0042208D">
        <w:rPr>
          <w:sz w:val="24"/>
          <w:szCs w:val="24"/>
        </w:rPr>
        <w:t>(a) at least 65 years of age; or</w:t>
      </w:r>
    </w:p>
    <w:p w14:paraId="04CF2DF9" w14:textId="77777777" w:rsidR="005A5CF0" w:rsidRPr="0042208D" w:rsidRDefault="005A5CF0" w:rsidP="005A5CF0">
      <w:pPr>
        <w:pStyle w:val="paragraph"/>
        <w:ind w:left="3084" w:hanging="1808"/>
        <w:rPr>
          <w:sz w:val="24"/>
          <w:szCs w:val="24"/>
        </w:rPr>
      </w:pPr>
      <w:r w:rsidRPr="0042208D">
        <w:rPr>
          <w:sz w:val="24"/>
          <w:szCs w:val="24"/>
        </w:rPr>
        <w:t>(b) at least 50 years of age and an Aboriginal and/or Torres Strait Islander; or</w:t>
      </w:r>
    </w:p>
    <w:p w14:paraId="1B234FF9" w14:textId="77777777" w:rsidR="005A5CF0" w:rsidRPr="0042208D" w:rsidRDefault="005A5CF0" w:rsidP="005A5CF0">
      <w:pPr>
        <w:pStyle w:val="paragraph"/>
        <w:ind w:left="3084" w:hanging="1808"/>
        <w:rPr>
          <w:sz w:val="24"/>
          <w:szCs w:val="24"/>
        </w:rPr>
      </w:pPr>
      <w:r w:rsidRPr="0042208D">
        <w:rPr>
          <w:sz w:val="24"/>
          <w:szCs w:val="24"/>
        </w:rPr>
        <w:t>(c) at least 18 years of age and who:</w:t>
      </w:r>
    </w:p>
    <w:p w14:paraId="34BFC4DF" w14:textId="77777777" w:rsidR="005A5CF0" w:rsidRPr="0042208D" w:rsidRDefault="005A5CF0" w:rsidP="005A5CF0">
      <w:pPr>
        <w:pStyle w:val="paragraph"/>
        <w:ind w:left="3084" w:hanging="1808"/>
        <w:rPr>
          <w:sz w:val="24"/>
          <w:szCs w:val="24"/>
        </w:rPr>
      </w:pPr>
      <w:r w:rsidRPr="0042208D">
        <w:rPr>
          <w:sz w:val="24"/>
          <w:szCs w:val="24"/>
        </w:rPr>
        <w:t>(</w:t>
      </w:r>
      <w:proofErr w:type="spellStart"/>
      <w:r w:rsidRPr="0042208D">
        <w:rPr>
          <w:sz w:val="24"/>
          <w:szCs w:val="24"/>
        </w:rPr>
        <w:t>i</w:t>
      </w:r>
      <w:proofErr w:type="spellEnd"/>
      <w:r w:rsidRPr="0042208D">
        <w:rPr>
          <w:sz w:val="24"/>
          <w:szCs w:val="24"/>
        </w:rPr>
        <w:t>) has had a haemopoietic stem cell transplantation or is scheduled to receive a haemopoietic stem cell transplantation; or</w:t>
      </w:r>
    </w:p>
    <w:p w14:paraId="3BF06871" w14:textId="77777777" w:rsidR="005A5CF0" w:rsidRPr="0042208D" w:rsidRDefault="005A5CF0" w:rsidP="005A5CF0">
      <w:pPr>
        <w:pStyle w:val="paragraph"/>
        <w:ind w:left="3084" w:hanging="1808"/>
        <w:rPr>
          <w:sz w:val="24"/>
          <w:szCs w:val="24"/>
        </w:rPr>
      </w:pPr>
      <w:r w:rsidRPr="0042208D">
        <w:rPr>
          <w:sz w:val="24"/>
          <w:szCs w:val="24"/>
        </w:rPr>
        <w:t>(ii) has had a solid organ transplant or is scheduled to receive a solid organ transplant and is on immunosuppressive therapy; or</w:t>
      </w:r>
    </w:p>
    <w:p w14:paraId="10E39131" w14:textId="77777777" w:rsidR="005A5CF0" w:rsidRPr="0042208D" w:rsidRDefault="005A5CF0" w:rsidP="005A5CF0">
      <w:pPr>
        <w:pStyle w:val="paragraph"/>
        <w:ind w:left="3084" w:hanging="1808"/>
        <w:rPr>
          <w:sz w:val="24"/>
          <w:szCs w:val="24"/>
        </w:rPr>
      </w:pPr>
      <w:r w:rsidRPr="0042208D">
        <w:rPr>
          <w:sz w:val="24"/>
          <w:szCs w:val="24"/>
        </w:rPr>
        <w:t>(iii) has an active haematological malignancy; or</w:t>
      </w:r>
    </w:p>
    <w:p w14:paraId="6F503EB8" w14:textId="0545CBFD" w:rsidR="00EE7839" w:rsidRPr="0042208D" w:rsidRDefault="005A5CF0" w:rsidP="005A5CF0">
      <w:pPr>
        <w:pStyle w:val="paragraph"/>
        <w:ind w:left="3084" w:hanging="1808"/>
        <w:rPr>
          <w:sz w:val="24"/>
          <w:szCs w:val="24"/>
        </w:rPr>
      </w:pPr>
      <w:r w:rsidRPr="0042208D">
        <w:rPr>
          <w:sz w:val="24"/>
          <w:szCs w:val="24"/>
        </w:rPr>
        <w:t>(iv) has advanced or untreated HIV with CD4 counts &lt; 250/ µL or a higher CD4 count unable to be established on effective anti</w:t>
      </w:r>
      <w:r w:rsidRPr="0042208D">
        <w:rPr>
          <w:sz w:val="24"/>
          <w:szCs w:val="24"/>
        </w:rPr>
        <w:noBreakHyphen/>
        <w:t>retroviral therapy.</w:t>
      </w:r>
    </w:p>
    <w:p w14:paraId="2450A15F" w14:textId="444B88F0" w:rsidR="00EE7839" w:rsidRPr="0042208D" w:rsidRDefault="00EE7839" w:rsidP="00FE635F">
      <w:pPr>
        <w:jc w:val="both"/>
        <w:rPr>
          <w:color w:val="000000" w:themeColor="text1"/>
        </w:rPr>
      </w:pPr>
    </w:p>
    <w:p w14:paraId="60115EC6" w14:textId="77777777" w:rsidR="009E6FE5" w:rsidRPr="0042208D" w:rsidRDefault="009E6FE5">
      <w:pPr>
        <w:spacing w:after="200" w:line="276" w:lineRule="auto"/>
        <w:rPr>
          <w:b/>
          <w:bCs/>
          <w:color w:val="000000" w:themeColor="text1"/>
        </w:rPr>
      </w:pPr>
      <w:r w:rsidRPr="0042208D">
        <w:rPr>
          <w:b/>
          <w:bCs/>
          <w:color w:val="000000" w:themeColor="text1"/>
        </w:rPr>
        <w:br w:type="page"/>
      </w:r>
    </w:p>
    <w:p w14:paraId="7DDF3B23" w14:textId="3A3B73A0" w:rsidR="002801CD" w:rsidRPr="0042208D" w:rsidRDefault="002801CD" w:rsidP="005A5CF0">
      <w:pPr>
        <w:spacing w:after="200" w:line="276" w:lineRule="auto"/>
        <w:jc w:val="right"/>
        <w:rPr>
          <w:b/>
          <w:bCs/>
        </w:rPr>
      </w:pPr>
      <w:r w:rsidRPr="0042208D">
        <w:rPr>
          <w:b/>
          <w:bCs/>
        </w:rPr>
        <w:lastRenderedPageBreak/>
        <w:t>ATTACHMENT B</w:t>
      </w:r>
    </w:p>
    <w:p w14:paraId="6AAE5ED6" w14:textId="7E758794" w:rsidR="00F65CD1" w:rsidRPr="0042208D" w:rsidRDefault="00F65CD1" w:rsidP="7A101FAE">
      <w:pPr>
        <w:spacing w:after="200" w:line="276" w:lineRule="auto"/>
        <w:jc w:val="center"/>
        <w:rPr>
          <w:b/>
          <w:bCs/>
          <w:sz w:val="28"/>
          <w:szCs w:val="28"/>
        </w:rPr>
      </w:pPr>
      <w:r w:rsidRPr="0042208D">
        <w:rPr>
          <w:b/>
          <w:bCs/>
          <w:sz w:val="28"/>
          <w:szCs w:val="28"/>
        </w:rPr>
        <w:t>Statement of Compatibility with Human Rights</w:t>
      </w:r>
    </w:p>
    <w:p w14:paraId="3E7936E5" w14:textId="77777777" w:rsidR="00F65CD1" w:rsidRPr="0042208D" w:rsidRDefault="00F65CD1" w:rsidP="00FE635F">
      <w:pPr>
        <w:keepNext/>
        <w:keepLines/>
        <w:jc w:val="center"/>
        <w:rPr>
          <w:i/>
        </w:rPr>
      </w:pPr>
      <w:r w:rsidRPr="0042208D">
        <w:rPr>
          <w:i/>
        </w:rPr>
        <w:t>Prepared in accordance with Part 3 of the Human Rights (Parliamentary Scrutiny) Act 2011</w:t>
      </w:r>
    </w:p>
    <w:p w14:paraId="4B3BD265" w14:textId="77777777" w:rsidR="00F65CD1" w:rsidRPr="0042208D" w:rsidRDefault="00F65CD1" w:rsidP="00FE635F">
      <w:pPr>
        <w:keepNext/>
        <w:keepLines/>
        <w:ind w:right="45"/>
        <w:jc w:val="center"/>
        <w:rPr>
          <w:b/>
          <w:iCs/>
        </w:rPr>
      </w:pPr>
    </w:p>
    <w:p w14:paraId="51035969" w14:textId="133EF9B1" w:rsidR="00F65CD1" w:rsidRPr="0042208D" w:rsidRDefault="00F65CD1" w:rsidP="325FB5DF">
      <w:pPr>
        <w:jc w:val="center"/>
        <w:rPr>
          <w:b/>
          <w:bCs/>
          <w:i/>
          <w:iCs/>
        </w:rPr>
      </w:pPr>
      <w:r w:rsidRPr="0042208D">
        <w:rPr>
          <w:b/>
          <w:bCs/>
          <w:i/>
          <w:iCs/>
        </w:rPr>
        <w:t>National Health (Immunisation Program – Designated Vaccines) Amendment</w:t>
      </w:r>
      <w:r w:rsidRPr="0042208D">
        <w:br/>
      </w:r>
      <w:r w:rsidRPr="0042208D">
        <w:rPr>
          <w:b/>
          <w:bCs/>
          <w:i/>
          <w:iCs/>
        </w:rPr>
        <w:t>Determination (No.</w:t>
      </w:r>
      <w:r w:rsidR="00B629E1" w:rsidRPr="0042208D">
        <w:rPr>
          <w:b/>
          <w:bCs/>
          <w:i/>
          <w:iCs/>
        </w:rPr>
        <w:t>2</w:t>
      </w:r>
      <w:r w:rsidRPr="0042208D">
        <w:rPr>
          <w:b/>
          <w:bCs/>
          <w:i/>
          <w:iCs/>
        </w:rPr>
        <w:t xml:space="preserve">) </w:t>
      </w:r>
      <w:r w:rsidR="00B629E1" w:rsidRPr="0042208D">
        <w:rPr>
          <w:b/>
          <w:bCs/>
          <w:i/>
          <w:iCs/>
        </w:rPr>
        <w:t>2023</w:t>
      </w:r>
    </w:p>
    <w:p w14:paraId="088A007E" w14:textId="77777777" w:rsidR="00F65CD1" w:rsidRPr="0042208D" w:rsidRDefault="00F65CD1" w:rsidP="00FE635F">
      <w:pPr>
        <w:keepNext/>
        <w:keepLines/>
        <w:ind w:right="45"/>
        <w:jc w:val="center"/>
        <w:rPr>
          <w:b/>
          <w:iCs/>
        </w:rPr>
      </w:pPr>
    </w:p>
    <w:p w14:paraId="3141921A" w14:textId="24F6E3A8" w:rsidR="00F65CD1" w:rsidRPr="0042208D" w:rsidRDefault="00F65CD1" w:rsidP="005A5CF0">
      <w:pPr>
        <w:spacing w:after="240"/>
        <w:ind w:right="-136"/>
        <w:jc w:val="center"/>
      </w:pPr>
      <w:r w:rsidRPr="0042208D">
        <w:t xml:space="preserve">This </w:t>
      </w:r>
      <w:r w:rsidR="002801CD" w:rsidRPr="0042208D">
        <w:t xml:space="preserve">Disallowable </w:t>
      </w:r>
      <w:r w:rsidRPr="0042208D">
        <w:t xml:space="preserve">Legislative Instrument is compatible with the human rights and freedoms recognised or declared in the international instruments listed in section 3 of the </w:t>
      </w:r>
      <w:r w:rsidRPr="0042208D">
        <w:rPr>
          <w:i/>
        </w:rPr>
        <w:t>Human Rights (Parliamentary Scrutiny) Act 2011</w:t>
      </w:r>
      <w:r w:rsidRPr="0042208D">
        <w:t>.</w:t>
      </w:r>
    </w:p>
    <w:p w14:paraId="3B8ECF5B" w14:textId="449DA469" w:rsidR="00F65CD1" w:rsidRPr="0042208D" w:rsidRDefault="00F65CD1" w:rsidP="005A5CF0">
      <w:pPr>
        <w:keepNext/>
        <w:keepLines/>
        <w:ind w:right="91"/>
        <w:jc w:val="both"/>
      </w:pPr>
      <w:r w:rsidRPr="0042208D">
        <w:rPr>
          <w:b/>
        </w:rPr>
        <w:t xml:space="preserve">Overview of the </w:t>
      </w:r>
      <w:r w:rsidR="00C30415" w:rsidRPr="0042208D">
        <w:rPr>
          <w:b/>
        </w:rPr>
        <w:t xml:space="preserve">Disallowable </w:t>
      </w:r>
      <w:r w:rsidRPr="0042208D">
        <w:rPr>
          <w:b/>
        </w:rPr>
        <w:t>Legislative Instrument</w:t>
      </w:r>
    </w:p>
    <w:p w14:paraId="70B59CB7" w14:textId="65255AF8" w:rsidR="00F65CD1" w:rsidRPr="0042208D" w:rsidRDefault="00F65CD1" w:rsidP="005A5CF0">
      <w:pPr>
        <w:keepNext/>
        <w:keepLines/>
        <w:ind w:right="-136"/>
        <w:jc w:val="both"/>
      </w:pPr>
      <w:r w:rsidRPr="0042208D">
        <w:t xml:space="preserve">The </w:t>
      </w:r>
      <w:r w:rsidRPr="0042208D">
        <w:rPr>
          <w:i/>
          <w:iCs/>
        </w:rPr>
        <w:t xml:space="preserve">National Health (Immunisation Program – Designated Vaccines) Amendment Determination (No. </w:t>
      </w:r>
      <w:r w:rsidR="00FD33E4" w:rsidRPr="0042208D">
        <w:rPr>
          <w:i/>
          <w:iCs/>
        </w:rPr>
        <w:t>2</w:t>
      </w:r>
      <w:r w:rsidRPr="0042208D">
        <w:rPr>
          <w:i/>
          <w:iCs/>
        </w:rPr>
        <w:t>) 202</w:t>
      </w:r>
      <w:r w:rsidR="00FD33E4" w:rsidRPr="0042208D">
        <w:rPr>
          <w:i/>
          <w:iCs/>
        </w:rPr>
        <w:t>3</w:t>
      </w:r>
      <w:r w:rsidRPr="0042208D">
        <w:rPr>
          <w:i/>
          <w:iCs/>
        </w:rPr>
        <w:t xml:space="preserve"> </w:t>
      </w:r>
      <w:r w:rsidRPr="0042208D">
        <w:t xml:space="preserve">(the Amendment Determination) </w:t>
      </w:r>
      <w:r w:rsidR="00FD33E4" w:rsidRPr="0042208D">
        <w:t xml:space="preserve">amends </w:t>
      </w:r>
      <w:r w:rsidRPr="0042208D">
        <w:t xml:space="preserve">the </w:t>
      </w:r>
      <w:r w:rsidRPr="0042208D">
        <w:rPr>
          <w:i/>
          <w:iCs/>
        </w:rPr>
        <w:t>National Health (Immunisation Program – Designated Vaccines) Determination 2014 (No.</w:t>
      </w:r>
      <w:r w:rsidR="00C30415" w:rsidRPr="0042208D">
        <w:rPr>
          <w:i/>
          <w:iCs/>
        </w:rPr>
        <w:t xml:space="preserve"> </w:t>
      </w:r>
      <w:r w:rsidRPr="0042208D">
        <w:rPr>
          <w:i/>
          <w:iCs/>
        </w:rPr>
        <w:t>1</w:t>
      </w:r>
      <w:r w:rsidRPr="0042208D">
        <w:t>) (the Determination)</w:t>
      </w:r>
      <w:r w:rsidR="00C04AB6" w:rsidRPr="0042208D">
        <w:t xml:space="preserve">. The Determination </w:t>
      </w:r>
      <w:r w:rsidRPr="0042208D">
        <w:t>determines under subsection 9</w:t>
      </w:r>
      <w:proofErr w:type="gramStart"/>
      <w:r w:rsidRPr="0042208D">
        <w:t>B(</w:t>
      </w:r>
      <w:proofErr w:type="gramEnd"/>
      <w:r w:rsidRPr="0042208D">
        <w:t>2) of the</w:t>
      </w:r>
      <w:r w:rsidRPr="0042208D">
        <w:rPr>
          <w:i/>
          <w:iCs/>
        </w:rPr>
        <w:t xml:space="preserve"> National Health Act 1953</w:t>
      </w:r>
      <w:r w:rsidRPr="0042208D">
        <w:t xml:space="preserve"> (the Act) that a specified vaccine is a designated vaccine for the purposes of the Act</w:t>
      </w:r>
      <w:r w:rsidR="00C04AB6" w:rsidRPr="0042208D">
        <w:t xml:space="preserve">, and </w:t>
      </w:r>
      <w:r w:rsidRPr="0042208D">
        <w:t>specifies under subsection 9B(5) of the Act the circumstances in which the vaccine can be provided.</w:t>
      </w:r>
    </w:p>
    <w:p w14:paraId="601D973F" w14:textId="77777777" w:rsidR="007D6287" w:rsidRPr="0042208D" w:rsidRDefault="007D6287" w:rsidP="007D6287">
      <w:pPr>
        <w:jc w:val="both"/>
      </w:pPr>
    </w:p>
    <w:p w14:paraId="46D2D45F" w14:textId="08769B71" w:rsidR="00ED250F" w:rsidRPr="0042208D" w:rsidRDefault="001D2F34" w:rsidP="00ED250F">
      <w:pPr>
        <w:jc w:val="both"/>
        <w:rPr>
          <w:color w:val="000000"/>
        </w:rPr>
      </w:pPr>
      <w:r w:rsidRPr="0042208D">
        <w:t xml:space="preserve">The Amendment Determination </w:t>
      </w:r>
      <w:r w:rsidR="00ED250F" w:rsidRPr="0042208D">
        <w:rPr>
          <w:color w:val="000000" w:themeColor="text1"/>
        </w:rPr>
        <w:t>implements new recommendations from the Australian Technical Advisory Group on Immunisation and the Pharmaceutical Benefits Advisory Committee</w:t>
      </w:r>
      <w:r w:rsidR="00CA6B01" w:rsidRPr="0042208D">
        <w:rPr>
          <w:color w:val="000000" w:themeColor="text1"/>
        </w:rPr>
        <w:t xml:space="preserve"> as follows: </w:t>
      </w:r>
    </w:p>
    <w:p w14:paraId="4B93F3EF" w14:textId="1EBFC691" w:rsidR="00CA6B01" w:rsidRPr="0042208D" w:rsidRDefault="00CA6B01" w:rsidP="0093388D">
      <w:pPr>
        <w:pStyle w:val="ListParagraph"/>
        <w:numPr>
          <w:ilvl w:val="0"/>
          <w:numId w:val="35"/>
        </w:numPr>
        <w:jc w:val="both"/>
        <w:rPr>
          <w:color w:val="000000" w:themeColor="text1"/>
        </w:rPr>
      </w:pPr>
      <w:r w:rsidRPr="0042208D">
        <w:rPr>
          <w:color w:val="000000" w:themeColor="text1"/>
        </w:rPr>
        <w:t>C</w:t>
      </w:r>
      <w:r w:rsidR="001D2F34" w:rsidRPr="0042208D">
        <w:rPr>
          <w:color w:val="000000" w:themeColor="text1"/>
        </w:rPr>
        <w:t>orrects an error</w:t>
      </w:r>
      <w:r w:rsidR="00112B90" w:rsidRPr="0042208D">
        <w:rPr>
          <w:color w:val="000000" w:themeColor="text1"/>
        </w:rPr>
        <w:t xml:space="preserve"> on</w:t>
      </w:r>
      <w:r w:rsidR="001D2F34" w:rsidRPr="0042208D">
        <w:rPr>
          <w:color w:val="000000" w:themeColor="text1"/>
        </w:rPr>
        <w:t xml:space="preserve"> the listing of designated vaccine </w:t>
      </w:r>
      <w:proofErr w:type="spellStart"/>
      <w:r w:rsidR="001D2F34" w:rsidRPr="0042208D">
        <w:rPr>
          <w:color w:val="000000" w:themeColor="text1"/>
        </w:rPr>
        <w:t>MenQuadfi</w:t>
      </w:r>
      <w:proofErr w:type="spellEnd"/>
      <w:r w:rsidR="001D2F34" w:rsidRPr="0042208D">
        <w:rPr>
          <w:color w:val="000000" w:themeColor="text1"/>
        </w:rPr>
        <w:t>®</w:t>
      </w:r>
      <w:r w:rsidR="006F2A3F" w:rsidRPr="0042208D">
        <w:rPr>
          <w:color w:val="000000" w:themeColor="text1"/>
        </w:rPr>
        <w:t xml:space="preserve"> to reflect that</w:t>
      </w:r>
      <w:r w:rsidR="001D2F34" w:rsidRPr="0042208D">
        <w:rPr>
          <w:color w:val="000000" w:themeColor="text1"/>
        </w:rPr>
        <w:t xml:space="preserve"> </w:t>
      </w:r>
      <w:proofErr w:type="spellStart"/>
      <w:r w:rsidR="001D2F34" w:rsidRPr="0042208D">
        <w:rPr>
          <w:color w:val="000000" w:themeColor="text1"/>
        </w:rPr>
        <w:t>MenQuadfi</w:t>
      </w:r>
      <w:proofErr w:type="spellEnd"/>
      <w:r w:rsidR="001D2F34" w:rsidRPr="0042208D">
        <w:rPr>
          <w:color w:val="000000" w:themeColor="text1"/>
        </w:rPr>
        <w:t>® is a fully liquid formulation and does not require reconstitution</w:t>
      </w:r>
      <w:r w:rsidR="00674F21" w:rsidRPr="0042208D">
        <w:rPr>
          <w:color w:val="000000" w:themeColor="text1"/>
        </w:rPr>
        <w:t>;</w:t>
      </w:r>
      <w:r w:rsidR="001D2F34" w:rsidRPr="0042208D">
        <w:rPr>
          <w:color w:val="000000" w:themeColor="text1"/>
        </w:rPr>
        <w:t xml:space="preserve"> </w:t>
      </w:r>
    </w:p>
    <w:p w14:paraId="253A31AE" w14:textId="4821DB7E" w:rsidR="00674F21" w:rsidRPr="0042208D" w:rsidRDefault="00674F21" w:rsidP="005A5CF0">
      <w:pPr>
        <w:pStyle w:val="ListParagraph"/>
        <w:numPr>
          <w:ilvl w:val="0"/>
          <w:numId w:val="35"/>
        </w:numPr>
        <w:jc w:val="both"/>
        <w:rPr>
          <w:rFonts w:cs="Arial"/>
          <w:snapToGrid w:val="0"/>
          <w:lang w:val="en-GB"/>
        </w:rPr>
      </w:pPr>
      <w:r w:rsidRPr="0042208D">
        <w:rPr>
          <w:color w:val="000000" w:themeColor="text1"/>
        </w:rPr>
        <w:t>R</w:t>
      </w:r>
      <w:r w:rsidR="001D2F34" w:rsidRPr="0042208D">
        <w:rPr>
          <w:color w:val="000000" w:themeColor="text1"/>
        </w:rPr>
        <w:t xml:space="preserve">emoves Zostavax and adds Shingrix® </w:t>
      </w:r>
      <w:r w:rsidR="001D2F34" w:rsidRPr="0042208D">
        <w:t xml:space="preserve">as a designated primary vaccine for the </w:t>
      </w:r>
      <w:r w:rsidR="001D2F34" w:rsidRPr="0042208D">
        <w:rPr>
          <w:rFonts w:cs="Arial"/>
          <w:lang w:val="en-GB"/>
        </w:rPr>
        <w:t xml:space="preserve">prevention of herpes zoster (HZ) and post-herpetic neuralgia (PHN) for </w:t>
      </w:r>
      <w:r w:rsidR="001D2F34" w:rsidRPr="0042208D">
        <w:t xml:space="preserve">non-Indigenous individuals aged </w:t>
      </w:r>
      <w:r w:rsidR="005A5CF0" w:rsidRPr="0042208D">
        <w:t>≥</w:t>
      </w:r>
      <w:r w:rsidR="001D2F34" w:rsidRPr="0042208D">
        <w:t>65 years</w:t>
      </w:r>
      <w:r w:rsidR="005A5CF0" w:rsidRPr="0042208D">
        <w:t xml:space="preserve">, </w:t>
      </w:r>
      <w:r w:rsidR="001D2F34" w:rsidRPr="0042208D">
        <w:t>Aboriginal and Torres Strait Islander individuals aged</w:t>
      </w:r>
      <w:r w:rsidR="4878F993" w:rsidRPr="0042208D">
        <w:t xml:space="preserve"> </w:t>
      </w:r>
      <w:r w:rsidR="005A5CF0" w:rsidRPr="0042208D">
        <w:t>≥</w:t>
      </w:r>
      <w:r w:rsidR="001D2F34" w:rsidRPr="0042208D">
        <w:t>50 years</w:t>
      </w:r>
      <w:r w:rsidR="1F4243F1" w:rsidRPr="0042208D">
        <w:t>,</w:t>
      </w:r>
      <w:r w:rsidR="001D2F34" w:rsidRPr="0042208D">
        <w:t xml:space="preserve"> and immunocompromised individuals aged </w:t>
      </w:r>
      <w:r w:rsidR="005A5CF0" w:rsidRPr="0042208D">
        <w:t>≥</w:t>
      </w:r>
      <w:r w:rsidR="001D2F34" w:rsidRPr="0042208D">
        <w:t>18 years with conditions at high risk of HZ infection</w:t>
      </w:r>
      <w:r w:rsidRPr="0042208D">
        <w:t xml:space="preserve">; and </w:t>
      </w:r>
    </w:p>
    <w:p w14:paraId="6B04FA4E" w14:textId="0BE885AC" w:rsidR="415E677A" w:rsidRPr="0042208D" w:rsidRDefault="00674F21" w:rsidP="005A5CF0">
      <w:pPr>
        <w:pStyle w:val="ListParagraph"/>
        <w:numPr>
          <w:ilvl w:val="0"/>
          <w:numId w:val="35"/>
        </w:numPr>
        <w:jc w:val="both"/>
      </w:pPr>
      <w:r w:rsidRPr="0042208D">
        <w:t>Adds</w:t>
      </w:r>
      <w:r w:rsidR="415E677A" w:rsidRPr="0042208D">
        <w:t xml:space="preserve"> Flucelvax® Quad as a designated vaccine </w:t>
      </w:r>
      <w:r w:rsidR="006F2A3F" w:rsidRPr="0042208D">
        <w:t xml:space="preserve">to </w:t>
      </w:r>
      <w:r w:rsidR="415E677A" w:rsidRPr="0042208D">
        <w:t>prevent influenza in Aboriginal and Torres Strait Islander people aged ≥5 to &lt;65 years, people at increased risk of influenza disease complications aged ≥5 to &lt;65 years and pregnant women.</w:t>
      </w:r>
    </w:p>
    <w:p w14:paraId="5BEBC773" w14:textId="459721EB" w:rsidR="00755BAA" w:rsidRPr="0042208D" w:rsidRDefault="00755BAA" w:rsidP="005A5CF0">
      <w:pPr>
        <w:keepNext/>
        <w:keepLines/>
        <w:jc w:val="both"/>
      </w:pPr>
    </w:p>
    <w:p w14:paraId="716CE6ED" w14:textId="411E8E43" w:rsidR="00F65CD1" w:rsidRPr="0042208D" w:rsidRDefault="00F65CD1" w:rsidP="005A5CF0">
      <w:pPr>
        <w:keepNext/>
        <w:keepLines/>
        <w:jc w:val="both"/>
        <w:rPr>
          <w:b/>
        </w:rPr>
      </w:pPr>
      <w:r w:rsidRPr="0042208D">
        <w:rPr>
          <w:b/>
        </w:rPr>
        <w:t>Human Rights Implications</w:t>
      </w:r>
    </w:p>
    <w:p w14:paraId="79E3FFDD" w14:textId="6555C143" w:rsidR="00F65CD1" w:rsidRPr="0042208D" w:rsidRDefault="00F65CD1" w:rsidP="005A5CF0">
      <w:pPr>
        <w:jc w:val="both"/>
      </w:pPr>
      <w:r w:rsidRPr="0042208D">
        <w:t>Th</w:t>
      </w:r>
      <w:r w:rsidR="00BD4021" w:rsidRPr="0042208D">
        <w:t>e</w:t>
      </w:r>
      <w:r w:rsidRPr="0042208D">
        <w:t xml:space="preserve"> Amendment Determination engages the right to health as set out in Article 12 of the International Covenant on Economic, Social and Cultural Rights by assisting with the progressive realisation by all appropriate means of the right of everyone to the enjoyment of the highest attainable standard of physical and mental health. The Amendment Determination supports the right to the attainment of the highest standard of health, by providing free access for eligible people to a designated </w:t>
      </w:r>
      <w:r w:rsidR="00D02194" w:rsidRPr="0042208D">
        <w:t>vaccine and</w:t>
      </w:r>
      <w:r w:rsidRPr="0042208D">
        <w:t xml:space="preserve"> protecting individuals and the community against vaccine preventable disease.</w:t>
      </w:r>
    </w:p>
    <w:p w14:paraId="02B2DBA7" w14:textId="77777777" w:rsidR="007D6287" w:rsidRPr="0042208D" w:rsidRDefault="007D6287" w:rsidP="007D6287">
      <w:pPr>
        <w:ind w:right="-136"/>
        <w:jc w:val="both"/>
        <w:rPr>
          <w:b/>
        </w:rPr>
      </w:pPr>
    </w:p>
    <w:p w14:paraId="3ADBC589" w14:textId="6377B6F6" w:rsidR="00F65CD1" w:rsidRPr="0042208D" w:rsidRDefault="00F65CD1" w:rsidP="005A5CF0">
      <w:pPr>
        <w:ind w:right="-136"/>
        <w:jc w:val="both"/>
        <w:rPr>
          <w:b/>
        </w:rPr>
      </w:pPr>
      <w:r w:rsidRPr="0042208D">
        <w:rPr>
          <w:b/>
        </w:rPr>
        <w:t>Conclusion</w:t>
      </w:r>
    </w:p>
    <w:p w14:paraId="1C35E32D" w14:textId="77777777" w:rsidR="00F65CD1" w:rsidRPr="0042208D" w:rsidRDefault="00F65CD1" w:rsidP="007D6287">
      <w:pPr>
        <w:ind w:right="-136"/>
        <w:jc w:val="both"/>
      </w:pPr>
      <w:r w:rsidRPr="0042208D">
        <w:t>The Amendment Determination is compatible with human rights as it promotes the right to health.</w:t>
      </w:r>
    </w:p>
    <w:p w14:paraId="3F336309" w14:textId="77777777" w:rsidR="005E1B88" w:rsidRPr="0042208D" w:rsidRDefault="005E1B88" w:rsidP="007D6287">
      <w:pPr>
        <w:ind w:right="-136"/>
        <w:jc w:val="both"/>
      </w:pPr>
    </w:p>
    <w:p w14:paraId="412FFCE2" w14:textId="1E0AED54" w:rsidR="005E1B88" w:rsidRPr="0042208D" w:rsidRDefault="005E1B88" w:rsidP="00121D99">
      <w:pPr>
        <w:ind w:right="-136"/>
        <w:jc w:val="center"/>
        <w:rPr>
          <w:b/>
          <w:bCs/>
        </w:rPr>
      </w:pPr>
      <w:r w:rsidRPr="0042208D">
        <w:rPr>
          <w:b/>
          <w:bCs/>
        </w:rPr>
        <w:t>P</w:t>
      </w:r>
      <w:r w:rsidR="00121D99" w:rsidRPr="0042208D">
        <w:rPr>
          <w:b/>
          <w:bCs/>
        </w:rPr>
        <w:t>rofessor Paul Kelly</w:t>
      </w:r>
    </w:p>
    <w:p w14:paraId="6D9D8AD9" w14:textId="338E4AED" w:rsidR="00121D99" w:rsidRPr="0042208D" w:rsidRDefault="00121D99" w:rsidP="00121D99">
      <w:pPr>
        <w:ind w:right="-136"/>
        <w:jc w:val="center"/>
        <w:rPr>
          <w:b/>
          <w:bCs/>
        </w:rPr>
      </w:pPr>
      <w:r w:rsidRPr="0042208D">
        <w:rPr>
          <w:b/>
          <w:bCs/>
        </w:rPr>
        <w:t xml:space="preserve">Chief Medical Officer </w:t>
      </w:r>
    </w:p>
    <w:p w14:paraId="6058CB04" w14:textId="74B8E17E" w:rsidR="00DE09F2" w:rsidRPr="0042208D" w:rsidRDefault="00DE09F2" w:rsidP="00121D99">
      <w:pPr>
        <w:ind w:right="-136"/>
        <w:jc w:val="center"/>
        <w:rPr>
          <w:b/>
          <w:bCs/>
        </w:rPr>
      </w:pPr>
      <w:r w:rsidRPr="0042208D">
        <w:rPr>
          <w:b/>
          <w:bCs/>
        </w:rPr>
        <w:t>Chief Medical Officer Group</w:t>
      </w:r>
    </w:p>
    <w:p w14:paraId="584C8AEC" w14:textId="5E898C6A" w:rsidR="00F65CD1" w:rsidRDefault="00121D99" w:rsidP="005A5CF0">
      <w:pPr>
        <w:ind w:right="-136"/>
        <w:jc w:val="center"/>
        <w:rPr>
          <w:b/>
        </w:rPr>
      </w:pPr>
      <w:r w:rsidRPr="0042208D">
        <w:rPr>
          <w:b/>
          <w:bCs/>
        </w:rPr>
        <w:t>Department of Health and Aged Care</w:t>
      </w:r>
    </w:p>
    <w:sectPr w:rsidR="00F65CD1" w:rsidSect="00A67478">
      <w:headerReference w:type="default" r:id="rId11"/>
      <w:pgSz w:w="11906" w:h="16838"/>
      <w:pgMar w:top="567" w:right="1440" w:bottom="426"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4F71F" w14:textId="77777777" w:rsidR="004D6D39" w:rsidRDefault="004D6D39" w:rsidP="00A96A1B">
      <w:r>
        <w:separator/>
      </w:r>
    </w:p>
  </w:endnote>
  <w:endnote w:type="continuationSeparator" w:id="0">
    <w:p w14:paraId="570848A8" w14:textId="77777777" w:rsidR="004D6D39" w:rsidRDefault="004D6D39" w:rsidP="00A96A1B">
      <w:r>
        <w:continuationSeparator/>
      </w:r>
    </w:p>
  </w:endnote>
  <w:endnote w:type="continuationNotice" w:id="1">
    <w:p w14:paraId="47B05101" w14:textId="77777777" w:rsidR="004D6D39" w:rsidRDefault="004D6D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60D16" w14:textId="77777777" w:rsidR="004D6D39" w:rsidRDefault="004D6D39" w:rsidP="00A96A1B">
      <w:r>
        <w:separator/>
      </w:r>
    </w:p>
  </w:footnote>
  <w:footnote w:type="continuationSeparator" w:id="0">
    <w:p w14:paraId="0D6B3BD0" w14:textId="77777777" w:rsidR="004D6D39" w:rsidRDefault="004D6D39" w:rsidP="00A96A1B">
      <w:r>
        <w:continuationSeparator/>
      </w:r>
    </w:p>
  </w:footnote>
  <w:footnote w:type="continuationNotice" w:id="1">
    <w:p w14:paraId="38CCA54B" w14:textId="77777777" w:rsidR="004D6D39" w:rsidRDefault="004D6D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691C3" w14:textId="5A9967E0" w:rsidR="0051408A" w:rsidRDefault="0051408A">
    <w:pPr>
      <w:pStyle w:val="Header"/>
      <w:jc w:val="center"/>
    </w:pPr>
  </w:p>
  <w:p w14:paraId="1EE0A9DB" w14:textId="77777777" w:rsidR="0051408A" w:rsidRDefault="005140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02A9"/>
    <w:multiLevelType w:val="hybridMultilevel"/>
    <w:tmpl w:val="57B430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673F67"/>
    <w:multiLevelType w:val="hybridMultilevel"/>
    <w:tmpl w:val="2214B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C82E12"/>
    <w:multiLevelType w:val="hybridMultilevel"/>
    <w:tmpl w:val="51742048"/>
    <w:lvl w:ilvl="0" w:tplc="0C090003">
      <w:start w:val="1"/>
      <w:numFmt w:val="bullet"/>
      <w:lvlText w:val="o"/>
      <w:lvlJc w:val="left"/>
      <w:pPr>
        <w:ind w:left="780" w:hanging="360"/>
      </w:pPr>
      <w:rPr>
        <w:rFonts w:ascii="Courier New" w:hAnsi="Courier New" w:cs="Courier New"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A516D32"/>
    <w:multiLevelType w:val="hybridMultilevel"/>
    <w:tmpl w:val="D9485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E61E56"/>
    <w:multiLevelType w:val="hybridMultilevel"/>
    <w:tmpl w:val="FD5A0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5B3EE5"/>
    <w:multiLevelType w:val="hybridMultilevel"/>
    <w:tmpl w:val="5672A69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6" w15:restartNumberingAfterBreak="0">
    <w:nsid w:val="173C065E"/>
    <w:multiLevelType w:val="hybridMultilevel"/>
    <w:tmpl w:val="020CC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8222DF"/>
    <w:multiLevelType w:val="hybridMultilevel"/>
    <w:tmpl w:val="DF2EA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847E3C"/>
    <w:multiLevelType w:val="hybridMultilevel"/>
    <w:tmpl w:val="5426C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273EF9"/>
    <w:multiLevelType w:val="hybridMultilevel"/>
    <w:tmpl w:val="0B5E9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888D5B"/>
    <w:multiLevelType w:val="hybridMultilevel"/>
    <w:tmpl w:val="BE6A9A68"/>
    <w:lvl w:ilvl="0" w:tplc="3746C280">
      <w:start w:val="1"/>
      <w:numFmt w:val="bullet"/>
      <w:lvlText w:val=""/>
      <w:lvlJc w:val="left"/>
      <w:pPr>
        <w:ind w:left="780" w:hanging="360"/>
      </w:pPr>
      <w:rPr>
        <w:rFonts w:ascii="Symbol" w:hAnsi="Symbol" w:hint="default"/>
      </w:rPr>
    </w:lvl>
    <w:lvl w:ilvl="1" w:tplc="19EE3964">
      <w:start w:val="1"/>
      <w:numFmt w:val="bullet"/>
      <w:lvlText w:val="o"/>
      <w:lvlJc w:val="left"/>
      <w:pPr>
        <w:ind w:left="1440" w:hanging="360"/>
      </w:pPr>
      <w:rPr>
        <w:rFonts w:ascii="Courier New" w:hAnsi="Courier New" w:hint="default"/>
      </w:rPr>
    </w:lvl>
    <w:lvl w:ilvl="2" w:tplc="213E8E92">
      <w:start w:val="1"/>
      <w:numFmt w:val="bullet"/>
      <w:lvlText w:val=""/>
      <w:lvlJc w:val="left"/>
      <w:pPr>
        <w:ind w:left="2160" w:hanging="360"/>
      </w:pPr>
      <w:rPr>
        <w:rFonts w:ascii="Wingdings" w:hAnsi="Wingdings" w:hint="default"/>
      </w:rPr>
    </w:lvl>
    <w:lvl w:ilvl="3" w:tplc="1F8A7C0A">
      <w:start w:val="1"/>
      <w:numFmt w:val="bullet"/>
      <w:lvlText w:val=""/>
      <w:lvlJc w:val="left"/>
      <w:pPr>
        <w:ind w:left="2880" w:hanging="360"/>
      </w:pPr>
      <w:rPr>
        <w:rFonts w:ascii="Symbol" w:hAnsi="Symbol" w:hint="default"/>
      </w:rPr>
    </w:lvl>
    <w:lvl w:ilvl="4" w:tplc="27D0E3EA">
      <w:start w:val="1"/>
      <w:numFmt w:val="bullet"/>
      <w:lvlText w:val="o"/>
      <w:lvlJc w:val="left"/>
      <w:pPr>
        <w:ind w:left="3600" w:hanging="360"/>
      </w:pPr>
      <w:rPr>
        <w:rFonts w:ascii="Courier New" w:hAnsi="Courier New" w:hint="default"/>
      </w:rPr>
    </w:lvl>
    <w:lvl w:ilvl="5" w:tplc="04B60BC2">
      <w:start w:val="1"/>
      <w:numFmt w:val="bullet"/>
      <w:lvlText w:val=""/>
      <w:lvlJc w:val="left"/>
      <w:pPr>
        <w:ind w:left="4320" w:hanging="360"/>
      </w:pPr>
      <w:rPr>
        <w:rFonts w:ascii="Wingdings" w:hAnsi="Wingdings" w:hint="default"/>
      </w:rPr>
    </w:lvl>
    <w:lvl w:ilvl="6" w:tplc="4B50907E">
      <w:start w:val="1"/>
      <w:numFmt w:val="bullet"/>
      <w:lvlText w:val=""/>
      <w:lvlJc w:val="left"/>
      <w:pPr>
        <w:ind w:left="5040" w:hanging="360"/>
      </w:pPr>
      <w:rPr>
        <w:rFonts w:ascii="Symbol" w:hAnsi="Symbol" w:hint="default"/>
      </w:rPr>
    </w:lvl>
    <w:lvl w:ilvl="7" w:tplc="9768066C">
      <w:start w:val="1"/>
      <w:numFmt w:val="bullet"/>
      <w:lvlText w:val="o"/>
      <w:lvlJc w:val="left"/>
      <w:pPr>
        <w:ind w:left="5760" w:hanging="360"/>
      </w:pPr>
      <w:rPr>
        <w:rFonts w:ascii="Courier New" w:hAnsi="Courier New" w:hint="default"/>
      </w:rPr>
    </w:lvl>
    <w:lvl w:ilvl="8" w:tplc="DBDC3C58">
      <w:start w:val="1"/>
      <w:numFmt w:val="bullet"/>
      <w:lvlText w:val=""/>
      <w:lvlJc w:val="left"/>
      <w:pPr>
        <w:ind w:left="6480" w:hanging="360"/>
      </w:pPr>
      <w:rPr>
        <w:rFonts w:ascii="Wingdings" w:hAnsi="Wingdings" w:hint="default"/>
      </w:rPr>
    </w:lvl>
  </w:abstractNum>
  <w:abstractNum w:abstractNumId="11" w15:restartNumberingAfterBreak="0">
    <w:nsid w:val="20B45F2D"/>
    <w:multiLevelType w:val="hybridMultilevel"/>
    <w:tmpl w:val="2A229D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1962376"/>
    <w:multiLevelType w:val="hybridMultilevel"/>
    <w:tmpl w:val="334C3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B24E57"/>
    <w:multiLevelType w:val="hybridMultilevel"/>
    <w:tmpl w:val="42F2BE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9D1AAA"/>
    <w:multiLevelType w:val="hybridMultilevel"/>
    <w:tmpl w:val="5B32116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A937D23"/>
    <w:multiLevelType w:val="hybridMultilevel"/>
    <w:tmpl w:val="92567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5F06BF7"/>
    <w:multiLevelType w:val="hybridMultilevel"/>
    <w:tmpl w:val="AFB0896E"/>
    <w:lvl w:ilvl="0" w:tplc="AA8C62E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171371"/>
    <w:multiLevelType w:val="hybridMultilevel"/>
    <w:tmpl w:val="64186D66"/>
    <w:lvl w:ilvl="0" w:tplc="FFFFFFFF">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3DA1036C"/>
    <w:multiLevelType w:val="hybridMultilevel"/>
    <w:tmpl w:val="0C1E5350"/>
    <w:lvl w:ilvl="0" w:tplc="0C090003">
      <w:start w:val="1"/>
      <w:numFmt w:val="bullet"/>
      <w:lvlText w:val="o"/>
      <w:lvlJc w:val="left"/>
      <w:pPr>
        <w:ind w:left="780" w:hanging="360"/>
      </w:pPr>
      <w:rPr>
        <w:rFonts w:ascii="Courier New" w:hAnsi="Courier New" w:cs="Courier New"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460E56B7"/>
    <w:multiLevelType w:val="hybridMultilevel"/>
    <w:tmpl w:val="FAFAE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0F5BEE"/>
    <w:multiLevelType w:val="hybridMultilevel"/>
    <w:tmpl w:val="E0C808B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093439"/>
    <w:multiLevelType w:val="hybridMultilevel"/>
    <w:tmpl w:val="71E8309A"/>
    <w:lvl w:ilvl="0" w:tplc="0C09000F">
      <w:start w:val="1"/>
      <w:numFmt w:val="decimal"/>
      <w:lvlText w:val="%1."/>
      <w:lvlJc w:val="left"/>
      <w:pPr>
        <w:tabs>
          <w:tab w:val="num" w:pos="780"/>
        </w:tabs>
        <w:ind w:left="780" w:hanging="360"/>
      </w:pPr>
    </w:lvl>
    <w:lvl w:ilvl="1" w:tplc="0C090019">
      <w:start w:val="1"/>
      <w:numFmt w:val="lowerLetter"/>
      <w:lvlText w:val="%2."/>
      <w:lvlJc w:val="left"/>
      <w:pPr>
        <w:tabs>
          <w:tab w:val="num" w:pos="1500"/>
        </w:tabs>
        <w:ind w:left="1500" w:hanging="360"/>
      </w:pPr>
    </w:lvl>
    <w:lvl w:ilvl="2" w:tplc="0C09001B">
      <w:start w:val="1"/>
      <w:numFmt w:val="lowerRoman"/>
      <w:lvlText w:val="%3."/>
      <w:lvlJc w:val="right"/>
      <w:pPr>
        <w:tabs>
          <w:tab w:val="num" w:pos="2220"/>
        </w:tabs>
        <w:ind w:left="2220" w:hanging="180"/>
      </w:pPr>
    </w:lvl>
    <w:lvl w:ilvl="3" w:tplc="0C09000F">
      <w:start w:val="1"/>
      <w:numFmt w:val="decimal"/>
      <w:lvlText w:val="%4."/>
      <w:lvlJc w:val="left"/>
      <w:pPr>
        <w:tabs>
          <w:tab w:val="num" w:pos="2940"/>
        </w:tabs>
        <w:ind w:left="2940" w:hanging="360"/>
      </w:pPr>
    </w:lvl>
    <w:lvl w:ilvl="4" w:tplc="0C090019">
      <w:start w:val="1"/>
      <w:numFmt w:val="lowerLetter"/>
      <w:lvlText w:val="%5."/>
      <w:lvlJc w:val="left"/>
      <w:pPr>
        <w:tabs>
          <w:tab w:val="num" w:pos="3660"/>
        </w:tabs>
        <w:ind w:left="3660" w:hanging="360"/>
      </w:pPr>
    </w:lvl>
    <w:lvl w:ilvl="5" w:tplc="0C09001B">
      <w:start w:val="1"/>
      <w:numFmt w:val="lowerRoman"/>
      <w:lvlText w:val="%6."/>
      <w:lvlJc w:val="right"/>
      <w:pPr>
        <w:tabs>
          <w:tab w:val="num" w:pos="4380"/>
        </w:tabs>
        <w:ind w:left="4380" w:hanging="180"/>
      </w:pPr>
    </w:lvl>
    <w:lvl w:ilvl="6" w:tplc="0C09000F">
      <w:start w:val="1"/>
      <w:numFmt w:val="decimal"/>
      <w:lvlText w:val="%7."/>
      <w:lvlJc w:val="left"/>
      <w:pPr>
        <w:tabs>
          <w:tab w:val="num" w:pos="5100"/>
        </w:tabs>
        <w:ind w:left="5100" w:hanging="360"/>
      </w:pPr>
    </w:lvl>
    <w:lvl w:ilvl="7" w:tplc="0C090019">
      <w:start w:val="1"/>
      <w:numFmt w:val="lowerLetter"/>
      <w:lvlText w:val="%8."/>
      <w:lvlJc w:val="left"/>
      <w:pPr>
        <w:tabs>
          <w:tab w:val="num" w:pos="5820"/>
        </w:tabs>
        <w:ind w:left="5820" w:hanging="360"/>
      </w:pPr>
    </w:lvl>
    <w:lvl w:ilvl="8" w:tplc="0C09001B">
      <w:start w:val="1"/>
      <w:numFmt w:val="lowerRoman"/>
      <w:lvlText w:val="%9."/>
      <w:lvlJc w:val="right"/>
      <w:pPr>
        <w:tabs>
          <w:tab w:val="num" w:pos="6540"/>
        </w:tabs>
        <w:ind w:left="6540" w:hanging="180"/>
      </w:pPr>
    </w:lvl>
  </w:abstractNum>
  <w:abstractNum w:abstractNumId="23" w15:restartNumberingAfterBreak="0">
    <w:nsid w:val="49B109B5"/>
    <w:multiLevelType w:val="hybridMultilevel"/>
    <w:tmpl w:val="88022A3C"/>
    <w:lvl w:ilvl="0" w:tplc="ACAAA4E6">
      <w:start w:val="1"/>
      <w:numFmt w:val="bullet"/>
      <w:lvlText w:val=""/>
      <w:lvlJc w:val="left"/>
      <w:pPr>
        <w:ind w:left="720" w:hanging="360"/>
      </w:pPr>
      <w:rPr>
        <w:rFonts w:ascii="Symbol" w:hAnsi="Symbol" w:hint="default"/>
      </w:rPr>
    </w:lvl>
    <w:lvl w:ilvl="1" w:tplc="9ADC63F8">
      <w:start w:val="1"/>
      <w:numFmt w:val="bullet"/>
      <w:lvlText w:val="o"/>
      <w:lvlJc w:val="left"/>
      <w:pPr>
        <w:ind w:left="1440" w:hanging="360"/>
      </w:pPr>
      <w:rPr>
        <w:rFonts w:ascii="Courier New" w:hAnsi="Courier New" w:hint="default"/>
      </w:rPr>
    </w:lvl>
    <w:lvl w:ilvl="2" w:tplc="9DC29818">
      <w:start w:val="1"/>
      <w:numFmt w:val="bullet"/>
      <w:lvlText w:val=""/>
      <w:lvlJc w:val="left"/>
      <w:pPr>
        <w:ind w:left="2160" w:hanging="360"/>
      </w:pPr>
      <w:rPr>
        <w:rFonts w:ascii="Wingdings" w:hAnsi="Wingdings" w:hint="default"/>
      </w:rPr>
    </w:lvl>
    <w:lvl w:ilvl="3" w:tplc="4704E432">
      <w:start w:val="1"/>
      <w:numFmt w:val="bullet"/>
      <w:lvlText w:val=""/>
      <w:lvlJc w:val="left"/>
      <w:pPr>
        <w:ind w:left="2880" w:hanging="360"/>
      </w:pPr>
      <w:rPr>
        <w:rFonts w:ascii="Symbol" w:hAnsi="Symbol" w:hint="default"/>
      </w:rPr>
    </w:lvl>
    <w:lvl w:ilvl="4" w:tplc="E4869FB4">
      <w:start w:val="1"/>
      <w:numFmt w:val="bullet"/>
      <w:lvlText w:val="o"/>
      <w:lvlJc w:val="left"/>
      <w:pPr>
        <w:ind w:left="3600" w:hanging="360"/>
      </w:pPr>
      <w:rPr>
        <w:rFonts w:ascii="Courier New" w:hAnsi="Courier New" w:hint="default"/>
      </w:rPr>
    </w:lvl>
    <w:lvl w:ilvl="5" w:tplc="3A2AC362">
      <w:start w:val="1"/>
      <w:numFmt w:val="bullet"/>
      <w:lvlText w:val=""/>
      <w:lvlJc w:val="left"/>
      <w:pPr>
        <w:ind w:left="4320" w:hanging="360"/>
      </w:pPr>
      <w:rPr>
        <w:rFonts w:ascii="Wingdings" w:hAnsi="Wingdings" w:hint="default"/>
      </w:rPr>
    </w:lvl>
    <w:lvl w:ilvl="6" w:tplc="43104154">
      <w:start w:val="1"/>
      <w:numFmt w:val="bullet"/>
      <w:lvlText w:val=""/>
      <w:lvlJc w:val="left"/>
      <w:pPr>
        <w:ind w:left="5040" w:hanging="360"/>
      </w:pPr>
      <w:rPr>
        <w:rFonts w:ascii="Symbol" w:hAnsi="Symbol" w:hint="default"/>
      </w:rPr>
    </w:lvl>
    <w:lvl w:ilvl="7" w:tplc="8AB6E56E">
      <w:start w:val="1"/>
      <w:numFmt w:val="bullet"/>
      <w:lvlText w:val="o"/>
      <w:lvlJc w:val="left"/>
      <w:pPr>
        <w:ind w:left="5760" w:hanging="360"/>
      </w:pPr>
      <w:rPr>
        <w:rFonts w:ascii="Courier New" w:hAnsi="Courier New" w:hint="default"/>
      </w:rPr>
    </w:lvl>
    <w:lvl w:ilvl="8" w:tplc="6512DC10">
      <w:start w:val="1"/>
      <w:numFmt w:val="bullet"/>
      <w:lvlText w:val=""/>
      <w:lvlJc w:val="left"/>
      <w:pPr>
        <w:ind w:left="6480" w:hanging="360"/>
      </w:pPr>
      <w:rPr>
        <w:rFonts w:ascii="Wingdings" w:hAnsi="Wingdings" w:hint="default"/>
      </w:rPr>
    </w:lvl>
  </w:abstractNum>
  <w:abstractNum w:abstractNumId="24" w15:restartNumberingAfterBreak="0">
    <w:nsid w:val="4B007419"/>
    <w:multiLevelType w:val="hybridMultilevel"/>
    <w:tmpl w:val="8B12D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8C3B1D"/>
    <w:multiLevelType w:val="hybridMultilevel"/>
    <w:tmpl w:val="A92ED136"/>
    <w:lvl w:ilvl="0" w:tplc="1F6830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6A711F2"/>
    <w:multiLevelType w:val="hybridMultilevel"/>
    <w:tmpl w:val="2E9EB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E71FA4"/>
    <w:multiLevelType w:val="hybridMultilevel"/>
    <w:tmpl w:val="209A1D6A"/>
    <w:lvl w:ilvl="0" w:tplc="0C090003">
      <w:start w:val="1"/>
      <w:numFmt w:val="bullet"/>
      <w:lvlText w:val="o"/>
      <w:lvlJc w:val="left"/>
      <w:pPr>
        <w:ind w:left="840" w:hanging="360"/>
      </w:pPr>
      <w:rPr>
        <w:rFonts w:ascii="Courier New" w:hAnsi="Courier New" w:cs="Courier New"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28" w15:restartNumberingAfterBreak="0">
    <w:nsid w:val="57CA1FA0"/>
    <w:multiLevelType w:val="hybridMultilevel"/>
    <w:tmpl w:val="00926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DF001E"/>
    <w:multiLevelType w:val="hybridMultilevel"/>
    <w:tmpl w:val="3BCC8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5610F85"/>
    <w:multiLevelType w:val="hybridMultilevel"/>
    <w:tmpl w:val="4C747C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9965AC7"/>
    <w:multiLevelType w:val="hybridMultilevel"/>
    <w:tmpl w:val="979A644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2" w15:restartNumberingAfterBreak="0">
    <w:nsid w:val="6C007FE3"/>
    <w:multiLevelType w:val="hybridMultilevel"/>
    <w:tmpl w:val="FEFA57CA"/>
    <w:lvl w:ilvl="0" w:tplc="0C090003">
      <w:start w:val="1"/>
      <w:numFmt w:val="bullet"/>
      <w:lvlText w:val="o"/>
      <w:lvlJc w:val="left"/>
      <w:pPr>
        <w:ind w:left="780" w:hanging="360"/>
      </w:pPr>
      <w:rPr>
        <w:rFonts w:ascii="Courier New" w:hAnsi="Courier New" w:cs="Courier New"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3" w15:restartNumberingAfterBreak="0">
    <w:nsid w:val="7A904B27"/>
    <w:multiLevelType w:val="hybridMultilevel"/>
    <w:tmpl w:val="ECC25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27695688">
    <w:abstractNumId w:val="23"/>
  </w:num>
  <w:num w:numId="2" w16cid:durableId="1557813109">
    <w:abstractNumId w:val="10"/>
  </w:num>
  <w:num w:numId="3" w16cid:durableId="10257164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7661416">
    <w:abstractNumId w:val="0"/>
  </w:num>
  <w:num w:numId="5" w16cid:durableId="719859773">
    <w:abstractNumId w:val="22"/>
  </w:num>
  <w:num w:numId="6" w16cid:durableId="248002579">
    <w:abstractNumId w:val="20"/>
  </w:num>
  <w:num w:numId="7" w16cid:durableId="556671570">
    <w:abstractNumId w:val="31"/>
  </w:num>
  <w:num w:numId="8" w16cid:durableId="1207989078">
    <w:abstractNumId w:val="15"/>
  </w:num>
  <w:num w:numId="9" w16cid:durableId="1088694433">
    <w:abstractNumId w:val="13"/>
  </w:num>
  <w:num w:numId="10" w16cid:durableId="1005940818">
    <w:abstractNumId w:val="1"/>
  </w:num>
  <w:num w:numId="11" w16cid:durableId="876743113">
    <w:abstractNumId w:val="7"/>
  </w:num>
  <w:num w:numId="12" w16cid:durableId="2056156560">
    <w:abstractNumId w:val="11"/>
  </w:num>
  <w:num w:numId="13" w16cid:durableId="2054428280">
    <w:abstractNumId w:val="6"/>
  </w:num>
  <w:num w:numId="14" w16cid:durableId="1044675921">
    <w:abstractNumId w:val="3"/>
  </w:num>
  <w:num w:numId="15" w16cid:durableId="1367607972">
    <w:abstractNumId w:val="5"/>
  </w:num>
  <w:num w:numId="16" w16cid:durableId="1664314792">
    <w:abstractNumId w:val="26"/>
  </w:num>
  <w:num w:numId="17" w16cid:durableId="1693340507">
    <w:abstractNumId w:val="25"/>
  </w:num>
  <w:num w:numId="18" w16cid:durableId="1618215487">
    <w:abstractNumId w:val="16"/>
  </w:num>
  <w:num w:numId="19" w16cid:durableId="1746490514">
    <w:abstractNumId w:val="30"/>
  </w:num>
  <w:num w:numId="20" w16cid:durableId="1568489625">
    <w:abstractNumId w:val="28"/>
  </w:num>
  <w:num w:numId="21" w16cid:durableId="665942145">
    <w:abstractNumId w:val="4"/>
  </w:num>
  <w:num w:numId="22" w16cid:durableId="1898009514">
    <w:abstractNumId w:val="17"/>
  </w:num>
  <w:num w:numId="23" w16cid:durableId="329799722">
    <w:abstractNumId w:val="33"/>
  </w:num>
  <w:num w:numId="24" w16cid:durableId="48575262">
    <w:abstractNumId w:val="21"/>
  </w:num>
  <w:num w:numId="25" w16cid:durableId="1368794116">
    <w:abstractNumId w:val="32"/>
  </w:num>
  <w:num w:numId="26" w16cid:durableId="520625216">
    <w:abstractNumId w:val="19"/>
  </w:num>
  <w:num w:numId="27" w16cid:durableId="1264802242">
    <w:abstractNumId w:val="2"/>
  </w:num>
  <w:num w:numId="28" w16cid:durableId="350649030">
    <w:abstractNumId w:val="27"/>
  </w:num>
  <w:num w:numId="29" w16cid:durableId="761293593">
    <w:abstractNumId w:val="29"/>
  </w:num>
  <w:num w:numId="30" w16cid:durableId="607667212">
    <w:abstractNumId w:val="12"/>
  </w:num>
  <w:num w:numId="31" w16cid:durableId="777482910">
    <w:abstractNumId w:val="8"/>
  </w:num>
  <w:num w:numId="32" w16cid:durableId="197940465">
    <w:abstractNumId w:val="18"/>
  </w:num>
  <w:num w:numId="33" w16cid:durableId="68499343">
    <w:abstractNumId w:val="14"/>
  </w:num>
  <w:num w:numId="34" w16cid:durableId="1435589773">
    <w:abstractNumId w:val="9"/>
  </w:num>
  <w:num w:numId="35" w16cid:durableId="3908849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0A"/>
    <w:rsid w:val="00003124"/>
    <w:rsid w:val="00005BF9"/>
    <w:rsid w:val="000067D7"/>
    <w:rsid w:val="00007E7A"/>
    <w:rsid w:val="0001028C"/>
    <w:rsid w:val="000103BF"/>
    <w:rsid w:val="0001143D"/>
    <w:rsid w:val="00012628"/>
    <w:rsid w:val="0001265F"/>
    <w:rsid w:val="000126B2"/>
    <w:rsid w:val="00012717"/>
    <w:rsid w:val="0001299F"/>
    <w:rsid w:val="00015A2C"/>
    <w:rsid w:val="00020881"/>
    <w:rsid w:val="00030457"/>
    <w:rsid w:val="000331AB"/>
    <w:rsid w:val="0003595B"/>
    <w:rsid w:val="00042B02"/>
    <w:rsid w:val="00046478"/>
    <w:rsid w:val="00046546"/>
    <w:rsid w:val="0005207F"/>
    <w:rsid w:val="00054A5F"/>
    <w:rsid w:val="000564D3"/>
    <w:rsid w:val="00060F1A"/>
    <w:rsid w:val="00065AC3"/>
    <w:rsid w:val="0006795E"/>
    <w:rsid w:val="00073178"/>
    <w:rsid w:val="000741F8"/>
    <w:rsid w:val="0007524A"/>
    <w:rsid w:val="000758A2"/>
    <w:rsid w:val="00075EFD"/>
    <w:rsid w:val="00076B31"/>
    <w:rsid w:val="00077A97"/>
    <w:rsid w:val="000833B7"/>
    <w:rsid w:val="000901B3"/>
    <w:rsid w:val="00092656"/>
    <w:rsid w:val="00093E9E"/>
    <w:rsid w:val="00096D11"/>
    <w:rsid w:val="000A2EFF"/>
    <w:rsid w:val="000A3F59"/>
    <w:rsid w:val="000A4307"/>
    <w:rsid w:val="000A7A81"/>
    <w:rsid w:val="000B0633"/>
    <w:rsid w:val="000B6B6F"/>
    <w:rsid w:val="000B75C5"/>
    <w:rsid w:val="000C0353"/>
    <w:rsid w:val="000C06B3"/>
    <w:rsid w:val="000C0E81"/>
    <w:rsid w:val="000C1B6C"/>
    <w:rsid w:val="000C4C79"/>
    <w:rsid w:val="000C5B78"/>
    <w:rsid w:val="000C7E6C"/>
    <w:rsid w:val="000D2F5C"/>
    <w:rsid w:val="000D545D"/>
    <w:rsid w:val="000D6178"/>
    <w:rsid w:val="000E2C8D"/>
    <w:rsid w:val="000E40B2"/>
    <w:rsid w:val="000E43CC"/>
    <w:rsid w:val="000E4408"/>
    <w:rsid w:val="000E5132"/>
    <w:rsid w:val="000F1109"/>
    <w:rsid w:val="000F112E"/>
    <w:rsid w:val="000F4BEC"/>
    <w:rsid w:val="00101452"/>
    <w:rsid w:val="001045FF"/>
    <w:rsid w:val="00105667"/>
    <w:rsid w:val="00105B0E"/>
    <w:rsid w:val="001062DB"/>
    <w:rsid w:val="00107615"/>
    <w:rsid w:val="00112B90"/>
    <w:rsid w:val="00112F81"/>
    <w:rsid w:val="001161F2"/>
    <w:rsid w:val="00117752"/>
    <w:rsid w:val="001178A9"/>
    <w:rsid w:val="00121D99"/>
    <w:rsid w:val="00123BC4"/>
    <w:rsid w:val="0012555E"/>
    <w:rsid w:val="00127F5E"/>
    <w:rsid w:val="001315A6"/>
    <w:rsid w:val="00136E7B"/>
    <w:rsid w:val="00143DA0"/>
    <w:rsid w:val="00143F9E"/>
    <w:rsid w:val="00147911"/>
    <w:rsid w:val="00147F34"/>
    <w:rsid w:val="001509BA"/>
    <w:rsid w:val="00151760"/>
    <w:rsid w:val="00153C80"/>
    <w:rsid w:val="0015424F"/>
    <w:rsid w:val="001555C9"/>
    <w:rsid w:val="001570B8"/>
    <w:rsid w:val="001600F7"/>
    <w:rsid w:val="00162E15"/>
    <w:rsid w:val="00163E71"/>
    <w:rsid w:val="00164F0E"/>
    <w:rsid w:val="00170758"/>
    <w:rsid w:val="00170C82"/>
    <w:rsid w:val="0017170D"/>
    <w:rsid w:val="001721C1"/>
    <w:rsid w:val="001734D7"/>
    <w:rsid w:val="00174B64"/>
    <w:rsid w:val="00176C5F"/>
    <w:rsid w:val="00177A08"/>
    <w:rsid w:val="00177EEA"/>
    <w:rsid w:val="0018000F"/>
    <w:rsid w:val="001817F9"/>
    <w:rsid w:val="00184A7F"/>
    <w:rsid w:val="00185687"/>
    <w:rsid w:val="00190FC6"/>
    <w:rsid w:val="00195420"/>
    <w:rsid w:val="001A33C8"/>
    <w:rsid w:val="001A59A8"/>
    <w:rsid w:val="001A6C51"/>
    <w:rsid w:val="001A6D75"/>
    <w:rsid w:val="001A7BE1"/>
    <w:rsid w:val="001B00F9"/>
    <w:rsid w:val="001B07E6"/>
    <w:rsid w:val="001B1667"/>
    <w:rsid w:val="001B2AFC"/>
    <w:rsid w:val="001B3204"/>
    <w:rsid w:val="001B3D14"/>
    <w:rsid w:val="001B455B"/>
    <w:rsid w:val="001B5F7B"/>
    <w:rsid w:val="001C05F4"/>
    <w:rsid w:val="001D2F34"/>
    <w:rsid w:val="001D631C"/>
    <w:rsid w:val="001D6A15"/>
    <w:rsid w:val="001D6D11"/>
    <w:rsid w:val="001D7AFB"/>
    <w:rsid w:val="001E0F83"/>
    <w:rsid w:val="001F22F0"/>
    <w:rsid w:val="001F4800"/>
    <w:rsid w:val="001F6600"/>
    <w:rsid w:val="001F7BCE"/>
    <w:rsid w:val="0020064C"/>
    <w:rsid w:val="0020077A"/>
    <w:rsid w:val="0020340D"/>
    <w:rsid w:val="00204EC3"/>
    <w:rsid w:val="00205500"/>
    <w:rsid w:val="002059C4"/>
    <w:rsid w:val="00206F07"/>
    <w:rsid w:val="0021440F"/>
    <w:rsid w:val="0021476E"/>
    <w:rsid w:val="00215420"/>
    <w:rsid w:val="0021556F"/>
    <w:rsid w:val="00217742"/>
    <w:rsid w:val="002228C5"/>
    <w:rsid w:val="002311A8"/>
    <w:rsid w:val="00231F9D"/>
    <w:rsid w:val="00232329"/>
    <w:rsid w:val="00232E4D"/>
    <w:rsid w:val="002354AF"/>
    <w:rsid w:val="00244275"/>
    <w:rsid w:val="002442A7"/>
    <w:rsid w:val="00246B5C"/>
    <w:rsid w:val="00246EBD"/>
    <w:rsid w:val="0025015A"/>
    <w:rsid w:val="00252CB6"/>
    <w:rsid w:val="0025349D"/>
    <w:rsid w:val="00253B15"/>
    <w:rsid w:val="0025412C"/>
    <w:rsid w:val="00254D4E"/>
    <w:rsid w:val="0026014B"/>
    <w:rsid w:val="0026064A"/>
    <w:rsid w:val="0026068B"/>
    <w:rsid w:val="00260F30"/>
    <w:rsid w:val="002614DC"/>
    <w:rsid w:val="00265B08"/>
    <w:rsid w:val="00275FFF"/>
    <w:rsid w:val="0027604D"/>
    <w:rsid w:val="00276277"/>
    <w:rsid w:val="002762DA"/>
    <w:rsid w:val="002775BC"/>
    <w:rsid w:val="002800EE"/>
    <w:rsid w:val="002801CD"/>
    <w:rsid w:val="00280BA4"/>
    <w:rsid w:val="00280E2D"/>
    <w:rsid w:val="00284AF6"/>
    <w:rsid w:val="002872F1"/>
    <w:rsid w:val="00287BD6"/>
    <w:rsid w:val="00290ACD"/>
    <w:rsid w:val="00291208"/>
    <w:rsid w:val="0029310E"/>
    <w:rsid w:val="002A0B84"/>
    <w:rsid w:val="002A1F08"/>
    <w:rsid w:val="002A35BF"/>
    <w:rsid w:val="002A3BAA"/>
    <w:rsid w:val="002A46D7"/>
    <w:rsid w:val="002A5852"/>
    <w:rsid w:val="002B0880"/>
    <w:rsid w:val="002B4810"/>
    <w:rsid w:val="002B5B34"/>
    <w:rsid w:val="002C556B"/>
    <w:rsid w:val="002C653D"/>
    <w:rsid w:val="002D225E"/>
    <w:rsid w:val="002D36FC"/>
    <w:rsid w:val="002D3D4C"/>
    <w:rsid w:val="002D41F8"/>
    <w:rsid w:val="002D6033"/>
    <w:rsid w:val="002E0D2A"/>
    <w:rsid w:val="002E2D52"/>
    <w:rsid w:val="002E37D2"/>
    <w:rsid w:val="002E6DB0"/>
    <w:rsid w:val="002E7798"/>
    <w:rsid w:val="002F2E09"/>
    <w:rsid w:val="002F63CC"/>
    <w:rsid w:val="002F7E19"/>
    <w:rsid w:val="003001D1"/>
    <w:rsid w:val="00305301"/>
    <w:rsid w:val="00310444"/>
    <w:rsid w:val="00315848"/>
    <w:rsid w:val="003158AF"/>
    <w:rsid w:val="003168E0"/>
    <w:rsid w:val="00322BC6"/>
    <w:rsid w:val="003250D6"/>
    <w:rsid w:val="003259AA"/>
    <w:rsid w:val="003324AC"/>
    <w:rsid w:val="0034148E"/>
    <w:rsid w:val="00344AEB"/>
    <w:rsid w:val="00344B83"/>
    <w:rsid w:val="00350284"/>
    <w:rsid w:val="00355F20"/>
    <w:rsid w:val="003562B9"/>
    <w:rsid w:val="003576EB"/>
    <w:rsid w:val="0036189F"/>
    <w:rsid w:val="00363A03"/>
    <w:rsid w:val="003640E1"/>
    <w:rsid w:val="00366069"/>
    <w:rsid w:val="003671F4"/>
    <w:rsid w:val="003673DA"/>
    <w:rsid w:val="003679B9"/>
    <w:rsid w:val="00371484"/>
    <w:rsid w:val="00371857"/>
    <w:rsid w:val="003748AA"/>
    <w:rsid w:val="0037774F"/>
    <w:rsid w:val="00380252"/>
    <w:rsid w:val="0038293A"/>
    <w:rsid w:val="003833BE"/>
    <w:rsid w:val="00384FD2"/>
    <w:rsid w:val="003852B4"/>
    <w:rsid w:val="00385D46"/>
    <w:rsid w:val="00390905"/>
    <w:rsid w:val="003923C6"/>
    <w:rsid w:val="00396266"/>
    <w:rsid w:val="00397D68"/>
    <w:rsid w:val="003A0A47"/>
    <w:rsid w:val="003A517F"/>
    <w:rsid w:val="003A6A2D"/>
    <w:rsid w:val="003A7C55"/>
    <w:rsid w:val="003A7F8E"/>
    <w:rsid w:val="003B029D"/>
    <w:rsid w:val="003B0599"/>
    <w:rsid w:val="003B405A"/>
    <w:rsid w:val="003B7D6E"/>
    <w:rsid w:val="003C0E22"/>
    <w:rsid w:val="003C33BB"/>
    <w:rsid w:val="003C375D"/>
    <w:rsid w:val="003C602E"/>
    <w:rsid w:val="003C7CC3"/>
    <w:rsid w:val="003D42FF"/>
    <w:rsid w:val="003D4FEF"/>
    <w:rsid w:val="003D7C4E"/>
    <w:rsid w:val="003E0614"/>
    <w:rsid w:val="003E2226"/>
    <w:rsid w:val="003E3CF6"/>
    <w:rsid w:val="003E41FB"/>
    <w:rsid w:val="003E4617"/>
    <w:rsid w:val="003E532D"/>
    <w:rsid w:val="003E66D4"/>
    <w:rsid w:val="003E7086"/>
    <w:rsid w:val="003F06D3"/>
    <w:rsid w:val="003F14C6"/>
    <w:rsid w:val="003F1BF7"/>
    <w:rsid w:val="003F256E"/>
    <w:rsid w:val="003F3714"/>
    <w:rsid w:val="003F5BB8"/>
    <w:rsid w:val="0040449F"/>
    <w:rsid w:val="00404B4B"/>
    <w:rsid w:val="00411DA3"/>
    <w:rsid w:val="004125B1"/>
    <w:rsid w:val="0041373A"/>
    <w:rsid w:val="00414964"/>
    <w:rsid w:val="0042208D"/>
    <w:rsid w:val="00422AF9"/>
    <w:rsid w:val="00422F92"/>
    <w:rsid w:val="00431A17"/>
    <w:rsid w:val="00432B18"/>
    <w:rsid w:val="0043377A"/>
    <w:rsid w:val="004337C7"/>
    <w:rsid w:val="0043419D"/>
    <w:rsid w:val="004341D7"/>
    <w:rsid w:val="00436232"/>
    <w:rsid w:val="0043652C"/>
    <w:rsid w:val="0043740B"/>
    <w:rsid w:val="00444A63"/>
    <w:rsid w:val="00447025"/>
    <w:rsid w:val="004527BB"/>
    <w:rsid w:val="0045318E"/>
    <w:rsid w:val="00457E44"/>
    <w:rsid w:val="00466096"/>
    <w:rsid w:val="00466BED"/>
    <w:rsid w:val="00470E55"/>
    <w:rsid w:val="00475327"/>
    <w:rsid w:val="004774F8"/>
    <w:rsid w:val="00477E4C"/>
    <w:rsid w:val="00480857"/>
    <w:rsid w:val="00481296"/>
    <w:rsid w:val="00481E27"/>
    <w:rsid w:val="00483786"/>
    <w:rsid w:val="004904B2"/>
    <w:rsid w:val="004904C1"/>
    <w:rsid w:val="0049081B"/>
    <w:rsid w:val="00490BCA"/>
    <w:rsid w:val="004910AE"/>
    <w:rsid w:val="00491848"/>
    <w:rsid w:val="00491F6F"/>
    <w:rsid w:val="0049509A"/>
    <w:rsid w:val="00496FAD"/>
    <w:rsid w:val="00497458"/>
    <w:rsid w:val="004979A1"/>
    <w:rsid w:val="004A601C"/>
    <w:rsid w:val="004A71AE"/>
    <w:rsid w:val="004A78E5"/>
    <w:rsid w:val="004B0136"/>
    <w:rsid w:val="004B2B6E"/>
    <w:rsid w:val="004B3D9D"/>
    <w:rsid w:val="004B63B0"/>
    <w:rsid w:val="004B6DD4"/>
    <w:rsid w:val="004B7BE2"/>
    <w:rsid w:val="004C0697"/>
    <w:rsid w:val="004C0913"/>
    <w:rsid w:val="004C1163"/>
    <w:rsid w:val="004C1C16"/>
    <w:rsid w:val="004C39F7"/>
    <w:rsid w:val="004C4232"/>
    <w:rsid w:val="004C45E0"/>
    <w:rsid w:val="004C7BF2"/>
    <w:rsid w:val="004C7E48"/>
    <w:rsid w:val="004D0D36"/>
    <w:rsid w:val="004D637B"/>
    <w:rsid w:val="004D6D39"/>
    <w:rsid w:val="004E03B0"/>
    <w:rsid w:val="004E7688"/>
    <w:rsid w:val="004E7ABA"/>
    <w:rsid w:val="004F030B"/>
    <w:rsid w:val="004F0CB1"/>
    <w:rsid w:val="004F0E86"/>
    <w:rsid w:val="00505F80"/>
    <w:rsid w:val="00510C27"/>
    <w:rsid w:val="00511085"/>
    <w:rsid w:val="00511DF5"/>
    <w:rsid w:val="00512BBE"/>
    <w:rsid w:val="00512CC6"/>
    <w:rsid w:val="0051340D"/>
    <w:rsid w:val="00513903"/>
    <w:rsid w:val="00513A42"/>
    <w:rsid w:val="0051408A"/>
    <w:rsid w:val="00514AA6"/>
    <w:rsid w:val="00515BE7"/>
    <w:rsid w:val="005201A3"/>
    <w:rsid w:val="00520B14"/>
    <w:rsid w:val="0052166E"/>
    <w:rsid w:val="0052333F"/>
    <w:rsid w:val="00526484"/>
    <w:rsid w:val="00527AA1"/>
    <w:rsid w:val="00530B5D"/>
    <w:rsid w:val="0053301E"/>
    <w:rsid w:val="005363B1"/>
    <w:rsid w:val="005373B7"/>
    <w:rsid w:val="00537410"/>
    <w:rsid w:val="00545688"/>
    <w:rsid w:val="00545BFB"/>
    <w:rsid w:val="00547F5F"/>
    <w:rsid w:val="00550F63"/>
    <w:rsid w:val="005528F1"/>
    <w:rsid w:val="00555715"/>
    <w:rsid w:val="00556D57"/>
    <w:rsid w:val="00560E54"/>
    <w:rsid w:val="00561F46"/>
    <w:rsid w:val="005659BB"/>
    <w:rsid w:val="00570F60"/>
    <w:rsid w:val="00572F7D"/>
    <w:rsid w:val="00573931"/>
    <w:rsid w:val="00575181"/>
    <w:rsid w:val="00576EA5"/>
    <w:rsid w:val="00577B0D"/>
    <w:rsid w:val="00577DFB"/>
    <w:rsid w:val="00581F4D"/>
    <w:rsid w:val="00583A82"/>
    <w:rsid w:val="005842BC"/>
    <w:rsid w:val="00584896"/>
    <w:rsid w:val="00584ECC"/>
    <w:rsid w:val="00585839"/>
    <w:rsid w:val="005861C1"/>
    <w:rsid w:val="0059372B"/>
    <w:rsid w:val="005937C5"/>
    <w:rsid w:val="005949AA"/>
    <w:rsid w:val="0059669C"/>
    <w:rsid w:val="00596E41"/>
    <w:rsid w:val="0059753C"/>
    <w:rsid w:val="005A465F"/>
    <w:rsid w:val="005A4686"/>
    <w:rsid w:val="005A4BBB"/>
    <w:rsid w:val="005A5CF0"/>
    <w:rsid w:val="005A6E6C"/>
    <w:rsid w:val="005A79F1"/>
    <w:rsid w:val="005B0CD9"/>
    <w:rsid w:val="005B1B9E"/>
    <w:rsid w:val="005B33A8"/>
    <w:rsid w:val="005B42B4"/>
    <w:rsid w:val="005B5E6A"/>
    <w:rsid w:val="005B7807"/>
    <w:rsid w:val="005C1E7B"/>
    <w:rsid w:val="005C2B82"/>
    <w:rsid w:val="005C3F0E"/>
    <w:rsid w:val="005C6651"/>
    <w:rsid w:val="005D2A87"/>
    <w:rsid w:val="005D2C78"/>
    <w:rsid w:val="005D5057"/>
    <w:rsid w:val="005D57B1"/>
    <w:rsid w:val="005E1B88"/>
    <w:rsid w:val="005E2AF0"/>
    <w:rsid w:val="005E7E29"/>
    <w:rsid w:val="005F18DC"/>
    <w:rsid w:val="005F23BA"/>
    <w:rsid w:val="005F2C6D"/>
    <w:rsid w:val="005F50C3"/>
    <w:rsid w:val="005F6267"/>
    <w:rsid w:val="00600033"/>
    <w:rsid w:val="0060348D"/>
    <w:rsid w:val="0060384D"/>
    <w:rsid w:val="00603F7F"/>
    <w:rsid w:val="00607EFB"/>
    <w:rsid w:val="00612D6C"/>
    <w:rsid w:val="00614CD1"/>
    <w:rsid w:val="00614F20"/>
    <w:rsid w:val="00615918"/>
    <w:rsid w:val="00615A77"/>
    <w:rsid w:val="0061748A"/>
    <w:rsid w:val="00625A0A"/>
    <w:rsid w:val="006302EA"/>
    <w:rsid w:val="006308A1"/>
    <w:rsid w:val="006313FE"/>
    <w:rsid w:val="00631665"/>
    <w:rsid w:val="00633C6B"/>
    <w:rsid w:val="00640685"/>
    <w:rsid w:val="00640EA2"/>
    <w:rsid w:val="006442C6"/>
    <w:rsid w:val="006451A2"/>
    <w:rsid w:val="0064555A"/>
    <w:rsid w:val="006455B7"/>
    <w:rsid w:val="0065139F"/>
    <w:rsid w:val="00655346"/>
    <w:rsid w:val="00656CFE"/>
    <w:rsid w:val="00656F18"/>
    <w:rsid w:val="0066000C"/>
    <w:rsid w:val="00660B9D"/>
    <w:rsid w:val="00661384"/>
    <w:rsid w:val="006645DE"/>
    <w:rsid w:val="00664FA1"/>
    <w:rsid w:val="00674F21"/>
    <w:rsid w:val="0067601C"/>
    <w:rsid w:val="00676C3B"/>
    <w:rsid w:val="006815AE"/>
    <w:rsid w:val="00683690"/>
    <w:rsid w:val="00683CD2"/>
    <w:rsid w:val="006848C0"/>
    <w:rsid w:val="0069235E"/>
    <w:rsid w:val="00697CCF"/>
    <w:rsid w:val="006A2F91"/>
    <w:rsid w:val="006B21B7"/>
    <w:rsid w:val="006B36DA"/>
    <w:rsid w:val="006B51F4"/>
    <w:rsid w:val="006B714B"/>
    <w:rsid w:val="006C1EAB"/>
    <w:rsid w:val="006C280C"/>
    <w:rsid w:val="006C7ADF"/>
    <w:rsid w:val="006C7D61"/>
    <w:rsid w:val="006D1594"/>
    <w:rsid w:val="006D1EF7"/>
    <w:rsid w:val="006D2473"/>
    <w:rsid w:val="006E0BD0"/>
    <w:rsid w:val="006E25F3"/>
    <w:rsid w:val="006E2C81"/>
    <w:rsid w:val="006E53C1"/>
    <w:rsid w:val="006F0CCC"/>
    <w:rsid w:val="006F1AFF"/>
    <w:rsid w:val="006F1CC2"/>
    <w:rsid w:val="006F2A3F"/>
    <w:rsid w:val="006F2E57"/>
    <w:rsid w:val="006F36E2"/>
    <w:rsid w:val="006F5DEA"/>
    <w:rsid w:val="00700453"/>
    <w:rsid w:val="00701DCD"/>
    <w:rsid w:val="007022BD"/>
    <w:rsid w:val="00702C5B"/>
    <w:rsid w:val="00704616"/>
    <w:rsid w:val="00707830"/>
    <w:rsid w:val="00711237"/>
    <w:rsid w:val="007148EC"/>
    <w:rsid w:val="007149E8"/>
    <w:rsid w:val="00716DAD"/>
    <w:rsid w:val="00716F4D"/>
    <w:rsid w:val="007172F5"/>
    <w:rsid w:val="007200FE"/>
    <w:rsid w:val="0072292E"/>
    <w:rsid w:val="0072639C"/>
    <w:rsid w:val="007301DF"/>
    <w:rsid w:val="00733EE6"/>
    <w:rsid w:val="00736285"/>
    <w:rsid w:val="007362DB"/>
    <w:rsid w:val="00741281"/>
    <w:rsid w:val="00744C8E"/>
    <w:rsid w:val="007466F2"/>
    <w:rsid w:val="00751141"/>
    <w:rsid w:val="007518EF"/>
    <w:rsid w:val="00754F2A"/>
    <w:rsid w:val="00755897"/>
    <w:rsid w:val="00755BAA"/>
    <w:rsid w:val="00755E9C"/>
    <w:rsid w:val="007608BC"/>
    <w:rsid w:val="00760DF2"/>
    <w:rsid w:val="00762496"/>
    <w:rsid w:val="00763FFC"/>
    <w:rsid w:val="00774F7D"/>
    <w:rsid w:val="00776269"/>
    <w:rsid w:val="00780F84"/>
    <w:rsid w:val="00781661"/>
    <w:rsid w:val="00783606"/>
    <w:rsid w:val="00787560"/>
    <w:rsid w:val="00787C19"/>
    <w:rsid w:val="00795A7E"/>
    <w:rsid w:val="00796352"/>
    <w:rsid w:val="00796D28"/>
    <w:rsid w:val="007975EE"/>
    <w:rsid w:val="00797E4A"/>
    <w:rsid w:val="007A1411"/>
    <w:rsid w:val="007A177C"/>
    <w:rsid w:val="007A19AB"/>
    <w:rsid w:val="007A3D4A"/>
    <w:rsid w:val="007A4456"/>
    <w:rsid w:val="007A647C"/>
    <w:rsid w:val="007B04C7"/>
    <w:rsid w:val="007B0A15"/>
    <w:rsid w:val="007B1255"/>
    <w:rsid w:val="007B190A"/>
    <w:rsid w:val="007B1A81"/>
    <w:rsid w:val="007C07F1"/>
    <w:rsid w:val="007C094A"/>
    <w:rsid w:val="007C529A"/>
    <w:rsid w:val="007C674F"/>
    <w:rsid w:val="007C6AE9"/>
    <w:rsid w:val="007C6D32"/>
    <w:rsid w:val="007D052F"/>
    <w:rsid w:val="007D0E91"/>
    <w:rsid w:val="007D1D6C"/>
    <w:rsid w:val="007D407A"/>
    <w:rsid w:val="007D5A26"/>
    <w:rsid w:val="007D5A2C"/>
    <w:rsid w:val="007D6287"/>
    <w:rsid w:val="007E2A15"/>
    <w:rsid w:val="007E458C"/>
    <w:rsid w:val="007E550F"/>
    <w:rsid w:val="007E6449"/>
    <w:rsid w:val="007F0DD6"/>
    <w:rsid w:val="007F0EE6"/>
    <w:rsid w:val="007F206F"/>
    <w:rsid w:val="007F4E20"/>
    <w:rsid w:val="00801BA4"/>
    <w:rsid w:val="0080280E"/>
    <w:rsid w:val="00802E18"/>
    <w:rsid w:val="00804514"/>
    <w:rsid w:val="00810462"/>
    <w:rsid w:val="00813023"/>
    <w:rsid w:val="00815DBE"/>
    <w:rsid w:val="00816DD5"/>
    <w:rsid w:val="008261B2"/>
    <w:rsid w:val="008265BC"/>
    <w:rsid w:val="0083316D"/>
    <w:rsid w:val="00835135"/>
    <w:rsid w:val="00837D4D"/>
    <w:rsid w:val="0084293F"/>
    <w:rsid w:val="00846741"/>
    <w:rsid w:val="00851DC5"/>
    <w:rsid w:val="00852FFE"/>
    <w:rsid w:val="00856799"/>
    <w:rsid w:val="008627D6"/>
    <w:rsid w:val="00863FD6"/>
    <w:rsid w:val="00870867"/>
    <w:rsid w:val="00870DA6"/>
    <w:rsid w:val="0087170A"/>
    <w:rsid w:val="00872317"/>
    <w:rsid w:val="008728C4"/>
    <w:rsid w:val="00874E21"/>
    <w:rsid w:val="008806E1"/>
    <w:rsid w:val="00886593"/>
    <w:rsid w:val="00890971"/>
    <w:rsid w:val="0089152A"/>
    <w:rsid w:val="00891D83"/>
    <w:rsid w:val="00893074"/>
    <w:rsid w:val="00895645"/>
    <w:rsid w:val="00895897"/>
    <w:rsid w:val="008A0C3C"/>
    <w:rsid w:val="008A502A"/>
    <w:rsid w:val="008B37DE"/>
    <w:rsid w:val="008B3CF1"/>
    <w:rsid w:val="008C49E2"/>
    <w:rsid w:val="008C5AD2"/>
    <w:rsid w:val="008D0CE8"/>
    <w:rsid w:val="008D2223"/>
    <w:rsid w:val="008D2255"/>
    <w:rsid w:val="008D2AE7"/>
    <w:rsid w:val="008D35AB"/>
    <w:rsid w:val="008D36E3"/>
    <w:rsid w:val="008D5EC7"/>
    <w:rsid w:val="008E01C6"/>
    <w:rsid w:val="008E0376"/>
    <w:rsid w:val="008E04E8"/>
    <w:rsid w:val="008E0966"/>
    <w:rsid w:val="008E24DE"/>
    <w:rsid w:val="008E5BD1"/>
    <w:rsid w:val="008F6DAE"/>
    <w:rsid w:val="00902847"/>
    <w:rsid w:val="009071A8"/>
    <w:rsid w:val="00912741"/>
    <w:rsid w:val="00917FD6"/>
    <w:rsid w:val="0092397E"/>
    <w:rsid w:val="009266FD"/>
    <w:rsid w:val="009275D8"/>
    <w:rsid w:val="0093037D"/>
    <w:rsid w:val="0093388D"/>
    <w:rsid w:val="0093470F"/>
    <w:rsid w:val="00934B07"/>
    <w:rsid w:val="0093600D"/>
    <w:rsid w:val="00941881"/>
    <w:rsid w:val="009449EC"/>
    <w:rsid w:val="00951463"/>
    <w:rsid w:val="0095417A"/>
    <w:rsid w:val="00954925"/>
    <w:rsid w:val="00955452"/>
    <w:rsid w:val="0096030C"/>
    <w:rsid w:val="00965809"/>
    <w:rsid w:val="0096582B"/>
    <w:rsid w:val="009658C7"/>
    <w:rsid w:val="009665E0"/>
    <w:rsid w:val="00966CDF"/>
    <w:rsid w:val="00971F6E"/>
    <w:rsid w:val="00974149"/>
    <w:rsid w:val="0097487C"/>
    <w:rsid w:val="00974A6D"/>
    <w:rsid w:val="00974FB3"/>
    <w:rsid w:val="00980F02"/>
    <w:rsid w:val="0098364A"/>
    <w:rsid w:val="00983735"/>
    <w:rsid w:val="00986512"/>
    <w:rsid w:val="00986944"/>
    <w:rsid w:val="00990F65"/>
    <w:rsid w:val="009912C8"/>
    <w:rsid w:val="0099290C"/>
    <w:rsid w:val="00992E54"/>
    <w:rsid w:val="00993660"/>
    <w:rsid w:val="009940AF"/>
    <w:rsid w:val="00996B99"/>
    <w:rsid w:val="009A1A50"/>
    <w:rsid w:val="009A3746"/>
    <w:rsid w:val="009A4146"/>
    <w:rsid w:val="009A69ED"/>
    <w:rsid w:val="009A72CF"/>
    <w:rsid w:val="009A7C9E"/>
    <w:rsid w:val="009B1A02"/>
    <w:rsid w:val="009B2024"/>
    <w:rsid w:val="009B3E04"/>
    <w:rsid w:val="009B49D7"/>
    <w:rsid w:val="009B5412"/>
    <w:rsid w:val="009B566D"/>
    <w:rsid w:val="009C0CFF"/>
    <w:rsid w:val="009C2528"/>
    <w:rsid w:val="009C2D75"/>
    <w:rsid w:val="009C3D6F"/>
    <w:rsid w:val="009C403E"/>
    <w:rsid w:val="009C432A"/>
    <w:rsid w:val="009C4C6F"/>
    <w:rsid w:val="009C52F0"/>
    <w:rsid w:val="009C590C"/>
    <w:rsid w:val="009C5912"/>
    <w:rsid w:val="009D182F"/>
    <w:rsid w:val="009D1FC4"/>
    <w:rsid w:val="009D20E9"/>
    <w:rsid w:val="009D2DCF"/>
    <w:rsid w:val="009D47BE"/>
    <w:rsid w:val="009D4900"/>
    <w:rsid w:val="009D5A5E"/>
    <w:rsid w:val="009E18ED"/>
    <w:rsid w:val="009E4B47"/>
    <w:rsid w:val="009E6FE5"/>
    <w:rsid w:val="009E7728"/>
    <w:rsid w:val="009F0A50"/>
    <w:rsid w:val="009F15EB"/>
    <w:rsid w:val="009F1AF7"/>
    <w:rsid w:val="009F23AB"/>
    <w:rsid w:val="009F27B2"/>
    <w:rsid w:val="009F2E6A"/>
    <w:rsid w:val="009F602E"/>
    <w:rsid w:val="009F68FB"/>
    <w:rsid w:val="009F7321"/>
    <w:rsid w:val="00A00C5E"/>
    <w:rsid w:val="00A069E1"/>
    <w:rsid w:val="00A06F76"/>
    <w:rsid w:val="00A11DD4"/>
    <w:rsid w:val="00A16A35"/>
    <w:rsid w:val="00A1713B"/>
    <w:rsid w:val="00A172EB"/>
    <w:rsid w:val="00A176F3"/>
    <w:rsid w:val="00A17EDB"/>
    <w:rsid w:val="00A2129E"/>
    <w:rsid w:val="00A21343"/>
    <w:rsid w:val="00A22F1E"/>
    <w:rsid w:val="00A23081"/>
    <w:rsid w:val="00A2490E"/>
    <w:rsid w:val="00A269B8"/>
    <w:rsid w:val="00A2718C"/>
    <w:rsid w:val="00A3089F"/>
    <w:rsid w:val="00A34E1E"/>
    <w:rsid w:val="00A36360"/>
    <w:rsid w:val="00A363A9"/>
    <w:rsid w:val="00A375B8"/>
    <w:rsid w:val="00A37984"/>
    <w:rsid w:val="00A37DFE"/>
    <w:rsid w:val="00A42062"/>
    <w:rsid w:val="00A4277E"/>
    <w:rsid w:val="00A4602F"/>
    <w:rsid w:val="00A46B62"/>
    <w:rsid w:val="00A52E69"/>
    <w:rsid w:val="00A5405B"/>
    <w:rsid w:val="00A56863"/>
    <w:rsid w:val="00A5725D"/>
    <w:rsid w:val="00A61379"/>
    <w:rsid w:val="00A64E05"/>
    <w:rsid w:val="00A66650"/>
    <w:rsid w:val="00A67478"/>
    <w:rsid w:val="00A77183"/>
    <w:rsid w:val="00A80E02"/>
    <w:rsid w:val="00A85721"/>
    <w:rsid w:val="00A87F9A"/>
    <w:rsid w:val="00A91B71"/>
    <w:rsid w:val="00A94DBD"/>
    <w:rsid w:val="00A962AB"/>
    <w:rsid w:val="00A96A1B"/>
    <w:rsid w:val="00AA01D8"/>
    <w:rsid w:val="00AA0CBB"/>
    <w:rsid w:val="00AA5428"/>
    <w:rsid w:val="00AB65A5"/>
    <w:rsid w:val="00AC5B48"/>
    <w:rsid w:val="00AC71BC"/>
    <w:rsid w:val="00AC77FB"/>
    <w:rsid w:val="00AD091E"/>
    <w:rsid w:val="00AD14FC"/>
    <w:rsid w:val="00AD1552"/>
    <w:rsid w:val="00AD5110"/>
    <w:rsid w:val="00AE14A7"/>
    <w:rsid w:val="00AE16C5"/>
    <w:rsid w:val="00AE266E"/>
    <w:rsid w:val="00AE4BBC"/>
    <w:rsid w:val="00AE5568"/>
    <w:rsid w:val="00AE7A2A"/>
    <w:rsid w:val="00AF267D"/>
    <w:rsid w:val="00B0197D"/>
    <w:rsid w:val="00B02C18"/>
    <w:rsid w:val="00B03684"/>
    <w:rsid w:val="00B03F12"/>
    <w:rsid w:val="00B047FD"/>
    <w:rsid w:val="00B06631"/>
    <w:rsid w:val="00B10D90"/>
    <w:rsid w:val="00B16B9F"/>
    <w:rsid w:val="00B17780"/>
    <w:rsid w:val="00B218C5"/>
    <w:rsid w:val="00B236B2"/>
    <w:rsid w:val="00B25673"/>
    <w:rsid w:val="00B3097C"/>
    <w:rsid w:val="00B313F4"/>
    <w:rsid w:val="00B32110"/>
    <w:rsid w:val="00B33933"/>
    <w:rsid w:val="00B34F94"/>
    <w:rsid w:val="00B37257"/>
    <w:rsid w:val="00B37983"/>
    <w:rsid w:val="00B42C6E"/>
    <w:rsid w:val="00B43959"/>
    <w:rsid w:val="00B445D6"/>
    <w:rsid w:val="00B468EE"/>
    <w:rsid w:val="00B46A4E"/>
    <w:rsid w:val="00B46AAB"/>
    <w:rsid w:val="00B533F0"/>
    <w:rsid w:val="00B54FB0"/>
    <w:rsid w:val="00B616B4"/>
    <w:rsid w:val="00B629E1"/>
    <w:rsid w:val="00B642AA"/>
    <w:rsid w:val="00B642CE"/>
    <w:rsid w:val="00B6440F"/>
    <w:rsid w:val="00B724EA"/>
    <w:rsid w:val="00B73F95"/>
    <w:rsid w:val="00B745E4"/>
    <w:rsid w:val="00B7685A"/>
    <w:rsid w:val="00B777D8"/>
    <w:rsid w:val="00B80816"/>
    <w:rsid w:val="00B81C18"/>
    <w:rsid w:val="00B82210"/>
    <w:rsid w:val="00B82789"/>
    <w:rsid w:val="00B852CB"/>
    <w:rsid w:val="00B853BF"/>
    <w:rsid w:val="00B86873"/>
    <w:rsid w:val="00B9284E"/>
    <w:rsid w:val="00B94056"/>
    <w:rsid w:val="00B958C7"/>
    <w:rsid w:val="00B974FD"/>
    <w:rsid w:val="00BA23AE"/>
    <w:rsid w:val="00BA3837"/>
    <w:rsid w:val="00BA3B32"/>
    <w:rsid w:val="00BA60F1"/>
    <w:rsid w:val="00BB015F"/>
    <w:rsid w:val="00BB0232"/>
    <w:rsid w:val="00BB108A"/>
    <w:rsid w:val="00BB11A4"/>
    <w:rsid w:val="00BB5C2B"/>
    <w:rsid w:val="00BB7D36"/>
    <w:rsid w:val="00BC0533"/>
    <w:rsid w:val="00BC1E81"/>
    <w:rsid w:val="00BC63C5"/>
    <w:rsid w:val="00BC6A5B"/>
    <w:rsid w:val="00BC7D90"/>
    <w:rsid w:val="00BD0292"/>
    <w:rsid w:val="00BD1AB8"/>
    <w:rsid w:val="00BD2364"/>
    <w:rsid w:val="00BD4021"/>
    <w:rsid w:val="00BD5986"/>
    <w:rsid w:val="00BD7513"/>
    <w:rsid w:val="00BD7D1B"/>
    <w:rsid w:val="00BE3812"/>
    <w:rsid w:val="00BE4829"/>
    <w:rsid w:val="00BE7766"/>
    <w:rsid w:val="00BF1E65"/>
    <w:rsid w:val="00BF27E5"/>
    <w:rsid w:val="00BF2B94"/>
    <w:rsid w:val="00BF532C"/>
    <w:rsid w:val="00BF580C"/>
    <w:rsid w:val="00C000AC"/>
    <w:rsid w:val="00C04AB6"/>
    <w:rsid w:val="00C055DE"/>
    <w:rsid w:val="00C05B0D"/>
    <w:rsid w:val="00C12805"/>
    <w:rsid w:val="00C134A8"/>
    <w:rsid w:val="00C15210"/>
    <w:rsid w:val="00C22710"/>
    <w:rsid w:val="00C23057"/>
    <w:rsid w:val="00C23B1D"/>
    <w:rsid w:val="00C2512E"/>
    <w:rsid w:val="00C25835"/>
    <w:rsid w:val="00C25BD7"/>
    <w:rsid w:val="00C25C2D"/>
    <w:rsid w:val="00C25D0A"/>
    <w:rsid w:val="00C30415"/>
    <w:rsid w:val="00C3067E"/>
    <w:rsid w:val="00C30873"/>
    <w:rsid w:val="00C30E91"/>
    <w:rsid w:val="00C320BA"/>
    <w:rsid w:val="00C321BD"/>
    <w:rsid w:val="00C33EB5"/>
    <w:rsid w:val="00C34109"/>
    <w:rsid w:val="00C342FC"/>
    <w:rsid w:val="00C36021"/>
    <w:rsid w:val="00C36BFF"/>
    <w:rsid w:val="00C37CEF"/>
    <w:rsid w:val="00C37FD6"/>
    <w:rsid w:val="00C41ACE"/>
    <w:rsid w:val="00C424F0"/>
    <w:rsid w:val="00C4327D"/>
    <w:rsid w:val="00C4372A"/>
    <w:rsid w:val="00C44A12"/>
    <w:rsid w:val="00C44C48"/>
    <w:rsid w:val="00C51386"/>
    <w:rsid w:val="00C51B99"/>
    <w:rsid w:val="00C53C97"/>
    <w:rsid w:val="00C56F8F"/>
    <w:rsid w:val="00C6227E"/>
    <w:rsid w:val="00C63E21"/>
    <w:rsid w:val="00C652A8"/>
    <w:rsid w:val="00C65EC3"/>
    <w:rsid w:val="00C66218"/>
    <w:rsid w:val="00C71423"/>
    <w:rsid w:val="00C71EBC"/>
    <w:rsid w:val="00C74F36"/>
    <w:rsid w:val="00C77449"/>
    <w:rsid w:val="00C779EE"/>
    <w:rsid w:val="00C77C43"/>
    <w:rsid w:val="00C8197E"/>
    <w:rsid w:val="00C82EEC"/>
    <w:rsid w:val="00C84059"/>
    <w:rsid w:val="00C843BD"/>
    <w:rsid w:val="00C84C13"/>
    <w:rsid w:val="00C85491"/>
    <w:rsid w:val="00C85D89"/>
    <w:rsid w:val="00C90A6F"/>
    <w:rsid w:val="00C922F8"/>
    <w:rsid w:val="00C92D3E"/>
    <w:rsid w:val="00CA023C"/>
    <w:rsid w:val="00CA0D59"/>
    <w:rsid w:val="00CA4A0B"/>
    <w:rsid w:val="00CA6B01"/>
    <w:rsid w:val="00CA7CE0"/>
    <w:rsid w:val="00CB2C24"/>
    <w:rsid w:val="00CB570F"/>
    <w:rsid w:val="00CB5795"/>
    <w:rsid w:val="00CB6459"/>
    <w:rsid w:val="00CC5722"/>
    <w:rsid w:val="00CC7512"/>
    <w:rsid w:val="00CD19BC"/>
    <w:rsid w:val="00CD1EB3"/>
    <w:rsid w:val="00CD5ADC"/>
    <w:rsid w:val="00CD6DB9"/>
    <w:rsid w:val="00CE05A7"/>
    <w:rsid w:val="00CE0719"/>
    <w:rsid w:val="00CE0901"/>
    <w:rsid w:val="00CE1D6B"/>
    <w:rsid w:val="00CE2FFF"/>
    <w:rsid w:val="00CE3F77"/>
    <w:rsid w:val="00CE62D0"/>
    <w:rsid w:val="00CF31AC"/>
    <w:rsid w:val="00D02194"/>
    <w:rsid w:val="00D02B0A"/>
    <w:rsid w:val="00D02D8D"/>
    <w:rsid w:val="00D03C8E"/>
    <w:rsid w:val="00D06682"/>
    <w:rsid w:val="00D13B43"/>
    <w:rsid w:val="00D1519D"/>
    <w:rsid w:val="00D15D44"/>
    <w:rsid w:val="00D15F0F"/>
    <w:rsid w:val="00D17BC2"/>
    <w:rsid w:val="00D17DFB"/>
    <w:rsid w:val="00D21AA6"/>
    <w:rsid w:val="00D27B18"/>
    <w:rsid w:val="00D348F2"/>
    <w:rsid w:val="00D40984"/>
    <w:rsid w:val="00D42E8D"/>
    <w:rsid w:val="00D44BA9"/>
    <w:rsid w:val="00D478BF"/>
    <w:rsid w:val="00D510DF"/>
    <w:rsid w:val="00D51538"/>
    <w:rsid w:val="00D5191D"/>
    <w:rsid w:val="00D523B7"/>
    <w:rsid w:val="00D52432"/>
    <w:rsid w:val="00D53335"/>
    <w:rsid w:val="00D53F48"/>
    <w:rsid w:val="00D611A0"/>
    <w:rsid w:val="00D71515"/>
    <w:rsid w:val="00D71920"/>
    <w:rsid w:val="00D7769C"/>
    <w:rsid w:val="00D77F01"/>
    <w:rsid w:val="00D80311"/>
    <w:rsid w:val="00D81848"/>
    <w:rsid w:val="00D853D9"/>
    <w:rsid w:val="00D9005D"/>
    <w:rsid w:val="00D908BD"/>
    <w:rsid w:val="00D91DD2"/>
    <w:rsid w:val="00D97AA9"/>
    <w:rsid w:val="00DA414E"/>
    <w:rsid w:val="00DA5520"/>
    <w:rsid w:val="00DB10E7"/>
    <w:rsid w:val="00DB2577"/>
    <w:rsid w:val="00DB3A1D"/>
    <w:rsid w:val="00DB598B"/>
    <w:rsid w:val="00DB7A65"/>
    <w:rsid w:val="00DC288E"/>
    <w:rsid w:val="00DC2BDE"/>
    <w:rsid w:val="00DC38C0"/>
    <w:rsid w:val="00DC3C1D"/>
    <w:rsid w:val="00DC4EBD"/>
    <w:rsid w:val="00DCBAAF"/>
    <w:rsid w:val="00DD402C"/>
    <w:rsid w:val="00DD6A73"/>
    <w:rsid w:val="00DD6EF0"/>
    <w:rsid w:val="00DE09F2"/>
    <w:rsid w:val="00DE1BE1"/>
    <w:rsid w:val="00DE216F"/>
    <w:rsid w:val="00DE2ACD"/>
    <w:rsid w:val="00DE3097"/>
    <w:rsid w:val="00DE4872"/>
    <w:rsid w:val="00DF0FD9"/>
    <w:rsid w:val="00E003BF"/>
    <w:rsid w:val="00E00FD2"/>
    <w:rsid w:val="00E0213A"/>
    <w:rsid w:val="00E04FCE"/>
    <w:rsid w:val="00E06C6C"/>
    <w:rsid w:val="00E079BB"/>
    <w:rsid w:val="00E10A75"/>
    <w:rsid w:val="00E1145A"/>
    <w:rsid w:val="00E12D46"/>
    <w:rsid w:val="00E14083"/>
    <w:rsid w:val="00E149EA"/>
    <w:rsid w:val="00E14EAD"/>
    <w:rsid w:val="00E15385"/>
    <w:rsid w:val="00E17F03"/>
    <w:rsid w:val="00E21352"/>
    <w:rsid w:val="00E312DC"/>
    <w:rsid w:val="00E319CD"/>
    <w:rsid w:val="00E3676A"/>
    <w:rsid w:val="00E36962"/>
    <w:rsid w:val="00E376A2"/>
    <w:rsid w:val="00E4012C"/>
    <w:rsid w:val="00E423FE"/>
    <w:rsid w:val="00E44D5B"/>
    <w:rsid w:val="00E44EB7"/>
    <w:rsid w:val="00E46ABD"/>
    <w:rsid w:val="00E46FE9"/>
    <w:rsid w:val="00E610C6"/>
    <w:rsid w:val="00E67B52"/>
    <w:rsid w:val="00E71CFF"/>
    <w:rsid w:val="00E738DA"/>
    <w:rsid w:val="00E74791"/>
    <w:rsid w:val="00E755D1"/>
    <w:rsid w:val="00E809F5"/>
    <w:rsid w:val="00E84D86"/>
    <w:rsid w:val="00E871FD"/>
    <w:rsid w:val="00E8774E"/>
    <w:rsid w:val="00E92216"/>
    <w:rsid w:val="00E9485D"/>
    <w:rsid w:val="00E968B1"/>
    <w:rsid w:val="00E97DAE"/>
    <w:rsid w:val="00EA1615"/>
    <w:rsid w:val="00EA69C0"/>
    <w:rsid w:val="00EA6C57"/>
    <w:rsid w:val="00EB310F"/>
    <w:rsid w:val="00EB6391"/>
    <w:rsid w:val="00EB7D2F"/>
    <w:rsid w:val="00EC2415"/>
    <w:rsid w:val="00EC29AF"/>
    <w:rsid w:val="00EC477D"/>
    <w:rsid w:val="00ED250F"/>
    <w:rsid w:val="00ED349A"/>
    <w:rsid w:val="00ED6584"/>
    <w:rsid w:val="00ED75B0"/>
    <w:rsid w:val="00ED7BBA"/>
    <w:rsid w:val="00EE09C9"/>
    <w:rsid w:val="00EE2A47"/>
    <w:rsid w:val="00EE7839"/>
    <w:rsid w:val="00EE7F77"/>
    <w:rsid w:val="00EF137F"/>
    <w:rsid w:val="00EF2EB0"/>
    <w:rsid w:val="00EF2EC6"/>
    <w:rsid w:val="00EF3006"/>
    <w:rsid w:val="00EF4D2D"/>
    <w:rsid w:val="00EF6CA4"/>
    <w:rsid w:val="00F007DC"/>
    <w:rsid w:val="00F11482"/>
    <w:rsid w:val="00F1179F"/>
    <w:rsid w:val="00F12D91"/>
    <w:rsid w:val="00F13292"/>
    <w:rsid w:val="00F1499B"/>
    <w:rsid w:val="00F14CAC"/>
    <w:rsid w:val="00F14F4A"/>
    <w:rsid w:val="00F15BF2"/>
    <w:rsid w:val="00F208C7"/>
    <w:rsid w:val="00F2105A"/>
    <w:rsid w:val="00F21CB4"/>
    <w:rsid w:val="00F24AAB"/>
    <w:rsid w:val="00F25138"/>
    <w:rsid w:val="00F262C5"/>
    <w:rsid w:val="00F31211"/>
    <w:rsid w:val="00F36245"/>
    <w:rsid w:val="00F364D0"/>
    <w:rsid w:val="00F3729B"/>
    <w:rsid w:val="00F4066D"/>
    <w:rsid w:val="00F4075C"/>
    <w:rsid w:val="00F46512"/>
    <w:rsid w:val="00F47448"/>
    <w:rsid w:val="00F55806"/>
    <w:rsid w:val="00F55A35"/>
    <w:rsid w:val="00F57E6A"/>
    <w:rsid w:val="00F62F33"/>
    <w:rsid w:val="00F65CD1"/>
    <w:rsid w:val="00F66FCD"/>
    <w:rsid w:val="00F67DC9"/>
    <w:rsid w:val="00F67DF9"/>
    <w:rsid w:val="00F67FAD"/>
    <w:rsid w:val="00F71BE1"/>
    <w:rsid w:val="00F735BA"/>
    <w:rsid w:val="00F73877"/>
    <w:rsid w:val="00F73ECF"/>
    <w:rsid w:val="00F74B9F"/>
    <w:rsid w:val="00F75ED4"/>
    <w:rsid w:val="00F80792"/>
    <w:rsid w:val="00F8350B"/>
    <w:rsid w:val="00F8490A"/>
    <w:rsid w:val="00F852AD"/>
    <w:rsid w:val="00F855BC"/>
    <w:rsid w:val="00F85601"/>
    <w:rsid w:val="00F8578F"/>
    <w:rsid w:val="00F91062"/>
    <w:rsid w:val="00F97362"/>
    <w:rsid w:val="00FA52A1"/>
    <w:rsid w:val="00FA5921"/>
    <w:rsid w:val="00FA6F08"/>
    <w:rsid w:val="00FB141A"/>
    <w:rsid w:val="00FB1BD7"/>
    <w:rsid w:val="00FB48F6"/>
    <w:rsid w:val="00FB6465"/>
    <w:rsid w:val="00FC1438"/>
    <w:rsid w:val="00FC2C84"/>
    <w:rsid w:val="00FC302E"/>
    <w:rsid w:val="00FC3C42"/>
    <w:rsid w:val="00FC53EE"/>
    <w:rsid w:val="00FC5882"/>
    <w:rsid w:val="00FC6980"/>
    <w:rsid w:val="00FC79D1"/>
    <w:rsid w:val="00FC7B8B"/>
    <w:rsid w:val="00FD2B9E"/>
    <w:rsid w:val="00FD33E4"/>
    <w:rsid w:val="00FD3EB0"/>
    <w:rsid w:val="00FD5223"/>
    <w:rsid w:val="00FE01C5"/>
    <w:rsid w:val="00FE07B0"/>
    <w:rsid w:val="00FE0C41"/>
    <w:rsid w:val="00FE2D27"/>
    <w:rsid w:val="00FE6156"/>
    <w:rsid w:val="00FE635F"/>
    <w:rsid w:val="00FE6EF1"/>
    <w:rsid w:val="00FE7D29"/>
    <w:rsid w:val="00FF0DF0"/>
    <w:rsid w:val="03D3F390"/>
    <w:rsid w:val="051FE500"/>
    <w:rsid w:val="0587461B"/>
    <w:rsid w:val="060398F5"/>
    <w:rsid w:val="073F659A"/>
    <w:rsid w:val="085785C2"/>
    <w:rsid w:val="090BD33F"/>
    <w:rsid w:val="0B6FE296"/>
    <w:rsid w:val="0DFBA882"/>
    <w:rsid w:val="104BE865"/>
    <w:rsid w:val="10CB3225"/>
    <w:rsid w:val="11E6A16C"/>
    <w:rsid w:val="13838927"/>
    <w:rsid w:val="138B7AB1"/>
    <w:rsid w:val="1951A85C"/>
    <w:rsid w:val="1BF854A0"/>
    <w:rsid w:val="1C7FE4E4"/>
    <w:rsid w:val="1D2FDFD8"/>
    <w:rsid w:val="1E28FB27"/>
    <w:rsid w:val="1F4243F1"/>
    <w:rsid w:val="1F57C0F8"/>
    <w:rsid w:val="2018CE50"/>
    <w:rsid w:val="21B04663"/>
    <w:rsid w:val="2471CE6C"/>
    <w:rsid w:val="248AF6C9"/>
    <w:rsid w:val="26D93B39"/>
    <w:rsid w:val="26F7781C"/>
    <w:rsid w:val="26F7CB03"/>
    <w:rsid w:val="28A10789"/>
    <w:rsid w:val="295E67EC"/>
    <w:rsid w:val="2A10DBFB"/>
    <w:rsid w:val="2A2F6BC5"/>
    <w:rsid w:val="2E3D1040"/>
    <w:rsid w:val="303EAECD"/>
    <w:rsid w:val="31388AD8"/>
    <w:rsid w:val="325FB5DF"/>
    <w:rsid w:val="328820E9"/>
    <w:rsid w:val="34702B9A"/>
    <w:rsid w:val="351C7590"/>
    <w:rsid w:val="367E9996"/>
    <w:rsid w:val="3A752ECB"/>
    <w:rsid w:val="3BAA517C"/>
    <w:rsid w:val="3C9D6ABC"/>
    <w:rsid w:val="3DA01A96"/>
    <w:rsid w:val="3E4BA39D"/>
    <w:rsid w:val="415E677A"/>
    <w:rsid w:val="456AB0DD"/>
    <w:rsid w:val="4878F993"/>
    <w:rsid w:val="48AEA821"/>
    <w:rsid w:val="49C7BC3F"/>
    <w:rsid w:val="49D44BA8"/>
    <w:rsid w:val="4A2DFB4A"/>
    <w:rsid w:val="4D9B68F3"/>
    <w:rsid w:val="4E877CDE"/>
    <w:rsid w:val="4FF096B5"/>
    <w:rsid w:val="501E70A2"/>
    <w:rsid w:val="53561164"/>
    <w:rsid w:val="53FAF185"/>
    <w:rsid w:val="584CF000"/>
    <w:rsid w:val="5C595A32"/>
    <w:rsid w:val="5DD8F1CF"/>
    <w:rsid w:val="5F3BFCBB"/>
    <w:rsid w:val="60D9748D"/>
    <w:rsid w:val="6113598E"/>
    <w:rsid w:val="614820B1"/>
    <w:rsid w:val="62C85B45"/>
    <w:rsid w:val="66F5BDD0"/>
    <w:rsid w:val="692BB23F"/>
    <w:rsid w:val="6953A0F7"/>
    <w:rsid w:val="69BF2108"/>
    <w:rsid w:val="6A032D8A"/>
    <w:rsid w:val="6CF93AE5"/>
    <w:rsid w:val="6F350A45"/>
    <w:rsid w:val="6F874EF3"/>
    <w:rsid w:val="74FF0481"/>
    <w:rsid w:val="7501D3AF"/>
    <w:rsid w:val="752616DF"/>
    <w:rsid w:val="76C802E4"/>
    <w:rsid w:val="779D7DF5"/>
    <w:rsid w:val="7A101FAE"/>
    <w:rsid w:val="7C6FF2F9"/>
    <w:rsid w:val="7E2B8CAC"/>
    <w:rsid w:val="7E3C65DA"/>
    <w:rsid w:val="7F9C78E8"/>
    <w:rsid w:val="7FA793BB"/>
    <w:rsid w:val="7FC75D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394B2"/>
  <w15:docId w15:val="{BBAEA251-1022-494E-A098-6E77F7FC1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9E1"/>
    <w:pPr>
      <w:spacing w:after="0" w:line="240" w:lineRule="auto"/>
    </w:pPr>
    <w:rPr>
      <w:rFonts w:eastAsia="Times New Roman" w:cs="Times New Roman"/>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70A"/>
    <w:pPr>
      <w:tabs>
        <w:tab w:val="center" w:pos="4153"/>
        <w:tab w:val="right" w:pos="8306"/>
      </w:tabs>
    </w:pPr>
  </w:style>
  <w:style w:type="character" w:customStyle="1" w:styleId="HeaderChar">
    <w:name w:val="Header Char"/>
    <w:basedOn w:val="DefaultParagraphFont"/>
    <w:link w:val="Header"/>
    <w:uiPriority w:val="99"/>
    <w:rsid w:val="0087170A"/>
    <w:rPr>
      <w:rFonts w:eastAsia="Times New Roman" w:cs="Times New Roman"/>
      <w:szCs w:val="24"/>
      <w:lang w:eastAsia="en-AU"/>
    </w:rPr>
  </w:style>
  <w:style w:type="character" w:customStyle="1" w:styleId="normalchar">
    <w:name w:val="normal_char"/>
    <w:basedOn w:val="DefaultParagraphFont"/>
    <w:rsid w:val="0087170A"/>
    <w:rPr>
      <w:color w:val="auto"/>
    </w:rPr>
  </w:style>
  <w:style w:type="paragraph" w:styleId="BalloonText">
    <w:name w:val="Balloon Text"/>
    <w:basedOn w:val="Normal"/>
    <w:link w:val="BalloonTextChar"/>
    <w:uiPriority w:val="99"/>
    <w:semiHidden/>
    <w:unhideWhenUsed/>
    <w:rsid w:val="00371857"/>
    <w:rPr>
      <w:rFonts w:ascii="Tahoma" w:hAnsi="Tahoma" w:cs="Tahoma"/>
      <w:sz w:val="16"/>
      <w:szCs w:val="16"/>
    </w:rPr>
  </w:style>
  <w:style w:type="character" w:customStyle="1" w:styleId="BalloonTextChar">
    <w:name w:val="Balloon Text Char"/>
    <w:basedOn w:val="DefaultParagraphFont"/>
    <w:link w:val="BalloonText"/>
    <w:uiPriority w:val="99"/>
    <w:semiHidden/>
    <w:rsid w:val="0037185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B37257"/>
    <w:rPr>
      <w:sz w:val="16"/>
      <w:szCs w:val="16"/>
    </w:rPr>
  </w:style>
  <w:style w:type="paragraph" w:styleId="CommentText">
    <w:name w:val="annotation text"/>
    <w:basedOn w:val="Normal"/>
    <w:link w:val="CommentTextChar"/>
    <w:uiPriority w:val="99"/>
    <w:unhideWhenUsed/>
    <w:rsid w:val="00B37257"/>
    <w:rPr>
      <w:sz w:val="20"/>
      <w:szCs w:val="20"/>
    </w:rPr>
  </w:style>
  <w:style w:type="character" w:customStyle="1" w:styleId="CommentTextChar">
    <w:name w:val="Comment Text Char"/>
    <w:basedOn w:val="DefaultParagraphFont"/>
    <w:link w:val="CommentText"/>
    <w:uiPriority w:val="99"/>
    <w:rsid w:val="00B37257"/>
    <w:rPr>
      <w:rFonts w:eastAsia="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37257"/>
    <w:rPr>
      <w:b/>
      <w:bCs/>
    </w:rPr>
  </w:style>
  <w:style w:type="character" w:customStyle="1" w:styleId="CommentSubjectChar">
    <w:name w:val="Comment Subject Char"/>
    <w:basedOn w:val="CommentTextChar"/>
    <w:link w:val="CommentSubject"/>
    <w:uiPriority w:val="99"/>
    <w:semiHidden/>
    <w:rsid w:val="00B37257"/>
    <w:rPr>
      <w:rFonts w:eastAsia="Times New Roman" w:cs="Times New Roman"/>
      <w:b/>
      <w:bCs/>
      <w:sz w:val="20"/>
      <w:szCs w:val="20"/>
      <w:lang w:eastAsia="en-AU"/>
    </w:rPr>
  </w:style>
  <w:style w:type="paragraph" w:styleId="Footer">
    <w:name w:val="footer"/>
    <w:basedOn w:val="Normal"/>
    <w:link w:val="FooterChar"/>
    <w:uiPriority w:val="99"/>
    <w:unhideWhenUsed/>
    <w:rsid w:val="00A96A1B"/>
    <w:pPr>
      <w:tabs>
        <w:tab w:val="center" w:pos="4513"/>
        <w:tab w:val="right" w:pos="9026"/>
      </w:tabs>
    </w:pPr>
  </w:style>
  <w:style w:type="character" w:customStyle="1" w:styleId="FooterChar">
    <w:name w:val="Footer Char"/>
    <w:basedOn w:val="DefaultParagraphFont"/>
    <w:link w:val="Footer"/>
    <w:uiPriority w:val="99"/>
    <w:rsid w:val="00A96A1B"/>
    <w:rPr>
      <w:rFonts w:eastAsia="Times New Roman" w:cs="Times New Roman"/>
      <w:szCs w:val="24"/>
      <w:lang w:eastAsia="en-AU"/>
    </w:rPr>
  </w:style>
  <w:style w:type="paragraph" w:styleId="ListParagraph">
    <w:name w:val="List Paragraph"/>
    <w:aliases w:val="BulletPoints"/>
    <w:basedOn w:val="Normal"/>
    <w:link w:val="ListParagraphChar"/>
    <w:uiPriority w:val="34"/>
    <w:qFormat/>
    <w:rsid w:val="00C23057"/>
    <w:pPr>
      <w:ind w:left="720"/>
      <w:contextualSpacing/>
    </w:pPr>
  </w:style>
  <w:style w:type="paragraph" w:customStyle="1" w:styleId="subsection">
    <w:name w:val="subsection"/>
    <w:basedOn w:val="Normal"/>
    <w:rsid w:val="000103BF"/>
    <w:pPr>
      <w:spacing w:before="100" w:beforeAutospacing="1" w:after="100" w:afterAutospacing="1"/>
    </w:pPr>
  </w:style>
  <w:style w:type="paragraph" w:customStyle="1" w:styleId="notetext">
    <w:name w:val="notetext"/>
    <w:basedOn w:val="Normal"/>
    <w:rsid w:val="000103BF"/>
    <w:pPr>
      <w:spacing w:before="100" w:beforeAutospacing="1" w:after="100" w:afterAutospacing="1"/>
    </w:pPr>
  </w:style>
  <w:style w:type="character" w:customStyle="1" w:styleId="ListParagraphChar">
    <w:name w:val="List Paragraph Char"/>
    <w:aliases w:val="BulletPoints Char"/>
    <w:link w:val="ListParagraph"/>
    <w:uiPriority w:val="34"/>
    <w:locked/>
    <w:rsid w:val="00F852AD"/>
    <w:rPr>
      <w:rFonts w:eastAsia="Times New Roman" w:cs="Times New Roman"/>
      <w:szCs w:val="24"/>
      <w:lang w:eastAsia="en-AU"/>
    </w:rPr>
  </w:style>
  <w:style w:type="paragraph" w:customStyle="1" w:styleId="TableText">
    <w:name w:val="TableText"/>
    <w:basedOn w:val="Normal"/>
    <w:rsid w:val="00C36021"/>
    <w:pPr>
      <w:spacing w:before="60" w:after="60" w:line="240" w:lineRule="exact"/>
    </w:pPr>
    <w:rPr>
      <w:sz w:val="22"/>
    </w:rPr>
  </w:style>
  <w:style w:type="paragraph" w:styleId="Revision">
    <w:name w:val="Revision"/>
    <w:hidden/>
    <w:uiPriority w:val="99"/>
    <w:semiHidden/>
    <w:rsid w:val="0026014B"/>
    <w:pPr>
      <w:spacing w:after="0" w:line="240" w:lineRule="auto"/>
    </w:pPr>
    <w:rPr>
      <w:rFonts w:eastAsia="Times New Roman" w:cs="Times New Roman"/>
      <w:szCs w:val="24"/>
      <w:lang w:eastAsia="en-AU"/>
    </w:rPr>
  </w:style>
  <w:style w:type="character" w:styleId="Emphasis">
    <w:name w:val="Emphasis"/>
    <w:basedOn w:val="DefaultParagraphFont"/>
    <w:uiPriority w:val="20"/>
    <w:qFormat/>
    <w:rsid w:val="00E003BF"/>
    <w:rPr>
      <w:i/>
      <w:iCs/>
    </w:rPr>
  </w:style>
  <w:style w:type="paragraph" w:customStyle="1" w:styleId="Item">
    <w:name w:val="Item"/>
    <w:aliases w:val="i"/>
    <w:basedOn w:val="Normal"/>
    <w:next w:val="ItemHead"/>
    <w:rsid w:val="00003124"/>
    <w:pPr>
      <w:keepLines/>
      <w:spacing w:before="80"/>
      <w:ind w:left="709"/>
    </w:pPr>
    <w:rPr>
      <w:sz w:val="22"/>
      <w:szCs w:val="20"/>
    </w:rPr>
  </w:style>
  <w:style w:type="paragraph" w:customStyle="1" w:styleId="ItemHead">
    <w:name w:val="ItemHead"/>
    <w:aliases w:val="ih"/>
    <w:basedOn w:val="Normal"/>
    <w:next w:val="Item"/>
    <w:rsid w:val="00003124"/>
    <w:pPr>
      <w:keepNext/>
      <w:keepLines/>
      <w:spacing w:before="220"/>
      <w:ind w:left="709" w:hanging="709"/>
    </w:pPr>
    <w:rPr>
      <w:rFonts w:ascii="Arial" w:hAnsi="Arial"/>
      <w:b/>
      <w:kern w:val="28"/>
      <w:szCs w:val="20"/>
    </w:rPr>
  </w:style>
  <w:style w:type="paragraph" w:customStyle="1" w:styleId="notetext0">
    <w:name w:val="note(text)"/>
    <w:aliases w:val="n"/>
    <w:basedOn w:val="Normal"/>
    <w:rsid w:val="00003124"/>
    <w:pPr>
      <w:spacing w:before="122" w:line="198" w:lineRule="exact"/>
      <w:ind w:left="1985" w:hanging="851"/>
    </w:pPr>
    <w:rPr>
      <w:sz w:val="18"/>
      <w:szCs w:val="20"/>
    </w:rPr>
  </w:style>
  <w:style w:type="paragraph" w:customStyle="1" w:styleId="Tabletext0">
    <w:name w:val="Table text"/>
    <w:basedOn w:val="Normal"/>
    <w:link w:val="TabletextChar"/>
    <w:uiPriority w:val="2"/>
    <w:qFormat/>
    <w:rsid w:val="00B82789"/>
    <w:rPr>
      <w:rFonts w:ascii="Arial Narrow" w:hAnsi="Arial Narrow"/>
      <w:snapToGrid w:val="0"/>
      <w:sz w:val="20"/>
    </w:rPr>
  </w:style>
  <w:style w:type="character" w:customStyle="1" w:styleId="TabletextChar">
    <w:name w:val="Table text Char"/>
    <w:link w:val="Tabletext0"/>
    <w:uiPriority w:val="2"/>
    <w:rsid w:val="00B82789"/>
    <w:rPr>
      <w:rFonts w:ascii="Arial Narrow" w:eastAsia="Times New Roman" w:hAnsi="Arial Narrow" w:cs="Times New Roman"/>
      <w:snapToGrid w:val="0"/>
      <w:sz w:val="20"/>
      <w:szCs w:val="24"/>
      <w:lang w:eastAsia="en-AU"/>
    </w:rPr>
  </w:style>
  <w:style w:type="paragraph" w:customStyle="1" w:styleId="zr1">
    <w:name w:val="zr1"/>
    <w:basedOn w:val="Normal"/>
    <w:rsid w:val="00DE1BE1"/>
    <w:pPr>
      <w:spacing w:before="100" w:beforeAutospacing="1" w:after="100" w:afterAutospacing="1"/>
    </w:pPr>
  </w:style>
  <w:style w:type="character" w:customStyle="1" w:styleId="normaltextrun">
    <w:name w:val="normaltextrun"/>
    <w:basedOn w:val="DefaultParagraphFont"/>
    <w:rsid w:val="0067601C"/>
  </w:style>
  <w:style w:type="character" w:styleId="Hyperlink">
    <w:name w:val="Hyperlink"/>
    <w:basedOn w:val="DefaultParagraphFont"/>
    <w:uiPriority w:val="99"/>
    <w:unhideWhenUsed/>
    <w:rsid w:val="00A962AB"/>
    <w:rPr>
      <w:color w:val="0000FF" w:themeColor="hyperlink"/>
      <w:u w:val="single"/>
    </w:rPr>
  </w:style>
  <w:style w:type="character" w:customStyle="1" w:styleId="UnresolvedMention1">
    <w:name w:val="Unresolved Mention1"/>
    <w:basedOn w:val="DefaultParagraphFont"/>
    <w:uiPriority w:val="99"/>
    <w:semiHidden/>
    <w:unhideWhenUsed/>
    <w:rsid w:val="00A962AB"/>
    <w:rPr>
      <w:color w:val="605E5C"/>
      <w:shd w:val="clear" w:color="auto" w:fill="E1DFDD"/>
    </w:rPr>
  </w:style>
  <w:style w:type="paragraph" w:customStyle="1" w:styleId="paragraphsub">
    <w:name w:val="paragraph(sub)"/>
    <w:aliases w:val="aa"/>
    <w:basedOn w:val="Normal"/>
    <w:rsid w:val="005A5CF0"/>
    <w:pPr>
      <w:tabs>
        <w:tab w:val="right" w:pos="1985"/>
      </w:tabs>
      <w:spacing w:before="40"/>
      <w:ind w:left="2098" w:hanging="2098"/>
    </w:pPr>
    <w:rPr>
      <w:sz w:val="22"/>
      <w:szCs w:val="20"/>
    </w:rPr>
  </w:style>
  <w:style w:type="paragraph" w:customStyle="1" w:styleId="paragraph">
    <w:name w:val="paragraph"/>
    <w:aliases w:val="a"/>
    <w:basedOn w:val="Normal"/>
    <w:rsid w:val="005A5CF0"/>
    <w:pPr>
      <w:tabs>
        <w:tab w:val="right" w:pos="1531"/>
      </w:tabs>
      <w:spacing w:before="40"/>
      <w:ind w:left="1644" w:hanging="1644"/>
    </w:pPr>
    <w:rPr>
      <w:sz w:val="22"/>
      <w:szCs w:val="20"/>
    </w:rPr>
  </w:style>
  <w:style w:type="paragraph" w:customStyle="1" w:styleId="Tablea">
    <w:name w:val="Table(a)"/>
    <w:aliases w:val="ta"/>
    <w:basedOn w:val="Normal"/>
    <w:rsid w:val="005A5CF0"/>
    <w:pPr>
      <w:spacing w:before="60"/>
      <w:ind w:left="284" w:hanging="284"/>
    </w:pPr>
    <w:rPr>
      <w:sz w:val="20"/>
      <w:szCs w:val="20"/>
    </w:rPr>
  </w:style>
  <w:style w:type="paragraph" w:customStyle="1" w:styleId="Tablei">
    <w:name w:val="Table(i)"/>
    <w:aliases w:val="taa"/>
    <w:basedOn w:val="Normal"/>
    <w:rsid w:val="005A5CF0"/>
    <w:pPr>
      <w:tabs>
        <w:tab w:val="left" w:pos="-6543"/>
        <w:tab w:val="left" w:pos="-6260"/>
        <w:tab w:val="right" w:pos="970"/>
      </w:tabs>
      <w:spacing w:line="240" w:lineRule="exact"/>
      <w:ind w:left="828" w:hanging="284"/>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95938">
      <w:bodyDiv w:val="1"/>
      <w:marLeft w:val="0"/>
      <w:marRight w:val="0"/>
      <w:marTop w:val="0"/>
      <w:marBottom w:val="0"/>
      <w:divBdr>
        <w:top w:val="none" w:sz="0" w:space="0" w:color="auto"/>
        <w:left w:val="none" w:sz="0" w:space="0" w:color="auto"/>
        <w:bottom w:val="none" w:sz="0" w:space="0" w:color="auto"/>
        <w:right w:val="none" w:sz="0" w:space="0" w:color="auto"/>
      </w:divBdr>
    </w:div>
    <w:div w:id="603877382">
      <w:bodyDiv w:val="1"/>
      <w:marLeft w:val="0"/>
      <w:marRight w:val="0"/>
      <w:marTop w:val="0"/>
      <w:marBottom w:val="0"/>
      <w:divBdr>
        <w:top w:val="none" w:sz="0" w:space="0" w:color="auto"/>
        <w:left w:val="none" w:sz="0" w:space="0" w:color="auto"/>
        <w:bottom w:val="none" w:sz="0" w:space="0" w:color="auto"/>
        <w:right w:val="none" w:sz="0" w:space="0" w:color="auto"/>
      </w:divBdr>
    </w:div>
    <w:div w:id="991837429">
      <w:bodyDiv w:val="1"/>
      <w:marLeft w:val="0"/>
      <w:marRight w:val="0"/>
      <w:marTop w:val="0"/>
      <w:marBottom w:val="0"/>
      <w:divBdr>
        <w:top w:val="none" w:sz="0" w:space="0" w:color="auto"/>
        <w:left w:val="none" w:sz="0" w:space="0" w:color="auto"/>
        <w:bottom w:val="none" w:sz="0" w:space="0" w:color="auto"/>
        <w:right w:val="none" w:sz="0" w:space="0" w:color="auto"/>
      </w:divBdr>
    </w:div>
    <w:div w:id="1024596833">
      <w:bodyDiv w:val="1"/>
      <w:marLeft w:val="0"/>
      <w:marRight w:val="0"/>
      <w:marTop w:val="0"/>
      <w:marBottom w:val="0"/>
      <w:divBdr>
        <w:top w:val="none" w:sz="0" w:space="0" w:color="auto"/>
        <w:left w:val="none" w:sz="0" w:space="0" w:color="auto"/>
        <w:bottom w:val="none" w:sz="0" w:space="0" w:color="auto"/>
        <w:right w:val="none" w:sz="0" w:space="0" w:color="auto"/>
      </w:divBdr>
    </w:div>
    <w:div w:id="1058820450">
      <w:bodyDiv w:val="1"/>
      <w:marLeft w:val="0"/>
      <w:marRight w:val="0"/>
      <w:marTop w:val="0"/>
      <w:marBottom w:val="0"/>
      <w:divBdr>
        <w:top w:val="none" w:sz="0" w:space="0" w:color="auto"/>
        <w:left w:val="none" w:sz="0" w:space="0" w:color="auto"/>
        <w:bottom w:val="none" w:sz="0" w:space="0" w:color="auto"/>
        <w:right w:val="none" w:sz="0" w:space="0" w:color="auto"/>
      </w:divBdr>
      <w:divsChild>
        <w:div w:id="2130926633">
          <w:marLeft w:val="0"/>
          <w:marRight w:val="0"/>
          <w:marTop w:val="0"/>
          <w:marBottom w:val="0"/>
          <w:divBdr>
            <w:top w:val="none" w:sz="0" w:space="0" w:color="auto"/>
            <w:left w:val="none" w:sz="0" w:space="0" w:color="auto"/>
            <w:bottom w:val="none" w:sz="0" w:space="0" w:color="auto"/>
            <w:right w:val="none" w:sz="0" w:space="0" w:color="auto"/>
          </w:divBdr>
          <w:divsChild>
            <w:div w:id="1104032541">
              <w:marLeft w:val="0"/>
              <w:marRight w:val="0"/>
              <w:marTop w:val="0"/>
              <w:marBottom w:val="0"/>
              <w:divBdr>
                <w:top w:val="none" w:sz="0" w:space="0" w:color="auto"/>
                <w:left w:val="none" w:sz="0" w:space="0" w:color="auto"/>
                <w:bottom w:val="none" w:sz="0" w:space="0" w:color="auto"/>
                <w:right w:val="none" w:sz="0" w:space="0" w:color="auto"/>
              </w:divBdr>
              <w:divsChild>
                <w:div w:id="137890331">
                  <w:marLeft w:val="0"/>
                  <w:marRight w:val="0"/>
                  <w:marTop w:val="0"/>
                  <w:marBottom w:val="0"/>
                  <w:divBdr>
                    <w:top w:val="none" w:sz="0" w:space="0" w:color="auto"/>
                    <w:left w:val="none" w:sz="0" w:space="0" w:color="auto"/>
                    <w:bottom w:val="none" w:sz="0" w:space="0" w:color="auto"/>
                    <w:right w:val="none" w:sz="0" w:space="0" w:color="auto"/>
                  </w:divBdr>
                  <w:divsChild>
                    <w:div w:id="1030452626">
                      <w:marLeft w:val="0"/>
                      <w:marRight w:val="0"/>
                      <w:marTop w:val="0"/>
                      <w:marBottom w:val="0"/>
                      <w:divBdr>
                        <w:top w:val="none" w:sz="0" w:space="0" w:color="auto"/>
                        <w:left w:val="none" w:sz="0" w:space="0" w:color="auto"/>
                        <w:bottom w:val="none" w:sz="0" w:space="0" w:color="auto"/>
                        <w:right w:val="none" w:sz="0" w:space="0" w:color="auto"/>
                      </w:divBdr>
                      <w:divsChild>
                        <w:div w:id="927033046">
                          <w:marLeft w:val="0"/>
                          <w:marRight w:val="0"/>
                          <w:marTop w:val="0"/>
                          <w:marBottom w:val="0"/>
                          <w:divBdr>
                            <w:top w:val="none" w:sz="0" w:space="0" w:color="auto"/>
                            <w:left w:val="none" w:sz="0" w:space="0" w:color="auto"/>
                            <w:bottom w:val="none" w:sz="0" w:space="0" w:color="auto"/>
                            <w:right w:val="none" w:sz="0" w:space="0" w:color="auto"/>
                          </w:divBdr>
                          <w:divsChild>
                            <w:div w:id="1363901694">
                              <w:marLeft w:val="0"/>
                              <w:marRight w:val="0"/>
                              <w:marTop w:val="0"/>
                              <w:marBottom w:val="0"/>
                              <w:divBdr>
                                <w:top w:val="single" w:sz="6" w:space="0" w:color="828282"/>
                                <w:left w:val="single" w:sz="6" w:space="0" w:color="828282"/>
                                <w:bottom w:val="single" w:sz="6" w:space="0" w:color="828282"/>
                                <w:right w:val="single" w:sz="6" w:space="0" w:color="828282"/>
                              </w:divBdr>
                              <w:divsChild>
                                <w:div w:id="1954631891">
                                  <w:marLeft w:val="0"/>
                                  <w:marRight w:val="0"/>
                                  <w:marTop w:val="0"/>
                                  <w:marBottom w:val="0"/>
                                  <w:divBdr>
                                    <w:top w:val="none" w:sz="0" w:space="0" w:color="auto"/>
                                    <w:left w:val="none" w:sz="0" w:space="0" w:color="auto"/>
                                    <w:bottom w:val="none" w:sz="0" w:space="0" w:color="auto"/>
                                    <w:right w:val="none" w:sz="0" w:space="0" w:color="auto"/>
                                  </w:divBdr>
                                  <w:divsChild>
                                    <w:div w:id="1854681161">
                                      <w:marLeft w:val="0"/>
                                      <w:marRight w:val="0"/>
                                      <w:marTop w:val="0"/>
                                      <w:marBottom w:val="0"/>
                                      <w:divBdr>
                                        <w:top w:val="none" w:sz="0" w:space="0" w:color="auto"/>
                                        <w:left w:val="none" w:sz="0" w:space="0" w:color="auto"/>
                                        <w:bottom w:val="none" w:sz="0" w:space="0" w:color="auto"/>
                                        <w:right w:val="none" w:sz="0" w:space="0" w:color="auto"/>
                                      </w:divBdr>
                                      <w:divsChild>
                                        <w:div w:id="2143383642">
                                          <w:marLeft w:val="0"/>
                                          <w:marRight w:val="0"/>
                                          <w:marTop w:val="0"/>
                                          <w:marBottom w:val="0"/>
                                          <w:divBdr>
                                            <w:top w:val="none" w:sz="0" w:space="0" w:color="auto"/>
                                            <w:left w:val="none" w:sz="0" w:space="0" w:color="auto"/>
                                            <w:bottom w:val="none" w:sz="0" w:space="0" w:color="auto"/>
                                            <w:right w:val="none" w:sz="0" w:space="0" w:color="auto"/>
                                          </w:divBdr>
                                          <w:divsChild>
                                            <w:div w:id="1472288430">
                                              <w:marLeft w:val="0"/>
                                              <w:marRight w:val="0"/>
                                              <w:marTop w:val="0"/>
                                              <w:marBottom w:val="0"/>
                                              <w:divBdr>
                                                <w:top w:val="none" w:sz="0" w:space="0" w:color="auto"/>
                                                <w:left w:val="none" w:sz="0" w:space="0" w:color="auto"/>
                                                <w:bottom w:val="none" w:sz="0" w:space="0" w:color="auto"/>
                                                <w:right w:val="none" w:sz="0" w:space="0" w:color="auto"/>
                                              </w:divBdr>
                                              <w:divsChild>
                                                <w:div w:id="2073307221">
                                                  <w:marLeft w:val="0"/>
                                                  <w:marRight w:val="0"/>
                                                  <w:marTop w:val="0"/>
                                                  <w:marBottom w:val="0"/>
                                                  <w:divBdr>
                                                    <w:top w:val="none" w:sz="0" w:space="0" w:color="auto"/>
                                                    <w:left w:val="none" w:sz="0" w:space="0" w:color="auto"/>
                                                    <w:bottom w:val="none" w:sz="0" w:space="0" w:color="auto"/>
                                                    <w:right w:val="none" w:sz="0" w:space="0" w:color="auto"/>
                                                  </w:divBdr>
                                                  <w:divsChild>
                                                    <w:div w:id="49650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8960424">
      <w:bodyDiv w:val="1"/>
      <w:marLeft w:val="0"/>
      <w:marRight w:val="0"/>
      <w:marTop w:val="0"/>
      <w:marBottom w:val="0"/>
      <w:divBdr>
        <w:top w:val="none" w:sz="0" w:space="0" w:color="auto"/>
        <w:left w:val="none" w:sz="0" w:space="0" w:color="auto"/>
        <w:bottom w:val="none" w:sz="0" w:space="0" w:color="auto"/>
        <w:right w:val="none" w:sz="0" w:space="0" w:color="auto"/>
      </w:divBdr>
    </w:div>
    <w:div w:id="1157108180">
      <w:bodyDiv w:val="1"/>
      <w:marLeft w:val="0"/>
      <w:marRight w:val="0"/>
      <w:marTop w:val="0"/>
      <w:marBottom w:val="0"/>
      <w:divBdr>
        <w:top w:val="none" w:sz="0" w:space="0" w:color="auto"/>
        <w:left w:val="none" w:sz="0" w:space="0" w:color="auto"/>
        <w:bottom w:val="none" w:sz="0" w:space="0" w:color="auto"/>
        <w:right w:val="none" w:sz="0" w:space="0" w:color="auto"/>
      </w:divBdr>
    </w:div>
    <w:div w:id="1316034537">
      <w:bodyDiv w:val="1"/>
      <w:marLeft w:val="0"/>
      <w:marRight w:val="0"/>
      <w:marTop w:val="0"/>
      <w:marBottom w:val="0"/>
      <w:divBdr>
        <w:top w:val="none" w:sz="0" w:space="0" w:color="auto"/>
        <w:left w:val="none" w:sz="0" w:space="0" w:color="auto"/>
        <w:bottom w:val="none" w:sz="0" w:space="0" w:color="auto"/>
        <w:right w:val="none" w:sz="0" w:space="0" w:color="auto"/>
      </w:divBdr>
      <w:divsChild>
        <w:div w:id="90009096">
          <w:marLeft w:val="0"/>
          <w:marRight w:val="0"/>
          <w:marTop w:val="0"/>
          <w:marBottom w:val="0"/>
          <w:divBdr>
            <w:top w:val="none" w:sz="0" w:space="0" w:color="auto"/>
            <w:left w:val="none" w:sz="0" w:space="0" w:color="auto"/>
            <w:bottom w:val="none" w:sz="0" w:space="0" w:color="auto"/>
            <w:right w:val="none" w:sz="0" w:space="0" w:color="auto"/>
          </w:divBdr>
          <w:divsChild>
            <w:div w:id="1167671300">
              <w:marLeft w:val="0"/>
              <w:marRight w:val="0"/>
              <w:marTop w:val="0"/>
              <w:marBottom w:val="0"/>
              <w:divBdr>
                <w:top w:val="none" w:sz="0" w:space="0" w:color="auto"/>
                <w:left w:val="none" w:sz="0" w:space="0" w:color="auto"/>
                <w:bottom w:val="none" w:sz="0" w:space="0" w:color="auto"/>
                <w:right w:val="none" w:sz="0" w:space="0" w:color="auto"/>
              </w:divBdr>
              <w:divsChild>
                <w:div w:id="1093933860">
                  <w:marLeft w:val="0"/>
                  <w:marRight w:val="0"/>
                  <w:marTop w:val="0"/>
                  <w:marBottom w:val="0"/>
                  <w:divBdr>
                    <w:top w:val="none" w:sz="0" w:space="0" w:color="auto"/>
                    <w:left w:val="none" w:sz="0" w:space="0" w:color="auto"/>
                    <w:bottom w:val="none" w:sz="0" w:space="0" w:color="auto"/>
                    <w:right w:val="none" w:sz="0" w:space="0" w:color="auto"/>
                  </w:divBdr>
                  <w:divsChild>
                    <w:div w:id="1986886940">
                      <w:marLeft w:val="0"/>
                      <w:marRight w:val="0"/>
                      <w:marTop w:val="0"/>
                      <w:marBottom w:val="0"/>
                      <w:divBdr>
                        <w:top w:val="none" w:sz="0" w:space="0" w:color="auto"/>
                        <w:left w:val="none" w:sz="0" w:space="0" w:color="auto"/>
                        <w:bottom w:val="none" w:sz="0" w:space="0" w:color="auto"/>
                        <w:right w:val="none" w:sz="0" w:space="0" w:color="auto"/>
                      </w:divBdr>
                      <w:divsChild>
                        <w:div w:id="834996828">
                          <w:marLeft w:val="0"/>
                          <w:marRight w:val="0"/>
                          <w:marTop w:val="0"/>
                          <w:marBottom w:val="0"/>
                          <w:divBdr>
                            <w:top w:val="single" w:sz="6" w:space="0" w:color="828282"/>
                            <w:left w:val="single" w:sz="6" w:space="0" w:color="828282"/>
                            <w:bottom w:val="single" w:sz="6" w:space="0" w:color="828282"/>
                            <w:right w:val="single" w:sz="6" w:space="0" w:color="828282"/>
                          </w:divBdr>
                          <w:divsChild>
                            <w:div w:id="1590652336">
                              <w:marLeft w:val="0"/>
                              <w:marRight w:val="0"/>
                              <w:marTop w:val="0"/>
                              <w:marBottom w:val="0"/>
                              <w:divBdr>
                                <w:top w:val="none" w:sz="0" w:space="0" w:color="auto"/>
                                <w:left w:val="none" w:sz="0" w:space="0" w:color="auto"/>
                                <w:bottom w:val="none" w:sz="0" w:space="0" w:color="auto"/>
                                <w:right w:val="none" w:sz="0" w:space="0" w:color="auto"/>
                              </w:divBdr>
                              <w:divsChild>
                                <w:div w:id="1953785348">
                                  <w:marLeft w:val="0"/>
                                  <w:marRight w:val="0"/>
                                  <w:marTop w:val="0"/>
                                  <w:marBottom w:val="0"/>
                                  <w:divBdr>
                                    <w:top w:val="none" w:sz="0" w:space="0" w:color="auto"/>
                                    <w:left w:val="none" w:sz="0" w:space="0" w:color="auto"/>
                                    <w:bottom w:val="none" w:sz="0" w:space="0" w:color="auto"/>
                                    <w:right w:val="none" w:sz="0" w:space="0" w:color="auto"/>
                                  </w:divBdr>
                                  <w:divsChild>
                                    <w:div w:id="409232700">
                                      <w:marLeft w:val="0"/>
                                      <w:marRight w:val="0"/>
                                      <w:marTop w:val="0"/>
                                      <w:marBottom w:val="0"/>
                                      <w:divBdr>
                                        <w:top w:val="none" w:sz="0" w:space="0" w:color="auto"/>
                                        <w:left w:val="none" w:sz="0" w:space="0" w:color="auto"/>
                                        <w:bottom w:val="none" w:sz="0" w:space="0" w:color="auto"/>
                                        <w:right w:val="none" w:sz="0" w:space="0" w:color="auto"/>
                                      </w:divBdr>
                                      <w:divsChild>
                                        <w:div w:id="1620721872">
                                          <w:marLeft w:val="0"/>
                                          <w:marRight w:val="0"/>
                                          <w:marTop w:val="0"/>
                                          <w:marBottom w:val="0"/>
                                          <w:divBdr>
                                            <w:top w:val="none" w:sz="0" w:space="0" w:color="auto"/>
                                            <w:left w:val="none" w:sz="0" w:space="0" w:color="auto"/>
                                            <w:bottom w:val="none" w:sz="0" w:space="0" w:color="auto"/>
                                            <w:right w:val="none" w:sz="0" w:space="0" w:color="auto"/>
                                          </w:divBdr>
                                          <w:divsChild>
                                            <w:div w:id="1421097036">
                                              <w:marLeft w:val="0"/>
                                              <w:marRight w:val="0"/>
                                              <w:marTop w:val="0"/>
                                              <w:marBottom w:val="0"/>
                                              <w:divBdr>
                                                <w:top w:val="none" w:sz="0" w:space="0" w:color="auto"/>
                                                <w:left w:val="none" w:sz="0" w:space="0" w:color="auto"/>
                                                <w:bottom w:val="none" w:sz="0" w:space="0" w:color="auto"/>
                                                <w:right w:val="none" w:sz="0" w:space="0" w:color="auto"/>
                                              </w:divBdr>
                                              <w:divsChild>
                                                <w:div w:id="145845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3188802">
      <w:bodyDiv w:val="1"/>
      <w:marLeft w:val="0"/>
      <w:marRight w:val="0"/>
      <w:marTop w:val="0"/>
      <w:marBottom w:val="0"/>
      <w:divBdr>
        <w:top w:val="none" w:sz="0" w:space="0" w:color="auto"/>
        <w:left w:val="none" w:sz="0" w:space="0" w:color="auto"/>
        <w:bottom w:val="none" w:sz="0" w:space="0" w:color="auto"/>
        <w:right w:val="none" w:sz="0" w:space="0" w:color="auto"/>
      </w:divBdr>
    </w:div>
    <w:div w:id="1650555309">
      <w:bodyDiv w:val="1"/>
      <w:marLeft w:val="0"/>
      <w:marRight w:val="0"/>
      <w:marTop w:val="0"/>
      <w:marBottom w:val="0"/>
      <w:divBdr>
        <w:top w:val="none" w:sz="0" w:space="0" w:color="auto"/>
        <w:left w:val="none" w:sz="0" w:space="0" w:color="auto"/>
        <w:bottom w:val="none" w:sz="0" w:space="0" w:color="auto"/>
        <w:right w:val="none" w:sz="0" w:space="0" w:color="auto"/>
      </w:divBdr>
    </w:div>
    <w:div w:id="1691909875">
      <w:bodyDiv w:val="1"/>
      <w:marLeft w:val="0"/>
      <w:marRight w:val="0"/>
      <w:marTop w:val="0"/>
      <w:marBottom w:val="0"/>
      <w:divBdr>
        <w:top w:val="none" w:sz="0" w:space="0" w:color="auto"/>
        <w:left w:val="none" w:sz="0" w:space="0" w:color="auto"/>
        <w:bottom w:val="none" w:sz="0" w:space="0" w:color="auto"/>
        <w:right w:val="none" w:sz="0" w:space="0" w:color="auto"/>
      </w:divBdr>
    </w:div>
    <w:div w:id="1783069968">
      <w:bodyDiv w:val="1"/>
      <w:marLeft w:val="0"/>
      <w:marRight w:val="0"/>
      <w:marTop w:val="0"/>
      <w:marBottom w:val="0"/>
      <w:divBdr>
        <w:top w:val="none" w:sz="0" w:space="0" w:color="auto"/>
        <w:left w:val="none" w:sz="0" w:space="0" w:color="auto"/>
        <w:bottom w:val="none" w:sz="0" w:space="0" w:color="auto"/>
        <w:right w:val="none" w:sz="0" w:space="0" w:color="auto"/>
      </w:divBdr>
      <w:divsChild>
        <w:div w:id="35158084">
          <w:marLeft w:val="0"/>
          <w:marRight w:val="0"/>
          <w:marTop w:val="0"/>
          <w:marBottom w:val="0"/>
          <w:divBdr>
            <w:top w:val="none" w:sz="0" w:space="0" w:color="auto"/>
            <w:left w:val="none" w:sz="0" w:space="0" w:color="auto"/>
            <w:bottom w:val="none" w:sz="0" w:space="0" w:color="auto"/>
            <w:right w:val="none" w:sz="0" w:space="0" w:color="auto"/>
          </w:divBdr>
          <w:divsChild>
            <w:div w:id="1872065724">
              <w:marLeft w:val="0"/>
              <w:marRight w:val="0"/>
              <w:marTop w:val="0"/>
              <w:marBottom w:val="0"/>
              <w:divBdr>
                <w:top w:val="none" w:sz="0" w:space="0" w:color="auto"/>
                <w:left w:val="none" w:sz="0" w:space="0" w:color="auto"/>
                <w:bottom w:val="none" w:sz="0" w:space="0" w:color="auto"/>
                <w:right w:val="none" w:sz="0" w:space="0" w:color="auto"/>
              </w:divBdr>
              <w:divsChild>
                <w:div w:id="44959634">
                  <w:marLeft w:val="0"/>
                  <w:marRight w:val="0"/>
                  <w:marTop w:val="0"/>
                  <w:marBottom w:val="0"/>
                  <w:divBdr>
                    <w:top w:val="none" w:sz="0" w:space="0" w:color="auto"/>
                    <w:left w:val="none" w:sz="0" w:space="0" w:color="auto"/>
                    <w:bottom w:val="none" w:sz="0" w:space="0" w:color="auto"/>
                    <w:right w:val="none" w:sz="0" w:space="0" w:color="auto"/>
                  </w:divBdr>
                  <w:divsChild>
                    <w:div w:id="48772810">
                      <w:marLeft w:val="0"/>
                      <w:marRight w:val="0"/>
                      <w:marTop w:val="0"/>
                      <w:marBottom w:val="0"/>
                      <w:divBdr>
                        <w:top w:val="none" w:sz="0" w:space="0" w:color="auto"/>
                        <w:left w:val="none" w:sz="0" w:space="0" w:color="auto"/>
                        <w:bottom w:val="none" w:sz="0" w:space="0" w:color="auto"/>
                        <w:right w:val="none" w:sz="0" w:space="0" w:color="auto"/>
                      </w:divBdr>
                      <w:divsChild>
                        <w:div w:id="1830946756">
                          <w:marLeft w:val="0"/>
                          <w:marRight w:val="0"/>
                          <w:marTop w:val="0"/>
                          <w:marBottom w:val="0"/>
                          <w:divBdr>
                            <w:top w:val="single" w:sz="6" w:space="0" w:color="828282"/>
                            <w:left w:val="single" w:sz="6" w:space="0" w:color="828282"/>
                            <w:bottom w:val="single" w:sz="6" w:space="0" w:color="828282"/>
                            <w:right w:val="single" w:sz="6" w:space="0" w:color="828282"/>
                          </w:divBdr>
                          <w:divsChild>
                            <w:div w:id="1207257119">
                              <w:marLeft w:val="0"/>
                              <w:marRight w:val="0"/>
                              <w:marTop w:val="0"/>
                              <w:marBottom w:val="0"/>
                              <w:divBdr>
                                <w:top w:val="none" w:sz="0" w:space="0" w:color="auto"/>
                                <w:left w:val="none" w:sz="0" w:space="0" w:color="auto"/>
                                <w:bottom w:val="none" w:sz="0" w:space="0" w:color="auto"/>
                                <w:right w:val="none" w:sz="0" w:space="0" w:color="auto"/>
                              </w:divBdr>
                              <w:divsChild>
                                <w:div w:id="455874170">
                                  <w:marLeft w:val="0"/>
                                  <w:marRight w:val="0"/>
                                  <w:marTop w:val="0"/>
                                  <w:marBottom w:val="0"/>
                                  <w:divBdr>
                                    <w:top w:val="none" w:sz="0" w:space="0" w:color="auto"/>
                                    <w:left w:val="none" w:sz="0" w:space="0" w:color="auto"/>
                                    <w:bottom w:val="none" w:sz="0" w:space="0" w:color="auto"/>
                                    <w:right w:val="none" w:sz="0" w:space="0" w:color="auto"/>
                                  </w:divBdr>
                                  <w:divsChild>
                                    <w:div w:id="752358334">
                                      <w:marLeft w:val="0"/>
                                      <w:marRight w:val="0"/>
                                      <w:marTop w:val="0"/>
                                      <w:marBottom w:val="0"/>
                                      <w:divBdr>
                                        <w:top w:val="none" w:sz="0" w:space="0" w:color="auto"/>
                                        <w:left w:val="none" w:sz="0" w:space="0" w:color="auto"/>
                                        <w:bottom w:val="none" w:sz="0" w:space="0" w:color="auto"/>
                                        <w:right w:val="none" w:sz="0" w:space="0" w:color="auto"/>
                                      </w:divBdr>
                                      <w:divsChild>
                                        <w:div w:id="1386641294">
                                          <w:marLeft w:val="0"/>
                                          <w:marRight w:val="0"/>
                                          <w:marTop w:val="0"/>
                                          <w:marBottom w:val="0"/>
                                          <w:divBdr>
                                            <w:top w:val="none" w:sz="0" w:space="0" w:color="auto"/>
                                            <w:left w:val="none" w:sz="0" w:space="0" w:color="auto"/>
                                            <w:bottom w:val="none" w:sz="0" w:space="0" w:color="auto"/>
                                            <w:right w:val="none" w:sz="0" w:space="0" w:color="auto"/>
                                          </w:divBdr>
                                          <w:divsChild>
                                            <w:div w:id="2126851544">
                                              <w:marLeft w:val="0"/>
                                              <w:marRight w:val="0"/>
                                              <w:marTop w:val="0"/>
                                              <w:marBottom w:val="0"/>
                                              <w:divBdr>
                                                <w:top w:val="none" w:sz="0" w:space="0" w:color="auto"/>
                                                <w:left w:val="none" w:sz="0" w:space="0" w:color="auto"/>
                                                <w:bottom w:val="none" w:sz="0" w:space="0" w:color="auto"/>
                                                <w:right w:val="none" w:sz="0" w:space="0" w:color="auto"/>
                                              </w:divBdr>
                                              <w:divsChild>
                                                <w:div w:id="44088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2613235">
      <w:bodyDiv w:val="1"/>
      <w:marLeft w:val="0"/>
      <w:marRight w:val="0"/>
      <w:marTop w:val="0"/>
      <w:marBottom w:val="0"/>
      <w:divBdr>
        <w:top w:val="none" w:sz="0" w:space="0" w:color="auto"/>
        <w:left w:val="none" w:sz="0" w:space="0" w:color="auto"/>
        <w:bottom w:val="none" w:sz="0" w:space="0" w:color="auto"/>
        <w:right w:val="none" w:sz="0" w:space="0" w:color="auto"/>
      </w:divBdr>
    </w:div>
    <w:div w:id="2033606190">
      <w:bodyDiv w:val="1"/>
      <w:marLeft w:val="0"/>
      <w:marRight w:val="0"/>
      <w:marTop w:val="0"/>
      <w:marBottom w:val="0"/>
      <w:divBdr>
        <w:top w:val="none" w:sz="0" w:space="0" w:color="auto"/>
        <w:left w:val="none" w:sz="0" w:space="0" w:color="auto"/>
        <w:bottom w:val="none" w:sz="0" w:space="0" w:color="auto"/>
        <w:right w:val="none" w:sz="0" w:space="0" w:color="auto"/>
      </w:divBdr>
    </w:div>
    <w:div w:id="2045012986">
      <w:bodyDiv w:val="1"/>
      <w:marLeft w:val="0"/>
      <w:marRight w:val="0"/>
      <w:marTop w:val="0"/>
      <w:marBottom w:val="0"/>
      <w:divBdr>
        <w:top w:val="none" w:sz="0" w:space="0" w:color="auto"/>
        <w:left w:val="none" w:sz="0" w:space="0" w:color="auto"/>
        <w:bottom w:val="none" w:sz="0" w:space="0" w:color="auto"/>
        <w:right w:val="none" w:sz="0" w:space="0" w:color="auto"/>
      </w:divBdr>
      <w:divsChild>
        <w:div w:id="1885555704">
          <w:marLeft w:val="0"/>
          <w:marRight w:val="0"/>
          <w:marTop w:val="0"/>
          <w:marBottom w:val="0"/>
          <w:divBdr>
            <w:top w:val="none" w:sz="0" w:space="0" w:color="auto"/>
            <w:left w:val="none" w:sz="0" w:space="0" w:color="auto"/>
            <w:bottom w:val="none" w:sz="0" w:space="0" w:color="auto"/>
            <w:right w:val="none" w:sz="0" w:space="0" w:color="auto"/>
          </w:divBdr>
          <w:divsChild>
            <w:div w:id="1384980742">
              <w:marLeft w:val="0"/>
              <w:marRight w:val="0"/>
              <w:marTop w:val="0"/>
              <w:marBottom w:val="0"/>
              <w:divBdr>
                <w:top w:val="none" w:sz="0" w:space="0" w:color="auto"/>
                <w:left w:val="none" w:sz="0" w:space="0" w:color="auto"/>
                <w:bottom w:val="none" w:sz="0" w:space="0" w:color="auto"/>
                <w:right w:val="none" w:sz="0" w:space="0" w:color="auto"/>
              </w:divBdr>
              <w:divsChild>
                <w:div w:id="1411152503">
                  <w:marLeft w:val="0"/>
                  <w:marRight w:val="0"/>
                  <w:marTop w:val="0"/>
                  <w:marBottom w:val="0"/>
                  <w:divBdr>
                    <w:top w:val="none" w:sz="0" w:space="0" w:color="auto"/>
                    <w:left w:val="none" w:sz="0" w:space="0" w:color="auto"/>
                    <w:bottom w:val="none" w:sz="0" w:space="0" w:color="auto"/>
                    <w:right w:val="none" w:sz="0" w:space="0" w:color="auto"/>
                  </w:divBdr>
                  <w:divsChild>
                    <w:div w:id="670064462">
                      <w:marLeft w:val="0"/>
                      <w:marRight w:val="0"/>
                      <w:marTop w:val="0"/>
                      <w:marBottom w:val="0"/>
                      <w:divBdr>
                        <w:top w:val="none" w:sz="0" w:space="0" w:color="auto"/>
                        <w:left w:val="none" w:sz="0" w:space="0" w:color="auto"/>
                        <w:bottom w:val="none" w:sz="0" w:space="0" w:color="auto"/>
                        <w:right w:val="none" w:sz="0" w:space="0" w:color="auto"/>
                      </w:divBdr>
                      <w:divsChild>
                        <w:div w:id="359286683">
                          <w:marLeft w:val="0"/>
                          <w:marRight w:val="0"/>
                          <w:marTop w:val="0"/>
                          <w:marBottom w:val="0"/>
                          <w:divBdr>
                            <w:top w:val="none" w:sz="0" w:space="0" w:color="auto"/>
                            <w:left w:val="none" w:sz="0" w:space="0" w:color="auto"/>
                            <w:bottom w:val="none" w:sz="0" w:space="0" w:color="auto"/>
                            <w:right w:val="none" w:sz="0" w:space="0" w:color="auto"/>
                          </w:divBdr>
                          <w:divsChild>
                            <w:div w:id="1625843359">
                              <w:marLeft w:val="0"/>
                              <w:marRight w:val="0"/>
                              <w:marTop w:val="0"/>
                              <w:marBottom w:val="0"/>
                              <w:divBdr>
                                <w:top w:val="none" w:sz="0" w:space="0" w:color="auto"/>
                                <w:left w:val="none" w:sz="0" w:space="0" w:color="auto"/>
                                <w:bottom w:val="none" w:sz="0" w:space="0" w:color="auto"/>
                                <w:right w:val="none" w:sz="0" w:space="0" w:color="auto"/>
                              </w:divBdr>
                              <w:divsChild>
                                <w:div w:id="1440104158">
                                  <w:marLeft w:val="0"/>
                                  <w:marRight w:val="0"/>
                                  <w:marTop w:val="0"/>
                                  <w:marBottom w:val="0"/>
                                  <w:divBdr>
                                    <w:top w:val="none" w:sz="0" w:space="0" w:color="auto"/>
                                    <w:left w:val="none" w:sz="0" w:space="0" w:color="auto"/>
                                    <w:bottom w:val="none" w:sz="0" w:space="0" w:color="auto"/>
                                    <w:right w:val="none" w:sz="0" w:space="0" w:color="auto"/>
                                  </w:divBdr>
                                  <w:divsChild>
                                    <w:div w:id="1194076372">
                                      <w:marLeft w:val="0"/>
                                      <w:marRight w:val="0"/>
                                      <w:marTop w:val="0"/>
                                      <w:marBottom w:val="0"/>
                                      <w:divBdr>
                                        <w:top w:val="none" w:sz="0" w:space="0" w:color="auto"/>
                                        <w:left w:val="none" w:sz="0" w:space="0" w:color="auto"/>
                                        <w:bottom w:val="none" w:sz="0" w:space="0" w:color="auto"/>
                                        <w:right w:val="none" w:sz="0" w:space="0" w:color="auto"/>
                                      </w:divBdr>
                                      <w:divsChild>
                                        <w:div w:id="2046252347">
                                          <w:marLeft w:val="0"/>
                                          <w:marRight w:val="0"/>
                                          <w:marTop w:val="0"/>
                                          <w:marBottom w:val="0"/>
                                          <w:divBdr>
                                            <w:top w:val="none" w:sz="0" w:space="0" w:color="auto"/>
                                            <w:left w:val="none" w:sz="0" w:space="0" w:color="auto"/>
                                            <w:bottom w:val="none" w:sz="0" w:space="0" w:color="auto"/>
                                            <w:right w:val="none" w:sz="0" w:space="0" w:color="auto"/>
                                          </w:divBdr>
                                          <w:divsChild>
                                            <w:div w:id="758674583">
                                              <w:marLeft w:val="0"/>
                                              <w:marRight w:val="0"/>
                                              <w:marTop w:val="0"/>
                                              <w:marBottom w:val="0"/>
                                              <w:divBdr>
                                                <w:top w:val="none" w:sz="0" w:space="0" w:color="auto"/>
                                                <w:left w:val="none" w:sz="0" w:space="0" w:color="auto"/>
                                                <w:bottom w:val="none" w:sz="0" w:space="0" w:color="auto"/>
                                                <w:right w:val="none" w:sz="0" w:space="0" w:color="auto"/>
                                              </w:divBdr>
                                              <w:divsChild>
                                                <w:div w:id="495000632">
                                                  <w:marLeft w:val="0"/>
                                                  <w:marRight w:val="0"/>
                                                  <w:marTop w:val="0"/>
                                                  <w:marBottom w:val="0"/>
                                                  <w:divBdr>
                                                    <w:top w:val="none" w:sz="0" w:space="0" w:color="auto"/>
                                                    <w:left w:val="none" w:sz="0" w:space="0" w:color="auto"/>
                                                    <w:bottom w:val="none" w:sz="0" w:space="0" w:color="auto"/>
                                                    <w:right w:val="none" w:sz="0" w:space="0" w:color="auto"/>
                                                  </w:divBdr>
                                                  <w:divsChild>
                                                    <w:div w:id="238637413">
                                                      <w:marLeft w:val="0"/>
                                                      <w:marRight w:val="0"/>
                                                      <w:marTop w:val="0"/>
                                                      <w:marBottom w:val="0"/>
                                                      <w:divBdr>
                                                        <w:top w:val="none" w:sz="0" w:space="0" w:color="auto"/>
                                                        <w:left w:val="none" w:sz="0" w:space="0" w:color="auto"/>
                                                        <w:bottom w:val="none" w:sz="0" w:space="0" w:color="auto"/>
                                                        <w:right w:val="none" w:sz="0" w:space="0" w:color="auto"/>
                                                      </w:divBdr>
                                                      <w:divsChild>
                                                        <w:div w:id="19912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328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499938-1c0e-445d-84a7-a95f7e43b45d" xsi:nil="true"/>
    <SharedWithUsers xmlns="fa7702e7-9218-4178-9b6d-65ad6f40fd45">
      <UserInfo>
        <DisplayName>STEIN, Tania</DisplayName>
        <AccountId>93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D0B983E0E2D34892FF4501574C1922" ma:contentTypeVersion="13" ma:contentTypeDescription="Create a new document." ma:contentTypeScope="" ma:versionID="56db83ee709d5cedc282708c0e70e6a6">
  <xsd:schema xmlns:xsd="http://www.w3.org/2001/XMLSchema" xmlns:xs="http://www.w3.org/2001/XMLSchema" xmlns:p="http://schemas.microsoft.com/office/2006/metadata/properties" xmlns:ns2="04499938-1c0e-445d-84a7-a95f7e43b45d" xmlns:ns3="fa7702e7-9218-4178-9b6d-65ad6f40fd45" targetNamespace="http://schemas.microsoft.com/office/2006/metadata/properties" ma:root="true" ma:fieldsID="ef77af8b747fd1c215519d9ca498e4c3" ns2:_="" ns3:_="">
    <xsd:import namespace="04499938-1c0e-445d-84a7-a95f7e43b45d"/>
    <xsd:import namespace="fa7702e7-9218-4178-9b6d-65ad6f40fd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99938-1c0e-445d-84a7-a95f7e43b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7702e7-9218-4178-9b6d-65ad6f40fd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30EE0-BED0-4F21-B950-885D609A0155}">
  <ds:schemaRefs>
    <ds:schemaRef ds:uri="http://schemas.microsoft.com/sharepoint/v3/contenttype/forms"/>
  </ds:schemaRefs>
</ds:datastoreItem>
</file>

<file path=customXml/itemProps2.xml><?xml version="1.0" encoding="utf-8"?>
<ds:datastoreItem xmlns:ds="http://schemas.openxmlformats.org/officeDocument/2006/customXml" ds:itemID="{5E06BC5B-C29C-4E91-A4CB-E4FB6335195C}">
  <ds:schemaRefs>
    <ds:schemaRef ds:uri="http://purl.org/dc/terms/"/>
    <ds:schemaRef ds:uri="04499938-1c0e-445d-84a7-a95f7e43b45d"/>
    <ds:schemaRef ds:uri="http://purl.org/dc/dcmityp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fa7702e7-9218-4178-9b6d-65ad6f40fd45"/>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FDC51CD-CB0C-441B-8480-E4D4D7B9B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99938-1c0e-445d-84a7-a95f7e43b45d"/>
    <ds:schemaRef ds:uri="fa7702e7-9218-4178-9b6d-65ad6f40f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C0E9E5-304B-4E3C-BEB6-8B3636FDA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2332</Words>
  <Characters>13297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Burford</dc:creator>
  <cp:lastModifiedBy>GARNHAM, Katherine</cp:lastModifiedBy>
  <cp:revision>5</cp:revision>
  <cp:lastPrinted>2018-09-05T00:15:00Z</cp:lastPrinted>
  <dcterms:created xsi:type="dcterms:W3CDTF">2023-09-26T04:49:00Z</dcterms:created>
  <dcterms:modified xsi:type="dcterms:W3CDTF">2023-10-05T01:47:00Z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0x01010097D0B983E0E2D34892FF4501574C1922</vt:lpwstr>
  </property>
</Properties>
</file>