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A53B" w14:textId="77777777" w:rsidR="007A41D1" w:rsidRDefault="007A41D1" w:rsidP="007A41D1">
      <w:pPr>
        <w:pStyle w:val="ShortT"/>
      </w:pPr>
      <w:r>
        <w:rPr>
          <w:noProof/>
        </w:rPr>
        <w:drawing>
          <wp:inline distT="0" distB="0" distL="0" distR="0" wp14:anchorId="183B6CA1" wp14:editId="3AC30D0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4838E" w14:textId="77777777" w:rsidR="007A41D1" w:rsidRPr="00227CF3" w:rsidRDefault="007A41D1" w:rsidP="007A41D1">
      <w:pPr>
        <w:pStyle w:val="ShortT"/>
        <w:spacing w:before="240"/>
        <w:rPr>
          <w:rFonts w:ascii="Arial" w:hAnsi="Arial" w:cs="Arial"/>
          <w:sz w:val="28"/>
        </w:rPr>
      </w:pPr>
      <w:r w:rsidRPr="00227CF3">
        <w:rPr>
          <w:rFonts w:ascii="Arial" w:hAnsi="Arial" w:cs="Arial"/>
          <w:sz w:val="28"/>
        </w:rPr>
        <w:t xml:space="preserve">Telecommunications (Interception and Access) (Emergency Service Facilities – </w:t>
      </w:r>
      <w:r>
        <w:rPr>
          <w:rFonts w:ascii="Arial" w:hAnsi="Arial" w:cs="Arial"/>
          <w:sz w:val="28"/>
        </w:rPr>
        <w:t>Northern Territory</w:t>
      </w:r>
      <w:r w:rsidRPr="00227CF3">
        <w:rPr>
          <w:rFonts w:ascii="Arial" w:hAnsi="Arial" w:cs="Arial"/>
          <w:sz w:val="28"/>
        </w:rPr>
        <w:t xml:space="preserve">) </w:t>
      </w:r>
      <w:r>
        <w:rPr>
          <w:rFonts w:ascii="Arial" w:hAnsi="Arial" w:cs="Arial"/>
          <w:sz w:val="28"/>
        </w:rPr>
        <w:t xml:space="preserve">Instrument </w:t>
      </w:r>
      <w:r w:rsidRPr="00227CF3">
        <w:rPr>
          <w:rFonts w:ascii="Arial" w:hAnsi="Arial" w:cs="Arial"/>
          <w:sz w:val="28"/>
        </w:rPr>
        <w:t>2023</w:t>
      </w:r>
    </w:p>
    <w:p w14:paraId="5EA7B51E" w14:textId="77777777" w:rsidR="007A41D1" w:rsidRPr="00DA182D" w:rsidRDefault="007A41D1" w:rsidP="007A41D1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the Hon Mark Dreyfus KC MP, Attorney-General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under subsection 6(2D) of the </w:t>
      </w:r>
      <w:r>
        <w:rPr>
          <w:i/>
          <w:szCs w:val="22"/>
        </w:rPr>
        <w:t xml:space="preserve">Telecommunications (Interception and Access) Act 1979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62DC28FC" w14:textId="77777777" w:rsidR="007A41D1" w:rsidRDefault="007A41D1" w:rsidP="007A41D1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31D2F0E" w14:textId="3B85CCC5" w:rsidR="007A41D1" w:rsidRPr="00001A63" w:rsidRDefault="007A41D1" w:rsidP="007A41D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963D2">
        <w:rPr>
          <w:szCs w:val="22"/>
        </w:rPr>
        <w:t xml:space="preserve"> 22 September </w:t>
      </w:r>
      <w:r>
        <w:rPr>
          <w:szCs w:val="22"/>
        </w:rPr>
        <w:t>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1A2E7F5" w14:textId="1A887993" w:rsidR="007A41D1" w:rsidRDefault="007A41D1" w:rsidP="007A41D1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</w:p>
    <w:p w14:paraId="61A95A80" w14:textId="77777777" w:rsidR="007A41D1" w:rsidRPr="005D5BC5" w:rsidRDefault="007A41D1" w:rsidP="007A41D1">
      <w:pPr>
        <w:pStyle w:val="SignCoverPageEnd"/>
        <w:ind w:right="91"/>
        <w:rPr>
          <w:sz w:val="22"/>
        </w:rPr>
      </w:pPr>
      <w:r w:rsidRPr="005D5BC5">
        <w:rPr>
          <w:sz w:val="22"/>
        </w:rPr>
        <w:t>THE HON</w:t>
      </w:r>
      <w:r>
        <w:rPr>
          <w:sz w:val="22"/>
        </w:rPr>
        <w:t xml:space="preserve"> MARK DREYFUS KC MP </w:t>
      </w:r>
    </w:p>
    <w:p w14:paraId="3901B8B1" w14:textId="77777777" w:rsidR="007A41D1" w:rsidRPr="008E0027" w:rsidRDefault="007A41D1" w:rsidP="007A41D1">
      <w:pPr>
        <w:pStyle w:val="SignCoverPageEnd"/>
        <w:ind w:right="91"/>
        <w:rPr>
          <w:sz w:val="22"/>
        </w:rPr>
      </w:pPr>
      <w:r>
        <w:rPr>
          <w:sz w:val="22"/>
        </w:rPr>
        <w:t xml:space="preserve">Attorney-General </w:t>
      </w:r>
    </w:p>
    <w:p w14:paraId="12173B97" w14:textId="77777777" w:rsidR="007A41D1" w:rsidRDefault="007A41D1" w:rsidP="007A41D1"/>
    <w:p w14:paraId="2055C8CE" w14:textId="77777777" w:rsidR="007A41D1" w:rsidRPr="00ED79B6" w:rsidRDefault="007A41D1" w:rsidP="007A41D1"/>
    <w:p w14:paraId="16053C1D" w14:textId="77777777" w:rsidR="007A41D1" w:rsidRDefault="007A41D1" w:rsidP="007A41D1"/>
    <w:p w14:paraId="61DFDDA1" w14:textId="77777777" w:rsidR="007A41D1" w:rsidRDefault="007A41D1" w:rsidP="007A41D1">
      <w:pPr>
        <w:sectPr w:rsidR="007A41D1" w:rsidSect="00E05385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446530F" w14:textId="77777777" w:rsidR="007A41D1" w:rsidRDefault="007A41D1" w:rsidP="007A41D1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337AEA0" w14:textId="6E1C1228" w:rsidR="00942A70" w:rsidRDefault="007A41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42A70">
        <w:rPr>
          <w:noProof/>
        </w:rPr>
        <w:t>1  Name</w:t>
      </w:r>
      <w:r w:rsidR="00942A70">
        <w:rPr>
          <w:noProof/>
        </w:rPr>
        <w:tab/>
      </w:r>
      <w:r w:rsidR="00942A70">
        <w:rPr>
          <w:noProof/>
        </w:rPr>
        <w:fldChar w:fldCharType="begin"/>
      </w:r>
      <w:r w:rsidR="00942A70">
        <w:rPr>
          <w:noProof/>
        </w:rPr>
        <w:instrText xml:space="preserve"> PAGEREF _Toc143876798 \h </w:instrText>
      </w:r>
      <w:r w:rsidR="00942A70">
        <w:rPr>
          <w:noProof/>
        </w:rPr>
      </w:r>
      <w:r w:rsidR="00942A70">
        <w:rPr>
          <w:noProof/>
        </w:rPr>
        <w:fldChar w:fldCharType="separate"/>
      </w:r>
      <w:r w:rsidR="00942A70">
        <w:rPr>
          <w:noProof/>
        </w:rPr>
        <w:t>2</w:t>
      </w:r>
      <w:r w:rsidR="00942A70">
        <w:rPr>
          <w:noProof/>
        </w:rPr>
        <w:fldChar w:fldCharType="end"/>
      </w:r>
    </w:p>
    <w:p w14:paraId="3A3324F0" w14:textId="5E7921A5" w:rsidR="00942A70" w:rsidRDefault="00942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_Toc143876799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71CEBEB" w14:textId="4814D80E" w:rsidR="00942A70" w:rsidRDefault="00942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_Toc143876800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B938352" w14:textId="4E5F553D" w:rsidR="00942A70" w:rsidRDefault="00942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_Toc143876801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5219850" w14:textId="0D1C205F" w:rsidR="00942A70" w:rsidRDefault="00942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Emergency Service Facilities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_Toc143876802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59CC16" w14:textId="762E8F2D" w:rsidR="007A41D1" w:rsidRDefault="007A41D1" w:rsidP="007A41D1">
      <w:pPr>
        <w:outlineLvl w:val="0"/>
      </w:pPr>
      <w:r>
        <w:fldChar w:fldCharType="end"/>
      </w:r>
    </w:p>
    <w:p w14:paraId="79F75084" w14:textId="77777777" w:rsidR="007A41D1" w:rsidRPr="005D5BC5" w:rsidRDefault="007A41D1" w:rsidP="007A41D1">
      <w:pPr>
        <w:ind w:left="720" w:firstLine="720"/>
        <w:outlineLvl w:val="0"/>
        <w:rPr>
          <w:sz w:val="20"/>
        </w:rPr>
        <w:sectPr w:rsidR="007A41D1" w:rsidRPr="005D5BC5" w:rsidSect="00E0538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</w:p>
    <w:p w14:paraId="1FD8C0C8" w14:textId="77777777" w:rsidR="007A41D1" w:rsidRPr="00554826" w:rsidRDefault="007A41D1" w:rsidP="007A41D1">
      <w:pPr>
        <w:pStyle w:val="ActHead5"/>
      </w:pPr>
      <w:bookmarkStart w:id="1" w:name="_Toc143876798"/>
      <w:proofErr w:type="gramStart"/>
      <w:r w:rsidRPr="00554826">
        <w:lastRenderedPageBreak/>
        <w:t>1  Name</w:t>
      </w:r>
      <w:bookmarkEnd w:id="1"/>
      <w:proofErr w:type="gramEnd"/>
    </w:p>
    <w:p w14:paraId="596870A0" w14:textId="77777777" w:rsidR="007A41D1" w:rsidRPr="00085E49" w:rsidRDefault="007A41D1" w:rsidP="007A41D1">
      <w:pPr>
        <w:pStyle w:val="Item"/>
        <w:ind w:left="1100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Pr="00144872">
        <w:rPr>
          <w:i/>
        </w:rPr>
        <w:t>Telecommunications (Interception and Access) (Emergency Service Facilities – Northern Territory) Instrument 2023</w:t>
      </w:r>
      <w:r>
        <w:t>.</w:t>
      </w:r>
    </w:p>
    <w:p w14:paraId="16B59E44" w14:textId="77777777" w:rsidR="007A41D1" w:rsidRDefault="007A41D1" w:rsidP="007A41D1">
      <w:pPr>
        <w:pStyle w:val="ActHead5"/>
      </w:pPr>
      <w:bookmarkStart w:id="3" w:name="_Toc143876799"/>
      <w:r w:rsidRPr="00554826">
        <w:t>2  Commencement</w:t>
      </w:r>
      <w:bookmarkEnd w:id="3"/>
    </w:p>
    <w:p w14:paraId="50855F02" w14:textId="77777777" w:rsidR="007A41D1" w:rsidRDefault="007A41D1" w:rsidP="007A41D1">
      <w:pPr>
        <w:pStyle w:val="subsection"/>
        <w:numPr>
          <w:ilvl w:val="0"/>
          <w:numId w:val="26"/>
        </w:numPr>
        <w:tabs>
          <w:tab w:val="clear" w:pos="1021"/>
          <w:tab w:val="right" w:pos="1843"/>
        </w:tabs>
        <w:spacing w:after="240"/>
        <w:ind w:left="1134" w:hanging="425"/>
      </w:pPr>
      <w:r>
        <w:t xml:space="preserve">Each provision of this instrument specified in column 1 of the table commences, or is taken to have commenced, in accordance within column 2 of the table. Any other statement in column 2 has effect according to its terms.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  <w:gridCol w:w="1840"/>
      </w:tblGrid>
      <w:tr w:rsidR="007A41D1" w14:paraId="7508BE98" w14:textId="77777777" w:rsidTr="003F1B70">
        <w:tc>
          <w:tcPr>
            <w:tcW w:w="72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79AB46F" w14:textId="77777777" w:rsidR="007A41D1" w:rsidRPr="00E92AAF" w:rsidRDefault="007A41D1" w:rsidP="003F1B70">
            <w:pPr>
              <w:pStyle w:val="subsection"/>
              <w:tabs>
                <w:tab w:val="left" w:pos="375"/>
              </w:tabs>
              <w:ind w:left="0" w:firstLine="0"/>
              <w:rPr>
                <w:b/>
              </w:rPr>
            </w:pPr>
            <w:bookmarkStart w:id="4" w:name="_Hlk143521590"/>
            <w:r w:rsidRPr="00E92AAF">
              <w:rPr>
                <w:b/>
              </w:rPr>
              <w:t>Commencement Information</w:t>
            </w:r>
          </w:p>
        </w:tc>
      </w:tr>
      <w:tr w:rsidR="007A41D1" w14:paraId="0C1B0555" w14:textId="77777777" w:rsidTr="003F1B7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84B6DE" w14:textId="77777777" w:rsidR="007A41D1" w:rsidRPr="00E92AAF" w:rsidRDefault="007A41D1" w:rsidP="003F1B70">
            <w:pPr>
              <w:pStyle w:val="subsection"/>
              <w:ind w:left="0" w:firstLine="0"/>
              <w:rPr>
                <w:b/>
              </w:rPr>
            </w:pPr>
            <w:r w:rsidRPr="00E92AAF">
              <w:rPr>
                <w:b/>
              </w:rPr>
              <w:t>Column 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D6840FB" w14:textId="77777777" w:rsidR="007A41D1" w:rsidRPr="00E92AAF" w:rsidRDefault="007A41D1" w:rsidP="003F1B70">
            <w:pPr>
              <w:pStyle w:val="subsection"/>
              <w:ind w:left="0" w:firstLine="0"/>
              <w:rPr>
                <w:b/>
              </w:rPr>
            </w:pPr>
            <w:r w:rsidRPr="00E92AAF">
              <w:rPr>
                <w:b/>
              </w:rPr>
              <w:t xml:space="preserve">Column 2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0391D167" w14:textId="77777777" w:rsidR="007A41D1" w:rsidRPr="00E92AAF" w:rsidRDefault="007A41D1" w:rsidP="003F1B70">
            <w:pPr>
              <w:pStyle w:val="subsection"/>
              <w:ind w:left="0" w:firstLine="0"/>
              <w:rPr>
                <w:b/>
              </w:rPr>
            </w:pPr>
            <w:r w:rsidRPr="00E92AAF">
              <w:rPr>
                <w:b/>
              </w:rPr>
              <w:t xml:space="preserve">Column 3 </w:t>
            </w:r>
          </w:p>
        </w:tc>
      </w:tr>
      <w:tr w:rsidR="007A41D1" w14:paraId="265ACCA1" w14:textId="77777777" w:rsidTr="003F1B70"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3A8481A" w14:textId="77777777" w:rsidR="007A41D1" w:rsidRPr="00E92AAF" w:rsidRDefault="007A41D1" w:rsidP="003F1B70">
            <w:pPr>
              <w:pStyle w:val="subsection"/>
              <w:ind w:left="0" w:firstLine="0"/>
              <w:rPr>
                <w:b/>
              </w:rPr>
            </w:pPr>
            <w:r w:rsidRPr="00E92AAF">
              <w:rPr>
                <w:b/>
              </w:rPr>
              <w:t xml:space="preserve">Provisions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14:paraId="69E2C617" w14:textId="77777777" w:rsidR="007A41D1" w:rsidRPr="00E92AAF" w:rsidRDefault="007A41D1" w:rsidP="003F1B70">
            <w:pPr>
              <w:pStyle w:val="subsection"/>
              <w:ind w:left="0" w:firstLine="0"/>
              <w:rPr>
                <w:b/>
              </w:rPr>
            </w:pPr>
            <w:r w:rsidRPr="00E92AAF">
              <w:rPr>
                <w:b/>
              </w:rPr>
              <w:t xml:space="preserve">Commencement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12" w:space="0" w:color="auto"/>
            </w:tcBorders>
          </w:tcPr>
          <w:p w14:paraId="3BD6467C" w14:textId="77777777" w:rsidR="007A41D1" w:rsidRPr="00E92AAF" w:rsidRDefault="007A41D1" w:rsidP="003F1B70">
            <w:pPr>
              <w:pStyle w:val="subsection"/>
              <w:ind w:left="0" w:firstLine="0"/>
              <w:rPr>
                <w:b/>
              </w:rPr>
            </w:pPr>
            <w:r w:rsidRPr="00E92AAF">
              <w:rPr>
                <w:b/>
              </w:rPr>
              <w:t xml:space="preserve">Date/Details </w:t>
            </w:r>
          </w:p>
        </w:tc>
      </w:tr>
      <w:tr w:rsidR="007A41D1" w14:paraId="36EB69F3" w14:textId="77777777" w:rsidTr="003F1B70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468FE34" w14:textId="040218A3" w:rsidR="007A41D1" w:rsidRDefault="007A41D1" w:rsidP="003F1B70">
            <w:pPr>
              <w:pStyle w:val="subsection"/>
              <w:ind w:left="0" w:firstLine="0"/>
            </w:pPr>
            <w:r>
              <w:t xml:space="preserve">1. </w:t>
            </w:r>
            <w:r w:rsidR="00823220">
              <w:t>Sections 1 to 3 and anything in this instrument not elsewhere covered by this table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</w:tcPr>
          <w:p w14:paraId="4AECCFD4" w14:textId="0E647CC6" w:rsidR="007A41D1" w:rsidRDefault="007A41D1" w:rsidP="003F1B70">
            <w:pPr>
              <w:pStyle w:val="subsection"/>
              <w:ind w:left="0" w:firstLine="0"/>
            </w:pPr>
            <w:r>
              <w:t xml:space="preserve">The day after this instrument is </w:t>
            </w:r>
            <w:r w:rsidR="00E66563">
              <w:t>registered</w:t>
            </w:r>
            <w:r>
              <w:t xml:space="preserve">. 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</w:tcBorders>
          </w:tcPr>
          <w:p w14:paraId="79EDE808" w14:textId="77777777" w:rsidR="007A41D1" w:rsidRDefault="007A41D1" w:rsidP="003F1B70">
            <w:pPr>
              <w:pStyle w:val="subsection"/>
              <w:ind w:left="0" w:firstLine="0"/>
            </w:pPr>
          </w:p>
        </w:tc>
      </w:tr>
      <w:tr w:rsidR="007A41D1" w14:paraId="5F541BD4" w14:textId="77777777" w:rsidTr="0082322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4C709D" w14:textId="77777777" w:rsidR="007A41D1" w:rsidRDefault="007A41D1" w:rsidP="003F1B70">
            <w:pPr>
              <w:pStyle w:val="subsection"/>
              <w:ind w:left="0" w:firstLine="0"/>
            </w:pPr>
            <w:r>
              <w:t xml:space="preserve">2. Section 4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88E8A4" w14:textId="7F7A9F65" w:rsidR="007A41D1" w:rsidRDefault="007A41D1" w:rsidP="003F1B70">
            <w:pPr>
              <w:pStyle w:val="subsection"/>
              <w:ind w:left="0" w:firstLine="0"/>
            </w:pPr>
            <w:r>
              <w:t xml:space="preserve">The start of the day after this instrument is </w:t>
            </w:r>
            <w:r w:rsidR="00E66563">
              <w:t>registered.</w:t>
            </w:r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12519880" w14:textId="77777777" w:rsidR="007A41D1" w:rsidRDefault="007A41D1" w:rsidP="003F1B70">
            <w:pPr>
              <w:pStyle w:val="subsection"/>
              <w:ind w:left="0" w:firstLine="0"/>
            </w:pPr>
          </w:p>
        </w:tc>
      </w:tr>
      <w:tr w:rsidR="00823220" w14:paraId="23E5CDDE" w14:textId="77777777" w:rsidTr="00823220"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14:paraId="1A2B9C47" w14:textId="57C93397" w:rsidR="00823220" w:rsidRDefault="00823220" w:rsidP="00823220">
            <w:pPr>
              <w:pStyle w:val="subsection"/>
              <w:ind w:left="0" w:firstLine="0"/>
            </w:pPr>
            <w:r>
              <w:t xml:space="preserve">3. Section 5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</w:tcPr>
          <w:p w14:paraId="16170991" w14:textId="398C12B4" w:rsidR="00823220" w:rsidRDefault="00823220" w:rsidP="00823220">
            <w:pPr>
              <w:pStyle w:val="subsection"/>
              <w:ind w:left="0" w:firstLine="0"/>
            </w:pPr>
            <w:r>
              <w:t xml:space="preserve">The day after this instrument is registered.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18" w:space="0" w:color="auto"/>
            </w:tcBorders>
          </w:tcPr>
          <w:p w14:paraId="0CD6B4E1" w14:textId="77777777" w:rsidR="00823220" w:rsidRDefault="00823220" w:rsidP="00823220">
            <w:pPr>
              <w:pStyle w:val="subsection"/>
              <w:ind w:left="0" w:firstLine="0"/>
            </w:pPr>
          </w:p>
        </w:tc>
      </w:tr>
    </w:tbl>
    <w:bookmarkEnd w:id="4"/>
    <w:p w14:paraId="38BC824B" w14:textId="77777777" w:rsidR="007A41D1" w:rsidRPr="008F7A92" w:rsidRDefault="007A41D1" w:rsidP="007A41D1">
      <w:pPr>
        <w:pStyle w:val="subsection"/>
        <w:tabs>
          <w:tab w:val="clear" w:pos="1021"/>
          <w:tab w:val="right" w:pos="2127"/>
        </w:tabs>
        <w:spacing w:before="0"/>
        <w:ind w:left="1560" w:hanging="567"/>
        <w:rPr>
          <w:sz w:val="20"/>
        </w:rPr>
      </w:pPr>
      <w:r w:rsidRPr="008F7A92">
        <w:rPr>
          <w:sz w:val="20"/>
        </w:rPr>
        <w:t xml:space="preserve">Note: </w:t>
      </w:r>
      <w:r w:rsidRPr="008F7A92">
        <w:rPr>
          <w:sz w:val="20"/>
        </w:rPr>
        <w:tab/>
        <w:t>This table relates only to the provisions of this instrument as originally made. It will not be amended to deal with any later amendments of this instrument.</w:t>
      </w:r>
    </w:p>
    <w:p w14:paraId="32DF40FA" w14:textId="77777777" w:rsidR="007A41D1" w:rsidRDefault="007A41D1" w:rsidP="007A41D1">
      <w:pPr>
        <w:pStyle w:val="subsection"/>
        <w:numPr>
          <w:ilvl w:val="0"/>
          <w:numId w:val="26"/>
        </w:numPr>
        <w:tabs>
          <w:tab w:val="clear" w:pos="1021"/>
          <w:tab w:val="right" w:pos="1843"/>
        </w:tabs>
        <w:spacing w:after="240"/>
        <w:ind w:left="1134" w:hanging="425"/>
      </w:pPr>
      <w:r>
        <w:t>Any information in column 3 of the table is not part of this instrument. Information may be inserted in this column, or information in it may be edited, in any published version of this instrument.</w:t>
      </w:r>
    </w:p>
    <w:p w14:paraId="39CC8678" w14:textId="77777777" w:rsidR="007A41D1" w:rsidRPr="00554826" w:rsidRDefault="007A41D1" w:rsidP="007A41D1">
      <w:pPr>
        <w:pStyle w:val="ActHead5"/>
        <w:ind w:left="0" w:firstLine="0"/>
      </w:pPr>
      <w:bookmarkStart w:id="5" w:name="_Toc143876800"/>
      <w:r w:rsidRPr="00554826">
        <w:t>3  Authority</w:t>
      </w:r>
      <w:bookmarkEnd w:id="5"/>
    </w:p>
    <w:p w14:paraId="764F86A7" w14:textId="77777777" w:rsidR="007A41D1" w:rsidRDefault="007A41D1" w:rsidP="007A41D1">
      <w:pPr>
        <w:pStyle w:val="Item"/>
        <w:ind w:left="1100"/>
        <w:rPr>
          <w:i/>
        </w:rPr>
      </w:pPr>
      <w:r>
        <w:t xml:space="preserve">This instrument is made under subsection 6(2D) of the </w:t>
      </w:r>
      <w:r w:rsidRPr="00396AC3">
        <w:rPr>
          <w:i/>
        </w:rPr>
        <w:t>Telecommunications (Interception and Access) Act 1979.</w:t>
      </w:r>
    </w:p>
    <w:p w14:paraId="63EDA56F" w14:textId="77777777" w:rsidR="007A41D1" w:rsidRPr="003B5586" w:rsidRDefault="007A41D1" w:rsidP="007A41D1">
      <w:pPr>
        <w:pStyle w:val="ActHead5"/>
      </w:pPr>
      <w:bookmarkStart w:id="6" w:name="_Toc143876801"/>
      <w:proofErr w:type="gramStart"/>
      <w:r>
        <w:t>4</w:t>
      </w:r>
      <w:r w:rsidRPr="00554826">
        <w:t xml:space="preserve">  </w:t>
      </w:r>
      <w:r>
        <w:t>Repeal</w:t>
      </w:r>
      <w:bookmarkEnd w:id="6"/>
      <w:proofErr w:type="gramEnd"/>
      <w:r>
        <w:t xml:space="preserve">  </w:t>
      </w:r>
    </w:p>
    <w:p w14:paraId="2EF07B67" w14:textId="4EF82D36" w:rsidR="007A41D1" w:rsidRPr="00B776D5" w:rsidRDefault="007A41D1" w:rsidP="00823220">
      <w:pPr>
        <w:pStyle w:val="subsection"/>
        <w:tabs>
          <w:tab w:val="clear" w:pos="1021"/>
          <w:tab w:val="right" w:pos="1843"/>
        </w:tabs>
        <w:spacing w:after="240"/>
        <w:ind w:firstLine="0"/>
      </w:pPr>
      <w:r>
        <w:t xml:space="preserve">The </w:t>
      </w:r>
      <w:r w:rsidRPr="00B776D5">
        <w:rPr>
          <w:i/>
        </w:rPr>
        <w:t xml:space="preserve">Telecommunications (Interception and Access) (Emergency Services Facilities – Northern Territory) </w:t>
      </w:r>
      <w:r>
        <w:rPr>
          <w:i/>
        </w:rPr>
        <w:t xml:space="preserve">Instrument </w:t>
      </w:r>
      <w:r w:rsidRPr="00B776D5">
        <w:rPr>
          <w:i/>
        </w:rPr>
        <w:t>2013</w:t>
      </w:r>
      <w:r>
        <w:t xml:space="preserve"> made under subsection</w:t>
      </w:r>
      <w:r w:rsidR="00E14C82">
        <w:t> </w:t>
      </w:r>
      <w:r>
        <w:t xml:space="preserve">6(2D) of the </w:t>
      </w:r>
      <w:r w:rsidRPr="00B776D5">
        <w:rPr>
          <w:i/>
        </w:rPr>
        <w:t>Telecommunications (Interception and Access) Act 1979</w:t>
      </w:r>
      <w:r w:rsidRPr="00B776D5">
        <w:t xml:space="preserve"> </w:t>
      </w:r>
      <w:r>
        <w:t xml:space="preserve">is repealed. </w:t>
      </w:r>
    </w:p>
    <w:p w14:paraId="5ABADD5B" w14:textId="36C8C108" w:rsidR="007A41D1" w:rsidRPr="003B5586" w:rsidRDefault="007A41D1" w:rsidP="007A41D1">
      <w:pPr>
        <w:pStyle w:val="ActHead5"/>
      </w:pPr>
      <w:bookmarkStart w:id="7" w:name="_Toc143876802"/>
      <w:r>
        <w:t>5</w:t>
      </w:r>
      <w:r w:rsidRPr="00554826">
        <w:t xml:space="preserve">  </w:t>
      </w:r>
      <w:r w:rsidR="00823220">
        <w:t xml:space="preserve">Emergency </w:t>
      </w:r>
      <w:r w:rsidR="001348E8">
        <w:t>s</w:t>
      </w:r>
      <w:r w:rsidR="00823220">
        <w:t xml:space="preserve">ervice </w:t>
      </w:r>
      <w:r w:rsidR="001348E8">
        <w:t>f</w:t>
      </w:r>
      <w:r w:rsidR="00823220">
        <w:t>acilities</w:t>
      </w:r>
      <w:bookmarkEnd w:id="7"/>
      <w:r w:rsidR="00823220">
        <w:t xml:space="preserve"> </w:t>
      </w:r>
    </w:p>
    <w:p w14:paraId="7A69B3F1" w14:textId="75292265" w:rsidR="007A41D1" w:rsidRPr="00BE3D12" w:rsidRDefault="00913348" w:rsidP="00913348">
      <w:pPr>
        <w:pStyle w:val="Item"/>
        <w:ind w:left="1100"/>
      </w:pPr>
      <w:r w:rsidRPr="00913348">
        <w:t xml:space="preserve">For subsection 6(2D) of the </w:t>
      </w:r>
      <w:r w:rsidRPr="00913348">
        <w:rPr>
          <w:i/>
        </w:rPr>
        <w:t>Telecommunications (Interception and Access) Act 1979</w:t>
      </w:r>
      <w:r w:rsidRPr="00913348">
        <w:t xml:space="preserve">, each force or service </w:t>
      </w:r>
      <w:r w:rsidR="00823220">
        <w:t xml:space="preserve">operating the premises that have been declared to be an emergency service facility and the </w:t>
      </w:r>
      <w:r w:rsidRPr="00913348">
        <w:t xml:space="preserve">geographical region </w:t>
      </w:r>
      <w:r w:rsidR="00823220">
        <w:t xml:space="preserve">in which those premises are located is specified in the following table. </w:t>
      </w:r>
    </w:p>
    <w:p w14:paraId="3974D86C" w14:textId="15B17D1A" w:rsidR="00913348" w:rsidRPr="00823220" w:rsidRDefault="00913348" w:rsidP="00823220">
      <w:pPr>
        <w:spacing w:line="240" w:lineRule="auto"/>
        <w:rPr>
          <w:rFonts w:eastAsia="Times New Roman" w:cs="Times New Roman"/>
          <w:lang w:eastAsia="en-AU"/>
        </w:rPr>
      </w:pPr>
    </w:p>
    <w:tbl>
      <w:tblPr>
        <w:tblW w:w="0" w:type="auto"/>
        <w:tblInd w:w="42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513"/>
        <w:gridCol w:w="4764"/>
      </w:tblGrid>
      <w:tr w:rsidR="007A41D1" w14:paraId="4578A340" w14:textId="77777777" w:rsidTr="003F1B70">
        <w:tc>
          <w:tcPr>
            <w:tcW w:w="802" w:type="dxa"/>
            <w:tcBorders>
              <w:bottom w:val="single" w:sz="4" w:space="0" w:color="auto"/>
            </w:tcBorders>
          </w:tcPr>
          <w:p w14:paraId="35ECC8CE" w14:textId="77777777" w:rsidR="007A41D1" w:rsidRPr="00D3785C" w:rsidRDefault="007A41D1" w:rsidP="003F1B70">
            <w:pPr>
              <w:pStyle w:val="LDTabletext"/>
              <w:rPr>
                <w:b/>
              </w:rPr>
            </w:pPr>
            <w:r w:rsidRPr="00D3785C">
              <w:rPr>
                <w:b/>
              </w:rPr>
              <w:lastRenderedPageBreak/>
              <w:t>Item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7E05B81" w14:textId="77777777" w:rsidR="007A41D1" w:rsidRPr="00D3785C" w:rsidRDefault="007A41D1" w:rsidP="003F1B70">
            <w:pPr>
              <w:pStyle w:val="LDTabletext"/>
              <w:rPr>
                <w:b/>
              </w:rPr>
            </w:pPr>
            <w:r w:rsidRPr="00D3785C">
              <w:rPr>
                <w:b/>
              </w:rPr>
              <w:t>Name of force or service operating premises</w:t>
            </w:r>
          </w:p>
        </w:tc>
        <w:tc>
          <w:tcPr>
            <w:tcW w:w="4764" w:type="dxa"/>
            <w:tcBorders>
              <w:bottom w:val="single" w:sz="4" w:space="0" w:color="auto"/>
            </w:tcBorders>
          </w:tcPr>
          <w:p w14:paraId="55234771" w14:textId="77777777" w:rsidR="007A41D1" w:rsidRPr="00D3785C" w:rsidRDefault="007A41D1" w:rsidP="003F1B70">
            <w:pPr>
              <w:pStyle w:val="LDTabletext"/>
              <w:rPr>
                <w:b/>
              </w:rPr>
            </w:pPr>
            <w:r w:rsidRPr="00D3785C">
              <w:rPr>
                <w:b/>
              </w:rPr>
              <w:t>Geographical region of premises</w:t>
            </w:r>
          </w:p>
        </w:tc>
      </w:tr>
      <w:tr w:rsidR="007A41D1" w14:paraId="78923E7B" w14:textId="77777777" w:rsidTr="003F1B70">
        <w:tc>
          <w:tcPr>
            <w:tcW w:w="802" w:type="dxa"/>
            <w:tcBorders>
              <w:top w:val="single" w:sz="4" w:space="0" w:color="auto"/>
            </w:tcBorders>
          </w:tcPr>
          <w:p w14:paraId="401BA8FD" w14:textId="77777777" w:rsidR="007A41D1" w:rsidRDefault="007A41D1" w:rsidP="003F1B70">
            <w:pPr>
              <w:pStyle w:val="LDTabletext"/>
            </w:pPr>
            <w:r w:rsidRPr="00637BD8">
              <w:t>1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002ECA7B" w14:textId="77777777" w:rsidR="007A41D1" w:rsidRPr="007D5D01" w:rsidRDefault="007A41D1" w:rsidP="003F1B70">
            <w:pPr>
              <w:pStyle w:val="LDTabletext"/>
              <w:rPr>
                <w:highlight w:val="yellow"/>
              </w:rPr>
            </w:pPr>
            <w:r w:rsidRPr="00637BD8">
              <w:t xml:space="preserve">Police Service of the Northern Territory </w:t>
            </w:r>
          </w:p>
        </w:tc>
        <w:tc>
          <w:tcPr>
            <w:tcW w:w="4764" w:type="dxa"/>
            <w:tcBorders>
              <w:top w:val="single" w:sz="4" w:space="0" w:color="auto"/>
            </w:tcBorders>
          </w:tcPr>
          <w:p w14:paraId="1E1A789F" w14:textId="77777777" w:rsidR="007A41D1" w:rsidRPr="007D5D01" w:rsidRDefault="007A41D1" w:rsidP="003F1B70">
            <w:pPr>
              <w:pStyle w:val="LDTabletext"/>
              <w:rPr>
                <w:highlight w:val="yellow"/>
              </w:rPr>
            </w:pPr>
            <w:r w:rsidRPr="00535F96">
              <w:t xml:space="preserve">Tennant Creek </w:t>
            </w:r>
          </w:p>
        </w:tc>
      </w:tr>
      <w:tr w:rsidR="007A41D1" w14:paraId="4BD2BC31" w14:textId="77777777" w:rsidTr="003F1B70">
        <w:tc>
          <w:tcPr>
            <w:tcW w:w="802" w:type="dxa"/>
          </w:tcPr>
          <w:p w14:paraId="1D73F14B" w14:textId="77777777" w:rsidR="007A41D1" w:rsidRPr="0003585F" w:rsidRDefault="007A41D1" w:rsidP="003F1B70">
            <w:pPr>
              <w:pStyle w:val="LDTabletext"/>
            </w:pPr>
            <w:r>
              <w:t>2</w:t>
            </w:r>
          </w:p>
        </w:tc>
        <w:tc>
          <w:tcPr>
            <w:tcW w:w="2513" w:type="dxa"/>
          </w:tcPr>
          <w:p w14:paraId="03FC806C" w14:textId="77777777" w:rsidR="007A41D1" w:rsidRPr="0003585F" w:rsidRDefault="007A41D1" w:rsidP="003F1B70">
            <w:pPr>
              <w:pStyle w:val="LDTabletext"/>
            </w:pPr>
            <w:r w:rsidRPr="00637BD8">
              <w:t xml:space="preserve">Ambulance Service of the Northern Territory </w:t>
            </w:r>
          </w:p>
        </w:tc>
        <w:tc>
          <w:tcPr>
            <w:tcW w:w="4764" w:type="dxa"/>
          </w:tcPr>
          <w:p w14:paraId="08D76F3A" w14:textId="77777777" w:rsidR="007A41D1" w:rsidRPr="0003585F" w:rsidRDefault="007A41D1" w:rsidP="003F1B70">
            <w:pPr>
              <w:pStyle w:val="LDTabletext"/>
            </w:pPr>
            <w:r w:rsidRPr="00535F96">
              <w:rPr>
                <w:rFonts w:cstheme="minorHAnsi"/>
                <w:lang w:eastAsia="en-AU"/>
              </w:rPr>
              <w:t xml:space="preserve">Alice Springs </w:t>
            </w:r>
          </w:p>
        </w:tc>
      </w:tr>
      <w:tr w:rsidR="007A41D1" w14:paraId="41AC84BE" w14:textId="77777777" w:rsidTr="003F1B70">
        <w:tc>
          <w:tcPr>
            <w:tcW w:w="802" w:type="dxa"/>
          </w:tcPr>
          <w:p w14:paraId="6E8A7F83" w14:textId="77777777" w:rsidR="007A41D1" w:rsidRDefault="007A41D1" w:rsidP="003F1B70">
            <w:pPr>
              <w:pStyle w:val="LDTabletext"/>
            </w:pPr>
            <w:r>
              <w:t>3</w:t>
            </w:r>
          </w:p>
        </w:tc>
        <w:tc>
          <w:tcPr>
            <w:tcW w:w="2513" w:type="dxa"/>
          </w:tcPr>
          <w:p w14:paraId="524AAB04" w14:textId="77777777" w:rsidR="007A41D1" w:rsidRDefault="007A41D1" w:rsidP="003F1B70">
            <w:pPr>
              <w:pStyle w:val="LDTabletext"/>
            </w:pPr>
            <w:r w:rsidRPr="00637BD8">
              <w:t xml:space="preserve">Northern Territory Emergency Service </w:t>
            </w:r>
          </w:p>
        </w:tc>
        <w:tc>
          <w:tcPr>
            <w:tcW w:w="4764" w:type="dxa"/>
          </w:tcPr>
          <w:p w14:paraId="158F9DFC" w14:textId="77777777" w:rsidR="007A41D1" w:rsidRPr="00D40C08" w:rsidRDefault="007A41D1" w:rsidP="003F1B70">
            <w:pPr>
              <w:pStyle w:val="LDTabletext"/>
            </w:pPr>
            <w:r w:rsidRPr="00535F96">
              <w:rPr>
                <w:rFonts w:cstheme="minorHAnsi"/>
                <w:color w:val="000000"/>
                <w:lang w:eastAsia="en-AU"/>
              </w:rPr>
              <w:t>Berrimah</w:t>
            </w:r>
          </w:p>
        </w:tc>
      </w:tr>
      <w:tr w:rsidR="007A41D1" w14:paraId="5B003DD7" w14:textId="77777777" w:rsidTr="003F1B70">
        <w:tc>
          <w:tcPr>
            <w:tcW w:w="802" w:type="dxa"/>
          </w:tcPr>
          <w:p w14:paraId="126D4FB5" w14:textId="77777777" w:rsidR="007A41D1" w:rsidRDefault="007A41D1" w:rsidP="003F1B70">
            <w:pPr>
              <w:pStyle w:val="LDTabletext"/>
            </w:pPr>
            <w:r>
              <w:t>4</w:t>
            </w:r>
          </w:p>
        </w:tc>
        <w:tc>
          <w:tcPr>
            <w:tcW w:w="2513" w:type="dxa"/>
          </w:tcPr>
          <w:p w14:paraId="06978EB3" w14:textId="381C8FF6" w:rsidR="007A41D1" w:rsidRDefault="007A41D1" w:rsidP="003F1B70">
            <w:pPr>
              <w:pStyle w:val="LDTabletext"/>
            </w:pPr>
            <w:proofErr w:type="spellStart"/>
            <w:r w:rsidRPr="00637BD8">
              <w:t>Airservices</w:t>
            </w:r>
            <w:proofErr w:type="spellEnd"/>
            <w:r w:rsidRPr="00637BD8">
              <w:t xml:space="preserve"> Australia </w:t>
            </w:r>
            <w:r w:rsidR="008973D9">
              <w:t xml:space="preserve">      </w:t>
            </w:r>
            <w:r w:rsidRPr="00637BD8">
              <w:t>– Aviation Rescue and Firefighting Service</w:t>
            </w:r>
          </w:p>
        </w:tc>
        <w:tc>
          <w:tcPr>
            <w:tcW w:w="4764" w:type="dxa"/>
          </w:tcPr>
          <w:p w14:paraId="7F4A287D" w14:textId="77777777" w:rsidR="007A41D1" w:rsidRPr="00D40C08" w:rsidRDefault="007A41D1" w:rsidP="003F1B70">
            <w:pPr>
              <w:pStyle w:val="LDTabletext"/>
            </w:pPr>
            <w:r w:rsidRPr="00535F96">
              <w:t xml:space="preserve">Marrara </w:t>
            </w:r>
          </w:p>
        </w:tc>
      </w:tr>
      <w:tr w:rsidR="007A41D1" w14:paraId="091785DF" w14:textId="77777777" w:rsidTr="003F1B70">
        <w:tc>
          <w:tcPr>
            <w:tcW w:w="802" w:type="dxa"/>
          </w:tcPr>
          <w:p w14:paraId="335159D1" w14:textId="77777777" w:rsidR="007A41D1" w:rsidRDefault="007A41D1" w:rsidP="003F1B70">
            <w:pPr>
              <w:pStyle w:val="LDTabletext"/>
            </w:pPr>
            <w:r>
              <w:t>5</w:t>
            </w:r>
          </w:p>
        </w:tc>
        <w:tc>
          <w:tcPr>
            <w:tcW w:w="2513" w:type="dxa"/>
          </w:tcPr>
          <w:p w14:paraId="52EF724E" w14:textId="587874D8" w:rsidR="007A41D1" w:rsidRDefault="007A41D1" w:rsidP="003F1B70">
            <w:pPr>
              <w:pStyle w:val="LDTabletext"/>
            </w:pPr>
            <w:proofErr w:type="spellStart"/>
            <w:r w:rsidRPr="00637BD8">
              <w:t>Airservices</w:t>
            </w:r>
            <w:proofErr w:type="spellEnd"/>
            <w:r w:rsidRPr="00637BD8">
              <w:t xml:space="preserve"> Australia </w:t>
            </w:r>
            <w:r w:rsidR="008973D9">
              <w:t xml:space="preserve">      </w:t>
            </w:r>
            <w:r w:rsidRPr="00637BD8">
              <w:t>– Aviation Rescue and Firefighting Service</w:t>
            </w:r>
          </w:p>
        </w:tc>
        <w:tc>
          <w:tcPr>
            <w:tcW w:w="4764" w:type="dxa"/>
          </w:tcPr>
          <w:p w14:paraId="4700E9D6" w14:textId="77777777" w:rsidR="007A41D1" w:rsidRPr="00D40C08" w:rsidRDefault="007A41D1" w:rsidP="003F1B70">
            <w:pPr>
              <w:pStyle w:val="LDTabletext"/>
            </w:pPr>
            <w:r w:rsidRPr="00535F96">
              <w:t>Alice Springs</w:t>
            </w:r>
          </w:p>
        </w:tc>
      </w:tr>
      <w:tr w:rsidR="007A41D1" w14:paraId="2904FD94" w14:textId="77777777" w:rsidTr="003F1B70">
        <w:tc>
          <w:tcPr>
            <w:tcW w:w="802" w:type="dxa"/>
          </w:tcPr>
          <w:p w14:paraId="6677684B" w14:textId="77777777" w:rsidR="007A41D1" w:rsidRDefault="007A41D1" w:rsidP="003F1B70">
            <w:pPr>
              <w:pStyle w:val="LDTabletext"/>
            </w:pPr>
            <w:r w:rsidRPr="00637BD8">
              <w:t>6</w:t>
            </w:r>
          </w:p>
        </w:tc>
        <w:tc>
          <w:tcPr>
            <w:tcW w:w="2513" w:type="dxa"/>
          </w:tcPr>
          <w:p w14:paraId="0DE8EC80" w14:textId="0F59F069" w:rsidR="007A41D1" w:rsidRDefault="007A41D1" w:rsidP="003F1B70">
            <w:pPr>
              <w:pStyle w:val="LDTabletext"/>
            </w:pPr>
            <w:proofErr w:type="spellStart"/>
            <w:r w:rsidRPr="00637BD8">
              <w:t>Airservices</w:t>
            </w:r>
            <w:proofErr w:type="spellEnd"/>
            <w:r w:rsidRPr="00637BD8">
              <w:t xml:space="preserve"> Australia </w:t>
            </w:r>
            <w:r w:rsidR="008973D9">
              <w:t xml:space="preserve">      </w:t>
            </w:r>
            <w:r w:rsidRPr="00637BD8">
              <w:t>– Aviation Rescue and Firefighting Service</w:t>
            </w:r>
          </w:p>
        </w:tc>
        <w:tc>
          <w:tcPr>
            <w:tcW w:w="4764" w:type="dxa"/>
          </w:tcPr>
          <w:p w14:paraId="3BC5A984" w14:textId="77777777" w:rsidR="007A41D1" w:rsidRPr="00D40C08" w:rsidRDefault="007A41D1" w:rsidP="003F1B70">
            <w:pPr>
              <w:pStyle w:val="LDTabletext"/>
            </w:pPr>
            <w:r w:rsidRPr="00535F96">
              <w:t xml:space="preserve">Yulara </w:t>
            </w:r>
          </w:p>
        </w:tc>
      </w:tr>
    </w:tbl>
    <w:p w14:paraId="3F80DB53" w14:textId="77777777" w:rsidR="007A41D1" w:rsidRPr="001944C4" w:rsidRDefault="007A41D1" w:rsidP="007A41D1">
      <w:pPr>
        <w:pStyle w:val="LDBodytext"/>
      </w:pPr>
    </w:p>
    <w:p w14:paraId="4D6AE0B5" w14:textId="77777777" w:rsidR="007A41D1" w:rsidRDefault="007A41D1" w:rsidP="007A41D1">
      <w:pPr>
        <w:pStyle w:val="LDBodytext"/>
        <w:tabs>
          <w:tab w:val="center" w:pos="4252"/>
        </w:tabs>
      </w:pPr>
    </w:p>
    <w:p w14:paraId="539DFACC" w14:textId="77777777" w:rsidR="00C562C7" w:rsidRPr="007A41D1" w:rsidRDefault="00C562C7" w:rsidP="007A41D1"/>
    <w:sectPr w:rsidR="00C562C7" w:rsidRPr="007A41D1" w:rsidSect="000901D2">
      <w:headerReference w:type="default" r:id="rId21"/>
      <w:footerReference w:type="default" r:id="rId22"/>
      <w:footerReference w:type="first" r:id="rId23"/>
      <w:pgSz w:w="11907" w:h="16839" w:code="9"/>
      <w:pgMar w:top="1361" w:right="1701" w:bottom="1361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31F34" w14:textId="77777777" w:rsidR="00224326" w:rsidRDefault="00224326" w:rsidP="00715914">
      <w:pPr>
        <w:spacing w:line="240" w:lineRule="auto"/>
      </w:pPr>
      <w:r>
        <w:separator/>
      </w:r>
    </w:p>
    <w:p w14:paraId="68D0EED9" w14:textId="77777777" w:rsidR="00224326" w:rsidRDefault="00224326"/>
    <w:p w14:paraId="3267ED53" w14:textId="77777777" w:rsidR="00224326" w:rsidRDefault="00224326"/>
  </w:endnote>
  <w:endnote w:type="continuationSeparator" w:id="0">
    <w:p w14:paraId="522F99F3" w14:textId="77777777" w:rsidR="00224326" w:rsidRDefault="00224326" w:rsidP="00715914">
      <w:pPr>
        <w:spacing w:line="240" w:lineRule="auto"/>
      </w:pPr>
      <w:r>
        <w:continuationSeparator/>
      </w:r>
    </w:p>
    <w:p w14:paraId="0731D5AC" w14:textId="77777777" w:rsidR="00224326" w:rsidRDefault="00224326"/>
    <w:p w14:paraId="1DDEEB86" w14:textId="77777777" w:rsidR="00224326" w:rsidRDefault="00224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BCF32" w14:textId="77777777" w:rsidR="007A41D1" w:rsidRPr="00E33C1C" w:rsidRDefault="007A41D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A41D1" w14:paraId="2A9EE4B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486B3C" w14:textId="77777777" w:rsidR="007A41D1" w:rsidRDefault="007A41D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46ADDE" w14:textId="3C253772" w:rsidR="007A41D1" w:rsidRPr="004E1307" w:rsidRDefault="007A41D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890C05" w14:textId="77777777" w:rsidR="007A41D1" w:rsidRDefault="007A41D1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A41D1" w14:paraId="5E2EFA7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B95CEF" w14:textId="77777777" w:rsidR="007A41D1" w:rsidRDefault="007A41D1" w:rsidP="00A369E3">
          <w:pPr>
            <w:jc w:val="right"/>
            <w:rPr>
              <w:sz w:val="18"/>
            </w:rPr>
          </w:pPr>
        </w:p>
      </w:tc>
    </w:tr>
  </w:tbl>
  <w:p w14:paraId="4B4C7A0E" w14:textId="77777777" w:rsidR="007A41D1" w:rsidRPr="00ED79B6" w:rsidRDefault="007A41D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5B0AE" w14:textId="77777777" w:rsidR="007A41D1" w:rsidRPr="00E33C1C" w:rsidRDefault="007A41D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41D1" w14:paraId="6BC5844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E7E2BE" w14:textId="77777777" w:rsidR="007A41D1" w:rsidRDefault="007A41D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F28390" w14:textId="1FD6AD39" w:rsidR="007A41D1" w:rsidRDefault="007A41D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AE24C6" w14:textId="77777777" w:rsidR="007A41D1" w:rsidRDefault="007A41D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41D1" w14:paraId="488B030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6FF15C" w14:textId="77777777" w:rsidR="007A41D1" w:rsidRDefault="007A41D1" w:rsidP="00A369E3">
          <w:pPr>
            <w:rPr>
              <w:sz w:val="18"/>
            </w:rPr>
          </w:pPr>
        </w:p>
      </w:tc>
    </w:tr>
  </w:tbl>
  <w:p w14:paraId="17FF1A21" w14:textId="77777777" w:rsidR="007A41D1" w:rsidRPr="00ED79B6" w:rsidRDefault="007A41D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0B39A" w14:textId="77777777" w:rsidR="007A41D1" w:rsidRPr="002B0EA5" w:rsidRDefault="007A41D1" w:rsidP="00E053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A41D1" w14:paraId="613CE57F" w14:textId="77777777" w:rsidTr="00E05385">
      <w:tc>
        <w:tcPr>
          <w:tcW w:w="365" w:type="pct"/>
        </w:tcPr>
        <w:p w14:paraId="2717044C" w14:textId="77777777" w:rsidR="007A41D1" w:rsidRDefault="007A41D1" w:rsidP="00E0538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90C99EC" w14:textId="2A65AAD1" w:rsidR="007A41D1" w:rsidRDefault="007A41D1" w:rsidP="00E0538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42A70">
            <w:rPr>
              <w:i/>
              <w:noProof/>
              <w:sz w:val="18"/>
            </w:rPr>
            <w:t>Telecommunications (Interception and Access) (Emergency Service Facilities – Northern Territory)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79C30F" w14:textId="77777777" w:rsidR="007A41D1" w:rsidRDefault="007A41D1" w:rsidP="00E05385">
          <w:pPr>
            <w:spacing w:line="0" w:lineRule="atLeast"/>
            <w:jc w:val="right"/>
            <w:rPr>
              <w:sz w:val="18"/>
            </w:rPr>
          </w:pPr>
        </w:p>
      </w:tc>
    </w:tr>
    <w:tr w:rsidR="007A41D1" w14:paraId="5DAE48B8" w14:textId="77777777" w:rsidTr="00E05385">
      <w:tc>
        <w:tcPr>
          <w:tcW w:w="5000" w:type="pct"/>
          <w:gridSpan w:val="3"/>
        </w:tcPr>
        <w:p w14:paraId="783D2B2D" w14:textId="77777777" w:rsidR="007A41D1" w:rsidRDefault="007A41D1" w:rsidP="00E05385">
          <w:pPr>
            <w:jc w:val="right"/>
            <w:rPr>
              <w:sz w:val="18"/>
            </w:rPr>
          </w:pPr>
        </w:p>
      </w:tc>
    </w:tr>
  </w:tbl>
  <w:p w14:paraId="02289FED" w14:textId="77777777" w:rsidR="007A41D1" w:rsidRPr="00ED79B6" w:rsidRDefault="007A41D1" w:rsidP="00E0538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988E0" w14:textId="77777777" w:rsidR="007A41D1" w:rsidRPr="002B0EA5" w:rsidRDefault="007A41D1" w:rsidP="00E0538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A41D1" w14:paraId="0E75ECA6" w14:textId="77777777" w:rsidTr="00E05385">
      <w:tc>
        <w:tcPr>
          <w:tcW w:w="947" w:type="pct"/>
        </w:tcPr>
        <w:p w14:paraId="4414F070" w14:textId="77777777" w:rsidR="007A41D1" w:rsidRDefault="007A41D1" w:rsidP="00E0538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258C44A" w14:textId="35B16EBD" w:rsidR="007A41D1" w:rsidRDefault="007A41D1" w:rsidP="00E0538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963D2">
            <w:rPr>
              <w:i/>
              <w:noProof/>
              <w:sz w:val="18"/>
            </w:rPr>
            <w:t>Telecommunications (Interception and Access) (Emergency Service Facilities – Northern Territory)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26F2F49" w14:textId="77777777" w:rsidR="007A41D1" w:rsidRDefault="007A41D1" w:rsidP="00E0538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41D1" w14:paraId="088CA7CF" w14:textId="77777777" w:rsidTr="00E05385">
      <w:tc>
        <w:tcPr>
          <w:tcW w:w="5000" w:type="pct"/>
          <w:gridSpan w:val="3"/>
        </w:tcPr>
        <w:p w14:paraId="5D0449B6" w14:textId="77777777" w:rsidR="007A41D1" w:rsidRDefault="007A41D1" w:rsidP="00E05385">
          <w:pPr>
            <w:rPr>
              <w:sz w:val="18"/>
            </w:rPr>
          </w:pPr>
        </w:p>
      </w:tc>
    </w:tr>
  </w:tbl>
  <w:p w14:paraId="170E57C4" w14:textId="77777777" w:rsidR="007A41D1" w:rsidRPr="00ED79B6" w:rsidRDefault="007A41D1" w:rsidP="00E0538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D9B0F" w14:textId="12D6EF2D" w:rsidR="00494305" w:rsidRPr="00713207" w:rsidRDefault="00713207" w:rsidP="00494305">
    <w:pPr>
      <w:pStyle w:val="LDFooter"/>
      <w:rPr>
        <w:i/>
      </w:rPr>
    </w:pPr>
    <w:r w:rsidRPr="00713207">
      <w:rPr>
        <w:i/>
      </w:rPr>
      <w:t xml:space="preserve">Telecommunications (Interception and Access) (Emergency Service Facilities — </w:t>
    </w:r>
    <w:r w:rsidR="00D74AFB">
      <w:rPr>
        <w:i/>
      </w:rPr>
      <w:t>Northern Territory</w:t>
    </w:r>
    <w:r w:rsidRPr="00713207">
      <w:rPr>
        <w:i/>
      </w:rPr>
      <w:t>) Instrument 202</w:t>
    </w:r>
    <w:r w:rsidR="00D74AFB">
      <w:rPr>
        <w:i/>
      </w:rPr>
      <w:t>3</w:t>
    </w:r>
  </w:p>
  <w:p w14:paraId="22A268AA" w14:textId="6FE822BC" w:rsidR="00B714F2" w:rsidRPr="007C5FDD" w:rsidRDefault="00494305" w:rsidP="00494305">
    <w:pPr>
      <w:pStyle w:val="LDFooter"/>
      <w:tabs>
        <w:tab w:val="right" w:pos="9639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A1B56"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0"/>
      </w:rPr>
      <w:id w:val="-785658763"/>
      <w:docPartObj>
        <w:docPartGallery w:val="Page Numbers (Bottom of Page)"/>
        <w:docPartUnique/>
      </w:docPartObj>
    </w:sdtPr>
    <w:sdtEndPr>
      <w:rPr>
        <w:noProof/>
        <w:sz w:val="18"/>
        <w:szCs w:val="16"/>
      </w:rPr>
    </w:sdtEndPr>
    <w:sdtContent>
      <w:p w14:paraId="3A0BF1E0" w14:textId="77777777" w:rsidR="0074506B" w:rsidRPr="00713207" w:rsidRDefault="0074506B" w:rsidP="0074506B">
        <w:pPr>
          <w:pStyle w:val="LDFooter"/>
          <w:rPr>
            <w:i/>
          </w:rPr>
        </w:pPr>
        <w:r w:rsidRPr="00713207">
          <w:rPr>
            <w:i/>
          </w:rPr>
          <w:t xml:space="preserve">Telecommunications (Interception and Access) (Emergency Service Facilities — </w:t>
        </w:r>
        <w:r>
          <w:rPr>
            <w:i/>
          </w:rPr>
          <w:t>Northern Territory</w:t>
        </w:r>
        <w:r w:rsidRPr="00713207">
          <w:rPr>
            <w:i/>
          </w:rPr>
          <w:t>) Instrument 202</w:t>
        </w:r>
        <w:r>
          <w:rPr>
            <w:i/>
          </w:rPr>
          <w:t>3</w:t>
        </w:r>
      </w:p>
      <w:p w14:paraId="6F9D849D" w14:textId="795C5C97" w:rsidR="00E66563" w:rsidRPr="007A41D1" w:rsidRDefault="0074506B" w:rsidP="0074506B">
        <w:pPr>
          <w:pStyle w:val="LDFooter"/>
          <w:tabs>
            <w:tab w:val="right" w:pos="9639"/>
          </w:tabs>
        </w:pPr>
        <w:r>
          <w:tab/>
        </w: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5518C" w14:textId="77777777" w:rsidR="00224326" w:rsidRDefault="00224326" w:rsidP="00715914">
      <w:pPr>
        <w:spacing w:line="240" w:lineRule="auto"/>
      </w:pPr>
      <w:r>
        <w:separator/>
      </w:r>
    </w:p>
    <w:p w14:paraId="7F264597" w14:textId="77777777" w:rsidR="00224326" w:rsidRDefault="00224326"/>
    <w:p w14:paraId="7A48BAF9" w14:textId="77777777" w:rsidR="00224326" w:rsidRDefault="00224326"/>
  </w:footnote>
  <w:footnote w:type="continuationSeparator" w:id="0">
    <w:p w14:paraId="6B4F6674" w14:textId="77777777" w:rsidR="00224326" w:rsidRDefault="00224326" w:rsidP="00715914">
      <w:pPr>
        <w:spacing w:line="240" w:lineRule="auto"/>
      </w:pPr>
      <w:r>
        <w:continuationSeparator/>
      </w:r>
    </w:p>
    <w:p w14:paraId="601A69AC" w14:textId="77777777" w:rsidR="00224326" w:rsidRDefault="00224326"/>
    <w:p w14:paraId="7054DD4C" w14:textId="77777777" w:rsidR="00224326" w:rsidRDefault="00224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2D72" w14:textId="77777777" w:rsidR="007A41D1" w:rsidRPr="005F1388" w:rsidRDefault="007A41D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A4B85" w14:textId="77777777" w:rsidR="007A41D1" w:rsidRPr="005F1388" w:rsidRDefault="007A41D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AF9B" w14:textId="77777777" w:rsidR="007A41D1" w:rsidRPr="00ED79B6" w:rsidRDefault="007A41D1" w:rsidP="00E05385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ED3D" w14:textId="77777777" w:rsidR="007A41D1" w:rsidRPr="00ED79B6" w:rsidRDefault="007A41D1" w:rsidP="00E0538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C417" w14:textId="77777777" w:rsidR="007A41D1" w:rsidRPr="00ED79B6" w:rsidRDefault="007A41D1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3668" w14:textId="6E58154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1F54321"/>
    <w:multiLevelType w:val="hybridMultilevel"/>
    <w:tmpl w:val="DB526BDC"/>
    <w:lvl w:ilvl="0" w:tplc="9E8036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2D11C6"/>
    <w:multiLevelType w:val="hybridMultilevel"/>
    <w:tmpl w:val="DB526BDC"/>
    <w:lvl w:ilvl="0" w:tplc="9E8036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4185D"/>
    <w:multiLevelType w:val="hybridMultilevel"/>
    <w:tmpl w:val="F652709C"/>
    <w:lvl w:ilvl="0" w:tplc="63065E30">
      <w:start w:val="1"/>
      <w:numFmt w:val="decimal"/>
      <w:lvlText w:val="%1"/>
      <w:lvlJc w:val="left"/>
      <w:pPr>
        <w:ind w:left="720" w:hanging="6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0" w:hanging="360"/>
      </w:pPr>
    </w:lvl>
    <w:lvl w:ilvl="2" w:tplc="0C09001B" w:tentative="1">
      <w:start w:val="1"/>
      <w:numFmt w:val="lowerRoman"/>
      <w:lvlText w:val="%3."/>
      <w:lvlJc w:val="right"/>
      <w:pPr>
        <w:ind w:left="1870" w:hanging="180"/>
      </w:pPr>
    </w:lvl>
    <w:lvl w:ilvl="3" w:tplc="0C09000F" w:tentative="1">
      <w:start w:val="1"/>
      <w:numFmt w:val="decimal"/>
      <w:lvlText w:val="%4."/>
      <w:lvlJc w:val="left"/>
      <w:pPr>
        <w:ind w:left="2590" w:hanging="360"/>
      </w:pPr>
    </w:lvl>
    <w:lvl w:ilvl="4" w:tplc="0C090019" w:tentative="1">
      <w:start w:val="1"/>
      <w:numFmt w:val="lowerLetter"/>
      <w:lvlText w:val="%5."/>
      <w:lvlJc w:val="left"/>
      <w:pPr>
        <w:ind w:left="3310" w:hanging="360"/>
      </w:pPr>
    </w:lvl>
    <w:lvl w:ilvl="5" w:tplc="0C09001B" w:tentative="1">
      <w:start w:val="1"/>
      <w:numFmt w:val="lowerRoman"/>
      <w:lvlText w:val="%6."/>
      <w:lvlJc w:val="right"/>
      <w:pPr>
        <w:ind w:left="4030" w:hanging="180"/>
      </w:pPr>
    </w:lvl>
    <w:lvl w:ilvl="6" w:tplc="0C09000F" w:tentative="1">
      <w:start w:val="1"/>
      <w:numFmt w:val="decimal"/>
      <w:lvlText w:val="%7."/>
      <w:lvlJc w:val="left"/>
      <w:pPr>
        <w:ind w:left="4750" w:hanging="360"/>
      </w:pPr>
    </w:lvl>
    <w:lvl w:ilvl="7" w:tplc="0C090019" w:tentative="1">
      <w:start w:val="1"/>
      <w:numFmt w:val="lowerLetter"/>
      <w:lvlText w:val="%8."/>
      <w:lvlJc w:val="left"/>
      <w:pPr>
        <w:ind w:left="5470" w:hanging="360"/>
      </w:pPr>
    </w:lvl>
    <w:lvl w:ilvl="8" w:tplc="0C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6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26"/>
  </w:num>
  <w:num w:numId="14">
    <w:abstractNumId w:val="15"/>
  </w:num>
  <w:num w:numId="15">
    <w:abstractNumId w:val="13"/>
  </w:num>
  <w:num w:numId="16">
    <w:abstractNumId w:val="14"/>
  </w:num>
  <w:num w:numId="17">
    <w:abstractNumId w:val="19"/>
  </w:num>
  <w:num w:numId="18">
    <w:abstractNumId w:val="23"/>
  </w:num>
  <w:num w:numId="19">
    <w:abstractNumId w:val="10"/>
  </w:num>
  <w:num w:numId="20">
    <w:abstractNumId w:val="27"/>
  </w:num>
  <w:num w:numId="21">
    <w:abstractNumId w:val="16"/>
  </w:num>
  <w:num w:numId="22">
    <w:abstractNumId w:val="22"/>
  </w:num>
  <w:num w:numId="23">
    <w:abstractNumId w:val="24"/>
  </w:num>
  <w:num w:numId="24">
    <w:abstractNumId w:val="25"/>
  </w:num>
  <w:num w:numId="25">
    <w:abstractNumId w:val="12"/>
  </w:num>
  <w:num w:numId="26">
    <w:abstractNumId w:val="20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0B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01D2"/>
    <w:rsid w:val="000978F5"/>
    <w:rsid w:val="000A3524"/>
    <w:rsid w:val="000A3E46"/>
    <w:rsid w:val="000B14AD"/>
    <w:rsid w:val="000B15CD"/>
    <w:rsid w:val="000B35EB"/>
    <w:rsid w:val="000B3719"/>
    <w:rsid w:val="000D05EF"/>
    <w:rsid w:val="000D081D"/>
    <w:rsid w:val="000D2AB8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17854"/>
    <w:rsid w:val="001244DA"/>
    <w:rsid w:val="00132CEB"/>
    <w:rsid w:val="001339B0"/>
    <w:rsid w:val="00134429"/>
    <w:rsid w:val="001348E8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4C4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24326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1B56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E67FB"/>
    <w:rsid w:val="002F5727"/>
    <w:rsid w:val="003017A4"/>
    <w:rsid w:val="003046F9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E6F25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33C5"/>
    <w:rsid w:val="00467661"/>
    <w:rsid w:val="00472DBE"/>
    <w:rsid w:val="00474A19"/>
    <w:rsid w:val="00477830"/>
    <w:rsid w:val="00480BB0"/>
    <w:rsid w:val="00480FDB"/>
    <w:rsid w:val="00487764"/>
    <w:rsid w:val="00490D54"/>
    <w:rsid w:val="00494305"/>
    <w:rsid w:val="004951EF"/>
    <w:rsid w:val="00496F97"/>
    <w:rsid w:val="004A043A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5F96"/>
    <w:rsid w:val="00537FBC"/>
    <w:rsid w:val="00541EBC"/>
    <w:rsid w:val="00543F95"/>
    <w:rsid w:val="00544370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A7346"/>
    <w:rsid w:val="005B4067"/>
    <w:rsid w:val="005C2C89"/>
    <w:rsid w:val="005C2D26"/>
    <w:rsid w:val="005C3F41"/>
    <w:rsid w:val="005C48B1"/>
    <w:rsid w:val="005D10CE"/>
    <w:rsid w:val="005D1D92"/>
    <w:rsid w:val="005D2D09"/>
    <w:rsid w:val="00600219"/>
    <w:rsid w:val="00604F2A"/>
    <w:rsid w:val="00607C3E"/>
    <w:rsid w:val="00620076"/>
    <w:rsid w:val="006224B1"/>
    <w:rsid w:val="0062342F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978E8"/>
    <w:rsid w:val="006A154F"/>
    <w:rsid w:val="006A437B"/>
    <w:rsid w:val="006B5789"/>
    <w:rsid w:val="006C30C5"/>
    <w:rsid w:val="006C5CDD"/>
    <w:rsid w:val="006C7F8C"/>
    <w:rsid w:val="006D3CD3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3207"/>
    <w:rsid w:val="0071448F"/>
    <w:rsid w:val="00714F20"/>
    <w:rsid w:val="0071590F"/>
    <w:rsid w:val="00715914"/>
    <w:rsid w:val="00715D5E"/>
    <w:rsid w:val="007206A1"/>
    <w:rsid w:val="0072147A"/>
    <w:rsid w:val="00723791"/>
    <w:rsid w:val="00730942"/>
    <w:rsid w:val="00731E00"/>
    <w:rsid w:val="007440B7"/>
    <w:rsid w:val="0074506B"/>
    <w:rsid w:val="00745E80"/>
    <w:rsid w:val="007500C8"/>
    <w:rsid w:val="00756272"/>
    <w:rsid w:val="0075755C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41D1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137DC"/>
    <w:rsid w:val="00823220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973D9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D37D9"/>
    <w:rsid w:val="008E0027"/>
    <w:rsid w:val="008E31A1"/>
    <w:rsid w:val="008E6067"/>
    <w:rsid w:val="008F0737"/>
    <w:rsid w:val="008F3675"/>
    <w:rsid w:val="008F54E7"/>
    <w:rsid w:val="00903422"/>
    <w:rsid w:val="00905A44"/>
    <w:rsid w:val="00906CEE"/>
    <w:rsid w:val="00913348"/>
    <w:rsid w:val="00916E8D"/>
    <w:rsid w:val="009228CB"/>
    <w:rsid w:val="00923013"/>
    <w:rsid w:val="009254C3"/>
    <w:rsid w:val="00932377"/>
    <w:rsid w:val="00941236"/>
    <w:rsid w:val="009420F1"/>
    <w:rsid w:val="00942A70"/>
    <w:rsid w:val="00943FD5"/>
    <w:rsid w:val="009464C5"/>
    <w:rsid w:val="00947D5A"/>
    <w:rsid w:val="009532A5"/>
    <w:rsid w:val="009545BD"/>
    <w:rsid w:val="00964CF0"/>
    <w:rsid w:val="009713DE"/>
    <w:rsid w:val="00973DC6"/>
    <w:rsid w:val="009756B8"/>
    <w:rsid w:val="00977806"/>
    <w:rsid w:val="00982242"/>
    <w:rsid w:val="00984B37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B369E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3149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1730B"/>
    <w:rsid w:val="00C25E7F"/>
    <w:rsid w:val="00C2746F"/>
    <w:rsid w:val="00C323D6"/>
    <w:rsid w:val="00C324A0"/>
    <w:rsid w:val="00C42BF8"/>
    <w:rsid w:val="00C50043"/>
    <w:rsid w:val="00C562C7"/>
    <w:rsid w:val="00C702B2"/>
    <w:rsid w:val="00C73B6F"/>
    <w:rsid w:val="00C74C7A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4CF1"/>
    <w:rsid w:val="00D6537E"/>
    <w:rsid w:val="00D70DFB"/>
    <w:rsid w:val="00D74AFB"/>
    <w:rsid w:val="00D766DF"/>
    <w:rsid w:val="00D8206C"/>
    <w:rsid w:val="00D910DF"/>
    <w:rsid w:val="00D91F10"/>
    <w:rsid w:val="00D93DB7"/>
    <w:rsid w:val="00D963D2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E27ED"/>
    <w:rsid w:val="00DF2388"/>
    <w:rsid w:val="00E04D9B"/>
    <w:rsid w:val="00E05704"/>
    <w:rsid w:val="00E05CB5"/>
    <w:rsid w:val="00E13901"/>
    <w:rsid w:val="00E14961"/>
    <w:rsid w:val="00E14C82"/>
    <w:rsid w:val="00E23301"/>
    <w:rsid w:val="00E33196"/>
    <w:rsid w:val="00E338EF"/>
    <w:rsid w:val="00E544BB"/>
    <w:rsid w:val="00E5722B"/>
    <w:rsid w:val="00E6260D"/>
    <w:rsid w:val="00E66563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3ACE"/>
    <w:rsid w:val="00EE5E36"/>
    <w:rsid w:val="00EF2E3A"/>
    <w:rsid w:val="00F01DBD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1798"/>
    <w:rsid w:val="00FB5A08"/>
    <w:rsid w:val="00FC0830"/>
    <w:rsid w:val="00FC3B35"/>
    <w:rsid w:val="00FC695D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DFDB1D7"/>
  <w15:docId w15:val="{946AD815-69A5-44E3-8719-F516686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9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3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7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7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7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D9"/>
    <w:rPr>
      <w:rFonts w:ascii="Segoe UI" w:hAnsi="Segoe UI" w:cs="Segoe UI"/>
      <w:sz w:val="18"/>
      <w:szCs w:val="18"/>
    </w:rPr>
  </w:style>
  <w:style w:type="paragraph" w:customStyle="1" w:styleId="SignCoverPageEnd">
    <w:name w:val="SignCoverPageEnd"/>
    <w:basedOn w:val="Normal"/>
    <w:next w:val="Normal"/>
    <w:rsid w:val="007A41D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hortT">
    <w:name w:val="ShortT"/>
    <w:basedOn w:val="Normal"/>
    <w:next w:val="Normal"/>
    <w:qFormat/>
    <w:rsid w:val="007A41D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A41D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7A41D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Normal"/>
    <w:rsid w:val="007A41D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table" w:styleId="TableGrid">
    <w:name w:val="Table Grid"/>
    <w:basedOn w:val="TableNormal"/>
    <w:uiPriority w:val="59"/>
    <w:rsid w:val="007A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rsid w:val="007A41D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A41D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jasf\AppData\Local\Temp\1\Temp1_Current%20templates%20-%20MAY2021%20(002).zip\Minister%20LD%20short%20instrument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516D397-FEA1-41EC-B813-CFDB2A8746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1C14763EA0B464F9B3941689AF48961" ma:contentTypeVersion="" ma:contentTypeDescription="PDMS Document Site Content Type" ma:contentTypeScope="" ma:versionID="342724314bed0df5901d8dfed605bd1e">
  <xsd:schema xmlns:xsd="http://www.w3.org/2001/XMLSchema" xmlns:xs="http://www.w3.org/2001/XMLSchema" xmlns:p="http://schemas.microsoft.com/office/2006/metadata/properties" xmlns:ns2="1516D397-FEA1-41EC-B813-CFDB2A874618" targetNamespace="http://schemas.microsoft.com/office/2006/metadata/properties" ma:root="true" ma:fieldsID="0ef261675e2fb4ec303c2db70dc521c6" ns2:_="">
    <xsd:import namespace="1516D397-FEA1-41EC-B813-CFDB2A87461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6D397-FEA1-41EC-B813-CFDB2A87461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elements/1.1/"/>
    <ds:schemaRef ds:uri="http://purl.org/dc/terms/"/>
    <ds:schemaRef ds:uri="1516D397-FEA1-41EC-B813-CFDB2A87461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398D3B3-7496-4E5D-995C-548E5DADF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6D397-FEA1-41EC-B813-CFDB2A874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AAEE3-943B-46A7-B50A-5A01E365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 LD short instrument template 210209A</Template>
  <TotalTime>1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Therese OSBORN</dc:creator>
  <cp:lastModifiedBy>Wilson, Eliza</cp:lastModifiedBy>
  <cp:revision>2</cp:revision>
  <cp:lastPrinted>2023-08-25T07:26:00Z</cp:lastPrinted>
  <dcterms:created xsi:type="dcterms:W3CDTF">2023-10-02T23:23:00Z</dcterms:created>
  <dcterms:modified xsi:type="dcterms:W3CDTF">2023-10-02T23:23:00Z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0x010100266966F133664895A6EE3632470D45F500A1C14763EA0B464F9B3941689AF48961</vt:lpwstr>
  </property>
</Properties>
</file>