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99CC83" w14:textId="4E34CFB8" w:rsidR="00976332" w:rsidRPr="00D9085C" w:rsidRDefault="00C848E8" w:rsidP="00211C6D">
      <w:pPr>
        <w:pStyle w:val="Heading"/>
        <w:spacing w:before="120"/>
        <w:jc w:val="center"/>
        <w:rPr>
          <w:rFonts w:ascii="Times New Roman" w:hAnsi="Times New Roman"/>
          <w:sz w:val="24"/>
          <w:szCs w:val="24"/>
        </w:rPr>
      </w:pPr>
      <w:r w:rsidRPr="00D9085C">
        <w:rPr>
          <w:rFonts w:ascii="Times New Roman" w:hAnsi="Times New Roman"/>
          <w:sz w:val="24"/>
          <w:szCs w:val="24"/>
        </w:rPr>
        <w:t xml:space="preserve">Banking, Insurance, Life Insurance, Health Insurance and Superannuation (prudential standard) </w:t>
      </w:r>
      <w:r w:rsidR="00976332" w:rsidRPr="00D9085C">
        <w:rPr>
          <w:rFonts w:ascii="Times New Roman" w:hAnsi="Times New Roman"/>
          <w:sz w:val="24"/>
          <w:szCs w:val="24"/>
        </w:rPr>
        <w:t xml:space="preserve">determination No. </w:t>
      </w:r>
      <w:r w:rsidR="00E7452A">
        <w:rPr>
          <w:rFonts w:ascii="Times New Roman" w:hAnsi="Times New Roman"/>
          <w:sz w:val="24"/>
          <w:szCs w:val="24"/>
        </w:rPr>
        <w:t>3</w:t>
      </w:r>
      <w:r w:rsidR="00976332" w:rsidRPr="00D9085C">
        <w:rPr>
          <w:rFonts w:ascii="Times New Roman" w:hAnsi="Times New Roman"/>
          <w:sz w:val="24"/>
          <w:szCs w:val="24"/>
        </w:rPr>
        <w:t xml:space="preserve"> of 202</w:t>
      </w:r>
      <w:r w:rsidR="00E7452A">
        <w:rPr>
          <w:rFonts w:ascii="Times New Roman" w:hAnsi="Times New Roman"/>
          <w:sz w:val="24"/>
          <w:szCs w:val="24"/>
        </w:rPr>
        <w:t>3</w:t>
      </w:r>
    </w:p>
    <w:p w14:paraId="4247969B" w14:textId="77777777" w:rsidR="00976332" w:rsidRPr="00D9085C" w:rsidRDefault="00976332">
      <w:pPr>
        <w:pStyle w:val="Heading"/>
        <w:tabs>
          <w:tab w:val="left" w:pos="360"/>
        </w:tabs>
        <w:spacing w:before="120"/>
        <w:jc w:val="center"/>
        <w:rPr>
          <w:rFonts w:ascii="Times New Roman" w:hAnsi="Times New Roman"/>
          <w:sz w:val="24"/>
          <w:szCs w:val="24"/>
          <w:u w:val="single"/>
        </w:rPr>
      </w:pPr>
      <w:bookmarkStart w:id="0" w:name="bkInstrumentSubTitle"/>
      <w:bookmarkStart w:id="1" w:name="_Hlk83890998"/>
      <w:bookmarkEnd w:id="0"/>
      <w:r w:rsidRPr="00D9085C">
        <w:rPr>
          <w:rFonts w:ascii="Times New Roman" w:hAnsi="Times New Roman"/>
          <w:sz w:val="24"/>
          <w:szCs w:val="24"/>
          <w:u w:val="single"/>
        </w:rPr>
        <w:t>EXPLANATORY STATEMENT</w:t>
      </w:r>
    </w:p>
    <w:bookmarkEnd w:id="1"/>
    <w:p w14:paraId="338D0C41" w14:textId="77777777" w:rsidR="005E06E9" w:rsidRPr="00D9085C" w:rsidRDefault="005E06E9">
      <w:pPr>
        <w:pStyle w:val="Heading"/>
        <w:spacing w:before="120"/>
        <w:jc w:val="center"/>
        <w:rPr>
          <w:rFonts w:ascii="Times New Roman" w:hAnsi="Times New Roman"/>
          <w:sz w:val="24"/>
          <w:szCs w:val="24"/>
        </w:rPr>
      </w:pPr>
      <w:r w:rsidRPr="00D9085C">
        <w:rPr>
          <w:rFonts w:ascii="Times New Roman" w:hAnsi="Times New Roman"/>
          <w:sz w:val="24"/>
          <w:szCs w:val="24"/>
        </w:rPr>
        <w:t>Prepared by the Australian Prudential Regulation Authority (APRA)</w:t>
      </w:r>
    </w:p>
    <w:p w14:paraId="5B51E694" w14:textId="77777777" w:rsidR="005E06E9" w:rsidRPr="00D9085C" w:rsidRDefault="005E06E9">
      <w:pPr>
        <w:pStyle w:val="Heading"/>
        <w:tabs>
          <w:tab w:val="left" w:pos="360"/>
        </w:tabs>
        <w:spacing w:before="120"/>
        <w:jc w:val="center"/>
        <w:rPr>
          <w:rFonts w:ascii="Times New Roman" w:hAnsi="Times New Roman"/>
          <w:b w:val="0"/>
          <w:i/>
          <w:sz w:val="24"/>
          <w:szCs w:val="24"/>
        </w:rPr>
      </w:pPr>
      <w:r w:rsidRPr="00D9085C">
        <w:rPr>
          <w:rFonts w:ascii="Times New Roman" w:hAnsi="Times New Roman"/>
          <w:b w:val="0"/>
          <w:i/>
          <w:sz w:val="24"/>
          <w:szCs w:val="24"/>
        </w:rPr>
        <w:t xml:space="preserve">Banking Act 1959, </w:t>
      </w:r>
      <w:r w:rsidRPr="00D9085C">
        <w:rPr>
          <w:rFonts w:ascii="Times New Roman" w:hAnsi="Times New Roman"/>
          <w:b w:val="0"/>
          <w:sz w:val="24"/>
          <w:szCs w:val="24"/>
        </w:rPr>
        <w:t>section 11AF</w:t>
      </w:r>
    </w:p>
    <w:p w14:paraId="72671A69" w14:textId="77777777" w:rsidR="005E06E9" w:rsidRPr="00D9085C" w:rsidRDefault="005E06E9">
      <w:pPr>
        <w:pStyle w:val="Heading"/>
        <w:tabs>
          <w:tab w:val="left" w:pos="360"/>
        </w:tabs>
        <w:spacing w:before="120"/>
        <w:jc w:val="center"/>
        <w:rPr>
          <w:rFonts w:ascii="Times New Roman" w:hAnsi="Times New Roman"/>
          <w:b w:val="0"/>
          <w:i/>
          <w:sz w:val="24"/>
          <w:szCs w:val="24"/>
        </w:rPr>
      </w:pPr>
      <w:r w:rsidRPr="00D9085C">
        <w:rPr>
          <w:rFonts w:ascii="Times New Roman" w:hAnsi="Times New Roman"/>
          <w:b w:val="0"/>
          <w:i/>
          <w:sz w:val="24"/>
          <w:szCs w:val="24"/>
        </w:rPr>
        <w:t xml:space="preserve">Insurance Act 1973, </w:t>
      </w:r>
      <w:r w:rsidRPr="00D9085C">
        <w:rPr>
          <w:rFonts w:ascii="Times New Roman" w:hAnsi="Times New Roman"/>
          <w:b w:val="0"/>
          <w:sz w:val="24"/>
          <w:szCs w:val="24"/>
        </w:rPr>
        <w:t>section 32</w:t>
      </w:r>
    </w:p>
    <w:p w14:paraId="3EE951E2" w14:textId="5F23C44F" w:rsidR="005E06E9" w:rsidRPr="00D9085C" w:rsidRDefault="005E06E9">
      <w:pPr>
        <w:pStyle w:val="Heading"/>
        <w:tabs>
          <w:tab w:val="left" w:pos="360"/>
        </w:tabs>
        <w:spacing w:before="120"/>
        <w:jc w:val="center"/>
      </w:pPr>
      <w:r w:rsidRPr="00D9085C">
        <w:rPr>
          <w:rFonts w:ascii="Times New Roman" w:hAnsi="Times New Roman"/>
          <w:b w:val="0"/>
          <w:i/>
          <w:sz w:val="24"/>
          <w:szCs w:val="24"/>
        </w:rPr>
        <w:t xml:space="preserve">Life Insurance Act 1995, </w:t>
      </w:r>
      <w:r w:rsidRPr="00D9085C">
        <w:rPr>
          <w:rFonts w:ascii="Times New Roman" w:hAnsi="Times New Roman"/>
          <w:b w:val="0"/>
          <w:sz w:val="24"/>
          <w:szCs w:val="24"/>
        </w:rPr>
        <w:t>section 230A</w:t>
      </w:r>
    </w:p>
    <w:p w14:paraId="0F869EDC" w14:textId="44AD141C" w:rsidR="005E06E9" w:rsidRPr="00D9085C" w:rsidRDefault="005E06E9">
      <w:pPr>
        <w:pStyle w:val="Heading"/>
        <w:tabs>
          <w:tab w:val="left" w:pos="360"/>
        </w:tabs>
        <w:spacing w:before="120"/>
        <w:jc w:val="center"/>
        <w:rPr>
          <w:rFonts w:ascii="Times New Roman" w:hAnsi="Times New Roman"/>
          <w:b w:val="0"/>
          <w:i/>
          <w:sz w:val="24"/>
          <w:szCs w:val="24"/>
        </w:rPr>
      </w:pPr>
      <w:r w:rsidRPr="00D9085C">
        <w:rPr>
          <w:rFonts w:ascii="Times New Roman" w:hAnsi="Times New Roman"/>
          <w:b w:val="0"/>
          <w:i/>
          <w:sz w:val="24"/>
          <w:szCs w:val="24"/>
        </w:rPr>
        <w:t xml:space="preserve">Private Health Insurance (Prudential Supervision) Act 2015, </w:t>
      </w:r>
      <w:r w:rsidRPr="00D9085C">
        <w:rPr>
          <w:rFonts w:ascii="Times New Roman" w:hAnsi="Times New Roman"/>
          <w:b w:val="0"/>
          <w:sz w:val="24"/>
          <w:szCs w:val="24"/>
        </w:rPr>
        <w:t>section 92</w:t>
      </w:r>
    </w:p>
    <w:p w14:paraId="797ECF87" w14:textId="77777777" w:rsidR="005E06E9" w:rsidRPr="00D9085C" w:rsidRDefault="005E06E9">
      <w:pPr>
        <w:pStyle w:val="Heading"/>
        <w:tabs>
          <w:tab w:val="left" w:pos="360"/>
        </w:tabs>
        <w:spacing w:before="120"/>
        <w:jc w:val="center"/>
        <w:rPr>
          <w:rFonts w:ascii="Times New Roman" w:hAnsi="Times New Roman"/>
          <w:b w:val="0"/>
          <w:i/>
          <w:sz w:val="24"/>
          <w:szCs w:val="24"/>
        </w:rPr>
      </w:pPr>
      <w:r w:rsidRPr="00D9085C">
        <w:rPr>
          <w:rFonts w:ascii="Times New Roman" w:hAnsi="Times New Roman"/>
          <w:b w:val="0"/>
          <w:i/>
          <w:sz w:val="24"/>
          <w:szCs w:val="24"/>
        </w:rPr>
        <w:t xml:space="preserve">Superannuation Industry (Supervision) Act 1993, </w:t>
      </w:r>
      <w:r w:rsidRPr="00D9085C">
        <w:rPr>
          <w:rFonts w:ascii="Times New Roman" w:hAnsi="Times New Roman"/>
          <w:b w:val="0"/>
          <w:sz w:val="24"/>
          <w:szCs w:val="24"/>
        </w:rPr>
        <w:t>section 34C</w:t>
      </w:r>
    </w:p>
    <w:p w14:paraId="60242B30" w14:textId="77777777" w:rsidR="005E06E9" w:rsidRPr="00D9085C" w:rsidRDefault="005E06E9" w:rsidP="00165C5D">
      <w:pPr>
        <w:jc w:val="both"/>
        <w:rPr>
          <w:rFonts w:ascii="Times New Roman" w:hAnsi="Times New Roman" w:cs="Times New Roman"/>
          <w:sz w:val="24"/>
          <w:szCs w:val="24"/>
        </w:rPr>
      </w:pPr>
    </w:p>
    <w:p w14:paraId="0FF6055F" w14:textId="435E74E3" w:rsidR="008B0EB8" w:rsidRPr="00D9085C" w:rsidRDefault="008B0EB8" w:rsidP="00165C5D">
      <w:pPr>
        <w:jc w:val="both"/>
        <w:rPr>
          <w:rFonts w:ascii="Times New Roman" w:hAnsi="Times New Roman" w:cs="Times New Roman"/>
          <w:sz w:val="24"/>
          <w:szCs w:val="24"/>
        </w:rPr>
      </w:pPr>
      <w:r w:rsidRPr="00D9085C">
        <w:rPr>
          <w:rFonts w:ascii="Times New Roman" w:hAnsi="Times New Roman" w:cs="Times New Roman"/>
          <w:sz w:val="24"/>
          <w:szCs w:val="24"/>
        </w:rPr>
        <w:t>APRA may, in writing, determine</w:t>
      </w:r>
      <w:r w:rsidR="00152278">
        <w:rPr>
          <w:rFonts w:ascii="Times New Roman" w:hAnsi="Times New Roman" w:cs="Times New Roman"/>
          <w:sz w:val="24"/>
          <w:szCs w:val="24"/>
        </w:rPr>
        <w:t xml:space="preserve">, </w:t>
      </w:r>
      <w:proofErr w:type="gramStart"/>
      <w:r w:rsidR="00152278">
        <w:rPr>
          <w:rFonts w:ascii="Times New Roman" w:hAnsi="Times New Roman" w:cs="Times New Roman"/>
          <w:sz w:val="24"/>
          <w:szCs w:val="24"/>
        </w:rPr>
        <w:t>vary</w:t>
      </w:r>
      <w:proofErr w:type="gramEnd"/>
      <w:r w:rsidR="00152278">
        <w:rPr>
          <w:rFonts w:ascii="Times New Roman" w:hAnsi="Times New Roman" w:cs="Times New Roman"/>
          <w:sz w:val="24"/>
          <w:szCs w:val="24"/>
        </w:rPr>
        <w:t xml:space="preserve"> </w:t>
      </w:r>
      <w:r w:rsidR="00F8197D">
        <w:rPr>
          <w:rFonts w:ascii="Times New Roman" w:hAnsi="Times New Roman" w:cs="Times New Roman"/>
          <w:sz w:val="24"/>
          <w:szCs w:val="24"/>
        </w:rPr>
        <w:t>or revoke</w:t>
      </w:r>
      <w:r w:rsidRPr="00D9085C">
        <w:rPr>
          <w:rFonts w:ascii="Times New Roman" w:hAnsi="Times New Roman" w:cs="Times New Roman"/>
          <w:sz w:val="24"/>
          <w:szCs w:val="24"/>
        </w:rPr>
        <w:t xml:space="preserve"> a prudential standard that applies to an APRA-regulated entity under:</w:t>
      </w:r>
    </w:p>
    <w:p w14:paraId="58DA7560" w14:textId="36A15E5E" w:rsidR="008B0EB8" w:rsidRPr="00D9085C" w:rsidRDefault="008B0EB8" w:rsidP="00777743">
      <w:pPr>
        <w:pStyle w:val="ListParagraph"/>
        <w:numPr>
          <w:ilvl w:val="0"/>
          <w:numId w:val="24"/>
        </w:numPr>
        <w:ind w:left="851" w:hanging="567"/>
        <w:contextualSpacing w:val="0"/>
        <w:jc w:val="both"/>
        <w:rPr>
          <w:rFonts w:ascii="Times New Roman" w:hAnsi="Times New Roman" w:cs="Times New Roman"/>
          <w:sz w:val="24"/>
          <w:szCs w:val="24"/>
        </w:rPr>
      </w:pPr>
      <w:r w:rsidRPr="00D9085C">
        <w:rPr>
          <w:rFonts w:ascii="Times New Roman" w:hAnsi="Times New Roman" w:cs="Times New Roman"/>
          <w:sz w:val="24"/>
          <w:szCs w:val="24"/>
        </w:rPr>
        <w:t>subsection</w:t>
      </w:r>
      <w:r w:rsidR="00F8197D">
        <w:rPr>
          <w:rFonts w:ascii="Times New Roman" w:hAnsi="Times New Roman" w:cs="Times New Roman"/>
          <w:sz w:val="24"/>
          <w:szCs w:val="24"/>
        </w:rPr>
        <w:t>s</w:t>
      </w:r>
      <w:r w:rsidRPr="00D9085C">
        <w:rPr>
          <w:rFonts w:ascii="Times New Roman" w:hAnsi="Times New Roman" w:cs="Times New Roman"/>
          <w:sz w:val="24"/>
          <w:szCs w:val="24"/>
        </w:rPr>
        <w:t xml:space="preserve"> 11AF(1) </w:t>
      </w:r>
      <w:r w:rsidR="00F8197D">
        <w:rPr>
          <w:rFonts w:ascii="Times New Roman" w:hAnsi="Times New Roman" w:cs="Times New Roman"/>
          <w:sz w:val="24"/>
          <w:szCs w:val="24"/>
        </w:rPr>
        <w:t>and (3)</w:t>
      </w:r>
      <w:r w:rsidRPr="00D9085C">
        <w:rPr>
          <w:rFonts w:ascii="Times New Roman" w:hAnsi="Times New Roman" w:cs="Times New Roman"/>
          <w:sz w:val="24"/>
          <w:szCs w:val="24"/>
        </w:rPr>
        <w:t xml:space="preserve"> of the </w:t>
      </w:r>
      <w:r w:rsidRPr="00D9085C">
        <w:rPr>
          <w:rFonts w:ascii="Times New Roman" w:hAnsi="Times New Roman" w:cs="Times New Roman"/>
          <w:i/>
          <w:sz w:val="24"/>
          <w:szCs w:val="24"/>
        </w:rPr>
        <w:t>Banking Act 1959</w:t>
      </w:r>
      <w:r w:rsidRPr="00D9085C">
        <w:rPr>
          <w:rFonts w:ascii="Times New Roman" w:hAnsi="Times New Roman" w:cs="Times New Roman"/>
          <w:sz w:val="24"/>
          <w:szCs w:val="24"/>
        </w:rPr>
        <w:t xml:space="preserve"> (Banking Act), </w:t>
      </w:r>
      <w:r w:rsidR="0019780E">
        <w:rPr>
          <w:rFonts w:ascii="Times New Roman" w:hAnsi="Times New Roman" w:cs="Times New Roman"/>
          <w:sz w:val="24"/>
          <w:szCs w:val="24"/>
        </w:rPr>
        <w:t>in relation</w:t>
      </w:r>
      <w:r w:rsidR="005242B6" w:rsidRPr="00D9085C">
        <w:rPr>
          <w:rFonts w:ascii="Times New Roman" w:hAnsi="Times New Roman" w:cs="Times New Roman"/>
          <w:sz w:val="24"/>
          <w:szCs w:val="24"/>
        </w:rPr>
        <w:t xml:space="preserve"> to authorised deposit-taking institutions (ADIs) and authorised non-operating holding companies (authorised banking NOHCs)</w:t>
      </w:r>
      <w:r w:rsidRPr="00D9085C">
        <w:rPr>
          <w:rFonts w:ascii="Times New Roman" w:hAnsi="Times New Roman" w:cs="Times New Roman"/>
          <w:sz w:val="24"/>
          <w:szCs w:val="24"/>
        </w:rPr>
        <w:t>;</w:t>
      </w:r>
    </w:p>
    <w:p w14:paraId="54EA7204" w14:textId="25B9A3E2" w:rsidR="008B0EB8" w:rsidRPr="00D9085C" w:rsidRDefault="008B0EB8" w:rsidP="00777743">
      <w:pPr>
        <w:pStyle w:val="ListParagraph"/>
        <w:numPr>
          <w:ilvl w:val="0"/>
          <w:numId w:val="24"/>
        </w:numPr>
        <w:ind w:left="851" w:hanging="567"/>
        <w:contextualSpacing w:val="0"/>
        <w:jc w:val="both"/>
        <w:rPr>
          <w:rFonts w:ascii="Times New Roman" w:hAnsi="Times New Roman" w:cs="Times New Roman"/>
          <w:sz w:val="24"/>
          <w:szCs w:val="24"/>
        </w:rPr>
      </w:pPr>
      <w:r w:rsidRPr="00D9085C">
        <w:rPr>
          <w:rFonts w:ascii="Times New Roman" w:hAnsi="Times New Roman" w:cs="Times New Roman"/>
          <w:sz w:val="24"/>
          <w:szCs w:val="24"/>
        </w:rPr>
        <w:t>subsection</w:t>
      </w:r>
      <w:r w:rsidR="000D6402">
        <w:rPr>
          <w:rFonts w:ascii="Times New Roman" w:hAnsi="Times New Roman" w:cs="Times New Roman"/>
          <w:sz w:val="24"/>
          <w:szCs w:val="24"/>
        </w:rPr>
        <w:t>s</w:t>
      </w:r>
      <w:r w:rsidRPr="00D9085C">
        <w:rPr>
          <w:rFonts w:ascii="Times New Roman" w:hAnsi="Times New Roman" w:cs="Times New Roman"/>
          <w:sz w:val="24"/>
          <w:szCs w:val="24"/>
        </w:rPr>
        <w:t xml:space="preserve"> 32(1) </w:t>
      </w:r>
      <w:r w:rsidR="000D6402">
        <w:rPr>
          <w:rFonts w:ascii="Times New Roman" w:hAnsi="Times New Roman" w:cs="Times New Roman"/>
          <w:sz w:val="24"/>
          <w:szCs w:val="24"/>
        </w:rPr>
        <w:t>and (4)</w:t>
      </w:r>
      <w:r w:rsidRPr="00D9085C">
        <w:rPr>
          <w:rFonts w:ascii="Times New Roman" w:hAnsi="Times New Roman" w:cs="Times New Roman"/>
          <w:sz w:val="24"/>
          <w:szCs w:val="24"/>
        </w:rPr>
        <w:t xml:space="preserve"> of the </w:t>
      </w:r>
      <w:r w:rsidRPr="00D9085C">
        <w:rPr>
          <w:rFonts w:ascii="Times New Roman" w:hAnsi="Times New Roman" w:cs="Times New Roman"/>
          <w:i/>
          <w:sz w:val="24"/>
          <w:szCs w:val="24"/>
        </w:rPr>
        <w:t>Insurance Act 1973</w:t>
      </w:r>
      <w:r w:rsidRPr="00D9085C">
        <w:rPr>
          <w:rFonts w:ascii="Times New Roman" w:hAnsi="Times New Roman" w:cs="Times New Roman"/>
          <w:sz w:val="24"/>
          <w:szCs w:val="24"/>
        </w:rPr>
        <w:t xml:space="preserve"> (Insurance Act), </w:t>
      </w:r>
      <w:r w:rsidR="000D6402">
        <w:rPr>
          <w:rFonts w:ascii="Times New Roman" w:hAnsi="Times New Roman" w:cs="Times New Roman"/>
          <w:sz w:val="24"/>
          <w:szCs w:val="24"/>
        </w:rPr>
        <w:t>in relation</w:t>
      </w:r>
      <w:r w:rsidR="005242B6" w:rsidRPr="00D9085C">
        <w:rPr>
          <w:rFonts w:ascii="Times New Roman" w:hAnsi="Times New Roman" w:cs="Times New Roman"/>
          <w:sz w:val="24"/>
          <w:szCs w:val="24"/>
        </w:rPr>
        <w:t xml:space="preserve"> to general insurers</w:t>
      </w:r>
      <w:r w:rsidR="00EE3E7A">
        <w:rPr>
          <w:rFonts w:ascii="Times New Roman" w:hAnsi="Times New Roman" w:cs="Times New Roman"/>
          <w:sz w:val="24"/>
          <w:szCs w:val="24"/>
        </w:rPr>
        <w:t>,</w:t>
      </w:r>
      <w:r w:rsidR="005242B6" w:rsidRPr="00D9085C">
        <w:rPr>
          <w:rFonts w:ascii="Times New Roman" w:hAnsi="Times New Roman" w:cs="Times New Roman"/>
          <w:sz w:val="24"/>
          <w:szCs w:val="24"/>
        </w:rPr>
        <w:t xml:space="preserve"> authorised non-operating holding companies (authorised </w:t>
      </w:r>
      <w:r w:rsidR="00560DCF" w:rsidRPr="00D9085C">
        <w:rPr>
          <w:rFonts w:ascii="Times New Roman" w:hAnsi="Times New Roman" w:cs="Times New Roman"/>
          <w:sz w:val="24"/>
          <w:szCs w:val="24"/>
        </w:rPr>
        <w:t xml:space="preserve">insurance </w:t>
      </w:r>
      <w:r w:rsidR="005242B6" w:rsidRPr="00D9085C">
        <w:rPr>
          <w:rFonts w:ascii="Times New Roman" w:hAnsi="Times New Roman" w:cs="Times New Roman"/>
          <w:sz w:val="24"/>
          <w:szCs w:val="24"/>
        </w:rPr>
        <w:t xml:space="preserve">NOHCs) </w:t>
      </w:r>
      <w:r w:rsidR="005242B6" w:rsidRPr="00F162BB">
        <w:rPr>
          <w:rFonts w:ascii="Times New Roman" w:hAnsi="Times New Roman"/>
          <w:sz w:val="24"/>
        </w:rPr>
        <w:t>and subsidiaries of general insurers and authorised insurance NOHCs</w:t>
      </w:r>
      <w:r w:rsidRPr="00D9085C">
        <w:rPr>
          <w:rFonts w:ascii="Times New Roman" w:hAnsi="Times New Roman" w:cs="Times New Roman"/>
          <w:sz w:val="24"/>
          <w:szCs w:val="24"/>
        </w:rPr>
        <w:t>;</w:t>
      </w:r>
    </w:p>
    <w:p w14:paraId="3E5B9724" w14:textId="22BEBAA8" w:rsidR="008B0EB8" w:rsidRPr="00D9085C" w:rsidRDefault="008B0EB8" w:rsidP="00777743">
      <w:pPr>
        <w:pStyle w:val="ListParagraph"/>
        <w:numPr>
          <w:ilvl w:val="0"/>
          <w:numId w:val="24"/>
        </w:numPr>
        <w:ind w:left="851" w:hanging="567"/>
        <w:contextualSpacing w:val="0"/>
        <w:jc w:val="both"/>
        <w:rPr>
          <w:rFonts w:ascii="Times New Roman" w:hAnsi="Times New Roman" w:cs="Times New Roman"/>
          <w:sz w:val="24"/>
          <w:szCs w:val="24"/>
        </w:rPr>
      </w:pPr>
      <w:r w:rsidRPr="00D9085C">
        <w:rPr>
          <w:rFonts w:ascii="Times New Roman" w:hAnsi="Times New Roman" w:cs="Times New Roman"/>
          <w:sz w:val="24"/>
          <w:szCs w:val="24"/>
        </w:rPr>
        <w:t>subsection</w:t>
      </w:r>
      <w:r w:rsidR="00397FC3">
        <w:rPr>
          <w:rFonts w:ascii="Times New Roman" w:hAnsi="Times New Roman" w:cs="Times New Roman"/>
          <w:sz w:val="24"/>
          <w:szCs w:val="24"/>
        </w:rPr>
        <w:t>s</w:t>
      </w:r>
      <w:r w:rsidRPr="00D9085C">
        <w:rPr>
          <w:rFonts w:ascii="Times New Roman" w:hAnsi="Times New Roman" w:cs="Times New Roman"/>
          <w:sz w:val="24"/>
          <w:szCs w:val="24"/>
        </w:rPr>
        <w:t xml:space="preserve"> 230A(1) </w:t>
      </w:r>
      <w:r w:rsidR="00397FC3">
        <w:rPr>
          <w:rFonts w:ascii="Times New Roman" w:hAnsi="Times New Roman" w:cs="Times New Roman"/>
          <w:sz w:val="24"/>
          <w:szCs w:val="24"/>
        </w:rPr>
        <w:t>and (5)</w:t>
      </w:r>
      <w:r w:rsidRPr="00D9085C">
        <w:rPr>
          <w:rFonts w:ascii="Times New Roman" w:hAnsi="Times New Roman" w:cs="Times New Roman"/>
          <w:sz w:val="24"/>
          <w:szCs w:val="24"/>
        </w:rPr>
        <w:t xml:space="preserve"> of the </w:t>
      </w:r>
      <w:r w:rsidRPr="00D9085C">
        <w:rPr>
          <w:rFonts w:ascii="Times New Roman" w:hAnsi="Times New Roman" w:cs="Times New Roman"/>
          <w:i/>
          <w:sz w:val="24"/>
          <w:szCs w:val="24"/>
        </w:rPr>
        <w:t>Life Insurance Act 1995</w:t>
      </w:r>
      <w:r w:rsidRPr="00D9085C">
        <w:rPr>
          <w:rFonts w:ascii="Times New Roman" w:hAnsi="Times New Roman" w:cs="Times New Roman"/>
          <w:sz w:val="24"/>
          <w:szCs w:val="24"/>
        </w:rPr>
        <w:t xml:space="preserve"> (Life Insurance Act), </w:t>
      </w:r>
      <w:r w:rsidR="00E90394">
        <w:rPr>
          <w:rFonts w:ascii="Times New Roman" w:hAnsi="Times New Roman" w:cs="Times New Roman"/>
          <w:sz w:val="24"/>
          <w:szCs w:val="24"/>
        </w:rPr>
        <w:t>in relation</w:t>
      </w:r>
      <w:r w:rsidR="005242B6" w:rsidRPr="00D9085C">
        <w:rPr>
          <w:rFonts w:ascii="Times New Roman" w:hAnsi="Times New Roman" w:cs="Times New Roman"/>
          <w:sz w:val="24"/>
          <w:szCs w:val="24"/>
        </w:rPr>
        <w:t xml:space="preserve"> to life companies, friendly societies and registered life non-operating holding companies (registered life NOHCs)</w:t>
      </w:r>
      <w:r w:rsidRPr="00D9085C">
        <w:rPr>
          <w:rFonts w:ascii="Times New Roman" w:hAnsi="Times New Roman" w:cs="Times New Roman"/>
          <w:sz w:val="24"/>
          <w:szCs w:val="24"/>
        </w:rPr>
        <w:t xml:space="preserve">; </w:t>
      </w:r>
    </w:p>
    <w:p w14:paraId="08504680" w14:textId="78B842E8" w:rsidR="008B0EB8" w:rsidRPr="00D9085C" w:rsidRDefault="008B0EB8" w:rsidP="00777743">
      <w:pPr>
        <w:pStyle w:val="ListParagraph"/>
        <w:numPr>
          <w:ilvl w:val="0"/>
          <w:numId w:val="24"/>
        </w:numPr>
        <w:ind w:left="851" w:hanging="567"/>
        <w:contextualSpacing w:val="0"/>
        <w:jc w:val="both"/>
        <w:rPr>
          <w:rFonts w:ascii="Times New Roman" w:hAnsi="Times New Roman" w:cs="Times New Roman"/>
          <w:sz w:val="24"/>
          <w:szCs w:val="24"/>
        </w:rPr>
      </w:pPr>
      <w:r w:rsidRPr="00D9085C">
        <w:rPr>
          <w:rFonts w:ascii="Times New Roman" w:hAnsi="Times New Roman" w:cs="Times New Roman"/>
          <w:sz w:val="24"/>
          <w:szCs w:val="24"/>
        </w:rPr>
        <w:t xml:space="preserve">subsections 92(1) </w:t>
      </w:r>
      <w:r w:rsidR="00A63DF7">
        <w:rPr>
          <w:rFonts w:ascii="Times New Roman" w:hAnsi="Times New Roman" w:cs="Times New Roman"/>
          <w:sz w:val="24"/>
          <w:szCs w:val="24"/>
        </w:rPr>
        <w:t>and (5)</w:t>
      </w:r>
      <w:r w:rsidRPr="00D9085C">
        <w:rPr>
          <w:rFonts w:ascii="Times New Roman" w:hAnsi="Times New Roman" w:cs="Times New Roman"/>
          <w:sz w:val="24"/>
          <w:szCs w:val="24"/>
        </w:rPr>
        <w:t xml:space="preserve"> of the </w:t>
      </w:r>
      <w:r w:rsidRPr="00D9085C">
        <w:rPr>
          <w:rFonts w:ascii="Times New Roman" w:hAnsi="Times New Roman" w:cs="Times New Roman"/>
          <w:i/>
          <w:sz w:val="24"/>
          <w:szCs w:val="24"/>
        </w:rPr>
        <w:t>Private Health Insurance (Prudential Supervision) Act 2015</w:t>
      </w:r>
      <w:r w:rsidRPr="00D9085C">
        <w:rPr>
          <w:rFonts w:ascii="Times New Roman" w:hAnsi="Times New Roman" w:cs="Times New Roman"/>
          <w:sz w:val="24"/>
          <w:szCs w:val="24"/>
        </w:rPr>
        <w:t xml:space="preserve"> (PHIPS Act), </w:t>
      </w:r>
      <w:r w:rsidR="001606AB">
        <w:rPr>
          <w:rFonts w:ascii="Times New Roman" w:hAnsi="Times New Roman" w:cs="Times New Roman"/>
          <w:sz w:val="24"/>
          <w:szCs w:val="24"/>
        </w:rPr>
        <w:t>in relation</w:t>
      </w:r>
      <w:r w:rsidR="005242B6" w:rsidRPr="00D9085C">
        <w:rPr>
          <w:rFonts w:ascii="Times New Roman" w:hAnsi="Times New Roman" w:cs="Times New Roman"/>
          <w:sz w:val="24"/>
          <w:szCs w:val="24"/>
        </w:rPr>
        <w:t xml:space="preserve"> </w:t>
      </w:r>
      <w:r w:rsidRPr="00D9085C">
        <w:rPr>
          <w:rFonts w:ascii="Times New Roman" w:hAnsi="Times New Roman" w:cs="Times New Roman"/>
          <w:sz w:val="24"/>
          <w:szCs w:val="24"/>
        </w:rPr>
        <w:t>to private health insurers; and</w:t>
      </w:r>
    </w:p>
    <w:p w14:paraId="5AC2271A" w14:textId="18942B0A" w:rsidR="008B0EB8" w:rsidRPr="00D9085C" w:rsidRDefault="008B0EB8" w:rsidP="00777743">
      <w:pPr>
        <w:pStyle w:val="ListParagraph"/>
        <w:numPr>
          <w:ilvl w:val="0"/>
          <w:numId w:val="24"/>
        </w:numPr>
        <w:ind w:left="851" w:hanging="567"/>
        <w:contextualSpacing w:val="0"/>
        <w:jc w:val="both"/>
        <w:rPr>
          <w:rFonts w:ascii="Times New Roman" w:hAnsi="Times New Roman" w:cs="Times New Roman"/>
          <w:sz w:val="24"/>
          <w:szCs w:val="24"/>
        </w:rPr>
      </w:pPr>
      <w:r w:rsidRPr="00D9085C">
        <w:rPr>
          <w:rFonts w:ascii="Times New Roman" w:hAnsi="Times New Roman" w:cs="Times New Roman"/>
          <w:sz w:val="24"/>
          <w:szCs w:val="24"/>
        </w:rPr>
        <w:t>subsection</w:t>
      </w:r>
      <w:r w:rsidR="00CF5BA1">
        <w:rPr>
          <w:rFonts w:ascii="Times New Roman" w:hAnsi="Times New Roman" w:cs="Times New Roman"/>
          <w:sz w:val="24"/>
          <w:szCs w:val="24"/>
        </w:rPr>
        <w:t>s</w:t>
      </w:r>
      <w:r w:rsidRPr="00D9085C">
        <w:rPr>
          <w:rFonts w:ascii="Times New Roman" w:hAnsi="Times New Roman" w:cs="Times New Roman"/>
          <w:sz w:val="24"/>
          <w:szCs w:val="24"/>
        </w:rPr>
        <w:t xml:space="preserve"> 34C(1) </w:t>
      </w:r>
      <w:r w:rsidR="00F456B6">
        <w:rPr>
          <w:rFonts w:ascii="Times New Roman" w:hAnsi="Times New Roman" w:cs="Times New Roman"/>
          <w:sz w:val="24"/>
          <w:szCs w:val="24"/>
        </w:rPr>
        <w:t xml:space="preserve">and (6) </w:t>
      </w:r>
      <w:r w:rsidRPr="00D9085C">
        <w:rPr>
          <w:rFonts w:ascii="Times New Roman" w:hAnsi="Times New Roman" w:cs="Times New Roman"/>
          <w:sz w:val="24"/>
          <w:szCs w:val="24"/>
        </w:rPr>
        <w:t xml:space="preserve">of the </w:t>
      </w:r>
      <w:r w:rsidRPr="00D9085C">
        <w:rPr>
          <w:rFonts w:ascii="Times New Roman" w:hAnsi="Times New Roman" w:cs="Times New Roman"/>
          <w:i/>
          <w:sz w:val="24"/>
          <w:szCs w:val="24"/>
        </w:rPr>
        <w:t>Superannuation Industry (Supervision) Act 1993</w:t>
      </w:r>
      <w:r w:rsidRPr="00D9085C">
        <w:rPr>
          <w:rFonts w:ascii="Times New Roman" w:hAnsi="Times New Roman" w:cs="Times New Roman"/>
          <w:sz w:val="24"/>
          <w:szCs w:val="24"/>
        </w:rPr>
        <w:t xml:space="preserve"> (SIS Act), </w:t>
      </w:r>
      <w:r w:rsidR="001606AB">
        <w:rPr>
          <w:rFonts w:ascii="Times New Roman" w:hAnsi="Times New Roman" w:cs="Times New Roman"/>
          <w:sz w:val="24"/>
          <w:szCs w:val="24"/>
        </w:rPr>
        <w:t>in relation</w:t>
      </w:r>
      <w:r w:rsidR="005242B6" w:rsidRPr="00D9085C">
        <w:rPr>
          <w:rFonts w:ascii="Times New Roman" w:hAnsi="Times New Roman" w:cs="Times New Roman"/>
          <w:sz w:val="24"/>
          <w:szCs w:val="24"/>
        </w:rPr>
        <w:t xml:space="preserve"> </w:t>
      </w:r>
      <w:r w:rsidRPr="00D9085C">
        <w:rPr>
          <w:rFonts w:ascii="Times New Roman" w:hAnsi="Times New Roman" w:cs="Times New Roman"/>
          <w:sz w:val="24"/>
          <w:szCs w:val="24"/>
        </w:rPr>
        <w:t>to Registered Superannuation Entity Licensees (RSE</w:t>
      </w:r>
      <w:r w:rsidR="005242B6" w:rsidRPr="00D9085C">
        <w:rPr>
          <w:rFonts w:ascii="Times New Roman" w:hAnsi="Times New Roman" w:cs="Times New Roman"/>
          <w:sz w:val="24"/>
          <w:szCs w:val="24"/>
        </w:rPr>
        <w:t xml:space="preserve"> licensee</w:t>
      </w:r>
      <w:r w:rsidRPr="00D9085C">
        <w:rPr>
          <w:rFonts w:ascii="Times New Roman" w:hAnsi="Times New Roman" w:cs="Times New Roman"/>
          <w:sz w:val="24"/>
          <w:szCs w:val="24"/>
        </w:rPr>
        <w:t>s).</w:t>
      </w:r>
    </w:p>
    <w:p w14:paraId="0667C481" w14:textId="3272C1C7" w:rsidR="008B0EB8" w:rsidRPr="00D9085C" w:rsidRDefault="008B0EB8" w:rsidP="00777743">
      <w:pPr>
        <w:jc w:val="both"/>
        <w:rPr>
          <w:rFonts w:ascii="Times New Roman" w:hAnsi="Times New Roman" w:cs="Times New Roman"/>
          <w:sz w:val="24"/>
          <w:szCs w:val="24"/>
        </w:rPr>
      </w:pPr>
      <w:r w:rsidRPr="00D9085C">
        <w:rPr>
          <w:rFonts w:ascii="Times New Roman" w:hAnsi="Times New Roman" w:cs="Times New Roman"/>
          <w:sz w:val="24"/>
          <w:szCs w:val="24"/>
        </w:rPr>
        <w:t xml:space="preserve">On </w:t>
      </w:r>
      <w:r w:rsidR="008D1C0C">
        <w:rPr>
          <w:rFonts w:ascii="Times New Roman" w:hAnsi="Times New Roman"/>
          <w:sz w:val="24"/>
        </w:rPr>
        <w:t>28</w:t>
      </w:r>
      <w:r w:rsidR="00872F57" w:rsidRPr="00D9085C">
        <w:rPr>
          <w:rFonts w:ascii="Times New Roman" w:hAnsi="Times New Roman" w:cs="Times New Roman"/>
          <w:sz w:val="24"/>
          <w:szCs w:val="24"/>
        </w:rPr>
        <w:t xml:space="preserve"> </w:t>
      </w:r>
      <w:r w:rsidR="00BB1F20">
        <w:rPr>
          <w:rFonts w:ascii="Times New Roman" w:hAnsi="Times New Roman" w:cs="Times New Roman"/>
          <w:sz w:val="24"/>
          <w:szCs w:val="24"/>
        </w:rPr>
        <w:t>September</w:t>
      </w:r>
      <w:r w:rsidR="00BB1F20" w:rsidRPr="00D9085C">
        <w:rPr>
          <w:rFonts w:ascii="Times New Roman" w:hAnsi="Times New Roman" w:cs="Times New Roman"/>
          <w:sz w:val="24"/>
          <w:szCs w:val="24"/>
        </w:rPr>
        <w:t xml:space="preserve"> </w:t>
      </w:r>
      <w:r w:rsidRPr="00D9085C">
        <w:rPr>
          <w:rFonts w:ascii="Times New Roman" w:hAnsi="Times New Roman" w:cs="Times New Roman"/>
          <w:sz w:val="24"/>
          <w:szCs w:val="24"/>
        </w:rPr>
        <w:t>202</w:t>
      </w:r>
      <w:r w:rsidR="00E7452A">
        <w:rPr>
          <w:rFonts w:ascii="Times New Roman" w:hAnsi="Times New Roman" w:cs="Times New Roman"/>
          <w:sz w:val="24"/>
          <w:szCs w:val="24"/>
        </w:rPr>
        <w:t>3</w:t>
      </w:r>
      <w:r w:rsidRPr="00D9085C">
        <w:rPr>
          <w:rFonts w:ascii="Times New Roman" w:hAnsi="Times New Roman" w:cs="Times New Roman"/>
          <w:sz w:val="24"/>
          <w:szCs w:val="24"/>
        </w:rPr>
        <w:t>, APRA made Banking, Insurance, Life Insurance</w:t>
      </w:r>
      <w:r w:rsidR="00A83B38" w:rsidRPr="00D9085C">
        <w:rPr>
          <w:rFonts w:ascii="Times New Roman" w:hAnsi="Times New Roman" w:cs="Times New Roman"/>
          <w:sz w:val="24"/>
          <w:szCs w:val="24"/>
        </w:rPr>
        <w:t>, Health Insurance</w:t>
      </w:r>
      <w:r w:rsidRPr="00D9085C">
        <w:rPr>
          <w:rFonts w:ascii="Times New Roman" w:hAnsi="Times New Roman" w:cs="Times New Roman"/>
          <w:sz w:val="24"/>
          <w:szCs w:val="24"/>
        </w:rPr>
        <w:t xml:space="preserve"> and Superannuation (prudential standard) determination No</w:t>
      </w:r>
      <w:r w:rsidR="00EC7CF2">
        <w:rPr>
          <w:rFonts w:ascii="Times New Roman" w:hAnsi="Times New Roman" w:cs="Times New Roman"/>
          <w:sz w:val="24"/>
          <w:szCs w:val="24"/>
        </w:rPr>
        <w:t>.</w:t>
      </w:r>
      <w:r w:rsidRPr="00D9085C">
        <w:rPr>
          <w:rFonts w:ascii="Times New Roman" w:hAnsi="Times New Roman" w:cs="Times New Roman"/>
          <w:sz w:val="24"/>
          <w:szCs w:val="24"/>
        </w:rPr>
        <w:t xml:space="preserve"> </w:t>
      </w:r>
      <w:r w:rsidR="00E7452A">
        <w:rPr>
          <w:rFonts w:ascii="Times New Roman" w:hAnsi="Times New Roman" w:cs="Times New Roman"/>
          <w:sz w:val="24"/>
          <w:szCs w:val="24"/>
        </w:rPr>
        <w:t>3</w:t>
      </w:r>
      <w:r w:rsidRPr="00D9085C">
        <w:rPr>
          <w:rFonts w:ascii="Times New Roman" w:hAnsi="Times New Roman" w:cs="Times New Roman"/>
          <w:sz w:val="24"/>
          <w:szCs w:val="24"/>
        </w:rPr>
        <w:t xml:space="preserve"> of 202</w:t>
      </w:r>
      <w:r w:rsidR="00E7452A">
        <w:rPr>
          <w:rFonts w:ascii="Times New Roman" w:hAnsi="Times New Roman" w:cs="Times New Roman"/>
          <w:sz w:val="24"/>
          <w:szCs w:val="24"/>
        </w:rPr>
        <w:t>3</w:t>
      </w:r>
      <w:r w:rsidRPr="00D9085C">
        <w:rPr>
          <w:rFonts w:ascii="Times New Roman" w:hAnsi="Times New Roman" w:cs="Times New Roman"/>
          <w:sz w:val="24"/>
          <w:szCs w:val="24"/>
        </w:rPr>
        <w:t xml:space="preserve"> (the instrument), which </w:t>
      </w:r>
      <w:r w:rsidR="007B4B10">
        <w:rPr>
          <w:rFonts w:ascii="Times New Roman" w:hAnsi="Times New Roman" w:cs="Times New Roman"/>
          <w:sz w:val="24"/>
          <w:szCs w:val="24"/>
        </w:rPr>
        <w:t>re</w:t>
      </w:r>
      <w:r w:rsidR="00DA4164">
        <w:rPr>
          <w:rFonts w:ascii="Times New Roman" w:hAnsi="Times New Roman" w:cs="Times New Roman"/>
          <w:sz w:val="24"/>
          <w:szCs w:val="24"/>
        </w:rPr>
        <w:t xml:space="preserve">vokes </w:t>
      </w:r>
      <w:r w:rsidR="00A73E4B" w:rsidRPr="005C694C">
        <w:rPr>
          <w:rFonts w:ascii="Times New Roman" w:hAnsi="Times New Roman" w:cs="Times New Roman"/>
          <w:i/>
          <w:sz w:val="24"/>
          <w:szCs w:val="24"/>
        </w:rPr>
        <w:t xml:space="preserve">Prudential Standard CPS 511 </w:t>
      </w:r>
      <w:r w:rsidR="005C694C" w:rsidRPr="005C694C">
        <w:rPr>
          <w:rFonts w:ascii="Times New Roman" w:hAnsi="Times New Roman" w:cs="Times New Roman"/>
          <w:i/>
          <w:sz w:val="24"/>
          <w:szCs w:val="24"/>
        </w:rPr>
        <w:t>Remuneration</w:t>
      </w:r>
      <w:r w:rsidR="005C694C">
        <w:rPr>
          <w:rFonts w:ascii="Times New Roman" w:hAnsi="Times New Roman" w:cs="Times New Roman"/>
          <w:sz w:val="24"/>
          <w:szCs w:val="24"/>
        </w:rPr>
        <w:t xml:space="preserve"> made under </w:t>
      </w:r>
      <w:r w:rsidR="00BA06C5" w:rsidRPr="00BA06C5">
        <w:rPr>
          <w:rFonts w:ascii="Times New Roman" w:hAnsi="Times New Roman" w:cs="Times New Roman"/>
          <w:sz w:val="24"/>
          <w:szCs w:val="24"/>
        </w:rPr>
        <w:t>Banking, Insurance, Life Insurance, Health Insurance and Superannuation (prudential standard) determination No</w:t>
      </w:r>
      <w:r w:rsidR="00EC7CF2">
        <w:rPr>
          <w:rFonts w:ascii="Times New Roman" w:hAnsi="Times New Roman" w:cs="Times New Roman"/>
          <w:sz w:val="24"/>
          <w:szCs w:val="24"/>
        </w:rPr>
        <w:t>.</w:t>
      </w:r>
      <w:r w:rsidR="00BA06C5" w:rsidRPr="00BA06C5">
        <w:rPr>
          <w:rFonts w:ascii="Times New Roman" w:hAnsi="Times New Roman" w:cs="Times New Roman"/>
          <w:sz w:val="24"/>
          <w:szCs w:val="24"/>
        </w:rPr>
        <w:t xml:space="preserve"> 1 of 2021</w:t>
      </w:r>
      <w:r w:rsidR="00544FF1">
        <w:rPr>
          <w:rFonts w:ascii="Times New Roman" w:hAnsi="Times New Roman" w:cs="Times New Roman"/>
          <w:sz w:val="24"/>
          <w:szCs w:val="24"/>
        </w:rPr>
        <w:t xml:space="preserve"> </w:t>
      </w:r>
      <w:r w:rsidR="00953B40">
        <w:rPr>
          <w:rFonts w:ascii="Times New Roman" w:hAnsi="Times New Roman" w:cs="Times New Roman"/>
          <w:sz w:val="24"/>
          <w:szCs w:val="24"/>
        </w:rPr>
        <w:t xml:space="preserve">and </w:t>
      </w:r>
      <w:r w:rsidRPr="00D9085C">
        <w:rPr>
          <w:rFonts w:ascii="Times New Roman" w:hAnsi="Times New Roman" w:cs="Times New Roman"/>
          <w:sz w:val="24"/>
          <w:szCs w:val="24"/>
        </w:rPr>
        <w:t xml:space="preserve">determines a new </w:t>
      </w:r>
      <w:r w:rsidR="001D72ED" w:rsidRPr="009F23A4">
        <w:rPr>
          <w:rFonts w:ascii="Times New Roman" w:hAnsi="Times New Roman" w:cs="Times New Roman"/>
          <w:i/>
          <w:sz w:val="24"/>
          <w:szCs w:val="24"/>
        </w:rPr>
        <w:t>P</w:t>
      </w:r>
      <w:r w:rsidR="00861136" w:rsidRPr="009F23A4">
        <w:rPr>
          <w:rFonts w:ascii="Times New Roman" w:hAnsi="Times New Roman" w:cs="Times New Roman"/>
          <w:i/>
          <w:sz w:val="24"/>
          <w:szCs w:val="24"/>
        </w:rPr>
        <w:t xml:space="preserve">rudential </w:t>
      </w:r>
      <w:r w:rsidR="001D72ED" w:rsidRPr="009F23A4">
        <w:rPr>
          <w:rFonts w:ascii="Times New Roman" w:hAnsi="Times New Roman" w:cs="Times New Roman"/>
          <w:i/>
          <w:sz w:val="24"/>
          <w:szCs w:val="24"/>
        </w:rPr>
        <w:t>S</w:t>
      </w:r>
      <w:r w:rsidR="00861136" w:rsidRPr="009F23A4">
        <w:rPr>
          <w:rFonts w:ascii="Times New Roman" w:hAnsi="Times New Roman" w:cs="Times New Roman"/>
          <w:i/>
          <w:sz w:val="24"/>
          <w:szCs w:val="24"/>
        </w:rPr>
        <w:t>tandard</w:t>
      </w:r>
      <w:r w:rsidR="00861136" w:rsidRPr="00681326">
        <w:rPr>
          <w:rFonts w:ascii="Times New Roman" w:hAnsi="Times New Roman"/>
          <w:i/>
          <w:sz w:val="24"/>
        </w:rPr>
        <w:t xml:space="preserve"> </w:t>
      </w:r>
      <w:r w:rsidRPr="00681326">
        <w:rPr>
          <w:rFonts w:ascii="Times New Roman" w:hAnsi="Times New Roman"/>
          <w:i/>
          <w:sz w:val="24"/>
        </w:rPr>
        <w:t xml:space="preserve">CPS </w:t>
      </w:r>
      <w:r w:rsidR="00A83B38" w:rsidRPr="00681326">
        <w:rPr>
          <w:rFonts w:ascii="Times New Roman" w:hAnsi="Times New Roman"/>
          <w:i/>
          <w:sz w:val="24"/>
        </w:rPr>
        <w:t>511</w:t>
      </w:r>
      <w:r w:rsidR="005C694C">
        <w:rPr>
          <w:rFonts w:ascii="Times New Roman" w:hAnsi="Times New Roman" w:cs="Times New Roman"/>
          <w:i/>
          <w:sz w:val="24"/>
          <w:szCs w:val="24"/>
        </w:rPr>
        <w:t xml:space="preserve"> Remuneration</w:t>
      </w:r>
      <w:r w:rsidR="009F23A4">
        <w:rPr>
          <w:rFonts w:ascii="Times New Roman" w:hAnsi="Times New Roman" w:cs="Times New Roman"/>
          <w:sz w:val="24"/>
          <w:szCs w:val="24"/>
        </w:rPr>
        <w:t xml:space="preserve"> (CPS 511)</w:t>
      </w:r>
      <w:r w:rsidRPr="00D9085C">
        <w:rPr>
          <w:rFonts w:ascii="Times New Roman" w:hAnsi="Times New Roman" w:cs="Times New Roman"/>
          <w:sz w:val="24"/>
          <w:szCs w:val="24"/>
        </w:rPr>
        <w:t>.</w:t>
      </w:r>
    </w:p>
    <w:p w14:paraId="72C23AF0" w14:textId="6C942074" w:rsidR="00BF572C" w:rsidRPr="00D9085C" w:rsidRDefault="008B0EB8" w:rsidP="00777743">
      <w:pPr>
        <w:jc w:val="both"/>
        <w:rPr>
          <w:rFonts w:ascii="Times New Roman" w:hAnsi="Times New Roman" w:cs="Times New Roman"/>
          <w:sz w:val="24"/>
          <w:szCs w:val="24"/>
        </w:rPr>
      </w:pPr>
      <w:r w:rsidRPr="00D9085C">
        <w:rPr>
          <w:rFonts w:ascii="Times New Roman" w:hAnsi="Times New Roman" w:cs="Times New Roman"/>
          <w:sz w:val="24"/>
          <w:szCs w:val="24"/>
        </w:rPr>
        <w:t xml:space="preserve">The instrument commences on 1 </w:t>
      </w:r>
      <w:r w:rsidR="00BF572C" w:rsidRPr="00D9085C">
        <w:rPr>
          <w:rFonts w:ascii="Times New Roman" w:hAnsi="Times New Roman" w:cs="Times New Roman"/>
          <w:sz w:val="24"/>
          <w:szCs w:val="24"/>
        </w:rPr>
        <w:t>January</w:t>
      </w:r>
      <w:r w:rsidRPr="00D9085C">
        <w:rPr>
          <w:rFonts w:ascii="Times New Roman" w:hAnsi="Times New Roman" w:cs="Times New Roman"/>
          <w:sz w:val="24"/>
          <w:szCs w:val="24"/>
        </w:rPr>
        <w:t xml:space="preserve"> 202</w:t>
      </w:r>
      <w:r w:rsidR="00E7452A">
        <w:rPr>
          <w:rFonts w:ascii="Times New Roman" w:hAnsi="Times New Roman" w:cs="Times New Roman"/>
          <w:sz w:val="24"/>
          <w:szCs w:val="24"/>
        </w:rPr>
        <w:t>4</w:t>
      </w:r>
      <w:r w:rsidRPr="00D9085C">
        <w:rPr>
          <w:rFonts w:ascii="Times New Roman" w:hAnsi="Times New Roman" w:cs="Times New Roman"/>
          <w:sz w:val="24"/>
          <w:szCs w:val="24"/>
        </w:rPr>
        <w:t>.</w:t>
      </w:r>
    </w:p>
    <w:p w14:paraId="26D38409" w14:textId="10A99E2E" w:rsidR="00197A23" w:rsidRPr="00D9085C" w:rsidRDefault="00197A23" w:rsidP="00BD2FD3">
      <w:pPr>
        <w:pStyle w:val="ListParagraph"/>
        <w:keepNext/>
        <w:numPr>
          <w:ilvl w:val="0"/>
          <w:numId w:val="23"/>
        </w:numPr>
        <w:spacing w:after="240" w:line="240" w:lineRule="auto"/>
        <w:ind w:left="567" w:hanging="567"/>
        <w:jc w:val="both"/>
        <w:rPr>
          <w:rFonts w:ascii="Times New Roman" w:hAnsi="Times New Roman" w:cs="Times New Roman"/>
          <w:b/>
          <w:sz w:val="24"/>
          <w:szCs w:val="24"/>
          <w:lang w:eastAsia="en-US"/>
        </w:rPr>
      </w:pPr>
      <w:r w:rsidRPr="00D9085C">
        <w:rPr>
          <w:rFonts w:ascii="Times New Roman" w:hAnsi="Times New Roman" w:cs="Times New Roman"/>
          <w:b/>
          <w:sz w:val="24"/>
          <w:szCs w:val="24"/>
          <w:lang w:eastAsia="en-US"/>
        </w:rPr>
        <w:lastRenderedPageBreak/>
        <w:t>Background</w:t>
      </w:r>
    </w:p>
    <w:p w14:paraId="7377287F" w14:textId="3EE8997B" w:rsidR="00C25FA1" w:rsidRPr="00D9085C" w:rsidRDefault="00C25FA1" w:rsidP="00BD2FD3">
      <w:pPr>
        <w:keepNext/>
        <w:jc w:val="both"/>
        <w:rPr>
          <w:rFonts w:ascii="Times New Roman" w:hAnsi="Times New Roman" w:cs="Times New Roman"/>
          <w:sz w:val="24"/>
          <w:szCs w:val="24"/>
          <w:lang w:eastAsia="en-US"/>
        </w:rPr>
      </w:pPr>
      <w:r w:rsidRPr="00D9085C">
        <w:rPr>
          <w:rFonts w:ascii="Times New Roman" w:hAnsi="Times New Roman" w:cs="Times New Roman"/>
          <w:sz w:val="24"/>
          <w:szCs w:val="24"/>
          <w:lang w:eastAsia="en-US"/>
        </w:rPr>
        <w:t xml:space="preserve">APRA’s mandate is to ensure the safety and soundness of prudentially regulated financial institutions so that they can meet their financial promises to depositors, </w:t>
      </w:r>
      <w:proofErr w:type="gramStart"/>
      <w:r w:rsidRPr="00D9085C">
        <w:rPr>
          <w:rFonts w:ascii="Times New Roman" w:hAnsi="Times New Roman" w:cs="Times New Roman"/>
          <w:sz w:val="24"/>
          <w:szCs w:val="24"/>
          <w:lang w:eastAsia="en-US"/>
        </w:rPr>
        <w:t>policyholders</w:t>
      </w:r>
      <w:proofErr w:type="gramEnd"/>
      <w:r w:rsidRPr="00D9085C">
        <w:rPr>
          <w:rFonts w:ascii="Times New Roman" w:hAnsi="Times New Roman" w:cs="Times New Roman"/>
          <w:sz w:val="24"/>
          <w:szCs w:val="24"/>
          <w:lang w:eastAsia="en-US"/>
        </w:rPr>
        <w:t xml:space="preserve"> and fund members within a stable, efficient and competitive financial system.</w:t>
      </w:r>
    </w:p>
    <w:p w14:paraId="3D599309" w14:textId="58E71DEB" w:rsidR="00C25FA1" w:rsidRPr="00D9085C" w:rsidRDefault="00C25FA1" w:rsidP="000125E4">
      <w:pPr>
        <w:jc w:val="both"/>
        <w:rPr>
          <w:rFonts w:ascii="Times New Roman" w:hAnsi="Times New Roman" w:cs="Times New Roman"/>
          <w:sz w:val="24"/>
          <w:szCs w:val="24"/>
          <w:lang w:eastAsia="en-US"/>
        </w:rPr>
      </w:pPr>
      <w:r w:rsidRPr="00D9085C">
        <w:rPr>
          <w:rFonts w:ascii="Times New Roman" w:hAnsi="Times New Roman" w:cs="Times New Roman"/>
          <w:sz w:val="24"/>
          <w:szCs w:val="24"/>
          <w:lang w:eastAsia="en-US"/>
        </w:rPr>
        <w:t xml:space="preserve">APRA carries out this mandate through a multi-layered prudential framework that encompasses licensing and supervision of </w:t>
      </w:r>
      <w:r w:rsidR="00CE54A1" w:rsidRPr="00D9085C">
        <w:rPr>
          <w:rFonts w:ascii="Times New Roman" w:hAnsi="Times New Roman" w:cs="Times New Roman"/>
          <w:sz w:val="24"/>
          <w:szCs w:val="24"/>
          <w:lang w:eastAsia="en-US"/>
        </w:rPr>
        <w:t>entities</w:t>
      </w:r>
      <w:r w:rsidRPr="00D9085C">
        <w:rPr>
          <w:rFonts w:ascii="Times New Roman" w:hAnsi="Times New Roman" w:cs="Times New Roman"/>
          <w:sz w:val="24"/>
          <w:szCs w:val="24"/>
          <w:lang w:eastAsia="en-US"/>
        </w:rPr>
        <w:t xml:space="preserve">. </w:t>
      </w:r>
      <w:r w:rsidR="00CE54A1" w:rsidRPr="00D9085C">
        <w:rPr>
          <w:rFonts w:ascii="Times New Roman" w:hAnsi="Times New Roman" w:cs="Times New Roman"/>
          <w:sz w:val="24"/>
          <w:szCs w:val="24"/>
          <w:lang w:eastAsia="en-US"/>
        </w:rPr>
        <w:t>The Banking Act, Insurance Act, Life Insurance Act, PHIPS Act and SIS Act allow APRA to issue legally binding prudential standards that set out specific prudential requirements with which APRA-regulated entities must comply</w:t>
      </w:r>
      <w:r w:rsidRPr="00D9085C">
        <w:rPr>
          <w:rFonts w:ascii="Times New Roman" w:hAnsi="Times New Roman" w:cs="Times New Roman"/>
          <w:sz w:val="24"/>
          <w:szCs w:val="24"/>
          <w:lang w:eastAsia="en-US"/>
        </w:rPr>
        <w:t xml:space="preserve">. </w:t>
      </w:r>
    </w:p>
    <w:p w14:paraId="306AA6B3" w14:textId="314E7DB6" w:rsidR="00C25FA1" w:rsidRPr="00D9085C" w:rsidRDefault="00C25FA1" w:rsidP="000125E4">
      <w:pPr>
        <w:jc w:val="both"/>
        <w:rPr>
          <w:rFonts w:ascii="Times New Roman" w:hAnsi="Times New Roman" w:cs="Times New Roman"/>
          <w:sz w:val="24"/>
          <w:szCs w:val="24"/>
          <w:lang w:eastAsia="en-US"/>
        </w:rPr>
      </w:pPr>
      <w:r w:rsidRPr="00D9085C">
        <w:rPr>
          <w:rFonts w:ascii="Times New Roman" w:hAnsi="Times New Roman" w:cs="Times New Roman"/>
          <w:sz w:val="24"/>
          <w:szCs w:val="24"/>
          <w:lang w:eastAsia="en-US"/>
        </w:rPr>
        <w:t xml:space="preserve">APRA regularly reviews its regulatory regime and amends its prudential requirements </w:t>
      </w:r>
      <w:proofErr w:type="gramStart"/>
      <w:r w:rsidRPr="00D9085C">
        <w:rPr>
          <w:rFonts w:ascii="Times New Roman" w:hAnsi="Times New Roman" w:cs="Times New Roman"/>
          <w:sz w:val="24"/>
          <w:szCs w:val="24"/>
          <w:lang w:eastAsia="en-US"/>
        </w:rPr>
        <w:t>as a result of</w:t>
      </w:r>
      <w:proofErr w:type="gramEnd"/>
      <w:r w:rsidRPr="00D9085C">
        <w:rPr>
          <w:rFonts w:ascii="Times New Roman" w:hAnsi="Times New Roman" w:cs="Times New Roman"/>
          <w:sz w:val="24"/>
          <w:szCs w:val="24"/>
          <w:lang w:eastAsia="en-US"/>
        </w:rPr>
        <w:t xml:space="preserve"> a number of factors</w:t>
      </w:r>
      <w:r w:rsidR="008B693E" w:rsidRPr="00D9085C">
        <w:rPr>
          <w:rFonts w:ascii="Times New Roman" w:hAnsi="Times New Roman" w:cs="Times New Roman"/>
          <w:sz w:val="24"/>
          <w:szCs w:val="24"/>
          <w:lang w:eastAsia="en-US"/>
        </w:rPr>
        <w:t>,</w:t>
      </w:r>
      <w:r w:rsidRPr="00D9085C">
        <w:rPr>
          <w:rFonts w:ascii="Times New Roman" w:hAnsi="Times New Roman" w:cs="Times New Roman"/>
          <w:sz w:val="24"/>
          <w:szCs w:val="24"/>
          <w:lang w:eastAsia="en-US"/>
        </w:rPr>
        <w:t xml:space="preserve"> including:</w:t>
      </w:r>
    </w:p>
    <w:p w14:paraId="0689E01F" w14:textId="17C30B37" w:rsidR="00C25FA1" w:rsidRPr="00D9085C" w:rsidRDefault="00C25FA1" w:rsidP="007963BF">
      <w:pPr>
        <w:pStyle w:val="ListParagraph"/>
        <w:numPr>
          <w:ilvl w:val="0"/>
          <w:numId w:val="12"/>
        </w:numPr>
        <w:ind w:left="714" w:hanging="357"/>
        <w:contextualSpacing w:val="0"/>
        <w:jc w:val="both"/>
        <w:rPr>
          <w:rFonts w:ascii="Times New Roman" w:hAnsi="Times New Roman" w:cs="Times New Roman"/>
          <w:sz w:val="24"/>
          <w:szCs w:val="24"/>
        </w:rPr>
      </w:pPr>
      <w:r w:rsidRPr="00D9085C">
        <w:rPr>
          <w:rFonts w:ascii="Times New Roman" w:hAnsi="Times New Roman" w:cs="Times New Roman"/>
          <w:sz w:val="24"/>
          <w:szCs w:val="24"/>
        </w:rPr>
        <w:t>international developments;</w:t>
      </w:r>
    </w:p>
    <w:p w14:paraId="7267B67D" w14:textId="22AD9B7A" w:rsidR="00C25FA1" w:rsidRPr="00D9085C" w:rsidRDefault="00C25FA1" w:rsidP="007963BF">
      <w:pPr>
        <w:pStyle w:val="ListParagraph"/>
        <w:numPr>
          <w:ilvl w:val="0"/>
          <w:numId w:val="12"/>
        </w:numPr>
        <w:ind w:left="714" w:hanging="357"/>
        <w:contextualSpacing w:val="0"/>
        <w:jc w:val="both"/>
        <w:rPr>
          <w:rFonts w:ascii="Times New Roman" w:hAnsi="Times New Roman" w:cs="Times New Roman"/>
          <w:sz w:val="24"/>
          <w:szCs w:val="24"/>
        </w:rPr>
      </w:pPr>
      <w:r w:rsidRPr="00D9085C">
        <w:rPr>
          <w:rFonts w:ascii="Times New Roman" w:hAnsi="Times New Roman" w:cs="Times New Roman"/>
          <w:sz w:val="24"/>
          <w:szCs w:val="24"/>
        </w:rPr>
        <w:t>changes in financial market conditions or changes in risk management practices, in response to identified weaknesses in the prudential framework; and</w:t>
      </w:r>
    </w:p>
    <w:p w14:paraId="79F40E91" w14:textId="1ED62B57" w:rsidR="00C30660" w:rsidRPr="00D9085C" w:rsidRDefault="00C25FA1" w:rsidP="007963BF">
      <w:pPr>
        <w:pStyle w:val="ListParagraph"/>
        <w:numPr>
          <w:ilvl w:val="0"/>
          <w:numId w:val="12"/>
        </w:numPr>
        <w:ind w:left="714" w:hanging="357"/>
        <w:contextualSpacing w:val="0"/>
        <w:jc w:val="both"/>
        <w:rPr>
          <w:rFonts w:ascii="Times New Roman" w:hAnsi="Times New Roman" w:cs="Times New Roman"/>
          <w:sz w:val="24"/>
          <w:szCs w:val="24"/>
        </w:rPr>
      </w:pPr>
      <w:r w:rsidRPr="00D9085C">
        <w:rPr>
          <w:rFonts w:ascii="Times New Roman" w:hAnsi="Times New Roman" w:cs="Times New Roman"/>
          <w:sz w:val="24"/>
          <w:szCs w:val="24"/>
        </w:rPr>
        <w:t>to reduce potential negative impacts of emerging industry issues.</w:t>
      </w:r>
    </w:p>
    <w:p w14:paraId="3FB1866D" w14:textId="13100AD1" w:rsidR="0075041A" w:rsidRPr="00D9085C" w:rsidRDefault="008C782E" w:rsidP="000125E4">
      <w:pPr>
        <w:jc w:val="both"/>
        <w:rPr>
          <w:rFonts w:ascii="Times New Roman" w:hAnsi="Times New Roman" w:cs="Times New Roman"/>
          <w:sz w:val="24"/>
          <w:szCs w:val="24"/>
          <w:lang w:eastAsia="en-US"/>
        </w:rPr>
      </w:pPr>
      <w:r w:rsidRPr="00D9085C">
        <w:rPr>
          <w:rFonts w:ascii="Times New Roman" w:hAnsi="Times New Roman" w:cs="Times New Roman"/>
          <w:sz w:val="24"/>
          <w:szCs w:val="24"/>
          <w:lang w:eastAsia="en-US"/>
        </w:rPr>
        <w:t xml:space="preserve">A resilient financial system requires prudent remuneration arrangements – in design, </w:t>
      </w:r>
      <w:proofErr w:type="gramStart"/>
      <w:r w:rsidRPr="00D9085C">
        <w:rPr>
          <w:rFonts w:ascii="Times New Roman" w:hAnsi="Times New Roman" w:cs="Times New Roman"/>
          <w:sz w:val="24"/>
          <w:szCs w:val="24"/>
          <w:lang w:eastAsia="en-US"/>
        </w:rPr>
        <w:t>governance</w:t>
      </w:r>
      <w:proofErr w:type="gramEnd"/>
      <w:r w:rsidRPr="00D9085C">
        <w:rPr>
          <w:rFonts w:ascii="Times New Roman" w:hAnsi="Times New Roman" w:cs="Times New Roman"/>
          <w:sz w:val="24"/>
          <w:szCs w:val="24"/>
          <w:lang w:eastAsia="en-US"/>
        </w:rPr>
        <w:t xml:space="preserve"> and outcomes</w:t>
      </w:r>
      <w:r w:rsidRPr="00D9085C">
        <w:rPr>
          <w:rFonts w:ascii="Times New Roman" w:hAnsi="Times New Roman" w:cs="Times New Roman"/>
          <w:i/>
          <w:sz w:val="24"/>
          <w:szCs w:val="24"/>
          <w:lang w:eastAsia="en-US"/>
        </w:rPr>
        <w:t xml:space="preserve">. </w:t>
      </w:r>
      <w:r w:rsidR="0075041A" w:rsidRPr="00D9085C">
        <w:rPr>
          <w:rFonts w:ascii="Times New Roman" w:hAnsi="Times New Roman" w:cs="Times New Roman"/>
          <w:sz w:val="24"/>
          <w:szCs w:val="24"/>
          <w:lang w:eastAsia="en-US"/>
        </w:rPr>
        <w:t xml:space="preserve">CPS 511 </w:t>
      </w:r>
      <w:r w:rsidRPr="00D9085C">
        <w:rPr>
          <w:rFonts w:ascii="Times New Roman" w:hAnsi="Times New Roman" w:cs="Times New Roman"/>
          <w:sz w:val="24"/>
          <w:szCs w:val="24"/>
          <w:lang w:eastAsia="en-US"/>
        </w:rPr>
        <w:t xml:space="preserve">sets out requirements </w:t>
      </w:r>
      <w:r w:rsidR="0075041A" w:rsidRPr="00D9085C">
        <w:rPr>
          <w:rFonts w:ascii="Times New Roman" w:hAnsi="Times New Roman" w:cs="Times New Roman"/>
          <w:sz w:val="24"/>
          <w:szCs w:val="24"/>
          <w:lang w:eastAsia="en-US"/>
        </w:rPr>
        <w:t>to ensure that APRA-regulated entities maintain remuneration arrangements which appropriately incentivise individuals to prudently manage the risks they are responsible for, and that there are appropriate consequences for poor risk outcomes</w:t>
      </w:r>
      <w:r w:rsidRPr="00D9085C">
        <w:rPr>
          <w:rFonts w:ascii="Times New Roman" w:hAnsi="Times New Roman" w:cs="Times New Roman"/>
          <w:sz w:val="24"/>
          <w:szCs w:val="24"/>
          <w:lang w:eastAsia="en-US"/>
        </w:rPr>
        <w:t>.</w:t>
      </w:r>
    </w:p>
    <w:p w14:paraId="57FC4735" w14:textId="3DE3756A" w:rsidR="008120F2" w:rsidRPr="00D9085C" w:rsidRDefault="008120F2" w:rsidP="000125E4">
      <w:pPr>
        <w:jc w:val="both"/>
        <w:rPr>
          <w:rFonts w:ascii="Times New Roman" w:hAnsi="Times New Roman" w:cs="Times New Roman"/>
          <w:sz w:val="24"/>
          <w:szCs w:val="24"/>
          <w:lang w:eastAsia="en-US"/>
        </w:rPr>
      </w:pPr>
      <w:r w:rsidRPr="00D9085C">
        <w:rPr>
          <w:rFonts w:ascii="Times New Roman" w:hAnsi="Times New Roman" w:cs="Times New Roman"/>
          <w:sz w:val="24"/>
          <w:szCs w:val="24"/>
          <w:lang w:eastAsia="en-US"/>
        </w:rPr>
        <w:t>Since 2010,</w:t>
      </w:r>
      <w:r w:rsidR="00BF70BB" w:rsidRPr="00D9085C">
        <w:rPr>
          <w:rFonts w:ascii="Times New Roman" w:hAnsi="Times New Roman" w:cs="Times New Roman"/>
          <w:sz w:val="24"/>
          <w:szCs w:val="24"/>
          <w:lang w:eastAsia="en-US"/>
        </w:rPr>
        <w:t xml:space="preserve"> </w:t>
      </w:r>
      <w:r w:rsidRPr="00D9085C">
        <w:rPr>
          <w:rFonts w:ascii="Times New Roman" w:hAnsi="Times New Roman" w:cs="Times New Roman"/>
          <w:sz w:val="24"/>
          <w:szCs w:val="24"/>
          <w:lang w:eastAsia="en-US"/>
        </w:rPr>
        <w:t xml:space="preserve">changes to market conditions and practices, </w:t>
      </w:r>
      <w:r w:rsidR="00BF70BB" w:rsidRPr="00D9085C">
        <w:rPr>
          <w:rFonts w:ascii="Times New Roman" w:hAnsi="Times New Roman" w:cs="Times New Roman"/>
          <w:sz w:val="24"/>
          <w:szCs w:val="24"/>
          <w:lang w:eastAsia="en-US"/>
        </w:rPr>
        <w:t>findings from various APRA reviews and the Royal Commission into Misconduct in the Banking, Superannuation and Financial Services Industry</w:t>
      </w:r>
      <w:r w:rsidR="007A7F9C" w:rsidRPr="00D9085C">
        <w:rPr>
          <w:rStyle w:val="FootnoteReference"/>
          <w:rFonts w:cs="Times New Roman"/>
          <w:color w:val="auto"/>
          <w:szCs w:val="24"/>
          <w:lang w:eastAsia="en-US"/>
        </w:rPr>
        <w:footnoteReference w:id="2"/>
      </w:r>
      <w:r w:rsidR="00BF70BB" w:rsidRPr="00D9085C">
        <w:rPr>
          <w:rFonts w:ascii="Times New Roman" w:hAnsi="Times New Roman" w:cs="Times New Roman"/>
          <w:sz w:val="24"/>
          <w:szCs w:val="24"/>
          <w:lang w:eastAsia="en-US"/>
        </w:rPr>
        <w:t xml:space="preserve"> have demonstrated the need for </w:t>
      </w:r>
      <w:r w:rsidR="00FA48B0" w:rsidRPr="00D9085C">
        <w:rPr>
          <w:rFonts w:ascii="Times New Roman" w:hAnsi="Times New Roman" w:cs="Times New Roman"/>
          <w:sz w:val="24"/>
          <w:szCs w:val="24"/>
          <w:lang w:eastAsia="en-US"/>
        </w:rPr>
        <w:t>stronger</w:t>
      </w:r>
      <w:r w:rsidRPr="00D9085C">
        <w:rPr>
          <w:rFonts w:ascii="Times New Roman" w:hAnsi="Times New Roman" w:cs="Times New Roman"/>
          <w:sz w:val="24"/>
          <w:szCs w:val="24"/>
          <w:lang w:eastAsia="en-US"/>
        </w:rPr>
        <w:t xml:space="preserve"> remuneration requirements</w:t>
      </w:r>
      <w:r w:rsidR="00BF70BB" w:rsidRPr="00D9085C">
        <w:rPr>
          <w:rFonts w:ascii="Times New Roman" w:hAnsi="Times New Roman" w:cs="Times New Roman"/>
          <w:sz w:val="24"/>
          <w:szCs w:val="24"/>
          <w:lang w:eastAsia="en-US"/>
        </w:rPr>
        <w:t xml:space="preserve">. In particular, </w:t>
      </w:r>
      <w:r w:rsidRPr="00D9085C">
        <w:rPr>
          <w:rFonts w:ascii="Times New Roman" w:hAnsi="Times New Roman" w:cs="Times New Roman"/>
          <w:sz w:val="24"/>
          <w:szCs w:val="24"/>
          <w:lang w:eastAsia="en-US"/>
        </w:rPr>
        <w:t xml:space="preserve">the Financial Stability Board has released updated statements and guidance in support of its </w:t>
      </w:r>
      <w:r w:rsidRPr="00D9085C">
        <w:rPr>
          <w:rFonts w:ascii="Times New Roman" w:hAnsi="Times New Roman" w:cs="Times New Roman"/>
          <w:i/>
          <w:sz w:val="24"/>
          <w:szCs w:val="24"/>
          <w:lang w:eastAsia="en-US"/>
        </w:rPr>
        <w:t>Principles of Sound Compensation Practices</w:t>
      </w:r>
      <w:r w:rsidRPr="00D9085C">
        <w:rPr>
          <w:rFonts w:ascii="Times New Roman" w:hAnsi="Times New Roman" w:cs="Times New Roman"/>
          <w:sz w:val="24"/>
          <w:szCs w:val="24"/>
          <w:lang w:eastAsia="en-US"/>
        </w:rPr>
        <w:t>.</w:t>
      </w:r>
    </w:p>
    <w:p w14:paraId="080AA574" w14:textId="1D415442" w:rsidR="0012246A" w:rsidRPr="00D9085C" w:rsidRDefault="0012246A" w:rsidP="00777743">
      <w:pPr>
        <w:pStyle w:val="ListParagraph"/>
        <w:numPr>
          <w:ilvl w:val="0"/>
          <w:numId w:val="22"/>
        </w:numPr>
        <w:spacing w:after="240" w:line="240" w:lineRule="auto"/>
        <w:ind w:left="567" w:hanging="567"/>
        <w:jc w:val="both"/>
        <w:rPr>
          <w:rFonts w:ascii="Times New Roman" w:hAnsi="Times New Roman" w:cs="Times New Roman"/>
          <w:b/>
          <w:sz w:val="24"/>
          <w:szCs w:val="24"/>
          <w:lang w:eastAsia="en-US"/>
        </w:rPr>
      </w:pPr>
      <w:r w:rsidRPr="00D9085C">
        <w:rPr>
          <w:rFonts w:ascii="Times New Roman" w:hAnsi="Times New Roman" w:cs="Times New Roman"/>
          <w:b/>
          <w:sz w:val="24"/>
          <w:szCs w:val="24"/>
          <w:lang w:eastAsia="en-US"/>
        </w:rPr>
        <w:t>Purpose and operation of the instrument</w:t>
      </w:r>
    </w:p>
    <w:p w14:paraId="3C0F2572" w14:textId="7F5C4830" w:rsidR="0012246A" w:rsidRPr="00D9085C" w:rsidRDefault="00BA1629" w:rsidP="000125E4">
      <w:pPr>
        <w:jc w:val="both"/>
        <w:rPr>
          <w:rFonts w:ascii="Times New Roman" w:hAnsi="Times New Roman" w:cs="Times New Roman"/>
          <w:sz w:val="24"/>
          <w:szCs w:val="24"/>
          <w:lang w:eastAsia="en-US"/>
        </w:rPr>
      </w:pPr>
      <w:r w:rsidRPr="00D9085C">
        <w:rPr>
          <w:rFonts w:ascii="Times New Roman" w:hAnsi="Times New Roman" w:cs="Times New Roman"/>
          <w:sz w:val="24"/>
          <w:szCs w:val="24"/>
          <w:lang w:eastAsia="en-US"/>
        </w:rPr>
        <w:t xml:space="preserve">The purpose of </w:t>
      </w:r>
      <w:r w:rsidR="005242B6" w:rsidRPr="00D9085C">
        <w:rPr>
          <w:rFonts w:ascii="Times New Roman" w:hAnsi="Times New Roman" w:cs="Times New Roman"/>
          <w:sz w:val="24"/>
          <w:szCs w:val="24"/>
          <w:lang w:eastAsia="en-US"/>
        </w:rPr>
        <w:t xml:space="preserve">the instrument </w:t>
      </w:r>
      <w:r w:rsidRPr="00D9085C">
        <w:rPr>
          <w:rFonts w:ascii="Times New Roman" w:hAnsi="Times New Roman" w:cs="Times New Roman"/>
          <w:sz w:val="24"/>
          <w:szCs w:val="24"/>
          <w:lang w:eastAsia="en-US"/>
        </w:rPr>
        <w:t xml:space="preserve">is to </w:t>
      </w:r>
      <w:r w:rsidR="00826E90">
        <w:rPr>
          <w:rFonts w:ascii="Times New Roman" w:hAnsi="Times New Roman" w:cs="Times New Roman"/>
          <w:sz w:val="24"/>
          <w:szCs w:val="24"/>
          <w:lang w:eastAsia="en-US"/>
        </w:rPr>
        <w:t>revoke the existing prud</w:t>
      </w:r>
      <w:r w:rsidR="00DA38F8">
        <w:rPr>
          <w:rFonts w:ascii="Times New Roman" w:hAnsi="Times New Roman" w:cs="Times New Roman"/>
          <w:sz w:val="24"/>
          <w:szCs w:val="24"/>
          <w:lang w:eastAsia="en-US"/>
        </w:rPr>
        <w:t>ential standa</w:t>
      </w:r>
      <w:r w:rsidR="00B472C0">
        <w:rPr>
          <w:rFonts w:ascii="Times New Roman" w:hAnsi="Times New Roman" w:cs="Times New Roman"/>
          <w:sz w:val="24"/>
          <w:szCs w:val="24"/>
          <w:lang w:eastAsia="en-US"/>
        </w:rPr>
        <w:t>r</w:t>
      </w:r>
      <w:r w:rsidR="00DA38F8">
        <w:rPr>
          <w:rFonts w:ascii="Times New Roman" w:hAnsi="Times New Roman" w:cs="Times New Roman"/>
          <w:sz w:val="24"/>
          <w:szCs w:val="24"/>
          <w:lang w:eastAsia="en-US"/>
        </w:rPr>
        <w:t xml:space="preserve">d </w:t>
      </w:r>
      <w:r w:rsidR="001A1F2B">
        <w:rPr>
          <w:rFonts w:ascii="Times New Roman" w:hAnsi="Times New Roman" w:cs="Times New Roman"/>
          <w:sz w:val="24"/>
          <w:szCs w:val="24"/>
          <w:lang w:eastAsia="en-US"/>
        </w:rPr>
        <w:t>on</w:t>
      </w:r>
      <w:r w:rsidR="00DA38F8">
        <w:rPr>
          <w:rFonts w:ascii="Times New Roman" w:hAnsi="Times New Roman" w:cs="Times New Roman"/>
          <w:sz w:val="24"/>
          <w:szCs w:val="24"/>
          <w:lang w:eastAsia="en-US"/>
        </w:rPr>
        <w:t xml:space="preserve"> remuneration and </w:t>
      </w:r>
      <w:r w:rsidR="000C67B1" w:rsidRPr="00D9085C">
        <w:rPr>
          <w:rFonts w:ascii="Times New Roman" w:hAnsi="Times New Roman" w:cs="Times New Roman"/>
          <w:sz w:val="24"/>
          <w:szCs w:val="24"/>
          <w:lang w:eastAsia="en-US"/>
        </w:rPr>
        <w:t>determine</w:t>
      </w:r>
      <w:r w:rsidRPr="00D9085C">
        <w:rPr>
          <w:rFonts w:ascii="Times New Roman" w:hAnsi="Times New Roman" w:cs="Times New Roman"/>
          <w:sz w:val="24"/>
          <w:szCs w:val="24"/>
          <w:lang w:eastAsia="en-US"/>
        </w:rPr>
        <w:t xml:space="preserve"> a new </w:t>
      </w:r>
      <w:r w:rsidR="00CF2D41" w:rsidRPr="00D9085C">
        <w:rPr>
          <w:rFonts w:ascii="Times New Roman" w:hAnsi="Times New Roman" w:cs="Times New Roman"/>
          <w:sz w:val="24"/>
          <w:szCs w:val="24"/>
          <w:lang w:eastAsia="en-US"/>
        </w:rPr>
        <w:t xml:space="preserve">prudential </w:t>
      </w:r>
      <w:r w:rsidR="005233B4" w:rsidRPr="00D9085C">
        <w:rPr>
          <w:rFonts w:ascii="Times New Roman" w:hAnsi="Times New Roman" w:cs="Times New Roman"/>
          <w:sz w:val="24"/>
          <w:szCs w:val="24"/>
          <w:lang w:eastAsia="en-US"/>
        </w:rPr>
        <w:t>s</w:t>
      </w:r>
      <w:r w:rsidR="00CF2D41" w:rsidRPr="00D9085C">
        <w:rPr>
          <w:rFonts w:ascii="Times New Roman" w:hAnsi="Times New Roman" w:cs="Times New Roman"/>
          <w:sz w:val="24"/>
          <w:szCs w:val="24"/>
          <w:lang w:eastAsia="en-US"/>
        </w:rPr>
        <w:t>tandard</w:t>
      </w:r>
      <w:r w:rsidRPr="00D9085C">
        <w:rPr>
          <w:rFonts w:ascii="Times New Roman" w:hAnsi="Times New Roman" w:cs="Times New Roman"/>
          <w:sz w:val="24"/>
          <w:szCs w:val="24"/>
          <w:lang w:eastAsia="en-US"/>
        </w:rPr>
        <w:t>, CPS 511</w:t>
      </w:r>
      <w:r w:rsidR="00DA5B0B">
        <w:rPr>
          <w:rFonts w:ascii="Times New Roman" w:hAnsi="Times New Roman" w:cs="Times New Roman"/>
          <w:sz w:val="24"/>
          <w:szCs w:val="24"/>
          <w:lang w:eastAsia="en-US"/>
        </w:rPr>
        <w:t xml:space="preserve"> </w:t>
      </w:r>
      <w:r w:rsidR="001E526E">
        <w:rPr>
          <w:rFonts w:ascii="Times New Roman" w:hAnsi="Times New Roman" w:cs="Times New Roman"/>
          <w:sz w:val="24"/>
          <w:szCs w:val="24"/>
          <w:lang w:eastAsia="en-US"/>
        </w:rPr>
        <w:t xml:space="preserve">which </w:t>
      </w:r>
      <w:r w:rsidR="00943BE8">
        <w:rPr>
          <w:rFonts w:ascii="Times New Roman" w:hAnsi="Times New Roman" w:cs="Times New Roman"/>
          <w:sz w:val="24"/>
          <w:szCs w:val="24"/>
          <w:lang w:eastAsia="en-US"/>
        </w:rPr>
        <w:t>has been updated to</w:t>
      </w:r>
      <w:r w:rsidR="00DA5B0B">
        <w:rPr>
          <w:rFonts w:ascii="Times New Roman" w:hAnsi="Times New Roman" w:cs="Times New Roman"/>
          <w:sz w:val="24"/>
          <w:szCs w:val="24"/>
          <w:lang w:eastAsia="en-US"/>
        </w:rPr>
        <w:t xml:space="preserve"> incorporate </w:t>
      </w:r>
      <w:r w:rsidR="00943BE8">
        <w:rPr>
          <w:rFonts w:ascii="Times New Roman" w:hAnsi="Times New Roman" w:cs="Times New Roman"/>
          <w:sz w:val="24"/>
          <w:szCs w:val="24"/>
          <w:lang w:eastAsia="en-US"/>
        </w:rPr>
        <w:t xml:space="preserve">new </w:t>
      </w:r>
      <w:r w:rsidR="001A1F2B">
        <w:rPr>
          <w:rFonts w:ascii="Times New Roman" w:hAnsi="Times New Roman" w:cs="Times New Roman"/>
          <w:sz w:val="24"/>
          <w:szCs w:val="24"/>
          <w:lang w:eastAsia="en-US"/>
        </w:rPr>
        <w:t xml:space="preserve">remuneration </w:t>
      </w:r>
      <w:r w:rsidR="00DA5B0B">
        <w:rPr>
          <w:rFonts w:ascii="Times New Roman" w:hAnsi="Times New Roman" w:cs="Times New Roman"/>
          <w:sz w:val="24"/>
          <w:szCs w:val="24"/>
          <w:lang w:eastAsia="en-US"/>
        </w:rPr>
        <w:t xml:space="preserve">disclosure requirements </w:t>
      </w:r>
      <w:r w:rsidR="00943BE8">
        <w:rPr>
          <w:rFonts w:ascii="Times New Roman" w:hAnsi="Times New Roman" w:cs="Times New Roman"/>
          <w:sz w:val="24"/>
          <w:szCs w:val="24"/>
          <w:lang w:eastAsia="en-US"/>
        </w:rPr>
        <w:t>for all APRA-regulated entities</w:t>
      </w:r>
      <w:r w:rsidRPr="00D9085C">
        <w:rPr>
          <w:rFonts w:ascii="Times New Roman" w:hAnsi="Times New Roman" w:cs="Times New Roman"/>
          <w:sz w:val="24"/>
          <w:szCs w:val="24"/>
          <w:lang w:eastAsia="en-US"/>
        </w:rPr>
        <w:t>.</w:t>
      </w:r>
      <w:r w:rsidR="00333A53">
        <w:rPr>
          <w:rFonts w:ascii="Times New Roman" w:hAnsi="Times New Roman" w:cs="Times New Roman"/>
          <w:sz w:val="24"/>
          <w:szCs w:val="24"/>
          <w:lang w:eastAsia="en-US"/>
        </w:rPr>
        <w:t xml:space="preserve"> </w:t>
      </w:r>
      <w:r w:rsidR="00E716B7">
        <w:rPr>
          <w:rFonts w:ascii="Times New Roman" w:hAnsi="Times New Roman" w:cs="Times New Roman"/>
          <w:sz w:val="24"/>
          <w:szCs w:val="24"/>
          <w:lang w:eastAsia="en-US"/>
        </w:rPr>
        <w:t>Aside from the new remuneration disclosure requirements, t</w:t>
      </w:r>
      <w:r w:rsidR="00253141">
        <w:rPr>
          <w:rFonts w:ascii="Times New Roman" w:hAnsi="Times New Roman" w:cs="Times New Roman"/>
          <w:sz w:val="24"/>
          <w:szCs w:val="24"/>
          <w:lang w:eastAsia="en-US"/>
        </w:rPr>
        <w:t>he</w:t>
      </w:r>
      <w:r w:rsidR="006E5EB6">
        <w:rPr>
          <w:rFonts w:ascii="Times New Roman" w:hAnsi="Times New Roman" w:cs="Times New Roman"/>
          <w:sz w:val="24"/>
          <w:szCs w:val="24"/>
          <w:lang w:eastAsia="en-US"/>
        </w:rPr>
        <w:t xml:space="preserve"> updated </w:t>
      </w:r>
      <w:r w:rsidR="00253141">
        <w:rPr>
          <w:rFonts w:ascii="Times New Roman" w:hAnsi="Times New Roman" w:cs="Times New Roman"/>
          <w:sz w:val="24"/>
          <w:szCs w:val="24"/>
          <w:lang w:eastAsia="en-US"/>
        </w:rPr>
        <w:t>CPS 511 does not</w:t>
      </w:r>
      <w:r w:rsidR="004913BD">
        <w:rPr>
          <w:rFonts w:ascii="Times New Roman" w:hAnsi="Times New Roman" w:cs="Times New Roman"/>
          <w:sz w:val="24"/>
          <w:szCs w:val="24"/>
          <w:lang w:eastAsia="en-US"/>
        </w:rPr>
        <w:t>,</w:t>
      </w:r>
      <w:r w:rsidR="007E19D7">
        <w:rPr>
          <w:rFonts w:ascii="Times New Roman" w:hAnsi="Times New Roman" w:cs="Times New Roman"/>
          <w:sz w:val="24"/>
          <w:szCs w:val="24"/>
          <w:lang w:eastAsia="en-US"/>
        </w:rPr>
        <w:t xml:space="preserve"> </w:t>
      </w:r>
      <w:r w:rsidR="00203897">
        <w:rPr>
          <w:rFonts w:ascii="Times New Roman" w:hAnsi="Times New Roman" w:cs="Times New Roman"/>
          <w:sz w:val="24"/>
          <w:szCs w:val="24"/>
          <w:lang w:eastAsia="en-US"/>
        </w:rPr>
        <w:t>in any way</w:t>
      </w:r>
      <w:r w:rsidR="004913BD">
        <w:rPr>
          <w:rFonts w:ascii="Times New Roman" w:hAnsi="Times New Roman" w:cs="Times New Roman"/>
          <w:sz w:val="24"/>
          <w:szCs w:val="24"/>
          <w:lang w:eastAsia="en-US"/>
        </w:rPr>
        <w:t>,</w:t>
      </w:r>
      <w:r w:rsidR="00203897">
        <w:rPr>
          <w:rFonts w:ascii="Times New Roman" w:hAnsi="Times New Roman" w:cs="Times New Roman"/>
          <w:sz w:val="24"/>
          <w:szCs w:val="24"/>
          <w:lang w:eastAsia="en-US"/>
        </w:rPr>
        <w:t xml:space="preserve"> alter </w:t>
      </w:r>
      <w:r w:rsidR="007910D4">
        <w:rPr>
          <w:rFonts w:ascii="Times New Roman" w:hAnsi="Times New Roman" w:cs="Times New Roman"/>
          <w:sz w:val="24"/>
          <w:szCs w:val="24"/>
          <w:lang w:eastAsia="en-US"/>
        </w:rPr>
        <w:t>requirements</w:t>
      </w:r>
      <w:r w:rsidR="002363AB">
        <w:rPr>
          <w:rFonts w:ascii="Times New Roman" w:hAnsi="Times New Roman" w:cs="Times New Roman"/>
          <w:sz w:val="24"/>
          <w:szCs w:val="24"/>
          <w:lang w:eastAsia="en-US"/>
        </w:rPr>
        <w:t xml:space="preserve"> in the existing prudential standard.</w:t>
      </w:r>
    </w:p>
    <w:p w14:paraId="3AFA2BF6" w14:textId="0E82EDD0" w:rsidR="004665D8" w:rsidRPr="00D9085C" w:rsidRDefault="00DA38F8" w:rsidP="000125E4">
      <w:pPr>
        <w:jc w:val="both"/>
        <w:rPr>
          <w:rFonts w:ascii="Times New Roman" w:hAnsi="Times New Roman" w:cs="Times New Roman"/>
          <w:sz w:val="24"/>
          <w:szCs w:val="24"/>
        </w:rPr>
      </w:pPr>
      <w:r>
        <w:rPr>
          <w:rFonts w:ascii="Times New Roman" w:hAnsi="Times New Roman" w:cs="Times New Roman"/>
          <w:sz w:val="24"/>
          <w:szCs w:val="24"/>
        </w:rPr>
        <w:t>Broad</w:t>
      </w:r>
      <w:r w:rsidR="00AB17C3">
        <w:rPr>
          <w:rFonts w:ascii="Times New Roman" w:hAnsi="Times New Roman" w:cs="Times New Roman"/>
          <w:sz w:val="24"/>
          <w:szCs w:val="24"/>
        </w:rPr>
        <w:t>l</w:t>
      </w:r>
      <w:r>
        <w:rPr>
          <w:rFonts w:ascii="Times New Roman" w:hAnsi="Times New Roman" w:cs="Times New Roman"/>
          <w:sz w:val="24"/>
          <w:szCs w:val="24"/>
        </w:rPr>
        <w:t xml:space="preserve">y, </w:t>
      </w:r>
      <w:r w:rsidR="00BA1629" w:rsidRPr="00D9085C">
        <w:rPr>
          <w:rFonts w:ascii="Times New Roman" w:hAnsi="Times New Roman" w:cs="Times New Roman"/>
          <w:sz w:val="24"/>
          <w:szCs w:val="24"/>
        </w:rPr>
        <w:t>CPS 511</w:t>
      </w:r>
      <w:r w:rsidR="004665D8" w:rsidRPr="00D9085C">
        <w:rPr>
          <w:rFonts w:ascii="Times New Roman" w:hAnsi="Times New Roman" w:cs="Times New Roman"/>
          <w:sz w:val="24"/>
          <w:szCs w:val="24"/>
        </w:rPr>
        <w:t xml:space="preserve"> </w:t>
      </w:r>
      <w:r w:rsidR="00E23F3D" w:rsidRPr="00D9085C">
        <w:rPr>
          <w:rFonts w:ascii="Times New Roman" w:hAnsi="Times New Roman" w:cs="Times New Roman"/>
          <w:sz w:val="24"/>
          <w:szCs w:val="24"/>
        </w:rPr>
        <w:t>is</w:t>
      </w:r>
      <w:r w:rsidR="004665D8" w:rsidRPr="00D9085C">
        <w:rPr>
          <w:rFonts w:ascii="Times New Roman" w:hAnsi="Times New Roman" w:cs="Times New Roman"/>
          <w:sz w:val="24"/>
          <w:szCs w:val="24"/>
        </w:rPr>
        <w:t xml:space="preserve"> designed to</w:t>
      </w:r>
      <w:r w:rsidR="00B8112B" w:rsidRPr="00D9085C">
        <w:rPr>
          <w:rFonts w:ascii="Times New Roman" w:hAnsi="Times New Roman" w:cs="Times New Roman"/>
          <w:sz w:val="24"/>
          <w:szCs w:val="24"/>
        </w:rPr>
        <w:t xml:space="preserve"> establish and maintain</w:t>
      </w:r>
      <w:r w:rsidR="004665D8" w:rsidRPr="00D9085C">
        <w:rPr>
          <w:rFonts w:ascii="Times New Roman" w:hAnsi="Times New Roman" w:cs="Times New Roman"/>
          <w:sz w:val="24"/>
          <w:szCs w:val="24"/>
        </w:rPr>
        <w:t xml:space="preserve">: </w:t>
      </w:r>
    </w:p>
    <w:p w14:paraId="7AF786B7" w14:textId="77777777" w:rsidR="00B8112B" w:rsidRPr="00D9085C" w:rsidRDefault="00B8112B" w:rsidP="000125E4">
      <w:pPr>
        <w:pStyle w:val="ListParagraph"/>
        <w:numPr>
          <w:ilvl w:val="0"/>
          <w:numId w:val="12"/>
        </w:numPr>
        <w:ind w:left="714" w:hanging="357"/>
        <w:contextualSpacing w:val="0"/>
        <w:jc w:val="both"/>
        <w:rPr>
          <w:rFonts w:ascii="Times New Roman" w:hAnsi="Times New Roman" w:cs="Times New Roman"/>
          <w:sz w:val="24"/>
          <w:szCs w:val="24"/>
        </w:rPr>
      </w:pPr>
      <w:bookmarkStart w:id="2" w:name="_Hlk75191591"/>
      <w:r w:rsidRPr="00D9085C">
        <w:rPr>
          <w:rFonts w:ascii="Times New Roman" w:hAnsi="Times New Roman" w:cs="Times New Roman"/>
          <w:sz w:val="24"/>
          <w:szCs w:val="24"/>
        </w:rPr>
        <w:lastRenderedPageBreak/>
        <w:t>stronger incentives for individuals to manage the risks they are responsible for;</w:t>
      </w:r>
    </w:p>
    <w:p w14:paraId="04F80D33" w14:textId="77777777" w:rsidR="00B8112B" w:rsidRPr="00D9085C" w:rsidRDefault="00B8112B" w:rsidP="000125E4">
      <w:pPr>
        <w:pStyle w:val="ListParagraph"/>
        <w:numPr>
          <w:ilvl w:val="0"/>
          <w:numId w:val="12"/>
        </w:numPr>
        <w:ind w:left="714" w:hanging="357"/>
        <w:contextualSpacing w:val="0"/>
        <w:jc w:val="both"/>
        <w:rPr>
          <w:rFonts w:ascii="Times New Roman" w:hAnsi="Times New Roman" w:cs="Times New Roman"/>
          <w:sz w:val="24"/>
          <w:szCs w:val="24"/>
        </w:rPr>
      </w:pPr>
      <w:r w:rsidRPr="00D9085C">
        <w:rPr>
          <w:rFonts w:ascii="Times New Roman" w:hAnsi="Times New Roman" w:cs="Times New Roman"/>
          <w:sz w:val="24"/>
          <w:szCs w:val="24"/>
        </w:rPr>
        <w:t>appropriate consequences for poor risk outcomes; and</w:t>
      </w:r>
    </w:p>
    <w:p w14:paraId="3B1F149A" w14:textId="26C19A3B" w:rsidR="00B8112B" w:rsidRDefault="00B8112B" w:rsidP="000125E4">
      <w:pPr>
        <w:pStyle w:val="ListParagraph"/>
        <w:numPr>
          <w:ilvl w:val="0"/>
          <w:numId w:val="12"/>
        </w:numPr>
        <w:ind w:left="714" w:hanging="357"/>
        <w:contextualSpacing w:val="0"/>
        <w:jc w:val="both"/>
        <w:rPr>
          <w:rFonts w:ascii="Times New Roman" w:hAnsi="Times New Roman" w:cs="Times New Roman"/>
          <w:sz w:val="24"/>
          <w:szCs w:val="24"/>
        </w:rPr>
      </w:pPr>
      <w:r w:rsidRPr="00D9085C">
        <w:rPr>
          <w:rFonts w:ascii="Times New Roman" w:hAnsi="Times New Roman" w:cs="Times New Roman"/>
          <w:sz w:val="24"/>
          <w:szCs w:val="24"/>
        </w:rPr>
        <w:t xml:space="preserve">increased oversight, </w:t>
      </w:r>
      <w:proofErr w:type="gramStart"/>
      <w:r w:rsidRPr="00D9085C">
        <w:rPr>
          <w:rFonts w:ascii="Times New Roman" w:hAnsi="Times New Roman" w:cs="Times New Roman"/>
          <w:sz w:val="24"/>
          <w:szCs w:val="24"/>
        </w:rPr>
        <w:t>transparency</w:t>
      </w:r>
      <w:proofErr w:type="gramEnd"/>
      <w:r w:rsidRPr="00D9085C">
        <w:rPr>
          <w:rFonts w:ascii="Times New Roman" w:hAnsi="Times New Roman" w:cs="Times New Roman"/>
          <w:sz w:val="24"/>
          <w:szCs w:val="24"/>
        </w:rPr>
        <w:t xml:space="preserve"> and accountability on remuneration.</w:t>
      </w:r>
    </w:p>
    <w:p w14:paraId="0013FC17" w14:textId="2F1782D9" w:rsidR="00F341D7" w:rsidRPr="00274550" w:rsidRDefault="00DA5B0B" w:rsidP="00753E97">
      <w:pPr>
        <w:jc w:val="both"/>
        <w:rPr>
          <w:rFonts w:ascii="Times New Roman" w:hAnsi="Times New Roman" w:cs="Times New Roman"/>
          <w:sz w:val="24"/>
          <w:szCs w:val="24"/>
        </w:rPr>
      </w:pPr>
      <w:r>
        <w:rPr>
          <w:rFonts w:ascii="Times New Roman" w:hAnsi="Times New Roman" w:cs="Times New Roman"/>
          <w:sz w:val="24"/>
          <w:szCs w:val="24"/>
        </w:rPr>
        <w:t>The newly incorporate</w:t>
      </w:r>
      <w:r w:rsidR="00F23DED">
        <w:rPr>
          <w:rFonts w:ascii="Times New Roman" w:hAnsi="Times New Roman" w:cs="Times New Roman"/>
          <w:sz w:val="24"/>
          <w:szCs w:val="24"/>
        </w:rPr>
        <w:t>d</w:t>
      </w:r>
      <w:r>
        <w:rPr>
          <w:rFonts w:ascii="Times New Roman" w:hAnsi="Times New Roman" w:cs="Times New Roman"/>
          <w:sz w:val="24"/>
          <w:szCs w:val="24"/>
        </w:rPr>
        <w:t xml:space="preserve"> disclosure requirements will assist in achieving these objectives </w:t>
      </w:r>
      <w:r w:rsidRPr="008426BD">
        <w:rPr>
          <w:rFonts w:ascii="Times New Roman" w:hAnsi="Times New Roman" w:cs="Times New Roman"/>
          <w:sz w:val="24"/>
          <w:szCs w:val="24"/>
        </w:rPr>
        <w:t>through</w:t>
      </w:r>
      <w:r w:rsidR="00753E97" w:rsidRPr="008426BD">
        <w:rPr>
          <w:rFonts w:ascii="Times New Roman" w:hAnsi="Times New Roman" w:cs="Times New Roman"/>
          <w:sz w:val="24"/>
          <w:szCs w:val="24"/>
        </w:rPr>
        <w:t xml:space="preserve"> </w:t>
      </w:r>
      <w:r w:rsidR="00AE268D" w:rsidRPr="00274550">
        <w:rPr>
          <w:rFonts w:ascii="Times New Roman" w:hAnsi="Times New Roman" w:cs="Times New Roman"/>
          <w:sz w:val="24"/>
          <w:szCs w:val="24"/>
        </w:rPr>
        <w:t xml:space="preserve">facilitating consistent </w:t>
      </w:r>
      <w:r w:rsidR="000577D1" w:rsidRPr="00274550">
        <w:rPr>
          <w:rFonts w:ascii="Times New Roman" w:hAnsi="Times New Roman" w:cs="Times New Roman"/>
          <w:sz w:val="24"/>
          <w:szCs w:val="24"/>
        </w:rPr>
        <w:t xml:space="preserve">disclosure requirements for </w:t>
      </w:r>
      <w:r w:rsidR="00AB37BC" w:rsidRPr="00274550">
        <w:rPr>
          <w:rFonts w:ascii="Times New Roman" w:hAnsi="Times New Roman" w:cs="Times New Roman"/>
          <w:sz w:val="24"/>
          <w:szCs w:val="24"/>
        </w:rPr>
        <w:t>all APRA-regulated entities</w:t>
      </w:r>
      <w:r w:rsidR="006B6120">
        <w:rPr>
          <w:rFonts w:ascii="Times New Roman" w:hAnsi="Times New Roman" w:cs="Times New Roman"/>
          <w:sz w:val="24"/>
          <w:szCs w:val="24"/>
        </w:rPr>
        <w:t>. The disclosures</w:t>
      </w:r>
      <w:r w:rsidR="00AB37BC" w:rsidRPr="00274550">
        <w:rPr>
          <w:rFonts w:ascii="Times New Roman" w:hAnsi="Times New Roman" w:cs="Times New Roman"/>
          <w:sz w:val="24"/>
          <w:szCs w:val="24"/>
        </w:rPr>
        <w:t xml:space="preserve"> </w:t>
      </w:r>
      <w:r w:rsidR="00247B0B">
        <w:rPr>
          <w:rFonts w:ascii="Times New Roman" w:hAnsi="Times New Roman" w:cs="Times New Roman"/>
          <w:sz w:val="24"/>
          <w:szCs w:val="24"/>
        </w:rPr>
        <w:t>will</w:t>
      </w:r>
      <w:r w:rsidR="00E25AEB" w:rsidRPr="00274550">
        <w:rPr>
          <w:rFonts w:ascii="Times New Roman" w:hAnsi="Times New Roman" w:cs="Times New Roman"/>
          <w:sz w:val="24"/>
          <w:szCs w:val="24"/>
        </w:rPr>
        <w:t xml:space="preserve"> demonstrate how their remuneration practices have been strengthened</w:t>
      </w:r>
      <w:r w:rsidR="00753E97" w:rsidRPr="00274550">
        <w:rPr>
          <w:rFonts w:ascii="Times New Roman" w:hAnsi="Times New Roman" w:cs="Times New Roman"/>
          <w:sz w:val="24"/>
          <w:szCs w:val="24"/>
        </w:rPr>
        <w:t xml:space="preserve"> under CPS 511. Specifically, the d</w:t>
      </w:r>
      <w:r w:rsidR="003716AA" w:rsidRPr="00274550">
        <w:rPr>
          <w:rFonts w:ascii="Times New Roman" w:hAnsi="Times New Roman" w:cs="Times New Roman"/>
          <w:sz w:val="24"/>
          <w:szCs w:val="24"/>
        </w:rPr>
        <w:t>isclosures seek to achieve this through requiring entities</w:t>
      </w:r>
      <w:r w:rsidR="00F341D7" w:rsidRPr="00274550">
        <w:rPr>
          <w:rFonts w:ascii="Times New Roman" w:hAnsi="Times New Roman" w:cs="Times New Roman"/>
          <w:sz w:val="24"/>
          <w:szCs w:val="24"/>
        </w:rPr>
        <w:t xml:space="preserve"> to set out:</w:t>
      </w:r>
    </w:p>
    <w:p w14:paraId="1FE093D4" w14:textId="29558BAD" w:rsidR="00F23DED" w:rsidRPr="00274550" w:rsidRDefault="00F341D7" w:rsidP="00F341D7">
      <w:pPr>
        <w:pStyle w:val="ListParagraph"/>
        <w:numPr>
          <w:ilvl w:val="0"/>
          <w:numId w:val="30"/>
        </w:numPr>
        <w:jc w:val="both"/>
        <w:rPr>
          <w:rFonts w:ascii="Times New Roman" w:hAnsi="Times New Roman" w:cs="Times New Roman"/>
          <w:sz w:val="24"/>
          <w:szCs w:val="24"/>
        </w:rPr>
      </w:pPr>
      <w:r w:rsidRPr="00274550">
        <w:rPr>
          <w:rFonts w:ascii="Times New Roman" w:hAnsi="Times New Roman" w:cs="Times New Roman"/>
          <w:sz w:val="24"/>
          <w:szCs w:val="24"/>
        </w:rPr>
        <w:t>how remuneration is aligned with performance and risk;</w:t>
      </w:r>
    </w:p>
    <w:p w14:paraId="370CC2EF" w14:textId="112BBA8C" w:rsidR="00F341D7" w:rsidRPr="00274550" w:rsidRDefault="000E1DE3" w:rsidP="00F341D7">
      <w:pPr>
        <w:pStyle w:val="ListParagraph"/>
        <w:numPr>
          <w:ilvl w:val="0"/>
          <w:numId w:val="30"/>
        </w:numPr>
        <w:jc w:val="both"/>
        <w:rPr>
          <w:rFonts w:ascii="Times New Roman" w:hAnsi="Times New Roman" w:cs="Times New Roman"/>
          <w:sz w:val="24"/>
          <w:szCs w:val="24"/>
        </w:rPr>
      </w:pPr>
      <w:r w:rsidRPr="00274550">
        <w:rPr>
          <w:rFonts w:ascii="Times New Roman" w:hAnsi="Times New Roman" w:cs="Times New Roman"/>
          <w:sz w:val="24"/>
          <w:szCs w:val="24"/>
        </w:rPr>
        <w:t>details of consequences for poor outcomes; and</w:t>
      </w:r>
    </w:p>
    <w:p w14:paraId="04C0EB40" w14:textId="0381F1C6" w:rsidR="000E1DE3" w:rsidRPr="00274550" w:rsidRDefault="000E1DE3" w:rsidP="004E61E5">
      <w:pPr>
        <w:pStyle w:val="ListParagraph"/>
        <w:numPr>
          <w:ilvl w:val="0"/>
          <w:numId w:val="30"/>
        </w:numPr>
        <w:jc w:val="both"/>
        <w:rPr>
          <w:rFonts w:ascii="Times New Roman" w:hAnsi="Times New Roman" w:cs="Times New Roman"/>
          <w:sz w:val="24"/>
          <w:szCs w:val="24"/>
        </w:rPr>
      </w:pPr>
      <w:r w:rsidRPr="00274550">
        <w:rPr>
          <w:rFonts w:ascii="Times New Roman" w:hAnsi="Times New Roman" w:cs="Times New Roman"/>
          <w:sz w:val="24"/>
          <w:szCs w:val="24"/>
        </w:rPr>
        <w:t>for variable remuneration, how non-financial measures have been inc</w:t>
      </w:r>
      <w:r w:rsidR="004E61E5" w:rsidRPr="00274550">
        <w:rPr>
          <w:rFonts w:ascii="Times New Roman" w:hAnsi="Times New Roman" w:cs="Times New Roman"/>
          <w:sz w:val="24"/>
          <w:szCs w:val="24"/>
        </w:rPr>
        <w:t>luded in determining remuneration outcomes.</w:t>
      </w:r>
    </w:p>
    <w:bookmarkEnd w:id="2"/>
    <w:p w14:paraId="262FE165" w14:textId="47FF7D4A" w:rsidR="0082273B" w:rsidRPr="00D9085C" w:rsidRDefault="0082273B" w:rsidP="000125E4">
      <w:pPr>
        <w:jc w:val="both"/>
        <w:rPr>
          <w:rFonts w:ascii="Times New Roman" w:hAnsi="Times New Roman" w:cs="Times New Roman"/>
          <w:sz w:val="24"/>
          <w:szCs w:val="24"/>
        </w:rPr>
      </w:pPr>
      <w:r w:rsidRPr="00D9085C">
        <w:rPr>
          <w:rFonts w:ascii="Times New Roman" w:hAnsi="Times New Roman" w:cs="Times New Roman"/>
          <w:sz w:val="24"/>
          <w:szCs w:val="24"/>
        </w:rPr>
        <w:t>CPS 511 adopts a proportiona</w:t>
      </w:r>
      <w:r w:rsidR="00107B1C">
        <w:rPr>
          <w:rFonts w:ascii="Times New Roman" w:hAnsi="Times New Roman" w:cs="Times New Roman"/>
          <w:sz w:val="24"/>
          <w:szCs w:val="24"/>
        </w:rPr>
        <w:t>te</w:t>
      </w:r>
      <w:r w:rsidRPr="00D9085C">
        <w:rPr>
          <w:rFonts w:ascii="Times New Roman" w:hAnsi="Times New Roman" w:cs="Times New Roman"/>
          <w:sz w:val="24"/>
          <w:szCs w:val="24"/>
        </w:rPr>
        <w:t xml:space="preserve"> approach, meaning </w:t>
      </w:r>
      <w:r w:rsidR="00FA48B0" w:rsidRPr="00D9085C">
        <w:rPr>
          <w:rFonts w:ascii="Times New Roman" w:hAnsi="Times New Roman" w:cs="Times New Roman"/>
          <w:sz w:val="24"/>
          <w:szCs w:val="24"/>
        </w:rPr>
        <w:t>that</w:t>
      </w:r>
      <w:r w:rsidRPr="00D9085C">
        <w:rPr>
          <w:rFonts w:ascii="Times New Roman" w:hAnsi="Times New Roman" w:cs="Times New Roman"/>
          <w:sz w:val="24"/>
          <w:szCs w:val="24"/>
        </w:rPr>
        <w:t xml:space="preserve"> large</w:t>
      </w:r>
      <w:r w:rsidR="00FA48B0" w:rsidRPr="00D9085C">
        <w:rPr>
          <w:rFonts w:ascii="Times New Roman" w:hAnsi="Times New Roman" w:cs="Times New Roman"/>
          <w:sz w:val="24"/>
          <w:szCs w:val="24"/>
        </w:rPr>
        <w:t>r and more</w:t>
      </w:r>
      <w:r w:rsidRPr="00D9085C">
        <w:rPr>
          <w:rFonts w:ascii="Times New Roman" w:hAnsi="Times New Roman" w:cs="Times New Roman"/>
          <w:sz w:val="24"/>
          <w:szCs w:val="24"/>
        </w:rPr>
        <w:t xml:space="preserve"> complex entities (</w:t>
      </w:r>
      <w:r w:rsidR="00777E57">
        <w:rPr>
          <w:rFonts w:ascii="Times New Roman" w:hAnsi="Times New Roman" w:cs="Times New Roman"/>
          <w:sz w:val="24"/>
          <w:szCs w:val="24"/>
        </w:rPr>
        <w:t>s</w:t>
      </w:r>
      <w:r w:rsidRPr="00D9085C">
        <w:rPr>
          <w:rFonts w:ascii="Times New Roman" w:hAnsi="Times New Roman" w:cs="Times New Roman"/>
          <w:sz w:val="24"/>
          <w:szCs w:val="24"/>
        </w:rPr>
        <w:t xml:space="preserve">ignificant </w:t>
      </w:r>
      <w:r w:rsidR="00777E57">
        <w:rPr>
          <w:rFonts w:ascii="Times New Roman" w:hAnsi="Times New Roman" w:cs="Times New Roman"/>
          <w:sz w:val="24"/>
          <w:szCs w:val="24"/>
        </w:rPr>
        <w:t>f</w:t>
      </w:r>
      <w:r w:rsidRPr="00D9085C">
        <w:rPr>
          <w:rFonts w:ascii="Times New Roman" w:hAnsi="Times New Roman" w:cs="Times New Roman"/>
          <w:sz w:val="24"/>
          <w:szCs w:val="24"/>
        </w:rPr>
        <w:t xml:space="preserve">inancial </w:t>
      </w:r>
      <w:r w:rsidR="00777E57">
        <w:rPr>
          <w:rFonts w:ascii="Times New Roman" w:hAnsi="Times New Roman" w:cs="Times New Roman"/>
          <w:sz w:val="24"/>
          <w:szCs w:val="24"/>
        </w:rPr>
        <w:t>i</w:t>
      </w:r>
      <w:r w:rsidRPr="00D9085C">
        <w:rPr>
          <w:rFonts w:ascii="Times New Roman" w:hAnsi="Times New Roman" w:cs="Times New Roman"/>
          <w:sz w:val="24"/>
          <w:szCs w:val="24"/>
        </w:rPr>
        <w:t>nstitutions</w:t>
      </w:r>
      <w:r w:rsidR="003316B0" w:rsidRPr="00D9085C">
        <w:rPr>
          <w:rFonts w:ascii="Times New Roman" w:hAnsi="Times New Roman" w:cs="Times New Roman"/>
          <w:sz w:val="24"/>
          <w:szCs w:val="24"/>
        </w:rPr>
        <w:t xml:space="preserve"> (SFIs)</w:t>
      </w:r>
      <w:r w:rsidRPr="00D9085C">
        <w:rPr>
          <w:rFonts w:ascii="Times New Roman" w:hAnsi="Times New Roman" w:cs="Times New Roman"/>
          <w:sz w:val="24"/>
          <w:szCs w:val="24"/>
        </w:rPr>
        <w:t>)</w:t>
      </w:r>
      <w:r w:rsidR="00FA48B0" w:rsidRPr="00D9085C">
        <w:rPr>
          <w:rFonts w:ascii="Times New Roman" w:hAnsi="Times New Roman" w:cs="Times New Roman"/>
          <w:sz w:val="24"/>
          <w:szCs w:val="24"/>
        </w:rPr>
        <w:t xml:space="preserve"> are subject to higher requirements than smaller and less complex entities</w:t>
      </w:r>
      <w:r w:rsidRPr="00D9085C">
        <w:rPr>
          <w:rFonts w:ascii="Times New Roman" w:hAnsi="Times New Roman" w:cs="Times New Roman"/>
          <w:sz w:val="24"/>
          <w:szCs w:val="24"/>
        </w:rPr>
        <w:t xml:space="preserve">. </w:t>
      </w:r>
    </w:p>
    <w:p w14:paraId="1B277979" w14:textId="3343E7B0" w:rsidR="0082273B" w:rsidRPr="00D9085C" w:rsidRDefault="00D903DC" w:rsidP="000125E4">
      <w:pPr>
        <w:jc w:val="both"/>
        <w:rPr>
          <w:rFonts w:ascii="Times New Roman" w:hAnsi="Times New Roman" w:cs="Times New Roman"/>
          <w:sz w:val="24"/>
          <w:szCs w:val="24"/>
        </w:rPr>
      </w:pPr>
      <w:r w:rsidRPr="00D9085C">
        <w:rPr>
          <w:rFonts w:ascii="Times New Roman" w:hAnsi="Times New Roman" w:cs="Times New Roman"/>
          <w:sz w:val="24"/>
          <w:szCs w:val="24"/>
        </w:rPr>
        <w:t xml:space="preserve">Under </w:t>
      </w:r>
      <w:r w:rsidR="00FA48B0" w:rsidRPr="00D9085C">
        <w:rPr>
          <w:rFonts w:ascii="Times New Roman" w:hAnsi="Times New Roman" w:cs="Times New Roman"/>
          <w:sz w:val="24"/>
          <w:szCs w:val="24"/>
        </w:rPr>
        <w:t>CPS 511</w:t>
      </w:r>
      <w:r w:rsidRPr="00D9085C">
        <w:rPr>
          <w:rFonts w:ascii="Times New Roman" w:hAnsi="Times New Roman" w:cs="Times New Roman"/>
          <w:sz w:val="24"/>
          <w:szCs w:val="24"/>
        </w:rPr>
        <w:t xml:space="preserve">, </w:t>
      </w:r>
      <w:r w:rsidR="007A11E4" w:rsidRPr="00D9085C">
        <w:rPr>
          <w:rFonts w:ascii="Times New Roman" w:hAnsi="Times New Roman" w:cs="Times New Roman"/>
          <w:sz w:val="24"/>
          <w:szCs w:val="24"/>
        </w:rPr>
        <w:t xml:space="preserve">the determination of variable remuneration </w:t>
      </w:r>
      <w:r w:rsidR="008C58D7" w:rsidRPr="00D9085C">
        <w:rPr>
          <w:rFonts w:ascii="Times New Roman" w:hAnsi="Times New Roman" w:cs="Times New Roman"/>
          <w:sz w:val="24"/>
          <w:szCs w:val="24"/>
        </w:rPr>
        <w:t>must include consideration of both financial and non-financial risk management</w:t>
      </w:r>
      <w:r w:rsidRPr="00D9085C">
        <w:rPr>
          <w:rFonts w:ascii="Times New Roman" w:hAnsi="Times New Roman" w:cs="Times New Roman"/>
          <w:sz w:val="24"/>
          <w:szCs w:val="24"/>
        </w:rPr>
        <w:t xml:space="preserve">. </w:t>
      </w:r>
      <w:r w:rsidR="0082273B" w:rsidRPr="00D9085C">
        <w:rPr>
          <w:rFonts w:ascii="Times New Roman" w:hAnsi="Times New Roman" w:cs="Times New Roman"/>
          <w:sz w:val="24"/>
          <w:szCs w:val="24"/>
        </w:rPr>
        <w:t>Entities must also ensure that there are appropriate consequences for adverse risk and conduct outcomes.</w:t>
      </w:r>
    </w:p>
    <w:p w14:paraId="0358218A" w14:textId="0096094B" w:rsidR="00D903DC" w:rsidRPr="00D9085C" w:rsidRDefault="00D903DC" w:rsidP="000125E4">
      <w:pPr>
        <w:jc w:val="both"/>
        <w:rPr>
          <w:rFonts w:ascii="Times New Roman" w:hAnsi="Times New Roman" w:cs="Times New Roman"/>
          <w:sz w:val="24"/>
          <w:szCs w:val="24"/>
        </w:rPr>
      </w:pPr>
      <w:r w:rsidRPr="00D9085C">
        <w:rPr>
          <w:rFonts w:ascii="Times New Roman" w:hAnsi="Times New Roman" w:cs="Times New Roman"/>
          <w:sz w:val="24"/>
          <w:szCs w:val="24"/>
        </w:rPr>
        <w:t xml:space="preserve">SFIs </w:t>
      </w:r>
      <w:r w:rsidR="00501213" w:rsidRPr="00D9085C">
        <w:rPr>
          <w:rFonts w:ascii="Times New Roman" w:hAnsi="Times New Roman" w:cs="Times New Roman"/>
          <w:sz w:val="24"/>
          <w:szCs w:val="24"/>
        </w:rPr>
        <w:t>are</w:t>
      </w:r>
      <w:r w:rsidRPr="00D9085C">
        <w:rPr>
          <w:rFonts w:ascii="Times New Roman" w:hAnsi="Times New Roman" w:cs="Times New Roman"/>
          <w:sz w:val="24"/>
          <w:szCs w:val="24"/>
        </w:rPr>
        <w:t xml:space="preserve"> required to assign a material weight to non-financial measures when determining variable remuneration, and have risk adjustment mechanisms </w:t>
      </w:r>
      <w:r w:rsidR="008C58D7" w:rsidRPr="00D9085C">
        <w:rPr>
          <w:rFonts w:ascii="Times New Roman" w:hAnsi="Times New Roman" w:cs="Times New Roman"/>
          <w:sz w:val="24"/>
          <w:szCs w:val="24"/>
        </w:rPr>
        <w:t>to</w:t>
      </w:r>
      <w:r w:rsidRPr="00D9085C">
        <w:rPr>
          <w:rFonts w:ascii="Times New Roman" w:hAnsi="Times New Roman" w:cs="Times New Roman"/>
          <w:sz w:val="24"/>
          <w:szCs w:val="24"/>
        </w:rPr>
        <w:t xml:space="preserve"> reduce variable remuneration, potentially to zero, where warranted.</w:t>
      </w:r>
      <w:r w:rsidR="007A11E4" w:rsidRPr="00D9085C">
        <w:rPr>
          <w:rFonts w:ascii="Times New Roman" w:hAnsi="Times New Roman" w:cs="Times New Roman"/>
          <w:sz w:val="24"/>
          <w:szCs w:val="24"/>
        </w:rPr>
        <w:t xml:space="preserve"> </w:t>
      </w:r>
    </w:p>
    <w:p w14:paraId="39A99ED0" w14:textId="358226AB" w:rsidR="00D903DC" w:rsidRPr="00D9085C" w:rsidRDefault="00D903DC" w:rsidP="000125E4">
      <w:pPr>
        <w:jc w:val="both"/>
        <w:rPr>
          <w:rFonts w:ascii="Times New Roman" w:hAnsi="Times New Roman" w:cs="Times New Roman"/>
          <w:sz w:val="24"/>
          <w:szCs w:val="24"/>
        </w:rPr>
      </w:pPr>
      <w:r w:rsidRPr="00D9085C">
        <w:rPr>
          <w:rFonts w:ascii="Times New Roman" w:hAnsi="Times New Roman" w:cs="Times New Roman"/>
          <w:sz w:val="24"/>
          <w:szCs w:val="24"/>
        </w:rPr>
        <w:t>Variable remuneration of senior executives at SFIs will also be subject to deferral</w:t>
      </w:r>
      <w:r w:rsidR="00FA48B0" w:rsidRPr="00D9085C">
        <w:rPr>
          <w:rFonts w:ascii="Times New Roman" w:hAnsi="Times New Roman" w:cs="Times New Roman"/>
          <w:sz w:val="24"/>
          <w:szCs w:val="24"/>
        </w:rPr>
        <w:t xml:space="preserve"> requirements</w:t>
      </w:r>
      <w:r w:rsidRPr="00D9085C">
        <w:rPr>
          <w:rFonts w:ascii="Times New Roman" w:hAnsi="Times New Roman" w:cs="Times New Roman"/>
          <w:sz w:val="24"/>
          <w:szCs w:val="24"/>
        </w:rPr>
        <w:t>, combined with provisions for in-</w:t>
      </w:r>
      <w:r w:rsidR="00020529" w:rsidRPr="00D9085C">
        <w:rPr>
          <w:rFonts w:ascii="Times New Roman" w:hAnsi="Times New Roman" w:cs="Times New Roman"/>
          <w:sz w:val="24"/>
          <w:szCs w:val="24"/>
        </w:rPr>
        <w:t>period adjustments</w:t>
      </w:r>
      <w:r w:rsidRPr="00D9085C">
        <w:rPr>
          <w:rFonts w:ascii="Times New Roman" w:hAnsi="Times New Roman" w:cs="Times New Roman"/>
          <w:sz w:val="24"/>
          <w:szCs w:val="24"/>
        </w:rPr>
        <w:t xml:space="preserve">, </w:t>
      </w:r>
      <w:proofErr w:type="gramStart"/>
      <w:r w:rsidRPr="00D9085C">
        <w:rPr>
          <w:rFonts w:ascii="Times New Roman" w:hAnsi="Times New Roman" w:cs="Times New Roman"/>
          <w:sz w:val="24"/>
          <w:szCs w:val="24"/>
        </w:rPr>
        <w:t>malus</w:t>
      </w:r>
      <w:proofErr w:type="gramEnd"/>
      <w:r w:rsidRPr="00D9085C">
        <w:rPr>
          <w:rFonts w:ascii="Times New Roman" w:hAnsi="Times New Roman" w:cs="Times New Roman"/>
          <w:sz w:val="24"/>
          <w:szCs w:val="24"/>
        </w:rPr>
        <w:t xml:space="preserve"> and clawback. </w:t>
      </w:r>
    </w:p>
    <w:p w14:paraId="69CBDABA" w14:textId="0ADB8B4F" w:rsidR="0082273B" w:rsidRDefault="0082273B" w:rsidP="000125E4">
      <w:pPr>
        <w:jc w:val="both"/>
        <w:rPr>
          <w:rFonts w:ascii="Times New Roman" w:hAnsi="Times New Roman" w:cs="Times New Roman"/>
          <w:sz w:val="24"/>
          <w:szCs w:val="24"/>
        </w:rPr>
      </w:pPr>
      <w:r w:rsidRPr="00D9085C">
        <w:rPr>
          <w:rFonts w:ascii="Times New Roman" w:hAnsi="Times New Roman" w:cs="Times New Roman"/>
          <w:sz w:val="24"/>
          <w:szCs w:val="24"/>
        </w:rPr>
        <w:t xml:space="preserve">Smaller and less complex entities (non-SFIs) will be subject to simpler requirements for remuneration design and governance arrangements. </w:t>
      </w:r>
    </w:p>
    <w:p w14:paraId="43AE0060" w14:textId="5FAB3135" w:rsidR="00895031" w:rsidRDefault="00FC0484" w:rsidP="000125E4">
      <w:pPr>
        <w:jc w:val="both"/>
        <w:rPr>
          <w:rFonts w:ascii="Times New Roman" w:hAnsi="Times New Roman" w:cs="Times New Roman"/>
          <w:sz w:val="24"/>
          <w:szCs w:val="24"/>
        </w:rPr>
      </w:pPr>
      <w:r>
        <w:rPr>
          <w:rFonts w:ascii="Times New Roman" w:hAnsi="Times New Roman" w:cs="Times New Roman"/>
          <w:sz w:val="24"/>
          <w:szCs w:val="24"/>
        </w:rPr>
        <w:t xml:space="preserve">A proportionate approach has also been adopted </w:t>
      </w:r>
      <w:r w:rsidR="001F1478">
        <w:rPr>
          <w:rFonts w:ascii="Times New Roman" w:hAnsi="Times New Roman" w:cs="Times New Roman"/>
          <w:sz w:val="24"/>
          <w:szCs w:val="24"/>
        </w:rPr>
        <w:t xml:space="preserve">for remuneration disclosures. SFIs are required to make both </w:t>
      </w:r>
      <w:r w:rsidR="00431E7C">
        <w:rPr>
          <w:rFonts w:ascii="Times New Roman" w:hAnsi="Times New Roman" w:cs="Times New Roman"/>
          <w:sz w:val="24"/>
          <w:szCs w:val="24"/>
        </w:rPr>
        <w:t>quantitative</w:t>
      </w:r>
      <w:r w:rsidR="001F1478">
        <w:rPr>
          <w:rFonts w:ascii="Times New Roman" w:hAnsi="Times New Roman" w:cs="Times New Roman"/>
          <w:sz w:val="24"/>
          <w:szCs w:val="24"/>
        </w:rPr>
        <w:t xml:space="preserve"> and qualitative disclosures. </w:t>
      </w:r>
      <w:r w:rsidR="00ED2310">
        <w:rPr>
          <w:rFonts w:ascii="Times New Roman" w:hAnsi="Times New Roman" w:cs="Times New Roman"/>
          <w:sz w:val="24"/>
          <w:szCs w:val="24"/>
        </w:rPr>
        <w:t>This reflects the fact that these entities typically have mor</w:t>
      </w:r>
      <w:r w:rsidR="000B52FB">
        <w:rPr>
          <w:rFonts w:ascii="Times New Roman" w:hAnsi="Times New Roman" w:cs="Times New Roman"/>
          <w:sz w:val="24"/>
          <w:szCs w:val="24"/>
        </w:rPr>
        <w:t xml:space="preserve">e complex remuneration arrangements and </w:t>
      </w:r>
      <w:r w:rsidR="00BA675C">
        <w:rPr>
          <w:rFonts w:ascii="Times New Roman" w:hAnsi="Times New Roman" w:cs="Times New Roman"/>
          <w:sz w:val="24"/>
          <w:szCs w:val="24"/>
        </w:rPr>
        <w:t>higher proportions of variable remuneration.</w:t>
      </w:r>
      <w:r w:rsidR="0050453C">
        <w:rPr>
          <w:rFonts w:ascii="Times New Roman" w:hAnsi="Times New Roman" w:cs="Times New Roman"/>
          <w:sz w:val="24"/>
          <w:szCs w:val="24"/>
        </w:rPr>
        <w:t xml:space="preserve"> </w:t>
      </w:r>
    </w:p>
    <w:p w14:paraId="37BBFDA0" w14:textId="2F77F87D" w:rsidR="00EC0BAA" w:rsidRPr="00AE14EC" w:rsidRDefault="00EC0BAA" w:rsidP="000125E4">
      <w:pPr>
        <w:jc w:val="both"/>
        <w:rPr>
          <w:rFonts w:ascii="Times New Roman" w:eastAsia="Times New Roman" w:hAnsi="Times New Roman" w:cs="Times New Roman"/>
          <w:b/>
          <w:sz w:val="24"/>
          <w:szCs w:val="24"/>
        </w:rPr>
      </w:pPr>
      <w:r w:rsidRPr="00EC0BAA">
        <w:rPr>
          <w:rFonts w:ascii="Times New Roman" w:hAnsi="Times New Roman" w:cs="Times New Roman"/>
          <w:b/>
          <w:i/>
          <w:sz w:val="24"/>
          <w:szCs w:val="24"/>
        </w:rPr>
        <w:t>Exercise of discretion by APRA</w:t>
      </w:r>
    </w:p>
    <w:p w14:paraId="69C8D608" w14:textId="4E1B73CF" w:rsidR="00E63AB3" w:rsidRPr="00D9085C" w:rsidRDefault="00E63AB3" w:rsidP="000125E4">
      <w:pPr>
        <w:jc w:val="both"/>
        <w:rPr>
          <w:rFonts w:ascii="Times New Roman" w:hAnsi="Times New Roman" w:cs="Times New Roman"/>
          <w:sz w:val="24"/>
          <w:szCs w:val="24"/>
        </w:rPr>
      </w:pPr>
      <w:r w:rsidRPr="00D9085C">
        <w:rPr>
          <w:rFonts w:ascii="Times New Roman" w:hAnsi="Times New Roman" w:cs="Times New Roman"/>
          <w:sz w:val="24"/>
          <w:szCs w:val="24"/>
        </w:rPr>
        <w:t>CPS 511 provides for APRA to exercise various discretions. Decisions made by APRA</w:t>
      </w:r>
      <w:r w:rsidR="00020529" w:rsidRPr="00D9085C">
        <w:rPr>
          <w:rFonts w:ascii="Times New Roman" w:hAnsi="Times New Roman" w:cs="Times New Roman"/>
          <w:sz w:val="24"/>
          <w:szCs w:val="24"/>
        </w:rPr>
        <w:t xml:space="preserve"> in</w:t>
      </w:r>
      <w:r w:rsidRPr="00D9085C">
        <w:rPr>
          <w:rFonts w:ascii="Times New Roman" w:hAnsi="Times New Roman" w:cs="Times New Roman"/>
          <w:sz w:val="24"/>
          <w:szCs w:val="24"/>
        </w:rPr>
        <w:t xml:space="preserve"> exercising those discretions are not subject to merits review. This is because these decisions are preliminary decisions that may facilitate or lead to substantive decisions which are subject to merits review.</w:t>
      </w:r>
    </w:p>
    <w:p w14:paraId="1D74FFAE" w14:textId="2CFFC704" w:rsidR="00CB1037" w:rsidRPr="00D9085C" w:rsidRDefault="00CB1037" w:rsidP="000125E4">
      <w:pPr>
        <w:jc w:val="both"/>
        <w:rPr>
          <w:rFonts w:ascii="Times New Roman" w:hAnsi="Times New Roman" w:cs="Times New Roman"/>
          <w:sz w:val="24"/>
          <w:szCs w:val="24"/>
        </w:rPr>
      </w:pPr>
      <w:r w:rsidRPr="00D9085C">
        <w:rPr>
          <w:rFonts w:ascii="Times New Roman" w:hAnsi="Times New Roman" w:cs="Times New Roman"/>
          <w:sz w:val="24"/>
          <w:szCs w:val="24"/>
        </w:rPr>
        <w:t>Under the Banking Act, Insurance Act, Life Insurance Act and PHIPS Act</w:t>
      </w:r>
      <w:r w:rsidR="00260911" w:rsidRPr="00D9085C">
        <w:rPr>
          <w:rFonts w:ascii="Times New Roman" w:hAnsi="Times New Roman" w:cs="Times New Roman"/>
          <w:sz w:val="24"/>
          <w:szCs w:val="24"/>
        </w:rPr>
        <w:t>,</w:t>
      </w:r>
      <w:r w:rsidRPr="00D9085C">
        <w:rPr>
          <w:rFonts w:ascii="Times New Roman" w:hAnsi="Times New Roman" w:cs="Times New Roman"/>
          <w:sz w:val="24"/>
          <w:szCs w:val="24"/>
        </w:rPr>
        <w:t xml:space="preserve"> a breach of a prudential standard is a breach of the enabling legislation, as each enabling Act provides that </w:t>
      </w:r>
      <w:r w:rsidRPr="00D9085C">
        <w:rPr>
          <w:rFonts w:ascii="Times New Roman" w:hAnsi="Times New Roman" w:cs="Times New Roman"/>
          <w:sz w:val="24"/>
          <w:szCs w:val="24"/>
        </w:rPr>
        <w:lastRenderedPageBreak/>
        <w:t>regulated entities must comply with the standard. Under the SIS Act, it is a condition on all RSE licences that the RSE licensee must comply with the RSE licensee law, which includes prudential standards. However</w:t>
      </w:r>
      <w:r w:rsidR="00E14AC5" w:rsidRPr="00D9085C">
        <w:rPr>
          <w:rFonts w:ascii="Times New Roman" w:hAnsi="Times New Roman" w:cs="Times New Roman"/>
          <w:sz w:val="24"/>
          <w:szCs w:val="24"/>
        </w:rPr>
        <w:t>,</w:t>
      </w:r>
      <w:r w:rsidRPr="00D9085C">
        <w:rPr>
          <w:rFonts w:ascii="Times New Roman" w:hAnsi="Times New Roman" w:cs="Times New Roman"/>
          <w:sz w:val="24"/>
          <w:szCs w:val="24"/>
        </w:rPr>
        <w:t xml:space="preserve"> there are no penalties prescribed for breach of the prudential standards under any of these Acts. </w:t>
      </w:r>
      <w:r w:rsidR="00431E7C" w:rsidRPr="00D9085C">
        <w:rPr>
          <w:rFonts w:ascii="Times New Roman" w:hAnsi="Times New Roman" w:cs="Times New Roman"/>
          <w:sz w:val="24"/>
          <w:szCs w:val="24"/>
        </w:rPr>
        <w:t>Instead,</w:t>
      </w:r>
      <w:r w:rsidRPr="00D9085C">
        <w:rPr>
          <w:rFonts w:ascii="Times New Roman" w:hAnsi="Times New Roman" w:cs="Times New Roman"/>
          <w:sz w:val="24"/>
          <w:szCs w:val="24"/>
        </w:rPr>
        <w:t xml:space="preserve"> an entity’s breach of the enabling legislation or </w:t>
      </w:r>
      <w:r w:rsidR="00C051E4">
        <w:rPr>
          <w:rFonts w:ascii="Times New Roman" w:hAnsi="Times New Roman" w:cs="Times New Roman"/>
          <w:sz w:val="24"/>
          <w:szCs w:val="24"/>
        </w:rPr>
        <w:t>an</w:t>
      </w:r>
      <w:r w:rsidRPr="00D9085C">
        <w:rPr>
          <w:rFonts w:ascii="Times New Roman" w:hAnsi="Times New Roman" w:cs="Times New Roman"/>
          <w:sz w:val="24"/>
          <w:szCs w:val="24"/>
        </w:rPr>
        <w:t xml:space="preserve"> RSE licence condition is grounds for APRA to make further, substantive decisions under the relevant enabling legislation in relation to the entity. Those decisions </w:t>
      </w:r>
      <w:r w:rsidR="002D3389" w:rsidRPr="00D9085C">
        <w:rPr>
          <w:rFonts w:ascii="Times New Roman" w:hAnsi="Times New Roman" w:cs="Times New Roman"/>
          <w:sz w:val="24"/>
          <w:szCs w:val="24"/>
        </w:rPr>
        <w:t>may include the decision</w:t>
      </w:r>
      <w:r w:rsidRPr="00D9085C">
        <w:rPr>
          <w:rFonts w:ascii="Times New Roman" w:hAnsi="Times New Roman" w:cs="Times New Roman"/>
          <w:sz w:val="24"/>
          <w:szCs w:val="24"/>
        </w:rPr>
        <w:t xml:space="preserve">: </w:t>
      </w:r>
    </w:p>
    <w:p w14:paraId="7F415279" w14:textId="36558C65" w:rsidR="00E63AB3" w:rsidRPr="00D9085C" w:rsidRDefault="00E63AB3" w:rsidP="0017757B">
      <w:pPr>
        <w:pStyle w:val="ListParagraph"/>
        <w:numPr>
          <w:ilvl w:val="0"/>
          <w:numId w:val="28"/>
        </w:numPr>
        <w:ind w:left="714" w:hanging="357"/>
        <w:contextualSpacing w:val="0"/>
        <w:jc w:val="both"/>
        <w:rPr>
          <w:rFonts w:ascii="Times New Roman" w:hAnsi="Times New Roman" w:cs="Times New Roman"/>
          <w:sz w:val="24"/>
          <w:szCs w:val="24"/>
        </w:rPr>
      </w:pPr>
      <w:r w:rsidRPr="00D9085C">
        <w:rPr>
          <w:rFonts w:ascii="Times New Roman" w:hAnsi="Times New Roman" w:cs="Times New Roman"/>
          <w:sz w:val="24"/>
          <w:szCs w:val="24"/>
        </w:rPr>
        <w:t>to issue a direction to the regulated entity, including</w:t>
      </w:r>
      <w:r w:rsidR="009045A9" w:rsidRPr="00D9085C">
        <w:rPr>
          <w:rFonts w:ascii="Times New Roman" w:hAnsi="Times New Roman" w:cs="Times New Roman"/>
          <w:sz w:val="24"/>
          <w:szCs w:val="24"/>
        </w:rPr>
        <w:t>:</w:t>
      </w:r>
      <w:r w:rsidRPr="00D9085C">
        <w:rPr>
          <w:rFonts w:ascii="Times New Roman" w:hAnsi="Times New Roman" w:cs="Times New Roman"/>
          <w:sz w:val="24"/>
          <w:szCs w:val="24"/>
        </w:rPr>
        <w:t xml:space="preserve"> a direction to comply with the whole or part of a prudential standard (s</w:t>
      </w:r>
      <w:r w:rsidR="008E0906" w:rsidRPr="00D9085C">
        <w:rPr>
          <w:rFonts w:ascii="Times New Roman" w:hAnsi="Times New Roman" w:cs="Times New Roman"/>
          <w:sz w:val="24"/>
          <w:szCs w:val="24"/>
        </w:rPr>
        <w:t xml:space="preserve">ection </w:t>
      </w:r>
      <w:r w:rsidRPr="00D9085C">
        <w:rPr>
          <w:rFonts w:ascii="Times New Roman" w:hAnsi="Times New Roman" w:cs="Times New Roman"/>
          <w:sz w:val="24"/>
          <w:szCs w:val="24"/>
        </w:rPr>
        <w:t>11CA of the Banking Act, s</w:t>
      </w:r>
      <w:r w:rsidR="000E1240">
        <w:rPr>
          <w:rFonts w:ascii="Times New Roman" w:hAnsi="Times New Roman" w:cs="Times New Roman"/>
          <w:sz w:val="24"/>
          <w:szCs w:val="24"/>
        </w:rPr>
        <w:t>ection</w:t>
      </w:r>
      <w:r w:rsidR="00363AF8">
        <w:rPr>
          <w:rFonts w:ascii="Times New Roman" w:hAnsi="Times New Roman" w:cs="Times New Roman"/>
          <w:sz w:val="24"/>
          <w:szCs w:val="24"/>
        </w:rPr>
        <w:t xml:space="preserve"> </w:t>
      </w:r>
      <w:r w:rsidRPr="00D9085C">
        <w:rPr>
          <w:rFonts w:ascii="Times New Roman" w:hAnsi="Times New Roman" w:cs="Times New Roman"/>
          <w:sz w:val="24"/>
          <w:szCs w:val="24"/>
        </w:rPr>
        <w:t>104 of the Insurance Act, s</w:t>
      </w:r>
      <w:r w:rsidR="008E0906" w:rsidRPr="00D9085C">
        <w:rPr>
          <w:rFonts w:ascii="Times New Roman" w:hAnsi="Times New Roman" w:cs="Times New Roman"/>
          <w:sz w:val="24"/>
          <w:szCs w:val="24"/>
        </w:rPr>
        <w:t xml:space="preserve">ection </w:t>
      </w:r>
      <w:r w:rsidRPr="00D9085C">
        <w:rPr>
          <w:rFonts w:ascii="Times New Roman" w:hAnsi="Times New Roman" w:cs="Times New Roman"/>
          <w:sz w:val="24"/>
          <w:szCs w:val="24"/>
        </w:rPr>
        <w:t>230B of the Life Insurance Act, s</w:t>
      </w:r>
      <w:r w:rsidR="008E0906" w:rsidRPr="00D9085C">
        <w:rPr>
          <w:rFonts w:ascii="Times New Roman" w:hAnsi="Times New Roman" w:cs="Times New Roman"/>
          <w:sz w:val="24"/>
          <w:szCs w:val="24"/>
        </w:rPr>
        <w:t xml:space="preserve">ection </w:t>
      </w:r>
      <w:r w:rsidRPr="00D9085C">
        <w:rPr>
          <w:rFonts w:ascii="Times New Roman" w:hAnsi="Times New Roman" w:cs="Times New Roman"/>
          <w:sz w:val="24"/>
          <w:szCs w:val="24"/>
        </w:rPr>
        <w:t>131D of the SIS Act)</w:t>
      </w:r>
      <w:r w:rsidR="009045A9" w:rsidRPr="00D9085C">
        <w:rPr>
          <w:rFonts w:ascii="Times New Roman" w:hAnsi="Times New Roman" w:cs="Times New Roman"/>
          <w:sz w:val="24"/>
          <w:szCs w:val="24"/>
        </w:rPr>
        <w:t xml:space="preserve">; and </w:t>
      </w:r>
      <w:r w:rsidR="007C287F" w:rsidRPr="00D9085C">
        <w:rPr>
          <w:rFonts w:ascii="Times New Roman" w:hAnsi="Times New Roman" w:cs="Times New Roman"/>
          <w:sz w:val="24"/>
          <w:szCs w:val="24"/>
        </w:rPr>
        <w:t xml:space="preserve">a direction </w:t>
      </w:r>
      <w:r w:rsidR="009045A9" w:rsidRPr="00D9085C">
        <w:rPr>
          <w:rFonts w:ascii="Times New Roman" w:hAnsi="Times New Roman" w:cs="Times New Roman"/>
          <w:sz w:val="24"/>
          <w:szCs w:val="24"/>
        </w:rPr>
        <w:t>to comply with all, or specified obligations, which includes prudential standards (s</w:t>
      </w:r>
      <w:r w:rsidR="008E0906" w:rsidRPr="00D9085C">
        <w:rPr>
          <w:rFonts w:ascii="Times New Roman" w:hAnsi="Times New Roman" w:cs="Times New Roman"/>
          <w:sz w:val="24"/>
          <w:szCs w:val="24"/>
        </w:rPr>
        <w:t xml:space="preserve">ection </w:t>
      </w:r>
      <w:r w:rsidR="009045A9" w:rsidRPr="00D9085C">
        <w:rPr>
          <w:rFonts w:ascii="Times New Roman" w:hAnsi="Times New Roman" w:cs="Times New Roman"/>
          <w:sz w:val="24"/>
          <w:szCs w:val="24"/>
        </w:rPr>
        <w:t>96 of the PHIPS Act)</w:t>
      </w:r>
      <w:r w:rsidR="008E0906" w:rsidRPr="00D9085C">
        <w:rPr>
          <w:rFonts w:ascii="Times New Roman" w:hAnsi="Times New Roman" w:cs="Times New Roman"/>
          <w:sz w:val="24"/>
          <w:szCs w:val="24"/>
        </w:rPr>
        <w:t>;</w:t>
      </w:r>
      <w:r w:rsidR="0010042B" w:rsidRPr="00D9085C">
        <w:rPr>
          <w:rFonts w:ascii="Times New Roman" w:hAnsi="Times New Roman" w:cs="Times New Roman"/>
          <w:sz w:val="24"/>
          <w:szCs w:val="24"/>
        </w:rPr>
        <w:t xml:space="preserve"> or</w:t>
      </w:r>
    </w:p>
    <w:p w14:paraId="11DA7FA1" w14:textId="066C18DB" w:rsidR="009C1A33" w:rsidRPr="00D9085C" w:rsidRDefault="00CB1037" w:rsidP="0017757B">
      <w:pPr>
        <w:pStyle w:val="ListParagraph"/>
        <w:numPr>
          <w:ilvl w:val="0"/>
          <w:numId w:val="28"/>
        </w:numPr>
        <w:jc w:val="both"/>
        <w:rPr>
          <w:rFonts w:ascii="Times New Roman" w:hAnsi="Times New Roman" w:cs="Times New Roman"/>
          <w:sz w:val="24"/>
          <w:szCs w:val="24"/>
        </w:rPr>
      </w:pPr>
      <w:r w:rsidRPr="00D9085C">
        <w:rPr>
          <w:rFonts w:ascii="Times New Roman" w:hAnsi="Times New Roman" w:cs="Times New Roman"/>
          <w:sz w:val="24"/>
          <w:szCs w:val="24"/>
        </w:rPr>
        <w:t>to revoke</w:t>
      </w:r>
      <w:r w:rsidR="007C1798" w:rsidRPr="00D9085C">
        <w:rPr>
          <w:rFonts w:ascii="Times New Roman" w:hAnsi="Times New Roman" w:cs="Times New Roman"/>
          <w:sz w:val="24"/>
          <w:szCs w:val="24"/>
        </w:rPr>
        <w:t>:</w:t>
      </w:r>
      <w:r w:rsidRPr="00D9085C">
        <w:rPr>
          <w:rFonts w:ascii="Times New Roman" w:hAnsi="Times New Roman" w:cs="Times New Roman"/>
          <w:sz w:val="24"/>
          <w:szCs w:val="24"/>
        </w:rPr>
        <w:t xml:space="preserve"> an authority to carry on banking business (section 9A of the Banking Act)</w:t>
      </w:r>
      <w:r w:rsidR="007C1798" w:rsidRPr="00D9085C">
        <w:rPr>
          <w:rFonts w:ascii="Times New Roman" w:hAnsi="Times New Roman" w:cs="Times New Roman"/>
          <w:sz w:val="24"/>
          <w:szCs w:val="24"/>
        </w:rPr>
        <w:t>;</w:t>
      </w:r>
      <w:r w:rsidR="000E76C9" w:rsidRPr="00D9085C">
        <w:rPr>
          <w:rFonts w:ascii="Times New Roman" w:hAnsi="Times New Roman" w:cs="Times New Roman"/>
          <w:sz w:val="24"/>
          <w:szCs w:val="24"/>
        </w:rPr>
        <w:t xml:space="preserve"> </w:t>
      </w:r>
      <w:r w:rsidR="007C1798" w:rsidRPr="00D9085C">
        <w:rPr>
          <w:rFonts w:ascii="Times New Roman" w:hAnsi="Times New Roman" w:cs="Times New Roman"/>
          <w:sz w:val="24"/>
          <w:szCs w:val="24"/>
        </w:rPr>
        <w:t xml:space="preserve"> </w:t>
      </w:r>
      <w:r w:rsidR="000D1C0A" w:rsidRPr="00D9085C">
        <w:rPr>
          <w:rFonts w:ascii="Times New Roman" w:hAnsi="Times New Roman" w:cs="Times New Roman"/>
          <w:sz w:val="24"/>
          <w:szCs w:val="24"/>
        </w:rPr>
        <w:t xml:space="preserve">a </w:t>
      </w:r>
      <w:r w:rsidR="007C1798" w:rsidRPr="00D9085C">
        <w:rPr>
          <w:rFonts w:ascii="Times New Roman" w:hAnsi="Times New Roman" w:cs="Times New Roman"/>
          <w:sz w:val="24"/>
          <w:szCs w:val="24"/>
        </w:rPr>
        <w:t xml:space="preserve">banking </w:t>
      </w:r>
      <w:r w:rsidR="000D1C0A" w:rsidRPr="00D9085C">
        <w:rPr>
          <w:rFonts w:ascii="Times New Roman" w:hAnsi="Times New Roman" w:cs="Times New Roman"/>
          <w:sz w:val="24"/>
          <w:szCs w:val="24"/>
        </w:rPr>
        <w:t xml:space="preserve">NOHC </w:t>
      </w:r>
      <w:r w:rsidR="007C1798" w:rsidRPr="00D9085C">
        <w:rPr>
          <w:rFonts w:ascii="Times New Roman" w:hAnsi="Times New Roman" w:cs="Times New Roman"/>
          <w:sz w:val="24"/>
          <w:szCs w:val="24"/>
        </w:rPr>
        <w:t>authorisation (section</w:t>
      </w:r>
      <w:r w:rsidR="00FE0A88" w:rsidRPr="00D9085C">
        <w:rPr>
          <w:rFonts w:ascii="Times New Roman" w:hAnsi="Times New Roman" w:cs="Times New Roman"/>
          <w:sz w:val="24"/>
          <w:szCs w:val="24"/>
        </w:rPr>
        <w:t xml:space="preserve"> </w:t>
      </w:r>
      <w:r w:rsidR="007C1798" w:rsidRPr="00D9085C">
        <w:rPr>
          <w:rFonts w:ascii="Times New Roman" w:hAnsi="Times New Roman" w:cs="Times New Roman"/>
          <w:sz w:val="24"/>
          <w:szCs w:val="24"/>
        </w:rPr>
        <w:t>11AB of the Banking Act);</w:t>
      </w:r>
      <w:r w:rsidRPr="00D9085C">
        <w:rPr>
          <w:rFonts w:ascii="Times New Roman" w:hAnsi="Times New Roman" w:cs="Times New Roman"/>
          <w:sz w:val="24"/>
          <w:szCs w:val="24"/>
        </w:rPr>
        <w:t xml:space="preserve"> </w:t>
      </w:r>
      <w:r w:rsidR="007C1798" w:rsidRPr="00D9085C">
        <w:rPr>
          <w:rFonts w:ascii="Times New Roman" w:hAnsi="Times New Roman" w:cs="Times New Roman"/>
          <w:sz w:val="24"/>
          <w:szCs w:val="24"/>
        </w:rPr>
        <w:t xml:space="preserve">an authority to carry on </w:t>
      </w:r>
      <w:r w:rsidRPr="00D9085C">
        <w:rPr>
          <w:rFonts w:ascii="Times New Roman" w:hAnsi="Times New Roman" w:cs="Times New Roman"/>
          <w:sz w:val="24"/>
          <w:szCs w:val="24"/>
        </w:rPr>
        <w:t>insurance business (section 15 of the Insurance Act)</w:t>
      </w:r>
      <w:r w:rsidR="007C1798" w:rsidRPr="00D9085C">
        <w:rPr>
          <w:rFonts w:ascii="Times New Roman" w:hAnsi="Times New Roman" w:cs="Times New Roman"/>
          <w:sz w:val="24"/>
          <w:szCs w:val="24"/>
        </w:rPr>
        <w:t xml:space="preserve">; </w:t>
      </w:r>
      <w:r w:rsidR="00777743" w:rsidRPr="00D9085C">
        <w:rPr>
          <w:rFonts w:ascii="Times New Roman" w:hAnsi="Times New Roman" w:cs="Times New Roman"/>
          <w:sz w:val="24"/>
          <w:szCs w:val="24"/>
        </w:rPr>
        <w:t>an</w:t>
      </w:r>
      <w:r w:rsidR="000D1C0A" w:rsidRPr="00D9085C">
        <w:rPr>
          <w:rFonts w:ascii="Times New Roman" w:hAnsi="Times New Roman" w:cs="Times New Roman"/>
          <w:sz w:val="24"/>
          <w:szCs w:val="24"/>
        </w:rPr>
        <w:t xml:space="preserve"> </w:t>
      </w:r>
      <w:r w:rsidR="007C1798" w:rsidRPr="00D9085C">
        <w:rPr>
          <w:rFonts w:ascii="Times New Roman" w:hAnsi="Times New Roman" w:cs="Times New Roman"/>
          <w:sz w:val="24"/>
          <w:szCs w:val="24"/>
        </w:rPr>
        <w:t xml:space="preserve">insurance </w:t>
      </w:r>
      <w:r w:rsidR="000D1C0A" w:rsidRPr="00D9085C">
        <w:rPr>
          <w:rFonts w:ascii="Times New Roman" w:hAnsi="Times New Roman" w:cs="Times New Roman"/>
          <w:sz w:val="24"/>
          <w:szCs w:val="24"/>
        </w:rPr>
        <w:t xml:space="preserve">NOHC </w:t>
      </w:r>
      <w:r w:rsidR="007C1798" w:rsidRPr="00D9085C">
        <w:rPr>
          <w:rFonts w:ascii="Times New Roman" w:hAnsi="Times New Roman" w:cs="Times New Roman"/>
          <w:sz w:val="24"/>
          <w:szCs w:val="24"/>
        </w:rPr>
        <w:t>authorisation (section 21 of the Insurance Act);</w:t>
      </w:r>
      <w:r w:rsidRPr="00D9085C">
        <w:rPr>
          <w:rFonts w:ascii="Times New Roman" w:hAnsi="Times New Roman" w:cs="Times New Roman"/>
          <w:sz w:val="24"/>
          <w:szCs w:val="24"/>
        </w:rPr>
        <w:t xml:space="preserve"> </w:t>
      </w:r>
      <w:r w:rsidR="007C1798" w:rsidRPr="00D9085C">
        <w:rPr>
          <w:rFonts w:ascii="Times New Roman" w:hAnsi="Times New Roman" w:cs="Times New Roman"/>
          <w:sz w:val="24"/>
          <w:szCs w:val="24"/>
        </w:rPr>
        <w:t>registration of</w:t>
      </w:r>
      <w:r w:rsidR="000B49D8" w:rsidRPr="00D9085C">
        <w:rPr>
          <w:rFonts w:ascii="Times New Roman" w:hAnsi="Times New Roman" w:cs="Times New Roman"/>
          <w:sz w:val="24"/>
          <w:szCs w:val="24"/>
        </w:rPr>
        <w:t xml:space="preserve"> </w:t>
      </w:r>
      <w:r w:rsidRPr="00D9085C">
        <w:rPr>
          <w:rFonts w:ascii="Times New Roman" w:hAnsi="Times New Roman" w:cs="Times New Roman"/>
          <w:sz w:val="24"/>
          <w:szCs w:val="24"/>
        </w:rPr>
        <w:t>life insurance business (section 26 of the Life Insurance Act)</w:t>
      </w:r>
      <w:r w:rsidR="007C1798" w:rsidRPr="00D9085C">
        <w:rPr>
          <w:rFonts w:ascii="Times New Roman" w:hAnsi="Times New Roman" w:cs="Times New Roman"/>
          <w:sz w:val="24"/>
          <w:szCs w:val="24"/>
        </w:rPr>
        <w:t xml:space="preserve">; </w:t>
      </w:r>
      <w:r w:rsidR="000D1C0A" w:rsidRPr="00D9085C">
        <w:rPr>
          <w:rFonts w:ascii="Times New Roman" w:hAnsi="Times New Roman" w:cs="Times New Roman"/>
          <w:sz w:val="24"/>
          <w:szCs w:val="24"/>
        </w:rPr>
        <w:t xml:space="preserve">a life </w:t>
      </w:r>
      <w:r w:rsidR="007C1798" w:rsidRPr="00D9085C">
        <w:rPr>
          <w:rFonts w:ascii="Times New Roman" w:hAnsi="Times New Roman" w:cs="Times New Roman"/>
          <w:sz w:val="24"/>
          <w:szCs w:val="24"/>
        </w:rPr>
        <w:t xml:space="preserve">NOHC authorisation (section </w:t>
      </w:r>
      <w:r w:rsidR="008E0906" w:rsidRPr="00D9085C">
        <w:rPr>
          <w:rFonts w:ascii="Times New Roman" w:hAnsi="Times New Roman" w:cs="Times New Roman"/>
          <w:sz w:val="24"/>
          <w:szCs w:val="24"/>
        </w:rPr>
        <w:t>28C of the Life Insurance Act);</w:t>
      </w:r>
      <w:r w:rsidR="000B49D8" w:rsidRPr="00D9085C">
        <w:rPr>
          <w:rFonts w:ascii="Times New Roman" w:hAnsi="Times New Roman" w:cs="Times New Roman"/>
          <w:sz w:val="24"/>
          <w:szCs w:val="24"/>
        </w:rPr>
        <w:t xml:space="preserve"> </w:t>
      </w:r>
      <w:r w:rsidRPr="00D9085C">
        <w:rPr>
          <w:rFonts w:ascii="Times New Roman" w:hAnsi="Times New Roman" w:cs="Times New Roman"/>
          <w:sz w:val="24"/>
          <w:szCs w:val="24"/>
        </w:rPr>
        <w:t>or to revoke an authority to operate an APRA-regulated superannuation fund (section 29G of the SIS Act)</w:t>
      </w:r>
      <w:r w:rsidR="0010042B" w:rsidRPr="00D9085C">
        <w:rPr>
          <w:rFonts w:ascii="Times New Roman" w:hAnsi="Times New Roman" w:cs="Times New Roman"/>
          <w:sz w:val="24"/>
          <w:szCs w:val="24"/>
        </w:rPr>
        <w:t>.</w:t>
      </w:r>
      <w:r w:rsidRPr="00D9085C">
        <w:rPr>
          <w:rFonts w:ascii="Times New Roman" w:hAnsi="Times New Roman" w:cs="Times New Roman"/>
          <w:sz w:val="24"/>
          <w:szCs w:val="24"/>
        </w:rPr>
        <w:t xml:space="preserve"> </w:t>
      </w:r>
    </w:p>
    <w:p w14:paraId="04288D7A" w14:textId="6421C18F" w:rsidR="00800597" w:rsidRPr="00D9085C" w:rsidRDefault="000B49D8" w:rsidP="00777743">
      <w:pPr>
        <w:jc w:val="both"/>
        <w:rPr>
          <w:rFonts w:ascii="Times New Roman" w:hAnsi="Times New Roman" w:cs="Times New Roman"/>
          <w:sz w:val="24"/>
          <w:szCs w:val="24"/>
        </w:rPr>
      </w:pPr>
      <w:r w:rsidRPr="00D9085C">
        <w:rPr>
          <w:rFonts w:ascii="Times New Roman" w:hAnsi="Times New Roman" w:cs="Times New Roman"/>
          <w:sz w:val="24"/>
          <w:szCs w:val="24"/>
        </w:rPr>
        <w:t>It is only at this stage that an entity is</w:t>
      </w:r>
      <w:r w:rsidR="00355413" w:rsidRPr="00D9085C">
        <w:rPr>
          <w:rFonts w:ascii="Times New Roman" w:hAnsi="Times New Roman" w:cs="Times New Roman"/>
          <w:sz w:val="24"/>
          <w:szCs w:val="24"/>
        </w:rPr>
        <w:t xml:space="preserve"> </w:t>
      </w:r>
      <w:r w:rsidRPr="00D9085C">
        <w:rPr>
          <w:rFonts w:ascii="Times New Roman" w:hAnsi="Times New Roman" w:cs="Times New Roman"/>
          <w:sz w:val="24"/>
          <w:szCs w:val="24"/>
        </w:rPr>
        <w:t>exposed to a penalty</w:t>
      </w:r>
      <w:r w:rsidR="000D1C0A" w:rsidRPr="00D9085C">
        <w:rPr>
          <w:rFonts w:ascii="Times New Roman" w:hAnsi="Times New Roman" w:cs="Times New Roman"/>
          <w:sz w:val="24"/>
          <w:szCs w:val="24"/>
        </w:rPr>
        <w:t>,</w:t>
      </w:r>
      <w:r w:rsidRPr="00D9085C">
        <w:rPr>
          <w:rFonts w:ascii="Times New Roman" w:hAnsi="Times New Roman" w:cs="Times New Roman"/>
          <w:sz w:val="24"/>
          <w:szCs w:val="24"/>
        </w:rPr>
        <w:t xml:space="preserve"> loss of licence or imposition of a penalty if it breaches the direction (50 penalty units each day under section 11CG of the Banking Act, section 108 of the Insurance Act</w:t>
      </w:r>
      <w:r w:rsidR="00020529" w:rsidRPr="00D9085C">
        <w:rPr>
          <w:rFonts w:ascii="Times New Roman" w:hAnsi="Times New Roman" w:cs="Times New Roman"/>
          <w:sz w:val="24"/>
          <w:szCs w:val="24"/>
        </w:rPr>
        <w:t>,</w:t>
      </w:r>
      <w:r w:rsidR="00003092" w:rsidRPr="00D9085C">
        <w:rPr>
          <w:rFonts w:ascii="Times New Roman" w:hAnsi="Times New Roman" w:cs="Times New Roman"/>
          <w:sz w:val="24"/>
          <w:szCs w:val="24"/>
        </w:rPr>
        <w:t xml:space="preserve"> and</w:t>
      </w:r>
      <w:r w:rsidRPr="00D9085C">
        <w:rPr>
          <w:rFonts w:ascii="Times New Roman" w:hAnsi="Times New Roman" w:cs="Times New Roman"/>
          <w:sz w:val="24"/>
          <w:szCs w:val="24"/>
        </w:rPr>
        <w:t xml:space="preserve"> section 230F of the Life Insurance Act</w:t>
      </w:r>
      <w:r w:rsidR="00FF149D" w:rsidRPr="00D9085C">
        <w:rPr>
          <w:rFonts w:ascii="Times New Roman" w:hAnsi="Times New Roman" w:cs="Times New Roman"/>
          <w:sz w:val="24"/>
          <w:szCs w:val="24"/>
        </w:rPr>
        <w:t>;</w:t>
      </w:r>
      <w:r w:rsidRPr="00D9085C">
        <w:rPr>
          <w:rFonts w:ascii="Times New Roman" w:hAnsi="Times New Roman" w:cs="Times New Roman"/>
          <w:sz w:val="24"/>
          <w:szCs w:val="24"/>
        </w:rPr>
        <w:t xml:space="preserve"> </w:t>
      </w:r>
      <w:r w:rsidR="00003092" w:rsidRPr="00D9085C">
        <w:rPr>
          <w:rFonts w:ascii="Times New Roman" w:hAnsi="Times New Roman" w:cs="Times New Roman"/>
          <w:sz w:val="24"/>
          <w:szCs w:val="24"/>
        </w:rPr>
        <w:t xml:space="preserve">30 penalty units each day under </w:t>
      </w:r>
      <w:r w:rsidRPr="00D9085C">
        <w:rPr>
          <w:rFonts w:ascii="Times New Roman" w:hAnsi="Times New Roman" w:cs="Times New Roman"/>
          <w:sz w:val="24"/>
          <w:szCs w:val="24"/>
        </w:rPr>
        <w:t xml:space="preserve">section </w:t>
      </w:r>
      <w:r w:rsidR="009045A9" w:rsidRPr="00D9085C">
        <w:rPr>
          <w:rFonts w:ascii="Times New Roman" w:hAnsi="Times New Roman" w:cs="Times New Roman"/>
          <w:sz w:val="24"/>
          <w:szCs w:val="24"/>
        </w:rPr>
        <w:t>104</w:t>
      </w:r>
      <w:r w:rsidRPr="00D9085C">
        <w:rPr>
          <w:rFonts w:ascii="Times New Roman" w:hAnsi="Times New Roman" w:cs="Times New Roman"/>
          <w:sz w:val="24"/>
          <w:szCs w:val="24"/>
        </w:rPr>
        <w:t xml:space="preserve"> of the PHIPS Act</w:t>
      </w:r>
      <w:r w:rsidR="00FF149D" w:rsidRPr="00D9085C">
        <w:rPr>
          <w:rFonts w:ascii="Times New Roman" w:hAnsi="Times New Roman" w:cs="Times New Roman"/>
          <w:sz w:val="24"/>
          <w:szCs w:val="24"/>
        </w:rPr>
        <w:t>;</w:t>
      </w:r>
      <w:r w:rsidRPr="00D9085C">
        <w:rPr>
          <w:rFonts w:ascii="Times New Roman" w:hAnsi="Times New Roman" w:cs="Times New Roman"/>
          <w:sz w:val="24"/>
          <w:szCs w:val="24"/>
        </w:rPr>
        <w:t xml:space="preserve"> and 100 penalty units each day under section 131DD of the SIS Act).</w:t>
      </w:r>
      <w:r w:rsidRPr="00D9085C">
        <w:rPr>
          <w:rStyle w:val="FootnoteReference"/>
          <w:rFonts w:cs="Times New Roman"/>
          <w:color w:val="auto"/>
          <w:szCs w:val="24"/>
        </w:rPr>
        <w:footnoteReference w:id="3"/>
      </w:r>
      <w:r w:rsidRPr="00D9085C">
        <w:rPr>
          <w:rFonts w:ascii="Times New Roman" w:hAnsi="Times New Roman" w:cs="Times New Roman"/>
          <w:sz w:val="24"/>
          <w:szCs w:val="24"/>
        </w:rPr>
        <w:t xml:space="preserve"> </w:t>
      </w:r>
      <w:r w:rsidR="003C1296" w:rsidRPr="00D9085C">
        <w:rPr>
          <w:rFonts w:ascii="Times New Roman" w:hAnsi="Times New Roman" w:cs="Times New Roman"/>
          <w:sz w:val="24"/>
          <w:szCs w:val="24"/>
        </w:rPr>
        <w:t>In nearly all cases,</w:t>
      </w:r>
      <w:r w:rsidR="003C1296" w:rsidRPr="00D9085C">
        <w:rPr>
          <w:rStyle w:val="FootnoteReference"/>
          <w:rFonts w:ascii="Times New Roman" w:hAnsi="Times New Roman" w:cs="Times New Roman"/>
          <w:color w:val="auto"/>
          <w:sz w:val="24"/>
          <w:szCs w:val="24"/>
        </w:rPr>
        <w:footnoteReference w:id="4"/>
      </w:r>
      <w:r w:rsidRPr="00D9085C">
        <w:rPr>
          <w:rFonts w:ascii="Times New Roman" w:hAnsi="Times New Roman" w:cs="Times New Roman"/>
          <w:sz w:val="24"/>
          <w:szCs w:val="24"/>
        </w:rPr>
        <w:t xml:space="preserve"> the decisions are preceded by a full consultation with the regulated entity to raise any concerns they may have in relation to the decision</w:t>
      </w:r>
      <w:r w:rsidR="003C1296" w:rsidRPr="00D9085C">
        <w:rPr>
          <w:rFonts w:ascii="Times New Roman" w:hAnsi="Times New Roman" w:cs="Times New Roman"/>
          <w:sz w:val="24"/>
          <w:szCs w:val="24"/>
        </w:rPr>
        <w:t>.</w:t>
      </w:r>
    </w:p>
    <w:p w14:paraId="5897DF08" w14:textId="53A9FB27" w:rsidR="000E76C9" w:rsidRPr="00D9085C" w:rsidRDefault="000E76C9" w:rsidP="00777743">
      <w:pPr>
        <w:jc w:val="both"/>
        <w:rPr>
          <w:rFonts w:ascii="Times New Roman" w:hAnsi="Times New Roman" w:cs="Times New Roman"/>
          <w:sz w:val="24"/>
          <w:szCs w:val="24"/>
        </w:rPr>
      </w:pPr>
      <w:r w:rsidRPr="00D9085C">
        <w:rPr>
          <w:rFonts w:ascii="Times New Roman" w:hAnsi="Times New Roman" w:cs="Times New Roman"/>
          <w:sz w:val="24"/>
          <w:szCs w:val="24"/>
        </w:rPr>
        <w:t xml:space="preserve">The decisions of APRA to impose a direction are subject to merits review (section 11CA of the Banking Act, section </w:t>
      </w:r>
      <w:r w:rsidR="00020529" w:rsidRPr="00D9085C">
        <w:rPr>
          <w:rFonts w:ascii="Times New Roman" w:hAnsi="Times New Roman" w:cs="Times New Roman"/>
          <w:sz w:val="24"/>
          <w:szCs w:val="24"/>
        </w:rPr>
        <w:t xml:space="preserve">104 </w:t>
      </w:r>
      <w:r w:rsidRPr="00D9085C">
        <w:rPr>
          <w:rFonts w:ascii="Times New Roman" w:hAnsi="Times New Roman" w:cs="Times New Roman"/>
          <w:sz w:val="24"/>
          <w:szCs w:val="24"/>
        </w:rPr>
        <w:t>of the Insurance Act, section 236 of the Life Insurance Act, section</w:t>
      </w:r>
      <w:r w:rsidR="007C1798" w:rsidRPr="00D9085C">
        <w:rPr>
          <w:rFonts w:ascii="Times New Roman" w:hAnsi="Times New Roman" w:cs="Times New Roman"/>
          <w:sz w:val="24"/>
          <w:szCs w:val="24"/>
        </w:rPr>
        <w:t xml:space="preserve"> </w:t>
      </w:r>
      <w:r w:rsidRPr="00D9085C">
        <w:rPr>
          <w:rFonts w:ascii="Times New Roman" w:hAnsi="Times New Roman" w:cs="Times New Roman"/>
          <w:sz w:val="24"/>
          <w:szCs w:val="24"/>
        </w:rPr>
        <w:t xml:space="preserve">168 </w:t>
      </w:r>
      <w:r w:rsidR="000D1C0A" w:rsidRPr="00D9085C">
        <w:rPr>
          <w:rFonts w:ascii="Times New Roman" w:hAnsi="Times New Roman" w:cs="Times New Roman"/>
          <w:sz w:val="24"/>
          <w:szCs w:val="24"/>
        </w:rPr>
        <w:t xml:space="preserve">of the </w:t>
      </w:r>
      <w:r w:rsidRPr="00D9085C">
        <w:rPr>
          <w:rFonts w:ascii="Times New Roman" w:hAnsi="Times New Roman" w:cs="Times New Roman"/>
          <w:sz w:val="24"/>
          <w:szCs w:val="24"/>
        </w:rPr>
        <w:t>PHIPS Act</w:t>
      </w:r>
      <w:r w:rsidR="00213E18">
        <w:rPr>
          <w:rFonts w:ascii="Times New Roman" w:hAnsi="Times New Roman" w:cs="Times New Roman"/>
          <w:sz w:val="24"/>
          <w:szCs w:val="24"/>
        </w:rPr>
        <w:t>,</w:t>
      </w:r>
      <w:r w:rsidR="00096605">
        <w:rPr>
          <w:rFonts w:ascii="Times New Roman" w:hAnsi="Times New Roman" w:cs="Times New Roman"/>
          <w:sz w:val="24"/>
          <w:szCs w:val="24"/>
        </w:rPr>
        <w:t xml:space="preserve"> </w:t>
      </w:r>
      <w:r w:rsidR="00096605" w:rsidRPr="00E30C24">
        <w:rPr>
          <w:rFonts w:ascii="Times New Roman" w:hAnsi="Times New Roman" w:cs="Times New Roman"/>
          <w:sz w:val="24"/>
          <w:szCs w:val="24"/>
        </w:rPr>
        <w:t>and section 344 of the SIS Act</w:t>
      </w:r>
      <w:r w:rsidRPr="00D9085C">
        <w:rPr>
          <w:rFonts w:ascii="Times New Roman" w:hAnsi="Times New Roman" w:cs="Times New Roman"/>
          <w:sz w:val="24"/>
          <w:szCs w:val="24"/>
        </w:rPr>
        <w:t>), which is appropriately available at the point where an entity could be exposed to a penalty.</w:t>
      </w:r>
    </w:p>
    <w:p w14:paraId="150FBFE4" w14:textId="39578F72" w:rsidR="002958BD" w:rsidRPr="00D9085C" w:rsidRDefault="002958BD" w:rsidP="00777743">
      <w:pPr>
        <w:jc w:val="both"/>
        <w:rPr>
          <w:rFonts w:ascii="Times New Roman" w:hAnsi="Times New Roman" w:cs="Times New Roman"/>
          <w:sz w:val="24"/>
          <w:szCs w:val="24"/>
        </w:rPr>
      </w:pPr>
      <w:r w:rsidRPr="00D9085C">
        <w:rPr>
          <w:rFonts w:ascii="Times New Roman" w:hAnsi="Times New Roman" w:cs="Times New Roman"/>
          <w:sz w:val="24"/>
          <w:szCs w:val="24"/>
        </w:rPr>
        <w:lastRenderedPageBreak/>
        <w:t>All decisions to revoke authorisations/registrations under the Banking Act, Insurance Act</w:t>
      </w:r>
      <w:r w:rsidR="00096605">
        <w:rPr>
          <w:rFonts w:ascii="Times New Roman" w:hAnsi="Times New Roman" w:cs="Times New Roman"/>
          <w:sz w:val="24"/>
          <w:szCs w:val="24"/>
        </w:rPr>
        <w:t>,</w:t>
      </w:r>
      <w:r w:rsidRPr="00D9085C">
        <w:rPr>
          <w:rFonts w:ascii="Times New Roman" w:hAnsi="Times New Roman" w:cs="Times New Roman"/>
          <w:sz w:val="24"/>
          <w:szCs w:val="24"/>
        </w:rPr>
        <w:t xml:space="preserve"> Life Insurance Act </w:t>
      </w:r>
      <w:r w:rsidR="00096605">
        <w:rPr>
          <w:rFonts w:ascii="Times New Roman" w:hAnsi="Times New Roman" w:cs="Times New Roman"/>
          <w:sz w:val="24"/>
          <w:szCs w:val="24"/>
        </w:rPr>
        <w:t xml:space="preserve">and SIS Act </w:t>
      </w:r>
      <w:r w:rsidRPr="00D9085C">
        <w:rPr>
          <w:rFonts w:ascii="Times New Roman" w:hAnsi="Times New Roman" w:cs="Times New Roman"/>
          <w:sz w:val="24"/>
          <w:szCs w:val="24"/>
        </w:rPr>
        <w:t>are subject to merits review, unless specifically excluded by the enabling legislation.</w:t>
      </w:r>
    </w:p>
    <w:p w14:paraId="27619836" w14:textId="19311E4A" w:rsidR="008E0906" w:rsidRPr="00D9085C" w:rsidRDefault="008E0906" w:rsidP="00777743">
      <w:pPr>
        <w:jc w:val="both"/>
        <w:rPr>
          <w:rFonts w:ascii="Times New Roman" w:hAnsi="Times New Roman" w:cs="Times New Roman"/>
          <w:sz w:val="24"/>
          <w:szCs w:val="24"/>
        </w:rPr>
      </w:pPr>
      <w:r w:rsidRPr="00D9085C">
        <w:rPr>
          <w:rFonts w:ascii="Times New Roman" w:hAnsi="Times New Roman" w:cs="Times New Roman"/>
          <w:sz w:val="24"/>
          <w:szCs w:val="24"/>
        </w:rPr>
        <w:t xml:space="preserve">Revocation of an authorisation to carry on banking business or a </w:t>
      </w:r>
      <w:r w:rsidR="000D1C0A" w:rsidRPr="00D9085C">
        <w:rPr>
          <w:rFonts w:ascii="Times New Roman" w:hAnsi="Times New Roman" w:cs="Times New Roman"/>
          <w:sz w:val="24"/>
          <w:szCs w:val="24"/>
        </w:rPr>
        <w:t xml:space="preserve">banking </w:t>
      </w:r>
      <w:r w:rsidRPr="00D9085C">
        <w:rPr>
          <w:rFonts w:ascii="Times New Roman" w:hAnsi="Times New Roman" w:cs="Times New Roman"/>
          <w:sz w:val="24"/>
          <w:szCs w:val="24"/>
        </w:rPr>
        <w:t xml:space="preserve">NOHC </w:t>
      </w:r>
      <w:r w:rsidR="000D1C0A" w:rsidRPr="00D9085C">
        <w:rPr>
          <w:rFonts w:ascii="Times New Roman" w:hAnsi="Times New Roman" w:cs="Times New Roman"/>
          <w:sz w:val="24"/>
          <w:szCs w:val="24"/>
        </w:rPr>
        <w:t xml:space="preserve">authorisation </w:t>
      </w:r>
      <w:r w:rsidRPr="00D9085C">
        <w:rPr>
          <w:rFonts w:ascii="Times New Roman" w:hAnsi="Times New Roman" w:cs="Times New Roman"/>
          <w:sz w:val="24"/>
          <w:szCs w:val="24"/>
        </w:rPr>
        <w:t>is subject to merits review unless either:</w:t>
      </w:r>
    </w:p>
    <w:p w14:paraId="62A7A714" w14:textId="5E793C82" w:rsidR="00F63FC1" w:rsidRPr="00D9085C" w:rsidRDefault="008E0906" w:rsidP="0017757B">
      <w:pPr>
        <w:pStyle w:val="ListParagraph"/>
        <w:numPr>
          <w:ilvl w:val="0"/>
          <w:numId w:val="29"/>
        </w:numPr>
        <w:ind w:left="714" w:hanging="357"/>
        <w:contextualSpacing w:val="0"/>
        <w:jc w:val="both"/>
        <w:rPr>
          <w:rFonts w:ascii="Times New Roman" w:hAnsi="Times New Roman" w:cs="Times New Roman"/>
          <w:sz w:val="24"/>
          <w:szCs w:val="24"/>
        </w:rPr>
      </w:pPr>
      <w:r w:rsidRPr="00D9085C">
        <w:rPr>
          <w:rFonts w:ascii="Times New Roman" w:hAnsi="Times New Roman" w:cs="Times New Roman"/>
          <w:sz w:val="24"/>
          <w:szCs w:val="24"/>
        </w:rPr>
        <w:t>APRA has determined that access to natural justice and merits review is contrary to the national interest or contrary to the interests of depositors with the body corporate; or</w:t>
      </w:r>
    </w:p>
    <w:p w14:paraId="2CCE8E01" w14:textId="4B493F21" w:rsidR="008E0906" w:rsidRPr="00D9085C" w:rsidRDefault="008E0906" w:rsidP="0017757B">
      <w:pPr>
        <w:pStyle w:val="ListParagraph"/>
        <w:numPr>
          <w:ilvl w:val="0"/>
          <w:numId w:val="29"/>
        </w:numPr>
        <w:jc w:val="both"/>
        <w:rPr>
          <w:rFonts w:ascii="Times New Roman" w:hAnsi="Times New Roman" w:cs="Times New Roman"/>
          <w:sz w:val="24"/>
          <w:szCs w:val="24"/>
        </w:rPr>
      </w:pPr>
      <w:r w:rsidRPr="00D9085C">
        <w:rPr>
          <w:rFonts w:ascii="Times New Roman" w:hAnsi="Times New Roman" w:cs="Times New Roman"/>
          <w:sz w:val="24"/>
          <w:szCs w:val="24"/>
        </w:rPr>
        <w:t>(in the case of ADIs only) the authority is an authority that is to cease to have effect on a day specified in the authority (</w:t>
      </w:r>
      <w:r w:rsidR="000753A5">
        <w:rPr>
          <w:rFonts w:ascii="Times New Roman" w:hAnsi="Times New Roman" w:cs="Times New Roman"/>
          <w:sz w:val="24"/>
          <w:szCs w:val="24"/>
        </w:rPr>
        <w:t>sub</w:t>
      </w:r>
      <w:r w:rsidRPr="00D9085C">
        <w:rPr>
          <w:rFonts w:ascii="Times New Roman" w:hAnsi="Times New Roman" w:cs="Times New Roman"/>
          <w:sz w:val="24"/>
          <w:szCs w:val="24"/>
        </w:rPr>
        <w:t>s</w:t>
      </w:r>
      <w:r w:rsidR="00F63FC1" w:rsidRPr="00D9085C">
        <w:rPr>
          <w:rFonts w:ascii="Times New Roman" w:hAnsi="Times New Roman" w:cs="Times New Roman"/>
          <w:sz w:val="24"/>
          <w:szCs w:val="24"/>
        </w:rPr>
        <w:t xml:space="preserve">ection </w:t>
      </w:r>
      <w:r w:rsidRPr="00D9085C">
        <w:rPr>
          <w:rFonts w:ascii="Times New Roman" w:hAnsi="Times New Roman" w:cs="Times New Roman"/>
          <w:sz w:val="24"/>
          <w:szCs w:val="24"/>
        </w:rPr>
        <w:t>9</w:t>
      </w:r>
      <w:proofErr w:type="gramStart"/>
      <w:r w:rsidRPr="00D9085C">
        <w:rPr>
          <w:rFonts w:ascii="Times New Roman" w:hAnsi="Times New Roman" w:cs="Times New Roman"/>
          <w:sz w:val="24"/>
          <w:szCs w:val="24"/>
        </w:rPr>
        <w:t>A(</w:t>
      </w:r>
      <w:proofErr w:type="gramEnd"/>
      <w:r w:rsidRPr="00D9085C">
        <w:rPr>
          <w:rFonts w:ascii="Times New Roman" w:hAnsi="Times New Roman" w:cs="Times New Roman"/>
          <w:sz w:val="24"/>
          <w:szCs w:val="24"/>
        </w:rPr>
        <w:t>8)</w:t>
      </w:r>
      <w:r w:rsidR="000D1C0A" w:rsidRPr="00D9085C">
        <w:rPr>
          <w:rFonts w:ascii="Times New Roman" w:hAnsi="Times New Roman" w:cs="Times New Roman"/>
          <w:sz w:val="24"/>
          <w:szCs w:val="24"/>
        </w:rPr>
        <w:t xml:space="preserve"> of the Banking Act</w:t>
      </w:r>
      <w:r w:rsidRPr="00D9085C">
        <w:rPr>
          <w:rFonts w:ascii="Times New Roman" w:hAnsi="Times New Roman" w:cs="Times New Roman"/>
          <w:sz w:val="24"/>
          <w:szCs w:val="24"/>
        </w:rPr>
        <w:t>).</w:t>
      </w:r>
    </w:p>
    <w:p w14:paraId="0B2A9276" w14:textId="55C9D560" w:rsidR="008E0906" w:rsidRPr="00D9085C" w:rsidRDefault="008E0906" w:rsidP="00641582">
      <w:pPr>
        <w:jc w:val="both"/>
        <w:rPr>
          <w:rFonts w:ascii="Times New Roman" w:hAnsi="Times New Roman" w:cs="Times New Roman"/>
          <w:sz w:val="24"/>
          <w:szCs w:val="24"/>
        </w:rPr>
      </w:pPr>
      <w:r w:rsidRPr="00D9085C">
        <w:rPr>
          <w:rFonts w:ascii="Times New Roman" w:hAnsi="Times New Roman" w:cs="Times New Roman"/>
          <w:sz w:val="24"/>
          <w:szCs w:val="24"/>
        </w:rPr>
        <w:t xml:space="preserve">Revocation of an authorisation to carry on insurance business or </w:t>
      </w:r>
      <w:r w:rsidR="00777743" w:rsidRPr="00D9085C">
        <w:rPr>
          <w:rFonts w:ascii="Times New Roman" w:hAnsi="Times New Roman" w:cs="Times New Roman"/>
          <w:sz w:val="24"/>
          <w:szCs w:val="24"/>
        </w:rPr>
        <w:t>an</w:t>
      </w:r>
      <w:r w:rsidRPr="00D9085C">
        <w:rPr>
          <w:rFonts w:ascii="Times New Roman" w:hAnsi="Times New Roman" w:cs="Times New Roman"/>
          <w:sz w:val="24"/>
          <w:szCs w:val="24"/>
        </w:rPr>
        <w:t xml:space="preserve"> </w:t>
      </w:r>
      <w:r w:rsidR="000D1C0A" w:rsidRPr="00D9085C">
        <w:rPr>
          <w:rFonts w:ascii="Times New Roman" w:hAnsi="Times New Roman" w:cs="Times New Roman"/>
          <w:sz w:val="24"/>
          <w:szCs w:val="24"/>
        </w:rPr>
        <w:t xml:space="preserve">insurance </w:t>
      </w:r>
      <w:r w:rsidRPr="00D9085C">
        <w:rPr>
          <w:rFonts w:ascii="Times New Roman" w:hAnsi="Times New Roman" w:cs="Times New Roman"/>
          <w:sz w:val="24"/>
          <w:szCs w:val="24"/>
        </w:rPr>
        <w:t xml:space="preserve">NOHC </w:t>
      </w:r>
      <w:r w:rsidR="000D1C0A" w:rsidRPr="00D9085C">
        <w:rPr>
          <w:rFonts w:ascii="Times New Roman" w:hAnsi="Times New Roman" w:cs="Times New Roman"/>
          <w:sz w:val="24"/>
          <w:szCs w:val="24"/>
        </w:rPr>
        <w:t xml:space="preserve">authorisation </w:t>
      </w:r>
      <w:r w:rsidRPr="00D9085C">
        <w:rPr>
          <w:rFonts w:ascii="Times New Roman" w:hAnsi="Times New Roman" w:cs="Times New Roman"/>
          <w:sz w:val="24"/>
          <w:szCs w:val="24"/>
        </w:rPr>
        <w:t>is subject to merits review (s</w:t>
      </w:r>
      <w:r w:rsidR="00217E36">
        <w:rPr>
          <w:rFonts w:ascii="Times New Roman" w:hAnsi="Times New Roman" w:cs="Times New Roman"/>
          <w:sz w:val="24"/>
          <w:szCs w:val="24"/>
        </w:rPr>
        <w:t>ection</w:t>
      </w:r>
      <w:r w:rsidRPr="00D9085C">
        <w:rPr>
          <w:rFonts w:ascii="Times New Roman" w:hAnsi="Times New Roman" w:cs="Times New Roman"/>
          <w:sz w:val="24"/>
          <w:szCs w:val="24"/>
        </w:rPr>
        <w:t>s 15 and 21</w:t>
      </w:r>
      <w:r w:rsidR="00F63FC1" w:rsidRPr="00D9085C">
        <w:rPr>
          <w:rFonts w:ascii="Times New Roman" w:hAnsi="Times New Roman" w:cs="Times New Roman"/>
          <w:sz w:val="24"/>
          <w:szCs w:val="24"/>
        </w:rPr>
        <w:t xml:space="preserve"> of the</w:t>
      </w:r>
      <w:r w:rsidRPr="00D9085C">
        <w:rPr>
          <w:rFonts w:ascii="Times New Roman" w:hAnsi="Times New Roman" w:cs="Times New Roman"/>
          <w:sz w:val="24"/>
          <w:szCs w:val="24"/>
        </w:rPr>
        <w:t xml:space="preserve"> Insurance Act).</w:t>
      </w:r>
    </w:p>
    <w:p w14:paraId="61D8A4B5" w14:textId="718A2DA9" w:rsidR="00483178" w:rsidRDefault="008E0906" w:rsidP="00483178">
      <w:pPr>
        <w:jc w:val="both"/>
        <w:rPr>
          <w:rFonts w:ascii="Times New Roman" w:hAnsi="Times New Roman" w:cs="Times New Roman"/>
          <w:sz w:val="24"/>
          <w:szCs w:val="24"/>
        </w:rPr>
      </w:pPr>
      <w:r w:rsidRPr="00D9085C">
        <w:rPr>
          <w:rFonts w:ascii="Times New Roman" w:hAnsi="Times New Roman" w:cs="Times New Roman"/>
          <w:sz w:val="24"/>
          <w:szCs w:val="24"/>
        </w:rPr>
        <w:t xml:space="preserve">Revocation of registration as a life insurance company or a </w:t>
      </w:r>
      <w:r w:rsidR="000D1C0A" w:rsidRPr="00D9085C">
        <w:rPr>
          <w:rFonts w:ascii="Times New Roman" w:hAnsi="Times New Roman" w:cs="Times New Roman"/>
          <w:sz w:val="24"/>
          <w:szCs w:val="24"/>
        </w:rPr>
        <w:t xml:space="preserve">life </w:t>
      </w:r>
      <w:r w:rsidRPr="00D9085C">
        <w:rPr>
          <w:rFonts w:ascii="Times New Roman" w:hAnsi="Times New Roman" w:cs="Times New Roman"/>
          <w:sz w:val="24"/>
          <w:szCs w:val="24"/>
        </w:rPr>
        <w:t xml:space="preserve">NOHC </w:t>
      </w:r>
      <w:r w:rsidR="000D1C0A" w:rsidRPr="00D9085C">
        <w:rPr>
          <w:rFonts w:ascii="Times New Roman" w:hAnsi="Times New Roman" w:cs="Times New Roman"/>
          <w:sz w:val="24"/>
          <w:szCs w:val="24"/>
        </w:rPr>
        <w:t xml:space="preserve">authorisation </w:t>
      </w:r>
      <w:r w:rsidRPr="00D9085C">
        <w:rPr>
          <w:rFonts w:ascii="Times New Roman" w:hAnsi="Times New Roman" w:cs="Times New Roman"/>
          <w:sz w:val="24"/>
          <w:szCs w:val="24"/>
        </w:rPr>
        <w:t>is subject to merits review (section 236 of the Life Insurance Act).</w:t>
      </w:r>
      <w:r w:rsidR="004A18BF" w:rsidRPr="00D9085C">
        <w:rPr>
          <w:rFonts w:ascii="Times New Roman" w:hAnsi="Times New Roman" w:cs="Times New Roman"/>
          <w:sz w:val="24"/>
          <w:szCs w:val="24"/>
        </w:rPr>
        <w:t xml:space="preserve"> </w:t>
      </w:r>
      <w:r w:rsidR="000868B7" w:rsidRPr="00D9085C">
        <w:rPr>
          <w:rFonts w:ascii="Times New Roman" w:hAnsi="Times New Roman" w:cs="Times New Roman"/>
          <w:sz w:val="24"/>
          <w:szCs w:val="24"/>
        </w:rPr>
        <w:t xml:space="preserve">The situation in relation to cancellation of registration under the PHIPS Act is different to the other enabling legislation. </w:t>
      </w:r>
    </w:p>
    <w:p w14:paraId="1FFCF4F3" w14:textId="77777777" w:rsidR="005F6A26" w:rsidRPr="005F6A26" w:rsidRDefault="005F6A26" w:rsidP="005F6A26">
      <w:pPr>
        <w:spacing w:before="100" w:beforeAutospacing="1" w:after="100" w:afterAutospacing="1" w:line="240" w:lineRule="auto"/>
        <w:rPr>
          <w:rFonts w:ascii="Times New Roman" w:eastAsia="Times New Roman" w:hAnsi="Times New Roman" w:cs="Times New Roman"/>
          <w:b/>
          <w:i/>
          <w:sz w:val="24"/>
          <w:szCs w:val="24"/>
        </w:rPr>
      </w:pPr>
      <w:r w:rsidRPr="005F6A26">
        <w:rPr>
          <w:rFonts w:ascii="Times New Roman" w:eastAsia="Times New Roman" w:hAnsi="Times New Roman" w:cs="Times New Roman"/>
          <w:b/>
          <w:i/>
          <w:sz w:val="24"/>
          <w:szCs w:val="24"/>
        </w:rPr>
        <w:t xml:space="preserve">Adjust and exclude </w:t>
      </w:r>
      <w:proofErr w:type="gramStart"/>
      <w:r w:rsidRPr="005F6A26">
        <w:rPr>
          <w:rFonts w:ascii="Times New Roman" w:eastAsia="Times New Roman" w:hAnsi="Times New Roman" w:cs="Times New Roman"/>
          <w:b/>
          <w:i/>
          <w:sz w:val="24"/>
          <w:szCs w:val="24"/>
        </w:rPr>
        <w:t>powers</w:t>
      </w:r>
      <w:proofErr w:type="gramEnd"/>
    </w:p>
    <w:p w14:paraId="464DC5F3" w14:textId="70D81FE3" w:rsidR="005F6A26" w:rsidRPr="00EF0369" w:rsidRDefault="005F6A26" w:rsidP="00EF0369">
      <w:pPr>
        <w:jc w:val="both"/>
        <w:rPr>
          <w:rFonts w:ascii="Times New Roman" w:hAnsi="Times New Roman" w:cs="Times New Roman"/>
          <w:sz w:val="24"/>
          <w:szCs w:val="24"/>
        </w:rPr>
      </w:pPr>
      <w:r w:rsidRPr="005F6A26">
        <w:rPr>
          <w:rFonts w:ascii="Times New Roman" w:hAnsi="Times New Roman" w:cs="Times New Roman"/>
          <w:sz w:val="24"/>
          <w:szCs w:val="24"/>
        </w:rPr>
        <w:t xml:space="preserve">CPS </w:t>
      </w:r>
      <w:r>
        <w:rPr>
          <w:rFonts w:ascii="Times New Roman" w:hAnsi="Times New Roman" w:cs="Times New Roman"/>
          <w:sz w:val="24"/>
          <w:szCs w:val="24"/>
        </w:rPr>
        <w:t>511</w:t>
      </w:r>
      <w:r w:rsidRPr="005F6A26">
        <w:rPr>
          <w:rFonts w:ascii="Times New Roman" w:hAnsi="Times New Roman" w:cs="Times New Roman"/>
          <w:sz w:val="24"/>
          <w:szCs w:val="24"/>
        </w:rPr>
        <w:t xml:space="preserve"> gives APRA the discretion to adjust or exclude a provision of the prudential standard (paragraph </w:t>
      </w:r>
      <w:r w:rsidR="00E941C7">
        <w:rPr>
          <w:rFonts w:ascii="Times New Roman" w:hAnsi="Times New Roman" w:cs="Times New Roman"/>
          <w:sz w:val="24"/>
          <w:szCs w:val="24"/>
        </w:rPr>
        <w:t>18</w:t>
      </w:r>
      <w:r w:rsidRPr="005F6A26">
        <w:rPr>
          <w:rFonts w:ascii="Times New Roman" w:hAnsi="Times New Roman" w:cs="Times New Roman"/>
          <w:sz w:val="24"/>
          <w:szCs w:val="24"/>
        </w:rPr>
        <w:t>). The power to create such a discretion is provided for under subsections:</w:t>
      </w:r>
    </w:p>
    <w:p w14:paraId="30AFD38B" w14:textId="77777777" w:rsidR="005F6A26" w:rsidRPr="005F6A26" w:rsidRDefault="005F6A26" w:rsidP="005F6A26">
      <w:pPr>
        <w:numPr>
          <w:ilvl w:val="0"/>
          <w:numId w:val="34"/>
        </w:numPr>
        <w:contextualSpacing/>
        <w:jc w:val="both"/>
        <w:rPr>
          <w:rFonts w:ascii="Times New Roman" w:hAnsi="Times New Roman" w:cs="Times New Roman"/>
          <w:sz w:val="24"/>
          <w:szCs w:val="24"/>
        </w:rPr>
      </w:pPr>
      <w:r w:rsidRPr="005F6A26">
        <w:rPr>
          <w:rFonts w:ascii="Times New Roman" w:hAnsi="Times New Roman" w:cs="Times New Roman"/>
          <w:sz w:val="24"/>
          <w:szCs w:val="24"/>
        </w:rPr>
        <w:t xml:space="preserve">11AF(2) of the Banking Act; </w:t>
      </w:r>
    </w:p>
    <w:p w14:paraId="64535449" w14:textId="77777777" w:rsidR="005F6A26" w:rsidRPr="005F6A26" w:rsidRDefault="005F6A26" w:rsidP="005F6A26">
      <w:pPr>
        <w:numPr>
          <w:ilvl w:val="0"/>
          <w:numId w:val="34"/>
        </w:numPr>
        <w:contextualSpacing/>
        <w:jc w:val="both"/>
        <w:rPr>
          <w:rFonts w:ascii="Times New Roman" w:hAnsi="Times New Roman" w:cs="Times New Roman"/>
          <w:sz w:val="24"/>
          <w:szCs w:val="24"/>
        </w:rPr>
      </w:pPr>
      <w:r w:rsidRPr="005F6A26">
        <w:rPr>
          <w:rFonts w:ascii="Times New Roman" w:hAnsi="Times New Roman" w:cs="Times New Roman"/>
          <w:sz w:val="24"/>
          <w:szCs w:val="24"/>
        </w:rPr>
        <w:t xml:space="preserve">32(3D) of the Insurance Act; </w:t>
      </w:r>
    </w:p>
    <w:p w14:paraId="6BD557B9" w14:textId="77777777" w:rsidR="005F6A26" w:rsidRPr="005F6A26" w:rsidRDefault="005F6A26" w:rsidP="005F6A26">
      <w:pPr>
        <w:numPr>
          <w:ilvl w:val="0"/>
          <w:numId w:val="34"/>
        </w:numPr>
        <w:contextualSpacing/>
        <w:jc w:val="both"/>
        <w:rPr>
          <w:rFonts w:ascii="Times New Roman" w:hAnsi="Times New Roman" w:cs="Times New Roman"/>
          <w:sz w:val="24"/>
          <w:szCs w:val="24"/>
        </w:rPr>
      </w:pPr>
      <w:r w:rsidRPr="005F6A26">
        <w:rPr>
          <w:rFonts w:ascii="Times New Roman" w:hAnsi="Times New Roman" w:cs="Times New Roman"/>
          <w:sz w:val="24"/>
          <w:szCs w:val="24"/>
        </w:rPr>
        <w:t xml:space="preserve">230A(4) of the Life Insurance Act; </w:t>
      </w:r>
    </w:p>
    <w:p w14:paraId="729340ED" w14:textId="77777777" w:rsidR="005F6A26" w:rsidRPr="005F6A26" w:rsidRDefault="005F6A26" w:rsidP="005F6A26">
      <w:pPr>
        <w:numPr>
          <w:ilvl w:val="0"/>
          <w:numId w:val="34"/>
        </w:numPr>
        <w:contextualSpacing/>
        <w:jc w:val="both"/>
        <w:rPr>
          <w:rFonts w:ascii="Times New Roman" w:hAnsi="Times New Roman" w:cs="Times New Roman"/>
          <w:sz w:val="24"/>
          <w:szCs w:val="24"/>
        </w:rPr>
      </w:pPr>
      <w:r w:rsidRPr="005F6A26">
        <w:rPr>
          <w:rFonts w:ascii="Times New Roman" w:hAnsi="Times New Roman" w:cs="Times New Roman"/>
          <w:sz w:val="24"/>
          <w:szCs w:val="24"/>
        </w:rPr>
        <w:t xml:space="preserve">92(4) of the PHIPS Act; and </w:t>
      </w:r>
    </w:p>
    <w:p w14:paraId="162EB385" w14:textId="77777777" w:rsidR="005F6A26" w:rsidRDefault="005F6A26" w:rsidP="005F6A26">
      <w:pPr>
        <w:numPr>
          <w:ilvl w:val="0"/>
          <w:numId w:val="34"/>
        </w:numPr>
        <w:contextualSpacing/>
        <w:jc w:val="both"/>
        <w:rPr>
          <w:rFonts w:ascii="Times New Roman" w:hAnsi="Times New Roman" w:cs="Times New Roman"/>
          <w:sz w:val="24"/>
          <w:szCs w:val="24"/>
        </w:rPr>
      </w:pPr>
      <w:r w:rsidRPr="005F6A26">
        <w:rPr>
          <w:rFonts w:ascii="Times New Roman" w:hAnsi="Times New Roman" w:cs="Times New Roman"/>
          <w:sz w:val="24"/>
          <w:szCs w:val="24"/>
        </w:rPr>
        <w:t xml:space="preserve">34C(5) of the SIS Act. </w:t>
      </w:r>
    </w:p>
    <w:p w14:paraId="046EB2B4" w14:textId="77777777" w:rsidR="00822EEF" w:rsidRPr="005F6A26" w:rsidRDefault="00822EEF" w:rsidP="00822EEF">
      <w:pPr>
        <w:ind w:left="720"/>
        <w:contextualSpacing/>
        <w:jc w:val="both"/>
        <w:rPr>
          <w:rFonts w:ascii="Times New Roman" w:hAnsi="Times New Roman" w:cs="Times New Roman"/>
          <w:sz w:val="24"/>
          <w:szCs w:val="24"/>
        </w:rPr>
      </w:pPr>
    </w:p>
    <w:p w14:paraId="18A9ACB1" w14:textId="77777777" w:rsidR="005F6A26" w:rsidRPr="005F6A26" w:rsidRDefault="005F6A26" w:rsidP="00EF0369">
      <w:pPr>
        <w:jc w:val="both"/>
        <w:rPr>
          <w:rFonts w:ascii="Times New Roman" w:hAnsi="Times New Roman" w:cs="Times New Roman"/>
          <w:sz w:val="24"/>
          <w:szCs w:val="24"/>
        </w:rPr>
      </w:pPr>
      <w:r w:rsidRPr="005F6A26">
        <w:rPr>
          <w:rFonts w:ascii="Times New Roman" w:hAnsi="Times New Roman" w:cs="Times New Roman"/>
          <w:sz w:val="24"/>
          <w:szCs w:val="24"/>
        </w:rPr>
        <w:t xml:space="preserve">APRA may exercise this power when it is satisfied that the adjustment or exclusion of a specific requirement for one or more specified regulated entities will better support APRA in meeting its objectives. For example, the adjustment or exclusion may be necessary to obtain a better prudential outcome than would be the case if the prudential requirement were applied unaltered to a particular regulated entity. A tailored approach would give APRA comfort that the prudential requirements apply appropriately to protect the interests of depositors, </w:t>
      </w:r>
      <w:proofErr w:type="gramStart"/>
      <w:r w:rsidRPr="005F6A26">
        <w:rPr>
          <w:rFonts w:ascii="Times New Roman" w:hAnsi="Times New Roman" w:cs="Times New Roman"/>
          <w:sz w:val="24"/>
          <w:szCs w:val="24"/>
        </w:rPr>
        <w:t>policyholders</w:t>
      </w:r>
      <w:proofErr w:type="gramEnd"/>
      <w:r w:rsidRPr="005F6A26">
        <w:rPr>
          <w:rFonts w:ascii="Times New Roman" w:hAnsi="Times New Roman" w:cs="Times New Roman"/>
          <w:sz w:val="24"/>
          <w:szCs w:val="24"/>
        </w:rPr>
        <w:t xml:space="preserve"> and fund members. APRA will also </w:t>
      </w:r>
      <w:proofErr w:type="gramStart"/>
      <w:r w:rsidRPr="005F6A26">
        <w:rPr>
          <w:rFonts w:ascii="Times New Roman" w:hAnsi="Times New Roman" w:cs="Times New Roman"/>
          <w:sz w:val="24"/>
          <w:szCs w:val="24"/>
        </w:rPr>
        <w:t>take into account</w:t>
      </w:r>
      <w:proofErr w:type="gramEnd"/>
      <w:r w:rsidRPr="005F6A26">
        <w:rPr>
          <w:rFonts w:ascii="Times New Roman" w:hAnsi="Times New Roman" w:cs="Times New Roman"/>
          <w:sz w:val="24"/>
          <w:szCs w:val="24"/>
        </w:rPr>
        <w:t xml:space="preserve"> other considerations, such as efficiency, competition, contestability, competitive neutrality and regulatory burden, including comparisons with an entity’s peer group.</w:t>
      </w:r>
    </w:p>
    <w:p w14:paraId="62634EFC" w14:textId="4052BEB1" w:rsidR="00D36A54" w:rsidRPr="00822EEF" w:rsidRDefault="005F6A26" w:rsidP="005F6A26">
      <w:pPr>
        <w:jc w:val="both"/>
        <w:rPr>
          <w:rFonts w:ascii="Times New Roman" w:hAnsi="Times New Roman" w:cs="Times New Roman"/>
          <w:sz w:val="24"/>
          <w:szCs w:val="24"/>
        </w:rPr>
      </w:pPr>
      <w:r w:rsidRPr="00822EEF">
        <w:rPr>
          <w:rFonts w:ascii="Times New Roman" w:hAnsi="Times New Roman" w:cs="Times New Roman"/>
          <w:sz w:val="24"/>
          <w:szCs w:val="24"/>
        </w:rPr>
        <w:t>The exercise of APRA's powers is governed by a robust decision-making framework which is documented in APRA's internal policies. This framework supports APRA in fulfilling its mandate by limiting decision making to those senior APRA officers with the appropriate experience and skill to exercise prudent judgement. The framework also requires decision makers to seek advice from internal technical experts.</w:t>
      </w:r>
    </w:p>
    <w:p w14:paraId="0913EB4B" w14:textId="77777777" w:rsidR="00E212E5" w:rsidRPr="00EC0BAA" w:rsidRDefault="00E212E5" w:rsidP="00E212E5">
      <w:pPr>
        <w:jc w:val="both"/>
        <w:rPr>
          <w:rFonts w:ascii="Times New Roman" w:hAnsi="Times New Roman" w:cs="Times New Roman"/>
          <w:b/>
          <w:i/>
          <w:sz w:val="24"/>
          <w:szCs w:val="24"/>
        </w:rPr>
      </w:pPr>
      <w:r w:rsidRPr="00EC0BAA">
        <w:rPr>
          <w:rFonts w:ascii="Times New Roman" w:hAnsi="Times New Roman" w:cs="Times New Roman"/>
          <w:b/>
          <w:i/>
          <w:sz w:val="24"/>
          <w:szCs w:val="24"/>
        </w:rPr>
        <w:lastRenderedPageBreak/>
        <w:t xml:space="preserve">Documents incorporated by </w:t>
      </w:r>
      <w:proofErr w:type="gramStart"/>
      <w:r w:rsidRPr="00EC0BAA">
        <w:rPr>
          <w:rFonts w:ascii="Times New Roman" w:hAnsi="Times New Roman" w:cs="Times New Roman"/>
          <w:b/>
          <w:i/>
          <w:sz w:val="24"/>
          <w:szCs w:val="24"/>
        </w:rPr>
        <w:t>reference</w:t>
      </w:r>
      <w:proofErr w:type="gramEnd"/>
    </w:p>
    <w:p w14:paraId="3A5CA29A" w14:textId="42160589" w:rsidR="001309B7" w:rsidRPr="00E30C24" w:rsidRDefault="001309B7" w:rsidP="001309B7">
      <w:pPr>
        <w:rPr>
          <w:rFonts w:ascii="Times New Roman" w:hAnsi="Times New Roman" w:cs="Times New Roman"/>
          <w:sz w:val="24"/>
          <w:szCs w:val="24"/>
        </w:rPr>
      </w:pPr>
      <w:r w:rsidRPr="00E30C24">
        <w:rPr>
          <w:rFonts w:ascii="Times New Roman" w:hAnsi="Times New Roman" w:cs="Times New Roman"/>
          <w:sz w:val="24"/>
          <w:szCs w:val="24"/>
        </w:rPr>
        <w:t xml:space="preserve">Under </w:t>
      </w:r>
      <w:r w:rsidR="00645FA7">
        <w:rPr>
          <w:rFonts w:ascii="Times New Roman" w:hAnsi="Times New Roman" w:cs="Times New Roman"/>
          <w:sz w:val="24"/>
          <w:szCs w:val="24"/>
        </w:rPr>
        <w:t>paragraph</w:t>
      </w:r>
      <w:r w:rsidRPr="00E30C24">
        <w:rPr>
          <w:rFonts w:ascii="Times New Roman" w:hAnsi="Times New Roman" w:cs="Times New Roman"/>
          <w:sz w:val="24"/>
          <w:szCs w:val="24"/>
        </w:rPr>
        <w:t xml:space="preserve"> 14(1)(a) of the </w:t>
      </w:r>
      <w:r w:rsidRPr="00E30C24">
        <w:rPr>
          <w:rFonts w:ascii="Times New Roman" w:hAnsi="Times New Roman" w:cs="Times New Roman"/>
          <w:i/>
          <w:sz w:val="24"/>
          <w:szCs w:val="24"/>
        </w:rPr>
        <w:t>Legislation Act 2003</w:t>
      </w:r>
      <w:r w:rsidRPr="00E30C24">
        <w:rPr>
          <w:rFonts w:ascii="Times New Roman" w:hAnsi="Times New Roman" w:cs="Times New Roman"/>
          <w:sz w:val="24"/>
          <w:szCs w:val="24"/>
        </w:rPr>
        <w:t xml:space="preserve"> (Legislation Act), </w:t>
      </w:r>
      <w:r w:rsidR="0047123A">
        <w:rPr>
          <w:rFonts w:ascii="Times New Roman" w:hAnsi="Times New Roman" w:cs="Times New Roman"/>
          <w:sz w:val="24"/>
          <w:szCs w:val="24"/>
        </w:rPr>
        <w:t>CPS 511</w:t>
      </w:r>
      <w:r w:rsidRPr="00E30C24">
        <w:rPr>
          <w:rFonts w:ascii="Times New Roman" w:hAnsi="Times New Roman" w:cs="Times New Roman"/>
          <w:sz w:val="24"/>
          <w:szCs w:val="24"/>
        </w:rPr>
        <w:t xml:space="preserve"> incorporates by reference the following documents as in force from time to time:</w:t>
      </w:r>
    </w:p>
    <w:p w14:paraId="0ED6C072" w14:textId="1ECB14EF" w:rsidR="001309B7" w:rsidRPr="00E30C24" w:rsidRDefault="001309B7" w:rsidP="001309B7">
      <w:pPr>
        <w:pStyle w:val="ListParagraph"/>
        <w:numPr>
          <w:ilvl w:val="0"/>
          <w:numId w:val="32"/>
        </w:numPr>
        <w:tabs>
          <w:tab w:val="left" w:pos="425"/>
          <w:tab w:val="left" w:pos="851"/>
        </w:tabs>
        <w:spacing w:after="240" w:line="240" w:lineRule="auto"/>
        <w:jc w:val="both"/>
        <w:rPr>
          <w:rFonts w:ascii="Times New Roman" w:hAnsi="Times New Roman" w:cs="Times New Roman"/>
          <w:sz w:val="24"/>
          <w:szCs w:val="24"/>
        </w:rPr>
      </w:pPr>
      <w:r w:rsidRPr="00E30C24">
        <w:rPr>
          <w:rFonts w:ascii="Times New Roman" w:hAnsi="Times New Roman" w:cs="Times New Roman"/>
          <w:sz w:val="24"/>
          <w:szCs w:val="24"/>
        </w:rPr>
        <w:t>Acts of Parliament and associated delegated laws;</w:t>
      </w:r>
      <w:r w:rsidR="4A869337" w:rsidRPr="7E36AAFC">
        <w:rPr>
          <w:rFonts w:ascii="Times New Roman" w:hAnsi="Times New Roman" w:cs="Times New Roman"/>
          <w:sz w:val="24"/>
          <w:szCs w:val="24"/>
        </w:rPr>
        <w:t xml:space="preserve"> and</w:t>
      </w:r>
    </w:p>
    <w:p w14:paraId="5FA1885D" w14:textId="77777777" w:rsidR="001309B7" w:rsidRPr="00E30C24" w:rsidRDefault="001309B7" w:rsidP="001309B7">
      <w:pPr>
        <w:pStyle w:val="ListParagraph"/>
        <w:numPr>
          <w:ilvl w:val="0"/>
          <w:numId w:val="32"/>
        </w:numPr>
        <w:tabs>
          <w:tab w:val="left" w:pos="425"/>
          <w:tab w:val="left" w:pos="851"/>
        </w:tabs>
        <w:spacing w:after="240" w:line="240" w:lineRule="auto"/>
        <w:jc w:val="both"/>
        <w:rPr>
          <w:rFonts w:ascii="Times New Roman" w:hAnsi="Times New Roman" w:cs="Times New Roman"/>
          <w:sz w:val="24"/>
          <w:szCs w:val="24"/>
        </w:rPr>
      </w:pPr>
      <w:r w:rsidRPr="00E30C24">
        <w:rPr>
          <w:rFonts w:ascii="Times New Roman" w:hAnsi="Times New Roman" w:cs="Times New Roman"/>
          <w:sz w:val="24"/>
          <w:szCs w:val="24"/>
        </w:rPr>
        <w:t>Prudential Standards determined by APRA under:</w:t>
      </w:r>
    </w:p>
    <w:p w14:paraId="52F94568" w14:textId="77777777" w:rsidR="001309B7" w:rsidRPr="00E30C24" w:rsidRDefault="001309B7" w:rsidP="001309B7">
      <w:pPr>
        <w:pStyle w:val="ListParagraph"/>
        <w:numPr>
          <w:ilvl w:val="1"/>
          <w:numId w:val="32"/>
        </w:numPr>
        <w:tabs>
          <w:tab w:val="left" w:pos="425"/>
          <w:tab w:val="left" w:pos="851"/>
        </w:tabs>
        <w:spacing w:after="240" w:line="240" w:lineRule="auto"/>
        <w:jc w:val="both"/>
        <w:rPr>
          <w:rFonts w:ascii="Times New Roman" w:hAnsi="Times New Roman" w:cs="Times New Roman"/>
          <w:sz w:val="24"/>
          <w:szCs w:val="24"/>
        </w:rPr>
      </w:pPr>
      <w:r w:rsidRPr="00E30C24">
        <w:rPr>
          <w:rFonts w:ascii="Times New Roman" w:hAnsi="Times New Roman" w:cs="Times New Roman"/>
          <w:sz w:val="24"/>
          <w:szCs w:val="24"/>
        </w:rPr>
        <w:t>subsection 11AF(1) of the Banking Act;</w:t>
      </w:r>
    </w:p>
    <w:p w14:paraId="3FE876A8" w14:textId="77777777" w:rsidR="001309B7" w:rsidRPr="00E30C24" w:rsidRDefault="001309B7" w:rsidP="001309B7">
      <w:pPr>
        <w:pStyle w:val="ListParagraph"/>
        <w:numPr>
          <w:ilvl w:val="1"/>
          <w:numId w:val="32"/>
        </w:numPr>
        <w:tabs>
          <w:tab w:val="left" w:pos="425"/>
          <w:tab w:val="left" w:pos="851"/>
        </w:tabs>
        <w:spacing w:after="240" w:line="240" w:lineRule="auto"/>
        <w:jc w:val="both"/>
        <w:rPr>
          <w:rFonts w:ascii="Times New Roman" w:hAnsi="Times New Roman" w:cs="Times New Roman"/>
          <w:sz w:val="24"/>
          <w:szCs w:val="24"/>
        </w:rPr>
      </w:pPr>
      <w:r w:rsidRPr="00E30C24">
        <w:rPr>
          <w:rFonts w:ascii="Times New Roman" w:hAnsi="Times New Roman" w:cs="Times New Roman"/>
          <w:sz w:val="24"/>
          <w:szCs w:val="24"/>
        </w:rPr>
        <w:t>subsection 32(1) of the  Insurance Act;</w:t>
      </w:r>
    </w:p>
    <w:p w14:paraId="541CD6A2" w14:textId="77777777" w:rsidR="001309B7" w:rsidRPr="00E30C24" w:rsidRDefault="001309B7" w:rsidP="001309B7">
      <w:pPr>
        <w:pStyle w:val="ListParagraph"/>
        <w:numPr>
          <w:ilvl w:val="1"/>
          <w:numId w:val="32"/>
        </w:numPr>
        <w:tabs>
          <w:tab w:val="left" w:pos="425"/>
          <w:tab w:val="left" w:pos="851"/>
        </w:tabs>
        <w:spacing w:after="240" w:line="240" w:lineRule="auto"/>
        <w:jc w:val="both"/>
        <w:rPr>
          <w:rFonts w:ascii="Times New Roman" w:hAnsi="Times New Roman" w:cs="Times New Roman"/>
          <w:sz w:val="24"/>
          <w:szCs w:val="24"/>
        </w:rPr>
      </w:pPr>
      <w:r w:rsidRPr="00E30C24">
        <w:rPr>
          <w:rFonts w:ascii="Times New Roman" w:hAnsi="Times New Roman" w:cs="Times New Roman"/>
          <w:sz w:val="24"/>
          <w:szCs w:val="24"/>
        </w:rPr>
        <w:t>subsection 230A(1) of the Life Insurance Act; and</w:t>
      </w:r>
    </w:p>
    <w:p w14:paraId="7162E941" w14:textId="77777777" w:rsidR="001309B7" w:rsidRPr="00E30C24" w:rsidRDefault="001309B7" w:rsidP="001309B7">
      <w:pPr>
        <w:pStyle w:val="ListParagraph"/>
        <w:numPr>
          <w:ilvl w:val="1"/>
          <w:numId w:val="32"/>
        </w:numPr>
        <w:tabs>
          <w:tab w:val="left" w:pos="425"/>
          <w:tab w:val="left" w:pos="851"/>
        </w:tabs>
        <w:spacing w:after="240" w:line="240" w:lineRule="auto"/>
        <w:jc w:val="both"/>
        <w:rPr>
          <w:rFonts w:ascii="Times New Roman" w:hAnsi="Times New Roman" w:cs="Times New Roman"/>
          <w:sz w:val="24"/>
          <w:szCs w:val="24"/>
        </w:rPr>
      </w:pPr>
      <w:r w:rsidRPr="00E30C24">
        <w:rPr>
          <w:rFonts w:ascii="Times New Roman" w:hAnsi="Times New Roman" w:cs="Times New Roman"/>
          <w:sz w:val="24"/>
          <w:szCs w:val="24"/>
        </w:rPr>
        <w:t>subsection 92(1) of the PHIPS Act.</w:t>
      </w:r>
    </w:p>
    <w:p w14:paraId="7A9B4BBC" w14:textId="52930BAB" w:rsidR="001309B7" w:rsidRPr="00E30C24" w:rsidRDefault="001309B7" w:rsidP="001309B7">
      <w:pPr>
        <w:spacing w:after="240" w:line="240" w:lineRule="auto"/>
        <w:jc w:val="both"/>
        <w:rPr>
          <w:rFonts w:ascii="Times New Roman" w:hAnsi="Times New Roman" w:cs="Times New Roman"/>
          <w:sz w:val="24"/>
          <w:szCs w:val="24"/>
        </w:rPr>
      </w:pPr>
      <w:r w:rsidRPr="00E30C24">
        <w:rPr>
          <w:rFonts w:ascii="Times New Roman" w:hAnsi="Times New Roman" w:cs="Times New Roman"/>
          <w:sz w:val="24"/>
          <w:szCs w:val="24"/>
        </w:rPr>
        <w:t xml:space="preserve">Under </w:t>
      </w:r>
      <w:r w:rsidR="00627357">
        <w:rPr>
          <w:rFonts w:ascii="Times New Roman" w:hAnsi="Times New Roman" w:cs="Times New Roman"/>
          <w:sz w:val="24"/>
          <w:szCs w:val="24"/>
        </w:rPr>
        <w:t>paragraph</w:t>
      </w:r>
      <w:r w:rsidRPr="00E30C24">
        <w:rPr>
          <w:rFonts w:ascii="Times New Roman" w:hAnsi="Times New Roman" w:cs="Times New Roman"/>
          <w:sz w:val="24"/>
          <w:szCs w:val="24"/>
        </w:rPr>
        <w:t xml:space="preserve"> 14(1)(b) of the Legislation Act, where </w:t>
      </w:r>
      <w:r w:rsidR="00753E7E">
        <w:rPr>
          <w:rFonts w:ascii="Times New Roman" w:hAnsi="Times New Roman" w:cs="Times New Roman"/>
          <w:sz w:val="24"/>
          <w:szCs w:val="24"/>
        </w:rPr>
        <w:t>CPS 511</w:t>
      </w:r>
      <w:r w:rsidRPr="00E30C24">
        <w:rPr>
          <w:rFonts w:ascii="Times New Roman" w:hAnsi="Times New Roman" w:cs="Times New Roman"/>
          <w:sz w:val="24"/>
          <w:szCs w:val="24"/>
        </w:rPr>
        <w:t xml:space="preserve"> incorporates by reference another Superannuation Prudential Standard determined by APRA under section 34C of the SIS Act, the Superannuation Prudential Standard referred to is the version that exists at the time the Instrument was determined.</w:t>
      </w:r>
    </w:p>
    <w:p w14:paraId="32B56582" w14:textId="77777777" w:rsidR="001309B7" w:rsidRPr="00C30BC5" w:rsidRDefault="001309B7" w:rsidP="001309B7">
      <w:pPr>
        <w:spacing w:after="240" w:line="240" w:lineRule="auto"/>
        <w:jc w:val="both"/>
        <w:rPr>
          <w:rFonts w:ascii="Times New Roman" w:hAnsi="Times New Roman" w:cs="Times New Roman"/>
          <w:sz w:val="24"/>
          <w:szCs w:val="24"/>
        </w:rPr>
      </w:pPr>
      <w:r w:rsidRPr="00E30C24">
        <w:rPr>
          <w:rFonts w:ascii="Times New Roman" w:hAnsi="Times New Roman" w:cs="Times New Roman"/>
          <w:sz w:val="24"/>
          <w:szCs w:val="24"/>
        </w:rPr>
        <w:t>All documents incorporated by reference in this standard are available on the Federal Register of Legislation at www.legislation.gov.au.</w:t>
      </w:r>
    </w:p>
    <w:p w14:paraId="26D38415" w14:textId="51C85349" w:rsidR="00197A23" w:rsidRPr="00D9085C" w:rsidRDefault="00E71019" w:rsidP="00641582">
      <w:pPr>
        <w:pStyle w:val="ListParagraph"/>
        <w:numPr>
          <w:ilvl w:val="0"/>
          <w:numId w:val="22"/>
        </w:numPr>
        <w:spacing w:after="240" w:line="240" w:lineRule="auto"/>
        <w:ind w:left="567" w:hanging="567"/>
        <w:jc w:val="both"/>
        <w:rPr>
          <w:rFonts w:ascii="Times New Roman" w:hAnsi="Times New Roman" w:cs="Times New Roman"/>
          <w:b/>
          <w:sz w:val="24"/>
          <w:szCs w:val="24"/>
          <w:lang w:eastAsia="en-US"/>
        </w:rPr>
      </w:pPr>
      <w:r w:rsidRPr="00D9085C">
        <w:rPr>
          <w:rFonts w:ascii="Times New Roman" w:hAnsi="Times New Roman" w:cs="Times New Roman"/>
          <w:b/>
          <w:sz w:val="24"/>
          <w:szCs w:val="24"/>
          <w:lang w:eastAsia="en-US"/>
        </w:rPr>
        <w:t>Consultation</w:t>
      </w:r>
    </w:p>
    <w:p w14:paraId="371A9C25" w14:textId="2501E711" w:rsidR="002A6717" w:rsidRDefault="00FA52E6" w:rsidP="00641582">
      <w:pPr>
        <w:jc w:val="both"/>
        <w:rPr>
          <w:rFonts w:ascii="Times New Roman" w:hAnsi="Times New Roman" w:cs="Times New Roman"/>
          <w:sz w:val="24"/>
          <w:szCs w:val="24"/>
        </w:rPr>
      </w:pPr>
      <w:r w:rsidRPr="00D9085C">
        <w:rPr>
          <w:rFonts w:ascii="Times New Roman" w:hAnsi="Times New Roman" w:cs="Times New Roman"/>
          <w:sz w:val="24"/>
          <w:szCs w:val="24"/>
        </w:rPr>
        <w:t xml:space="preserve">In </w:t>
      </w:r>
      <w:r>
        <w:rPr>
          <w:rFonts w:ascii="Times New Roman" w:hAnsi="Times New Roman" w:cs="Times New Roman"/>
          <w:sz w:val="24"/>
          <w:szCs w:val="24"/>
        </w:rPr>
        <w:t>July</w:t>
      </w:r>
      <w:r w:rsidRPr="00D9085C">
        <w:rPr>
          <w:rFonts w:ascii="Times New Roman" w:hAnsi="Times New Roman" w:cs="Times New Roman"/>
          <w:sz w:val="24"/>
          <w:szCs w:val="24"/>
        </w:rPr>
        <w:t xml:space="preserve"> 202</w:t>
      </w:r>
      <w:r>
        <w:rPr>
          <w:rFonts w:ascii="Times New Roman" w:hAnsi="Times New Roman" w:cs="Times New Roman"/>
          <w:sz w:val="24"/>
          <w:szCs w:val="24"/>
        </w:rPr>
        <w:t>2</w:t>
      </w:r>
      <w:r w:rsidRPr="00D9085C">
        <w:rPr>
          <w:rFonts w:ascii="Times New Roman" w:hAnsi="Times New Roman" w:cs="Times New Roman"/>
          <w:sz w:val="24"/>
          <w:szCs w:val="24"/>
        </w:rPr>
        <w:t xml:space="preserve">, APRA released a </w:t>
      </w:r>
      <w:r>
        <w:rPr>
          <w:rFonts w:ascii="Times New Roman" w:hAnsi="Times New Roman" w:cs="Times New Roman"/>
          <w:sz w:val="24"/>
          <w:szCs w:val="24"/>
        </w:rPr>
        <w:t>Discussion paper on proposed revisions to CPS 511 to incorporate disclosure requirements for remuneration frameworks and outcomes</w:t>
      </w:r>
      <w:r w:rsidRPr="00D9085C">
        <w:rPr>
          <w:rFonts w:ascii="Times New Roman" w:hAnsi="Times New Roman" w:cs="Times New Roman"/>
          <w:sz w:val="24"/>
          <w:szCs w:val="24"/>
        </w:rPr>
        <w:t>. This included a set of revised policy proposals for consultation.</w:t>
      </w:r>
      <w:r w:rsidR="006B564F">
        <w:rPr>
          <w:rStyle w:val="FootnoteReference"/>
          <w:rFonts w:cs="Times New Roman"/>
          <w:szCs w:val="24"/>
        </w:rPr>
        <w:footnoteReference w:id="5"/>
      </w:r>
    </w:p>
    <w:p w14:paraId="244EF219" w14:textId="32A2687C" w:rsidR="00B22E51" w:rsidRPr="00D9085C" w:rsidRDefault="002A6717" w:rsidP="00641582">
      <w:pPr>
        <w:jc w:val="both"/>
        <w:rPr>
          <w:rFonts w:ascii="Times New Roman" w:hAnsi="Times New Roman" w:cs="Times New Roman"/>
          <w:sz w:val="24"/>
          <w:szCs w:val="24"/>
        </w:rPr>
      </w:pPr>
      <w:r>
        <w:rPr>
          <w:rFonts w:ascii="Times New Roman" w:hAnsi="Times New Roman" w:cs="Times New Roman"/>
          <w:sz w:val="24"/>
          <w:szCs w:val="24"/>
        </w:rPr>
        <w:t xml:space="preserve">APRA also </w:t>
      </w:r>
      <w:r w:rsidR="00E070E1">
        <w:rPr>
          <w:rFonts w:ascii="Times New Roman" w:hAnsi="Times New Roman" w:cs="Times New Roman"/>
          <w:sz w:val="24"/>
          <w:szCs w:val="24"/>
        </w:rPr>
        <w:t xml:space="preserve">met with </w:t>
      </w:r>
      <w:r w:rsidR="00B22E51" w:rsidRPr="00D9085C">
        <w:rPr>
          <w:rFonts w:ascii="Times New Roman" w:hAnsi="Times New Roman" w:cs="Times New Roman"/>
          <w:sz w:val="24"/>
          <w:szCs w:val="24"/>
        </w:rPr>
        <w:t xml:space="preserve">stakeholders, including individual </w:t>
      </w:r>
      <w:r w:rsidR="00CE6CEC" w:rsidRPr="00D9085C">
        <w:rPr>
          <w:rFonts w:ascii="Times New Roman" w:hAnsi="Times New Roman" w:cs="Times New Roman"/>
          <w:sz w:val="24"/>
          <w:szCs w:val="24"/>
        </w:rPr>
        <w:t>entities</w:t>
      </w:r>
      <w:r w:rsidR="00B22E51" w:rsidRPr="00D9085C">
        <w:rPr>
          <w:rFonts w:ascii="Times New Roman" w:hAnsi="Times New Roman" w:cs="Times New Roman"/>
          <w:sz w:val="24"/>
          <w:szCs w:val="24"/>
        </w:rPr>
        <w:t>, industry associations</w:t>
      </w:r>
      <w:r w:rsidR="00CE6CEC" w:rsidRPr="00D9085C">
        <w:rPr>
          <w:rFonts w:ascii="Times New Roman" w:hAnsi="Times New Roman" w:cs="Times New Roman"/>
          <w:sz w:val="24"/>
          <w:szCs w:val="24"/>
        </w:rPr>
        <w:t xml:space="preserve"> </w:t>
      </w:r>
      <w:r w:rsidR="00974F8D">
        <w:rPr>
          <w:rFonts w:ascii="Times New Roman" w:hAnsi="Times New Roman" w:cs="Times New Roman"/>
          <w:sz w:val="24"/>
          <w:szCs w:val="24"/>
        </w:rPr>
        <w:t xml:space="preserve">and remuneration </w:t>
      </w:r>
      <w:r w:rsidR="00CE6CEC" w:rsidRPr="00D9085C">
        <w:rPr>
          <w:rFonts w:ascii="Times New Roman" w:hAnsi="Times New Roman" w:cs="Times New Roman"/>
          <w:sz w:val="24"/>
          <w:szCs w:val="24"/>
        </w:rPr>
        <w:t>consultants</w:t>
      </w:r>
      <w:r w:rsidR="00E070E1">
        <w:rPr>
          <w:rFonts w:ascii="Times New Roman" w:hAnsi="Times New Roman" w:cs="Times New Roman"/>
          <w:sz w:val="24"/>
          <w:szCs w:val="24"/>
        </w:rPr>
        <w:t xml:space="preserve"> to discuss the proposals and </w:t>
      </w:r>
      <w:r w:rsidR="00B07236">
        <w:rPr>
          <w:rFonts w:ascii="Times New Roman" w:hAnsi="Times New Roman" w:cs="Times New Roman"/>
          <w:sz w:val="24"/>
          <w:szCs w:val="24"/>
        </w:rPr>
        <w:t xml:space="preserve">to </w:t>
      </w:r>
      <w:r w:rsidR="00E070E1">
        <w:rPr>
          <w:rFonts w:ascii="Times New Roman" w:hAnsi="Times New Roman" w:cs="Times New Roman"/>
          <w:sz w:val="24"/>
          <w:szCs w:val="24"/>
        </w:rPr>
        <w:t>seek feedback</w:t>
      </w:r>
      <w:r w:rsidR="00647788" w:rsidRPr="00D9085C">
        <w:rPr>
          <w:rFonts w:ascii="Times New Roman" w:hAnsi="Times New Roman" w:cs="Times New Roman"/>
          <w:sz w:val="24"/>
          <w:szCs w:val="24"/>
        </w:rPr>
        <w:t>.</w:t>
      </w:r>
    </w:p>
    <w:p w14:paraId="4AB816CF" w14:textId="2FCEFCC6" w:rsidR="00C74B23" w:rsidRDefault="00DF49D8" w:rsidP="00641582">
      <w:pPr>
        <w:jc w:val="both"/>
        <w:rPr>
          <w:rFonts w:ascii="Times New Roman" w:hAnsi="Times New Roman" w:cs="Times New Roman"/>
          <w:sz w:val="24"/>
          <w:szCs w:val="24"/>
        </w:rPr>
      </w:pPr>
      <w:r w:rsidRPr="00D9085C">
        <w:rPr>
          <w:rFonts w:ascii="Times New Roman" w:hAnsi="Times New Roman" w:cs="Times New Roman"/>
          <w:sz w:val="24"/>
          <w:szCs w:val="24"/>
        </w:rPr>
        <w:t xml:space="preserve">In </w:t>
      </w:r>
      <w:r w:rsidR="00E3421C">
        <w:rPr>
          <w:rFonts w:ascii="Times New Roman" w:hAnsi="Times New Roman" w:cs="Times New Roman"/>
          <w:sz w:val="24"/>
          <w:szCs w:val="24"/>
        </w:rPr>
        <w:t>June 2023</w:t>
      </w:r>
      <w:r w:rsidRPr="00D9085C">
        <w:rPr>
          <w:rFonts w:ascii="Times New Roman" w:hAnsi="Times New Roman" w:cs="Times New Roman"/>
          <w:sz w:val="24"/>
          <w:szCs w:val="24"/>
        </w:rPr>
        <w:t>, APR</w:t>
      </w:r>
      <w:r w:rsidR="00B22E51" w:rsidRPr="00D9085C">
        <w:rPr>
          <w:rFonts w:ascii="Times New Roman" w:hAnsi="Times New Roman" w:cs="Times New Roman"/>
          <w:sz w:val="24"/>
          <w:szCs w:val="24"/>
        </w:rPr>
        <w:t>A</w:t>
      </w:r>
      <w:r w:rsidRPr="00D9085C">
        <w:rPr>
          <w:rFonts w:ascii="Times New Roman" w:hAnsi="Times New Roman" w:cs="Times New Roman"/>
          <w:sz w:val="24"/>
          <w:szCs w:val="24"/>
        </w:rPr>
        <w:t xml:space="preserve"> released a response to s</w:t>
      </w:r>
      <w:r w:rsidR="00B22E51" w:rsidRPr="00D9085C">
        <w:rPr>
          <w:rFonts w:ascii="Times New Roman" w:hAnsi="Times New Roman" w:cs="Times New Roman"/>
          <w:sz w:val="24"/>
          <w:szCs w:val="24"/>
        </w:rPr>
        <w:t xml:space="preserve">ubmissions to the </w:t>
      </w:r>
      <w:r w:rsidR="00AB1F56">
        <w:rPr>
          <w:rFonts w:ascii="Times New Roman" w:hAnsi="Times New Roman" w:cs="Times New Roman"/>
          <w:sz w:val="24"/>
          <w:szCs w:val="24"/>
        </w:rPr>
        <w:t>July</w:t>
      </w:r>
      <w:r w:rsidR="00AB1F56" w:rsidRPr="00D9085C">
        <w:rPr>
          <w:rFonts w:ascii="Times New Roman" w:hAnsi="Times New Roman" w:cs="Times New Roman"/>
          <w:sz w:val="24"/>
          <w:szCs w:val="24"/>
        </w:rPr>
        <w:t xml:space="preserve"> </w:t>
      </w:r>
      <w:r w:rsidR="00B22E51" w:rsidRPr="00D9085C">
        <w:rPr>
          <w:rFonts w:ascii="Times New Roman" w:hAnsi="Times New Roman" w:cs="Times New Roman"/>
          <w:sz w:val="24"/>
          <w:szCs w:val="24"/>
        </w:rPr>
        <w:t>202</w:t>
      </w:r>
      <w:r w:rsidR="00AB1F56">
        <w:rPr>
          <w:rFonts w:ascii="Times New Roman" w:hAnsi="Times New Roman" w:cs="Times New Roman"/>
          <w:sz w:val="24"/>
          <w:szCs w:val="24"/>
        </w:rPr>
        <w:t>2</w:t>
      </w:r>
      <w:r w:rsidR="00B22E51" w:rsidRPr="00D9085C">
        <w:rPr>
          <w:rFonts w:ascii="Times New Roman" w:hAnsi="Times New Roman" w:cs="Times New Roman"/>
          <w:sz w:val="24"/>
          <w:szCs w:val="24"/>
        </w:rPr>
        <w:t xml:space="preserve"> consultation</w:t>
      </w:r>
      <w:r w:rsidR="008E3030" w:rsidRPr="00D9085C">
        <w:rPr>
          <w:rFonts w:ascii="Times New Roman" w:hAnsi="Times New Roman" w:cs="Times New Roman"/>
          <w:sz w:val="24"/>
          <w:szCs w:val="24"/>
        </w:rPr>
        <w:t>. This</w:t>
      </w:r>
      <w:r w:rsidR="00B22E51" w:rsidRPr="00D9085C">
        <w:rPr>
          <w:rFonts w:ascii="Times New Roman" w:hAnsi="Times New Roman" w:cs="Times New Roman"/>
          <w:sz w:val="24"/>
          <w:szCs w:val="24"/>
        </w:rPr>
        <w:t xml:space="preserve"> set out </w:t>
      </w:r>
      <w:r w:rsidRPr="00D9085C">
        <w:rPr>
          <w:rFonts w:ascii="Times New Roman" w:hAnsi="Times New Roman" w:cs="Times New Roman"/>
          <w:sz w:val="24"/>
          <w:szCs w:val="24"/>
        </w:rPr>
        <w:t xml:space="preserve">APRA’s </w:t>
      </w:r>
      <w:r w:rsidR="008E3030" w:rsidRPr="00D9085C">
        <w:rPr>
          <w:rFonts w:ascii="Times New Roman" w:hAnsi="Times New Roman" w:cs="Times New Roman"/>
          <w:sz w:val="24"/>
          <w:szCs w:val="24"/>
        </w:rPr>
        <w:t>response to issues raise</w:t>
      </w:r>
      <w:r w:rsidR="00A743BB">
        <w:rPr>
          <w:rFonts w:ascii="Times New Roman" w:hAnsi="Times New Roman" w:cs="Times New Roman"/>
          <w:sz w:val="24"/>
          <w:szCs w:val="24"/>
        </w:rPr>
        <w:t>d. These included:</w:t>
      </w:r>
    </w:p>
    <w:p w14:paraId="25975380" w14:textId="5C89A6F3" w:rsidR="00A743BB" w:rsidRPr="00E53AF7" w:rsidRDefault="00AA3F05" w:rsidP="00A743BB">
      <w:pPr>
        <w:pStyle w:val="ListParagraph"/>
        <w:numPr>
          <w:ilvl w:val="0"/>
          <w:numId w:val="31"/>
        </w:numPr>
        <w:jc w:val="both"/>
        <w:rPr>
          <w:rFonts w:ascii="Times New Roman" w:hAnsi="Times New Roman" w:cs="Times New Roman"/>
          <w:b/>
          <w:sz w:val="24"/>
          <w:szCs w:val="24"/>
        </w:rPr>
      </w:pPr>
      <w:r>
        <w:rPr>
          <w:rFonts w:ascii="Times New Roman" w:hAnsi="Times New Roman" w:cs="Times New Roman"/>
          <w:sz w:val="24"/>
          <w:szCs w:val="24"/>
        </w:rPr>
        <w:t>a</w:t>
      </w:r>
      <w:r w:rsidR="00B83855">
        <w:rPr>
          <w:rFonts w:ascii="Times New Roman" w:hAnsi="Times New Roman" w:cs="Times New Roman"/>
          <w:sz w:val="24"/>
          <w:szCs w:val="24"/>
        </w:rPr>
        <w:t xml:space="preserve">mendments to commencement of disclosure requirements and adjustments to provide regulated entities </w:t>
      </w:r>
      <w:r w:rsidR="00E53AF7">
        <w:rPr>
          <w:rFonts w:ascii="Times New Roman" w:hAnsi="Times New Roman" w:cs="Times New Roman"/>
          <w:sz w:val="24"/>
          <w:szCs w:val="24"/>
        </w:rPr>
        <w:t>additional time to make the required annual disclosures;</w:t>
      </w:r>
    </w:p>
    <w:p w14:paraId="217DFBCD" w14:textId="6DD7F366" w:rsidR="00E53AF7" w:rsidRPr="00E954EE" w:rsidRDefault="00AA3F05" w:rsidP="00A743BB">
      <w:pPr>
        <w:pStyle w:val="ListParagraph"/>
        <w:numPr>
          <w:ilvl w:val="0"/>
          <w:numId w:val="31"/>
        </w:numPr>
        <w:jc w:val="both"/>
        <w:rPr>
          <w:rFonts w:ascii="Times New Roman" w:hAnsi="Times New Roman" w:cs="Times New Roman"/>
          <w:b/>
          <w:sz w:val="24"/>
          <w:szCs w:val="24"/>
        </w:rPr>
      </w:pPr>
      <w:r>
        <w:rPr>
          <w:rFonts w:ascii="Times New Roman" w:hAnsi="Times New Roman" w:cs="Times New Roman"/>
          <w:sz w:val="24"/>
          <w:szCs w:val="24"/>
        </w:rPr>
        <w:t>r</w:t>
      </w:r>
      <w:r w:rsidR="00A15D4C">
        <w:rPr>
          <w:rFonts w:ascii="Times New Roman" w:hAnsi="Times New Roman" w:cs="Times New Roman"/>
          <w:sz w:val="24"/>
          <w:szCs w:val="24"/>
        </w:rPr>
        <w:t xml:space="preserve">emoval of proposed </w:t>
      </w:r>
      <w:r w:rsidR="00431E7C">
        <w:rPr>
          <w:rFonts w:ascii="Times New Roman" w:hAnsi="Times New Roman" w:cs="Times New Roman"/>
          <w:sz w:val="24"/>
          <w:szCs w:val="24"/>
        </w:rPr>
        <w:t>quantitative</w:t>
      </w:r>
      <w:r w:rsidR="00A15D4C">
        <w:rPr>
          <w:rFonts w:ascii="Times New Roman" w:hAnsi="Times New Roman" w:cs="Times New Roman"/>
          <w:sz w:val="24"/>
          <w:szCs w:val="24"/>
        </w:rPr>
        <w:t xml:space="preserve"> disclosures for risk and financial control personnel</w:t>
      </w:r>
      <w:r w:rsidR="00E954EE">
        <w:rPr>
          <w:rFonts w:ascii="Times New Roman" w:hAnsi="Times New Roman" w:cs="Times New Roman"/>
          <w:sz w:val="24"/>
          <w:szCs w:val="24"/>
        </w:rPr>
        <w:t xml:space="preserve"> and replacement with summary qualitative information on remuneration outcomes for this cohort;</w:t>
      </w:r>
    </w:p>
    <w:p w14:paraId="3D5223D0" w14:textId="6E338C70" w:rsidR="00E954EE" w:rsidRPr="000A2B17" w:rsidRDefault="00AA3F05" w:rsidP="00A743BB">
      <w:pPr>
        <w:pStyle w:val="ListParagraph"/>
        <w:numPr>
          <w:ilvl w:val="0"/>
          <w:numId w:val="31"/>
        </w:numPr>
        <w:jc w:val="both"/>
        <w:rPr>
          <w:rFonts w:ascii="Times New Roman" w:hAnsi="Times New Roman" w:cs="Times New Roman"/>
          <w:b/>
          <w:sz w:val="24"/>
          <w:szCs w:val="24"/>
        </w:rPr>
      </w:pPr>
      <w:r>
        <w:rPr>
          <w:rFonts w:ascii="Times New Roman" w:hAnsi="Times New Roman" w:cs="Times New Roman"/>
          <w:sz w:val="24"/>
          <w:szCs w:val="24"/>
        </w:rPr>
        <w:t>c</w:t>
      </w:r>
      <w:r w:rsidR="00FB1DAF">
        <w:rPr>
          <w:rFonts w:ascii="Times New Roman" w:hAnsi="Times New Roman" w:cs="Times New Roman"/>
          <w:sz w:val="24"/>
          <w:szCs w:val="24"/>
        </w:rPr>
        <w:t xml:space="preserve">larification that where regulated entities are part of a </w:t>
      </w:r>
      <w:r w:rsidR="00431E7C">
        <w:rPr>
          <w:rFonts w:ascii="Times New Roman" w:hAnsi="Times New Roman" w:cs="Times New Roman"/>
          <w:sz w:val="24"/>
          <w:szCs w:val="24"/>
        </w:rPr>
        <w:t>group,</w:t>
      </w:r>
      <w:r w:rsidR="00FB1DAF">
        <w:rPr>
          <w:rFonts w:ascii="Times New Roman" w:hAnsi="Times New Roman" w:cs="Times New Roman"/>
          <w:sz w:val="24"/>
          <w:szCs w:val="24"/>
        </w:rPr>
        <w:t xml:space="preserve"> the </w:t>
      </w:r>
      <w:r w:rsidR="0036383A">
        <w:rPr>
          <w:rFonts w:ascii="Times New Roman" w:hAnsi="Times New Roman" w:cs="Times New Roman"/>
          <w:sz w:val="24"/>
          <w:szCs w:val="24"/>
        </w:rPr>
        <w:t>entities</w:t>
      </w:r>
      <w:r w:rsidR="00FB1DAF">
        <w:rPr>
          <w:rFonts w:ascii="Times New Roman" w:hAnsi="Times New Roman" w:cs="Times New Roman"/>
          <w:sz w:val="24"/>
          <w:szCs w:val="24"/>
        </w:rPr>
        <w:t xml:space="preserve"> will not need to make separate disclosures to the group disclosure</w:t>
      </w:r>
      <w:r w:rsidR="00661F1B">
        <w:rPr>
          <w:rFonts w:ascii="Times New Roman" w:hAnsi="Times New Roman" w:cs="Times New Roman"/>
          <w:sz w:val="24"/>
          <w:szCs w:val="24"/>
        </w:rPr>
        <w:t>,</w:t>
      </w:r>
      <w:r w:rsidR="00FB1DAF">
        <w:rPr>
          <w:rFonts w:ascii="Times New Roman" w:hAnsi="Times New Roman" w:cs="Times New Roman"/>
          <w:sz w:val="24"/>
          <w:szCs w:val="24"/>
        </w:rPr>
        <w:t xml:space="preserve"> thereby removing possible duplication and reducing </w:t>
      </w:r>
      <w:r w:rsidR="000A2B17">
        <w:rPr>
          <w:rFonts w:ascii="Times New Roman" w:hAnsi="Times New Roman" w:cs="Times New Roman"/>
          <w:sz w:val="24"/>
          <w:szCs w:val="24"/>
        </w:rPr>
        <w:t>burden</w:t>
      </w:r>
      <w:r w:rsidR="00686748">
        <w:rPr>
          <w:rFonts w:ascii="Times New Roman" w:hAnsi="Times New Roman" w:cs="Times New Roman"/>
          <w:sz w:val="24"/>
          <w:szCs w:val="24"/>
        </w:rPr>
        <w:t>; and</w:t>
      </w:r>
    </w:p>
    <w:p w14:paraId="41C44D0A" w14:textId="2F868475" w:rsidR="000A2B17" w:rsidRPr="00A743BB" w:rsidRDefault="00AA3F05" w:rsidP="00A743BB">
      <w:pPr>
        <w:pStyle w:val="ListParagraph"/>
        <w:numPr>
          <w:ilvl w:val="0"/>
          <w:numId w:val="31"/>
        </w:numPr>
        <w:jc w:val="both"/>
        <w:rPr>
          <w:rFonts w:ascii="Times New Roman" w:hAnsi="Times New Roman" w:cs="Times New Roman"/>
          <w:b/>
          <w:sz w:val="24"/>
          <w:szCs w:val="24"/>
        </w:rPr>
      </w:pPr>
      <w:r>
        <w:rPr>
          <w:rFonts w:ascii="Times New Roman" w:hAnsi="Times New Roman" w:cs="Times New Roman"/>
          <w:sz w:val="24"/>
          <w:szCs w:val="24"/>
        </w:rPr>
        <w:t>c</w:t>
      </w:r>
      <w:r w:rsidR="000A2B17">
        <w:rPr>
          <w:rFonts w:ascii="Times New Roman" w:hAnsi="Times New Roman" w:cs="Times New Roman"/>
          <w:sz w:val="24"/>
          <w:szCs w:val="24"/>
        </w:rPr>
        <w:t xml:space="preserve">larification of various minor technical </w:t>
      </w:r>
      <w:r>
        <w:rPr>
          <w:rFonts w:ascii="Times New Roman" w:hAnsi="Times New Roman" w:cs="Times New Roman"/>
          <w:sz w:val="24"/>
          <w:szCs w:val="24"/>
        </w:rPr>
        <w:t>matters.</w:t>
      </w:r>
    </w:p>
    <w:p w14:paraId="3F6B8DFA" w14:textId="77777777" w:rsidR="006D5632" w:rsidRPr="00D9085C" w:rsidRDefault="006D5632" w:rsidP="00AD6073">
      <w:pPr>
        <w:keepNext/>
        <w:numPr>
          <w:ilvl w:val="0"/>
          <w:numId w:val="22"/>
        </w:numPr>
        <w:spacing w:after="240" w:line="240" w:lineRule="auto"/>
        <w:ind w:left="567" w:hanging="567"/>
        <w:jc w:val="both"/>
        <w:rPr>
          <w:rFonts w:ascii="Times New Roman" w:hAnsi="Times New Roman" w:cs="Times New Roman"/>
          <w:b/>
          <w:sz w:val="24"/>
          <w:szCs w:val="24"/>
          <w:lang w:eastAsia="en-US"/>
        </w:rPr>
      </w:pPr>
      <w:r w:rsidRPr="00D9085C">
        <w:rPr>
          <w:rFonts w:ascii="Times New Roman" w:hAnsi="Times New Roman" w:cs="Times New Roman"/>
          <w:b/>
          <w:sz w:val="24"/>
          <w:szCs w:val="24"/>
          <w:lang w:eastAsia="en-US"/>
        </w:rPr>
        <w:lastRenderedPageBreak/>
        <w:t>Regulation Impact Statement</w:t>
      </w:r>
    </w:p>
    <w:p w14:paraId="4EC67988" w14:textId="4A9FA56A" w:rsidR="00E540AF" w:rsidRPr="00D9085C" w:rsidRDefault="00AF16EC" w:rsidP="00AD6073">
      <w:pPr>
        <w:keepNext/>
        <w:jc w:val="both"/>
        <w:rPr>
          <w:rFonts w:ascii="Times New Roman" w:hAnsi="Times New Roman" w:cs="Times New Roman"/>
          <w:sz w:val="24"/>
          <w:szCs w:val="24"/>
        </w:rPr>
      </w:pPr>
      <w:r>
        <w:rPr>
          <w:rFonts w:ascii="Times New Roman" w:hAnsi="Times New Roman" w:cs="Times New Roman"/>
          <w:sz w:val="24"/>
          <w:szCs w:val="24"/>
        </w:rPr>
        <w:t>T</w:t>
      </w:r>
      <w:r w:rsidR="00503EEA">
        <w:rPr>
          <w:rFonts w:ascii="Times New Roman" w:hAnsi="Times New Roman" w:cs="Times New Roman"/>
          <w:sz w:val="24"/>
          <w:szCs w:val="24"/>
        </w:rPr>
        <w:t xml:space="preserve">he Office of Impact Analysis (formerly the Office of Best Practice Regulation) has advised that </w:t>
      </w:r>
      <w:r w:rsidR="00E33086">
        <w:rPr>
          <w:rFonts w:ascii="Times New Roman" w:hAnsi="Times New Roman" w:cs="Times New Roman"/>
          <w:sz w:val="24"/>
          <w:szCs w:val="24"/>
        </w:rPr>
        <w:t xml:space="preserve">these </w:t>
      </w:r>
      <w:r w:rsidR="00D02AC9">
        <w:rPr>
          <w:rFonts w:ascii="Times New Roman" w:hAnsi="Times New Roman" w:cs="Times New Roman"/>
          <w:sz w:val="24"/>
          <w:szCs w:val="24"/>
        </w:rPr>
        <w:t xml:space="preserve">changes as proposed were unlikely to </w:t>
      </w:r>
      <w:r w:rsidR="00D12894">
        <w:rPr>
          <w:rFonts w:ascii="Times New Roman" w:hAnsi="Times New Roman" w:cs="Times New Roman"/>
          <w:sz w:val="24"/>
          <w:szCs w:val="24"/>
        </w:rPr>
        <w:t xml:space="preserve">have more than </w:t>
      </w:r>
      <w:r>
        <w:rPr>
          <w:rFonts w:ascii="Times New Roman" w:hAnsi="Times New Roman" w:cs="Times New Roman"/>
          <w:sz w:val="24"/>
          <w:szCs w:val="24"/>
        </w:rPr>
        <w:t xml:space="preserve">a </w:t>
      </w:r>
      <w:r w:rsidR="00D12894">
        <w:rPr>
          <w:rFonts w:ascii="Times New Roman" w:hAnsi="Times New Roman" w:cs="Times New Roman"/>
          <w:sz w:val="24"/>
          <w:szCs w:val="24"/>
        </w:rPr>
        <w:t>minor regulatory impact, hence a Regulation Impact Statement is not required</w:t>
      </w:r>
      <w:r w:rsidR="00614426">
        <w:rPr>
          <w:rFonts w:ascii="Times New Roman" w:hAnsi="Times New Roman" w:cs="Times New Roman"/>
          <w:sz w:val="24"/>
          <w:szCs w:val="24"/>
        </w:rPr>
        <w:t>.</w:t>
      </w:r>
    </w:p>
    <w:p w14:paraId="61D7EE4B" w14:textId="607D5455" w:rsidR="00510C0E" w:rsidRPr="00D9085C" w:rsidRDefault="00510C0E" w:rsidP="00777743">
      <w:pPr>
        <w:numPr>
          <w:ilvl w:val="0"/>
          <w:numId w:val="22"/>
        </w:numPr>
        <w:spacing w:after="240" w:line="240" w:lineRule="auto"/>
        <w:ind w:left="567" w:hanging="567"/>
        <w:jc w:val="both"/>
        <w:rPr>
          <w:rFonts w:ascii="Times New Roman" w:hAnsi="Times New Roman" w:cs="Times New Roman"/>
          <w:b/>
          <w:i/>
          <w:sz w:val="24"/>
          <w:szCs w:val="24"/>
          <w:lang w:eastAsia="en-US"/>
        </w:rPr>
      </w:pPr>
      <w:r w:rsidRPr="00D9085C">
        <w:rPr>
          <w:rFonts w:ascii="Times New Roman" w:hAnsi="Times New Roman" w:cs="Times New Roman"/>
          <w:b/>
          <w:sz w:val="24"/>
          <w:szCs w:val="24"/>
          <w:lang w:eastAsia="en-US"/>
        </w:rPr>
        <w:t xml:space="preserve">Statement of compatibility prepared in accordance with Part 3 of the </w:t>
      </w:r>
      <w:r w:rsidRPr="00D9085C">
        <w:rPr>
          <w:rFonts w:ascii="Times New Roman" w:hAnsi="Times New Roman" w:cs="Times New Roman"/>
          <w:b/>
          <w:i/>
          <w:sz w:val="24"/>
          <w:szCs w:val="24"/>
          <w:lang w:eastAsia="en-US"/>
        </w:rPr>
        <w:t>Human Rights (Parliamentary Scrutiny) Act 2011</w:t>
      </w:r>
    </w:p>
    <w:p w14:paraId="33DD8C56" w14:textId="31D3889D" w:rsidR="00510C0E" w:rsidRPr="00D9085C" w:rsidRDefault="00510C0E" w:rsidP="00211C6D">
      <w:pPr>
        <w:pStyle w:val="Heading"/>
        <w:spacing w:after="240"/>
        <w:rPr>
          <w:rFonts w:ascii="Times New Roman" w:hAnsi="Times New Roman"/>
          <w:b w:val="0"/>
          <w:sz w:val="24"/>
          <w:szCs w:val="24"/>
        </w:rPr>
      </w:pPr>
      <w:r w:rsidRPr="00D9085C">
        <w:rPr>
          <w:rFonts w:ascii="Times New Roman" w:hAnsi="Times New Roman"/>
          <w:b w:val="0"/>
          <w:sz w:val="24"/>
          <w:szCs w:val="24"/>
        </w:rPr>
        <w:t xml:space="preserve">A Statement of compatibility prepared in accordance with Part 3 of the </w:t>
      </w:r>
      <w:r w:rsidRPr="00D9085C">
        <w:rPr>
          <w:rFonts w:ascii="Times New Roman" w:hAnsi="Times New Roman"/>
          <w:b w:val="0"/>
          <w:i/>
          <w:sz w:val="24"/>
          <w:szCs w:val="24"/>
        </w:rPr>
        <w:t>Human Rights (Parliamentary Scrutiny) Act 2011</w:t>
      </w:r>
      <w:r w:rsidRPr="00D9085C">
        <w:rPr>
          <w:rFonts w:ascii="Times New Roman" w:hAnsi="Times New Roman"/>
          <w:b w:val="0"/>
          <w:sz w:val="24"/>
          <w:szCs w:val="24"/>
        </w:rPr>
        <w:t xml:space="preserve"> is provided at </w:t>
      </w:r>
      <w:r w:rsidR="005D365A" w:rsidRPr="00D9085C">
        <w:rPr>
          <w:rFonts w:ascii="Times New Roman" w:hAnsi="Times New Roman"/>
          <w:b w:val="0"/>
          <w:sz w:val="24"/>
          <w:szCs w:val="24"/>
        </w:rPr>
        <w:t xml:space="preserve">the </w:t>
      </w:r>
      <w:r w:rsidRPr="00D9085C">
        <w:rPr>
          <w:rFonts w:ascii="Times New Roman" w:hAnsi="Times New Roman"/>
          <w:b w:val="0"/>
          <w:sz w:val="24"/>
          <w:szCs w:val="24"/>
        </w:rPr>
        <w:t>Attachment to this Explanatory Statement.</w:t>
      </w:r>
    </w:p>
    <w:p w14:paraId="5D729207" w14:textId="1B2CBAF1" w:rsidR="00B75A8B" w:rsidRPr="00D9085C" w:rsidRDefault="00B75A8B" w:rsidP="00777743">
      <w:pPr>
        <w:spacing w:after="360"/>
        <w:jc w:val="both"/>
        <w:outlineLvl w:val="0"/>
        <w:rPr>
          <w:rFonts w:ascii="Times New Roman" w:hAnsi="Times New Roman"/>
          <w:sz w:val="24"/>
          <w:szCs w:val="24"/>
          <w:u w:val="single"/>
        </w:rPr>
      </w:pPr>
      <w:r w:rsidRPr="00D9085C">
        <w:rPr>
          <w:rFonts w:ascii="Times New Roman" w:hAnsi="Times New Roman"/>
          <w:b/>
          <w:sz w:val="24"/>
          <w:szCs w:val="24"/>
        </w:rPr>
        <w:br w:type="page"/>
      </w:r>
      <w:r w:rsidRPr="00D9085C">
        <w:rPr>
          <w:rFonts w:ascii="Times New Roman" w:hAnsi="Times New Roman"/>
          <w:sz w:val="24"/>
          <w:szCs w:val="24"/>
          <w:u w:val="single"/>
        </w:rPr>
        <w:lastRenderedPageBreak/>
        <w:t xml:space="preserve">ATTACHMENT </w:t>
      </w:r>
    </w:p>
    <w:p w14:paraId="0F58F628" w14:textId="77777777" w:rsidR="00B75A8B" w:rsidRPr="00D9085C" w:rsidRDefault="00B75A8B" w:rsidP="00777743">
      <w:pPr>
        <w:shd w:val="clear" w:color="auto" w:fill="FFFFFF"/>
        <w:spacing w:before="100" w:beforeAutospacing="1" w:after="240"/>
        <w:jc w:val="both"/>
        <w:rPr>
          <w:rFonts w:ascii="Times New Roman" w:hAnsi="Times New Roman"/>
          <w:sz w:val="24"/>
          <w:szCs w:val="24"/>
          <w:lang w:val="en-US"/>
        </w:rPr>
      </w:pPr>
      <w:r w:rsidRPr="00D9085C">
        <w:rPr>
          <w:rFonts w:ascii="Times New Roman" w:hAnsi="Times New Roman"/>
          <w:b/>
          <w:bCs/>
          <w:sz w:val="24"/>
          <w:szCs w:val="24"/>
        </w:rPr>
        <w:t>Statement of Compatibility with Human Rights</w:t>
      </w:r>
    </w:p>
    <w:p w14:paraId="62E80750" w14:textId="7DBFBC3F" w:rsidR="00B75A8B" w:rsidRPr="00D9085C" w:rsidRDefault="00B75A8B" w:rsidP="00777743">
      <w:pPr>
        <w:shd w:val="clear" w:color="auto" w:fill="FFFFFF"/>
        <w:spacing w:before="100" w:beforeAutospacing="1" w:after="240"/>
        <w:jc w:val="both"/>
        <w:rPr>
          <w:rFonts w:ascii="Times New Roman" w:hAnsi="Times New Roman"/>
          <w:sz w:val="24"/>
          <w:szCs w:val="24"/>
          <w:lang w:val="en-US"/>
        </w:rPr>
      </w:pPr>
      <w:r w:rsidRPr="00D9085C">
        <w:rPr>
          <w:rFonts w:ascii="Times New Roman" w:hAnsi="Times New Roman"/>
          <w:sz w:val="24"/>
          <w:szCs w:val="24"/>
        </w:rPr>
        <w:t xml:space="preserve">Prepared in accordance with Part 3 of the </w:t>
      </w:r>
      <w:r w:rsidRPr="00D9085C">
        <w:rPr>
          <w:rFonts w:ascii="Times New Roman" w:hAnsi="Times New Roman"/>
          <w:i/>
          <w:iCs/>
          <w:sz w:val="24"/>
          <w:szCs w:val="24"/>
        </w:rPr>
        <w:t>Human Rights (Parliamentary Scrutiny) Act 2011</w:t>
      </w:r>
      <w:r w:rsidR="00360B56" w:rsidRPr="00D9085C">
        <w:rPr>
          <w:rFonts w:ascii="Times New Roman" w:hAnsi="Times New Roman"/>
          <w:i/>
          <w:iCs/>
          <w:sz w:val="24"/>
          <w:szCs w:val="24"/>
        </w:rPr>
        <w:t>.</w:t>
      </w:r>
    </w:p>
    <w:p w14:paraId="26AB5FFB" w14:textId="4065F03E" w:rsidR="00A1584D" w:rsidRPr="00D9085C" w:rsidRDefault="00A1584D" w:rsidP="00777743">
      <w:pPr>
        <w:pStyle w:val="Heading"/>
        <w:spacing w:before="120"/>
        <w:rPr>
          <w:rFonts w:ascii="Times New Roman" w:hAnsi="Times New Roman"/>
          <w:sz w:val="24"/>
          <w:szCs w:val="24"/>
        </w:rPr>
      </w:pPr>
      <w:r w:rsidRPr="00D9085C">
        <w:rPr>
          <w:rFonts w:ascii="Times New Roman" w:hAnsi="Times New Roman"/>
          <w:sz w:val="24"/>
          <w:szCs w:val="24"/>
        </w:rPr>
        <w:t xml:space="preserve">Banking, Insurance, Life Insurance, Health Insurance and Superannuation (prudential standard) determination No. </w:t>
      </w:r>
      <w:r w:rsidR="008A14FE">
        <w:rPr>
          <w:rFonts w:ascii="Times New Roman" w:hAnsi="Times New Roman"/>
          <w:sz w:val="24"/>
          <w:szCs w:val="24"/>
        </w:rPr>
        <w:t>3</w:t>
      </w:r>
      <w:r w:rsidRPr="00D9085C">
        <w:rPr>
          <w:rFonts w:ascii="Times New Roman" w:hAnsi="Times New Roman"/>
          <w:sz w:val="24"/>
          <w:szCs w:val="24"/>
        </w:rPr>
        <w:t xml:space="preserve"> of 202</w:t>
      </w:r>
      <w:r w:rsidR="008A14FE">
        <w:rPr>
          <w:rFonts w:ascii="Times New Roman" w:hAnsi="Times New Roman"/>
          <w:sz w:val="24"/>
          <w:szCs w:val="24"/>
        </w:rPr>
        <w:t>3</w:t>
      </w:r>
    </w:p>
    <w:p w14:paraId="55709D20" w14:textId="0629E244" w:rsidR="00B75A8B" w:rsidRPr="00D9085C" w:rsidRDefault="00B75A8B" w:rsidP="00777743">
      <w:pPr>
        <w:shd w:val="clear" w:color="auto" w:fill="FFFFFF"/>
        <w:spacing w:before="100" w:beforeAutospacing="1" w:after="240"/>
        <w:jc w:val="both"/>
        <w:rPr>
          <w:rFonts w:ascii="Times New Roman" w:hAnsi="Times New Roman" w:cs="Times New Roman"/>
          <w:sz w:val="24"/>
          <w:szCs w:val="24"/>
          <w:lang w:val="en-US"/>
        </w:rPr>
      </w:pPr>
      <w:r w:rsidRPr="00D9085C">
        <w:rPr>
          <w:rFonts w:ascii="Times New Roman" w:hAnsi="Times New Roman" w:cs="Times New Roman"/>
          <w:sz w:val="24"/>
          <w:szCs w:val="24"/>
        </w:rPr>
        <w:t>The legislative instrument</w:t>
      </w:r>
      <w:r w:rsidR="005734F4" w:rsidRPr="00D9085C">
        <w:rPr>
          <w:rFonts w:ascii="Times New Roman" w:hAnsi="Times New Roman" w:cs="Times New Roman"/>
          <w:sz w:val="24"/>
          <w:szCs w:val="24"/>
        </w:rPr>
        <w:t xml:space="preserve"> is</w:t>
      </w:r>
      <w:r w:rsidRPr="00D9085C">
        <w:rPr>
          <w:rFonts w:ascii="Times New Roman" w:hAnsi="Times New Roman" w:cs="Times New Roman"/>
          <w:sz w:val="24"/>
          <w:szCs w:val="24"/>
        </w:rPr>
        <w:t xml:space="preserve"> compatible with the human rights and freedoms recognised or declared in the international instruments listed in section 3 of the </w:t>
      </w:r>
      <w:r w:rsidRPr="00D9085C">
        <w:rPr>
          <w:rFonts w:ascii="Times New Roman" w:hAnsi="Times New Roman" w:cs="Times New Roman"/>
          <w:i/>
          <w:iCs/>
          <w:sz w:val="24"/>
          <w:szCs w:val="24"/>
        </w:rPr>
        <w:t>Human Rights (Parliamentary Scrutiny) Act 2011</w:t>
      </w:r>
      <w:r w:rsidRPr="00D9085C">
        <w:rPr>
          <w:rFonts w:ascii="Times New Roman" w:hAnsi="Times New Roman" w:cs="Times New Roman"/>
          <w:sz w:val="24"/>
          <w:szCs w:val="24"/>
        </w:rPr>
        <w:t xml:space="preserve"> (HRPS Act).</w:t>
      </w:r>
    </w:p>
    <w:p w14:paraId="5C48C431" w14:textId="0FD9F2F1" w:rsidR="00B75A8B" w:rsidRPr="00D9085C" w:rsidRDefault="00B75A8B" w:rsidP="00211C6D">
      <w:pPr>
        <w:shd w:val="clear" w:color="auto" w:fill="FFFFFF"/>
        <w:spacing w:after="240" w:line="240" w:lineRule="auto"/>
        <w:jc w:val="both"/>
        <w:rPr>
          <w:rFonts w:ascii="Times New Roman" w:hAnsi="Times New Roman" w:cs="Times New Roman"/>
          <w:sz w:val="24"/>
          <w:szCs w:val="24"/>
          <w:lang w:val="en-US"/>
        </w:rPr>
      </w:pPr>
      <w:r w:rsidRPr="00D9085C">
        <w:rPr>
          <w:rFonts w:ascii="Times New Roman" w:hAnsi="Times New Roman" w:cs="Times New Roman"/>
          <w:b/>
          <w:bCs/>
          <w:sz w:val="24"/>
          <w:szCs w:val="24"/>
        </w:rPr>
        <w:t>Overview of the Legislative Instrument</w:t>
      </w:r>
    </w:p>
    <w:p w14:paraId="086D76CE" w14:textId="69FD50BF" w:rsidR="00B75A8B" w:rsidRPr="00D9085C" w:rsidRDefault="00B75A8B">
      <w:pPr>
        <w:spacing w:after="240" w:line="240" w:lineRule="auto"/>
        <w:jc w:val="both"/>
        <w:rPr>
          <w:rFonts w:ascii="Times New Roman" w:hAnsi="Times New Roman" w:cs="Times New Roman"/>
          <w:sz w:val="24"/>
          <w:szCs w:val="24"/>
        </w:rPr>
      </w:pPr>
      <w:r w:rsidRPr="00D9085C">
        <w:rPr>
          <w:rFonts w:ascii="Times New Roman" w:hAnsi="Times New Roman" w:cs="Times New Roman"/>
          <w:sz w:val="24"/>
          <w:szCs w:val="24"/>
        </w:rPr>
        <w:t xml:space="preserve">The purpose of the instrument </w:t>
      </w:r>
      <w:r w:rsidR="00F2124C" w:rsidRPr="00D9085C">
        <w:rPr>
          <w:rFonts w:ascii="Times New Roman" w:hAnsi="Times New Roman" w:cs="Times New Roman"/>
          <w:sz w:val="24"/>
          <w:szCs w:val="24"/>
        </w:rPr>
        <w:t xml:space="preserve">is </w:t>
      </w:r>
      <w:r w:rsidRPr="00D9085C">
        <w:rPr>
          <w:rFonts w:ascii="Times New Roman" w:hAnsi="Times New Roman" w:cs="Times New Roman"/>
          <w:sz w:val="24"/>
          <w:szCs w:val="24"/>
        </w:rPr>
        <w:t xml:space="preserve">to </w:t>
      </w:r>
      <w:r w:rsidR="000C67B1" w:rsidRPr="00D9085C">
        <w:rPr>
          <w:rFonts w:ascii="Times New Roman" w:hAnsi="Times New Roman" w:cs="Times New Roman"/>
          <w:sz w:val="24"/>
          <w:szCs w:val="24"/>
        </w:rPr>
        <w:t>determine</w:t>
      </w:r>
      <w:r w:rsidRPr="00D9085C">
        <w:rPr>
          <w:rFonts w:ascii="Times New Roman" w:hAnsi="Times New Roman" w:cs="Times New Roman"/>
          <w:sz w:val="24"/>
          <w:szCs w:val="24"/>
        </w:rPr>
        <w:t xml:space="preserve"> a new </w:t>
      </w:r>
      <w:r w:rsidRPr="00D9085C">
        <w:rPr>
          <w:rFonts w:ascii="Times New Roman" w:hAnsi="Times New Roman" w:cs="Times New Roman"/>
          <w:i/>
          <w:sz w:val="24"/>
          <w:szCs w:val="24"/>
        </w:rPr>
        <w:t xml:space="preserve">Prudential Standard </w:t>
      </w:r>
      <w:r w:rsidR="00D162CC" w:rsidRPr="00D9085C">
        <w:rPr>
          <w:rFonts w:ascii="Times New Roman" w:hAnsi="Times New Roman" w:cs="Times New Roman"/>
          <w:i/>
          <w:sz w:val="24"/>
          <w:szCs w:val="24"/>
        </w:rPr>
        <w:t>C</w:t>
      </w:r>
      <w:r w:rsidRPr="00D9085C">
        <w:rPr>
          <w:rFonts w:ascii="Times New Roman" w:hAnsi="Times New Roman" w:cs="Times New Roman"/>
          <w:i/>
          <w:sz w:val="24"/>
          <w:szCs w:val="24"/>
        </w:rPr>
        <w:t>PS</w:t>
      </w:r>
      <w:r w:rsidR="009701E9" w:rsidRPr="00D9085C">
        <w:rPr>
          <w:rFonts w:ascii="Times New Roman" w:hAnsi="Times New Roman" w:cs="Times New Roman"/>
          <w:i/>
          <w:sz w:val="24"/>
          <w:szCs w:val="24"/>
        </w:rPr>
        <w:t xml:space="preserve"> </w:t>
      </w:r>
      <w:r w:rsidR="00D162CC" w:rsidRPr="00D9085C">
        <w:rPr>
          <w:rFonts w:ascii="Times New Roman" w:hAnsi="Times New Roman" w:cs="Times New Roman"/>
          <w:i/>
          <w:sz w:val="24"/>
          <w:szCs w:val="24"/>
        </w:rPr>
        <w:t>5</w:t>
      </w:r>
      <w:r w:rsidR="009701E9" w:rsidRPr="00D9085C">
        <w:rPr>
          <w:rFonts w:ascii="Times New Roman" w:hAnsi="Times New Roman" w:cs="Times New Roman"/>
          <w:i/>
          <w:sz w:val="24"/>
          <w:szCs w:val="24"/>
        </w:rPr>
        <w:t xml:space="preserve">11 </w:t>
      </w:r>
      <w:r w:rsidR="00D162CC" w:rsidRPr="00D9085C">
        <w:rPr>
          <w:rFonts w:ascii="Times New Roman" w:hAnsi="Times New Roman" w:cs="Times New Roman"/>
          <w:i/>
          <w:sz w:val="24"/>
          <w:szCs w:val="24"/>
        </w:rPr>
        <w:t>Remuneration</w:t>
      </w:r>
      <w:r w:rsidR="0021490D" w:rsidRPr="00D9085C">
        <w:rPr>
          <w:rFonts w:ascii="Times New Roman" w:hAnsi="Times New Roman" w:cs="Times New Roman"/>
          <w:i/>
          <w:sz w:val="24"/>
          <w:szCs w:val="24"/>
        </w:rPr>
        <w:t xml:space="preserve"> </w:t>
      </w:r>
      <w:r w:rsidR="0021490D" w:rsidRPr="00D9085C">
        <w:rPr>
          <w:rFonts w:ascii="Times New Roman" w:hAnsi="Times New Roman" w:cs="Times New Roman"/>
          <w:sz w:val="24"/>
          <w:szCs w:val="24"/>
        </w:rPr>
        <w:t>(CPS 511)</w:t>
      </w:r>
      <w:r w:rsidR="009701E9" w:rsidRPr="00D9085C">
        <w:rPr>
          <w:rFonts w:ascii="Times New Roman" w:hAnsi="Times New Roman" w:cs="Times New Roman"/>
          <w:i/>
          <w:sz w:val="24"/>
          <w:szCs w:val="24"/>
        </w:rPr>
        <w:t>.</w:t>
      </w:r>
    </w:p>
    <w:p w14:paraId="11F9E594" w14:textId="50C57E38" w:rsidR="004F47A6" w:rsidRPr="00D9085C" w:rsidRDefault="00D162CC" w:rsidP="000125E4">
      <w:pPr>
        <w:jc w:val="both"/>
        <w:rPr>
          <w:rFonts w:ascii="Times New Roman" w:hAnsi="Times New Roman" w:cs="Times New Roman"/>
          <w:sz w:val="24"/>
          <w:szCs w:val="24"/>
        </w:rPr>
      </w:pPr>
      <w:r w:rsidRPr="00D9085C">
        <w:rPr>
          <w:rFonts w:ascii="Times New Roman" w:hAnsi="Times New Roman" w:cs="Times New Roman"/>
          <w:sz w:val="24"/>
          <w:szCs w:val="24"/>
        </w:rPr>
        <w:t>C</w:t>
      </w:r>
      <w:r w:rsidR="001E7618" w:rsidRPr="00D9085C">
        <w:rPr>
          <w:rFonts w:ascii="Times New Roman" w:hAnsi="Times New Roman" w:cs="Times New Roman"/>
          <w:sz w:val="24"/>
          <w:szCs w:val="24"/>
        </w:rPr>
        <w:t xml:space="preserve">PS </w:t>
      </w:r>
      <w:r w:rsidR="00745376" w:rsidRPr="00D9085C">
        <w:rPr>
          <w:rFonts w:ascii="Times New Roman" w:hAnsi="Times New Roman" w:cs="Times New Roman"/>
          <w:sz w:val="24"/>
          <w:szCs w:val="24"/>
        </w:rPr>
        <w:t>5</w:t>
      </w:r>
      <w:r w:rsidR="001E7618" w:rsidRPr="00D9085C">
        <w:rPr>
          <w:rFonts w:ascii="Times New Roman" w:hAnsi="Times New Roman" w:cs="Times New Roman"/>
          <w:sz w:val="24"/>
          <w:szCs w:val="24"/>
        </w:rPr>
        <w:t>11 sets out</w:t>
      </w:r>
      <w:r w:rsidR="004F47A6" w:rsidRPr="00D9085C">
        <w:rPr>
          <w:rFonts w:ascii="Times New Roman" w:hAnsi="Times New Roman" w:cs="Times New Roman"/>
          <w:sz w:val="24"/>
          <w:szCs w:val="24"/>
        </w:rPr>
        <w:t xml:space="preserve"> </w:t>
      </w:r>
      <w:r w:rsidR="004F47A6" w:rsidRPr="00D9085C">
        <w:rPr>
          <w:rFonts w:ascii="Times New Roman" w:hAnsi="Times New Roman" w:cs="Times New Roman"/>
          <w:sz w:val="24"/>
          <w:szCs w:val="24"/>
          <w:lang w:eastAsia="en-US"/>
        </w:rPr>
        <w:t xml:space="preserve">requirements to ensure that APRA-regulated entities maintain remuneration arrangements which appropriately incentivise individuals to prudently manage the risks they are responsible for, and that there are appropriate consequences for poor risk outcomes. </w:t>
      </w:r>
      <w:r w:rsidR="004F47A6" w:rsidRPr="00D9085C">
        <w:rPr>
          <w:rFonts w:ascii="Times New Roman" w:hAnsi="Times New Roman" w:cs="Times New Roman"/>
          <w:sz w:val="24"/>
          <w:szCs w:val="24"/>
        </w:rPr>
        <w:t xml:space="preserve">CPS 511 adopts a proportional approach, meaning </w:t>
      </w:r>
      <w:r w:rsidR="008E3030" w:rsidRPr="00D9085C">
        <w:rPr>
          <w:rFonts w:ascii="Times New Roman" w:hAnsi="Times New Roman" w:cs="Times New Roman"/>
          <w:sz w:val="24"/>
          <w:szCs w:val="24"/>
        </w:rPr>
        <w:t>larger and more complex entities</w:t>
      </w:r>
      <w:r w:rsidR="004F47A6" w:rsidRPr="00D9085C">
        <w:rPr>
          <w:rFonts w:ascii="Times New Roman" w:hAnsi="Times New Roman" w:cs="Times New Roman"/>
          <w:sz w:val="24"/>
          <w:szCs w:val="24"/>
        </w:rPr>
        <w:t xml:space="preserve"> (</w:t>
      </w:r>
      <w:r w:rsidR="00275A88" w:rsidRPr="00D9085C">
        <w:rPr>
          <w:rFonts w:ascii="Times New Roman" w:hAnsi="Times New Roman" w:cs="Times New Roman"/>
          <w:sz w:val="24"/>
          <w:szCs w:val="24"/>
        </w:rPr>
        <w:t>S</w:t>
      </w:r>
      <w:r w:rsidR="004F47A6" w:rsidRPr="00D9085C">
        <w:rPr>
          <w:rFonts w:ascii="Times New Roman" w:hAnsi="Times New Roman" w:cs="Times New Roman"/>
          <w:sz w:val="24"/>
          <w:szCs w:val="24"/>
        </w:rPr>
        <w:t xml:space="preserve">ignificant </w:t>
      </w:r>
      <w:r w:rsidR="00275A88" w:rsidRPr="00D9085C">
        <w:rPr>
          <w:rFonts w:ascii="Times New Roman" w:hAnsi="Times New Roman" w:cs="Times New Roman"/>
          <w:sz w:val="24"/>
          <w:szCs w:val="24"/>
        </w:rPr>
        <w:t>F</w:t>
      </w:r>
      <w:r w:rsidR="004F47A6" w:rsidRPr="00D9085C">
        <w:rPr>
          <w:rFonts w:ascii="Times New Roman" w:hAnsi="Times New Roman" w:cs="Times New Roman"/>
          <w:sz w:val="24"/>
          <w:szCs w:val="24"/>
        </w:rPr>
        <w:t xml:space="preserve">inancial </w:t>
      </w:r>
      <w:r w:rsidR="00275A88" w:rsidRPr="00D9085C">
        <w:rPr>
          <w:rFonts w:ascii="Times New Roman" w:hAnsi="Times New Roman" w:cs="Times New Roman"/>
          <w:sz w:val="24"/>
          <w:szCs w:val="24"/>
        </w:rPr>
        <w:t>I</w:t>
      </w:r>
      <w:r w:rsidR="004F47A6" w:rsidRPr="00D9085C">
        <w:rPr>
          <w:rFonts w:ascii="Times New Roman" w:hAnsi="Times New Roman" w:cs="Times New Roman"/>
          <w:sz w:val="24"/>
          <w:szCs w:val="24"/>
        </w:rPr>
        <w:t>nstitutions)</w:t>
      </w:r>
      <w:r w:rsidR="008E3030" w:rsidRPr="00D9085C">
        <w:rPr>
          <w:rFonts w:ascii="Times New Roman" w:hAnsi="Times New Roman" w:cs="Times New Roman"/>
          <w:sz w:val="24"/>
          <w:szCs w:val="24"/>
        </w:rPr>
        <w:t xml:space="preserve"> are subject to higher requirements</w:t>
      </w:r>
      <w:r w:rsidR="004F47A6" w:rsidRPr="00D9085C">
        <w:rPr>
          <w:rFonts w:ascii="Times New Roman" w:hAnsi="Times New Roman" w:cs="Times New Roman"/>
          <w:sz w:val="24"/>
          <w:szCs w:val="24"/>
        </w:rPr>
        <w:t xml:space="preserve">. </w:t>
      </w:r>
      <w:r w:rsidR="008A14FE">
        <w:rPr>
          <w:rFonts w:ascii="Times New Roman" w:hAnsi="Times New Roman" w:cs="Times New Roman"/>
          <w:sz w:val="24"/>
          <w:szCs w:val="24"/>
        </w:rPr>
        <w:t xml:space="preserve">It also requires </w:t>
      </w:r>
      <w:r w:rsidR="00A81A31">
        <w:rPr>
          <w:rFonts w:ascii="Times New Roman" w:hAnsi="Times New Roman" w:cs="Times New Roman"/>
          <w:sz w:val="24"/>
          <w:szCs w:val="24"/>
        </w:rPr>
        <w:t>regulated entities to make certain disclosures in relation to remuneration outcomes on both an individual basis for larger and complex entities</w:t>
      </w:r>
      <w:r w:rsidR="000F2F5F">
        <w:rPr>
          <w:rFonts w:ascii="Times New Roman" w:hAnsi="Times New Roman" w:cs="Times New Roman"/>
          <w:sz w:val="24"/>
          <w:szCs w:val="24"/>
        </w:rPr>
        <w:t>, and qualitative disclosures for all regulated entities.</w:t>
      </w:r>
    </w:p>
    <w:p w14:paraId="35DD8F09" w14:textId="169DA702" w:rsidR="00FD005A" w:rsidRPr="00D9085C" w:rsidRDefault="00D162CC" w:rsidP="000125E4">
      <w:pPr>
        <w:jc w:val="both"/>
        <w:rPr>
          <w:rFonts w:ascii="Times New Roman" w:hAnsi="Times New Roman" w:cs="Times New Roman"/>
          <w:sz w:val="24"/>
          <w:szCs w:val="24"/>
        </w:rPr>
      </w:pPr>
      <w:r w:rsidRPr="00D9085C">
        <w:rPr>
          <w:rFonts w:ascii="Times New Roman" w:hAnsi="Times New Roman" w:cs="Times New Roman"/>
          <w:sz w:val="24"/>
          <w:szCs w:val="24"/>
        </w:rPr>
        <w:t>C</w:t>
      </w:r>
      <w:r w:rsidR="00FD005A" w:rsidRPr="00D9085C">
        <w:rPr>
          <w:rFonts w:ascii="Times New Roman" w:hAnsi="Times New Roman" w:cs="Times New Roman"/>
          <w:sz w:val="24"/>
          <w:szCs w:val="24"/>
        </w:rPr>
        <w:t xml:space="preserve">PS </w:t>
      </w:r>
      <w:r w:rsidRPr="00D9085C">
        <w:rPr>
          <w:rFonts w:ascii="Times New Roman" w:hAnsi="Times New Roman" w:cs="Times New Roman"/>
          <w:sz w:val="24"/>
          <w:szCs w:val="24"/>
        </w:rPr>
        <w:t>5</w:t>
      </w:r>
      <w:r w:rsidR="00FD005A" w:rsidRPr="00D9085C">
        <w:rPr>
          <w:rFonts w:ascii="Times New Roman" w:hAnsi="Times New Roman" w:cs="Times New Roman"/>
          <w:sz w:val="24"/>
          <w:szCs w:val="24"/>
        </w:rPr>
        <w:t>11 is designed to</w:t>
      </w:r>
      <w:r w:rsidR="0021490D" w:rsidRPr="00D9085C">
        <w:rPr>
          <w:rFonts w:ascii="Times New Roman" w:hAnsi="Times New Roman" w:cs="Times New Roman"/>
          <w:sz w:val="24"/>
          <w:szCs w:val="24"/>
        </w:rPr>
        <w:t xml:space="preserve"> create</w:t>
      </w:r>
      <w:r w:rsidR="00FD005A" w:rsidRPr="00D9085C">
        <w:rPr>
          <w:rFonts w:ascii="Times New Roman" w:hAnsi="Times New Roman" w:cs="Times New Roman"/>
          <w:sz w:val="24"/>
          <w:szCs w:val="24"/>
        </w:rPr>
        <w:t>:</w:t>
      </w:r>
    </w:p>
    <w:p w14:paraId="0C9844D7" w14:textId="77777777" w:rsidR="00173F4B" w:rsidRPr="00D9085C" w:rsidRDefault="00173F4B" w:rsidP="000125E4">
      <w:pPr>
        <w:pStyle w:val="ListParagraph"/>
        <w:numPr>
          <w:ilvl w:val="0"/>
          <w:numId w:val="12"/>
        </w:numPr>
        <w:ind w:left="714" w:hanging="357"/>
        <w:contextualSpacing w:val="0"/>
        <w:jc w:val="both"/>
        <w:rPr>
          <w:rFonts w:ascii="Times New Roman" w:hAnsi="Times New Roman" w:cs="Times New Roman"/>
          <w:sz w:val="24"/>
          <w:szCs w:val="24"/>
        </w:rPr>
      </w:pPr>
      <w:r w:rsidRPr="00D9085C">
        <w:rPr>
          <w:rFonts w:ascii="Times New Roman" w:hAnsi="Times New Roman" w:cs="Times New Roman"/>
          <w:sz w:val="24"/>
          <w:szCs w:val="24"/>
        </w:rPr>
        <w:t>stronger incentives for individuals to manage the risks they are responsible for;</w:t>
      </w:r>
    </w:p>
    <w:p w14:paraId="489591B8" w14:textId="77777777" w:rsidR="00173F4B" w:rsidRPr="00D9085C" w:rsidRDefault="00173F4B" w:rsidP="000125E4">
      <w:pPr>
        <w:pStyle w:val="ListParagraph"/>
        <w:numPr>
          <w:ilvl w:val="0"/>
          <w:numId w:val="12"/>
        </w:numPr>
        <w:ind w:left="714" w:hanging="357"/>
        <w:contextualSpacing w:val="0"/>
        <w:jc w:val="both"/>
        <w:rPr>
          <w:rFonts w:ascii="Times New Roman" w:hAnsi="Times New Roman" w:cs="Times New Roman"/>
          <w:sz w:val="24"/>
          <w:szCs w:val="24"/>
        </w:rPr>
      </w:pPr>
      <w:r w:rsidRPr="00D9085C">
        <w:rPr>
          <w:rFonts w:ascii="Times New Roman" w:hAnsi="Times New Roman" w:cs="Times New Roman"/>
          <w:sz w:val="24"/>
          <w:szCs w:val="24"/>
        </w:rPr>
        <w:t>appropriate consequences for poor risk outcomes; and</w:t>
      </w:r>
    </w:p>
    <w:p w14:paraId="2D0420BA" w14:textId="77777777" w:rsidR="00173F4B" w:rsidRPr="00D9085C" w:rsidRDefault="00173F4B" w:rsidP="000125E4">
      <w:pPr>
        <w:pStyle w:val="ListParagraph"/>
        <w:numPr>
          <w:ilvl w:val="0"/>
          <w:numId w:val="12"/>
        </w:numPr>
        <w:ind w:left="714" w:hanging="357"/>
        <w:contextualSpacing w:val="0"/>
        <w:jc w:val="both"/>
        <w:rPr>
          <w:rFonts w:ascii="Times New Roman" w:hAnsi="Times New Roman" w:cs="Times New Roman"/>
          <w:sz w:val="24"/>
          <w:szCs w:val="24"/>
        </w:rPr>
      </w:pPr>
      <w:r w:rsidRPr="00D9085C">
        <w:rPr>
          <w:rFonts w:ascii="Times New Roman" w:hAnsi="Times New Roman" w:cs="Times New Roman"/>
          <w:sz w:val="24"/>
          <w:szCs w:val="24"/>
        </w:rPr>
        <w:t xml:space="preserve">increased oversight, </w:t>
      </w:r>
      <w:proofErr w:type="gramStart"/>
      <w:r w:rsidRPr="00D9085C">
        <w:rPr>
          <w:rFonts w:ascii="Times New Roman" w:hAnsi="Times New Roman" w:cs="Times New Roman"/>
          <w:sz w:val="24"/>
          <w:szCs w:val="24"/>
        </w:rPr>
        <w:t>transparency</w:t>
      </w:r>
      <w:proofErr w:type="gramEnd"/>
      <w:r w:rsidRPr="00D9085C">
        <w:rPr>
          <w:rFonts w:ascii="Times New Roman" w:hAnsi="Times New Roman" w:cs="Times New Roman"/>
          <w:sz w:val="24"/>
          <w:szCs w:val="24"/>
        </w:rPr>
        <w:t xml:space="preserve"> and accountability on remuneration.</w:t>
      </w:r>
    </w:p>
    <w:p w14:paraId="6AC511EE" w14:textId="77777777" w:rsidR="00B75A8B" w:rsidRPr="00D9085C" w:rsidRDefault="00B75A8B" w:rsidP="00211C6D">
      <w:pPr>
        <w:keepNext/>
        <w:shd w:val="clear" w:color="auto" w:fill="FFFFFF"/>
        <w:spacing w:after="240" w:line="240" w:lineRule="auto"/>
        <w:jc w:val="both"/>
        <w:rPr>
          <w:rFonts w:ascii="Times New Roman" w:hAnsi="Times New Roman" w:cs="Times New Roman"/>
          <w:sz w:val="24"/>
          <w:szCs w:val="24"/>
          <w:lang w:val="en-US"/>
        </w:rPr>
      </w:pPr>
      <w:r w:rsidRPr="00D9085C">
        <w:rPr>
          <w:rFonts w:ascii="Times New Roman" w:hAnsi="Times New Roman" w:cs="Times New Roman"/>
          <w:b/>
          <w:bCs/>
          <w:sz w:val="24"/>
          <w:szCs w:val="24"/>
        </w:rPr>
        <w:t>Human rights implications</w:t>
      </w:r>
    </w:p>
    <w:p w14:paraId="3AFED615" w14:textId="77777777" w:rsidR="002626DF" w:rsidRPr="002626DF" w:rsidRDefault="002626DF" w:rsidP="002408A8">
      <w:pPr>
        <w:jc w:val="both"/>
        <w:rPr>
          <w:rFonts w:ascii="Times New Roman" w:hAnsi="Times New Roman" w:cs="Times New Roman"/>
          <w:i/>
          <w:sz w:val="24"/>
          <w:szCs w:val="24"/>
        </w:rPr>
      </w:pPr>
      <w:r w:rsidRPr="002626DF">
        <w:rPr>
          <w:rFonts w:ascii="Times New Roman" w:hAnsi="Times New Roman" w:cs="Times New Roman"/>
          <w:i/>
          <w:sz w:val="24"/>
          <w:szCs w:val="24"/>
        </w:rPr>
        <w:t xml:space="preserve">The Right to Privacy </w:t>
      </w:r>
    </w:p>
    <w:p w14:paraId="48BB92BF" w14:textId="1BD3AAE0" w:rsidR="002408A8" w:rsidRPr="002408A8" w:rsidRDefault="002408A8" w:rsidP="002408A8">
      <w:pPr>
        <w:jc w:val="both"/>
        <w:rPr>
          <w:rFonts w:ascii="Times New Roman" w:hAnsi="Times New Roman" w:cs="Times New Roman"/>
          <w:sz w:val="24"/>
          <w:szCs w:val="24"/>
        </w:rPr>
      </w:pPr>
      <w:r w:rsidRPr="002408A8">
        <w:t xml:space="preserve"> </w:t>
      </w:r>
      <w:r w:rsidR="00040D79" w:rsidRPr="00040D79">
        <w:rPr>
          <w:rFonts w:ascii="Times New Roman" w:hAnsi="Times New Roman" w:cs="Times New Roman"/>
          <w:sz w:val="24"/>
          <w:szCs w:val="24"/>
        </w:rPr>
        <w:t>The publication of personal information</w:t>
      </w:r>
      <w:r w:rsidR="00450632">
        <w:rPr>
          <w:rFonts w:ascii="Times New Roman" w:hAnsi="Times New Roman" w:cs="Times New Roman"/>
          <w:sz w:val="24"/>
          <w:szCs w:val="24"/>
        </w:rPr>
        <w:t xml:space="preserve"> </w:t>
      </w:r>
      <w:r w:rsidR="00B35B3B">
        <w:rPr>
          <w:rFonts w:ascii="Times New Roman" w:hAnsi="Times New Roman" w:cs="Times New Roman"/>
          <w:sz w:val="24"/>
          <w:szCs w:val="24"/>
        </w:rPr>
        <w:t>related to</w:t>
      </w:r>
      <w:r w:rsidR="00736E11">
        <w:rPr>
          <w:rFonts w:ascii="Times New Roman" w:hAnsi="Times New Roman" w:cs="Times New Roman"/>
          <w:sz w:val="24"/>
          <w:szCs w:val="24"/>
        </w:rPr>
        <w:t xml:space="preserve"> remuneration outcomes on an individual basis engages the </w:t>
      </w:r>
      <w:r w:rsidR="005C29FF">
        <w:rPr>
          <w:rFonts w:ascii="Times New Roman" w:hAnsi="Times New Roman" w:cs="Times New Roman"/>
          <w:sz w:val="24"/>
          <w:szCs w:val="24"/>
        </w:rPr>
        <w:t xml:space="preserve">right to privacy under </w:t>
      </w:r>
      <w:r w:rsidR="005C29FF" w:rsidRPr="002408A8">
        <w:rPr>
          <w:rFonts w:ascii="Times New Roman" w:hAnsi="Times New Roman" w:cs="Times New Roman"/>
          <w:sz w:val="24"/>
          <w:szCs w:val="24"/>
        </w:rPr>
        <w:t>Article 17 of the International Covenant on Civil and Political Rights (ICCPR)</w:t>
      </w:r>
      <w:r w:rsidR="005C29FF">
        <w:rPr>
          <w:rFonts w:ascii="Times New Roman" w:hAnsi="Times New Roman" w:cs="Times New Roman"/>
          <w:sz w:val="24"/>
          <w:szCs w:val="24"/>
        </w:rPr>
        <w:t xml:space="preserve">, </w:t>
      </w:r>
      <w:r w:rsidR="00BD3208">
        <w:rPr>
          <w:rFonts w:ascii="Times New Roman" w:hAnsi="Times New Roman" w:cs="Times New Roman"/>
          <w:sz w:val="24"/>
          <w:szCs w:val="24"/>
        </w:rPr>
        <w:t xml:space="preserve">an international instrument </w:t>
      </w:r>
      <w:r w:rsidRPr="002408A8">
        <w:rPr>
          <w:rFonts w:ascii="Times New Roman" w:hAnsi="Times New Roman" w:cs="Times New Roman"/>
          <w:sz w:val="24"/>
          <w:szCs w:val="24"/>
        </w:rPr>
        <w:t>listed in section 3 of the HRPS Act.</w:t>
      </w:r>
    </w:p>
    <w:p w14:paraId="254DBEDD" w14:textId="4D01F561" w:rsidR="00B75A8B" w:rsidRPr="00D9085C" w:rsidRDefault="002408A8" w:rsidP="000125E4">
      <w:pPr>
        <w:jc w:val="both"/>
        <w:rPr>
          <w:rFonts w:ascii="Times New Roman" w:hAnsi="Times New Roman" w:cs="Times New Roman"/>
          <w:sz w:val="24"/>
          <w:szCs w:val="24"/>
        </w:rPr>
      </w:pPr>
      <w:r w:rsidRPr="002408A8">
        <w:rPr>
          <w:rFonts w:ascii="Times New Roman" w:hAnsi="Times New Roman" w:cs="Times New Roman"/>
          <w:sz w:val="24"/>
          <w:szCs w:val="24"/>
        </w:rPr>
        <w:t xml:space="preserve">Article 17 of the ICCPR prohibits the arbitrary or unlawful interference with a person’s privacy, family, home and correspondence, and attacks on reputation. </w:t>
      </w:r>
      <w:r w:rsidR="004473D4">
        <w:rPr>
          <w:rFonts w:ascii="Times New Roman" w:hAnsi="Times New Roman" w:cs="Times New Roman"/>
          <w:sz w:val="24"/>
          <w:szCs w:val="24"/>
        </w:rPr>
        <w:t>Full realisation of the right to privacy includes a right to secrecy of personal information</w:t>
      </w:r>
      <w:r w:rsidR="00260E23" w:rsidRPr="00260E23">
        <w:rPr>
          <w:rFonts w:ascii="Times New Roman" w:hAnsi="Times New Roman" w:cs="Times New Roman"/>
          <w:sz w:val="24"/>
          <w:szCs w:val="24"/>
        </w:rPr>
        <w:t xml:space="preserve"> </w:t>
      </w:r>
      <w:r w:rsidR="00260E23">
        <w:rPr>
          <w:rFonts w:ascii="Times New Roman" w:hAnsi="Times New Roman" w:cs="Times New Roman"/>
          <w:sz w:val="24"/>
          <w:szCs w:val="24"/>
        </w:rPr>
        <w:t>from the public</w:t>
      </w:r>
      <w:r w:rsidRPr="002408A8">
        <w:rPr>
          <w:rFonts w:ascii="Times New Roman" w:hAnsi="Times New Roman" w:cs="Times New Roman"/>
          <w:sz w:val="24"/>
          <w:szCs w:val="24"/>
        </w:rPr>
        <w:t>.</w:t>
      </w:r>
    </w:p>
    <w:p w14:paraId="6933BD4D" w14:textId="1080C203" w:rsidR="00B03533" w:rsidRDefault="00862E39" w:rsidP="002408A8">
      <w:pPr>
        <w:jc w:val="both"/>
        <w:rPr>
          <w:rFonts w:ascii="Times New Roman" w:hAnsi="Times New Roman" w:cs="Times New Roman"/>
          <w:sz w:val="24"/>
          <w:szCs w:val="24"/>
        </w:rPr>
      </w:pPr>
      <w:r>
        <w:rPr>
          <w:rFonts w:ascii="Times New Roman" w:hAnsi="Times New Roman" w:cs="Times New Roman"/>
          <w:sz w:val="24"/>
          <w:szCs w:val="24"/>
        </w:rPr>
        <w:t>Prudential Standards</w:t>
      </w:r>
      <w:r w:rsidRPr="00862E39">
        <w:rPr>
          <w:rFonts w:ascii="Times New Roman" w:hAnsi="Times New Roman" w:cs="Times New Roman"/>
          <w:sz w:val="24"/>
          <w:szCs w:val="24"/>
        </w:rPr>
        <w:t xml:space="preserve"> that allow for the disclosure of personal information should be reasonable, </w:t>
      </w:r>
      <w:proofErr w:type="gramStart"/>
      <w:r w:rsidRPr="00862E39">
        <w:rPr>
          <w:rFonts w:ascii="Times New Roman" w:hAnsi="Times New Roman" w:cs="Times New Roman"/>
          <w:sz w:val="24"/>
          <w:szCs w:val="24"/>
        </w:rPr>
        <w:t>necessary</w:t>
      </w:r>
      <w:proofErr w:type="gramEnd"/>
      <w:r w:rsidRPr="00862E39">
        <w:rPr>
          <w:rFonts w:ascii="Times New Roman" w:hAnsi="Times New Roman" w:cs="Times New Roman"/>
          <w:sz w:val="24"/>
          <w:szCs w:val="24"/>
        </w:rPr>
        <w:t xml:space="preserve"> and proportionate to meeting the legitimate objective of increasing transparency in the </w:t>
      </w:r>
      <w:r w:rsidR="000C5AEE">
        <w:rPr>
          <w:rFonts w:ascii="Times New Roman" w:hAnsi="Times New Roman" w:cs="Times New Roman"/>
          <w:sz w:val="24"/>
          <w:szCs w:val="24"/>
        </w:rPr>
        <w:t xml:space="preserve">banking, insurance </w:t>
      </w:r>
      <w:r w:rsidR="00A83556">
        <w:rPr>
          <w:rFonts w:ascii="Times New Roman" w:hAnsi="Times New Roman" w:cs="Times New Roman"/>
          <w:sz w:val="24"/>
          <w:szCs w:val="24"/>
        </w:rPr>
        <w:t>and</w:t>
      </w:r>
      <w:r w:rsidR="000C5AEE">
        <w:rPr>
          <w:rFonts w:ascii="Times New Roman" w:hAnsi="Times New Roman" w:cs="Times New Roman"/>
          <w:sz w:val="24"/>
          <w:szCs w:val="24"/>
        </w:rPr>
        <w:t xml:space="preserve"> superannuation </w:t>
      </w:r>
      <w:r w:rsidRPr="00862E39">
        <w:rPr>
          <w:rFonts w:ascii="Times New Roman" w:hAnsi="Times New Roman" w:cs="Times New Roman"/>
          <w:sz w:val="24"/>
          <w:szCs w:val="24"/>
        </w:rPr>
        <w:t>industr</w:t>
      </w:r>
      <w:r w:rsidR="000C5AEE">
        <w:rPr>
          <w:rFonts w:ascii="Times New Roman" w:hAnsi="Times New Roman" w:cs="Times New Roman"/>
          <w:sz w:val="24"/>
          <w:szCs w:val="24"/>
        </w:rPr>
        <w:t>ies</w:t>
      </w:r>
      <w:r w:rsidRPr="00862E39">
        <w:rPr>
          <w:rFonts w:ascii="Times New Roman" w:hAnsi="Times New Roman" w:cs="Times New Roman"/>
          <w:sz w:val="24"/>
          <w:szCs w:val="24"/>
        </w:rPr>
        <w:t>.</w:t>
      </w:r>
    </w:p>
    <w:p w14:paraId="17FC7084" w14:textId="4AA4A4E3" w:rsidR="000C5AEE" w:rsidRDefault="00556D61" w:rsidP="006330DB">
      <w:pPr>
        <w:jc w:val="both"/>
        <w:rPr>
          <w:rFonts w:ascii="Times New Roman" w:hAnsi="Times New Roman" w:cs="Times New Roman"/>
          <w:sz w:val="24"/>
          <w:szCs w:val="24"/>
        </w:rPr>
      </w:pPr>
      <w:r>
        <w:rPr>
          <w:rFonts w:ascii="Times New Roman" w:hAnsi="Times New Roman" w:cs="Times New Roman"/>
          <w:sz w:val="24"/>
          <w:szCs w:val="24"/>
        </w:rPr>
        <w:lastRenderedPageBreak/>
        <w:t xml:space="preserve">CPS 511 imposes a new requirement for APRA regulated entities that are </w:t>
      </w:r>
      <w:r w:rsidRPr="00D9085C">
        <w:rPr>
          <w:rFonts w:ascii="Times New Roman" w:hAnsi="Times New Roman" w:cs="Times New Roman"/>
          <w:sz w:val="24"/>
          <w:szCs w:val="24"/>
        </w:rPr>
        <w:t>complex entities (Significant Financial Institutions)</w:t>
      </w:r>
      <w:r>
        <w:rPr>
          <w:rFonts w:ascii="Times New Roman" w:hAnsi="Times New Roman" w:cs="Times New Roman"/>
          <w:sz w:val="24"/>
          <w:szCs w:val="24"/>
        </w:rPr>
        <w:t xml:space="preserve"> to </w:t>
      </w:r>
      <w:r w:rsidR="00D52DB3">
        <w:rPr>
          <w:rFonts w:ascii="Times New Roman" w:hAnsi="Times New Roman" w:cs="Times New Roman"/>
          <w:sz w:val="24"/>
          <w:szCs w:val="24"/>
        </w:rPr>
        <w:t xml:space="preserve">publicly </w:t>
      </w:r>
      <w:r>
        <w:rPr>
          <w:rFonts w:ascii="Times New Roman" w:hAnsi="Times New Roman" w:cs="Times New Roman"/>
          <w:sz w:val="24"/>
          <w:szCs w:val="24"/>
        </w:rPr>
        <w:t>disclose</w:t>
      </w:r>
      <w:r w:rsidR="0089791A">
        <w:rPr>
          <w:rFonts w:ascii="Times New Roman" w:hAnsi="Times New Roman" w:cs="Times New Roman"/>
          <w:sz w:val="24"/>
          <w:szCs w:val="24"/>
        </w:rPr>
        <w:t xml:space="preserve"> </w:t>
      </w:r>
      <w:r w:rsidR="00DE61F6">
        <w:rPr>
          <w:rFonts w:ascii="Times New Roman" w:hAnsi="Times New Roman" w:cs="Times New Roman"/>
          <w:sz w:val="24"/>
          <w:szCs w:val="24"/>
        </w:rPr>
        <w:t>personal</w:t>
      </w:r>
      <w:r w:rsidR="00D52DB3">
        <w:rPr>
          <w:rFonts w:ascii="Times New Roman" w:hAnsi="Times New Roman" w:cs="Times New Roman"/>
          <w:sz w:val="24"/>
          <w:szCs w:val="24"/>
        </w:rPr>
        <w:t xml:space="preserve"> information</w:t>
      </w:r>
      <w:r w:rsidR="00DE61F6">
        <w:rPr>
          <w:rFonts w:ascii="Times New Roman" w:hAnsi="Times New Roman" w:cs="Times New Roman"/>
          <w:sz w:val="24"/>
          <w:szCs w:val="24"/>
        </w:rPr>
        <w:t xml:space="preserve"> comprising remuneration </w:t>
      </w:r>
      <w:r w:rsidR="00D52DB3">
        <w:rPr>
          <w:rFonts w:ascii="Times New Roman" w:hAnsi="Times New Roman" w:cs="Times New Roman"/>
          <w:sz w:val="24"/>
          <w:szCs w:val="24"/>
        </w:rPr>
        <w:t>information</w:t>
      </w:r>
      <w:r w:rsidR="00966DA9">
        <w:rPr>
          <w:rFonts w:ascii="Times New Roman" w:hAnsi="Times New Roman" w:cs="Times New Roman"/>
          <w:sz w:val="24"/>
          <w:szCs w:val="24"/>
        </w:rPr>
        <w:t xml:space="preserve"> of the </w:t>
      </w:r>
      <w:r w:rsidR="009814D2">
        <w:rPr>
          <w:rFonts w:ascii="Times New Roman" w:hAnsi="Times New Roman" w:cs="Times New Roman"/>
          <w:sz w:val="24"/>
          <w:szCs w:val="24"/>
        </w:rPr>
        <w:t>CEO</w:t>
      </w:r>
      <w:r w:rsidR="00FF2F66">
        <w:rPr>
          <w:rFonts w:ascii="Times New Roman" w:hAnsi="Times New Roman" w:cs="Times New Roman"/>
          <w:sz w:val="24"/>
          <w:szCs w:val="24"/>
        </w:rPr>
        <w:t xml:space="preserve"> of the entity or</w:t>
      </w:r>
      <w:r w:rsidR="00FE398B">
        <w:rPr>
          <w:rFonts w:ascii="Times New Roman" w:hAnsi="Times New Roman" w:cs="Times New Roman"/>
          <w:sz w:val="24"/>
          <w:szCs w:val="24"/>
        </w:rPr>
        <w:t>, if the entity is part of a group</w:t>
      </w:r>
      <w:r w:rsidR="00AD6A21">
        <w:rPr>
          <w:rFonts w:ascii="Times New Roman" w:hAnsi="Times New Roman" w:cs="Times New Roman"/>
          <w:sz w:val="24"/>
          <w:szCs w:val="24"/>
        </w:rPr>
        <w:t>,</w:t>
      </w:r>
      <w:r w:rsidR="00FF2F66">
        <w:rPr>
          <w:rFonts w:ascii="Times New Roman" w:hAnsi="Times New Roman" w:cs="Times New Roman"/>
          <w:sz w:val="24"/>
          <w:szCs w:val="24"/>
        </w:rPr>
        <w:t xml:space="preserve"> the </w:t>
      </w:r>
      <w:r w:rsidR="006330DB">
        <w:rPr>
          <w:rFonts w:ascii="Times New Roman" w:hAnsi="Times New Roman" w:cs="Times New Roman"/>
          <w:sz w:val="24"/>
          <w:szCs w:val="24"/>
        </w:rPr>
        <w:t xml:space="preserve">Head of a group </w:t>
      </w:r>
      <w:r w:rsidR="00833C73">
        <w:rPr>
          <w:rFonts w:ascii="Times New Roman" w:hAnsi="Times New Roman" w:cs="Times New Roman"/>
          <w:sz w:val="24"/>
          <w:szCs w:val="24"/>
        </w:rPr>
        <w:t xml:space="preserve">of which the entity is part. </w:t>
      </w:r>
    </w:p>
    <w:p w14:paraId="1649BBD2" w14:textId="7E1598B8" w:rsidR="000C00EA" w:rsidRDefault="00E65169" w:rsidP="00514F06">
      <w:pPr>
        <w:jc w:val="both"/>
        <w:rPr>
          <w:rFonts w:ascii="Times New Roman" w:hAnsi="Times New Roman" w:cs="Times New Roman"/>
          <w:sz w:val="24"/>
          <w:szCs w:val="24"/>
        </w:rPr>
      </w:pPr>
      <w:r>
        <w:rPr>
          <w:rFonts w:ascii="Times New Roman" w:hAnsi="Times New Roman" w:cs="Times New Roman"/>
          <w:sz w:val="24"/>
          <w:szCs w:val="24"/>
        </w:rPr>
        <w:t xml:space="preserve">The disclosure requirements are </w:t>
      </w:r>
      <w:r w:rsidR="00514F06" w:rsidRPr="00514F06">
        <w:rPr>
          <w:rFonts w:ascii="Times New Roman" w:hAnsi="Times New Roman" w:cs="Times New Roman"/>
          <w:sz w:val="24"/>
          <w:szCs w:val="24"/>
        </w:rPr>
        <w:t>important in ensuring that there is transparency on how entities are meeting the objectives of</w:t>
      </w:r>
      <w:r w:rsidR="00423D99">
        <w:rPr>
          <w:rFonts w:ascii="Times New Roman" w:hAnsi="Times New Roman" w:cs="Times New Roman"/>
          <w:sz w:val="24"/>
          <w:szCs w:val="24"/>
        </w:rPr>
        <w:t xml:space="preserve"> CPS 511</w:t>
      </w:r>
      <w:r w:rsidR="008D57CD">
        <w:rPr>
          <w:rFonts w:ascii="Times New Roman" w:hAnsi="Times New Roman" w:cs="Times New Roman"/>
          <w:sz w:val="24"/>
          <w:szCs w:val="24"/>
        </w:rPr>
        <w:t xml:space="preserve"> and facilitate </w:t>
      </w:r>
      <w:r w:rsidR="00971A38" w:rsidRPr="00971A38">
        <w:rPr>
          <w:rFonts w:ascii="Times New Roman" w:hAnsi="Times New Roman" w:cs="Times New Roman"/>
          <w:sz w:val="24"/>
          <w:szCs w:val="24"/>
        </w:rPr>
        <w:t>consistent disclosure requirements for all APRA-regulated entities</w:t>
      </w:r>
      <w:r w:rsidR="00971A38">
        <w:rPr>
          <w:rFonts w:ascii="Times New Roman" w:hAnsi="Times New Roman" w:cs="Times New Roman"/>
          <w:sz w:val="24"/>
          <w:szCs w:val="24"/>
        </w:rPr>
        <w:t>.</w:t>
      </w:r>
    </w:p>
    <w:p w14:paraId="60E66526" w14:textId="1C62EF83" w:rsidR="00961690" w:rsidRDefault="008B6F0A" w:rsidP="006330DB">
      <w:pPr>
        <w:jc w:val="both"/>
        <w:rPr>
          <w:rFonts w:ascii="Times New Roman" w:hAnsi="Times New Roman" w:cs="Times New Roman"/>
          <w:sz w:val="24"/>
          <w:szCs w:val="24"/>
        </w:rPr>
      </w:pPr>
      <w:r w:rsidRPr="008B6F0A">
        <w:rPr>
          <w:rFonts w:ascii="Times New Roman" w:hAnsi="Times New Roman" w:cs="Times New Roman"/>
          <w:sz w:val="24"/>
          <w:szCs w:val="24"/>
        </w:rPr>
        <w:t xml:space="preserve">To ensure that the objective of increasing transparency is balanced against privacy considerations, the disclosure requirements in </w:t>
      </w:r>
      <w:r>
        <w:rPr>
          <w:rFonts w:ascii="Times New Roman" w:hAnsi="Times New Roman" w:cs="Times New Roman"/>
          <w:sz w:val="24"/>
          <w:szCs w:val="24"/>
        </w:rPr>
        <w:t>CPS 511</w:t>
      </w:r>
      <w:r w:rsidRPr="008B6F0A">
        <w:rPr>
          <w:rFonts w:ascii="Times New Roman" w:hAnsi="Times New Roman" w:cs="Times New Roman"/>
          <w:sz w:val="24"/>
          <w:szCs w:val="24"/>
        </w:rPr>
        <w:t xml:space="preserve"> are subject to </w:t>
      </w:r>
      <w:proofErr w:type="gramStart"/>
      <w:r w:rsidRPr="008B6F0A">
        <w:rPr>
          <w:rFonts w:ascii="Times New Roman" w:hAnsi="Times New Roman" w:cs="Times New Roman"/>
          <w:sz w:val="24"/>
          <w:szCs w:val="24"/>
        </w:rPr>
        <w:t>a number of</w:t>
      </w:r>
      <w:proofErr w:type="gramEnd"/>
      <w:r w:rsidRPr="008B6F0A">
        <w:rPr>
          <w:rFonts w:ascii="Times New Roman" w:hAnsi="Times New Roman" w:cs="Times New Roman"/>
          <w:sz w:val="24"/>
          <w:szCs w:val="24"/>
        </w:rPr>
        <w:t xml:space="preserve"> limitations.</w:t>
      </w:r>
    </w:p>
    <w:p w14:paraId="15397E81" w14:textId="23A2F0C3" w:rsidR="00331CE5" w:rsidRDefault="00F02727" w:rsidP="006330DB">
      <w:pPr>
        <w:jc w:val="both"/>
        <w:rPr>
          <w:rFonts w:ascii="Times New Roman" w:hAnsi="Times New Roman" w:cs="Times New Roman"/>
          <w:sz w:val="24"/>
          <w:szCs w:val="24"/>
        </w:rPr>
      </w:pPr>
      <w:r>
        <w:rPr>
          <w:rFonts w:ascii="Times New Roman" w:hAnsi="Times New Roman" w:cs="Times New Roman"/>
          <w:sz w:val="24"/>
          <w:szCs w:val="24"/>
        </w:rPr>
        <w:t xml:space="preserve">First, </w:t>
      </w:r>
      <w:proofErr w:type="gramStart"/>
      <w:r>
        <w:rPr>
          <w:rFonts w:ascii="Times New Roman" w:hAnsi="Times New Roman" w:cs="Times New Roman"/>
          <w:sz w:val="24"/>
          <w:szCs w:val="24"/>
        </w:rPr>
        <w:t>with the exception of</w:t>
      </w:r>
      <w:proofErr w:type="gramEnd"/>
      <w:r>
        <w:rPr>
          <w:rFonts w:ascii="Times New Roman" w:hAnsi="Times New Roman" w:cs="Times New Roman"/>
          <w:sz w:val="24"/>
          <w:szCs w:val="24"/>
        </w:rPr>
        <w:t xml:space="preserve"> </w:t>
      </w:r>
      <w:r w:rsidR="00D70AD4">
        <w:rPr>
          <w:rFonts w:ascii="Times New Roman" w:hAnsi="Times New Roman" w:cs="Times New Roman"/>
          <w:sz w:val="24"/>
          <w:szCs w:val="24"/>
        </w:rPr>
        <w:t xml:space="preserve">the </w:t>
      </w:r>
      <w:r>
        <w:rPr>
          <w:rFonts w:ascii="Times New Roman" w:hAnsi="Times New Roman" w:cs="Times New Roman"/>
          <w:sz w:val="24"/>
          <w:szCs w:val="24"/>
        </w:rPr>
        <w:t>CEO</w:t>
      </w:r>
      <w:r w:rsidR="006E2E73">
        <w:rPr>
          <w:rFonts w:ascii="Times New Roman" w:hAnsi="Times New Roman" w:cs="Times New Roman"/>
          <w:sz w:val="24"/>
          <w:szCs w:val="24"/>
        </w:rPr>
        <w:t xml:space="preserve">, </w:t>
      </w:r>
      <w:r w:rsidR="00B90727">
        <w:rPr>
          <w:rFonts w:ascii="Times New Roman" w:hAnsi="Times New Roman" w:cs="Times New Roman"/>
          <w:sz w:val="24"/>
          <w:szCs w:val="24"/>
        </w:rPr>
        <w:t xml:space="preserve">remuneration </w:t>
      </w:r>
      <w:r w:rsidR="006E2E73">
        <w:rPr>
          <w:rFonts w:ascii="Times New Roman" w:hAnsi="Times New Roman" w:cs="Times New Roman"/>
          <w:sz w:val="24"/>
          <w:szCs w:val="24"/>
        </w:rPr>
        <w:t>information</w:t>
      </w:r>
      <w:r w:rsidR="00B90727">
        <w:rPr>
          <w:rFonts w:ascii="Times New Roman" w:hAnsi="Times New Roman" w:cs="Times New Roman"/>
          <w:sz w:val="24"/>
          <w:szCs w:val="24"/>
        </w:rPr>
        <w:t xml:space="preserve"> about other senior managers</w:t>
      </w:r>
      <w:r w:rsidR="00053FF3">
        <w:rPr>
          <w:rFonts w:ascii="Times New Roman" w:hAnsi="Times New Roman" w:cs="Times New Roman"/>
          <w:sz w:val="24"/>
          <w:szCs w:val="24"/>
        </w:rPr>
        <w:t xml:space="preserve"> and other risk-takers is </w:t>
      </w:r>
      <w:r w:rsidR="00BD7404">
        <w:rPr>
          <w:rFonts w:ascii="Times New Roman" w:hAnsi="Times New Roman" w:cs="Times New Roman"/>
          <w:sz w:val="24"/>
          <w:szCs w:val="24"/>
        </w:rPr>
        <w:t xml:space="preserve">only </w:t>
      </w:r>
      <w:r w:rsidR="00053FF3">
        <w:rPr>
          <w:rFonts w:ascii="Times New Roman" w:hAnsi="Times New Roman" w:cs="Times New Roman"/>
          <w:sz w:val="24"/>
          <w:szCs w:val="24"/>
        </w:rPr>
        <w:t>required</w:t>
      </w:r>
      <w:r w:rsidR="00BD7404">
        <w:rPr>
          <w:rFonts w:ascii="Times New Roman" w:hAnsi="Times New Roman" w:cs="Times New Roman"/>
          <w:sz w:val="24"/>
          <w:szCs w:val="24"/>
        </w:rPr>
        <w:t xml:space="preserve"> on a cohort basis where the cohort is</w:t>
      </w:r>
      <w:r w:rsidR="00331CE5">
        <w:rPr>
          <w:rFonts w:ascii="Times New Roman" w:hAnsi="Times New Roman" w:cs="Times New Roman"/>
          <w:sz w:val="24"/>
          <w:szCs w:val="24"/>
        </w:rPr>
        <w:t xml:space="preserve"> not less than five individuals.</w:t>
      </w:r>
      <w:r w:rsidR="000A3970">
        <w:rPr>
          <w:rStyle w:val="FootnoteReference"/>
          <w:rFonts w:cs="Times New Roman"/>
          <w:szCs w:val="24"/>
        </w:rPr>
        <w:footnoteReference w:id="6"/>
      </w:r>
    </w:p>
    <w:p w14:paraId="4E5F9BAF" w14:textId="6CC16E9C" w:rsidR="008B6F0A" w:rsidRDefault="00331CE5" w:rsidP="006330DB">
      <w:pPr>
        <w:jc w:val="both"/>
        <w:rPr>
          <w:rFonts w:ascii="Times New Roman" w:hAnsi="Times New Roman" w:cs="Times New Roman"/>
          <w:sz w:val="24"/>
          <w:szCs w:val="24"/>
        </w:rPr>
      </w:pPr>
      <w:r>
        <w:rPr>
          <w:rFonts w:ascii="Times New Roman" w:hAnsi="Times New Roman" w:cs="Times New Roman"/>
          <w:sz w:val="24"/>
          <w:szCs w:val="24"/>
        </w:rPr>
        <w:t>Secondly</w:t>
      </w:r>
      <w:r w:rsidR="000A3970">
        <w:rPr>
          <w:rFonts w:ascii="Times New Roman" w:hAnsi="Times New Roman" w:cs="Times New Roman"/>
          <w:sz w:val="24"/>
          <w:szCs w:val="24"/>
        </w:rPr>
        <w:t>,</w:t>
      </w:r>
      <w:r w:rsidR="00D3068D">
        <w:rPr>
          <w:rFonts w:ascii="Times New Roman" w:hAnsi="Times New Roman" w:cs="Times New Roman"/>
          <w:sz w:val="24"/>
          <w:szCs w:val="24"/>
        </w:rPr>
        <w:t xml:space="preserve"> the </w:t>
      </w:r>
      <w:r w:rsidR="002F289E">
        <w:rPr>
          <w:rFonts w:ascii="Times New Roman" w:hAnsi="Times New Roman" w:cs="Times New Roman"/>
          <w:sz w:val="24"/>
          <w:szCs w:val="24"/>
        </w:rPr>
        <w:t xml:space="preserve">disclosure of personal </w:t>
      </w:r>
      <w:r w:rsidR="009331EF">
        <w:rPr>
          <w:rFonts w:ascii="Times New Roman" w:hAnsi="Times New Roman" w:cs="Times New Roman"/>
          <w:sz w:val="24"/>
          <w:szCs w:val="24"/>
        </w:rPr>
        <w:t xml:space="preserve">remuneration information is only </w:t>
      </w:r>
      <w:r w:rsidR="00901A14">
        <w:rPr>
          <w:rFonts w:ascii="Times New Roman" w:hAnsi="Times New Roman" w:cs="Times New Roman"/>
          <w:sz w:val="24"/>
          <w:szCs w:val="24"/>
        </w:rPr>
        <w:t xml:space="preserve">directed at CEOs, who occupy </w:t>
      </w:r>
      <w:r w:rsidR="00D25757">
        <w:rPr>
          <w:rFonts w:ascii="Times New Roman" w:hAnsi="Times New Roman" w:cs="Times New Roman"/>
          <w:sz w:val="24"/>
          <w:szCs w:val="24"/>
        </w:rPr>
        <w:t xml:space="preserve">significant </w:t>
      </w:r>
      <w:r w:rsidR="00D82123">
        <w:rPr>
          <w:rFonts w:ascii="Times New Roman" w:hAnsi="Times New Roman" w:cs="Times New Roman"/>
          <w:sz w:val="24"/>
          <w:szCs w:val="24"/>
        </w:rPr>
        <w:t>decision-making</w:t>
      </w:r>
      <w:r w:rsidR="00901A14">
        <w:rPr>
          <w:rFonts w:ascii="Times New Roman" w:hAnsi="Times New Roman" w:cs="Times New Roman"/>
          <w:sz w:val="24"/>
          <w:szCs w:val="24"/>
        </w:rPr>
        <w:t xml:space="preserve"> positions and </w:t>
      </w:r>
      <w:r w:rsidR="00D90AD9">
        <w:rPr>
          <w:rFonts w:ascii="Times New Roman" w:hAnsi="Times New Roman" w:cs="Times New Roman"/>
          <w:sz w:val="24"/>
          <w:szCs w:val="24"/>
        </w:rPr>
        <w:t xml:space="preserve">hold significant </w:t>
      </w:r>
      <w:r w:rsidR="007D2735">
        <w:rPr>
          <w:rFonts w:ascii="Times New Roman" w:hAnsi="Times New Roman" w:cs="Times New Roman"/>
          <w:sz w:val="24"/>
          <w:szCs w:val="24"/>
        </w:rPr>
        <w:t>influence over</w:t>
      </w:r>
      <w:r w:rsidR="00901A14">
        <w:rPr>
          <w:rFonts w:ascii="Times New Roman" w:hAnsi="Times New Roman" w:cs="Times New Roman"/>
          <w:sz w:val="24"/>
          <w:szCs w:val="24"/>
        </w:rPr>
        <w:t xml:space="preserve"> the governance and management of APRA</w:t>
      </w:r>
      <w:r w:rsidR="00BB10A5">
        <w:rPr>
          <w:rFonts w:ascii="Times New Roman" w:hAnsi="Times New Roman" w:cs="Times New Roman"/>
          <w:sz w:val="24"/>
          <w:szCs w:val="24"/>
        </w:rPr>
        <w:t>-</w:t>
      </w:r>
      <w:r w:rsidR="00901A14">
        <w:rPr>
          <w:rFonts w:ascii="Times New Roman" w:hAnsi="Times New Roman" w:cs="Times New Roman"/>
          <w:sz w:val="24"/>
          <w:szCs w:val="24"/>
        </w:rPr>
        <w:t>regulated entities</w:t>
      </w:r>
      <w:r w:rsidR="00BB10A5">
        <w:rPr>
          <w:rFonts w:ascii="Times New Roman" w:hAnsi="Times New Roman" w:cs="Times New Roman"/>
          <w:sz w:val="24"/>
          <w:szCs w:val="24"/>
        </w:rPr>
        <w:t xml:space="preserve">. It is reasonable to limit their right to privacy as that limitation is in the interest of the </w:t>
      </w:r>
      <w:r w:rsidR="00FD2E08">
        <w:rPr>
          <w:rFonts w:ascii="Times New Roman" w:hAnsi="Times New Roman" w:cs="Times New Roman"/>
          <w:sz w:val="24"/>
          <w:szCs w:val="24"/>
        </w:rPr>
        <w:t xml:space="preserve">depositors, policy holders and members </w:t>
      </w:r>
      <w:r w:rsidR="00EC52BE">
        <w:rPr>
          <w:rFonts w:ascii="Times New Roman" w:hAnsi="Times New Roman" w:cs="Times New Roman"/>
          <w:sz w:val="24"/>
          <w:szCs w:val="24"/>
        </w:rPr>
        <w:t xml:space="preserve">whose </w:t>
      </w:r>
      <w:r w:rsidR="00DE20A9">
        <w:rPr>
          <w:rFonts w:ascii="Times New Roman" w:hAnsi="Times New Roman" w:cs="Times New Roman"/>
          <w:sz w:val="24"/>
          <w:szCs w:val="24"/>
        </w:rPr>
        <w:t>assets</w:t>
      </w:r>
      <w:r w:rsidR="00EC52BE">
        <w:rPr>
          <w:rFonts w:ascii="Times New Roman" w:hAnsi="Times New Roman" w:cs="Times New Roman"/>
          <w:sz w:val="24"/>
          <w:szCs w:val="24"/>
        </w:rPr>
        <w:t xml:space="preserve"> they manage. Additionally, </w:t>
      </w:r>
      <w:r w:rsidR="00C13585">
        <w:rPr>
          <w:rFonts w:ascii="Times New Roman" w:hAnsi="Times New Roman" w:cs="Times New Roman"/>
          <w:sz w:val="24"/>
          <w:szCs w:val="24"/>
        </w:rPr>
        <w:t xml:space="preserve">certain </w:t>
      </w:r>
      <w:r w:rsidR="00EC52BE">
        <w:rPr>
          <w:rFonts w:ascii="Times New Roman" w:hAnsi="Times New Roman" w:cs="Times New Roman"/>
          <w:sz w:val="24"/>
          <w:szCs w:val="24"/>
        </w:rPr>
        <w:t>CEOs are also required to disclose</w:t>
      </w:r>
      <w:r w:rsidR="00C13585">
        <w:rPr>
          <w:rFonts w:ascii="Times New Roman" w:hAnsi="Times New Roman" w:cs="Times New Roman"/>
          <w:sz w:val="24"/>
          <w:szCs w:val="24"/>
        </w:rPr>
        <w:t xml:space="preserve"> their personal remuneration information under </w:t>
      </w:r>
      <w:r w:rsidR="00223D37">
        <w:rPr>
          <w:rFonts w:ascii="Times New Roman" w:hAnsi="Times New Roman" w:cs="Times New Roman"/>
          <w:sz w:val="24"/>
          <w:szCs w:val="24"/>
        </w:rPr>
        <w:t>other legislat</w:t>
      </w:r>
      <w:r w:rsidR="000A0068">
        <w:rPr>
          <w:rFonts w:ascii="Times New Roman" w:hAnsi="Times New Roman" w:cs="Times New Roman"/>
          <w:sz w:val="24"/>
          <w:szCs w:val="24"/>
        </w:rPr>
        <w:t>ive requirements</w:t>
      </w:r>
      <w:r w:rsidR="002D08C5">
        <w:rPr>
          <w:rStyle w:val="FootnoteReference"/>
          <w:rFonts w:cs="Times New Roman"/>
          <w:szCs w:val="24"/>
        </w:rPr>
        <w:footnoteReference w:id="7"/>
      </w:r>
      <w:r w:rsidR="00DA61DA">
        <w:rPr>
          <w:rFonts w:ascii="Times New Roman" w:hAnsi="Times New Roman" w:cs="Times New Roman"/>
          <w:sz w:val="24"/>
          <w:szCs w:val="24"/>
        </w:rPr>
        <w:t xml:space="preserve"> and CPS 511 is proposed to </w:t>
      </w:r>
      <w:r w:rsidR="00EC6457">
        <w:rPr>
          <w:rFonts w:ascii="Times New Roman" w:hAnsi="Times New Roman" w:cs="Times New Roman"/>
          <w:sz w:val="24"/>
          <w:szCs w:val="24"/>
        </w:rPr>
        <w:t xml:space="preserve">facilitate </w:t>
      </w:r>
      <w:r w:rsidR="008B3065">
        <w:rPr>
          <w:rFonts w:ascii="Times New Roman" w:hAnsi="Times New Roman" w:cs="Times New Roman"/>
          <w:sz w:val="24"/>
          <w:szCs w:val="24"/>
        </w:rPr>
        <w:t>comparable, rather than addition, disclosures in those instances</w:t>
      </w:r>
      <w:r w:rsidR="00223D37">
        <w:rPr>
          <w:rFonts w:ascii="Times New Roman" w:hAnsi="Times New Roman" w:cs="Times New Roman"/>
          <w:sz w:val="24"/>
          <w:szCs w:val="24"/>
        </w:rPr>
        <w:t xml:space="preserve">. </w:t>
      </w:r>
      <w:r w:rsidR="00EC52BE">
        <w:rPr>
          <w:rFonts w:ascii="Times New Roman" w:hAnsi="Times New Roman" w:cs="Times New Roman"/>
          <w:sz w:val="24"/>
          <w:szCs w:val="24"/>
        </w:rPr>
        <w:t xml:space="preserve"> </w:t>
      </w:r>
      <w:r w:rsidR="00901A14">
        <w:rPr>
          <w:rFonts w:ascii="Times New Roman" w:hAnsi="Times New Roman" w:cs="Times New Roman"/>
          <w:sz w:val="24"/>
          <w:szCs w:val="24"/>
        </w:rPr>
        <w:t xml:space="preserve"> </w:t>
      </w:r>
    </w:p>
    <w:p w14:paraId="785AB55D" w14:textId="43EFDFFB" w:rsidR="00121BA6" w:rsidRPr="00D9085C" w:rsidRDefault="007A7920" w:rsidP="006330DB">
      <w:pPr>
        <w:jc w:val="both"/>
        <w:rPr>
          <w:rFonts w:ascii="Times New Roman" w:hAnsi="Times New Roman" w:cs="Times New Roman"/>
          <w:sz w:val="24"/>
          <w:szCs w:val="24"/>
        </w:rPr>
      </w:pPr>
      <w:r w:rsidRPr="007A7920">
        <w:rPr>
          <w:rFonts w:ascii="Times New Roman" w:hAnsi="Times New Roman" w:cs="Times New Roman"/>
          <w:sz w:val="24"/>
          <w:szCs w:val="24"/>
        </w:rPr>
        <w:t xml:space="preserve">The provisions of </w:t>
      </w:r>
      <w:r>
        <w:rPr>
          <w:rFonts w:ascii="Times New Roman" w:hAnsi="Times New Roman" w:cs="Times New Roman"/>
          <w:sz w:val="24"/>
          <w:szCs w:val="24"/>
        </w:rPr>
        <w:t>CPS 511</w:t>
      </w:r>
      <w:r w:rsidRPr="007A7920">
        <w:rPr>
          <w:rFonts w:ascii="Times New Roman" w:hAnsi="Times New Roman" w:cs="Times New Roman"/>
          <w:sz w:val="24"/>
          <w:szCs w:val="24"/>
        </w:rPr>
        <w:t xml:space="preserve"> are, therefore, reasonable, </w:t>
      </w:r>
      <w:proofErr w:type="gramStart"/>
      <w:r w:rsidRPr="007A7920">
        <w:rPr>
          <w:rFonts w:ascii="Times New Roman" w:hAnsi="Times New Roman" w:cs="Times New Roman"/>
          <w:sz w:val="24"/>
          <w:szCs w:val="24"/>
        </w:rPr>
        <w:t>proportio</w:t>
      </w:r>
      <w:r w:rsidR="00271F65">
        <w:rPr>
          <w:rFonts w:ascii="Times New Roman" w:hAnsi="Times New Roman" w:cs="Times New Roman"/>
          <w:sz w:val="24"/>
          <w:szCs w:val="24"/>
        </w:rPr>
        <w:t>nate</w:t>
      </w:r>
      <w:proofErr w:type="gramEnd"/>
      <w:r w:rsidR="00271F65">
        <w:rPr>
          <w:rFonts w:ascii="Times New Roman" w:hAnsi="Times New Roman" w:cs="Times New Roman"/>
          <w:sz w:val="24"/>
          <w:szCs w:val="24"/>
        </w:rPr>
        <w:t xml:space="preserve"> </w:t>
      </w:r>
      <w:r w:rsidRPr="007A7920">
        <w:rPr>
          <w:rFonts w:ascii="Times New Roman" w:hAnsi="Times New Roman" w:cs="Times New Roman"/>
          <w:sz w:val="24"/>
          <w:szCs w:val="24"/>
        </w:rPr>
        <w:t>and necessary in the circumstances.  Consequently, the limitation to the right to privacy is reasonable according to Article 17 of the ICCPR</w:t>
      </w:r>
      <w:r w:rsidR="00961690">
        <w:rPr>
          <w:rFonts w:ascii="Times New Roman" w:hAnsi="Times New Roman" w:cs="Times New Roman"/>
          <w:sz w:val="24"/>
          <w:szCs w:val="24"/>
        </w:rPr>
        <w:t>.</w:t>
      </w:r>
    </w:p>
    <w:p w14:paraId="329FF13D" w14:textId="4693ECCA" w:rsidR="00B75A8B" w:rsidRPr="00D9085C" w:rsidRDefault="00B75A8B" w:rsidP="00211C6D">
      <w:pPr>
        <w:shd w:val="clear" w:color="auto" w:fill="FFFFFF"/>
        <w:spacing w:after="240" w:line="240" w:lineRule="auto"/>
        <w:jc w:val="both"/>
        <w:rPr>
          <w:rFonts w:ascii="Times New Roman" w:hAnsi="Times New Roman" w:cs="Times New Roman"/>
          <w:sz w:val="24"/>
          <w:szCs w:val="24"/>
          <w:lang w:val="en-US"/>
        </w:rPr>
      </w:pPr>
      <w:r w:rsidRPr="00D9085C">
        <w:rPr>
          <w:rFonts w:ascii="Times New Roman" w:hAnsi="Times New Roman" w:cs="Times New Roman"/>
          <w:b/>
          <w:bCs/>
          <w:sz w:val="24"/>
          <w:szCs w:val="24"/>
        </w:rPr>
        <w:t>Conclusion</w:t>
      </w:r>
    </w:p>
    <w:p w14:paraId="752CCA14" w14:textId="347D9906" w:rsidR="00B75A8B" w:rsidRPr="00D9085C" w:rsidRDefault="00B75A8B" w:rsidP="000125E4">
      <w:pPr>
        <w:spacing w:after="120" w:line="288" w:lineRule="auto"/>
        <w:jc w:val="both"/>
        <w:rPr>
          <w:rFonts w:ascii="Times New Roman" w:eastAsia="Times New Roman" w:hAnsi="Times New Roman" w:cs="Times New Roman"/>
          <w:sz w:val="24"/>
          <w:szCs w:val="24"/>
        </w:rPr>
      </w:pPr>
      <w:r w:rsidRPr="00D9085C">
        <w:rPr>
          <w:rFonts w:ascii="Times New Roman" w:hAnsi="Times New Roman" w:cs="Times New Roman"/>
          <w:sz w:val="24"/>
          <w:szCs w:val="24"/>
        </w:rPr>
        <w:t xml:space="preserve">The </w:t>
      </w:r>
      <w:r w:rsidR="004D5A79" w:rsidRPr="00D9085C">
        <w:rPr>
          <w:rFonts w:ascii="Times New Roman" w:hAnsi="Times New Roman" w:cs="Times New Roman"/>
          <w:sz w:val="24"/>
          <w:szCs w:val="24"/>
        </w:rPr>
        <w:t xml:space="preserve">instrument is </w:t>
      </w:r>
      <w:r w:rsidRPr="00D9085C">
        <w:rPr>
          <w:rFonts w:ascii="Times New Roman" w:hAnsi="Times New Roman" w:cs="Times New Roman"/>
          <w:sz w:val="24"/>
          <w:szCs w:val="24"/>
        </w:rPr>
        <w:t xml:space="preserve">compatible with human rights </w:t>
      </w:r>
      <w:r w:rsidR="00DD3B32" w:rsidRPr="00DD3B32">
        <w:rPr>
          <w:rFonts w:ascii="Times New Roman" w:hAnsi="Times New Roman" w:cs="Times New Roman"/>
          <w:sz w:val="24"/>
          <w:szCs w:val="24"/>
        </w:rPr>
        <w:t xml:space="preserve">because to the extent that </w:t>
      </w:r>
      <w:r w:rsidR="00DD3B32">
        <w:rPr>
          <w:rFonts w:ascii="Times New Roman" w:hAnsi="Times New Roman" w:cs="Times New Roman"/>
          <w:sz w:val="24"/>
          <w:szCs w:val="24"/>
        </w:rPr>
        <w:t xml:space="preserve">CPS 511 </w:t>
      </w:r>
      <w:r w:rsidR="00DD3B32" w:rsidRPr="00DD3B32">
        <w:rPr>
          <w:rFonts w:ascii="Times New Roman" w:hAnsi="Times New Roman" w:cs="Times New Roman"/>
          <w:sz w:val="24"/>
          <w:szCs w:val="24"/>
        </w:rPr>
        <w:t xml:space="preserve">limits human rights, those limitations are reasonably, </w:t>
      </w:r>
      <w:proofErr w:type="gramStart"/>
      <w:r w:rsidR="00DD3B32" w:rsidRPr="00DD3B32">
        <w:rPr>
          <w:rFonts w:ascii="Times New Roman" w:hAnsi="Times New Roman" w:cs="Times New Roman"/>
          <w:sz w:val="24"/>
          <w:szCs w:val="24"/>
        </w:rPr>
        <w:t>necessary</w:t>
      </w:r>
      <w:proofErr w:type="gramEnd"/>
      <w:r w:rsidR="00DD3B32" w:rsidRPr="00DD3B32">
        <w:rPr>
          <w:rFonts w:ascii="Times New Roman" w:hAnsi="Times New Roman" w:cs="Times New Roman"/>
          <w:sz w:val="24"/>
          <w:szCs w:val="24"/>
        </w:rPr>
        <w:t xml:space="preserve"> and proportionate</w:t>
      </w:r>
      <w:r w:rsidRPr="00D9085C">
        <w:rPr>
          <w:rFonts w:ascii="Times New Roman" w:hAnsi="Times New Roman" w:cs="Times New Roman"/>
          <w:sz w:val="24"/>
          <w:szCs w:val="24"/>
        </w:rPr>
        <w:t>.</w:t>
      </w:r>
    </w:p>
    <w:sectPr w:rsidR="00B75A8B" w:rsidRPr="00D9085C" w:rsidSect="00801A23">
      <w:headerReference w:type="default" r:id="rId12"/>
      <w:footerReference w:type="default" r:id="rId13"/>
      <w:headerReference w:type="first" r:id="rId14"/>
      <w:footerReference w:type="first" r:id="rId15"/>
      <w:pgSz w:w="11906" w:h="16838" w:code="9"/>
      <w:pgMar w:top="1440" w:right="1440" w:bottom="1440" w:left="144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1C0F88" w14:textId="77777777" w:rsidR="00E64C4A" w:rsidRDefault="00E64C4A" w:rsidP="007A463E">
      <w:pPr>
        <w:spacing w:after="0" w:line="240" w:lineRule="auto"/>
      </w:pPr>
      <w:r>
        <w:separator/>
      </w:r>
    </w:p>
    <w:p w14:paraId="6A8CB62F" w14:textId="77777777" w:rsidR="00E64C4A" w:rsidRDefault="00E64C4A"/>
  </w:endnote>
  <w:endnote w:type="continuationSeparator" w:id="0">
    <w:p w14:paraId="4016B7C0" w14:textId="77777777" w:rsidR="00E64C4A" w:rsidRDefault="00E64C4A" w:rsidP="007A463E">
      <w:pPr>
        <w:spacing w:after="0" w:line="240" w:lineRule="auto"/>
      </w:pPr>
      <w:r>
        <w:continuationSeparator/>
      </w:r>
    </w:p>
    <w:p w14:paraId="42941053" w14:textId="77777777" w:rsidR="00E64C4A" w:rsidRDefault="00E64C4A"/>
  </w:endnote>
  <w:endnote w:type="continuationNotice" w:id="1">
    <w:p w14:paraId="39B93D6A" w14:textId="77777777" w:rsidR="00E64C4A" w:rsidRDefault="00E64C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Yu Gothic UI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DIN OT Light">
    <w:panose1 w:val="020B0504020201010104"/>
    <w:charset w:val="00"/>
    <w:family w:val="swiss"/>
    <w:pitch w:val="variable"/>
    <w:sig w:usb0="800000EF" w:usb1="4000A47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6969505"/>
      <w:docPartObj>
        <w:docPartGallery w:val="Page Numbers (Bottom of Page)"/>
        <w:docPartUnique/>
      </w:docPartObj>
    </w:sdtPr>
    <w:sdtEndPr>
      <w:rPr>
        <w:rFonts w:ascii="Times New Roman" w:hAnsi="Times New Roman" w:cs="Times New Roman"/>
        <w:noProof/>
        <w:sz w:val="24"/>
        <w:szCs w:val="24"/>
      </w:rPr>
    </w:sdtEndPr>
    <w:sdtContent>
      <w:p w14:paraId="157A7420" w14:textId="5B176238" w:rsidR="000868B7" w:rsidRPr="00777743" w:rsidRDefault="000868B7">
        <w:pPr>
          <w:pStyle w:val="Footer"/>
          <w:jc w:val="center"/>
          <w:rPr>
            <w:rFonts w:ascii="Times New Roman" w:hAnsi="Times New Roman" w:cs="Times New Roman"/>
            <w:sz w:val="24"/>
            <w:szCs w:val="24"/>
          </w:rPr>
        </w:pPr>
        <w:r w:rsidRPr="00777743">
          <w:rPr>
            <w:rFonts w:ascii="Times New Roman" w:hAnsi="Times New Roman" w:cs="Times New Roman"/>
            <w:sz w:val="24"/>
            <w:szCs w:val="24"/>
          </w:rPr>
          <w:fldChar w:fldCharType="begin"/>
        </w:r>
        <w:r w:rsidRPr="00777743">
          <w:rPr>
            <w:rFonts w:ascii="Times New Roman" w:hAnsi="Times New Roman" w:cs="Times New Roman"/>
            <w:sz w:val="24"/>
            <w:szCs w:val="24"/>
          </w:rPr>
          <w:instrText xml:space="preserve"> PAGE   \* MERGEFORMAT </w:instrText>
        </w:r>
        <w:r w:rsidRPr="00777743">
          <w:rPr>
            <w:rFonts w:ascii="Times New Roman" w:hAnsi="Times New Roman" w:cs="Times New Roman"/>
            <w:sz w:val="24"/>
            <w:szCs w:val="24"/>
          </w:rPr>
          <w:fldChar w:fldCharType="separate"/>
        </w:r>
        <w:r w:rsidRPr="00777743">
          <w:rPr>
            <w:rFonts w:ascii="Times New Roman" w:hAnsi="Times New Roman" w:cs="Times New Roman"/>
            <w:noProof/>
            <w:sz w:val="24"/>
            <w:szCs w:val="24"/>
          </w:rPr>
          <w:t>2</w:t>
        </w:r>
        <w:r w:rsidRPr="00777743">
          <w:rPr>
            <w:rFonts w:ascii="Times New Roman" w:hAnsi="Times New Roman" w:cs="Times New Roman"/>
            <w:noProof/>
            <w:sz w:val="24"/>
            <w:szCs w:val="24"/>
          </w:rPr>
          <w:fldChar w:fldCharType="end"/>
        </w:r>
      </w:p>
    </w:sdtContent>
  </w:sdt>
  <w:p w14:paraId="4F1966D8" w14:textId="77777777" w:rsidR="000868B7" w:rsidRDefault="000868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3634925"/>
      <w:docPartObj>
        <w:docPartGallery w:val="Page Numbers (Bottom of Page)"/>
        <w:docPartUnique/>
      </w:docPartObj>
    </w:sdtPr>
    <w:sdtEndPr>
      <w:rPr>
        <w:rFonts w:ascii="Times New Roman" w:hAnsi="Times New Roman" w:cs="Times New Roman"/>
        <w:noProof/>
        <w:sz w:val="40"/>
      </w:rPr>
    </w:sdtEndPr>
    <w:sdtContent>
      <w:p w14:paraId="26D3848C" w14:textId="0F4CFD86" w:rsidR="000868B7" w:rsidRPr="00777743" w:rsidRDefault="000868B7">
        <w:pPr>
          <w:pStyle w:val="Footer"/>
          <w:jc w:val="center"/>
          <w:rPr>
            <w:rFonts w:ascii="Times New Roman" w:hAnsi="Times New Roman" w:cs="Times New Roman"/>
            <w:sz w:val="24"/>
          </w:rPr>
        </w:pPr>
        <w:r w:rsidRPr="00777743">
          <w:rPr>
            <w:rFonts w:ascii="Times New Roman" w:hAnsi="Times New Roman" w:cs="Times New Roman"/>
            <w:sz w:val="24"/>
          </w:rPr>
          <w:fldChar w:fldCharType="begin"/>
        </w:r>
        <w:r w:rsidRPr="00777743">
          <w:rPr>
            <w:rFonts w:ascii="Times New Roman" w:hAnsi="Times New Roman" w:cs="Times New Roman"/>
            <w:sz w:val="24"/>
          </w:rPr>
          <w:instrText xml:space="preserve"> PAGE   \* MERGEFORMAT </w:instrText>
        </w:r>
        <w:r w:rsidRPr="00777743">
          <w:rPr>
            <w:rFonts w:ascii="Times New Roman" w:hAnsi="Times New Roman" w:cs="Times New Roman"/>
            <w:sz w:val="24"/>
          </w:rPr>
          <w:fldChar w:fldCharType="separate"/>
        </w:r>
        <w:r w:rsidRPr="00777743">
          <w:rPr>
            <w:rFonts w:ascii="Times New Roman" w:hAnsi="Times New Roman" w:cs="Times New Roman"/>
            <w:noProof/>
            <w:sz w:val="24"/>
          </w:rPr>
          <w:t>2</w:t>
        </w:r>
        <w:r w:rsidRPr="00777743">
          <w:rPr>
            <w:rFonts w:ascii="Times New Roman" w:hAnsi="Times New Roman" w:cs="Times New Roman"/>
            <w:noProof/>
            <w:sz w:val="24"/>
          </w:rPr>
          <w:fldChar w:fldCharType="end"/>
        </w:r>
      </w:p>
    </w:sdtContent>
  </w:sdt>
  <w:p w14:paraId="26D3848D" w14:textId="77777777" w:rsidR="000868B7" w:rsidRDefault="000868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AD3481" w14:textId="77777777" w:rsidR="00E64C4A" w:rsidRDefault="00E64C4A" w:rsidP="007A463E">
      <w:pPr>
        <w:spacing w:after="0" w:line="240" w:lineRule="auto"/>
      </w:pPr>
      <w:r>
        <w:separator/>
      </w:r>
    </w:p>
    <w:p w14:paraId="77C3FDCB" w14:textId="77777777" w:rsidR="00E64C4A" w:rsidRDefault="00E64C4A"/>
  </w:footnote>
  <w:footnote w:type="continuationSeparator" w:id="0">
    <w:p w14:paraId="6A24B8C8" w14:textId="77777777" w:rsidR="00E64C4A" w:rsidRDefault="00E64C4A" w:rsidP="007A463E">
      <w:pPr>
        <w:spacing w:after="0" w:line="240" w:lineRule="auto"/>
      </w:pPr>
      <w:r>
        <w:continuationSeparator/>
      </w:r>
    </w:p>
    <w:p w14:paraId="1DD1B06B" w14:textId="77777777" w:rsidR="00E64C4A" w:rsidRDefault="00E64C4A"/>
  </w:footnote>
  <w:footnote w:type="continuationNotice" w:id="1">
    <w:p w14:paraId="41CEDAF4" w14:textId="77777777" w:rsidR="00E64C4A" w:rsidRDefault="00E64C4A">
      <w:pPr>
        <w:spacing w:after="0" w:line="240" w:lineRule="auto"/>
      </w:pPr>
    </w:p>
  </w:footnote>
  <w:footnote w:id="2">
    <w:p w14:paraId="21BBEC2E" w14:textId="05B956FC" w:rsidR="000868B7" w:rsidRDefault="000868B7" w:rsidP="007A7F9C">
      <w:pPr>
        <w:pStyle w:val="FootnoteText"/>
      </w:pPr>
      <w:r>
        <w:rPr>
          <w:rStyle w:val="FootnoteReference"/>
        </w:rPr>
        <w:footnoteRef/>
      </w:r>
      <w:r>
        <w:t xml:space="preserve"> </w:t>
      </w:r>
      <w:r w:rsidRPr="007A7F9C">
        <w:rPr>
          <w:rFonts w:ascii="Times New Roman" w:hAnsi="Times New Roman" w:cs="Times New Roman"/>
          <w:szCs w:val="18"/>
        </w:rPr>
        <w:t xml:space="preserve">The Royal Commission into Misconduct in the Banking, Superannuation and Financial Services Industry (2019) </w:t>
      </w:r>
      <w:r w:rsidRPr="007A7F9C">
        <w:rPr>
          <w:rFonts w:ascii="Times New Roman" w:hAnsi="Times New Roman" w:cs="Times New Roman"/>
          <w:i/>
          <w:szCs w:val="18"/>
        </w:rPr>
        <w:t>Royal Commission into Misconduct in the Banking, Superannuation and Financial Services Industry Final Report</w:t>
      </w:r>
      <w:r w:rsidRPr="007A7F9C">
        <w:rPr>
          <w:rFonts w:ascii="Times New Roman" w:hAnsi="Times New Roman" w:cs="Times New Roman"/>
          <w:szCs w:val="18"/>
        </w:rPr>
        <w:t>.</w:t>
      </w:r>
    </w:p>
  </w:footnote>
  <w:footnote w:id="3">
    <w:p w14:paraId="48B97EE6" w14:textId="77777777" w:rsidR="000868B7" w:rsidRDefault="000868B7" w:rsidP="000B49D8">
      <w:pPr>
        <w:pStyle w:val="FootnoteText"/>
      </w:pPr>
      <w:r>
        <w:rPr>
          <w:rStyle w:val="FootnoteReference"/>
        </w:rPr>
        <w:footnoteRef/>
      </w:r>
      <w:r>
        <w:t xml:space="preserve"> </w:t>
      </w:r>
      <w:r w:rsidRPr="000B49D8">
        <w:rPr>
          <w:rFonts w:ascii="Times New Roman" w:hAnsi="Times New Roman"/>
        </w:rPr>
        <w:t xml:space="preserve">The exception is section 54B of the SIS Act, which provides that breach of a covenant under sections 52 or 52A is a civil penalty provision. The covenants include a requirement to comply with prudential standards in relation to specified topics (conflicts, capital requirements for operational risk, MySuper and choice products). CPS </w:t>
      </w:r>
      <w:r>
        <w:rPr>
          <w:rFonts w:ascii="Times New Roman" w:hAnsi="Times New Roman"/>
        </w:rPr>
        <w:t>511</w:t>
      </w:r>
      <w:r w:rsidRPr="000B49D8">
        <w:rPr>
          <w:rFonts w:ascii="Times New Roman" w:hAnsi="Times New Roman"/>
        </w:rPr>
        <w:t xml:space="preserve"> is not a standard in relation to any of these topics.</w:t>
      </w:r>
    </w:p>
  </w:footnote>
  <w:footnote w:id="4">
    <w:p w14:paraId="1D461955" w14:textId="51645D1C" w:rsidR="000868B7" w:rsidRDefault="000868B7" w:rsidP="003C1296">
      <w:pPr>
        <w:pStyle w:val="FootnoteText"/>
        <w:jc w:val="both"/>
        <w:rPr>
          <w:rFonts w:ascii="Trebuchet MS" w:hAnsi="Trebuchet MS"/>
        </w:rPr>
      </w:pPr>
      <w:r>
        <w:rPr>
          <w:rStyle w:val="FootnoteReference"/>
          <w:rFonts w:ascii="Times New Roman" w:hAnsi="Times New Roman"/>
        </w:rPr>
        <w:footnoteRef/>
      </w:r>
      <w:r>
        <w:rPr>
          <w:rFonts w:ascii="Times New Roman" w:hAnsi="Times New Roman"/>
        </w:rPr>
        <w:t xml:space="preserve"> </w:t>
      </w:r>
      <w:r w:rsidRPr="000B49D8">
        <w:rPr>
          <w:rFonts w:ascii="Times New Roman" w:hAnsi="Times New Roman"/>
        </w:rPr>
        <w:t xml:space="preserve">The Banking Act, Insurance Act and Life Insurance Act specifically provide that APRA does not need to consult where APRA is satisfied that doing so could result in a delay in revocation that would be contrary to the national interest or the interests of depositors with the body corporate (subsection 9A(4) of the Banking Act), contrary to the national interest (subsection 15(4) of the Insurance Act), or contrary to the public interest (subsection 26(5) of the Life Insurance Act), respectively. </w:t>
      </w:r>
    </w:p>
  </w:footnote>
  <w:footnote w:id="5">
    <w:p w14:paraId="1999CD13" w14:textId="0353F945" w:rsidR="006B564F" w:rsidRPr="00DF2924" w:rsidRDefault="006B564F">
      <w:pPr>
        <w:pStyle w:val="FootnoteText"/>
        <w:rPr>
          <w:rFonts w:ascii="Times New Roman" w:hAnsi="Times New Roman" w:cs="Times New Roman"/>
          <w:szCs w:val="18"/>
        </w:rPr>
      </w:pPr>
      <w:r>
        <w:rPr>
          <w:rStyle w:val="FootnoteReference"/>
        </w:rPr>
        <w:footnoteRef/>
      </w:r>
      <w:r>
        <w:t xml:space="preserve"> </w:t>
      </w:r>
      <w:r w:rsidRPr="00DF2924">
        <w:rPr>
          <w:rFonts w:ascii="Times New Roman" w:hAnsi="Times New Roman" w:cs="Times New Roman"/>
          <w:szCs w:val="18"/>
        </w:rPr>
        <w:t xml:space="preserve">Refer to </w:t>
      </w:r>
      <w:hyperlink r:id="rId1" w:history="1">
        <w:r w:rsidRPr="00DF2924">
          <w:rPr>
            <w:rFonts w:ascii="Times New Roman" w:hAnsi="Times New Roman" w:cs="Times New Roman"/>
            <w:color w:val="0000FF"/>
            <w:szCs w:val="18"/>
            <w:u w:val="single"/>
          </w:rPr>
          <w:t>APRA strengthens transparency on remuneration and bank disclosures | APRA</w:t>
        </w:r>
      </w:hyperlink>
      <w:r w:rsidR="00E56464" w:rsidRPr="00DF2924">
        <w:rPr>
          <w:rFonts w:ascii="Times New Roman" w:hAnsi="Times New Roman" w:cs="Times New Roman"/>
          <w:szCs w:val="18"/>
        </w:rPr>
        <w:t>, July</w:t>
      </w:r>
      <w:r w:rsidR="00545D3F" w:rsidRPr="00DF2924">
        <w:rPr>
          <w:rFonts w:ascii="Times New Roman" w:hAnsi="Times New Roman" w:cs="Times New Roman"/>
          <w:szCs w:val="18"/>
        </w:rPr>
        <w:t> </w:t>
      </w:r>
      <w:r w:rsidR="00E56464" w:rsidRPr="00DF2924">
        <w:rPr>
          <w:rFonts w:ascii="Times New Roman" w:hAnsi="Times New Roman" w:cs="Times New Roman"/>
          <w:szCs w:val="18"/>
        </w:rPr>
        <w:t>2022.</w:t>
      </w:r>
    </w:p>
  </w:footnote>
  <w:footnote w:id="6">
    <w:p w14:paraId="3CFB3E7C" w14:textId="2A1494F7" w:rsidR="000A3970" w:rsidRPr="00DF2924" w:rsidRDefault="000A3970">
      <w:pPr>
        <w:pStyle w:val="FootnoteText"/>
        <w:rPr>
          <w:rFonts w:ascii="Times New Roman" w:hAnsi="Times New Roman" w:cs="Times New Roman"/>
          <w:szCs w:val="18"/>
        </w:rPr>
      </w:pPr>
      <w:r w:rsidRPr="003E21F8">
        <w:rPr>
          <w:rStyle w:val="FootnoteReference"/>
          <w:rFonts w:ascii="Times New Roman" w:hAnsi="Times New Roman" w:cs="Times New Roman"/>
        </w:rPr>
        <w:footnoteRef/>
      </w:r>
      <w:r w:rsidRPr="003E21F8">
        <w:rPr>
          <w:rFonts w:ascii="Times New Roman" w:hAnsi="Times New Roman" w:cs="Times New Roman"/>
        </w:rPr>
        <w:t xml:space="preserve"> </w:t>
      </w:r>
      <w:r w:rsidRPr="00DF2924">
        <w:rPr>
          <w:rFonts w:ascii="Times New Roman" w:hAnsi="Times New Roman" w:cs="Times New Roman"/>
          <w:szCs w:val="18"/>
        </w:rPr>
        <w:t>CPS 511 paragraph 67</w:t>
      </w:r>
      <w:r w:rsidR="00D3068D" w:rsidRPr="00DF2924">
        <w:rPr>
          <w:rFonts w:ascii="Times New Roman" w:hAnsi="Times New Roman" w:cs="Times New Roman"/>
          <w:szCs w:val="18"/>
        </w:rPr>
        <w:t>.</w:t>
      </w:r>
    </w:p>
  </w:footnote>
  <w:footnote w:id="7">
    <w:p w14:paraId="6DF1D9BB" w14:textId="22C4B112" w:rsidR="002D08C5" w:rsidRPr="00DF2924" w:rsidRDefault="002D08C5">
      <w:pPr>
        <w:pStyle w:val="FootnoteText"/>
        <w:rPr>
          <w:szCs w:val="18"/>
        </w:rPr>
      </w:pPr>
      <w:r w:rsidRPr="003E21F8">
        <w:rPr>
          <w:rStyle w:val="FootnoteReference"/>
          <w:rFonts w:ascii="Times New Roman" w:hAnsi="Times New Roman" w:cs="Times New Roman"/>
        </w:rPr>
        <w:footnoteRef/>
      </w:r>
      <w:r>
        <w:t xml:space="preserve"> </w:t>
      </w:r>
      <w:r w:rsidR="00DD17BA" w:rsidRPr="00DF2924">
        <w:rPr>
          <w:rFonts w:ascii="Times New Roman" w:hAnsi="Times New Roman" w:cs="Times New Roman"/>
          <w:szCs w:val="18"/>
        </w:rPr>
        <w:t xml:space="preserve">See, for instance, </w:t>
      </w:r>
      <w:r w:rsidR="00DD17BA" w:rsidRPr="00DF2924">
        <w:rPr>
          <w:rFonts w:ascii="Times New Roman" w:hAnsi="Times New Roman" w:cs="Times New Roman"/>
          <w:i/>
          <w:szCs w:val="18"/>
        </w:rPr>
        <w:t>Corporations Act 2001</w:t>
      </w:r>
      <w:r w:rsidR="00DD17BA" w:rsidRPr="00DF2924">
        <w:rPr>
          <w:rFonts w:ascii="Times New Roman" w:hAnsi="Times New Roman" w:cs="Times New Roman"/>
          <w:szCs w:val="18"/>
        </w:rPr>
        <w:t xml:space="preserve"> section</w:t>
      </w:r>
      <w:r w:rsidR="001E3B77" w:rsidRPr="00DF2924">
        <w:rPr>
          <w:rFonts w:ascii="Times New Roman" w:hAnsi="Times New Roman" w:cs="Times New Roman"/>
          <w:szCs w:val="18"/>
        </w:rPr>
        <w:t>s 300A and 300C</w:t>
      </w:r>
      <w:r w:rsidR="0072406F" w:rsidRPr="00DF2924">
        <w:rPr>
          <w:rFonts w:ascii="Times New Roman" w:hAnsi="Times New Roman" w:cs="Times New Roman"/>
          <w:szCs w:val="18"/>
        </w:rPr>
        <w:t>.</w:t>
      </w:r>
      <w:r w:rsidR="00DD17BA" w:rsidRPr="00DF2924">
        <w:rPr>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3848A" w14:textId="77777777" w:rsidR="000868B7" w:rsidRPr="00665727" w:rsidRDefault="000868B7" w:rsidP="00665727">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3848B" w14:textId="77777777" w:rsidR="000868B7" w:rsidRDefault="000868B7" w:rsidP="001D3B1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5692F6"/>
    <w:lvl w:ilvl="0">
      <w:start w:val="1"/>
      <w:numFmt w:val="lowerLetter"/>
      <w:pStyle w:val="ListNumber5"/>
      <w:lvlText w:val="%1."/>
      <w:lvlJc w:val="left"/>
      <w:pPr>
        <w:ind w:left="1492" w:hanging="360"/>
      </w:pPr>
    </w:lvl>
  </w:abstractNum>
  <w:abstractNum w:abstractNumId="1" w15:restartNumberingAfterBreak="0">
    <w:nsid w:val="FFFFFF7D"/>
    <w:multiLevelType w:val="singleLevel"/>
    <w:tmpl w:val="E4901F6C"/>
    <w:lvl w:ilvl="0">
      <w:start w:val="1"/>
      <w:numFmt w:val="lowerRoman"/>
      <w:pStyle w:val="ListNumber4"/>
      <w:lvlText w:val="%1."/>
      <w:lvlJc w:val="right"/>
      <w:pPr>
        <w:ind w:left="1209" w:hanging="360"/>
      </w:pPr>
    </w:lvl>
  </w:abstractNum>
  <w:abstractNum w:abstractNumId="2" w15:restartNumberingAfterBreak="0">
    <w:nsid w:val="FFFFFF7E"/>
    <w:multiLevelType w:val="singleLevel"/>
    <w:tmpl w:val="335CDAA6"/>
    <w:lvl w:ilvl="0">
      <w:start w:val="1"/>
      <w:numFmt w:val="decimal"/>
      <w:pStyle w:val="ListNumber3"/>
      <w:lvlText w:val="%1.1.1"/>
      <w:lvlJc w:val="left"/>
      <w:pPr>
        <w:ind w:left="926" w:hanging="360"/>
      </w:pPr>
      <w:rPr>
        <w:rFonts w:ascii="Trebuchet MS" w:hAnsi="Trebuchet MS" w:hint="default"/>
      </w:rPr>
    </w:lvl>
  </w:abstractNum>
  <w:abstractNum w:abstractNumId="3" w15:restartNumberingAfterBreak="0">
    <w:nsid w:val="FFFFFF7F"/>
    <w:multiLevelType w:val="singleLevel"/>
    <w:tmpl w:val="297E4934"/>
    <w:lvl w:ilvl="0">
      <w:start w:val="1"/>
      <w:numFmt w:val="decimal"/>
      <w:pStyle w:val="ListNumber2"/>
      <w:lvlText w:val="%1.1"/>
      <w:lvlJc w:val="left"/>
      <w:pPr>
        <w:ind w:left="643" w:hanging="360"/>
      </w:pPr>
      <w:rPr>
        <w:rFonts w:ascii="Trebuchet MS" w:hAnsi="Trebuchet MS" w:hint="default"/>
      </w:rPr>
    </w:lvl>
  </w:abstractNum>
  <w:abstractNum w:abstractNumId="4" w15:restartNumberingAfterBreak="0">
    <w:nsid w:val="FFFFFF88"/>
    <w:multiLevelType w:val="multilevel"/>
    <w:tmpl w:val="1AB4E9FC"/>
    <w:lvl w:ilvl="0">
      <w:start w:val="1"/>
      <w:numFmt w:val="decimal"/>
      <w:pStyle w:val="ListNumber"/>
      <w:lvlText w:val="%1."/>
      <w:lvlJc w:val="left"/>
      <w:pPr>
        <w:tabs>
          <w:tab w:val="num" w:pos="360"/>
        </w:tabs>
        <w:ind w:left="360" w:hanging="360"/>
      </w:pPr>
    </w:lvl>
    <w:lvl w:ilvl="1">
      <w:start w:val="1"/>
      <w:numFmt w:val="decimal"/>
      <w:isLgl/>
      <w:lvlText w:val="%1.%2"/>
      <w:lvlJc w:val="left"/>
      <w:pPr>
        <w:ind w:left="643" w:hanging="360"/>
      </w:pPr>
      <w:rPr>
        <w:rFonts w:hint="default"/>
      </w:rPr>
    </w:lvl>
    <w:lvl w:ilvl="2">
      <w:start w:val="1"/>
      <w:numFmt w:val="decimal"/>
      <w:isLgl/>
      <w:lvlText w:val="%1.%2.%3"/>
      <w:lvlJc w:val="left"/>
      <w:pPr>
        <w:ind w:left="1286" w:hanging="720"/>
      </w:pPr>
      <w:rPr>
        <w:rFonts w:hint="default"/>
      </w:rPr>
    </w:lvl>
    <w:lvl w:ilvl="3">
      <w:start w:val="1"/>
      <w:numFmt w:val="decimal"/>
      <w:isLgl/>
      <w:lvlText w:val="%1.%2.%3.%4"/>
      <w:lvlJc w:val="left"/>
      <w:pPr>
        <w:ind w:left="1569" w:hanging="720"/>
      </w:pPr>
      <w:rPr>
        <w:rFonts w:hint="default"/>
      </w:rPr>
    </w:lvl>
    <w:lvl w:ilvl="4">
      <w:start w:val="1"/>
      <w:numFmt w:val="decimal"/>
      <w:isLgl/>
      <w:lvlText w:val="%1.%2.%3.%4.%5"/>
      <w:lvlJc w:val="left"/>
      <w:pPr>
        <w:ind w:left="2212" w:hanging="1080"/>
      </w:pPr>
      <w:rPr>
        <w:rFonts w:hint="default"/>
      </w:rPr>
    </w:lvl>
    <w:lvl w:ilvl="5">
      <w:start w:val="1"/>
      <w:numFmt w:val="decimal"/>
      <w:isLgl/>
      <w:lvlText w:val="%1.%2.%3.%4.%5.%6"/>
      <w:lvlJc w:val="left"/>
      <w:pPr>
        <w:ind w:left="2855" w:hanging="1440"/>
      </w:pPr>
      <w:rPr>
        <w:rFonts w:hint="default"/>
      </w:rPr>
    </w:lvl>
    <w:lvl w:ilvl="6">
      <w:start w:val="1"/>
      <w:numFmt w:val="decimal"/>
      <w:isLgl/>
      <w:lvlText w:val="%1.%2.%3.%4.%5.%6.%7"/>
      <w:lvlJc w:val="left"/>
      <w:pPr>
        <w:ind w:left="3138" w:hanging="1440"/>
      </w:pPr>
      <w:rPr>
        <w:rFonts w:hint="default"/>
      </w:rPr>
    </w:lvl>
    <w:lvl w:ilvl="7">
      <w:start w:val="1"/>
      <w:numFmt w:val="decimal"/>
      <w:isLgl/>
      <w:lvlText w:val="%1.%2.%3.%4.%5.%6.%7.%8"/>
      <w:lvlJc w:val="left"/>
      <w:pPr>
        <w:ind w:left="3781" w:hanging="1800"/>
      </w:pPr>
      <w:rPr>
        <w:rFonts w:hint="default"/>
      </w:rPr>
    </w:lvl>
    <w:lvl w:ilvl="8">
      <w:start w:val="1"/>
      <w:numFmt w:val="decimal"/>
      <w:isLgl/>
      <w:lvlText w:val="%1.%2.%3.%4.%5.%6.%7.%8.%9"/>
      <w:lvlJc w:val="left"/>
      <w:pPr>
        <w:ind w:left="4064" w:hanging="1800"/>
      </w:pPr>
      <w:rPr>
        <w:rFonts w:hint="default"/>
      </w:rPr>
    </w:lvl>
  </w:abstractNum>
  <w:abstractNum w:abstractNumId="5" w15:restartNumberingAfterBreak="0">
    <w:nsid w:val="029653A9"/>
    <w:multiLevelType w:val="hybridMultilevel"/>
    <w:tmpl w:val="6AAE1FFE"/>
    <w:lvl w:ilvl="0" w:tplc="0C14B1EE">
      <w:start w:val="1"/>
      <w:numFmt w:val="lowerLetter"/>
      <w:lvlText w:val="(%1)"/>
      <w:lvlJc w:val="left"/>
      <w:pPr>
        <w:ind w:left="720" w:hanging="360"/>
      </w:pPr>
      <w:rPr>
        <w:rFonts w:hint="default"/>
        <w:b w:val="0"/>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36E31DA"/>
    <w:multiLevelType w:val="hybridMultilevel"/>
    <w:tmpl w:val="4CEC67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8913302"/>
    <w:multiLevelType w:val="hybridMultilevel"/>
    <w:tmpl w:val="063C8574"/>
    <w:lvl w:ilvl="0" w:tplc="0C09001B">
      <w:start w:val="1"/>
      <w:numFmt w:val="lowerRoman"/>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E1409B1"/>
    <w:multiLevelType w:val="multilevel"/>
    <w:tmpl w:val="0C09001F"/>
    <w:numStyleLink w:val="111111"/>
  </w:abstractNum>
  <w:abstractNum w:abstractNumId="9" w15:restartNumberingAfterBreak="0">
    <w:nsid w:val="255444F2"/>
    <w:multiLevelType w:val="multilevel"/>
    <w:tmpl w:val="0C09001F"/>
    <w:styleLink w:val="111111"/>
    <w:lvl w:ilvl="0">
      <w:start w:val="1"/>
      <w:numFmt w:val="decimal"/>
      <w:pStyle w:val="NumberedList"/>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6110DA1"/>
    <w:multiLevelType w:val="hybridMultilevel"/>
    <w:tmpl w:val="CD5E0C98"/>
    <w:lvl w:ilvl="0" w:tplc="415A963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65C4674"/>
    <w:multiLevelType w:val="hybridMultilevel"/>
    <w:tmpl w:val="2ED036EE"/>
    <w:lvl w:ilvl="0" w:tplc="9AF2DFF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C045ABA"/>
    <w:multiLevelType w:val="multilevel"/>
    <w:tmpl w:val="DA14D5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2D8C02CB"/>
    <w:multiLevelType w:val="hybridMultilevel"/>
    <w:tmpl w:val="BDCA7FF8"/>
    <w:lvl w:ilvl="0" w:tplc="0C090001">
      <w:start w:val="1"/>
      <w:numFmt w:val="bullet"/>
      <w:lvlText w:val=""/>
      <w:lvlJc w:val="left"/>
      <w:pPr>
        <w:ind w:left="782" w:hanging="360"/>
      </w:pPr>
      <w:rPr>
        <w:rFonts w:ascii="Symbol" w:hAnsi="Symbol" w:hint="default"/>
      </w:rPr>
    </w:lvl>
    <w:lvl w:ilvl="1" w:tplc="0C090003" w:tentative="1">
      <w:start w:val="1"/>
      <w:numFmt w:val="bullet"/>
      <w:lvlText w:val="o"/>
      <w:lvlJc w:val="left"/>
      <w:pPr>
        <w:ind w:left="1502" w:hanging="360"/>
      </w:pPr>
      <w:rPr>
        <w:rFonts w:ascii="Courier New" w:hAnsi="Courier New" w:cs="Courier New" w:hint="default"/>
      </w:rPr>
    </w:lvl>
    <w:lvl w:ilvl="2" w:tplc="0C090005" w:tentative="1">
      <w:start w:val="1"/>
      <w:numFmt w:val="bullet"/>
      <w:lvlText w:val=""/>
      <w:lvlJc w:val="left"/>
      <w:pPr>
        <w:ind w:left="2222" w:hanging="360"/>
      </w:pPr>
      <w:rPr>
        <w:rFonts w:ascii="Wingdings" w:hAnsi="Wingdings" w:hint="default"/>
      </w:rPr>
    </w:lvl>
    <w:lvl w:ilvl="3" w:tplc="0C090001" w:tentative="1">
      <w:start w:val="1"/>
      <w:numFmt w:val="bullet"/>
      <w:lvlText w:val=""/>
      <w:lvlJc w:val="left"/>
      <w:pPr>
        <w:ind w:left="2942" w:hanging="360"/>
      </w:pPr>
      <w:rPr>
        <w:rFonts w:ascii="Symbol" w:hAnsi="Symbol" w:hint="default"/>
      </w:rPr>
    </w:lvl>
    <w:lvl w:ilvl="4" w:tplc="0C090003" w:tentative="1">
      <w:start w:val="1"/>
      <w:numFmt w:val="bullet"/>
      <w:lvlText w:val="o"/>
      <w:lvlJc w:val="left"/>
      <w:pPr>
        <w:ind w:left="3662" w:hanging="360"/>
      </w:pPr>
      <w:rPr>
        <w:rFonts w:ascii="Courier New" w:hAnsi="Courier New" w:cs="Courier New" w:hint="default"/>
      </w:rPr>
    </w:lvl>
    <w:lvl w:ilvl="5" w:tplc="0C090005" w:tentative="1">
      <w:start w:val="1"/>
      <w:numFmt w:val="bullet"/>
      <w:lvlText w:val=""/>
      <w:lvlJc w:val="left"/>
      <w:pPr>
        <w:ind w:left="4382" w:hanging="360"/>
      </w:pPr>
      <w:rPr>
        <w:rFonts w:ascii="Wingdings" w:hAnsi="Wingdings" w:hint="default"/>
      </w:rPr>
    </w:lvl>
    <w:lvl w:ilvl="6" w:tplc="0C090001" w:tentative="1">
      <w:start w:val="1"/>
      <w:numFmt w:val="bullet"/>
      <w:lvlText w:val=""/>
      <w:lvlJc w:val="left"/>
      <w:pPr>
        <w:ind w:left="5102" w:hanging="360"/>
      </w:pPr>
      <w:rPr>
        <w:rFonts w:ascii="Symbol" w:hAnsi="Symbol" w:hint="default"/>
      </w:rPr>
    </w:lvl>
    <w:lvl w:ilvl="7" w:tplc="0C090003" w:tentative="1">
      <w:start w:val="1"/>
      <w:numFmt w:val="bullet"/>
      <w:lvlText w:val="o"/>
      <w:lvlJc w:val="left"/>
      <w:pPr>
        <w:ind w:left="5822" w:hanging="360"/>
      </w:pPr>
      <w:rPr>
        <w:rFonts w:ascii="Courier New" w:hAnsi="Courier New" w:cs="Courier New" w:hint="default"/>
      </w:rPr>
    </w:lvl>
    <w:lvl w:ilvl="8" w:tplc="0C090005" w:tentative="1">
      <w:start w:val="1"/>
      <w:numFmt w:val="bullet"/>
      <w:lvlText w:val=""/>
      <w:lvlJc w:val="left"/>
      <w:pPr>
        <w:ind w:left="6542" w:hanging="360"/>
      </w:pPr>
      <w:rPr>
        <w:rFonts w:ascii="Wingdings" w:hAnsi="Wingdings" w:hint="default"/>
      </w:rPr>
    </w:lvl>
  </w:abstractNum>
  <w:abstractNum w:abstractNumId="14" w15:restartNumberingAfterBreak="0">
    <w:nsid w:val="2F1F677C"/>
    <w:multiLevelType w:val="hybridMultilevel"/>
    <w:tmpl w:val="B440738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5" w15:restartNumberingAfterBreak="0">
    <w:nsid w:val="2FA174CD"/>
    <w:multiLevelType w:val="hybridMultilevel"/>
    <w:tmpl w:val="55FCF532"/>
    <w:lvl w:ilvl="0" w:tplc="31C22928">
      <w:start w:val="2"/>
      <w:numFmt w:val="decimal"/>
      <w:lvlText w:val="%1."/>
      <w:lvlJc w:val="left"/>
      <w:pPr>
        <w:ind w:left="72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3F04261"/>
    <w:multiLevelType w:val="hybridMultilevel"/>
    <w:tmpl w:val="0A781146"/>
    <w:lvl w:ilvl="0" w:tplc="F4063502">
      <w:start w:val="1"/>
      <w:numFmt w:val="decimal"/>
      <w:lvlText w:val="(%1)"/>
      <w:lvlJc w:val="left"/>
      <w:pPr>
        <w:ind w:left="818" w:hanging="458"/>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6F20E97"/>
    <w:multiLevelType w:val="hybridMultilevel"/>
    <w:tmpl w:val="8F9CE67E"/>
    <w:lvl w:ilvl="0" w:tplc="0C14B1EE">
      <w:start w:val="1"/>
      <w:numFmt w:val="lowerLetter"/>
      <w:lvlText w:val="(%1)"/>
      <w:lvlJc w:val="left"/>
      <w:pPr>
        <w:ind w:left="720" w:hanging="360"/>
      </w:pPr>
      <w:rPr>
        <w:rFonts w:hint="default"/>
        <w:b w:val="0"/>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73F2167"/>
    <w:multiLevelType w:val="hybridMultilevel"/>
    <w:tmpl w:val="57282F24"/>
    <w:lvl w:ilvl="0" w:tplc="702CB01A">
      <w:start w:val="1"/>
      <w:numFmt w:val="bullet"/>
      <w:pStyle w:val="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8C92DB8"/>
    <w:multiLevelType w:val="hybridMultilevel"/>
    <w:tmpl w:val="1C62591C"/>
    <w:lvl w:ilvl="0" w:tplc="6E86A16A">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0" w15:restartNumberingAfterBreak="0">
    <w:nsid w:val="3DCB621A"/>
    <w:multiLevelType w:val="hybridMultilevel"/>
    <w:tmpl w:val="64EABDCA"/>
    <w:lvl w:ilvl="0" w:tplc="5DE48A12">
      <w:start w:val="1"/>
      <w:numFmt w:val="lowerLetter"/>
      <w:lvlText w:val="(%1)"/>
      <w:lvlJc w:val="left"/>
      <w:pPr>
        <w:ind w:left="720" w:hanging="360"/>
      </w:pPr>
      <w:rPr>
        <w:rFonts w:ascii="Times New Roman" w:hAnsi="Times New Roman" w:cs="Times New Roman" w:hint="default"/>
        <w:b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3485338"/>
    <w:multiLevelType w:val="hybridMultilevel"/>
    <w:tmpl w:val="85DEF7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9A86A66"/>
    <w:multiLevelType w:val="hybridMultilevel"/>
    <w:tmpl w:val="10D069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6250AA9"/>
    <w:multiLevelType w:val="hybridMultilevel"/>
    <w:tmpl w:val="9606E93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AF24F80"/>
    <w:multiLevelType w:val="multilevel"/>
    <w:tmpl w:val="5804F8E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5D2A568D"/>
    <w:multiLevelType w:val="hybridMultilevel"/>
    <w:tmpl w:val="4658FE2A"/>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0612134"/>
    <w:multiLevelType w:val="hybridMultilevel"/>
    <w:tmpl w:val="CC64B0AC"/>
    <w:lvl w:ilvl="0" w:tplc="D79CFE56">
      <w:numFmt w:val="bullet"/>
      <w:lvlText w:val="•"/>
      <w:lvlJc w:val="left"/>
      <w:pPr>
        <w:ind w:left="720" w:hanging="360"/>
      </w:pPr>
      <w:rPr>
        <w:rFonts w:ascii="Times New Roman" w:eastAsiaTheme="minorHAnsi" w:hAnsi="Times New Roman"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307521E"/>
    <w:multiLevelType w:val="hybridMultilevel"/>
    <w:tmpl w:val="182820B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55B1B25"/>
    <w:multiLevelType w:val="hybridMultilevel"/>
    <w:tmpl w:val="6AAE1FFE"/>
    <w:lvl w:ilvl="0" w:tplc="0C14B1EE">
      <w:start w:val="1"/>
      <w:numFmt w:val="lowerLetter"/>
      <w:lvlText w:val="(%1)"/>
      <w:lvlJc w:val="left"/>
      <w:pPr>
        <w:ind w:left="720" w:hanging="360"/>
      </w:pPr>
      <w:rPr>
        <w:rFonts w:hint="default"/>
        <w:b w:val="0"/>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7306DA1"/>
    <w:multiLevelType w:val="hybridMultilevel"/>
    <w:tmpl w:val="1D44FF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9B17A3F"/>
    <w:multiLevelType w:val="multilevel"/>
    <w:tmpl w:val="8EA00C60"/>
    <w:styleLink w:val="1ai"/>
    <w:lvl w:ilvl="0">
      <w:start w:val="1"/>
      <w:numFmt w:val="none"/>
      <w:suff w:val="nothing"/>
      <w:lvlText w:val=""/>
      <w:lvlJc w:val="left"/>
      <w:pPr>
        <w:ind w:left="0" w:firstLine="0"/>
      </w:pPr>
      <w:rPr>
        <w:rFonts w:hint="default"/>
      </w:rPr>
    </w:lvl>
    <w:lvl w:ilvl="1">
      <w:start w:val="1"/>
      <w:numFmt w:val="decimal"/>
      <w:lvlText w:val="%2."/>
      <w:lvlJc w:val="left"/>
      <w:pPr>
        <w:tabs>
          <w:tab w:val="num" w:pos="425"/>
        </w:tabs>
        <w:ind w:left="425" w:hanging="425"/>
      </w:pPr>
      <w:rPr>
        <w:rFonts w:hint="default"/>
      </w:rPr>
    </w:lvl>
    <w:lvl w:ilvl="2">
      <w:start w:val="1"/>
      <w:numFmt w:val="lowerLetter"/>
      <w:lvlText w:val="%3."/>
      <w:lvlJc w:val="left"/>
      <w:pPr>
        <w:tabs>
          <w:tab w:val="num" w:pos="851"/>
        </w:tabs>
        <w:ind w:left="851" w:hanging="426"/>
      </w:pPr>
      <w:rPr>
        <w:rFonts w:hint="default"/>
      </w:rPr>
    </w:lvl>
    <w:lvl w:ilvl="3">
      <w:start w:val="1"/>
      <w:numFmt w:val="lowerRoman"/>
      <w:lvlText w:val="%4."/>
      <w:lvlJc w:val="left"/>
      <w:pPr>
        <w:tabs>
          <w:tab w:val="num" w:pos="1276"/>
        </w:tabs>
        <w:ind w:left="1276" w:hanging="425"/>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1" w15:restartNumberingAfterBreak="0">
    <w:nsid w:val="6A6B4EBE"/>
    <w:multiLevelType w:val="hybridMultilevel"/>
    <w:tmpl w:val="3670D6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AF20416"/>
    <w:multiLevelType w:val="hybridMultilevel"/>
    <w:tmpl w:val="21CE4AFC"/>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C9157E1"/>
    <w:multiLevelType w:val="hybridMultilevel"/>
    <w:tmpl w:val="278C82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C942677"/>
    <w:multiLevelType w:val="hybridMultilevel"/>
    <w:tmpl w:val="A75AB56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0776594"/>
    <w:multiLevelType w:val="multilevel"/>
    <w:tmpl w:val="961E74C2"/>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6" w15:restartNumberingAfterBreak="0">
    <w:nsid w:val="709C5EF2"/>
    <w:multiLevelType w:val="hybridMultilevel"/>
    <w:tmpl w:val="56B019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3183C54"/>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201485302">
    <w:abstractNumId w:val="35"/>
  </w:num>
  <w:num w:numId="2" w16cid:durableId="218396206">
    <w:abstractNumId w:val="4"/>
  </w:num>
  <w:num w:numId="3" w16cid:durableId="257956599">
    <w:abstractNumId w:val="3"/>
  </w:num>
  <w:num w:numId="4" w16cid:durableId="380637662">
    <w:abstractNumId w:val="2"/>
  </w:num>
  <w:num w:numId="5" w16cid:durableId="271672764">
    <w:abstractNumId w:val="1"/>
  </w:num>
  <w:num w:numId="6" w16cid:durableId="1476098319">
    <w:abstractNumId w:val="0"/>
  </w:num>
  <w:num w:numId="7" w16cid:durableId="1414082886">
    <w:abstractNumId w:val="9"/>
  </w:num>
  <w:num w:numId="8" w16cid:durableId="1241793965">
    <w:abstractNumId w:val="8"/>
  </w:num>
  <w:num w:numId="9" w16cid:durableId="1801459950">
    <w:abstractNumId w:val="18"/>
  </w:num>
  <w:num w:numId="10" w16cid:durableId="177306924">
    <w:abstractNumId w:val="34"/>
  </w:num>
  <w:num w:numId="11" w16cid:durableId="566379623">
    <w:abstractNumId w:val="21"/>
  </w:num>
  <w:num w:numId="12" w16cid:durableId="425082073">
    <w:abstractNumId w:val="6"/>
  </w:num>
  <w:num w:numId="13" w16cid:durableId="1440418943">
    <w:abstractNumId w:val="17"/>
  </w:num>
  <w:num w:numId="14" w16cid:durableId="195853270">
    <w:abstractNumId w:val="20"/>
  </w:num>
  <w:num w:numId="15" w16cid:durableId="743335999">
    <w:abstractNumId w:val="33"/>
  </w:num>
  <w:num w:numId="16" w16cid:durableId="2027099224">
    <w:abstractNumId w:val="32"/>
  </w:num>
  <w:num w:numId="17" w16cid:durableId="1553421259">
    <w:abstractNumId w:val="27"/>
  </w:num>
  <w:num w:numId="18" w16cid:durableId="92923587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73037172">
    <w:abstractNumId w:val="36"/>
  </w:num>
  <w:num w:numId="20" w16cid:durableId="266162706">
    <w:abstractNumId w:val="31"/>
  </w:num>
  <w:num w:numId="21" w16cid:durableId="1714311064">
    <w:abstractNumId w:val="7"/>
  </w:num>
  <w:num w:numId="22" w16cid:durableId="1769504423">
    <w:abstractNumId w:val="15"/>
  </w:num>
  <w:num w:numId="23" w16cid:durableId="1099644296">
    <w:abstractNumId w:val="23"/>
  </w:num>
  <w:num w:numId="24" w16cid:durableId="1806045658">
    <w:abstractNumId w:val="11"/>
  </w:num>
  <w:num w:numId="25" w16cid:durableId="218634292">
    <w:abstractNumId w:val="16"/>
  </w:num>
  <w:num w:numId="26" w16cid:durableId="184171203">
    <w:abstractNumId w:val="10"/>
  </w:num>
  <w:num w:numId="27" w16cid:durableId="209150373">
    <w:abstractNumId w:val="25"/>
  </w:num>
  <w:num w:numId="28" w16cid:durableId="929313660">
    <w:abstractNumId w:val="5"/>
  </w:num>
  <w:num w:numId="29" w16cid:durableId="257980358">
    <w:abstractNumId w:val="28"/>
  </w:num>
  <w:num w:numId="30" w16cid:durableId="1088890382">
    <w:abstractNumId w:val="14"/>
  </w:num>
  <w:num w:numId="31" w16cid:durableId="586308098">
    <w:abstractNumId w:val="22"/>
  </w:num>
  <w:num w:numId="32" w16cid:durableId="1685327589">
    <w:abstractNumId w:val="26"/>
  </w:num>
  <w:num w:numId="33" w16cid:durableId="396786999">
    <w:abstractNumId w:val="30"/>
  </w:num>
  <w:num w:numId="34" w16cid:durableId="2039114300">
    <w:abstractNumId w:val="29"/>
  </w:num>
  <w:num w:numId="35" w16cid:durableId="2142768421">
    <w:abstractNumId w:val="12"/>
  </w:num>
  <w:num w:numId="36" w16cid:durableId="1834905055">
    <w:abstractNumId w:val="24"/>
  </w:num>
  <w:num w:numId="37" w16cid:durableId="1282541371">
    <w:abstractNumId w:val="37"/>
  </w:num>
  <w:num w:numId="38" w16cid:durableId="133570047">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7A23"/>
    <w:rsid w:val="00003065"/>
    <w:rsid w:val="00003092"/>
    <w:rsid w:val="000056ED"/>
    <w:rsid w:val="00005A24"/>
    <w:rsid w:val="00007BFD"/>
    <w:rsid w:val="00011241"/>
    <w:rsid w:val="00011B0A"/>
    <w:rsid w:val="000123B9"/>
    <w:rsid w:val="000125E4"/>
    <w:rsid w:val="000140BB"/>
    <w:rsid w:val="00017E17"/>
    <w:rsid w:val="00020529"/>
    <w:rsid w:val="00020FCA"/>
    <w:rsid w:val="0002447B"/>
    <w:rsid w:val="000269DE"/>
    <w:rsid w:val="000408CA"/>
    <w:rsid w:val="00040D79"/>
    <w:rsid w:val="00043ADC"/>
    <w:rsid w:val="00052CEA"/>
    <w:rsid w:val="00053B45"/>
    <w:rsid w:val="00053F0B"/>
    <w:rsid w:val="00053FF3"/>
    <w:rsid w:val="000577D1"/>
    <w:rsid w:val="00063BDC"/>
    <w:rsid w:val="0006438E"/>
    <w:rsid w:val="0006491E"/>
    <w:rsid w:val="00070369"/>
    <w:rsid w:val="00070394"/>
    <w:rsid w:val="000753A5"/>
    <w:rsid w:val="00076520"/>
    <w:rsid w:val="0008457B"/>
    <w:rsid w:val="00085496"/>
    <w:rsid w:val="000857F3"/>
    <w:rsid w:val="00085EC3"/>
    <w:rsid w:val="000868B7"/>
    <w:rsid w:val="00086A16"/>
    <w:rsid w:val="00095D01"/>
    <w:rsid w:val="00096605"/>
    <w:rsid w:val="000A0068"/>
    <w:rsid w:val="000A0D8A"/>
    <w:rsid w:val="000A1A18"/>
    <w:rsid w:val="000A2B17"/>
    <w:rsid w:val="000A3970"/>
    <w:rsid w:val="000A5FA6"/>
    <w:rsid w:val="000A6988"/>
    <w:rsid w:val="000B49D8"/>
    <w:rsid w:val="000B52FB"/>
    <w:rsid w:val="000C00EA"/>
    <w:rsid w:val="000C170D"/>
    <w:rsid w:val="000C3273"/>
    <w:rsid w:val="000C5AEE"/>
    <w:rsid w:val="000C67B1"/>
    <w:rsid w:val="000C71B2"/>
    <w:rsid w:val="000D076F"/>
    <w:rsid w:val="000D08AA"/>
    <w:rsid w:val="000D09FA"/>
    <w:rsid w:val="000D1C0A"/>
    <w:rsid w:val="000D2D92"/>
    <w:rsid w:val="000D5863"/>
    <w:rsid w:val="000D6402"/>
    <w:rsid w:val="000E1240"/>
    <w:rsid w:val="000E1DE3"/>
    <w:rsid w:val="000E219E"/>
    <w:rsid w:val="000E328E"/>
    <w:rsid w:val="000E345B"/>
    <w:rsid w:val="000E34A2"/>
    <w:rsid w:val="000E3C6B"/>
    <w:rsid w:val="000E76C9"/>
    <w:rsid w:val="000F1730"/>
    <w:rsid w:val="000F20CF"/>
    <w:rsid w:val="000F2976"/>
    <w:rsid w:val="000F2F5F"/>
    <w:rsid w:val="000F6CC0"/>
    <w:rsid w:val="0010042B"/>
    <w:rsid w:val="00106BAD"/>
    <w:rsid w:val="00107B1C"/>
    <w:rsid w:val="00111D7A"/>
    <w:rsid w:val="00116FE0"/>
    <w:rsid w:val="001179EA"/>
    <w:rsid w:val="001216AE"/>
    <w:rsid w:val="00121BA6"/>
    <w:rsid w:val="0012246A"/>
    <w:rsid w:val="0012596F"/>
    <w:rsid w:val="00126673"/>
    <w:rsid w:val="001309B7"/>
    <w:rsid w:val="00132ABE"/>
    <w:rsid w:val="00135C94"/>
    <w:rsid w:val="00135EA7"/>
    <w:rsid w:val="001434D4"/>
    <w:rsid w:val="0014446A"/>
    <w:rsid w:val="001464AC"/>
    <w:rsid w:val="001502F1"/>
    <w:rsid w:val="00152278"/>
    <w:rsid w:val="00153232"/>
    <w:rsid w:val="001558D3"/>
    <w:rsid w:val="00155B7C"/>
    <w:rsid w:val="0015706B"/>
    <w:rsid w:val="001606AB"/>
    <w:rsid w:val="001616DE"/>
    <w:rsid w:val="00165C5D"/>
    <w:rsid w:val="0017352F"/>
    <w:rsid w:val="00173F4B"/>
    <w:rsid w:val="001771C4"/>
    <w:rsid w:val="0017757B"/>
    <w:rsid w:val="001812BB"/>
    <w:rsid w:val="00184C29"/>
    <w:rsid w:val="00186B12"/>
    <w:rsid w:val="00186C8C"/>
    <w:rsid w:val="00187A6C"/>
    <w:rsid w:val="00192B46"/>
    <w:rsid w:val="0019780E"/>
    <w:rsid w:val="00197A23"/>
    <w:rsid w:val="001A1F2B"/>
    <w:rsid w:val="001A370D"/>
    <w:rsid w:val="001B2D90"/>
    <w:rsid w:val="001B422C"/>
    <w:rsid w:val="001C6F44"/>
    <w:rsid w:val="001D3046"/>
    <w:rsid w:val="001D3B1C"/>
    <w:rsid w:val="001D3D9C"/>
    <w:rsid w:val="001D457D"/>
    <w:rsid w:val="001D505A"/>
    <w:rsid w:val="001D72ED"/>
    <w:rsid w:val="001D76D7"/>
    <w:rsid w:val="001D7D3C"/>
    <w:rsid w:val="001E00D2"/>
    <w:rsid w:val="001E2225"/>
    <w:rsid w:val="001E3B77"/>
    <w:rsid w:val="001E526E"/>
    <w:rsid w:val="001E71EC"/>
    <w:rsid w:val="001E7618"/>
    <w:rsid w:val="001F1478"/>
    <w:rsid w:val="001F30FC"/>
    <w:rsid w:val="00200401"/>
    <w:rsid w:val="00200845"/>
    <w:rsid w:val="002008C2"/>
    <w:rsid w:val="00203897"/>
    <w:rsid w:val="00204408"/>
    <w:rsid w:val="002059E7"/>
    <w:rsid w:val="00206D85"/>
    <w:rsid w:val="0021143E"/>
    <w:rsid w:val="00211C6D"/>
    <w:rsid w:val="0021212A"/>
    <w:rsid w:val="0021219A"/>
    <w:rsid w:val="00213AFD"/>
    <w:rsid w:val="00213E18"/>
    <w:rsid w:val="0021490D"/>
    <w:rsid w:val="0021657F"/>
    <w:rsid w:val="0021777C"/>
    <w:rsid w:val="00217E36"/>
    <w:rsid w:val="00223D37"/>
    <w:rsid w:val="00233F57"/>
    <w:rsid w:val="002363AB"/>
    <w:rsid w:val="00237FF5"/>
    <w:rsid w:val="00240122"/>
    <w:rsid w:val="002403C8"/>
    <w:rsid w:val="002408A8"/>
    <w:rsid w:val="00243273"/>
    <w:rsid w:val="00243366"/>
    <w:rsid w:val="00247811"/>
    <w:rsid w:val="00247B0B"/>
    <w:rsid w:val="00253141"/>
    <w:rsid w:val="00257E33"/>
    <w:rsid w:val="00260911"/>
    <w:rsid w:val="00260E23"/>
    <w:rsid w:val="002626DF"/>
    <w:rsid w:val="00264048"/>
    <w:rsid w:val="0026542C"/>
    <w:rsid w:val="00267EBC"/>
    <w:rsid w:val="00271F65"/>
    <w:rsid w:val="002742BE"/>
    <w:rsid w:val="00274550"/>
    <w:rsid w:val="00275A88"/>
    <w:rsid w:val="002767C9"/>
    <w:rsid w:val="00276AF7"/>
    <w:rsid w:val="002805B3"/>
    <w:rsid w:val="00284A48"/>
    <w:rsid w:val="00284AF8"/>
    <w:rsid w:val="0028671E"/>
    <w:rsid w:val="00291353"/>
    <w:rsid w:val="00293F7C"/>
    <w:rsid w:val="002958BD"/>
    <w:rsid w:val="002A40A4"/>
    <w:rsid w:val="002A6717"/>
    <w:rsid w:val="002B0B89"/>
    <w:rsid w:val="002B6F5E"/>
    <w:rsid w:val="002C22BB"/>
    <w:rsid w:val="002C2F6A"/>
    <w:rsid w:val="002C54CC"/>
    <w:rsid w:val="002C689A"/>
    <w:rsid w:val="002D08C5"/>
    <w:rsid w:val="002D3389"/>
    <w:rsid w:val="002D3749"/>
    <w:rsid w:val="002D5ABB"/>
    <w:rsid w:val="002D7A12"/>
    <w:rsid w:val="002D7CE9"/>
    <w:rsid w:val="002E2867"/>
    <w:rsid w:val="002E528B"/>
    <w:rsid w:val="002E5E7D"/>
    <w:rsid w:val="002F0157"/>
    <w:rsid w:val="002F1ECD"/>
    <w:rsid w:val="002F289E"/>
    <w:rsid w:val="002F2DAC"/>
    <w:rsid w:val="002F3DBA"/>
    <w:rsid w:val="002F5035"/>
    <w:rsid w:val="003001E7"/>
    <w:rsid w:val="003040B2"/>
    <w:rsid w:val="00312EE5"/>
    <w:rsid w:val="00324A84"/>
    <w:rsid w:val="003258C0"/>
    <w:rsid w:val="00326E2C"/>
    <w:rsid w:val="003316B0"/>
    <w:rsid w:val="003317F7"/>
    <w:rsid w:val="00331CE5"/>
    <w:rsid w:val="00333A53"/>
    <w:rsid w:val="00340359"/>
    <w:rsid w:val="00343207"/>
    <w:rsid w:val="0034413A"/>
    <w:rsid w:val="00352B63"/>
    <w:rsid w:val="003532E3"/>
    <w:rsid w:val="00353DE2"/>
    <w:rsid w:val="003552F7"/>
    <w:rsid w:val="00355413"/>
    <w:rsid w:val="003573CA"/>
    <w:rsid w:val="00360B56"/>
    <w:rsid w:val="0036383A"/>
    <w:rsid w:val="00363AF8"/>
    <w:rsid w:val="00367A5D"/>
    <w:rsid w:val="003707EE"/>
    <w:rsid w:val="003716AA"/>
    <w:rsid w:val="00373B0D"/>
    <w:rsid w:val="00380865"/>
    <w:rsid w:val="00381146"/>
    <w:rsid w:val="003830D9"/>
    <w:rsid w:val="0038713B"/>
    <w:rsid w:val="00387405"/>
    <w:rsid w:val="00397F8A"/>
    <w:rsid w:val="00397FC3"/>
    <w:rsid w:val="003B14C9"/>
    <w:rsid w:val="003B34CB"/>
    <w:rsid w:val="003B5247"/>
    <w:rsid w:val="003B5D46"/>
    <w:rsid w:val="003C0AF0"/>
    <w:rsid w:val="003C1296"/>
    <w:rsid w:val="003C34BC"/>
    <w:rsid w:val="003C43EF"/>
    <w:rsid w:val="003C5548"/>
    <w:rsid w:val="003C562D"/>
    <w:rsid w:val="003C6CBE"/>
    <w:rsid w:val="003C6DC9"/>
    <w:rsid w:val="003D2514"/>
    <w:rsid w:val="003D3099"/>
    <w:rsid w:val="003D5915"/>
    <w:rsid w:val="003D6738"/>
    <w:rsid w:val="003D76D6"/>
    <w:rsid w:val="003E0E5E"/>
    <w:rsid w:val="003E21F8"/>
    <w:rsid w:val="003E27FD"/>
    <w:rsid w:val="003E6825"/>
    <w:rsid w:val="003E700E"/>
    <w:rsid w:val="003F0B12"/>
    <w:rsid w:val="003F5A6D"/>
    <w:rsid w:val="003F782F"/>
    <w:rsid w:val="00405B1C"/>
    <w:rsid w:val="00410FEB"/>
    <w:rsid w:val="00423D99"/>
    <w:rsid w:val="004255BC"/>
    <w:rsid w:val="0042682B"/>
    <w:rsid w:val="0043062D"/>
    <w:rsid w:val="00431E7C"/>
    <w:rsid w:val="0043440F"/>
    <w:rsid w:val="00444BF0"/>
    <w:rsid w:val="004473D4"/>
    <w:rsid w:val="004501CA"/>
    <w:rsid w:val="00450632"/>
    <w:rsid w:val="004554FF"/>
    <w:rsid w:val="00457868"/>
    <w:rsid w:val="00462257"/>
    <w:rsid w:val="00463C5D"/>
    <w:rsid w:val="004665D8"/>
    <w:rsid w:val="0047123A"/>
    <w:rsid w:val="00476521"/>
    <w:rsid w:val="0047697D"/>
    <w:rsid w:val="00477366"/>
    <w:rsid w:val="00480AE9"/>
    <w:rsid w:val="00481B7C"/>
    <w:rsid w:val="0048316F"/>
    <w:rsid w:val="00483178"/>
    <w:rsid w:val="004864CC"/>
    <w:rsid w:val="00487742"/>
    <w:rsid w:val="00487899"/>
    <w:rsid w:val="004913BD"/>
    <w:rsid w:val="00492188"/>
    <w:rsid w:val="00492449"/>
    <w:rsid w:val="004A18BF"/>
    <w:rsid w:val="004A4A27"/>
    <w:rsid w:val="004B38EF"/>
    <w:rsid w:val="004B4492"/>
    <w:rsid w:val="004C0E2E"/>
    <w:rsid w:val="004C10F8"/>
    <w:rsid w:val="004C2EC4"/>
    <w:rsid w:val="004D02C5"/>
    <w:rsid w:val="004D31EB"/>
    <w:rsid w:val="004D5A79"/>
    <w:rsid w:val="004D616D"/>
    <w:rsid w:val="004D7117"/>
    <w:rsid w:val="004E0AEB"/>
    <w:rsid w:val="004E13AF"/>
    <w:rsid w:val="004E1925"/>
    <w:rsid w:val="004E356C"/>
    <w:rsid w:val="004E61E5"/>
    <w:rsid w:val="004F27CF"/>
    <w:rsid w:val="004F47A6"/>
    <w:rsid w:val="004F525A"/>
    <w:rsid w:val="004F6333"/>
    <w:rsid w:val="00501213"/>
    <w:rsid w:val="00503EEA"/>
    <w:rsid w:val="0050453C"/>
    <w:rsid w:val="00504CCE"/>
    <w:rsid w:val="00505F1B"/>
    <w:rsid w:val="005071EB"/>
    <w:rsid w:val="00510C0E"/>
    <w:rsid w:val="00514F06"/>
    <w:rsid w:val="0051709C"/>
    <w:rsid w:val="005216AF"/>
    <w:rsid w:val="005226F1"/>
    <w:rsid w:val="005233B4"/>
    <w:rsid w:val="00523D4D"/>
    <w:rsid w:val="005242B6"/>
    <w:rsid w:val="0053462C"/>
    <w:rsid w:val="00535465"/>
    <w:rsid w:val="00544FF1"/>
    <w:rsid w:val="00545C28"/>
    <w:rsid w:val="00545D3F"/>
    <w:rsid w:val="00547263"/>
    <w:rsid w:val="00552CA7"/>
    <w:rsid w:val="00556D61"/>
    <w:rsid w:val="00560DCF"/>
    <w:rsid w:val="0056710A"/>
    <w:rsid w:val="0056731D"/>
    <w:rsid w:val="00572CEB"/>
    <w:rsid w:val="005734F4"/>
    <w:rsid w:val="005775DC"/>
    <w:rsid w:val="00584A8F"/>
    <w:rsid w:val="00592F34"/>
    <w:rsid w:val="005932EE"/>
    <w:rsid w:val="005B0F84"/>
    <w:rsid w:val="005B3AB8"/>
    <w:rsid w:val="005B498C"/>
    <w:rsid w:val="005B5152"/>
    <w:rsid w:val="005B705D"/>
    <w:rsid w:val="005C29FF"/>
    <w:rsid w:val="005C5EC8"/>
    <w:rsid w:val="005C694C"/>
    <w:rsid w:val="005C7A7C"/>
    <w:rsid w:val="005D365A"/>
    <w:rsid w:val="005D4818"/>
    <w:rsid w:val="005D646E"/>
    <w:rsid w:val="005E06E9"/>
    <w:rsid w:val="005E6AF8"/>
    <w:rsid w:val="005F6A26"/>
    <w:rsid w:val="00601A21"/>
    <w:rsid w:val="00602A01"/>
    <w:rsid w:val="00605604"/>
    <w:rsid w:val="0060613D"/>
    <w:rsid w:val="006068D9"/>
    <w:rsid w:val="00606F5A"/>
    <w:rsid w:val="0060742D"/>
    <w:rsid w:val="0060760C"/>
    <w:rsid w:val="006128BA"/>
    <w:rsid w:val="00614426"/>
    <w:rsid w:val="00615AEF"/>
    <w:rsid w:val="00616BB5"/>
    <w:rsid w:val="00624533"/>
    <w:rsid w:val="00627357"/>
    <w:rsid w:val="00630507"/>
    <w:rsid w:val="006330DB"/>
    <w:rsid w:val="006352A2"/>
    <w:rsid w:val="00636FE3"/>
    <w:rsid w:val="00641114"/>
    <w:rsid w:val="00641582"/>
    <w:rsid w:val="00645FA7"/>
    <w:rsid w:val="00646C7A"/>
    <w:rsid w:val="00647788"/>
    <w:rsid w:val="00647C24"/>
    <w:rsid w:val="0065157D"/>
    <w:rsid w:val="00657262"/>
    <w:rsid w:val="006572FF"/>
    <w:rsid w:val="00661F1B"/>
    <w:rsid w:val="00663188"/>
    <w:rsid w:val="00665727"/>
    <w:rsid w:val="0066599C"/>
    <w:rsid w:val="00672456"/>
    <w:rsid w:val="00673AD9"/>
    <w:rsid w:val="00677A36"/>
    <w:rsid w:val="00680203"/>
    <w:rsid w:val="006804DC"/>
    <w:rsid w:val="00681326"/>
    <w:rsid w:val="00681823"/>
    <w:rsid w:val="00686723"/>
    <w:rsid w:val="00686748"/>
    <w:rsid w:val="0068743E"/>
    <w:rsid w:val="006A050B"/>
    <w:rsid w:val="006A248C"/>
    <w:rsid w:val="006A394F"/>
    <w:rsid w:val="006A3D31"/>
    <w:rsid w:val="006A5169"/>
    <w:rsid w:val="006B564F"/>
    <w:rsid w:val="006B57E0"/>
    <w:rsid w:val="006B6120"/>
    <w:rsid w:val="006B686F"/>
    <w:rsid w:val="006C1429"/>
    <w:rsid w:val="006C45D2"/>
    <w:rsid w:val="006D072F"/>
    <w:rsid w:val="006D5632"/>
    <w:rsid w:val="006D7257"/>
    <w:rsid w:val="006E1272"/>
    <w:rsid w:val="006E1B5F"/>
    <w:rsid w:val="006E2E73"/>
    <w:rsid w:val="006E4003"/>
    <w:rsid w:val="006E540C"/>
    <w:rsid w:val="006E5BC1"/>
    <w:rsid w:val="006E5EB6"/>
    <w:rsid w:val="0070055F"/>
    <w:rsid w:val="007023A1"/>
    <w:rsid w:val="00711F11"/>
    <w:rsid w:val="00714C08"/>
    <w:rsid w:val="007201A3"/>
    <w:rsid w:val="007236E2"/>
    <w:rsid w:val="0072406F"/>
    <w:rsid w:val="0072439F"/>
    <w:rsid w:val="007277F1"/>
    <w:rsid w:val="007309FC"/>
    <w:rsid w:val="0073633A"/>
    <w:rsid w:val="00736E11"/>
    <w:rsid w:val="007403DD"/>
    <w:rsid w:val="00740737"/>
    <w:rsid w:val="0074166D"/>
    <w:rsid w:val="00741AEF"/>
    <w:rsid w:val="007437FF"/>
    <w:rsid w:val="00745376"/>
    <w:rsid w:val="0074761E"/>
    <w:rsid w:val="0075041A"/>
    <w:rsid w:val="007507FB"/>
    <w:rsid w:val="007514F9"/>
    <w:rsid w:val="00751E59"/>
    <w:rsid w:val="00753018"/>
    <w:rsid w:val="00753E7E"/>
    <w:rsid w:val="00753E97"/>
    <w:rsid w:val="00757098"/>
    <w:rsid w:val="0075787A"/>
    <w:rsid w:val="00772117"/>
    <w:rsid w:val="00772207"/>
    <w:rsid w:val="0077388E"/>
    <w:rsid w:val="00776F71"/>
    <w:rsid w:val="00777743"/>
    <w:rsid w:val="00777B17"/>
    <w:rsid w:val="00777E57"/>
    <w:rsid w:val="007814ED"/>
    <w:rsid w:val="00781FF4"/>
    <w:rsid w:val="00782A22"/>
    <w:rsid w:val="00782AA9"/>
    <w:rsid w:val="00783555"/>
    <w:rsid w:val="00786B63"/>
    <w:rsid w:val="007910D4"/>
    <w:rsid w:val="00792F41"/>
    <w:rsid w:val="007963BF"/>
    <w:rsid w:val="007A11E4"/>
    <w:rsid w:val="007A217F"/>
    <w:rsid w:val="007A463E"/>
    <w:rsid w:val="007A6F90"/>
    <w:rsid w:val="007A7920"/>
    <w:rsid w:val="007A7F9C"/>
    <w:rsid w:val="007B4B10"/>
    <w:rsid w:val="007C1798"/>
    <w:rsid w:val="007C27F0"/>
    <w:rsid w:val="007C287F"/>
    <w:rsid w:val="007C2D39"/>
    <w:rsid w:val="007C2DBF"/>
    <w:rsid w:val="007C3BF8"/>
    <w:rsid w:val="007D0A3E"/>
    <w:rsid w:val="007D2735"/>
    <w:rsid w:val="007E005A"/>
    <w:rsid w:val="007E19D7"/>
    <w:rsid w:val="007E2743"/>
    <w:rsid w:val="007E6359"/>
    <w:rsid w:val="007E67D4"/>
    <w:rsid w:val="007E74F5"/>
    <w:rsid w:val="007F3C65"/>
    <w:rsid w:val="007F41E4"/>
    <w:rsid w:val="007F4B73"/>
    <w:rsid w:val="007F4F79"/>
    <w:rsid w:val="00800597"/>
    <w:rsid w:val="00801A23"/>
    <w:rsid w:val="00806CBE"/>
    <w:rsid w:val="0080772A"/>
    <w:rsid w:val="008117CF"/>
    <w:rsid w:val="008120F2"/>
    <w:rsid w:val="00816220"/>
    <w:rsid w:val="00816255"/>
    <w:rsid w:val="008204C0"/>
    <w:rsid w:val="00821FAC"/>
    <w:rsid w:val="0082273B"/>
    <w:rsid w:val="00822890"/>
    <w:rsid w:val="00822EEF"/>
    <w:rsid w:val="00826E90"/>
    <w:rsid w:val="008278D9"/>
    <w:rsid w:val="00833C73"/>
    <w:rsid w:val="00836E2B"/>
    <w:rsid w:val="00837CBE"/>
    <w:rsid w:val="008426BD"/>
    <w:rsid w:val="008461C0"/>
    <w:rsid w:val="00846656"/>
    <w:rsid w:val="00852F79"/>
    <w:rsid w:val="00857706"/>
    <w:rsid w:val="00857CC5"/>
    <w:rsid w:val="00861136"/>
    <w:rsid w:val="00862954"/>
    <w:rsid w:val="00862E39"/>
    <w:rsid w:val="00864A4A"/>
    <w:rsid w:val="008655F4"/>
    <w:rsid w:val="00867F6E"/>
    <w:rsid w:val="00870FFC"/>
    <w:rsid w:val="0087102D"/>
    <w:rsid w:val="00872E1D"/>
    <w:rsid w:val="00872F57"/>
    <w:rsid w:val="0087747C"/>
    <w:rsid w:val="0088398E"/>
    <w:rsid w:val="00884E3B"/>
    <w:rsid w:val="0089286F"/>
    <w:rsid w:val="00893C43"/>
    <w:rsid w:val="0089429E"/>
    <w:rsid w:val="00894900"/>
    <w:rsid w:val="00894DF2"/>
    <w:rsid w:val="00895031"/>
    <w:rsid w:val="0089791A"/>
    <w:rsid w:val="008A0BA8"/>
    <w:rsid w:val="008A14FE"/>
    <w:rsid w:val="008A4DCF"/>
    <w:rsid w:val="008A62E3"/>
    <w:rsid w:val="008B0EB8"/>
    <w:rsid w:val="008B2B22"/>
    <w:rsid w:val="008B3065"/>
    <w:rsid w:val="008B5DBD"/>
    <w:rsid w:val="008B693E"/>
    <w:rsid w:val="008B6F0A"/>
    <w:rsid w:val="008B700D"/>
    <w:rsid w:val="008B7353"/>
    <w:rsid w:val="008C2FD8"/>
    <w:rsid w:val="008C57F0"/>
    <w:rsid w:val="008C58D7"/>
    <w:rsid w:val="008C73B0"/>
    <w:rsid w:val="008C782E"/>
    <w:rsid w:val="008D1C0C"/>
    <w:rsid w:val="008D227F"/>
    <w:rsid w:val="008D2E0F"/>
    <w:rsid w:val="008D3E78"/>
    <w:rsid w:val="008D483F"/>
    <w:rsid w:val="008D57CD"/>
    <w:rsid w:val="008E0906"/>
    <w:rsid w:val="008E3030"/>
    <w:rsid w:val="008E3335"/>
    <w:rsid w:val="008E57D1"/>
    <w:rsid w:val="008F4CC6"/>
    <w:rsid w:val="008F5312"/>
    <w:rsid w:val="00900518"/>
    <w:rsid w:val="00901A14"/>
    <w:rsid w:val="00903685"/>
    <w:rsid w:val="009038E2"/>
    <w:rsid w:val="009045A9"/>
    <w:rsid w:val="00905EAA"/>
    <w:rsid w:val="00907579"/>
    <w:rsid w:val="00910073"/>
    <w:rsid w:val="009100C8"/>
    <w:rsid w:val="00914D5D"/>
    <w:rsid w:val="0091792E"/>
    <w:rsid w:val="009211A0"/>
    <w:rsid w:val="00921341"/>
    <w:rsid w:val="00922ADE"/>
    <w:rsid w:val="0092635A"/>
    <w:rsid w:val="00932402"/>
    <w:rsid w:val="0093261E"/>
    <w:rsid w:val="009331EF"/>
    <w:rsid w:val="00937609"/>
    <w:rsid w:val="00943BE8"/>
    <w:rsid w:val="00953B40"/>
    <w:rsid w:val="00955011"/>
    <w:rsid w:val="00957744"/>
    <w:rsid w:val="00961690"/>
    <w:rsid w:val="00964702"/>
    <w:rsid w:val="00966DA9"/>
    <w:rsid w:val="009701E9"/>
    <w:rsid w:val="00970A4C"/>
    <w:rsid w:val="00971A38"/>
    <w:rsid w:val="00973C47"/>
    <w:rsid w:val="00974F8D"/>
    <w:rsid w:val="00975415"/>
    <w:rsid w:val="00976332"/>
    <w:rsid w:val="00980AA8"/>
    <w:rsid w:val="00980CE7"/>
    <w:rsid w:val="009814D2"/>
    <w:rsid w:val="0098213D"/>
    <w:rsid w:val="00983285"/>
    <w:rsid w:val="00983DEC"/>
    <w:rsid w:val="00997550"/>
    <w:rsid w:val="00997884"/>
    <w:rsid w:val="009B0250"/>
    <w:rsid w:val="009B30FA"/>
    <w:rsid w:val="009B5D16"/>
    <w:rsid w:val="009B6A64"/>
    <w:rsid w:val="009C1A33"/>
    <w:rsid w:val="009C2781"/>
    <w:rsid w:val="009D64B0"/>
    <w:rsid w:val="009D655A"/>
    <w:rsid w:val="009E3475"/>
    <w:rsid w:val="009E4D50"/>
    <w:rsid w:val="009F1036"/>
    <w:rsid w:val="009F210E"/>
    <w:rsid w:val="009F23A4"/>
    <w:rsid w:val="009F2493"/>
    <w:rsid w:val="00A00652"/>
    <w:rsid w:val="00A04A57"/>
    <w:rsid w:val="00A06B35"/>
    <w:rsid w:val="00A06EE8"/>
    <w:rsid w:val="00A125DE"/>
    <w:rsid w:val="00A1584D"/>
    <w:rsid w:val="00A15D4C"/>
    <w:rsid w:val="00A17022"/>
    <w:rsid w:val="00A17687"/>
    <w:rsid w:val="00A23744"/>
    <w:rsid w:val="00A26A42"/>
    <w:rsid w:val="00A30827"/>
    <w:rsid w:val="00A30A39"/>
    <w:rsid w:val="00A317F5"/>
    <w:rsid w:val="00A352E1"/>
    <w:rsid w:val="00A37017"/>
    <w:rsid w:val="00A43DAB"/>
    <w:rsid w:val="00A47BCA"/>
    <w:rsid w:val="00A509F8"/>
    <w:rsid w:val="00A5526F"/>
    <w:rsid w:val="00A60BA3"/>
    <w:rsid w:val="00A621FF"/>
    <w:rsid w:val="00A63AD7"/>
    <w:rsid w:val="00A63DF7"/>
    <w:rsid w:val="00A672A8"/>
    <w:rsid w:val="00A67515"/>
    <w:rsid w:val="00A707CD"/>
    <w:rsid w:val="00A72A44"/>
    <w:rsid w:val="00A73E4B"/>
    <w:rsid w:val="00A743BB"/>
    <w:rsid w:val="00A76747"/>
    <w:rsid w:val="00A81A31"/>
    <w:rsid w:val="00A83556"/>
    <w:rsid w:val="00A83A91"/>
    <w:rsid w:val="00A83B38"/>
    <w:rsid w:val="00A85349"/>
    <w:rsid w:val="00A910D9"/>
    <w:rsid w:val="00A93C05"/>
    <w:rsid w:val="00A9446C"/>
    <w:rsid w:val="00A94E7A"/>
    <w:rsid w:val="00A96FCF"/>
    <w:rsid w:val="00A97BB1"/>
    <w:rsid w:val="00AA3F05"/>
    <w:rsid w:val="00AA4F68"/>
    <w:rsid w:val="00AA73CA"/>
    <w:rsid w:val="00AB17C3"/>
    <w:rsid w:val="00AB1B0F"/>
    <w:rsid w:val="00AB1F56"/>
    <w:rsid w:val="00AB37BC"/>
    <w:rsid w:val="00AB67D9"/>
    <w:rsid w:val="00AC623D"/>
    <w:rsid w:val="00AD0DF4"/>
    <w:rsid w:val="00AD216B"/>
    <w:rsid w:val="00AD4A18"/>
    <w:rsid w:val="00AD5CDC"/>
    <w:rsid w:val="00AD6073"/>
    <w:rsid w:val="00AD6A21"/>
    <w:rsid w:val="00AE11B8"/>
    <w:rsid w:val="00AE14EC"/>
    <w:rsid w:val="00AE268D"/>
    <w:rsid w:val="00AE42A5"/>
    <w:rsid w:val="00AF16EC"/>
    <w:rsid w:val="00AF6B34"/>
    <w:rsid w:val="00B007CA"/>
    <w:rsid w:val="00B01EA8"/>
    <w:rsid w:val="00B03533"/>
    <w:rsid w:val="00B062A4"/>
    <w:rsid w:val="00B07236"/>
    <w:rsid w:val="00B07CD5"/>
    <w:rsid w:val="00B13CBE"/>
    <w:rsid w:val="00B16FD2"/>
    <w:rsid w:val="00B20803"/>
    <w:rsid w:val="00B20CD1"/>
    <w:rsid w:val="00B21430"/>
    <w:rsid w:val="00B21A37"/>
    <w:rsid w:val="00B22E51"/>
    <w:rsid w:val="00B2455D"/>
    <w:rsid w:val="00B25E59"/>
    <w:rsid w:val="00B2743B"/>
    <w:rsid w:val="00B329AB"/>
    <w:rsid w:val="00B35B3B"/>
    <w:rsid w:val="00B366DB"/>
    <w:rsid w:val="00B4216C"/>
    <w:rsid w:val="00B472C0"/>
    <w:rsid w:val="00B50B07"/>
    <w:rsid w:val="00B5204D"/>
    <w:rsid w:val="00B5451D"/>
    <w:rsid w:val="00B63607"/>
    <w:rsid w:val="00B65E76"/>
    <w:rsid w:val="00B71351"/>
    <w:rsid w:val="00B73211"/>
    <w:rsid w:val="00B7328D"/>
    <w:rsid w:val="00B75A8B"/>
    <w:rsid w:val="00B8112B"/>
    <w:rsid w:val="00B81B4A"/>
    <w:rsid w:val="00B83855"/>
    <w:rsid w:val="00B85101"/>
    <w:rsid w:val="00B85E7A"/>
    <w:rsid w:val="00B86EF7"/>
    <w:rsid w:val="00B873C8"/>
    <w:rsid w:val="00B90727"/>
    <w:rsid w:val="00B910D1"/>
    <w:rsid w:val="00B91533"/>
    <w:rsid w:val="00BA06C5"/>
    <w:rsid w:val="00BA1629"/>
    <w:rsid w:val="00BA675C"/>
    <w:rsid w:val="00BB10A5"/>
    <w:rsid w:val="00BB129C"/>
    <w:rsid w:val="00BB1F20"/>
    <w:rsid w:val="00BB2927"/>
    <w:rsid w:val="00BB72F3"/>
    <w:rsid w:val="00BC0ABF"/>
    <w:rsid w:val="00BC38B4"/>
    <w:rsid w:val="00BC5085"/>
    <w:rsid w:val="00BC57DE"/>
    <w:rsid w:val="00BD2FD3"/>
    <w:rsid w:val="00BD3208"/>
    <w:rsid w:val="00BD7404"/>
    <w:rsid w:val="00BE2EAE"/>
    <w:rsid w:val="00BF413D"/>
    <w:rsid w:val="00BF572C"/>
    <w:rsid w:val="00BF6C43"/>
    <w:rsid w:val="00BF70BB"/>
    <w:rsid w:val="00C051E4"/>
    <w:rsid w:val="00C1184D"/>
    <w:rsid w:val="00C11B21"/>
    <w:rsid w:val="00C12221"/>
    <w:rsid w:val="00C13585"/>
    <w:rsid w:val="00C14A5A"/>
    <w:rsid w:val="00C161A1"/>
    <w:rsid w:val="00C208CA"/>
    <w:rsid w:val="00C2233C"/>
    <w:rsid w:val="00C223B4"/>
    <w:rsid w:val="00C25FA1"/>
    <w:rsid w:val="00C264ED"/>
    <w:rsid w:val="00C268EE"/>
    <w:rsid w:val="00C26A30"/>
    <w:rsid w:val="00C27A8A"/>
    <w:rsid w:val="00C27FA0"/>
    <w:rsid w:val="00C30660"/>
    <w:rsid w:val="00C30D11"/>
    <w:rsid w:val="00C30F32"/>
    <w:rsid w:val="00C310A9"/>
    <w:rsid w:val="00C41A91"/>
    <w:rsid w:val="00C41E6D"/>
    <w:rsid w:val="00C4329D"/>
    <w:rsid w:val="00C466A5"/>
    <w:rsid w:val="00C5285C"/>
    <w:rsid w:val="00C53F01"/>
    <w:rsid w:val="00C54836"/>
    <w:rsid w:val="00C614C0"/>
    <w:rsid w:val="00C62913"/>
    <w:rsid w:val="00C74B23"/>
    <w:rsid w:val="00C76885"/>
    <w:rsid w:val="00C76CEE"/>
    <w:rsid w:val="00C807B9"/>
    <w:rsid w:val="00C84036"/>
    <w:rsid w:val="00C848E8"/>
    <w:rsid w:val="00C95FF9"/>
    <w:rsid w:val="00C97F58"/>
    <w:rsid w:val="00CA062A"/>
    <w:rsid w:val="00CB0E11"/>
    <w:rsid w:val="00CB1037"/>
    <w:rsid w:val="00CC05EA"/>
    <w:rsid w:val="00CC201A"/>
    <w:rsid w:val="00CC2C0E"/>
    <w:rsid w:val="00CD4A23"/>
    <w:rsid w:val="00CD5C11"/>
    <w:rsid w:val="00CD6391"/>
    <w:rsid w:val="00CE54A1"/>
    <w:rsid w:val="00CE5D14"/>
    <w:rsid w:val="00CE5FE8"/>
    <w:rsid w:val="00CE6CEC"/>
    <w:rsid w:val="00CF0CD5"/>
    <w:rsid w:val="00CF1FC4"/>
    <w:rsid w:val="00CF2848"/>
    <w:rsid w:val="00CF2D41"/>
    <w:rsid w:val="00CF4141"/>
    <w:rsid w:val="00CF5BA1"/>
    <w:rsid w:val="00CF6AF9"/>
    <w:rsid w:val="00D02242"/>
    <w:rsid w:val="00D02AC9"/>
    <w:rsid w:val="00D02FB3"/>
    <w:rsid w:val="00D052F9"/>
    <w:rsid w:val="00D0565A"/>
    <w:rsid w:val="00D060C4"/>
    <w:rsid w:val="00D0773D"/>
    <w:rsid w:val="00D079B4"/>
    <w:rsid w:val="00D12894"/>
    <w:rsid w:val="00D14049"/>
    <w:rsid w:val="00D162CC"/>
    <w:rsid w:val="00D25757"/>
    <w:rsid w:val="00D30072"/>
    <w:rsid w:val="00D3068D"/>
    <w:rsid w:val="00D3369B"/>
    <w:rsid w:val="00D36A54"/>
    <w:rsid w:val="00D37451"/>
    <w:rsid w:val="00D375C3"/>
    <w:rsid w:val="00D40CCB"/>
    <w:rsid w:val="00D42FE4"/>
    <w:rsid w:val="00D44074"/>
    <w:rsid w:val="00D4433A"/>
    <w:rsid w:val="00D468FE"/>
    <w:rsid w:val="00D47A45"/>
    <w:rsid w:val="00D52DB3"/>
    <w:rsid w:val="00D536F7"/>
    <w:rsid w:val="00D574CD"/>
    <w:rsid w:val="00D66741"/>
    <w:rsid w:val="00D675D1"/>
    <w:rsid w:val="00D70AD4"/>
    <w:rsid w:val="00D8131D"/>
    <w:rsid w:val="00D82123"/>
    <w:rsid w:val="00D82A94"/>
    <w:rsid w:val="00D903DC"/>
    <w:rsid w:val="00D9085C"/>
    <w:rsid w:val="00D90AD9"/>
    <w:rsid w:val="00D92A40"/>
    <w:rsid w:val="00D92B39"/>
    <w:rsid w:val="00D95999"/>
    <w:rsid w:val="00DA0A68"/>
    <w:rsid w:val="00DA360D"/>
    <w:rsid w:val="00DA38F8"/>
    <w:rsid w:val="00DA4164"/>
    <w:rsid w:val="00DA5B0B"/>
    <w:rsid w:val="00DA61DA"/>
    <w:rsid w:val="00DA61ED"/>
    <w:rsid w:val="00DB15A9"/>
    <w:rsid w:val="00DB2488"/>
    <w:rsid w:val="00DB4D06"/>
    <w:rsid w:val="00DB5D1F"/>
    <w:rsid w:val="00DC706D"/>
    <w:rsid w:val="00DC74D3"/>
    <w:rsid w:val="00DC7EF3"/>
    <w:rsid w:val="00DD039C"/>
    <w:rsid w:val="00DD17BA"/>
    <w:rsid w:val="00DD3B32"/>
    <w:rsid w:val="00DD4103"/>
    <w:rsid w:val="00DE0A59"/>
    <w:rsid w:val="00DE0D72"/>
    <w:rsid w:val="00DE20A9"/>
    <w:rsid w:val="00DE61F6"/>
    <w:rsid w:val="00DE6684"/>
    <w:rsid w:val="00DF11DA"/>
    <w:rsid w:val="00DF16BE"/>
    <w:rsid w:val="00DF2924"/>
    <w:rsid w:val="00DF49D8"/>
    <w:rsid w:val="00E00EFF"/>
    <w:rsid w:val="00E070E1"/>
    <w:rsid w:val="00E1225E"/>
    <w:rsid w:val="00E1430F"/>
    <w:rsid w:val="00E14AC5"/>
    <w:rsid w:val="00E16219"/>
    <w:rsid w:val="00E17281"/>
    <w:rsid w:val="00E212E5"/>
    <w:rsid w:val="00E23F3D"/>
    <w:rsid w:val="00E24BFF"/>
    <w:rsid w:val="00E25AEB"/>
    <w:rsid w:val="00E2674A"/>
    <w:rsid w:val="00E268EE"/>
    <w:rsid w:val="00E300F0"/>
    <w:rsid w:val="00E32CE9"/>
    <w:rsid w:val="00E33086"/>
    <w:rsid w:val="00E3421C"/>
    <w:rsid w:val="00E36C9E"/>
    <w:rsid w:val="00E36D6C"/>
    <w:rsid w:val="00E37324"/>
    <w:rsid w:val="00E448C7"/>
    <w:rsid w:val="00E46871"/>
    <w:rsid w:val="00E5183C"/>
    <w:rsid w:val="00E53AF7"/>
    <w:rsid w:val="00E540AF"/>
    <w:rsid w:val="00E55A7E"/>
    <w:rsid w:val="00E56464"/>
    <w:rsid w:val="00E6218B"/>
    <w:rsid w:val="00E63012"/>
    <w:rsid w:val="00E63AB3"/>
    <w:rsid w:val="00E64C4A"/>
    <w:rsid w:val="00E65169"/>
    <w:rsid w:val="00E71019"/>
    <w:rsid w:val="00E716B7"/>
    <w:rsid w:val="00E71D67"/>
    <w:rsid w:val="00E7452A"/>
    <w:rsid w:val="00E74A9C"/>
    <w:rsid w:val="00E772DC"/>
    <w:rsid w:val="00E814B4"/>
    <w:rsid w:val="00E82C2C"/>
    <w:rsid w:val="00E83D82"/>
    <w:rsid w:val="00E874A6"/>
    <w:rsid w:val="00E90394"/>
    <w:rsid w:val="00E9096B"/>
    <w:rsid w:val="00E91F05"/>
    <w:rsid w:val="00E941C7"/>
    <w:rsid w:val="00E94708"/>
    <w:rsid w:val="00E954EE"/>
    <w:rsid w:val="00E96618"/>
    <w:rsid w:val="00E9667E"/>
    <w:rsid w:val="00E975DD"/>
    <w:rsid w:val="00EA19FA"/>
    <w:rsid w:val="00EA2FDC"/>
    <w:rsid w:val="00EA606D"/>
    <w:rsid w:val="00EA69B8"/>
    <w:rsid w:val="00EB038C"/>
    <w:rsid w:val="00EB1D68"/>
    <w:rsid w:val="00EB6452"/>
    <w:rsid w:val="00EB6BA9"/>
    <w:rsid w:val="00EC0BAA"/>
    <w:rsid w:val="00EC52BE"/>
    <w:rsid w:val="00EC6457"/>
    <w:rsid w:val="00EC7CF2"/>
    <w:rsid w:val="00ED0263"/>
    <w:rsid w:val="00ED1BBA"/>
    <w:rsid w:val="00ED2310"/>
    <w:rsid w:val="00ED3926"/>
    <w:rsid w:val="00ED48F3"/>
    <w:rsid w:val="00ED52A9"/>
    <w:rsid w:val="00EE3E7A"/>
    <w:rsid w:val="00EE5082"/>
    <w:rsid w:val="00EE69E6"/>
    <w:rsid w:val="00EE73D3"/>
    <w:rsid w:val="00EF0369"/>
    <w:rsid w:val="00EF0C4C"/>
    <w:rsid w:val="00EF4866"/>
    <w:rsid w:val="00EF496F"/>
    <w:rsid w:val="00EF5EE9"/>
    <w:rsid w:val="00F02727"/>
    <w:rsid w:val="00F111CF"/>
    <w:rsid w:val="00F12D34"/>
    <w:rsid w:val="00F12FD3"/>
    <w:rsid w:val="00F1468C"/>
    <w:rsid w:val="00F162BB"/>
    <w:rsid w:val="00F16B1C"/>
    <w:rsid w:val="00F2124C"/>
    <w:rsid w:val="00F21D11"/>
    <w:rsid w:val="00F23DED"/>
    <w:rsid w:val="00F26582"/>
    <w:rsid w:val="00F2727B"/>
    <w:rsid w:val="00F27474"/>
    <w:rsid w:val="00F341D7"/>
    <w:rsid w:val="00F34F34"/>
    <w:rsid w:val="00F37391"/>
    <w:rsid w:val="00F456B6"/>
    <w:rsid w:val="00F463FF"/>
    <w:rsid w:val="00F46B97"/>
    <w:rsid w:val="00F506AD"/>
    <w:rsid w:val="00F51BCD"/>
    <w:rsid w:val="00F577AB"/>
    <w:rsid w:val="00F63FC1"/>
    <w:rsid w:val="00F6460D"/>
    <w:rsid w:val="00F65B60"/>
    <w:rsid w:val="00F66744"/>
    <w:rsid w:val="00F711AF"/>
    <w:rsid w:val="00F7386B"/>
    <w:rsid w:val="00F77F5D"/>
    <w:rsid w:val="00F8197D"/>
    <w:rsid w:val="00F82B60"/>
    <w:rsid w:val="00F865EB"/>
    <w:rsid w:val="00F875D9"/>
    <w:rsid w:val="00F93C2D"/>
    <w:rsid w:val="00FA261A"/>
    <w:rsid w:val="00FA2F99"/>
    <w:rsid w:val="00FA3350"/>
    <w:rsid w:val="00FA41B6"/>
    <w:rsid w:val="00FA48B0"/>
    <w:rsid w:val="00FA4EF5"/>
    <w:rsid w:val="00FA524E"/>
    <w:rsid w:val="00FA52E6"/>
    <w:rsid w:val="00FA6D19"/>
    <w:rsid w:val="00FA714D"/>
    <w:rsid w:val="00FA71A9"/>
    <w:rsid w:val="00FB05DA"/>
    <w:rsid w:val="00FB1A9B"/>
    <w:rsid w:val="00FB1DAF"/>
    <w:rsid w:val="00FB2471"/>
    <w:rsid w:val="00FB4563"/>
    <w:rsid w:val="00FB6ADB"/>
    <w:rsid w:val="00FC0484"/>
    <w:rsid w:val="00FC0FD0"/>
    <w:rsid w:val="00FC30EE"/>
    <w:rsid w:val="00FC3D42"/>
    <w:rsid w:val="00FC44F5"/>
    <w:rsid w:val="00FC7C2B"/>
    <w:rsid w:val="00FD005A"/>
    <w:rsid w:val="00FD207E"/>
    <w:rsid w:val="00FD2E08"/>
    <w:rsid w:val="00FD4E6F"/>
    <w:rsid w:val="00FD56FE"/>
    <w:rsid w:val="00FE0A88"/>
    <w:rsid w:val="00FE1C5B"/>
    <w:rsid w:val="00FE2047"/>
    <w:rsid w:val="00FE398B"/>
    <w:rsid w:val="00FE4249"/>
    <w:rsid w:val="00FF149D"/>
    <w:rsid w:val="00FF1B80"/>
    <w:rsid w:val="00FF2F66"/>
    <w:rsid w:val="00FF566F"/>
    <w:rsid w:val="14F685DE"/>
    <w:rsid w:val="4A869337"/>
    <w:rsid w:val="5664A9CB"/>
    <w:rsid w:val="7E36AAF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D38404"/>
  <w15:chartTrackingRefBased/>
  <w15:docId w15:val="{A9CC288B-C340-4EF4-AA9D-10EF1189E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rebuchet MS" w:eastAsiaTheme="minorHAnsi" w:hAnsi="Trebuchet MS" w:cs="Times New Roman"/>
        <w:sz w:val="22"/>
        <w:szCs w:val="22"/>
        <w:lang w:val="en-AU" w:eastAsia="en-US" w:bidi="ar-SA"/>
      </w:rPr>
    </w:rPrDefault>
    <w:pPrDefault>
      <w:pPr>
        <w:spacing w:after="12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7A23"/>
    <w:pPr>
      <w:spacing w:after="200" w:line="276" w:lineRule="auto"/>
    </w:pPr>
    <w:rPr>
      <w:rFonts w:asciiTheme="minorHAnsi" w:eastAsiaTheme="minorEastAsia" w:hAnsiTheme="minorHAnsi" w:cstheme="minorBidi"/>
      <w:lang w:eastAsia="en-AU"/>
    </w:rPr>
  </w:style>
  <w:style w:type="paragraph" w:styleId="Heading1">
    <w:name w:val="heading 1"/>
    <w:next w:val="Normal"/>
    <w:link w:val="Heading1Char"/>
    <w:uiPriority w:val="9"/>
    <w:qFormat/>
    <w:rsid w:val="00DC7EF3"/>
    <w:pPr>
      <w:keepNext/>
      <w:keepLines/>
      <w:spacing w:before="480" w:after="600" w:line="360" w:lineRule="auto"/>
      <w:contextualSpacing/>
      <w:outlineLvl w:val="0"/>
    </w:pPr>
    <w:rPr>
      <w:rFonts w:eastAsiaTheme="majorEastAsia" w:cstheme="majorBidi"/>
      <w:b/>
      <w:bCs/>
      <w:kern w:val="28"/>
      <w:sz w:val="56"/>
      <w:szCs w:val="32"/>
    </w:rPr>
  </w:style>
  <w:style w:type="paragraph" w:styleId="Heading2">
    <w:name w:val="heading 2"/>
    <w:basedOn w:val="Heading1"/>
    <w:next w:val="Normal"/>
    <w:link w:val="Heading2Char"/>
    <w:uiPriority w:val="9"/>
    <w:unhideWhenUsed/>
    <w:qFormat/>
    <w:rsid w:val="00444BF0"/>
    <w:pPr>
      <w:spacing w:before="240" w:after="360"/>
      <w:outlineLvl w:val="1"/>
    </w:pPr>
    <w:rPr>
      <w:bCs w:val="0"/>
      <w:sz w:val="36"/>
      <w:szCs w:val="26"/>
    </w:rPr>
  </w:style>
  <w:style w:type="paragraph" w:styleId="Heading3">
    <w:name w:val="heading 3"/>
    <w:basedOn w:val="Heading2"/>
    <w:next w:val="Normal"/>
    <w:link w:val="Heading3Char"/>
    <w:uiPriority w:val="9"/>
    <w:unhideWhenUsed/>
    <w:qFormat/>
    <w:rsid w:val="00444BF0"/>
    <w:pPr>
      <w:spacing w:after="240"/>
      <w:outlineLvl w:val="2"/>
    </w:pPr>
    <w:rPr>
      <w:bCs/>
      <w:sz w:val="32"/>
    </w:rPr>
  </w:style>
  <w:style w:type="paragraph" w:styleId="Heading4">
    <w:name w:val="heading 4"/>
    <w:basedOn w:val="Heading3"/>
    <w:next w:val="Normal"/>
    <w:link w:val="Heading4Char"/>
    <w:uiPriority w:val="9"/>
    <w:unhideWhenUsed/>
    <w:qFormat/>
    <w:rsid w:val="00444BF0"/>
    <w:pPr>
      <w:spacing w:before="200" w:after="200"/>
      <w:outlineLvl w:val="3"/>
    </w:pPr>
    <w:rPr>
      <w:bCs w:val="0"/>
      <w:iCs/>
      <w:sz w:val="28"/>
    </w:rPr>
  </w:style>
  <w:style w:type="paragraph" w:styleId="Heading5">
    <w:name w:val="heading 5"/>
    <w:basedOn w:val="Heading4"/>
    <w:next w:val="Normal"/>
    <w:link w:val="Heading5Char"/>
    <w:uiPriority w:val="9"/>
    <w:unhideWhenUsed/>
    <w:qFormat/>
    <w:rsid w:val="00444BF0"/>
    <w:pPr>
      <w:spacing w:before="120"/>
      <w:outlineLvl w:val="4"/>
    </w:pPr>
    <w:rPr>
      <w:sz w:val="24"/>
    </w:rPr>
  </w:style>
  <w:style w:type="paragraph" w:styleId="Heading6">
    <w:name w:val="heading 6"/>
    <w:basedOn w:val="Heading5"/>
    <w:next w:val="Normal"/>
    <w:link w:val="Heading6Char"/>
    <w:uiPriority w:val="9"/>
    <w:unhideWhenUsed/>
    <w:qFormat/>
    <w:rsid w:val="00677A36"/>
    <w:pPr>
      <w:outlineLvl w:val="5"/>
    </w:pPr>
    <w:rPr>
      <w:b w:val="0"/>
      <w:i/>
    </w:rPr>
  </w:style>
  <w:style w:type="paragraph" w:styleId="Heading7">
    <w:name w:val="heading 7"/>
    <w:basedOn w:val="Heading6"/>
    <w:next w:val="Normal"/>
    <w:link w:val="Heading7Char"/>
    <w:uiPriority w:val="9"/>
    <w:semiHidden/>
    <w:unhideWhenUsed/>
    <w:rsid w:val="00444BF0"/>
    <w:pPr>
      <w:spacing w:before="200" w:after="120" w:line="288" w:lineRule="auto"/>
      <w:contextualSpacing w:val="0"/>
      <w:outlineLvl w:val="6"/>
    </w:pPr>
    <w:rPr>
      <w:b/>
      <w:i w:val="0"/>
      <w:color w:val="404040"/>
      <w:kern w:val="0"/>
      <w:sz w:val="22"/>
      <w:szCs w:val="22"/>
    </w:rPr>
  </w:style>
  <w:style w:type="paragraph" w:styleId="Heading8">
    <w:name w:val="heading 8"/>
    <w:basedOn w:val="Normal"/>
    <w:next w:val="Normal"/>
    <w:link w:val="Heading8Char"/>
    <w:uiPriority w:val="9"/>
    <w:semiHidden/>
    <w:unhideWhenUsed/>
    <w:qFormat/>
    <w:rsid w:val="00677A36"/>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677A3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77A36"/>
    <w:pPr>
      <w:spacing w:line="240" w:lineRule="auto"/>
    </w:pPr>
  </w:style>
  <w:style w:type="character" w:customStyle="1" w:styleId="Heading1Char">
    <w:name w:val="Heading 1 Char"/>
    <w:link w:val="Heading1"/>
    <w:uiPriority w:val="9"/>
    <w:rsid w:val="00DC7EF3"/>
    <w:rPr>
      <w:rFonts w:eastAsiaTheme="majorEastAsia" w:cstheme="majorBidi"/>
      <w:b/>
      <w:bCs/>
      <w:kern w:val="28"/>
      <w:sz w:val="56"/>
      <w:szCs w:val="32"/>
    </w:rPr>
  </w:style>
  <w:style w:type="character" w:customStyle="1" w:styleId="Heading2Char">
    <w:name w:val="Heading 2 Char"/>
    <w:link w:val="Heading2"/>
    <w:uiPriority w:val="9"/>
    <w:rsid w:val="00444BF0"/>
    <w:rPr>
      <w:rFonts w:eastAsiaTheme="majorEastAsia" w:cstheme="majorBidi"/>
      <w:b/>
      <w:kern w:val="28"/>
      <w:sz w:val="36"/>
      <w:szCs w:val="26"/>
    </w:rPr>
  </w:style>
  <w:style w:type="character" w:customStyle="1" w:styleId="Heading4Char">
    <w:name w:val="Heading 4 Char"/>
    <w:link w:val="Heading4"/>
    <w:uiPriority w:val="9"/>
    <w:rsid w:val="00444BF0"/>
    <w:rPr>
      <w:rFonts w:eastAsiaTheme="majorEastAsia" w:cstheme="majorBidi"/>
      <w:iCs/>
      <w:kern w:val="28"/>
      <w:sz w:val="28"/>
      <w:szCs w:val="26"/>
    </w:rPr>
  </w:style>
  <w:style w:type="paragraph" w:customStyle="1" w:styleId="Bullet">
    <w:name w:val="Bullet"/>
    <w:basedOn w:val="Normal"/>
    <w:link w:val="BulletChar"/>
    <w:rsid w:val="006E4003"/>
    <w:pPr>
      <w:numPr>
        <w:numId w:val="1"/>
      </w:numPr>
      <w:tabs>
        <w:tab w:val="left" w:pos="1935"/>
      </w:tabs>
      <w:spacing w:before="120" w:line="240" w:lineRule="auto"/>
    </w:pPr>
    <w:rPr>
      <w:sz w:val="24"/>
    </w:rPr>
  </w:style>
  <w:style w:type="character" w:customStyle="1" w:styleId="BulletChar">
    <w:name w:val="Bullet Char"/>
    <w:link w:val="Bullet"/>
    <w:rsid w:val="006E4003"/>
    <w:rPr>
      <w:rFonts w:asciiTheme="minorHAnsi" w:eastAsiaTheme="minorEastAsia" w:hAnsiTheme="minorHAnsi" w:cstheme="minorBidi"/>
      <w:sz w:val="24"/>
      <w:lang w:eastAsia="en-AU"/>
    </w:rPr>
  </w:style>
  <w:style w:type="paragraph" w:customStyle="1" w:styleId="Nonchapterheading">
    <w:name w:val="Non chapter heading"/>
    <w:basedOn w:val="Heading5"/>
    <w:link w:val="NonchapterheadingChar"/>
    <w:rsid w:val="006E4003"/>
    <w:pPr>
      <w:spacing w:after="120" w:line="288" w:lineRule="auto"/>
      <w:ind w:left="360" w:hanging="360"/>
    </w:pPr>
    <w:rPr>
      <w:rFonts w:eastAsia="Times New Roman" w:cs="Times New Roman"/>
      <w:iCs w:val="0"/>
      <w:kern w:val="0"/>
      <w:szCs w:val="22"/>
    </w:rPr>
  </w:style>
  <w:style w:type="character" w:customStyle="1" w:styleId="NonchapterheadingChar">
    <w:name w:val="Non chapter heading Char"/>
    <w:basedOn w:val="Heading5Char"/>
    <w:link w:val="Nonchapterheading"/>
    <w:rsid w:val="006E4003"/>
    <w:rPr>
      <w:rFonts w:eastAsia="Times New Roman" w:cs="Times New Roman"/>
      <w:b/>
      <w:iCs/>
      <w:kern w:val="28"/>
      <w:sz w:val="24"/>
      <w:szCs w:val="26"/>
    </w:rPr>
  </w:style>
  <w:style w:type="character" w:customStyle="1" w:styleId="Heading5Char">
    <w:name w:val="Heading 5 Char"/>
    <w:link w:val="Heading5"/>
    <w:uiPriority w:val="9"/>
    <w:rsid w:val="00444BF0"/>
    <w:rPr>
      <w:rFonts w:eastAsiaTheme="majorEastAsia" w:cstheme="majorBidi"/>
      <w:b/>
      <w:iCs/>
      <w:kern w:val="28"/>
      <w:sz w:val="24"/>
      <w:szCs w:val="26"/>
    </w:rPr>
  </w:style>
  <w:style w:type="paragraph" w:customStyle="1" w:styleId="Non-numberedchapterheading">
    <w:name w:val="Non-numbered chapter heading"/>
    <w:basedOn w:val="Heading5"/>
    <w:link w:val="Non-numberedchapterheadingChar"/>
    <w:rsid w:val="006E4003"/>
    <w:pPr>
      <w:spacing w:after="120" w:line="288" w:lineRule="auto"/>
      <w:ind w:left="360" w:hanging="360"/>
    </w:pPr>
    <w:rPr>
      <w:rFonts w:eastAsia="Times New Roman" w:cs="Times New Roman"/>
      <w:iCs w:val="0"/>
      <w:kern w:val="0"/>
      <w:szCs w:val="22"/>
    </w:rPr>
  </w:style>
  <w:style w:type="character" w:customStyle="1" w:styleId="Non-numberedchapterheadingChar">
    <w:name w:val="Non-numbered chapter heading Char"/>
    <w:basedOn w:val="Heading5Char"/>
    <w:link w:val="Non-numberedchapterheading"/>
    <w:rsid w:val="006E4003"/>
    <w:rPr>
      <w:rFonts w:eastAsia="Times New Roman" w:cs="Times New Roman"/>
      <w:b/>
      <w:iCs/>
      <w:kern w:val="28"/>
      <w:sz w:val="24"/>
      <w:szCs w:val="26"/>
    </w:rPr>
  </w:style>
  <w:style w:type="character" w:customStyle="1" w:styleId="Heading3Char">
    <w:name w:val="Heading 3 Char"/>
    <w:link w:val="Heading3"/>
    <w:uiPriority w:val="9"/>
    <w:rsid w:val="00444BF0"/>
    <w:rPr>
      <w:rFonts w:eastAsiaTheme="majorEastAsia" w:cstheme="majorBidi"/>
      <w:bCs/>
      <w:kern w:val="28"/>
      <w:sz w:val="32"/>
      <w:szCs w:val="26"/>
    </w:rPr>
  </w:style>
  <w:style w:type="character" w:customStyle="1" w:styleId="Heading6Char">
    <w:name w:val="Heading 6 Char"/>
    <w:link w:val="Heading6"/>
    <w:uiPriority w:val="9"/>
    <w:rsid w:val="003D6738"/>
    <w:rPr>
      <w:rFonts w:eastAsiaTheme="majorEastAsia" w:cstheme="majorBidi"/>
      <w:i/>
      <w:iCs/>
      <w:kern w:val="28"/>
      <w:sz w:val="24"/>
      <w:szCs w:val="26"/>
    </w:rPr>
  </w:style>
  <w:style w:type="character" w:customStyle="1" w:styleId="Heading7Char">
    <w:name w:val="Heading 7 Char"/>
    <w:link w:val="Heading7"/>
    <w:uiPriority w:val="9"/>
    <w:semiHidden/>
    <w:rsid w:val="00444BF0"/>
    <w:rPr>
      <w:rFonts w:eastAsiaTheme="majorEastAsia" w:cstheme="majorBidi"/>
      <w:b/>
      <w:iCs/>
      <w:color w:val="404040"/>
    </w:rPr>
  </w:style>
  <w:style w:type="paragraph" w:styleId="TOC1">
    <w:name w:val="toc 1"/>
    <w:basedOn w:val="Normal"/>
    <w:next w:val="Normal"/>
    <w:autoRedefine/>
    <w:uiPriority w:val="39"/>
    <w:unhideWhenUsed/>
    <w:rsid w:val="006E4003"/>
    <w:pPr>
      <w:tabs>
        <w:tab w:val="right" w:leader="dot" w:pos="9016"/>
      </w:tabs>
    </w:pPr>
    <w:rPr>
      <w:b/>
      <w:noProof/>
    </w:rPr>
  </w:style>
  <w:style w:type="paragraph" w:styleId="TOC2">
    <w:name w:val="toc 2"/>
    <w:basedOn w:val="Normal"/>
    <w:next w:val="Normal"/>
    <w:autoRedefine/>
    <w:uiPriority w:val="39"/>
    <w:unhideWhenUsed/>
    <w:rsid w:val="002F5035"/>
    <w:pPr>
      <w:ind w:left="220"/>
    </w:pPr>
    <w:rPr>
      <w:b/>
    </w:rPr>
  </w:style>
  <w:style w:type="paragraph" w:styleId="TOC3">
    <w:name w:val="toc 3"/>
    <w:basedOn w:val="Normal"/>
    <w:next w:val="Normal"/>
    <w:autoRedefine/>
    <w:uiPriority w:val="39"/>
    <w:unhideWhenUsed/>
    <w:rsid w:val="006E4003"/>
    <w:pPr>
      <w:ind w:left="440"/>
    </w:pPr>
  </w:style>
  <w:style w:type="paragraph" w:styleId="TOC4">
    <w:name w:val="toc 4"/>
    <w:basedOn w:val="Normal"/>
    <w:next w:val="Normal"/>
    <w:autoRedefine/>
    <w:uiPriority w:val="39"/>
    <w:unhideWhenUsed/>
    <w:rsid w:val="006E4003"/>
    <w:pPr>
      <w:ind w:left="660"/>
    </w:pPr>
  </w:style>
  <w:style w:type="paragraph" w:styleId="FootnoteText">
    <w:name w:val="footnote text"/>
    <w:aliases w:val="Char, Char"/>
    <w:basedOn w:val="Normal"/>
    <w:link w:val="FootnoteTextChar"/>
    <w:uiPriority w:val="99"/>
    <w:unhideWhenUsed/>
    <w:rsid w:val="006E4003"/>
    <w:pPr>
      <w:spacing w:line="240" w:lineRule="auto"/>
    </w:pPr>
    <w:rPr>
      <w:sz w:val="18"/>
    </w:rPr>
  </w:style>
  <w:style w:type="character" w:customStyle="1" w:styleId="FootnoteTextChar">
    <w:name w:val="Footnote Text Char"/>
    <w:aliases w:val="Char Char, Char Char"/>
    <w:link w:val="FootnoteText"/>
    <w:uiPriority w:val="99"/>
    <w:rsid w:val="006E4003"/>
    <w:rPr>
      <w:rFonts w:ascii="Trebuchet MS" w:eastAsia="Times New Roman" w:hAnsi="Trebuchet MS" w:cs="Times New Roman"/>
      <w:sz w:val="18"/>
      <w:lang w:eastAsia="en-AU"/>
    </w:rPr>
  </w:style>
  <w:style w:type="paragraph" w:styleId="Header">
    <w:name w:val="header"/>
    <w:basedOn w:val="Normal"/>
    <w:link w:val="HeaderChar"/>
    <w:unhideWhenUsed/>
    <w:rsid w:val="006E4003"/>
    <w:pPr>
      <w:tabs>
        <w:tab w:val="center" w:pos="4513"/>
        <w:tab w:val="right" w:pos="9026"/>
      </w:tabs>
    </w:pPr>
  </w:style>
  <w:style w:type="character" w:customStyle="1" w:styleId="HeaderChar">
    <w:name w:val="Header Char"/>
    <w:link w:val="Header"/>
    <w:rsid w:val="006E4003"/>
    <w:rPr>
      <w:rFonts w:ascii="Trebuchet MS" w:eastAsia="Times New Roman" w:hAnsi="Trebuchet MS" w:cs="Times New Roman"/>
      <w:lang w:eastAsia="en-AU"/>
    </w:rPr>
  </w:style>
  <w:style w:type="paragraph" w:styleId="Footer">
    <w:name w:val="footer"/>
    <w:basedOn w:val="Normal"/>
    <w:link w:val="FooterChar"/>
    <w:uiPriority w:val="99"/>
    <w:unhideWhenUsed/>
    <w:rsid w:val="00D079B4"/>
    <w:pPr>
      <w:tabs>
        <w:tab w:val="center" w:pos="4513"/>
        <w:tab w:val="right" w:pos="9026"/>
      </w:tabs>
      <w:spacing w:after="0" w:line="240" w:lineRule="auto"/>
      <w:jc w:val="right"/>
    </w:pPr>
    <w:rPr>
      <w:sz w:val="18"/>
    </w:rPr>
  </w:style>
  <w:style w:type="character" w:customStyle="1" w:styleId="FooterChar">
    <w:name w:val="Footer Char"/>
    <w:link w:val="Footer"/>
    <w:uiPriority w:val="99"/>
    <w:rsid w:val="00D079B4"/>
    <w:rPr>
      <w:sz w:val="18"/>
    </w:rPr>
  </w:style>
  <w:style w:type="character" w:styleId="FootnoteReference">
    <w:name w:val="footnote reference"/>
    <w:uiPriority w:val="99"/>
    <w:unhideWhenUsed/>
    <w:qFormat/>
    <w:rsid w:val="006E4003"/>
    <w:rPr>
      <w:rFonts w:ascii="Trebuchet MS" w:hAnsi="Trebuchet MS"/>
      <w:i w:val="0"/>
      <w:color w:val="595959" w:themeColor="text1" w:themeTint="A6"/>
      <w:sz w:val="18"/>
      <w:vertAlign w:val="superscript"/>
    </w:rPr>
  </w:style>
  <w:style w:type="paragraph" w:styleId="Subtitle">
    <w:name w:val="Subtitle"/>
    <w:basedOn w:val="Normal"/>
    <w:next w:val="Normal"/>
    <w:link w:val="SubtitleChar"/>
    <w:uiPriority w:val="11"/>
    <w:qFormat/>
    <w:rsid w:val="00677A36"/>
    <w:pPr>
      <w:numPr>
        <w:ilvl w:val="1"/>
      </w:numPr>
    </w:pPr>
    <w:rPr>
      <w:rFonts w:eastAsiaTheme="majorEastAsia" w:cstheme="majorBidi"/>
      <w:i/>
      <w:iCs/>
      <w:spacing w:val="15"/>
      <w:szCs w:val="24"/>
    </w:rPr>
  </w:style>
  <w:style w:type="character" w:customStyle="1" w:styleId="SubtitleChar">
    <w:name w:val="Subtitle Char"/>
    <w:link w:val="Subtitle"/>
    <w:uiPriority w:val="11"/>
    <w:rsid w:val="00677A36"/>
    <w:rPr>
      <w:rFonts w:eastAsiaTheme="majorEastAsia" w:cstheme="majorBidi"/>
      <w:i/>
      <w:iCs/>
      <w:spacing w:val="15"/>
      <w:szCs w:val="24"/>
    </w:rPr>
  </w:style>
  <w:style w:type="character" w:styleId="Hyperlink">
    <w:name w:val="Hyperlink"/>
    <w:uiPriority w:val="99"/>
    <w:rsid w:val="006E4003"/>
    <w:rPr>
      <w:rFonts w:ascii="Trebuchet MS" w:hAnsi="Trebuchet MS"/>
      <w:color w:val="0000FF"/>
      <w:sz w:val="22"/>
      <w:u w:val="single"/>
    </w:rPr>
  </w:style>
  <w:style w:type="character" w:styleId="Strong">
    <w:name w:val="Strong"/>
    <w:uiPriority w:val="22"/>
    <w:qFormat/>
    <w:rsid w:val="00677A36"/>
    <w:rPr>
      <w:rFonts w:ascii="Trebuchet MS" w:hAnsi="Trebuchet MS"/>
      <w:b/>
      <w:bCs/>
      <w:sz w:val="22"/>
    </w:rPr>
  </w:style>
  <w:style w:type="character" w:styleId="Emphasis">
    <w:name w:val="Emphasis"/>
    <w:uiPriority w:val="20"/>
    <w:qFormat/>
    <w:rsid w:val="00677A36"/>
    <w:rPr>
      <w:rFonts w:ascii="Trebuchet MS" w:hAnsi="Trebuchet MS"/>
      <w:i/>
      <w:iCs/>
      <w:sz w:val="22"/>
    </w:rPr>
  </w:style>
  <w:style w:type="table" w:styleId="TableGrid">
    <w:name w:val="Table Grid"/>
    <w:basedOn w:val="TableNormal"/>
    <w:uiPriority w:val="59"/>
    <w:rsid w:val="006E4003"/>
    <w:pPr>
      <w:spacing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List">
    <w:name w:val="Numbered List"/>
    <w:basedOn w:val="ListNumber3"/>
    <w:link w:val="NumberedListChar"/>
    <w:rsid w:val="00373B0D"/>
    <w:pPr>
      <w:numPr>
        <w:numId w:val="8"/>
      </w:numPr>
    </w:pPr>
  </w:style>
  <w:style w:type="paragraph" w:styleId="ListParagraph">
    <w:name w:val="List Paragraph"/>
    <w:basedOn w:val="Normal"/>
    <w:uiPriority w:val="17"/>
    <w:qFormat/>
    <w:rsid w:val="00677A36"/>
    <w:pPr>
      <w:ind w:left="720"/>
      <w:contextualSpacing/>
    </w:pPr>
  </w:style>
  <w:style w:type="paragraph" w:styleId="Quote">
    <w:name w:val="Quote"/>
    <w:basedOn w:val="Normal"/>
    <w:next w:val="Normal"/>
    <w:link w:val="QuoteChar"/>
    <w:uiPriority w:val="29"/>
    <w:qFormat/>
    <w:rsid w:val="00677A36"/>
    <w:rPr>
      <w:i/>
      <w:iCs/>
      <w:color w:val="000000"/>
    </w:rPr>
  </w:style>
  <w:style w:type="character" w:customStyle="1" w:styleId="QuoteChar">
    <w:name w:val="Quote Char"/>
    <w:link w:val="Quote"/>
    <w:uiPriority w:val="29"/>
    <w:rsid w:val="00677A36"/>
    <w:rPr>
      <w:i/>
      <w:iCs/>
      <w:color w:val="000000"/>
    </w:rPr>
  </w:style>
  <w:style w:type="paragraph" w:styleId="TOAHeading">
    <w:name w:val="toa heading"/>
    <w:basedOn w:val="Normal"/>
    <w:next w:val="Normal"/>
    <w:uiPriority w:val="99"/>
    <w:semiHidden/>
    <w:unhideWhenUsed/>
    <w:rsid w:val="002F5035"/>
    <w:pPr>
      <w:spacing w:before="120"/>
    </w:pPr>
    <w:rPr>
      <w:rFonts w:eastAsiaTheme="majorEastAsia" w:cstheme="majorBidi"/>
      <w:b/>
      <w:bCs/>
      <w:sz w:val="28"/>
      <w:szCs w:val="24"/>
    </w:rPr>
  </w:style>
  <w:style w:type="character" w:styleId="IntenseEmphasis">
    <w:name w:val="Intense Emphasis"/>
    <w:uiPriority w:val="21"/>
    <w:qFormat/>
    <w:rsid w:val="00677A36"/>
    <w:rPr>
      <w:rFonts w:ascii="Trebuchet MS" w:hAnsi="Trebuchet MS"/>
      <w:b/>
      <w:bCs/>
      <w:i/>
      <w:iCs/>
      <w:color w:val="000000" w:themeColor="text1"/>
      <w:sz w:val="22"/>
    </w:rPr>
  </w:style>
  <w:style w:type="paragraph" w:styleId="ListBullet">
    <w:name w:val="List Bullet"/>
    <w:basedOn w:val="List"/>
    <w:uiPriority w:val="99"/>
    <w:unhideWhenUsed/>
    <w:qFormat/>
    <w:rsid w:val="00677A36"/>
    <w:pPr>
      <w:numPr>
        <w:numId w:val="9"/>
      </w:numPr>
      <w:contextualSpacing w:val="0"/>
    </w:pPr>
  </w:style>
  <w:style w:type="paragraph" w:styleId="ListNumber2">
    <w:name w:val="List Number 2"/>
    <w:basedOn w:val="Normal"/>
    <w:uiPriority w:val="99"/>
    <w:unhideWhenUsed/>
    <w:rsid w:val="0026542C"/>
    <w:pPr>
      <w:numPr>
        <w:numId w:val="3"/>
      </w:numPr>
      <w:contextualSpacing/>
    </w:pPr>
  </w:style>
  <w:style w:type="paragraph" w:styleId="ListNumber3">
    <w:name w:val="List Number 3"/>
    <w:basedOn w:val="Normal"/>
    <w:link w:val="ListNumber3Char"/>
    <w:uiPriority w:val="99"/>
    <w:unhideWhenUsed/>
    <w:rsid w:val="0026542C"/>
    <w:pPr>
      <w:numPr>
        <w:numId w:val="4"/>
      </w:numPr>
      <w:contextualSpacing/>
    </w:pPr>
  </w:style>
  <w:style w:type="paragraph" w:styleId="ListNumber4">
    <w:name w:val="List Number 4"/>
    <w:basedOn w:val="Normal"/>
    <w:uiPriority w:val="99"/>
    <w:semiHidden/>
    <w:unhideWhenUsed/>
    <w:rsid w:val="0026542C"/>
    <w:pPr>
      <w:numPr>
        <w:numId w:val="5"/>
      </w:numPr>
      <w:contextualSpacing/>
    </w:pPr>
  </w:style>
  <w:style w:type="paragraph" w:styleId="ListNumber5">
    <w:name w:val="List Number 5"/>
    <w:basedOn w:val="Normal"/>
    <w:uiPriority w:val="99"/>
    <w:semiHidden/>
    <w:unhideWhenUsed/>
    <w:rsid w:val="0026542C"/>
    <w:pPr>
      <w:numPr>
        <w:numId w:val="6"/>
      </w:numPr>
      <w:contextualSpacing/>
    </w:pPr>
  </w:style>
  <w:style w:type="paragraph" w:styleId="ListNumber">
    <w:name w:val="List Number"/>
    <w:basedOn w:val="Normal"/>
    <w:uiPriority w:val="99"/>
    <w:unhideWhenUsed/>
    <w:rsid w:val="0026542C"/>
    <w:pPr>
      <w:numPr>
        <w:numId w:val="2"/>
      </w:numPr>
      <w:contextualSpacing/>
    </w:pPr>
  </w:style>
  <w:style w:type="paragraph" w:styleId="List">
    <w:name w:val="List"/>
    <w:basedOn w:val="Normal"/>
    <w:uiPriority w:val="99"/>
    <w:unhideWhenUsed/>
    <w:rsid w:val="006C1429"/>
    <w:pPr>
      <w:ind w:left="283" w:hanging="283"/>
      <w:contextualSpacing/>
    </w:pPr>
  </w:style>
  <w:style w:type="paragraph" w:styleId="List2">
    <w:name w:val="List 2"/>
    <w:basedOn w:val="Normal"/>
    <w:uiPriority w:val="99"/>
    <w:unhideWhenUsed/>
    <w:rsid w:val="006C1429"/>
    <w:pPr>
      <w:ind w:left="566" w:hanging="283"/>
      <w:contextualSpacing/>
    </w:pPr>
  </w:style>
  <w:style w:type="paragraph" w:styleId="List3">
    <w:name w:val="List 3"/>
    <w:basedOn w:val="Normal"/>
    <w:uiPriority w:val="99"/>
    <w:unhideWhenUsed/>
    <w:rsid w:val="006C1429"/>
    <w:pPr>
      <w:ind w:left="849" w:hanging="283"/>
      <w:contextualSpacing/>
    </w:pPr>
  </w:style>
  <w:style w:type="paragraph" w:styleId="List4">
    <w:name w:val="List 4"/>
    <w:basedOn w:val="Normal"/>
    <w:uiPriority w:val="99"/>
    <w:unhideWhenUsed/>
    <w:rsid w:val="006C1429"/>
    <w:pPr>
      <w:ind w:left="1132" w:hanging="283"/>
      <w:contextualSpacing/>
    </w:pPr>
  </w:style>
  <w:style w:type="numbering" w:styleId="111111">
    <w:name w:val="Outline List 2"/>
    <w:basedOn w:val="NoList"/>
    <w:uiPriority w:val="99"/>
    <w:semiHidden/>
    <w:unhideWhenUsed/>
    <w:rsid w:val="006A5169"/>
    <w:pPr>
      <w:numPr>
        <w:numId w:val="7"/>
      </w:numPr>
    </w:pPr>
  </w:style>
  <w:style w:type="character" w:customStyle="1" w:styleId="ListNumber3Char">
    <w:name w:val="List Number 3 Char"/>
    <w:basedOn w:val="DefaultParagraphFont"/>
    <w:link w:val="ListNumber3"/>
    <w:uiPriority w:val="99"/>
    <w:rsid w:val="00373B0D"/>
    <w:rPr>
      <w:rFonts w:asciiTheme="minorHAnsi" w:eastAsiaTheme="minorEastAsia" w:hAnsiTheme="minorHAnsi" w:cstheme="minorBidi"/>
      <w:lang w:eastAsia="en-AU"/>
    </w:rPr>
  </w:style>
  <w:style w:type="character" w:customStyle="1" w:styleId="NumberedListChar">
    <w:name w:val="Numbered List Char"/>
    <w:basedOn w:val="ListNumber3Char"/>
    <w:link w:val="NumberedList"/>
    <w:rsid w:val="00373B0D"/>
    <w:rPr>
      <w:rFonts w:asciiTheme="minorHAnsi" w:eastAsiaTheme="minorEastAsia" w:hAnsiTheme="minorHAnsi" w:cstheme="minorBidi"/>
      <w:lang w:eastAsia="en-AU"/>
    </w:rPr>
  </w:style>
  <w:style w:type="paragraph" w:styleId="BodyText">
    <w:name w:val="Body Text"/>
    <w:basedOn w:val="Normal"/>
    <w:link w:val="BodyTextChar"/>
    <w:uiPriority w:val="99"/>
    <w:semiHidden/>
    <w:unhideWhenUsed/>
    <w:rsid w:val="002F5035"/>
  </w:style>
  <w:style w:type="character" w:customStyle="1" w:styleId="BodyTextChar">
    <w:name w:val="Body Text Char"/>
    <w:basedOn w:val="DefaultParagraphFont"/>
    <w:link w:val="BodyText"/>
    <w:uiPriority w:val="99"/>
    <w:semiHidden/>
    <w:rsid w:val="002F5035"/>
  </w:style>
  <w:style w:type="character" w:customStyle="1" w:styleId="Heading8Char">
    <w:name w:val="Heading 8 Char"/>
    <w:basedOn w:val="DefaultParagraphFont"/>
    <w:link w:val="Heading8"/>
    <w:uiPriority w:val="9"/>
    <w:semiHidden/>
    <w:rsid w:val="00677A36"/>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677A36"/>
    <w:rPr>
      <w:rFonts w:asciiTheme="majorHAnsi" w:eastAsiaTheme="majorEastAsia" w:hAnsiTheme="majorHAnsi" w:cstheme="majorBidi"/>
      <w:i/>
      <w:iCs/>
      <w:color w:val="404040" w:themeColor="text1" w:themeTint="BF"/>
      <w:sz w:val="20"/>
      <w:szCs w:val="20"/>
    </w:rPr>
  </w:style>
  <w:style w:type="paragraph" w:styleId="TOCHeading">
    <w:name w:val="TOC Heading"/>
    <w:basedOn w:val="Heading1"/>
    <w:next w:val="Normal"/>
    <w:uiPriority w:val="39"/>
    <w:unhideWhenUsed/>
    <w:qFormat/>
    <w:rsid w:val="00677A36"/>
    <w:pPr>
      <w:spacing w:after="0"/>
      <w:outlineLvl w:val="9"/>
    </w:pPr>
    <w:rPr>
      <w:rFonts w:asciiTheme="majorHAnsi" w:hAnsiTheme="majorHAnsi"/>
      <w:kern w:val="0"/>
      <w:sz w:val="36"/>
      <w:szCs w:val="28"/>
    </w:rPr>
  </w:style>
  <w:style w:type="paragraph" w:customStyle="1" w:styleId="TableColumnHeading">
    <w:name w:val="Table Column Heading"/>
    <w:basedOn w:val="Normal"/>
    <w:rsid w:val="00677A36"/>
    <w:pPr>
      <w:widowControl w:val="0"/>
      <w:spacing w:before="120" w:line="240" w:lineRule="auto"/>
    </w:pPr>
    <w:rPr>
      <w:rFonts w:eastAsia="Times" w:cstheme="majorBidi"/>
      <w:b/>
      <w:iCs/>
      <w:color w:val="000000" w:themeColor="text1"/>
      <w:szCs w:val="20"/>
    </w:rPr>
  </w:style>
  <w:style w:type="paragraph" w:customStyle="1" w:styleId="TableColumnSub-Heading">
    <w:name w:val="Table Column Sub-Heading"/>
    <w:basedOn w:val="Normal"/>
    <w:rsid w:val="00677A36"/>
    <w:pPr>
      <w:keepNext/>
      <w:widowControl w:val="0"/>
      <w:spacing w:before="60" w:after="60" w:line="240" w:lineRule="auto"/>
    </w:pPr>
    <w:rPr>
      <w:b/>
      <w:sz w:val="20"/>
    </w:rPr>
  </w:style>
  <w:style w:type="paragraph" w:customStyle="1" w:styleId="TableRowHeading">
    <w:name w:val="Table Row Heading"/>
    <w:basedOn w:val="Normal"/>
    <w:rsid w:val="00677A36"/>
    <w:pPr>
      <w:keepNext/>
      <w:widowControl w:val="0"/>
      <w:spacing w:before="120" w:line="240" w:lineRule="auto"/>
    </w:pPr>
    <w:rPr>
      <w:b/>
      <w:i/>
      <w:sz w:val="20"/>
    </w:rPr>
  </w:style>
  <w:style w:type="table" w:customStyle="1" w:styleId="APRAWorkingPaperTable">
    <w:name w:val="APRA Working Paper Table"/>
    <w:basedOn w:val="TableNormal"/>
    <w:uiPriority w:val="99"/>
    <w:rsid w:val="00677A36"/>
    <w:pPr>
      <w:spacing w:after="0" w:line="240" w:lineRule="auto"/>
    </w:pPr>
    <w:rPr>
      <w:sz w:val="20"/>
      <w:lang w:eastAsia="en-AU"/>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wordWrap/>
        <w:spacing w:beforeLines="0" w:before="0" w:beforeAutospacing="0" w:afterLines="0" w:after="0" w:afterAutospacing="0" w:line="240" w:lineRule="auto"/>
        <w:ind w:leftChars="0" w:left="0" w:rightChars="0" w:right="0" w:firstLineChars="0" w:firstLine="0"/>
        <w:jc w:val="left"/>
        <w:outlineLvl w:val="3"/>
      </w:pPr>
      <w:rPr>
        <w:rFonts w:ascii="Yu Gothic UI Light" w:hAnsi="Yu Gothic UI Light"/>
        <w:b w:val="0"/>
        <w:i w:val="0"/>
        <w:sz w:val="22"/>
      </w:rPr>
      <w:tblPr/>
      <w:tcPr>
        <w:shd w:val="clear" w:color="auto" w:fill="FBD4B4" w:themeFill="accent6" w:themeFillTint="66"/>
        <w:vAlign w:val="center"/>
      </w:tcPr>
    </w:tblStylePr>
    <w:tblStylePr w:type="band1Vert">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paragraph" w:styleId="BalloonText">
    <w:name w:val="Balloon Text"/>
    <w:basedOn w:val="Normal"/>
    <w:link w:val="BalloonTextChar"/>
    <w:uiPriority w:val="99"/>
    <w:semiHidden/>
    <w:unhideWhenUsed/>
    <w:rsid w:val="000F20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20CF"/>
    <w:rPr>
      <w:rFonts w:ascii="Tahoma" w:hAnsi="Tahoma" w:cs="Tahoma"/>
      <w:sz w:val="16"/>
      <w:szCs w:val="16"/>
    </w:rPr>
  </w:style>
  <w:style w:type="character" w:styleId="FollowedHyperlink">
    <w:name w:val="FollowedHyperlink"/>
    <w:basedOn w:val="DefaultParagraphFont"/>
    <w:uiPriority w:val="99"/>
    <w:semiHidden/>
    <w:unhideWhenUsed/>
    <w:rsid w:val="000C170D"/>
    <w:rPr>
      <w:color w:val="800080" w:themeColor="followedHyperlink"/>
      <w:u w:val="single"/>
    </w:rPr>
  </w:style>
  <w:style w:type="paragraph" w:styleId="Title">
    <w:name w:val="Title"/>
    <w:basedOn w:val="Normal"/>
    <w:next w:val="Normal"/>
    <w:link w:val="TitleChar"/>
    <w:uiPriority w:val="10"/>
    <w:qFormat/>
    <w:rsid w:val="00DC7EF3"/>
    <w:pPr>
      <w:pBdr>
        <w:bottom w:val="single" w:sz="8" w:space="4" w:color="4F81BD" w:themeColor="accent1"/>
      </w:pBdr>
      <w:spacing w:after="300" w:line="240" w:lineRule="auto"/>
      <w:contextualSpacing/>
    </w:pPr>
    <w:rPr>
      <w:rFonts w:eastAsiaTheme="majorEastAsia"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C7EF3"/>
    <w:rPr>
      <w:rFonts w:eastAsiaTheme="majorEastAsia" w:cstheme="majorBidi"/>
      <w:color w:val="17365D" w:themeColor="text2" w:themeShade="BF"/>
      <w:spacing w:val="5"/>
      <w:kern w:val="28"/>
      <w:sz w:val="52"/>
      <w:szCs w:val="52"/>
    </w:rPr>
  </w:style>
  <w:style w:type="character" w:styleId="SubtleEmphasis">
    <w:name w:val="Subtle Emphasis"/>
    <w:basedOn w:val="DefaultParagraphFont"/>
    <w:uiPriority w:val="19"/>
    <w:qFormat/>
    <w:rsid w:val="00DC7EF3"/>
    <w:rPr>
      <w:i/>
      <w:iCs/>
      <w:color w:val="808080" w:themeColor="text1" w:themeTint="7F"/>
    </w:rPr>
  </w:style>
  <w:style w:type="character" w:styleId="PlaceholderText">
    <w:name w:val="Placeholder Text"/>
    <w:basedOn w:val="DefaultParagraphFont"/>
    <w:uiPriority w:val="99"/>
    <w:semiHidden/>
    <w:rsid w:val="0043440F"/>
    <w:rPr>
      <w:color w:val="808080"/>
    </w:rPr>
  </w:style>
  <w:style w:type="paragraph" w:styleId="CommentText">
    <w:name w:val="annotation text"/>
    <w:basedOn w:val="Normal"/>
    <w:link w:val="CommentTextChar"/>
    <w:uiPriority w:val="99"/>
    <w:unhideWhenUsed/>
    <w:rsid w:val="00197A23"/>
    <w:pPr>
      <w:spacing w:line="240" w:lineRule="auto"/>
    </w:pPr>
    <w:rPr>
      <w:sz w:val="20"/>
      <w:szCs w:val="20"/>
    </w:rPr>
  </w:style>
  <w:style w:type="character" w:customStyle="1" w:styleId="CommentTextChar">
    <w:name w:val="Comment Text Char"/>
    <w:basedOn w:val="DefaultParagraphFont"/>
    <w:link w:val="CommentText"/>
    <w:uiPriority w:val="99"/>
    <w:rsid w:val="00197A23"/>
    <w:rPr>
      <w:rFonts w:asciiTheme="minorHAnsi" w:eastAsiaTheme="minorEastAsia" w:hAnsiTheme="minorHAnsi" w:cstheme="minorBidi"/>
      <w:sz w:val="20"/>
      <w:szCs w:val="20"/>
      <w:lang w:eastAsia="en-AU"/>
    </w:rPr>
  </w:style>
  <w:style w:type="paragraph" w:customStyle="1" w:styleId="Default">
    <w:name w:val="Default"/>
    <w:rsid w:val="00197A23"/>
    <w:pPr>
      <w:autoSpaceDE w:val="0"/>
      <w:autoSpaceDN w:val="0"/>
      <w:adjustRightInd w:val="0"/>
      <w:spacing w:after="0" w:line="240" w:lineRule="auto"/>
    </w:pPr>
    <w:rPr>
      <w:rFonts w:ascii="Times New Roman" w:hAnsi="Times New Roman"/>
      <w:color w:val="000000"/>
      <w:sz w:val="24"/>
      <w:szCs w:val="24"/>
    </w:rPr>
  </w:style>
  <w:style w:type="character" w:styleId="CommentReference">
    <w:name w:val="annotation reference"/>
    <w:basedOn w:val="DefaultParagraphFont"/>
    <w:uiPriority w:val="99"/>
    <w:semiHidden/>
    <w:unhideWhenUsed/>
    <w:rsid w:val="00197A23"/>
    <w:rPr>
      <w:sz w:val="16"/>
      <w:szCs w:val="16"/>
    </w:rPr>
  </w:style>
  <w:style w:type="paragraph" w:styleId="CommentSubject">
    <w:name w:val="annotation subject"/>
    <w:basedOn w:val="CommentText"/>
    <w:next w:val="CommentText"/>
    <w:link w:val="CommentSubjectChar"/>
    <w:uiPriority w:val="99"/>
    <w:semiHidden/>
    <w:unhideWhenUsed/>
    <w:rsid w:val="00187A6C"/>
    <w:rPr>
      <w:b/>
      <w:bCs/>
    </w:rPr>
  </w:style>
  <w:style w:type="character" w:customStyle="1" w:styleId="CommentSubjectChar">
    <w:name w:val="Comment Subject Char"/>
    <w:basedOn w:val="CommentTextChar"/>
    <w:link w:val="CommentSubject"/>
    <w:uiPriority w:val="99"/>
    <w:semiHidden/>
    <w:rsid w:val="00187A6C"/>
    <w:rPr>
      <w:rFonts w:asciiTheme="minorHAnsi" w:eastAsiaTheme="minorEastAsia" w:hAnsiTheme="minorHAnsi" w:cstheme="minorBidi"/>
      <w:b/>
      <w:bCs/>
      <w:sz w:val="20"/>
      <w:szCs w:val="20"/>
      <w:lang w:eastAsia="en-AU"/>
    </w:rPr>
  </w:style>
  <w:style w:type="character" w:customStyle="1" w:styleId="file3">
    <w:name w:val="file3"/>
    <w:basedOn w:val="DefaultParagraphFont"/>
    <w:rsid w:val="00F21D11"/>
    <w:rPr>
      <w:vanish w:val="0"/>
      <w:webHidden w:val="0"/>
      <w:specVanish w:val="0"/>
    </w:rPr>
  </w:style>
  <w:style w:type="paragraph" w:customStyle="1" w:styleId="APRANORMAL">
    <w:name w:val="APRA NORMAL"/>
    <w:basedOn w:val="Normal"/>
    <w:link w:val="APRANORMALChar"/>
    <w:qFormat/>
    <w:rsid w:val="00186C8C"/>
    <w:pPr>
      <w:spacing w:after="240" w:line="240" w:lineRule="auto"/>
    </w:pPr>
    <w:rPr>
      <w:rFonts w:ascii="DIN OT Light" w:eastAsiaTheme="minorHAnsi" w:hAnsi="DIN OT Light" w:cs="Times New Roman"/>
      <w:lang w:val="en-GB" w:eastAsia="en-US"/>
    </w:rPr>
  </w:style>
  <w:style w:type="character" w:customStyle="1" w:styleId="APRANORMALChar">
    <w:name w:val="APRA NORMAL Char"/>
    <w:basedOn w:val="DefaultParagraphFont"/>
    <w:link w:val="APRANORMAL"/>
    <w:rsid w:val="00186C8C"/>
    <w:rPr>
      <w:rFonts w:ascii="DIN OT Light" w:hAnsi="DIN OT Light"/>
      <w:lang w:val="en-GB"/>
    </w:rPr>
  </w:style>
  <w:style w:type="table" w:customStyle="1" w:styleId="TableGrid1">
    <w:name w:val="Table Grid1"/>
    <w:basedOn w:val="TableNormal"/>
    <w:next w:val="TableGrid"/>
    <w:uiPriority w:val="59"/>
    <w:rsid w:val="00B7328D"/>
    <w:pPr>
      <w:spacing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B7328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Heading">
    <w:name w:val="Heading"/>
    <w:basedOn w:val="Normal"/>
    <w:rsid w:val="00976332"/>
    <w:pPr>
      <w:spacing w:after="0" w:line="240" w:lineRule="auto"/>
      <w:jc w:val="both"/>
    </w:pPr>
    <w:rPr>
      <w:rFonts w:ascii="Trebuchet MS" w:eastAsia="Times New Roman" w:hAnsi="Trebuchet MS" w:cs="Times New Roman"/>
      <w:b/>
      <w:sz w:val="26"/>
    </w:rPr>
  </w:style>
  <w:style w:type="character" w:styleId="UnresolvedMention">
    <w:name w:val="Unresolved Mention"/>
    <w:basedOn w:val="DefaultParagraphFont"/>
    <w:uiPriority w:val="99"/>
    <w:semiHidden/>
    <w:unhideWhenUsed/>
    <w:rsid w:val="00CE6CEC"/>
    <w:rPr>
      <w:color w:val="605E5C"/>
      <w:shd w:val="clear" w:color="auto" w:fill="E1DFDD"/>
    </w:rPr>
  </w:style>
  <w:style w:type="paragraph" w:styleId="Revision">
    <w:name w:val="Revision"/>
    <w:hidden/>
    <w:uiPriority w:val="99"/>
    <w:semiHidden/>
    <w:rsid w:val="003532E3"/>
    <w:pPr>
      <w:spacing w:after="0" w:line="240" w:lineRule="auto"/>
    </w:pPr>
    <w:rPr>
      <w:rFonts w:asciiTheme="minorHAnsi" w:eastAsiaTheme="minorEastAsia" w:hAnsiTheme="minorHAnsi" w:cstheme="minorBidi"/>
      <w:lang w:eastAsia="en-AU"/>
    </w:rPr>
  </w:style>
  <w:style w:type="paragraph" w:styleId="NormalWeb">
    <w:name w:val="Normal (Web)"/>
    <w:basedOn w:val="Normal"/>
    <w:uiPriority w:val="99"/>
    <w:unhideWhenUsed/>
    <w:rsid w:val="00483178"/>
    <w:pPr>
      <w:spacing w:before="100" w:beforeAutospacing="1" w:after="100" w:afterAutospacing="1" w:line="240" w:lineRule="auto"/>
    </w:pPr>
    <w:rPr>
      <w:rFonts w:ascii="Times New Roman" w:eastAsia="Times New Roman" w:hAnsi="Times New Roman" w:cs="Times New Roman"/>
      <w:sz w:val="24"/>
      <w:szCs w:val="24"/>
    </w:rPr>
  </w:style>
  <w:style w:type="numbering" w:styleId="1ai">
    <w:name w:val="Outline List 1"/>
    <w:basedOn w:val="NoList"/>
    <w:uiPriority w:val="99"/>
    <w:semiHidden/>
    <w:unhideWhenUsed/>
    <w:rsid w:val="00483178"/>
    <w:pPr>
      <w:numPr>
        <w:numId w:val="33"/>
      </w:numPr>
    </w:pPr>
  </w:style>
  <w:style w:type="character" w:styleId="Mention">
    <w:name w:val="Mention"/>
    <w:basedOn w:val="DefaultParagraphFont"/>
    <w:uiPriority w:val="99"/>
    <w:unhideWhenUsed/>
    <w:rsid w:val="00483178"/>
    <w:rPr>
      <w:color w:val="2B579A"/>
      <w:shd w:val="clear" w:color="auto" w:fill="E1DFDD"/>
    </w:rPr>
  </w:style>
  <w:style w:type="numbering" w:customStyle="1" w:styleId="1ai1">
    <w:name w:val="1 / a / i1"/>
    <w:basedOn w:val="NoList"/>
    <w:next w:val="1ai"/>
    <w:uiPriority w:val="99"/>
    <w:semiHidden/>
    <w:unhideWhenUsed/>
    <w:rsid w:val="005F6A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14966">
      <w:bodyDiv w:val="1"/>
      <w:marLeft w:val="0"/>
      <w:marRight w:val="0"/>
      <w:marTop w:val="0"/>
      <w:marBottom w:val="0"/>
      <w:divBdr>
        <w:top w:val="none" w:sz="0" w:space="0" w:color="auto"/>
        <w:left w:val="none" w:sz="0" w:space="0" w:color="auto"/>
        <w:bottom w:val="none" w:sz="0" w:space="0" w:color="auto"/>
        <w:right w:val="none" w:sz="0" w:space="0" w:color="auto"/>
      </w:divBdr>
    </w:div>
    <w:div w:id="322974072">
      <w:bodyDiv w:val="1"/>
      <w:marLeft w:val="0"/>
      <w:marRight w:val="0"/>
      <w:marTop w:val="0"/>
      <w:marBottom w:val="0"/>
      <w:divBdr>
        <w:top w:val="none" w:sz="0" w:space="0" w:color="auto"/>
        <w:left w:val="none" w:sz="0" w:space="0" w:color="auto"/>
        <w:bottom w:val="none" w:sz="0" w:space="0" w:color="auto"/>
        <w:right w:val="none" w:sz="0" w:space="0" w:color="auto"/>
      </w:divBdr>
    </w:div>
    <w:div w:id="531191637">
      <w:bodyDiv w:val="1"/>
      <w:marLeft w:val="0"/>
      <w:marRight w:val="0"/>
      <w:marTop w:val="0"/>
      <w:marBottom w:val="0"/>
      <w:divBdr>
        <w:top w:val="none" w:sz="0" w:space="0" w:color="auto"/>
        <w:left w:val="none" w:sz="0" w:space="0" w:color="auto"/>
        <w:bottom w:val="none" w:sz="0" w:space="0" w:color="auto"/>
        <w:right w:val="none" w:sz="0" w:space="0" w:color="auto"/>
      </w:divBdr>
    </w:div>
    <w:div w:id="584613491">
      <w:bodyDiv w:val="1"/>
      <w:marLeft w:val="0"/>
      <w:marRight w:val="0"/>
      <w:marTop w:val="0"/>
      <w:marBottom w:val="0"/>
      <w:divBdr>
        <w:top w:val="none" w:sz="0" w:space="0" w:color="auto"/>
        <w:left w:val="none" w:sz="0" w:space="0" w:color="auto"/>
        <w:bottom w:val="none" w:sz="0" w:space="0" w:color="auto"/>
        <w:right w:val="none" w:sz="0" w:space="0" w:color="auto"/>
      </w:divBdr>
    </w:div>
    <w:div w:id="618730242">
      <w:bodyDiv w:val="1"/>
      <w:marLeft w:val="0"/>
      <w:marRight w:val="0"/>
      <w:marTop w:val="0"/>
      <w:marBottom w:val="0"/>
      <w:divBdr>
        <w:top w:val="none" w:sz="0" w:space="0" w:color="auto"/>
        <w:left w:val="none" w:sz="0" w:space="0" w:color="auto"/>
        <w:bottom w:val="none" w:sz="0" w:space="0" w:color="auto"/>
        <w:right w:val="none" w:sz="0" w:space="0" w:color="auto"/>
      </w:divBdr>
    </w:div>
    <w:div w:id="702285914">
      <w:bodyDiv w:val="1"/>
      <w:marLeft w:val="0"/>
      <w:marRight w:val="0"/>
      <w:marTop w:val="0"/>
      <w:marBottom w:val="0"/>
      <w:divBdr>
        <w:top w:val="none" w:sz="0" w:space="0" w:color="auto"/>
        <w:left w:val="none" w:sz="0" w:space="0" w:color="auto"/>
        <w:bottom w:val="none" w:sz="0" w:space="0" w:color="auto"/>
        <w:right w:val="none" w:sz="0" w:space="0" w:color="auto"/>
      </w:divBdr>
    </w:div>
    <w:div w:id="951935146">
      <w:bodyDiv w:val="1"/>
      <w:marLeft w:val="0"/>
      <w:marRight w:val="0"/>
      <w:marTop w:val="0"/>
      <w:marBottom w:val="0"/>
      <w:divBdr>
        <w:top w:val="none" w:sz="0" w:space="0" w:color="auto"/>
        <w:left w:val="none" w:sz="0" w:space="0" w:color="auto"/>
        <w:bottom w:val="none" w:sz="0" w:space="0" w:color="auto"/>
        <w:right w:val="none" w:sz="0" w:space="0" w:color="auto"/>
      </w:divBdr>
    </w:div>
    <w:div w:id="2093618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apra.gov.au/news-and-publications/apra-strengthens-transparency-on-remuneration-and-bank-disclosures" TargetMode="External"/></Relationships>
</file>

<file path=word/theme/theme1.xml><?xml version="1.0" encoding="utf-8"?>
<a:theme xmlns:a="http://schemas.openxmlformats.org/drawingml/2006/main" name="APRA">
  <a:themeElements>
    <a:clrScheme name="APRA">
      <a:dk1>
        <a:sysClr val="windowText" lastClr="000000"/>
      </a:dk1>
      <a:lt1>
        <a:sysClr val="window" lastClr="FFFFFF"/>
      </a:lt1>
      <a:dk2>
        <a:srgbClr val="1F497D"/>
      </a:dk2>
      <a:lt2>
        <a:srgbClr val="FFFFFF"/>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PRA">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79530295-9eea-494d-b82a-9ff74409eafc">
      <UserInfo>
        <DisplayName>Eisha Farrukh</DisplayName>
        <AccountId>144</AccountId>
        <AccountType/>
      </UserInfo>
      <UserInfo>
        <DisplayName>Nicky Tran</DisplayName>
        <AccountId>184</AccountId>
        <AccountType/>
      </UserInfo>
      <UserInfo>
        <DisplayName>Gavin Maunder</DisplayName>
        <AccountId>20</AccountId>
        <AccountType/>
      </UserInfo>
      <UserInfo>
        <DisplayName>Jared Rapaport</DisplayName>
        <AccountId>164</AccountId>
        <AccountType/>
      </UserInfo>
      <UserInfo>
        <DisplayName>Chester Lee</DisplayName>
        <AccountId>154</AccountId>
        <AccountType/>
      </UserInfo>
      <UserInfo>
        <DisplayName>Katherine Eyre</DisplayName>
        <AccountId>372</AccountId>
        <AccountType/>
      </UserInfo>
      <UserInfo>
        <DisplayName>John Lonsdale</DisplayName>
        <AccountId>44</AccountId>
        <AccountType/>
      </UserInfo>
      <UserInfo>
        <DisplayName>Meredith Swain</DisplayName>
        <AccountId>437</AccountId>
        <AccountType/>
      </UserInfo>
      <UserInfo>
        <DisplayName>Gideon Holland</DisplayName>
        <AccountId>23</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5E831F15EEA47429C4A0837D916ED91" ma:contentTypeVersion="6" ma:contentTypeDescription="Create a new document." ma:contentTypeScope="" ma:versionID="b459cff694b6e48f43ce596885955411">
  <xsd:schema xmlns:xsd="http://www.w3.org/2001/XMLSchema" xmlns:xs="http://www.w3.org/2001/XMLSchema" xmlns:p="http://schemas.microsoft.com/office/2006/metadata/properties" xmlns:ns2="5664482d-1961-4d38-bfc2-b109b3418834" xmlns:ns3="79530295-9eea-494d-b82a-9ff74409eafc" targetNamespace="http://schemas.microsoft.com/office/2006/metadata/properties" ma:root="true" ma:fieldsID="af7d1e1e0ae66791b8b46845a97f5ff9" ns2:_="" ns3:_="">
    <xsd:import namespace="5664482d-1961-4d38-bfc2-b109b3418834"/>
    <xsd:import namespace="79530295-9eea-494d-b82a-9ff74409eaf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64482d-1961-4d38-bfc2-b109b34188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530295-9eea-494d-b82a-9ff74409eaf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754FC6-DBE0-4266-8CE5-4345E3CC2952}">
  <ds:schemaRefs>
    <ds:schemaRef ds:uri="http://schemas.microsoft.com/sharepoint/v3/contenttype/forms"/>
  </ds:schemaRefs>
</ds:datastoreItem>
</file>

<file path=customXml/itemProps2.xml><?xml version="1.0" encoding="utf-8"?>
<ds:datastoreItem xmlns:ds="http://schemas.openxmlformats.org/officeDocument/2006/customXml" ds:itemID="{01AA6352-3106-40B5-B7EF-36EB35FDFB23}">
  <ds:schemaRefs>
    <ds:schemaRef ds:uri="http://purl.org/dc/terms/"/>
    <ds:schemaRef ds:uri="http://schemas.microsoft.com/office/infopath/2007/PartnerControls"/>
    <ds:schemaRef ds:uri="http://schemas.microsoft.com/office/2006/documentManagement/types"/>
    <ds:schemaRef ds:uri="79530295-9eea-494d-b82a-9ff74409eafc"/>
    <ds:schemaRef ds:uri="http://purl.org/dc/elements/1.1/"/>
    <ds:schemaRef ds:uri="http://purl.org/dc/dcmitype/"/>
    <ds:schemaRef ds:uri="http://schemas.openxmlformats.org/package/2006/metadata/core-properties"/>
    <ds:schemaRef ds:uri="5664482d-1961-4d38-bfc2-b109b3418834"/>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DB3FD695-8268-4D36-91C6-D883BA02DF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64482d-1961-4d38-bfc2-b109b3418834"/>
    <ds:schemaRef ds:uri="79530295-9eea-494d-b82a-9ff74409ea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D004BE-0F74-4743-90AD-5A5BC1CB7B23}">
  <ds:schemaRefs>
    <ds:schemaRef ds:uri="http://schemas.microsoft.com/office/2006/customDocumentInformationPanel"/>
  </ds:schemaRefs>
</ds:datastoreItem>
</file>

<file path=customXml/itemProps5.xml><?xml version="1.0" encoding="utf-8"?>
<ds:datastoreItem xmlns:ds="http://schemas.openxmlformats.org/officeDocument/2006/customXml" ds:itemID="{DF6008C3-B8B3-4A11-8719-F5BAFE2A07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2764</Words>
  <Characters>16117</Characters>
  <Application>Microsoft Office Word</Application>
  <DocSecurity>0</DocSecurity>
  <Lines>264</Lines>
  <Paragraphs>128</Paragraphs>
  <ScaleCrop>false</ScaleCrop>
  <HeadingPairs>
    <vt:vector size="2" baseType="variant">
      <vt:variant>
        <vt:lpstr>Title</vt:lpstr>
      </vt:variant>
      <vt:variant>
        <vt:i4>1</vt:i4>
      </vt:variant>
    </vt:vector>
  </HeadingPairs>
  <TitlesOfParts>
    <vt:vector size="1" baseType="lpstr">
      <vt:lpstr>ES - Banking-Insurance-Life Insurance-Health Insurance and Superannuation (prudential standard) determination No. 1 of 2021</vt:lpstr>
    </vt:vector>
  </TitlesOfParts>
  <Company>APRA</Company>
  <LinksUpToDate>false</LinksUpToDate>
  <CharactersWithSpaces>18753</CharactersWithSpaces>
  <SharedDoc>false</SharedDoc>
  <HLinks>
    <vt:vector size="18" baseType="variant">
      <vt:variant>
        <vt:i4>786502</vt:i4>
      </vt:variant>
      <vt:variant>
        <vt:i4>0</vt:i4>
      </vt:variant>
      <vt:variant>
        <vt:i4>0</vt:i4>
      </vt:variant>
      <vt:variant>
        <vt:i4>5</vt:i4>
      </vt:variant>
      <vt:variant>
        <vt:lpwstr>https://www.apra.gov.au/news-and-publications/apra-strengthens-transparency-on-remuneration-and-bank-disclosures</vt:lpwstr>
      </vt:variant>
      <vt:variant>
        <vt:lpwstr/>
      </vt:variant>
      <vt:variant>
        <vt:i4>2228230</vt:i4>
      </vt:variant>
      <vt:variant>
        <vt:i4>3</vt:i4>
      </vt:variant>
      <vt:variant>
        <vt:i4>0</vt:i4>
      </vt:variant>
      <vt:variant>
        <vt:i4>5</vt:i4>
      </vt:variant>
      <vt:variant>
        <vt:lpwstr>mailto:Nicky.Tran@apra.gov.au</vt:lpwstr>
      </vt:variant>
      <vt:variant>
        <vt:lpwstr/>
      </vt:variant>
      <vt:variant>
        <vt:i4>2228230</vt:i4>
      </vt:variant>
      <vt:variant>
        <vt:i4>0</vt:i4>
      </vt:variant>
      <vt:variant>
        <vt:i4>0</vt:i4>
      </vt:variant>
      <vt:variant>
        <vt:i4>5</vt:i4>
      </vt:variant>
      <vt:variant>
        <vt:lpwstr>mailto:Nicky.Tran@apra.gov.au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 - Banking-Insurance-Life Insurance-Health Insurance and Superannuation (prudential standard) determination No. 1 of 2021</dc:title>
  <dc:subject/>
  <dc:creator>Riley, Paul</dc:creator>
  <cp:keywords>[SEC=OFFICIAL]</cp:keywords>
  <dc:description/>
  <cp:lastModifiedBy>Gavin Maunder</cp:lastModifiedBy>
  <cp:revision>2</cp:revision>
  <cp:lastPrinted>2019-12-12T17:05:00Z</cp:lastPrinted>
  <dcterms:created xsi:type="dcterms:W3CDTF">2023-09-28T01:12:00Z</dcterms:created>
  <dcterms:modified xsi:type="dcterms:W3CDTF">2023-09-28T01:12:00Z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SecurityClassification">
    <vt:lpwstr>OFFICIAL</vt:lpwstr>
  </property>
  <property fmtid="{D5CDD505-2E9C-101B-9397-08002B2CF9AE}" pid="3" name="PM_DisplayValueSecClassificationWithQualifier">
    <vt:lpwstr>OFFICIAL</vt:lpwstr>
  </property>
  <property fmtid="{D5CDD505-2E9C-101B-9397-08002B2CF9AE}" pid="4" name="PM_Qualifier">
    <vt:lpwstr/>
  </property>
  <property fmtid="{D5CDD505-2E9C-101B-9397-08002B2CF9AE}" pid="5" name="PM_InsertionValue">
    <vt:lpwstr>OFFICIAL</vt:lpwstr>
  </property>
  <property fmtid="{D5CDD505-2E9C-101B-9397-08002B2CF9AE}" pid="6" name="PM_Hash_Version">
    <vt:lpwstr>2022.1</vt:lpwstr>
  </property>
  <property fmtid="{D5CDD505-2E9C-101B-9397-08002B2CF9AE}" pid="7" name="PM_Caveats_Count">
    <vt:lpwstr>0</vt:lpwstr>
  </property>
  <property fmtid="{D5CDD505-2E9C-101B-9397-08002B2CF9AE}" pid="8" name="PM_SecurityClassification_Prev">
    <vt:lpwstr>OFFICIAL</vt:lpwstr>
  </property>
  <property fmtid="{D5CDD505-2E9C-101B-9397-08002B2CF9AE}" pid="9" name="PM_Qualifier_Prev">
    <vt:lpwstr/>
  </property>
  <property fmtid="{D5CDD505-2E9C-101B-9397-08002B2CF9AE}" pid="10" name="ContentTypeId">
    <vt:lpwstr>0x010100E5E831F15EEA47429C4A0837D916ED91</vt:lpwstr>
  </property>
  <property fmtid="{D5CDD505-2E9C-101B-9397-08002B2CF9AE}" pid="11" name="APRAPeriod">
    <vt:lpwstr/>
  </property>
  <property fmtid="{D5CDD505-2E9C-101B-9397-08002B2CF9AE}" pid="12" name="APRAPRSG">
    <vt:lpwstr/>
  </property>
  <property fmtid="{D5CDD505-2E9C-101B-9397-08002B2CF9AE}" pid="13" name="APRAActivity">
    <vt:lpwstr>10;#Registration|390476ce-d76d-4e8d-905f-28e32d2df127;#109;#Statutory instrument|fe68928c-5a9c-4caf-bc8c-6c18cedcb17f</vt:lpwstr>
  </property>
  <property fmtid="{D5CDD505-2E9C-101B-9397-08002B2CF9AE}" pid="14" name="APRAYear">
    <vt:lpwstr>230;#2021|0e1e43df-81ea-47af-89d8-970d5d5956ff</vt:lpwstr>
  </property>
  <property fmtid="{D5CDD505-2E9C-101B-9397-08002B2CF9AE}" pid="15" name="APRAIndustry">
    <vt:lpwstr/>
  </property>
  <property fmtid="{D5CDD505-2E9C-101B-9397-08002B2CF9AE}" pid="16" name="_dlc_DocIdItemGuid">
    <vt:lpwstr>21c98fc0-5b9e-4646-8305-1c39c7c4e045</vt:lpwstr>
  </property>
  <property fmtid="{D5CDD505-2E9C-101B-9397-08002B2CF9AE}" pid="17" name="RecordPoint_WorkflowType">
    <vt:lpwstr>ActiveSubmitStub</vt:lpwstr>
  </property>
  <property fmtid="{D5CDD505-2E9C-101B-9397-08002B2CF9AE}" pid="18" name="RecordPoint_ActiveItemWebId">
    <vt:lpwstr>{75a71c27-8d66-4282-ae60-1bfc22a83be1}</vt:lpwstr>
  </property>
  <property fmtid="{D5CDD505-2E9C-101B-9397-08002B2CF9AE}" pid="19" name="RecordPoint_ActiveItemSiteId">
    <vt:lpwstr>{88691c01-5bbb-4215-adc0-66cb7065b0af}</vt:lpwstr>
  </property>
  <property fmtid="{D5CDD505-2E9C-101B-9397-08002B2CF9AE}" pid="20" name="RecordPoint_ActiveItemListId">
    <vt:lpwstr>{0e59e171-09d8-4401-800a-327154450cb3}</vt:lpwstr>
  </property>
  <property fmtid="{D5CDD505-2E9C-101B-9397-08002B2CF9AE}" pid="21" name="RecordPoint_ActiveItemUniqueId">
    <vt:lpwstr>{21c98fc0-5b9e-4646-8305-1c39c7c4e045}</vt:lpwstr>
  </property>
  <property fmtid="{D5CDD505-2E9C-101B-9397-08002B2CF9AE}" pid="22" name="IsLocked">
    <vt:lpwstr>Yes</vt:lpwstr>
  </property>
  <property fmtid="{D5CDD505-2E9C-101B-9397-08002B2CF9AE}" pid="23" name="APRACostCentre">
    <vt:lpwstr>134;#Legal - Superannuation|cce3181d-fd23-4eee-94d3-c66abc2350cf;#26;#Legal - Insurance: General|8229dc1a-d7f2-47b2-844a-b026fed0c13d;#83;#Legal - Insurance: Life|56f18b50-6605-4f3f-97e3-cad1cb5394e0;#93;#Legal - Insurance: Health|21611e62-d688-4f0d-8807-02701cc43699;#4;#Legal - Resolution ＆ Corporate|696624b1-19f4-47b2-a07b-57868a922a96;#24;#Legal - ADI|652d8d2a-ab45-47b4-ac6e-fe6ac9299b39</vt:lpwstr>
  </property>
  <property fmtid="{D5CDD505-2E9C-101B-9397-08002B2CF9AE}" pid="24" name="IT system type">
    <vt:lpwstr/>
  </property>
  <property fmtid="{D5CDD505-2E9C-101B-9397-08002B2CF9AE}" pid="25" name="APRACategory">
    <vt:lpwstr/>
  </property>
  <property fmtid="{D5CDD505-2E9C-101B-9397-08002B2CF9AE}" pid="26" name="APRADocumentType">
    <vt:lpwstr>234;#Explanatory statement|b22f2e2f-3f73-411b-9a7c-34264d26fa25</vt:lpwstr>
  </property>
  <property fmtid="{D5CDD505-2E9C-101B-9397-08002B2CF9AE}" pid="27" name="APRAStatus">
    <vt:lpwstr>1;#Draft|0e1556d2-3fe8-443a-ada7-3620563b46b3</vt:lpwstr>
  </property>
  <property fmtid="{D5CDD505-2E9C-101B-9397-08002B2CF9AE}" pid="28" name="APRAEntityAdviceSupport">
    <vt:lpwstr/>
  </property>
  <property fmtid="{D5CDD505-2E9C-101B-9397-08002B2CF9AE}" pid="29" name="APRALegislation">
    <vt:lpwstr/>
  </property>
  <property fmtid="{D5CDD505-2E9C-101B-9397-08002B2CF9AE}" pid="30" name="APRAExternalOrganisation">
    <vt:lpwstr/>
  </property>
  <property fmtid="{D5CDD505-2E9C-101B-9397-08002B2CF9AE}" pid="31" name="APRAIRTR">
    <vt:lpwstr/>
  </property>
  <property fmtid="{D5CDD505-2E9C-101B-9397-08002B2CF9AE}" pid="32" name="RecordPoint_SubmissionDate">
    <vt:lpwstr/>
  </property>
  <property fmtid="{D5CDD505-2E9C-101B-9397-08002B2CF9AE}" pid="33" name="RecordPoint_ActiveItemMoved">
    <vt:lpwstr/>
  </property>
  <property fmtid="{D5CDD505-2E9C-101B-9397-08002B2CF9AE}" pid="34" name="RecordPoint_RecordFormat">
    <vt:lpwstr/>
  </property>
  <property fmtid="{D5CDD505-2E9C-101B-9397-08002B2CF9AE}" pid="35" name="_docset_NoMedatataSyncRequired">
    <vt:lpwstr>False</vt:lpwstr>
  </property>
  <property fmtid="{D5CDD505-2E9C-101B-9397-08002B2CF9AE}" pid="36" name="PM_ProtectiveMarkingValue_Header">
    <vt:lpwstr>OFFICIAL</vt:lpwstr>
  </property>
  <property fmtid="{D5CDD505-2E9C-101B-9397-08002B2CF9AE}" pid="37" name="PM_Originating_FileId">
    <vt:lpwstr>4451D0D830E24AA59738A77E8D34CD91</vt:lpwstr>
  </property>
  <property fmtid="{D5CDD505-2E9C-101B-9397-08002B2CF9AE}" pid="38" name="PM_ProtectiveMarkingValue_Footer">
    <vt:lpwstr>OFFICIAL</vt:lpwstr>
  </property>
  <property fmtid="{D5CDD505-2E9C-101B-9397-08002B2CF9AE}" pid="39" name="PM_ProtectiveMarkingImage_Header">
    <vt:lpwstr>C:\Program Files\Common Files\janusNET Shared\janusSEAL\Images\DocumentSlashBlue.png</vt:lpwstr>
  </property>
  <property fmtid="{D5CDD505-2E9C-101B-9397-08002B2CF9AE}" pid="40" name="PM_ProtectiveMarkingImage_Footer">
    <vt:lpwstr>C:\Program Files\Common Files\janusNET Shared\janusSEAL\Images\DocumentSlashBlue.png</vt:lpwstr>
  </property>
  <property fmtid="{D5CDD505-2E9C-101B-9397-08002B2CF9AE}" pid="41" name="PM_Namespace">
    <vt:lpwstr>gov.au</vt:lpwstr>
  </property>
  <property fmtid="{D5CDD505-2E9C-101B-9397-08002B2CF9AE}" pid="42" name="PM_Version">
    <vt:lpwstr>2018.3</vt:lpwstr>
  </property>
  <property fmtid="{D5CDD505-2E9C-101B-9397-08002B2CF9AE}" pid="43" name="PM_Note">
    <vt:lpwstr/>
  </property>
  <property fmtid="{D5CDD505-2E9C-101B-9397-08002B2CF9AE}" pid="44" name="PM_Markers">
    <vt:lpwstr/>
  </property>
  <property fmtid="{D5CDD505-2E9C-101B-9397-08002B2CF9AE}" pid="45" name="RecordPoint_RecordNumberSubmitted">
    <vt:lpwstr>R0001474905</vt:lpwstr>
  </property>
  <property fmtid="{D5CDD505-2E9C-101B-9397-08002B2CF9AE}" pid="46" name="PM_Display">
    <vt:lpwstr>OFFICIAL</vt:lpwstr>
  </property>
  <property fmtid="{D5CDD505-2E9C-101B-9397-08002B2CF9AE}" pid="47" name="PM_OriginatorDomainName_SHA256">
    <vt:lpwstr>ECBDE2B44A971754412B3FB70606937A119CC0D4B6C1B658A40FBD41C30BE3EC</vt:lpwstr>
  </property>
  <property fmtid="{D5CDD505-2E9C-101B-9397-08002B2CF9AE}" pid="48" name="PM_OriginationTimeStamp">
    <vt:lpwstr>2021-11-29T05:57:41Z</vt:lpwstr>
  </property>
  <property fmtid="{D5CDD505-2E9C-101B-9397-08002B2CF9AE}" pid="49" name="RecordPoint_SubmissionCompleted">
    <vt:lpwstr>2021-11-25T17:43:58.9474447+11:00</vt:lpwstr>
  </property>
  <property fmtid="{D5CDD505-2E9C-101B-9397-08002B2CF9AE}" pid="50" name="MSIP_Label_c0129afb-6481-4f92-bc9f-5a4a6346364d_Method">
    <vt:lpwstr>Privileged</vt:lpwstr>
  </property>
  <property fmtid="{D5CDD505-2E9C-101B-9397-08002B2CF9AE}" pid="51" name="MSIP_Label_c0129afb-6481-4f92-bc9f-5a4a6346364d_SetDate">
    <vt:lpwstr>2021-11-29T05:57:41Z</vt:lpwstr>
  </property>
  <property fmtid="{D5CDD505-2E9C-101B-9397-08002B2CF9AE}" pid="52" name="MSIP_Label_c0129afb-6481-4f92-bc9f-5a4a6346364d_Name">
    <vt:lpwstr>OFFICIAL</vt:lpwstr>
  </property>
  <property fmtid="{D5CDD505-2E9C-101B-9397-08002B2CF9AE}" pid="53" name="MSIP_Label_c0129afb-6481-4f92-bc9f-5a4a6346364d_SiteId">
    <vt:lpwstr>c05e3ffd-b491-4431-9809-e61d4dc78816</vt:lpwstr>
  </property>
  <property fmtid="{D5CDD505-2E9C-101B-9397-08002B2CF9AE}" pid="54" name="MSIP_Label_c0129afb-6481-4f92-bc9f-5a4a6346364d_ContentBits">
    <vt:lpwstr>0</vt:lpwstr>
  </property>
  <property fmtid="{D5CDD505-2E9C-101B-9397-08002B2CF9AE}" pid="55" name="MSIP_Label_c0129afb-6481-4f92-bc9f-5a4a6346364d_Enabled">
    <vt:lpwstr>true</vt:lpwstr>
  </property>
  <property fmtid="{D5CDD505-2E9C-101B-9397-08002B2CF9AE}" pid="56" name="PMUuid">
    <vt:lpwstr>v=2022.2;d=gov.au;g=46DD6D7C-8107-577B-BC6E-F348953B2E44</vt:lpwstr>
  </property>
  <property fmtid="{D5CDD505-2E9C-101B-9397-08002B2CF9AE}" pid="57" name="PM_Hash_Salt_Prev">
    <vt:lpwstr>30A485014FEE4C333CCFF947412E5793</vt:lpwstr>
  </property>
  <property fmtid="{D5CDD505-2E9C-101B-9397-08002B2CF9AE}" pid="58" name="PM_Originator_Hash_SHA1">
    <vt:lpwstr>C3AD57350F36D8E1BD75F8F67CB06D435C9C43CA</vt:lpwstr>
  </property>
  <property fmtid="{D5CDD505-2E9C-101B-9397-08002B2CF9AE}" pid="59" name="PM_OriginatorUserAccountName_SHA256">
    <vt:lpwstr>6E3018F28A186D2E5FF5207C041E7A82E907C3008E071057026A53705873B72E</vt:lpwstr>
  </property>
  <property fmtid="{D5CDD505-2E9C-101B-9397-08002B2CF9AE}" pid="60" name="PM_Hash_SHA1">
    <vt:lpwstr>81DC7A620A60DC8F200DBC1A59F44CB8C87B8D8B</vt:lpwstr>
  </property>
  <property fmtid="{D5CDD505-2E9C-101B-9397-08002B2CF9AE}" pid="61" name="PM_Hash_Salt">
    <vt:lpwstr>CA0E45A864F32ED880880ECF3A3C3F5F</vt:lpwstr>
  </property>
  <property fmtid="{D5CDD505-2E9C-101B-9397-08002B2CF9AE}" pid="62" name="PMHMAC">
    <vt:lpwstr>v=2022.1;a=SHA256;h=592FDE6F7BE578A175008882DDEB6E996BA361D89A79FC3955325E7AE9C5FA51</vt:lpwstr>
  </property>
  <property fmtid="{D5CDD505-2E9C-101B-9397-08002B2CF9AE}" pid="63" name="MSIP_Label_c0129afb-6481-4f92-bc9f-5a4a6346364d_ActionId">
    <vt:lpwstr>bd172137cedf481786d529812084fa8f</vt:lpwstr>
  </property>
</Properties>
</file>