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E602" w14:textId="77777777" w:rsidR="008615D3" w:rsidRPr="00DD1B4C" w:rsidRDefault="00E76C4B" w:rsidP="00B3129C">
      <w:pPr>
        <w:spacing w:after="160" w:line="256" w:lineRule="auto"/>
        <w:jc w:val="center"/>
        <w:rPr>
          <w:rFonts w:eastAsiaTheme="minorHAnsi"/>
          <w:b/>
          <w:sz w:val="28"/>
          <w:szCs w:val="28"/>
          <w:lang w:val="en-AU"/>
        </w:rPr>
      </w:pPr>
      <w:r w:rsidRPr="00DD1B4C">
        <w:rPr>
          <w:rFonts w:eastAsiaTheme="minorHAnsi"/>
          <w:b/>
          <w:sz w:val="28"/>
          <w:szCs w:val="28"/>
          <w:lang w:val="en-AU"/>
        </w:rPr>
        <w:t>EXPLANATORY STATEMENT</w:t>
      </w:r>
    </w:p>
    <w:p w14:paraId="50C8E604" w14:textId="461B1CE5" w:rsidR="008615D3" w:rsidRPr="00DD1B4C" w:rsidRDefault="006014A5" w:rsidP="00B3129C">
      <w:pPr>
        <w:spacing w:after="160" w:line="256" w:lineRule="auto"/>
        <w:jc w:val="center"/>
        <w:rPr>
          <w:rFonts w:eastAsiaTheme="minorHAnsi"/>
          <w:sz w:val="22"/>
          <w:szCs w:val="22"/>
          <w:lang w:val="en-AU"/>
        </w:rPr>
      </w:pPr>
      <w:r w:rsidRPr="00DD1B4C">
        <w:rPr>
          <w:rFonts w:eastAsiaTheme="minorHAnsi"/>
          <w:sz w:val="22"/>
          <w:szCs w:val="22"/>
          <w:lang w:val="en-AU"/>
        </w:rPr>
        <w:t xml:space="preserve">Approved </w:t>
      </w:r>
      <w:r w:rsidR="00E76C4B" w:rsidRPr="00DD1B4C">
        <w:rPr>
          <w:rFonts w:eastAsiaTheme="minorHAnsi"/>
          <w:sz w:val="22"/>
          <w:szCs w:val="22"/>
          <w:lang w:val="en-AU"/>
        </w:rPr>
        <w:t>by the Australian Communications and Media Authority</w:t>
      </w:r>
    </w:p>
    <w:p w14:paraId="3047272D" w14:textId="77777777" w:rsidR="006014A5" w:rsidRPr="00DD1B4C" w:rsidRDefault="006014A5" w:rsidP="00B3129C">
      <w:pPr>
        <w:spacing w:after="160" w:line="256" w:lineRule="auto"/>
        <w:jc w:val="center"/>
        <w:rPr>
          <w:rFonts w:eastAsiaTheme="minorHAnsi"/>
          <w:i/>
          <w:sz w:val="22"/>
          <w:szCs w:val="22"/>
          <w:lang w:val="en-AU"/>
        </w:rPr>
      </w:pPr>
      <w:r w:rsidRPr="00DD1B4C">
        <w:rPr>
          <w:rFonts w:eastAsiaTheme="minorHAnsi"/>
          <w:i/>
          <w:sz w:val="22"/>
          <w:szCs w:val="22"/>
          <w:lang w:val="en-AU"/>
        </w:rPr>
        <w:t>Radiocommunications Act 1992</w:t>
      </w:r>
    </w:p>
    <w:p w14:paraId="5D3D2572" w14:textId="421E02C0" w:rsidR="00E045EC" w:rsidRPr="00DD1B4C" w:rsidRDefault="00E045EC" w:rsidP="00E045EC">
      <w:pPr>
        <w:spacing w:before="280" w:after="160" w:line="256" w:lineRule="auto"/>
        <w:jc w:val="center"/>
        <w:rPr>
          <w:rFonts w:eastAsiaTheme="minorHAnsi"/>
          <w:b/>
          <w:i/>
          <w:sz w:val="22"/>
          <w:szCs w:val="22"/>
          <w:lang w:val="en-AU"/>
        </w:rPr>
      </w:pPr>
      <w:bookmarkStart w:id="0" w:name="_Hlk132897186"/>
      <w:bookmarkStart w:id="1" w:name="_Hlk75790124"/>
      <w:r w:rsidRPr="00DD1B4C">
        <w:rPr>
          <w:rFonts w:eastAsiaTheme="minorHAnsi"/>
          <w:b/>
          <w:i/>
          <w:sz w:val="22"/>
          <w:szCs w:val="22"/>
          <w:lang w:val="en-AU"/>
        </w:rPr>
        <w:t xml:space="preserve">Radiocommunications Advisory Guidelines (Managing Interference from Spectrum Licensed Transmitters – 3.4 GHz Band) Variation 2023 (No. </w:t>
      </w:r>
      <w:r w:rsidR="004D0BE2">
        <w:rPr>
          <w:rFonts w:eastAsiaTheme="minorHAnsi"/>
          <w:b/>
          <w:i/>
          <w:sz w:val="22"/>
          <w:szCs w:val="22"/>
          <w:lang w:val="en-AU"/>
        </w:rPr>
        <w:t>2</w:t>
      </w:r>
      <w:r w:rsidRPr="00DD1B4C">
        <w:rPr>
          <w:rFonts w:eastAsiaTheme="minorHAnsi"/>
          <w:b/>
          <w:i/>
          <w:sz w:val="22"/>
          <w:szCs w:val="22"/>
          <w:lang w:val="en-AU"/>
        </w:rPr>
        <w:t>)</w:t>
      </w:r>
    </w:p>
    <w:bookmarkEnd w:id="0"/>
    <w:bookmarkEnd w:id="1"/>
    <w:p w14:paraId="50C8E60A" w14:textId="62F153F7" w:rsidR="008615D3" w:rsidRPr="00DD1B4C" w:rsidRDefault="006014A5" w:rsidP="009C11B8">
      <w:pPr>
        <w:spacing w:before="280" w:after="160" w:line="256" w:lineRule="auto"/>
        <w:rPr>
          <w:rFonts w:eastAsiaTheme="minorHAnsi"/>
          <w:b/>
          <w:sz w:val="22"/>
          <w:szCs w:val="22"/>
          <w:lang w:val="en-AU"/>
        </w:rPr>
      </w:pPr>
      <w:r w:rsidRPr="00DD1B4C">
        <w:rPr>
          <w:rFonts w:eastAsiaTheme="minorHAnsi"/>
          <w:b/>
          <w:sz w:val="22"/>
          <w:szCs w:val="22"/>
          <w:lang w:val="en-AU"/>
        </w:rPr>
        <w:t>Authority</w:t>
      </w:r>
    </w:p>
    <w:p w14:paraId="302AE951" w14:textId="071A4CE1" w:rsidR="006014A5" w:rsidRPr="00DD1B4C" w:rsidRDefault="006014A5" w:rsidP="006014A5">
      <w:pPr>
        <w:spacing w:after="160" w:line="256" w:lineRule="auto"/>
        <w:rPr>
          <w:rFonts w:eastAsiaTheme="minorHAnsi"/>
          <w:sz w:val="22"/>
          <w:szCs w:val="22"/>
          <w:lang w:val="en-AU"/>
        </w:rPr>
      </w:pPr>
      <w:r w:rsidRPr="00DD1B4C">
        <w:rPr>
          <w:rFonts w:eastAsiaTheme="minorHAnsi"/>
          <w:sz w:val="22"/>
          <w:szCs w:val="22"/>
          <w:lang w:val="en-AU"/>
        </w:rPr>
        <w:t>The Australian Communications and Media Authority (</w:t>
      </w:r>
      <w:r w:rsidRPr="00DD1B4C">
        <w:rPr>
          <w:rFonts w:eastAsiaTheme="minorHAnsi"/>
          <w:b/>
          <w:bCs/>
          <w:sz w:val="22"/>
          <w:szCs w:val="22"/>
          <w:lang w:val="en-AU"/>
        </w:rPr>
        <w:t>the ACMA</w:t>
      </w:r>
      <w:r w:rsidRPr="00DD1B4C">
        <w:rPr>
          <w:rFonts w:eastAsiaTheme="minorHAnsi"/>
          <w:sz w:val="22"/>
          <w:szCs w:val="22"/>
          <w:lang w:val="en-AU"/>
        </w:rPr>
        <w:t>) has made the</w:t>
      </w:r>
      <w:r w:rsidR="004D0BE2">
        <w:rPr>
          <w:rFonts w:eastAsiaTheme="minorHAnsi"/>
          <w:sz w:val="22"/>
          <w:szCs w:val="22"/>
          <w:lang w:val="en-AU"/>
        </w:rPr>
        <w:t xml:space="preserve"> </w:t>
      </w:r>
      <w:r w:rsidR="00E045EC" w:rsidRPr="004D0BE2">
        <w:rPr>
          <w:rFonts w:eastAsiaTheme="minorHAnsi"/>
          <w:i/>
          <w:iCs/>
          <w:sz w:val="22"/>
          <w:szCs w:val="22"/>
          <w:lang w:val="en-AU"/>
        </w:rPr>
        <w:t xml:space="preserve">Radiocommunications Advisory Guidelines (Managing Interference from Spectrum Licensed Transmitters – 3.4 GHz Band) Variation 2023 (No. </w:t>
      </w:r>
      <w:r w:rsidR="004D0BE2">
        <w:rPr>
          <w:rFonts w:eastAsiaTheme="minorHAnsi"/>
          <w:i/>
          <w:iCs/>
          <w:sz w:val="22"/>
          <w:szCs w:val="22"/>
          <w:lang w:val="en-AU"/>
        </w:rPr>
        <w:t>2</w:t>
      </w:r>
      <w:r w:rsidR="00E045EC" w:rsidRPr="004D0BE2">
        <w:rPr>
          <w:rFonts w:eastAsiaTheme="minorHAnsi"/>
          <w:i/>
          <w:iCs/>
          <w:sz w:val="22"/>
          <w:szCs w:val="22"/>
          <w:lang w:val="en-AU"/>
        </w:rPr>
        <w:t xml:space="preserve">) </w:t>
      </w:r>
      <w:r w:rsidR="00B34E51" w:rsidRPr="004D0BE2">
        <w:rPr>
          <w:rFonts w:eastAsiaTheme="minorHAnsi"/>
          <w:sz w:val="22"/>
          <w:szCs w:val="22"/>
          <w:lang w:val="en-AU"/>
        </w:rPr>
        <w:t>(</w:t>
      </w:r>
      <w:r w:rsidR="00E045EC" w:rsidRPr="004D0BE2">
        <w:rPr>
          <w:rFonts w:eastAsiaTheme="minorHAnsi"/>
          <w:b/>
          <w:bCs/>
          <w:sz w:val="22"/>
          <w:szCs w:val="22"/>
          <w:lang w:val="en-AU"/>
        </w:rPr>
        <w:t>Tx</w:t>
      </w:r>
      <w:r w:rsidR="00701418" w:rsidRPr="004D0BE2">
        <w:rPr>
          <w:rFonts w:eastAsiaTheme="minorHAnsi"/>
          <w:b/>
          <w:bCs/>
          <w:sz w:val="22"/>
          <w:szCs w:val="22"/>
          <w:lang w:val="en-AU"/>
        </w:rPr>
        <w:t xml:space="preserve"> </w:t>
      </w:r>
      <w:r w:rsidR="001153B2" w:rsidRPr="004D0BE2">
        <w:rPr>
          <w:rFonts w:eastAsiaTheme="minorHAnsi"/>
          <w:b/>
          <w:bCs/>
          <w:sz w:val="22"/>
          <w:szCs w:val="22"/>
          <w:lang w:val="en-AU"/>
        </w:rPr>
        <w:t>RAG</w:t>
      </w:r>
      <w:r w:rsidR="00E045EC" w:rsidRPr="004D0BE2">
        <w:rPr>
          <w:rFonts w:eastAsiaTheme="minorHAnsi"/>
          <w:b/>
          <w:bCs/>
          <w:sz w:val="22"/>
          <w:szCs w:val="22"/>
          <w:lang w:val="en-AU"/>
        </w:rPr>
        <w:t xml:space="preserve"> Variation</w:t>
      </w:r>
      <w:r w:rsidR="00B34E51" w:rsidRPr="004D0BE2">
        <w:rPr>
          <w:rFonts w:eastAsiaTheme="minorHAnsi"/>
          <w:sz w:val="22"/>
          <w:szCs w:val="22"/>
          <w:lang w:val="en-AU"/>
        </w:rPr>
        <w:t>)</w:t>
      </w:r>
      <w:r w:rsidR="004D0BE2">
        <w:rPr>
          <w:rFonts w:eastAsiaTheme="minorHAnsi"/>
          <w:sz w:val="22"/>
          <w:szCs w:val="22"/>
          <w:lang w:val="en-AU"/>
        </w:rPr>
        <w:t xml:space="preserve"> </w:t>
      </w:r>
      <w:r w:rsidRPr="00DD1B4C">
        <w:rPr>
          <w:rFonts w:eastAsiaTheme="minorHAnsi"/>
          <w:sz w:val="22"/>
          <w:szCs w:val="22"/>
          <w:lang w:val="en-AU"/>
        </w:rPr>
        <w:t xml:space="preserve">under section 262 of the </w:t>
      </w:r>
      <w:r w:rsidRPr="00DD1B4C">
        <w:rPr>
          <w:rFonts w:eastAsiaTheme="minorHAnsi"/>
          <w:i/>
          <w:iCs/>
          <w:sz w:val="22"/>
          <w:szCs w:val="22"/>
          <w:lang w:val="en-AU"/>
        </w:rPr>
        <w:t>Radiocommunications Act 1992</w:t>
      </w:r>
      <w:r w:rsidRPr="00DD1B4C">
        <w:rPr>
          <w:rFonts w:eastAsiaTheme="minorHAnsi"/>
          <w:sz w:val="22"/>
          <w:szCs w:val="22"/>
          <w:lang w:val="en-AU"/>
        </w:rPr>
        <w:t xml:space="preserve"> (</w:t>
      </w:r>
      <w:r w:rsidRPr="00DD1B4C">
        <w:rPr>
          <w:rFonts w:eastAsiaTheme="minorHAnsi"/>
          <w:b/>
          <w:bCs/>
          <w:sz w:val="22"/>
          <w:szCs w:val="22"/>
          <w:lang w:val="en-AU"/>
        </w:rPr>
        <w:t>the Act</w:t>
      </w:r>
      <w:r w:rsidRPr="00DD1B4C">
        <w:rPr>
          <w:rFonts w:eastAsiaTheme="minorHAnsi"/>
          <w:sz w:val="22"/>
          <w:szCs w:val="22"/>
          <w:lang w:val="en-AU"/>
        </w:rPr>
        <w:t>)</w:t>
      </w:r>
      <w:r w:rsidR="00EF0EE9" w:rsidRPr="00DD1B4C">
        <w:rPr>
          <w:rFonts w:eastAsiaTheme="minorHAnsi"/>
          <w:sz w:val="22"/>
          <w:szCs w:val="22"/>
          <w:lang w:val="en-AU"/>
        </w:rPr>
        <w:t xml:space="preserve"> and subsection 33(3) of the </w:t>
      </w:r>
      <w:r w:rsidR="00EF0EE9" w:rsidRPr="00DD1B4C">
        <w:rPr>
          <w:rFonts w:eastAsiaTheme="minorHAnsi"/>
          <w:i/>
          <w:iCs/>
          <w:sz w:val="22"/>
          <w:szCs w:val="22"/>
          <w:lang w:val="en-AU"/>
        </w:rPr>
        <w:t xml:space="preserve">Acts Interpretation Act 1901 </w:t>
      </w:r>
      <w:r w:rsidR="00EF0EE9" w:rsidRPr="00DD1B4C">
        <w:rPr>
          <w:rFonts w:eastAsiaTheme="minorHAnsi"/>
          <w:sz w:val="22"/>
          <w:szCs w:val="22"/>
          <w:lang w:val="en-AU"/>
        </w:rPr>
        <w:t>(</w:t>
      </w:r>
      <w:r w:rsidR="00847D73" w:rsidRPr="00DD1B4C">
        <w:rPr>
          <w:rFonts w:eastAsiaTheme="minorHAnsi"/>
          <w:b/>
          <w:bCs/>
          <w:sz w:val="22"/>
          <w:szCs w:val="22"/>
          <w:lang w:val="en-AU"/>
        </w:rPr>
        <w:t>the</w:t>
      </w:r>
      <w:r w:rsidR="00847D73" w:rsidRPr="00DD1B4C">
        <w:rPr>
          <w:rFonts w:eastAsiaTheme="minorHAnsi"/>
          <w:sz w:val="22"/>
          <w:szCs w:val="22"/>
          <w:lang w:val="en-AU"/>
        </w:rPr>
        <w:t xml:space="preserve"> </w:t>
      </w:r>
      <w:r w:rsidR="00EF0EE9" w:rsidRPr="00DD1B4C">
        <w:rPr>
          <w:rFonts w:eastAsiaTheme="minorHAnsi"/>
          <w:b/>
          <w:bCs/>
          <w:sz w:val="22"/>
          <w:szCs w:val="22"/>
          <w:lang w:val="en-AU"/>
        </w:rPr>
        <w:t>AIA</w:t>
      </w:r>
      <w:r w:rsidR="00EF0EE9" w:rsidRPr="00DD1B4C">
        <w:rPr>
          <w:rFonts w:eastAsiaTheme="minorHAnsi"/>
          <w:sz w:val="22"/>
          <w:szCs w:val="22"/>
          <w:lang w:val="en-AU"/>
        </w:rPr>
        <w:t>)</w:t>
      </w:r>
      <w:r w:rsidRPr="00DD1B4C">
        <w:rPr>
          <w:rFonts w:eastAsiaTheme="minorHAnsi"/>
          <w:sz w:val="22"/>
          <w:szCs w:val="22"/>
          <w:lang w:val="en-AU"/>
        </w:rPr>
        <w:t>.</w:t>
      </w:r>
    </w:p>
    <w:p w14:paraId="6BA8C8E7" w14:textId="726AC993" w:rsidR="006014A5" w:rsidRPr="00DD1B4C" w:rsidRDefault="006014A5" w:rsidP="006014A5">
      <w:pPr>
        <w:spacing w:after="160" w:line="256" w:lineRule="auto"/>
        <w:rPr>
          <w:rFonts w:eastAsiaTheme="minorHAnsi"/>
          <w:sz w:val="22"/>
          <w:szCs w:val="22"/>
          <w:lang w:val="en-AU"/>
        </w:rPr>
      </w:pPr>
      <w:r w:rsidRPr="00DD1B4C">
        <w:rPr>
          <w:rFonts w:eastAsiaTheme="minorHAnsi"/>
          <w:sz w:val="22"/>
          <w:szCs w:val="22"/>
          <w:lang w:val="en-AU"/>
        </w:rPr>
        <w:t>Section 262 of the Act provides that the ACMA may make written advisory guidelines about any aspect of radiocommunication or radio emission.</w:t>
      </w:r>
    </w:p>
    <w:p w14:paraId="4A67202E" w14:textId="77777777" w:rsidR="005B3A86" w:rsidRPr="00DD1B4C" w:rsidRDefault="005B3A86" w:rsidP="005B3A86">
      <w:pPr>
        <w:spacing w:after="160" w:line="256" w:lineRule="auto"/>
        <w:rPr>
          <w:rFonts w:eastAsiaTheme="minorHAnsi"/>
          <w:sz w:val="22"/>
          <w:szCs w:val="22"/>
          <w:lang w:val="en-AU"/>
        </w:rPr>
      </w:pPr>
      <w:r w:rsidRPr="00DD1B4C">
        <w:rPr>
          <w:rFonts w:eastAsiaTheme="minorHAnsi"/>
          <w:sz w:val="22"/>
          <w:szCs w:val="22"/>
          <w:lang w:val="en-AU"/>
        </w:rPr>
        <w:t>Subsection 33(3) of the AIA relevantly provides that where an Act confers a power to make a legislative instrument, the power shall be construed as including a power exercisable in the like manner and subject to like conditions (if any) to repeal, rescind, revoke, amend or vary any such instrument.</w:t>
      </w:r>
    </w:p>
    <w:p w14:paraId="5FCF233F" w14:textId="58E890EC" w:rsidR="006014A5" w:rsidRPr="00DD1B4C" w:rsidRDefault="006014A5" w:rsidP="00B3129C">
      <w:pPr>
        <w:spacing w:before="280" w:after="160" w:line="256" w:lineRule="auto"/>
        <w:rPr>
          <w:b/>
        </w:rPr>
      </w:pPr>
      <w:r w:rsidRPr="00DD1B4C">
        <w:rPr>
          <w:rFonts w:eastAsiaTheme="minorHAnsi"/>
          <w:b/>
          <w:sz w:val="22"/>
          <w:szCs w:val="22"/>
          <w:lang w:val="en-AU"/>
        </w:rPr>
        <w:t>Purpose</w:t>
      </w:r>
      <w:r w:rsidRPr="00DD1B4C">
        <w:rPr>
          <w:b/>
        </w:rPr>
        <w:t xml:space="preserve"> and operation of the instrument</w:t>
      </w:r>
    </w:p>
    <w:p w14:paraId="34402053" w14:textId="500B6F8F" w:rsidR="00E045EC" w:rsidRPr="00063554" w:rsidRDefault="00E045EC" w:rsidP="004E37E0">
      <w:pPr>
        <w:spacing w:after="80" w:line="256" w:lineRule="auto"/>
        <w:rPr>
          <w:rFonts w:eastAsiaTheme="minorHAnsi"/>
          <w:sz w:val="22"/>
          <w:szCs w:val="22"/>
          <w:lang w:val="en-AU"/>
        </w:rPr>
      </w:pPr>
      <w:r w:rsidRPr="00DD1B4C">
        <w:rPr>
          <w:rFonts w:eastAsiaTheme="minorHAnsi"/>
          <w:sz w:val="22"/>
          <w:szCs w:val="22"/>
          <w:lang w:val="en-AU"/>
        </w:rPr>
        <w:t>The purpose of the</w:t>
      </w:r>
      <w:r w:rsidR="004D0BE2">
        <w:rPr>
          <w:rFonts w:eastAsiaTheme="minorHAnsi"/>
          <w:sz w:val="22"/>
          <w:szCs w:val="22"/>
          <w:lang w:val="en-AU"/>
        </w:rPr>
        <w:t xml:space="preserve"> </w:t>
      </w:r>
      <w:r w:rsidRPr="004D0BE2">
        <w:rPr>
          <w:rFonts w:eastAsiaTheme="minorHAnsi"/>
          <w:sz w:val="22"/>
          <w:szCs w:val="22"/>
          <w:lang w:val="en-AU"/>
        </w:rPr>
        <w:t xml:space="preserve">Tx </w:t>
      </w:r>
      <w:r w:rsidR="001153B2" w:rsidRPr="004D0BE2">
        <w:rPr>
          <w:rFonts w:eastAsiaTheme="minorHAnsi"/>
          <w:sz w:val="22"/>
          <w:szCs w:val="22"/>
          <w:lang w:val="en-AU"/>
        </w:rPr>
        <w:t>RAG</w:t>
      </w:r>
      <w:r w:rsidRPr="004D0BE2">
        <w:rPr>
          <w:rFonts w:eastAsiaTheme="minorHAnsi"/>
          <w:sz w:val="22"/>
          <w:szCs w:val="22"/>
          <w:lang w:val="en-AU"/>
        </w:rPr>
        <w:t xml:space="preserve"> Variation</w:t>
      </w:r>
      <w:r w:rsidRPr="004D0BE2">
        <w:rPr>
          <w:rFonts w:eastAsiaTheme="minorHAnsi"/>
          <w:b/>
          <w:bCs/>
          <w:sz w:val="22"/>
          <w:szCs w:val="22"/>
          <w:lang w:val="en-AU"/>
        </w:rPr>
        <w:t xml:space="preserve"> </w:t>
      </w:r>
      <w:r w:rsidRPr="004D0BE2">
        <w:rPr>
          <w:rFonts w:eastAsiaTheme="minorHAnsi"/>
          <w:sz w:val="22"/>
          <w:szCs w:val="22"/>
          <w:lang w:val="en-AU"/>
        </w:rPr>
        <w:t>is to amend the</w:t>
      </w:r>
      <w:r w:rsidRPr="004D0BE2">
        <w:rPr>
          <w:rFonts w:eastAsiaTheme="minorHAnsi"/>
          <w:b/>
          <w:bCs/>
          <w:sz w:val="22"/>
          <w:szCs w:val="22"/>
          <w:lang w:val="en-AU"/>
        </w:rPr>
        <w:t xml:space="preserve"> </w:t>
      </w:r>
      <w:r w:rsidR="001153B2" w:rsidRPr="004D0BE2">
        <w:rPr>
          <w:rFonts w:eastAsiaTheme="minorHAnsi"/>
          <w:i/>
          <w:iCs/>
          <w:sz w:val="22"/>
          <w:szCs w:val="22"/>
          <w:lang w:val="en-AU"/>
        </w:rPr>
        <w:t xml:space="preserve">Radiocommunications Advisory Guidelines (Managing Interference from Spectrum Licensed Transmitters — 3.4 GHz Band) 2015 </w:t>
      </w:r>
      <w:r w:rsidR="001153B2" w:rsidRPr="004D0BE2">
        <w:rPr>
          <w:rFonts w:eastAsiaTheme="minorHAnsi"/>
          <w:sz w:val="22"/>
          <w:szCs w:val="22"/>
          <w:lang w:val="en-AU"/>
        </w:rPr>
        <w:t>(</w:t>
      </w:r>
      <w:r w:rsidR="001153B2" w:rsidRPr="004D0BE2">
        <w:rPr>
          <w:rFonts w:eastAsiaTheme="minorHAnsi"/>
          <w:b/>
          <w:bCs/>
          <w:sz w:val="22"/>
          <w:szCs w:val="22"/>
          <w:lang w:val="en-AU"/>
        </w:rPr>
        <w:t>Tx RAG</w:t>
      </w:r>
      <w:r w:rsidR="001153B2" w:rsidRPr="004D0BE2">
        <w:rPr>
          <w:rFonts w:eastAsiaTheme="minorHAnsi"/>
          <w:sz w:val="22"/>
          <w:szCs w:val="22"/>
          <w:lang w:val="en-AU"/>
        </w:rPr>
        <w:t>)</w:t>
      </w:r>
      <w:r w:rsidR="004D0BE2">
        <w:rPr>
          <w:rFonts w:eastAsiaTheme="minorHAnsi"/>
          <w:sz w:val="22"/>
          <w:szCs w:val="22"/>
          <w:lang w:val="en-AU"/>
        </w:rPr>
        <w:t xml:space="preserve">. </w:t>
      </w:r>
      <w:r w:rsidR="00036517">
        <w:rPr>
          <w:rFonts w:eastAsiaTheme="minorHAnsi"/>
          <w:sz w:val="22"/>
          <w:szCs w:val="22"/>
          <w:lang w:val="en-AU"/>
        </w:rPr>
        <w:t xml:space="preserve">The Tx RAG </w:t>
      </w:r>
      <w:r w:rsidR="00374BD3">
        <w:rPr>
          <w:rFonts w:eastAsiaTheme="minorHAnsi"/>
          <w:sz w:val="22"/>
          <w:szCs w:val="22"/>
          <w:lang w:val="en-AU"/>
        </w:rPr>
        <w:t>apply</w:t>
      </w:r>
      <w:r w:rsidR="00036517">
        <w:rPr>
          <w:rFonts w:eastAsiaTheme="minorHAnsi"/>
          <w:sz w:val="22"/>
          <w:szCs w:val="22"/>
          <w:lang w:val="en-AU"/>
        </w:rPr>
        <w:t xml:space="preserve"> in relation to spectrum licences</w:t>
      </w:r>
      <w:r w:rsidR="00B3016D">
        <w:rPr>
          <w:rFonts w:eastAsiaTheme="minorHAnsi"/>
          <w:sz w:val="22"/>
          <w:szCs w:val="22"/>
          <w:lang w:val="en-AU"/>
        </w:rPr>
        <w:t xml:space="preserve"> (</w:t>
      </w:r>
      <w:r w:rsidR="00B3016D" w:rsidRPr="00B3016D">
        <w:rPr>
          <w:rFonts w:eastAsiaTheme="minorHAnsi"/>
          <w:b/>
          <w:bCs/>
          <w:sz w:val="22"/>
          <w:szCs w:val="22"/>
          <w:lang w:val="en-AU"/>
        </w:rPr>
        <w:t>3.4 GHz spectrum licences</w:t>
      </w:r>
      <w:r w:rsidR="00B3016D">
        <w:rPr>
          <w:rFonts w:eastAsiaTheme="minorHAnsi"/>
          <w:sz w:val="22"/>
          <w:szCs w:val="22"/>
          <w:lang w:val="en-AU"/>
        </w:rPr>
        <w:t>)</w:t>
      </w:r>
      <w:r w:rsidR="00036517">
        <w:rPr>
          <w:rFonts w:eastAsiaTheme="minorHAnsi"/>
          <w:sz w:val="22"/>
          <w:szCs w:val="22"/>
          <w:lang w:val="en-AU"/>
        </w:rPr>
        <w:t xml:space="preserve"> that authorise the operation of radiocommunications </w:t>
      </w:r>
      <w:r w:rsidR="00F23AD4">
        <w:rPr>
          <w:rFonts w:eastAsiaTheme="minorHAnsi"/>
          <w:sz w:val="22"/>
          <w:szCs w:val="22"/>
          <w:lang w:val="en-AU"/>
        </w:rPr>
        <w:t>transmitters</w:t>
      </w:r>
      <w:r w:rsidR="00036517">
        <w:rPr>
          <w:rFonts w:eastAsiaTheme="minorHAnsi"/>
          <w:sz w:val="22"/>
          <w:szCs w:val="22"/>
          <w:lang w:val="en-AU"/>
        </w:rPr>
        <w:t xml:space="preserve"> </w:t>
      </w:r>
      <w:r w:rsidR="00063554">
        <w:rPr>
          <w:rFonts w:eastAsiaTheme="minorHAnsi"/>
          <w:sz w:val="22"/>
          <w:szCs w:val="22"/>
          <w:lang w:val="en-AU"/>
        </w:rPr>
        <w:t>in a part of the spectrum between</w:t>
      </w:r>
      <w:r w:rsidR="00036517">
        <w:rPr>
          <w:rFonts w:eastAsiaTheme="minorHAnsi"/>
          <w:sz w:val="22"/>
          <w:szCs w:val="22"/>
          <w:lang w:val="en-AU"/>
        </w:rPr>
        <w:t xml:space="preserve"> 3</w:t>
      </w:r>
      <w:r w:rsidR="00063554">
        <w:rPr>
          <w:rFonts w:eastAsiaTheme="minorHAnsi"/>
          <w:sz w:val="22"/>
          <w:szCs w:val="22"/>
          <w:lang w:val="en-AU"/>
        </w:rPr>
        <w:t>.4 GHz and 3.8 GHz (</w:t>
      </w:r>
      <w:r w:rsidR="00063554">
        <w:rPr>
          <w:rFonts w:eastAsiaTheme="minorHAnsi"/>
          <w:b/>
          <w:bCs/>
          <w:sz w:val="22"/>
          <w:szCs w:val="22"/>
          <w:lang w:val="en-AU"/>
        </w:rPr>
        <w:t>3.4 GHz band</w:t>
      </w:r>
      <w:r w:rsidR="00063554">
        <w:rPr>
          <w:rFonts w:eastAsiaTheme="minorHAnsi"/>
          <w:sz w:val="22"/>
          <w:szCs w:val="22"/>
          <w:lang w:val="en-AU"/>
        </w:rPr>
        <w:t>).</w:t>
      </w:r>
    </w:p>
    <w:p w14:paraId="05C3FAED" w14:textId="428960E0" w:rsidR="006014A5" w:rsidRPr="00DD1B4C" w:rsidRDefault="006014A5" w:rsidP="00DA4E8A">
      <w:pPr>
        <w:spacing w:after="160" w:line="256" w:lineRule="auto"/>
        <w:rPr>
          <w:rFonts w:eastAsiaTheme="minorHAnsi"/>
          <w:sz w:val="22"/>
          <w:szCs w:val="22"/>
          <w:lang w:val="en-AU"/>
        </w:rPr>
      </w:pPr>
      <w:r w:rsidRPr="00DD1B4C">
        <w:rPr>
          <w:rFonts w:eastAsiaTheme="minorHAnsi"/>
          <w:sz w:val="22"/>
          <w:szCs w:val="22"/>
          <w:lang w:val="en-AU"/>
        </w:rPr>
        <w:t xml:space="preserve">A spectrum licence permits a licensee, subject to specified conditions, to operate radiocommunications devices within </w:t>
      </w:r>
      <w:r w:rsidR="00856A3C" w:rsidRPr="00DD1B4C">
        <w:rPr>
          <w:rFonts w:eastAsiaTheme="minorHAnsi"/>
          <w:sz w:val="22"/>
          <w:szCs w:val="22"/>
          <w:lang w:val="en-AU"/>
        </w:rPr>
        <w:t xml:space="preserve">a particular </w:t>
      </w:r>
      <w:r w:rsidRPr="00DD1B4C">
        <w:rPr>
          <w:rFonts w:eastAsiaTheme="minorHAnsi"/>
          <w:sz w:val="22"/>
          <w:szCs w:val="22"/>
          <w:lang w:val="en-AU"/>
        </w:rPr>
        <w:t>spectrum space</w:t>
      </w:r>
      <w:r w:rsidR="00856A3C" w:rsidRPr="00DD1B4C">
        <w:rPr>
          <w:rFonts w:eastAsiaTheme="minorHAnsi"/>
          <w:sz w:val="22"/>
          <w:szCs w:val="22"/>
          <w:lang w:val="en-AU"/>
        </w:rPr>
        <w:t>,</w:t>
      </w:r>
      <w:r w:rsidRPr="00DD1B4C">
        <w:rPr>
          <w:rFonts w:eastAsiaTheme="minorHAnsi"/>
          <w:sz w:val="22"/>
          <w:szCs w:val="22"/>
          <w:lang w:val="en-AU"/>
        </w:rPr>
        <w:t xml:space="preserve"> defined by a frequency band and a geographic area. Interference occurring between adjacent spectrum licences consists of in-band interference, across the geographic boundaries, and out-of-band interference, across the frequency boundaries</w:t>
      </w:r>
      <w:r w:rsidR="00DA46F6" w:rsidRPr="00DD1B4C">
        <w:rPr>
          <w:rFonts w:eastAsiaTheme="minorHAnsi"/>
          <w:sz w:val="22"/>
          <w:szCs w:val="22"/>
          <w:lang w:val="en-AU"/>
        </w:rPr>
        <w:t>. Interference can also occur between spectrum licensed services and services operating under apparatus and class licensing arrangements.</w:t>
      </w:r>
    </w:p>
    <w:p w14:paraId="3A018D4E" w14:textId="6353950B" w:rsidR="00A44A53" w:rsidRPr="00DD1B4C" w:rsidRDefault="00A44A53" w:rsidP="00B3129C">
      <w:pPr>
        <w:spacing w:after="160" w:line="256" w:lineRule="auto"/>
        <w:rPr>
          <w:rFonts w:eastAsiaTheme="minorHAnsi"/>
          <w:sz w:val="22"/>
          <w:szCs w:val="22"/>
          <w:lang w:val="en-AU"/>
        </w:rPr>
      </w:pPr>
      <w:r w:rsidRPr="00DD1B4C">
        <w:rPr>
          <w:rFonts w:eastAsiaTheme="minorHAnsi"/>
          <w:sz w:val="22"/>
          <w:szCs w:val="22"/>
          <w:lang w:val="en-AU"/>
        </w:rPr>
        <w:t xml:space="preserve">The Act provides a number of means by which the ACMA may manage interference resulting from the operation of a radiocommunications transmitter under a spectrum licence, including the ability to make advisory guidelines under section 262 of the Act. </w:t>
      </w:r>
    </w:p>
    <w:p w14:paraId="250A59CA" w14:textId="3A6582B1" w:rsidR="004E719A" w:rsidRPr="00DD1B4C" w:rsidRDefault="004E719A" w:rsidP="004E719A">
      <w:pPr>
        <w:spacing w:after="160" w:line="256" w:lineRule="auto"/>
        <w:rPr>
          <w:rFonts w:eastAsiaTheme="minorHAnsi"/>
          <w:sz w:val="22"/>
          <w:szCs w:val="22"/>
          <w:lang w:val="en-AU"/>
        </w:rPr>
      </w:pPr>
      <w:r w:rsidRPr="00DD1B4C">
        <w:rPr>
          <w:rFonts w:eastAsiaTheme="minorHAnsi"/>
          <w:sz w:val="22"/>
          <w:szCs w:val="22"/>
          <w:lang w:val="en-AU"/>
        </w:rPr>
        <w:t xml:space="preserve">In </w:t>
      </w:r>
      <w:r w:rsidR="00DE4B0B" w:rsidRPr="00DD1B4C">
        <w:rPr>
          <w:rFonts w:eastAsiaTheme="minorHAnsi"/>
          <w:sz w:val="22"/>
          <w:szCs w:val="22"/>
          <w:lang w:val="en-AU"/>
        </w:rPr>
        <w:t xml:space="preserve">preparing the Tx RAG Variation, </w:t>
      </w:r>
      <w:r w:rsidRPr="00DD1B4C">
        <w:rPr>
          <w:rFonts w:eastAsiaTheme="minorHAnsi"/>
          <w:sz w:val="22"/>
          <w:szCs w:val="22"/>
          <w:lang w:val="en-AU"/>
        </w:rPr>
        <w:t xml:space="preserve">the ACMA </w:t>
      </w:r>
      <w:r w:rsidR="00233673" w:rsidRPr="00DD1B4C">
        <w:rPr>
          <w:rFonts w:eastAsiaTheme="minorHAnsi"/>
          <w:sz w:val="22"/>
          <w:szCs w:val="22"/>
          <w:lang w:val="en-AU"/>
        </w:rPr>
        <w:t>has been</w:t>
      </w:r>
      <w:r w:rsidRPr="00DD1B4C">
        <w:rPr>
          <w:rFonts w:eastAsiaTheme="minorHAnsi"/>
          <w:sz w:val="22"/>
          <w:szCs w:val="22"/>
          <w:lang w:val="en-AU"/>
        </w:rPr>
        <w:t xml:space="preserve"> guided by the object of the Act, which requires the ACMA to promote the long-term public interest derived from the use of the spectrum, including by facilitating the efficient planning, allocation and use of the spectrum and supporting the communications policy objectives of the Commonwealth Government. Under section 28C of the Act, the ACMA is also required to have regard to any relevant Ministerial policy statements, in the performance of the ACMA’s spectrum management functions or the exercise of the ACMA’s spectrum management powers. </w:t>
      </w:r>
    </w:p>
    <w:p w14:paraId="7D939E61" w14:textId="0FA9CCF4" w:rsidR="004E719A" w:rsidRPr="00DD1B4C" w:rsidRDefault="004E719A" w:rsidP="004E719A">
      <w:pPr>
        <w:spacing w:after="160" w:line="256" w:lineRule="auto"/>
        <w:rPr>
          <w:rFonts w:eastAsiaTheme="minorHAnsi"/>
          <w:sz w:val="22"/>
          <w:szCs w:val="22"/>
          <w:lang w:val="en-AU"/>
        </w:rPr>
      </w:pPr>
      <w:r w:rsidRPr="00DD1B4C">
        <w:rPr>
          <w:rFonts w:eastAsiaTheme="minorHAnsi"/>
          <w:sz w:val="22"/>
          <w:szCs w:val="22"/>
          <w:lang w:val="en-AU"/>
        </w:rPr>
        <w:t xml:space="preserve">The </w:t>
      </w:r>
      <w:r w:rsidRPr="00DD1B4C">
        <w:rPr>
          <w:rFonts w:eastAsiaTheme="minorHAnsi"/>
          <w:i/>
          <w:iCs/>
          <w:sz w:val="22"/>
          <w:szCs w:val="22"/>
          <w:lang w:val="en-AU"/>
        </w:rPr>
        <w:t xml:space="preserve">Radiocommunications (Ministerial Policy Statement </w:t>
      </w:r>
      <w:r w:rsidR="00233673" w:rsidRPr="00DD1B4C">
        <w:rPr>
          <w:rFonts w:eastAsiaTheme="minorHAnsi"/>
          <w:i/>
          <w:iCs/>
          <w:sz w:val="22"/>
          <w:szCs w:val="22"/>
          <w:lang w:val="en-AU"/>
        </w:rPr>
        <w:t>–</w:t>
      </w:r>
      <w:r w:rsidRPr="00DD1B4C">
        <w:rPr>
          <w:rFonts w:eastAsiaTheme="minorHAnsi"/>
          <w:i/>
          <w:iCs/>
          <w:sz w:val="22"/>
          <w:szCs w:val="22"/>
          <w:lang w:val="en-AU"/>
        </w:rPr>
        <w:t xml:space="preserve"> 3.4–4.0 GHz) Instrument 2022</w:t>
      </w:r>
      <w:r w:rsidRPr="00DD1B4C">
        <w:rPr>
          <w:rFonts w:eastAsiaTheme="minorHAnsi"/>
          <w:sz w:val="22"/>
          <w:szCs w:val="22"/>
          <w:lang w:val="en-AU"/>
        </w:rPr>
        <w:t xml:space="preserve"> (</w:t>
      </w:r>
      <w:r w:rsidRPr="00DD1B4C">
        <w:rPr>
          <w:rFonts w:eastAsiaTheme="minorHAnsi"/>
          <w:b/>
          <w:bCs/>
          <w:sz w:val="22"/>
          <w:szCs w:val="22"/>
          <w:lang w:val="en-AU"/>
        </w:rPr>
        <w:t>3.4–4.0 GHz Statement</w:t>
      </w:r>
      <w:r w:rsidRPr="00DD1B4C">
        <w:rPr>
          <w:rFonts w:eastAsiaTheme="minorHAnsi"/>
          <w:sz w:val="22"/>
          <w:szCs w:val="22"/>
          <w:lang w:val="en-AU"/>
        </w:rPr>
        <w:t xml:space="preserve">) specifies </w:t>
      </w:r>
      <w:r w:rsidR="00235A1F">
        <w:rPr>
          <w:rFonts w:eastAsiaTheme="minorHAnsi"/>
          <w:sz w:val="22"/>
          <w:szCs w:val="22"/>
          <w:lang w:val="en-AU"/>
        </w:rPr>
        <w:t>certain</w:t>
      </w:r>
      <w:r w:rsidR="00235A1F" w:rsidRPr="00DD1B4C">
        <w:rPr>
          <w:rFonts w:eastAsiaTheme="minorHAnsi"/>
          <w:sz w:val="22"/>
          <w:szCs w:val="22"/>
          <w:lang w:val="en-AU"/>
        </w:rPr>
        <w:t xml:space="preserve"> </w:t>
      </w:r>
      <w:r w:rsidRPr="00DD1B4C">
        <w:rPr>
          <w:rFonts w:eastAsiaTheme="minorHAnsi"/>
          <w:sz w:val="22"/>
          <w:szCs w:val="22"/>
          <w:lang w:val="en-AU"/>
        </w:rPr>
        <w:t xml:space="preserve">Commonwealth Government communications policy objectives that apply in the ACMA’s performance of its spectrum management functions, and exercise of its </w:t>
      </w:r>
      <w:r w:rsidRPr="00DD1B4C">
        <w:rPr>
          <w:rFonts w:eastAsiaTheme="minorHAnsi"/>
          <w:sz w:val="22"/>
          <w:szCs w:val="22"/>
          <w:lang w:val="en-AU"/>
        </w:rPr>
        <w:lastRenderedPageBreak/>
        <w:t>spectrum management powers, in relation to the 3.4–4.0 GHz band. The 3.4 GHz band fall</w:t>
      </w:r>
      <w:r w:rsidR="00AE34AA" w:rsidRPr="00DD1B4C">
        <w:rPr>
          <w:rFonts w:eastAsiaTheme="minorHAnsi"/>
          <w:sz w:val="22"/>
          <w:szCs w:val="22"/>
          <w:lang w:val="en-AU"/>
        </w:rPr>
        <w:t>s</w:t>
      </w:r>
      <w:r w:rsidRPr="00DD1B4C">
        <w:rPr>
          <w:rFonts w:eastAsiaTheme="minorHAnsi"/>
          <w:sz w:val="22"/>
          <w:szCs w:val="22"/>
          <w:lang w:val="en-AU"/>
        </w:rPr>
        <w:t xml:space="preserve"> within the 3.4–4.0 GHz band, and accordingly the ACMA has had regard to the 3.4–4.0 GHz statement in preparing the </w:t>
      </w:r>
      <w:r w:rsidR="00AE34AA" w:rsidRPr="00DD1B4C">
        <w:rPr>
          <w:rFonts w:eastAsiaTheme="minorHAnsi"/>
          <w:sz w:val="22"/>
          <w:szCs w:val="22"/>
          <w:lang w:val="en-AU"/>
        </w:rPr>
        <w:t>Tx RAG Variation</w:t>
      </w:r>
      <w:r w:rsidRPr="00DD1B4C">
        <w:rPr>
          <w:rFonts w:eastAsiaTheme="minorHAnsi"/>
          <w:sz w:val="22"/>
          <w:szCs w:val="22"/>
          <w:lang w:val="en-AU"/>
        </w:rPr>
        <w:t>.</w:t>
      </w:r>
    </w:p>
    <w:p w14:paraId="25EDC2EE" w14:textId="43597014" w:rsidR="00A44A53" w:rsidRPr="00DD1B4C" w:rsidRDefault="00A44A53" w:rsidP="00B3129C">
      <w:pPr>
        <w:spacing w:after="160" w:line="256" w:lineRule="auto"/>
        <w:rPr>
          <w:rFonts w:eastAsiaTheme="minorHAnsi"/>
          <w:sz w:val="22"/>
          <w:szCs w:val="22"/>
          <w:lang w:val="en-AU"/>
        </w:rPr>
      </w:pPr>
      <w:r w:rsidRPr="00DD1B4C">
        <w:rPr>
          <w:rFonts w:eastAsiaTheme="minorHAnsi"/>
          <w:sz w:val="22"/>
          <w:szCs w:val="22"/>
          <w:lang w:val="en-AU"/>
        </w:rPr>
        <w:t xml:space="preserve">The </w:t>
      </w:r>
      <w:r w:rsidR="00B85EDA" w:rsidRPr="00DD1B4C">
        <w:rPr>
          <w:rFonts w:eastAsiaTheme="minorHAnsi"/>
          <w:sz w:val="22"/>
          <w:szCs w:val="22"/>
          <w:lang w:val="en-AU"/>
        </w:rPr>
        <w:t>T</w:t>
      </w:r>
      <w:r w:rsidR="00235A1F">
        <w:rPr>
          <w:rFonts w:eastAsiaTheme="minorHAnsi"/>
          <w:sz w:val="22"/>
          <w:szCs w:val="22"/>
          <w:lang w:val="en-AU"/>
        </w:rPr>
        <w:t>x</w:t>
      </w:r>
      <w:r w:rsidR="00B85EDA" w:rsidRPr="00DD1B4C">
        <w:rPr>
          <w:rFonts w:eastAsiaTheme="minorHAnsi"/>
          <w:sz w:val="22"/>
          <w:szCs w:val="22"/>
          <w:lang w:val="en-AU"/>
        </w:rPr>
        <w:t xml:space="preserve"> RAG </w:t>
      </w:r>
      <w:r w:rsidR="00235A1F">
        <w:rPr>
          <w:rFonts w:eastAsiaTheme="minorHAnsi"/>
          <w:sz w:val="22"/>
          <w:szCs w:val="22"/>
          <w:lang w:val="en-AU"/>
        </w:rPr>
        <w:t>form</w:t>
      </w:r>
      <w:r w:rsidR="00235A1F" w:rsidRPr="00DD1B4C">
        <w:rPr>
          <w:rFonts w:eastAsiaTheme="minorHAnsi"/>
          <w:sz w:val="22"/>
          <w:szCs w:val="22"/>
          <w:lang w:val="en-AU"/>
        </w:rPr>
        <w:t xml:space="preserve"> </w:t>
      </w:r>
      <w:r w:rsidR="000E7BE6" w:rsidRPr="00DD1B4C">
        <w:rPr>
          <w:rFonts w:eastAsiaTheme="minorHAnsi"/>
          <w:sz w:val="22"/>
          <w:szCs w:val="22"/>
          <w:lang w:val="en-AU"/>
        </w:rPr>
        <w:t xml:space="preserve">part </w:t>
      </w:r>
      <w:r w:rsidRPr="00DD1B4C">
        <w:rPr>
          <w:rFonts w:eastAsiaTheme="minorHAnsi"/>
          <w:sz w:val="22"/>
          <w:szCs w:val="22"/>
          <w:lang w:val="en-AU"/>
        </w:rPr>
        <w:t>of a set of legal instruments made by the ACMA that comprise the technical framework applicable to</w:t>
      </w:r>
      <w:r w:rsidR="006304CA" w:rsidRPr="00DD1B4C">
        <w:rPr>
          <w:rFonts w:eastAsiaTheme="minorHAnsi"/>
          <w:sz w:val="22"/>
          <w:szCs w:val="22"/>
          <w:lang w:val="en-AU"/>
        </w:rPr>
        <w:t xml:space="preserve"> spectrum licences</w:t>
      </w:r>
      <w:r w:rsidR="001771F9" w:rsidRPr="00DD1B4C">
        <w:rPr>
          <w:rFonts w:eastAsiaTheme="minorHAnsi"/>
          <w:sz w:val="22"/>
          <w:szCs w:val="22"/>
          <w:lang w:val="en-AU"/>
        </w:rPr>
        <w:t xml:space="preserve"> in</w:t>
      </w:r>
      <w:r w:rsidRPr="00DD1B4C">
        <w:rPr>
          <w:rFonts w:eastAsiaTheme="minorHAnsi"/>
          <w:sz w:val="22"/>
          <w:szCs w:val="22"/>
          <w:lang w:val="en-AU"/>
        </w:rPr>
        <w:t xml:space="preserve"> the</w:t>
      </w:r>
      <w:r w:rsidR="00200AB4" w:rsidRPr="00DD1B4C">
        <w:rPr>
          <w:rFonts w:eastAsiaTheme="minorHAnsi"/>
          <w:sz w:val="22"/>
          <w:szCs w:val="22"/>
          <w:lang w:val="en-AU"/>
        </w:rPr>
        <w:t xml:space="preserve"> 3.4 GHz band</w:t>
      </w:r>
      <w:r w:rsidRPr="00DD1B4C">
        <w:rPr>
          <w:rFonts w:eastAsiaTheme="minorHAnsi"/>
          <w:sz w:val="22"/>
          <w:szCs w:val="22"/>
          <w:lang w:val="en-AU"/>
        </w:rPr>
        <w:t>.</w:t>
      </w:r>
    </w:p>
    <w:p w14:paraId="50C8E60B" w14:textId="3D0059C5" w:rsidR="008615D3" w:rsidRPr="00DD1B4C" w:rsidRDefault="00E76C4B" w:rsidP="00DA46F6">
      <w:pPr>
        <w:spacing w:after="160" w:line="256" w:lineRule="auto"/>
        <w:rPr>
          <w:rFonts w:eastAsiaTheme="minorHAnsi"/>
          <w:sz w:val="22"/>
          <w:szCs w:val="22"/>
          <w:lang w:val="en-AU"/>
        </w:rPr>
      </w:pPr>
      <w:r w:rsidRPr="00DD1B4C">
        <w:rPr>
          <w:rFonts w:eastAsiaTheme="minorHAnsi"/>
          <w:sz w:val="22"/>
          <w:szCs w:val="22"/>
          <w:lang w:val="en-AU"/>
        </w:rPr>
        <w:t xml:space="preserve">The purpose of the </w:t>
      </w:r>
      <w:r w:rsidR="00B85EDA" w:rsidRPr="00DD1B4C">
        <w:rPr>
          <w:rFonts w:eastAsiaTheme="minorHAnsi"/>
          <w:sz w:val="22"/>
          <w:szCs w:val="22"/>
          <w:lang w:val="en-AU"/>
        </w:rPr>
        <w:t>Tx RAG</w:t>
      </w:r>
      <w:r w:rsidRPr="00DD1B4C">
        <w:rPr>
          <w:rFonts w:eastAsiaTheme="minorHAnsi"/>
          <w:sz w:val="22"/>
          <w:szCs w:val="22"/>
          <w:lang w:val="en-AU"/>
        </w:rPr>
        <w:t xml:space="preserve"> is to provide guidance to assist in </w:t>
      </w:r>
      <w:r w:rsidR="00DA46F6" w:rsidRPr="00DD1B4C">
        <w:rPr>
          <w:rFonts w:eastAsiaTheme="minorHAnsi"/>
          <w:sz w:val="22"/>
          <w:szCs w:val="22"/>
          <w:lang w:val="en-AU"/>
        </w:rPr>
        <w:t xml:space="preserve">managing the potential for interference to </w:t>
      </w:r>
      <w:r w:rsidR="00C23451" w:rsidRPr="00DD1B4C">
        <w:rPr>
          <w:rFonts w:eastAsiaTheme="minorHAnsi"/>
          <w:sz w:val="22"/>
          <w:szCs w:val="22"/>
          <w:lang w:val="en-AU"/>
        </w:rPr>
        <w:t xml:space="preserve">particular </w:t>
      </w:r>
      <w:r w:rsidRPr="00DD1B4C">
        <w:rPr>
          <w:rFonts w:eastAsiaTheme="minorHAnsi"/>
          <w:sz w:val="22"/>
          <w:szCs w:val="22"/>
          <w:lang w:val="en-AU"/>
        </w:rPr>
        <w:t>radiocommunications receivers</w:t>
      </w:r>
      <w:r w:rsidR="00C23451" w:rsidRPr="00DD1B4C">
        <w:rPr>
          <w:rFonts w:eastAsiaTheme="minorHAnsi"/>
          <w:sz w:val="22"/>
          <w:szCs w:val="22"/>
          <w:lang w:val="en-AU"/>
        </w:rPr>
        <w:t>,</w:t>
      </w:r>
      <w:r w:rsidRPr="00DD1B4C">
        <w:rPr>
          <w:rFonts w:eastAsiaTheme="minorHAnsi"/>
          <w:sz w:val="22"/>
          <w:szCs w:val="22"/>
          <w:lang w:val="en-AU"/>
        </w:rPr>
        <w:t xml:space="preserve"> operati</w:t>
      </w:r>
      <w:r w:rsidR="003B728C" w:rsidRPr="00DD1B4C">
        <w:rPr>
          <w:rFonts w:eastAsiaTheme="minorHAnsi"/>
          <w:sz w:val="22"/>
          <w:szCs w:val="22"/>
          <w:lang w:val="en-AU"/>
        </w:rPr>
        <w:t xml:space="preserve">ng under </w:t>
      </w:r>
      <w:r w:rsidRPr="00DD1B4C">
        <w:rPr>
          <w:rFonts w:eastAsiaTheme="minorHAnsi"/>
          <w:sz w:val="22"/>
          <w:szCs w:val="22"/>
          <w:lang w:val="en-AU"/>
        </w:rPr>
        <w:t xml:space="preserve">apparatus </w:t>
      </w:r>
      <w:r w:rsidR="00510C33" w:rsidRPr="00DD1B4C">
        <w:rPr>
          <w:rFonts w:eastAsiaTheme="minorHAnsi"/>
          <w:sz w:val="22"/>
          <w:szCs w:val="22"/>
          <w:lang w:val="en-AU"/>
        </w:rPr>
        <w:t xml:space="preserve">or class </w:t>
      </w:r>
      <w:r w:rsidRPr="00DD1B4C">
        <w:rPr>
          <w:rFonts w:eastAsiaTheme="minorHAnsi"/>
          <w:sz w:val="22"/>
          <w:szCs w:val="22"/>
          <w:lang w:val="en-AU"/>
        </w:rPr>
        <w:t>licences</w:t>
      </w:r>
      <w:r w:rsidR="00C23451" w:rsidRPr="00DD1B4C">
        <w:rPr>
          <w:rFonts w:eastAsiaTheme="minorHAnsi"/>
          <w:sz w:val="22"/>
          <w:szCs w:val="22"/>
          <w:lang w:val="en-AU"/>
        </w:rPr>
        <w:t>,</w:t>
      </w:r>
      <w:r w:rsidRPr="00DD1B4C">
        <w:rPr>
          <w:rFonts w:eastAsiaTheme="minorHAnsi"/>
          <w:sz w:val="22"/>
          <w:szCs w:val="22"/>
          <w:lang w:val="en-AU"/>
        </w:rPr>
        <w:t xml:space="preserve"> from interference caused by radiocommunications transmitters operating under spectrum licences in the </w:t>
      </w:r>
      <w:r w:rsidR="00B85EDA" w:rsidRPr="00DD1B4C">
        <w:rPr>
          <w:rFonts w:eastAsiaTheme="minorHAnsi"/>
          <w:sz w:val="22"/>
          <w:szCs w:val="22"/>
          <w:lang w:val="en-AU"/>
        </w:rPr>
        <w:t>3.</w:t>
      </w:r>
      <w:r w:rsidR="00E15EBE" w:rsidRPr="00DD1B4C">
        <w:rPr>
          <w:rFonts w:eastAsiaTheme="minorHAnsi"/>
          <w:sz w:val="22"/>
          <w:szCs w:val="22"/>
          <w:lang w:val="en-AU"/>
        </w:rPr>
        <w:t>4 </w:t>
      </w:r>
      <w:r w:rsidR="009E0DAC" w:rsidRPr="00DD1B4C">
        <w:rPr>
          <w:rFonts w:eastAsiaTheme="minorHAnsi"/>
          <w:sz w:val="22"/>
          <w:szCs w:val="22"/>
          <w:lang w:val="en-AU"/>
        </w:rPr>
        <w:t>GHz</w:t>
      </w:r>
      <w:r w:rsidRPr="00DD1B4C">
        <w:rPr>
          <w:rFonts w:eastAsiaTheme="minorHAnsi"/>
          <w:sz w:val="22"/>
          <w:szCs w:val="22"/>
          <w:lang w:val="en-AU"/>
        </w:rPr>
        <w:t xml:space="preserve"> band</w:t>
      </w:r>
      <w:r w:rsidR="00E50EBE" w:rsidRPr="00DD1B4C">
        <w:rPr>
          <w:rFonts w:eastAsiaTheme="minorHAnsi"/>
          <w:sz w:val="22"/>
          <w:szCs w:val="22"/>
          <w:lang w:val="en-AU"/>
        </w:rPr>
        <w:t xml:space="preserve"> (</w:t>
      </w:r>
      <w:r w:rsidR="00B85EDA" w:rsidRPr="00DD1B4C">
        <w:rPr>
          <w:rFonts w:eastAsiaTheme="minorHAnsi"/>
          <w:b/>
          <w:bCs/>
          <w:sz w:val="22"/>
          <w:szCs w:val="22"/>
          <w:lang w:val="en-AU"/>
        </w:rPr>
        <w:t xml:space="preserve">3.4 </w:t>
      </w:r>
      <w:r w:rsidR="009E0DAC" w:rsidRPr="00DD1B4C">
        <w:rPr>
          <w:rFonts w:eastAsiaTheme="minorHAnsi"/>
          <w:b/>
          <w:bCs/>
          <w:sz w:val="22"/>
          <w:szCs w:val="22"/>
          <w:lang w:val="en-AU"/>
        </w:rPr>
        <w:t>GHz</w:t>
      </w:r>
      <w:r w:rsidR="00E50EBE" w:rsidRPr="00DD1B4C">
        <w:rPr>
          <w:rFonts w:eastAsiaTheme="minorHAnsi"/>
          <w:b/>
          <w:bCs/>
          <w:sz w:val="22"/>
          <w:szCs w:val="22"/>
          <w:lang w:val="en-AU"/>
        </w:rPr>
        <w:t xml:space="preserve"> transmitters</w:t>
      </w:r>
      <w:r w:rsidR="00E50EBE" w:rsidRPr="00DD1B4C">
        <w:rPr>
          <w:rFonts w:eastAsiaTheme="minorHAnsi"/>
          <w:sz w:val="22"/>
          <w:szCs w:val="22"/>
          <w:lang w:val="en-AU"/>
        </w:rPr>
        <w:t>)</w:t>
      </w:r>
      <w:r w:rsidR="003C5724" w:rsidRPr="00DD1B4C">
        <w:rPr>
          <w:rFonts w:eastAsiaTheme="minorHAnsi"/>
          <w:sz w:val="22"/>
          <w:szCs w:val="22"/>
          <w:lang w:val="en-AU"/>
        </w:rPr>
        <w:t xml:space="preserve">. The </w:t>
      </w:r>
      <w:r w:rsidR="00E15EBE" w:rsidRPr="00DD1B4C">
        <w:rPr>
          <w:rFonts w:eastAsiaTheme="minorHAnsi"/>
          <w:sz w:val="22"/>
          <w:szCs w:val="22"/>
          <w:lang w:val="en-AU"/>
        </w:rPr>
        <w:t>Tx RAG</w:t>
      </w:r>
      <w:r w:rsidR="003C5724" w:rsidRPr="00DD1B4C">
        <w:rPr>
          <w:rFonts w:eastAsiaTheme="minorHAnsi"/>
          <w:sz w:val="22"/>
          <w:szCs w:val="22"/>
          <w:lang w:val="en-AU"/>
        </w:rPr>
        <w:t xml:space="preserve"> also provide guidance on managing interference across the geographic</w:t>
      </w:r>
      <w:r w:rsidR="00BE6539" w:rsidRPr="00DD1B4C">
        <w:rPr>
          <w:rFonts w:eastAsiaTheme="minorHAnsi"/>
          <w:sz w:val="22"/>
          <w:szCs w:val="22"/>
          <w:lang w:val="en-AU"/>
        </w:rPr>
        <w:t xml:space="preserve"> area</w:t>
      </w:r>
      <w:r w:rsidR="00A7259A" w:rsidRPr="00DD1B4C">
        <w:rPr>
          <w:rFonts w:eastAsiaTheme="minorHAnsi"/>
          <w:sz w:val="22"/>
          <w:szCs w:val="22"/>
          <w:lang w:val="en-AU"/>
        </w:rPr>
        <w:t>s</w:t>
      </w:r>
      <w:r w:rsidR="003C5724" w:rsidRPr="00DD1B4C">
        <w:rPr>
          <w:rFonts w:eastAsiaTheme="minorHAnsi"/>
          <w:sz w:val="22"/>
          <w:szCs w:val="22"/>
          <w:lang w:val="en-AU"/>
        </w:rPr>
        <w:t xml:space="preserve"> of spectrum licences issued in the </w:t>
      </w:r>
      <w:r w:rsidR="00B85EDA" w:rsidRPr="00DD1B4C">
        <w:rPr>
          <w:rFonts w:eastAsiaTheme="minorHAnsi"/>
          <w:sz w:val="22"/>
          <w:szCs w:val="22"/>
          <w:lang w:val="en-AU"/>
        </w:rPr>
        <w:t>3.4</w:t>
      </w:r>
      <w:r w:rsidR="002D0440" w:rsidRPr="00DD1B4C">
        <w:rPr>
          <w:rFonts w:eastAsiaTheme="minorHAnsi"/>
          <w:sz w:val="22"/>
          <w:szCs w:val="22"/>
          <w:lang w:val="en-AU"/>
        </w:rPr>
        <w:t> </w:t>
      </w:r>
      <w:r w:rsidR="009E0DAC" w:rsidRPr="00DD1B4C">
        <w:rPr>
          <w:rFonts w:eastAsiaTheme="minorHAnsi"/>
          <w:sz w:val="22"/>
          <w:szCs w:val="22"/>
          <w:lang w:val="en-AU"/>
        </w:rPr>
        <w:t>GHz</w:t>
      </w:r>
      <w:r w:rsidR="000D0EA1" w:rsidRPr="00DD1B4C">
        <w:rPr>
          <w:rFonts w:eastAsiaTheme="minorHAnsi"/>
          <w:sz w:val="22"/>
          <w:szCs w:val="22"/>
          <w:lang w:val="en-AU"/>
        </w:rPr>
        <w:t xml:space="preserve"> band</w:t>
      </w:r>
      <w:r w:rsidR="003C5724" w:rsidRPr="00DD1B4C">
        <w:rPr>
          <w:rFonts w:eastAsiaTheme="minorHAnsi"/>
          <w:sz w:val="22"/>
          <w:szCs w:val="22"/>
          <w:lang w:val="en-AU"/>
        </w:rPr>
        <w:t>.</w:t>
      </w:r>
    </w:p>
    <w:p w14:paraId="2F26F33F" w14:textId="057F7005" w:rsidR="002E59B3" w:rsidRPr="00DD1B4C" w:rsidRDefault="00EC52E3" w:rsidP="008E40B0">
      <w:pPr>
        <w:keepLines/>
        <w:spacing w:after="160" w:line="257" w:lineRule="auto"/>
        <w:rPr>
          <w:sz w:val="22"/>
          <w:szCs w:val="22"/>
        </w:rPr>
      </w:pPr>
      <w:r w:rsidRPr="00DD1B4C">
        <w:rPr>
          <w:sz w:val="22"/>
          <w:szCs w:val="22"/>
        </w:rPr>
        <w:t xml:space="preserve">Operators of spectrum, class or apparatus licensed services should use the </w:t>
      </w:r>
      <w:r w:rsidR="00B11B05" w:rsidRPr="00DD1B4C">
        <w:rPr>
          <w:sz w:val="22"/>
          <w:szCs w:val="22"/>
        </w:rPr>
        <w:t xml:space="preserve">Tx RAG </w:t>
      </w:r>
      <w:r w:rsidRPr="00DD1B4C">
        <w:rPr>
          <w:sz w:val="22"/>
          <w:szCs w:val="22"/>
        </w:rPr>
        <w:t xml:space="preserve">in the planning of services or in the resolution of interference. The ACMA will also take the </w:t>
      </w:r>
      <w:r w:rsidR="00B11B05" w:rsidRPr="00DD1B4C">
        <w:rPr>
          <w:sz w:val="22"/>
          <w:szCs w:val="22"/>
        </w:rPr>
        <w:t xml:space="preserve">Tx RAG </w:t>
      </w:r>
      <w:r w:rsidRPr="00DD1B4C">
        <w:rPr>
          <w:sz w:val="22"/>
          <w:szCs w:val="22"/>
        </w:rPr>
        <w:t>into account when determining whether a</w:t>
      </w:r>
      <w:r w:rsidR="00B11B05" w:rsidRPr="00DD1B4C">
        <w:rPr>
          <w:sz w:val="22"/>
          <w:szCs w:val="22"/>
        </w:rPr>
        <w:t xml:space="preserve"> </w:t>
      </w:r>
      <w:r w:rsidR="00F23AD4">
        <w:rPr>
          <w:sz w:val="22"/>
          <w:szCs w:val="22"/>
        </w:rPr>
        <w:t>3.4 GHz</w:t>
      </w:r>
      <w:r w:rsidR="00B11B05" w:rsidRPr="00DD1B4C">
        <w:rPr>
          <w:sz w:val="22"/>
          <w:szCs w:val="22"/>
        </w:rPr>
        <w:t xml:space="preserve"> transmitter is </w:t>
      </w:r>
      <w:r w:rsidRPr="00DD1B4C">
        <w:rPr>
          <w:sz w:val="22"/>
          <w:szCs w:val="22"/>
        </w:rPr>
        <w:t xml:space="preserve">causing interference </w:t>
      </w:r>
      <w:r w:rsidR="00B11B05" w:rsidRPr="00DD1B4C">
        <w:rPr>
          <w:sz w:val="22"/>
          <w:szCs w:val="22"/>
        </w:rPr>
        <w:t>in</w:t>
      </w:r>
      <w:r w:rsidRPr="00DD1B4C">
        <w:rPr>
          <w:sz w:val="22"/>
          <w:szCs w:val="22"/>
        </w:rPr>
        <w:t xml:space="preserve">to a radiocommunications receiver that is operating in accordance with its </w:t>
      </w:r>
      <w:proofErr w:type="spellStart"/>
      <w:r w:rsidRPr="00DD1B4C">
        <w:rPr>
          <w:sz w:val="22"/>
          <w:szCs w:val="22"/>
        </w:rPr>
        <w:t>licence</w:t>
      </w:r>
      <w:proofErr w:type="spellEnd"/>
      <w:r w:rsidRPr="00DD1B4C">
        <w:rPr>
          <w:sz w:val="22"/>
          <w:szCs w:val="22"/>
        </w:rPr>
        <w:t xml:space="preserve"> conditions. </w:t>
      </w:r>
    </w:p>
    <w:p w14:paraId="231A60A0" w14:textId="7E2762BD" w:rsidR="00C96648" w:rsidRPr="00DD1B4C" w:rsidRDefault="00C96648" w:rsidP="00F21945">
      <w:pPr>
        <w:spacing w:after="160" w:line="256" w:lineRule="auto"/>
        <w:rPr>
          <w:rFonts w:eastAsiaTheme="minorHAnsi"/>
          <w:sz w:val="22"/>
          <w:szCs w:val="22"/>
          <w:lang w:val="en-AU"/>
        </w:rPr>
      </w:pPr>
      <w:r w:rsidRPr="00DD1B4C">
        <w:rPr>
          <w:rFonts w:eastAsiaTheme="minorHAnsi"/>
          <w:sz w:val="22"/>
          <w:szCs w:val="22"/>
          <w:lang w:val="en-AU"/>
        </w:rPr>
        <w:t xml:space="preserve">The </w:t>
      </w:r>
      <w:r w:rsidR="00B11B05" w:rsidRPr="00DD1B4C">
        <w:rPr>
          <w:rFonts w:eastAsiaTheme="minorHAnsi"/>
          <w:sz w:val="22"/>
          <w:szCs w:val="22"/>
          <w:lang w:val="en-AU"/>
        </w:rPr>
        <w:t>Tx RAG</w:t>
      </w:r>
      <w:r w:rsidR="00B51EF3" w:rsidRPr="00DD1B4C">
        <w:rPr>
          <w:rFonts w:eastAsiaTheme="minorHAnsi"/>
          <w:sz w:val="22"/>
          <w:szCs w:val="22"/>
          <w:lang w:val="en-AU"/>
        </w:rPr>
        <w:t xml:space="preserve"> </w:t>
      </w:r>
      <w:r w:rsidRPr="00DD1B4C">
        <w:rPr>
          <w:rFonts w:eastAsiaTheme="minorHAnsi"/>
          <w:sz w:val="22"/>
          <w:szCs w:val="22"/>
          <w:lang w:val="en-AU"/>
        </w:rPr>
        <w:t>do</w:t>
      </w:r>
      <w:r w:rsidR="004E37E0">
        <w:rPr>
          <w:rFonts w:eastAsiaTheme="minorHAnsi"/>
          <w:sz w:val="22"/>
          <w:szCs w:val="22"/>
          <w:lang w:val="en-AU"/>
        </w:rPr>
        <w:t>es</w:t>
      </w:r>
      <w:r w:rsidRPr="00DD1B4C">
        <w:rPr>
          <w:rFonts w:eastAsiaTheme="minorHAnsi"/>
          <w:sz w:val="22"/>
          <w:szCs w:val="22"/>
          <w:lang w:val="en-AU"/>
        </w:rPr>
        <w:t xml:space="preserve"> not limit the actions of a spectrum licensee in negotiating operating or protection arrangements with another licensee.</w:t>
      </w:r>
      <w:r w:rsidR="00B11B05" w:rsidRPr="00DD1B4C">
        <w:rPr>
          <w:rFonts w:eastAsiaTheme="minorHAnsi"/>
          <w:sz w:val="22"/>
          <w:szCs w:val="22"/>
          <w:lang w:val="en-AU"/>
        </w:rPr>
        <w:t xml:space="preserve"> </w:t>
      </w:r>
      <w:r w:rsidR="00036B07" w:rsidRPr="00DD1B4C">
        <w:rPr>
          <w:rFonts w:eastAsiaTheme="minorHAnsi"/>
          <w:sz w:val="22"/>
          <w:szCs w:val="22"/>
          <w:lang w:val="en-AU"/>
        </w:rPr>
        <w:t>The</w:t>
      </w:r>
      <w:r w:rsidR="001F0DB5" w:rsidRPr="00DD1B4C">
        <w:rPr>
          <w:rFonts w:eastAsiaTheme="minorHAnsi"/>
          <w:sz w:val="22"/>
          <w:szCs w:val="22"/>
          <w:lang w:val="en-AU"/>
        </w:rPr>
        <w:t xml:space="preserve"> Act does not prescribe any consequences for failing to comply with the</w:t>
      </w:r>
      <w:r w:rsidR="00036B07" w:rsidRPr="00DD1B4C">
        <w:rPr>
          <w:rFonts w:eastAsiaTheme="minorHAnsi"/>
          <w:sz w:val="22"/>
          <w:szCs w:val="22"/>
          <w:lang w:val="en-AU"/>
        </w:rPr>
        <w:t xml:space="preserve"> </w:t>
      </w:r>
      <w:r w:rsidR="00B11B05" w:rsidRPr="00DD1B4C">
        <w:rPr>
          <w:rFonts w:eastAsiaTheme="minorHAnsi"/>
          <w:sz w:val="22"/>
          <w:szCs w:val="22"/>
          <w:lang w:val="en-AU"/>
        </w:rPr>
        <w:t>Tx RAG</w:t>
      </w:r>
      <w:r w:rsidR="00036B07" w:rsidRPr="00DD1B4C">
        <w:rPr>
          <w:rFonts w:eastAsiaTheme="minorHAnsi"/>
          <w:sz w:val="22"/>
          <w:szCs w:val="22"/>
          <w:lang w:val="en-AU"/>
        </w:rPr>
        <w:t>.</w:t>
      </w:r>
    </w:p>
    <w:p w14:paraId="2925C40C" w14:textId="17F6A198" w:rsidR="004E37E0" w:rsidRDefault="00A73355" w:rsidP="004E37E0">
      <w:pPr>
        <w:spacing w:after="80" w:line="256" w:lineRule="auto"/>
        <w:rPr>
          <w:rFonts w:eastAsiaTheme="minorHAnsi"/>
          <w:sz w:val="22"/>
          <w:szCs w:val="22"/>
          <w:lang w:val="en-AU"/>
        </w:rPr>
      </w:pPr>
      <w:r w:rsidRPr="00DD1B4C">
        <w:rPr>
          <w:sz w:val="22"/>
          <w:szCs w:val="22"/>
        </w:rPr>
        <w:t xml:space="preserve">The purpose of Tx RAG Variation is to amend the Tx RAG </w:t>
      </w:r>
      <w:r w:rsidR="004E37E0">
        <w:rPr>
          <w:rFonts w:eastAsiaTheme="minorHAnsi"/>
          <w:sz w:val="22"/>
          <w:szCs w:val="22"/>
          <w:lang w:val="en-AU"/>
        </w:rPr>
        <w:t>to:</w:t>
      </w:r>
    </w:p>
    <w:p w14:paraId="28DED255" w14:textId="31C5E2DA" w:rsidR="004E37E0" w:rsidRDefault="00B3016D" w:rsidP="004E37E0">
      <w:pPr>
        <w:pStyle w:val="ListParagraph"/>
        <w:numPr>
          <w:ilvl w:val="0"/>
          <w:numId w:val="26"/>
        </w:numPr>
        <w:spacing w:after="120" w:line="256" w:lineRule="auto"/>
        <w:rPr>
          <w:rFonts w:eastAsiaTheme="minorHAnsi"/>
          <w:sz w:val="22"/>
          <w:szCs w:val="22"/>
          <w:lang w:val="en-AU"/>
        </w:rPr>
      </w:pPr>
      <w:r>
        <w:rPr>
          <w:rFonts w:eastAsiaTheme="minorHAnsi"/>
          <w:sz w:val="22"/>
          <w:szCs w:val="22"/>
          <w:lang w:val="en-AU"/>
        </w:rPr>
        <w:t>set out</w:t>
      </w:r>
      <w:r w:rsidRPr="00304068">
        <w:rPr>
          <w:rFonts w:eastAsiaTheme="minorHAnsi"/>
          <w:sz w:val="22"/>
          <w:szCs w:val="22"/>
          <w:lang w:val="en-AU"/>
        </w:rPr>
        <w:t xml:space="preserve"> </w:t>
      </w:r>
      <w:r w:rsidR="004E37E0" w:rsidRPr="00304068">
        <w:rPr>
          <w:rFonts w:eastAsiaTheme="minorHAnsi"/>
          <w:sz w:val="22"/>
          <w:szCs w:val="22"/>
          <w:lang w:val="en-AU"/>
        </w:rPr>
        <w:t xml:space="preserve">interference management arrangements between </w:t>
      </w:r>
      <w:r>
        <w:rPr>
          <w:rFonts w:eastAsiaTheme="minorHAnsi"/>
          <w:sz w:val="22"/>
          <w:szCs w:val="22"/>
          <w:lang w:val="en-AU"/>
        </w:rPr>
        <w:t>3.4 GHz</w:t>
      </w:r>
      <w:r w:rsidR="004E37E0" w:rsidRPr="00304068">
        <w:rPr>
          <w:rFonts w:eastAsiaTheme="minorHAnsi"/>
          <w:sz w:val="22"/>
          <w:szCs w:val="22"/>
          <w:lang w:val="en-AU"/>
        </w:rPr>
        <w:t xml:space="preserve"> </w:t>
      </w:r>
      <w:r w:rsidR="00BA38F0">
        <w:rPr>
          <w:rFonts w:eastAsiaTheme="minorHAnsi"/>
          <w:sz w:val="22"/>
          <w:szCs w:val="22"/>
          <w:lang w:val="en-AU"/>
        </w:rPr>
        <w:t>transmitters</w:t>
      </w:r>
      <w:r w:rsidR="004E37E0" w:rsidRPr="00304068">
        <w:rPr>
          <w:rFonts w:eastAsiaTheme="minorHAnsi"/>
          <w:sz w:val="22"/>
          <w:szCs w:val="22"/>
          <w:lang w:val="en-AU"/>
        </w:rPr>
        <w:t xml:space="preserve"> and earth receive stations operated under the proposed new </w:t>
      </w:r>
      <w:r w:rsidR="004E37E0">
        <w:rPr>
          <w:rFonts w:eastAsiaTheme="minorHAnsi"/>
          <w:sz w:val="22"/>
          <w:szCs w:val="22"/>
          <w:lang w:val="en-AU"/>
        </w:rPr>
        <w:t xml:space="preserve">area-wide </w:t>
      </w:r>
      <w:r w:rsidR="004E37E0" w:rsidRPr="00304068">
        <w:rPr>
          <w:rFonts w:eastAsiaTheme="minorHAnsi"/>
          <w:sz w:val="22"/>
          <w:szCs w:val="22"/>
          <w:lang w:val="en-AU"/>
        </w:rPr>
        <w:t xml:space="preserve">receive </w:t>
      </w:r>
      <w:r w:rsidR="004E37E0">
        <w:rPr>
          <w:rFonts w:eastAsiaTheme="minorHAnsi"/>
          <w:sz w:val="22"/>
          <w:szCs w:val="22"/>
          <w:lang w:val="en-AU"/>
        </w:rPr>
        <w:t xml:space="preserve">licences </w:t>
      </w:r>
      <w:r w:rsidR="004E37E0" w:rsidRPr="00304068">
        <w:rPr>
          <w:rFonts w:eastAsiaTheme="minorHAnsi"/>
          <w:sz w:val="22"/>
          <w:szCs w:val="22"/>
          <w:lang w:val="en-AU"/>
        </w:rPr>
        <w:t>(</w:t>
      </w:r>
      <w:r w:rsidR="004E37E0" w:rsidRPr="00FD479B">
        <w:rPr>
          <w:rFonts w:eastAsiaTheme="minorHAnsi"/>
          <w:b/>
          <w:bCs/>
          <w:sz w:val="22"/>
          <w:szCs w:val="22"/>
          <w:lang w:val="en-AU"/>
        </w:rPr>
        <w:t xml:space="preserve">AWL </w:t>
      </w:r>
      <w:proofErr w:type="spellStart"/>
      <w:r w:rsidR="004E37E0" w:rsidRPr="00FD479B">
        <w:rPr>
          <w:rFonts w:eastAsiaTheme="minorHAnsi"/>
          <w:b/>
          <w:bCs/>
          <w:sz w:val="22"/>
          <w:szCs w:val="22"/>
          <w:lang w:val="en-AU"/>
        </w:rPr>
        <w:t>rx</w:t>
      </w:r>
      <w:proofErr w:type="spellEnd"/>
      <w:r w:rsidR="004E37E0" w:rsidRPr="00304068">
        <w:rPr>
          <w:rFonts w:eastAsiaTheme="minorHAnsi"/>
          <w:sz w:val="22"/>
          <w:szCs w:val="22"/>
          <w:lang w:val="en-AU"/>
        </w:rPr>
        <w:t>)</w:t>
      </w:r>
      <w:r w:rsidR="004E37E0">
        <w:rPr>
          <w:rFonts w:eastAsiaTheme="minorHAnsi"/>
          <w:sz w:val="22"/>
          <w:szCs w:val="22"/>
          <w:lang w:val="en-AU"/>
        </w:rPr>
        <w:t xml:space="preserve"> </w:t>
      </w:r>
      <w:r w:rsidR="00B62E35">
        <w:rPr>
          <w:rFonts w:eastAsiaTheme="minorHAnsi"/>
          <w:sz w:val="22"/>
          <w:szCs w:val="22"/>
          <w:lang w:val="en-AU"/>
        </w:rPr>
        <w:t>between 3.75 GHz and 4 GHz</w:t>
      </w:r>
      <w:r w:rsidR="004E37E0" w:rsidRPr="00304068">
        <w:rPr>
          <w:rFonts w:eastAsiaTheme="minorHAnsi"/>
          <w:sz w:val="22"/>
          <w:szCs w:val="22"/>
          <w:lang w:val="en-AU"/>
        </w:rPr>
        <w:t>.</w:t>
      </w:r>
    </w:p>
    <w:p w14:paraId="0737D5C8" w14:textId="308DC7D8" w:rsidR="004E37E0" w:rsidRDefault="00B62E35" w:rsidP="004E37E0">
      <w:pPr>
        <w:pStyle w:val="ListParagraph"/>
        <w:numPr>
          <w:ilvl w:val="0"/>
          <w:numId w:val="26"/>
        </w:numPr>
        <w:spacing w:after="240" w:line="256" w:lineRule="auto"/>
        <w:rPr>
          <w:rFonts w:eastAsiaTheme="minorHAnsi"/>
          <w:sz w:val="22"/>
          <w:szCs w:val="22"/>
          <w:lang w:val="en-AU"/>
        </w:rPr>
      </w:pPr>
      <w:r>
        <w:rPr>
          <w:rFonts w:eastAsiaTheme="minorHAnsi"/>
          <w:sz w:val="22"/>
          <w:szCs w:val="22"/>
          <w:lang w:val="en-AU"/>
        </w:rPr>
        <w:t>provide for</w:t>
      </w:r>
      <w:r w:rsidRPr="00304068">
        <w:rPr>
          <w:rFonts w:eastAsiaTheme="minorHAnsi"/>
          <w:sz w:val="22"/>
          <w:szCs w:val="22"/>
          <w:lang w:val="en-AU"/>
        </w:rPr>
        <w:t xml:space="preserve"> </w:t>
      </w:r>
      <w:r w:rsidR="004E37E0" w:rsidRPr="00304068">
        <w:rPr>
          <w:rFonts w:eastAsiaTheme="minorHAnsi"/>
          <w:sz w:val="22"/>
          <w:szCs w:val="22"/>
          <w:lang w:val="en-AU"/>
        </w:rPr>
        <w:t>a stricter radiofrequency (</w:t>
      </w:r>
      <w:r w:rsidR="004E37E0" w:rsidRPr="00FD479B">
        <w:rPr>
          <w:rFonts w:eastAsiaTheme="minorHAnsi"/>
          <w:b/>
          <w:bCs/>
          <w:sz w:val="22"/>
          <w:szCs w:val="22"/>
          <w:lang w:val="en-AU"/>
        </w:rPr>
        <w:t>RF</w:t>
      </w:r>
      <w:r w:rsidR="004E37E0" w:rsidRPr="00304068">
        <w:rPr>
          <w:rFonts w:eastAsiaTheme="minorHAnsi"/>
          <w:sz w:val="22"/>
          <w:szCs w:val="22"/>
          <w:lang w:val="en-AU"/>
        </w:rPr>
        <w:t>) filter that applies outside the spectrum space of an</w:t>
      </w:r>
      <w:r w:rsidR="001F47CC">
        <w:rPr>
          <w:rFonts w:eastAsiaTheme="minorHAnsi"/>
          <w:sz w:val="22"/>
          <w:szCs w:val="22"/>
          <w:lang w:val="en-AU"/>
        </w:rPr>
        <w:t xml:space="preserve"> AWL </w:t>
      </w:r>
      <w:proofErr w:type="spellStart"/>
      <w:r w:rsidR="001F47CC">
        <w:rPr>
          <w:rFonts w:eastAsiaTheme="minorHAnsi"/>
          <w:sz w:val="22"/>
          <w:szCs w:val="22"/>
          <w:lang w:val="en-AU"/>
        </w:rPr>
        <w:t>rx</w:t>
      </w:r>
      <w:proofErr w:type="spellEnd"/>
      <w:r w:rsidR="00685D89">
        <w:rPr>
          <w:rFonts w:eastAsiaTheme="minorHAnsi"/>
          <w:sz w:val="22"/>
          <w:szCs w:val="22"/>
          <w:lang w:val="en-AU"/>
        </w:rPr>
        <w:t xml:space="preserve"> or an </w:t>
      </w:r>
      <w:r w:rsidR="004E37E0">
        <w:rPr>
          <w:rFonts w:eastAsiaTheme="minorHAnsi"/>
          <w:sz w:val="22"/>
          <w:szCs w:val="22"/>
          <w:lang w:val="en-AU"/>
        </w:rPr>
        <w:t>earth receive licence</w:t>
      </w:r>
      <w:r w:rsidR="00BA38F0">
        <w:rPr>
          <w:rFonts w:eastAsiaTheme="minorHAnsi"/>
          <w:sz w:val="22"/>
          <w:szCs w:val="22"/>
          <w:lang w:val="en-AU"/>
        </w:rPr>
        <w:t>, for the purposes of working out whether</w:t>
      </w:r>
      <w:r w:rsidR="005D4F6E">
        <w:rPr>
          <w:rFonts w:eastAsiaTheme="minorHAnsi"/>
          <w:sz w:val="22"/>
          <w:szCs w:val="22"/>
          <w:lang w:val="en-AU"/>
        </w:rPr>
        <w:t xml:space="preserve"> the protection criteria for</w:t>
      </w:r>
      <w:r w:rsidR="00BA38F0">
        <w:rPr>
          <w:rFonts w:eastAsiaTheme="minorHAnsi"/>
          <w:sz w:val="22"/>
          <w:szCs w:val="22"/>
          <w:lang w:val="en-AU"/>
        </w:rPr>
        <w:t xml:space="preserve"> an earth receive station operated under such a licence </w:t>
      </w:r>
      <w:r w:rsidR="00235A1F">
        <w:rPr>
          <w:rFonts w:eastAsiaTheme="minorHAnsi"/>
          <w:sz w:val="22"/>
          <w:szCs w:val="22"/>
          <w:lang w:val="en-AU"/>
        </w:rPr>
        <w:t xml:space="preserve">are </w:t>
      </w:r>
      <w:r w:rsidR="005D4F6E">
        <w:rPr>
          <w:rFonts w:eastAsiaTheme="minorHAnsi"/>
          <w:sz w:val="22"/>
          <w:szCs w:val="22"/>
          <w:lang w:val="en-AU"/>
        </w:rPr>
        <w:t xml:space="preserve">being </w:t>
      </w:r>
      <w:r w:rsidR="00235A1F">
        <w:rPr>
          <w:rFonts w:eastAsiaTheme="minorHAnsi"/>
          <w:sz w:val="22"/>
          <w:szCs w:val="22"/>
          <w:lang w:val="en-AU"/>
        </w:rPr>
        <w:t xml:space="preserve">met </w:t>
      </w:r>
      <w:r w:rsidR="005D4F6E">
        <w:rPr>
          <w:rFonts w:eastAsiaTheme="minorHAnsi"/>
          <w:sz w:val="22"/>
          <w:szCs w:val="22"/>
          <w:lang w:val="en-AU"/>
        </w:rPr>
        <w:t xml:space="preserve">by </w:t>
      </w:r>
      <w:r w:rsidR="00BA38F0">
        <w:rPr>
          <w:rFonts w:eastAsiaTheme="minorHAnsi"/>
          <w:sz w:val="22"/>
          <w:szCs w:val="22"/>
          <w:lang w:val="en-AU"/>
        </w:rPr>
        <w:t>a 3.4</w:t>
      </w:r>
      <w:r w:rsidR="00685D89">
        <w:rPr>
          <w:rFonts w:eastAsiaTheme="minorHAnsi"/>
          <w:sz w:val="22"/>
          <w:szCs w:val="22"/>
          <w:lang w:val="en-AU"/>
        </w:rPr>
        <w:t> </w:t>
      </w:r>
      <w:r w:rsidR="00BA38F0">
        <w:rPr>
          <w:rFonts w:eastAsiaTheme="minorHAnsi"/>
          <w:sz w:val="22"/>
          <w:szCs w:val="22"/>
          <w:lang w:val="en-AU"/>
        </w:rPr>
        <w:t>GHz transmitter</w:t>
      </w:r>
      <w:r w:rsidR="004E37E0">
        <w:rPr>
          <w:rFonts w:eastAsiaTheme="minorHAnsi"/>
          <w:sz w:val="22"/>
          <w:szCs w:val="22"/>
          <w:lang w:val="en-AU"/>
        </w:rPr>
        <w:t>.</w:t>
      </w:r>
    </w:p>
    <w:p w14:paraId="0AB2921B" w14:textId="7D609CD3" w:rsidR="004C0733" w:rsidRDefault="004C0733" w:rsidP="004C0733">
      <w:pPr>
        <w:spacing w:after="160" w:line="256" w:lineRule="auto"/>
        <w:rPr>
          <w:rFonts w:eastAsiaTheme="minorHAnsi"/>
          <w:sz w:val="22"/>
          <w:szCs w:val="22"/>
          <w:lang w:val="en-AU"/>
        </w:rPr>
      </w:pPr>
      <w:r>
        <w:rPr>
          <w:rFonts w:eastAsiaTheme="minorHAnsi"/>
          <w:sz w:val="22"/>
          <w:szCs w:val="22"/>
          <w:lang w:val="en-AU"/>
        </w:rPr>
        <w:t xml:space="preserve">A provision-by-provision description of the Tx RAG Variation </w:t>
      </w:r>
      <w:r w:rsidR="006E2E17">
        <w:rPr>
          <w:rFonts w:eastAsiaTheme="minorHAnsi"/>
          <w:sz w:val="22"/>
          <w:szCs w:val="22"/>
          <w:lang w:val="en-AU"/>
        </w:rPr>
        <w:t xml:space="preserve">is set out in the notes at </w:t>
      </w:r>
      <w:r w:rsidR="006E2E17" w:rsidRPr="007E10A9">
        <w:rPr>
          <w:rFonts w:eastAsiaTheme="minorHAnsi"/>
          <w:b/>
          <w:bCs/>
          <w:sz w:val="22"/>
          <w:szCs w:val="22"/>
          <w:lang w:val="en-AU"/>
        </w:rPr>
        <w:t>Attachment A</w:t>
      </w:r>
      <w:r w:rsidR="006E2E17">
        <w:rPr>
          <w:rFonts w:eastAsiaTheme="minorHAnsi"/>
          <w:sz w:val="22"/>
          <w:szCs w:val="22"/>
          <w:lang w:val="en-AU"/>
        </w:rPr>
        <w:t>.</w:t>
      </w:r>
    </w:p>
    <w:p w14:paraId="74769D9A" w14:textId="055825E9" w:rsidR="006E2E17" w:rsidRPr="007E10A9" w:rsidRDefault="006E2E17" w:rsidP="007E10A9">
      <w:pPr>
        <w:spacing w:after="160" w:line="256" w:lineRule="auto"/>
        <w:rPr>
          <w:rFonts w:eastAsiaTheme="minorHAnsi"/>
          <w:sz w:val="22"/>
          <w:szCs w:val="22"/>
          <w:lang w:val="en-AU"/>
        </w:rPr>
      </w:pPr>
      <w:r>
        <w:rPr>
          <w:rFonts w:eastAsiaTheme="minorHAnsi"/>
          <w:sz w:val="22"/>
          <w:szCs w:val="22"/>
          <w:lang w:val="en-AU"/>
        </w:rPr>
        <w:t xml:space="preserve">The Tx RAG Variation is a disallowable legislative instrument under the </w:t>
      </w:r>
      <w:r>
        <w:rPr>
          <w:rFonts w:eastAsiaTheme="minorHAnsi"/>
          <w:i/>
          <w:iCs/>
          <w:sz w:val="22"/>
          <w:szCs w:val="22"/>
          <w:lang w:val="en-AU"/>
        </w:rPr>
        <w:t xml:space="preserve">Legislation Act 2003 </w:t>
      </w:r>
      <w:r>
        <w:rPr>
          <w:rFonts w:eastAsiaTheme="minorHAnsi"/>
          <w:sz w:val="22"/>
          <w:szCs w:val="22"/>
          <w:lang w:val="en-AU"/>
        </w:rPr>
        <w:t>(</w:t>
      </w:r>
      <w:r>
        <w:rPr>
          <w:rFonts w:eastAsiaTheme="minorHAnsi"/>
          <w:b/>
          <w:bCs/>
          <w:sz w:val="22"/>
          <w:szCs w:val="22"/>
          <w:lang w:val="en-AU"/>
        </w:rPr>
        <w:t>the LA</w:t>
      </w:r>
      <w:r>
        <w:rPr>
          <w:rFonts w:eastAsiaTheme="minorHAnsi"/>
          <w:sz w:val="22"/>
          <w:szCs w:val="22"/>
          <w:lang w:val="en-AU"/>
        </w:rPr>
        <w:t>). The Tx RAG is subject to the sunsetting provisions in Part 4 of Chapter 3 of the LA.</w:t>
      </w:r>
    </w:p>
    <w:p w14:paraId="41155C99" w14:textId="0D4F7E1C" w:rsidR="00733112" w:rsidRPr="00DD1B4C" w:rsidRDefault="00733112" w:rsidP="009E0DAC">
      <w:pPr>
        <w:keepNext/>
        <w:keepLines/>
        <w:spacing w:before="280" w:after="160" w:line="257" w:lineRule="auto"/>
        <w:rPr>
          <w:rFonts w:eastAsiaTheme="minorHAnsi"/>
          <w:b/>
          <w:sz w:val="22"/>
          <w:szCs w:val="22"/>
          <w:lang w:val="en-AU"/>
        </w:rPr>
      </w:pPr>
      <w:r w:rsidRPr="00DD1B4C">
        <w:rPr>
          <w:rFonts w:eastAsiaTheme="minorHAnsi"/>
          <w:b/>
          <w:sz w:val="22"/>
          <w:szCs w:val="22"/>
          <w:lang w:val="en-AU"/>
        </w:rPr>
        <w:t xml:space="preserve">Documents </w:t>
      </w:r>
      <w:r w:rsidR="008166C3" w:rsidRPr="00DD1B4C">
        <w:rPr>
          <w:rFonts w:eastAsiaTheme="minorHAnsi"/>
          <w:b/>
          <w:sz w:val="22"/>
          <w:szCs w:val="22"/>
          <w:lang w:val="en-AU"/>
        </w:rPr>
        <w:t>i</w:t>
      </w:r>
      <w:r w:rsidRPr="00DD1B4C">
        <w:rPr>
          <w:rFonts w:eastAsiaTheme="minorHAnsi"/>
          <w:b/>
          <w:sz w:val="22"/>
          <w:szCs w:val="22"/>
          <w:lang w:val="en-AU"/>
        </w:rPr>
        <w:t xml:space="preserve">ncorporated by </w:t>
      </w:r>
      <w:proofErr w:type="gramStart"/>
      <w:r w:rsidR="008166C3" w:rsidRPr="00DD1B4C">
        <w:rPr>
          <w:rFonts w:eastAsiaTheme="minorHAnsi"/>
          <w:b/>
          <w:sz w:val="22"/>
          <w:szCs w:val="22"/>
          <w:lang w:val="en-AU"/>
        </w:rPr>
        <w:t>r</w:t>
      </w:r>
      <w:r w:rsidRPr="00DD1B4C">
        <w:rPr>
          <w:rFonts w:eastAsiaTheme="minorHAnsi"/>
          <w:b/>
          <w:sz w:val="22"/>
          <w:szCs w:val="22"/>
          <w:lang w:val="en-AU"/>
        </w:rPr>
        <w:t>eference</w:t>
      </w:r>
      <w:proofErr w:type="gramEnd"/>
    </w:p>
    <w:p w14:paraId="47253FB6" w14:textId="77777777" w:rsidR="00283801" w:rsidRPr="00DD1B4C" w:rsidRDefault="000172EF" w:rsidP="007E10A9">
      <w:pPr>
        <w:keepLines/>
        <w:spacing w:after="160" w:line="257" w:lineRule="auto"/>
        <w:rPr>
          <w:rFonts w:eastAsiaTheme="minorHAnsi"/>
          <w:sz w:val="22"/>
          <w:szCs w:val="22"/>
          <w:lang w:val="en-AU"/>
        </w:rPr>
      </w:pPr>
      <w:r w:rsidRPr="00DD1B4C">
        <w:rPr>
          <w:rFonts w:eastAsiaTheme="minorHAnsi"/>
          <w:sz w:val="22"/>
          <w:szCs w:val="22"/>
          <w:lang w:val="en-AU"/>
        </w:rPr>
        <w:t xml:space="preserve">Subsection 314A(2) of the Act provides that an instrument under the Act may make provision in relation to a matter by applying, </w:t>
      </w:r>
      <w:proofErr w:type="gramStart"/>
      <w:r w:rsidRPr="00DD1B4C">
        <w:rPr>
          <w:rFonts w:eastAsiaTheme="minorHAnsi"/>
          <w:sz w:val="22"/>
          <w:szCs w:val="22"/>
          <w:lang w:val="en-AU"/>
        </w:rPr>
        <w:t>adopting</w:t>
      </w:r>
      <w:proofErr w:type="gramEnd"/>
      <w:r w:rsidRPr="00DD1B4C">
        <w:rPr>
          <w:rFonts w:eastAsiaTheme="minorHAnsi"/>
          <w:sz w:val="22"/>
          <w:szCs w:val="22"/>
          <w:lang w:val="en-AU"/>
        </w:rPr>
        <w:t xml:space="preserve"> or incorporating (with or without modifications) matter contained in any other instrument or writing as in force or existing at a particular time, or from time to time. </w:t>
      </w:r>
    </w:p>
    <w:p w14:paraId="37511F4E" w14:textId="34EF65EC" w:rsidR="00F24E27" w:rsidRPr="007E10A9" w:rsidRDefault="004E37E0" w:rsidP="00F24E27">
      <w:pPr>
        <w:keepNext/>
        <w:keepLines/>
        <w:spacing w:after="160" w:line="257" w:lineRule="auto"/>
        <w:rPr>
          <w:color w:val="000000"/>
          <w:sz w:val="22"/>
          <w:szCs w:val="22"/>
          <w:shd w:val="clear" w:color="auto" w:fill="FFFFFF"/>
        </w:rPr>
      </w:pPr>
      <w:r w:rsidRPr="007E10A9">
        <w:rPr>
          <w:color w:val="000000"/>
          <w:sz w:val="22"/>
          <w:szCs w:val="22"/>
          <w:shd w:val="clear" w:color="auto" w:fill="FFFFFF"/>
        </w:rPr>
        <w:t xml:space="preserve">The Tx RAG </w:t>
      </w:r>
      <w:r w:rsidR="006E2E17" w:rsidRPr="007E10A9">
        <w:rPr>
          <w:color w:val="000000"/>
          <w:sz w:val="22"/>
          <w:szCs w:val="22"/>
          <w:shd w:val="clear" w:color="auto" w:fill="FFFFFF"/>
        </w:rPr>
        <w:t>V</w:t>
      </w:r>
      <w:r w:rsidRPr="007E10A9">
        <w:rPr>
          <w:color w:val="000000"/>
          <w:sz w:val="22"/>
          <w:szCs w:val="22"/>
          <w:shd w:val="clear" w:color="auto" w:fill="FFFFFF"/>
        </w:rPr>
        <w:t xml:space="preserve">ariation </w:t>
      </w:r>
      <w:r w:rsidR="006E2E17" w:rsidRPr="007E10A9">
        <w:rPr>
          <w:color w:val="000000"/>
          <w:sz w:val="22"/>
          <w:szCs w:val="22"/>
          <w:shd w:val="clear" w:color="auto" w:fill="FFFFFF"/>
        </w:rPr>
        <w:t xml:space="preserve">amends the Tx RAG to </w:t>
      </w:r>
      <w:r w:rsidRPr="007E10A9">
        <w:rPr>
          <w:color w:val="000000"/>
          <w:sz w:val="22"/>
          <w:szCs w:val="22"/>
          <w:shd w:val="clear" w:color="auto" w:fill="FFFFFF"/>
        </w:rPr>
        <w:t>incorporate</w:t>
      </w:r>
      <w:r w:rsidR="00FD7672">
        <w:rPr>
          <w:color w:val="000000"/>
          <w:sz w:val="22"/>
          <w:szCs w:val="22"/>
          <w:shd w:val="clear" w:color="auto" w:fill="FFFFFF"/>
        </w:rPr>
        <w:t xml:space="preserve"> the following documents, as existing from time to time</w:t>
      </w:r>
      <w:r w:rsidR="00F24E27" w:rsidRPr="007E10A9">
        <w:rPr>
          <w:color w:val="000000"/>
          <w:sz w:val="22"/>
          <w:szCs w:val="22"/>
          <w:shd w:val="clear" w:color="auto" w:fill="FFFFFF"/>
        </w:rPr>
        <w:t>:</w:t>
      </w:r>
    </w:p>
    <w:p w14:paraId="7E4C7018" w14:textId="77777777" w:rsidR="00B129F7" w:rsidRDefault="006911A0" w:rsidP="00F24E27">
      <w:pPr>
        <w:pStyle w:val="ListParagraph"/>
        <w:keepLines/>
        <w:numPr>
          <w:ilvl w:val="0"/>
          <w:numId w:val="30"/>
        </w:numPr>
        <w:spacing w:after="160" w:line="257" w:lineRule="auto"/>
        <w:ind w:left="714" w:hanging="357"/>
        <w:rPr>
          <w:color w:val="000000"/>
          <w:sz w:val="22"/>
          <w:szCs w:val="22"/>
          <w:shd w:val="clear" w:color="auto" w:fill="FFFFFF"/>
        </w:rPr>
      </w:pPr>
      <w:r>
        <w:rPr>
          <w:color w:val="000000"/>
          <w:sz w:val="22"/>
          <w:szCs w:val="22"/>
          <w:shd w:val="clear" w:color="auto" w:fill="FFFFFF"/>
        </w:rPr>
        <w:t xml:space="preserve">ITU-R Recommendation P.452, </w:t>
      </w:r>
      <w:r w:rsidR="00B129F7">
        <w:rPr>
          <w:color w:val="000000"/>
          <w:sz w:val="22"/>
          <w:szCs w:val="22"/>
          <w:shd w:val="clear" w:color="auto" w:fill="FFFFFF"/>
        </w:rPr>
        <w:t>published by the Radiocommunications Sector of the International Telecommunication Union (</w:t>
      </w:r>
      <w:r w:rsidR="00B129F7" w:rsidRPr="007E10A9">
        <w:rPr>
          <w:b/>
          <w:bCs/>
          <w:color w:val="000000"/>
          <w:sz w:val="22"/>
          <w:szCs w:val="22"/>
          <w:shd w:val="clear" w:color="auto" w:fill="FFFFFF"/>
        </w:rPr>
        <w:t>ITU-R</w:t>
      </w:r>
      <w:r w:rsidR="00B129F7">
        <w:rPr>
          <w:color w:val="000000"/>
          <w:sz w:val="22"/>
          <w:szCs w:val="22"/>
          <w:shd w:val="clear" w:color="auto" w:fill="FFFFFF"/>
        </w:rPr>
        <w:t xml:space="preserve">) and available, free of charge, at </w:t>
      </w:r>
      <w:hyperlink r:id="rId12" w:history="1">
        <w:r w:rsidR="00B129F7" w:rsidRPr="009A4DA8">
          <w:rPr>
            <w:rStyle w:val="Hyperlink"/>
            <w:sz w:val="22"/>
            <w:szCs w:val="22"/>
            <w:shd w:val="clear" w:color="auto" w:fill="FFFFFF"/>
          </w:rPr>
          <w:t>www.itu.int</w:t>
        </w:r>
      </w:hyperlink>
      <w:r w:rsidR="00B129F7">
        <w:rPr>
          <w:color w:val="000000"/>
          <w:sz w:val="22"/>
          <w:szCs w:val="22"/>
          <w:shd w:val="clear" w:color="auto" w:fill="FFFFFF"/>
        </w:rPr>
        <w:t>;</w:t>
      </w:r>
    </w:p>
    <w:p w14:paraId="49FDA209" w14:textId="5C4CE314" w:rsidR="00F24E27" w:rsidRPr="007E10A9" w:rsidRDefault="00FD7672" w:rsidP="007E10A9">
      <w:pPr>
        <w:pStyle w:val="ListParagraph"/>
        <w:keepLines/>
        <w:numPr>
          <w:ilvl w:val="0"/>
          <w:numId w:val="30"/>
        </w:numPr>
        <w:spacing w:after="160" w:line="257" w:lineRule="auto"/>
        <w:ind w:left="714" w:hanging="357"/>
        <w:rPr>
          <w:color w:val="000000"/>
          <w:sz w:val="22"/>
          <w:szCs w:val="22"/>
          <w:shd w:val="clear" w:color="auto" w:fill="FFFFFF"/>
        </w:rPr>
      </w:pPr>
      <w:r>
        <w:rPr>
          <w:color w:val="000000"/>
          <w:sz w:val="22"/>
          <w:szCs w:val="22"/>
          <w:shd w:val="clear" w:color="auto" w:fill="FFFFFF"/>
        </w:rPr>
        <w:t xml:space="preserve">ITU-R Recommendation S.465, published by the ITU-R and available, free of charge, at </w:t>
      </w:r>
      <w:hyperlink r:id="rId13" w:history="1">
        <w:r w:rsidRPr="009A4DA8">
          <w:rPr>
            <w:rStyle w:val="Hyperlink"/>
            <w:sz w:val="22"/>
            <w:szCs w:val="22"/>
            <w:shd w:val="clear" w:color="auto" w:fill="FFFFFF"/>
          </w:rPr>
          <w:t>www.itu.int</w:t>
        </w:r>
      </w:hyperlink>
      <w:r>
        <w:rPr>
          <w:color w:val="000000"/>
          <w:sz w:val="22"/>
          <w:szCs w:val="22"/>
          <w:shd w:val="clear" w:color="auto" w:fill="FFFFFF"/>
        </w:rPr>
        <w:t xml:space="preserve">. </w:t>
      </w:r>
    </w:p>
    <w:p w14:paraId="220AA414" w14:textId="69A62B4C" w:rsidR="000E2E41" w:rsidRPr="004E37E0" w:rsidRDefault="00A91895" w:rsidP="000E2E41">
      <w:pPr>
        <w:keepNext/>
        <w:keepLines/>
        <w:spacing w:after="160" w:line="257" w:lineRule="auto"/>
        <w:rPr>
          <w:rFonts w:eastAsiaTheme="minorHAnsi"/>
          <w:bCs/>
          <w:sz w:val="22"/>
          <w:szCs w:val="22"/>
          <w:lang w:val="en-AU"/>
        </w:rPr>
      </w:pPr>
      <w:r>
        <w:rPr>
          <w:rFonts w:eastAsiaTheme="minorHAnsi"/>
          <w:bCs/>
          <w:sz w:val="22"/>
          <w:szCs w:val="22"/>
          <w:lang w:val="en-AU"/>
        </w:rPr>
        <w:lastRenderedPageBreak/>
        <w:t xml:space="preserve">The Tx RAG Variation </w:t>
      </w:r>
      <w:r w:rsidR="00AD59E0">
        <w:rPr>
          <w:rFonts w:eastAsiaTheme="minorHAnsi"/>
          <w:bCs/>
          <w:sz w:val="22"/>
          <w:szCs w:val="22"/>
          <w:lang w:val="en-AU"/>
        </w:rPr>
        <w:t xml:space="preserve">amends the Tx RAG to refer to the </w:t>
      </w:r>
      <w:r w:rsidR="00AD59E0">
        <w:rPr>
          <w:rFonts w:eastAsiaTheme="minorHAnsi"/>
          <w:bCs/>
          <w:i/>
          <w:iCs/>
          <w:sz w:val="22"/>
          <w:szCs w:val="22"/>
          <w:lang w:val="en-AU"/>
        </w:rPr>
        <w:t>Radiocommunications</w:t>
      </w:r>
      <w:r w:rsidR="00FD7672">
        <w:rPr>
          <w:rFonts w:eastAsiaTheme="minorHAnsi"/>
          <w:bCs/>
          <w:i/>
          <w:iCs/>
          <w:sz w:val="22"/>
          <w:szCs w:val="22"/>
          <w:lang w:val="en-AU"/>
        </w:rPr>
        <w:t xml:space="preserve"> (Interpretation) Determination </w:t>
      </w:r>
      <w:proofErr w:type="gramStart"/>
      <w:r w:rsidR="00FD7672">
        <w:rPr>
          <w:rFonts w:eastAsiaTheme="minorHAnsi"/>
          <w:bCs/>
          <w:i/>
          <w:iCs/>
          <w:sz w:val="22"/>
          <w:szCs w:val="22"/>
          <w:lang w:val="en-AU"/>
        </w:rPr>
        <w:t>2015</w:t>
      </w:r>
      <w:r w:rsidR="00FD7672">
        <w:rPr>
          <w:rFonts w:eastAsiaTheme="minorHAnsi"/>
          <w:bCs/>
          <w:sz w:val="22"/>
          <w:szCs w:val="22"/>
          <w:lang w:val="en-AU"/>
        </w:rPr>
        <w:t>, but</w:t>
      </w:r>
      <w:proofErr w:type="gramEnd"/>
      <w:r w:rsidR="00FD7672">
        <w:rPr>
          <w:rFonts w:eastAsiaTheme="minorHAnsi"/>
          <w:bCs/>
          <w:sz w:val="22"/>
          <w:szCs w:val="22"/>
          <w:lang w:val="en-AU"/>
        </w:rPr>
        <w:t xml:space="preserve"> does not incorporate it by reference. That instrument is available, free of charge, from the Federal Register of Legislation at </w:t>
      </w:r>
      <w:hyperlink r:id="rId14" w:history="1">
        <w:r w:rsidR="00FD7672" w:rsidRPr="009A4DA8">
          <w:rPr>
            <w:rStyle w:val="Hyperlink"/>
            <w:rFonts w:eastAsiaTheme="minorHAnsi"/>
            <w:bCs/>
            <w:sz w:val="22"/>
            <w:szCs w:val="22"/>
            <w:lang w:val="en-AU"/>
          </w:rPr>
          <w:t>www.legislation.gov.au</w:t>
        </w:r>
      </w:hyperlink>
      <w:r w:rsidR="00FD7672">
        <w:rPr>
          <w:rFonts w:eastAsiaTheme="minorHAnsi"/>
          <w:bCs/>
          <w:sz w:val="22"/>
          <w:szCs w:val="22"/>
          <w:lang w:val="en-AU"/>
        </w:rPr>
        <w:t>.</w:t>
      </w:r>
    </w:p>
    <w:p w14:paraId="50C8E624" w14:textId="77777777" w:rsidR="008615D3" w:rsidRPr="00DD1B4C" w:rsidRDefault="00E76C4B" w:rsidP="009E0DAC">
      <w:pPr>
        <w:keepNext/>
        <w:spacing w:before="280" w:after="160" w:line="257" w:lineRule="auto"/>
        <w:rPr>
          <w:rFonts w:eastAsiaTheme="minorHAnsi"/>
          <w:b/>
          <w:sz w:val="22"/>
          <w:szCs w:val="22"/>
          <w:lang w:val="en-AU"/>
        </w:rPr>
      </w:pPr>
      <w:r w:rsidRPr="00DD1B4C">
        <w:rPr>
          <w:rFonts w:eastAsiaTheme="minorHAnsi"/>
          <w:b/>
          <w:sz w:val="22"/>
          <w:szCs w:val="22"/>
          <w:lang w:val="en-AU"/>
        </w:rPr>
        <w:t>Consultation</w:t>
      </w:r>
    </w:p>
    <w:p w14:paraId="5E541ECB" w14:textId="4A61B65C" w:rsidR="008166C3" w:rsidRPr="00DD1B4C" w:rsidRDefault="008166C3" w:rsidP="00B3129C">
      <w:pPr>
        <w:spacing w:after="160" w:line="256" w:lineRule="auto"/>
        <w:rPr>
          <w:rFonts w:eastAsiaTheme="minorHAnsi"/>
          <w:sz w:val="22"/>
          <w:szCs w:val="22"/>
          <w:lang w:val="en-AU"/>
        </w:rPr>
      </w:pPr>
      <w:r w:rsidRPr="00DD1B4C">
        <w:rPr>
          <w:rFonts w:eastAsiaTheme="minorHAnsi"/>
          <w:sz w:val="22"/>
          <w:szCs w:val="22"/>
          <w:lang w:val="en-AU"/>
        </w:rPr>
        <w:t xml:space="preserve">Before the </w:t>
      </w:r>
      <w:r w:rsidR="00802E5E" w:rsidRPr="00DD1B4C">
        <w:rPr>
          <w:rFonts w:eastAsiaTheme="minorHAnsi"/>
          <w:sz w:val="22"/>
          <w:szCs w:val="22"/>
          <w:lang w:val="en-AU"/>
        </w:rPr>
        <w:t>Tx RAG Variation</w:t>
      </w:r>
      <w:r w:rsidR="004E37E0">
        <w:rPr>
          <w:rFonts w:eastAsiaTheme="minorHAnsi"/>
          <w:sz w:val="22"/>
          <w:szCs w:val="22"/>
          <w:lang w:val="en-AU"/>
        </w:rPr>
        <w:t xml:space="preserve"> was</w:t>
      </w:r>
      <w:r w:rsidRPr="00DD1B4C">
        <w:rPr>
          <w:rFonts w:eastAsiaTheme="minorHAnsi"/>
          <w:sz w:val="22"/>
          <w:szCs w:val="22"/>
          <w:lang w:val="en-AU"/>
        </w:rPr>
        <w:t xml:space="preserve"> made, the ACMA was satisfied that consultation was undertaken to the extent appropriate and reasonably practicable, in accordance with section 17 of the LA.</w:t>
      </w:r>
    </w:p>
    <w:p w14:paraId="02F60892" w14:textId="320A33F7" w:rsidR="004E37E0" w:rsidRDefault="00DA3A20" w:rsidP="004E37E0">
      <w:pPr>
        <w:shd w:val="clear" w:color="auto" w:fill="FFFFFF" w:themeFill="background1"/>
        <w:spacing w:after="160" w:line="233" w:lineRule="atLeast"/>
        <w:rPr>
          <w:color w:val="000000" w:themeColor="text1"/>
          <w:sz w:val="22"/>
          <w:szCs w:val="22"/>
          <w:lang w:eastAsia="en-AU"/>
        </w:rPr>
      </w:pPr>
      <w:r>
        <w:rPr>
          <w:color w:val="000000" w:themeColor="text1"/>
          <w:sz w:val="22"/>
          <w:szCs w:val="22"/>
          <w:lang w:eastAsia="en-AU"/>
        </w:rPr>
        <w:t>A draft version of the Tx RAG variation was released for public consultation from</w:t>
      </w:r>
      <w:r w:rsidR="004E37E0">
        <w:rPr>
          <w:color w:val="000000" w:themeColor="text1"/>
          <w:sz w:val="22"/>
          <w:szCs w:val="22"/>
          <w:lang w:eastAsia="en-AU"/>
        </w:rPr>
        <w:t xml:space="preserve"> 20 June 2023 to </w:t>
      </w:r>
      <w:r w:rsidR="00714B05">
        <w:rPr>
          <w:color w:val="000000" w:themeColor="text1"/>
          <w:sz w:val="22"/>
          <w:szCs w:val="22"/>
          <w:lang w:eastAsia="en-AU"/>
        </w:rPr>
        <w:t>1 </w:t>
      </w:r>
      <w:r>
        <w:rPr>
          <w:color w:val="000000" w:themeColor="text1"/>
          <w:sz w:val="22"/>
          <w:szCs w:val="22"/>
          <w:lang w:eastAsia="en-AU"/>
        </w:rPr>
        <w:t xml:space="preserve">August 2023. This was part of a broader consultation on the </w:t>
      </w:r>
      <w:r w:rsidRPr="00DD1B4C">
        <w:rPr>
          <w:rFonts w:eastAsiaTheme="minorHAnsi"/>
          <w:sz w:val="22"/>
          <w:szCs w:val="22"/>
          <w:lang w:val="en-AU"/>
        </w:rPr>
        <w:t xml:space="preserve">draft </w:t>
      </w:r>
      <w:r>
        <w:rPr>
          <w:rFonts w:eastAsiaTheme="minorHAnsi"/>
          <w:sz w:val="22"/>
          <w:szCs w:val="22"/>
          <w:lang w:val="en-AU"/>
        </w:rPr>
        <w:t xml:space="preserve">licensing, </w:t>
      </w:r>
      <w:proofErr w:type="gramStart"/>
      <w:r w:rsidRPr="00DD1B4C">
        <w:rPr>
          <w:rFonts w:eastAsiaTheme="minorHAnsi"/>
          <w:sz w:val="22"/>
          <w:szCs w:val="22"/>
          <w:lang w:val="en-AU"/>
        </w:rPr>
        <w:t>allocation</w:t>
      </w:r>
      <w:proofErr w:type="gramEnd"/>
      <w:r w:rsidRPr="00DD1B4C">
        <w:rPr>
          <w:rFonts w:eastAsiaTheme="minorHAnsi"/>
          <w:sz w:val="22"/>
          <w:szCs w:val="22"/>
          <w:lang w:val="en-AU"/>
        </w:rPr>
        <w:t xml:space="preserve"> and technical </w:t>
      </w:r>
      <w:r>
        <w:rPr>
          <w:rFonts w:eastAsiaTheme="minorHAnsi"/>
          <w:sz w:val="22"/>
          <w:szCs w:val="22"/>
          <w:lang w:val="en-AU"/>
        </w:rPr>
        <w:t xml:space="preserve">framework </w:t>
      </w:r>
      <w:r w:rsidRPr="00DD1B4C">
        <w:rPr>
          <w:rFonts w:eastAsiaTheme="minorHAnsi"/>
          <w:sz w:val="22"/>
          <w:szCs w:val="22"/>
          <w:lang w:val="en-AU"/>
        </w:rPr>
        <w:t xml:space="preserve">for the </w:t>
      </w:r>
      <w:r w:rsidR="00714B05">
        <w:rPr>
          <w:rFonts w:eastAsiaTheme="minorHAnsi"/>
          <w:sz w:val="22"/>
          <w:szCs w:val="22"/>
          <w:lang w:val="en-AU"/>
        </w:rPr>
        <w:t>allocation of</w:t>
      </w:r>
      <w:r>
        <w:rPr>
          <w:rFonts w:eastAsiaTheme="minorHAnsi"/>
          <w:sz w:val="22"/>
          <w:szCs w:val="22"/>
          <w:lang w:val="en-AU"/>
        </w:rPr>
        <w:t xml:space="preserve"> area-wide licences</w:t>
      </w:r>
      <w:r w:rsidR="003F3178">
        <w:rPr>
          <w:rFonts w:eastAsiaTheme="minorHAnsi"/>
          <w:sz w:val="22"/>
          <w:szCs w:val="22"/>
          <w:lang w:val="en-AU"/>
        </w:rPr>
        <w:t xml:space="preserve"> (</w:t>
      </w:r>
      <w:r w:rsidR="003F3178" w:rsidRPr="003F3178">
        <w:rPr>
          <w:rFonts w:eastAsiaTheme="minorHAnsi"/>
          <w:b/>
          <w:bCs/>
          <w:sz w:val="22"/>
          <w:szCs w:val="22"/>
          <w:lang w:val="en-AU"/>
        </w:rPr>
        <w:t>AWL</w:t>
      </w:r>
      <w:r w:rsidR="003F3178">
        <w:rPr>
          <w:rFonts w:eastAsiaTheme="minorHAnsi"/>
          <w:sz w:val="22"/>
          <w:szCs w:val="22"/>
          <w:lang w:val="en-AU"/>
        </w:rPr>
        <w:t>)</w:t>
      </w:r>
      <w:r w:rsidR="00996E44">
        <w:rPr>
          <w:rFonts w:eastAsiaTheme="minorHAnsi"/>
          <w:sz w:val="22"/>
          <w:szCs w:val="22"/>
          <w:lang w:val="en-AU"/>
        </w:rPr>
        <w:t xml:space="preserve"> and </w:t>
      </w:r>
      <w:r w:rsidR="003F3178">
        <w:rPr>
          <w:rFonts w:eastAsiaTheme="minorHAnsi"/>
          <w:sz w:val="22"/>
          <w:szCs w:val="22"/>
          <w:lang w:val="en-AU"/>
        </w:rPr>
        <w:t xml:space="preserve">AWL </w:t>
      </w:r>
      <w:proofErr w:type="spellStart"/>
      <w:r w:rsidR="003F3178">
        <w:rPr>
          <w:rFonts w:eastAsiaTheme="minorHAnsi"/>
          <w:sz w:val="22"/>
          <w:szCs w:val="22"/>
          <w:lang w:val="en-AU"/>
        </w:rPr>
        <w:t>rx</w:t>
      </w:r>
      <w:proofErr w:type="spellEnd"/>
      <w:r w:rsidR="00714B05">
        <w:rPr>
          <w:rFonts w:eastAsiaTheme="minorHAnsi"/>
          <w:sz w:val="22"/>
          <w:szCs w:val="22"/>
          <w:lang w:val="en-AU"/>
        </w:rPr>
        <w:t xml:space="preserve"> in the part of the spectrum from 3</w:t>
      </w:r>
      <w:r w:rsidR="00996E44">
        <w:rPr>
          <w:rFonts w:eastAsiaTheme="minorHAnsi"/>
          <w:sz w:val="22"/>
          <w:szCs w:val="22"/>
          <w:lang w:val="en-AU"/>
        </w:rPr>
        <w:t>.8 GHz to 3.95 GHz in metropolitan areas, and from 3.75 GHz to 3.95 GHz in regional areas (</w:t>
      </w:r>
      <w:r w:rsidR="00996E44" w:rsidRPr="003F3178">
        <w:rPr>
          <w:rFonts w:eastAsiaTheme="minorHAnsi"/>
          <w:b/>
          <w:bCs/>
          <w:sz w:val="22"/>
          <w:szCs w:val="22"/>
          <w:lang w:val="en-AU"/>
        </w:rPr>
        <w:t>3.8 GHz band</w:t>
      </w:r>
      <w:r w:rsidR="00996E44">
        <w:rPr>
          <w:rFonts w:eastAsiaTheme="minorHAnsi"/>
          <w:sz w:val="22"/>
          <w:szCs w:val="22"/>
          <w:lang w:val="en-AU"/>
        </w:rPr>
        <w:t>)</w:t>
      </w:r>
      <w:r w:rsidRPr="00DD1B4C">
        <w:rPr>
          <w:rFonts w:eastAsiaTheme="minorHAnsi"/>
          <w:sz w:val="22"/>
          <w:szCs w:val="22"/>
          <w:lang w:val="en-AU"/>
        </w:rPr>
        <w:t>.</w:t>
      </w:r>
    </w:p>
    <w:p w14:paraId="2D6B08EE" w14:textId="32948F54" w:rsidR="001F47CC" w:rsidRDefault="00803AAB" w:rsidP="0038435E">
      <w:pPr>
        <w:spacing w:after="160" w:line="256" w:lineRule="auto"/>
        <w:rPr>
          <w:rFonts w:eastAsiaTheme="minorHAnsi"/>
          <w:sz w:val="22"/>
          <w:szCs w:val="22"/>
          <w:lang w:val="en-AU"/>
        </w:rPr>
      </w:pPr>
      <w:r w:rsidRPr="00DD1B4C">
        <w:rPr>
          <w:rFonts w:eastAsiaTheme="minorHAnsi"/>
          <w:sz w:val="22"/>
          <w:szCs w:val="22"/>
          <w:lang w:val="en-AU"/>
        </w:rPr>
        <w:t xml:space="preserve">The ACMA received </w:t>
      </w:r>
      <w:r w:rsidR="00091D2E" w:rsidRPr="00DD1B4C">
        <w:rPr>
          <w:rFonts w:eastAsiaTheme="minorHAnsi"/>
          <w:sz w:val="22"/>
          <w:szCs w:val="22"/>
          <w:lang w:val="en-AU"/>
        </w:rPr>
        <w:t>12</w:t>
      </w:r>
      <w:r w:rsidR="009D1C48" w:rsidRPr="00DD1B4C">
        <w:rPr>
          <w:rFonts w:eastAsiaTheme="minorHAnsi"/>
          <w:sz w:val="22"/>
          <w:szCs w:val="22"/>
          <w:lang w:val="en-AU"/>
        </w:rPr>
        <w:t xml:space="preserve"> responses</w:t>
      </w:r>
      <w:r w:rsidR="00F4401C">
        <w:rPr>
          <w:rFonts w:eastAsiaTheme="minorHAnsi"/>
          <w:sz w:val="22"/>
          <w:szCs w:val="22"/>
          <w:lang w:val="en-AU"/>
        </w:rPr>
        <w:t xml:space="preserve"> to the public consultation</w:t>
      </w:r>
      <w:r w:rsidR="009D1C48" w:rsidRPr="00DD1B4C">
        <w:rPr>
          <w:rFonts w:eastAsiaTheme="minorHAnsi"/>
          <w:sz w:val="22"/>
          <w:szCs w:val="22"/>
          <w:lang w:val="en-AU"/>
        </w:rPr>
        <w:t xml:space="preserve">. </w:t>
      </w:r>
      <w:r w:rsidR="00DA3A20">
        <w:rPr>
          <w:rFonts w:eastAsiaTheme="minorHAnsi"/>
          <w:sz w:val="22"/>
          <w:szCs w:val="22"/>
          <w:lang w:val="en-AU"/>
        </w:rPr>
        <w:t>Nine</w:t>
      </w:r>
      <w:r w:rsidR="00685937" w:rsidRPr="00DD1B4C">
        <w:rPr>
          <w:rFonts w:eastAsiaTheme="minorHAnsi"/>
          <w:sz w:val="22"/>
          <w:szCs w:val="22"/>
          <w:lang w:val="en-AU"/>
        </w:rPr>
        <w:t xml:space="preserve"> </w:t>
      </w:r>
      <w:r w:rsidR="00EE17AC" w:rsidRPr="00DD1B4C">
        <w:rPr>
          <w:rFonts w:eastAsiaTheme="minorHAnsi"/>
          <w:sz w:val="22"/>
          <w:szCs w:val="22"/>
          <w:lang w:val="en-AU"/>
        </w:rPr>
        <w:t xml:space="preserve">of the </w:t>
      </w:r>
      <w:r w:rsidR="009D1C48" w:rsidRPr="00DD1B4C">
        <w:rPr>
          <w:rFonts w:eastAsiaTheme="minorHAnsi"/>
          <w:sz w:val="22"/>
          <w:szCs w:val="22"/>
          <w:lang w:val="en-AU"/>
        </w:rPr>
        <w:t>response</w:t>
      </w:r>
      <w:r w:rsidR="00A73832" w:rsidRPr="00DD1B4C">
        <w:rPr>
          <w:rFonts w:eastAsiaTheme="minorHAnsi"/>
          <w:sz w:val="22"/>
          <w:szCs w:val="22"/>
          <w:lang w:val="en-AU"/>
        </w:rPr>
        <w:t>s</w:t>
      </w:r>
      <w:r w:rsidR="009D1C48" w:rsidRPr="00DD1B4C">
        <w:rPr>
          <w:rFonts w:eastAsiaTheme="minorHAnsi"/>
          <w:sz w:val="22"/>
          <w:szCs w:val="22"/>
          <w:lang w:val="en-AU"/>
        </w:rPr>
        <w:t xml:space="preserve"> </w:t>
      </w:r>
      <w:r w:rsidR="00EE17AC" w:rsidRPr="00DD1B4C">
        <w:rPr>
          <w:rFonts w:eastAsiaTheme="minorHAnsi"/>
          <w:sz w:val="22"/>
          <w:szCs w:val="22"/>
          <w:lang w:val="en-AU"/>
        </w:rPr>
        <w:t xml:space="preserve">commented on the proposed changes to the </w:t>
      </w:r>
      <w:r w:rsidR="001F47CC">
        <w:rPr>
          <w:rFonts w:eastAsiaTheme="minorHAnsi"/>
          <w:sz w:val="22"/>
          <w:szCs w:val="22"/>
          <w:lang w:val="en-AU"/>
        </w:rPr>
        <w:t>Tx RAG</w:t>
      </w:r>
      <w:r w:rsidR="00EE17AC" w:rsidRPr="00DD1B4C">
        <w:rPr>
          <w:rFonts w:eastAsiaTheme="minorHAnsi"/>
          <w:sz w:val="22"/>
          <w:szCs w:val="22"/>
          <w:lang w:val="en-AU"/>
        </w:rPr>
        <w:t xml:space="preserve">. </w:t>
      </w:r>
    </w:p>
    <w:p w14:paraId="67DE4062" w14:textId="37EB7DEE" w:rsidR="00236423" w:rsidRDefault="00F4401C" w:rsidP="00F4401C">
      <w:pPr>
        <w:spacing w:after="160" w:line="256" w:lineRule="auto"/>
        <w:rPr>
          <w:rFonts w:eastAsiaTheme="minorHAnsi"/>
          <w:sz w:val="22"/>
          <w:szCs w:val="22"/>
          <w:lang w:val="en-AU"/>
        </w:rPr>
      </w:pPr>
      <w:r>
        <w:rPr>
          <w:rFonts w:eastAsiaTheme="minorHAnsi"/>
          <w:sz w:val="22"/>
          <w:szCs w:val="22"/>
          <w:lang w:val="en-AU"/>
        </w:rPr>
        <w:t xml:space="preserve">Some respondents were concerned that AWL </w:t>
      </w:r>
      <w:proofErr w:type="spellStart"/>
      <w:r>
        <w:rPr>
          <w:rFonts w:eastAsiaTheme="minorHAnsi"/>
          <w:sz w:val="22"/>
          <w:szCs w:val="22"/>
          <w:lang w:val="en-AU"/>
        </w:rPr>
        <w:t>rx</w:t>
      </w:r>
      <w:proofErr w:type="spellEnd"/>
      <w:r>
        <w:rPr>
          <w:rFonts w:eastAsiaTheme="minorHAnsi"/>
          <w:sz w:val="22"/>
          <w:szCs w:val="22"/>
          <w:lang w:val="en-AU"/>
        </w:rPr>
        <w:t xml:space="preserve"> would not be appropriate to use for earth </w:t>
      </w:r>
      <w:r w:rsidR="00851E48">
        <w:rPr>
          <w:rFonts w:eastAsiaTheme="minorHAnsi"/>
          <w:sz w:val="22"/>
          <w:szCs w:val="22"/>
          <w:lang w:val="en-AU"/>
        </w:rPr>
        <w:t xml:space="preserve">receive </w:t>
      </w:r>
      <w:r>
        <w:rPr>
          <w:rFonts w:eastAsiaTheme="minorHAnsi"/>
          <w:sz w:val="22"/>
          <w:szCs w:val="22"/>
          <w:lang w:val="en-AU"/>
        </w:rPr>
        <w:t xml:space="preserve">stations. A key issue raised was that the protection arrangements proposed for AWL </w:t>
      </w:r>
      <w:proofErr w:type="spellStart"/>
      <w:r>
        <w:rPr>
          <w:rFonts w:eastAsiaTheme="minorHAnsi"/>
          <w:sz w:val="22"/>
          <w:szCs w:val="22"/>
          <w:lang w:val="en-AU"/>
        </w:rPr>
        <w:t>rx</w:t>
      </w:r>
      <w:proofErr w:type="spellEnd"/>
      <w:r>
        <w:rPr>
          <w:rFonts w:eastAsiaTheme="minorHAnsi"/>
          <w:sz w:val="22"/>
          <w:szCs w:val="22"/>
          <w:lang w:val="en-AU"/>
        </w:rPr>
        <w:t xml:space="preserve"> would require </w:t>
      </w:r>
      <w:r w:rsidR="00851E48">
        <w:rPr>
          <w:rFonts w:eastAsiaTheme="minorHAnsi"/>
          <w:sz w:val="22"/>
          <w:szCs w:val="22"/>
          <w:lang w:val="en-AU"/>
        </w:rPr>
        <w:t xml:space="preserve">operators of earth receive stations to have </w:t>
      </w:r>
      <w:r w:rsidR="00BC19EC">
        <w:rPr>
          <w:rFonts w:eastAsiaTheme="minorHAnsi"/>
          <w:sz w:val="22"/>
          <w:szCs w:val="22"/>
          <w:lang w:val="en-AU"/>
        </w:rPr>
        <w:t xml:space="preserve">an AWL </w:t>
      </w:r>
      <w:proofErr w:type="spellStart"/>
      <w:r w:rsidR="00BC19EC">
        <w:rPr>
          <w:rFonts w:eastAsiaTheme="minorHAnsi"/>
          <w:sz w:val="22"/>
          <w:szCs w:val="22"/>
          <w:lang w:val="en-AU"/>
        </w:rPr>
        <w:t>rx</w:t>
      </w:r>
      <w:proofErr w:type="spellEnd"/>
      <w:r w:rsidR="00BC19EC">
        <w:rPr>
          <w:rFonts w:eastAsiaTheme="minorHAnsi"/>
          <w:sz w:val="22"/>
          <w:szCs w:val="22"/>
          <w:lang w:val="en-AU"/>
        </w:rPr>
        <w:t xml:space="preserve"> that covers</w:t>
      </w:r>
      <w:r>
        <w:rPr>
          <w:rFonts w:eastAsiaTheme="minorHAnsi"/>
          <w:sz w:val="22"/>
          <w:szCs w:val="22"/>
          <w:lang w:val="en-AU"/>
        </w:rPr>
        <w:t xml:space="preserve">, </w:t>
      </w:r>
      <w:r w:rsidRPr="00F4401C">
        <w:rPr>
          <w:rFonts w:eastAsiaTheme="minorHAnsi"/>
          <w:sz w:val="22"/>
          <w:szCs w:val="22"/>
          <w:lang w:val="en-AU"/>
        </w:rPr>
        <w:t xml:space="preserve">and pay </w:t>
      </w:r>
      <w:r w:rsidR="00BC19EC">
        <w:rPr>
          <w:rFonts w:eastAsiaTheme="minorHAnsi"/>
          <w:sz w:val="22"/>
          <w:szCs w:val="22"/>
          <w:lang w:val="en-AU"/>
        </w:rPr>
        <w:t xml:space="preserve">receiver licence </w:t>
      </w:r>
      <w:r w:rsidRPr="00F4401C">
        <w:rPr>
          <w:rFonts w:eastAsiaTheme="minorHAnsi"/>
          <w:sz w:val="22"/>
          <w:szCs w:val="22"/>
          <w:lang w:val="en-AU"/>
        </w:rPr>
        <w:t xml:space="preserve">tax </w:t>
      </w:r>
      <w:r w:rsidR="00BC19EC">
        <w:rPr>
          <w:rFonts w:eastAsiaTheme="minorHAnsi"/>
          <w:sz w:val="22"/>
          <w:szCs w:val="22"/>
          <w:lang w:val="en-AU"/>
        </w:rPr>
        <w:t xml:space="preserve">calculated by reference to, </w:t>
      </w:r>
      <w:r w:rsidRPr="00F4401C">
        <w:rPr>
          <w:rFonts w:eastAsiaTheme="minorHAnsi"/>
          <w:sz w:val="22"/>
          <w:szCs w:val="22"/>
          <w:lang w:val="en-AU"/>
        </w:rPr>
        <w:t xml:space="preserve">the spectrum space associated with </w:t>
      </w:r>
      <w:r w:rsidR="00BC19EC">
        <w:rPr>
          <w:rFonts w:eastAsiaTheme="minorHAnsi"/>
          <w:sz w:val="22"/>
          <w:szCs w:val="22"/>
          <w:lang w:val="en-AU"/>
        </w:rPr>
        <w:t xml:space="preserve">both </w:t>
      </w:r>
      <w:r w:rsidRPr="00F4401C">
        <w:rPr>
          <w:rFonts w:eastAsiaTheme="minorHAnsi"/>
          <w:sz w:val="22"/>
          <w:szCs w:val="22"/>
          <w:lang w:val="en-AU"/>
        </w:rPr>
        <w:t xml:space="preserve">the </w:t>
      </w:r>
      <w:r w:rsidR="00C04914">
        <w:rPr>
          <w:rFonts w:eastAsiaTheme="minorHAnsi"/>
          <w:sz w:val="22"/>
          <w:szCs w:val="22"/>
          <w:lang w:val="en-AU"/>
        </w:rPr>
        <w:t>frequencies</w:t>
      </w:r>
      <w:r w:rsidRPr="00F4401C">
        <w:rPr>
          <w:rFonts w:eastAsiaTheme="minorHAnsi"/>
          <w:sz w:val="22"/>
          <w:szCs w:val="22"/>
          <w:lang w:val="en-AU"/>
        </w:rPr>
        <w:t xml:space="preserve"> </w:t>
      </w:r>
      <w:r w:rsidR="00BC19EC">
        <w:rPr>
          <w:rFonts w:eastAsiaTheme="minorHAnsi"/>
          <w:sz w:val="22"/>
          <w:szCs w:val="22"/>
          <w:lang w:val="en-AU"/>
        </w:rPr>
        <w:t xml:space="preserve">and geographic area </w:t>
      </w:r>
      <w:r w:rsidRPr="00F4401C">
        <w:rPr>
          <w:rFonts w:eastAsiaTheme="minorHAnsi"/>
          <w:sz w:val="22"/>
          <w:szCs w:val="22"/>
          <w:lang w:val="en-AU"/>
        </w:rPr>
        <w:t xml:space="preserve">required for operation of </w:t>
      </w:r>
      <w:r w:rsidR="00BC19EC">
        <w:rPr>
          <w:rFonts w:eastAsiaTheme="minorHAnsi"/>
          <w:sz w:val="22"/>
          <w:szCs w:val="22"/>
          <w:lang w:val="en-AU"/>
        </w:rPr>
        <w:t xml:space="preserve">the earth </w:t>
      </w:r>
      <w:r w:rsidRPr="00F4401C">
        <w:rPr>
          <w:rFonts w:eastAsiaTheme="minorHAnsi"/>
          <w:sz w:val="22"/>
          <w:szCs w:val="22"/>
          <w:lang w:val="en-AU"/>
        </w:rPr>
        <w:t>receive</w:t>
      </w:r>
      <w:r w:rsidR="00BC19EC">
        <w:rPr>
          <w:rFonts w:eastAsiaTheme="minorHAnsi"/>
          <w:sz w:val="22"/>
          <w:szCs w:val="22"/>
          <w:lang w:val="en-AU"/>
        </w:rPr>
        <w:t xml:space="preserve"> station</w:t>
      </w:r>
      <w:r w:rsidRPr="00F4401C">
        <w:rPr>
          <w:rFonts w:eastAsiaTheme="minorHAnsi"/>
          <w:sz w:val="22"/>
          <w:szCs w:val="22"/>
          <w:lang w:val="en-AU"/>
        </w:rPr>
        <w:t xml:space="preserve"> and the </w:t>
      </w:r>
      <w:r w:rsidR="00C04914">
        <w:rPr>
          <w:rFonts w:eastAsiaTheme="minorHAnsi"/>
          <w:sz w:val="22"/>
          <w:szCs w:val="22"/>
          <w:lang w:val="en-AU"/>
        </w:rPr>
        <w:t>frequency range</w:t>
      </w:r>
      <w:r w:rsidR="00BC19EC">
        <w:rPr>
          <w:rFonts w:eastAsiaTheme="minorHAnsi"/>
          <w:sz w:val="22"/>
          <w:szCs w:val="22"/>
          <w:lang w:val="en-AU"/>
        </w:rPr>
        <w:t xml:space="preserve"> and geographic area necessary to prevent interference </w:t>
      </w:r>
      <w:r w:rsidR="000301AF">
        <w:rPr>
          <w:rFonts w:eastAsiaTheme="minorHAnsi"/>
          <w:sz w:val="22"/>
          <w:szCs w:val="22"/>
          <w:lang w:val="en-AU"/>
        </w:rPr>
        <w:t>being caused to the earth receive station by</w:t>
      </w:r>
      <w:r w:rsidRPr="00F4401C">
        <w:rPr>
          <w:rFonts w:eastAsiaTheme="minorHAnsi"/>
          <w:sz w:val="22"/>
          <w:szCs w:val="22"/>
          <w:lang w:val="en-AU"/>
        </w:rPr>
        <w:t xml:space="preserve"> other </w:t>
      </w:r>
      <w:r w:rsidR="000301AF">
        <w:rPr>
          <w:rFonts w:eastAsiaTheme="minorHAnsi"/>
          <w:sz w:val="22"/>
          <w:szCs w:val="22"/>
          <w:lang w:val="en-AU"/>
        </w:rPr>
        <w:t>licensed radiocommunications devices</w:t>
      </w:r>
      <w:r w:rsidRPr="00F4401C">
        <w:rPr>
          <w:rFonts w:eastAsiaTheme="minorHAnsi"/>
          <w:sz w:val="22"/>
          <w:szCs w:val="22"/>
          <w:lang w:val="en-AU"/>
        </w:rPr>
        <w:t>.</w:t>
      </w:r>
      <w:r w:rsidR="000B6FE3">
        <w:rPr>
          <w:rFonts w:eastAsiaTheme="minorHAnsi"/>
          <w:sz w:val="22"/>
          <w:szCs w:val="22"/>
          <w:lang w:val="en-AU"/>
        </w:rPr>
        <w:t xml:space="preserve"> The ACMA considered that, while the changes proposed to the Tx RAG would facilitate the issue of AWL </w:t>
      </w:r>
      <w:proofErr w:type="spellStart"/>
      <w:r w:rsidR="000B6FE3">
        <w:rPr>
          <w:rFonts w:eastAsiaTheme="minorHAnsi"/>
          <w:sz w:val="22"/>
          <w:szCs w:val="22"/>
          <w:lang w:val="en-AU"/>
        </w:rPr>
        <w:t>rx</w:t>
      </w:r>
      <w:proofErr w:type="spellEnd"/>
      <w:r w:rsidR="000B6FE3">
        <w:rPr>
          <w:rFonts w:eastAsiaTheme="minorHAnsi"/>
          <w:sz w:val="22"/>
          <w:szCs w:val="22"/>
          <w:lang w:val="en-AU"/>
        </w:rPr>
        <w:t xml:space="preserve"> for earth receive stations, and would set out the ACMA’s expectations in relation to interference protection for such earth </w:t>
      </w:r>
      <w:r w:rsidR="00236423">
        <w:rPr>
          <w:rFonts w:eastAsiaTheme="minorHAnsi"/>
          <w:sz w:val="22"/>
          <w:szCs w:val="22"/>
          <w:lang w:val="en-AU"/>
        </w:rPr>
        <w:t xml:space="preserve">receive </w:t>
      </w:r>
      <w:r w:rsidR="000B6FE3">
        <w:rPr>
          <w:rFonts w:eastAsiaTheme="minorHAnsi"/>
          <w:sz w:val="22"/>
          <w:szCs w:val="22"/>
          <w:lang w:val="en-AU"/>
        </w:rPr>
        <w:t>stations</w:t>
      </w:r>
      <w:r w:rsidR="00236423">
        <w:rPr>
          <w:rFonts w:eastAsiaTheme="minorHAnsi"/>
          <w:sz w:val="22"/>
          <w:szCs w:val="22"/>
          <w:lang w:val="en-AU"/>
        </w:rPr>
        <w:t>:</w:t>
      </w:r>
    </w:p>
    <w:p w14:paraId="6A499921" w14:textId="0A43F8F3" w:rsidR="000301AF" w:rsidRDefault="00DD00C9" w:rsidP="00236423">
      <w:pPr>
        <w:pStyle w:val="ListParagraph"/>
        <w:numPr>
          <w:ilvl w:val="0"/>
          <w:numId w:val="31"/>
        </w:numPr>
        <w:spacing w:after="160" w:line="256" w:lineRule="auto"/>
        <w:rPr>
          <w:rFonts w:eastAsiaTheme="minorHAnsi"/>
          <w:sz w:val="22"/>
          <w:szCs w:val="22"/>
          <w:lang w:val="en-AU"/>
        </w:rPr>
      </w:pPr>
      <w:r>
        <w:rPr>
          <w:rFonts w:eastAsiaTheme="minorHAnsi"/>
          <w:sz w:val="22"/>
          <w:szCs w:val="22"/>
          <w:lang w:val="en-AU"/>
        </w:rPr>
        <w:t xml:space="preserve">although the ACMA has had regard to </w:t>
      </w:r>
      <w:r w:rsidR="00DD0E0D">
        <w:rPr>
          <w:rFonts w:eastAsiaTheme="minorHAnsi"/>
          <w:sz w:val="22"/>
          <w:szCs w:val="22"/>
          <w:lang w:val="en-AU"/>
        </w:rPr>
        <w:t>these submissions</w:t>
      </w:r>
      <w:r>
        <w:rPr>
          <w:rFonts w:eastAsiaTheme="minorHAnsi"/>
          <w:sz w:val="22"/>
          <w:szCs w:val="22"/>
          <w:lang w:val="en-AU"/>
        </w:rPr>
        <w:t>, they</w:t>
      </w:r>
      <w:r w:rsidR="00DD0E0D">
        <w:rPr>
          <w:rFonts w:eastAsiaTheme="minorHAnsi"/>
          <w:sz w:val="22"/>
          <w:szCs w:val="22"/>
          <w:lang w:val="en-AU"/>
        </w:rPr>
        <w:t xml:space="preserve"> </w:t>
      </w:r>
      <w:r w:rsidR="007A2D86">
        <w:rPr>
          <w:rFonts w:eastAsiaTheme="minorHAnsi"/>
          <w:sz w:val="22"/>
          <w:szCs w:val="22"/>
          <w:lang w:val="en-AU"/>
        </w:rPr>
        <w:t>related to</w:t>
      </w:r>
      <w:r w:rsidR="00DD0E0D">
        <w:rPr>
          <w:rFonts w:eastAsiaTheme="minorHAnsi"/>
          <w:sz w:val="22"/>
          <w:szCs w:val="22"/>
          <w:lang w:val="en-AU"/>
        </w:rPr>
        <w:t xml:space="preserve"> the rate of tax, which is set by other instruments, </w:t>
      </w:r>
      <w:r w:rsidR="007A2D86">
        <w:rPr>
          <w:rFonts w:eastAsiaTheme="minorHAnsi"/>
          <w:sz w:val="22"/>
          <w:szCs w:val="22"/>
          <w:lang w:val="en-AU"/>
        </w:rPr>
        <w:t xml:space="preserve">rather </w:t>
      </w:r>
      <w:r w:rsidR="00DD0E0D">
        <w:rPr>
          <w:rFonts w:eastAsiaTheme="minorHAnsi"/>
          <w:sz w:val="22"/>
          <w:szCs w:val="22"/>
          <w:lang w:val="en-AU"/>
        </w:rPr>
        <w:t>than with the proposals for the Tx RAG; and</w:t>
      </w:r>
    </w:p>
    <w:p w14:paraId="59F31954" w14:textId="114CB3EA" w:rsidR="00DD0E0D" w:rsidRPr="007E10A9" w:rsidRDefault="003348B9" w:rsidP="007E10A9">
      <w:pPr>
        <w:pStyle w:val="ListParagraph"/>
        <w:numPr>
          <w:ilvl w:val="0"/>
          <w:numId w:val="31"/>
        </w:numPr>
        <w:spacing w:after="160" w:line="256" w:lineRule="auto"/>
        <w:rPr>
          <w:rFonts w:eastAsiaTheme="minorHAnsi"/>
          <w:sz w:val="22"/>
          <w:szCs w:val="22"/>
          <w:lang w:val="en-AU"/>
        </w:rPr>
      </w:pPr>
      <w:r>
        <w:rPr>
          <w:rFonts w:eastAsiaTheme="minorHAnsi"/>
          <w:sz w:val="22"/>
          <w:szCs w:val="22"/>
          <w:lang w:val="en-AU"/>
        </w:rPr>
        <w:t xml:space="preserve">operators of earth receive stations can specify in an application for an AWL </w:t>
      </w:r>
      <w:proofErr w:type="spellStart"/>
      <w:r>
        <w:rPr>
          <w:rFonts w:eastAsiaTheme="minorHAnsi"/>
          <w:sz w:val="22"/>
          <w:szCs w:val="22"/>
          <w:lang w:val="en-AU"/>
        </w:rPr>
        <w:t>rx</w:t>
      </w:r>
      <w:proofErr w:type="spellEnd"/>
      <w:r>
        <w:rPr>
          <w:rFonts w:eastAsiaTheme="minorHAnsi"/>
          <w:sz w:val="22"/>
          <w:szCs w:val="22"/>
          <w:lang w:val="en-AU"/>
        </w:rPr>
        <w:t xml:space="preserve"> the spectrum space they wish the licence to cover, </w:t>
      </w:r>
      <w:r w:rsidR="00FA76F8">
        <w:rPr>
          <w:rFonts w:eastAsiaTheme="minorHAnsi"/>
          <w:sz w:val="22"/>
          <w:szCs w:val="22"/>
          <w:lang w:val="en-AU"/>
        </w:rPr>
        <w:t xml:space="preserve">on the basis of their own analysis of the risk of interference, </w:t>
      </w:r>
      <w:r>
        <w:rPr>
          <w:rFonts w:eastAsiaTheme="minorHAnsi"/>
          <w:sz w:val="22"/>
          <w:szCs w:val="22"/>
          <w:lang w:val="en-AU"/>
        </w:rPr>
        <w:t xml:space="preserve">meaning that they </w:t>
      </w:r>
      <w:r w:rsidR="00FA76F8">
        <w:rPr>
          <w:rFonts w:eastAsiaTheme="minorHAnsi"/>
          <w:sz w:val="22"/>
          <w:szCs w:val="22"/>
          <w:lang w:val="en-AU"/>
        </w:rPr>
        <w:t xml:space="preserve">have some level of control over the </w:t>
      </w:r>
      <w:r w:rsidR="0064647E">
        <w:rPr>
          <w:rFonts w:eastAsiaTheme="minorHAnsi"/>
          <w:sz w:val="22"/>
          <w:szCs w:val="22"/>
          <w:lang w:val="en-AU"/>
        </w:rPr>
        <w:t xml:space="preserve">spectrum space to be covered by the AWL </w:t>
      </w:r>
      <w:proofErr w:type="spellStart"/>
      <w:r w:rsidR="0064647E">
        <w:rPr>
          <w:rFonts w:eastAsiaTheme="minorHAnsi"/>
          <w:sz w:val="22"/>
          <w:szCs w:val="22"/>
          <w:lang w:val="en-AU"/>
        </w:rPr>
        <w:t>rx</w:t>
      </w:r>
      <w:proofErr w:type="spellEnd"/>
      <w:r w:rsidR="0064647E">
        <w:rPr>
          <w:rFonts w:eastAsiaTheme="minorHAnsi"/>
          <w:sz w:val="22"/>
          <w:szCs w:val="22"/>
          <w:lang w:val="en-AU"/>
        </w:rPr>
        <w:t xml:space="preserve"> and, therefore, the amount of tax payable in relation to that AWL </w:t>
      </w:r>
      <w:proofErr w:type="spellStart"/>
      <w:r w:rsidR="0064647E">
        <w:rPr>
          <w:rFonts w:eastAsiaTheme="minorHAnsi"/>
          <w:sz w:val="22"/>
          <w:szCs w:val="22"/>
          <w:lang w:val="en-AU"/>
        </w:rPr>
        <w:t>rx</w:t>
      </w:r>
      <w:proofErr w:type="spellEnd"/>
      <w:r w:rsidR="0064647E">
        <w:rPr>
          <w:rFonts w:eastAsiaTheme="minorHAnsi"/>
          <w:sz w:val="22"/>
          <w:szCs w:val="22"/>
          <w:lang w:val="en-AU"/>
        </w:rPr>
        <w:t>.</w:t>
      </w:r>
    </w:p>
    <w:p w14:paraId="3D5786A7" w14:textId="5F3D66DE" w:rsidR="005F4C8B" w:rsidRDefault="005F4C8B" w:rsidP="00F4401C">
      <w:pPr>
        <w:spacing w:after="160" w:line="256" w:lineRule="auto"/>
        <w:rPr>
          <w:rFonts w:eastAsiaTheme="minorHAnsi"/>
          <w:sz w:val="22"/>
          <w:szCs w:val="22"/>
          <w:lang w:val="en-AU"/>
        </w:rPr>
      </w:pPr>
      <w:r>
        <w:rPr>
          <w:rFonts w:eastAsiaTheme="minorHAnsi"/>
          <w:sz w:val="22"/>
          <w:szCs w:val="22"/>
          <w:lang w:val="en-AU"/>
        </w:rPr>
        <w:t>The ACMA did not make any changes to the Tx RAG Variation on the basis of these submissions.</w:t>
      </w:r>
    </w:p>
    <w:p w14:paraId="3C98E9A7" w14:textId="44F431EF" w:rsidR="00F4401C" w:rsidRDefault="0064647E" w:rsidP="00F4401C">
      <w:pPr>
        <w:spacing w:after="160" w:line="256" w:lineRule="auto"/>
        <w:rPr>
          <w:rFonts w:eastAsiaTheme="minorHAnsi"/>
          <w:sz w:val="22"/>
          <w:szCs w:val="22"/>
          <w:lang w:val="en-AU"/>
        </w:rPr>
      </w:pPr>
      <w:r>
        <w:rPr>
          <w:rFonts w:eastAsiaTheme="minorHAnsi"/>
          <w:sz w:val="22"/>
          <w:szCs w:val="22"/>
          <w:lang w:val="en-AU"/>
        </w:rPr>
        <w:t>Some r</w:t>
      </w:r>
      <w:r w:rsidR="00F4401C" w:rsidRPr="00F4401C">
        <w:rPr>
          <w:rFonts w:eastAsiaTheme="minorHAnsi"/>
          <w:sz w:val="22"/>
          <w:szCs w:val="22"/>
          <w:lang w:val="en-AU"/>
        </w:rPr>
        <w:t xml:space="preserve">espondents also wanted to </w:t>
      </w:r>
      <w:r>
        <w:rPr>
          <w:rFonts w:eastAsiaTheme="minorHAnsi"/>
          <w:sz w:val="22"/>
          <w:szCs w:val="22"/>
          <w:lang w:val="en-AU"/>
        </w:rPr>
        <w:t>change</w:t>
      </w:r>
      <w:r w:rsidRPr="00F4401C">
        <w:rPr>
          <w:rFonts w:eastAsiaTheme="minorHAnsi"/>
          <w:sz w:val="22"/>
          <w:szCs w:val="22"/>
          <w:lang w:val="en-AU"/>
        </w:rPr>
        <w:t xml:space="preserve"> </w:t>
      </w:r>
      <w:r w:rsidR="00F4401C" w:rsidRPr="00F4401C">
        <w:rPr>
          <w:rFonts w:eastAsiaTheme="minorHAnsi"/>
          <w:sz w:val="22"/>
          <w:szCs w:val="22"/>
          <w:lang w:val="en-AU"/>
        </w:rPr>
        <w:t xml:space="preserve">how the proposed stricter RF filter is applied to </w:t>
      </w:r>
      <w:r w:rsidR="00FD749C">
        <w:rPr>
          <w:rFonts w:eastAsiaTheme="minorHAnsi"/>
          <w:sz w:val="22"/>
          <w:szCs w:val="22"/>
          <w:lang w:val="en-AU"/>
        </w:rPr>
        <w:t xml:space="preserve">earth receive stations authorised under </w:t>
      </w:r>
      <w:r w:rsidR="00F4401C" w:rsidRPr="00F4401C">
        <w:rPr>
          <w:rFonts w:eastAsiaTheme="minorHAnsi"/>
          <w:sz w:val="22"/>
          <w:szCs w:val="22"/>
          <w:lang w:val="en-AU"/>
        </w:rPr>
        <w:t xml:space="preserve">AWL </w:t>
      </w:r>
      <w:proofErr w:type="spellStart"/>
      <w:r w:rsidR="00F4401C" w:rsidRPr="00F4401C">
        <w:rPr>
          <w:rFonts w:eastAsiaTheme="minorHAnsi"/>
          <w:sz w:val="22"/>
          <w:szCs w:val="22"/>
          <w:lang w:val="en-AU"/>
        </w:rPr>
        <w:t>rx</w:t>
      </w:r>
      <w:proofErr w:type="spellEnd"/>
      <w:r w:rsidR="00F4401C" w:rsidRPr="00F4401C">
        <w:rPr>
          <w:rFonts w:eastAsiaTheme="minorHAnsi"/>
          <w:sz w:val="22"/>
          <w:szCs w:val="22"/>
          <w:lang w:val="en-AU"/>
        </w:rPr>
        <w:t xml:space="preserve"> and existing site-based licences. This include</w:t>
      </w:r>
      <w:r>
        <w:rPr>
          <w:rFonts w:eastAsiaTheme="minorHAnsi"/>
          <w:sz w:val="22"/>
          <w:szCs w:val="22"/>
          <w:lang w:val="en-AU"/>
        </w:rPr>
        <w:t>d</w:t>
      </w:r>
      <w:r w:rsidR="00F4401C" w:rsidRPr="00F4401C">
        <w:rPr>
          <w:rFonts w:eastAsiaTheme="minorHAnsi"/>
          <w:sz w:val="22"/>
          <w:szCs w:val="22"/>
          <w:lang w:val="en-AU"/>
        </w:rPr>
        <w:t xml:space="preserve"> delaying </w:t>
      </w:r>
      <w:r>
        <w:rPr>
          <w:rFonts w:eastAsiaTheme="minorHAnsi"/>
          <w:sz w:val="22"/>
          <w:szCs w:val="22"/>
          <w:lang w:val="en-AU"/>
        </w:rPr>
        <w:t>the application of the stricter R</w:t>
      </w:r>
      <w:r w:rsidR="00FE1FBB">
        <w:rPr>
          <w:rFonts w:eastAsiaTheme="minorHAnsi"/>
          <w:sz w:val="22"/>
          <w:szCs w:val="22"/>
          <w:lang w:val="en-AU"/>
        </w:rPr>
        <w:t>F</w:t>
      </w:r>
      <w:r>
        <w:rPr>
          <w:rFonts w:eastAsiaTheme="minorHAnsi"/>
          <w:sz w:val="22"/>
          <w:szCs w:val="22"/>
          <w:lang w:val="en-AU"/>
        </w:rPr>
        <w:t xml:space="preserve"> filter’s</w:t>
      </w:r>
      <w:r w:rsidR="00F4401C" w:rsidRPr="00F4401C">
        <w:rPr>
          <w:rFonts w:eastAsiaTheme="minorHAnsi"/>
          <w:sz w:val="22"/>
          <w:szCs w:val="22"/>
          <w:lang w:val="en-AU"/>
        </w:rPr>
        <w:t xml:space="preserve"> introduction by up to two years</w:t>
      </w:r>
      <w:r>
        <w:rPr>
          <w:rFonts w:eastAsiaTheme="minorHAnsi"/>
          <w:sz w:val="22"/>
          <w:szCs w:val="22"/>
          <w:lang w:val="en-AU"/>
        </w:rPr>
        <w:t xml:space="preserve"> from what was proposed,</w:t>
      </w:r>
      <w:r w:rsidR="00F4401C" w:rsidRPr="00F4401C">
        <w:rPr>
          <w:rFonts w:eastAsiaTheme="minorHAnsi"/>
          <w:sz w:val="22"/>
          <w:szCs w:val="22"/>
          <w:lang w:val="en-AU"/>
        </w:rPr>
        <w:t xml:space="preserve"> to allow operators time to source and install custom RF filters. </w:t>
      </w:r>
      <w:r w:rsidR="004B7828">
        <w:rPr>
          <w:rFonts w:eastAsiaTheme="minorHAnsi"/>
          <w:sz w:val="22"/>
          <w:szCs w:val="22"/>
          <w:lang w:val="en-AU"/>
        </w:rPr>
        <w:t xml:space="preserve">As no AWL </w:t>
      </w:r>
      <w:proofErr w:type="spellStart"/>
      <w:r w:rsidR="004B7828">
        <w:rPr>
          <w:rFonts w:eastAsiaTheme="minorHAnsi"/>
          <w:sz w:val="22"/>
          <w:szCs w:val="22"/>
          <w:lang w:val="en-AU"/>
        </w:rPr>
        <w:t>rx</w:t>
      </w:r>
      <w:proofErr w:type="spellEnd"/>
      <w:r w:rsidR="004B7828">
        <w:rPr>
          <w:rFonts w:eastAsiaTheme="minorHAnsi"/>
          <w:sz w:val="22"/>
          <w:szCs w:val="22"/>
          <w:lang w:val="en-AU"/>
        </w:rPr>
        <w:t xml:space="preserve"> have yet been issued for such ear</w:t>
      </w:r>
      <w:r w:rsidR="00FD749C">
        <w:rPr>
          <w:rFonts w:eastAsiaTheme="minorHAnsi"/>
          <w:sz w:val="22"/>
          <w:szCs w:val="22"/>
          <w:lang w:val="en-AU"/>
        </w:rPr>
        <w:t xml:space="preserve">th receive stations, the ACMA decided not to make this change. However, in relation to </w:t>
      </w:r>
      <w:r w:rsidR="003926FC">
        <w:rPr>
          <w:rFonts w:eastAsiaTheme="minorHAnsi"/>
          <w:sz w:val="22"/>
          <w:szCs w:val="22"/>
          <w:lang w:val="en-AU"/>
        </w:rPr>
        <w:t xml:space="preserve">earth receive stations authorised under existing site-based licences, </w:t>
      </w:r>
      <w:r w:rsidR="00124589">
        <w:rPr>
          <w:rFonts w:eastAsiaTheme="minorHAnsi"/>
          <w:sz w:val="22"/>
          <w:szCs w:val="22"/>
          <w:lang w:val="en-AU"/>
        </w:rPr>
        <w:t>see below.</w:t>
      </w:r>
    </w:p>
    <w:p w14:paraId="3197D610" w14:textId="04BB571C" w:rsidR="001F47CC" w:rsidRDefault="00F378AD" w:rsidP="001F47CC">
      <w:pPr>
        <w:spacing w:after="80" w:line="256" w:lineRule="auto"/>
        <w:rPr>
          <w:rFonts w:eastAsiaTheme="minorHAnsi"/>
          <w:sz w:val="22"/>
          <w:szCs w:val="22"/>
          <w:lang w:val="en-AU"/>
        </w:rPr>
      </w:pPr>
      <w:r>
        <w:rPr>
          <w:rFonts w:eastAsiaTheme="minorHAnsi"/>
          <w:sz w:val="22"/>
          <w:szCs w:val="22"/>
          <w:lang w:val="en-AU"/>
        </w:rPr>
        <w:t xml:space="preserve">Several </w:t>
      </w:r>
      <w:r w:rsidR="00F4401C">
        <w:rPr>
          <w:rFonts w:eastAsiaTheme="minorHAnsi"/>
          <w:sz w:val="22"/>
          <w:szCs w:val="22"/>
          <w:lang w:val="en-AU"/>
        </w:rPr>
        <w:t>respondents</w:t>
      </w:r>
      <w:r w:rsidR="004F4BD2">
        <w:rPr>
          <w:rFonts w:eastAsiaTheme="minorHAnsi"/>
          <w:sz w:val="22"/>
          <w:szCs w:val="22"/>
          <w:lang w:val="en-AU"/>
        </w:rPr>
        <w:t xml:space="preserve"> </w:t>
      </w:r>
      <w:r w:rsidR="001F47CC">
        <w:rPr>
          <w:rFonts w:eastAsiaTheme="minorHAnsi"/>
          <w:sz w:val="22"/>
          <w:szCs w:val="22"/>
          <w:lang w:val="en-AU"/>
        </w:rPr>
        <w:t xml:space="preserve">supported the </w:t>
      </w:r>
      <w:r w:rsidR="003E17E9">
        <w:rPr>
          <w:rFonts w:eastAsiaTheme="minorHAnsi"/>
          <w:sz w:val="22"/>
          <w:szCs w:val="22"/>
          <w:lang w:val="en-AU"/>
        </w:rPr>
        <w:t xml:space="preserve">proposed </w:t>
      </w:r>
      <w:r w:rsidR="001F47CC">
        <w:rPr>
          <w:rFonts w:eastAsiaTheme="minorHAnsi"/>
          <w:sz w:val="22"/>
          <w:szCs w:val="22"/>
          <w:lang w:val="en-AU"/>
        </w:rPr>
        <w:t>changes</w:t>
      </w:r>
      <w:r w:rsidR="003E17E9">
        <w:rPr>
          <w:rFonts w:eastAsiaTheme="minorHAnsi"/>
          <w:sz w:val="22"/>
          <w:szCs w:val="22"/>
          <w:lang w:val="en-AU"/>
        </w:rPr>
        <w:t xml:space="preserve"> to the TX RAG </w:t>
      </w:r>
      <w:r>
        <w:rPr>
          <w:rFonts w:eastAsiaTheme="minorHAnsi"/>
          <w:sz w:val="22"/>
          <w:szCs w:val="22"/>
          <w:lang w:val="en-AU"/>
        </w:rPr>
        <w:t xml:space="preserve">but </w:t>
      </w:r>
      <w:r w:rsidR="003E17E9">
        <w:rPr>
          <w:rFonts w:eastAsiaTheme="minorHAnsi"/>
          <w:sz w:val="22"/>
          <w:szCs w:val="22"/>
          <w:lang w:val="en-AU"/>
        </w:rPr>
        <w:t>also</w:t>
      </w:r>
      <w:r w:rsidR="001F47CC">
        <w:rPr>
          <w:rFonts w:eastAsiaTheme="minorHAnsi"/>
          <w:sz w:val="22"/>
          <w:szCs w:val="22"/>
          <w:lang w:val="en-AU"/>
        </w:rPr>
        <w:t xml:space="preserve"> proposed some additional modifications</w:t>
      </w:r>
      <w:r w:rsidR="00F4401C">
        <w:rPr>
          <w:rFonts w:eastAsiaTheme="minorHAnsi"/>
          <w:sz w:val="22"/>
          <w:szCs w:val="22"/>
          <w:lang w:val="en-AU"/>
        </w:rPr>
        <w:t xml:space="preserve"> (</w:t>
      </w:r>
      <w:r w:rsidR="00F4401C" w:rsidRPr="007E10A9">
        <w:rPr>
          <w:rFonts w:eastAsiaTheme="minorHAnsi"/>
          <w:b/>
          <w:bCs/>
          <w:sz w:val="22"/>
          <w:szCs w:val="22"/>
          <w:lang w:val="en-AU"/>
        </w:rPr>
        <w:t>the additional modifications</w:t>
      </w:r>
      <w:r w:rsidR="00F4401C">
        <w:rPr>
          <w:rFonts w:eastAsiaTheme="minorHAnsi"/>
          <w:sz w:val="22"/>
          <w:szCs w:val="22"/>
          <w:lang w:val="en-AU"/>
        </w:rPr>
        <w:t>)</w:t>
      </w:r>
      <w:r w:rsidR="001F47CC">
        <w:rPr>
          <w:rFonts w:eastAsiaTheme="minorHAnsi"/>
          <w:sz w:val="22"/>
          <w:szCs w:val="22"/>
          <w:lang w:val="en-AU"/>
        </w:rPr>
        <w:t xml:space="preserve">, including: </w:t>
      </w:r>
    </w:p>
    <w:p w14:paraId="7747ECBC" w14:textId="3321D88B" w:rsidR="001F47CC" w:rsidRDefault="001F47CC" w:rsidP="001F47CC">
      <w:pPr>
        <w:pStyle w:val="ListParagraph"/>
        <w:numPr>
          <w:ilvl w:val="0"/>
          <w:numId w:val="28"/>
        </w:numPr>
        <w:spacing w:after="80" w:line="256" w:lineRule="auto"/>
        <w:rPr>
          <w:rFonts w:eastAsiaTheme="minorHAnsi"/>
          <w:sz w:val="22"/>
          <w:szCs w:val="22"/>
          <w:lang w:val="en-AU"/>
        </w:rPr>
      </w:pPr>
      <w:r w:rsidRPr="001F47CC">
        <w:rPr>
          <w:rFonts w:eastAsiaTheme="minorHAnsi"/>
          <w:sz w:val="22"/>
          <w:szCs w:val="22"/>
          <w:lang w:val="en-AU"/>
        </w:rPr>
        <w:t>limiting protection of earth receive</w:t>
      </w:r>
      <w:r w:rsidR="00EF17D7">
        <w:rPr>
          <w:rFonts w:eastAsiaTheme="minorHAnsi"/>
          <w:sz w:val="22"/>
          <w:szCs w:val="22"/>
          <w:lang w:val="en-AU"/>
        </w:rPr>
        <w:t xml:space="preserve"> stations</w:t>
      </w:r>
      <w:r w:rsidRPr="001F47CC">
        <w:rPr>
          <w:rFonts w:eastAsiaTheme="minorHAnsi"/>
          <w:sz w:val="22"/>
          <w:szCs w:val="22"/>
          <w:lang w:val="en-AU"/>
        </w:rPr>
        <w:t xml:space="preserve"> to those with the</w:t>
      </w:r>
      <w:r w:rsidR="00EF17D7">
        <w:rPr>
          <w:rFonts w:eastAsiaTheme="minorHAnsi"/>
          <w:sz w:val="22"/>
          <w:szCs w:val="22"/>
          <w:lang w:val="en-AU"/>
        </w:rPr>
        <w:t>ir</w:t>
      </w:r>
      <w:r w:rsidRPr="001F47CC">
        <w:rPr>
          <w:rFonts w:eastAsiaTheme="minorHAnsi"/>
          <w:sz w:val="22"/>
          <w:szCs w:val="22"/>
          <w:lang w:val="en-AU"/>
        </w:rPr>
        <w:t xml:space="preserve"> details recorded on the </w:t>
      </w:r>
      <w:r w:rsidR="00EF17D7">
        <w:rPr>
          <w:rFonts w:eastAsiaTheme="minorHAnsi"/>
          <w:sz w:val="22"/>
          <w:szCs w:val="22"/>
          <w:lang w:val="en-AU"/>
        </w:rPr>
        <w:t>R</w:t>
      </w:r>
      <w:r w:rsidRPr="001F47CC">
        <w:rPr>
          <w:rFonts w:eastAsiaTheme="minorHAnsi"/>
          <w:sz w:val="22"/>
          <w:szCs w:val="22"/>
          <w:lang w:val="en-AU"/>
        </w:rPr>
        <w:t xml:space="preserve">egister of </w:t>
      </w:r>
      <w:r w:rsidR="00EF17D7">
        <w:rPr>
          <w:rFonts w:eastAsiaTheme="minorHAnsi"/>
          <w:sz w:val="22"/>
          <w:szCs w:val="22"/>
          <w:lang w:val="en-AU"/>
        </w:rPr>
        <w:t>R</w:t>
      </w:r>
      <w:r w:rsidRPr="001F47CC">
        <w:rPr>
          <w:rFonts w:eastAsiaTheme="minorHAnsi"/>
          <w:sz w:val="22"/>
          <w:szCs w:val="22"/>
          <w:lang w:val="en-AU"/>
        </w:rPr>
        <w:t xml:space="preserve">adiocommunications </w:t>
      </w:r>
      <w:r w:rsidR="00EF17D7">
        <w:rPr>
          <w:rFonts w:eastAsiaTheme="minorHAnsi"/>
          <w:sz w:val="22"/>
          <w:szCs w:val="22"/>
          <w:lang w:val="en-AU"/>
        </w:rPr>
        <w:t>L</w:t>
      </w:r>
      <w:r w:rsidRPr="001F47CC">
        <w:rPr>
          <w:rFonts w:eastAsiaTheme="minorHAnsi"/>
          <w:sz w:val="22"/>
          <w:szCs w:val="22"/>
          <w:lang w:val="en-AU"/>
        </w:rPr>
        <w:t>icence</w:t>
      </w:r>
      <w:r w:rsidR="00EF17D7">
        <w:rPr>
          <w:rFonts w:eastAsiaTheme="minorHAnsi"/>
          <w:sz w:val="22"/>
          <w:szCs w:val="22"/>
          <w:lang w:val="en-AU"/>
        </w:rPr>
        <w:t>s</w:t>
      </w:r>
      <w:r w:rsidR="00DD00C9">
        <w:rPr>
          <w:rFonts w:eastAsiaTheme="minorHAnsi"/>
          <w:sz w:val="22"/>
          <w:szCs w:val="22"/>
          <w:lang w:val="en-AU"/>
        </w:rPr>
        <w:t xml:space="preserve"> (</w:t>
      </w:r>
      <w:r w:rsidR="00DD00C9" w:rsidRPr="00A66B4F">
        <w:rPr>
          <w:rFonts w:eastAsiaTheme="minorHAnsi"/>
          <w:b/>
          <w:bCs/>
          <w:sz w:val="22"/>
          <w:szCs w:val="22"/>
          <w:lang w:val="en-AU"/>
        </w:rPr>
        <w:t>the Register</w:t>
      </w:r>
      <w:r w:rsidR="00DD00C9">
        <w:rPr>
          <w:rFonts w:eastAsiaTheme="minorHAnsi"/>
          <w:sz w:val="22"/>
          <w:szCs w:val="22"/>
          <w:lang w:val="en-AU"/>
        </w:rPr>
        <w:t>)</w:t>
      </w:r>
      <w:r w:rsidR="00EF17D7">
        <w:rPr>
          <w:rFonts w:eastAsiaTheme="minorHAnsi"/>
          <w:sz w:val="22"/>
          <w:szCs w:val="22"/>
          <w:lang w:val="en-AU"/>
        </w:rPr>
        <w:t>;</w:t>
      </w:r>
      <w:r w:rsidRPr="001F47CC">
        <w:rPr>
          <w:rFonts w:eastAsiaTheme="minorHAnsi"/>
          <w:sz w:val="22"/>
          <w:szCs w:val="22"/>
          <w:lang w:val="en-AU"/>
        </w:rPr>
        <w:t xml:space="preserve"> </w:t>
      </w:r>
    </w:p>
    <w:p w14:paraId="1B168C3A" w14:textId="6DB91A58" w:rsidR="00E8455F" w:rsidRPr="001F47CC" w:rsidRDefault="001F47CC" w:rsidP="001F47CC">
      <w:pPr>
        <w:pStyle w:val="ListParagraph"/>
        <w:numPr>
          <w:ilvl w:val="0"/>
          <w:numId w:val="28"/>
        </w:numPr>
        <w:spacing w:after="80" w:line="256" w:lineRule="auto"/>
        <w:rPr>
          <w:rFonts w:eastAsiaTheme="minorHAnsi"/>
          <w:sz w:val="22"/>
          <w:szCs w:val="22"/>
          <w:lang w:val="en-AU"/>
        </w:rPr>
      </w:pPr>
      <w:r>
        <w:rPr>
          <w:rFonts w:eastAsiaTheme="minorHAnsi"/>
          <w:sz w:val="22"/>
          <w:szCs w:val="22"/>
          <w:lang w:val="en-AU"/>
        </w:rPr>
        <w:t>mod</w:t>
      </w:r>
      <w:r w:rsidRPr="001F47CC">
        <w:rPr>
          <w:rFonts w:eastAsiaTheme="minorHAnsi"/>
          <w:sz w:val="22"/>
          <w:szCs w:val="22"/>
          <w:lang w:val="en-AU"/>
        </w:rPr>
        <w:t xml:space="preserve">ification </w:t>
      </w:r>
      <w:r w:rsidR="00EF17D7">
        <w:rPr>
          <w:rFonts w:eastAsiaTheme="minorHAnsi"/>
          <w:sz w:val="22"/>
          <w:szCs w:val="22"/>
          <w:lang w:val="en-AU"/>
        </w:rPr>
        <w:t>of</w:t>
      </w:r>
      <w:r w:rsidR="00EF17D7" w:rsidRPr="001F47CC">
        <w:rPr>
          <w:rFonts w:eastAsiaTheme="minorHAnsi"/>
          <w:sz w:val="22"/>
          <w:szCs w:val="22"/>
          <w:lang w:val="en-AU"/>
        </w:rPr>
        <w:t xml:space="preserve"> </w:t>
      </w:r>
      <w:r w:rsidRPr="001F47CC">
        <w:rPr>
          <w:rFonts w:eastAsiaTheme="minorHAnsi"/>
          <w:sz w:val="22"/>
          <w:szCs w:val="22"/>
          <w:lang w:val="en-AU"/>
        </w:rPr>
        <w:t>the wording related to the receiver overload mechanisms in</w:t>
      </w:r>
      <w:r>
        <w:rPr>
          <w:rFonts w:eastAsiaTheme="minorHAnsi"/>
          <w:sz w:val="22"/>
          <w:szCs w:val="22"/>
          <w:lang w:val="en-AU"/>
        </w:rPr>
        <w:t xml:space="preserve"> new sub</w:t>
      </w:r>
      <w:r w:rsidRPr="001F47CC">
        <w:rPr>
          <w:rFonts w:eastAsiaTheme="minorHAnsi"/>
          <w:sz w:val="22"/>
          <w:szCs w:val="22"/>
          <w:lang w:val="en-AU"/>
        </w:rPr>
        <w:t xml:space="preserve">section 4.5(2) of the </w:t>
      </w:r>
      <w:r w:rsidR="00EF17D7">
        <w:rPr>
          <w:rFonts w:eastAsiaTheme="minorHAnsi"/>
          <w:sz w:val="22"/>
          <w:szCs w:val="22"/>
          <w:lang w:val="en-AU"/>
        </w:rPr>
        <w:t xml:space="preserve">Tx </w:t>
      </w:r>
      <w:r w:rsidRPr="001F47CC">
        <w:rPr>
          <w:rFonts w:eastAsiaTheme="minorHAnsi"/>
          <w:sz w:val="22"/>
          <w:szCs w:val="22"/>
          <w:lang w:val="en-AU"/>
        </w:rPr>
        <w:t>RAG to remove ambiguities on how it is applied</w:t>
      </w:r>
      <w:r w:rsidR="00EF17D7">
        <w:rPr>
          <w:rFonts w:eastAsiaTheme="minorHAnsi"/>
          <w:sz w:val="22"/>
          <w:szCs w:val="22"/>
          <w:lang w:val="en-AU"/>
        </w:rPr>
        <w:t>;</w:t>
      </w:r>
    </w:p>
    <w:p w14:paraId="1202C60A" w14:textId="1C29C2A1" w:rsidR="00E8455F" w:rsidRPr="00DD1B4C" w:rsidRDefault="00EC49CB" w:rsidP="00E8455F">
      <w:pPr>
        <w:pStyle w:val="ListParagraph"/>
        <w:numPr>
          <w:ilvl w:val="0"/>
          <w:numId w:val="25"/>
        </w:numPr>
        <w:spacing w:after="160" w:line="256" w:lineRule="auto"/>
        <w:rPr>
          <w:rFonts w:eastAsiaTheme="minorHAnsi"/>
          <w:sz w:val="22"/>
          <w:szCs w:val="22"/>
          <w:lang w:val="en-AU"/>
        </w:rPr>
      </w:pPr>
      <w:r>
        <w:rPr>
          <w:rFonts w:eastAsiaTheme="minorHAnsi"/>
          <w:sz w:val="22"/>
          <w:szCs w:val="22"/>
          <w:lang w:val="en-AU"/>
        </w:rPr>
        <w:t xml:space="preserve">delaying the </w:t>
      </w:r>
      <w:r w:rsidR="001F47CC">
        <w:rPr>
          <w:rFonts w:eastAsiaTheme="minorHAnsi"/>
          <w:sz w:val="22"/>
          <w:szCs w:val="22"/>
          <w:lang w:val="en-AU"/>
        </w:rPr>
        <w:t>a</w:t>
      </w:r>
      <w:r w:rsidR="001F47CC" w:rsidRPr="001F47CC">
        <w:rPr>
          <w:rFonts w:eastAsiaTheme="minorHAnsi"/>
          <w:sz w:val="22"/>
          <w:szCs w:val="22"/>
          <w:lang w:val="en-AU"/>
        </w:rPr>
        <w:t>ppl</w:t>
      </w:r>
      <w:r>
        <w:rPr>
          <w:rFonts w:eastAsiaTheme="minorHAnsi"/>
          <w:sz w:val="22"/>
          <w:szCs w:val="22"/>
          <w:lang w:val="en-AU"/>
        </w:rPr>
        <w:t>ication of</w:t>
      </w:r>
      <w:r w:rsidR="001F47CC" w:rsidRPr="001F47CC">
        <w:rPr>
          <w:rFonts w:eastAsiaTheme="minorHAnsi"/>
          <w:sz w:val="22"/>
          <w:szCs w:val="22"/>
          <w:lang w:val="en-AU"/>
        </w:rPr>
        <w:t xml:space="preserve"> </w:t>
      </w:r>
      <w:r w:rsidR="001F47CC">
        <w:rPr>
          <w:rFonts w:eastAsiaTheme="minorHAnsi"/>
          <w:sz w:val="22"/>
          <w:szCs w:val="22"/>
          <w:lang w:val="en-AU"/>
        </w:rPr>
        <w:t xml:space="preserve">the </w:t>
      </w:r>
      <w:r w:rsidR="00EF17D7">
        <w:rPr>
          <w:rFonts w:eastAsiaTheme="minorHAnsi"/>
          <w:sz w:val="22"/>
          <w:szCs w:val="22"/>
          <w:lang w:val="en-AU"/>
        </w:rPr>
        <w:t xml:space="preserve">proposed </w:t>
      </w:r>
      <w:r w:rsidR="001F47CC" w:rsidRPr="001F47CC">
        <w:rPr>
          <w:rFonts w:eastAsiaTheme="minorHAnsi"/>
          <w:sz w:val="22"/>
          <w:szCs w:val="22"/>
          <w:lang w:val="en-AU"/>
        </w:rPr>
        <w:t xml:space="preserve">stricter RF filter to site-based earth </w:t>
      </w:r>
      <w:proofErr w:type="gramStart"/>
      <w:r w:rsidR="001F47CC" w:rsidRPr="001F47CC">
        <w:rPr>
          <w:rFonts w:eastAsiaTheme="minorHAnsi"/>
          <w:sz w:val="22"/>
          <w:szCs w:val="22"/>
          <w:lang w:val="en-AU"/>
        </w:rPr>
        <w:t>receive</w:t>
      </w:r>
      <w:proofErr w:type="gramEnd"/>
      <w:r w:rsidR="00F378AD">
        <w:rPr>
          <w:rFonts w:eastAsiaTheme="minorHAnsi"/>
          <w:sz w:val="22"/>
          <w:szCs w:val="22"/>
          <w:lang w:val="en-AU"/>
        </w:rPr>
        <w:t xml:space="preserve"> </w:t>
      </w:r>
      <w:r w:rsidR="00EF17D7">
        <w:rPr>
          <w:rFonts w:eastAsiaTheme="minorHAnsi"/>
          <w:sz w:val="22"/>
          <w:szCs w:val="22"/>
          <w:lang w:val="en-AU"/>
        </w:rPr>
        <w:t>licences</w:t>
      </w:r>
      <w:r w:rsidR="001F47CC" w:rsidRPr="001F47CC">
        <w:rPr>
          <w:rFonts w:eastAsiaTheme="minorHAnsi"/>
          <w:sz w:val="22"/>
          <w:szCs w:val="22"/>
          <w:lang w:val="en-AU"/>
        </w:rPr>
        <w:t xml:space="preserve"> from 16 July 2027 onwards. </w:t>
      </w:r>
    </w:p>
    <w:p w14:paraId="04D0D0A3" w14:textId="5228AFA3" w:rsidR="004F4BD2" w:rsidRDefault="00F4401C" w:rsidP="0038435E">
      <w:pPr>
        <w:spacing w:after="160" w:line="256" w:lineRule="auto"/>
        <w:rPr>
          <w:rFonts w:eastAsiaTheme="minorHAnsi"/>
          <w:sz w:val="22"/>
          <w:szCs w:val="22"/>
          <w:lang w:val="en-AU"/>
        </w:rPr>
      </w:pPr>
      <w:r>
        <w:rPr>
          <w:rFonts w:eastAsiaTheme="minorHAnsi"/>
          <w:sz w:val="22"/>
          <w:szCs w:val="22"/>
          <w:lang w:val="en-AU"/>
        </w:rPr>
        <w:lastRenderedPageBreak/>
        <w:t xml:space="preserve">After </w:t>
      </w:r>
      <w:r w:rsidRPr="00DD1B4C">
        <w:rPr>
          <w:rFonts w:eastAsiaTheme="minorHAnsi"/>
          <w:sz w:val="22"/>
          <w:szCs w:val="22"/>
          <w:lang w:val="en-AU"/>
        </w:rPr>
        <w:t xml:space="preserve">considering submissions, the ACMA </w:t>
      </w:r>
      <w:r>
        <w:rPr>
          <w:rFonts w:eastAsiaTheme="minorHAnsi"/>
          <w:sz w:val="22"/>
          <w:szCs w:val="22"/>
          <w:lang w:val="en-AU"/>
        </w:rPr>
        <w:t xml:space="preserve">included the additional modifications into the Tx RAG </w:t>
      </w:r>
      <w:r w:rsidR="00124589">
        <w:rPr>
          <w:rFonts w:eastAsiaTheme="minorHAnsi"/>
          <w:sz w:val="22"/>
          <w:szCs w:val="22"/>
          <w:lang w:val="en-AU"/>
        </w:rPr>
        <w:t>Variation</w:t>
      </w:r>
      <w:r>
        <w:rPr>
          <w:rFonts w:eastAsiaTheme="minorHAnsi"/>
          <w:sz w:val="22"/>
          <w:szCs w:val="22"/>
          <w:lang w:val="en-AU"/>
        </w:rPr>
        <w:t>.</w:t>
      </w:r>
      <w:r w:rsidR="00124589">
        <w:rPr>
          <w:rFonts w:eastAsiaTheme="minorHAnsi"/>
          <w:sz w:val="22"/>
          <w:szCs w:val="22"/>
          <w:lang w:val="en-AU"/>
        </w:rPr>
        <w:t xml:space="preserve"> </w:t>
      </w:r>
    </w:p>
    <w:p w14:paraId="50C8E62F" w14:textId="5B8925CB" w:rsidR="008615D3" w:rsidRPr="00DD1B4C" w:rsidRDefault="00E76C4B" w:rsidP="00B3129C">
      <w:pPr>
        <w:spacing w:before="280" w:after="160" w:line="256" w:lineRule="auto"/>
        <w:rPr>
          <w:rFonts w:eastAsiaTheme="minorHAnsi"/>
          <w:b/>
          <w:sz w:val="22"/>
          <w:szCs w:val="22"/>
          <w:lang w:val="en-AU"/>
        </w:rPr>
      </w:pPr>
      <w:r w:rsidRPr="00DD1B4C">
        <w:rPr>
          <w:rFonts w:eastAsiaTheme="minorHAnsi"/>
          <w:b/>
          <w:sz w:val="22"/>
          <w:szCs w:val="22"/>
          <w:lang w:val="en-AU"/>
        </w:rPr>
        <w:t xml:space="preserve">Regulatory </w:t>
      </w:r>
      <w:r w:rsidR="00475852" w:rsidRPr="00DD1B4C">
        <w:rPr>
          <w:rFonts w:eastAsiaTheme="minorHAnsi"/>
          <w:b/>
          <w:sz w:val="22"/>
          <w:szCs w:val="22"/>
          <w:lang w:val="en-AU"/>
        </w:rPr>
        <w:t>i</w:t>
      </w:r>
      <w:r w:rsidRPr="00DD1B4C">
        <w:rPr>
          <w:rFonts w:eastAsiaTheme="minorHAnsi"/>
          <w:b/>
          <w:sz w:val="22"/>
          <w:szCs w:val="22"/>
          <w:lang w:val="en-AU"/>
        </w:rPr>
        <w:t xml:space="preserve">mpact </w:t>
      </w:r>
      <w:r w:rsidR="00475852" w:rsidRPr="00DD1B4C">
        <w:rPr>
          <w:rFonts w:eastAsiaTheme="minorHAnsi"/>
          <w:b/>
          <w:sz w:val="22"/>
          <w:szCs w:val="22"/>
          <w:lang w:val="en-AU"/>
        </w:rPr>
        <w:t>assessment</w:t>
      </w:r>
    </w:p>
    <w:p w14:paraId="7F29AF7F" w14:textId="44325B1C" w:rsidR="007156E1" w:rsidRPr="00DD1B4C" w:rsidRDefault="007D2647" w:rsidP="00B952D1">
      <w:pPr>
        <w:keepLines/>
        <w:spacing w:after="120" w:line="257" w:lineRule="auto"/>
        <w:rPr>
          <w:rFonts w:eastAsiaTheme="minorHAnsi"/>
          <w:sz w:val="22"/>
          <w:szCs w:val="22"/>
          <w:lang w:val="en-AU"/>
        </w:rPr>
      </w:pPr>
      <w:r w:rsidRPr="00DD1B4C">
        <w:rPr>
          <w:rFonts w:eastAsiaTheme="minorHAnsi"/>
          <w:sz w:val="22"/>
          <w:szCs w:val="22"/>
          <w:lang w:val="en-AU"/>
        </w:rPr>
        <w:t>An assessment of the proposal to vary the technical framework instruments</w:t>
      </w:r>
      <w:r w:rsidR="00DD00C9">
        <w:rPr>
          <w:rFonts w:eastAsiaTheme="minorHAnsi"/>
          <w:sz w:val="22"/>
          <w:szCs w:val="22"/>
          <w:lang w:val="en-AU"/>
        </w:rPr>
        <w:t>, including the Tx RAG,</w:t>
      </w:r>
      <w:r w:rsidRPr="00DD1B4C">
        <w:rPr>
          <w:rFonts w:eastAsiaTheme="minorHAnsi"/>
          <w:sz w:val="22"/>
          <w:szCs w:val="22"/>
          <w:lang w:val="en-AU"/>
        </w:rPr>
        <w:t xml:space="preserve"> was conducted by the Office of Impact Analysis (</w:t>
      </w:r>
      <w:r w:rsidRPr="00DD1B4C">
        <w:rPr>
          <w:rFonts w:eastAsiaTheme="minorHAnsi"/>
          <w:b/>
          <w:bCs/>
          <w:sz w:val="22"/>
          <w:szCs w:val="22"/>
          <w:lang w:val="en-AU"/>
        </w:rPr>
        <w:t>OIA</w:t>
      </w:r>
      <w:r w:rsidRPr="00DD1B4C">
        <w:rPr>
          <w:rFonts w:eastAsiaTheme="minorHAnsi"/>
          <w:sz w:val="22"/>
          <w:szCs w:val="22"/>
          <w:lang w:val="en-AU"/>
        </w:rPr>
        <w:t>), based on information provided by the ACMA, for the purposes of determining whether a Regulation Impact Statement (</w:t>
      </w:r>
      <w:r w:rsidRPr="00DD1B4C">
        <w:rPr>
          <w:rFonts w:eastAsiaTheme="minorHAnsi"/>
          <w:b/>
          <w:bCs/>
          <w:sz w:val="22"/>
          <w:szCs w:val="22"/>
          <w:lang w:val="en-AU"/>
        </w:rPr>
        <w:t>RIS</w:t>
      </w:r>
      <w:r w:rsidRPr="00DD1B4C">
        <w:rPr>
          <w:rFonts w:eastAsiaTheme="minorHAnsi"/>
          <w:sz w:val="22"/>
          <w:szCs w:val="22"/>
          <w:lang w:val="en-AU"/>
        </w:rPr>
        <w:t xml:space="preserve">) would be required. OIA advised that a RIS would not be required because the proposed regulatory change is minor or machinery in nature –reference number </w:t>
      </w:r>
      <w:r w:rsidR="004E205D" w:rsidRPr="004E205D">
        <w:rPr>
          <w:rFonts w:eastAsiaTheme="minorHAnsi"/>
          <w:sz w:val="22"/>
          <w:szCs w:val="22"/>
          <w:lang w:val="en-AU"/>
        </w:rPr>
        <w:t>OIA23-05294.</w:t>
      </w:r>
    </w:p>
    <w:p w14:paraId="50C8E642" w14:textId="77777777" w:rsidR="00D27FD9" w:rsidRPr="00DD1B4C" w:rsidRDefault="00D27FD9" w:rsidP="00B3129C">
      <w:pPr>
        <w:spacing w:before="280" w:after="160" w:line="256" w:lineRule="auto"/>
        <w:rPr>
          <w:rFonts w:eastAsiaTheme="minorHAnsi"/>
          <w:b/>
          <w:sz w:val="22"/>
          <w:szCs w:val="22"/>
          <w:lang w:val="en-AU"/>
        </w:rPr>
      </w:pPr>
      <w:r w:rsidRPr="00DD1B4C">
        <w:rPr>
          <w:rFonts w:eastAsiaTheme="minorHAnsi"/>
          <w:b/>
          <w:sz w:val="22"/>
          <w:szCs w:val="22"/>
          <w:lang w:val="en-AU"/>
        </w:rPr>
        <w:t>Statement of compatibility with human rights</w:t>
      </w:r>
    </w:p>
    <w:p w14:paraId="50C8E647" w14:textId="0463FCF8" w:rsidR="00D27FD9" w:rsidRPr="00DD1B4C" w:rsidRDefault="00A9714A" w:rsidP="008F31FF">
      <w:pPr>
        <w:spacing w:after="160" w:line="256" w:lineRule="auto"/>
        <w:rPr>
          <w:rFonts w:eastAsiaTheme="minorHAnsi"/>
          <w:sz w:val="22"/>
          <w:szCs w:val="22"/>
          <w:lang w:val="en-AU"/>
        </w:rPr>
      </w:pPr>
      <w:r w:rsidRPr="00DD1B4C">
        <w:rPr>
          <w:rFonts w:eastAsiaTheme="minorHAnsi"/>
          <w:sz w:val="22"/>
          <w:szCs w:val="22"/>
          <w:lang w:val="en-AU"/>
        </w:rPr>
        <w:t xml:space="preserve">Subsection 9(1) of the </w:t>
      </w:r>
      <w:r w:rsidRPr="00DD1B4C">
        <w:rPr>
          <w:rFonts w:eastAsiaTheme="minorHAnsi"/>
          <w:i/>
          <w:iCs/>
          <w:sz w:val="22"/>
          <w:szCs w:val="22"/>
          <w:lang w:val="en-AU"/>
        </w:rPr>
        <w:t>Human Rights (Parliamentary Scrutiny) Act 2011</w:t>
      </w:r>
      <w:r w:rsidRPr="00DD1B4C">
        <w:rPr>
          <w:rFonts w:eastAsiaTheme="minorHAnsi"/>
          <w:sz w:val="22"/>
          <w:szCs w:val="22"/>
          <w:lang w:val="en-AU"/>
        </w:rPr>
        <w:t xml:space="preserve"> requires the rule maker in relation to a legislative instrument to which section 42 of the </w:t>
      </w:r>
      <w:r w:rsidR="00513AC1" w:rsidRPr="00DD1B4C">
        <w:rPr>
          <w:rFonts w:eastAsiaTheme="minorHAnsi"/>
          <w:sz w:val="22"/>
          <w:szCs w:val="22"/>
          <w:lang w:val="en-AU"/>
        </w:rPr>
        <w:t>L</w:t>
      </w:r>
      <w:r w:rsidR="000B2A36" w:rsidRPr="00DD1B4C">
        <w:rPr>
          <w:rFonts w:eastAsiaTheme="minorHAnsi"/>
          <w:sz w:val="22"/>
          <w:szCs w:val="22"/>
          <w:lang w:val="en-AU"/>
        </w:rPr>
        <w:t>A</w:t>
      </w:r>
      <w:r w:rsidRPr="00DD1B4C">
        <w:rPr>
          <w:rFonts w:eastAsiaTheme="minorHAnsi"/>
          <w:sz w:val="22"/>
          <w:szCs w:val="22"/>
          <w:lang w:val="en-AU"/>
        </w:rPr>
        <w:t xml:space="preserve"> applies</w:t>
      </w:r>
      <w:r w:rsidR="00FC5938" w:rsidRPr="00DD1B4C">
        <w:rPr>
          <w:rFonts w:eastAsiaTheme="minorHAnsi"/>
          <w:sz w:val="22"/>
          <w:szCs w:val="22"/>
          <w:lang w:val="en-AU"/>
        </w:rPr>
        <w:t xml:space="preserve"> (disallowance),</w:t>
      </w:r>
      <w:r w:rsidRPr="00DD1B4C">
        <w:rPr>
          <w:rFonts w:eastAsiaTheme="minorHAnsi"/>
          <w:sz w:val="22"/>
          <w:szCs w:val="22"/>
          <w:lang w:val="en-AU"/>
        </w:rPr>
        <w:t xml:space="preserve"> to cause a statement of compatibility</w:t>
      </w:r>
      <w:r w:rsidR="00871BF6" w:rsidRPr="00DD1B4C">
        <w:rPr>
          <w:rFonts w:eastAsiaTheme="minorHAnsi"/>
          <w:sz w:val="22"/>
          <w:szCs w:val="22"/>
          <w:lang w:val="en-AU"/>
        </w:rPr>
        <w:t xml:space="preserve"> with human rights</w:t>
      </w:r>
      <w:r w:rsidRPr="00DD1B4C">
        <w:rPr>
          <w:rFonts w:eastAsiaTheme="minorHAnsi"/>
          <w:sz w:val="22"/>
          <w:szCs w:val="22"/>
          <w:lang w:val="en-AU"/>
        </w:rPr>
        <w:t xml:space="preserve"> to be prepared in respect of that legislative instrument.</w:t>
      </w:r>
    </w:p>
    <w:p w14:paraId="071CA242" w14:textId="5BF98B33" w:rsidR="00871BF6" w:rsidRPr="00DD1B4C" w:rsidRDefault="00871BF6" w:rsidP="008F31FF">
      <w:pPr>
        <w:spacing w:after="160" w:line="256" w:lineRule="auto"/>
        <w:rPr>
          <w:rFonts w:eastAsiaTheme="minorHAnsi"/>
          <w:sz w:val="22"/>
          <w:szCs w:val="22"/>
          <w:lang w:val="en-AU"/>
        </w:rPr>
      </w:pPr>
      <w:r w:rsidRPr="00DD1B4C">
        <w:rPr>
          <w:rFonts w:eastAsiaTheme="minorHAnsi"/>
          <w:sz w:val="22"/>
          <w:szCs w:val="22"/>
          <w:lang w:val="en-AU"/>
        </w:rPr>
        <w:t>The statement of compatibility set out below has been prepared to meet that requirement.</w:t>
      </w:r>
    </w:p>
    <w:p w14:paraId="05256245" w14:textId="7DE6E61D" w:rsidR="00871BF6" w:rsidRPr="00DD1B4C" w:rsidRDefault="00871BF6" w:rsidP="007E10A9">
      <w:pPr>
        <w:keepNext/>
        <w:spacing w:before="280" w:after="160" w:line="257" w:lineRule="auto"/>
        <w:rPr>
          <w:rFonts w:eastAsiaTheme="minorHAnsi"/>
          <w:b/>
          <w:i/>
          <w:iCs/>
          <w:sz w:val="22"/>
          <w:szCs w:val="22"/>
          <w:lang w:val="en-AU"/>
        </w:rPr>
      </w:pPr>
      <w:r w:rsidRPr="00DD1B4C">
        <w:rPr>
          <w:rFonts w:eastAsiaTheme="minorHAnsi"/>
          <w:b/>
          <w:i/>
          <w:iCs/>
          <w:sz w:val="22"/>
          <w:szCs w:val="22"/>
          <w:lang w:val="en-AU"/>
        </w:rPr>
        <w:t>Overview of the instrument</w:t>
      </w:r>
    </w:p>
    <w:p w14:paraId="11FDB46F" w14:textId="77777777" w:rsidR="00FF2BD8" w:rsidRPr="00DD1B4C" w:rsidRDefault="00871BF6" w:rsidP="00B73837">
      <w:pPr>
        <w:spacing w:after="160" w:line="256" w:lineRule="auto"/>
        <w:rPr>
          <w:rFonts w:eastAsiaTheme="minorHAnsi"/>
          <w:sz w:val="22"/>
          <w:szCs w:val="22"/>
          <w:lang w:val="en-AU"/>
        </w:rPr>
      </w:pPr>
      <w:r w:rsidRPr="00DD1B4C">
        <w:rPr>
          <w:rFonts w:eastAsiaTheme="minorHAnsi"/>
          <w:sz w:val="22"/>
          <w:szCs w:val="22"/>
          <w:lang w:val="en-AU"/>
        </w:rPr>
        <w:t>Section 262 of the Act permits the ACMA to make advisory guidelines about any aspect of radiocommunication or radio emissions.</w:t>
      </w:r>
      <w:r w:rsidR="004F47C1" w:rsidRPr="00DD1B4C">
        <w:rPr>
          <w:rFonts w:eastAsiaTheme="minorHAnsi"/>
          <w:sz w:val="22"/>
          <w:szCs w:val="22"/>
          <w:lang w:val="en-AU"/>
        </w:rPr>
        <w:t xml:space="preserve"> </w:t>
      </w:r>
    </w:p>
    <w:p w14:paraId="6D4342BE" w14:textId="2EF47C3D" w:rsidR="00B73837" w:rsidRPr="00DD1B4C" w:rsidRDefault="00871BF6" w:rsidP="00B73837">
      <w:pPr>
        <w:spacing w:after="160" w:line="256" w:lineRule="auto"/>
        <w:rPr>
          <w:rFonts w:eastAsiaTheme="minorHAnsi"/>
          <w:sz w:val="22"/>
          <w:szCs w:val="22"/>
          <w:lang w:val="en-AU"/>
        </w:rPr>
      </w:pPr>
      <w:r w:rsidRPr="00DD1B4C">
        <w:rPr>
          <w:rFonts w:eastAsiaTheme="minorHAnsi"/>
          <w:sz w:val="22"/>
          <w:szCs w:val="22"/>
          <w:lang w:val="en-AU"/>
        </w:rPr>
        <w:t xml:space="preserve">The </w:t>
      </w:r>
      <w:r w:rsidR="00D64A17" w:rsidRPr="00DD1B4C">
        <w:rPr>
          <w:rFonts w:eastAsiaTheme="minorHAnsi"/>
          <w:sz w:val="22"/>
          <w:szCs w:val="22"/>
          <w:lang w:val="en-AU"/>
        </w:rPr>
        <w:t>Tx RAG</w:t>
      </w:r>
      <w:r w:rsidRPr="00DD1B4C">
        <w:rPr>
          <w:rFonts w:eastAsiaTheme="minorHAnsi"/>
          <w:sz w:val="22"/>
          <w:szCs w:val="22"/>
          <w:lang w:val="en-AU"/>
        </w:rPr>
        <w:t xml:space="preserve"> provide</w:t>
      </w:r>
      <w:r w:rsidR="00FF2BD8" w:rsidRPr="00DD1B4C">
        <w:rPr>
          <w:rFonts w:eastAsiaTheme="minorHAnsi"/>
          <w:sz w:val="22"/>
          <w:szCs w:val="22"/>
          <w:lang w:val="en-AU"/>
        </w:rPr>
        <w:t>s</w:t>
      </w:r>
      <w:r w:rsidRPr="00DD1B4C">
        <w:rPr>
          <w:rFonts w:eastAsiaTheme="minorHAnsi"/>
          <w:sz w:val="22"/>
          <w:szCs w:val="22"/>
          <w:lang w:val="en-AU"/>
        </w:rPr>
        <w:t xml:space="preserve"> information and guidance to assist with the management of interference to radiocommunications receivers operating under apparatus, </w:t>
      </w:r>
      <w:proofErr w:type="gramStart"/>
      <w:r w:rsidRPr="00DD1B4C">
        <w:rPr>
          <w:rFonts w:eastAsiaTheme="minorHAnsi"/>
          <w:sz w:val="22"/>
          <w:szCs w:val="22"/>
          <w:lang w:val="en-AU"/>
        </w:rPr>
        <w:t>class</w:t>
      </w:r>
      <w:proofErr w:type="gramEnd"/>
      <w:r w:rsidRPr="00DD1B4C">
        <w:rPr>
          <w:rFonts w:eastAsiaTheme="minorHAnsi"/>
          <w:sz w:val="22"/>
          <w:szCs w:val="22"/>
          <w:lang w:val="en-AU"/>
        </w:rPr>
        <w:t xml:space="preserve"> and spectrum licences in or adjacent to the </w:t>
      </w:r>
      <w:r w:rsidR="00A84A63" w:rsidRPr="00DD1B4C">
        <w:rPr>
          <w:rFonts w:eastAsiaTheme="minorHAnsi"/>
          <w:sz w:val="22"/>
          <w:szCs w:val="22"/>
          <w:lang w:val="en-AU"/>
        </w:rPr>
        <w:t>3.4 GHz</w:t>
      </w:r>
      <w:r w:rsidRPr="00DD1B4C">
        <w:rPr>
          <w:rFonts w:eastAsiaTheme="minorHAnsi"/>
          <w:sz w:val="22"/>
          <w:szCs w:val="22"/>
          <w:lang w:val="en-AU"/>
        </w:rPr>
        <w:t xml:space="preserve"> band caused by </w:t>
      </w:r>
      <w:r w:rsidR="00742D80" w:rsidRPr="00DD1B4C">
        <w:rPr>
          <w:rFonts w:eastAsiaTheme="minorHAnsi"/>
          <w:sz w:val="22"/>
          <w:szCs w:val="22"/>
          <w:lang w:val="en-AU"/>
        </w:rPr>
        <w:t>3.4 GHz</w:t>
      </w:r>
      <w:r w:rsidRPr="00DD1B4C">
        <w:rPr>
          <w:rFonts w:eastAsiaTheme="minorHAnsi"/>
          <w:sz w:val="22"/>
          <w:szCs w:val="22"/>
          <w:lang w:val="en-AU"/>
        </w:rPr>
        <w:t xml:space="preserve"> transmitters.</w:t>
      </w:r>
    </w:p>
    <w:p w14:paraId="5AB368C7" w14:textId="77777777" w:rsidR="00685D89" w:rsidRDefault="00685D89" w:rsidP="00685D89">
      <w:pPr>
        <w:spacing w:after="80" w:line="256" w:lineRule="auto"/>
        <w:rPr>
          <w:rFonts w:eastAsiaTheme="minorHAnsi"/>
          <w:sz w:val="22"/>
          <w:szCs w:val="22"/>
          <w:lang w:val="en-AU"/>
        </w:rPr>
      </w:pPr>
      <w:r w:rsidRPr="00DD1B4C">
        <w:rPr>
          <w:sz w:val="22"/>
          <w:szCs w:val="22"/>
        </w:rPr>
        <w:t xml:space="preserve">The purpose of Tx RAG Variation is to amend the Tx RAG </w:t>
      </w:r>
      <w:r>
        <w:rPr>
          <w:rFonts w:eastAsiaTheme="minorHAnsi"/>
          <w:sz w:val="22"/>
          <w:szCs w:val="22"/>
          <w:lang w:val="en-AU"/>
        </w:rPr>
        <w:t>to:</w:t>
      </w:r>
    </w:p>
    <w:p w14:paraId="2FC788E3" w14:textId="700329C1" w:rsidR="00685D89" w:rsidRDefault="00685D89" w:rsidP="00685D89">
      <w:pPr>
        <w:pStyle w:val="ListParagraph"/>
        <w:numPr>
          <w:ilvl w:val="0"/>
          <w:numId w:val="26"/>
        </w:numPr>
        <w:spacing w:after="120" w:line="256" w:lineRule="auto"/>
        <w:rPr>
          <w:rFonts w:eastAsiaTheme="minorHAnsi"/>
          <w:sz w:val="22"/>
          <w:szCs w:val="22"/>
          <w:lang w:val="en-AU"/>
        </w:rPr>
      </w:pPr>
      <w:r>
        <w:rPr>
          <w:rFonts w:eastAsiaTheme="minorHAnsi"/>
          <w:sz w:val="22"/>
          <w:szCs w:val="22"/>
          <w:lang w:val="en-AU"/>
        </w:rPr>
        <w:t>set out</w:t>
      </w:r>
      <w:r w:rsidRPr="00304068">
        <w:rPr>
          <w:rFonts w:eastAsiaTheme="minorHAnsi"/>
          <w:sz w:val="22"/>
          <w:szCs w:val="22"/>
          <w:lang w:val="en-AU"/>
        </w:rPr>
        <w:t xml:space="preserve"> interference management arrangements between </w:t>
      </w:r>
      <w:r>
        <w:rPr>
          <w:rFonts w:eastAsiaTheme="minorHAnsi"/>
          <w:sz w:val="22"/>
          <w:szCs w:val="22"/>
          <w:lang w:val="en-AU"/>
        </w:rPr>
        <w:t>3.4 GHz</w:t>
      </w:r>
      <w:r w:rsidRPr="00304068">
        <w:rPr>
          <w:rFonts w:eastAsiaTheme="minorHAnsi"/>
          <w:sz w:val="22"/>
          <w:szCs w:val="22"/>
          <w:lang w:val="en-AU"/>
        </w:rPr>
        <w:t xml:space="preserve"> </w:t>
      </w:r>
      <w:r>
        <w:rPr>
          <w:rFonts w:eastAsiaTheme="minorHAnsi"/>
          <w:sz w:val="22"/>
          <w:szCs w:val="22"/>
          <w:lang w:val="en-AU"/>
        </w:rPr>
        <w:t>transmitters</w:t>
      </w:r>
      <w:r w:rsidRPr="00304068">
        <w:rPr>
          <w:rFonts w:eastAsiaTheme="minorHAnsi"/>
          <w:sz w:val="22"/>
          <w:szCs w:val="22"/>
          <w:lang w:val="en-AU"/>
        </w:rPr>
        <w:t xml:space="preserve"> and earth receive stations operated under the proposed new </w:t>
      </w:r>
      <w:r>
        <w:rPr>
          <w:rFonts w:eastAsiaTheme="minorHAnsi"/>
          <w:sz w:val="22"/>
          <w:szCs w:val="22"/>
          <w:lang w:val="en-AU"/>
        </w:rPr>
        <w:t xml:space="preserve">AWL </w:t>
      </w:r>
      <w:proofErr w:type="spellStart"/>
      <w:r>
        <w:rPr>
          <w:rFonts w:eastAsiaTheme="minorHAnsi"/>
          <w:sz w:val="22"/>
          <w:szCs w:val="22"/>
          <w:lang w:val="en-AU"/>
        </w:rPr>
        <w:t>rx</w:t>
      </w:r>
      <w:proofErr w:type="spellEnd"/>
      <w:r>
        <w:rPr>
          <w:rFonts w:eastAsiaTheme="minorHAnsi"/>
          <w:sz w:val="22"/>
          <w:szCs w:val="22"/>
          <w:lang w:val="en-AU"/>
        </w:rPr>
        <w:t xml:space="preserve"> between 3.75 GHz and 4 GHz</w:t>
      </w:r>
      <w:r w:rsidRPr="00304068">
        <w:rPr>
          <w:rFonts w:eastAsiaTheme="minorHAnsi"/>
          <w:sz w:val="22"/>
          <w:szCs w:val="22"/>
          <w:lang w:val="en-AU"/>
        </w:rPr>
        <w:t>.</w:t>
      </w:r>
    </w:p>
    <w:p w14:paraId="65392903" w14:textId="09B2EFEC" w:rsidR="005D4F6E" w:rsidRDefault="005D4F6E" w:rsidP="005D4F6E">
      <w:pPr>
        <w:pStyle w:val="ListParagraph"/>
        <w:numPr>
          <w:ilvl w:val="0"/>
          <w:numId w:val="26"/>
        </w:numPr>
        <w:spacing w:after="240" w:line="256" w:lineRule="auto"/>
        <w:rPr>
          <w:rFonts w:eastAsiaTheme="minorHAnsi"/>
          <w:sz w:val="22"/>
          <w:szCs w:val="22"/>
          <w:lang w:val="en-AU"/>
        </w:rPr>
      </w:pPr>
      <w:r>
        <w:rPr>
          <w:rFonts w:eastAsiaTheme="minorHAnsi"/>
          <w:sz w:val="22"/>
          <w:szCs w:val="22"/>
          <w:lang w:val="en-AU"/>
        </w:rPr>
        <w:t>provide for</w:t>
      </w:r>
      <w:r w:rsidRPr="00304068">
        <w:rPr>
          <w:rFonts w:eastAsiaTheme="minorHAnsi"/>
          <w:sz w:val="22"/>
          <w:szCs w:val="22"/>
          <w:lang w:val="en-AU"/>
        </w:rPr>
        <w:t xml:space="preserve"> a stricter radiofrequency filter that applies outside the spectrum space of an</w:t>
      </w:r>
      <w:r>
        <w:rPr>
          <w:rFonts w:eastAsiaTheme="minorHAnsi"/>
          <w:sz w:val="22"/>
          <w:szCs w:val="22"/>
          <w:lang w:val="en-AU"/>
        </w:rPr>
        <w:t xml:space="preserve"> AWL </w:t>
      </w:r>
      <w:proofErr w:type="spellStart"/>
      <w:r>
        <w:rPr>
          <w:rFonts w:eastAsiaTheme="minorHAnsi"/>
          <w:sz w:val="22"/>
          <w:szCs w:val="22"/>
          <w:lang w:val="en-AU"/>
        </w:rPr>
        <w:t>rx</w:t>
      </w:r>
      <w:proofErr w:type="spellEnd"/>
      <w:r w:rsidRPr="00304068">
        <w:rPr>
          <w:rFonts w:eastAsiaTheme="minorHAnsi"/>
          <w:sz w:val="22"/>
          <w:szCs w:val="22"/>
          <w:lang w:val="en-AU"/>
        </w:rPr>
        <w:t xml:space="preserve"> </w:t>
      </w:r>
      <w:r>
        <w:rPr>
          <w:rFonts w:eastAsiaTheme="minorHAnsi"/>
          <w:sz w:val="22"/>
          <w:szCs w:val="22"/>
          <w:lang w:val="en-AU"/>
        </w:rPr>
        <w:t>or an earth receive licence, for the purposes of working out whether the protection criteria for an earth receive station operated under such a licence is being exceeded by a 3.4 GHz transmitter.</w:t>
      </w:r>
    </w:p>
    <w:p w14:paraId="1EFDB4CB" w14:textId="2773D2E1" w:rsidR="00871BF6" w:rsidRPr="00DD1B4C" w:rsidRDefault="00871BF6" w:rsidP="00B73837">
      <w:pPr>
        <w:spacing w:after="160" w:line="256" w:lineRule="auto"/>
        <w:rPr>
          <w:rFonts w:eastAsiaTheme="minorHAnsi"/>
          <w:b/>
          <w:i/>
          <w:iCs/>
          <w:sz w:val="22"/>
          <w:szCs w:val="22"/>
          <w:lang w:val="en-AU"/>
        </w:rPr>
      </w:pPr>
      <w:r w:rsidRPr="00DD1B4C">
        <w:rPr>
          <w:rFonts w:eastAsiaTheme="minorHAnsi"/>
          <w:b/>
          <w:i/>
          <w:iCs/>
          <w:sz w:val="22"/>
          <w:szCs w:val="22"/>
          <w:lang w:val="en-AU"/>
        </w:rPr>
        <w:t xml:space="preserve">Human </w:t>
      </w:r>
      <w:r w:rsidR="004F47C1" w:rsidRPr="00DD1B4C">
        <w:rPr>
          <w:rFonts w:eastAsiaTheme="minorHAnsi"/>
          <w:b/>
          <w:i/>
          <w:iCs/>
          <w:sz w:val="22"/>
          <w:szCs w:val="22"/>
          <w:lang w:val="en-AU"/>
        </w:rPr>
        <w:t>r</w:t>
      </w:r>
      <w:r w:rsidRPr="00DD1B4C">
        <w:rPr>
          <w:rFonts w:eastAsiaTheme="minorHAnsi"/>
          <w:b/>
          <w:i/>
          <w:iCs/>
          <w:sz w:val="22"/>
          <w:szCs w:val="22"/>
          <w:lang w:val="en-AU"/>
        </w:rPr>
        <w:t xml:space="preserve">ights </w:t>
      </w:r>
      <w:r w:rsidR="004F47C1" w:rsidRPr="00DD1B4C">
        <w:rPr>
          <w:rFonts w:eastAsiaTheme="minorHAnsi"/>
          <w:b/>
          <w:i/>
          <w:iCs/>
          <w:sz w:val="22"/>
          <w:szCs w:val="22"/>
          <w:lang w:val="en-AU"/>
        </w:rPr>
        <w:t>i</w:t>
      </w:r>
      <w:r w:rsidRPr="00DD1B4C">
        <w:rPr>
          <w:rFonts w:eastAsiaTheme="minorHAnsi"/>
          <w:b/>
          <w:i/>
          <w:iCs/>
          <w:sz w:val="22"/>
          <w:szCs w:val="22"/>
          <w:lang w:val="en-AU"/>
        </w:rPr>
        <w:t>mplications</w:t>
      </w:r>
    </w:p>
    <w:p w14:paraId="519ABA6B" w14:textId="29CBBD69" w:rsidR="00871BF6" w:rsidRPr="00DD1B4C" w:rsidRDefault="00B21028" w:rsidP="00B21028">
      <w:pPr>
        <w:spacing w:after="160" w:line="256" w:lineRule="auto"/>
        <w:rPr>
          <w:rFonts w:eastAsiaTheme="minorHAnsi"/>
          <w:sz w:val="22"/>
          <w:szCs w:val="22"/>
          <w:lang w:val="en-AU"/>
        </w:rPr>
      </w:pPr>
      <w:r w:rsidRPr="00DD1B4C">
        <w:rPr>
          <w:rFonts w:eastAsiaTheme="minorHAnsi"/>
          <w:sz w:val="22"/>
          <w:szCs w:val="22"/>
          <w:lang w:val="en-AU"/>
        </w:rPr>
        <w:t xml:space="preserve">The ACMA has assessed whether the </w:t>
      </w:r>
      <w:r w:rsidR="00D64A17" w:rsidRPr="00DD1B4C">
        <w:rPr>
          <w:rFonts w:eastAsiaTheme="minorHAnsi"/>
          <w:sz w:val="22"/>
          <w:szCs w:val="22"/>
          <w:lang w:val="en-AU"/>
        </w:rPr>
        <w:t>Tx RAG Variation</w:t>
      </w:r>
      <w:r w:rsidR="004E205D">
        <w:rPr>
          <w:rFonts w:eastAsiaTheme="minorHAnsi"/>
          <w:sz w:val="22"/>
          <w:szCs w:val="22"/>
          <w:lang w:val="en-AU"/>
        </w:rPr>
        <w:t xml:space="preserve"> is</w:t>
      </w:r>
      <w:r w:rsidRPr="00DD1B4C">
        <w:rPr>
          <w:rFonts w:eastAsiaTheme="minorHAnsi"/>
          <w:sz w:val="22"/>
          <w:szCs w:val="22"/>
          <w:lang w:val="en-AU"/>
        </w:rPr>
        <w:t xml:space="preserve"> compatible with human rights, being the</w:t>
      </w:r>
      <w:r w:rsidR="00871BF6" w:rsidRPr="00DD1B4C">
        <w:rPr>
          <w:rFonts w:eastAsiaTheme="minorHAnsi"/>
          <w:sz w:val="22"/>
          <w:szCs w:val="22"/>
          <w:lang w:val="en-AU"/>
        </w:rPr>
        <w:t xml:space="preserve"> rights </w:t>
      </w:r>
      <w:r w:rsidRPr="00DD1B4C">
        <w:rPr>
          <w:rFonts w:eastAsiaTheme="minorHAnsi"/>
          <w:sz w:val="22"/>
          <w:szCs w:val="22"/>
          <w:lang w:val="en-AU"/>
        </w:rPr>
        <w:t>and</w:t>
      </w:r>
      <w:r w:rsidR="00871BF6" w:rsidRPr="00DD1B4C">
        <w:rPr>
          <w:rFonts w:eastAsiaTheme="minorHAnsi"/>
          <w:sz w:val="22"/>
          <w:szCs w:val="22"/>
          <w:lang w:val="en-AU"/>
        </w:rPr>
        <w:t xml:space="preserve"> freedoms recognised or declared in the international instruments listed in </w:t>
      </w:r>
      <w:r w:rsidRPr="00DD1B4C">
        <w:rPr>
          <w:rFonts w:eastAsiaTheme="minorHAnsi"/>
          <w:sz w:val="22"/>
          <w:szCs w:val="22"/>
          <w:lang w:val="en-AU"/>
        </w:rPr>
        <w:t>sub</w:t>
      </w:r>
      <w:r w:rsidR="00871BF6" w:rsidRPr="00DD1B4C">
        <w:rPr>
          <w:rFonts w:eastAsiaTheme="minorHAnsi"/>
          <w:sz w:val="22"/>
          <w:szCs w:val="22"/>
          <w:lang w:val="en-AU"/>
        </w:rPr>
        <w:t>section</w:t>
      </w:r>
      <w:r w:rsidRPr="00DD1B4C">
        <w:rPr>
          <w:rFonts w:eastAsiaTheme="minorHAnsi"/>
          <w:sz w:val="22"/>
          <w:szCs w:val="22"/>
          <w:lang w:val="en-AU"/>
        </w:rPr>
        <w:t> </w:t>
      </w:r>
      <w:r w:rsidR="00871BF6" w:rsidRPr="00DD1B4C">
        <w:rPr>
          <w:rFonts w:eastAsiaTheme="minorHAnsi"/>
          <w:sz w:val="22"/>
          <w:szCs w:val="22"/>
          <w:lang w:val="en-AU"/>
        </w:rPr>
        <w:t>3</w:t>
      </w:r>
      <w:r w:rsidRPr="00DD1B4C">
        <w:rPr>
          <w:rFonts w:eastAsiaTheme="minorHAnsi"/>
          <w:sz w:val="22"/>
          <w:szCs w:val="22"/>
          <w:lang w:val="en-AU"/>
        </w:rPr>
        <w:t>(1)</w:t>
      </w:r>
      <w:r w:rsidR="00871BF6" w:rsidRPr="00DD1B4C">
        <w:rPr>
          <w:rFonts w:eastAsiaTheme="minorHAnsi"/>
          <w:sz w:val="22"/>
          <w:szCs w:val="22"/>
          <w:lang w:val="en-AU"/>
        </w:rPr>
        <w:t xml:space="preserve"> of the </w:t>
      </w:r>
      <w:r w:rsidR="00871BF6" w:rsidRPr="00DD1B4C">
        <w:rPr>
          <w:rFonts w:eastAsiaTheme="minorHAnsi"/>
          <w:i/>
          <w:iCs/>
          <w:sz w:val="22"/>
          <w:szCs w:val="22"/>
          <w:lang w:val="en-AU"/>
        </w:rPr>
        <w:t>Human Rights (Parliamentary Scrutiny) Act 2011</w:t>
      </w:r>
      <w:r w:rsidR="00871BF6" w:rsidRPr="00DD1B4C">
        <w:rPr>
          <w:rFonts w:eastAsiaTheme="minorHAnsi"/>
          <w:sz w:val="22"/>
          <w:szCs w:val="22"/>
          <w:lang w:val="en-AU"/>
        </w:rPr>
        <w:t>.</w:t>
      </w:r>
    </w:p>
    <w:p w14:paraId="63B8223E" w14:textId="1C18E0B3" w:rsidR="00B21028" w:rsidRPr="00DD1B4C" w:rsidRDefault="00B21028" w:rsidP="00B3129C">
      <w:pPr>
        <w:spacing w:after="160" w:line="256" w:lineRule="auto"/>
        <w:rPr>
          <w:rFonts w:eastAsiaTheme="minorHAnsi"/>
          <w:sz w:val="22"/>
          <w:szCs w:val="22"/>
          <w:lang w:val="en-AU"/>
        </w:rPr>
      </w:pPr>
      <w:r w:rsidRPr="00DD1B4C">
        <w:rPr>
          <w:rFonts w:eastAsiaTheme="minorHAnsi"/>
          <w:sz w:val="22"/>
          <w:szCs w:val="22"/>
          <w:lang w:val="en-AU"/>
        </w:rPr>
        <w:t>Having considered the likely impact of the</w:t>
      </w:r>
      <w:r w:rsidR="00417483" w:rsidRPr="00DD1B4C">
        <w:rPr>
          <w:rFonts w:eastAsiaTheme="minorHAnsi"/>
          <w:sz w:val="22"/>
          <w:szCs w:val="22"/>
          <w:lang w:val="en-AU"/>
        </w:rPr>
        <w:t xml:space="preserve"> </w:t>
      </w:r>
      <w:r w:rsidR="00D64A17" w:rsidRPr="00DD1B4C">
        <w:rPr>
          <w:rFonts w:eastAsiaTheme="minorHAnsi"/>
          <w:sz w:val="22"/>
          <w:szCs w:val="22"/>
          <w:lang w:val="en-AU"/>
        </w:rPr>
        <w:t>Tx RAG Variation</w:t>
      </w:r>
      <w:r w:rsidR="004E205D">
        <w:rPr>
          <w:rFonts w:eastAsiaTheme="minorHAnsi"/>
          <w:sz w:val="22"/>
          <w:szCs w:val="22"/>
          <w:lang w:val="en-AU"/>
        </w:rPr>
        <w:t xml:space="preserve"> </w:t>
      </w:r>
      <w:r w:rsidRPr="00DD1B4C">
        <w:rPr>
          <w:rFonts w:eastAsiaTheme="minorHAnsi"/>
          <w:sz w:val="22"/>
          <w:szCs w:val="22"/>
          <w:lang w:val="en-AU"/>
        </w:rPr>
        <w:t xml:space="preserve">and the nature of the applicable rights and freedoms, the ACMA has formed the view that the </w:t>
      </w:r>
      <w:r w:rsidR="00D64A17" w:rsidRPr="00DD1B4C">
        <w:rPr>
          <w:rFonts w:eastAsiaTheme="minorHAnsi"/>
          <w:sz w:val="22"/>
          <w:szCs w:val="22"/>
          <w:lang w:val="en-AU"/>
        </w:rPr>
        <w:t>Tx RAG Variation</w:t>
      </w:r>
      <w:r w:rsidR="004E205D">
        <w:rPr>
          <w:rFonts w:eastAsiaTheme="minorHAnsi"/>
          <w:sz w:val="22"/>
          <w:szCs w:val="22"/>
          <w:lang w:val="en-AU"/>
        </w:rPr>
        <w:t xml:space="preserve"> does </w:t>
      </w:r>
      <w:r w:rsidR="00D34DB5" w:rsidRPr="00DD1B4C">
        <w:rPr>
          <w:rFonts w:eastAsiaTheme="minorHAnsi"/>
          <w:sz w:val="22"/>
          <w:szCs w:val="22"/>
          <w:lang w:val="en-AU"/>
        </w:rPr>
        <w:t>not engage any of those rights or freedoms.</w:t>
      </w:r>
    </w:p>
    <w:p w14:paraId="5378CAD9" w14:textId="77777777" w:rsidR="00871BF6" w:rsidRPr="00DD1B4C" w:rsidRDefault="00871BF6" w:rsidP="00B3129C">
      <w:pPr>
        <w:spacing w:before="280" w:after="160" w:line="256" w:lineRule="auto"/>
        <w:rPr>
          <w:rFonts w:eastAsiaTheme="minorHAnsi"/>
          <w:b/>
          <w:i/>
          <w:iCs/>
          <w:sz w:val="22"/>
          <w:szCs w:val="22"/>
          <w:lang w:val="en-AU"/>
        </w:rPr>
      </w:pPr>
      <w:r w:rsidRPr="00DD1B4C">
        <w:rPr>
          <w:rFonts w:eastAsiaTheme="minorHAnsi"/>
          <w:b/>
          <w:i/>
          <w:iCs/>
          <w:sz w:val="22"/>
          <w:szCs w:val="22"/>
          <w:lang w:val="en-AU"/>
        </w:rPr>
        <w:t>Conclusion</w:t>
      </w:r>
    </w:p>
    <w:p w14:paraId="50C8E648" w14:textId="25F0A994" w:rsidR="00B2143B" w:rsidRPr="00DD1B4C" w:rsidRDefault="00233673" w:rsidP="00B3129C">
      <w:pPr>
        <w:spacing w:after="160" w:line="256" w:lineRule="auto"/>
        <w:rPr>
          <w:rFonts w:ascii="Arial" w:hAnsi="Arial" w:cs="Arial"/>
          <w:sz w:val="20"/>
          <w:szCs w:val="20"/>
          <w:lang w:val="en-AU"/>
        </w:rPr>
      </w:pPr>
      <w:r w:rsidRPr="00DD1B4C">
        <w:rPr>
          <w:rFonts w:eastAsiaTheme="minorHAnsi"/>
          <w:sz w:val="22"/>
          <w:szCs w:val="22"/>
          <w:lang w:val="en-AU"/>
        </w:rPr>
        <w:t>T</w:t>
      </w:r>
      <w:r w:rsidR="00871BF6" w:rsidRPr="00DD1B4C">
        <w:rPr>
          <w:rFonts w:eastAsiaTheme="minorHAnsi"/>
          <w:sz w:val="22"/>
          <w:szCs w:val="22"/>
          <w:lang w:val="en-AU"/>
        </w:rPr>
        <w:t xml:space="preserve">he </w:t>
      </w:r>
      <w:r w:rsidR="00D64A17" w:rsidRPr="00DD1B4C">
        <w:rPr>
          <w:rFonts w:eastAsiaTheme="minorHAnsi"/>
          <w:sz w:val="22"/>
          <w:szCs w:val="22"/>
          <w:lang w:val="en-AU"/>
        </w:rPr>
        <w:t>Tx RAG Variation</w:t>
      </w:r>
      <w:r w:rsidR="004E205D">
        <w:rPr>
          <w:rFonts w:eastAsiaTheme="minorHAnsi"/>
          <w:sz w:val="22"/>
          <w:szCs w:val="22"/>
          <w:lang w:val="en-AU"/>
        </w:rPr>
        <w:t xml:space="preserve"> is </w:t>
      </w:r>
      <w:r w:rsidR="00871BF6" w:rsidRPr="00DD1B4C">
        <w:rPr>
          <w:rFonts w:eastAsiaTheme="minorHAnsi"/>
          <w:sz w:val="22"/>
          <w:szCs w:val="22"/>
          <w:lang w:val="en-AU"/>
        </w:rPr>
        <w:t xml:space="preserve">compatible with human rights as </w:t>
      </w:r>
      <w:r w:rsidR="00DD00C9">
        <w:rPr>
          <w:rFonts w:eastAsiaTheme="minorHAnsi"/>
          <w:sz w:val="22"/>
          <w:szCs w:val="22"/>
          <w:lang w:val="en-AU"/>
        </w:rPr>
        <w:t>it does</w:t>
      </w:r>
      <w:r w:rsidR="00871BF6" w:rsidRPr="00DD1B4C">
        <w:rPr>
          <w:rFonts w:eastAsiaTheme="minorHAnsi"/>
          <w:sz w:val="22"/>
          <w:szCs w:val="22"/>
          <w:lang w:val="en-AU"/>
        </w:rPr>
        <w:t xml:space="preserve"> not raise any human rights issues.</w:t>
      </w:r>
      <w:r w:rsidR="00B2143B" w:rsidRPr="00DD1B4C">
        <w:rPr>
          <w:rFonts w:ascii="Arial" w:hAnsi="Arial" w:cs="Arial"/>
          <w:sz w:val="20"/>
          <w:szCs w:val="20"/>
          <w:lang w:val="en-AU"/>
        </w:rPr>
        <w:br w:type="page"/>
      </w:r>
    </w:p>
    <w:p w14:paraId="50C8E649" w14:textId="205E07A7" w:rsidR="008615D3" w:rsidRPr="00DD1B4C" w:rsidRDefault="00B915AE" w:rsidP="00B3129C">
      <w:pPr>
        <w:spacing w:after="160" w:line="256" w:lineRule="auto"/>
        <w:jc w:val="right"/>
        <w:rPr>
          <w:rFonts w:eastAsiaTheme="minorHAnsi"/>
          <w:b/>
          <w:sz w:val="28"/>
          <w:szCs w:val="28"/>
          <w:lang w:val="en-AU"/>
        </w:rPr>
      </w:pPr>
      <w:r w:rsidRPr="00DD1B4C">
        <w:rPr>
          <w:rFonts w:eastAsiaTheme="minorHAnsi"/>
          <w:b/>
          <w:sz w:val="28"/>
          <w:szCs w:val="28"/>
          <w:lang w:val="en-AU"/>
        </w:rPr>
        <w:lastRenderedPageBreak/>
        <w:t>Attachment A</w:t>
      </w:r>
    </w:p>
    <w:p w14:paraId="19ED039F" w14:textId="2DBB8CDA" w:rsidR="00E02E94" w:rsidRPr="00DD1B4C" w:rsidRDefault="00E02E94" w:rsidP="00E02E94">
      <w:pPr>
        <w:jc w:val="center"/>
        <w:rPr>
          <w:b/>
          <w:sz w:val="28"/>
          <w:szCs w:val="28"/>
        </w:rPr>
      </w:pPr>
      <w:r w:rsidRPr="00DD1B4C">
        <w:rPr>
          <w:b/>
          <w:sz w:val="28"/>
          <w:szCs w:val="28"/>
        </w:rPr>
        <w:t xml:space="preserve">Notes to the </w:t>
      </w:r>
      <w:bookmarkStart w:id="2" w:name="_Hlk132976656"/>
      <w:r w:rsidRPr="00DD1B4C">
        <w:rPr>
          <w:b/>
          <w:i/>
          <w:iCs/>
          <w:sz w:val="28"/>
          <w:szCs w:val="28"/>
        </w:rPr>
        <w:t xml:space="preserve">Radiocommunications Advisory Guidelines (Managing Interference from Spectrum Licensed Transmitters – </w:t>
      </w:r>
      <w:r w:rsidR="00AA7256" w:rsidRPr="00DD1B4C">
        <w:rPr>
          <w:b/>
          <w:i/>
          <w:iCs/>
          <w:sz w:val="28"/>
          <w:szCs w:val="28"/>
        </w:rPr>
        <w:t xml:space="preserve">3.4 </w:t>
      </w:r>
      <w:r w:rsidR="009E0DAC" w:rsidRPr="00DD1B4C">
        <w:rPr>
          <w:b/>
          <w:i/>
          <w:iCs/>
          <w:sz w:val="28"/>
          <w:szCs w:val="28"/>
        </w:rPr>
        <w:t>GHz</w:t>
      </w:r>
      <w:r w:rsidRPr="00DD1B4C">
        <w:rPr>
          <w:b/>
          <w:i/>
          <w:iCs/>
          <w:sz w:val="28"/>
          <w:szCs w:val="28"/>
        </w:rPr>
        <w:t xml:space="preserve"> Band) </w:t>
      </w:r>
      <w:r w:rsidR="00A669F0" w:rsidRPr="00DD1B4C">
        <w:rPr>
          <w:b/>
          <w:i/>
          <w:iCs/>
          <w:sz w:val="28"/>
          <w:szCs w:val="28"/>
        </w:rPr>
        <w:t xml:space="preserve">Variation </w:t>
      </w:r>
      <w:r w:rsidRPr="00DD1B4C">
        <w:rPr>
          <w:b/>
          <w:i/>
          <w:iCs/>
          <w:sz w:val="28"/>
          <w:szCs w:val="28"/>
        </w:rPr>
        <w:t>202</w:t>
      </w:r>
      <w:r w:rsidR="000F0692" w:rsidRPr="00DD1B4C">
        <w:rPr>
          <w:b/>
          <w:i/>
          <w:iCs/>
          <w:sz w:val="28"/>
          <w:szCs w:val="28"/>
        </w:rPr>
        <w:t>3</w:t>
      </w:r>
      <w:bookmarkEnd w:id="2"/>
      <w:r w:rsidR="00A669F0" w:rsidRPr="00DD1B4C">
        <w:rPr>
          <w:b/>
          <w:i/>
          <w:iCs/>
          <w:sz w:val="28"/>
          <w:szCs w:val="28"/>
        </w:rPr>
        <w:t xml:space="preserve"> (No. </w:t>
      </w:r>
      <w:r w:rsidR="004E205D">
        <w:rPr>
          <w:b/>
          <w:i/>
          <w:iCs/>
          <w:sz w:val="28"/>
          <w:szCs w:val="28"/>
        </w:rPr>
        <w:t>2</w:t>
      </w:r>
      <w:r w:rsidR="00A669F0" w:rsidRPr="00DD1B4C">
        <w:rPr>
          <w:b/>
          <w:i/>
          <w:iCs/>
          <w:sz w:val="28"/>
          <w:szCs w:val="28"/>
        </w:rPr>
        <w:t>)</w:t>
      </w:r>
    </w:p>
    <w:p w14:paraId="50C8E64C" w14:textId="3AAB163B" w:rsidR="008615D3" w:rsidRPr="00DD1B4C" w:rsidRDefault="00E76C4B" w:rsidP="001777D7">
      <w:pPr>
        <w:spacing w:before="280" w:after="160" w:line="256" w:lineRule="auto"/>
        <w:rPr>
          <w:rFonts w:eastAsiaTheme="minorHAnsi"/>
          <w:b/>
          <w:sz w:val="22"/>
          <w:szCs w:val="22"/>
          <w:lang w:val="en-AU"/>
        </w:rPr>
      </w:pPr>
      <w:r w:rsidRPr="00DD1B4C">
        <w:rPr>
          <w:rFonts w:eastAsiaTheme="minorHAnsi"/>
          <w:b/>
          <w:sz w:val="22"/>
          <w:szCs w:val="22"/>
          <w:lang w:val="en-AU"/>
        </w:rPr>
        <w:t>Section 1</w:t>
      </w:r>
      <w:r w:rsidR="00534EBC" w:rsidRPr="00DD1B4C">
        <w:rPr>
          <w:rFonts w:eastAsiaTheme="minorHAnsi"/>
          <w:b/>
          <w:sz w:val="22"/>
          <w:szCs w:val="22"/>
          <w:lang w:val="en-AU"/>
        </w:rPr>
        <w:tab/>
      </w:r>
      <w:r w:rsidRPr="00DD1B4C">
        <w:rPr>
          <w:rFonts w:eastAsiaTheme="minorHAnsi"/>
          <w:b/>
          <w:sz w:val="22"/>
          <w:szCs w:val="22"/>
          <w:lang w:val="en-AU"/>
        </w:rPr>
        <w:t>Name</w:t>
      </w:r>
    </w:p>
    <w:p w14:paraId="0934500D" w14:textId="0BBC4CEF" w:rsidR="003B370E" w:rsidRPr="00DD1B4C" w:rsidRDefault="003B370E" w:rsidP="003B370E">
      <w:pPr>
        <w:spacing w:after="160" w:line="256" w:lineRule="auto"/>
        <w:rPr>
          <w:rFonts w:eastAsiaTheme="minorHAnsi"/>
          <w:sz w:val="22"/>
          <w:szCs w:val="22"/>
          <w:lang w:val="en-AU"/>
        </w:rPr>
      </w:pPr>
      <w:r w:rsidRPr="00DD1B4C">
        <w:rPr>
          <w:rFonts w:eastAsiaTheme="minorHAnsi"/>
          <w:sz w:val="22"/>
          <w:szCs w:val="22"/>
          <w:lang w:val="en-AU"/>
        </w:rPr>
        <w:t xml:space="preserve">This section provides for the Tx RAG Variation to be cited as the </w:t>
      </w:r>
      <w:r w:rsidRPr="00DD1B4C">
        <w:rPr>
          <w:rFonts w:eastAsiaTheme="minorHAnsi"/>
          <w:i/>
          <w:iCs/>
          <w:sz w:val="22"/>
          <w:szCs w:val="22"/>
          <w:lang w:val="en-AU"/>
        </w:rPr>
        <w:t xml:space="preserve">Radiocommunications Advisory Guidelines (Managing Interference from Spectrum Licensed Transmitters – </w:t>
      </w:r>
      <w:r w:rsidR="001D3CBC" w:rsidRPr="00DD1B4C">
        <w:rPr>
          <w:rFonts w:eastAsiaTheme="minorHAnsi"/>
          <w:i/>
          <w:iCs/>
          <w:sz w:val="22"/>
          <w:szCs w:val="22"/>
          <w:lang w:val="en-AU"/>
        </w:rPr>
        <w:t>3.4</w:t>
      </w:r>
      <w:r w:rsidRPr="00DD1B4C">
        <w:rPr>
          <w:rFonts w:eastAsiaTheme="minorHAnsi"/>
          <w:i/>
          <w:iCs/>
          <w:sz w:val="22"/>
          <w:szCs w:val="22"/>
          <w:lang w:val="en-AU"/>
        </w:rPr>
        <w:t xml:space="preserve"> GHz Band) </w:t>
      </w:r>
      <w:r w:rsidR="001D3CBC" w:rsidRPr="00DD1B4C">
        <w:rPr>
          <w:rFonts w:eastAsiaTheme="minorHAnsi"/>
          <w:i/>
          <w:iCs/>
          <w:sz w:val="22"/>
          <w:szCs w:val="22"/>
          <w:lang w:val="en-AU"/>
        </w:rPr>
        <w:t xml:space="preserve">Variation </w:t>
      </w:r>
      <w:r w:rsidRPr="00DD1B4C">
        <w:rPr>
          <w:rFonts w:eastAsiaTheme="minorHAnsi"/>
          <w:i/>
          <w:iCs/>
          <w:sz w:val="22"/>
          <w:szCs w:val="22"/>
          <w:lang w:val="en-AU"/>
        </w:rPr>
        <w:t>2023</w:t>
      </w:r>
      <w:r w:rsidR="001D3CBC" w:rsidRPr="00DD1B4C">
        <w:rPr>
          <w:rFonts w:eastAsiaTheme="minorHAnsi"/>
          <w:i/>
          <w:iCs/>
          <w:sz w:val="22"/>
          <w:szCs w:val="22"/>
          <w:lang w:val="en-AU"/>
        </w:rPr>
        <w:t xml:space="preserve"> (No. </w:t>
      </w:r>
      <w:r w:rsidR="004E205D">
        <w:rPr>
          <w:rFonts w:eastAsiaTheme="minorHAnsi"/>
          <w:i/>
          <w:iCs/>
          <w:sz w:val="22"/>
          <w:szCs w:val="22"/>
          <w:lang w:val="en-AU"/>
        </w:rPr>
        <w:t>2</w:t>
      </w:r>
      <w:r w:rsidR="001D3CBC" w:rsidRPr="00DD1B4C">
        <w:rPr>
          <w:rFonts w:eastAsiaTheme="minorHAnsi"/>
          <w:i/>
          <w:iCs/>
          <w:sz w:val="22"/>
          <w:szCs w:val="22"/>
          <w:lang w:val="en-AU"/>
        </w:rPr>
        <w:t>)</w:t>
      </w:r>
      <w:r w:rsidRPr="00DD1B4C">
        <w:rPr>
          <w:rFonts w:eastAsiaTheme="minorHAnsi"/>
          <w:sz w:val="22"/>
          <w:szCs w:val="22"/>
          <w:lang w:val="en-AU"/>
        </w:rPr>
        <w:t>.</w:t>
      </w:r>
    </w:p>
    <w:p w14:paraId="50C8E64F" w14:textId="4DEEBE3C" w:rsidR="008615D3" w:rsidRPr="00DD1B4C" w:rsidRDefault="00E76C4B" w:rsidP="00B3129C">
      <w:pPr>
        <w:spacing w:after="160" w:line="256" w:lineRule="auto"/>
        <w:rPr>
          <w:rFonts w:eastAsiaTheme="minorHAnsi"/>
          <w:b/>
          <w:sz w:val="22"/>
          <w:szCs w:val="22"/>
          <w:lang w:val="en-AU"/>
        </w:rPr>
      </w:pPr>
      <w:r w:rsidRPr="00DD1B4C">
        <w:rPr>
          <w:rFonts w:eastAsiaTheme="minorHAnsi"/>
          <w:b/>
          <w:sz w:val="22"/>
          <w:szCs w:val="22"/>
          <w:lang w:val="en-AU"/>
        </w:rPr>
        <w:t>Section 2</w:t>
      </w:r>
      <w:r w:rsidR="002E680F" w:rsidRPr="00DD1B4C">
        <w:rPr>
          <w:rFonts w:eastAsiaTheme="minorHAnsi"/>
          <w:b/>
          <w:sz w:val="22"/>
          <w:szCs w:val="22"/>
          <w:lang w:val="en-AU"/>
        </w:rPr>
        <w:tab/>
      </w:r>
      <w:r w:rsidRPr="00DD1B4C">
        <w:rPr>
          <w:rFonts w:eastAsiaTheme="minorHAnsi"/>
          <w:b/>
          <w:sz w:val="22"/>
          <w:szCs w:val="22"/>
          <w:lang w:val="en-AU"/>
        </w:rPr>
        <w:t>Commencement</w:t>
      </w:r>
    </w:p>
    <w:p w14:paraId="50C8E650" w14:textId="2F104FFA" w:rsidR="008615D3" w:rsidRPr="000949BF" w:rsidRDefault="00E76C4B" w:rsidP="002E680F">
      <w:pPr>
        <w:spacing w:after="160" w:line="256" w:lineRule="auto"/>
        <w:rPr>
          <w:rFonts w:eastAsiaTheme="minorHAnsi"/>
          <w:sz w:val="22"/>
          <w:szCs w:val="22"/>
          <w:lang w:val="en-AU"/>
        </w:rPr>
      </w:pPr>
      <w:r w:rsidRPr="00DD1B4C">
        <w:rPr>
          <w:rFonts w:eastAsiaTheme="minorHAnsi"/>
          <w:sz w:val="22"/>
          <w:szCs w:val="22"/>
          <w:lang w:val="en-AU"/>
        </w:rPr>
        <w:t xml:space="preserve">This </w:t>
      </w:r>
      <w:r w:rsidRPr="000949BF">
        <w:rPr>
          <w:rFonts w:eastAsiaTheme="minorHAnsi"/>
          <w:sz w:val="22"/>
          <w:szCs w:val="22"/>
          <w:lang w:val="en-AU"/>
        </w:rPr>
        <w:t xml:space="preserve">section provides </w:t>
      </w:r>
      <w:r w:rsidR="002E680F" w:rsidRPr="000949BF">
        <w:rPr>
          <w:rFonts w:eastAsiaTheme="minorHAnsi"/>
          <w:sz w:val="22"/>
          <w:szCs w:val="22"/>
          <w:lang w:val="en-AU"/>
        </w:rPr>
        <w:t>for</w:t>
      </w:r>
      <w:r w:rsidRPr="000949BF">
        <w:rPr>
          <w:rFonts w:eastAsiaTheme="minorHAnsi"/>
          <w:sz w:val="22"/>
          <w:szCs w:val="22"/>
          <w:lang w:val="en-AU"/>
        </w:rPr>
        <w:t xml:space="preserve"> the </w:t>
      </w:r>
      <w:r w:rsidR="003B370E" w:rsidRPr="000949BF">
        <w:rPr>
          <w:rFonts w:eastAsiaTheme="minorHAnsi"/>
          <w:sz w:val="22"/>
          <w:szCs w:val="22"/>
          <w:lang w:val="en-AU"/>
        </w:rPr>
        <w:t>Tx RAG Variation</w:t>
      </w:r>
      <w:r w:rsidRPr="000949BF">
        <w:rPr>
          <w:rFonts w:eastAsiaTheme="minorHAnsi"/>
          <w:sz w:val="22"/>
          <w:szCs w:val="22"/>
          <w:lang w:val="en-AU"/>
        </w:rPr>
        <w:t xml:space="preserve"> </w:t>
      </w:r>
      <w:r w:rsidR="002E680F" w:rsidRPr="000949BF">
        <w:rPr>
          <w:rFonts w:eastAsiaTheme="minorHAnsi"/>
          <w:sz w:val="22"/>
          <w:szCs w:val="22"/>
          <w:lang w:val="en-AU"/>
        </w:rPr>
        <w:t xml:space="preserve">to </w:t>
      </w:r>
      <w:r w:rsidRPr="000949BF">
        <w:rPr>
          <w:rFonts w:eastAsiaTheme="minorHAnsi"/>
          <w:sz w:val="22"/>
          <w:szCs w:val="22"/>
          <w:lang w:val="en-AU"/>
        </w:rPr>
        <w:t xml:space="preserve">commence </w:t>
      </w:r>
      <w:r w:rsidR="00CC66A9" w:rsidRPr="007E10A9">
        <w:rPr>
          <w:sz w:val="22"/>
          <w:szCs w:val="22"/>
        </w:rPr>
        <w:t>on the 30th day after the day it is registered on the Federal Register of Legislation</w:t>
      </w:r>
      <w:r w:rsidR="0027232A" w:rsidRPr="000949BF">
        <w:rPr>
          <w:rFonts w:eastAsiaTheme="minorHAnsi"/>
          <w:sz w:val="22"/>
          <w:szCs w:val="22"/>
          <w:lang w:val="en-AU"/>
        </w:rPr>
        <w:t>.</w:t>
      </w:r>
    </w:p>
    <w:p w14:paraId="2F912228" w14:textId="77777777" w:rsidR="00802339" w:rsidRPr="000949BF" w:rsidRDefault="00802339" w:rsidP="00B3129C">
      <w:pPr>
        <w:spacing w:after="160" w:line="256" w:lineRule="auto"/>
        <w:rPr>
          <w:sz w:val="22"/>
          <w:szCs w:val="22"/>
        </w:rPr>
      </w:pPr>
      <w:r w:rsidRPr="000949BF">
        <w:rPr>
          <w:rFonts w:eastAsiaTheme="minorHAnsi"/>
          <w:sz w:val="22"/>
          <w:szCs w:val="22"/>
          <w:lang w:val="en-AU"/>
        </w:rPr>
        <w:t>The Federal Register of Legislation may be accessed free of charge at</w:t>
      </w:r>
      <w:r w:rsidRPr="000949BF">
        <w:rPr>
          <w:sz w:val="22"/>
          <w:szCs w:val="22"/>
        </w:rPr>
        <w:t xml:space="preserve"> </w:t>
      </w:r>
      <w:hyperlink r:id="rId15" w:history="1">
        <w:r w:rsidRPr="000949BF">
          <w:rPr>
            <w:rStyle w:val="Hyperlink"/>
            <w:sz w:val="22"/>
            <w:szCs w:val="22"/>
          </w:rPr>
          <w:t>www.legislation.gov.au</w:t>
        </w:r>
      </w:hyperlink>
      <w:r w:rsidRPr="000949BF">
        <w:rPr>
          <w:sz w:val="22"/>
          <w:szCs w:val="22"/>
        </w:rPr>
        <w:t>.</w:t>
      </w:r>
    </w:p>
    <w:p w14:paraId="78DFF27E" w14:textId="046B2986" w:rsidR="00F23952" w:rsidRPr="00DD1B4C" w:rsidRDefault="00F23952" w:rsidP="00B3129C">
      <w:pPr>
        <w:spacing w:after="160" w:line="256" w:lineRule="auto"/>
        <w:rPr>
          <w:rFonts w:eastAsiaTheme="minorHAnsi"/>
          <w:b/>
          <w:sz w:val="22"/>
          <w:szCs w:val="22"/>
          <w:lang w:val="en-AU"/>
        </w:rPr>
      </w:pPr>
      <w:r w:rsidRPr="00DD1B4C">
        <w:rPr>
          <w:rFonts w:eastAsiaTheme="minorHAnsi"/>
          <w:b/>
          <w:sz w:val="22"/>
          <w:szCs w:val="22"/>
          <w:lang w:val="en-AU"/>
        </w:rPr>
        <w:t>Section 3</w:t>
      </w:r>
      <w:r w:rsidR="00802339" w:rsidRPr="00DD1B4C">
        <w:rPr>
          <w:rFonts w:eastAsiaTheme="minorHAnsi"/>
          <w:b/>
          <w:sz w:val="22"/>
          <w:szCs w:val="22"/>
          <w:lang w:val="en-AU"/>
        </w:rPr>
        <w:tab/>
      </w:r>
      <w:r w:rsidRPr="00DD1B4C">
        <w:rPr>
          <w:rFonts w:eastAsiaTheme="minorHAnsi"/>
          <w:b/>
          <w:sz w:val="22"/>
          <w:szCs w:val="22"/>
          <w:lang w:val="en-AU"/>
        </w:rPr>
        <w:t>Authority</w:t>
      </w:r>
    </w:p>
    <w:p w14:paraId="4266CC80" w14:textId="29367BE6" w:rsidR="00F23952" w:rsidRPr="00DD1B4C" w:rsidRDefault="003B370E" w:rsidP="00B3129C">
      <w:pPr>
        <w:spacing w:after="160" w:line="256" w:lineRule="auto"/>
        <w:rPr>
          <w:rFonts w:eastAsiaTheme="minorHAnsi"/>
          <w:sz w:val="22"/>
          <w:szCs w:val="22"/>
          <w:lang w:val="en-AU"/>
        </w:rPr>
      </w:pPr>
      <w:r w:rsidRPr="00DD1B4C">
        <w:rPr>
          <w:rFonts w:eastAsiaTheme="minorHAnsi"/>
          <w:sz w:val="22"/>
          <w:szCs w:val="22"/>
          <w:lang w:val="en-AU"/>
        </w:rPr>
        <w:t>This section identifies the provision of the Act that authorises the making of the Tx RAG Variation, namely section 262 of the Act.</w:t>
      </w:r>
    </w:p>
    <w:p w14:paraId="50C8E652" w14:textId="06964F99" w:rsidR="008615D3" w:rsidRPr="00DD1B4C" w:rsidRDefault="00E76C4B" w:rsidP="00B3129C">
      <w:pPr>
        <w:spacing w:after="160" w:line="256" w:lineRule="auto"/>
        <w:rPr>
          <w:rFonts w:eastAsiaTheme="minorHAnsi"/>
          <w:b/>
          <w:i/>
          <w:iCs/>
          <w:sz w:val="22"/>
          <w:szCs w:val="22"/>
          <w:lang w:val="en-AU"/>
        </w:rPr>
      </w:pPr>
      <w:r w:rsidRPr="00DD1B4C">
        <w:rPr>
          <w:rFonts w:eastAsiaTheme="minorHAnsi"/>
          <w:b/>
          <w:sz w:val="22"/>
          <w:szCs w:val="22"/>
          <w:lang w:val="en-AU"/>
        </w:rPr>
        <w:t xml:space="preserve">Section </w:t>
      </w:r>
      <w:r w:rsidR="002569EC" w:rsidRPr="00DD1B4C">
        <w:rPr>
          <w:rFonts w:eastAsiaTheme="minorHAnsi"/>
          <w:b/>
          <w:sz w:val="22"/>
          <w:szCs w:val="22"/>
          <w:lang w:val="en-AU"/>
        </w:rPr>
        <w:t>4</w:t>
      </w:r>
      <w:r w:rsidR="0080556D" w:rsidRPr="00DD1B4C">
        <w:rPr>
          <w:rFonts w:eastAsiaTheme="minorHAnsi"/>
          <w:b/>
          <w:sz w:val="22"/>
          <w:szCs w:val="22"/>
          <w:lang w:val="en-AU"/>
        </w:rPr>
        <w:tab/>
      </w:r>
      <w:r w:rsidR="003B370E" w:rsidRPr="00DD1B4C">
        <w:rPr>
          <w:rFonts w:eastAsiaTheme="minorHAnsi"/>
          <w:b/>
          <w:sz w:val="22"/>
          <w:szCs w:val="22"/>
          <w:lang w:val="en-AU"/>
        </w:rPr>
        <w:t>Amendments</w:t>
      </w:r>
    </w:p>
    <w:p w14:paraId="50C8E653" w14:textId="2129F7F4" w:rsidR="008615D3" w:rsidRPr="00DD1B4C" w:rsidRDefault="003B370E" w:rsidP="00B3129C">
      <w:pPr>
        <w:spacing w:after="160" w:line="256" w:lineRule="auto"/>
        <w:rPr>
          <w:rFonts w:eastAsiaTheme="minorHAnsi"/>
          <w:sz w:val="22"/>
          <w:szCs w:val="22"/>
          <w:lang w:val="en-AU"/>
        </w:rPr>
      </w:pPr>
      <w:r w:rsidRPr="00DD1B4C">
        <w:rPr>
          <w:rFonts w:eastAsiaTheme="minorHAnsi"/>
          <w:sz w:val="22"/>
          <w:szCs w:val="22"/>
          <w:lang w:val="en-AU"/>
        </w:rPr>
        <w:t xml:space="preserve">This section provides that Schedule 1 </w:t>
      </w:r>
      <w:r w:rsidR="00591A6C" w:rsidRPr="00DD1B4C">
        <w:rPr>
          <w:rFonts w:eastAsiaTheme="minorHAnsi"/>
          <w:sz w:val="22"/>
          <w:szCs w:val="22"/>
          <w:lang w:val="en-AU"/>
        </w:rPr>
        <w:t xml:space="preserve">amends </w:t>
      </w:r>
      <w:r w:rsidRPr="00DD1B4C">
        <w:rPr>
          <w:rFonts w:eastAsiaTheme="minorHAnsi"/>
          <w:sz w:val="22"/>
          <w:szCs w:val="22"/>
          <w:lang w:val="en-AU"/>
        </w:rPr>
        <w:t>the</w:t>
      </w:r>
      <w:r w:rsidR="009B7FA1" w:rsidRPr="00DD1B4C">
        <w:rPr>
          <w:rFonts w:eastAsiaTheme="minorHAnsi"/>
          <w:sz w:val="22"/>
          <w:szCs w:val="22"/>
          <w:lang w:val="en-AU"/>
        </w:rPr>
        <w:t xml:space="preserve"> Tx RAG</w:t>
      </w:r>
      <w:r w:rsidRPr="00DD1B4C">
        <w:rPr>
          <w:rFonts w:eastAsiaTheme="minorHAnsi"/>
          <w:sz w:val="22"/>
          <w:szCs w:val="22"/>
          <w:lang w:val="en-AU"/>
        </w:rPr>
        <w:t>.</w:t>
      </w:r>
    </w:p>
    <w:p w14:paraId="56DE8DE1" w14:textId="32F5C988" w:rsidR="003B370E" w:rsidRPr="00DD1B4C" w:rsidRDefault="003B370E" w:rsidP="00B3129C">
      <w:pPr>
        <w:spacing w:after="160" w:line="256" w:lineRule="auto"/>
        <w:rPr>
          <w:rFonts w:eastAsiaTheme="minorHAnsi"/>
          <w:sz w:val="22"/>
          <w:szCs w:val="22"/>
          <w:lang w:val="en-AU"/>
        </w:rPr>
      </w:pPr>
    </w:p>
    <w:p w14:paraId="4B6876DC" w14:textId="77777777" w:rsidR="003B370E" w:rsidRPr="00DD1B4C" w:rsidRDefault="003B370E" w:rsidP="003B370E">
      <w:pPr>
        <w:shd w:val="clear" w:color="auto" w:fill="FFFFFF"/>
        <w:spacing w:after="160"/>
        <w:jc w:val="both"/>
        <w:rPr>
          <w:rFonts w:eastAsiaTheme="minorHAnsi"/>
          <w:b/>
          <w:sz w:val="22"/>
          <w:szCs w:val="22"/>
          <w:lang w:val="en-AU"/>
        </w:rPr>
      </w:pPr>
      <w:r w:rsidRPr="00DD1B4C">
        <w:rPr>
          <w:rFonts w:eastAsiaTheme="minorHAnsi"/>
          <w:b/>
          <w:sz w:val="22"/>
          <w:szCs w:val="22"/>
          <w:lang w:val="en-AU"/>
        </w:rPr>
        <w:t>Schedule 1 – Amendments</w:t>
      </w:r>
    </w:p>
    <w:p w14:paraId="01A4A294" w14:textId="3B72A615" w:rsidR="003B370E" w:rsidRPr="00DD1B4C" w:rsidRDefault="003B370E" w:rsidP="003B370E">
      <w:pPr>
        <w:shd w:val="clear" w:color="auto" w:fill="FFFFFF"/>
        <w:spacing w:after="160"/>
        <w:jc w:val="both"/>
        <w:rPr>
          <w:rFonts w:eastAsiaTheme="minorHAnsi"/>
          <w:b/>
          <w:sz w:val="22"/>
          <w:szCs w:val="22"/>
          <w:lang w:val="en-AU"/>
        </w:rPr>
      </w:pPr>
      <w:r w:rsidRPr="00DD1B4C">
        <w:rPr>
          <w:rFonts w:eastAsiaTheme="minorHAnsi"/>
          <w:b/>
          <w:sz w:val="22"/>
          <w:szCs w:val="22"/>
          <w:lang w:val="en-AU"/>
        </w:rPr>
        <w:t>Item 1</w:t>
      </w:r>
    </w:p>
    <w:p w14:paraId="23FDB446" w14:textId="105E9398" w:rsidR="003B370E" w:rsidRPr="000949BF" w:rsidRDefault="00CC66A9" w:rsidP="003B370E">
      <w:pPr>
        <w:shd w:val="clear" w:color="auto" w:fill="FFFFFF"/>
        <w:spacing w:after="160"/>
        <w:jc w:val="both"/>
        <w:rPr>
          <w:rFonts w:eastAsiaTheme="minorHAnsi"/>
          <w:sz w:val="22"/>
          <w:szCs w:val="22"/>
          <w:lang w:val="en-AU"/>
        </w:rPr>
      </w:pPr>
      <w:r w:rsidRPr="000949BF">
        <w:rPr>
          <w:rFonts w:eastAsiaTheme="minorHAnsi"/>
          <w:sz w:val="22"/>
          <w:szCs w:val="22"/>
          <w:lang w:val="en-AU"/>
        </w:rPr>
        <w:t xml:space="preserve">Item 1 includes a note </w:t>
      </w:r>
      <w:r w:rsidR="0036207C" w:rsidRPr="000949BF">
        <w:rPr>
          <w:rFonts w:eastAsiaTheme="minorHAnsi"/>
          <w:sz w:val="22"/>
          <w:szCs w:val="22"/>
          <w:lang w:val="en-AU"/>
        </w:rPr>
        <w:t>after subsection 1.5(3)</w:t>
      </w:r>
      <w:r w:rsidR="000949BF">
        <w:rPr>
          <w:rFonts w:eastAsiaTheme="minorHAnsi"/>
          <w:sz w:val="22"/>
          <w:szCs w:val="22"/>
          <w:lang w:val="en-AU"/>
        </w:rPr>
        <w:t xml:space="preserve"> of the Tx RAG</w:t>
      </w:r>
      <w:r w:rsidR="0036207C" w:rsidRPr="000949BF">
        <w:rPr>
          <w:rFonts w:eastAsiaTheme="minorHAnsi"/>
          <w:sz w:val="22"/>
          <w:szCs w:val="22"/>
          <w:lang w:val="en-AU"/>
        </w:rPr>
        <w:t xml:space="preserve"> </w:t>
      </w:r>
      <w:r w:rsidRPr="000949BF">
        <w:rPr>
          <w:rFonts w:eastAsiaTheme="minorHAnsi"/>
          <w:sz w:val="22"/>
          <w:szCs w:val="22"/>
          <w:lang w:val="en-AU"/>
        </w:rPr>
        <w:t>point</w:t>
      </w:r>
      <w:r w:rsidR="0036207C" w:rsidRPr="000949BF">
        <w:rPr>
          <w:rFonts w:eastAsiaTheme="minorHAnsi"/>
          <w:sz w:val="22"/>
          <w:szCs w:val="22"/>
          <w:lang w:val="en-AU"/>
        </w:rPr>
        <w:t>ing</w:t>
      </w:r>
      <w:r w:rsidRPr="000949BF">
        <w:rPr>
          <w:rFonts w:eastAsiaTheme="minorHAnsi"/>
          <w:sz w:val="22"/>
          <w:szCs w:val="22"/>
          <w:lang w:val="en-AU"/>
        </w:rPr>
        <w:t xml:space="preserve"> to the </w:t>
      </w:r>
      <w:r w:rsidRPr="007E10A9">
        <w:rPr>
          <w:i/>
          <w:iCs/>
          <w:sz w:val="22"/>
          <w:szCs w:val="22"/>
        </w:rPr>
        <w:t xml:space="preserve">Radiocommunications (Interpretation) Determination 2015 </w:t>
      </w:r>
      <w:r w:rsidRPr="007E10A9">
        <w:rPr>
          <w:sz w:val="22"/>
          <w:szCs w:val="22"/>
        </w:rPr>
        <w:t>for the</w:t>
      </w:r>
      <w:r w:rsidRPr="007E10A9">
        <w:rPr>
          <w:i/>
          <w:iCs/>
          <w:sz w:val="22"/>
          <w:szCs w:val="22"/>
        </w:rPr>
        <w:t xml:space="preserve"> </w:t>
      </w:r>
      <w:r w:rsidRPr="000949BF">
        <w:rPr>
          <w:rFonts w:eastAsiaTheme="minorHAnsi"/>
          <w:sz w:val="22"/>
          <w:szCs w:val="22"/>
          <w:lang w:val="en-AU"/>
        </w:rPr>
        <w:t>definition</w:t>
      </w:r>
      <w:r w:rsidR="000949BF">
        <w:rPr>
          <w:rFonts w:eastAsiaTheme="minorHAnsi"/>
          <w:sz w:val="22"/>
          <w:szCs w:val="22"/>
          <w:lang w:val="en-AU"/>
        </w:rPr>
        <w:t>s</w:t>
      </w:r>
      <w:r w:rsidRPr="000949BF">
        <w:rPr>
          <w:rFonts w:eastAsiaTheme="minorHAnsi"/>
          <w:sz w:val="22"/>
          <w:szCs w:val="22"/>
          <w:lang w:val="en-AU"/>
        </w:rPr>
        <w:t xml:space="preserve"> </w:t>
      </w:r>
      <w:r w:rsidR="000949BF">
        <w:rPr>
          <w:rFonts w:eastAsiaTheme="minorHAnsi"/>
          <w:sz w:val="22"/>
          <w:szCs w:val="22"/>
          <w:lang w:val="en-AU"/>
        </w:rPr>
        <w:t>of</w:t>
      </w:r>
      <w:r w:rsidR="000949BF" w:rsidRPr="000949BF">
        <w:rPr>
          <w:rFonts w:eastAsiaTheme="minorHAnsi"/>
          <w:sz w:val="22"/>
          <w:szCs w:val="22"/>
          <w:lang w:val="en-AU"/>
        </w:rPr>
        <w:t xml:space="preserve"> </w:t>
      </w:r>
      <w:r w:rsidR="00DD00C9">
        <w:rPr>
          <w:rFonts w:eastAsiaTheme="minorHAnsi"/>
          <w:sz w:val="22"/>
          <w:szCs w:val="22"/>
          <w:lang w:val="en-AU"/>
        </w:rPr>
        <w:t>area-wide receive licence</w:t>
      </w:r>
      <w:r w:rsidRPr="000949BF">
        <w:rPr>
          <w:rFonts w:eastAsiaTheme="minorHAnsi"/>
          <w:sz w:val="22"/>
          <w:szCs w:val="22"/>
          <w:lang w:val="en-AU"/>
        </w:rPr>
        <w:t xml:space="preserve">, earth receive licence and earth receive station. </w:t>
      </w:r>
    </w:p>
    <w:p w14:paraId="56F9B739" w14:textId="4813E6EF" w:rsidR="003B370E" w:rsidRPr="00DD1B4C" w:rsidRDefault="003B370E" w:rsidP="009172B5">
      <w:pPr>
        <w:shd w:val="clear" w:color="auto" w:fill="FFFFFF"/>
        <w:spacing w:after="160"/>
        <w:jc w:val="both"/>
        <w:rPr>
          <w:rFonts w:eastAsiaTheme="minorHAnsi"/>
          <w:b/>
          <w:sz w:val="22"/>
          <w:szCs w:val="22"/>
          <w:lang w:val="en-AU"/>
        </w:rPr>
      </w:pPr>
      <w:r w:rsidRPr="00DD1B4C">
        <w:rPr>
          <w:rFonts w:eastAsiaTheme="minorHAnsi"/>
          <w:b/>
          <w:sz w:val="22"/>
          <w:szCs w:val="22"/>
          <w:lang w:val="en-AU"/>
        </w:rPr>
        <w:t>Item 2</w:t>
      </w:r>
    </w:p>
    <w:p w14:paraId="44F6EA39" w14:textId="2428BFFC" w:rsidR="003B370E" w:rsidRPr="00DD1B4C" w:rsidRDefault="00647C8E" w:rsidP="003B370E">
      <w:pPr>
        <w:spacing w:after="160" w:line="256" w:lineRule="auto"/>
        <w:rPr>
          <w:rFonts w:eastAsiaTheme="minorHAnsi"/>
          <w:sz w:val="22"/>
          <w:szCs w:val="22"/>
          <w:lang w:val="en-AU"/>
        </w:rPr>
      </w:pPr>
      <w:r w:rsidRPr="00DD1B4C">
        <w:rPr>
          <w:rFonts w:eastAsiaTheme="minorHAnsi"/>
          <w:sz w:val="22"/>
          <w:szCs w:val="22"/>
          <w:lang w:val="en-AU"/>
        </w:rPr>
        <w:t>I</w:t>
      </w:r>
      <w:r w:rsidR="009172B5" w:rsidRPr="00DD1B4C">
        <w:rPr>
          <w:rFonts w:eastAsiaTheme="minorHAnsi"/>
          <w:sz w:val="22"/>
          <w:szCs w:val="22"/>
          <w:lang w:val="en-AU"/>
        </w:rPr>
        <w:t>tem</w:t>
      </w:r>
      <w:r w:rsidRPr="00DD1B4C">
        <w:rPr>
          <w:rFonts w:eastAsiaTheme="minorHAnsi"/>
          <w:sz w:val="22"/>
          <w:szCs w:val="22"/>
          <w:lang w:val="en-AU"/>
        </w:rPr>
        <w:t xml:space="preserve"> 2</w:t>
      </w:r>
      <w:r w:rsidR="009172B5" w:rsidRPr="00DD1B4C">
        <w:rPr>
          <w:rFonts w:eastAsiaTheme="minorHAnsi"/>
          <w:sz w:val="22"/>
          <w:szCs w:val="22"/>
          <w:lang w:val="en-AU"/>
        </w:rPr>
        <w:t xml:space="preserve"> </w:t>
      </w:r>
      <w:r w:rsidR="00DD00C9">
        <w:rPr>
          <w:rFonts w:eastAsiaTheme="minorHAnsi"/>
          <w:sz w:val="22"/>
          <w:szCs w:val="22"/>
          <w:lang w:val="en-AU"/>
        </w:rPr>
        <w:t>replaces</w:t>
      </w:r>
      <w:r w:rsidR="009172B5" w:rsidRPr="00DD1B4C">
        <w:rPr>
          <w:rFonts w:eastAsiaTheme="minorHAnsi"/>
          <w:sz w:val="22"/>
          <w:szCs w:val="22"/>
          <w:lang w:val="en-AU"/>
        </w:rPr>
        <w:t xml:space="preserve"> </w:t>
      </w:r>
      <w:r w:rsidR="00CC66A9">
        <w:rPr>
          <w:rFonts w:eastAsiaTheme="minorHAnsi"/>
          <w:sz w:val="22"/>
          <w:szCs w:val="22"/>
          <w:lang w:val="en-AU"/>
        </w:rPr>
        <w:t xml:space="preserve">the heading </w:t>
      </w:r>
      <w:r w:rsidR="004466AA">
        <w:rPr>
          <w:rFonts w:eastAsiaTheme="minorHAnsi"/>
          <w:sz w:val="22"/>
          <w:szCs w:val="22"/>
          <w:lang w:val="en-AU"/>
        </w:rPr>
        <w:t xml:space="preserve">of </w:t>
      </w:r>
      <w:r w:rsidR="00CC66A9">
        <w:rPr>
          <w:rFonts w:eastAsiaTheme="minorHAnsi"/>
          <w:sz w:val="22"/>
          <w:szCs w:val="22"/>
          <w:lang w:val="en-AU"/>
        </w:rPr>
        <w:t xml:space="preserve">section 4.2 </w:t>
      </w:r>
      <w:r w:rsidR="000949BF">
        <w:rPr>
          <w:rFonts w:eastAsiaTheme="minorHAnsi"/>
          <w:sz w:val="22"/>
          <w:szCs w:val="22"/>
          <w:lang w:val="en-AU"/>
        </w:rPr>
        <w:t xml:space="preserve">of the Tx RAG </w:t>
      </w:r>
      <w:r w:rsidR="00CC66A9">
        <w:rPr>
          <w:rFonts w:eastAsiaTheme="minorHAnsi"/>
          <w:sz w:val="22"/>
          <w:szCs w:val="22"/>
          <w:lang w:val="en-AU"/>
        </w:rPr>
        <w:t xml:space="preserve">with a new heading that indicates the section applies </w:t>
      </w:r>
      <w:r w:rsidR="000949BF">
        <w:rPr>
          <w:rFonts w:eastAsiaTheme="minorHAnsi"/>
          <w:sz w:val="22"/>
          <w:szCs w:val="22"/>
          <w:lang w:val="en-AU"/>
        </w:rPr>
        <w:t xml:space="preserve">in relation </w:t>
      </w:r>
      <w:r w:rsidR="00CC66A9">
        <w:rPr>
          <w:rFonts w:eastAsiaTheme="minorHAnsi"/>
          <w:sz w:val="22"/>
          <w:szCs w:val="22"/>
          <w:lang w:val="en-AU"/>
        </w:rPr>
        <w:t>to earth receive licences in the 3</w:t>
      </w:r>
      <w:r w:rsidR="000949BF">
        <w:rPr>
          <w:rFonts w:eastAsiaTheme="minorHAnsi"/>
          <w:sz w:val="22"/>
          <w:szCs w:val="22"/>
          <w:lang w:val="en-AU"/>
        </w:rPr>
        <w:t>.</w:t>
      </w:r>
      <w:r w:rsidR="00CC66A9">
        <w:rPr>
          <w:rFonts w:eastAsiaTheme="minorHAnsi"/>
          <w:sz w:val="22"/>
          <w:szCs w:val="22"/>
          <w:lang w:val="en-AU"/>
        </w:rPr>
        <w:t>4</w:t>
      </w:r>
      <w:r w:rsidR="000949BF">
        <w:rPr>
          <w:rFonts w:eastAsiaTheme="minorHAnsi"/>
          <w:sz w:val="22"/>
          <w:szCs w:val="22"/>
          <w:lang w:val="en-AU"/>
        </w:rPr>
        <w:t xml:space="preserve"> GHz to </w:t>
      </w:r>
      <w:r w:rsidR="00CC66A9">
        <w:rPr>
          <w:rFonts w:eastAsiaTheme="minorHAnsi"/>
          <w:sz w:val="22"/>
          <w:szCs w:val="22"/>
          <w:lang w:val="en-AU"/>
        </w:rPr>
        <w:t>3</w:t>
      </w:r>
      <w:r w:rsidR="000949BF">
        <w:rPr>
          <w:rFonts w:eastAsiaTheme="minorHAnsi"/>
          <w:sz w:val="22"/>
          <w:szCs w:val="22"/>
          <w:lang w:val="en-AU"/>
        </w:rPr>
        <w:t>.</w:t>
      </w:r>
      <w:r w:rsidR="00CC66A9">
        <w:rPr>
          <w:rFonts w:eastAsiaTheme="minorHAnsi"/>
          <w:sz w:val="22"/>
          <w:szCs w:val="22"/>
          <w:lang w:val="en-AU"/>
        </w:rPr>
        <w:t xml:space="preserve">6 </w:t>
      </w:r>
      <w:r w:rsidR="000949BF">
        <w:rPr>
          <w:rFonts w:eastAsiaTheme="minorHAnsi"/>
          <w:sz w:val="22"/>
          <w:szCs w:val="22"/>
          <w:lang w:val="en-AU"/>
        </w:rPr>
        <w:t xml:space="preserve">GHz frequency </w:t>
      </w:r>
      <w:r w:rsidR="00CC66A9">
        <w:rPr>
          <w:rFonts w:eastAsiaTheme="minorHAnsi"/>
          <w:sz w:val="22"/>
          <w:szCs w:val="22"/>
          <w:lang w:val="en-AU"/>
        </w:rPr>
        <w:t xml:space="preserve">band. </w:t>
      </w:r>
    </w:p>
    <w:p w14:paraId="4F846D10" w14:textId="0DC98400" w:rsidR="003B370E" w:rsidRPr="00DD1B4C" w:rsidRDefault="003B370E" w:rsidP="003B370E">
      <w:pPr>
        <w:shd w:val="clear" w:color="auto" w:fill="FFFFFF"/>
        <w:spacing w:after="160"/>
        <w:jc w:val="both"/>
        <w:rPr>
          <w:rFonts w:eastAsiaTheme="minorHAnsi"/>
          <w:b/>
          <w:sz w:val="22"/>
          <w:szCs w:val="22"/>
          <w:lang w:val="en-AU"/>
        </w:rPr>
      </w:pPr>
      <w:r w:rsidRPr="00DD1B4C">
        <w:rPr>
          <w:rFonts w:eastAsiaTheme="minorHAnsi"/>
          <w:b/>
          <w:sz w:val="22"/>
          <w:szCs w:val="22"/>
          <w:lang w:val="en-AU"/>
        </w:rPr>
        <w:t>Item 3</w:t>
      </w:r>
    </w:p>
    <w:p w14:paraId="2C42CB71" w14:textId="602D3B62" w:rsidR="00CC66A9" w:rsidRPr="00DD1B4C" w:rsidRDefault="00CC66A9" w:rsidP="00CC66A9">
      <w:pPr>
        <w:spacing w:after="160" w:line="256" w:lineRule="auto"/>
        <w:rPr>
          <w:rFonts w:eastAsiaTheme="minorHAnsi"/>
          <w:sz w:val="22"/>
          <w:szCs w:val="22"/>
          <w:lang w:val="en-AU"/>
        </w:rPr>
      </w:pPr>
      <w:r w:rsidRPr="00DD1B4C">
        <w:rPr>
          <w:rFonts w:eastAsiaTheme="minorHAnsi"/>
          <w:sz w:val="22"/>
          <w:szCs w:val="22"/>
          <w:lang w:val="en-AU"/>
        </w:rPr>
        <w:t xml:space="preserve">Item </w:t>
      </w:r>
      <w:r>
        <w:rPr>
          <w:rFonts w:eastAsiaTheme="minorHAnsi"/>
          <w:sz w:val="22"/>
          <w:szCs w:val="22"/>
          <w:lang w:val="en-AU"/>
        </w:rPr>
        <w:t>3</w:t>
      </w:r>
      <w:r w:rsidRPr="00DD1B4C">
        <w:rPr>
          <w:rFonts w:eastAsiaTheme="minorHAnsi"/>
          <w:sz w:val="22"/>
          <w:szCs w:val="22"/>
          <w:lang w:val="en-AU"/>
        </w:rPr>
        <w:t xml:space="preserve"> </w:t>
      </w:r>
      <w:r w:rsidR="00DD00C9">
        <w:rPr>
          <w:rFonts w:eastAsiaTheme="minorHAnsi"/>
          <w:sz w:val="22"/>
          <w:szCs w:val="22"/>
          <w:lang w:val="en-AU"/>
        </w:rPr>
        <w:t xml:space="preserve">replaces </w:t>
      </w:r>
      <w:r>
        <w:rPr>
          <w:rFonts w:eastAsiaTheme="minorHAnsi"/>
          <w:sz w:val="22"/>
          <w:szCs w:val="22"/>
          <w:lang w:val="en-AU"/>
        </w:rPr>
        <w:t xml:space="preserve">the heading </w:t>
      </w:r>
      <w:r w:rsidR="004466AA">
        <w:rPr>
          <w:rFonts w:eastAsiaTheme="minorHAnsi"/>
          <w:sz w:val="22"/>
          <w:szCs w:val="22"/>
          <w:lang w:val="en-AU"/>
        </w:rPr>
        <w:t xml:space="preserve">of </w:t>
      </w:r>
      <w:r>
        <w:rPr>
          <w:rFonts w:eastAsiaTheme="minorHAnsi"/>
          <w:sz w:val="22"/>
          <w:szCs w:val="22"/>
          <w:lang w:val="en-AU"/>
        </w:rPr>
        <w:t>section 4.3</w:t>
      </w:r>
      <w:r w:rsidR="000949BF">
        <w:rPr>
          <w:rFonts w:eastAsiaTheme="minorHAnsi"/>
          <w:sz w:val="22"/>
          <w:szCs w:val="22"/>
          <w:lang w:val="en-AU"/>
        </w:rPr>
        <w:t xml:space="preserve"> of the Tx RAG</w:t>
      </w:r>
      <w:r>
        <w:rPr>
          <w:rFonts w:eastAsiaTheme="minorHAnsi"/>
          <w:sz w:val="22"/>
          <w:szCs w:val="22"/>
          <w:lang w:val="en-AU"/>
        </w:rPr>
        <w:t xml:space="preserve"> with a new heading that indicates the section applies </w:t>
      </w:r>
      <w:r w:rsidR="000949BF">
        <w:rPr>
          <w:rFonts w:eastAsiaTheme="minorHAnsi"/>
          <w:sz w:val="22"/>
          <w:szCs w:val="22"/>
          <w:lang w:val="en-AU"/>
        </w:rPr>
        <w:t xml:space="preserve">in relation </w:t>
      </w:r>
      <w:r>
        <w:rPr>
          <w:rFonts w:eastAsiaTheme="minorHAnsi"/>
          <w:sz w:val="22"/>
          <w:szCs w:val="22"/>
          <w:lang w:val="en-AU"/>
        </w:rPr>
        <w:t>to earth receive licences in the 3</w:t>
      </w:r>
      <w:r w:rsidR="000949BF">
        <w:rPr>
          <w:rFonts w:eastAsiaTheme="minorHAnsi"/>
          <w:sz w:val="22"/>
          <w:szCs w:val="22"/>
          <w:lang w:val="en-AU"/>
        </w:rPr>
        <w:t>.</w:t>
      </w:r>
      <w:r>
        <w:rPr>
          <w:rFonts w:eastAsiaTheme="minorHAnsi"/>
          <w:sz w:val="22"/>
          <w:szCs w:val="22"/>
          <w:lang w:val="en-AU"/>
        </w:rPr>
        <w:t>6</w:t>
      </w:r>
      <w:r w:rsidR="000949BF">
        <w:rPr>
          <w:rFonts w:eastAsiaTheme="minorHAnsi"/>
          <w:sz w:val="22"/>
          <w:szCs w:val="22"/>
          <w:lang w:val="en-AU"/>
        </w:rPr>
        <w:t xml:space="preserve"> GHz to </w:t>
      </w:r>
      <w:r>
        <w:rPr>
          <w:rFonts w:eastAsiaTheme="minorHAnsi"/>
          <w:sz w:val="22"/>
          <w:szCs w:val="22"/>
          <w:lang w:val="en-AU"/>
        </w:rPr>
        <w:t>4</w:t>
      </w:r>
      <w:r w:rsidR="000949BF">
        <w:rPr>
          <w:rFonts w:eastAsiaTheme="minorHAnsi"/>
          <w:sz w:val="22"/>
          <w:szCs w:val="22"/>
          <w:lang w:val="en-AU"/>
        </w:rPr>
        <w:t>.</w:t>
      </w:r>
      <w:r>
        <w:rPr>
          <w:rFonts w:eastAsiaTheme="minorHAnsi"/>
          <w:sz w:val="22"/>
          <w:szCs w:val="22"/>
          <w:lang w:val="en-AU"/>
        </w:rPr>
        <w:t>2</w:t>
      </w:r>
      <w:r w:rsidR="000949BF">
        <w:rPr>
          <w:rFonts w:eastAsiaTheme="minorHAnsi"/>
          <w:sz w:val="22"/>
          <w:szCs w:val="22"/>
          <w:lang w:val="en-AU"/>
        </w:rPr>
        <w:t xml:space="preserve"> G</w:t>
      </w:r>
      <w:r>
        <w:rPr>
          <w:rFonts w:eastAsiaTheme="minorHAnsi"/>
          <w:sz w:val="22"/>
          <w:szCs w:val="22"/>
          <w:lang w:val="en-AU"/>
        </w:rPr>
        <w:t xml:space="preserve">Hz </w:t>
      </w:r>
      <w:r w:rsidR="000949BF">
        <w:rPr>
          <w:rFonts w:eastAsiaTheme="minorHAnsi"/>
          <w:sz w:val="22"/>
          <w:szCs w:val="22"/>
          <w:lang w:val="en-AU"/>
        </w:rPr>
        <w:t xml:space="preserve">frequency </w:t>
      </w:r>
      <w:r>
        <w:rPr>
          <w:rFonts w:eastAsiaTheme="minorHAnsi"/>
          <w:sz w:val="22"/>
          <w:szCs w:val="22"/>
          <w:lang w:val="en-AU"/>
        </w:rPr>
        <w:t xml:space="preserve">band. </w:t>
      </w:r>
    </w:p>
    <w:p w14:paraId="3CE06949" w14:textId="7E6CD554" w:rsidR="003B370E" w:rsidRPr="00DD1B4C" w:rsidRDefault="003B370E" w:rsidP="003B370E">
      <w:pPr>
        <w:shd w:val="clear" w:color="auto" w:fill="FFFFFF"/>
        <w:spacing w:after="160"/>
        <w:jc w:val="both"/>
        <w:rPr>
          <w:rFonts w:eastAsiaTheme="minorHAnsi"/>
          <w:b/>
          <w:sz w:val="22"/>
          <w:szCs w:val="22"/>
          <w:lang w:val="en-AU"/>
        </w:rPr>
      </w:pPr>
      <w:r w:rsidRPr="00DD1B4C">
        <w:rPr>
          <w:rFonts w:eastAsiaTheme="minorHAnsi"/>
          <w:b/>
          <w:sz w:val="22"/>
          <w:szCs w:val="22"/>
          <w:lang w:val="en-AU"/>
        </w:rPr>
        <w:t>Item 4</w:t>
      </w:r>
    </w:p>
    <w:p w14:paraId="7721D124" w14:textId="5F63D315" w:rsidR="00CC66A9" w:rsidRDefault="00CC66A9" w:rsidP="003B370E">
      <w:pPr>
        <w:spacing w:after="160" w:line="256" w:lineRule="auto"/>
        <w:rPr>
          <w:rFonts w:eastAsiaTheme="minorHAnsi"/>
          <w:sz w:val="22"/>
          <w:szCs w:val="22"/>
          <w:lang w:val="en-AU"/>
        </w:rPr>
      </w:pPr>
      <w:r>
        <w:rPr>
          <w:rFonts w:eastAsiaTheme="minorHAnsi"/>
          <w:sz w:val="22"/>
          <w:szCs w:val="22"/>
          <w:lang w:val="en-AU"/>
        </w:rPr>
        <w:t xml:space="preserve">Item </w:t>
      </w:r>
      <w:r w:rsidR="002B1339">
        <w:rPr>
          <w:rFonts w:eastAsiaTheme="minorHAnsi"/>
          <w:sz w:val="22"/>
          <w:szCs w:val="22"/>
          <w:lang w:val="en-AU"/>
        </w:rPr>
        <w:t>4</w:t>
      </w:r>
      <w:r>
        <w:rPr>
          <w:rFonts w:eastAsiaTheme="minorHAnsi"/>
          <w:sz w:val="22"/>
          <w:szCs w:val="22"/>
          <w:lang w:val="en-AU"/>
        </w:rPr>
        <w:t xml:space="preserve"> </w:t>
      </w:r>
      <w:r w:rsidR="00274B5C">
        <w:rPr>
          <w:rFonts w:eastAsiaTheme="minorHAnsi"/>
          <w:sz w:val="22"/>
          <w:szCs w:val="22"/>
          <w:lang w:val="en-AU"/>
        </w:rPr>
        <w:t>amends</w:t>
      </w:r>
      <w:r>
        <w:rPr>
          <w:rFonts w:eastAsiaTheme="minorHAnsi"/>
          <w:sz w:val="22"/>
          <w:szCs w:val="22"/>
          <w:lang w:val="en-AU"/>
        </w:rPr>
        <w:t xml:space="preserve"> subsection 4.3(1) to ensure the protection requirements </w:t>
      </w:r>
      <w:r w:rsidR="00115C39">
        <w:rPr>
          <w:rFonts w:eastAsiaTheme="minorHAnsi"/>
          <w:sz w:val="22"/>
          <w:szCs w:val="22"/>
          <w:lang w:val="en-AU"/>
        </w:rPr>
        <w:t xml:space="preserve">set out </w:t>
      </w:r>
      <w:r>
        <w:rPr>
          <w:rFonts w:eastAsiaTheme="minorHAnsi"/>
          <w:sz w:val="22"/>
          <w:szCs w:val="22"/>
          <w:lang w:val="en-AU"/>
        </w:rPr>
        <w:t xml:space="preserve">in section 4.3 only apply </w:t>
      </w:r>
      <w:r w:rsidR="003A0A50">
        <w:rPr>
          <w:rFonts w:eastAsiaTheme="minorHAnsi"/>
          <w:sz w:val="22"/>
          <w:szCs w:val="22"/>
          <w:lang w:val="en-AU"/>
        </w:rPr>
        <w:t>to</w:t>
      </w:r>
      <w:r w:rsidR="00274B5C">
        <w:rPr>
          <w:rFonts w:eastAsiaTheme="minorHAnsi"/>
          <w:sz w:val="22"/>
          <w:szCs w:val="22"/>
          <w:lang w:val="en-AU"/>
        </w:rPr>
        <w:t xml:space="preserve"> earth receive stations operated under</w:t>
      </w:r>
      <w:r w:rsidR="003A0A50">
        <w:rPr>
          <w:rFonts w:eastAsiaTheme="minorHAnsi"/>
          <w:sz w:val="22"/>
          <w:szCs w:val="22"/>
          <w:lang w:val="en-AU"/>
        </w:rPr>
        <w:t xml:space="preserve"> </w:t>
      </w:r>
      <w:r>
        <w:rPr>
          <w:rFonts w:eastAsiaTheme="minorHAnsi"/>
          <w:sz w:val="22"/>
          <w:szCs w:val="22"/>
          <w:lang w:val="en-AU"/>
        </w:rPr>
        <w:t xml:space="preserve">earth receive licences.  </w:t>
      </w:r>
    </w:p>
    <w:p w14:paraId="48D78C19" w14:textId="4EDF127B" w:rsidR="003B370E" w:rsidRPr="00DD1B4C" w:rsidRDefault="003B370E" w:rsidP="007E10A9">
      <w:pPr>
        <w:keepNext/>
        <w:shd w:val="clear" w:color="auto" w:fill="FFFFFF"/>
        <w:spacing w:after="160"/>
        <w:jc w:val="both"/>
        <w:rPr>
          <w:rFonts w:eastAsiaTheme="minorHAnsi"/>
          <w:b/>
          <w:sz w:val="22"/>
          <w:szCs w:val="22"/>
          <w:lang w:val="en-AU"/>
        </w:rPr>
      </w:pPr>
      <w:r w:rsidRPr="00DD1B4C">
        <w:rPr>
          <w:rFonts w:eastAsiaTheme="minorHAnsi"/>
          <w:b/>
          <w:sz w:val="22"/>
          <w:szCs w:val="22"/>
          <w:lang w:val="en-AU"/>
        </w:rPr>
        <w:t>Item</w:t>
      </w:r>
      <w:r w:rsidR="005B5A5D">
        <w:rPr>
          <w:rFonts w:eastAsiaTheme="minorHAnsi"/>
          <w:b/>
          <w:sz w:val="22"/>
          <w:szCs w:val="22"/>
          <w:lang w:val="en-AU"/>
        </w:rPr>
        <w:t>s</w:t>
      </w:r>
      <w:r w:rsidRPr="00DD1B4C">
        <w:rPr>
          <w:rFonts w:eastAsiaTheme="minorHAnsi"/>
          <w:b/>
          <w:sz w:val="22"/>
          <w:szCs w:val="22"/>
          <w:lang w:val="en-AU"/>
        </w:rPr>
        <w:t xml:space="preserve"> 5</w:t>
      </w:r>
      <w:r w:rsidR="006D2983">
        <w:rPr>
          <w:rFonts w:eastAsiaTheme="minorHAnsi"/>
          <w:b/>
          <w:sz w:val="22"/>
          <w:szCs w:val="22"/>
          <w:lang w:val="en-AU"/>
        </w:rPr>
        <w:t xml:space="preserve"> </w:t>
      </w:r>
      <w:r w:rsidR="005B5A5D">
        <w:rPr>
          <w:rFonts w:eastAsiaTheme="minorHAnsi"/>
          <w:b/>
          <w:sz w:val="22"/>
          <w:szCs w:val="22"/>
          <w:lang w:val="en-AU"/>
        </w:rPr>
        <w:t>to 8</w:t>
      </w:r>
    </w:p>
    <w:p w14:paraId="5A614D49" w14:textId="77777777" w:rsidR="009F25C1" w:rsidRDefault="005B5A5D" w:rsidP="006D2983">
      <w:pPr>
        <w:shd w:val="clear" w:color="auto" w:fill="FFFFFF"/>
        <w:spacing w:after="120"/>
        <w:rPr>
          <w:color w:val="000000"/>
          <w:sz w:val="22"/>
          <w:szCs w:val="22"/>
          <w:lang w:val="en-AU" w:eastAsia="en-AU"/>
        </w:rPr>
      </w:pPr>
      <w:r>
        <w:rPr>
          <w:color w:val="000000"/>
          <w:sz w:val="22"/>
          <w:szCs w:val="22"/>
          <w:lang w:val="en-AU" w:eastAsia="en-AU"/>
        </w:rPr>
        <w:t xml:space="preserve">Items 5 to 8 amend subsection </w:t>
      </w:r>
      <w:r w:rsidR="009F25C1">
        <w:rPr>
          <w:color w:val="000000"/>
          <w:sz w:val="22"/>
          <w:szCs w:val="22"/>
          <w:lang w:val="en-AU" w:eastAsia="en-AU"/>
        </w:rPr>
        <w:t>4.3(4) of the Tx RAG such that:</w:t>
      </w:r>
    </w:p>
    <w:p w14:paraId="51BCD927" w14:textId="3B267B33" w:rsidR="009F25C1" w:rsidRDefault="009F25C1" w:rsidP="009F25C1">
      <w:pPr>
        <w:pStyle w:val="ListParagraph"/>
        <w:numPr>
          <w:ilvl w:val="0"/>
          <w:numId w:val="32"/>
        </w:numPr>
        <w:shd w:val="clear" w:color="auto" w:fill="FFFFFF"/>
        <w:spacing w:after="120"/>
        <w:rPr>
          <w:color w:val="000000"/>
          <w:sz w:val="22"/>
          <w:szCs w:val="22"/>
          <w:lang w:val="en-AU" w:eastAsia="en-AU"/>
        </w:rPr>
      </w:pPr>
      <w:r>
        <w:rPr>
          <w:color w:val="000000"/>
          <w:sz w:val="22"/>
          <w:szCs w:val="22"/>
          <w:lang w:val="en-AU" w:eastAsia="en-AU"/>
        </w:rPr>
        <w:t xml:space="preserve">the existing Table 1 in the subsection sets the minimum RF filter that applies before </w:t>
      </w:r>
      <w:r w:rsidR="002309C0">
        <w:rPr>
          <w:color w:val="000000"/>
          <w:sz w:val="22"/>
          <w:szCs w:val="22"/>
          <w:lang w:val="en-AU" w:eastAsia="en-AU"/>
        </w:rPr>
        <w:t>16 July 2027, in relation to earth receive stations authorised under earth receive licences; and</w:t>
      </w:r>
    </w:p>
    <w:p w14:paraId="05DFB205" w14:textId="3DE7E52F" w:rsidR="002309C0" w:rsidRPr="007E10A9" w:rsidRDefault="002309C0" w:rsidP="007E10A9">
      <w:pPr>
        <w:pStyle w:val="ListParagraph"/>
        <w:numPr>
          <w:ilvl w:val="0"/>
          <w:numId w:val="32"/>
        </w:numPr>
        <w:shd w:val="clear" w:color="auto" w:fill="FFFFFF"/>
        <w:spacing w:after="120"/>
        <w:rPr>
          <w:color w:val="000000"/>
          <w:sz w:val="22"/>
          <w:szCs w:val="22"/>
          <w:lang w:val="en-AU" w:eastAsia="en-AU"/>
        </w:rPr>
      </w:pPr>
      <w:r>
        <w:rPr>
          <w:color w:val="000000"/>
          <w:sz w:val="22"/>
          <w:szCs w:val="22"/>
          <w:lang w:val="en-AU" w:eastAsia="en-AU"/>
        </w:rPr>
        <w:lastRenderedPageBreak/>
        <w:t>new Table 2 sets the minimum RF filter that applies on and after 16 July 2027, in relation to earth receive stations authorised under earth receive licences.</w:t>
      </w:r>
    </w:p>
    <w:p w14:paraId="7D342A96" w14:textId="35A51DEF" w:rsidR="004466AA" w:rsidRPr="00DD1B4C" w:rsidRDefault="004466AA" w:rsidP="004466AA">
      <w:pPr>
        <w:shd w:val="clear" w:color="auto" w:fill="FFFFFF"/>
        <w:spacing w:after="160"/>
        <w:jc w:val="both"/>
        <w:rPr>
          <w:rFonts w:eastAsiaTheme="minorHAnsi"/>
          <w:b/>
          <w:sz w:val="22"/>
          <w:szCs w:val="22"/>
          <w:lang w:val="en-AU"/>
        </w:rPr>
      </w:pPr>
      <w:r w:rsidRPr="00DD1B4C">
        <w:rPr>
          <w:rFonts w:eastAsiaTheme="minorHAnsi"/>
          <w:b/>
          <w:sz w:val="22"/>
          <w:szCs w:val="22"/>
          <w:lang w:val="en-AU"/>
        </w:rPr>
        <w:t xml:space="preserve">Item </w:t>
      </w:r>
      <w:r>
        <w:rPr>
          <w:rFonts w:eastAsiaTheme="minorHAnsi"/>
          <w:b/>
          <w:sz w:val="22"/>
          <w:szCs w:val="22"/>
          <w:lang w:val="en-AU"/>
        </w:rPr>
        <w:t>9</w:t>
      </w:r>
      <w:r w:rsidRPr="00DD1B4C">
        <w:rPr>
          <w:rFonts w:eastAsiaTheme="minorHAnsi"/>
          <w:b/>
          <w:sz w:val="22"/>
          <w:szCs w:val="22"/>
          <w:lang w:val="en-AU"/>
        </w:rPr>
        <w:t xml:space="preserve"> </w:t>
      </w:r>
    </w:p>
    <w:p w14:paraId="67B0B241" w14:textId="4AEC1D38" w:rsidR="004466AA" w:rsidRPr="00957692" w:rsidRDefault="004466AA" w:rsidP="004466AA">
      <w:pPr>
        <w:shd w:val="clear" w:color="auto" w:fill="FFFFFF"/>
        <w:spacing w:after="160"/>
        <w:jc w:val="both"/>
        <w:rPr>
          <w:rFonts w:eastAsiaTheme="minorHAnsi"/>
          <w:sz w:val="22"/>
          <w:szCs w:val="22"/>
          <w:lang w:val="en-AU"/>
        </w:rPr>
      </w:pPr>
      <w:r w:rsidRPr="00DD1B4C">
        <w:rPr>
          <w:rFonts w:eastAsiaTheme="minorHAnsi"/>
          <w:sz w:val="22"/>
          <w:szCs w:val="22"/>
          <w:lang w:val="en-AU"/>
        </w:rPr>
        <w:t xml:space="preserve">Item </w:t>
      </w:r>
      <w:r w:rsidRPr="00957692">
        <w:rPr>
          <w:rFonts w:eastAsiaTheme="minorHAnsi"/>
          <w:sz w:val="22"/>
          <w:szCs w:val="22"/>
          <w:lang w:val="en-AU"/>
        </w:rPr>
        <w:t xml:space="preserve">9 inserts a reference to Table 2 into </w:t>
      </w:r>
      <w:r w:rsidR="00C62262" w:rsidRPr="00957692">
        <w:rPr>
          <w:rFonts w:eastAsiaTheme="minorHAnsi"/>
          <w:sz w:val="22"/>
          <w:szCs w:val="22"/>
          <w:lang w:val="en-AU"/>
        </w:rPr>
        <w:t>sub</w:t>
      </w:r>
      <w:r w:rsidRPr="00957692">
        <w:rPr>
          <w:rFonts w:eastAsiaTheme="minorHAnsi"/>
          <w:sz w:val="22"/>
          <w:szCs w:val="22"/>
          <w:lang w:val="en-AU"/>
        </w:rPr>
        <w:t xml:space="preserve">section </w:t>
      </w:r>
      <w:r w:rsidR="00C62262" w:rsidRPr="00957692">
        <w:rPr>
          <w:rFonts w:eastAsiaTheme="minorHAnsi"/>
          <w:sz w:val="22"/>
          <w:szCs w:val="22"/>
          <w:lang w:val="en-AU"/>
        </w:rPr>
        <w:t>4.3(</w:t>
      </w:r>
      <w:r w:rsidRPr="00957692">
        <w:rPr>
          <w:rFonts w:eastAsiaTheme="minorHAnsi"/>
          <w:sz w:val="22"/>
          <w:szCs w:val="22"/>
          <w:lang w:val="en-AU"/>
        </w:rPr>
        <w:t>4A</w:t>
      </w:r>
      <w:r w:rsidR="00C62262" w:rsidRPr="00957692">
        <w:rPr>
          <w:rFonts w:eastAsiaTheme="minorHAnsi"/>
          <w:sz w:val="22"/>
          <w:szCs w:val="22"/>
          <w:lang w:val="en-AU"/>
        </w:rPr>
        <w:t>) of the Tx RAG</w:t>
      </w:r>
      <w:r w:rsidRPr="00957692">
        <w:rPr>
          <w:rFonts w:eastAsiaTheme="minorHAnsi"/>
          <w:sz w:val="22"/>
          <w:szCs w:val="22"/>
          <w:lang w:val="en-AU"/>
        </w:rPr>
        <w:t xml:space="preserve">. This is to ensure </w:t>
      </w:r>
      <w:r w:rsidR="00C62262" w:rsidRPr="00957692">
        <w:rPr>
          <w:rFonts w:eastAsiaTheme="minorHAnsi"/>
          <w:sz w:val="22"/>
          <w:szCs w:val="22"/>
          <w:lang w:val="en-AU"/>
        </w:rPr>
        <w:t>the sub</w:t>
      </w:r>
      <w:r w:rsidRPr="00957692">
        <w:rPr>
          <w:rFonts w:eastAsiaTheme="minorHAnsi"/>
          <w:sz w:val="22"/>
          <w:szCs w:val="22"/>
          <w:lang w:val="en-AU"/>
        </w:rPr>
        <w:t xml:space="preserve">section applies to both </w:t>
      </w:r>
      <w:r w:rsidR="003A0A50" w:rsidRPr="00957692">
        <w:rPr>
          <w:rFonts w:eastAsiaTheme="minorHAnsi"/>
          <w:sz w:val="22"/>
          <w:szCs w:val="22"/>
          <w:lang w:val="en-AU"/>
        </w:rPr>
        <w:t>T</w:t>
      </w:r>
      <w:r w:rsidRPr="00957692">
        <w:rPr>
          <w:rFonts w:eastAsiaTheme="minorHAnsi"/>
          <w:sz w:val="22"/>
          <w:szCs w:val="22"/>
          <w:lang w:val="en-AU"/>
        </w:rPr>
        <w:t xml:space="preserve">able 1 and Table 2.  </w:t>
      </w:r>
    </w:p>
    <w:p w14:paraId="3BF94D18" w14:textId="7A2DECE3" w:rsidR="0086059D" w:rsidRDefault="0086059D" w:rsidP="004466AA">
      <w:pPr>
        <w:shd w:val="clear" w:color="auto" w:fill="FFFFFF"/>
        <w:spacing w:after="160"/>
        <w:jc w:val="both"/>
        <w:rPr>
          <w:rFonts w:eastAsiaTheme="minorHAnsi"/>
          <w:b/>
          <w:sz w:val="22"/>
          <w:szCs w:val="22"/>
          <w:lang w:val="en-AU"/>
        </w:rPr>
      </w:pPr>
      <w:r>
        <w:rPr>
          <w:rFonts w:eastAsiaTheme="minorHAnsi"/>
          <w:b/>
          <w:sz w:val="22"/>
          <w:szCs w:val="22"/>
          <w:lang w:val="en-AU"/>
        </w:rPr>
        <w:t>Item 10</w:t>
      </w:r>
    </w:p>
    <w:p w14:paraId="4B343400" w14:textId="2D9AF3D1" w:rsidR="0086059D" w:rsidRPr="00957692" w:rsidRDefault="0086059D" w:rsidP="0086059D">
      <w:pPr>
        <w:shd w:val="clear" w:color="auto" w:fill="FFFFFF"/>
        <w:spacing w:after="160"/>
        <w:jc w:val="both"/>
        <w:rPr>
          <w:rFonts w:eastAsiaTheme="minorHAnsi"/>
          <w:sz w:val="22"/>
          <w:szCs w:val="22"/>
          <w:lang w:val="en-AU"/>
        </w:rPr>
      </w:pPr>
      <w:r w:rsidRPr="00DD1B4C">
        <w:rPr>
          <w:rFonts w:eastAsiaTheme="minorHAnsi"/>
          <w:sz w:val="22"/>
          <w:szCs w:val="22"/>
          <w:lang w:val="en-AU"/>
        </w:rPr>
        <w:t xml:space="preserve">Item </w:t>
      </w:r>
      <w:r>
        <w:rPr>
          <w:rFonts w:eastAsiaTheme="minorHAnsi"/>
          <w:sz w:val="22"/>
          <w:szCs w:val="22"/>
          <w:lang w:val="en-AU"/>
        </w:rPr>
        <w:t>10</w:t>
      </w:r>
      <w:r w:rsidRPr="00957692">
        <w:rPr>
          <w:rFonts w:eastAsiaTheme="minorHAnsi"/>
          <w:sz w:val="22"/>
          <w:szCs w:val="22"/>
          <w:lang w:val="en-AU"/>
        </w:rPr>
        <w:t xml:space="preserve"> inserts a reference to Table 2 into subsection 4.3(</w:t>
      </w:r>
      <w:r>
        <w:rPr>
          <w:rFonts w:eastAsiaTheme="minorHAnsi"/>
          <w:sz w:val="22"/>
          <w:szCs w:val="22"/>
          <w:lang w:val="en-AU"/>
        </w:rPr>
        <w:t>5</w:t>
      </w:r>
      <w:r w:rsidRPr="00957692">
        <w:rPr>
          <w:rFonts w:eastAsiaTheme="minorHAnsi"/>
          <w:sz w:val="22"/>
          <w:szCs w:val="22"/>
          <w:lang w:val="en-AU"/>
        </w:rPr>
        <w:t>) of the Tx RAG. This is to ensure the subsection applies to both Table 1 and Table 2.</w:t>
      </w:r>
    </w:p>
    <w:p w14:paraId="39CE6883" w14:textId="3D3591CA" w:rsidR="004466AA" w:rsidRPr="00957692" w:rsidRDefault="004466AA" w:rsidP="004466AA">
      <w:pPr>
        <w:shd w:val="clear" w:color="auto" w:fill="FFFFFF"/>
        <w:spacing w:after="160"/>
        <w:jc w:val="both"/>
        <w:rPr>
          <w:rFonts w:eastAsiaTheme="minorHAnsi"/>
          <w:b/>
          <w:sz w:val="22"/>
          <w:szCs w:val="22"/>
          <w:lang w:val="en-AU"/>
        </w:rPr>
      </w:pPr>
      <w:r w:rsidRPr="00957692">
        <w:rPr>
          <w:rFonts w:eastAsiaTheme="minorHAnsi"/>
          <w:b/>
          <w:sz w:val="22"/>
          <w:szCs w:val="22"/>
          <w:lang w:val="en-AU"/>
        </w:rPr>
        <w:t>Item 1</w:t>
      </w:r>
      <w:r w:rsidR="0086059D">
        <w:rPr>
          <w:rFonts w:eastAsiaTheme="minorHAnsi"/>
          <w:b/>
          <w:sz w:val="22"/>
          <w:szCs w:val="22"/>
          <w:lang w:val="en-AU"/>
        </w:rPr>
        <w:t>1</w:t>
      </w:r>
      <w:r w:rsidRPr="00957692">
        <w:rPr>
          <w:rFonts w:eastAsiaTheme="minorHAnsi"/>
          <w:b/>
          <w:sz w:val="22"/>
          <w:szCs w:val="22"/>
          <w:lang w:val="en-AU"/>
        </w:rPr>
        <w:t xml:space="preserve"> </w:t>
      </w:r>
    </w:p>
    <w:p w14:paraId="63291E4F" w14:textId="57C9E27C" w:rsidR="004466AA" w:rsidRPr="00957692" w:rsidRDefault="004466AA" w:rsidP="004466AA">
      <w:pPr>
        <w:shd w:val="clear" w:color="auto" w:fill="FFFFFF"/>
        <w:spacing w:after="160"/>
        <w:jc w:val="both"/>
        <w:rPr>
          <w:rFonts w:eastAsiaTheme="minorHAnsi"/>
          <w:b/>
          <w:sz w:val="22"/>
          <w:szCs w:val="22"/>
          <w:lang w:val="en-AU"/>
        </w:rPr>
      </w:pPr>
      <w:r w:rsidRPr="00957692">
        <w:rPr>
          <w:rFonts w:eastAsiaTheme="minorHAnsi"/>
          <w:sz w:val="22"/>
          <w:szCs w:val="22"/>
          <w:lang w:val="en-AU"/>
        </w:rPr>
        <w:t>Item 1</w:t>
      </w:r>
      <w:r w:rsidR="0086059D">
        <w:rPr>
          <w:rFonts w:eastAsiaTheme="minorHAnsi"/>
          <w:sz w:val="22"/>
          <w:szCs w:val="22"/>
          <w:lang w:val="en-AU"/>
        </w:rPr>
        <w:t>1</w:t>
      </w:r>
      <w:r w:rsidRPr="00957692">
        <w:rPr>
          <w:rFonts w:eastAsiaTheme="minorHAnsi"/>
          <w:sz w:val="22"/>
          <w:szCs w:val="22"/>
          <w:lang w:val="en-AU"/>
        </w:rPr>
        <w:t xml:space="preserve"> </w:t>
      </w:r>
      <w:r w:rsidR="00DD00C9">
        <w:rPr>
          <w:rFonts w:eastAsiaTheme="minorHAnsi"/>
          <w:sz w:val="22"/>
          <w:szCs w:val="22"/>
          <w:lang w:val="en-AU"/>
        </w:rPr>
        <w:t xml:space="preserve">replaces </w:t>
      </w:r>
      <w:r w:rsidRPr="00957692">
        <w:rPr>
          <w:rFonts w:eastAsiaTheme="minorHAnsi"/>
          <w:sz w:val="22"/>
          <w:szCs w:val="22"/>
          <w:lang w:val="en-AU"/>
        </w:rPr>
        <w:t>the heading of section 4.4</w:t>
      </w:r>
      <w:r w:rsidR="00286686" w:rsidRPr="00957692">
        <w:rPr>
          <w:rFonts w:eastAsiaTheme="minorHAnsi"/>
          <w:sz w:val="22"/>
          <w:szCs w:val="22"/>
          <w:lang w:val="en-AU"/>
        </w:rPr>
        <w:t xml:space="preserve"> of the Tx RAG</w:t>
      </w:r>
      <w:r w:rsidRPr="00957692">
        <w:rPr>
          <w:rFonts w:eastAsiaTheme="minorHAnsi"/>
          <w:sz w:val="22"/>
          <w:szCs w:val="22"/>
          <w:lang w:val="en-AU"/>
        </w:rPr>
        <w:t xml:space="preserve"> with a new heading that indicates the section applies </w:t>
      </w:r>
      <w:r w:rsidR="00286686" w:rsidRPr="00957692">
        <w:rPr>
          <w:rFonts w:eastAsiaTheme="minorHAnsi"/>
          <w:sz w:val="22"/>
          <w:szCs w:val="22"/>
          <w:lang w:val="en-AU"/>
        </w:rPr>
        <w:t xml:space="preserve">in relation </w:t>
      </w:r>
      <w:r w:rsidRPr="00957692">
        <w:rPr>
          <w:rFonts w:eastAsiaTheme="minorHAnsi"/>
          <w:sz w:val="22"/>
          <w:szCs w:val="22"/>
          <w:lang w:val="en-AU"/>
        </w:rPr>
        <w:t>to incumbent earth receive licence</w:t>
      </w:r>
      <w:r w:rsidR="00286686" w:rsidRPr="00957692">
        <w:rPr>
          <w:rFonts w:eastAsiaTheme="minorHAnsi"/>
          <w:sz w:val="22"/>
          <w:szCs w:val="22"/>
          <w:lang w:val="en-AU"/>
        </w:rPr>
        <w:t>s</w:t>
      </w:r>
      <w:r w:rsidRPr="00957692">
        <w:rPr>
          <w:rFonts w:eastAsiaTheme="minorHAnsi"/>
          <w:sz w:val="22"/>
          <w:szCs w:val="22"/>
          <w:lang w:val="en-AU"/>
        </w:rPr>
        <w:t xml:space="preserve"> in </w:t>
      </w:r>
      <w:r w:rsidR="00286686" w:rsidRPr="00957692">
        <w:rPr>
          <w:rFonts w:eastAsiaTheme="minorHAnsi"/>
          <w:sz w:val="22"/>
          <w:szCs w:val="22"/>
          <w:lang w:val="en-AU"/>
        </w:rPr>
        <w:t xml:space="preserve">the </w:t>
      </w:r>
      <w:r w:rsidRPr="00957692">
        <w:rPr>
          <w:rFonts w:eastAsiaTheme="minorHAnsi"/>
          <w:sz w:val="22"/>
          <w:szCs w:val="22"/>
          <w:lang w:val="en-AU"/>
        </w:rPr>
        <w:t>3</w:t>
      </w:r>
      <w:r w:rsidR="00286686" w:rsidRPr="00957692">
        <w:rPr>
          <w:rFonts w:eastAsiaTheme="minorHAnsi"/>
          <w:sz w:val="22"/>
          <w:szCs w:val="22"/>
          <w:lang w:val="en-AU"/>
        </w:rPr>
        <w:t>.</w:t>
      </w:r>
      <w:r w:rsidRPr="00957692">
        <w:rPr>
          <w:rFonts w:eastAsiaTheme="minorHAnsi"/>
          <w:sz w:val="22"/>
          <w:szCs w:val="22"/>
          <w:lang w:val="en-AU"/>
        </w:rPr>
        <w:t>6</w:t>
      </w:r>
      <w:r w:rsidR="00286686" w:rsidRPr="00957692">
        <w:rPr>
          <w:rFonts w:eastAsiaTheme="minorHAnsi"/>
          <w:sz w:val="22"/>
          <w:szCs w:val="22"/>
          <w:lang w:val="en-AU"/>
        </w:rPr>
        <w:t xml:space="preserve"> GHz to </w:t>
      </w:r>
      <w:r w:rsidRPr="00957692">
        <w:rPr>
          <w:rFonts w:eastAsiaTheme="minorHAnsi"/>
          <w:sz w:val="22"/>
          <w:szCs w:val="22"/>
          <w:lang w:val="en-AU"/>
        </w:rPr>
        <w:t>3</w:t>
      </w:r>
      <w:r w:rsidR="00286686" w:rsidRPr="00957692">
        <w:rPr>
          <w:rFonts w:eastAsiaTheme="minorHAnsi"/>
          <w:sz w:val="22"/>
          <w:szCs w:val="22"/>
          <w:lang w:val="en-AU"/>
        </w:rPr>
        <w:t>.</w:t>
      </w:r>
      <w:r w:rsidRPr="00957692">
        <w:rPr>
          <w:rFonts w:eastAsiaTheme="minorHAnsi"/>
          <w:sz w:val="22"/>
          <w:szCs w:val="22"/>
          <w:lang w:val="en-AU"/>
        </w:rPr>
        <w:t xml:space="preserve">8 </w:t>
      </w:r>
      <w:r w:rsidR="00286686" w:rsidRPr="00957692">
        <w:rPr>
          <w:rFonts w:eastAsiaTheme="minorHAnsi"/>
          <w:sz w:val="22"/>
          <w:szCs w:val="22"/>
          <w:lang w:val="en-AU"/>
        </w:rPr>
        <w:t>G</w:t>
      </w:r>
      <w:r w:rsidRPr="00957692">
        <w:rPr>
          <w:rFonts w:eastAsiaTheme="minorHAnsi"/>
          <w:sz w:val="22"/>
          <w:szCs w:val="22"/>
          <w:lang w:val="en-AU"/>
        </w:rPr>
        <w:t xml:space="preserve">Hz </w:t>
      </w:r>
      <w:r w:rsidR="00286686" w:rsidRPr="00957692">
        <w:rPr>
          <w:rFonts w:eastAsiaTheme="minorHAnsi"/>
          <w:sz w:val="22"/>
          <w:szCs w:val="22"/>
          <w:lang w:val="en-AU"/>
        </w:rPr>
        <w:t xml:space="preserve">frequency </w:t>
      </w:r>
      <w:r w:rsidRPr="00957692">
        <w:rPr>
          <w:rFonts w:eastAsiaTheme="minorHAnsi"/>
          <w:sz w:val="22"/>
          <w:szCs w:val="22"/>
          <w:lang w:val="en-AU"/>
        </w:rPr>
        <w:t xml:space="preserve">band. </w:t>
      </w:r>
    </w:p>
    <w:p w14:paraId="7DE57217" w14:textId="0FC51221" w:rsidR="004466AA" w:rsidRPr="00957692" w:rsidRDefault="004466AA" w:rsidP="004466AA">
      <w:pPr>
        <w:shd w:val="clear" w:color="auto" w:fill="FFFFFF"/>
        <w:spacing w:after="160"/>
        <w:jc w:val="both"/>
        <w:rPr>
          <w:rFonts w:eastAsiaTheme="minorHAnsi"/>
          <w:b/>
          <w:sz w:val="22"/>
          <w:szCs w:val="22"/>
          <w:lang w:val="en-AU"/>
        </w:rPr>
      </w:pPr>
      <w:r w:rsidRPr="00957692">
        <w:rPr>
          <w:rFonts w:eastAsiaTheme="minorHAnsi"/>
          <w:b/>
          <w:sz w:val="22"/>
          <w:szCs w:val="22"/>
          <w:lang w:val="en-AU"/>
        </w:rPr>
        <w:t>Item 1</w:t>
      </w:r>
      <w:r w:rsidR="0086059D">
        <w:rPr>
          <w:rFonts w:eastAsiaTheme="minorHAnsi"/>
          <w:b/>
          <w:sz w:val="22"/>
          <w:szCs w:val="22"/>
          <w:lang w:val="en-AU"/>
        </w:rPr>
        <w:t>2</w:t>
      </w:r>
      <w:r w:rsidRPr="00957692">
        <w:rPr>
          <w:rFonts w:eastAsiaTheme="minorHAnsi"/>
          <w:b/>
          <w:sz w:val="22"/>
          <w:szCs w:val="22"/>
          <w:lang w:val="en-AU"/>
        </w:rPr>
        <w:t xml:space="preserve"> </w:t>
      </w:r>
    </w:p>
    <w:p w14:paraId="2FB2EA51" w14:textId="6AE853A8" w:rsidR="004466AA" w:rsidRPr="00957692" w:rsidRDefault="004466AA" w:rsidP="004466AA">
      <w:pPr>
        <w:shd w:val="clear" w:color="auto" w:fill="FFFFFF"/>
        <w:spacing w:after="160"/>
        <w:jc w:val="both"/>
        <w:rPr>
          <w:rFonts w:eastAsiaTheme="minorHAnsi"/>
          <w:sz w:val="22"/>
          <w:szCs w:val="22"/>
          <w:lang w:val="en-AU"/>
        </w:rPr>
      </w:pPr>
      <w:r w:rsidRPr="00957692">
        <w:rPr>
          <w:rFonts w:eastAsiaTheme="minorHAnsi"/>
          <w:sz w:val="22"/>
          <w:szCs w:val="22"/>
          <w:lang w:val="en-AU"/>
        </w:rPr>
        <w:t>Item 1</w:t>
      </w:r>
      <w:r w:rsidR="0086059D">
        <w:rPr>
          <w:rFonts w:eastAsiaTheme="minorHAnsi"/>
          <w:sz w:val="22"/>
          <w:szCs w:val="22"/>
          <w:lang w:val="en-AU"/>
        </w:rPr>
        <w:t>2</w:t>
      </w:r>
      <w:r w:rsidRPr="00957692">
        <w:rPr>
          <w:rFonts w:eastAsiaTheme="minorHAnsi"/>
          <w:sz w:val="22"/>
          <w:szCs w:val="22"/>
          <w:lang w:val="en-AU"/>
        </w:rPr>
        <w:t xml:space="preserve"> </w:t>
      </w:r>
      <w:r w:rsidR="00957692">
        <w:rPr>
          <w:rFonts w:eastAsiaTheme="minorHAnsi"/>
          <w:sz w:val="22"/>
          <w:szCs w:val="22"/>
          <w:lang w:val="en-AU"/>
        </w:rPr>
        <w:t>amends</w:t>
      </w:r>
      <w:r w:rsidR="00F3604A" w:rsidRPr="00957692">
        <w:rPr>
          <w:rFonts w:eastAsiaTheme="minorHAnsi"/>
          <w:sz w:val="22"/>
          <w:szCs w:val="22"/>
          <w:lang w:val="en-AU"/>
        </w:rPr>
        <w:t xml:space="preserve"> subsection 4.4(1)</w:t>
      </w:r>
      <w:r w:rsidR="00957692">
        <w:rPr>
          <w:rFonts w:eastAsiaTheme="minorHAnsi"/>
          <w:sz w:val="22"/>
          <w:szCs w:val="22"/>
          <w:lang w:val="en-AU"/>
        </w:rPr>
        <w:t xml:space="preserve"> of the Tx RAG </w:t>
      </w:r>
      <w:r w:rsidR="00F3604A" w:rsidRPr="00957692">
        <w:rPr>
          <w:rFonts w:eastAsiaTheme="minorHAnsi"/>
          <w:sz w:val="22"/>
          <w:szCs w:val="22"/>
          <w:lang w:val="en-AU"/>
        </w:rPr>
        <w:t xml:space="preserve">to ensure </w:t>
      </w:r>
      <w:r w:rsidR="00115C39">
        <w:rPr>
          <w:rFonts w:eastAsiaTheme="minorHAnsi"/>
          <w:sz w:val="22"/>
          <w:szCs w:val="22"/>
          <w:lang w:val="en-AU"/>
        </w:rPr>
        <w:t xml:space="preserve">the protection requirements set out in </w:t>
      </w:r>
      <w:r w:rsidR="00115C39" w:rsidRPr="00957692">
        <w:rPr>
          <w:rFonts w:eastAsiaTheme="minorHAnsi"/>
          <w:sz w:val="22"/>
          <w:szCs w:val="22"/>
          <w:lang w:val="en-AU"/>
        </w:rPr>
        <w:t>section</w:t>
      </w:r>
      <w:r w:rsidR="00115C39">
        <w:rPr>
          <w:rFonts w:eastAsiaTheme="minorHAnsi"/>
          <w:sz w:val="22"/>
          <w:szCs w:val="22"/>
          <w:lang w:val="en-AU"/>
        </w:rPr>
        <w:t> </w:t>
      </w:r>
      <w:r w:rsidR="00F3604A" w:rsidRPr="00957692">
        <w:rPr>
          <w:rFonts w:eastAsiaTheme="minorHAnsi"/>
          <w:sz w:val="22"/>
          <w:szCs w:val="22"/>
          <w:lang w:val="en-AU"/>
        </w:rPr>
        <w:t>4.4 only appl</w:t>
      </w:r>
      <w:r w:rsidR="00115C39">
        <w:rPr>
          <w:rFonts w:eastAsiaTheme="minorHAnsi"/>
          <w:sz w:val="22"/>
          <w:szCs w:val="22"/>
          <w:lang w:val="en-AU"/>
        </w:rPr>
        <w:t xml:space="preserve">y </w:t>
      </w:r>
      <w:r w:rsidR="00F3604A" w:rsidRPr="00957692">
        <w:rPr>
          <w:rFonts w:eastAsiaTheme="minorHAnsi"/>
          <w:sz w:val="22"/>
          <w:szCs w:val="22"/>
          <w:lang w:val="en-AU"/>
        </w:rPr>
        <w:t>to</w:t>
      </w:r>
      <w:r w:rsidR="00321A9D">
        <w:rPr>
          <w:rFonts w:eastAsiaTheme="minorHAnsi"/>
          <w:sz w:val="22"/>
          <w:szCs w:val="22"/>
          <w:lang w:val="en-AU"/>
        </w:rPr>
        <w:t xml:space="preserve"> earth receive stations operated under</w:t>
      </w:r>
      <w:r w:rsidR="00F3604A" w:rsidRPr="00957692">
        <w:rPr>
          <w:rFonts w:eastAsiaTheme="minorHAnsi"/>
          <w:sz w:val="22"/>
          <w:szCs w:val="22"/>
          <w:lang w:val="en-AU"/>
        </w:rPr>
        <w:t xml:space="preserve"> earth receive licen</w:t>
      </w:r>
      <w:r w:rsidR="00321A9D">
        <w:rPr>
          <w:rFonts w:eastAsiaTheme="minorHAnsi"/>
          <w:sz w:val="22"/>
          <w:szCs w:val="22"/>
          <w:lang w:val="en-AU"/>
        </w:rPr>
        <w:t>c</w:t>
      </w:r>
      <w:r w:rsidR="00F3604A" w:rsidRPr="00957692">
        <w:rPr>
          <w:rFonts w:eastAsiaTheme="minorHAnsi"/>
          <w:sz w:val="22"/>
          <w:szCs w:val="22"/>
          <w:lang w:val="en-AU"/>
        </w:rPr>
        <w:t xml:space="preserve">es. </w:t>
      </w:r>
    </w:p>
    <w:p w14:paraId="780F6C8C" w14:textId="6DDE3968" w:rsidR="00F3604A" w:rsidRPr="00957692" w:rsidRDefault="00F3604A" w:rsidP="00F3604A">
      <w:pPr>
        <w:shd w:val="clear" w:color="auto" w:fill="FFFFFF"/>
        <w:spacing w:after="160"/>
        <w:jc w:val="both"/>
        <w:rPr>
          <w:rFonts w:eastAsiaTheme="minorHAnsi"/>
          <w:b/>
          <w:sz w:val="22"/>
          <w:szCs w:val="22"/>
          <w:lang w:val="en-AU"/>
        </w:rPr>
      </w:pPr>
      <w:r w:rsidRPr="00957692">
        <w:rPr>
          <w:rFonts w:eastAsiaTheme="minorHAnsi"/>
          <w:b/>
          <w:sz w:val="22"/>
          <w:szCs w:val="22"/>
          <w:lang w:val="en-AU"/>
        </w:rPr>
        <w:t>Item 1</w:t>
      </w:r>
      <w:r w:rsidR="0086059D">
        <w:rPr>
          <w:rFonts w:eastAsiaTheme="minorHAnsi"/>
          <w:b/>
          <w:sz w:val="22"/>
          <w:szCs w:val="22"/>
          <w:lang w:val="en-AU"/>
        </w:rPr>
        <w:t>3</w:t>
      </w:r>
      <w:r w:rsidRPr="00957692">
        <w:rPr>
          <w:rFonts w:eastAsiaTheme="minorHAnsi"/>
          <w:b/>
          <w:sz w:val="22"/>
          <w:szCs w:val="22"/>
          <w:lang w:val="en-AU"/>
        </w:rPr>
        <w:t xml:space="preserve"> </w:t>
      </w:r>
    </w:p>
    <w:p w14:paraId="417A9B92" w14:textId="702016FC" w:rsidR="00F3604A" w:rsidRDefault="00F3604A" w:rsidP="00F3604A">
      <w:pPr>
        <w:shd w:val="clear" w:color="auto" w:fill="FFFFFF"/>
        <w:spacing w:after="160"/>
        <w:jc w:val="both"/>
        <w:rPr>
          <w:rFonts w:eastAsiaTheme="minorHAnsi"/>
          <w:sz w:val="22"/>
          <w:szCs w:val="22"/>
          <w:lang w:val="en-AU"/>
        </w:rPr>
      </w:pPr>
      <w:r w:rsidRPr="00DD1B4C">
        <w:rPr>
          <w:rFonts w:eastAsiaTheme="minorHAnsi"/>
          <w:sz w:val="22"/>
          <w:szCs w:val="22"/>
          <w:lang w:val="en-AU"/>
        </w:rPr>
        <w:t xml:space="preserve">Item </w:t>
      </w:r>
      <w:r>
        <w:rPr>
          <w:rFonts w:eastAsiaTheme="minorHAnsi"/>
          <w:sz w:val="22"/>
          <w:szCs w:val="22"/>
          <w:lang w:val="en-AU"/>
        </w:rPr>
        <w:t>1</w:t>
      </w:r>
      <w:r w:rsidR="0086059D">
        <w:rPr>
          <w:rFonts w:eastAsiaTheme="minorHAnsi"/>
          <w:sz w:val="22"/>
          <w:szCs w:val="22"/>
          <w:lang w:val="en-AU"/>
        </w:rPr>
        <w:t>3</w:t>
      </w:r>
      <w:r>
        <w:rPr>
          <w:rFonts w:eastAsiaTheme="minorHAnsi"/>
          <w:sz w:val="22"/>
          <w:szCs w:val="22"/>
          <w:lang w:val="en-AU"/>
        </w:rPr>
        <w:t xml:space="preserve"> inserts a new section 4.5</w:t>
      </w:r>
      <w:r w:rsidR="00321A9D">
        <w:rPr>
          <w:rFonts w:eastAsiaTheme="minorHAnsi"/>
          <w:sz w:val="22"/>
          <w:szCs w:val="22"/>
          <w:lang w:val="en-AU"/>
        </w:rPr>
        <w:t xml:space="preserve"> into the Tx RAG</w:t>
      </w:r>
      <w:r>
        <w:rPr>
          <w:rFonts w:eastAsiaTheme="minorHAnsi"/>
          <w:sz w:val="22"/>
          <w:szCs w:val="22"/>
          <w:lang w:val="en-AU"/>
        </w:rPr>
        <w:t xml:space="preserve">. This section </w:t>
      </w:r>
      <w:r w:rsidR="00321A9D">
        <w:rPr>
          <w:rFonts w:eastAsiaTheme="minorHAnsi"/>
          <w:sz w:val="22"/>
          <w:szCs w:val="22"/>
          <w:lang w:val="en-AU"/>
        </w:rPr>
        <w:t xml:space="preserve">sets out </w:t>
      </w:r>
      <w:r>
        <w:rPr>
          <w:rFonts w:eastAsiaTheme="minorHAnsi"/>
          <w:sz w:val="22"/>
          <w:szCs w:val="22"/>
          <w:lang w:val="en-AU"/>
        </w:rPr>
        <w:t xml:space="preserve">the protection requirements that apply to </w:t>
      </w:r>
      <w:r w:rsidR="00FA6738">
        <w:rPr>
          <w:rFonts w:eastAsiaTheme="minorHAnsi"/>
          <w:sz w:val="22"/>
          <w:szCs w:val="22"/>
          <w:lang w:val="en-AU"/>
        </w:rPr>
        <w:t>fixed</w:t>
      </w:r>
      <w:r w:rsidR="004904FC">
        <w:rPr>
          <w:rFonts w:eastAsiaTheme="minorHAnsi"/>
          <w:sz w:val="22"/>
          <w:szCs w:val="22"/>
          <w:lang w:val="en-AU"/>
        </w:rPr>
        <w:t>-</w:t>
      </w:r>
      <w:r w:rsidR="00FA6738">
        <w:rPr>
          <w:rFonts w:eastAsiaTheme="minorHAnsi"/>
          <w:sz w:val="22"/>
          <w:szCs w:val="22"/>
          <w:lang w:val="en-AU"/>
        </w:rPr>
        <w:t>satellite service</w:t>
      </w:r>
      <w:r w:rsidRPr="00F3604A">
        <w:rPr>
          <w:rFonts w:eastAsiaTheme="minorHAnsi"/>
          <w:sz w:val="22"/>
          <w:szCs w:val="22"/>
          <w:lang w:val="en-AU"/>
        </w:rPr>
        <w:t xml:space="preserve"> </w:t>
      </w:r>
      <w:r>
        <w:rPr>
          <w:rFonts w:eastAsiaTheme="minorHAnsi"/>
          <w:sz w:val="22"/>
          <w:szCs w:val="22"/>
          <w:lang w:val="en-AU"/>
        </w:rPr>
        <w:t>e</w:t>
      </w:r>
      <w:r w:rsidRPr="00F3604A">
        <w:rPr>
          <w:rFonts w:eastAsiaTheme="minorHAnsi"/>
          <w:sz w:val="22"/>
          <w:szCs w:val="22"/>
          <w:lang w:val="en-AU"/>
        </w:rPr>
        <w:t>arth receive stations operating in the 3</w:t>
      </w:r>
      <w:r w:rsidR="00321A9D">
        <w:rPr>
          <w:rFonts w:eastAsiaTheme="minorHAnsi"/>
          <w:sz w:val="22"/>
          <w:szCs w:val="22"/>
          <w:lang w:val="en-AU"/>
        </w:rPr>
        <w:t>.</w:t>
      </w:r>
      <w:r w:rsidRPr="00F3604A">
        <w:rPr>
          <w:rFonts w:eastAsiaTheme="minorHAnsi"/>
          <w:sz w:val="22"/>
          <w:szCs w:val="22"/>
          <w:lang w:val="en-AU"/>
        </w:rPr>
        <w:t>75</w:t>
      </w:r>
      <w:r w:rsidR="00321A9D">
        <w:rPr>
          <w:rFonts w:eastAsiaTheme="minorHAnsi"/>
          <w:sz w:val="22"/>
          <w:szCs w:val="22"/>
          <w:lang w:val="en-AU"/>
        </w:rPr>
        <w:t xml:space="preserve"> GHz to </w:t>
      </w:r>
      <w:r w:rsidRPr="00F3604A">
        <w:rPr>
          <w:rFonts w:eastAsiaTheme="minorHAnsi"/>
          <w:sz w:val="22"/>
          <w:szCs w:val="22"/>
          <w:lang w:val="en-AU"/>
        </w:rPr>
        <w:t xml:space="preserve">4 </w:t>
      </w:r>
      <w:r w:rsidR="00321A9D">
        <w:rPr>
          <w:rFonts w:eastAsiaTheme="minorHAnsi"/>
          <w:sz w:val="22"/>
          <w:szCs w:val="22"/>
          <w:lang w:val="en-AU"/>
        </w:rPr>
        <w:t>G</w:t>
      </w:r>
      <w:r w:rsidRPr="00F3604A">
        <w:rPr>
          <w:rFonts w:eastAsiaTheme="minorHAnsi"/>
          <w:sz w:val="22"/>
          <w:szCs w:val="22"/>
          <w:lang w:val="en-AU"/>
        </w:rPr>
        <w:t xml:space="preserve">Hz </w:t>
      </w:r>
      <w:r w:rsidR="00321A9D">
        <w:rPr>
          <w:rFonts w:eastAsiaTheme="minorHAnsi"/>
          <w:sz w:val="22"/>
          <w:szCs w:val="22"/>
          <w:lang w:val="en-AU"/>
        </w:rPr>
        <w:t xml:space="preserve">frequency </w:t>
      </w:r>
      <w:r w:rsidRPr="00F3604A">
        <w:rPr>
          <w:rFonts w:eastAsiaTheme="minorHAnsi"/>
          <w:sz w:val="22"/>
          <w:szCs w:val="22"/>
          <w:lang w:val="en-AU"/>
        </w:rPr>
        <w:t xml:space="preserve">band under </w:t>
      </w:r>
      <w:r w:rsidR="00FA6738">
        <w:rPr>
          <w:rFonts w:eastAsiaTheme="minorHAnsi"/>
          <w:sz w:val="22"/>
          <w:szCs w:val="22"/>
          <w:lang w:val="en-AU"/>
        </w:rPr>
        <w:t xml:space="preserve">an AWL </w:t>
      </w:r>
      <w:proofErr w:type="spellStart"/>
      <w:r w:rsidR="00FA6738">
        <w:rPr>
          <w:rFonts w:eastAsiaTheme="minorHAnsi"/>
          <w:sz w:val="22"/>
          <w:szCs w:val="22"/>
          <w:lang w:val="en-AU"/>
        </w:rPr>
        <w:t>rx</w:t>
      </w:r>
      <w:proofErr w:type="spellEnd"/>
      <w:r>
        <w:rPr>
          <w:rFonts w:eastAsiaTheme="minorHAnsi"/>
          <w:sz w:val="22"/>
          <w:szCs w:val="22"/>
          <w:lang w:val="en-AU"/>
        </w:rPr>
        <w:t xml:space="preserve">. </w:t>
      </w:r>
    </w:p>
    <w:p w14:paraId="6644D99D" w14:textId="7490F832" w:rsidR="00B52255" w:rsidRPr="004E205D" w:rsidRDefault="00E02589" w:rsidP="004E205D">
      <w:pPr>
        <w:rPr>
          <w:rFonts w:eastAsiaTheme="minorHAnsi"/>
          <w:sz w:val="22"/>
          <w:szCs w:val="22"/>
          <w:lang w:val="en-AU"/>
        </w:rPr>
      </w:pPr>
      <w:r>
        <w:rPr>
          <w:rFonts w:eastAsiaTheme="minorHAnsi"/>
          <w:sz w:val="22"/>
          <w:szCs w:val="22"/>
          <w:lang w:val="en-AU"/>
        </w:rPr>
        <w:t>Under</w:t>
      </w:r>
      <w:r w:rsidR="004904FC">
        <w:rPr>
          <w:rFonts w:eastAsiaTheme="minorHAnsi"/>
          <w:sz w:val="22"/>
          <w:szCs w:val="22"/>
          <w:lang w:val="en-AU"/>
        </w:rPr>
        <w:t xml:space="preserve"> new</w:t>
      </w:r>
      <w:r>
        <w:rPr>
          <w:rFonts w:eastAsiaTheme="minorHAnsi"/>
          <w:sz w:val="22"/>
          <w:szCs w:val="22"/>
          <w:lang w:val="en-AU"/>
        </w:rPr>
        <w:t xml:space="preserve"> section 4.5, a</w:t>
      </w:r>
      <w:r w:rsidR="00F3604A">
        <w:rPr>
          <w:rFonts w:eastAsiaTheme="minorHAnsi"/>
          <w:sz w:val="22"/>
          <w:szCs w:val="22"/>
          <w:lang w:val="en-AU"/>
        </w:rPr>
        <w:t>n earth receive</w:t>
      </w:r>
      <w:r w:rsidR="004904FC">
        <w:rPr>
          <w:rFonts w:eastAsiaTheme="minorHAnsi"/>
          <w:sz w:val="22"/>
          <w:szCs w:val="22"/>
          <w:lang w:val="en-AU"/>
        </w:rPr>
        <w:t xml:space="preserve"> station</w:t>
      </w:r>
      <w:r w:rsidR="00F3604A">
        <w:rPr>
          <w:rFonts w:eastAsiaTheme="minorHAnsi"/>
          <w:sz w:val="22"/>
          <w:szCs w:val="22"/>
          <w:lang w:val="en-AU"/>
        </w:rPr>
        <w:t xml:space="preserve"> operating under an</w:t>
      </w:r>
      <w:r w:rsidR="00FA6738">
        <w:rPr>
          <w:rFonts w:eastAsiaTheme="minorHAnsi"/>
          <w:sz w:val="22"/>
          <w:szCs w:val="22"/>
          <w:lang w:val="en-AU"/>
        </w:rPr>
        <w:t xml:space="preserve"> AWL </w:t>
      </w:r>
      <w:proofErr w:type="spellStart"/>
      <w:r w:rsidR="00FA6738">
        <w:rPr>
          <w:rFonts w:eastAsiaTheme="minorHAnsi"/>
          <w:sz w:val="22"/>
          <w:szCs w:val="22"/>
          <w:lang w:val="en-AU"/>
        </w:rPr>
        <w:t>rx</w:t>
      </w:r>
      <w:proofErr w:type="spellEnd"/>
      <w:r w:rsidR="00FA6738">
        <w:rPr>
          <w:rFonts w:eastAsiaTheme="minorHAnsi"/>
          <w:sz w:val="22"/>
          <w:szCs w:val="22"/>
          <w:lang w:val="en-AU"/>
        </w:rPr>
        <w:t xml:space="preserve"> </w:t>
      </w:r>
      <w:r w:rsidR="006725CA">
        <w:rPr>
          <w:rFonts w:eastAsiaTheme="minorHAnsi"/>
          <w:sz w:val="22"/>
          <w:szCs w:val="22"/>
          <w:lang w:val="en-AU"/>
        </w:rPr>
        <w:t>will be</w:t>
      </w:r>
      <w:r w:rsidR="00F3604A">
        <w:rPr>
          <w:rFonts w:eastAsiaTheme="minorHAnsi"/>
          <w:sz w:val="22"/>
          <w:szCs w:val="22"/>
          <w:lang w:val="en-AU"/>
        </w:rPr>
        <w:t xml:space="preserve"> provided protection from receiver overload</w:t>
      </w:r>
      <w:r w:rsidR="00FF4C1A">
        <w:rPr>
          <w:rFonts w:eastAsiaTheme="minorHAnsi"/>
          <w:sz w:val="22"/>
          <w:szCs w:val="22"/>
          <w:lang w:val="en-AU"/>
        </w:rPr>
        <w:t xml:space="preserve"> from </w:t>
      </w:r>
      <w:r w:rsidR="006725CA">
        <w:rPr>
          <w:rFonts w:eastAsiaTheme="minorHAnsi"/>
          <w:sz w:val="22"/>
          <w:szCs w:val="22"/>
          <w:lang w:val="en-AU"/>
        </w:rPr>
        <w:t xml:space="preserve">3.4 GHz </w:t>
      </w:r>
      <w:r w:rsidR="00FF4C1A" w:rsidRPr="00FF4C1A">
        <w:rPr>
          <w:rFonts w:eastAsiaTheme="minorHAnsi"/>
          <w:sz w:val="22"/>
          <w:szCs w:val="22"/>
          <w:lang w:val="en-AU"/>
        </w:rPr>
        <w:t>transmitters</w:t>
      </w:r>
      <w:r w:rsidR="006725CA">
        <w:rPr>
          <w:rFonts w:eastAsiaTheme="minorHAnsi"/>
          <w:sz w:val="22"/>
          <w:szCs w:val="22"/>
          <w:lang w:val="en-AU"/>
        </w:rPr>
        <w:t xml:space="preserve"> where the receiver was </w:t>
      </w:r>
      <w:r w:rsidR="00636FF9">
        <w:rPr>
          <w:rFonts w:eastAsiaTheme="minorHAnsi"/>
          <w:sz w:val="22"/>
          <w:szCs w:val="22"/>
          <w:lang w:val="en-AU"/>
        </w:rPr>
        <w:t>included in the Register before the transmitter, and where the receiver is within 100 kilometres of the transmitter</w:t>
      </w:r>
      <w:r w:rsidR="00F3604A">
        <w:rPr>
          <w:rFonts w:eastAsiaTheme="minorHAnsi"/>
          <w:sz w:val="22"/>
          <w:szCs w:val="22"/>
          <w:lang w:val="en-AU"/>
        </w:rPr>
        <w:t xml:space="preserve">. </w:t>
      </w:r>
      <w:r w:rsidR="00F538AA">
        <w:rPr>
          <w:rFonts w:eastAsiaTheme="minorHAnsi"/>
          <w:sz w:val="22"/>
          <w:szCs w:val="22"/>
          <w:lang w:val="en-AU"/>
        </w:rPr>
        <w:t xml:space="preserve">The protection to be provided is set by reference to the total power received from the transmitter at the input of the earth receive </w:t>
      </w:r>
      <w:proofErr w:type="gramStart"/>
      <w:r w:rsidR="00F538AA">
        <w:rPr>
          <w:rFonts w:eastAsiaTheme="minorHAnsi"/>
          <w:sz w:val="22"/>
          <w:szCs w:val="22"/>
          <w:lang w:val="en-AU"/>
        </w:rPr>
        <w:t>station</w:t>
      </w:r>
      <w:r w:rsidR="004904FC">
        <w:rPr>
          <w:rFonts w:eastAsiaTheme="minorHAnsi"/>
          <w:sz w:val="22"/>
          <w:szCs w:val="22"/>
          <w:lang w:val="en-AU"/>
        </w:rPr>
        <w:t>, and</w:t>
      </w:r>
      <w:proofErr w:type="gramEnd"/>
      <w:r w:rsidR="004904FC">
        <w:rPr>
          <w:rFonts w:eastAsiaTheme="minorHAnsi"/>
          <w:sz w:val="22"/>
          <w:szCs w:val="22"/>
          <w:lang w:val="en-AU"/>
        </w:rPr>
        <w:t xml:space="preserve"> assumes a minimum RF filtering level applies in relation to the earth receive station. Section 4.5 also </w:t>
      </w:r>
      <w:r w:rsidR="00FF4C1A">
        <w:rPr>
          <w:rFonts w:eastAsiaTheme="minorHAnsi"/>
          <w:sz w:val="22"/>
          <w:szCs w:val="22"/>
          <w:lang w:val="en-AU"/>
        </w:rPr>
        <w:t xml:space="preserve">provides </w:t>
      </w:r>
      <w:r w:rsidR="0036207C">
        <w:rPr>
          <w:rFonts w:eastAsiaTheme="minorHAnsi"/>
          <w:sz w:val="22"/>
          <w:szCs w:val="22"/>
          <w:lang w:val="en-AU"/>
        </w:rPr>
        <w:t xml:space="preserve">further guidance on how to assess interference caused by receiver overload. </w:t>
      </w:r>
    </w:p>
    <w:sectPr w:rsidR="00B52255" w:rsidRPr="004E205D" w:rsidSect="0074067F">
      <w:headerReference w:type="even" r:id="rId16"/>
      <w:headerReference w:type="default" r:id="rId17"/>
      <w:footerReference w:type="defaul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BE563" w14:textId="77777777" w:rsidR="00B07BE9" w:rsidRDefault="00B07BE9">
      <w:r>
        <w:separator/>
      </w:r>
    </w:p>
  </w:endnote>
  <w:endnote w:type="continuationSeparator" w:id="0">
    <w:p w14:paraId="3F86A7C9" w14:textId="77777777" w:rsidR="00B07BE9" w:rsidRDefault="00B07BE9">
      <w:r>
        <w:continuationSeparator/>
      </w:r>
    </w:p>
  </w:endnote>
  <w:endnote w:type="continuationNotice" w:id="1">
    <w:p w14:paraId="3F7B2B20" w14:textId="77777777" w:rsidR="00B07BE9" w:rsidRDefault="00B07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484710804"/>
      <w:docPartObj>
        <w:docPartGallery w:val="Page Numbers (Bottom of Page)"/>
        <w:docPartUnique/>
      </w:docPartObj>
    </w:sdtPr>
    <w:sdtEndPr>
      <w:rPr>
        <w:i/>
        <w:noProof/>
      </w:rPr>
    </w:sdtEndPr>
    <w:sdtContent>
      <w:p w14:paraId="33EB6341" w14:textId="384CA35B" w:rsidR="00B61188" w:rsidRPr="001248D7" w:rsidRDefault="00B61188" w:rsidP="00B3129C">
        <w:pPr>
          <w:pStyle w:val="Footer"/>
          <w:pBdr>
            <w:top w:val="single" w:sz="4" w:space="1" w:color="auto"/>
          </w:pBdr>
          <w:jc w:val="center"/>
          <w:rPr>
            <w:sz w:val="22"/>
            <w:szCs w:val="22"/>
          </w:rPr>
        </w:pPr>
        <w:r w:rsidRPr="001248D7">
          <w:rPr>
            <w:i/>
            <w:sz w:val="22"/>
            <w:szCs w:val="22"/>
          </w:rPr>
          <w:t>Explanatory Statement to the</w:t>
        </w:r>
        <w:r w:rsidRPr="001248D7">
          <w:rPr>
            <w:sz w:val="22"/>
            <w:szCs w:val="22"/>
          </w:rPr>
          <w:t xml:space="preserve"> </w:t>
        </w:r>
        <w:r w:rsidR="00236423">
          <w:rPr>
            <w:i/>
            <w:sz w:val="22"/>
            <w:szCs w:val="22"/>
          </w:rPr>
          <w:t>Radiocommunications Advisory Guidelines (Managing Interference from Spectrum Licensed Transmitters – 3.4 GHz Band) Variation 2023 (No. 2)</w:t>
        </w:r>
      </w:p>
      <w:p w14:paraId="684B915F" w14:textId="77777777" w:rsidR="00B61188" w:rsidRPr="001248D7" w:rsidRDefault="00B61188" w:rsidP="00B61188">
        <w:pPr>
          <w:pStyle w:val="Footer"/>
          <w:jc w:val="right"/>
          <w:rPr>
            <w:sz w:val="22"/>
            <w:szCs w:val="22"/>
          </w:rPr>
        </w:pPr>
      </w:p>
      <w:p w14:paraId="3614E4C5" w14:textId="77777777" w:rsidR="00B61188" w:rsidRPr="001248D7" w:rsidRDefault="00B61188" w:rsidP="00B61188">
        <w:pPr>
          <w:pStyle w:val="Footer"/>
          <w:jc w:val="right"/>
          <w:rPr>
            <w:i/>
            <w:sz w:val="22"/>
            <w:szCs w:val="22"/>
          </w:rPr>
        </w:pPr>
        <w:r w:rsidRPr="001248D7">
          <w:rPr>
            <w:i/>
            <w:sz w:val="22"/>
            <w:szCs w:val="22"/>
          </w:rPr>
          <w:fldChar w:fldCharType="begin"/>
        </w:r>
        <w:r w:rsidRPr="001248D7">
          <w:rPr>
            <w:i/>
            <w:sz w:val="22"/>
            <w:szCs w:val="22"/>
          </w:rPr>
          <w:instrText xml:space="preserve"> PAGE   \* MERGEFORMAT </w:instrText>
        </w:r>
        <w:r w:rsidRPr="001248D7">
          <w:rPr>
            <w:i/>
            <w:sz w:val="22"/>
            <w:szCs w:val="22"/>
          </w:rPr>
          <w:fldChar w:fldCharType="separate"/>
        </w:r>
        <w:r w:rsidRPr="001248D7">
          <w:rPr>
            <w:i/>
            <w:sz w:val="22"/>
            <w:szCs w:val="22"/>
          </w:rPr>
          <w:t>8</w:t>
        </w:r>
        <w:r w:rsidRPr="001248D7">
          <w:rPr>
            <w: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92" w14:textId="77777777" w:rsidR="00282ED3" w:rsidRDefault="00282ED3" w:rsidP="00B32F2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C32ED" w14:textId="77777777" w:rsidR="00B07BE9" w:rsidRDefault="00B07BE9">
      <w:r>
        <w:separator/>
      </w:r>
    </w:p>
  </w:footnote>
  <w:footnote w:type="continuationSeparator" w:id="0">
    <w:p w14:paraId="05D40FFC" w14:textId="77777777" w:rsidR="00B07BE9" w:rsidRDefault="00B07BE9">
      <w:r>
        <w:continuationSeparator/>
      </w:r>
    </w:p>
  </w:footnote>
  <w:footnote w:type="continuationNotice" w:id="1">
    <w:p w14:paraId="4C46C95F" w14:textId="77777777" w:rsidR="00B07BE9" w:rsidRDefault="00B07B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8C" w14:textId="77777777" w:rsidR="00282ED3" w:rsidRDefault="00E76C4B" w:rsidP="00A844EF">
    <w:pPr>
      <w:pStyle w:val="Header"/>
      <w:framePr w:wrap="around" w:vAnchor="text" w:hAnchor="margin" w:xAlign="center" w:y="1"/>
      <w:rPr>
        <w:rStyle w:val="PageNumber"/>
      </w:rPr>
    </w:pPr>
    <w:r>
      <w:rPr>
        <w:rStyle w:val="PageNumber"/>
      </w:rPr>
      <w:fldChar w:fldCharType="begin"/>
    </w:r>
    <w:r w:rsidR="00282ED3">
      <w:rPr>
        <w:rStyle w:val="PageNumber"/>
      </w:rPr>
      <w:instrText xml:space="preserve">PAGE  </w:instrText>
    </w:r>
    <w:r>
      <w:rPr>
        <w:rStyle w:val="PageNumber"/>
      </w:rPr>
      <w:fldChar w:fldCharType="end"/>
    </w:r>
  </w:p>
  <w:p w14:paraId="50C8E68D" w14:textId="77777777" w:rsidR="00282ED3" w:rsidRDefault="00282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90" w14:textId="77777777" w:rsidR="00282ED3" w:rsidRDefault="00282ED3" w:rsidP="00E72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6EE6A0"/>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06650A7E"/>
    <w:multiLevelType w:val="hybridMultilevel"/>
    <w:tmpl w:val="6A92B926"/>
    <w:lvl w:ilvl="0" w:tplc="169CD86C">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C62B81"/>
    <w:multiLevelType w:val="hybridMultilevel"/>
    <w:tmpl w:val="5C907C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1004B8"/>
    <w:multiLevelType w:val="hybridMultilevel"/>
    <w:tmpl w:val="4DECB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AD503B"/>
    <w:multiLevelType w:val="hybridMultilevel"/>
    <w:tmpl w:val="641E5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44188F"/>
    <w:multiLevelType w:val="hybridMultilevel"/>
    <w:tmpl w:val="9A04F2E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3AA16EF"/>
    <w:multiLevelType w:val="hybridMultilevel"/>
    <w:tmpl w:val="FF700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0F2E27"/>
    <w:multiLevelType w:val="hybridMultilevel"/>
    <w:tmpl w:val="9F8C4F4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15522D8B"/>
    <w:multiLevelType w:val="hybridMultilevel"/>
    <w:tmpl w:val="BF84E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7A0915"/>
    <w:multiLevelType w:val="hybridMultilevel"/>
    <w:tmpl w:val="E236B6CA"/>
    <w:lvl w:ilvl="0" w:tplc="0C090001">
      <w:start w:val="1"/>
      <w:numFmt w:val="bullet"/>
      <w:lvlText w:val=""/>
      <w:lvlJc w:val="left"/>
      <w:pPr>
        <w:ind w:left="720" w:hanging="360"/>
      </w:pPr>
      <w:rPr>
        <w:rFonts w:ascii="Symbol" w:hAnsi="Symbol" w:hint="default"/>
      </w:rPr>
    </w:lvl>
    <w:lvl w:ilvl="1" w:tplc="FB9AD79A">
      <w:numFmt w:val="bullet"/>
      <w:lvlText w:val="•"/>
      <w:lvlJc w:val="left"/>
      <w:pPr>
        <w:ind w:left="1650" w:hanging="57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B76651"/>
    <w:multiLevelType w:val="hybridMultilevel"/>
    <w:tmpl w:val="17325C28"/>
    <w:lvl w:ilvl="0" w:tplc="0C090001">
      <w:start w:val="1"/>
      <w:numFmt w:val="bullet"/>
      <w:lvlText w:val=""/>
      <w:lvlJc w:val="left"/>
      <w:pPr>
        <w:ind w:left="720" w:hanging="360"/>
      </w:pPr>
      <w:rPr>
        <w:rFonts w:ascii="Symbol" w:hAnsi="Symbol" w:hint="default"/>
      </w:rPr>
    </w:lvl>
    <w:lvl w:ilvl="1" w:tplc="622244EA">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2A66FE"/>
    <w:multiLevelType w:val="hybridMultilevel"/>
    <w:tmpl w:val="FC8E7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522583"/>
    <w:multiLevelType w:val="hybridMultilevel"/>
    <w:tmpl w:val="A802D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AF2050"/>
    <w:multiLevelType w:val="hybridMultilevel"/>
    <w:tmpl w:val="A6DE2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382D6D"/>
    <w:multiLevelType w:val="hybridMultilevel"/>
    <w:tmpl w:val="F634C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7A1304"/>
    <w:multiLevelType w:val="hybridMultilevel"/>
    <w:tmpl w:val="6C324100"/>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7" w15:restartNumberingAfterBreak="0">
    <w:nsid w:val="3EB731DF"/>
    <w:multiLevelType w:val="hybridMultilevel"/>
    <w:tmpl w:val="D6922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F05D61"/>
    <w:multiLevelType w:val="hybridMultilevel"/>
    <w:tmpl w:val="2BA6F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9A4280"/>
    <w:multiLevelType w:val="hybridMultilevel"/>
    <w:tmpl w:val="EEDAC99E"/>
    <w:lvl w:ilvl="0" w:tplc="FE9EAA6A">
      <w:start w:val="1"/>
      <w:numFmt w:val="bullet"/>
      <w:lvlText w:val="&gt;"/>
      <w:lvlJc w:val="left"/>
      <w:pPr>
        <w:ind w:left="720" w:hanging="360"/>
      </w:pPr>
      <w:rPr>
        <w:rFonts w:ascii="Vrinda" w:hAnsi="Vrinda" w:hint="default"/>
        <w:b w:val="0"/>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98579E"/>
    <w:multiLevelType w:val="hybridMultilevel"/>
    <w:tmpl w:val="2D64A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8C0BF1"/>
    <w:multiLevelType w:val="hybridMultilevel"/>
    <w:tmpl w:val="82C08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4F513E"/>
    <w:multiLevelType w:val="hybridMultilevel"/>
    <w:tmpl w:val="E03843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50D36867"/>
    <w:multiLevelType w:val="hybridMultilevel"/>
    <w:tmpl w:val="1A5A4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907EA3"/>
    <w:multiLevelType w:val="hybridMultilevel"/>
    <w:tmpl w:val="32B83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2E03CE"/>
    <w:multiLevelType w:val="hybridMultilevel"/>
    <w:tmpl w:val="5FE8B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950448"/>
    <w:multiLevelType w:val="hybridMultilevel"/>
    <w:tmpl w:val="EFDAF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C23F46"/>
    <w:multiLevelType w:val="hybridMultilevel"/>
    <w:tmpl w:val="367C8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C078AF"/>
    <w:multiLevelType w:val="hybridMultilevel"/>
    <w:tmpl w:val="334C4F2A"/>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9" w15:restartNumberingAfterBreak="0">
    <w:nsid w:val="7A1A1A8E"/>
    <w:multiLevelType w:val="hybridMultilevel"/>
    <w:tmpl w:val="F6F60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A658E1"/>
    <w:multiLevelType w:val="hybridMultilevel"/>
    <w:tmpl w:val="D99A86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3C7318"/>
    <w:multiLevelType w:val="hybridMultilevel"/>
    <w:tmpl w:val="4DD65D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5780629">
    <w:abstractNumId w:val="10"/>
  </w:num>
  <w:num w:numId="2" w16cid:durableId="709693466">
    <w:abstractNumId w:val="0"/>
  </w:num>
  <w:num w:numId="3" w16cid:durableId="395933026">
    <w:abstractNumId w:val="9"/>
  </w:num>
  <w:num w:numId="4" w16cid:durableId="529225892">
    <w:abstractNumId w:val="12"/>
  </w:num>
  <w:num w:numId="5" w16cid:durableId="116798110">
    <w:abstractNumId w:val="22"/>
  </w:num>
  <w:num w:numId="6" w16cid:durableId="1199128634">
    <w:abstractNumId w:val="11"/>
  </w:num>
  <w:num w:numId="7" w16cid:durableId="1967346348">
    <w:abstractNumId w:val="29"/>
  </w:num>
  <w:num w:numId="8" w16cid:durableId="1904294734">
    <w:abstractNumId w:val="27"/>
  </w:num>
  <w:num w:numId="9" w16cid:durableId="2007317117">
    <w:abstractNumId w:val="25"/>
  </w:num>
  <w:num w:numId="10" w16cid:durableId="318390601">
    <w:abstractNumId w:val="14"/>
  </w:num>
  <w:num w:numId="11" w16cid:durableId="676687736">
    <w:abstractNumId w:val="19"/>
  </w:num>
  <w:num w:numId="12" w16cid:durableId="821625536">
    <w:abstractNumId w:val="30"/>
  </w:num>
  <w:num w:numId="13" w16cid:durableId="278417698">
    <w:abstractNumId w:val="20"/>
  </w:num>
  <w:num w:numId="14" w16cid:durableId="112555104">
    <w:abstractNumId w:val="3"/>
  </w:num>
  <w:num w:numId="15" w16cid:durableId="1263882352">
    <w:abstractNumId w:val="17"/>
  </w:num>
  <w:num w:numId="16" w16cid:durableId="792137217">
    <w:abstractNumId w:val="8"/>
  </w:num>
  <w:num w:numId="17" w16cid:durableId="747652329">
    <w:abstractNumId w:val="13"/>
  </w:num>
  <w:num w:numId="18" w16cid:durableId="1556233084">
    <w:abstractNumId w:val="24"/>
  </w:num>
  <w:num w:numId="19" w16cid:durableId="2144885022">
    <w:abstractNumId w:val="5"/>
  </w:num>
  <w:num w:numId="20" w16cid:durableId="935478869">
    <w:abstractNumId w:val="31"/>
  </w:num>
  <w:num w:numId="21" w16cid:durableId="1683432787">
    <w:abstractNumId w:val="7"/>
  </w:num>
  <w:num w:numId="22" w16cid:durableId="472721146">
    <w:abstractNumId w:val="2"/>
  </w:num>
  <w:num w:numId="23" w16cid:durableId="531309385">
    <w:abstractNumId w:val="23"/>
  </w:num>
  <w:num w:numId="24" w16cid:durableId="1940020845">
    <w:abstractNumId w:val="18"/>
  </w:num>
  <w:num w:numId="25" w16cid:durableId="1816801478">
    <w:abstractNumId w:val="28"/>
  </w:num>
  <w:num w:numId="26" w16cid:durableId="822162447">
    <w:abstractNumId w:val="26"/>
  </w:num>
  <w:num w:numId="27" w16cid:durableId="78529243">
    <w:abstractNumId w:val="1"/>
  </w:num>
  <w:num w:numId="28" w16cid:durableId="218516516">
    <w:abstractNumId w:val="15"/>
  </w:num>
  <w:num w:numId="29" w16cid:durableId="1961376763">
    <w:abstractNumId w:val="21"/>
  </w:num>
  <w:num w:numId="30" w16cid:durableId="1544170902">
    <w:abstractNumId w:val="4"/>
  </w:num>
  <w:num w:numId="31" w16cid:durableId="68695224">
    <w:abstractNumId w:val="16"/>
  </w:num>
  <w:num w:numId="32" w16cid:durableId="161856413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22"/>
    <w:rsid w:val="00000B33"/>
    <w:rsid w:val="00000DDD"/>
    <w:rsid w:val="00000FD1"/>
    <w:rsid w:val="000012FF"/>
    <w:rsid w:val="0000159F"/>
    <w:rsid w:val="00002F35"/>
    <w:rsid w:val="0000300B"/>
    <w:rsid w:val="00003275"/>
    <w:rsid w:val="0000334E"/>
    <w:rsid w:val="00003C3A"/>
    <w:rsid w:val="00004CA2"/>
    <w:rsid w:val="00005643"/>
    <w:rsid w:val="0000677B"/>
    <w:rsid w:val="0000723C"/>
    <w:rsid w:val="00007C8D"/>
    <w:rsid w:val="000103B8"/>
    <w:rsid w:val="00011D6B"/>
    <w:rsid w:val="00015FE1"/>
    <w:rsid w:val="00016BA2"/>
    <w:rsid w:val="00016E97"/>
    <w:rsid w:val="000172EF"/>
    <w:rsid w:val="0001739F"/>
    <w:rsid w:val="00017D48"/>
    <w:rsid w:val="00020269"/>
    <w:rsid w:val="00020486"/>
    <w:rsid w:val="00020E56"/>
    <w:rsid w:val="000216BD"/>
    <w:rsid w:val="000217CD"/>
    <w:rsid w:val="0002223D"/>
    <w:rsid w:val="000227EC"/>
    <w:rsid w:val="00023C08"/>
    <w:rsid w:val="00024211"/>
    <w:rsid w:val="0002578F"/>
    <w:rsid w:val="00025D13"/>
    <w:rsid w:val="00026CD0"/>
    <w:rsid w:val="00027F51"/>
    <w:rsid w:val="000301AF"/>
    <w:rsid w:val="0003025D"/>
    <w:rsid w:val="00031B78"/>
    <w:rsid w:val="00031C4C"/>
    <w:rsid w:val="00032B32"/>
    <w:rsid w:val="000351AE"/>
    <w:rsid w:val="00035C5D"/>
    <w:rsid w:val="00035F4F"/>
    <w:rsid w:val="00036086"/>
    <w:rsid w:val="00036517"/>
    <w:rsid w:val="00036679"/>
    <w:rsid w:val="00036B07"/>
    <w:rsid w:val="00036C29"/>
    <w:rsid w:val="0004006B"/>
    <w:rsid w:val="00040B05"/>
    <w:rsid w:val="00041085"/>
    <w:rsid w:val="0004150F"/>
    <w:rsid w:val="0004274A"/>
    <w:rsid w:val="00042E04"/>
    <w:rsid w:val="00043812"/>
    <w:rsid w:val="00043BC7"/>
    <w:rsid w:val="000440AD"/>
    <w:rsid w:val="00044FC5"/>
    <w:rsid w:val="0004615A"/>
    <w:rsid w:val="00046969"/>
    <w:rsid w:val="00051A91"/>
    <w:rsid w:val="0005238F"/>
    <w:rsid w:val="0005280F"/>
    <w:rsid w:val="00052DB6"/>
    <w:rsid w:val="00053255"/>
    <w:rsid w:val="0005491A"/>
    <w:rsid w:val="000553D9"/>
    <w:rsid w:val="00055D15"/>
    <w:rsid w:val="0005753F"/>
    <w:rsid w:val="000607EC"/>
    <w:rsid w:val="000609D9"/>
    <w:rsid w:val="0006192F"/>
    <w:rsid w:val="00062506"/>
    <w:rsid w:val="00063554"/>
    <w:rsid w:val="00065340"/>
    <w:rsid w:val="00067732"/>
    <w:rsid w:val="00067E20"/>
    <w:rsid w:val="00070531"/>
    <w:rsid w:val="00070A52"/>
    <w:rsid w:val="00071462"/>
    <w:rsid w:val="00072306"/>
    <w:rsid w:val="00072549"/>
    <w:rsid w:val="000727E2"/>
    <w:rsid w:val="00073B86"/>
    <w:rsid w:val="00073D96"/>
    <w:rsid w:val="00074D4B"/>
    <w:rsid w:val="000760FB"/>
    <w:rsid w:val="000765FA"/>
    <w:rsid w:val="00076E3A"/>
    <w:rsid w:val="0008189C"/>
    <w:rsid w:val="0008247D"/>
    <w:rsid w:val="00082EB4"/>
    <w:rsid w:val="00083B96"/>
    <w:rsid w:val="00084D8E"/>
    <w:rsid w:val="00086091"/>
    <w:rsid w:val="000860AD"/>
    <w:rsid w:val="0009063F"/>
    <w:rsid w:val="000907DE"/>
    <w:rsid w:val="00090C67"/>
    <w:rsid w:val="00091D2E"/>
    <w:rsid w:val="00093281"/>
    <w:rsid w:val="000949BF"/>
    <w:rsid w:val="00096FB8"/>
    <w:rsid w:val="000A0E4B"/>
    <w:rsid w:val="000A2A3F"/>
    <w:rsid w:val="000A2AE5"/>
    <w:rsid w:val="000A31B6"/>
    <w:rsid w:val="000A3641"/>
    <w:rsid w:val="000A4D28"/>
    <w:rsid w:val="000A50D4"/>
    <w:rsid w:val="000A5293"/>
    <w:rsid w:val="000A6A9B"/>
    <w:rsid w:val="000A72F1"/>
    <w:rsid w:val="000A78D9"/>
    <w:rsid w:val="000A79B8"/>
    <w:rsid w:val="000A7A3F"/>
    <w:rsid w:val="000A7E3B"/>
    <w:rsid w:val="000B006C"/>
    <w:rsid w:val="000B1051"/>
    <w:rsid w:val="000B1260"/>
    <w:rsid w:val="000B193B"/>
    <w:rsid w:val="000B2131"/>
    <w:rsid w:val="000B2834"/>
    <w:rsid w:val="000B2A36"/>
    <w:rsid w:val="000B2A91"/>
    <w:rsid w:val="000B32D4"/>
    <w:rsid w:val="000B3A34"/>
    <w:rsid w:val="000B3C58"/>
    <w:rsid w:val="000B3F4F"/>
    <w:rsid w:val="000B46E0"/>
    <w:rsid w:val="000B4E1D"/>
    <w:rsid w:val="000B50FE"/>
    <w:rsid w:val="000B69A3"/>
    <w:rsid w:val="000B6FE3"/>
    <w:rsid w:val="000B785D"/>
    <w:rsid w:val="000C0D48"/>
    <w:rsid w:val="000C14FE"/>
    <w:rsid w:val="000C2443"/>
    <w:rsid w:val="000C2BDB"/>
    <w:rsid w:val="000C2FEA"/>
    <w:rsid w:val="000C3067"/>
    <w:rsid w:val="000C4BE2"/>
    <w:rsid w:val="000C50E2"/>
    <w:rsid w:val="000C536A"/>
    <w:rsid w:val="000C6E02"/>
    <w:rsid w:val="000C7244"/>
    <w:rsid w:val="000C7E17"/>
    <w:rsid w:val="000D02FC"/>
    <w:rsid w:val="000D0461"/>
    <w:rsid w:val="000D0EA1"/>
    <w:rsid w:val="000D1186"/>
    <w:rsid w:val="000D1326"/>
    <w:rsid w:val="000D432B"/>
    <w:rsid w:val="000D454D"/>
    <w:rsid w:val="000D4FF8"/>
    <w:rsid w:val="000D61AC"/>
    <w:rsid w:val="000D68D5"/>
    <w:rsid w:val="000D767B"/>
    <w:rsid w:val="000D797B"/>
    <w:rsid w:val="000E2388"/>
    <w:rsid w:val="000E272D"/>
    <w:rsid w:val="000E2AC9"/>
    <w:rsid w:val="000E2CEB"/>
    <w:rsid w:val="000E2E41"/>
    <w:rsid w:val="000E312C"/>
    <w:rsid w:val="000E3954"/>
    <w:rsid w:val="000E44D2"/>
    <w:rsid w:val="000E4B1B"/>
    <w:rsid w:val="000E522E"/>
    <w:rsid w:val="000E526B"/>
    <w:rsid w:val="000E5636"/>
    <w:rsid w:val="000E5F17"/>
    <w:rsid w:val="000E706C"/>
    <w:rsid w:val="000E7688"/>
    <w:rsid w:val="000E7BC7"/>
    <w:rsid w:val="000E7BE6"/>
    <w:rsid w:val="000F058D"/>
    <w:rsid w:val="000F0692"/>
    <w:rsid w:val="000F0EB6"/>
    <w:rsid w:val="000F145B"/>
    <w:rsid w:val="000F1F80"/>
    <w:rsid w:val="000F37C3"/>
    <w:rsid w:val="000F61D8"/>
    <w:rsid w:val="000F66BE"/>
    <w:rsid w:val="000F6A00"/>
    <w:rsid w:val="000F7B2C"/>
    <w:rsid w:val="000F7DDD"/>
    <w:rsid w:val="000F7F3A"/>
    <w:rsid w:val="001002A8"/>
    <w:rsid w:val="001005A2"/>
    <w:rsid w:val="001019FD"/>
    <w:rsid w:val="00102841"/>
    <w:rsid w:val="0010318C"/>
    <w:rsid w:val="00103352"/>
    <w:rsid w:val="001037A5"/>
    <w:rsid w:val="001040ED"/>
    <w:rsid w:val="00105943"/>
    <w:rsid w:val="00105C36"/>
    <w:rsid w:val="0010765F"/>
    <w:rsid w:val="00107C9C"/>
    <w:rsid w:val="0011084F"/>
    <w:rsid w:val="00110856"/>
    <w:rsid w:val="00110CBF"/>
    <w:rsid w:val="00111D3B"/>
    <w:rsid w:val="001127B6"/>
    <w:rsid w:val="001127FD"/>
    <w:rsid w:val="001130BC"/>
    <w:rsid w:val="001139F5"/>
    <w:rsid w:val="00113D11"/>
    <w:rsid w:val="00113FC2"/>
    <w:rsid w:val="0011424C"/>
    <w:rsid w:val="00115084"/>
    <w:rsid w:val="001150B0"/>
    <w:rsid w:val="001153B2"/>
    <w:rsid w:val="00115C39"/>
    <w:rsid w:val="001162E1"/>
    <w:rsid w:val="00122FA0"/>
    <w:rsid w:val="001230F9"/>
    <w:rsid w:val="0012342D"/>
    <w:rsid w:val="00123ADF"/>
    <w:rsid w:val="00123DFD"/>
    <w:rsid w:val="001240A3"/>
    <w:rsid w:val="001244AE"/>
    <w:rsid w:val="00124589"/>
    <w:rsid w:val="001248D7"/>
    <w:rsid w:val="00124941"/>
    <w:rsid w:val="00124A67"/>
    <w:rsid w:val="001250A7"/>
    <w:rsid w:val="00125A68"/>
    <w:rsid w:val="00125F8E"/>
    <w:rsid w:val="001264EA"/>
    <w:rsid w:val="00126FD0"/>
    <w:rsid w:val="00127A86"/>
    <w:rsid w:val="0013084C"/>
    <w:rsid w:val="00132C1F"/>
    <w:rsid w:val="0013397B"/>
    <w:rsid w:val="001345A0"/>
    <w:rsid w:val="00134A4B"/>
    <w:rsid w:val="001358C8"/>
    <w:rsid w:val="00135A6D"/>
    <w:rsid w:val="00135C37"/>
    <w:rsid w:val="00135CCA"/>
    <w:rsid w:val="00136E45"/>
    <w:rsid w:val="001371BA"/>
    <w:rsid w:val="00137CE6"/>
    <w:rsid w:val="00137EBF"/>
    <w:rsid w:val="001405F3"/>
    <w:rsid w:val="00141392"/>
    <w:rsid w:val="001421F8"/>
    <w:rsid w:val="00142B57"/>
    <w:rsid w:val="0014336A"/>
    <w:rsid w:val="001437DC"/>
    <w:rsid w:val="00144603"/>
    <w:rsid w:val="00145166"/>
    <w:rsid w:val="0014565B"/>
    <w:rsid w:val="001456A0"/>
    <w:rsid w:val="00145D65"/>
    <w:rsid w:val="001466B6"/>
    <w:rsid w:val="001469CC"/>
    <w:rsid w:val="00146BB4"/>
    <w:rsid w:val="00147015"/>
    <w:rsid w:val="00147CE2"/>
    <w:rsid w:val="00150395"/>
    <w:rsid w:val="00150A55"/>
    <w:rsid w:val="001522E5"/>
    <w:rsid w:val="0015258F"/>
    <w:rsid w:val="00152805"/>
    <w:rsid w:val="00153F0C"/>
    <w:rsid w:val="0015572E"/>
    <w:rsid w:val="001600E1"/>
    <w:rsid w:val="0016042C"/>
    <w:rsid w:val="001611E0"/>
    <w:rsid w:val="00161DE7"/>
    <w:rsid w:val="0016268C"/>
    <w:rsid w:val="00162CC3"/>
    <w:rsid w:val="001631C5"/>
    <w:rsid w:val="00163883"/>
    <w:rsid w:val="00165E54"/>
    <w:rsid w:val="00166A8A"/>
    <w:rsid w:val="001673DE"/>
    <w:rsid w:val="00170D27"/>
    <w:rsid w:val="00171504"/>
    <w:rsid w:val="001716D9"/>
    <w:rsid w:val="001716E2"/>
    <w:rsid w:val="001718C1"/>
    <w:rsid w:val="0017393E"/>
    <w:rsid w:val="00175F46"/>
    <w:rsid w:val="0017678C"/>
    <w:rsid w:val="001767FA"/>
    <w:rsid w:val="00176E4D"/>
    <w:rsid w:val="001771F9"/>
    <w:rsid w:val="001777D7"/>
    <w:rsid w:val="00177AFD"/>
    <w:rsid w:val="001802C0"/>
    <w:rsid w:val="0018129A"/>
    <w:rsid w:val="00181E1C"/>
    <w:rsid w:val="0018250D"/>
    <w:rsid w:val="00182606"/>
    <w:rsid w:val="001847A6"/>
    <w:rsid w:val="00185301"/>
    <w:rsid w:val="00186744"/>
    <w:rsid w:val="001868F6"/>
    <w:rsid w:val="001877FB"/>
    <w:rsid w:val="001901D9"/>
    <w:rsid w:val="001902C1"/>
    <w:rsid w:val="00191769"/>
    <w:rsid w:val="00191C04"/>
    <w:rsid w:val="0019282E"/>
    <w:rsid w:val="00193000"/>
    <w:rsid w:val="001939F0"/>
    <w:rsid w:val="00193CCB"/>
    <w:rsid w:val="00193EB6"/>
    <w:rsid w:val="00194052"/>
    <w:rsid w:val="001951BD"/>
    <w:rsid w:val="0019576A"/>
    <w:rsid w:val="00195A9C"/>
    <w:rsid w:val="00195D01"/>
    <w:rsid w:val="00197574"/>
    <w:rsid w:val="001A084F"/>
    <w:rsid w:val="001A094E"/>
    <w:rsid w:val="001A0B8E"/>
    <w:rsid w:val="001A0C51"/>
    <w:rsid w:val="001A19F8"/>
    <w:rsid w:val="001A1EF7"/>
    <w:rsid w:val="001A2108"/>
    <w:rsid w:val="001A2609"/>
    <w:rsid w:val="001A3058"/>
    <w:rsid w:val="001A4ADD"/>
    <w:rsid w:val="001A50B2"/>
    <w:rsid w:val="001A51F7"/>
    <w:rsid w:val="001A5422"/>
    <w:rsid w:val="001A5D71"/>
    <w:rsid w:val="001A6439"/>
    <w:rsid w:val="001A730C"/>
    <w:rsid w:val="001B0728"/>
    <w:rsid w:val="001B1BC3"/>
    <w:rsid w:val="001B218D"/>
    <w:rsid w:val="001B290A"/>
    <w:rsid w:val="001B2A2C"/>
    <w:rsid w:val="001B2DC6"/>
    <w:rsid w:val="001B30AB"/>
    <w:rsid w:val="001B3C20"/>
    <w:rsid w:val="001B466C"/>
    <w:rsid w:val="001B53D9"/>
    <w:rsid w:val="001B58E7"/>
    <w:rsid w:val="001B5970"/>
    <w:rsid w:val="001B5A54"/>
    <w:rsid w:val="001B5BCE"/>
    <w:rsid w:val="001B700D"/>
    <w:rsid w:val="001B79DD"/>
    <w:rsid w:val="001B7C4C"/>
    <w:rsid w:val="001C1A97"/>
    <w:rsid w:val="001C21DE"/>
    <w:rsid w:val="001C2212"/>
    <w:rsid w:val="001C2D26"/>
    <w:rsid w:val="001C326A"/>
    <w:rsid w:val="001C4027"/>
    <w:rsid w:val="001C71F5"/>
    <w:rsid w:val="001C7822"/>
    <w:rsid w:val="001D0811"/>
    <w:rsid w:val="001D0CE1"/>
    <w:rsid w:val="001D106E"/>
    <w:rsid w:val="001D1911"/>
    <w:rsid w:val="001D29C9"/>
    <w:rsid w:val="001D2E96"/>
    <w:rsid w:val="001D3CBC"/>
    <w:rsid w:val="001D3D7B"/>
    <w:rsid w:val="001D53B4"/>
    <w:rsid w:val="001D597D"/>
    <w:rsid w:val="001D7A76"/>
    <w:rsid w:val="001E0ED3"/>
    <w:rsid w:val="001E11A4"/>
    <w:rsid w:val="001E219B"/>
    <w:rsid w:val="001E3448"/>
    <w:rsid w:val="001E480B"/>
    <w:rsid w:val="001E4C38"/>
    <w:rsid w:val="001E504A"/>
    <w:rsid w:val="001E5AB8"/>
    <w:rsid w:val="001E5BCC"/>
    <w:rsid w:val="001E7008"/>
    <w:rsid w:val="001F09FC"/>
    <w:rsid w:val="001F0D48"/>
    <w:rsid w:val="001F0DB5"/>
    <w:rsid w:val="001F1AD7"/>
    <w:rsid w:val="001F1B3D"/>
    <w:rsid w:val="001F1E2C"/>
    <w:rsid w:val="001F2B55"/>
    <w:rsid w:val="001F375E"/>
    <w:rsid w:val="001F454E"/>
    <w:rsid w:val="001F46F9"/>
    <w:rsid w:val="001F47CC"/>
    <w:rsid w:val="001F645C"/>
    <w:rsid w:val="001F673B"/>
    <w:rsid w:val="001F6F5B"/>
    <w:rsid w:val="001F7B1E"/>
    <w:rsid w:val="001F7BAB"/>
    <w:rsid w:val="00200187"/>
    <w:rsid w:val="002001CF"/>
    <w:rsid w:val="00200AB4"/>
    <w:rsid w:val="00203272"/>
    <w:rsid w:val="002036F3"/>
    <w:rsid w:val="00203DB1"/>
    <w:rsid w:val="0020401F"/>
    <w:rsid w:val="002041C8"/>
    <w:rsid w:val="00206322"/>
    <w:rsid w:val="0020728B"/>
    <w:rsid w:val="002104D9"/>
    <w:rsid w:val="002108C7"/>
    <w:rsid w:val="00212BDC"/>
    <w:rsid w:val="0021355F"/>
    <w:rsid w:val="002137F6"/>
    <w:rsid w:val="00213921"/>
    <w:rsid w:val="00214ADF"/>
    <w:rsid w:val="00214F91"/>
    <w:rsid w:val="00215DDC"/>
    <w:rsid w:val="00217B9E"/>
    <w:rsid w:val="00221DD3"/>
    <w:rsid w:val="00222763"/>
    <w:rsid w:val="00223CC5"/>
    <w:rsid w:val="00224576"/>
    <w:rsid w:val="00224650"/>
    <w:rsid w:val="00224F56"/>
    <w:rsid w:val="00225E40"/>
    <w:rsid w:val="0022677D"/>
    <w:rsid w:val="00226FF0"/>
    <w:rsid w:val="0022765E"/>
    <w:rsid w:val="002302EE"/>
    <w:rsid w:val="002309C0"/>
    <w:rsid w:val="002312DA"/>
    <w:rsid w:val="00232983"/>
    <w:rsid w:val="00232EC4"/>
    <w:rsid w:val="00233673"/>
    <w:rsid w:val="00234232"/>
    <w:rsid w:val="00234321"/>
    <w:rsid w:val="0023483C"/>
    <w:rsid w:val="00234C86"/>
    <w:rsid w:val="00234D04"/>
    <w:rsid w:val="00235A1F"/>
    <w:rsid w:val="00235C92"/>
    <w:rsid w:val="00235FEF"/>
    <w:rsid w:val="00236423"/>
    <w:rsid w:val="00236BB5"/>
    <w:rsid w:val="00237298"/>
    <w:rsid w:val="002378FB"/>
    <w:rsid w:val="00237B11"/>
    <w:rsid w:val="002404AE"/>
    <w:rsid w:val="002406D2"/>
    <w:rsid w:val="002408B6"/>
    <w:rsid w:val="002419E7"/>
    <w:rsid w:val="00241EA0"/>
    <w:rsid w:val="00242538"/>
    <w:rsid w:val="002426FE"/>
    <w:rsid w:val="00242911"/>
    <w:rsid w:val="00242A7B"/>
    <w:rsid w:val="00243375"/>
    <w:rsid w:val="00245A80"/>
    <w:rsid w:val="00245D33"/>
    <w:rsid w:val="00246210"/>
    <w:rsid w:val="002466B1"/>
    <w:rsid w:val="00246998"/>
    <w:rsid w:val="00246E49"/>
    <w:rsid w:val="00247D9D"/>
    <w:rsid w:val="002520E1"/>
    <w:rsid w:val="0025289D"/>
    <w:rsid w:val="00252D92"/>
    <w:rsid w:val="00252E87"/>
    <w:rsid w:val="00253810"/>
    <w:rsid w:val="002546FC"/>
    <w:rsid w:val="0025564D"/>
    <w:rsid w:val="002569EC"/>
    <w:rsid w:val="00256B34"/>
    <w:rsid w:val="0025733D"/>
    <w:rsid w:val="00257861"/>
    <w:rsid w:val="00257897"/>
    <w:rsid w:val="00257B05"/>
    <w:rsid w:val="00260552"/>
    <w:rsid w:val="00260795"/>
    <w:rsid w:val="00260D08"/>
    <w:rsid w:val="00261872"/>
    <w:rsid w:val="002620C0"/>
    <w:rsid w:val="00262777"/>
    <w:rsid w:val="002631B5"/>
    <w:rsid w:val="002634E2"/>
    <w:rsid w:val="002636B5"/>
    <w:rsid w:val="00263B4A"/>
    <w:rsid w:val="00263D8C"/>
    <w:rsid w:val="00264EF3"/>
    <w:rsid w:val="00265170"/>
    <w:rsid w:val="0026544B"/>
    <w:rsid w:val="002657DF"/>
    <w:rsid w:val="002669D6"/>
    <w:rsid w:val="0026726C"/>
    <w:rsid w:val="0026730D"/>
    <w:rsid w:val="00267635"/>
    <w:rsid w:val="00267840"/>
    <w:rsid w:val="00267A38"/>
    <w:rsid w:val="00267C69"/>
    <w:rsid w:val="00270828"/>
    <w:rsid w:val="0027085B"/>
    <w:rsid w:val="00271A26"/>
    <w:rsid w:val="00271B8E"/>
    <w:rsid w:val="0027232A"/>
    <w:rsid w:val="00272394"/>
    <w:rsid w:val="00272786"/>
    <w:rsid w:val="00272903"/>
    <w:rsid w:val="002729D9"/>
    <w:rsid w:val="00273C5E"/>
    <w:rsid w:val="002740C6"/>
    <w:rsid w:val="002745BF"/>
    <w:rsid w:val="00274B5C"/>
    <w:rsid w:val="00275CCC"/>
    <w:rsid w:val="002762ED"/>
    <w:rsid w:val="00276491"/>
    <w:rsid w:val="00276E4E"/>
    <w:rsid w:val="00276EAE"/>
    <w:rsid w:val="00277A54"/>
    <w:rsid w:val="00277B95"/>
    <w:rsid w:val="002803C6"/>
    <w:rsid w:val="002806E5"/>
    <w:rsid w:val="002815AE"/>
    <w:rsid w:val="00281E6D"/>
    <w:rsid w:val="0028255B"/>
    <w:rsid w:val="00282ED3"/>
    <w:rsid w:val="002831AE"/>
    <w:rsid w:val="00283801"/>
    <w:rsid w:val="002840DE"/>
    <w:rsid w:val="0028499A"/>
    <w:rsid w:val="002857FD"/>
    <w:rsid w:val="00285C4B"/>
    <w:rsid w:val="00286686"/>
    <w:rsid w:val="00290BEB"/>
    <w:rsid w:val="0029141C"/>
    <w:rsid w:val="002926F8"/>
    <w:rsid w:val="0029396D"/>
    <w:rsid w:val="00293E33"/>
    <w:rsid w:val="00293EA0"/>
    <w:rsid w:val="0029459F"/>
    <w:rsid w:val="00294E1F"/>
    <w:rsid w:val="0029582B"/>
    <w:rsid w:val="002959A9"/>
    <w:rsid w:val="00296097"/>
    <w:rsid w:val="00296E82"/>
    <w:rsid w:val="002974E4"/>
    <w:rsid w:val="002975CE"/>
    <w:rsid w:val="002978E2"/>
    <w:rsid w:val="002A0FE8"/>
    <w:rsid w:val="002A11F9"/>
    <w:rsid w:val="002A231E"/>
    <w:rsid w:val="002A23F8"/>
    <w:rsid w:val="002A385F"/>
    <w:rsid w:val="002A3FF6"/>
    <w:rsid w:val="002A40E9"/>
    <w:rsid w:val="002A42A8"/>
    <w:rsid w:val="002A4CD1"/>
    <w:rsid w:val="002A4E4C"/>
    <w:rsid w:val="002A4EDD"/>
    <w:rsid w:val="002A61AF"/>
    <w:rsid w:val="002A691C"/>
    <w:rsid w:val="002A6D08"/>
    <w:rsid w:val="002A7083"/>
    <w:rsid w:val="002A770E"/>
    <w:rsid w:val="002B1339"/>
    <w:rsid w:val="002B20DF"/>
    <w:rsid w:val="002B2544"/>
    <w:rsid w:val="002B33EF"/>
    <w:rsid w:val="002B3894"/>
    <w:rsid w:val="002B4583"/>
    <w:rsid w:val="002B49AA"/>
    <w:rsid w:val="002B55E5"/>
    <w:rsid w:val="002B5841"/>
    <w:rsid w:val="002B5972"/>
    <w:rsid w:val="002B6953"/>
    <w:rsid w:val="002B7126"/>
    <w:rsid w:val="002B79CE"/>
    <w:rsid w:val="002B7A07"/>
    <w:rsid w:val="002B7FA7"/>
    <w:rsid w:val="002C0058"/>
    <w:rsid w:val="002C0956"/>
    <w:rsid w:val="002C0EF3"/>
    <w:rsid w:val="002C102F"/>
    <w:rsid w:val="002C1DB1"/>
    <w:rsid w:val="002C1EB2"/>
    <w:rsid w:val="002C2AC1"/>
    <w:rsid w:val="002C2AF1"/>
    <w:rsid w:val="002C5DFB"/>
    <w:rsid w:val="002C7FB4"/>
    <w:rsid w:val="002D0440"/>
    <w:rsid w:val="002D0747"/>
    <w:rsid w:val="002D1235"/>
    <w:rsid w:val="002D1709"/>
    <w:rsid w:val="002D3196"/>
    <w:rsid w:val="002D367D"/>
    <w:rsid w:val="002D454D"/>
    <w:rsid w:val="002D5489"/>
    <w:rsid w:val="002D602B"/>
    <w:rsid w:val="002D6B28"/>
    <w:rsid w:val="002D6B3F"/>
    <w:rsid w:val="002D6FC4"/>
    <w:rsid w:val="002E16C9"/>
    <w:rsid w:val="002E1A5E"/>
    <w:rsid w:val="002E1DCA"/>
    <w:rsid w:val="002E1E61"/>
    <w:rsid w:val="002E1FD0"/>
    <w:rsid w:val="002E2195"/>
    <w:rsid w:val="002E25EB"/>
    <w:rsid w:val="002E2DBD"/>
    <w:rsid w:val="002E309A"/>
    <w:rsid w:val="002E37B6"/>
    <w:rsid w:val="002E4BAD"/>
    <w:rsid w:val="002E59B3"/>
    <w:rsid w:val="002E5DE0"/>
    <w:rsid w:val="002E680F"/>
    <w:rsid w:val="002E68BF"/>
    <w:rsid w:val="002E698C"/>
    <w:rsid w:val="002E6EAF"/>
    <w:rsid w:val="002E7389"/>
    <w:rsid w:val="002E7797"/>
    <w:rsid w:val="002E77CA"/>
    <w:rsid w:val="002E7831"/>
    <w:rsid w:val="002F07B2"/>
    <w:rsid w:val="002F0B29"/>
    <w:rsid w:val="002F1792"/>
    <w:rsid w:val="002F31F8"/>
    <w:rsid w:val="002F47D3"/>
    <w:rsid w:val="002F482C"/>
    <w:rsid w:val="002F4BB6"/>
    <w:rsid w:val="002F4D69"/>
    <w:rsid w:val="002F5107"/>
    <w:rsid w:val="002F5630"/>
    <w:rsid w:val="002F5BF5"/>
    <w:rsid w:val="002F5E2A"/>
    <w:rsid w:val="002F62E7"/>
    <w:rsid w:val="002F6A0E"/>
    <w:rsid w:val="002F7391"/>
    <w:rsid w:val="002F7559"/>
    <w:rsid w:val="00300BC6"/>
    <w:rsid w:val="00301425"/>
    <w:rsid w:val="003015CD"/>
    <w:rsid w:val="003017BE"/>
    <w:rsid w:val="0030187D"/>
    <w:rsid w:val="00303130"/>
    <w:rsid w:val="003036F4"/>
    <w:rsid w:val="00304068"/>
    <w:rsid w:val="00304232"/>
    <w:rsid w:val="00304E72"/>
    <w:rsid w:val="003050AA"/>
    <w:rsid w:val="0030547E"/>
    <w:rsid w:val="003057AE"/>
    <w:rsid w:val="00305928"/>
    <w:rsid w:val="00306FB8"/>
    <w:rsid w:val="00307360"/>
    <w:rsid w:val="003110E5"/>
    <w:rsid w:val="00311E45"/>
    <w:rsid w:val="00312C42"/>
    <w:rsid w:val="00312D75"/>
    <w:rsid w:val="0031334B"/>
    <w:rsid w:val="0031382E"/>
    <w:rsid w:val="003171D9"/>
    <w:rsid w:val="00317AB0"/>
    <w:rsid w:val="00320220"/>
    <w:rsid w:val="00321A9D"/>
    <w:rsid w:val="00322075"/>
    <w:rsid w:val="00324AE8"/>
    <w:rsid w:val="00324C2C"/>
    <w:rsid w:val="0032647E"/>
    <w:rsid w:val="003266FE"/>
    <w:rsid w:val="00326BE5"/>
    <w:rsid w:val="003274A8"/>
    <w:rsid w:val="003274B2"/>
    <w:rsid w:val="00327733"/>
    <w:rsid w:val="00327D8A"/>
    <w:rsid w:val="00330B02"/>
    <w:rsid w:val="00330D6B"/>
    <w:rsid w:val="0033118F"/>
    <w:rsid w:val="00333468"/>
    <w:rsid w:val="00334105"/>
    <w:rsid w:val="003348B9"/>
    <w:rsid w:val="00334AFA"/>
    <w:rsid w:val="00335D90"/>
    <w:rsid w:val="0033639D"/>
    <w:rsid w:val="00336796"/>
    <w:rsid w:val="00337B0E"/>
    <w:rsid w:val="00337EE5"/>
    <w:rsid w:val="00340E2E"/>
    <w:rsid w:val="00340EA6"/>
    <w:rsid w:val="00340F08"/>
    <w:rsid w:val="00342958"/>
    <w:rsid w:val="00342B33"/>
    <w:rsid w:val="00343425"/>
    <w:rsid w:val="00343921"/>
    <w:rsid w:val="00344282"/>
    <w:rsid w:val="00344E5E"/>
    <w:rsid w:val="0034598E"/>
    <w:rsid w:val="0034610D"/>
    <w:rsid w:val="00347297"/>
    <w:rsid w:val="003473B2"/>
    <w:rsid w:val="0034741A"/>
    <w:rsid w:val="00351351"/>
    <w:rsid w:val="00351C52"/>
    <w:rsid w:val="003524B6"/>
    <w:rsid w:val="00353910"/>
    <w:rsid w:val="003541E8"/>
    <w:rsid w:val="00354A22"/>
    <w:rsid w:val="00355880"/>
    <w:rsid w:val="00357E8B"/>
    <w:rsid w:val="003604E2"/>
    <w:rsid w:val="00360DCB"/>
    <w:rsid w:val="003615C7"/>
    <w:rsid w:val="0036207C"/>
    <w:rsid w:val="00362134"/>
    <w:rsid w:val="003634DD"/>
    <w:rsid w:val="00363579"/>
    <w:rsid w:val="00363C72"/>
    <w:rsid w:val="00363F35"/>
    <w:rsid w:val="00365D34"/>
    <w:rsid w:val="003675FE"/>
    <w:rsid w:val="00367786"/>
    <w:rsid w:val="00370C60"/>
    <w:rsid w:val="00370DB5"/>
    <w:rsid w:val="0037141B"/>
    <w:rsid w:val="0037224D"/>
    <w:rsid w:val="00373724"/>
    <w:rsid w:val="003742AE"/>
    <w:rsid w:val="00374AF5"/>
    <w:rsid w:val="00374BD3"/>
    <w:rsid w:val="00374F59"/>
    <w:rsid w:val="00376093"/>
    <w:rsid w:val="003764DB"/>
    <w:rsid w:val="00376615"/>
    <w:rsid w:val="00376920"/>
    <w:rsid w:val="0037751E"/>
    <w:rsid w:val="00377C7C"/>
    <w:rsid w:val="003812A3"/>
    <w:rsid w:val="003818D3"/>
    <w:rsid w:val="00382D1E"/>
    <w:rsid w:val="0038369F"/>
    <w:rsid w:val="00383B41"/>
    <w:rsid w:val="00383D7C"/>
    <w:rsid w:val="00383FC7"/>
    <w:rsid w:val="0038435E"/>
    <w:rsid w:val="00385D04"/>
    <w:rsid w:val="003879DF"/>
    <w:rsid w:val="00390D0A"/>
    <w:rsid w:val="003926FC"/>
    <w:rsid w:val="0039417E"/>
    <w:rsid w:val="00394B2D"/>
    <w:rsid w:val="0039504C"/>
    <w:rsid w:val="003955FC"/>
    <w:rsid w:val="00397C1B"/>
    <w:rsid w:val="003A0A50"/>
    <w:rsid w:val="003A0F7D"/>
    <w:rsid w:val="003A19D6"/>
    <w:rsid w:val="003A20AA"/>
    <w:rsid w:val="003A2837"/>
    <w:rsid w:val="003A2B36"/>
    <w:rsid w:val="003A346C"/>
    <w:rsid w:val="003A4E86"/>
    <w:rsid w:val="003A547B"/>
    <w:rsid w:val="003A5A35"/>
    <w:rsid w:val="003A5EF3"/>
    <w:rsid w:val="003A700E"/>
    <w:rsid w:val="003A702D"/>
    <w:rsid w:val="003A7299"/>
    <w:rsid w:val="003B0803"/>
    <w:rsid w:val="003B085E"/>
    <w:rsid w:val="003B0A1E"/>
    <w:rsid w:val="003B0E76"/>
    <w:rsid w:val="003B0ED9"/>
    <w:rsid w:val="003B125F"/>
    <w:rsid w:val="003B1A98"/>
    <w:rsid w:val="003B324C"/>
    <w:rsid w:val="003B3402"/>
    <w:rsid w:val="003B370E"/>
    <w:rsid w:val="003B3D41"/>
    <w:rsid w:val="003B4150"/>
    <w:rsid w:val="003B42FF"/>
    <w:rsid w:val="003B4BF1"/>
    <w:rsid w:val="003B60A8"/>
    <w:rsid w:val="003B61D0"/>
    <w:rsid w:val="003B728C"/>
    <w:rsid w:val="003B7576"/>
    <w:rsid w:val="003C0792"/>
    <w:rsid w:val="003C134B"/>
    <w:rsid w:val="003C1578"/>
    <w:rsid w:val="003C1691"/>
    <w:rsid w:val="003C23DE"/>
    <w:rsid w:val="003C24D0"/>
    <w:rsid w:val="003C36A6"/>
    <w:rsid w:val="003C4BA2"/>
    <w:rsid w:val="003C4F05"/>
    <w:rsid w:val="003C5724"/>
    <w:rsid w:val="003C7A04"/>
    <w:rsid w:val="003C7DEB"/>
    <w:rsid w:val="003D036D"/>
    <w:rsid w:val="003D14DC"/>
    <w:rsid w:val="003D1955"/>
    <w:rsid w:val="003D2D7A"/>
    <w:rsid w:val="003D33C0"/>
    <w:rsid w:val="003D4EA5"/>
    <w:rsid w:val="003D559D"/>
    <w:rsid w:val="003D5948"/>
    <w:rsid w:val="003D5BCC"/>
    <w:rsid w:val="003D629D"/>
    <w:rsid w:val="003D767E"/>
    <w:rsid w:val="003D7A6D"/>
    <w:rsid w:val="003D7D4A"/>
    <w:rsid w:val="003E0537"/>
    <w:rsid w:val="003E110E"/>
    <w:rsid w:val="003E17E9"/>
    <w:rsid w:val="003E1E77"/>
    <w:rsid w:val="003E225E"/>
    <w:rsid w:val="003E22FC"/>
    <w:rsid w:val="003E2977"/>
    <w:rsid w:val="003E3722"/>
    <w:rsid w:val="003E3BFC"/>
    <w:rsid w:val="003E5266"/>
    <w:rsid w:val="003E57F8"/>
    <w:rsid w:val="003E6892"/>
    <w:rsid w:val="003E689D"/>
    <w:rsid w:val="003E7E12"/>
    <w:rsid w:val="003F100A"/>
    <w:rsid w:val="003F2116"/>
    <w:rsid w:val="003F2693"/>
    <w:rsid w:val="003F3178"/>
    <w:rsid w:val="003F41A8"/>
    <w:rsid w:val="003F4A87"/>
    <w:rsid w:val="003F5C60"/>
    <w:rsid w:val="003F5E5A"/>
    <w:rsid w:val="003F68EA"/>
    <w:rsid w:val="003F6C2D"/>
    <w:rsid w:val="004008F4"/>
    <w:rsid w:val="0040129F"/>
    <w:rsid w:val="00401D79"/>
    <w:rsid w:val="00402BE4"/>
    <w:rsid w:val="00402C1C"/>
    <w:rsid w:val="00402CED"/>
    <w:rsid w:val="00403D45"/>
    <w:rsid w:val="00403F51"/>
    <w:rsid w:val="00404E95"/>
    <w:rsid w:val="00405B5D"/>
    <w:rsid w:val="00406A3E"/>
    <w:rsid w:val="004109C6"/>
    <w:rsid w:val="00411188"/>
    <w:rsid w:val="0041195F"/>
    <w:rsid w:val="0041480B"/>
    <w:rsid w:val="00414EDA"/>
    <w:rsid w:val="00415E51"/>
    <w:rsid w:val="0041641D"/>
    <w:rsid w:val="00416765"/>
    <w:rsid w:val="00416A08"/>
    <w:rsid w:val="00417483"/>
    <w:rsid w:val="004176C8"/>
    <w:rsid w:val="00421BF0"/>
    <w:rsid w:val="004226A1"/>
    <w:rsid w:val="004261DB"/>
    <w:rsid w:val="00426566"/>
    <w:rsid w:val="004273B8"/>
    <w:rsid w:val="00427566"/>
    <w:rsid w:val="00427840"/>
    <w:rsid w:val="0042794E"/>
    <w:rsid w:val="00427D2E"/>
    <w:rsid w:val="004305F4"/>
    <w:rsid w:val="004307B2"/>
    <w:rsid w:val="004309F0"/>
    <w:rsid w:val="00430D2E"/>
    <w:rsid w:val="00431501"/>
    <w:rsid w:val="0043191F"/>
    <w:rsid w:val="00433ADF"/>
    <w:rsid w:val="0043436F"/>
    <w:rsid w:val="004344A6"/>
    <w:rsid w:val="004372C5"/>
    <w:rsid w:val="0043747A"/>
    <w:rsid w:val="00437695"/>
    <w:rsid w:val="00437BA1"/>
    <w:rsid w:val="00437CBA"/>
    <w:rsid w:val="00437F03"/>
    <w:rsid w:val="004413FA"/>
    <w:rsid w:val="00441758"/>
    <w:rsid w:val="00443195"/>
    <w:rsid w:val="004437B3"/>
    <w:rsid w:val="00443DFF"/>
    <w:rsid w:val="004447CE"/>
    <w:rsid w:val="00445A62"/>
    <w:rsid w:val="00446418"/>
    <w:rsid w:val="004466AA"/>
    <w:rsid w:val="004471CE"/>
    <w:rsid w:val="00450357"/>
    <w:rsid w:val="0045090B"/>
    <w:rsid w:val="004511DC"/>
    <w:rsid w:val="00451FC3"/>
    <w:rsid w:val="004521D4"/>
    <w:rsid w:val="004525CC"/>
    <w:rsid w:val="00452BEB"/>
    <w:rsid w:val="00453A54"/>
    <w:rsid w:val="00454284"/>
    <w:rsid w:val="0045517A"/>
    <w:rsid w:val="00455CAA"/>
    <w:rsid w:val="00456404"/>
    <w:rsid w:val="00456611"/>
    <w:rsid w:val="00456EF1"/>
    <w:rsid w:val="0045700F"/>
    <w:rsid w:val="004637A2"/>
    <w:rsid w:val="00463F61"/>
    <w:rsid w:val="00464521"/>
    <w:rsid w:val="00464707"/>
    <w:rsid w:val="0046505B"/>
    <w:rsid w:val="004657F8"/>
    <w:rsid w:val="004662C9"/>
    <w:rsid w:val="00466743"/>
    <w:rsid w:val="00466874"/>
    <w:rsid w:val="00467644"/>
    <w:rsid w:val="00470AD9"/>
    <w:rsid w:val="00471968"/>
    <w:rsid w:val="00472449"/>
    <w:rsid w:val="00472801"/>
    <w:rsid w:val="00473290"/>
    <w:rsid w:val="004736B8"/>
    <w:rsid w:val="00473E8C"/>
    <w:rsid w:val="00475852"/>
    <w:rsid w:val="00475BA1"/>
    <w:rsid w:val="00475CE5"/>
    <w:rsid w:val="004760D0"/>
    <w:rsid w:val="00476EEB"/>
    <w:rsid w:val="00476F8B"/>
    <w:rsid w:val="00477473"/>
    <w:rsid w:val="00477BBF"/>
    <w:rsid w:val="0048134B"/>
    <w:rsid w:val="00481707"/>
    <w:rsid w:val="00481BD1"/>
    <w:rsid w:val="004824C4"/>
    <w:rsid w:val="004829D0"/>
    <w:rsid w:val="00486199"/>
    <w:rsid w:val="0048660D"/>
    <w:rsid w:val="0048765D"/>
    <w:rsid w:val="004903C8"/>
    <w:rsid w:val="004904FC"/>
    <w:rsid w:val="00491998"/>
    <w:rsid w:val="00491A1F"/>
    <w:rsid w:val="00493C8E"/>
    <w:rsid w:val="00493CFE"/>
    <w:rsid w:val="00494322"/>
    <w:rsid w:val="0049434C"/>
    <w:rsid w:val="004956E8"/>
    <w:rsid w:val="004A054B"/>
    <w:rsid w:val="004A0BDE"/>
    <w:rsid w:val="004A0D98"/>
    <w:rsid w:val="004A16DF"/>
    <w:rsid w:val="004A19A3"/>
    <w:rsid w:val="004A4EA1"/>
    <w:rsid w:val="004A59D9"/>
    <w:rsid w:val="004A5B88"/>
    <w:rsid w:val="004A69DF"/>
    <w:rsid w:val="004A71F1"/>
    <w:rsid w:val="004A7747"/>
    <w:rsid w:val="004A789E"/>
    <w:rsid w:val="004A7F91"/>
    <w:rsid w:val="004B0659"/>
    <w:rsid w:val="004B128D"/>
    <w:rsid w:val="004B2D77"/>
    <w:rsid w:val="004B3D89"/>
    <w:rsid w:val="004B7828"/>
    <w:rsid w:val="004B7A9B"/>
    <w:rsid w:val="004C0733"/>
    <w:rsid w:val="004C16AD"/>
    <w:rsid w:val="004C24D3"/>
    <w:rsid w:val="004C2506"/>
    <w:rsid w:val="004C2629"/>
    <w:rsid w:val="004C33A8"/>
    <w:rsid w:val="004C3CE8"/>
    <w:rsid w:val="004C3FD6"/>
    <w:rsid w:val="004C4B8B"/>
    <w:rsid w:val="004C5040"/>
    <w:rsid w:val="004C61EA"/>
    <w:rsid w:val="004C729E"/>
    <w:rsid w:val="004D08CE"/>
    <w:rsid w:val="004D0BE2"/>
    <w:rsid w:val="004D1C1C"/>
    <w:rsid w:val="004D3541"/>
    <w:rsid w:val="004D47D9"/>
    <w:rsid w:val="004D52E9"/>
    <w:rsid w:val="004D5589"/>
    <w:rsid w:val="004D643E"/>
    <w:rsid w:val="004D7408"/>
    <w:rsid w:val="004D762D"/>
    <w:rsid w:val="004D7BCD"/>
    <w:rsid w:val="004D7FFE"/>
    <w:rsid w:val="004E002E"/>
    <w:rsid w:val="004E0192"/>
    <w:rsid w:val="004E025A"/>
    <w:rsid w:val="004E103E"/>
    <w:rsid w:val="004E1066"/>
    <w:rsid w:val="004E1957"/>
    <w:rsid w:val="004E1AB0"/>
    <w:rsid w:val="004E205D"/>
    <w:rsid w:val="004E2922"/>
    <w:rsid w:val="004E308D"/>
    <w:rsid w:val="004E320F"/>
    <w:rsid w:val="004E35A3"/>
    <w:rsid w:val="004E37E0"/>
    <w:rsid w:val="004E39EA"/>
    <w:rsid w:val="004E4C3C"/>
    <w:rsid w:val="004E6C7A"/>
    <w:rsid w:val="004E6E14"/>
    <w:rsid w:val="004E719A"/>
    <w:rsid w:val="004F0388"/>
    <w:rsid w:val="004F044C"/>
    <w:rsid w:val="004F071D"/>
    <w:rsid w:val="004F0E85"/>
    <w:rsid w:val="004F0EB5"/>
    <w:rsid w:val="004F2949"/>
    <w:rsid w:val="004F2FDE"/>
    <w:rsid w:val="004F3098"/>
    <w:rsid w:val="004F3FEF"/>
    <w:rsid w:val="004F4155"/>
    <w:rsid w:val="004F47C1"/>
    <w:rsid w:val="004F4BD2"/>
    <w:rsid w:val="004F5203"/>
    <w:rsid w:val="004F5BAE"/>
    <w:rsid w:val="004F5DC7"/>
    <w:rsid w:val="004F641F"/>
    <w:rsid w:val="004F6459"/>
    <w:rsid w:val="004F6A6B"/>
    <w:rsid w:val="004F72F7"/>
    <w:rsid w:val="0050028A"/>
    <w:rsid w:val="00503B56"/>
    <w:rsid w:val="00503BDE"/>
    <w:rsid w:val="00503F64"/>
    <w:rsid w:val="00505C16"/>
    <w:rsid w:val="00505DAF"/>
    <w:rsid w:val="00506B1B"/>
    <w:rsid w:val="00507010"/>
    <w:rsid w:val="0051046B"/>
    <w:rsid w:val="00510631"/>
    <w:rsid w:val="00510702"/>
    <w:rsid w:val="00510C33"/>
    <w:rsid w:val="00510F3D"/>
    <w:rsid w:val="00510FB6"/>
    <w:rsid w:val="00511097"/>
    <w:rsid w:val="00511181"/>
    <w:rsid w:val="005118C5"/>
    <w:rsid w:val="00513AC1"/>
    <w:rsid w:val="00513CDE"/>
    <w:rsid w:val="00516C1F"/>
    <w:rsid w:val="00516F26"/>
    <w:rsid w:val="005172CD"/>
    <w:rsid w:val="00517479"/>
    <w:rsid w:val="00520C38"/>
    <w:rsid w:val="00521702"/>
    <w:rsid w:val="0052206D"/>
    <w:rsid w:val="005221CE"/>
    <w:rsid w:val="005224E6"/>
    <w:rsid w:val="0052263F"/>
    <w:rsid w:val="005228EC"/>
    <w:rsid w:val="00522C7C"/>
    <w:rsid w:val="00522DC5"/>
    <w:rsid w:val="0052325C"/>
    <w:rsid w:val="00524295"/>
    <w:rsid w:val="00524A35"/>
    <w:rsid w:val="00524A47"/>
    <w:rsid w:val="005256BD"/>
    <w:rsid w:val="00525AF3"/>
    <w:rsid w:val="00525D5B"/>
    <w:rsid w:val="005301B0"/>
    <w:rsid w:val="005302EC"/>
    <w:rsid w:val="00531B55"/>
    <w:rsid w:val="0053278B"/>
    <w:rsid w:val="00533C53"/>
    <w:rsid w:val="00534EBC"/>
    <w:rsid w:val="0053654E"/>
    <w:rsid w:val="00537703"/>
    <w:rsid w:val="0053792C"/>
    <w:rsid w:val="0054110B"/>
    <w:rsid w:val="00541C10"/>
    <w:rsid w:val="005420CA"/>
    <w:rsid w:val="00542B8A"/>
    <w:rsid w:val="005434F2"/>
    <w:rsid w:val="0054415C"/>
    <w:rsid w:val="0054416C"/>
    <w:rsid w:val="00544701"/>
    <w:rsid w:val="0054738A"/>
    <w:rsid w:val="00550A28"/>
    <w:rsid w:val="00550FF0"/>
    <w:rsid w:val="00551EE5"/>
    <w:rsid w:val="0055260D"/>
    <w:rsid w:val="0055293B"/>
    <w:rsid w:val="005536DF"/>
    <w:rsid w:val="0055427B"/>
    <w:rsid w:val="00554DC4"/>
    <w:rsid w:val="00555D9E"/>
    <w:rsid w:val="00556E0E"/>
    <w:rsid w:val="0055777E"/>
    <w:rsid w:val="00557A8F"/>
    <w:rsid w:val="00557D43"/>
    <w:rsid w:val="00560627"/>
    <w:rsid w:val="005614D6"/>
    <w:rsid w:val="0056164B"/>
    <w:rsid w:val="00561E09"/>
    <w:rsid w:val="00562161"/>
    <w:rsid w:val="00562B08"/>
    <w:rsid w:val="00562BBE"/>
    <w:rsid w:val="00562DAE"/>
    <w:rsid w:val="0056352C"/>
    <w:rsid w:val="00563D8A"/>
    <w:rsid w:val="005660FF"/>
    <w:rsid w:val="005678AA"/>
    <w:rsid w:val="005702FB"/>
    <w:rsid w:val="00570FC1"/>
    <w:rsid w:val="00571281"/>
    <w:rsid w:val="00572554"/>
    <w:rsid w:val="00573732"/>
    <w:rsid w:val="0057385A"/>
    <w:rsid w:val="00573EAE"/>
    <w:rsid w:val="00574E59"/>
    <w:rsid w:val="00575367"/>
    <w:rsid w:val="00575627"/>
    <w:rsid w:val="00575C9D"/>
    <w:rsid w:val="005760E1"/>
    <w:rsid w:val="00576CDC"/>
    <w:rsid w:val="00576D51"/>
    <w:rsid w:val="00576F7A"/>
    <w:rsid w:val="005809B7"/>
    <w:rsid w:val="00580AC1"/>
    <w:rsid w:val="005818F2"/>
    <w:rsid w:val="00581992"/>
    <w:rsid w:val="0058302B"/>
    <w:rsid w:val="00583784"/>
    <w:rsid w:val="005842A4"/>
    <w:rsid w:val="005855E7"/>
    <w:rsid w:val="005861E6"/>
    <w:rsid w:val="00586C54"/>
    <w:rsid w:val="00590384"/>
    <w:rsid w:val="005907C3"/>
    <w:rsid w:val="005908D2"/>
    <w:rsid w:val="00590CDF"/>
    <w:rsid w:val="0059102B"/>
    <w:rsid w:val="00591A6C"/>
    <w:rsid w:val="00591C99"/>
    <w:rsid w:val="00592092"/>
    <w:rsid w:val="00592454"/>
    <w:rsid w:val="00593959"/>
    <w:rsid w:val="005939A7"/>
    <w:rsid w:val="00593AB5"/>
    <w:rsid w:val="005948AF"/>
    <w:rsid w:val="005958C1"/>
    <w:rsid w:val="00595E64"/>
    <w:rsid w:val="005965E9"/>
    <w:rsid w:val="00597470"/>
    <w:rsid w:val="00597DFF"/>
    <w:rsid w:val="005A0C4C"/>
    <w:rsid w:val="005A1292"/>
    <w:rsid w:val="005A1FF2"/>
    <w:rsid w:val="005A21C7"/>
    <w:rsid w:val="005A24F7"/>
    <w:rsid w:val="005A599B"/>
    <w:rsid w:val="005A64F7"/>
    <w:rsid w:val="005A6FD2"/>
    <w:rsid w:val="005A7131"/>
    <w:rsid w:val="005A775A"/>
    <w:rsid w:val="005B1543"/>
    <w:rsid w:val="005B1791"/>
    <w:rsid w:val="005B1814"/>
    <w:rsid w:val="005B1D3D"/>
    <w:rsid w:val="005B2608"/>
    <w:rsid w:val="005B3A86"/>
    <w:rsid w:val="005B3AAD"/>
    <w:rsid w:val="005B5A4D"/>
    <w:rsid w:val="005B5A5D"/>
    <w:rsid w:val="005B5B68"/>
    <w:rsid w:val="005B5D15"/>
    <w:rsid w:val="005B7046"/>
    <w:rsid w:val="005B7635"/>
    <w:rsid w:val="005C0115"/>
    <w:rsid w:val="005C0E3D"/>
    <w:rsid w:val="005C1F45"/>
    <w:rsid w:val="005C2E89"/>
    <w:rsid w:val="005C341C"/>
    <w:rsid w:val="005C3787"/>
    <w:rsid w:val="005C3AB7"/>
    <w:rsid w:val="005C51F7"/>
    <w:rsid w:val="005C629C"/>
    <w:rsid w:val="005C643D"/>
    <w:rsid w:val="005D16B5"/>
    <w:rsid w:val="005D1812"/>
    <w:rsid w:val="005D18F7"/>
    <w:rsid w:val="005D206A"/>
    <w:rsid w:val="005D2679"/>
    <w:rsid w:val="005D3349"/>
    <w:rsid w:val="005D41DF"/>
    <w:rsid w:val="005D46BC"/>
    <w:rsid w:val="005D48CA"/>
    <w:rsid w:val="005D48DB"/>
    <w:rsid w:val="005D4F6E"/>
    <w:rsid w:val="005D5861"/>
    <w:rsid w:val="005D5A16"/>
    <w:rsid w:val="005D69EF"/>
    <w:rsid w:val="005D71A8"/>
    <w:rsid w:val="005E04BC"/>
    <w:rsid w:val="005E0661"/>
    <w:rsid w:val="005E09F7"/>
    <w:rsid w:val="005E110A"/>
    <w:rsid w:val="005E12A4"/>
    <w:rsid w:val="005E20C0"/>
    <w:rsid w:val="005E306B"/>
    <w:rsid w:val="005E33FA"/>
    <w:rsid w:val="005E3D52"/>
    <w:rsid w:val="005E3D67"/>
    <w:rsid w:val="005E4329"/>
    <w:rsid w:val="005E5637"/>
    <w:rsid w:val="005E7630"/>
    <w:rsid w:val="005F0138"/>
    <w:rsid w:val="005F133A"/>
    <w:rsid w:val="005F18A1"/>
    <w:rsid w:val="005F23D4"/>
    <w:rsid w:val="005F3083"/>
    <w:rsid w:val="005F3F07"/>
    <w:rsid w:val="005F4643"/>
    <w:rsid w:val="005F4916"/>
    <w:rsid w:val="005F4C60"/>
    <w:rsid w:val="005F4C8B"/>
    <w:rsid w:val="005F5D29"/>
    <w:rsid w:val="005F68AC"/>
    <w:rsid w:val="005F7F10"/>
    <w:rsid w:val="006009AE"/>
    <w:rsid w:val="006014A5"/>
    <w:rsid w:val="00601D0E"/>
    <w:rsid w:val="00602B8D"/>
    <w:rsid w:val="006046F8"/>
    <w:rsid w:val="00604D1D"/>
    <w:rsid w:val="00604ECF"/>
    <w:rsid w:val="00604ED5"/>
    <w:rsid w:val="00605EEE"/>
    <w:rsid w:val="006065D3"/>
    <w:rsid w:val="00606889"/>
    <w:rsid w:val="0060703D"/>
    <w:rsid w:val="00607101"/>
    <w:rsid w:val="006072C7"/>
    <w:rsid w:val="00607B24"/>
    <w:rsid w:val="006103E3"/>
    <w:rsid w:val="006104B1"/>
    <w:rsid w:val="0061055D"/>
    <w:rsid w:val="006142CB"/>
    <w:rsid w:val="0061493C"/>
    <w:rsid w:val="00615237"/>
    <w:rsid w:val="006158E8"/>
    <w:rsid w:val="00615A61"/>
    <w:rsid w:val="00615EB5"/>
    <w:rsid w:val="00616F07"/>
    <w:rsid w:val="00617167"/>
    <w:rsid w:val="00617543"/>
    <w:rsid w:val="00621713"/>
    <w:rsid w:val="00622E2C"/>
    <w:rsid w:val="006238DB"/>
    <w:rsid w:val="00623B4A"/>
    <w:rsid w:val="00623C0D"/>
    <w:rsid w:val="006240A5"/>
    <w:rsid w:val="00624328"/>
    <w:rsid w:val="006252C8"/>
    <w:rsid w:val="00625702"/>
    <w:rsid w:val="00625A27"/>
    <w:rsid w:val="00625D3C"/>
    <w:rsid w:val="00626085"/>
    <w:rsid w:val="006266C6"/>
    <w:rsid w:val="00626D71"/>
    <w:rsid w:val="00626DE6"/>
    <w:rsid w:val="00627040"/>
    <w:rsid w:val="00627E5C"/>
    <w:rsid w:val="006300DE"/>
    <w:rsid w:val="0063048A"/>
    <w:rsid w:val="0063048B"/>
    <w:rsid w:val="006304CA"/>
    <w:rsid w:val="00630710"/>
    <w:rsid w:val="00630A6B"/>
    <w:rsid w:val="00630CDC"/>
    <w:rsid w:val="00631293"/>
    <w:rsid w:val="00631518"/>
    <w:rsid w:val="00631845"/>
    <w:rsid w:val="00631A55"/>
    <w:rsid w:val="00632899"/>
    <w:rsid w:val="00635547"/>
    <w:rsid w:val="0063614D"/>
    <w:rsid w:val="00636FF9"/>
    <w:rsid w:val="006379FF"/>
    <w:rsid w:val="00640477"/>
    <w:rsid w:val="00640972"/>
    <w:rsid w:val="006428C3"/>
    <w:rsid w:val="00643534"/>
    <w:rsid w:val="006436BB"/>
    <w:rsid w:val="00643C1E"/>
    <w:rsid w:val="006445AD"/>
    <w:rsid w:val="00644D07"/>
    <w:rsid w:val="0064647E"/>
    <w:rsid w:val="0064681C"/>
    <w:rsid w:val="006472D2"/>
    <w:rsid w:val="0064732F"/>
    <w:rsid w:val="00647418"/>
    <w:rsid w:val="00647AEA"/>
    <w:rsid w:val="00647C8E"/>
    <w:rsid w:val="006506E6"/>
    <w:rsid w:val="00650720"/>
    <w:rsid w:val="00651944"/>
    <w:rsid w:val="0065257F"/>
    <w:rsid w:val="006534C6"/>
    <w:rsid w:val="00656C13"/>
    <w:rsid w:val="00657418"/>
    <w:rsid w:val="006623F2"/>
    <w:rsid w:val="006626BD"/>
    <w:rsid w:val="00662DD9"/>
    <w:rsid w:val="006636A6"/>
    <w:rsid w:val="00664CB8"/>
    <w:rsid w:val="00664DC3"/>
    <w:rsid w:val="0066586F"/>
    <w:rsid w:val="00665C05"/>
    <w:rsid w:val="0066629F"/>
    <w:rsid w:val="00667ADE"/>
    <w:rsid w:val="00670108"/>
    <w:rsid w:val="00670F78"/>
    <w:rsid w:val="0067227E"/>
    <w:rsid w:val="006725CA"/>
    <w:rsid w:val="006727D2"/>
    <w:rsid w:val="006729C4"/>
    <w:rsid w:val="00672F5F"/>
    <w:rsid w:val="00674508"/>
    <w:rsid w:val="00675410"/>
    <w:rsid w:val="00677245"/>
    <w:rsid w:val="00681510"/>
    <w:rsid w:val="00681606"/>
    <w:rsid w:val="00681AAA"/>
    <w:rsid w:val="00681ADC"/>
    <w:rsid w:val="006823D6"/>
    <w:rsid w:val="006846A9"/>
    <w:rsid w:val="006851A5"/>
    <w:rsid w:val="0068530E"/>
    <w:rsid w:val="0068575F"/>
    <w:rsid w:val="00685937"/>
    <w:rsid w:val="00685D89"/>
    <w:rsid w:val="00686CAF"/>
    <w:rsid w:val="00687704"/>
    <w:rsid w:val="006907AD"/>
    <w:rsid w:val="006911A0"/>
    <w:rsid w:val="006913B5"/>
    <w:rsid w:val="006921A1"/>
    <w:rsid w:val="00692437"/>
    <w:rsid w:val="00693D40"/>
    <w:rsid w:val="00695AE1"/>
    <w:rsid w:val="0069614D"/>
    <w:rsid w:val="006A1904"/>
    <w:rsid w:val="006A3113"/>
    <w:rsid w:val="006A3247"/>
    <w:rsid w:val="006A32AA"/>
    <w:rsid w:val="006A3772"/>
    <w:rsid w:val="006A4092"/>
    <w:rsid w:val="006A44C1"/>
    <w:rsid w:val="006A4999"/>
    <w:rsid w:val="006A5E11"/>
    <w:rsid w:val="006A5F06"/>
    <w:rsid w:val="006A727F"/>
    <w:rsid w:val="006A73C5"/>
    <w:rsid w:val="006A7E5D"/>
    <w:rsid w:val="006B142C"/>
    <w:rsid w:val="006B1D14"/>
    <w:rsid w:val="006B208E"/>
    <w:rsid w:val="006B28C4"/>
    <w:rsid w:val="006B29D5"/>
    <w:rsid w:val="006B2F38"/>
    <w:rsid w:val="006B3176"/>
    <w:rsid w:val="006B57BA"/>
    <w:rsid w:val="006B5D8A"/>
    <w:rsid w:val="006B6434"/>
    <w:rsid w:val="006C2E72"/>
    <w:rsid w:val="006C3D70"/>
    <w:rsid w:val="006C3DBA"/>
    <w:rsid w:val="006C41AA"/>
    <w:rsid w:val="006C4FDB"/>
    <w:rsid w:val="006C5743"/>
    <w:rsid w:val="006C5E43"/>
    <w:rsid w:val="006C60D1"/>
    <w:rsid w:val="006C657E"/>
    <w:rsid w:val="006C6582"/>
    <w:rsid w:val="006C785C"/>
    <w:rsid w:val="006C7D95"/>
    <w:rsid w:val="006D0A5C"/>
    <w:rsid w:val="006D0B5D"/>
    <w:rsid w:val="006D1169"/>
    <w:rsid w:val="006D1AD5"/>
    <w:rsid w:val="006D2646"/>
    <w:rsid w:val="006D2983"/>
    <w:rsid w:val="006D3D37"/>
    <w:rsid w:val="006D40A1"/>
    <w:rsid w:val="006D40B2"/>
    <w:rsid w:val="006D49B1"/>
    <w:rsid w:val="006D54BB"/>
    <w:rsid w:val="006D5E01"/>
    <w:rsid w:val="006D61D1"/>
    <w:rsid w:val="006D6479"/>
    <w:rsid w:val="006D6807"/>
    <w:rsid w:val="006D749A"/>
    <w:rsid w:val="006E00EA"/>
    <w:rsid w:val="006E0975"/>
    <w:rsid w:val="006E0AC6"/>
    <w:rsid w:val="006E1935"/>
    <w:rsid w:val="006E19F3"/>
    <w:rsid w:val="006E27B9"/>
    <w:rsid w:val="006E2E17"/>
    <w:rsid w:val="006E3120"/>
    <w:rsid w:val="006E39EC"/>
    <w:rsid w:val="006E3B2D"/>
    <w:rsid w:val="006E417F"/>
    <w:rsid w:val="006E68C8"/>
    <w:rsid w:val="006E6EDA"/>
    <w:rsid w:val="006E7459"/>
    <w:rsid w:val="006E7B68"/>
    <w:rsid w:val="006E7C47"/>
    <w:rsid w:val="006F011A"/>
    <w:rsid w:val="006F02DB"/>
    <w:rsid w:val="006F081D"/>
    <w:rsid w:val="006F22F7"/>
    <w:rsid w:val="006F4626"/>
    <w:rsid w:val="006F4862"/>
    <w:rsid w:val="006F4C8C"/>
    <w:rsid w:val="006F4D67"/>
    <w:rsid w:val="006F72BF"/>
    <w:rsid w:val="006F7430"/>
    <w:rsid w:val="006F778E"/>
    <w:rsid w:val="006F7A60"/>
    <w:rsid w:val="006F7B9E"/>
    <w:rsid w:val="00700626"/>
    <w:rsid w:val="00701418"/>
    <w:rsid w:val="007022CD"/>
    <w:rsid w:val="007045F7"/>
    <w:rsid w:val="007055F7"/>
    <w:rsid w:val="00707DCF"/>
    <w:rsid w:val="00707FEF"/>
    <w:rsid w:val="00711188"/>
    <w:rsid w:val="00711584"/>
    <w:rsid w:val="0071227D"/>
    <w:rsid w:val="00712E47"/>
    <w:rsid w:val="00713507"/>
    <w:rsid w:val="007135C3"/>
    <w:rsid w:val="00713A6E"/>
    <w:rsid w:val="00714B05"/>
    <w:rsid w:val="007156E1"/>
    <w:rsid w:val="007163AA"/>
    <w:rsid w:val="007172FD"/>
    <w:rsid w:val="00717714"/>
    <w:rsid w:val="007177F5"/>
    <w:rsid w:val="00717B49"/>
    <w:rsid w:val="00720DAA"/>
    <w:rsid w:val="00721FF4"/>
    <w:rsid w:val="00722546"/>
    <w:rsid w:val="007237DF"/>
    <w:rsid w:val="00724904"/>
    <w:rsid w:val="00725AA7"/>
    <w:rsid w:val="007263A5"/>
    <w:rsid w:val="00726DAC"/>
    <w:rsid w:val="0072722A"/>
    <w:rsid w:val="007273F0"/>
    <w:rsid w:val="007304CB"/>
    <w:rsid w:val="00732357"/>
    <w:rsid w:val="00732B44"/>
    <w:rsid w:val="00733112"/>
    <w:rsid w:val="007332AD"/>
    <w:rsid w:val="007356DC"/>
    <w:rsid w:val="00735B89"/>
    <w:rsid w:val="0073637B"/>
    <w:rsid w:val="0074016D"/>
    <w:rsid w:val="0074067F"/>
    <w:rsid w:val="00740F62"/>
    <w:rsid w:val="00740F66"/>
    <w:rsid w:val="007424D8"/>
    <w:rsid w:val="00742570"/>
    <w:rsid w:val="00742978"/>
    <w:rsid w:val="00742D80"/>
    <w:rsid w:val="00742EA5"/>
    <w:rsid w:val="00742F88"/>
    <w:rsid w:val="007447CE"/>
    <w:rsid w:val="00744FCB"/>
    <w:rsid w:val="00745491"/>
    <w:rsid w:val="00745527"/>
    <w:rsid w:val="007458C2"/>
    <w:rsid w:val="00745A5D"/>
    <w:rsid w:val="007460C3"/>
    <w:rsid w:val="00746205"/>
    <w:rsid w:val="00746C7E"/>
    <w:rsid w:val="007506D8"/>
    <w:rsid w:val="00750CD0"/>
    <w:rsid w:val="00750DB6"/>
    <w:rsid w:val="007510B0"/>
    <w:rsid w:val="00751434"/>
    <w:rsid w:val="0075183B"/>
    <w:rsid w:val="007527A5"/>
    <w:rsid w:val="00755059"/>
    <w:rsid w:val="00755686"/>
    <w:rsid w:val="007556AE"/>
    <w:rsid w:val="00755E64"/>
    <w:rsid w:val="0075610E"/>
    <w:rsid w:val="00756802"/>
    <w:rsid w:val="00756BEE"/>
    <w:rsid w:val="00757080"/>
    <w:rsid w:val="00757531"/>
    <w:rsid w:val="0075759F"/>
    <w:rsid w:val="00757869"/>
    <w:rsid w:val="0076073C"/>
    <w:rsid w:val="00760AEE"/>
    <w:rsid w:val="00760F83"/>
    <w:rsid w:val="00761C8D"/>
    <w:rsid w:val="007625E7"/>
    <w:rsid w:val="0076296D"/>
    <w:rsid w:val="007634F3"/>
    <w:rsid w:val="0076357D"/>
    <w:rsid w:val="00764418"/>
    <w:rsid w:val="007656DA"/>
    <w:rsid w:val="00765927"/>
    <w:rsid w:val="007662FF"/>
    <w:rsid w:val="00770F6F"/>
    <w:rsid w:val="00772CC9"/>
    <w:rsid w:val="00773D41"/>
    <w:rsid w:val="007745AD"/>
    <w:rsid w:val="00774617"/>
    <w:rsid w:val="007753DE"/>
    <w:rsid w:val="00775D5F"/>
    <w:rsid w:val="00775F66"/>
    <w:rsid w:val="00776156"/>
    <w:rsid w:val="00776CEC"/>
    <w:rsid w:val="00776FB8"/>
    <w:rsid w:val="00780E42"/>
    <w:rsid w:val="007842D5"/>
    <w:rsid w:val="007846EA"/>
    <w:rsid w:val="00784821"/>
    <w:rsid w:val="00784997"/>
    <w:rsid w:val="007868C0"/>
    <w:rsid w:val="00786B66"/>
    <w:rsid w:val="0078721B"/>
    <w:rsid w:val="00787C04"/>
    <w:rsid w:val="00790013"/>
    <w:rsid w:val="00791121"/>
    <w:rsid w:val="0079221C"/>
    <w:rsid w:val="0079246A"/>
    <w:rsid w:val="007928CB"/>
    <w:rsid w:val="00793181"/>
    <w:rsid w:val="00793AFD"/>
    <w:rsid w:val="00793E18"/>
    <w:rsid w:val="00794601"/>
    <w:rsid w:val="00794641"/>
    <w:rsid w:val="007954EF"/>
    <w:rsid w:val="00796B12"/>
    <w:rsid w:val="007A0937"/>
    <w:rsid w:val="007A0ABE"/>
    <w:rsid w:val="007A280C"/>
    <w:rsid w:val="007A2D86"/>
    <w:rsid w:val="007A36DB"/>
    <w:rsid w:val="007A3853"/>
    <w:rsid w:val="007A3C7B"/>
    <w:rsid w:val="007A5063"/>
    <w:rsid w:val="007A5661"/>
    <w:rsid w:val="007A5674"/>
    <w:rsid w:val="007A57DC"/>
    <w:rsid w:val="007A5861"/>
    <w:rsid w:val="007A6995"/>
    <w:rsid w:val="007A72F5"/>
    <w:rsid w:val="007B1578"/>
    <w:rsid w:val="007B269C"/>
    <w:rsid w:val="007B2FDD"/>
    <w:rsid w:val="007B35E9"/>
    <w:rsid w:val="007B3774"/>
    <w:rsid w:val="007B37DA"/>
    <w:rsid w:val="007B4CDE"/>
    <w:rsid w:val="007B60DC"/>
    <w:rsid w:val="007B64E7"/>
    <w:rsid w:val="007C00FD"/>
    <w:rsid w:val="007C0104"/>
    <w:rsid w:val="007C038D"/>
    <w:rsid w:val="007C03C6"/>
    <w:rsid w:val="007C08A7"/>
    <w:rsid w:val="007C19EF"/>
    <w:rsid w:val="007C1C95"/>
    <w:rsid w:val="007C213F"/>
    <w:rsid w:val="007C2E61"/>
    <w:rsid w:val="007C4108"/>
    <w:rsid w:val="007C5544"/>
    <w:rsid w:val="007C588B"/>
    <w:rsid w:val="007C6897"/>
    <w:rsid w:val="007C7155"/>
    <w:rsid w:val="007C7216"/>
    <w:rsid w:val="007C7329"/>
    <w:rsid w:val="007C7864"/>
    <w:rsid w:val="007C79D1"/>
    <w:rsid w:val="007D0224"/>
    <w:rsid w:val="007D1163"/>
    <w:rsid w:val="007D2647"/>
    <w:rsid w:val="007D3759"/>
    <w:rsid w:val="007D5DE0"/>
    <w:rsid w:val="007E10A9"/>
    <w:rsid w:val="007E2115"/>
    <w:rsid w:val="007E2540"/>
    <w:rsid w:val="007E33DA"/>
    <w:rsid w:val="007E42E6"/>
    <w:rsid w:val="007E4A16"/>
    <w:rsid w:val="007E5177"/>
    <w:rsid w:val="007E6C13"/>
    <w:rsid w:val="007F0969"/>
    <w:rsid w:val="007F0A9E"/>
    <w:rsid w:val="007F0B3C"/>
    <w:rsid w:val="007F25FF"/>
    <w:rsid w:val="007F2EBD"/>
    <w:rsid w:val="007F40E0"/>
    <w:rsid w:val="007F504F"/>
    <w:rsid w:val="007F5835"/>
    <w:rsid w:val="007F5985"/>
    <w:rsid w:val="007F6B90"/>
    <w:rsid w:val="007F6C6C"/>
    <w:rsid w:val="007F753F"/>
    <w:rsid w:val="00800903"/>
    <w:rsid w:val="00801577"/>
    <w:rsid w:val="0080190D"/>
    <w:rsid w:val="00802339"/>
    <w:rsid w:val="00802E5E"/>
    <w:rsid w:val="00803443"/>
    <w:rsid w:val="00803AAB"/>
    <w:rsid w:val="00803E12"/>
    <w:rsid w:val="008043D7"/>
    <w:rsid w:val="0080472E"/>
    <w:rsid w:val="0080523B"/>
    <w:rsid w:val="0080556D"/>
    <w:rsid w:val="00805EFE"/>
    <w:rsid w:val="00806D8D"/>
    <w:rsid w:val="00810038"/>
    <w:rsid w:val="008107BA"/>
    <w:rsid w:val="008114ED"/>
    <w:rsid w:val="00811EA3"/>
    <w:rsid w:val="008124AC"/>
    <w:rsid w:val="00812CB4"/>
    <w:rsid w:val="0081407D"/>
    <w:rsid w:val="0081505B"/>
    <w:rsid w:val="00815122"/>
    <w:rsid w:val="008154CC"/>
    <w:rsid w:val="008160F0"/>
    <w:rsid w:val="008166C3"/>
    <w:rsid w:val="00816A10"/>
    <w:rsid w:val="00817659"/>
    <w:rsid w:val="00817C64"/>
    <w:rsid w:val="008207A6"/>
    <w:rsid w:val="00821D09"/>
    <w:rsid w:val="00821E85"/>
    <w:rsid w:val="0082440D"/>
    <w:rsid w:val="00825324"/>
    <w:rsid w:val="008253ED"/>
    <w:rsid w:val="00825B06"/>
    <w:rsid w:val="00825C14"/>
    <w:rsid w:val="00827428"/>
    <w:rsid w:val="008305FC"/>
    <w:rsid w:val="00832D79"/>
    <w:rsid w:val="008330A1"/>
    <w:rsid w:val="008331C0"/>
    <w:rsid w:val="0083374D"/>
    <w:rsid w:val="00833ACD"/>
    <w:rsid w:val="0083424B"/>
    <w:rsid w:val="00834359"/>
    <w:rsid w:val="00834D8C"/>
    <w:rsid w:val="0083617A"/>
    <w:rsid w:val="00837609"/>
    <w:rsid w:val="00837873"/>
    <w:rsid w:val="00840056"/>
    <w:rsid w:val="00841399"/>
    <w:rsid w:val="008424C7"/>
    <w:rsid w:val="008428BD"/>
    <w:rsid w:val="0084311F"/>
    <w:rsid w:val="0084336D"/>
    <w:rsid w:val="00843F39"/>
    <w:rsid w:val="008443C2"/>
    <w:rsid w:val="0084448C"/>
    <w:rsid w:val="00845FDC"/>
    <w:rsid w:val="00846186"/>
    <w:rsid w:val="00846D02"/>
    <w:rsid w:val="00847D73"/>
    <w:rsid w:val="00847F6D"/>
    <w:rsid w:val="00851E48"/>
    <w:rsid w:val="00852D43"/>
    <w:rsid w:val="00852E1F"/>
    <w:rsid w:val="00854A74"/>
    <w:rsid w:val="00855615"/>
    <w:rsid w:val="00855664"/>
    <w:rsid w:val="0085624F"/>
    <w:rsid w:val="008565A7"/>
    <w:rsid w:val="00856A3C"/>
    <w:rsid w:val="00856E01"/>
    <w:rsid w:val="00857222"/>
    <w:rsid w:val="0085746D"/>
    <w:rsid w:val="00857480"/>
    <w:rsid w:val="008579AF"/>
    <w:rsid w:val="00857D84"/>
    <w:rsid w:val="00860498"/>
    <w:rsid w:val="0086059D"/>
    <w:rsid w:val="008615D3"/>
    <w:rsid w:val="0086179C"/>
    <w:rsid w:val="0086194A"/>
    <w:rsid w:val="00861B8B"/>
    <w:rsid w:val="00861FE4"/>
    <w:rsid w:val="00862C1D"/>
    <w:rsid w:val="0086440B"/>
    <w:rsid w:val="0086502F"/>
    <w:rsid w:val="008664BE"/>
    <w:rsid w:val="008670E9"/>
    <w:rsid w:val="0086741F"/>
    <w:rsid w:val="008675DC"/>
    <w:rsid w:val="0086764F"/>
    <w:rsid w:val="0087052C"/>
    <w:rsid w:val="00871B1C"/>
    <w:rsid w:val="00871BF6"/>
    <w:rsid w:val="00872CAD"/>
    <w:rsid w:val="008735CD"/>
    <w:rsid w:val="008736C7"/>
    <w:rsid w:val="00874570"/>
    <w:rsid w:val="00875E54"/>
    <w:rsid w:val="00875F47"/>
    <w:rsid w:val="00876233"/>
    <w:rsid w:val="00877B84"/>
    <w:rsid w:val="0088025E"/>
    <w:rsid w:val="00881AC8"/>
    <w:rsid w:val="008831F2"/>
    <w:rsid w:val="00883AA7"/>
    <w:rsid w:val="008842A2"/>
    <w:rsid w:val="0088445E"/>
    <w:rsid w:val="008852BF"/>
    <w:rsid w:val="00886BB7"/>
    <w:rsid w:val="00887248"/>
    <w:rsid w:val="008878BD"/>
    <w:rsid w:val="00887CC1"/>
    <w:rsid w:val="00890895"/>
    <w:rsid w:val="0089158B"/>
    <w:rsid w:val="00891BCC"/>
    <w:rsid w:val="00892E16"/>
    <w:rsid w:val="00893253"/>
    <w:rsid w:val="008934E0"/>
    <w:rsid w:val="008938CE"/>
    <w:rsid w:val="00894C7A"/>
    <w:rsid w:val="008953E5"/>
    <w:rsid w:val="00895C20"/>
    <w:rsid w:val="00895E0A"/>
    <w:rsid w:val="00896094"/>
    <w:rsid w:val="008965FB"/>
    <w:rsid w:val="00897680"/>
    <w:rsid w:val="008A0420"/>
    <w:rsid w:val="008A0951"/>
    <w:rsid w:val="008A0FB0"/>
    <w:rsid w:val="008A16B3"/>
    <w:rsid w:val="008A1D78"/>
    <w:rsid w:val="008A40F0"/>
    <w:rsid w:val="008A498B"/>
    <w:rsid w:val="008A4FB7"/>
    <w:rsid w:val="008A4FBE"/>
    <w:rsid w:val="008A5186"/>
    <w:rsid w:val="008A5B5D"/>
    <w:rsid w:val="008A63B1"/>
    <w:rsid w:val="008A65F6"/>
    <w:rsid w:val="008A6E78"/>
    <w:rsid w:val="008A6FC7"/>
    <w:rsid w:val="008A7A77"/>
    <w:rsid w:val="008A7C11"/>
    <w:rsid w:val="008A7D2C"/>
    <w:rsid w:val="008B006E"/>
    <w:rsid w:val="008B28F1"/>
    <w:rsid w:val="008B56CE"/>
    <w:rsid w:val="008B5E95"/>
    <w:rsid w:val="008B608B"/>
    <w:rsid w:val="008C0C0F"/>
    <w:rsid w:val="008C1E40"/>
    <w:rsid w:val="008C27CD"/>
    <w:rsid w:val="008C2DE6"/>
    <w:rsid w:val="008C4786"/>
    <w:rsid w:val="008C4A14"/>
    <w:rsid w:val="008C5183"/>
    <w:rsid w:val="008C7138"/>
    <w:rsid w:val="008D0C36"/>
    <w:rsid w:val="008D1340"/>
    <w:rsid w:val="008D1436"/>
    <w:rsid w:val="008D20E8"/>
    <w:rsid w:val="008D2CB2"/>
    <w:rsid w:val="008D4068"/>
    <w:rsid w:val="008D4EF2"/>
    <w:rsid w:val="008D5BA1"/>
    <w:rsid w:val="008D6A59"/>
    <w:rsid w:val="008D70C8"/>
    <w:rsid w:val="008D7AC0"/>
    <w:rsid w:val="008E0AAE"/>
    <w:rsid w:val="008E19A8"/>
    <w:rsid w:val="008E22A4"/>
    <w:rsid w:val="008E3968"/>
    <w:rsid w:val="008E40B0"/>
    <w:rsid w:val="008E49A5"/>
    <w:rsid w:val="008E56E6"/>
    <w:rsid w:val="008E658A"/>
    <w:rsid w:val="008E6D2A"/>
    <w:rsid w:val="008E6FD8"/>
    <w:rsid w:val="008E7352"/>
    <w:rsid w:val="008E7A8E"/>
    <w:rsid w:val="008E7E45"/>
    <w:rsid w:val="008E7EB9"/>
    <w:rsid w:val="008F0A2F"/>
    <w:rsid w:val="008F0AA0"/>
    <w:rsid w:val="008F0C84"/>
    <w:rsid w:val="008F1A30"/>
    <w:rsid w:val="008F265A"/>
    <w:rsid w:val="008F268F"/>
    <w:rsid w:val="008F2C7E"/>
    <w:rsid w:val="008F31FF"/>
    <w:rsid w:val="008F3515"/>
    <w:rsid w:val="008F3CE5"/>
    <w:rsid w:val="008F430B"/>
    <w:rsid w:val="008F4DCB"/>
    <w:rsid w:val="008F5FE3"/>
    <w:rsid w:val="008F623E"/>
    <w:rsid w:val="008F7970"/>
    <w:rsid w:val="009003FF"/>
    <w:rsid w:val="009007A8"/>
    <w:rsid w:val="00901DE7"/>
    <w:rsid w:val="00902EDB"/>
    <w:rsid w:val="0090366E"/>
    <w:rsid w:val="00903DD2"/>
    <w:rsid w:val="00904EB8"/>
    <w:rsid w:val="00906633"/>
    <w:rsid w:val="00910445"/>
    <w:rsid w:val="00910937"/>
    <w:rsid w:val="00910E53"/>
    <w:rsid w:val="00911B9D"/>
    <w:rsid w:val="00911F74"/>
    <w:rsid w:val="0091320B"/>
    <w:rsid w:val="00913B5D"/>
    <w:rsid w:val="009146B3"/>
    <w:rsid w:val="009156BD"/>
    <w:rsid w:val="0091579B"/>
    <w:rsid w:val="00916989"/>
    <w:rsid w:val="009172B5"/>
    <w:rsid w:val="009175FE"/>
    <w:rsid w:val="00917B24"/>
    <w:rsid w:val="00920FF9"/>
    <w:rsid w:val="009252EE"/>
    <w:rsid w:val="00926FB5"/>
    <w:rsid w:val="00927147"/>
    <w:rsid w:val="0092727E"/>
    <w:rsid w:val="009279BC"/>
    <w:rsid w:val="00927F7F"/>
    <w:rsid w:val="00930C6B"/>
    <w:rsid w:val="00930D90"/>
    <w:rsid w:val="009319D8"/>
    <w:rsid w:val="00932189"/>
    <w:rsid w:val="00932395"/>
    <w:rsid w:val="009323C6"/>
    <w:rsid w:val="009329BF"/>
    <w:rsid w:val="009333A1"/>
    <w:rsid w:val="009339FE"/>
    <w:rsid w:val="00933FDC"/>
    <w:rsid w:val="009344F4"/>
    <w:rsid w:val="009345AD"/>
    <w:rsid w:val="00934CA2"/>
    <w:rsid w:val="00935DB8"/>
    <w:rsid w:val="00936088"/>
    <w:rsid w:val="009365B2"/>
    <w:rsid w:val="00936E73"/>
    <w:rsid w:val="0093783A"/>
    <w:rsid w:val="0094131D"/>
    <w:rsid w:val="00941688"/>
    <w:rsid w:val="00944A58"/>
    <w:rsid w:val="00944C07"/>
    <w:rsid w:val="00945F47"/>
    <w:rsid w:val="0094622C"/>
    <w:rsid w:val="009468C1"/>
    <w:rsid w:val="00946CB6"/>
    <w:rsid w:val="00947063"/>
    <w:rsid w:val="009474A9"/>
    <w:rsid w:val="009474BD"/>
    <w:rsid w:val="00947EF9"/>
    <w:rsid w:val="009508E1"/>
    <w:rsid w:val="00951517"/>
    <w:rsid w:val="0095171E"/>
    <w:rsid w:val="00952071"/>
    <w:rsid w:val="009524B9"/>
    <w:rsid w:val="00953B77"/>
    <w:rsid w:val="00953D02"/>
    <w:rsid w:val="009551D2"/>
    <w:rsid w:val="0095569A"/>
    <w:rsid w:val="00955BFC"/>
    <w:rsid w:val="00956080"/>
    <w:rsid w:val="00956641"/>
    <w:rsid w:val="00956D55"/>
    <w:rsid w:val="00957692"/>
    <w:rsid w:val="00957988"/>
    <w:rsid w:val="00957BDA"/>
    <w:rsid w:val="009602E0"/>
    <w:rsid w:val="00961A87"/>
    <w:rsid w:val="00962D6A"/>
    <w:rsid w:val="009634AE"/>
    <w:rsid w:val="009636F6"/>
    <w:rsid w:val="00964E8D"/>
    <w:rsid w:val="009651D0"/>
    <w:rsid w:val="00965249"/>
    <w:rsid w:val="0096527B"/>
    <w:rsid w:val="00965398"/>
    <w:rsid w:val="009660FA"/>
    <w:rsid w:val="00966614"/>
    <w:rsid w:val="009672A0"/>
    <w:rsid w:val="009675B4"/>
    <w:rsid w:val="00967803"/>
    <w:rsid w:val="00970DA6"/>
    <w:rsid w:val="0097258B"/>
    <w:rsid w:val="009726DE"/>
    <w:rsid w:val="00972967"/>
    <w:rsid w:val="0097379B"/>
    <w:rsid w:val="00974417"/>
    <w:rsid w:val="00974AE9"/>
    <w:rsid w:val="0097565A"/>
    <w:rsid w:val="00975726"/>
    <w:rsid w:val="00975B67"/>
    <w:rsid w:val="0097668D"/>
    <w:rsid w:val="00977913"/>
    <w:rsid w:val="00980615"/>
    <w:rsid w:val="00981224"/>
    <w:rsid w:val="00982211"/>
    <w:rsid w:val="009824A5"/>
    <w:rsid w:val="0098262A"/>
    <w:rsid w:val="009829DB"/>
    <w:rsid w:val="00983876"/>
    <w:rsid w:val="00983973"/>
    <w:rsid w:val="00983D23"/>
    <w:rsid w:val="00984231"/>
    <w:rsid w:val="00984681"/>
    <w:rsid w:val="00985905"/>
    <w:rsid w:val="009861A4"/>
    <w:rsid w:val="00986FA1"/>
    <w:rsid w:val="0099006C"/>
    <w:rsid w:val="009905BE"/>
    <w:rsid w:val="00990CFA"/>
    <w:rsid w:val="00990EDA"/>
    <w:rsid w:val="00992C49"/>
    <w:rsid w:val="00992FA5"/>
    <w:rsid w:val="0099319F"/>
    <w:rsid w:val="00993EE8"/>
    <w:rsid w:val="0099442B"/>
    <w:rsid w:val="0099465D"/>
    <w:rsid w:val="00994E50"/>
    <w:rsid w:val="009958D2"/>
    <w:rsid w:val="0099630D"/>
    <w:rsid w:val="0099662E"/>
    <w:rsid w:val="00996B54"/>
    <w:rsid w:val="00996E44"/>
    <w:rsid w:val="00997125"/>
    <w:rsid w:val="00997C1A"/>
    <w:rsid w:val="00997E2E"/>
    <w:rsid w:val="009A02B8"/>
    <w:rsid w:val="009A0C9C"/>
    <w:rsid w:val="009A3374"/>
    <w:rsid w:val="009A35BD"/>
    <w:rsid w:val="009A3E5C"/>
    <w:rsid w:val="009A4189"/>
    <w:rsid w:val="009A4C7D"/>
    <w:rsid w:val="009A4E29"/>
    <w:rsid w:val="009A5523"/>
    <w:rsid w:val="009A7686"/>
    <w:rsid w:val="009A7E39"/>
    <w:rsid w:val="009A7F77"/>
    <w:rsid w:val="009B0B2F"/>
    <w:rsid w:val="009B11F9"/>
    <w:rsid w:val="009B47B3"/>
    <w:rsid w:val="009B4937"/>
    <w:rsid w:val="009B5015"/>
    <w:rsid w:val="009B5C5A"/>
    <w:rsid w:val="009B6B8C"/>
    <w:rsid w:val="009B6C0E"/>
    <w:rsid w:val="009B7FA1"/>
    <w:rsid w:val="009C0ABD"/>
    <w:rsid w:val="009C0B38"/>
    <w:rsid w:val="009C11B8"/>
    <w:rsid w:val="009C13B9"/>
    <w:rsid w:val="009C2743"/>
    <w:rsid w:val="009C2CF1"/>
    <w:rsid w:val="009C3B95"/>
    <w:rsid w:val="009C4C00"/>
    <w:rsid w:val="009C58EA"/>
    <w:rsid w:val="009C649A"/>
    <w:rsid w:val="009C6A28"/>
    <w:rsid w:val="009C6FF8"/>
    <w:rsid w:val="009D0503"/>
    <w:rsid w:val="009D092A"/>
    <w:rsid w:val="009D0F4A"/>
    <w:rsid w:val="009D19CB"/>
    <w:rsid w:val="009D1C48"/>
    <w:rsid w:val="009D31C6"/>
    <w:rsid w:val="009D3892"/>
    <w:rsid w:val="009D6382"/>
    <w:rsid w:val="009D67B7"/>
    <w:rsid w:val="009E05CF"/>
    <w:rsid w:val="009E0739"/>
    <w:rsid w:val="009E0DAC"/>
    <w:rsid w:val="009E13A4"/>
    <w:rsid w:val="009E1704"/>
    <w:rsid w:val="009E1BB0"/>
    <w:rsid w:val="009E1DD5"/>
    <w:rsid w:val="009E2171"/>
    <w:rsid w:val="009E3D06"/>
    <w:rsid w:val="009E4ADC"/>
    <w:rsid w:val="009E5237"/>
    <w:rsid w:val="009E6034"/>
    <w:rsid w:val="009E6233"/>
    <w:rsid w:val="009E6A92"/>
    <w:rsid w:val="009E7C58"/>
    <w:rsid w:val="009F016C"/>
    <w:rsid w:val="009F05B2"/>
    <w:rsid w:val="009F22F0"/>
    <w:rsid w:val="009F25C1"/>
    <w:rsid w:val="009F288C"/>
    <w:rsid w:val="009F28F0"/>
    <w:rsid w:val="009F2AA5"/>
    <w:rsid w:val="009F33FC"/>
    <w:rsid w:val="009F34C0"/>
    <w:rsid w:val="009F3690"/>
    <w:rsid w:val="009F3C26"/>
    <w:rsid w:val="009F4413"/>
    <w:rsid w:val="009F4468"/>
    <w:rsid w:val="009F642A"/>
    <w:rsid w:val="00A00FC6"/>
    <w:rsid w:val="00A01AE3"/>
    <w:rsid w:val="00A03B39"/>
    <w:rsid w:val="00A04555"/>
    <w:rsid w:val="00A0615C"/>
    <w:rsid w:val="00A06530"/>
    <w:rsid w:val="00A067FA"/>
    <w:rsid w:val="00A1105F"/>
    <w:rsid w:val="00A11461"/>
    <w:rsid w:val="00A12D2D"/>
    <w:rsid w:val="00A133E8"/>
    <w:rsid w:val="00A13C92"/>
    <w:rsid w:val="00A13E1F"/>
    <w:rsid w:val="00A14B5D"/>
    <w:rsid w:val="00A15C20"/>
    <w:rsid w:val="00A15CBF"/>
    <w:rsid w:val="00A16457"/>
    <w:rsid w:val="00A17431"/>
    <w:rsid w:val="00A17947"/>
    <w:rsid w:val="00A2098B"/>
    <w:rsid w:val="00A21208"/>
    <w:rsid w:val="00A23D62"/>
    <w:rsid w:val="00A24FB1"/>
    <w:rsid w:val="00A25216"/>
    <w:rsid w:val="00A25DCA"/>
    <w:rsid w:val="00A26018"/>
    <w:rsid w:val="00A30095"/>
    <w:rsid w:val="00A30B6E"/>
    <w:rsid w:val="00A321A2"/>
    <w:rsid w:val="00A33993"/>
    <w:rsid w:val="00A33BA9"/>
    <w:rsid w:val="00A33C45"/>
    <w:rsid w:val="00A3522F"/>
    <w:rsid w:val="00A3581C"/>
    <w:rsid w:val="00A36EA1"/>
    <w:rsid w:val="00A36EE9"/>
    <w:rsid w:val="00A37148"/>
    <w:rsid w:val="00A37D63"/>
    <w:rsid w:val="00A37EA6"/>
    <w:rsid w:val="00A4130A"/>
    <w:rsid w:val="00A4198D"/>
    <w:rsid w:val="00A444FB"/>
    <w:rsid w:val="00A4495C"/>
    <w:rsid w:val="00A44A53"/>
    <w:rsid w:val="00A44C18"/>
    <w:rsid w:val="00A45109"/>
    <w:rsid w:val="00A45D9F"/>
    <w:rsid w:val="00A45F0C"/>
    <w:rsid w:val="00A47773"/>
    <w:rsid w:val="00A50ABE"/>
    <w:rsid w:val="00A51702"/>
    <w:rsid w:val="00A5181E"/>
    <w:rsid w:val="00A52048"/>
    <w:rsid w:val="00A52A7D"/>
    <w:rsid w:val="00A52BCB"/>
    <w:rsid w:val="00A52CC1"/>
    <w:rsid w:val="00A55012"/>
    <w:rsid w:val="00A55B61"/>
    <w:rsid w:val="00A55D5D"/>
    <w:rsid w:val="00A56E0B"/>
    <w:rsid w:val="00A570F3"/>
    <w:rsid w:val="00A577B8"/>
    <w:rsid w:val="00A57DA1"/>
    <w:rsid w:val="00A6109A"/>
    <w:rsid w:val="00A620CC"/>
    <w:rsid w:val="00A63ADE"/>
    <w:rsid w:val="00A63F16"/>
    <w:rsid w:val="00A64B26"/>
    <w:rsid w:val="00A6513E"/>
    <w:rsid w:val="00A658A9"/>
    <w:rsid w:val="00A65D54"/>
    <w:rsid w:val="00A66403"/>
    <w:rsid w:val="00A66557"/>
    <w:rsid w:val="00A66972"/>
    <w:rsid w:val="00A669F0"/>
    <w:rsid w:val="00A66B4F"/>
    <w:rsid w:val="00A66C7E"/>
    <w:rsid w:val="00A67531"/>
    <w:rsid w:val="00A7100B"/>
    <w:rsid w:val="00A7120D"/>
    <w:rsid w:val="00A7130A"/>
    <w:rsid w:val="00A71AE7"/>
    <w:rsid w:val="00A7259A"/>
    <w:rsid w:val="00A72A13"/>
    <w:rsid w:val="00A73355"/>
    <w:rsid w:val="00A73832"/>
    <w:rsid w:val="00A7471C"/>
    <w:rsid w:val="00A7497F"/>
    <w:rsid w:val="00A749D9"/>
    <w:rsid w:val="00A74E7E"/>
    <w:rsid w:val="00A752F6"/>
    <w:rsid w:val="00A75489"/>
    <w:rsid w:val="00A75D92"/>
    <w:rsid w:val="00A76620"/>
    <w:rsid w:val="00A77950"/>
    <w:rsid w:val="00A77CB8"/>
    <w:rsid w:val="00A80009"/>
    <w:rsid w:val="00A806FE"/>
    <w:rsid w:val="00A811D0"/>
    <w:rsid w:val="00A81ABD"/>
    <w:rsid w:val="00A822BF"/>
    <w:rsid w:val="00A829B4"/>
    <w:rsid w:val="00A82A22"/>
    <w:rsid w:val="00A82D27"/>
    <w:rsid w:val="00A83B99"/>
    <w:rsid w:val="00A843B8"/>
    <w:rsid w:val="00A844EF"/>
    <w:rsid w:val="00A84A63"/>
    <w:rsid w:val="00A85190"/>
    <w:rsid w:val="00A85B4C"/>
    <w:rsid w:val="00A85C38"/>
    <w:rsid w:val="00A863D1"/>
    <w:rsid w:val="00A868CB"/>
    <w:rsid w:val="00A86BC5"/>
    <w:rsid w:val="00A87974"/>
    <w:rsid w:val="00A91895"/>
    <w:rsid w:val="00A91A40"/>
    <w:rsid w:val="00A91E45"/>
    <w:rsid w:val="00A92858"/>
    <w:rsid w:val="00A93479"/>
    <w:rsid w:val="00A94779"/>
    <w:rsid w:val="00A94AEF"/>
    <w:rsid w:val="00A9565C"/>
    <w:rsid w:val="00A95887"/>
    <w:rsid w:val="00A958C1"/>
    <w:rsid w:val="00A95C1C"/>
    <w:rsid w:val="00A96535"/>
    <w:rsid w:val="00A9714A"/>
    <w:rsid w:val="00A97347"/>
    <w:rsid w:val="00AA0528"/>
    <w:rsid w:val="00AA09DF"/>
    <w:rsid w:val="00AA0FCF"/>
    <w:rsid w:val="00AA141F"/>
    <w:rsid w:val="00AA144D"/>
    <w:rsid w:val="00AA1598"/>
    <w:rsid w:val="00AA2FE2"/>
    <w:rsid w:val="00AA3625"/>
    <w:rsid w:val="00AA4283"/>
    <w:rsid w:val="00AA465D"/>
    <w:rsid w:val="00AA46E6"/>
    <w:rsid w:val="00AA4740"/>
    <w:rsid w:val="00AA4E6A"/>
    <w:rsid w:val="00AA575B"/>
    <w:rsid w:val="00AA6398"/>
    <w:rsid w:val="00AA6D36"/>
    <w:rsid w:val="00AA6E88"/>
    <w:rsid w:val="00AA7256"/>
    <w:rsid w:val="00AA7BC0"/>
    <w:rsid w:val="00AA7FF1"/>
    <w:rsid w:val="00AB0A41"/>
    <w:rsid w:val="00AB1D3E"/>
    <w:rsid w:val="00AB25B2"/>
    <w:rsid w:val="00AB4BCB"/>
    <w:rsid w:val="00AB53C9"/>
    <w:rsid w:val="00AB5E77"/>
    <w:rsid w:val="00AB63FA"/>
    <w:rsid w:val="00AB643E"/>
    <w:rsid w:val="00AB64F2"/>
    <w:rsid w:val="00AB6870"/>
    <w:rsid w:val="00AC05DA"/>
    <w:rsid w:val="00AC1412"/>
    <w:rsid w:val="00AC16B9"/>
    <w:rsid w:val="00AC3499"/>
    <w:rsid w:val="00AC5241"/>
    <w:rsid w:val="00AC58A1"/>
    <w:rsid w:val="00AC5BCD"/>
    <w:rsid w:val="00AC6B3A"/>
    <w:rsid w:val="00AC71EE"/>
    <w:rsid w:val="00AC7521"/>
    <w:rsid w:val="00AC7E6D"/>
    <w:rsid w:val="00AD0F13"/>
    <w:rsid w:val="00AD17F1"/>
    <w:rsid w:val="00AD3298"/>
    <w:rsid w:val="00AD3607"/>
    <w:rsid w:val="00AD38E2"/>
    <w:rsid w:val="00AD5964"/>
    <w:rsid w:val="00AD59E0"/>
    <w:rsid w:val="00AD62F6"/>
    <w:rsid w:val="00AD76E7"/>
    <w:rsid w:val="00AD7CEB"/>
    <w:rsid w:val="00AE09E2"/>
    <w:rsid w:val="00AE101A"/>
    <w:rsid w:val="00AE1366"/>
    <w:rsid w:val="00AE1898"/>
    <w:rsid w:val="00AE2E96"/>
    <w:rsid w:val="00AE34AA"/>
    <w:rsid w:val="00AE3CB2"/>
    <w:rsid w:val="00AE3E09"/>
    <w:rsid w:val="00AE4225"/>
    <w:rsid w:val="00AE6D25"/>
    <w:rsid w:val="00AE6F79"/>
    <w:rsid w:val="00AE7645"/>
    <w:rsid w:val="00AF0145"/>
    <w:rsid w:val="00AF0EF3"/>
    <w:rsid w:val="00AF2957"/>
    <w:rsid w:val="00AF38F4"/>
    <w:rsid w:val="00AF3A69"/>
    <w:rsid w:val="00AF4BDF"/>
    <w:rsid w:val="00AF616A"/>
    <w:rsid w:val="00AF62F3"/>
    <w:rsid w:val="00AF738B"/>
    <w:rsid w:val="00AF75F2"/>
    <w:rsid w:val="00AF7608"/>
    <w:rsid w:val="00AF7738"/>
    <w:rsid w:val="00AF7E6E"/>
    <w:rsid w:val="00B0017D"/>
    <w:rsid w:val="00B00210"/>
    <w:rsid w:val="00B00FE7"/>
    <w:rsid w:val="00B0109E"/>
    <w:rsid w:val="00B014D6"/>
    <w:rsid w:val="00B015D4"/>
    <w:rsid w:val="00B017CE"/>
    <w:rsid w:val="00B017DF"/>
    <w:rsid w:val="00B01E34"/>
    <w:rsid w:val="00B028E2"/>
    <w:rsid w:val="00B03C84"/>
    <w:rsid w:val="00B07BE9"/>
    <w:rsid w:val="00B07F2D"/>
    <w:rsid w:val="00B109E0"/>
    <w:rsid w:val="00B109EF"/>
    <w:rsid w:val="00B1196D"/>
    <w:rsid w:val="00B11B05"/>
    <w:rsid w:val="00B1234C"/>
    <w:rsid w:val="00B127E3"/>
    <w:rsid w:val="00B129F7"/>
    <w:rsid w:val="00B13370"/>
    <w:rsid w:val="00B1376E"/>
    <w:rsid w:val="00B13B74"/>
    <w:rsid w:val="00B13C45"/>
    <w:rsid w:val="00B1472D"/>
    <w:rsid w:val="00B14E90"/>
    <w:rsid w:val="00B15208"/>
    <w:rsid w:val="00B153A2"/>
    <w:rsid w:val="00B162D8"/>
    <w:rsid w:val="00B167C4"/>
    <w:rsid w:val="00B170C0"/>
    <w:rsid w:val="00B17544"/>
    <w:rsid w:val="00B17A81"/>
    <w:rsid w:val="00B17E76"/>
    <w:rsid w:val="00B21028"/>
    <w:rsid w:val="00B2143B"/>
    <w:rsid w:val="00B218F2"/>
    <w:rsid w:val="00B21E90"/>
    <w:rsid w:val="00B22411"/>
    <w:rsid w:val="00B22623"/>
    <w:rsid w:val="00B228A8"/>
    <w:rsid w:val="00B23597"/>
    <w:rsid w:val="00B246C6"/>
    <w:rsid w:val="00B2613E"/>
    <w:rsid w:val="00B26C27"/>
    <w:rsid w:val="00B26EBA"/>
    <w:rsid w:val="00B26EBC"/>
    <w:rsid w:val="00B278FB"/>
    <w:rsid w:val="00B3016D"/>
    <w:rsid w:val="00B307CD"/>
    <w:rsid w:val="00B30AB5"/>
    <w:rsid w:val="00B3129C"/>
    <w:rsid w:val="00B3184F"/>
    <w:rsid w:val="00B3186B"/>
    <w:rsid w:val="00B32047"/>
    <w:rsid w:val="00B320A0"/>
    <w:rsid w:val="00B32324"/>
    <w:rsid w:val="00B32862"/>
    <w:rsid w:val="00B32F28"/>
    <w:rsid w:val="00B33223"/>
    <w:rsid w:val="00B332AE"/>
    <w:rsid w:val="00B3381D"/>
    <w:rsid w:val="00B3382E"/>
    <w:rsid w:val="00B341C6"/>
    <w:rsid w:val="00B34E51"/>
    <w:rsid w:val="00B34F57"/>
    <w:rsid w:val="00B35434"/>
    <w:rsid w:val="00B35C7A"/>
    <w:rsid w:val="00B35F9A"/>
    <w:rsid w:val="00B36053"/>
    <w:rsid w:val="00B36465"/>
    <w:rsid w:val="00B367DE"/>
    <w:rsid w:val="00B36865"/>
    <w:rsid w:val="00B37065"/>
    <w:rsid w:val="00B372F1"/>
    <w:rsid w:val="00B37C12"/>
    <w:rsid w:val="00B414EE"/>
    <w:rsid w:val="00B42036"/>
    <w:rsid w:val="00B42584"/>
    <w:rsid w:val="00B435D9"/>
    <w:rsid w:val="00B437EE"/>
    <w:rsid w:val="00B43EE4"/>
    <w:rsid w:val="00B454E7"/>
    <w:rsid w:val="00B45B5C"/>
    <w:rsid w:val="00B473D3"/>
    <w:rsid w:val="00B51A0F"/>
    <w:rsid w:val="00B51EF3"/>
    <w:rsid w:val="00B52255"/>
    <w:rsid w:val="00B52B94"/>
    <w:rsid w:val="00B52C7C"/>
    <w:rsid w:val="00B52C95"/>
    <w:rsid w:val="00B52E6E"/>
    <w:rsid w:val="00B53B55"/>
    <w:rsid w:val="00B53CB9"/>
    <w:rsid w:val="00B54A2F"/>
    <w:rsid w:val="00B5711D"/>
    <w:rsid w:val="00B57322"/>
    <w:rsid w:val="00B57973"/>
    <w:rsid w:val="00B6044D"/>
    <w:rsid w:val="00B61188"/>
    <w:rsid w:val="00B61244"/>
    <w:rsid w:val="00B61468"/>
    <w:rsid w:val="00B61795"/>
    <w:rsid w:val="00B61BE1"/>
    <w:rsid w:val="00B61BEE"/>
    <w:rsid w:val="00B62190"/>
    <w:rsid w:val="00B62E35"/>
    <w:rsid w:val="00B62EE0"/>
    <w:rsid w:val="00B63516"/>
    <w:rsid w:val="00B64C3C"/>
    <w:rsid w:val="00B6601D"/>
    <w:rsid w:val="00B6603C"/>
    <w:rsid w:val="00B6650E"/>
    <w:rsid w:val="00B66D17"/>
    <w:rsid w:val="00B705E5"/>
    <w:rsid w:val="00B722BF"/>
    <w:rsid w:val="00B736E6"/>
    <w:rsid w:val="00B73837"/>
    <w:rsid w:val="00B7383F"/>
    <w:rsid w:val="00B73F3F"/>
    <w:rsid w:val="00B74576"/>
    <w:rsid w:val="00B74701"/>
    <w:rsid w:val="00B74DA9"/>
    <w:rsid w:val="00B75132"/>
    <w:rsid w:val="00B75368"/>
    <w:rsid w:val="00B756EB"/>
    <w:rsid w:val="00B76D62"/>
    <w:rsid w:val="00B77A18"/>
    <w:rsid w:val="00B829A9"/>
    <w:rsid w:val="00B837C0"/>
    <w:rsid w:val="00B84901"/>
    <w:rsid w:val="00B8506C"/>
    <w:rsid w:val="00B85207"/>
    <w:rsid w:val="00B85B4D"/>
    <w:rsid w:val="00B85EDA"/>
    <w:rsid w:val="00B861CE"/>
    <w:rsid w:val="00B8687A"/>
    <w:rsid w:val="00B87F31"/>
    <w:rsid w:val="00B915AE"/>
    <w:rsid w:val="00B91A15"/>
    <w:rsid w:val="00B92274"/>
    <w:rsid w:val="00B92B38"/>
    <w:rsid w:val="00B941C6"/>
    <w:rsid w:val="00B946C1"/>
    <w:rsid w:val="00B94DBE"/>
    <w:rsid w:val="00B952D1"/>
    <w:rsid w:val="00B95F59"/>
    <w:rsid w:val="00B96931"/>
    <w:rsid w:val="00B96A20"/>
    <w:rsid w:val="00B977D1"/>
    <w:rsid w:val="00B97A9C"/>
    <w:rsid w:val="00B97AC5"/>
    <w:rsid w:val="00BA087F"/>
    <w:rsid w:val="00BA1B71"/>
    <w:rsid w:val="00BA2430"/>
    <w:rsid w:val="00BA3365"/>
    <w:rsid w:val="00BA38F0"/>
    <w:rsid w:val="00BA3E03"/>
    <w:rsid w:val="00BA4768"/>
    <w:rsid w:val="00BA4990"/>
    <w:rsid w:val="00BA532F"/>
    <w:rsid w:val="00BA5D00"/>
    <w:rsid w:val="00BA5F93"/>
    <w:rsid w:val="00BB033B"/>
    <w:rsid w:val="00BB19EC"/>
    <w:rsid w:val="00BB2167"/>
    <w:rsid w:val="00BB4A5D"/>
    <w:rsid w:val="00BB7DC3"/>
    <w:rsid w:val="00BC1211"/>
    <w:rsid w:val="00BC19EC"/>
    <w:rsid w:val="00BC1EF7"/>
    <w:rsid w:val="00BC3ECF"/>
    <w:rsid w:val="00BC468E"/>
    <w:rsid w:val="00BC4EF5"/>
    <w:rsid w:val="00BC51E6"/>
    <w:rsid w:val="00BC557B"/>
    <w:rsid w:val="00BC5704"/>
    <w:rsid w:val="00BC5BB1"/>
    <w:rsid w:val="00BC5DAA"/>
    <w:rsid w:val="00BC6486"/>
    <w:rsid w:val="00BC6582"/>
    <w:rsid w:val="00BC662D"/>
    <w:rsid w:val="00BD0A61"/>
    <w:rsid w:val="00BD1172"/>
    <w:rsid w:val="00BD11CB"/>
    <w:rsid w:val="00BD24F6"/>
    <w:rsid w:val="00BD2F8F"/>
    <w:rsid w:val="00BD327C"/>
    <w:rsid w:val="00BD374F"/>
    <w:rsid w:val="00BD4E41"/>
    <w:rsid w:val="00BD5648"/>
    <w:rsid w:val="00BD5755"/>
    <w:rsid w:val="00BD57E4"/>
    <w:rsid w:val="00BD61E3"/>
    <w:rsid w:val="00BD6D72"/>
    <w:rsid w:val="00BD711E"/>
    <w:rsid w:val="00BD74D7"/>
    <w:rsid w:val="00BD7DF6"/>
    <w:rsid w:val="00BE09D3"/>
    <w:rsid w:val="00BE09E5"/>
    <w:rsid w:val="00BE1682"/>
    <w:rsid w:val="00BE1D67"/>
    <w:rsid w:val="00BE22C8"/>
    <w:rsid w:val="00BE28F5"/>
    <w:rsid w:val="00BE2B0F"/>
    <w:rsid w:val="00BE2D21"/>
    <w:rsid w:val="00BE3F5D"/>
    <w:rsid w:val="00BE4635"/>
    <w:rsid w:val="00BE6539"/>
    <w:rsid w:val="00BE6B53"/>
    <w:rsid w:val="00BE7724"/>
    <w:rsid w:val="00BF07DB"/>
    <w:rsid w:val="00BF0D41"/>
    <w:rsid w:val="00BF117F"/>
    <w:rsid w:val="00BF1852"/>
    <w:rsid w:val="00BF1940"/>
    <w:rsid w:val="00BF2568"/>
    <w:rsid w:val="00BF3959"/>
    <w:rsid w:val="00BF3DA3"/>
    <w:rsid w:val="00BF4002"/>
    <w:rsid w:val="00BF46DE"/>
    <w:rsid w:val="00BF4838"/>
    <w:rsid w:val="00BF4B22"/>
    <w:rsid w:val="00BF5DF2"/>
    <w:rsid w:val="00BF5E7C"/>
    <w:rsid w:val="00BF5F3A"/>
    <w:rsid w:val="00BF7EB1"/>
    <w:rsid w:val="00C007BD"/>
    <w:rsid w:val="00C01C94"/>
    <w:rsid w:val="00C02061"/>
    <w:rsid w:val="00C02081"/>
    <w:rsid w:val="00C025F8"/>
    <w:rsid w:val="00C03098"/>
    <w:rsid w:val="00C03E0E"/>
    <w:rsid w:val="00C04739"/>
    <w:rsid w:val="00C04914"/>
    <w:rsid w:val="00C04BFF"/>
    <w:rsid w:val="00C04EC4"/>
    <w:rsid w:val="00C05648"/>
    <w:rsid w:val="00C06AFA"/>
    <w:rsid w:val="00C06E94"/>
    <w:rsid w:val="00C07C59"/>
    <w:rsid w:val="00C105C7"/>
    <w:rsid w:val="00C1081E"/>
    <w:rsid w:val="00C109AC"/>
    <w:rsid w:val="00C11CD9"/>
    <w:rsid w:val="00C11DB0"/>
    <w:rsid w:val="00C12131"/>
    <w:rsid w:val="00C13808"/>
    <w:rsid w:val="00C13F17"/>
    <w:rsid w:val="00C1419C"/>
    <w:rsid w:val="00C1522D"/>
    <w:rsid w:val="00C15AC7"/>
    <w:rsid w:val="00C16117"/>
    <w:rsid w:val="00C17032"/>
    <w:rsid w:val="00C1716C"/>
    <w:rsid w:val="00C171D8"/>
    <w:rsid w:val="00C17943"/>
    <w:rsid w:val="00C205B9"/>
    <w:rsid w:val="00C206D4"/>
    <w:rsid w:val="00C20C78"/>
    <w:rsid w:val="00C20D2D"/>
    <w:rsid w:val="00C20DCD"/>
    <w:rsid w:val="00C212C0"/>
    <w:rsid w:val="00C2245E"/>
    <w:rsid w:val="00C2332F"/>
    <w:rsid w:val="00C23451"/>
    <w:rsid w:val="00C23DB1"/>
    <w:rsid w:val="00C247DE"/>
    <w:rsid w:val="00C26F39"/>
    <w:rsid w:val="00C278B6"/>
    <w:rsid w:val="00C27C03"/>
    <w:rsid w:val="00C27FE8"/>
    <w:rsid w:val="00C3027B"/>
    <w:rsid w:val="00C309C2"/>
    <w:rsid w:val="00C309F5"/>
    <w:rsid w:val="00C31F89"/>
    <w:rsid w:val="00C33E7E"/>
    <w:rsid w:val="00C34D18"/>
    <w:rsid w:val="00C35002"/>
    <w:rsid w:val="00C355E4"/>
    <w:rsid w:val="00C35BD6"/>
    <w:rsid w:val="00C37728"/>
    <w:rsid w:val="00C37B3B"/>
    <w:rsid w:val="00C37E9E"/>
    <w:rsid w:val="00C40793"/>
    <w:rsid w:val="00C40F3D"/>
    <w:rsid w:val="00C419A2"/>
    <w:rsid w:val="00C43A71"/>
    <w:rsid w:val="00C4752B"/>
    <w:rsid w:val="00C479AD"/>
    <w:rsid w:val="00C502D1"/>
    <w:rsid w:val="00C503B8"/>
    <w:rsid w:val="00C503C1"/>
    <w:rsid w:val="00C5085E"/>
    <w:rsid w:val="00C51656"/>
    <w:rsid w:val="00C52984"/>
    <w:rsid w:val="00C537B5"/>
    <w:rsid w:val="00C54FBA"/>
    <w:rsid w:val="00C55818"/>
    <w:rsid w:val="00C57060"/>
    <w:rsid w:val="00C570AD"/>
    <w:rsid w:val="00C57FF2"/>
    <w:rsid w:val="00C600A1"/>
    <w:rsid w:val="00C60269"/>
    <w:rsid w:val="00C60614"/>
    <w:rsid w:val="00C6072C"/>
    <w:rsid w:val="00C62262"/>
    <w:rsid w:val="00C62689"/>
    <w:rsid w:val="00C63213"/>
    <w:rsid w:val="00C63272"/>
    <w:rsid w:val="00C636B4"/>
    <w:rsid w:val="00C63969"/>
    <w:rsid w:val="00C64ADF"/>
    <w:rsid w:val="00C65AB2"/>
    <w:rsid w:val="00C6675A"/>
    <w:rsid w:val="00C66C73"/>
    <w:rsid w:val="00C679B5"/>
    <w:rsid w:val="00C71172"/>
    <w:rsid w:val="00C716C6"/>
    <w:rsid w:val="00C718DD"/>
    <w:rsid w:val="00C71D47"/>
    <w:rsid w:val="00C72105"/>
    <w:rsid w:val="00C72A6C"/>
    <w:rsid w:val="00C72DB4"/>
    <w:rsid w:val="00C72FA7"/>
    <w:rsid w:val="00C74007"/>
    <w:rsid w:val="00C741C2"/>
    <w:rsid w:val="00C75457"/>
    <w:rsid w:val="00C75466"/>
    <w:rsid w:val="00C761C5"/>
    <w:rsid w:val="00C76BC1"/>
    <w:rsid w:val="00C77BFC"/>
    <w:rsid w:val="00C80933"/>
    <w:rsid w:val="00C80E05"/>
    <w:rsid w:val="00C81986"/>
    <w:rsid w:val="00C83152"/>
    <w:rsid w:val="00C84D3F"/>
    <w:rsid w:val="00C859CD"/>
    <w:rsid w:val="00C86501"/>
    <w:rsid w:val="00C866FF"/>
    <w:rsid w:val="00C86D97"/>
    <w:rsid w:val="00C911FE"/>
    <w:rsid w:val="00C9145E"/>
    <w:rsid w:val="00C92166"/>
    <w:rsid w:val="00C92443"/>
    <w:rsid w:val="00C92A98"/>
    <w:rsid w:val="00C92AB5"/>
    <w:rsid w:val="00C9440F"/>
    <w:rsid w:val="00C96648"/>
    <w:rsid w:val="00C968DA"/>
    <w:rsid w:val="00CA059C"/>
    <w:rsid w:val="00CA08E2"/>
    <w:rsid w:val="00CA0B3B"/>
    <w:rsid w:val="00CA15EF"/>
    <w:rsid w:val="00CA2121"/>
    <w:rsid w:val="00CA290C"/>
    <w:rsid w:val="00CA326E"/>
    <w:rsid w:val="00CA3327"/>
    <w:rsid w:val="00CA4725"/>
    <w:rsid w:val="00CA552C"/>
    <w:rsid w:val="00CA555A"/>
    <w:rsid w:val="00CA55D2"/>
    <w:rsid w:val="00CA6713"/>
    <w:rsid w:val="00CA6807"/>
    <w:rsid w:val="00CA6C4B"/>
    <w:rsid w:val="00CA73D7"/>
    <w:rsid w:val="00CA750E"/>
    <w:rsid w:val="00CB037D"/>
    <w:rsid w:val="00CB0EE9"/>
    <w:rsid w:val="00CB14CD"/>
    <w:rsid w:val="00CB15F6"/>
    <w:rsid w:val="00CB1EA4"/>
    <w:rsid w:val="00CB3163"/>
    <w:rsid w:val="00CB42F7"/>
    <w:rsid w:val="00CB433D"/>
    <w:rsid w:val="00CB4A86"/>
    <w:rsid w:val="00CB4CA0"/>
    <w:rsid w:val="00CB5529"/>
    <w:rsid w:val="00CB5B68"/>
    <w:rsid w:val="00CB5D88"/>
    <w:rsid w:val="00CB65C7"/>
    <w:rsid w:val="00CB79F9"/>
    <w:rsid w:val="00CC00E8"/>
    <w:rsid w:val="00CC0D17"/>
    <w:rsid w:val="00CC0DC5"/>
    <w:rsid w:val="00CC26ED"/>
    <w:rsid w:val="00CC283F"/>
    <w:rsid w:val="00CC47D9"/>
    <w:rsid w:val="00CC51BF"/>
    <w:rsid w:val="00CC5FEE"/>
    <w:rsid w:val="00CC6278"/>
    <w:rsid w:val="00CC66A9"/>
    <w:rsid w:val="00CC7339"/>
    <w:rsid w:val="00CC76A0"/>
    <w:rsid w:val="00CD180B"/>
    <w:rsid w:val="00CD21EC"/>
    <w:rsid w:val="00CD2207"/>
    <w:rsid w:val="00CD2DA0"/>
    <w:rsid w:val="00CD390F"/>
    <w:rsid w:val="00CD4446"/>
    <w:rsid w:val="00CD4632"/>
    <w:rsid w:val="00CD4F07"/>
    <w:rsid w:val="00CD51FE"/>
    <w:rsid w:val="00CD5709"/>
    <w:rsid w:val="00CD7393"/>
    <w:rsid w:val="00CE0AD8"/>
    <w:rsid w:val="00CE0E62"/>
    <w:rsid w:val="00CE2F7A"/>
    <w:rsid w:val="00CE3519"/>
    <w:rsid w:val="00CE3604"/>
    <w:rsid w:val="00CE3C7C"/>
    <w:rsid w:val="00CE4095"/>
    <w:rsid w:val="00CE4892"/>
    <w:rsid w:val="00CE6D23"/>
    <w:rsid w:val="00CE6F37"/>
    <w:rsid w:val="00CE72E6"/>
    <w:rsid w:val="00CE786A"/>
    <w:rsid w:val="00CE7C33"/>
    <w:rsid w:val="00CF206B"/>
    <w:rsid w:val="00CF2373"/>
    <w:rsid w:val="00CF26D1"/>
    <w:rsid w:val="00CF291E"/>
    <w:rsid w:val="00CF57C2"/>
    <w:rsid w:val="00CF660B"/>
    <w:rsid w:val="00D001DD"/>
    <w:rsid w:val="00D00761"/>
    <w:rsid w:val="00D01FCD"/>
    <w:rsid w:val="00D020DA"/>
    <w:rsid w:val="00D022C2"/>
    <w:rsid w:val="00D0257D"/>
    <w:rsid w:val="00D02596"/>
    <w:rsid w:val="00D025DE"/>
    <w:rsid w:val="00D02F76"/>
    <w:rsid w:val="00D04493"/>
    <w:rsid w:val="00D04B98"/>
    <w:rsid w:val="00D067E0"/>
    <w:rsid w:val="00D06914"/>
    <w:rsid w:val="00D06EED"/>
    <w:rsid w:val="00D07D0E"/>
    <w:rsid w:val="00D07E98"/>
    <w:rsid w:val="00D07ECD"/>
    <w:rsid w:val="00D1109B"/>
    <w:rsid w:val="00D11D73"/>
    <w:rsid w:val="00D12417"/>
    <w:rsid w:val="00D12A02"/>
    <w:rsid w:val="00D12B1B"/>
    <w:rsid w:val="00D1300A"/>
    <w:rsid w:val="00D13717"/>
    <w:rsid w:val="00D13F71"/>
    <w:rsid w:val="00D149E3"/>
    <w:rsid w:val="00D15980"/>
    <w:rsid w:val="00D16197"/>
    <w:rsid w:val="00D163D3"/>
    <w:rsid w:val="00D16EAE"/>
    <w:rsid w:val="00D1738E"/>
    <w:rsid w:val="00D17517"/>
    <w:rsid w:val="00D20379"/>
    <w:rsid w:val="00D20740"/>
    <w:rsid w:val="00D20B88"/>
    <w:rsid w:val="00D20F1F"/>
    <w:rsid w:val="00D2106C"/>
    <w:rsid w:val="00D21673"/>
    <w:rsid w:val="00D220F1"/>
    <w:rsid w:val="00D24291"/>
    <w:rsid w:val="00D24303"/>
    <w:rsid w:val="00D24557"/>
    <w:rsid w:val="00D25477"/>
    <w:rsid w:val="00D26A1E"/>
    <w:rsid w:val="00D277DB"/>
    <w:rsid w:val="00D27D2D"/>
    <w:rsid w:val="00D27FD9"/>
    <w:rsid w:val="00D314FA"/>
    <w:rsid w:val="00D3211E"/>
    <w:rsid w:val="00D325B5"/>
    <w:rsid w:val="00D326B2"/>
    <w:rsid w:val="00D328D1"/>
    <w:rsid w:val="00D3290C"/>
    <w:rsid w:val="00D333A3"/>
    <w:rsid w:val="00D33A91"/>
    <w:rsid w:val="00D34DB5"/>
    <w:rsid w:val="00D35180"/>
    <w:rsid w:val="00D3571A"/>
    <w:rsid w:val="00D35DFF"/>
    <w:rsid w:val="00D36A0F"/>
    <w:rsid w:val="00D3729D"/>
    <w:rsid w:val="00D400B8"/>
    <w:rsid w:val="00D40152"/>
    <w:rsid w:val="00D40F8C"/>
    <w:rsid w:val="00D43617"/>
    <w:rsid w:val="00D44663"/>
    <w:rsid w:val="00D474BB"/>
    <w:rsid w:val="00D47E73"/>
    <w:rsid w:val="00D50046"/>
    <w:rsid w:val="00D506A2"/>
    <w:rsid w:val="00D51006"/>
    <w:rsid w:val="00D51267"/>
    <w:rsid w:val="00D52B13"/>
    <w:rsid w:val="00D52DFA"/>
    <w:rsid w:val="00D532BE"/>
    <w:rsid w:val="00D54DC4"/>
    <w:rsid w:val="00D55725"/>
    <w:rsid w:val="00D5690A"/>
    <w:rsid w:val="00D57045"/>
    <w:rsid w:val="00D570D8"/>
    <w:rsid w:val="00D606DB"/>
    <w:rsid w:val="00D611C9"/>
    <w:rsid w:val="00D61D65"/>
    <w:rsid w:val="00D62D42"/>
    <w:rsid w:val="00D6302F"/>
    <w:rsid w:val="00D64A17"/>
    <w:rsid w:val="00D64B1B"/>
    <w:rsid w:val="00D65546"/>
    <w:rsid w:val="00D658AC"/>
    <w:rsid w:val="00D66EA5"/>
    <w:rsid w:val="00D70F0B"/>
    <w:rsid w:val="00D718C8"/>
    <w:rsid w:val="00D726E8"/>
    <w:rsid w:val="00D73AA8"/>
    <w:rsid w:val="00D742F3"/>
    <w:rsid w:val="00D74C98"/>
    <w:rsid w:val="00D75AA1"/>
    <w:rsid w:val="00D75C5F"/>
    <w:rsid w:val="00D76247"/>
    <w:rsid w:val="00D8009D"/>
    <w:rsid w:val="00D806F1"/>
    <w:rsid w:val="00D8089E"/>
    <w:rsid w:val="00D80A44"/>
    <w:rsid w:val="00D80AAB"/>
    <w:rsid w:val="00D82B6F"/>
    <w:rsid w:val="00D82EAF"/>
    <w:rsid w:val="00D836B9"/>
    <w:rsid w:val="00D83877"/>
    <w:rsid w:val="00D83B5F"/>
    <w:rsid w:val="00D84186"/>
    <w:rsid w:val="00D850C2"/>
    <w:rsid w:val="00D854FA"/>
    <w:rsid w:val="00D855F6"/>
    <w:rsid w:val="00D8645B"/>
    <w:rsid w:val="00D90947"/>
    <w:rsid w:val="00D90AAE"/>
    <w:rsid w:val="00D9147D"/>
    <w:rsid w:val="00D92246"/>
    <w:rsid w:val="00D93510"/>
    <w:rsid w:val="00D94C7A"/>
    <w:rsid w:val="00D95309"/>
    <w:rsid w:val="00D968A8"/>
    <w:rsid w:val="00D969B6"/>
    <w:rsid w:val="00D9793D"/>
    <w:rsid w:val="00DA005B"/>
    <w:rsid w:val="00DA0381"/>
    <w:rsid w:val="00DA0584"/>
    <w:rsid w:val="00DA0A6E"/>
    <w:rsid w:val="00DA0BCB"/>
    <w:rsid w:val="00DA1022"/>
    <w:rsid w:val="00DA11FA"/>
    <w:rsid w:val="00DA13E1"/>
    <w:rsid w:val="00DA2715"/>
    <w:rsid w:val="00DA2886"/>
    <w:rsid w:val="00DA2A7F"/>
    <w:rsid w:val="00DA3793"/>
    <w:rsid w:val="00DA3A20"/>
    <w:rsid w:val="00DA40FD"/>
    <w:rsid w:val="00DA42EC"/>
    <w:rsid w:val="00DA46F6"/>
    <w:rsid w:val="00DA4E8A"/>
    <w:rsid w:val="00DA59E3"/>
    <w:rsid w:val="00DA5C73"/>
    <w:rsid w:val="00DA7F96"/>
    <w:rsid w:val="00DB034B"/>
    <w:rsid w:val="00DB0F56"/>
    <w:rsid w:val="00DB145A"/>
    <w:rsid w:val="00DB1BD2"/>
    <w:rsid w:val="00DB32C7"/>
    <w:rsid w:val="00DB3913"/>
    <w:rsid w:val="00DB4593"/>
    <w:rsid w:val="00DB4665"/>
    <w:rsid w:val="00DB4BEF"/>
    <w:rsid w:val="00DB4D62"/>
    <w:rsid w:val="00DB4DB2"/>
    <w:rsid w:val="00DB5BDC"/>
    <w:rsid w:val="00DB5C77"/>
    <w:rsid w:val="00DB5C92"/>
    <w:rsid w:val="00DB6D0D"/>
    <w:rsid w:val="00DB7543"/>
    <w:rsid w:val="00DB7B0B"/>
    <w:rsid w:val="00DB7B51"/>
    <w:rsid w:val="00DC0BFC"/>
    <w:rsid w:val="00DC1150"/>
    <w:rsid w:val="00DC14B1"/>
    <w:rsid w:val="00DC1562"/>
    <w:rsid w:val="00DC20CD"/>
    <w:rsid w:val="00DC219D"/>
    <w:rsid w:val="00DC35F5"/>
    <w:rsid w:val="00DC6183"/>
    <w:rsid w:val="00DC64BB"/>
    <w:rsid w:val="00DC684D"/>
    <w:rsid w:val="00DC6D14"/>
    <w:rsid w:val="00DD00C9"/>
    <w:rsid w:val="00DD07CC"/>
    <w:rsid w:val="00DD0BE4"/>
    <w:rsid w:val="00DD0E0D"/>
    <w:rsid w:val="00DD0F68"/>
    <w:rsid w:val="00DD133C"/>
    <w:rsid w:val="00DD1B4C"/>
    <w:rsid w:val="00DD2035"/>
    <w:rsid w:val="00DD24C5"/>
    <w:rsid w:val="00DD41C4"/>
    <w:rsid w:val="00DD4269"/>
    <w:rsid w:val="00DD43F7"/>
    <w:rsid w:val="00DD4570"/>
    <w:rsid w:val="00DD4AFA"/>
    <w:rsid w:val="00DD4FD4"/>
    <w:rsid w:val="00DD502F"/>
    <w:rsid w:val="00DD63A7"/>
    <w:rsid w:val="00DD6ACF"/>
    <w:rsid w:val="00DD6D46"/>
    <w:rsid w:val="00DD7016"/>
    <w:rsid w:val="00DD721F"/>
    <w:rsid w:val="00DD7248"/>
    <w:rsid w:val="00DE0285"/>
    <w:rsid w:val="00DE14CF"/>
    <w:rsid w:val="00DE15F8"/>
    <w:rsid w:val="00DE1E6E"/>
    <w:rsid w:val="00DE1EA3"/>
    <w:rsid w:val="00DE28D4"/>
    <w:rsid w:val="00DE2931"/>
    <w:rsid w:val="00DE2CAB"/>
    <w:rsid w:val="00DE4570"/>
    <w:rsid w:val="00DE48DC"/>
    <w:rsid w:val="00DE4B0B"/>
    <w:rsid w:val="00DE5084"/>
    <w:rsid w:val="00DE5224"/>
    <w:rsid w:val="00DE58D0"/>
    <w:rsid w:val="00DE5B22"/>
    <w:rsid w:val="00DE5B5A"/>
    <w:rsid w:val="00DE5D6C"/>
    <w:rsid w:val="00DE69E6"/>
    <w:rsid w:val="00DE72C3"/>
    <w:rsid w:val="00DE7BA3"/>
    <w:rsid w:val="00DF0B9B"/>
    <w:rsid w:val="00DF0BBC"/>
    <w:rsid w:val="00DF1BDF"/>
    <w:rsid w:val="00DF1D6B"/>
    <w:rsid w:val="00DF2361"/>
    <w:rsid w:val="00DF2BA6"/>
    <w:rsid w:val="00DF3C7F"/>
    <w:rsid w:val="00DF5451"/>
    <w:rsid w:val="00DF65B4"/>
    <w:rsid w:val="00DF672D"/>
    <w:rsid w:val="00DF71DD"/>
    <w:rsid w:val="00DF75CD"/>
    <w:rsid w:val="00DF7FBD"/>
    <w:rsid w:val="00E01667"/>
    <w:rsid w:val="00E0226B"/>
    <w:rsid w:val="00E02589"/>
    <w:rsid w:val="00E025F4"/>
    <w:rsid w:val="00E02E94"/>
    <w:rsid w:val="00E0325B"/>
    <w:rsid w:val="00E03E25"/>
    <w:rsid w:val="00E04581"/>
    <w:rsid w:val="00E045EC"/>
    <w:rsid w:val="00E04C55"/>
    <w:rsid w:val="00E04E2B"/>
    <w:rsid w:val="00E07438"/>
    <w:rsid w:val="00E0791A"/>
    <w:rsid w:val="00E10036"/>
    <w:rsid w:val="00E107B9"/>
    <w:rsid w:val="00E10A07"/>
    <w:rsid w:val="00E11DD5"/>
    <w:rsid w:val="00E1200C"/>
    <w:rsid w:val="00E12F94"/>
    <w:rsid w:val="00E14247"/>
    <w:rsid w:val="00E1444F"/>
    <w:rsid w:val="00E14664"/>
    <w:rsid w:val="00E15786"/>
    <w:rsid w:val="00E15EBE"/>
    <w:rsid w:val="00E17C52"/>
    <w:rsid w:val="00E2056F"/>
    <w:rsid w:val="00E20596"/>
    <w:rsid w:val="00E21332"/>
    <w:rsid w:val="00E21770"/>
    <w:rsid w:val="00E22578"/>
    <w:rsid w:val="00E22C97"/>
    <w:rsid w:val="00E249A0"/>
    <w:rsid w:val="00E24EA4"/>
    <w:rsid w:val="00E256B3"/>
    <w:rsid w:val="00E2651E"/>
    <w:rsid w:val="00E27D42"/>
    <w:rsid w:val="00E3058C"/>
    <w:rsid w:val="00E30E5C"/>
    <w:rsid w:val="00E30F90"/>
    <w:rsid w:val="00E32324"/>
    <w:rsid w:val="00E3280A"/>
    <w:rsid w:val="00E32C02"/>
    <w:rsid w:val="00E33496"/>
    <w:rsid w:val="00E339A3"/>
    <w:rsid w:val="00E33A40"/>
    <w:rsid w:val="00E3413E"/>
    <w:rsid w:val="00E379BA"/>
    <w:rsid w:val="00E4020A"/>
    <w:rsid w:val="00E40509"/>
    <w:rsid w:val="00E40E95"/>
    <w:rsid w:val="00E417EF"/>
    <w:rsid w:val="00E42638"/>
    <w:rsid w:val="00E4362F"/>
    <w:rsid w:val="00E43C93"/>
    <w:rsid w:val="00E45FDB"/>
    <w:rsid w:val="00E46436"/>
    <w:rsid w:val="00E47E91"/>
    <w:rsid w:val="00E50B9A"/>
    <w:rsid w:val="00E50EBE"/>
    <w:rsid w:val="00E51701"/>
    <w:rsid w:val="00E52811"/>
    <w:rsid w:val="00E52AFE"/>
    <w:rsid w:val="00E53E37"/>
    <w:rsid w:val="00E53E5B"/>
    <w:rsid w:val="00E549B8"/>
    <w:rsid w:val="00E54BAA"/>
    <w:rsid w:val="00E54E24"/>
    <w:rsid w:val="00E5506F"/>
    <w:rsid w:val="00E556B4"/>
    <w:rsid w:val="00E55BA5"/>
    <w:rsid w:val="00E55D65"/>
    <w:rsid w:val="00E56323"/>
    <w:rsid w:val="00E5658A"/>
    <w:rsid w:val="00E56CC5"/>
    <w:rsid w:val="00E576F5"/>
    <w:rsid w:val="00E57ACF"/>
    <w:rsid w:val="00E57F66"/>
    <w:rsid w:val="00E60403"/>
    <w:rsid w:val="00E60415"/>
    <w:rsid w:val="00E60527"/>
    <w:rsid w:val="00E6103C"/>
    <w:rsid w:val="00E61AAD"/>
    <w:rsid w:val="00E62896"/>
    <w:rsid w:val="00E62CF4"/>
    <w:rsid w:val="00E63752"/>
    <w:rsid w:val="00E64D16"/>
    <w:rsid w:val="00E662FB"/>
    <w:rsid w:val="00E665D1"/>
    <w:rsid w:val="00E70DCF"/>
    <w:rsid w:val="00E70E4E"/>
    <w:rsid w:val="00E71454"/>
    <w:rsid w:val="00E725E0"/>
    <w:rsid w:val="00E7273A"/>
    <w:rsid w:val="00E72F2E"/>
    <w:rsid w:val="00E73034"/>
    <w:rsid w:val="00E74328"/>
    <w:rsid w:val="00E7439A"/>
    <w:rsid w:val="00E7462C"/>
    <w:rsid w:val="00E748A5"/>
    <w:rsid w:val="00E754D5"/>
    <w:rsid w:val="00E76C4B"/>
    <w:rsid w:val="00E81264"/>
    <w:rsid w:val="00E828AD"/>
    <w:rsid w:val="00E82C4E"/>
    <w:rsid w:val="00E83561"/>
    <w:rsid w:val="00E83FDD"/>
    <w:rsid w:val="00E8455F"/>
    <w:rsid w:val="00E864B5"/>
    <w:rsid w:val="00E866AA"/>
    <w:rsid w:val="00E87A30"/>
    <w:rsid w:val="00E90100"/>
    <w:rsid w:val="00E90556"/>
    <w:rsid w:val="00E905DC"/>
    <w:rsid w:val="00E90E60"/>
    <w:rsid w:val="00E92A98"/>
    <w:rsid w:val="00E932F4"/>
    <w:rsid w:val="00E96181"/>
    <w:rsid w:val="00E964B9"/>
    <w:rsid w:val="00E97021"/>
    <w:rsid w:val="00E9703B"/>
    <w:rsid w:val="00E97AD5"/>
    <w:rsid w:val="00EA04EC"/>
    <w:rsid w:val="00EA0D64"/>
    <w:rsid w:val="00EA0E31"/>
    <w:rsid w:val="00EA1042"/>
    <w:rsid w:val="00EA13D0"/>
    <w:rsid w:val="00EA1919"/>
    <w:rsid w:val="00EA2E00"/>
    <w:rsid w:val="00EA321D"/>
    <w:rsid w:val="00EA4108"/>
    <w:rsid w:val="00EA4397"/>
    <w:rsid w:val="00EA564F"/>
    <w:rsid w:val="00EA60D8"/>
    <w:rsid w:val="00EA75DB"/>
    <w:rsid w:val="00EB2F30"/>
    <w:rsid w:val="00EB32C9"/>
    <w:rsid w:val="00EB36E1"/>
    <w:rsid w:val="00EB3B66"/>
    <w:rsid w:val="00EB40EC"/>
    <w:rsid w:val="00EB4161"/>
    <w:rsid w:val="00EB48A9"/>
    <w:rsid w:val="00EB495D"/>
    <w:rsid w:val="00EB5FEC"/>
    <w:rsid w:val="00EC0997"/>
    <w:rsid w:val="00EC2109"/>
    <w:rsid w:val="00EC21F2"/>
    <w:rsid w:val="00EC3449"/>
    <w:rsid w:val="00EC373A"/>
    <w:rsid w:val="00EC3FE6"/>
    <w:rsid w:val="00EC40C8"/>
    <w:rsid w:val="00EC4667"/>
    <w:rsid w:val="00EC46C0"/>
    <w:rsid w:val="00EC49CB"/>
    <w:rsid w:val="00EC4C90"/>
    <w:rsid w:val="00EC4D12"/>
    <w:rsid w:val="00EC52E3"/>
    <w:rsid w:val="00EC5543"/>
    <w:rsid w:val="00EC747E"/>
    <w:rsid w:val="00EC7676"/>
    <w:rsid w:val="00EC77B5"/>
    <w:rsid w:val="00ED0F5D"/>
    <w:rsid w:val="00ED141B"/>
    <w:rsid w:val="00ED2A29"/>
    <w:rsid w:val="00ED2AE6"/>
    <w:rsid w:val="00ED2D19"/>
    <w:rsid w:val="00ED3C73"/>
    <w:rsid w:val="00ED45E2"/>
    <w:rsid w:val="00ED567C"/>
    <w:rsid w:val="00ED5DA6"/>
    <w:rsid w:val="00ED673A"/>
    <w:rsid w:val="00ED6B7D"/>
    <w:rsid w:val="00ED77DC"/>
    <w:rsid w:val="00EE0167"/>
    <w:rsid w:val="00EE036E"/>
    <w:rsid w:val="00EE05DB"/>
    <w:rsid w:val="00EE0D00"/>
    <w:rsid w:val="00EE17AC"/>
    <w:rsid w:val="00EE24FA"/>
    <w:rsid w:val="00EE4544"/>
    <w:rsid w:val="00EE47A8"/>
    <w:rsid w:val="00EE4AAA"/>
    <w:rsid w:val="00EE6E28"/>
    <w:rsid w:val="00EE7CF9"/>
    <w:rsid w:val="00EF03BC"/>
    <w:rsid w:val="00EF0805"/>
    <w:rsid w:val="00EF0A1D"/>
    <w:rsid w:val="00EF0EE9"/>
    <w:rsid w:val="00EF1399"/>
    <w:rsid w:val="00EF17D7"/>
    <w:rsid w:val="00EF250F"/>
    <w:rsid w:val="00EF2EE5"/>
    <w:rsid w:val="00EF32C1"/>
    <w:rsid w:val="00EF3DD7"/>
    <w:rsid w:val="00EF41DB"/>
    <w:rsid w:val="00EF4DCB"/>
    <w:rsid w:val="00EF712D"/>
    <w:rsid w:val="00F006EC"/>
    <w:rsid w:val="00F00839"/>
    <w:rsid w:val="00F00D87"/>
    <w:rsid w:val="00F00ECF"/>
    <w:rsid w:val="00F014D2"/>
    <w:rsid w:val="00F01C98"/>
    <w:rsid w:val="00F034B8"/>
    <w:rsid w:val="00F03AFB"/>
    <w:rsid w:val="00F03CF5"/>
    <w:rsid w:val="00F04499"/>
    <w:rsid w:val="00F04A9B"/>
    <w:rsid w:val="00F05F4C"/>
    <w:rsid w:val="00F06C13"/>
    <w:rsid w:val="00F074BA"/>
    <w:rsid w:val="00F07CC0"/>
    <w:rsid w:val="00F10653"/>
    <w:rsid w:val="00F1078A"/>
    <w:rsid w:val="00F10801"/>
    <w:rsid w:val="00F123FD"/>
    <w:rsid w:val="00F12E19"/>
    <w:rsid w:val="00F12F02"/>
    <w:rsid w:val="00F12F99"/>
    <w:rsid w:val="00F13314"/>
    <w:rsid w:val="00F14961"/>
    <w:rsid w:val="00F14ECE"/>
    <w:rsid w:val="00F165A8"/>
    <w:rsid w:val="00F1799B"/>
    <w:rsid w:val="00F17A96"/>
    <w:rsid w:val="00F20350"/>
    <w:rsid w:val="00F2095F"/>
    <w:rsid w:val="00F21676"/>
    <w:rsid w:val="00F21945"/>
    <w:rsid w:val="00F21E81"/>
    <w:rsid w:val="00F23952"/>
    <w:rsid w:val="00F23AD4"/>
    <w:rsid w:val="00F2449E"/>
    <w:rsid w:val="00F24533"/>
    <w:rsid w:val="00F24C20"/>
    <w:rsid w:val="00F24DF5"/>
    <w:rsid w:val="00F24E27"/>
    <w:rsid w:val="00F2642E"/>
    <w:rsid w:val="00F268D5"/>
    <w:rsid w:val="00F271C7"/>
    <w:rsid w:val="00F27F77"/>
    <w:rsid w:val="00F27FB3"/>
    <w:rsid w:val="00F30781"/>
    <w:rsid w:val="00F30C44"/>
    <w:rsid w:val="00F312E2"/>
    <w:rsid w:val="00F31B14"/>
    <w:rsid w:val="00F31BBD"/>
    <w:rsid w:val="00F3217D"/>
    <w:rsid w:val="00F328F7"/>
    <w:rsid w:val="00F32C46"/>
    <w:rsid w:val="00F3380E"/>
    <w:rsid w:val="00F34B25"/>
    <w:rsid w:val="00F34BBF"/>
    <w:rsid w:val="00F35950"/>
    <w:rsid w:val="00F3604A"/>
    <w:rsid w:val="00F36705"/>
    <w:rsid w:val="00F368EF"/>
    <w:rsid w:val="00F37614"/>
    <w:rsid w:val="00F378AD"/>
    <w:rsid w:val="00F37D14"/>
    <w:rsid w:val="00F40B4E"/>
    <w:rsid w:val="00F41A28"/>
    <w:rsid w:val="00F43F85"/>
    <w:rsid w:val="00F4401C"/>
    <w:rsid w:val="00F440DE"/>
    <w:rsid w:val="00F4528F"/>
    <w:rsid w:val="00F47C44"/>
    <w:rsid w:val="00F47E98"/>
    <w:rsid w:val="00F50574"/>
    <w:rsid w:val="00F50A85"/>
    <w:rsid w:val="00F52525"/>
    <w:rsid w:val="00F52952"/>
    <w:rsid w:val="00F529D5"/>
    <w:rsid w:val="00F538AA"/>
    <w:rsid w:val="00F550C1"/>
    <w:rsid w:val="00F55166"/>
    <w:rsid w:val="00F55365"/>
    <w:rsid w:val="00F5657A"/>
    <w:rsid w:val="00F56921"/>
    <w:rsid w:val="00F56BE6"/>
    <w:rsid w:val="00F57F95"/>
    <w:rsid w:val="00F60243"/>
    <w:rsid w:val="00F60EE7"/>
    <w:rsid w:val="00F64025"/>
    <w:rsid w:val="00F64125"/>
    <w:rsid w:val="00F6485C"/>
    <w:rsid w:val="00F64C76"/>
    <w:rsid w:val="00F65CA7"/>
    <w:rsid w:val="00F6601E"/>
    <w:rsid w:val="00F66217"/>
    <w:rsid w:val="00F70729"/>
    <w:rsid w:val="00F70AE8"/>
    <w:rsid w:val="00F71324"/>
    <w:rsid w:val="00F71AFC"/>
    <w:rsid w:val="00F72193"/>
    <w:rsid w:val="00F721C5"/>
    <w:rsid w:val="00F73683"/>
    <w:rsid w:val="00F736CD"/>
    <w:rsid w:val="00F73A1D"/>
    <w:rsid w:val="00F73BD3"/>
    <w:rsid w:val="00F73F74"/>
    <w:rsid w:val="00F74E29"/>
    <w:rsid w:val="00F75F9F"/>
    <w:rsid w:val="00F76034"/>
    <w:rsid w:val="00F768AD"/>
    <w:rsid w:val="00F80647"/>
    <w:rsid w:val="00F81566"/>
    <w:rsid w:val="00F83F5F"/>
    <w:rsid w:val="00F84074"/>
    <w:rsid w:val="00F8408F"/>
    <w:rsid w:val="00F847D4"/>
    <w:rsid w:val="00F84F1F"/>
    <w:rsid w:val="00F85552"/>
    <w:rsid w:val="00F85EBF"/>
    <w:rsid w:val="00F86637"/>
    <w:rsid w:val="00F86DFB"/>
    <w:rsid w:val="00F87A5B"/>
    <w:rsid w:val="00F91121"/>
    <w:rsid w:val="00F9120B"/>
    <w:rsid w:val="00F91255"/>
    <w:rsid w:val="00F913F2"/>
    <w:rsid w:val="00F923C8"/>
    <w:rsid w:val="00F92C4E"/>
    <w:rsid w:val="00F93494"/>
    <w:rsid w:val="00F935DA"/>
    <w:rsid w:val="00F936D9"/>
    <w:rsid w:val="00F949AB"/>
    <w:rsid w:val="00F95CFC"/>
    <w:rsid w:val="00FA01EF"/>
    <w:rsid w:val="00FA088B"/>
    <w:rsid w:val="00FA095E"/>
    <w:rsid w:val="00FA13E8"/>
    <w:rsid w:val="00FA1EB3"/>
    <w:rsid w:val="00FA2734"/>
    <w:rsid w:val="00FA2CAC"/>
    <w:rsid w:val="00FA30AD"/>
    <w:rsid w:val="00FA39CB"/>
    <w:rsid w:val="00FA45DE"/>
    <w:rsid w:val="00FA4B49"/>
    <w:rsid w:val="00FA5F1D"/>
    <w:rsid w:val="00FA6738"/>
    <w:rsid w:val="00FA6C84"/>
    <w:rsid w:val="00FA708E"/>
    <w:rsid w:val="00FA76F8"/>
    <w:rsid w:val="00FA7736"/>
    <w:rsid w:val="00FB06C1"/>
    <w:rsid w:val="00FB15A0"/>
    <w:rsid w:val="00FB1838"/>
    <w:rsid w:val="00FB1885"/>
    <w:rsid w:val="00FB3680"/>
    <w:rsid w:val="00FB3DD1"/>
    <w:rsid w:val="00FB499B"/>
    <w:rsid w:val="00FB4AD6"/>
    <w:rsid w:val="00FB50DC"/>
    <w:rsid w:val="00FB5BD6"/>
    <w:rsid w:val="00FB5F9D"/>
    <w:rsid w:val="00FB6342"/>
    <w:rsid w:val="00FB661B"/>
    <w:rsid w:val="00FB6EED"/>
    <w:rsid w:val="00FB729E"/>
    <w:rsid w:val="00FB740D"/>
    <w:rsid w:val="00FB7ACB"/>
    <w:rsid w:val="00FC070A"/>
    <w:rsid w:val="00FC1700"/>
    <w:rsid w:val="00FC1848"/>
    <w:rsid w:val="00FC1E04"/>
    <w:rsid w:val="00FC1FEA"/>
    <w:rsid w:val="00FC2590"/>
    <w:rsid w:val="00FC2598"/>
    <w:rsid w:val="00FC32CF"/>
    <w:rsid w:val="00FC344E"/>
    <w:rsid w:val="00FC412A"/>
    <w:rsid w:val="00FC52F2"/>
    <w:rsid w:val="00FC547E"/>
    <w:rsid w:val="00FC5938"/>
    <w:rsid w:val="00FC5C5D"/>
    <w:rsid w:val="00FC61A5"/>
    <w:rsid w:val="00FC72C2"/>
    <w:rsid w:val="00FC7924"/>
    <w:rsid w:val="00FC7F30"/>
    <w:rsid w:val="00FD03AD"/>
    <w:rsid w:val="00FD1B83"/>
    <w:rsid w:val="00FD2EF9"/>
    <w:rsid w:val="00FD3A11"/>
    <w:rsid w:val="00FD479B"/>
    <w:rsid w:val="00FD529E"/>
    <w:rsid w:val="00FD586C"/>
    <w:rsid w:val="00FD62D5"/>
    <w:rsid w:val="00FD6C6C"/>
    <w:rsid w:val="00FD709D"/>
    <w:rsid w:val="00FD749C"/>
    <w:rsid w:val="00FD7672"/>
    <w:rsid w:val="00FE034A"/>
    <w:rsid w:val="00FE0745"/>
    <w:rsid w:val="00FE11E2"/>
    <w:rsid w:val="00FE1FBB"/>
    <w:rsid w:val="00FE28FA"/>
    <w:rsid w:val="00FE2F4F"/>
    <w:rsid w:val="00FE35ED"/>
    <w:rsid w:val="00FE3B01"/>
    <w:rsid w:val="00FE49A3"/>
    <w:rsid w:val="00FE4A1B"/>
    <w:rsid w:val="00FE56BA"/>
    <w:rsid w:val="00FE6196"/>
    <w:rsid w:val="00FE66AE"/>
    <w:rsid w:val="00FE756C"/>
    <w:rsid w:val="00FE7754"/>
    <w:rsid w:val="00FE7D07"/>
    <w:rsid w:val="00FF012B"/>
    <w:rsid w:val="00FF2BD8"/>
    <w:rsid w:val="00FF4A5E"/>
    <w:rsid w:val="00FF4C1A"/>
    <w:rsid w:val="00FF5499"/>
    <w:rsid w:val="00FF5B95"/>
    <w:rsid w:val="00FF5FB4"/>
    <w:rsid w:val="00FF6C10"/>
    <w:rsid w:val="00FF74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8E602"/>
  <w15:docId w15:val="{8EDB9DF6-0567-4ABF-A596-46CCF96A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01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2134"/>
    <w:pPr>
      <w:tabs>
        <w:tab w:val="center" w:pos="4153"/>
        <w:tab w:val="right" w:pos="8306"/>
      </w:tabs>
    </w:pPr>
  </w:style>
  <w:style w:type="paragraph" w:styleId="Footer">
    <w:name w:val="footer"/>
    <w:basedOn w:val="Normal"/>
    <w:link w:val="FooterChar"/>
    <w:uiPriority w:val="99"/>
    <w:rsid w:val="00362134"/>
    <w:pPr>
      <w:tabs>
        <w:tab w:val="center" w:pos="4153"/>
        <w:tab w:val="right" w:pos="8306"/>
      </w:tabs>
    </w:pPr>
  </w:style>
  <w:style w:type="character" w:styleId="PageNumber">
    <w:name w:val="page number"/>
    <w:basedOn w:val="DefaultParagraphFont"/>
    <w:rsid w:val="000907DE"/>
  </w:style>
  <w:style w:type="paragraph" w:styleId="FootnoteText">
    <w:name w:val="footnote text"/>
    <w:basedOn w:val="Normal"/>
    <w:link w:val="FootnoteTextChar"/>
    <w:semiHidden/>
    <w:rsid w:val="00D33A91"/>
    <w:rPr>
      <w:sz w:val="20"/>
      <w:szCs w:val="20"/>
    </w:rPr>
  </w:style>
  <w:style w:type="character" w:styleId="FootnoteReference">
    <w:name w:val="footnote reference"/>
    <w:basedOn w:val="DefaultParagraphFont"/>
    <w:semiHidden/>
    <w:rsid w:val="00D33A91"/>
    <w:rPr>
      <w:vertAlign w:val="superscript"/>
    </w:rPr>
  </w:style>
  <w:style w:type="paragraph" w:styleId="BalloonText">
    <w:name w:val="Balloon Text"/>
    <w:basedOn w:val="Normal"/>
    <w:semiHidden/>
    <w:rsid w:val="00107C9C"/>
    <w:rPr>
      <w:rFonts w:ascii="Tahoma" w:hAnsi="Tahoma" w:cs="Tahoma"/>
      <w:sz w:val="16"/>
      <w:szCs w:val="16"/>
    </w:rPr>
  </w:style>
  <w:style w:type="paragraph" w:customStyle="1" w:styleId="Pa3">
    <w:name w:val="Pa3"/>
    <w:basedOn w:val="Normal"/>
    <w:next w:val="Normal"/>
    <w:rsid w:val="00153F0C"/>
    <w:pPr>
      <w:autoSpaceDE w:val="0"/>
      <w:autoSpaceDN w:val="0"/>
      <w:adjustRightInd w:val="0"/>
      <w:spacing w:line="221" w:lineRule="atLeast"/>
    </w:pPr>
    <w:rPr>
      <w:rFonts w:ascii="Myriad Pro Light" w:hAnsi="Myriad Pro Light"/>
    </w:rPr>
  </w:style>
  <w:style w:type="character" w:styleId="CommentReference">
    <w:name w:val="annotation reference"/>
    <w:basedOn w:val="DefaultParagraphFont"/>
    <w:uiPriority w:val="99"/>
    <w:semiHidden/>
    <w:rsid w:val="00E72F2E"/>
    <w:rPr>
      <w:sz w:val="16"/>
      <w:szCs w:val="16"/>
    </w:rPr>
  </w:style>
  <w:style w:type="paragraph" w:styleId="CommentText">
    <w:name w:val="annotation text"/>
    <w:basedOn w:val="Normal"/>
    <w:link w:val="CommentTextChar"/>
    <w:rsid w:val="00E72F2E"/>
    <w:rPr>
      <w:sz w:val="20"/>
      <w:szCs w:val="20"/>
    </w:rPr>
  </w:style>
  <w:style w:type="paragraph" w:styleId="CommentSubject">
    <w:name w:val="annotation subject"/>
    <w:basedOn w:val="CommentText"/>
    <w:next w:val="CommentText"/>
    <w:semiHidden/>
    <w:rsid w:val="00E72F2E"/>
    <w:rPr>
      <w:b/>
      <w:bCs/>
    </w:rPr>
  </w:style>
  <w:style w:type="character" w:customStyle="1" w:styleId="FooterChar">
    <w:name w:val="Footer Char"/>
    <w:basedOn w:val="DefaultParagraphFont"/>
    <w:link w:val="Footer"/>
    <w:uiPriority w:val="99"/>
    <w:rsid w:val="003C0792"/>
    <w:rPr>
      <w:sz w:val="24"/>
      <w:szCs w:val="24"/>
      <w:lang w:val="en-US" w:eastAsia="en-US" w:bidi="ar-SA"/>
    </w:rPr>
  </w:style>
  <w:style w:type="paragraph" w:customStyle="1" w:styleId="ACMAHeading3">
    <w:name w:val="ACMA Heading 3"/>
    <w:next w:val="Normal"/>
    <w:rsid w:val="001B79DD"/>
    <w:pPr>
      <w:keepNext/>
      <w:suppressAutoHyphens/>
      <w:spacing w:before="240"/>
      <w:outlineLvl w:val="3"/>
    </w:pPr>
    <w:rPr>
      <w:rFonts w:ascii="Arial" w:hAnsi="Arial"/>
      <w:b/>
      <w:sz w:val="24"/>
      <w:lang w:val="en-US" w:eastAsia="en-US"/>
    </w:rPr>
  </w:style>
  <w:style w:type="paragraph" w:customStyle="1" w:styleId="RGPara">
    <w:name w:val="RGPara"/>
    <w:aliases w:val="Readers Guide Para"/>
    <w:basedOn w:val="Normal"/>
    <w:rsid w:val="001B79DD"/>
    <w:pPr>
      <w:spacing w:before="120" w:line="260" w:lineRule="exact"/>
      <w:jc w:val="both"/>
    </w:pPr>
    <w:rPr>
      <w:lang w:val="en-AU" w:eastAsia="en-AU"/>
    </w:rPr>
  </w:style>
  <w:style w:type="paragraph" w:customStyle="1" w:styleId="R1">
    <w:name w:val="R1"/>
    <w:aliases w:val="1. or 1.(1)"/>
    <w:basedOn w:val="Normal"/>
    <w:next w:val="Normal"/>
    <w:rsid w:val="001B79DD"/>
    <w:pPr>
      <w:keepLines/>
      <w:tabs>
        <w:tab w:val="right" w:pos="794"/>
      </w:tabs>
      <w:spacing w:before="120" w:line="260" w:lineRule="exact"/>
      <w:ind w:left="964" w:hanging="964"/>
      <w:jc w:val="both"/>
    </w:pPr>
    <w:rPr>
      <w:lang w:val="en-AU" w:eastAsia="en-AU"/>
    </w:rPr>
  </w:style>
  <w:style w:type="paragraph" w:styleId="ListParagraph">
    <w:name w:val="List Paragraph"/>
    <w:basedOn w:val="Normal"/>
    <w:uiPriority w:val="34"/>
    <w:qFormat/>
    <w:rsid w:val="00DF1BDF"/>
    <w:pPr>
      <w:ind w:left="720"/>
    </w:pPr>
  </w:style>
  <w:style w:type="character" w:styleId="Hyperlink">
    <w:name w:val="Hyperlink"/>
    <w:basedOn w:val="DefaultParagraphFont"/>
    <w:uiPriority w:val="99"/>
    <w:unhideWhenUsed/>
    <w:rsid w:val="002E1E61"/>
    <w:rPr>
      <w:color w:val="0000FF"/>
      <w:u w:val="single"/>
    </w:rPr>
  </w:style>
  <w:style w:type="paragraph" w:customStyle="1" w:styleId="ACMABodyText">
    <w:name w:val="ACMA Body Text"/>
    <w:link w:val="ACMABodyTextChar1"/>
    <w:rsid w:val="00DA005B"/>
    <w:pPr>
      <w:suppressAutoHyphens/>
      <w:spacing w:before="80" w:after="120" w:line="280" w:lineRule="atLeast"/>
    </w:pPr>
    <w:rPr>
      <w:snapToGrid w:val="0"/>
      <w:sz w:val="24"/>
      <w:lang w:eastAsia="en-US"/>
    </w:rPr>
  </w:style>
  <w:style w:type="character" w:styleId="FollowedHyperlink">
    <w:name w:val="FollowedHyperlink"/>
    <w:basedOn w:val="DefaultParagraphFont"/>
    <w:uiPriority w:val="99"/>
    <w:semiHidden/>
    <w:unhideWhenUsed/>
    <w:rsid w:val="00AC5241"/>
    <w:rPr>
      <w:color w:val="800080"/>
      <w:u w:val="single"/>
    </w:rPr>
  </w:style>
  <w:style w:type="character" w:customStyle="1" w:styleId="ACMABodyTextChar1">
    <w:name w:val="ACMA Body Text Char1"/>
    <w:basedOn w:val="DefaultParagraphFont"/>
    <w:link w:val="ACMABodyText"/>
    <w:rsid w:val="00AA141F"/>
    <w:rPr>
      <w:snapToGrid w:val="0"/>
      <w:sz w:val="24"/>
      <w:lang w:val="en-AU" w:eastAsia="en-US" w:bidi="ar-SA"/>
    </w:rPr>
  </w:style>
  <w:style w:type="paragraph" w:customStyle="1" w:styleId="HR">
    <w:name w:val="HR"/>
    <w:aliases w:val="Regulation Heading"/>
    <w:basedOn w:val="Normal"/>
    <w:next w:val="Normal"/>
    <w:rsid w:val="00773D41"/>
    <w:pPr>
      <w:keepNext/>
      <w:keepLines/>
      <w:spacing w:before="360"/>
      <w:ind w:left="964" w:hanging="964"/>
    </w:pPr>
    <w:rPr>
      <w:rFonts w:ascii="Arial" w:hAnsi="Arial"/>
      <w:b/>
      <w:lang w:val="en-AU" w:eastAsia="en-AU"/>
    </w:rPr>
  </w:style>
  <w:style w:type="paragraph" w:styleId="Revision">
    <w:name w:val="Revision"/>
    <w:hidden/>
    <w:uiPriority w:val="99"/>
    <w:semiHidden/>
    <w:rsid w:val="005B5B68"/>
    <w:rPr>
      <w:sz w:val="24"/>
      <w:szCs w:val="24"/>
      <w:lang w:val="en-US" w:eastAsia="en-US"/>
    </w:rPr>
  </w:style>
  <w:style w:type="character" w:customStyle="1" w:styleId="FootnoteTextChar">
    <w:name w:val="Footnote Text Char"/>
    <w:basedOn w:val="DefaultParagraphFont"/>
    <w:link w:val="FootnoteText"/>
    <w:semiHidden/>
    <w:rsid w:val="005965E9"/>
    <w:rPr>
      <w:lang w:val="en-US" w:eastAsia="en-US"/>
    </w:rPr>
  </w:style>
  <w:style w:type="character" w:customStyle="1" w:styleId="CommentTextChar">
    <w:name w:val="Comment Text Char"/>
    <w:basedOn w:val="DefaultParagraphFont"/>
    <w:link w:val="CommentText"/>
    <w:rsid w:val="005965E9"/>
    <w:rPr>
      <w:lang w:val="en-US" w:eastAsia="en-US"/>
    </w:rPr>
  </w:style>
  <w:style w:type="character" w:customStyle="1" w:styleId="HelpTextChar">
    <w:name w:val="Help Text Char"/>
    <w:basedOn w:val="DefaultParagraphFont"/>
    <w:link w:val="HelpText"/>
    <w:locked/>
    <w:rsid w:val="005965E9"/>
    <w:rPr>
      <w:rFonts w:ascii="Arial" w:hAnsi="Arial" w:cs="Arial"/>
      <w:vanish/>
      <w:color w:val="008000"/>
      <w:sz w:val="18"/>
    </w:rPr>
  </w:style>
  <w:style w:type="paragraph" w:customStyle="1" w:styleId="HelpText">
    <w:name w:val="Help Text"/>
    <w:basedOn w:val="Normal"/>
    <w:link w:val="HelpTextChar"/>
    <w:rsid w:val="005965E9"/>
    <w:pPr>
      <w:overflowPunct w:val="0"/>
      <w:autoSpaceDE w:val="0"/>
      <w:autoSpaceDN w:val="0"/>
      <w:adjustRightInd w:val="0"/>
      <w:spacing w:before="120" w:after="120"/>
    </w:pPr>
    <w:rPr>
      <w:rFonts w:ascii="Arial" w:hAnsi="Arial" w:cs="Arial"/>
      <w:vanish/>
      <w:color w:val="008000"/>
      <w:sz w:val="18"/>
      <w:szCs w:val="20"/>
      <w:lang w:val="en-AU" w:eastAsia="en-AU"/>
    </w:rPr>
  </w:style>
  <w:style w:type="paragraph" w:styleId="ListBullet">
    <w:name w:val="List Bullet"/>
    <w:basedOn w:val="Normal"/>
    <w:rsid w:val="00FA2734"/>
    <w:pPr>
      <w:numPr>
        <w:numId w:val="2"/>
      </w:numPr>
      <w:spacing w:after="80" w:line="240" w:lineRule="atLeast"/>
    </w:pPr>
    <w:rPr>
      <w:rFonts w:ascii="HelveticaNeueLT Std Lt" w:hAnsi="HelveticaNeueLT Std Lt"/>
      <w:sz w:val="20"/>
      <w:lang w:val="en-AU" w:eastAsia="en-AU"/>
    </w:rPr>
  </w:style>
  <w:style w:type="paragraph" w:styleId="NormalWeb">
    <w:name w:val="Normal (Web)"/>
    <w:basedOn w:val="Normal"/>
    <w:uiPriority w:val="99"/>
    <w:rsid w:val="004F0388"/>
    <w:rPr>
      <w:noProof/>
      <w:lang w:val="en-AU" w:eastAsia="en-AU"/>
    </w:rPr>
  </w:style>
  <w:style w:type="paragraph" w:customStyle="1" w:styleId="R2">
    <w:name w:val="R2"/>
    <w:aliases w:val="(2)"/>
    <w:basedOn w:val="Normal"/>
    <w:rsid w:val="00437F03"/>
    <w:pPr>
      <w:tabs>
        <w:tab w:val="right" w:pos="794"/>
      </w:tabs>
      <w:spacing w:before="180" w:line="260" w:lineRule="exact"/>
      <w:ind w:left="964" w:hanging="964"/>
      <w:jc w:val="both"/>
    </w:pPr>
    <w:rPr>
      <w:noProof/>
      <w:lang w:val="en-AU"/>
    </w:rPr>
  </w:style>
  <w:style w:type="character" w:styleId="UnresolvedMention">
    <w:name w:val="Unresolved Mention"/>
    <w:basedOn w:val="DefaultParagraphFont"/>
    <w:uiPriority w:val="99"/>
    <w:semiHidden/>
    <w:unhideWhenUsed/>
    <w:rsid w:val="00BC4EF5"/>
    <w:rPr>
      <w:color w:val="605E5C"/>
      <w:shd w:val="clear" w:color="auto" w:fill="E1DFDD"/>
    </w:rPr>
  </w:style>
  <w:style w:type="paragraph" w:customStyle="1" w:styleId="notetext">
    <w:name w:val="note(text)"/>
    <w:aliases w:val="n"/>
    <w:basedOn w:val="Normal"/>
    <w:link w:val="notetextChar"/>
    <w:rsid w:val="00913B5D"/>
    <w:pPr>
      <w:spacing w:before="122"/>
      <w:ind w:left="1985" w:hanging="851"/>
    </w:pPr>
    <w:rPr>
      <w:sz w:val="18"/>
      <w:szCs w:val="20"/>
      <w:lang w:val="en-AU" w:eastAsia="en-AU"/>
    </w:rPr>
  </w:style>
  <w:style w:type="character" w:customStyle="1" w:styleId="notetextChar">
    <w:name w:val="note(text) Char"/>
    <w:aliases w:val="n Char"/>
    <w:basedOn w:val="DefaultParagraphFont"/>
    <w:link w:val="notetext"/>
    <w:rsid w:val="00913B5D"/>
    <w:rPr>
      <w:sz w:val="18"/>
    </w:rPr>
  </w:style>
  <w:style w:type="paragraph" w:customStyle="1" w:styleId="Definition">
    <w:name w:val="Definition"/>
    <w:aliases w:val="dd"/>
    <w:basedOn w:val="Normal"/>
    <w:link w:val="DefinitionChar"/>
    <w:rsid w:val="0080472E"/>
    <w:pPr>
      <w:spacing w:before="180"/>
      <w:ind w:left="1134"/>
    </w:pPr>
    <w:rPr>
      <w:sz w:val="22"/>
      <w:szCs w:val="20"/>
      <w:lang w:val="en-AU" w:eastAsia="en-AU"/>
    </w:rPr>
  </w:style>
  <w:style w:type="character" w:customStyle="1" w:styleId="DefinitionChar">
    <w:name w:val="Definition Char"/>
    <w:aliases w:val="dd Char"/>
    <w:link w:val="Definition"/>
    <w:rsid w:val="0080472E"/>
    <w:rPr>
      <w:sz w:val="22"/>
    </w:rPr>
  </w:style>
  <w:style w:type="paragraph" w:customStyle="1" w:styleId="acthead5">
    <w:name w:val="acthead5"/>
    <w:basedOn w:val="Normal"/>
    <w:rsid w:val="008E19A8"/>
    <w:pPr>
      <w:spacing w:before="100" w:beforeAutospacing="1" w:after="100" w:afterAutospacing="1"/>
    </w:pPr>
    <w:rPr>
      <w:lang w:val="en-AU" w:eastAsia="en-AU"/>
    </w:rPr>
  </w:style>
  <w:style w:type="character" w:customStyle="1" w:styleId="charsectno">
    <w:name w:val="charsectno"/>
    <w:basedOn w:val="DefaultParagraphFont"/>
    <w:rsid w:val="008E19A8"/>
  </w:style>
  <w:style w:type="paragraph" w:customStyle="1" w:styleId="subsection">
    <w:name w:val="subsection"/>
    <w:aliases w:val="ss,Subsection"/>
    <w:basedOn w:val="Normal"/>
    <w:link w:val="subsectionChar"/>
    <w:rsid w:val="008E19A8"/>
    <w:pPr>
      <w:spacing w:before="100" w:beforeAutospacing="1" w:after="100" w:afterAutospacing="1"/>
    </w:pPr>
    <w:rPr>
      <w:lang w:val="en-AU" w:eastAsia="en-AU"/>
    </w:rPr>
  </w:style>
  <w:style w:type="paragraph" w:customStyle="1" w:styleId="notetext0">
    <w:name w:val="notetext"/>
    <w:basedOn w:val="Normal"/>
    <w:rsid w:val="00C105C7"/>
    <w:pPr>
      <w:spacing w:before="100" w:beforeAutospacing="1" w:after="100" w:afterAutospacing="1"/>
    </w:pPr>
    <w:rPr>
      <w:lang w:val="en-AU" w:eastAsia="en-AU"/>
    </w:rPr>
  </w:style>
  <w:style w:type="character" w:customStyle="1" w:styleId="subsectionChar">
    <w:name w:val="subsection Char"/>
    <w:aliases w:val="ss Char"/>
    <w:basedOn w:val="DefaultParagraphFont"/>
    <w:link w:val="subsection"/>
    <w:locked/>
    <w:rsid w:val="007842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12661">
      <w:bodyDiv w:val="1"/>
      <w:marLeft w:val="0"/>
      <w:marRight w:val="0"/>
      <w:marTop w:val="0"/>
      <w:marBottom w:val="0"/>
      <w:divBdr>
        <w:top w:val="none" w:sz="0" w:space="0" w:color="auto"/>
        <w:left w:val="none" w:sz="0" w:space="0" w:color="auto"/>
        <w:bottom w:val="none" w:sz="0" w:space="0" w:color="auto"/>
        <w:right w:val="none" w:sz="0" w:space="0" w:color="auto"/>
      </w:divBdr>
      <w:divsChild>
        <w:div w:id="1885634072">
          <w:marLeft w:val="0"/>
          <w:marRight w:val="0"/>
          <w:marTop w:val="0"/>
          <w:marBottom w:val="0"/>
          <w:divBdr>
            <w:top w:val="none" w:sz="0" w:space="0" w:color="auto"/>
            <w:left w:val="none" w:sz="0" w:space="0" w:color="auto"/>
            <w:bottom w:val="none" w:sz="0" w:space="0" w:color="auto"/>
            <w:right w:val="none" w:sz="0" w:space="0" w:color="auto"/>
          </w:divBdr>
          <w:divsChild>
            <w:div w:id="69353192">
              <w:marLeft w:val="0"/>
              <w:marRight w:val="0"/>
              <w:marTop w:val="0"/>
              <w:marBottom w:val="0"/>
              <w:divBdr>
                <w:top w:val="none" w:sz="0" w:space="0" w:color="auto"/>
                <w:left w:val="none" w:sz="0" w:space="0" w:color="auto"/>
                <w:bottom w:val="none" w:sz="0" w:space="0" w:color="auto"/>
                <w:right w:val="none" w:sz="0" w:space="0" w:color="auto"/>
              </w:divBdr>
              <w:divsChild>
                <w:div w:id="2027366886">
                  <w:marLeft w:val="0"/>
                  <w:marRight w:val="0"/>
                  <w:marTop w:val="0"/>
                  <w:marBottom w:val="0"/>
                  <w:divBdr>
                    <w:top w:val="none" w:sz="0" w:space="0" w:color="auto"/>
                    <w:left w:val="none" w:sz="0" w:space="0" w:color="auto"/>
                    <w:bottom w:val="none" w:sz="0" w:space="0" w:color="auto"/>
                    <w:right w:val="none" w:sz="0" w:space="0" w:color="auto"/>
                  </w:divBdr>
                  <w:divsChild>
                    <w:div w:id="667095701">
                      <w:marLeft w:val="0"/>
                      <w:marRight w:val="0"/>
                      <w:marTop w:val="0"/>
                      <w:marBottom w:val="0"/>
                      <w:divBdr>
                        <w:top w:val="none" w:sz="0" w:space="0" w:color="auto"/>
                        <w:left w:val="none" w:sz="0" w:space="0" w:color="auto"/>
                        <w:bottom w:val="none" w:sz="0" w:space="0" w:color="auto"/>
                        <w:right w:val="none" w:sz="0" w:space="0" w:color="auto"/>
                      </w:divBdr>
                      <w:divsChild>
                        <w:div w:id="1298803242">
                          <w:marLeft w:val="0"/>
                          <w:marRight w:val="0"/>
                          <w:marTop w:val="0"/>
                          <w:marBottom w:val="0"/>
                          <w:divBdr>
                            <w:top w:val="single" w:sz="6" w:space="0" w:color="828282"/>
                            <w:left w:val="single" w:sz="6" w:space="0" w:color="828282"/>
                            <w:bottom w:val="single" w:sz="6" w:space="0" w:color="828282"/>
                            <w:right w:val="single" w:sz="6" w:space="0" w:color="828282"/>
                          </w:divBdr>
                          <w:divsChild>
                            <w:div w:id="1421219517">
                              <w:marLeft w:val="0"/>
                              <w:marRight w:val="0"/>
                              <w:marTop w:val="0"/>
                              <w:marBottom w:val="0"/>
                              <w:divBdr>
                                <w:top w:val="none" w:sz="0" w:space="0" w:color="auto"/>
                                <w:left w:val="none" w:sz="0" w:space="0" w:color="auto"/>
                                <w:bottom w:val="none" w:sz="0" w:space="0" w:color="auto"/>
                                <w:right w:val="none" w:sz="0" w:space="0" w:color="auto"/>
                              </w:divBdr>
                              <w:divsChild>
                                <w:div w:id="1283222848">
                                  <w:marLeft w:val="0"/>
                                  <w:marRight w:val="0"/>
                                  <w:marTop w:val="0"/>
                                  <w:marBottom w:val="0"/>
                                  <w:divBdr>
                                    <w:top w:val="none" w:sz="0" w:space="0" w:color="auto"/>
                                    <w:left w:val="none" w:sz="0" w:space="0" w:color="auto"/>
                                    <w:bottom w:val="none" w:sz="0" w:space="0" w:color="auto"/>
                                    <w:right w:val="none" w:sz="0" w:space="0" w:color="auto"/>
                                  </w:divBdr>
                                  <w:divsChild>
                                    <w:div w:id="1926107593">
                                      <w:marLeft w:val="0"/>
                                      <w:marRight w:val="0"/>
                                      <w:marTop w:val="0"/>
                                      <w:marBottom w:val="0"/>
                                      <w:divBdr>
                                        <w:top w:val="none" w:sz="0" w:space="0" w:color="auto"/>
                                        <w:left w:val="none" w:sz="0" w:space="0" w:color="auto"/>
                                        <w:bottom w:val="none" w:sz="0" w:space="0" w:color="auto"/>
                                        <w:right w:val="none" w:sz="0" w:space="0" w:color="auto"/>
                                      </w:divBdr>
                                      <w:divsChild>
                                        <w:div w:id="917641217">
                                          <w:marLeft w:val="0"/>
                                          <w:marRight w:val="0"/>
                                          <w:marTop w:val="0"/>
                                          <w:marBottom w:val="0"/>
                                          <w:divBdr>
                                            <w:top w:val="none" w:sz="0" w:space="0" w:color="auto"/>
                                            <w:left w:val="none" w:sz="0" w:space="0" w:color="auto"/>
                                            <w:bottom w:val="none" w:sz="0" w:space="0" w:color="auto"/>
                                            <w:right w:val="none" w:sz="0" w:space="0" w:color="auto"/>
                                          </w:divBdr>
                                          <w:divsChild>
                                            <w:div w:id="1321620043">
                                              <w:marLeft w:val="0"/>
                                              <w:marRight w:val="0"/>
                                              <w:marTop w:val="0"/>
                                              <w:marBottom w:val="0"/>
                                              <w:divBdr>
                                                <w:top w:val="none" w:sz="0" w:space="0" w:color="auto"/>
                                                <w:left w:val="none" w:sz="0" w:space="0" w:color="auto"/>
                                                <w:bottom w:val="none" w:sz="0" w:space="0" w:color="auto"/>
                                                <w:right w:val="none" w:sz="0" w:space="0" w:color="auto"/>
                                              </w:divBdr>
                                              <w:divsChild>
                                                <w:div w:id="12959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1479545">
      <w:bodyDiv w:val="1"/>
      <w:marLeft w:val="0"/>
      <w:marRight w:val="0"/>
      <w:marTop w:val="0"/>
      <w:marBottom w:val="0"/>
      <w:divBdr>
        <w:top w:val="none" w:sz="0" w:space="0" w:color="auto"/>
        <w:left w:val="none" w:sz="0" w:space="0" w:color="auto"/>
        <w:bottom w:val="none" w:sz="0" w:space="0" w:color="auto"/>
        <w:right w:val="none" w:sz="0" w:space="0" w:color="auto"/>
      </w:divBdr>
    </w:div>
    <w:div w:id="651954193">
      <w:bodyDiv w:val="1"/>
      <w:marLeft w:val="0"/>
      <w:marRight w:val="0"/>
      <w:marTop w:val="0"/>
      <w:marBottom w:val="0"/>
      <w:divBdr>
        <w:top w:val="none" w:sz="0" w:space="0" w:color="auto"/>
        <w:left w:val="none" w:sz="0" w:space="0" w:color="auto"/>
        <w:bottom w:val="none" w:sz="0" w:space="0" w:color="auto"/>
        <w:right w:val="none" w:sz="0" w:space="0" w:color="auto"/>
      </w:divBdr>
      <w:divsChild>
        <w:div w:id="213740486">
          <w:marLeft w:val="0"/>
          <w:marRight w:val="0"/>
          <w:marTop w:val="0"/>
          <w:marBottom w:val="0"/>
          <w:divBdr>
            <w:top w:val="none" w:sz="0" w:space="0" w:color="auto"/>
            <w:left w:val="none" w:sz="0" w:space="0" w:color="auto"/>
            <w:bottom w:val="none" w:sz="0" w:space="0" w:color="auto"/>
            <w:right w:val="none" w:sz="0" w:space="0" w:color="auto"/>
          </w:divBdr>
          <w:divsChild>
            <w:div w:id="2059283039">
              <w:marLeft w:val="0"/>
              <w:marRight w:val="0"/>
              <w:marTop w:val="0"/>
              <w:marBottom w:val="0"/>
              <w:divBdr>
                <w:top w:val="none" w:sz="0" w:space="0" w:color="auto"/>
                <w:left w:val="none" w:sz="0" w:space="0" w:color="auto"/>
                <w:bottom w:val="none" w:sz="0" w:space="0" w:color="auto"/>
                <w:right w:val="none" w:sz="0" w:space="0" w:color="auto"/>
              </w:divBdr>
              <w:divsChild>
                <w:div w:id="530192135">
                  <w:marLeft w:val="0"/>
                  <w:marRight w:val="0"/>
                  <w:marTop w:val="0"/>
                  <w:marBottom w:val="0"/>
                  <w:divBdr>
                    <w:top w:val="none" w:sz="0" w:space="0" w:color="auto"/>
                    <w:left w:val="none" w:sz="0" w:space="0" w:color="auto"/>
                    <w:bottom w:val="none" w:sz="0" w:space="0" w:color="auto"/>
                    <w:right w:val="none" w:sz="0" w:space="0" w:color="auto"/>
                  </w:divBdr>
                  <w:divsChild>
                    <w:div w:id="1664164080">
                      <w:marLeft w:val="0"/>
                      <w:marRight w:val="0"/>
                      <w:marTop w:val="0"/>
                      <w:marBottom w:val="0"/>
                      <w:divBdr>
                        <w:top w:val="none" w:sz="0" w:space="0" w:color="auto"/>
                        <w:left w:val="none" w:sz="0" w:space="0" w:color="auto"/>
                        <w:bottom w:val="none" w:sz="0" w:space="0" w:color="auto"/>
                        <w:right w:val="none" w:sz="0" w:space="0" w:color="auto"/>
                      </w:divBdr>
                      <w:divsChild>
                        <w:div w:id="1800371154">
                          <w:marLeft w:val="0"/>
                          <w:marRight w:val="0"/>
                          <w:marTop w:val="0"/>
                          <w:marBottom w:val="0"/>
                          <w:divBdr>
                            <w:top w:val="single" w:sz="6" w:space="0" w:color="828282"/>
                            <w:left w:val="single" w:sz="6" w:space="0" w:color="828282"/>
                            <w:bottom w:val="single" w:sz="6" w:space="0" w:color="828282"/>
                            <w:right w:val="single" w:sz="6" w:space="0" w:color="828282"/>
                          </w:divBdr>
                          <w:divsChild>
                            <w:div w:id="2029670745">
                              <w:marLeft w:val="0"/>
                              <w:marRight w:val="0"/>
                              <w:marTop w:val="0"/>
                              <w:marBottom w:val="0"/>
                              <w:divBdr>
                                <w:top w:val="none" w:sz="0" w:space="0" w:color="auto"/>
                                <w:left w:val="none" w:sz="0" w:space="0" w:color="auto"/>
                                <w:bottom w:val="none" w:sz="0" w:space="0" w:color="auto"/>
                                <w:right w:val="none" w:sz="0" w:space="0" w:color="auto"/>
                              </w:divBdr>
                              <w:divsChild>
                                <w:div w:id="278880963">
                                  <w:marLeft w:val="0"/>
                                  <w:marRight w:val="0"/>
                                  <w:marTop w:val="0"/>
                                  <w:marBottom w:val="0"/>
                                  <w:divBdr>
                                    <w:top w:val="none" w:sz="0" w:space="0" w:color="auto"/>
                                    <w:left w:val="none" w:sz="0" w:space="0" w:color="auto"/>
                                    <w:bottom w:val="none" w:sz="0" w:space="0" w:color="auto"/>
                                    <w:right w:val="none" w:sz="0" w:space="0" w:color="auto"/>
                                  </w:divBdr>
                                  <w:divsChild>
                                    <w:div w:id="428158232">
                                      <w:marLeft w:val="0"/>
                                      <w:marRight w:val="0"/>
                                      <w:marTop w:val="0"/>
                                      <w:marBottom w:val="0"/>
                                      <w:divBdr>
                                        <w:top w:val="none" w:sz="0" w:space="0" w:color="auto"/>
                                        <w:left w:val="none" w:sz="0" w:space="0" w:color="auto"/>
                                        <w:bottom w:val="none" w:sz="0" w:space="0" w:color="auto"/>
                                        <w:right w:val="none" w:sz="0" w:space="0" w:color="auto"/>
                                      </w:divBdr>
                                      <w:divsChild>
                                        <w:div w:id="804201221">
                                          <w:marLeft w:val="0"/>
                                          <w:marRight w:val="0"/>
                                          <w:marTop w:val="0"/>
                                          <w:marBottom w:val="0"/>
                                          <w:divBdr>
                                            <w:top w:val="none" w:sz="0" w:space="0" w:color="auto"/>
                                            <w:left w:val="none" w:sz="0" w:space="0" w:color="auto"/>
                                            <w:bottom w:val="none" w:sz="0" w:space="0" w:color="auto"/>
                                            <w:right w:val="none" w:sz="0" w:space="0" w:color="auto"/>
                                          </w:divBdr>
                                          <w:divsChild>
                                            <w:div w:id="1329408524">
                                              <w:marLeft w:val="0"/>
                                              <w:marRight w:val="0"/>
                                              <w:marTop w:val="0"/>
                                              <w:marBottom w:val="0"/>
                                              <w:divBdr>
                                                <w:top w:val="none" w:sz="0" w:space="0" w:color="auto"/>
                                                <w:left w:val="none" w:sz="0" w:space="0" w:color="auto"/>
                                                <w:bottom w:val="none" w:sz="0" w:space="0" w:color="auto"/>
                                                <w:right w:val="none" w:sz="0" w:space="0" w:color="auto"/>
                                              </w:divBdr>
                                              <w:divsChild>
                                                <w:div w:id="7653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125998">
      <w:bodyDiv w:val="1"/>
      <w:marLeft w:val="0"/>
      <w:marRight w:val="0"/>
      <w:marTop w:val="0"/>
      <w:marBottom w:val="0"/>
      <w:divBdr>
        <w:top w:val="none" w:sz="0" w:space="0" w:color="auto"/>
        <w:left w:val="none" w:sz="0" w:space="0" w:color="auto"/>
        <w:bottom w:val="none" w:sz="0" w:space="0" w:color="auto"/>
        <w:right w:val="none" w:sz="0" w:space="0" w:color="auto"/>
      </w:divBdr>
    </w:div>
    <w:div w:id="867523126">
      <w:bodyDiv w:val="1"/>
      <w:marLeft w:val="0"/>
      <w:marRight w:val="0"/>
      <w:marTop w:val="0"/>
      <w:marBottom w:val="0"/>
      <w:divBdr>
        <w:top w:val="none" w:sz="0" w:space="0" w:color="auto"/>
        <w:left w:val="none" w:sz="0" w:space="0" w:color="auto"/>
        <w:bottom w:val="none" w:sz="0" w:space="0" w:color="auto"/>
        <w:right w:val="none" w:sz="0" w:space="0" w:color="auto"/>
      </w:divBdr>
    </w:div>
    <w:div w:id="972905333">
      <w:bodyDiv w:val="1"/>
      <w:marLeft w:val="0"/>
      <w:marRight w:val="0"/>
      <w:marTop w:val="0"/>
      <w:marBottom w:val="0"/>
      <w:divBdr>
        <w:top w:val="none" w:sz="0" w:space="0" w:color="auto"/>
        <w:left w:val="none" w:sz="0" w:space="0" w:color="auto"/>
        <w:bottom w:val="none" w:sz="0" w:space="0" w:color="auto"/>
        <w:right w:val="none" w:sz="0" w:space="0" w:color="auto"/>
      </w:divBdr>
    </w:div>
    <w:div w:id="1200242635">
      <w:bodyDiv w:val="1"/>
      <w:marLeft w:val="0"/>
      <w:marRight w:val="0"/>
      <w:marTop w:val="0"/>
      <w:marBottom w:val="0"/>
      <w:divBdr>
        <w:top w:val="none" w:sz="0" w:space="0" w:color="auto"/>
        <w:left w:val="none" w:sz="0" w:space="0" w:color="auto"/>
        <w:bottom w:val="none" w:sz="0" w:space="0" w:color="auto"/>
        <w:right w:val="none" w:sz="0" w:space="0" w:color="auto"/>
      </w:divBdr>
    </w:div>
    <w:div w:id="1369137630">
      <w:bodyDiv w:val="1"/>
      <w:marLeft w:val="0"/>
      <w:marRight w:val="0"/>
      <w:marTop w:val="0"/>
      <w:marBottom w:val="0"/>
      <w:divBdr>
        <w:top w:val="none" w:sz="0" w:space="0" w:color="auto"/>
        <w:left w:val="none" w:sz="0" w:space="0" w:color="auto"/>
        <w:bottom w:val="none" w:sz="0" w:space="0" w:color="auto"/>
        <w:right w:val="none" w:sz="0" w:space="0" w:color="auto"/>
      </w:divBdr>
    </w:div>
    <w:div w:id="1375734219">
      <w:bodyDiv w:val="1"/>
      <w:marLeft w:val="0"/>
      <w:marRight w:val="0"/>
      <w:marTop w:val="0"/>
      <w:marBottom w:val="0"/>
      <w:divBdr>
        <w:top w:val="none" w:sz="0" w:space="0" w:color="auto"/>
        <w:left w:val="none" w:sz="0" w:space="0" w:color="auto"/>
        <w:bottom w:val="none" w:sz="0" w:space="0" w:color="auto"/>
        <w:right w:val="none" w:sz="0" w:space="0" w:color="auto"/>
      </w:divBdr>
    </w:div>
    <w:div w:id="1456633272">
      <w:bodyDiv w:val="1"/>
      <w:marLeft w:val="0"/>
      <w:marRight w:val="0"/>
      <w:marTop w:val="0"/>
      <w:marBottom w:val="0"/>
      <w:divBdr>
        <w:top w:val="none" w:sz="0" w:space="0" w:color="auto"/>
        <w:left w:val="none" w:sz="0" w:space="0" w:color="auto"/>
        <w:bottom w:val="none" w:sz="0" w:space="0" w:color="auto"/>
        <w:right w:val="none" w:sz="0" w:space="0" w:color="auto"/>
      </w:divBdr>
    </w:div>
    <w:div w:id="1527330086">
      <w:bodyDiv w:val="1"/>
      <w:marLeft w:val="0"/>
      <w:marRight w:val="0"/>
      <w:marTop w:val="0"/>
      <w:marBottom w:val="0"/>
      <w:divBdr>
        <w:top w:val="none" w:sz="0" w:space="0" w:color="auto"/>
        <w:left w:val="none" w:sz="0" w:space="0" w:color="auto"/>
        <w:bottom w:val="none" w:sz="0" w:space="0" w:color="auto"/>
        <w:right w:val="none" w:sz="0" w:space="0" w:color="auto"/>
      </w:divBdr>
    </w:div>
    <w:div w:id="1884251185">
      <w:bodyDiv w:val="1"/>
      <w:marLeft w:val="0"/>
      <w:marRight w:val="0"/>
      <w:marTop w:val="0"/>
      <w:marBottom w:val="0"/>
      <w:divBdr>
        <w:top w:val="none" w:sz="0" w:space="0" w:color="auto"/>
        <w:left w:val="none" w:sz="0" w:space="0" w:color="auto"/>
        <w:bottom w:val="none" w:sz="0" w:space="0" w:color="auto"/>
        <w:right w:val="none" w:sz="0" w:space="0" w:color="auto"/>
      </w:divBdr>
    </w:div>
    <w:div w:id="2124959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tu.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gov.a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UQVA7MFFXVNW-850449931-1772</_dlc_DocId>
    <_dlc_DocIdUrl xmlns="04b8ec43-391f-4ce4-8841-d6a482add564">
      <Url>http://collaboration/organisation/auth/Chair/Auth/_layouts/15/DocIdRedir.aspx?ID=UQVA7MFFXVNW-850449931-1772</Url>
      <Description>UQVA7MFFXVNW-850449931-1772</Description>
    </_dlc_DocIdUrl>
    <Category xmlns="026d8262-4725-4a9c-834e-3f991ab17ffd">(none)</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97472-70F0-4E8B-8B1D-13678E46D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667AE-B79C-4C73-9700-798B0FC051F7}">
  <ds:schemaRefs>
    <ds:schemaRef ds:uri="http://schemas.microsoft.com/sharepoint/events"/>
  </ds:schemaRefs>
</ds:datastoreItem>
</file>

<file path=customXml/itemProps3.xml><?xml version="1.0" encoding="utf-8"?>
<ds:datastoreItem xmlns:ds="http://schemas.openxmlformats.org/officeDocument/2006/customXml" ds:itemID="{299AEC1A-F64D-40A5-8BEF-0CABC284BF46}">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customXml/itemProps4.xml><?xml version="1.0" encoding="utf-8"?>
<ds:datastoreItem xmlns:ds="http://schemas.openxmlformats.org/officeDocument/2006/customXml" ds:itemID="{0A1E7C3B-0C1A-492D-BA8E-45F7257C2155}">
  <ds:schemaRefs>
    <ds:schemaRef ds:uri="http://schemas.microsoft.com/sharepoint/v3/contenttype/forms"/>
  </ds:schemaRefs>
</ds:datastoreItem>
</file>

<file path=customXml/itemProps5.xml><?xml version="1.0" encoding="utf-8"?>
<ds:datastoreItem xmlns:ds="http://schemas.openxmlformats.org/officeDocument/2006/customXml" ds:itemID="{BFDE6174-862E-46CD-A638-136852A48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2558</Words>
  <Characters>13479</Characters>
  <Application>Microsoft Office Word</Application>
  <DocSecurity>0</DocSecurity>
  <Lines>222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15984</CharactersWithSpaces>
  <SharedDoc>false</SharedDoc>
  <HLinks>
    <vt:vector size="66" baseType="variant">
      <vt:variant>
        <vt:i4>1769548</vt:i4>
      </vt:variant>
      <vt:variant>
        <vt:i4>30</vt:i4>
      </vt:variant>
      <vt:variant>
        <vt:i4>0</vt:i4>
      </vt:variant>
      <vt:variant>
        <vt:i4>5</vt:i4>
      </vt:variant>
      <vt:variant>
        <vt:lpwstr>http://www.3gpp.org/ftp/Specs/html-info/45005.htm</vt:lpwstr>
      </vt:variant>
      <vt:variant>
        <vt:lpwstr/>
      </vt:variant>
      <vt:variant>
        <vt:i4>3997730</vt:i4>
      </vt:variant>
      <vt:variant>
        <vt:i4>27</vt:i4>
      </vt:variant>
      <vt:variant>
        <vt:i4>0</vt:i4>
      </vt:variant>
      <vt:variant>
        <vt:i4>5</vt:i4>
      </vt:variant>
      <vt:variant>
        <vt:lpwstr>http://www.acma.gov.au/</vt:lpwstr>
      </vt:variant>
      <vt:variant>
        <vt:lpwstr/>
      </vt:variant>
      <vt:variant>
        <vt:i4>6160468</vt:i4>
      </vt:variant>
      <vt:variant>
        <vt:i4>24</vt:i4>
      </vt:variant>
      <vt:variant>
        <vt:i4>0</vt:i4>
      </vt:variant>
      <vt:variant>
        <vt:i4>5</vt:i4>
      </vt:variant>
      <vt:variant>
        <vt:lpwstr>http://www.comlaw.gov.au/</vt:lpwstr>
      </vt:variant>
      <vt:variant>
        <vt:lpwstr/>
      </vt:variant>
      <vt:variant>
        <vt:i4>6160468</vt:i4>
      </vt:variant>
      <vt:variant>
        <vt:i4>21</vt:i4>
      </vt:variant>
      <vt:variant>
        <vt:i4>0</vt:i4>
      </vt:variant>
      <vt:variant>
        <vt:i4>5</vt:i4>
      </vt:variant>
      <vt:variant>
        <vt:lpwstr>http://www.comlaw.gov.au/</vt:lpwstr>
      </vt:variant>
      <vt:variant>
        <vt:lpwstr/>
      </vt:variant>
      <vt:variant>
        <vt:i4>2752612</vt:i4>
      </vt:variant>
      <vt:variant>
        <vt:i4>18</vt:i4>
      </vt:variant>
      <vt:variant>
        <vt:i4>0</vt:i4>
      </vt:variant>
      <vt:variant>
        <vt:i4>5</vt:i4>
      </vt:variant>
      <vt:variant>
        <vt:lpwstr>http://www.itu.int/</vt:lpwstr>
      </vt:variant>
      <vt:variant>
        <vt:lpwstr/>
      </vt:variant>
      <vt:variant>
        <vt:i4>4194420</vt:i4>
      </vt:variant>
      <vt:variant>
        <vt:i4>15</vt:i4>
      </vt:variant>
      <vt:variant>
        <vt:i4>0</vt:i4>
      </vt:variant>
      <vt:variant>
        <vt:i4>5</vt:i4>
      </vt:variant>
      <vt:variant>
        <vt:lpwstr>http://www.acma.gov.au/WEB/STANDARD/pc=PC_2708</vt:lpwstr>
      </vt:variant>
      <vt:variant>
        <vt:lpwstr/>
      </vt:variant>
      <vt:variant>
        <vt:i4>4194420</vt:i4>
      </vt:variant>
      <vt:variant>
        <vt:i4>12</vt:i4>
      </vt:variant>
      <vt:variant>
        <vt:i4>0</vt:i4>
      </vt:variant>
      <vt:variant>
        <vt:i4>5</vt:i4>
      </vt:variant>
      <vt:variant>
        <vt:lpwstr>http://www.acma.gov.au/WEB/STANDARD/pc=PC_2708</vt:lpwstr>
      </vt:variant>
      <vt:variant>
        <vt:lpwstr/>
      </vt:variant>
      <vt:variant>
        <vt:i4>7864390</vt:i4>
      </vt:variant>
      <vt:variant>
        <vt:i4>9</vt:i4>
      </vt:variant>
      <vt:variant>
        <vt:i4>0</vt:i4>
      </vt:variant>
      <vt:variant>
        <vt:i4>5</vt:i4>
      </vt:variant>
      <vt:variant>
        <vt:lpwstr>http://www.acma.gov.au/WEB/STANDARD/pc=PC_410046</vt:lpwstr>
      </vt:variant>
      <vt:variant>
        <vt:lpwstr/>
      </vt:variant>
      <vt:variant>
        <vt:i4>262235</vt:i4>
      </vt:variant>
      <vt:variant>
        <vt:i4>6</vt:i4>
      </vt:variant>
      <vt:variant>
        <vt:i4>0</vt:i4>
      </vt:variant>
      <vt:variant>
        <vt:i4>5</vt:i4>
      </vt:variant>
      <vt:variant>
        <vt:lpwstr>http://www.comlaw.gov.au/Details/F2005B00477</vt:lpwstr>
      </vt:variant>
      <vt:variant>
        <vt:lpwstr/>
      </vt:variant>
      <vt:variant>
        <vt:i4>327771</vt:i4>
      </vt:variant>
      <vt:variant>
        <vt:i4>3</vt:i4>
      </vt:variant>
      <vt:variant>
        <vt:i4>0</vt:i4>
      </vt:variant>
      <vt:variant>
        <vt:i4>5</vt:i4>
      </vt:variant>
      <vt:variant>
        <vt:lpwstr>http://www.comlaw.gov.au/Details/F2005B00476</vt:lpwstr>
      </vt:variant>
      <vt:variant>
        <vt:lpwstr/>
      </vt:variant>
      <vt:variant>
        <vt:i4>393309</vt:i4>
      </vt:variant>
      <vt:variant>
        <vt:i4>0</vt:i4>
      </vt:variant>
      <vt:variant>
        <vt:i4>0</vt:i4>
      </vt:variant>
      <vt:variant>
        <vt:i4>5</vt:i4>
      </vt:variant>
      <vt:variant>
        <vt:lpwstr>http://www.comlaw.gov.au/Details/F2005C00809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Belton</dc:creator>
  <cp:keywords/>
  <dc:description/>
  <cp:lastModifiedBy>Patrick Belton</cp:lastModifiedBy>
  <cp:revision>4</cp:revision>
  <cp:lastPrinted>2023-02-13T03:26:00Z</cp:lastPrinted>
  <dcterms:created xsi:type="dcterms:W3CDTF">2023-09-26T01:25:00Z</dcterms:created>
  <dcterms:modified xsi:type="dcterms:W3CDTF">2023-09-26T01:26:00Z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3b543e18-c0ef-4d85-95a0-2543d7606546</vt:lpwstr>
  </property>
</Properties>
</file>