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481C3" w14:textId="7CE85FBB" w:rsidR="00B0677D" w:rsidRDefault="00BD3A37" w:rsidP="00B05879">
      <w:pPr>
        <w:ind w:firstLine="142"/>
        <w:jc w:val="center"/>
        <w:rPr>
          <w:rFonts w:ascii="Times New Roman" w:hAnsi="Times New Roman" w:cs="Times New Roman"/>
          <w:b/>
          <w:sz w:val="28"/>
          <w:szCs w:val="28"/>
        </w:rPr>
      </w:pPr>
      <w:r>
        <w:rPr>
          <w:rFonts w:ascii="Times New Roman" w:hAnsi="Times New Roman" w:cs="Times New Roman"/>
          <w:b/>
          <w:sz w:val="28"/>
          <w:szCs w:val="28"/>
        </w:rPr>
        <w:t>Explanatory Statement</w:t>
      </w:r>
    </w:p>
    <w:p w14:paraId="0AC2D379" w14:textId="5745BAE2" w:rsidR="00B0677D" w:rsidRDefault="00FA1230" w:rsidP="00F23960">
      <w:pPr>
        <w:jc w:val="center"/>
        <w:rPr>
          <w:rFonts w:ascii="Times New Roman" w:hAnsi="Times New Roman" w:cs="Times New Roman"/>
        </w:rPr>
      </w:pPr>
      <w:r>
        <w:rPr>
          <w:rFonts w:ascii="Times New Roman" w:hAnsi="Times New Roman" w:cs="Times New Roman"/>
        </w:rPr>
        <w:t>Issued</w:t>
      </w:r>
      <w:r w:rsidR="00B0677D">
        <w:rPr>
          <w:rFonts w:ascii="Times New Roman" w:hAnsi="Times New Roman" w:cs="Times New Roman"/>
        </w:rPr>
        <w:t xml:space="preserve"> by the Australian Communications and Media Authority</w:t>
      </w:r>
    </w:p>
    <w:p w14:paraId="53DA651E" w14:textId="77777777" w:rsidR="004F3145" w:rsidRDefault="004F3145" w:rsidP="00F23960">
      <w:pPr>
        <w:jc w:val="center"/>
        <w:rPr>
          <w:rFonts w:ascii="Times New Roman" w:hAnsi="Times New Roman" w:cs="Times New Roman"/>
          <w:i/>
        </w:rPr>
      </w:pPr>
      <w:r>
        <w:rPr>
          <w:rFonts w:ascii="Times New Roman" w:hAnsi="Times New Roman" w:cs="Times New Roman"/>
          <w:i/>
        </w:rPr>
        <w:t>Telecommunications Act 1997</w:t>
      </w:r>
    </w:p>
    <w:p w14:paraId="2F9167B9" w14:textId="77777777" w:rsidR="003315EB" w:rsidRPr="00B05879" w:rsidRDefault="003315EB" w:rsidP="00F23960">
      <w:pPr>
        <w:jc w:val="center"/>
        <w:rPr>
          <w:rFonts w:ascii="Times New Roman" w:hAnsi="Times New Roman" w:cs="Times New Roman"/>
          <w:b/>
          <w:i/>
        </w:rPr>
      </w:pPr>
      <w:r w:rsidRPr="00B05879">
        <w:rPr>
          <w:rFonts w:ascii="Times New Roman" w:hAnsi="Times New Roman" w:cs="Times New Roman"/>
          <w:b/>
          <w:i/>
        </w:rPr>
        <w:t>Telecommunications (Customer Service Guarantee) Record-Keeping Rules 2023</w:t>
      </w:r>
    </w:p>
    <w:p w14:paraId="73A321F4" w14:textId="77777777" w:rsidR="00B0677D" w:rsidRDefault="00B0677D" w:rsidP="00B0677D">
      <w:pPr>
        <w:spacing w:before="280"/>
        <w:rPr>
          <w:rFonts w:ascii="Times New Roman" w:hAnsi="Times New Roman" w:cs="Times New Roman"/>
          <w:b/>
        </w:rPr>
      </w:pPr>
      <w:r>
        <w:rPr>
          <w:rFonts w:ascii="Times New Roman" w:hAnsi="Times New Roman" w:cs="Times New Roman"/>
          <w:b/>
        </w:rPr>
        <w:t>Authority</w:t>
      </w:r>
    </w:p>
    <w:p w14:paraId="4F1A498A" w14:textId="5C4BBA7F" w:rsidR="00090E04" w:rsidRPr="00090E04" w:rsidRDefault="00B0677D" w:rsidP="00090E04">
      <w:pPr>
        <w:rPr>
          <w:rFonts w:ascii="Times New Roman" w:hAnsi="Times New Roman" w:cs="Times New Roman"/>
        </w:rPr>
      </w:pPr>
      <w:r>
        <w:rPr>
          <w:rFonts w:ascii="Times New Roman" w:hAnsi="Times New Roman" w:cs="Times New Roman"/>
        </w:rPr>
        <w:t>The Australian Communications and Media Authority (</w:t>
      </w:r>
      <w:r>
        <w:rPr>
          <w:rFonts w:ascii="Times New Roman" w:hAnsi="Times New Roman" w:cs="Times New Roman"/>
          <w:b/>
        </w:rPr>
        <w:t>the ACMA</w:t>
      </w:r>
      <w:r>
        <w:rPr>
          <w:rFonts w:ascii="Times New Roman" w:hAnsi="Times New Roman" w:cs="Times New Roman"/>
        </w:rPr>
        <w:t xml:space="preserve">) has made the </w:t>
      </w:r>
      <w:r w:rsidRPr="00756E7D">
        <w:rPr>
          <w:rFonts w:ascii="Times New Roman" w:hAnsi="Times New Roman" w:cs="Times New Roman"/>
          <w:i/>
          <w:iCs/>
        </w:rPr>
        <w:t xml:space="preserve">Telecommunications </w:t>
      </w:r>
      <w:r w:rsidR="00DA308D" w:rsidRPr="00756E7D">
        <w:rPr>
          <w:rFonts w:ascii="Times New Roman" w:hAnsi="Times New Roman" w:cs="Times New Roman"/>
          <w:i/>
          <w:iCs/>
        </w:rPr>
        <w:t>(</w:t>
      </w:r>
      <w:r w:rsidR="0018349E" w:rsidRPr="00756E7D">
        <w:rPr>
          <w:rFonts w:ascii="Times New Roman" w:hAnsi="Times New Roman" w:cs="Times New Roman"/>
          <w:i/>
          <w:iCs/>
        </w:rPr>
        <w:t>Customer Service Guarantee</w:t>
      </w:r>
      <w:r w:rsidR="00DA308D" w:rsidRPr="00756E7D">
        <w:rPr>
          <w:rFonts w:ascii="Times New Roman" w:hAnsi="Times New Roman" w:cs="Times New Roman"/>
          <w:i/>
          <w:iCs/>
        </w:rPr>
        <w:t>)</w:t>
      </w:r>
      <w:r w:rsidRPr="00756E7D">
        <w:rPr>
          <w:rFonts w:ascii="Times New Roman" w:hAnsi="Times New Roman" w:cs="Times New Roman"/>
          <w:i/>
          <w:iCs/>
        </w:rPr>
        <w:t xml:space="preserve"> </w:t>
      </w:r>
      <w:r w:rsidR="005678D6">
        <w:rPr>
          <w:rFonts w:ascii="Times New Roman" w:hAnsi="Times New Roman" w:cs="Times New Roman"/>
          <w:i/>
          <w:iCs/>
        </w:rPr>
        <w:t>Record-Keeping Rules</w:t>
      </w:r>
      <w:r w:rsidRPr="00756E7D">
        <w:rPr>
          <w:rFonts w:ascii="Times New Roman" w:hAnsi="Times New Roman" w:cs="Times New Roman"/>
          <w:i/>
          <w:iCs/>
        </w:rPr>
        <w:t xml:space="preserve"> 202</w:t>
      </w:r>
      <w:r w:rsidR="0018349E" w:rsidRPr="00756E7D">
        <w:rPr>
          <w:rFonts w:ascii="Times New Roman" w:hAnsi="Times New Roman" w:cs="Times New Roman"/>
          <w:i/>
          <w:iCs/>
        </w:rPr>
        <w:t>3</w:t>
      </w:r>
      <w:r>
        <w:rPr>
          <w:rFonts w:ascii="Times New Roman" w:hAnsi="Times New Roman" w:cs="Times New Roman"/>
          <w:i/>
        </w:rPr>
        <w:t xml:space="preserve"> </w:t>
      </w:r>
      <w:r>
        <w:rPr>
          <w:rFonts w:ascii="Times New Roman" w:hAnsi="Times New Roman" w:cs="Times New Roman"/>
        </w:rPr>
        <w:t>(</w:t>
      </w:r>
      <w:r w:rsidR="0016481E">
        <w:rPr>
          <w:rFonts w:ascii="Times New Roman" w:hAnsi="Times New Roman" w:cs="Times New Roman"/>
          <w:b/>
        </w:rPr>
        <w:t xml:space="preserve">the </w:t>
      </w:r>
      <w:r w:rsidR="00090E04">
        <w:rPr>
          <w:rFonts w:ascii="Times New Roman" w:hAnsi="Times New Roman" w:cs="Times New Roman"/>
          <w:b/>
        </w:rPr>
        <w:t>Rule</w:t>
      </w:r>
      <w:r w:rsidR="005678D6">
        <w:rPr>
          <w:rFonts w:ascii="Times New Roman" w:hAnsi="Times New Roman" w:cs="Times New Roman"/>
          <w:b/>
        </w:rPr>
        <w:t>s</w:t>
      </w:r>
      <w:r>
        <w:rPr>
          <w:rFonts w:ascii="Times New Roman" w:hAnsi="Times New Roman" w:cs="Times New Roman"/>
        </w:rPr>
        <w:t xml:space="preserve">) under </w:t>
      </w:r>
      <w:r w:rsidR="00090E04">
        <w:rPr>
          <w:rFonts w:ascii="Times New Roman" w:hAnsi="Times New Roman" w:cs="Times New Roman"/>
        </w:rPr>
        <w:t>sub</w:t>
      </w:r>
      <w:r>
        <w:rPr>
          <w:rFonts w:ascii="Times New Roman" w:hAnsi="Times New Roman" w:cs="Times New Roman"/>
        </w:rPr>
        <w:t>section</w:t>
      </w:r>
      <w:r w:rsidR="00090E04">
        <w:rPr>
          <w:rFonts w:ascii="Times New Roman" w:hAnsi="Times New Roman" w:cs="Times New Roman"/>
        </w:rPr>
        <w:t xml:space="preserve"> 529(1)</w:t>
      </w:r>
      <w:r w:rsidR="00BA116D">
        <w:rPr>
          <w:rFonts w:ascii="Times New Roman" w:hAnsi="Times New Roman" w:cs="Times New Roman"/>
        </w:rPr>
        <w:t xml:space="preserve"> </w:t>
      </w:r>
      <w:r>
        <w:rPr>
          <w:rFonts w:ascii="Times New Roman" w:hAnsi="Times New Roman" w:cs="Times New Roman"/>
        </w:rPr>
        <w:t xml:space="preserve">of the </w:t>
      </w:r>
      <w:r w:rsidRPr="00691FF2">
        <w:rPr>
          <w:rFonts w:ascii="Times New Roman" w:hAnsi="Times New Roman" w:cs="Times New Roman"/>
          <w:i/>
          <w:iCs/>
        </w:rPr>
        <w:t>Telecommunications Act 199</w:t>
      </w:r>
      <w:r w:rsidR="00090E04">
        <w:rPr>
          <w:rFonts w:ascii="Times New Roman" w:hAnsi="Times New Roman" w:cs="Times New Roman"/>
          <w:i/>
          <w:iCs/>
        </w:rPr>
        <w:t>7</w:t>
      </w:r>
      <w:r>
        <w:rPr>
          <w:rFonts w:ascii="Times New Roman" w:hAnsi="Times New Roman" w:cs="Times New Roman"/>
        </w:rPr>
        <w:t xml:space="preserve"> (</w:t>
      </w:r>
      <w:r>
        <w:rPr>
          <w:rFonts w:ascii="Times New Roman" w:hAnsi="Times New Roman" w:cs="Times New Roman"/>
          <w:b/>
        </w:rPr>
        <w:t>the Act</w:t>
      </w:r>
      <w:r>
        <w:rPr>
          <w:rFonts w:ascii="Times New Roman" w:hAnsi="Times New Roman" w:cs="Times New Roman"/>
        </w:rPr>
        <w:t>)</w:t>
      </w:r>
      <w:r w:rsidRPr="004A165D">
        <w:rPr>
          <w:rFonts w:ascii="Times New Roman" w:hAnsi="Times New Roman" w:cs="Times New Roman"/>
        </w:rPr>
        <w:t xml:space="preserve"> </w:t>
      </w:r>
      <w:r>
        <w:rPr>
          <w:rFonts w:ascii="Times New Roman" w:hAnsi="Times New Roman" w:cs="Times New Roman"/>
        </w:rPr>
        <w:t xml:space="preserve">and subsection 33(3) of the </w:t>
      </w:r>
      <w:r>
        <w:rPr>
          <w:rFonts w:ascii="Times New Roman" w:hAnsi="Times New Roman" w:cs="Times New Roman"/>
          <w:i/>
        </w:rPr>
        <w:t>Acts Interpretation Act 1901</w:t>
      </w:r>
      <w:r>
        <w:rPr>
          <w:rFonts w:ascii="Times New Roman" w:hAnsi="Times New Roman" w:cs="Times New Roman"/>
        </w:rPr>
        <w:t xml:space="preserve"> (</w:t>
      </w:r>
      <w:r>
        <w:rPr>
          <w:rFonts w:ascii="Times New Roman" w:hAnsi="Times New Roman" w:cs="Times New Roman"/>
          <w:b/>
        </w:rPr>
        <w:t>the AIA</w:t>
      </w:r>
      <w:r>
        <w:rPr>
          <w:rFonts w:ascii="Times New Roman" w:hAnsi="Times New Roman" w:cs="Times New Roman"/>
        </w:rPr>
        <w:t>).</w:t>
      </w:r>
      <w:r w:rsidR="00090E04">
        <w:rPr>
          <w:rFonts w:ascii="Times New Roman" w:hAnsi="Times New Roman" w:cs="Times New Roman"/>
        </w:rPr>
        <w:t xml:space="preserve"> </w:t>
      </w:r>
    </w:p>
    <w:p w14:paraId="2FC01C15" w14:textId="323DB4FB" w:rsidR="002D0B86" w:rsidRDefault="004247B0" w:rsidP="00B0677D">
      <w:pPr>
        <w:pStyle w:val="ACMABodyText"/>
        <w:rPr>
          <w:sz w:val="22"/>
          <w:szCs w:val="18"/>
        </w:rPr>
      </w:pPr>
      <w:r>
        <w:rPr>
          <w:sz w:val="22"/>
          <w:szCs w:val="18"/>
        </w:rPr>
        <w:t>Subs</w:t>
      </w:r>
      <w:r w:rsidR="00090E04">
        <w:rPr>
          <w:sz w:val="22"/>
          <w:szCs w:val="18"/>
        </w:rPr>
        <w:t>ection 529</w:t>
      </w:r>
      <w:r>
        <w:rPr>
          <w:sz w:val="22"/>
          <w:szCs w:val="18"/>
        </w:rPr>
        <w:t>(1)</w:t>
      </w:r>
      <w:r w:rsidR="00090E04">
        <w:rPr>
          <w:sz w:val="22"/>
          <w:szCs w:val="18"/>
        </w:rPr>
        <w:t xml:space="preserve"> of the Act allows the ACMA to make rules</w:t>
      </w:r>
      <w:r w:rsidR="002D5D11">
        <w:rPr>
          <w:sz w:val="22"/>
          <w:szCs w:val="18"/>
        </w:rPr>
        <w:t>,</w:t>
      </w:r>
      <w:r>
        <w:rPr>
          <w:sz w:val="22"/>
          <w:szCs w:val="18"/>
        </w:rPr>
        <w:t xml:space="preserve"> known as record-keeping rules</w:t>
      </w:r>
      <w:r w:rsidR="002D5D11">
        <w:rPr>
          <w:sz w:val="22"/>
          <w:szCs w:val="18"/>
        </w:rPr>
        <w:t>,</w:t>
      </w:r>
      <w:r w:rsidR="00090E04">
        <w:rPr>
          <w:sz w:val="22"/>
          <w:szCs w:val="18"/>
        </w:rPr>
        <w:t xml:space="preserve"> for and in relation to requiring one or more specified carriers or carriage service providers (</w:t>
      </w:r>
      <w:r w:rsidR="00090E04" w:rsidRPr="00090E04">
        <w:rPr>
          <w:b/>
          <w:bCs/>
          <w:sz w:val="22"/>
          <w:szCs w:val="18"/>
        </w:rPr>
        <w:t>CSPs</w:t>
      </w:r>
      <w:r w:rsidR="00090E04">
        <w:rPr>
          <w:sz w:val="22"/>
          <w:szCs w:val="18"/>
        </w:rPr>
        <w:t>) to keep and retain records</w:t>
      </w:r>
      <w:r>
        <w:rPr>
          <w:sz w:val="22"/>
          <w:szCs w:val="18"/>
        </w:rPr>
        <w:t xml:space="preserve">. </w:t>
      </w:r>
    </w:p>
    <w:p w14:paraId="4D1D462A" w14:textId="5724D5C0" w:rsidR="004247B0" w:rsidRDefault="004247B0" w:rsidP="00B0677D">
      <w:pPr>
        <w:pStyle w:val="ACMABodyText"/>
        <w:rPr>
          <w:sz w:val="22"/>
          <w:szCs w:val="18"/>
        </w:rPr>
      </w:pPr>
      <w:r>
        <w:rPr>
          <w:sz w:val="22"/>
          <w:szCs w:val="18"/>
        </w:rPr>
        <w:t>Under subsection 529(2A)</w:t>
      </w:r>
      <w:r w:rsidR="001D22EA">
        <w:rPr>
          <w:sz w:val="22"/>
          <w:szCs w:val="18"/>
        </w:rPr>
        <w:t xml:space="preserve"> of the Act</w:t>
      </w:r>
      <w:r>
        <w:rPr>
          <w:sz w:val="22"/>
          <w:szCs w:val="18"/>
        </w:rPr>
        <w:t xml:space="preserve">, such record-keeping rules may also require those carriers or CSPs to prepare reports consisting of information contained in those records, and to give any or </w:t>
      </w:r>
      <w:proofErr w:type="gramStart"/>
      <w:r>
        <w:rPr>
          <w:sz w:val="22"/>
          <w:szCs w:val="18"/>
        </w:rPr>
        <w:t>all of</w:t>
      </w:r>
      <w:proofErr w:type="gramEnd"/>
      <w:r>
        <w:rPr>
          <w:sz w:val="22"/>
          <w:szCs w:val="18"/>
        </w:rPr>
        <w:t xml:space="preserve"> the reports to the ACMA under subsection 529(2B)</w:t>
      </w:r>
      <w:r w:rsidR="005728F3">
        <w:rPr>
          <w:sz w:val="22"/>
          <w:szCs w:val="18"/>
        </w:rPr>
        <w:t xml:space="preserve"> of the Act</w:t>
      </w:r>
      <w:r>
        <w:rPr>
          <w:sz w:val="22"/>
          <w:szCs w:val="18"/>
        </w:rPr>
        <w:t>. The</w:t>
      </w:r>
      <w:r w:rsidR="00C5099D">
        <w:rPr>
          <w:sz w:val="22"/>
          <w:szCs w:val="18"/>
        </w:rPr>
        <w:t xml:space="preserve"> rules</w:t>
      </w:r>
      <w:r>
        <w:rPr>
          <w:sz w:val="22"/>
          <w:szCs w:val="18"/>
        </w:rPr>
        <w:t xml:space="preserve"> may specify the manner and form of those reports under subsection 529(2C)</w:t>
      </w:r>
      <w:r w:rsidR="005728F3">
        <w:rPr>
          <w:sz w:val="22"/>
          <w:szCs w:val="18"/>
        </w:rPr>
        <w:t xml:space="preserve"> of the Act</w:t>
      </w:r>
      <w:r w:rsidR="002D0B86">
        <w:rPr>
          <w:sz w:val="22"/>
          <w:szCs w:val="18"/>
        </w:rPr>
        <w:t xml:space="preserve"> and </w:t>
      </w:r>
      <w:r w:rsidR="00C5099D">
        <w:rPr>
          <w:sz w:val="22"/>
          <w:szCs w:val="18"/>
        </w:rPr>
        <w:t xml:space="preserve">provide for </w:t>
      </w:r>
      <w:r w:rsidR="002D0B86">
        <w:rPr>
          <w:sz w:val="22"/>
          <w:szCs w:val="18"/>
        </w:rPr>
        <w:t xml:space="preserve">the </w:t>
      </w:r>
      <w:r w:rsidR="00B520CF">
        <w:rPr>
          <w:sz w:val="22"/>
          <w:szCs w:val="18"/>
        </w:rPr>
        <w:t xml:space="preserve">preparation </w:t>
      </w:r>
      <w:r w:rsidR="002D0B86">
        <w:rPr>
          <w:sz w:val="22"/>
          <w:szCs w:val="18"/>
        </w:rPr>
        <w:t xml:space="preserve">of the reports periodically or as and when required by </w:t>
      </w:r>
      <w:r w:rsidR="003F421F">
        <w:rPr>
          <w:sz w:val="22"/>
          <w:szCs w:val="18"/>
        </w:rPr>
        <w:t xml:space="preserve">the </w:t>
      </w:r>
      <w:r w:rsidR="002D0B86">
        <w:rPr>
          <w:sz w:val="22"/>
          <w:szCs w:val="18"/>
        </w:rPr>
        <w:t>ACMA under subsection 529(2D)</w:t>
      </w:r>
      <w:r w:rsidR="005728F3">
        <w:rPr>
          <w:sz w:val="22"/>
          <w:szCs w:val="18"/>
        </w:rPr>
        <w:t xml:space="preserve"> of the Act</w:t>
      </w:r>
      <w:r>
        <w:rPr>
          <w:sz w:val="22"/>
          <w:szCs w:val="18"/>
        </w:rPr>
        <w:t>.</w:t>
      </w:r>
      <w:r w:rsidR="002D0B86">
        <w:rPr>
          <w:sz w:val="22"/>
          <w:szCs w:val="18"/>
        </w:rPr>
        <w:t xml:space="preserve"> The rules may require or permit such reports to be given to the ACMA in accordance with specified software requirements and specified authentication requirements under subsection 529(2E)</w:t>
      </w:r>
      <w:r w:rsidR="005728F3">
        <w:rPr>
          <w:sz w:val="22"/>
          <w:szCs w:val="18"/>
        </w:rPr>
        <w:t xml:space="preserve"> of the Act</w:t>
      </w:r>
      <w:r w:rsidR="002D0B86">
        <w:rPr>
          <w:sz w:val="22"/>
          <w:szCs w:val="18"/>
        </w:rPr>
        <w:t>.</w:t>
      </w:r>
    </w:p>
    <w:p w14:paraId="22BA1E43" w14:textId="78B92DC1" w:rsidR="002D0B86" w:rsidRDefault="002D0B86" w:rsidP="00B0677D">
      <w:pPr>
        <w:pStyle w:val="ACMABodyText"/>
        <w:rPr>
          <w:sz w:val="22"/>
          <w:szCs w:val="18"/>
        </w:rPr>
      </w:pPr>
      <w:r>
        <w:rPr>
          <w:sz w:val="22"/>
          <w:szCs w:val="18"/>
        </w:rPr>
        <w:t xml:space="preserve">Subsection 529(4) </w:t>
      </w:r>
      <w:r w:rsidR="005728F3">
        <w:rPr>
          <w:sz w:val="22"/>
          <w:szCs w:val="18"/>
        </w:rPr>
        <w:t xml:space="preserve">of the Act </w:t>
      </w:r>
      <w:r>
        <w:rPr>
          <w:sz w:val="22"/>
          <w:szCs w:val="18"/>
        </w:rPr>
        <w:t>limits the scope of the ACMA’s power, such that the ACMA cannot make record-keeping rules requiring the keeping or retention of records unless the records contain, or will contain, information that is relevant to the performance of the ACMA’s telecommunications functions or the exercise of the ACMA’s telecommunications powers.</w:t>
      </w:r>
    </w:p>
    <w:p w14:paraId="6AFF7ED1" w14:textId="1C89CE17" w:rsidR="00E330DC" w:rsidRPr="00683C55" w:rsidRDefault="00B0677D" w:rsidP="00B0677D">
      <w:pPr>
        <w:pStyle w:val="paragraphsub"/>
        <w:tabs>
          <w:tab w:val="clear" w:pos="1985"/>
          <w:tab w:val="right" w:pos="0"/>
        </w:tabs>
        <w:spacing w:after="200"/>
        <w:ind w:left="0" w:firstLine="0"/>
        <w:rPr>
          <w:snapToGrid w:val="0"/>
          <w:szCs w:val="18"/>
          <w:lang w:eastAsia="en-US"/>
        </w:rPr>
      </w:pPr>
      <w:r w:rsidRPr="00683C55">
        <w:rPr>
          <w:snapToGrid w:val="0"/>
          <w:szCs w:val="18"/>
          <w:lang w:eastAsia="en-US"/>
        </w:rPr>
        <w:t>Th</w:t>
      </w:r>
      <w:r w:rsidR="00696CE3">
        <w:rPr>
          <w:snapToGrid w:val="0"/>
          <w:szCs w:val="18"/>
          <w:lang w:eastAsia="en-US"/>
        </w:rPr>
        <w:t>e Rules</w:t>
      </w:r>
      <w:r w:rsidR="00696CE3">
        <w:rPr>
          <w:snapToGrid w:val="0"/>
          <w:szCs w:val="18"/>
          <w:lang w:eastAsia="en-US"/>
        </w:rPr>
        <w:t xml:space="preserve"> </w:t>
      </w:r>
      <w:r w:rsidRPr="00683C55">
        <w:rPr>
          <w:snapToGrid w:val="0"/>
          <w:szCs w:val="18"/>
          <w:lang w:eastAsia="en-US"/>
        </w:rPr>
        <w:t>r</w:t>
      </w:r>
      <w:r>
        <w:rPr>
          <w:snapToGrid w:val="0"/>
          <w:szCs w:val="18"/>
          <w:lang w:eastAsia="en-US"/>
        </w:rPr>
        <w:t>epeal</w:t>
      </w:r>
      <w:r w:rsidRPr="00683C55">
        <w:rPr>
          <w:snapToGrid w:val="0"/>
          <w:szCs w:val="18"/>
          <w:lang w:eastAsia="en-US"/>
        </w:rPr>
        <w:t xml:space="preserve"> </w:t>
      </w:r>
      <w:r w:rsidR="00696CE3">
        <w:rPr>
          <w:snapToGrid w:val="0"/>
          <w:szCs w:val="18"/>
          <w:lang w:eastAsia="en-US"/>
        </w:rPr>
        <w:t xml:space="preserve">and replace </w:t>
      </w:r>
      <w:r w:rsidRPr="00683C55">
        <w:rPr>
          <w:snapToGrid w:val="0"/>
          <w:szCs w:val="18"/>
          <w:lang w:eastAsia="en-US"/>
        </w:rPr>
        <w:t xml:space="preserve">the </w:t>
      </w:r>
      <w:r w:rsidR="002D0B86">
        <w:rPr>
          <w:i/>
          <w:iCs/>
          <w:snapToGrid w:val="0"/>
          <w:szCs w:val="18"/>
          <w:lang w:eastAsia="en-US"/>
        </w:rPr>
        <w:t>Telecommunications (Customer Service Guarantee) Record-Keeping Rules 2011</w:t>
      </w:r>
      <w:r w:rsidR="00A054FB">
        <w:rPr>
          <w:i/>
          <w:iCs/>
          <w:snapToGrid w:val="0"/>
          <w:szCs w:val="18"/>
          <w:lang w:eastAsia="en-US"/>
        </w:rPr>
        <w:t xml:space="preserve"> </w:t>
      </w:r>
      <w:r w:rsidR="00A054FB" w:rsidRPr="00A054FB">
        <w:rPr>
          <w:snapToGrid w:val="0"/>
          <w:szCs w:val="18"/>
          <w:lang w:eastAsia="en-US"/>
        </w:rPr>
        <w:t>(</w:t>
      </w:r>
      <w:r w:rsidR="00A054FB" w:rsidRPr="00A054FB">
        <w:rPr>
          <w:b/>
          <w:bCs/>
          <w:snapToGrid w:val="0"/>
          <w:szCs w:val="18"/>
          <w:lang w:eastAsia="en-US"/>
        </w:rPr>
        <w:t>the 2011 Rules</w:t>
      </w:r>
      <w:r w:rsidR="00A054FB" w:rsidRPr="00A054FB">
        <w:rPr>
          <w:snapToGrid w:val="0"/>
          <w:szCs w:val="18"/>
          <w:lang w:eastAsia="en-US"/>
        </w:rPr>
        <w:t>)</w:t>
      </w:r>
      <w:r w:rsidRPr="00683C55">
        <w:rPr>
          <w:snapToGrid w:val="0"/>
          <w:szCs w:val="18"/>
          <w:lang w:eastAsia="en-US"/>
        </w:rPr>
        <w:t xml:space="preserve">, which </w:t>
      </w:r>
      <w:r w:rsidR="004B4F25">
        <w:rPr>
          <w:snapToGrid w:val="0"/>
          <w:szCs w:val="18"/>
          <w:lang w:eastAsia="en-US"/>
        </w:rPr>
        <w:t>were</w:t>
      </w:r>
      <w:r w:rsidR="004B30DE" w:rsidRPr="00683C55">
        <w:rPr>
          <w:snapToGrid w:val="0"/>
          <w:szCs w:val="18"/>
          <w:lang w:eastAsia="en-US"/>
        </w:rPr>
        <w:t xml:space="preserve"> </w:t>
      </w:r>
      <w:r w:rsidRPr="00683C55">
        <w:rPr>
          <w:snapToGrid w:val="0"/>
          <w:szCs w:val="18"/>
          <w:lang w:eastAsia="en-US"/>
        </w:rPr>
        <w:t xml:space="preserve">due to sunset on </w:t>
      </w:r>
      <w:r>
        <w:rPr>
          <w:snapToGrid w:val="0"/>
          <w:szCs w:val="18"/>
          <w:lang w:eastAsia="en-US"/>
        </w:rPr>
        <w:t xml:space="preserve">1 </w:t>
      </w:r>
      <w:r w:rsidRPr="00683C55">
        <w:rPr>
          <w:snapToGrid w:val="0"/>
          <w:szCs w:val="18"/>
          <w:lang w:eastAsia="en-US"/>
        </w:rPr>
        <w:t xml:space="preserve">October </w:t>
      </w:r>
      <w:r>
        <w:rPr>
          <w:snapToGrid w:val="0"/>
          <w:szCs w:val="18"/>
          <w:lang w:eastAsia="en-US"/>
        </w:rPr>
        <w:t>202</w:t>
      </w:r>
      <w:r w:rsidR="00CA70D7">
        <w:rPr>
          <w:snapToGrid w:val="0"/>
          <w:szCs w:val="18"/>
          <w:lang w:eastAsia="en-US"/>
        </w:rPr>
        <w:t>3</w:t>
      </w:r>
      <w:r>
        <w:rPr>
          <w:snapToGrid w:val="0"/>
          <w:szCs w:val="18"/>
          <w:lang w:eastAsia="en-US"/>
        </w:rPr>
        <w:t>.</w:t>
      </w:r>
    </w:p>
    <w:p w14:paraId="7B0F4305" w14:textId="79BEC97E" w:rsidR="00B0677D" w:rsidRDefault="00B0677D" w:rsidP="00B0677D">
      <w:pPr>
        <w:rPr>
          <w:rFonts w:ascii="Times New Roman" w:hAnsi="Times New Roman" w:cs="Times New Roman"/>
          <w:b/>
        </w:rPr>
      </w:pPr>
      <w:r>
        <w:rPr>
          <w:rFonts w:ascii="Times New Roman" w:hAnsi="Times New Roman" w:cs="Times New Roman"/>
          <w:b/>
        </w:rPr>
        <w:t xml:space="preserve">Purpose and operation of </w:t>
      </w:r>
      <w:r w:rsidR="0016481E">
        <w:rPr>
          <w:rFonts w:ascii="Times New Roman" w:hAnsi="Times New Roman" w:cs="Times New Roman"/>
          <w:b/>
        </w:rPr>
        <w:t xml:space="preserve">the </w:t>
      </w:r>
      <w:r w:rsidR="002D0B86">
        <w:rPr>
          <w:rFonts w:ascii="Times New Roman" w:hAnsi="Times New Roman" w:cs="Times New Roman"/>
          <w:b/>
        </w:rPr>
        <w:t>Rules</w:t>
      </w:r>
    </w:p>
    <w:p w14:paraId="603E8C40" w14:textId="0CE2F23E" w:rsidR="00090E04" w:rsidRDefault="00090E04" w:rsidP="00090E04">
      <w:pPr>
        <w:rPr>
          <w:rFonts w:ascii="Times New Roman" w:hAnsi="Times New Roman" w:cs="Times New Roman"/>
        </w:rPr>
      </w:pPr>
      <w:r>
        <w:rPr>
          <w:rFonts w:ascii="Times New Roman" w:hAnsi="Times New Roman" w:cs="Times New Roman"/>
        </w:rPr>
        <w:t xml:space="preserve">The Rules are </w:t>
      </w:r>
      <w:r w:rsidR="004B4F25">
        <w:rPr>
          <w:rFonts w:ascii="Times New Roman" w:hAnsi="Times New Roman" w:cs="Times New Roman"/>
        </w:rPr>
        <w:t xml:space="preserve">made </w:t>
      </w:r>
      <w:r>
        <w:rPr>
          <w:rFonts w:ascii="Times New Roman" w:hAnsi="Times New Roman" w:cs="Times New Roman"/>
        </w:rPr>
        <w:t>for the purposes of ensuring that specified carriage service providers (</w:t>
      </w:r>
      <w:r w:rsidRPr="00090E04">
        <w:rPr>
          <w:rFonts w:ascii="Times New Roman" w:hAnsi="Times New Roman" w:cs="Times New Roman"/>
          <w:b/>
          <w:bCs/>
        </w:rPr>
        <w:t>CSPs</w:t>
      </w:r>
      <w:r>
        <w:rPr>
          <w:rFonts w:ascii="Times New Roman" w:hAnsi="Times New Roman" w:cs="Times New Roman"/>
        </w:rPr>
        <w:t>) keep the necessary records, and provide the necessary information, for the ACMA to effectively:</w:t>
      </w:r>
    </w:p>
    <w:p w14:paraId="5A976597" w14:textId="1B12C2EA" w:rsidR="00090E04" w:rsidRDefault="002D0B86" w:rsidP="00090E04">
      <w:pPr>
        <w:pStyle w:val="ListParagraph"/>
        <w:numPr>
          <w:ilvl w:val="0"/>
          <w:numId w:val="37"/>
        </w:numPr>
        <w:rPr>
          <w:rFonts w:ascii="Times New Roman" w:hAnsi="Times New Roman" w:cs="Times New Roman"/>
        </w:rPr>
      </w:pPr>
      <w:r>
        <w:rPr>
          <w:rFonts w:ascii="Times New Roman" w:hAnsi="Times New Roman" w:cs="Times New Roman"/>
        </w:rPr>
        <w:t>m</w:t>
      </w:r>
      <w:r w:rsidR="00090E04">
        <w:rPr>
          <w:rFonts w:ascii="Times New Roman" w:hAnsi="Times New Roman" w:cs="Times New Roman"/>
        </w:rPr>
        <w:t xml:space="preserve">onitor and enforce compliance with the benchmarks relating to customer service set by the Minister under section 117B of the </w:t>
      </w:r>
      <w:r w:rsidR="00090E04">
        <w:rPr>
          <w:rFonts w:ascii="Times New Roman" w:hAnsi="Times New Roman" w:cs="Times New Roman"/>
          <w:i/>
          <w:iCs/>
        </w:rPr>
        <w:t xml:space="preserve">Telecommunications (Consumer Protection and Service Standards) Act 1999 </w:t>
      </w:r>
      <w:r w:rsidR="00090E04">
        <w:rPr>
          <w:rFonts w:ascii="Times New Roman" w:hAnsi="Times New Roman" w:cs="Times New Roman"/>
        </w:rPr>
        <w:t>(</w:t>
      </w:r>
      <w:r w:rsidR="00090E04" w:rsidRPr="00090E04">
        <w:rPr>
          <w:rFonts w:ascii="Times New Roman" w:hAnsi="Times New Roman" w:cs="Times New Roman"/>
          <w:b/>
          <w:bCs/>
        </w:rPr>
        <w:t>TCPSS Act</w:t>
      </w:r>
      <w:r w:rsidR="00090E04">
        <w:rPr>
          <w:rFonts w:ascii="Times New Roman" w:hAnsi="Times New Roman" w:cs="Times New Roman"/>
        </w:rPr>
        <w:t>), and</w:t>
      </w:r>
    </w:p>
    <w:p w14:paraId="7D2132BC" w14:textId="4F4ECE11" w:rsidR="00090E04" w:rsidRPr="00090E04" w:rsidRDefault="002D0B86" w:rsidP="00090E04">
      <w:pPr>
        <w:pStyle w:val="ListParagraph"/>
        <w:numPr>
          <w:ilvl w:val="0"/>
          <w:numId w:val="37"/>
        </w:numPr>
        <w:rPr>
          <w:rFonts w:ascii="Times New Roman" w:hAnsi="Times New Roman" w:cs="Times New Roman"/>
        </w:rPr>
      </w:pPr>
      <w:r>
        <w:rPr>
          <w:rFonts w:ascii="Times New Roman" w:hAnsi="Times New Roman" w:cs="Times New Roman"/>
        </w:rPr>
        <w:t>d</w:t>
      </w:r>
      <w:r w:rsidR="00090E04">
        <w:rPr>
          <w:rFonts w:ascii="Times New Roman" w:hAnsi="Times New Roman" w:cs="Times New Roman"/>
        </w:rPr>
        <w:t>ischarge</w:t>
      </w:r>
      <w:r w:rsidR="004B4F25">
        <w:rPr>
          <w:rFonts w:ascii="Times New Roman" w:hAnsi="Times New Roman" w:cs="Times New Roman"/>
        </w:rPr>
        <w:t xml:space="preserve"> </w:t>
      </w:r>
      <w:r w:rsidR="00090E04">
        <w:rPr>
          <w:rFonts w:ascii="Times New Roman" w:hAnsi="Times New Roman" w:cs="Times New Roman"/>
        </w:rPr>
        <w:t xml:space="preserve">its obligation to monitor and report on industry performance as provided for in the Act and </w:t>
      </w:r>
      <w:r w:rsidR="0033389A">
        <w:rPr>
          <w:rFonts w:ascii="Times New Roman" w:hAnsi="Times New Roman" w:cs="Times New Roman"/>
        </w:rPr>
        <w:t xml:space="preserve">in accordance with its functions under </w:t>
      </w:r>
      <w:r w:rsidR="00090E04">
        <w:rPr>
          <w:rFonts w:ascii="Times New Roman" w:hAnsi="Times New Roman" w:cs="Times New Roman"/>
        </w:rPr>
        <w:t xml:space="preserve">the </w:t>
      </w:r>
      <w:r w:rsidR="00090E04">
        <w:rPr>
          <w:rFonts w:ascii="Times New Roman" w:hAnsi="Times New Roman" w:cs="Times New Roman"/>
          <w:i/>
          <w:iCs/>
        </w:rPr>
        <w:t xml:space="preserve">Australian Communications and Media Authority Act 2005 </w:t>
      </w:r>
      <w:r w:rsidR="00090E04">
        <w:rPr>
          <w:rFonts w:ascii="Times New Roman" w:hAnsi="Times New Roman" w:cs="Times New Roman"/>
        </w:rPr>
        <w:t>(</w:t>
      </w:r>
      <w:r w:rsidR="00090E04" w:rsidRPr="00090E04">
        <w:rPr>
          <w:rFonts w:ascii="Times New Roman" w:hAnsi="Times New Roman" w:cs="Times New Roman"/>
          <w:b/>
          <w:bCs/>
        </w:rPr>
        <w:t>ACMA Act</w:t>
      </w:r>
      <w:r w:rsidR="00090E04">
        <w:rPr>
          <w:rFonts w:ascii="Times New Roman" w:hAnsi="Times New Roman" w:cs="Times New Roman"/>
        </w:rPr>
        <w:t>).</w:t>
      </w:r>
    </w:p>
    <w:p w14:paraId="4D09F399" w14:textId="422E77AC" w:rsidR="002D0B86" w:rsidRDefault="002D0B86" w:rsidP="00B0677D">
      <w:pPr>
        <w:rPr>
          <w:rFonts w:ascii="Times New Roman" w:hAnsi="Times New Roman" w:cs="Times New Roman"/>
          <w:bCs/>
        </w:rPr>
      </w:pPr>
      <w:r>
        <w:rPr>
          <w:rFonts w:ascii="Times New Roman" w:hAnsi="Times New Roman" w:cs="Times New Roman"/>
          <w:bCs/>
        </w:rPr>
        <w:t>The Rules require specified CSPs to:</w:t>
      </w:r>
    </w:p>
    <w:p w14:paraId="0BB1E06C" w14:textId="54554D6A" w:rsidR="002D0B86" w:rsidRDefault="002D0B86" w:rsidP="002D0B86">
      <w:pPr>
        <w:pStyle w:val="ListParagraph"/>
        <w:numPr>
          <w:ilvl w:val="0"/>
          <w:numId w:val="38"/>
        </w:numPr>
        <w:rPr>
          <w:rFonts w:ascii="Times New Roman" w:hAnsi="Times New Roman" w:cs="Times New Roman"/>
          <w:bCs/>
        </w:rPr>
      </w:pPr>
      <w:r>
        <w:rPr>
          <w:rFonts w:ascii="Times New Roman" w:hAnsi="Times New Roman" w:cs="Times New Roman"/>
          <w:bCs/>
        </w:rPr>
        <w:t xml:space="preserve">keep and retain records in relation to compliance with the </w:t>
      </w:r>
      <w:r w:rsidR="00832133">
        <w:rPr>
          <w:rFonts w:ascii="Times New Roman" w:hAnsi="Times New Roman" w:cs="Times New Roman"/>
          <w:bCs/>
          <w:i/>
          <w:iCs/>
        </w:rPr>
        <w:t xml:space="preserve">Telecommunications (Customer Service Guarantee) Standard 2023 </w:t>
      </w:r>
      <w:r w:rsidR="00832133">
        <w:rPr>
          <w:rFonts w:ascii="Times New Roman" w:hAnsi="Times New Roman" w:cs="Times New Roman"/>
          <w:bCs/>
        </w:rPr>
        <w:t>(</w:t>
      </w:r>
      <w:r w:rsidR="00832133" w:rsidRPr="00832133">
        <w:rPr>
          <w:rFonts w:ascii="Times New Roman" w:hAnsi="Times New Roman" w:cs="Times New Roman"/>
          <w:b/>
        </w:rPr>
        <w:t>CSG Standard</w:t>
      </w:r>
      <w:r w:rsidR="00832133">
        <w:rPr>
          <w:rFonts w:ascii="Times New Roman" w:hAnsi="Times New Roman" w:cs="Times New Roman"/>
          <w:bCs/>
        </w:rPr>
        <w:t xml:space="preserve">) and the </w:t>
      </w:r>
      <w:r w:rsidR="00832133">
        <w:rPr>
          <w:rFonts w:ascii="Times New Roman" w:hAnsi="Times New Roman" w:cs="Times New Roman"/>
          <w:bCs/>
          <w:i/>
          <w:iCs/>
        </w:rPr>
        <w:t xml:space="preserve">Telecommunications (Customer Service Guarantee – Retail Performance Benchmarks) Instrument 2023 </w:t>
      </w:r>
      <w:r w:rsidR="00832133" w:rsidRPr="00832133">
        <w:rPr>
          <w:rFonts w:ascii="Times New Roman" w:hAnsi="Times New Roman" w:cs="Times New Roman"/>
          <w:bCs/>
        </w:rPr>
        <w:t>(</w:t>
      </w:r>
      <w:r w:rsidR="00832133" w:rsidRPr="00832133">
        <w:rPr>
          <w:rFonts w:ascii="Times New Roman" w:hAnsi="Times New Roman" w:cs="Times New Roman"/>
          <w:b/>
        </w:rPr>
        <w:t>Benchmarks</w:t>
      </w:r>
      <w:r w:rsidR="00832133" w:rsidRPr="00832133">
        <w:rPr>
          <w:rFonts w:ascii="Times New Roman" w:hAnsi="Times New Roman" w:cs="Times New Roman"/>
          <w:bCs/>
        </w:rPr>
        <w:t>)</w:t>
      </w:r>
      <w:r w:rsidR="00832133">
        <w:rPr>
          <w:rFonts w:ascii="Times New Roman" w:hAnsi="Times New Roman" w:cs="Times New Roman"/>
          <w:bCs/>
        </w:rPr>
        <w:t>, and</w:t>
      </w:r>
    </w:p>
    <w:p w14:paraId="6787B81E" w14:textId="0ED4698B" w:rsidR="00832133" w:rsidRDefault="00832133" w:rsidP="002D0B86">
      <w:pPr>
        <w:pStyle w:val="ListParagraph"/>
        <w:numPr>
          <w:ilvl w:val="0"/>
          <w:numId w:val="38"/>
        </w:numPr>
        <w:rPr>
          <w:rFonts w:ascii="Times New Roman" w:hAnsi="Times New Roman" w:cs="Times New Roman"/>
          <w:bCs/>
        </w:rPr>
      </w:pPr>
      <w:r>
        <w:rPr>
          <w:rFonts w:ascii="Times New Roman" w:hAnsi="Times New Roman" w:cs="Times New Roman"/>
          <w:bCs/>
        </w:rPr>
        <w:t>prepare and give to the ACMA reports in the form specified in the Rules and which consist of information contained in those records.</w:t>
      </w:r>
    </w:p>
    <w:p w14:paraId="05E1A8DB" w14:textId="605045AE" w:rsidR="00F72AD4" w:rsidRPr="00BD7952" w:rsidRDefault="00BD7952" w:rsidP="003315EB">
      <w:pPr>
        <w:keepNext/>
        <w:spacing w:line="257" w:lineRule="auto"/>
        <w:rPr>
          <w:rFonts w:ascii="Times New Roman" w:hAnsi="Times New Roman" w:cs="Times New Roman"/>
          <w:b/>
        </w:rPr>
      </w:pPr>
      <w:r w:rsidRPr="00BD7952">
        <w:rPr>
          <w:rFonts w:ascii="Times New Roman" w:hAnsi="Times New Roman" w:cs="Times New Roman"/>
          <w:b/>
        </w:rPr>
        <w:lastRenderedPageBreak/>
        <w:t>Background</w:t>
      </w:r>
    </w:p>
    <w:p w14:paraId="74D501F1" w14:textId="127B2373" w:rsidR="00BD7952" w:rsidRDefault="00BD7952" w:rsidP="00F33482">
      <w:pPr>
        <w:keepNext/>
        <w:spacing w:line="257" w:lineRule="auto"/>
        <w:rPr>
          <w:rFonts w:ascii="Times New Roman" w:hAnsi="Times New Roman" w:cs="Times New Roman"/>
          <w:bCs/>
          <w:i/>
          <w:iCs/>
        </w:rPr>
      </w:pPr>
      <w:r>
        <w:rPr>
          <w:rFonts w:ascii="Times New Roman" w:hAnsi="Times New Roman" w:cs="Times New Roman"/>
          <w:bCs/>
          <w:i/>
          <w:iCs/>
        </w:rPr>
        <w:t>Ministerial Direction</w:t>
      </w:r>
    </w:p>
    <w:p w14:paraId="29863C88" w14:textId="1FC11E76" w:rsidR="00BD7952" w:rsidRDefault="00BD7952" w:rsidP="00BD7952">
      <w:pPr>
        <w:rPr>
          <w:rFonts w:ascii="Times New Roman" w:eastAsia="Times New Roman" w:hAnsi="Times New Roman" w:cs="Times New Roman"/>
          <w:snapToGrid w:val="0"/>
          <w:szCs w:val="18"/>
        </w:rPr>
      </w:pPr>
      <w:r>
        <w:rPr>
          <w:rFonts w:ascii="Times New Roman" w:eastAsia="Times New Roman" w:hAnsi="Times New Roman" w:cs="Times New Roman"/>
          <w:snapToGrid w:val="0"/>
          <w:szCs w:val="18"/>
        </w:rPr>
        <w:t>The</w:t>
      </w:r>
      <w:r w:rsidR="00405427">
        <w:rPr>
          <w:rFonts w:ascii="Times New Roman" w:eastAsia="Times New Roman" w:hAnsi="Times New Roman" w:cs="Times New Roman"/>
          <w:snapToGrid w:val="0"/>
          <w:szCs w:val="18"/>
        </w:rPr>
        <w:t xml:space="preserve"> 2011 Rules were part of a suite of </w:t>
      </w:r>
      <w:r w:rsidR="00696CE3">
        <w:rPr>
          <w:rFonts w:ascii="Times New Roman" w:eastAsia="Times New Roman" w:hAnsi="Times New Roman" w:cs="Times New Roman"/>
          <w:snapToGrid w:val="0"/>
          <w:szCs w:val="18"/>
        </w:rPr>
        <w:t>customer service guarantee (</w:t>
      </w:r>
      <w:r w:rsidRPr="00696CE3">
        <w:rPr>
          <w:rFonts w:ascii="Times New Roman" w:eastAsia="Times New Roman" w:hAnsi="Times New Roman" w:cs="Times New Roman"/>
          <w:b/>
          <w:bCs/>
          <w:snapToGrid w:val="0"/>
          <w:szCs w:val="18"/>
        </w:rPr>
        <w:t>CSG</w:t>
      </w:r>
      <w:r w:rsidR="00696CE3">
        <w:rPr>
          <w:rFonts w:ascii="Times New Roman" w:eastAsia="Times New Roman" w:hAnsi="Times New Roman" w:cs="Times New Roman"/>
          <w:snapToGrid w:val="0"/>
          <w:szCs w:val="18"/>
        </w:rPr>
        <w:t>)</w:t>
      </w:r>
      <w:r>
        <w:rPr>
          <w:rFonts w:ascii="Times New Roman" w:eastAsia="Times New Roman" w:hAnsi="Times New Roman" w:cs="Times New Roman"/>
          <w:snapToGrid w:val="0"/>
          <w:szCs w:val="18"/>
        </w:rPr>
        <w:t xml:space="preserve"> </w:t>
      </w:r>
      <w:r w:rsidR="00405427">
        <w:rPr>
          <w:rFonts w:ascii="Times New Roman" w:eastAsia="Times New Roman" w:hAnsi="Times New Roman" w:cs="Times New Roman"/>
          <w:snapToGrid w:val="0"/>
          <w:szCs w:val="18"/>
        </w:rPr>
        <w:t xml:space="preserve">related </w:t>
      </w:r>
      <w:r>
        <w:rPr>
          <w:rFonts w:ascii="Times New Roman" w:eastAsia="Times New Roman" w:hAnsi="Times New Roman" w:cs="Times New Roman"/>
          <w:snapToGrid w:val="0"/>
          <w:szCs w:val="18"/>
        </w:rPr>
        <w:t>instruments</w:t>
      </w:r>
      <w:r w:rsidR="00405427">
        <w:rPr>
          <w:rFonts w:ascii="Times New Roman" w:eastAsia="Times New Roman" w:hAnsi="Times New Roman" w:cs="Times New Roman"/>
          <w:snapToGrid w:val="0"/>
          <w:szCs w:val="18"/>
        </w:rPr>
        <w:t xml:space="preserve"> which were made in 2011. The sunset date</w:t>
      </w:r>
      <w:r w:rsidR="00696CE3">
        <w:rPr>
          <w:rFonts w:ascii="Times New Roman" w:eastAsia="Times New Roman" w:hAnsi="Times New Roman" w:cs="Times New Roman"/>
          <w:snapToGrid w:val="0"/>
          <w:szCs w:val="18"/>
        </w:rPr>
        <w:t>s</w:t>
      </w:r>
      <w:r w:rsidR="00405427">
        <w:rPr>
          <w:rFonts w:ascii="Times New Roman" w:eastAsia="Times New Roman" w:hAnsi="Times New Roman" w:cs="Times New Roman"/>
          <w:snapToGrid w:val="0"/>
          <w:szCs w:val="18"/>
        </w:rPr>
        <w:t xml:space="preserve"> for these instruments</w:t>
      </w:r>
      <w:r>
        <w:rPr>
          <w:rFonts w:ascii="Times New Roman" w:eastAsia="Times New Roman" w:hAnsi="Times New Roman" w:cs="Times New Roman"/>
          <w:snapToGrid w:val="0"/>
          <w:szCs w:val="18"/>
        </w:rPr>
        <w:t xml:space="preserve">, including the </w:t>
      </w:r>
      <w:r w:rsidR="00405427">
        <w:rPr>
          <w:rFonts w:ascii="Times New Roman" w:eastAsia="Times New Roman" w:hAnsi="Times New Roman" w:cs="Times New Roman"/>
          <w:snapToGrid w:val="0"/>
          <w:szCs w:val="18"/>
        </w:rPr>
        <w:t>2011 Rules</w:t>
      </w:r>
      <w:r>
        <w:rPr>
          <w:rFonts w:ascii="Times New Roman" w:eastAsia="Times New Roman" w:hAnsi="Times New Roman" w:cs="Times New Roman"/>
          <w:snapToGrid w:val="0"/>
          <w:szCs w:val="18"/>
        </w:rPr>
        <w:t xml:space="preserve">, were aligned to 1 October 2023 by the </w:t>
      </w:r>
      <w:r>
        <w:rPr>
          <w:rFonts w:ascii="Times New Roman" w:eastAsia="Times New Roman" w:hAnsi="Times New Roman" w:cs="Times New Roman"/>
          <w:i/>
          <w:iCs/>
          <w:snapToGrid w:val="0"/>
          <w:szCs w:val="18"/>
        </w:rPr>
        <w:t>Legislation (Telecommunications Customer Service Guarantee Instruments) Sunset-altering Declaration 2021</w:t>
      </w:r>
      <w:r w:rsidR="00405427">
        <w:rPr>
          <w:rFonts w:ascii="Times New Roman" w:eastAsia="Times New Roman" w:hAnsi="Times New Roman" w:cs="Times New Roman"/>
          <w:snapToGrid w:val="0"/>
          <w:szCs w:val="18"/>
        </w:rPr>
        <w:t>,</w:t>
      </w:r>
      <w:r>
        <w:rPr>
          <w:rFonts w:ascii="Times New Roman" w:eastAsia="Times New Roman" w:hAnsi="Times New Roman" w:cs="Times New Roman"/>
          <w:snapToGrid w:val="0"/>
          <w:szCs w:val="18"/>
        </w:rPr>
        <w:t xml:space="preserve"> to enable a thematic review of CSG arrangements by the </w:t>
      </w:r>
      <w:r w:rsidRPr="00BD7952">
        <w:rPr>
          <w:rFonts w:ascii="Times New Roman" w:eastAsia="Times New Roman" w:hAnsi="Times New Roman" w:cs="Times New Roman"/>
          <w:snapToGrid w:val="0"/>
          <w:szCs w:val="18"/>
        </w:rPr>
        <w:t xml:space="preserve">Department of Infrastructure, Transport, Regional Development, </w:t>
      </w:r>
      <w:proofErr w:type="gramStart"/>
      <w:r w:rsidRPr="00BD7952">
        <w:rPr>
          <w:rFonts w:ascii="Times New Roman" w:eastAsia="Times New Roman" w:hAnsi="Times New Roman" w:cs="Times New Roman"/>
          <w:snapToGrid w:val="0"/>
          <w:szCs w:val="18"/>
        </w:rPr>
        <w:t>Communications</w:t>
      </w:r>
      <w:proofErr w:type="gramEnd"/>
      <w:r w:rsidRPr="00BD7952">
        <w:rPr>
          <w:rFonts w:ascii="Times New Roman" w:eastAsia="Times New Roman" w:hAnsi="Times New Roman" w:cs="Times New Roman"/>
          <w:snapToGrid w:val="0"/>
          <w:szCs w:val="18"/>
        </w:rPr>
        <w:t xml:space="preserve"> and the Arts (</w:t>
      </w:r>
      <w:r w:rsidRPr="00BD7952">
        <w:rPr>
          <w:rFonts w:ascii="Times New Roman" w:eastAsia="Times New Roman" w:hAnsi="Times New Roman" w:cs="Times New Roman"/>
          <w:b/>
          <w:bCs/>
          <w:snapToGrid w:val="0"/>
          <w:szCs w:val="18"/>
        </w:rPr>
        <w:t>the Department</w:t>
      </w:r>
      <w:r w:rsidRPr="00BD7952">
        <w:rPr>
          <w:rFonts w:ascii="Times New Roman" w:eastAsia="Times New Roman" w:hAnsi="Times New Roman" w:cs="Times New Roman"/>
          <w:snapToGrid w:val="0"/>
          <w:szCs w:val="18"/>
        </w:rPr>
        <w:t>)</w:t>
      </w:r>
      <w:r>
        <w:rPr>
          <w:rFonts w:ascii="Times New Roman" w:eastAsia="Times New Roman" w:hAnsi="Times New Roman" w:cs="Times New Roman"/>
          <w:snapToGrid w:val="0"/>
          <w:szCs w:val="18"/>
        </w:rPr>
        <w:t>.</w:t>
      </w:r>
    </w:p>
    <w:p w14:paraId="190BBB89" w14:textId="66920DB7" w:rsidR="00BD7952" w:rsidRPr="00BD7952" w:rsidRDefault="00BD7952" w:rsidP="00BD7952">
      <w:pPr>
        <w:rPr>
          <w:rFonts w:ascii="Times New Roman" w:hAnsi="Times New Roman" w:cs="Times New Roman"/>
          <w:bCs/>
        </w:rPr>
      </w:pPr>
      <w:r>
        <w:rPr>
          <w:rFonts w:ascii="Times New Roman" w:eastAsia="Times New Roman" w:hAnsi="Times New Roman" w:cs="Times New Roman"/>
          <w:snapToGrid w:val="0"/>
          <w:szCs w:val="18"/>
        </w:rPr>
        <w:t xml:space="preserve">The </w:t>
      </w:r>
      <w:bookmarkStart w:id="0" w:name="_Hlk144731562"/>
      <w:r>
        <w:rPr>
          <w:rFonts w:ascii="Times New Roman" w:eastAsia="Times New Roman" w:hAnsi="Times New Roman" w:cs="Times New Roman"/>
          <w:snapToGrid w:val="0"/>
          <w:szCs w:val="18"/>
        </w:rPr>
        <w:t xml:space="preserve">Department </w:t>
      </w:r>
      <w:bookmarkEnd w:id="0"/>
      <w:r w:rsidRPr="00F81BD5">
        <w:rPr>
          <w:rFonts w:ascii="Times New Roman" w:eastAsia="Times New Roman" w:hAnsi="Times New Roman" w:cs="Times New Roman"/>
          <w:snapToGrid w:val="0"/>
          <w:szCs w:val="18"/>
        </w:rPr>
        <w:t xml:space="preserve">completed the </w:t>
      </w:r>
      <w:r>
        <w:rPr>
          <w:rFonts w:ascii="Times New Roman" w:eastAsia="Times New Roman" w:hAnsi="Times New Roman" w:cs="Times New Roman"/>
          <w:snapToGrid w:val="0"/>
          <w:szCs w:val="18"/>
        </w:rPr>
        <w:t xml:space="preserve">CSG </w:t>
      </w:r>
      <w:r w:rsidRPr="00F81BD5">
        <w:rPr>
          <w:rFonts w:ascii="Times New Roman" w:eastAsia="Times New Roman" w:hAnsi="Times New Roman" w:cs="Times New Roman"/>
          <w:snapToGrid w:val="0"/>
          <w:szCs w:val="18"/>
        </w:rPr>
        <w:t xml:space="preserve">thematic review </w:t>
      </w:r>
      <w:r>
        <w:rPr>
          <w:rFonts w:ascii="Times New Roman" w:eastAsia="Times New Roman" w:hAnsi="Times New Roman" w:cs="Times New Roman"/>
          <w:snapToGrid w:val="0"/>
          <w:szCs w:val="18"/>
        </w:rPr>
        <w:t xml:space="preserve">in </w:t>
      </w:r>
      <w:r w:rsidRPr="00FC6CC5">
        <w:rPr>
          <w:rFonts w:ascii="Times New Roman" w:eastAsia="Times New Roman" w:hAnsi="Times New Roman" w:cs="Times New Roman"/>
          <w:snapToGrid w:val="0"/>
          <w:szCs w:val="18"/>
        </w:rPr>
        <w:t>June 2023</w:t>
      </w:r>
      <w:r>
        <w:rPr>
          <w:rFonts w:ascii="Times New Roman" w:eastAsia="Times New Roman" w:hAnsi="Times New Roman" w:cs="Times New Roman"/>
          <w:snapToGrid w:val="0"/>
          <w:szCs w:val="18"/>
        </w:rPr>
        <w:t xml:space="preserve"> and the Minister announced that the CSG would be remade for an interim period of three years while Government considers long-term arrangements</w:t>
      </w:r>
      <w:r w:rsidRPr="00FC6CC5">
        <w:rPr>
          <w:rFonts w:ascii="Times New Roman" w:eastAsia="Times New Roman" w:hAnsi="Times New Roman" w:cs="Times New Roman"/>
          <w:snapToGrid w:val="0"/>
          <w:szCs w:val="18"/>
        </w:rPr>
        <w:t>.</w:t>
      </w:r>
      <w:r>
        <w:rPr>
          <w:rFonts w:ascii="Times New Roman" w:eastAsia="Times New Roman" w:hAnsi="Times New Roman" w:cs="Times New Roman"/>
          <w:snapToGrid w:val="0"/>
          <w:szCs w:val="18"/>
        </w:rPr>
        <w:t xml:space="preserve"> The </w:t>
      </w:r>
      <w:r w:rsidR="00696CE3" w:rsidRPr="00696CE3">
        <w:rPr>
          <w:rFonts w:ascii="Times New Roman" w:eastAsia="Times New Roman" w:hAnsi="Times New Roman" w:cs="Times New Roman"/>
          <w:i/>
          <w:iCs/>
          <w:snapToGrid w:val="0"/>
          <w:szCs w:val="18"/>
        </w:rPr>
        <w:t>Telecommunications (Customer Service Guarantee) Direction 2023</w:t>
      </w:r>
      <w:r w:rsidR="00696CE3">
        <w:rPr>
          <w:rFonts w:ascii="Times New Roman" w:eastAsia="Times New Roman" w:hAnsi="Times New Roman" w:cs="Times New Roman"/>
          <w:snapToGrid w:val="0"/>
          <w:szCs w:val="18"/>
        </w:rPr>
        <w:t xml:space="preserve"> (</w:t>
      </w:r>
      <w:r w:rsidRPr="00696CE3">
        <w:rPr>
          <w:rFonts w:ascii="Times New Roman" w:eastAsia="Times New Roman" w:hAnsi="Times New Roman" w:cs="Times New Roman"/>
          <w:b/>
          <w:bCs/>
          <w:snapToGrid w:val="0"/>
          <w:szCs w:val="18"/>
        </w:rPr>
        <w:t>CSG Direction</w:t>
      </w:r>
      <w:r w:rsidR="00696CE3">
        <w:rPr>
          <w:rFonts w:ascii="Times New Roman" w:eastAsia="Times New Roman" w:hAnsi="Times New Roman" w:cs="Times New Roman"/>
          <w:snapToGrid w:val="0"/>
          <w:szCs w:val="18"/>
        </w:rPr>
        <w:t>)</w:t>
      </w:r>
      <w:r>
        <w:rPr>
          <w:rFonts w:ascii="Times New Roman" w:eastAsia="Times New Roman" w:hAnsi="Times New Roman" w:cs="Times New Roman"/>
          <w:snapToGrid w:val="0"/>
          <w:szCs w:val="18"/>
        </w:rPr>
        <w:t xml:space="preserve"> was made following the thematic review and directed the ACMA to make the CSG Standard in substantially the same form as the </w:t>
      </w:r>
      <w:r>
        <w:rPr>
          <w:rFonts w:ascii="Times New Roman" w:eastAsia="Times New Roman" w:hAnsi="Times New Roman" w:cs="Times New Roman"/>
          <w:i/>
          <w:iCs/>
          <w:snapToGrid w:val="0"/>
          <w:szCs w:val="18"/>
        </w:rPr>
        <w:t>Telecommunications (Customer Service Guarantee) Standard 2011</w:t>
      </w:r>
      <w:r w:rsidR="00A054FB">
        <w:rPr>
          <w:rFonts w:ascii="Times New Roman" w:eastAsia="Times New Roman" w:hAnsi="Times New Roman" w:cs="Times New Roman"/>
          <w:i/>
          <w:iCs/>
          <w:snapToGrid w:val="0"/>
          <w:szCs w:val="18"/>
        </w:rPr>
        <w:t xml:space="preserve"> </w:t>
      </w:r>
      <w:r w:rsidR="00A054FB">
        <w:rPr>
          <w:rFonts w:ascii="Times New Roman" w:eastAsia="Times New Roman" w:hAnsi="Times New Roman" w:cs="Times New Roman"/>
          <w:snapToGrid w:val="0"/>
          <w:szCs w:val="18"/>
        </w:rPr>
        <w:t>(</w:t>
      </w:r>
      <w:r w:rsidR="00A054FB" w:rsidRPr="00A054FB">
        <w:rPr>
          <w:rFonts w:ascii="Times New Roman" w:eastAsia="Times New Roman" w:hAnsi="Times New Roman" w:cs="Times New Roman"/>
          <w:b/>
          <w:bCs/>
          <w:snapToGrid w:val="0"/>
          <w:szCs w:val="18"/>
        </w:rPr>
        <w:t xml:space="preserve">the 2011 </w:t>
      </w:r>
      <w:r w:rsidR="00A054FB">
        <w:rPr>
          <w:rFonts w:ascii="Times New Roman" w:eastAsia="Times New Roman" w:hAnsi="Times New Roman" w:cs="Times New Roman"/>
          <w:b/>
          <w:bCs/>
          <w:snapToGrid w:val="0"/>
          <w:szCs w:val="18"/>
        </w:rPr>
        <w:t xml:space="preserve">CSG </w:t>
      </w:r>
      <w:r w:rsidR="00A054FB" w:rsidRPr="00A054FB">
        <w:rPr>
          <w:rFonts w:ascii="Times New Roman" w:eastAsia="Times New Roman" w:hAnsi="Times New Roman" w:cs="Times New Roman"/>
          <w:b/>
          <w:bCs/>
          <w:snapToGrid w:val="0"/>
          <w:szCs w:val="18"/>
        </w:rPr>
        <w:t>Standard</w:t>
      </w:r>
      <w:r w:rsidR="00A054FB">
        <w:rPr>
          <w:rFonts w:ascii="Times New Roman" w:eastAsia="Times New Roman" w:hAnsi="Times New Roman" w:cs="Times New Roman"/>
          <w:snapToGrid w:val="0"/>
          <w:szCs w:val="18"/>
        </w:rPr>
        <w:t>)</w:t>
      </w:r>
      <w:r>
        <w:rPr>
          <w:rFonts w:ascii="Times New Roman" w:eastAsia="Times New Roman" w:hAnsi="Times New Roman" w:cs="Times New Roman"/>
          <w:snapToGrid w:val="0"/>
          <w:szCs w:val="18"/>
        </w:rPr>
        <w:t>.</w:t>
      </w:r>
    </w:p>
    <w:p w14:paraId="54A05450" w14:textId="3EDE64FD" w:rsidR="00F33482" w:rsidRPr="00F72AD4" w:rsidRDefault="00F33482" w:rsidP="00F33482">
      <w:pPr>
        <w:keepNext/>
        <w:spacing w:line="257" w:lineRule="auto"/>
        <w:rPr>
          <w:rFonts w:ascii="Times New Roman" w:hAnsi="Times New Roman" w:cs="Times New Roman"/>
          <w:bCs/>
          <w:i/>
          <w:iCs/>
        </w:rPr>
      </w:pPr>
      <w:r w:rsidRPr="00F72AD4">
        <w:rPr>
          <w:rFonts w:ascii="Times New Roman" w:hAnsi="Times New Roman" w:cs="Times New Roman"/>
          <w:bCs/>
          <w:i/>
          <w:iCs/>
        </w:rPr>
        <w:t>The CSG Standard</w:t>
      </w:r>
    </w:p>
    <w:p w14:paraId="2FDBF727" w14:textId="79BEDEED" w:rsidR="00895B76" w:rsidRDefault="0016481E" w:rsidP="00B0677D">
      <w:pPr>
        <w:rPr>
          <w:rFonts w:ascii="Times New Roman" w:hAnsi="Times New Roman" w:cs="Times New Roman"/>
          <w:bCs/>
        </w:rPr>
      </w:pPr>
      <w:r>
        <w:rPr>
          <w:rFonts w:ascii="Times New Roman" w:hAnsi="Times New Roman" w:cs="Times New Roman"/>
          <w:bCs/>
        </w:rPr>
        <w:t>The CSG Standard</w:t>
      </w:r>
      <w:r w:rsidR="00DD40FC">
        <w:rPr>
          <w:rFonts w:ascii="Times New Roman" w:hAnsi="Times New Roman" w:cs="Times New Roman"/>
          <w:bCs/>
        </w:rPr>
        <w:t xml:space="preserve"> </w:t>
      </w:r>
      <w:r w:rsidR="009C2618">
        <w:rPr>
          <w:rFonts w:ascii="Times New Roman" w:hAnsi="Times New Roman" w:cs="Times New Roman"/>
          <w:bCs/>
        </w:rPr>
        <w:t xml:space="preserve">sets out </w:t>
      </w:r>
      <w:r w:rsidR="008069D3">
        <w:rPr>
          <w:rFonts w:ascii="Times New Roman" w:hAnsi="Times New Roman" w:cs="Times New Roman"/>
          <w:bCs/>
        </w:rPr>
        <w:t xml:space="preserve">the applicable </w:t>
      </w:r>
      <w:r w:rsidR="00DD40FC">
        <w:rPr>
          <w:rFonts w:ascii="Times New Roman" w:hAnsi="Times New Roman" w:cs="Times New Roman"/>
          <w:bCs/>
        </w:rPr>
        <w:t>CSG</w:t>
      </w:r>
      <w:r w:rsidR="00895B76">
        <w:rPr>
          <w:rFonts w:ascii="Times New Roman" w:hAnsi="Times New Roman" w:cs="Times New Roman"/>
          <w:bCs/>
        </w:rPr>
        <w:t xml:space="preserve"> </w:t>
      </w:r>
      <w:r w:rsidR="008069D3">
        <w:rPr>
          <w:rFonts w:ascii="Times New Roman" w:hAnsi="Times New Roman" w:cs="Times New Roman"/>
          <w:bCs/>
        </w:rPr>
        <w:t xml:space="preserve">performance standards </w:t>
      </w:r>
      <w:r w:rsidR="00895B76">
        <w:rPr>
          <w:rFonts w:ascii="Times New Roman" w:hAnsi="Times New Roman" w:cs="Times New Roman"/>
          <w:bCs/>
        </w:rPr>
        <w:t>for telephone users</w:t>
      </w:r>
      <w:r w:rsidR="00CF57EC">
        <w:rPr>
          <w:rFonts w:ascii="Times New Roman" w:hAnsi="Times New Roman" w:cs="Times New Roman"/>
          <w:bCs/>
        </w:rPr>
        <w:t xml:space="preserve">, and </w:t>
      </w:r>
      <w:r w:rsidR="001307D5">
        <w:rPr>
          <w:rFonts w:ascii="Times New Roman" w:hAnsi="Times New Roman" w:cs="Times New Roman"/>
          <w:bCs/>
        </w:rPr>
        <w:t xml:space="preserve">therefore is a </w:t>
      </w:r>
      <w:r w:rsidR="00CF57EC">
        <w:rPr>
          <w:rFonts w:ascii="Times New Roman" w:hAnsi="Times New Roman" w:cs="Times New Roman"/>
          <w:bCs/>
        </w:rPr>
        <w:t xml:space="preserve">key </w:t>
      </w:r>
      <w:r w:rsidR="001307D5">
        <w:rPr>
          <w:rFonts w:ascii="Times New Roman" w:hAnsi="Times New Roman" w:cs="Times New Roman"/>
          <w:bCs/>
        </w:rPr>
        <w:t xml:space="preserve">telecommunications consumer </w:t>
      </w:r>
      <w:r w:rsidR="00CF57EC">
        <w:rPr>
          <w:rFonts w:ascii="Times New Roman" w:hAnsi="Times New Roman" w:cs="Times New Roman"/>
          <w:bCs/>
        </w:rPr>
        <w:t>safeguard</w:t>
      </w:r>
      <w:r w:rsidR="002F0640">
        <w:rPr>
          <w:rFonts w:ascii="Times New Roman" w:hAnsi="Times New Roman" w:cs="Times New Roman"/>
          <w:bCs/>
        </w:rPr>
        <w:t>.</w:t>
      </w:r>
      <w:r w:rsidR="00895B76">
        <w:rPr>
          <w:rFonts w:ascii="Times New Roman" w:hAnsi="Times New Roman" w:cs="Times New Roman"/>
          <w:bCs/>
        </w:rPr>
        <w:t xml:space="preserve"> The CSG </w:t>
      </w:r>
      <w:r w:rsidR="00753C12">
        <w:rPr>
          <w:rFonts w:ascii="Times New Roman" w:hAnsi="Times New Roman" w:cs="Times New Roman"/>
          <w:bCs/>
        </w:rPr>
        <w:t xml:space="preserve">Standard </w:t>
      </w:r>
      <w:r w:rsidR="00895B76">
        <w:rPr>
          <w:rFonts w:ascii="Times New Roman" w:hAnsi="Times New Roman" w:cs="Times New Roman"/>
          <w:bCs/>
        </w:rPr>
        <w:t xml:space="preserve">sets out the </w:t>
      </w:r>
      <w:r w:rsidR="00C0667B">
        <w:rPr>
          <w:rFonts w:ascii="Times New Roman" w:hAnsi="Times New Roman" w:cs="Times New Roman"/>
          <w:bCs/>
        </w:rPr>
        <w:t xml:space="preserve">standards </w:t>
      </w:r>
      <w:r w:rsidR="00895B76">
        <w:rPr>
          <w:rFonts w:ascii="Times New Roman" w:hAnsi="Times New Roman" w:cs="Times New Roman"/>
          <w:bCs/>
        </w:rPr>
        <w:t xml:space="preserve">for connection, </w:t>
      </w:r>
      <w:r w:rsidR="004B30DE">
        <w:rPr>
          <w:rFonts w:ascii="Times New Roman" w:hAnsi="Times New Roman" w:cs="Times New Roman"/>
          <w:bCs/>
        </w:rPr>
        <w:t xml:space="preserve">appointment keeping, and </w:t>
      </w:r>
      <w:r w:rsidR="00895B76">
        <w:rPr>
          <w:rFonts w:ascii="Times New Roman" w:hAnsi="Times New Roman" w:cs="Times New Roman"/>
          <w:bCs/>
        </w:rPr>
        <w:t xml:space="preserve">fault </w:t>
      </w:r>
      <w:r w:rsidR="004B30DE">
        <w:rPr>
          <w:rFonts w:ascii="Times New Roman" w:hAnsi="Times New Roman" w:cs="Times New Roman"/>
          <w:bCs/>
        </w:rPr>
        <w:t xml:space="preserve">or service difficulty </w:t>
      </w:r>
      <w:r w:rsidR="00895B76">
        <w:rPr>
          <w:rFonts w:ascii="Times New Roman" w:hAnsi="Times New Roman" w:cs="Times New Roman"/>
          <w:bCs/>
        </w:rPr>
        <w:t>repair</w:t>
      </w:r>
      <w:r w:rsidR="0050081C">
        <w:rPr>
          <w:rFonts w:ascii="Times New Roman" w:hAnsi="Times New Roman" w:cs="Times New Roman"/>
          <w:bCs/>
        </w:rPr>
        <w:t xml:space="preserve">. It also </w:t>
      </w:r>
      <w:r w:rsidR="00310467">
        <w:rPr>
          <w:rFonts w:ascii="Times New Roman" w:hAnsi="Times New Roman" w:cs="Times New Roman"/>
          <w:bCs/>
        </w:rPr>
        <w:t xml:space="preserve">specifies the </w:t>
      </w:r>
      <w:r w:rsidR="0050081C">
        <w:rPr>
          <w:rFonts w:ascii="Times New Roman" w:hAnsi="Times New Roman" w:cs="Times New Roman"/>
          <w:bCs/>
        </w:rPr>
        <w:t xml:space="preserve">compensation </w:t>
      </w:r>
      <w:r w:rsidR="00310467">
        <w:rPr>
          <w:rFonts w:ascii="Times New Roman" w:hAnsi="Times New Roman" w:cs="Times New Roman"/>
          <w:bCs/>
        </w:rPr>
        <w:t xml:space="preserve">available </w:t>
      </w:r>
      <w:r w:rsidR="0050081C">
        <w:rPr>
          <w:rFonts w:ascii="Times New Roman" w:hAnsi="Times New Roman" w:cs="Times New Roman"/>
          <w:bCs/>
        </w:rPr>
        <w:t xml:space="preserve">to customers </w:t>
      </w:r>
      <w:r w:rsidR="00310467">
        <w:rPr>
          <w:rFonts w:ascii="Times New Roman" w:hAnsi="Times New Roman" w:cs="Times New Roman"/>
          <w:bCs/>
        </w:rPr>
        <w:t xml:space="preserve">under the </w:t>
      </w:r>
      <w:r w:rsidR="00FA0D15">
        <w:rPr>
          <w:rFonts w:ascii="Times New Roman" w:hAnsi="Times New Roman" w:cs="Times New Roman"/>
          <w:bCs/>
        </w:rPr>
        <w:t xml:space="preserve">TCPSS </w:t>
      </w:r>
      <w:r w:rsidR="00310467">
        <w:rPr>
          <w:rFonts w:ascii="Times New Roman" w:hAnsi="Times New Roman" w:cs="Times New Roman"/>
          <w:bCs/>
        </w:rPr>
        <w:t xml:space="preserve">Act </w:t>
      </w:r>
      <w:r w:rsidR="0050081C">
        <w:rPr>
          <w:rFonts w:ascii="Times New Roman" w:hAnsi="Times New Roman" w:cs="Times New Roman"/>
          <w:bCs/>
        </w:rPr>
        <w:t xml:space="preserve">when these </w:t>
      </w:r>
      <w:r w:rsidR="004B30DE">
        <w:rPr>
          <w:rFonts w:ascii="Times New Roman" w:hAnsi="Times New Roman" w:cs="Times New Roman"/>
          <w:bCs/>
        </w:rPr>
        <w:t xml:space="preserve">standards </w:t>
      </w:r>
      <w:r w:rsidR="0050081C">
        <w:rPr>
          <w:rFonts w:ascii="Times New Roman" w:hAnsi="Times New Roman" w:cs="Times New Roman"/>
          <w:bCs/>
        </w:rPr>
        <w:t>are not met</w:t>
      </w:r>
      <w:r w:rsidR="00AF3B8D">
        <w:rPr>
          <w:rFonts w:ascii="Times New Roman" w:hAnsi="Times New Roman" w:cs="Times New Roman"/>
          <w:bCs/>
        </w:rPr>
        <w:t xml:space="preserve"> </w:t>
      </w:r>
      <w:r w:rsidR="00840C65">
        <w:rPr>
          <w:rFonts w:ascii="Times New Roman" w:hAnsi="Times New Roman" w:cs="Times New Roman"/>
          <w:bCs/>
        </w:rPr>
        <w:t>and sets out the circumstances in which a consumer can agree to waive their rights under the CSG Standard</w:t>
      </w:r>
      <w:r w:rsidR="00503439">
        <w:rPr>
          <w:rFonts w:ascii="Times New Roman" w:hAnsi="Times New Roman" w:cs="Times New Roman"/>
          <w:bCs/>
        </w:rPr>
        <w:t>.</w:t>
      </w:r>
      <w:r w:rsidR="00895B76">
        <w:rPr>
          <w:rFonts w:ascii="Times New Roman" w:hAnsi="Times New Roman" w:cs="Times New Roman"/>
          <w:bCs/>
        </w:rPr>
        <w:t xml:space="preserve"> </w:t>
      </w:r>
    </w:p>
    <w:p w14:paraId="748754CA" w14:textId="0CF6EE39" w:rsidR="00F33482" w:rsidRPr="00F72AD4" w:rsidRDefault="00F33482" w:rsidP="00F33482">
      <w:pPr>
        <w:keepNext/>
        <w:spacing w:line="257" w:lineRule="auto"/>
        <w:rPr>
          <w:rFonts w:ascii="Times New Roman" w:hAnsi="Times New Roman" w:cs="Times New Roman"/>
          <w:bCs/>
          <w:i/>
          <w:iCs/>
        </w:rPr>
      </w:pPr>
      <w:r w:rsidRPr="00F72AD4">
        <w:rPr>
          <w:rFonts w:ascii="Times New Roman" w:hAnsi="Times New Roman" w:cs="Times New Roman"/>
          <w:bCs/>
          <w:i/>
          <w:iCs/>
        </w:rPr>
        <w:t>The Benchmarks</w:t>
      </w:r>
    </w:p>
    <w:p w14:paraId="66F8F3D7" w14:textId="77777777" w:rsidR="00BD7952" w:rsidRPr="00AF3B8D" w:rsidRDefault="00BD7952" w:rsidP="00BD7952">
      <w:pPr>
        <w:rPr>
          <w:rFonts w:ascii="Times New Roman" w:hAnsi="Times New Roman" w:cs="Times New Roman"/>
          <w:bCs/>
        </w:rPr>
      </w:pPr>
      <w:r>
        <w:rPr>
          <w:rFonts w:ascii="Times New Roman" w:hAnsi="Times New Roman" w:cs="Times New Roman"/>
          <w:bCs/>
        </w:rPr>
        <w:t xml:space="preserve">The Benchmarks were made in substantially the same form as the </w:t>
      </w:r>
      <w:r>
        <w:rPr>
          <w:rFonts w:ascii="Times New Roman" w:hAnsi="Times New Roman" w:cs="Times New Roman"/>
          <w:bCs/>
          <w:i/>
          <w:iCs/>
        </w:rPr>
        <w:t xml:space="preserve">Telecommunications (Customer Service Guarantee – Retail Performance Benchmarks) Instrument (No.1) 2011 </w:t>
      </w:r>
      <w:r>
        <w:rPr>
          <w:rFonts w:ascii="Times New Roman" w:hAnsi="Times New Roman" w:cs="Times New Roman"/>
          <w:bCs/>
        </w:rPr>
        <w:t>which was due to sunset on 1 October 2023.</w:t>
      </w:r>
    </w:p>
    <w:p w14:paraId="72E9138F" w14:textId="77777777" w:rsidR="00BD7952" w:rsidRPr="00F72AD4" w:rsidRDefault="00BD7952" w:rsidP="00BD7952">
      <w:pPr>
        <w:rPr>
          <w:rFonts w:ascii="Times New Roman" w:hAnsi="Times New Roman" w:cs="Times New Roman"/>
          <w:bCs/>
        </w:rPr>
      </w:pPr>
      <w:r w:rsidRPr="00F72AD4">
        <w:rPr>
          <w:rFonts w:ascii="Times New Roman" w:hAnsi="Times New Roman" w:cs="Times New Roman"/>
          <w:bCs/>
        </w:rPr>
        <w:t>The Benchmarks set out the minimum retail performance benchmarks that specified CSPs must comply with in relation to the CSG Standard. Under subsection 117</w:t>
      </w:r>
      <w:proofErr w:type="gramStart"/>
      <w:r w:rsidRPr="00F72AD4">
        <w:rPr>
          <w:rFonts w:ascii="Times New Roman" w:hAnsi="Times New Roman" w:cs="Times New Roman"/>
          <w:bCs/>
        </w:rPr>
        <w:t>C(</w:t>
      </w:r>
      <w:proofErr w:type="gramEnd"/>
      <w:r w:rsidRPr="00F72AD4">
        <w:rPr>
          <w:rFonts w:ascii="Times New Roman" w:hAnsi="Times New Roman" w:cs="Times New Roman"/>
          <w:bCs/>
        </w:rPr>
        <w:t xml:space="preserve">2) of the TCPSS Act, a CSP must meet or exceed the minimum retail performance benchmarks. </w:t>
      </w:r>
    </w:p>
    <w:p w14:paraId="72A04603" w14:textId="77777777" w:rsidR="00BD7952" w:rsidRPr="00F72AD4" w:rsidRDefault="00BD7952" w:rsidP="00BD7952">
      <w:pPr>
        <w:rPr>
          <w:rFonts w:ascii="Times New Roman" w:hAnsi="Times New Roman" w:cs="Times New Roman"/>
          <w:bCs/>
        </w:rPr>
      </w:pPr>
      <w:r w:rsidRPr="00F72AD4">
        <w:rPr>
          <w:rFonts w:ascii="Times New Roman" w:hAnsi="Times New Roman" w:cs="Times New Roman"/>
          <w:bCs/>
        </w:rPr>
        <w:t>Under section 4 of the Benchmarks, a CSP is a qualifying carriage service provider (</w:t>
      </w:r>
      <w:r w:rsidRPr="00377809">
        <w:rPr>
          <w:rFonts w:ascii="Times New Roman" w:hAnsi="Times New Roman" w:cs="Times New Roman"/>
          <w:b/>
        </w:rPr>
        <w:t>QSP</w:t>
      </w:r>
      <w:r w:rsidRPr="00F72AD4">
        <w:rPr>
          <w:rFonts w:ascii="Times New Roman" w:hAnsi="Times New Roman" w:cs="Times New Roman"/>
          <w:bCs/>
        </w:rPr>
        <w:t>) for a benchmark period if, on the last day of the financial year preceding that benchmark period, the CSP supplied 100,000 CSG services or more where the CSP was obliged to comply with any one or more of the performance standards in respect of the CSP’s supply of those CSG services.</w:t>
      </w:r>
    </w:p>
    <w:p w14:paraId="7C218586" w14:textId="40839CAC" w:rsidR="00BD7952" w:rsidRDefault="00BD7952" w:rsidP="00B0677D">
      <w:pPr>
        <w:rPr>
          <w:rFonts w:ascii="Times New Roman" w:hAnsi="Times New Roman" w:cs="Times New Roman"/>
          <w:bCs/>
          <w:i/>
          <w:iCs/>
        </w:rPr>
      </w:pPr>
      <w:r w:rsidRPr="00BD7952">
        <w:rPr>
          <w:rFonts w:ascii="Times New Roman" w:hAnsi="Times New Roman" w:cs="Times New Roman"/>
          <w:bCs/>
          <w:i/>
          <w:iCs/>
        </w:rPr>
        <w:t>The Rules</w:t>
      </w:r>
    </w:p>
    <w:p w14:paraId="3D28A39A" w14:textId="6317B79B" w:rsidR="0016684A" w:rsidRDefault="0016684A" w:rsidP="0016684A">
      <w:pPr>
        <w:rPr>
          <w:rFonts w:ascii="Times New Roman" w:hAnsi="Times New Roman" w:cs="Times New Roman"/>
          <w:bCs/>
        </w:rPr>
      </w:pPr>
      <w:r>
        <w:rPr>
          <w:rFonts w:ascii="Times New Roman" w:hAnsi="Times New Roman" w:cs="Times New Roman"/>
          <w:bCs/>
        </w:rPr>
        <w:t xml:space="preserve">The ACMA has </w:t>
      </w:r>
      <w:r w:rsidR="0056745F">
        <w:rPr>
          <w:rFonts w:ascii="Times New Roman" w:hAnsi="Times New Roman" w:cs="Times New Roman"/>
          <w:bCs/>
        </w:rPr>
        <w:t>certain enforcement powers under the Act with respect to non-compliance by CSPs with the TCPSS Act, including</w:t>
      </w:r>
      <w:r>
        <w:rPr>
          <w:rFonts w:ascii="Times New Roman" w:hAnsi="Times New Roman" w:cs="Times New Roman"/>
          <w:bCs/>
        </w:rPr>
        <w:t xml:space="preserve"> where a CSP fails to meet the benchmarks. To monitor performance and take any </w:t>
      </w:r>
      <w:r w:rsidR="0056745F">
        <w:rPr>
          <w:rFonts w:ascii="Times New Roman" w:hAnsi="Times New Roman" w:cs="Times New Roman"/>
          <w:bCs/>
        </w:rPr>
        <w:t>appropriate</w:t>
      </w:r>
      <w:r>
        <w:rPr>
          <w:rFonts w:ascii="Times New Roman" w:hAnsi="Times New Roman" w:cs="Times New Roman"/>
          <w:bCs/>
        </w:rPr>
        <w:t xml:space="preserve"> enforcement action, the ACMA requires reliable records to be both kept and reported by industry. </w:t>
      </w:r>
    </w:p>
    <w:p w14:paraId="4D1856AA" w14:textId="1E583CCE" w:rsidR="00F62B3B" w:rsidRDefault="0016684A" w:rsidP="0016684A">
      <w:pPr>
        <w:rPr>
          <w:rFonts w:ascii="Times New Roman" w:hAnsi="Times New Roman" w:cs="Times New Roman"/>
          <w:bCs/>
        </w:rPr>
      </w:pPr>
      <w:r>
        <w:rPr>
          <w:rFonts w:ascii="Times New Roman" w:hAnsi="Times New Roman" w:cs="Times New Roman"/>
          <w:bCs/>
        </w:rPr>
        <w:t xml:space="preserve">Compliance with the Rules is a requirement of section 530 of the Act, and </w:t>
      </w:r>
      <w:r w:rsidR="00980372">
        <w:rPr>
          <w:rFonts w:ascii="Times New Roman" w:hAnsi="Times New Roman" w:cs="Times New Roman"/>
          <w:bCs/>
        </w:rPr>
        <w:t xml:space="preserve">subsection 531(1) provides that a person must not </w:t>
      </w:r>
      <w:r>
        <w:rPr>
          <w:rFonts w:ascii="Times New Roman" w:hAnsi="Times New Roman" w:cs="Times New Roman"/>
          <w:bCs/>
        </w:rPr>
        <w:t>mak</w:t>
      </w:r>
      <w:r w:rsidR="00B46D28">
        <w:rPr>
          <w:rFonts w:ascii="Times New Roman" w:hAnsi="Times New Roman" w:cs="Times New Roman"/>
          <w:bCs/>
        </w:rPr>
        <w:t>e</w:t>
      </w:r>
      <w:r>
        <w:rPr>
          <w:rFonts w:ascii="Times New Roman" w:hAnsi="Times New Roman" w:cs="Times New Roman"/>
          <w:bCs/>
        </w:rPr>
        <w:t xml:space="preserve"> an incorrect record </w:t>
      </w:r>
      <w:r w:rsidR="00B46D28">
        <w:rPr>
          <w:rFonts w:ascii="Times New Roman" w:hAnsi="Times New Roman" w:cs="Times New Roman"/>
          <w:bCs/>
        </w:rPr>
        <w:t xml:space="preserve">in purported compliance with the </w:t>
      </w:r>
      <w:r w:rsidR="007F0964">
        <w:rPr>
          <w:rFonts w:ascii="Times New Roman" w:hAnsi="Times New Roman" w:cs="Times New Roman"/>
          <w:bCs/>
        </w:rPr>
        <w:t>rules made under section 5</w:t>
      </w:r>
      <w:r w:rsidR="00696CE3">
        <w:rPr>
          <w:rFonts w:ascii="Times New Roman" w:hAnsi="Times New Roman" w:cs="Times New Roman"/>
          <w:bCs/>
        </w:rPr>
        <w:t>29</w:t>
      </w:r>
      <w:r>
        <w:rPr>
          <w:rFonts w:ascii="Times New Roman" w:hAnsi="Times New Roman" w:cs="Times New Roman"/>
          <w:bCs/>
        </w:rPr>
        <w:t xml:space="preserve">. </w:t>
      </w:r>
      <w:r w:rsidR="008D1FF0">
        <w:rPr>
          <w:rFonts w:ascii="Times New Roman" w:hAnsi="Times New Roman" w:cs="Times New Roman"/>
          <w:bCs/>
        </w:rPr>
        <w:t>Carri</w:t>
      </w:r>
      <w:r w:rsidR="00BA3CDB">
        <w:rPr>
          <w:rFonts w:ascii="Times New Roman" w:hAnsi="Times New Roman" w:cs="Times New Roman"/>
          <w:bCs/>
        </w:rPr>
        <w:t>age service providers are required by s</w:t>
      </w:r>
      <w:r w:rsidR="0007478E">
        <w:rPr>
          <w:rFonts w:ascii="Times New Roman" w:hAnsi="Times New Roman" w:cs="Times New Roman"/>
          <w:bCs/>
        </w:rPr>
        <w:t>ubs</w:t>
      </w:r>
      <w:r w:rsidR="00BA3CDB">
        <w:rPr>
          <w:rFonts w:ascii="Times New Roman" w:hAnsi="Times New Roman" w:cs="Times New Roman"/>
          <w:bCs/>
        </w:rPr>
        <w:t xml:space="preserve">ection </w:t>
      </w:r>
      <w:r w:rsidR="0007478E">
        <w:rPr>
          <w:rFonts w:ascii="Times New Roman" w:hAnsi="Times New Roman" w:cs="Times New Roman"/>
          <w:bCs/>
        </w:rPr>
        <w:t xml:space="preserve">101(1) of the Act to comply with the service provider rules that apply to them, which include </w:t>
      </w:r>
      <w:r w:rsidR="001B038B">
        <w:rPr>
          <w:rFonts w:ascii="Times New Roman" w:hAnsi="Times New Roman" w:cs="Times New Roman"/>
          <w:bCs/>
        </w:rPr>
        <w:t xml:space="preserve">the rules set out in Schedule 2 to the Act (see section 98 of the Act). Clause 1 of Schedule 2 to the Act provides that a service provider must </w:t>
      </w:r>
      <w:r w:rsidR="001B038B">
        <w:rPr>
          <w:rFonts w:ascii="Times New Roman" w:hAnsi="Times New Roman" w:cs="Times New Roman"/>
          <w:bCs/>
        </w:rPr>
        <w:lastRenderedPageBreak/>
        <w:t>comply with the Act</w:t>
      </w:r>
      <w:r w:rsidR="00E05D7A">
        <w:rPr>
          <w:rFonts w:ascii="Times New Roman" w:hAnsi="Times New Roman" w:cs="Times New Roman"/>
          <w:bCs/>
        </w:rPr>
        <w:t>. The Act pr</w:t>
      </w:r>
      <w:r w:rsidR="00293AB2">
        <w:rPr>
          <w:rFonts w:ascii="Times New Roman" w:hAnsi="Times New Roman" w:cs="Times New Roman"/>
          <w:bCs/>
        </w:rPr>
        <w:t xml:space="preserve">escribes the following maximum civil penalties for </w:t>
      </w:r>
      <w:r w:rsidR="00F62B3B">
        <w:rPr>
          <w:rFonts w:ascii="Times New Roman" w:hAnsi="Times New Roman" w:cs="Times New Roman"/>
          <w:bCs/>
        </w:rPr>
        <w:t>a contravention of subsection 101(1):</w:t>
      </w:r>
    </w:p>
    <w:p w14:paraId="655B6DED" w14:textId="3A21710B" w:rsidR="00F62B3B" w:rsidRDefault="00464CA6" w:rsidP="00F62B3B">
      <w:pPr>
        <w:pStyle w:val="ListParagraph"/>
        <w:numPr>
          <w:ilvl w:val="0"/>
          <w:numId w:val="40"/>
        </w:numPr>
        <w:rPr>
          <w:rFonts w:ascii="Times New Roman" w:hAnsi="Times New Roman" w:cs="Times New Roman"/>
          <w:bCs/>
        </w:rPr>
      </w:pPr>
      <w:r>
        <w:rPr>
          <w:rFonts w:ascii="Times New Roman" w:hAnsi="Times New Roman" w:cs="Times New Roman"/>
          <w:bCs/>
        </w:rPr>
        <w:t>$</w:t>
      </w:r>
      <w:r w:rsidR="00E149F4">
        <w:rPr>
          <w:rFonts w:ascii="Times New Roman" w:hAnsi="Times New Roman" w:cs="Times New Roman"/>
          <w:bCs/>
        </w:rPr>
        <w:t>10</w:t>
      </w:r>
      <w:r>
        <w:rPr>
          <w:rFonts w:ascii="Times New Roman" w:hAnsi="Times New Roman" w:cs="Times New Roman"/>
          <w:bCs/>
        </w:rPr>
        <w:t xml:space="preserve"> million for a body corporate (see s.570(3)(</w:t>
      </w:r>
      <w:r w:rsidR="00A605CE">
        <w:rPr>
          <w:rFonts w:ascii="Times New Roman" w:hAnsi="Times New Roman" w:cs="Times New Roman"/>
          <w:bCs/>
        </w:rPr>
        <w:t>a)); and</w:t>
      </w:r>
    </w:p>
    <w:p w14:paraId="23F5002F" w14:textId="2FFA9467" w:rsidR="00A605CE" w:rsidRPr="00B05879" w:rsidRDefault="009D1B2A" w:rsidP="00B05879">
      <w:pPr>
        <w:pStyle w:val="ListParagraph"/>
        <w:numPr>
          <w:ilvl w:val="0"/>
          <w:numId w:val="40"/>
        </w:numPr>
        <w:rPr>
          <w:rFonts w:ascii="Times New Roman" w:hAnsi="Times New Roman" w:cs="Times New Roman"/>
          <w:bCs/>
        </w:rPr>
      </w:pPr>
      <w:r>
        <w:rPr>
          <w:rFonts w:ascii="Times New Roman" w:hAnsi="Times New Roman" w:cs="Times New Roman"/>
          <w:bCs/>
        </w:rPr>
        <w:t>$50,000 for a person other than a body corporate (see s.570(4)(b)).</w:t>
      </w:r>
    </w:p>
    <w:p w14:paraId="0D6FD91F" w14:textId="3EF8E5DB" w:rsidR="003F5DE9" w:rsidRDefault="003F5DE9" w:rsidP="0016684A">
      <w:pPr>
        <w:rPr>
          <w:rFonts w:ascii="Times New Roman" w:hAnsi="Times New Roman" w:cs="Times New Roman"/>
          <w:bCs/>
        </w:rPr>
      </w:pPr>
      <w:r>
        <w:rPr>
          <w:rFonts w:ascii="Times New Roman" w:hAnsi="Times New Roman" w:cs="Times New Roman"/>
          <w:bCs/>
        </w:rPr>
        <w:t xml:space="preserve">The ACMA also has available to it </w:t>
      </w:r>
      <w:r w:rsidR="00FC2365">
        <w:rPr>
          <w:rFonts w:ascii="Times New Roman" w:hAnsi="Times New Roman" w:cs="Times New Roman"/>
          <w:bCs/>
        </w:rPr>
        <w:t>a range of other potential enforcement options</w:t>
      </w:r>
      <w:r w:rsidR="00547C0A">
        <w:rPr>
          <w:rFonts w:ascii="Times New Roman" w:hAnsi="Times New Roman" w:cs="Times New Roman"/>
          <w:bCs/>
        </w:rPr>
        <w:t xml:space="preserve"> for fail</w:t>
      </w:r>
      <w:r w:rsidR="002E04DC">
        <w:rPr>
          <w:rFonts w:ascii="Times New Roman" w:hAnsi="Times New Roman" w:cs="Times New Roman"/>
          <w:bCs/>
        </w:rPr>
        <w:t>u</w:t>
      </w:r>
      <w:r w:rsidR="00547C0A">
        <w:rPr>
          <w:rFonts w:ascii="Times New Roman" w:hAnsi="Times New Roman" w:cs="Times New Roman"/>
          <w:bCs/>
        </w:rPr>
        <w:t>re to comply with a service provider rule</w:t>
      </w:r>
      <w:r w:rsidR="00FC2365">
        <w:rPr>
          <w:rFonts w:ascii="Times New Roman" w:hAnsi="Times New Roman" w:cs="Times New Roman"/>
          <w:bCs/>
        </w:rPr>
        <w:t>, including giving a formal warning (s.10</w:t>
      </w:r>
      <w:r w:rsidR="00547C0A">
        <w:rPr>
          <w:rFonts w:ascii="Times New Roman" w:hAnsi="Times New Roman" w:cs="Times New Roman"/>
          <w:bCs/>
        </w:rPr>
        <w:t>3</w:t>
      </w:r>
      <w:r w:rsidR="00FC2365">
        <w:rPr>
          <w:rFonts w:ascii="Times New Roman" w:hAnsi="Times New Roman" w:cs="Times New Roman"/>
          <w:bCs/>
        </w:rPr>
        <w:t xml:space="preserve"> of the Act)</w:t>
      </w:r>
      <w:r w:rsidR="00547C0A">
        <w:rPr>
          <w:rFonts w:ascii="Times New Roman" w:hAnsi="Times New Roman" w:cs="Times New Roman"/>
          <w:bCs/>
        </w:rPr>
        <w:t xml:space="preserve"> and giving a remedial </w:t>
      </w:r>
      <w:r w:rsidR="002E04DC">
        <w:rPr>
          <w:rFonts w:ascii="Times New Roman" w:hAnsi="Times New Roman" w:cs="Times New Roman"/>
          <w:bCs/>
        </w:rPr>
        <w:t>direction requiring specified action be taken to</w:t>
      </w:r>
      <w:r w:rsidR="000A74E5">
        <w:rPr>
          <w:rFonts w:ascii="Times New Roman" w:hAnsi="Times New Roman" w:cs="Times New Roman"/>
          <w:bCs/>
        </w:rPr>
        <w:t>wards ensuring that the provider does not, or is unlikely to, contravene the rule in the future (s.102 of the Act).</w:t>
      </w:r>
      <w:r w:rsidR="002E04DC">
        <w:rPr>
          <w:rFonts w:ascii="Times New Roman" w:hAnsi="Times New Roman" w:cs="Times New Roman"/>
          <w:bCs/>
        </w:rPr>
        <w:t xml:space="preserve"> </w:t>
      </w:r>
    </w:p>
    <w:p w14:paraId="429CCD0D" w14:textId="479A4011" w:rsidR="003F5DE9" w:rsidRDefault="009D1B2A" w:rsidP="0016684A">
      <w:pPr>
        <w:rPr>
          <w:rFonts w:ascii="Times New Roman" w:hAnsi="Times New Roman" w:cs="Times New Roman"/>
          <w:bCs/>
        </w:rPr>
      </w:pPr>
      <w:r>
        <w:rPr>
          <w:rFonts w:ascii="Times New Roman" w:hAnsi="Times New Roman" w:cs="Times New Roman"/>
          <w:bCs/>
        </w:rPr>
        <w:t>Subsection 53</w:t>
      </w:r>
      <w:r w:rsidR="00B12728">
        <w:rPr>
          <w:rFonts w:ascii="Times New Roman" w:hAnsi="Times New Roman" w:cs="Times New Roman"/>
          <w:bCs/>
        </w:rPr>
        <w:t xml:space="preserve">1(2) of the Act also provides that failure to comply with subsection 531(1) of the Act is an offence with a maximum penalty of </w:t>
      </w:r>
      <w:r w:rsidR="003F5DE9">
        <w:rPr>
          <w:rFonts w:ascii="Times New Roman" w:hAnsi="Times New Roman" w:cs="Times New Roman"/>
          <w:bCs/>
        </w:rPr>
        <w:t>100 penalty units.</w:t>
      </w:r>
    </w:p>
    <w:p w14:paraId="4C1E1373" w14:textId="3B6AABC8" w:rsidR="0016684A" w:rsidRDefault="0016684A" w:rsidP="0016684A">
      <w:pPr>
        <w:rPr>
          <w:rFonts w:ascii="Times New Roman" w:hAnsi="Times New Roman" w:cs="Times New Roman"/>
          <w:bCs/>
        </w:rPr>
      </w:pPr>
      <w:r>
        <w:rPr>
          <w:rFonts w:ascii="Times New Roman" w:hAnsi="Times New Roman" w:cs="Times New Roman"/>
          <w:bCs/>
        </w:rPr>
        <w:t xml:space="preserve">Under the Rules, a QSP must provide performance reports for each </w:t>
      </w:r>
      <w:r w:rsidR="00826915">
        <w:rPr>
          <w:rFonts w:ascii="Times New Roman" w:hAnsi="Times New Roman" w:cs="Times New Roman"/>
          <w:bCs/>
        </w:rPr>
        <w:t>benchmark period</w:t>
      </w:r>
      <w:r w:rsidR="00EA3500">
        <w:rPr>
          <w:rFonts w:ascii="Times New Roman" w:hAnsi="Times New Roman" w:cs="Times New Roman"/>
          <w:bCs/>
        </w:rPr>
        <w:t xml:space="preserve">, which is </w:t>
      </w:r>
      <w:r w:rsidR="001F3D42">
        <w:rPr>
          <w:rFonts w:ascii="Times New Roman" w:hAnsi="Times New Roman" w:cs="Times New Roman"/>
          <w:bCs/>
        </w:rPr>
        <w:t xml:space="preserve">the financial year </w:t>
      </w:r>
      <w:r w:rsidR="00816862">
        <w:rPr>
          <w:rFonts w:ascii="Times New Roman" w:hAnsi="Times New Roman" w:cs="Times New Roman"/>
          <w:bCs/>
        </w:rPr>
        <w:t>2023/24 and each financial year that follows</w:t>
      </w:r>
      <w:r>
        <w:rPr>
          <w:rFonts w:ascii="Times New Roman" w:hAnsi="Times New Roman" w:cs="Times New Roman"/>
          <w:bCs/>
        </w:rPr>
        <w:t xml:space="preserve">. Unless otherwise agreed by the ACMA in writing, a QSP must provide reports to the ACMA within 40 working days of the end of each </w:t>
      </w:r>
      <w:r w:rsidR="00816862">
        <w:rPr>
          <w:rFonts w:ascii="Times New Roman" w:hAnsi="Times New Roman" w:cs="Times New Roman"/>
          <w:bCs/>
        </w:rPr>
        <w:t>benchmark</w:t>
      </w:r>
      <w:r>
        <w:rPr>
          <w:rFonts w:ascii="Times New Roman" w:hAnsi="Times New Roman" w:cs="Times New Roman"/>
          <w:bCs/>
        </w:rPr>
        <w:t xml:space="preserve"> period.</w:t>
      </w:r>
    </w:p>
    <w:p w14:paraId="0546013F" w14:textId="59B5EE64" w:rsidR="0016684A" w:rsidRDefault="0016684A" w:rsidP="0016684A">
      <w:pPr>
        <w:rPr>
          <w:rFonts w:ascii="Times New Roman" w:hAnsi="Times New Roman" w:cs="Times New Roman"/>
          <w:bCs/>
        </w:rPr>
      </w:pPr>
      <w:r>
        <w:rPr>
          <w:rFonts w:ascii="Times New Roman" w:hAnsi="Times New Roman" w:cs="Times New Roman"/>
          <w:bCs/>
        </w:rPr>
        <w:t>The Rules require some of the reported information to be disaggregated into state or territory, national and community size classification (Urban, Major Rural, Minor Rural, Rural and Remote areas) in accordance with the Benchmarks definitions and obligations.</w:t>
      </w:r>
    </w:p>
    <w:p w14:paraId="6A95B3C6" w14:textId="74B646AA" w:rsidR="0016684A" w:rsidRDefault="0016684A" w:rsidP="0016684A">
      <w:pPr>
        <w:rPr>
          <w:rFonts w:ascii="Times New Roman" w:hAnsi="Times New Roman" w:cs="Times New Roman"/>
          <w:bCs/>
        </w:rPr>
      </w:pPr>
      <w:r>
        <w:rPr>
          <w:rFonts w:ascii="Times New Roman" w:hAnsi="Times New Roman" w:cs="Times New Roman"/>
          <w:bCs/>
        </w:rPr>
        <w:t>QSPs must send reports prepared under the Rules to the ACMA as specified in the Rules.</w:t>
      </w:r>
    </w:p>
    <w:p w14:paraId="23950A53" w14:textId="523191DB" w:rsidR="00B0677D" w:rsidRDefault="00B0677D" w:rsidP="00B0677D">
      <w:pPr>
        <w:rPr>
          <w:rFonts w:ascii="Times New Roman" w:hAnsi="Times New Roman" w:cs="Times New Roman"/>
        </w:rPr>
      </w:pPr>
      <w:r>
        <w:rPr>
          <w:rFonts w:ascii="Times New Roman" w:hAnsi="Times New Roman" w:cs="Times New Roman"/>
        </w:rPr>
        <w:t xml:space="preserve">A provision-by-provision description of </w:t>
      </w:r>
      <w:r w:rsidR="0016481E">
        <w:rPr>
          <w:rFonts w:ascii="Times New Roman" w:hAnsi="Times New Roman" w:cs="Times New Roman"/>
        </w:rPr>
        <w:t xml:space="preserve">the </w:t>
      </w:r>
      <w:r w:rsidR="00F72AD4">
        <w:rPr>
          <w:rFonts w:ascii="Times New Roman" w:hAnsi="Times New Roman" w:cs="Times New Roman"/>
        </w:rPr>
        <w:t>Rules</w:t>
      </w:r>
      <w:r>
        <w:rPr>
          <w:rFonts w:ascii="Times New Roman" w:hAnsi="Times New Roman" w:cs="Times New Roman"/>
        </w:rPr>
        <w:t xml:space="preserve"> is set out in </w:t>
      </w:r>
      <w:r>
        <w:rPr>
          <w:rFonts w:ascii="Times New Roman" w:hAnsi="Times New Roman" w:cs="Times New Roman"/>
          <w:b/>
        </w:rPr>
        <w:t>Attachment</w:t>
      </w:r>
      <w:r w:rsidR="00C94788">
        <w:rPr>
          <w:rFonts w:ascii="Times New Roman" w:hAnsi="Times New Roman" w:cs="Times New Roman"/>
          <w:b/>
        </w:rPr>
        <w:t xml:space="preserve"> A</w:t>
      </w:r>
      <w:r>
        <w:rPr>
          <w:rFonts w:ascii="Times New Roman" w:hAnsi="Times New Roman" w:cs="Times New Roman"/>
        </w:rPr>
        <w:t>.</w:t>
      </w:r>
    </w:p>
    <w:p w14:paraId="27B9CEB2" w14:textId="6AC9D81D" w:rsidR="00B0677D" w:rsidRDefault="0016481E" w:rsidP="00B0677D">
      <w:pPr>
        <w:rPr>
          <w:rFonts w:ascii="Times New Roman" w:hAnsi="Times New Roman" w:cs="Times New Roman"/>
        </w:rPr>
      </w:pPr>
      <w:r>
        <w:rPr>
          <w:rFonts w:ascii="Times New Roman" w:hAnsi="Times New Roman" w:cs="Times New Roman"/>
        </w:rPr>
        <w:t xml:space="preserve">The </w:t>
      </w:r>
      <w:r w:rsidR="00AF3B8D">
        <w:rPr>
          <w:rFonts w:ascii="Times New Roman" w:hAnsi="Times New Roman" w:cs="Times New Roman"/>
        </w:rPr>
        <w:t>Rules</w:t>
      </w:r>
      <w:r w:rsidR="00B0677D">
        <w:rPr>
          <w:rFonts w:ascii="Times New Roman" w:hAnsi="Times New Roman" w:cs="Times New Roman"/>
        </w:rPr>
        <w:t xml:space="preserve"> </w:t>
      </w:r>
      <w:r w:rsidR="00680986">
        <w:rPr>
          <w:rFonts w:ascii="Times New Roman" w:hAnsi="Times New Roman" w:cs="Times New Roman"/>
        </w:rPr>
        <w:t>are</w:t>
      </w:r>
      <w:r w:rsidR="00B0677D">
        <w:rPr>
          <w:rFonts w:ascii="Times New Roman" w:hAnsi="Times New Roman" w:cs="Times New Roman"/>
        </w:rPr>
        <w:t xml:space="preserve"> a </w:t>
      </w:r>
      <w:r w:rsidR="006969A4">
        <w:rPr>
          <w:rFonts w:ascii="Times New Roman" w:hAnsi="Times New Roman" w:cs="Times New Roman"/>
        </w:rPr>
        <w:t xml:space="preserve">disallowable </w:t>
      </w:r>
      <w:r w:rsidR="00B0677D">
        <w:rPr>
          <w:rFonts w:ascii="Times New Roman" w:hAnsi="Times New Roman" w:cs="Times New Roman"/>
        </w:rPr>
        <w:t xml:space="preserve">legislative instrument for the purposes of the </w:t>
      </w:r>
      <w:r w:rsidR="00B0677D" w:rsidRPr="004963B3">
        <w:rPr>
          <w:rFonts w:ascii="Times New Roman" w:hAnsi="Times New Roman" w:cs="Times New Roman"/>
          <w:i/>
        </w:rPr>
        <w:t xml:space="preserve">Legislation Act 2003 </w:t>
      </w:r>
      <w:r w:rsidR="00B0677D" w:rsidRPr="004963B3">
        <w:rPr>
          <w:rFonts w:ascii="Times New Roman" w:hAnsi="Times New Roman" w:cs="Times New Roman"/>
        </w:rPr>
        <w:t>(</w:t>
      </w:r>
      <w:r w:rsidR="00B0677D" w:rsidRPr="004963B3">
        <w:rPr>
          <w:rFonts w:ascii="Times New Roman" w:hAnsi="Times New Roman" w:cs="Times New Roman"/>
          <w:b/>
        </w:rPr>
        <w:t>the LA</w:t>
      </w:r>
      <w:r w:rsidR="00B0677D" w:rsidRPr="004963B3">
        <w:rPr>
          <w:rFonts w:ascii="Times New Roman" w:hAnsi="Times New Roman" w:cs="Times New Roman"/>
        </w:rPr>
        <w:t>).</w:t>
      </w:r>
    </w:p>
    <w:p w14:paraId="1E3B5384" w14:textId="77777777" w:rsidR="00B0677D" w:rsidRDefault="00B0677D" w:rsidP="00B0677D">
      <w:pPr>
        <w:rPr>
          <w:rFonts w:ascii="Times New Roman" w:hAnsi="Times New Roman" w:cs="Times New Roman"/>
          <w:b/>
        </w:rPr>
      </w:pPr>
      <w:r>
        <w:rPr>
          <w:rFonts w:ascii="Times New Roman" w:hAnsi="Times New Roman" w:cs="Times New Roman"/>
          <w:b/>
        </w:rPr>
        <w:t xml:space="preserve">Documents incorporated by </w:t>
      </w:r>
      <w:proofErr w:type="gramStart"/>
      <w:r>
        <w:rPr>
          <w:rFonts w:ascii="Times New Roman" w:hAnsi="Times New Roman" w:cs="Times New Roman"/>
          <w:b/>
        </w:rPr>
        <w:t>reference</w:t>
      </w:r>
      <w:proofErr w:type="gramEnd"/>
    </w:p>
    <w:p w14:paraId="3E9F7AFD" w14:textId="7E7E9096" w:rsidR="00BE4E8C" w:rsidRDefault="0016481E" w:rsidP="00B0677D">
      <w:pPr>
        <w:rPr>
          <w:rFonts w:ascii="Times New Roman" w:hAnsi="Times New Roman" w:cs="Times New Roman"/>
        </w:rPr>
      </w:pPr>
      <w:r>
        <w:rPr>
          <w:rFonts w:ascii="Times New Roman" w:hAnsi="Times New Roman" w:cs="Times New Roman"/>
        </w:rPr>
        <w:t xml:space="preserve">The </w:t>
      </w:r>
      <w:r w:rsidR="00F72AD4">
        <w:rPr>
          <w:rFonts w:ascii="Times New Roman" w:hAnsi="Times New Roman" w:cs="Times New Roman"/>
        </w:rPr>
        <w:t>Rules</w:t>
      </w:r>
      <w:r w:rsidR="00B0677D" w:rsidRPr="003D08F6">
        <w:rPr>
          <w:rFonts w:ascii="Times New Roman" w:hAnsi="Times New Roman" w:cs="Times New Roman"/>
        </w:rPr>
        <w:t xml:space="preserve"> incorporate </w:t>
      </w:r>
      <w:r w:rsidR="00510E08">
        <w:rPr>
          <w:rFonts w:ascii="Times New Roman" w:hAnsi="Times New Roman" w:cs="Times New Roman"/>
        </w:rPr>
        <w:t xml:space="preserve">the following </w:t>
      </w:r>
      <w:r w:rsidR="00BE4E8C">
        <w:rPr>
          <w:rFonts w:ascii="Times New Roman" w:hAnsi="Times New Roman" w:cs="Times New Roman"/>
        </w:rPr>
        <w:t>Acts and legislative instruments (including by adoption of definitions), or otherwise refer to them:</w:t>
      </w:r>
    </w:p>
    <w:p w14:paraId="3DB863D1" w14:textId="7F2DAA11" w:rsidR="00C220B3" w:rsidRDefault="00C220B3" w:rsidP="00BE4E8C">
      <w:pPr>
        <w:pStyle w:val="ListParagraph"/>
        <w:numPr>
          <w:ilvl w:val="0"/>
          <w:numId w:val="36"/>
        </w:numPr>
        <w:rPr>
          <w:rFonts w:ascii="Times New Roman" w:hAnsi="Times New Roman" w:cs="Times New Roman"/>
        </w:rPr>
      </w:pPr>
      <w:r>
        <w:rPr>
          <w:rFonts w:ascii="Times New Roman" w:hAnsi="Times New Roman" w:cs="Times New Roman"/>
        </w:rPr>
        <w:t>the Act</w:t>
      </w:r>
    </w:p>
    <w:p w14:paraId="7FA52216" w14:textId="1CD01C8A" w:rsidR="00BE4E8C" w:rsidRDefault="00BE4E8C" w:rsidP="00BE4E8C">
      <w:pPr>
        <w:pStyle w:val="ListParagraph"/>
        <w:numPr>
          <w:ilvl w:val="0"/>
          <w:numId w:val="36"/>
        </w:numPr>
        <w:rPr>
          <w:rFonts w:ascii="Times New Roman" w:hAnsi="Times New Roman" w:cs="Times New Roman"/>
        </w:rPr>
      </w:pPr>
      <w:r>
        <w:rPr>
          <w:rFonts w:ascii="Times New Roman" w:hAnsi="Times New Roman" w:cs="Times New Roman"/>
        </w:rPr>
        <w:t>the A</w:t>
      </w:r>
      <w:r w:rsidR="006C6DF1">
        <w:rPr>
          <w:rFonts w:ascii="Times New Roman" w:hAnsi="Times New Roman" w:cs="Times New Roman"/>
        </w:rPr>
        <w:t>IA</w:t>
      </w:r>
      <w:r>
        <w:rPr>
          <w:rFonts w:ascii="Times New Roman" w:hAnsi="Times New Roman" w:cs="Times New Roman"/>
        </w:rPr>
        <w:t>;</w:t>
      </w:r>
    </w:p>
    <w:p w14:paraId="65294321" w14:textId="4E432C77" w:rsidR="006C6DF1" w:rsidRDefault="006C6DF1" w:rsidP="00BE4E8C">
      <w:pPr>
        <w:pStyle w:val="ListParagraph"/>
        <w:numPr>
          <w:ilvl w:val="0"/>
          <w:numId w:val="36"/>
        </w:numPr>
        <w:rPr>
          <w:rFonts w:ascii="Times New Roman" w:hAnsi="Times New Roman" w:cs="Times New Roman"/>
        </w:rPr>
      </w:pPr>
      <w:r>
        <w:rPr>
          <w:rFonts w:ascii="Times New Roman" w:hAnsi="Times New Roman" w:cs="Times New Roman"/>
        </w:rPr>
        <w:t>the LA</w:t>
      </w:r>
      <w:r w:rsidR="009308A8">
        <w:rPr>
          <w:rFonts w:ascii="Times New Roman" w:hAnsi="Times New Roman" w:cs="Times New Roman"/>
        </w:rPr>
        <w:t>;</w:t>
      </w:r>
    </w:p>
    <w:p w14:paraId="49477B24" w14:textId="08ABD874" w:rsidR="00AD050B" w:rsidRDefault="00C220B3" w:rsidP="00B0677D">
      <w:pPr>
        <w:pStyle w:val="ListParagraph"/>
        <w:numPr>
          <w:ilvl w:val="0"/>
          <w:numId w:val="36"/>
        </w:numPr>
        <w:rPr>
          <w:rFonts w:ascii="Times New Roman" w:hAnsi="Times New Roman" w:cs="Times New Roman"/>
        </w:rPr>
      </w:pPr>
      <w:r>
        <w:rPr>
          <w:rFonts w:ascii="Times New Roman" w:hAnsi="Times New Roman" w:cs="Times New Roman"/>
        </w:rPr>
        <w:t xml:space="preserve">the </w:t>
      </w:r>
      <w:r w:rsidR="00377809">
        <w:rPr>
          <w:rFonts w:ascii="Times New Roman" w:hAnsi="Times New Roman" w:cs="Times New Roman"/>
        </w:rPr>
        <w:t>TCPSS Act</w:t>
      </w:r>
      <w:r w:rsidR="00AD050B">
        <w:rPr>
          <w:rFonts w:ascii="Times New Roman" w:hAnsi="Times New Roman" w:cs="Times New Roman"/>
        </w:rPr>
        <w:t>;</w:t>
      </w:r>
      <w:r w:rsidR="00385419">
        <w:rPr>
          <w:rFonts w:ascii="Times New Roman" w:hAnsi="Times New Roman" w:cs="Times New Roman"/>
        </w:rPr>
        <w:t xml:space="preserve"> </w:t>
      </w:r>
    </w:p>
    <w:p w14:paraId="0797848D" w14:textId="1FBF7A40" w:rsidR="00377809" w:rsidRDefault="00AD050B" w:rsidP="00E4509C">
      <w:pPr>
        <w:pStyle w:val="ListParagraph"/>
        <w:numPr>
          <w:ilvl w:val="0"/>
          <w:numId w:val="36"/>
        </w:numPr>
        <w:rPr>
          <w:rFonts w:ascii="Times New Roman" w:hAnsi="Times New Roman" w:cs="Times New Roman"/>
        </w:rPr>
      </w:pPr>
      <w:r>
        <w:rPr>
          <w:rFonts w:ascii="Times New Roman" w:hAnsi="Times New Roman" w:cs="Times New Roman"/>
        </w:rPr>
        <w:t xml:space="preserve">the </w:t>
      </w:r>
      <w:r w:rsidR="00377809" w:rsidRPr="00377809">
        <w:rPr>
          <w:rFonts w:ascii="Times New Roman" w:hAnsi="Times New Roman" w:cs="Times New Roman"/>
        </w:rPr>
        <w:t>CSG Standard</w:t>
      </w:r>
      <w:r w:rsidR="00377809">
        <w:rPr>
          <w:rFonts w:ascii="Times New Roman" w:hAnsi="Times New Roman" w:cs="Times New Roman"/>
        </w:rPr>
        <w:t xml:space="preserve">; </w:t>
      </w:r>
    </w:p>
    <w:p w14:paraId="3EF8E518" w14:textId="77777777" w:rsidR="00377809" w:rsidRDefault="00377809" w:rsidP="00E4509C">
      <w:pPr>
        <w:pStyle w:val="ListParagraph"/>
        <w:numPr>
          <w:ilvl w:val="0"/>
          <w:numId w:val="36"/>
        </w:numPr>
        <w:rPr>
          <w:rFonts w:ascii="Times New Roman" w:hAnsi="Times New Roman" w:cs="Times New Roman"/>
        </w:rPr>
      </w:pPr>
      <w:r>
        <w:rPr>
          <w:rFonts w:ascii="Times New Roman" w:hAnsi="Times New Roman" w:cs="Times New Roman"/>
        </w:rPr>
        <w:t>the Benchmarks; and</w:t>
      </w:r>
    </w:p>
    <w:p w14:paraId="21BA1E72" w14:textId="71EA1E18" w:rsidR="004046F2" w:rsidRPr="00E4509C" w:rsidRDefault="00377809" w:rsidP="00E4509C">
      <w:pPr>
        <w:pStyle w:val="ListParagraph"/>
        <w:numPr>
          <w:ilvl w:val="0"/>
          <w:numId w:val="36"/>
        </w:numPr>
        <w:rPr>
          <w:rFonts w:ascii="Times New Roman" w:hAnsi="Times New Roman" w:cs="Times New Roman"/>
        </w:rPr>
      </w:pPr>
      <w:r>
        <w:rPr>
          <w:rFonts w:ascii="Times New Roman" w:hAnsi="Times New Roman" w:cs="Times New Roman"/>
          <w:i/>
          <w:iCs/>
        </w:rPr>
        <w:t>A New Tax System (Australian Business Number) Act 1999</w:t>
      </w:r>
      <w:r>
        <w:rPr>
          <w:rFonts w:ascii="Times New Roman" w:hAnsi="Times New Roman" w:cs="Times New Roman"/>
        </w:rPr>
        <w:t>.</w:t>
      </w:r>
      <w:r w:rsidR="00B0677D" w:rsidRPr="00E4509C">
        <w:rPr>
          <w:rFonts w:ascii="Times New Roman" w:hAnsi="Times New Roman" w:cs="Times New Roman"/>
        </w:rPr>
        <w:t xml:space="preserve"> </w:t>
      </w:r>
    </w:p>
    <w:p w14:paraId="4A588AFE" w14:textId="3AE9030E" w:rsidR="00386287" w:rsidRDefault="00386287" w:rsidP="00B0677D">
      <w:pPr>
        <w:rPr>
          <w:rFonts w:ascii="Times New Roman" w:hAnsi="Times New Roman" w:cs="Times New Roman"/>
        </w:rPr>
      </w:pPr>
      <w:r>
        <w:rPr>
          <w:rFonts w:ascii="Times New Roman" w:hAnsi="Times New Roman" w:cs="Times New Roman"/>
        </w:rPr>
        <w:t xml:space="preserve">The Acts and legislative instruments listed above may be accessed, free of charge, from the Federal Register of Legislation </w:t>
      </w:r>
      <w:r w:rsidR="00384777">
        <w:rPr>
          <w:rFonts w:ascii="Times New Roman" w:hAnsi="Times New Roman" w:cs="Times New Roman"/>
        </w:rPr>
        <w:t>(</w:t>
      </w:r>
      <w:hyperlink r:id="rId12" w:history="1">
        <w:r w:rsidR="00384777" w:rsidRPr="004F0917">
          <w:rPr>
            <w:rStyle w:val="Hyperlink"/>
            <w:rFonts w:ascii="Times New Roman" w:hAnsi="Times New Roman" w:cs="Times New Roman"/>
          </w:rPr>
          <w:t>www.legislation.gov.au</w:t>
        </w:r>
      </w:hyperlink>
      <w:r w:rsidR="00384777">
        <w:rPr>
          <w:rFonts w:ascii="Times New Roman" w:hAnsi="Times New Roman" w:cs="Times New Roman"/>
        </w:rPr>
        <w:t xml:space="preserve">). The Acts </w:t>
      </w:r>
      <w:r w:rsidR="00B53427">
        <w:rPr>
          <w:rFonts w:ascii="Times New Roman" w:hAnsi="Times New Roman" w:cs="Times New Roman"/>
        </w:rPr>
        <w:t xml:space="preserve">and instruments </w:t>
      </w:r>
      <w:r w:rsidR="00384777">
        <w:rPr>
          <w:rFonts w:ascii="Times New Roman" w:hAnsi="Times New Roman" w:cs="Times New Roman"/>
        </w:rPr>
        <w:t>listed above are incorporated as in force from time to time</w:t>
      </w:r>
      <w:r w:rsidR="006C6DF1">
        <w:rPr>
          <w:rFonts w:ascii="Times New Roman" w:hAnsi="Times New Roman" w:cs="Times New Roman"/>
        </w:rPr>
        <w:t xml:space="preserve">, in accordance with </w:t>
      </w:r>
      <w:r w:rsidR="00B53427">
        <w:rPr>
          <w:rFonts w:ascii="Times New Roman" w:hAnsi="Times New Roman" w:cs="Times New Roman"/>
        </w:rPr>
        <w:t xml:space="preserve">section </w:t>
      </w:r>
      <w:r w:rsidR="00646934">
        <w:rPr>
          <w:rFonts w:ascii="Times New Roman" w:hAnsi="Times New Roman" w:cs="Times New Roman"/>
        </w:rPr>
        <w:t>589 of the Act</w:t>
      </w:r>
      <w:r w:rsidR="00005DA1">
        <w:rPr>
          <w:rFonts w:ascii="Times New Roman" w:hAnsi="Times New Roman" w:cs="Times New Roman"/>
        </w:rPr>
        <w:t>.</w:t>
      </w:r>
      <w:r w:rsidR="00384777">
        <w:rPr>
          <w:rFonts w:ascii="Times New Roman" w:hAnsi="Times New Roman" w:cs="Times New Roman"/>
        </w:rPr>
        <w:t xml:space="preserve"> </w:t>
      </w:r>
    </w:p>
    <w:p w14:paraId="2D653484" w14:textId="451B7ACD" w:rsidR="00680986" w:rsidRPr="00EF6E63" w:rsidRDefault="00EF6E63" w:rsidP="00B0677D">
      <w:pPr>
        <w:rPr>
          <w:rFonts w:ascii="Times New Roman" w:hAnsi="Times New Roman" w:cs="Times New Roman"/>
        </w:rPr>
      </w:pPr>
      <w:r>
        <w:rPr>
          <w:rFonts w:ascii="Times New Roman" w:hAnsi="Times New Roman" w:cs="Times New Roman"/>
        </w:rPr>
        <w:t xml:space="preserve">The </w:t>
      </w:r>
      <w:r w:rsidR="006A3EDA">
        <w:rPr>
          <w:rFonts w:ascii="Times New Roman" w:hAnsi="Times New Roman" w:cs="Times New Roman"/>
        </w:rPr>
        <w:t xml:space="preserve">2011 </w:t>
      </w:r>
      <w:r w:rsidR="00131284">
        <w:rPr>
          <w:rFonts w:ascii="Times New Roman" w:hAnsi="Times New Roman" w:cs="Times New Roman"/>
        </w:rPr>
        <w:t xml:space="preserve">CSG </w:t>
      </w:r>
      <w:r w:rsidR="00696CE3">
        <w:rPr>
          <w:rFonts w:ascii="Times New Roman" w:hAnsi="Times New Roman" w:cs="Times New Roman"/>
        </w:rPr>
        <w:t>Rules are</w:t>
      </w:r>
      <w:r w:rsidR="00131284">
        <w:rPr>
          <w:rFonts w:ascii="Times New Roman" w:hAnsi="Times New Roman" w:cs="Times New Roman"/>
        </w:rPr>
        <w:t xml:space="preserve"> </w:t>
      </w:r>
      <w:r w:rsidR="00AF78DE">
        <w:rPr>
          <w:rFonts w:ascii="Times New Roman" w:hAnsi="Times New Roman" w:cs="Times New Roman"/>
        </w:rPr>
        <w:t xml:space="preserve">also </w:t>
      </w:r>
      <w:r>
        <w:rPr>
          <w:rFonts w:ascii="Times New Roman" w:hAnsi="Times New Roman" w:cs="Times New Roman"/>
        </w:rPr>
        <w:t>incorporated by reference</w:t>
      </w:r>
      <w:r w:rsidR="00131284">
        <w:rPr>
          <w:rFonts w:ascii="Times New Roman" w:hAnsi="Times New Roman" w:cs="Times New Roman"/>
        </w:rPr>
        <w:t xml:space="preserve">, as in force </w:t>
      </w:r>
      <w:r w:rsidR="00E56780">
        <w:rPr>
          <w:rFonts w:ascii="Times New Roman" w:hAnsi="Times New Roman" w:cs="Times New Roman"/>
        </w:rPr>
        <w:t>i</w:t>
      </w:r>
      <w:r w:rsidR="00F030EF">
        <w:rPr>
          <w:rFonts w:ascii="Times New Roman" w:hAnsi="Times New Roman" w:cs="Times New Roman"/>
        </w:rPr>
        <w:t xml:space="preserve">mmediately before the day on which the </w:t>
      </w:r>
      <w:r w:rsidR="00C95D07">
        <w:rPr>
          <w:rFonts w:ascii="Times New Roman" w:hAnsi="Times New Roman" w:cs="Times New Roman"/>
        </w:rPr>
        <w:t>n</w:t>
      </w:r>
      <w:r w:rsidR="00F030EF">
        <w:rPr>
          <w:rFonts w:ascii="Times New Roman" w:hAnsi="Times New Roman" w:cs="Times New Roman"/>
        </w:rPr>
        <w:t>ew CSG Standard commences</w:t>
      </w:r>
      <w:r w:rsidR="00AF78DE">
        <w:rPr>
          <w:rFonts w:ascii="Times New Roman" w:hAnsi="Times New Roman" w:cs="Times New Roman"/>
        </w:rPr>
        <w:t xml:space="preserve">, to support transitional arrangements as set out in Part </w:t>
      </w:r>
      <w:r w:rsidR="00005DA1">
        <w:rPr>
          <w:rFonts w:ascii="Times New Roman" w:hAnsi="Times New Roman" w:cs="Times New Roman"/>
        </w:rPr>
        <w:t xml:space="preserve">6 of the </w:t>
      </w:r>
      <w:r w:rsidR="00696CE3">
        <w:rPr>
          <w:rFonts w:ascii="Times New Roman" w:hAnsi="Times New Roman" w:cs="Times New Roman"/>
        </w:rPr>
        <w:t>Rules</w:t>
      </w:r>
      <w:r>
        <w:rPr>
          <w:rFonts w:ascii="Times New Roman" w:hAnsi="Times New Roman" w:cs="Times New Roman"/>
        </w:rPr>
        <w:t>.</w:t>
      </w:r>
      <w:r w:rsidR="008C3D46">
        <w:rPr>
          <w:rFonts w:ascii="Times New Roman" w:hAnsi="Times New Roman" w:cs="Times New Roman"/>
        </w:rPr>
        <w:t xml:space="preserve"> The 2011 </w:t>
      </w:r>
      <w:r w:rsidR="00696CE3">
        <w:rPr>
          <w:rFonts w:ascii="Times New Roman" w:hAnsi="Times New Roman" w:cs="Times New Roman"/>
        </w:rPr>
        <w:t>Rules are</w:t>
      </w:r>
      <w:r w:rsidR="008C3D46">
        <w:rPr>
          <w:rFonts w:ascii="Times New Roman" w:hAnsi="Times New Roman" w:cs="Times New Roman"/>
        </w:rPr>
        <w:t xml:space="preserve"> available, free of change, from the </w:t>
      </w:r>
      <w:r w:rsidR="00DB7814">
        <w:rPr>
          <w:rFonts w:ascii="Times New Roman" w:hAnsi="Times New Roman" w:cs="Times New Roman"/>
        </w:rPr>
        <w:t>Federal Register of Legislation (</w:t>
      </w:r>
      <w:hyperlink r:id="rId13" w:history="1">
        <w:r w:rsidR="00DB7814" w:rsidRPr="004F0917">
          <w:rPr>
            <w:rStyle w:val="Hyperlink"/>
            <w:rFonts w:ascii="Times New Roman" w:hAnsi="Times New Roman" w:cs="Times New Roman"/>
          </w:rPr>
          <w:t>www.legislation.gov.au</w:t>
        </w:r>
      </w:hyperlink>
      <w:r w:rsidR="00DB7814">
        <w:rPr>
          <w:rFonts w:ascii="Times New Roman" w:hAnsi="Times New Roman" w:cs="Times New Roman"/>
        </w:rPr>
        <w:t xml:space="preserve">). </w:t>
      </w:r>
    </w:p>
    <w:p w14:paraId="00946164" w14:textId="77777777" w:rsidR="00696CE3" w:rsidRDefault="00696CE3">
      <w:pPr>
        <w:spacing w:line="259" w:lineRule="auto"/>
        <w:rPr>
          <w:rFonts w:ascii="Times New Roman" w:hAnsi="Times New Roman" w:cs="Times New Roman"/>
          <w:b/>
        </w:rPr>
      </w:pPr>
      <w:r>
        <w:rPr>
          <w:rFonts w:ascii="Times New Roman" w:hAnsi="Times New Roman" w:cs="Times New Roman"/>
          <w:b/>
        </w:rPr>
        <w:br w:type="page"/>
      </w:r>
    </w:p>
    <w:p w14:paraId="3DF8C848" w14:textId="4A42D28E" w:rsidR="00B0677D" w:rsidRDefault="00B0677D" w:rsidP="00B0677D">
      <w:pPr>
        <w:rPr>
          <w:rFonts w:ascii="Times New Roman" w:hAnsi="Times New Roman" w:cs="Times New Roman"/>
          <w:b/>
        </w:rPr>
      </w:pPr>
      <w:r>
        <w:rPr>
          <w:rFonts w:ascii="Times New Roman" w:hAnsi="Times New Roman" w:cs="Times New Roman"/>
          <w:b/>
        </w:rPr>
        <w:lastRenderedPageBreak/>
        <w:t>Consultation</w:t>
      </w:r>
    </w:p>
    <w:p w14:paraId="058411F9" w14:textId="18ADC69E" w:rsidR="002D417B" w:rsidRDefault="002D417B" w:rsidP="002D417B">
      <w:pPr>
        <w:rPr>
          <w:rFonts w:ascii="Times New Roman" w:hAnsi="Times New Roman" w:cs="Times New Roman"/>
        </w:rPr>
      </w:pPr>
      <w:r>
        <w:rPr>
          <w:rFonts w:ascii="Times New Roman" w:hAnsi="Times New Roman" w:cs="Times New Roman"/>
        </w:rPr>
        <w:t>Before the Rules were made, the ACMA was satisfied that consultation was undertaken to the extent appropriate and reasonably practicable, in accordance with section 17 of the LA.</w:t>
      </w:r>
    </w:p>
    <w:p w14:paraId="5DA96859" w14:textId="7040ED41" w:rsidR="002D417B" w:rsidRPr="002D417B" w:rsidRDefault="002D417B" w:rsidP="002D417B">
      <w:pPr>
        <w:rPr>
          <w:rFonts w:ascii="Times New Roman" w:hAnsi="Times New Roman" w:cs="Times New Roman"/>
          <w:i/>
          <w:iCs/>
        </w:rPr>
      </w:pPr>
      <w:r w:rsidRPr="002D417B">
        <w:rPr>
          <w:rFonts w:ascii="Times New Roman" w:hAnsi="Times New Roman" w:cs="Times New Roman"/>
          <w:i/>
          <w:iCs/>
        </w:rPr>
        <w:t>Department CSG Thematic Review</w:t>
      </w:r>
    </w:p>
    <w:p w14:paraId="356B0FCE" w14:textId="5CE51290" w:rsidR="00AF3B8D" w:rsidRPr="00125504" w:rsidRDefault="00D778F6" w:rsidP="00AF3B8D">
      <w:pPr>
        <w:rPr>
          <w:rFonts w:ascii="Times New Roman" w:hAnsi="Times New Roman" w:cs="Times New Roman"/>
          <w:bCs/>
        </w:rPr>
      </w:pPr>
      <w:r>
        <w:rPr>
          <w:rFonts w:ascii="Times New Roman" w:eastAsia="Times New Roman" w:hAnsi="Times New Roman" w:cs="Times New Roman"/>
          <w:snapToGrid w:val="0"/>
          <w:szCs w:val="18"/>
        </w:rPr>
        <w:t>As noted above, t</w:t>
      </w:r>
      <w:r w:rsidR="00AF3B8D">
        <w:rPr>
          <w:rFonts w:ascii="Times New Roman" w:eastAsia="Times New Roman" w:hAnsi="Times New Roman" w:cs="Times New Roman"/>
          <w:snapToGrid w:val="0"/>
          <w:szCs w:val="18"/>
        </w:rPr>
        <w:t xml:space="preserve">he Department </w:t>
      </w:r>
      <w:r w:rsidR="00AF3B8D" w:rsidRPr="00F81BD5">
        <w:rPr>
          <w:rFonts w:ascii="Times New Roman" w:eastAsia="Times New Roman" w:hAnsi="Times New Roman" w:cs="Times New Roman"/>
          <w:snapToGrid w:val="0"/>
          <w:szCs w:val="18"/>
        </w:rPr>
        <w:t xml:space="preserve">completed </w:t>
      </w:r>
      <w:r>
        <w:rPr>
          <w:rFonts w:ascii="Times New Roman" w:eastAsia="Times New Roman" w:hAnsi="Times New Roman" w:cs="Times New Roman"/>
          <w:snapToGrid w:val="0"/>
          <w:szCs w:val="18"/>
        </w:rPr>
        <w:t>a</w:t>
      </w:r>
      <w:r w:rsidR="00AF3B8D" w:rsidRPr="00F81BD5">
        <w:rPr>
          <w:rFonts w:ascii="Times New Roman" w:eastAsia="Times New Roman" w:hAnsi="Times New Roman" w:cs="Times New Roman"/>
          <w:snapToGrid w:val="0"/>
          <w:szCs w:val="18"/>
        </w:rPr>
        <w:t xml:space="preserve"> thematic review </w:t>
      </w:r>
      <w:r>
        <w:rPr>
          <w:rFonts w:ascii="Times New Roman" w:eastAsia="Times New Roman" w:hAnsi="Times New Roman" w:cs="Times New Roman"/>
          <w:snapToGrid w:val="0"/>
          <w:szCs w:val="18"/>
        </w:rPr>
        <w:t xml:space="preserve">of CSG arrangements </w:t>
      </w:r>
      <w:r w:rsidR="00AF3B8D">
        <w:rPr>
          <w:rFonts w:ascii="Times New Roman" w:eastAsia="Times New Roman" w:hAnsi="Times New Roman" w:cs="Times New Roman"/>
          <w:snapToGrid w:val="0"/>
          <w:szCs w:val="18"/>
        </w:rPr>
        <w:t xml:space="preserve">in </w:t>
      </w:r>
      <w:r w:rsidR="00AF3B8D" w:rsidRPr="00FC6CC5">
        <w:rPr>
          <w:rFonts w:ascii="Times New Roman" w:eastAsia="Times New Roman" w:hAnsi="Times New Roman" w:cs="Times New Roman"/>
          <w:snapToGrid w:val="0"/>
          <w:szCs w:val="18"/>
        </w:rPr>
        <w:t>June 2023.</w:t>
      </w:r>
      <w:r w:rsidR="00AF3B8D">
        <w:rPr>
          <w:rFonts w:ascii="Times New Roman" w:eastAsia="Times New Roman" w:hAnsi="Times New Roman" w:cs="Times New Roman"/>
          <w:snapToGrid w:val="0"/>
          <w:szCs w:val="18"/>
        </w:rPr>
        <w:t xml:space="preserve"> The CSG Direction was made following the thematic review, to provide for CSG arrangements to continue for an interim period of three years, while Government considers long-term arrangements.</w:t>
      </w:r>
    </w:p>
    <w:p w14:paraId="2E22D335" w14:textId="326F1B3A" w:rsidR="005A5C37" w:rsidRDefault="00A71EC3" w:rsidP="007D0A96">
      <w:pPr>
        <w:rPr>
          <w:rFonts w:ascii="Times New Roman" w:hAnsi="Times New Roman" w:cs="Times New Roman"/>
        </w:rPr>
      </w:pPr>
      <w:r>
        <w:rPr>
          <w:rFonts w:ascii="Times New Roman" w:hAnsi="Times New Roman" w:cs="Times New Roman"/>
        </w:rPr>
        <w:t xml:space="preserve">The </w:t>
      </w:r>
      <w:r w:rsidR="00F14090">
        <w:rPr>
          <w:rFonts w:ascii="Times New Roman" w:hAnsi="Times New Roman" w:cs="Times New Roman"/>
        </w:rPr>
        <w:t>Department undertook</w:t>
      </w:r>
      <w:r w:rsidR="00160CAE">
        <w:rPr>
          <w:rFonts w:ascii="Times New Roman" w:hAnsi="Times New Roman" w:cs="Times New Roman"/>
        </w:rPr>
        <w:t xml:space="preserve"> a 6-week</w:t>
      </w:r>
      <w:r w:rsidR="00F14090">
        <w:rPr>
          <w:rFonts w:ascii="Times New Roman" w:hAnsi="Times New Roman" w:cs="Times New Roman"/>
        </w:rPr>
        <w:t xml:space="preserve"> public consultation on </w:t>
      </w:r>
      <w:r w:rsidR="003611AE">
        <w:rPr>
          <w:rFonts w:ascii="Times New Roman" w:hAnsi="Times New Roman" w:cs="Times New Roman"/>
        </w:rPr>
        <w:t xml:space="preserve">the CSG </w:t>
      </w:r>
      <w:r w:rsidR="00D778F6">
        <w:rPr>
          <w:rFonts w:ascii="Times New Roman" w:hAnsi="Times New Roman" w:cs="Times New Roman"/>
        </w:rPr>
        <w:t xml:space="preserve">arrangements </w:t>
      </w:r>
      <w:r w:rsidR="00F14090">
        <w:rPr>
          <w:rFonts w:ascii="Times New Roman" w:hAnsi="Times New Roman" w:cs="Times New Roman"/>
        </w:rPr>
        <w:t>from 17 February to 27 March 2023. The thematic review received 14 submissions from industry, consumer and government groups and individuals</w:t>
      </w:r>
      <w:r w:rsidR="004459E1">
        <w:rPr>
          <w:rFonts w:ascii="Times New Roman" w:hAnsi="Times New Roman" w:cs="Times New Roman"/>
        </w:rPr>
        <w:t>.</w:t>
      </w:r>
      <w:r w:rsidR="00F14090">
        <w:rPr>
          <w:rFonts w:ascii="Times New Roman" w:hAnsi="Times New Roman" w:cs="Times New Roman"/>
        </w:rPr>
        <w:t xml:space="preserve"> As a result of the consultative process, the Minister decided to issue the CSG Direction to the ACMA to remake the sunsetting CSG Standard instrument for a period of three years, with necessary updates and minor amendments. During that period, further consideration by the Department of the long-term future of the CSG and how consumers can best be protected is to take place. </w:t>
      </w:r>
    </w:p>
    <w:p w14:paraId="0BD2C7EE" w14:textId="4372C612" w:rsidR="00C610D2" w:rsidRDefault="004459E1" w:rsidP="00820766">
      <w:pPr>
        <w:rPr>
          <w:rFonts w:ascii="Times New Roman" w:hAnsi="Times New Roman" w:cs="Times New Roman"/>
        </w:rPr>
      </w:pPr>
      <w:r>
        <w:rPr>
          <w:rFonts w:ascii="Times New Roman" w:hAnsi="Times New Roman" w:cs="Times New Roman"/>
        </w:rPr>
        <w:t>T</w:t>
      </w:r>
      <w:r w:rsidR="00A71EC3" w:rsidRPr="004459E1">
        <w:rPr>
          <w:rFonts w:ascii="Times New Roman" w:hAnsi="Times New Roman" w:cs="Times New Roman"/>
        </w:rPr>
        <w:t xml:space="preserve">he </w:t>
      </w:r>
      <w:r>
        <w:rPr>
          <w:rFonts w:ascii="Times New Roman" w:hAnsi="Times New Roman" w:cs="Times New Roman"/>
        </w:rPr>
        <w:t>Department</w:t>
      </w:r>
      <w:r w:rsidR="004369BA">
        <w:rPr>
          <w:rFonts w:ascii="Times New Roman" w:hAnsi="Times New Roman" w:cs="Times New Roman"/>
        </w:rPr>
        <w:t xml:space="preserve"> announced the outcomes of the thematic review on </w:t>
      </w:r>
      <w:r w:rsidR="00FE6346">
        <w:rPr>
          <w:rFonts w:ascii="Times New Roman" w:hAnsi="Times New Roman" w:cs="Times New Roman"/>
        </w:rPr>
        <w:t>7</w:t>
      </w:r>
      <w:r>
        <w:rPr>
          <w:rFonts w:ascii="Times New Roman" w:hAnsi="Times New Roman" w:cs="Times New Roman"/>
        </w:rPr>
        <w:t xml:space="preserve"> </w:t>
      </w:r>
      <w:r w:rsidR="00A71EC3" w:rsidRPr="004459E1">
        <w:rPr>
          <w:rFonts w:ascii="Times New Roman" w:hAnsi="Times New Roman" w:cs="Times New Roman"/>
        </w:rPr>
        <w:t>June 2023</w:t>
      </w:r>
      <w:r w:rsidR="004369BA">
        <w:rPr>
          <w:rFonts w:ascii="Times New Roman" w:hAnsi="Times New Roman" w:cs="Times New Roman"/>
        </w:rPr>
        <w:t xml:space="preserve">. </w:t>
      </w:r>
      <w:r w:rsidR="00784923">
        <w:rPr>
          <w:rFonts w:ascii="Times New Roman" w:hAnsi="Times New Roman" w:cs="Times New Roman"/>
        </w:rPr>
        <w:t xml:space="preserve">The public consultation and outcome is available online </w:t>
      </w:r>
      <w:r w:rsidR="00784923" w:rsidRPr="00DC06C8">
        <w:rPr>
          <w:rFonts w:ascii="Times New Roman" w:hAnsi="Times New Roman" w:cs="Times New Roman"/>
        </w:rPr>
        <w:t xml:space="preserve">at </w:t>
      </w:r>
      <w:hyperlink r:id="rId14" w:history="1">
        <w:r w:rsidR="00B05879" w:rsidRPr="00DC06C8">
          <w:rPr>
            <w:rStyle w:val="Hyperlink"/>
            <w:rFonts w:ascii="Times New Roman" w:hAnsi="Times New Roman" w:cs="Times New Roman"/>
          </w:rPr>
          <w:t>http://www.infrastructure.gov.au/have-your-say/thematic-review-customer-service-guarantee-csg</w:t>
        </w:r>
      </w:hyperlink>
      <w:r w:rsidR="00B05879">
        <w:t xml:space="preserve">. </w:t>
      </w:r>
    </w:p>
    <w:p w14:paraId="144D90DF" w14:textId="18E106E9" w:rsidR="00F14090" w:rsidRPr="00C22A1F" w:rsidRDefault="00F14090" w:rsidP="00820766">
      <w:pPr>
        <w:rPr>
          <w:rFonts w:ascii="Times New Roman" w:hAnsi="Times New Roman" w:cs="Times New Roman"/>
          <w:i/>
          <w:iCs/>
        </w:rPr>
      </w:pPr>
      <w:r>
        <w:rPr>
          <w:rFonts w:ascii="Times New Roman" w:hAnsi="Times New Roman" w:cs="Times New Roman"/>
          <w:i/>
          <w:iCs/>
        </w:rPr>
        <w:t>ACMA targeted CSG Standard consultation</w:t>
      </w:r>
    </w:p>
    <w:p w14:paraId="082A4B2B" w14:textId="25F3A583" w:rsidR="00F5445E" w:rsidRDefault="007D0A96" w:rsidP="00820766">
      <w:pPr>
        <w:rPr>
          <w:rFonts w:ascii="Times New Roman" w:hAnsi="Times New Roman" w:cs="Times New Roman"/>
        </w:rPr>
      </w:pPr>
      <w:r>
        <w:rPr>
          <w:rFonts w:ascii="Times New Roman" w:hAnsi="Times New Roman" w:cs="Times New Roman"/>
        </w:rPr>
        <w:t>The ACMA conducted</w:t>
      </w:r>
      <w:r w:rsidR="00C31AA4">
        <w:rPr>
          <w:rFonts w:ascii="Times New Roman" w:hAnsi="Times New Roman" w:cs="Times New Roman"/>
        </w:rPr>
        <w:t xml:space="preserve"> targeted consultation </w:t>
      </w:r>
      <w:r>
        <w:rPr>
          <w:rFonts w:ascii="Times New Roman" w:hAnsi="Times New Roman" w:cs="Times New Roman"/>
        </w:rPr>
        <w:t xml:space="preserve">between 28 July and 4 August 2023 </w:t>
      </w:r>
      <w:r w:rsidR="00C31AA4">
        <w:rPr>
          <w:rFonts w:ascii="Times New Roman" w:hAnsi="Times New Roman" w:cs="Times New Roman"/>
        </w:rPr>
        <w:t xml:space="preserve">with Telstra, </w:t>
      </w:r>
      <w:proofErr w:type="gramStart"/>
      <w:r w:rsidR="00C31AA4">
        <w:rPr>
          <w:rFonts w:ascii="Times New Roman" w:hAnsi="Times New Roman" w:cs="Times New Roman"/>
        </w:rPr>
        <w:t>Optus</w:t>
      </w:r>
      <w:proofErr w:type="gramEnd"/>
      <w:r w:rsidR="00C31AA4">
        <w:rPr>
          <w:rFonts w:ascii="Times New Roman" w:hAnsi="Times New Roman" w:cs="Times New Roman"/>
        </w:rPr>
        <w:t xml:space="preserve"> and the Australian Communications Consumer Action Network</w:t>
      </w:r>
      <w:r>
        <w:rPr>
          <w:rFonts w:ascii="Times New Roman" w:hAnsi="Times New Roman" w:cs="Times New Roman"/>
        </w:rPr>
        <w:t xml:space="preserve"> </w:t>
      </w:r>
      <w:r w:rsidR="00F5445E">
        <w:rPr>
          <w:rFonts w:ascii="Times New Roman" w:hAnsi="Times New Roman" w:cs="Times New Roman"/>
        </w:rPr>
        <w:t>(</w:t>
      </w:r>
      <w:r w:rsidR="00F5445E" w:rsidRPr="00D778F6">
        <w:rPr>
          <w:rFonts w:ascii="Times New Roman" w:hAnsi="Times New Roman" w:cs="Times New Roman"/>
          <w:b/>
          <w:bCs/>
        </w:rPr>
        <w:t>ACCAN</w:t>
      </w:r>
      <w:r w:rsidR="00F5445E">
        <w:rPr>
          <w:rFonts w:ascii="Times New Roman" w:hAnsi="Times New Roman" w:cs="Times New Roman"/>
        </w:rPr>
        <w:t xml:space="preserve">) </w:t>
      </w:r>
      <w:r>
        <w:rPr>
          <w:rFonts w:ascii="Times New Roman" w:hAnsi="Times New Roman" w:cs="Times New Roman"/>
        </w:rPr>
        <w:t xml:space="preserve">on the </w:t>
      </w:r>
      <w:r w:rsidR="00C610D2">
        <w:rPr>
          <w:rFonts w:ascii="Times New Roman" w:hAnsi="Times New Roman" w:cs="Times New Roman"/>
        </w:rPr>
        <w:t xml:space="preserve">suitability of the </w:t>
      </w:r>
      <w:r>
        <w:rPr>
          <w:rFonts w:ascii="Times New Roman" w:hAnsi="Times New Roman" w:cs="Times New Roman"/>
        </w:rPr>
        <w:t>proposed CSG Standard</w:t>
      </w:r>
      <w:r w:rsidR="007F3E1B">
        <w:rPr>
          <w:rFonts w:ascii="Times New Roman" w:hAnsi="Times New Roman" w:cs="Times New Roman"/>
        </w:rPr>
        <w:t xml:space="preserve"> </w:t>
      </w:r>
      <w:r w:rsidR="0033542E">
        <w:rPr>
          <w:rFonts w:ascii="Times New Roman" w:hAnsi="Times New Roman" w:cs="Times New Roman"/>
        </w:rPr>
        <w:t>to meet the Direction</w:t>
      </w:r>
      <w:r>
        <w:rPr>
          <w:rFonts w:ascii="Times New Roman" w:hAnsi="Times New Roman" w:cs="Times New Roman"/>
        </w:rPr>
        <w:t>.</w:t>
      </w:r>
      <w:r w:rsidR="00C31AA4">
        <w:rPr>
          <w:rFonts w:ascii="Times New Roman" w:hAnsi="Times New Roman" w:cs="Times New Roman"/>
        </w:rPr>
        <w:t xml:space="preserve"> </w:t>
      </w:r>
    </w:p>
    <w:p w14:paraId="37E5D827" w14:textId="6B74435B" w:rsidR="0033542E" w:rsidRDefault="00F5445E" w:rsidP="00527F3E">
      <w:pPr>
        <w:rPr>
          <w:rFonts w:ascii="Times New Roman" w:hAnsi="Times New Roman" w:cs="Times New Roman"/>
        </w:rPr>
      </w:pPr>
      <w:r>
        <w:rPr>
          <w:rFonts w:ascii="Times New Roman" w:hAnsi="Times New Roman" w:cs="Times New Roman"/>
        </w:rPr>
        <w:t xml:space="preserve">Based on the prescriptive nature of the Direction, and the public consultation undertaken as part of the thematic review by the Department, a targeted consultation on the CSG Standard was considered suitable. </w:t>
      </w:r>
    </w:p>
    <w:p w14:paraId="74D18803" w14:textId="139CA8CE" w:rsidR="00A71EC3" w:rsidRDefault="00D778F6" w:rsidP="00820766">
      <w:pPr>
        <w:rPr>
          <w:rFonts w:ascii="Times New Roman" w:hAnsi="Times New Roman" w:cs="Times New Roman"/>
        </w:rPr>
      </w:pPr>
      <w:r>
        <w:rPr>
          <w:rFonts w:ascii="Times New Roman" w:hAnsi="Times New Roman" w:cs="Times New Roman"/>
        </w:rPr>
        <w:t>T</w:t>
      </w:r>
      <w:r w:rsidR="00FF5D4F">
        <w:rPr>
          <w:rFonts w:ascii="Times New Roman" w:hAnsi="Times New Roman" w:cs="Times New Roman"/>
        </w:rPr>
        <w:t xml:space="preserve">he </w:t>
      </w:r>
      <w:r w:rsidR="00F5445E">
        <w:rPr>
          <w:rFonts w:ascii="Times New Roman" w:hAnsi="Times New Roman" w:cs="Times New Roman"/>
        </w:rPr>
        <w:t xml:space="preserve">ACMA’s targeted </w:t>
      </w:r>
      <w:r w:rsidR="007D0A96">
        <w:rPr>
          <w:rFonts w:ascii="Times New Roman" w:hAnsi="Times New Roman" w:cs="Times New Roman"/>
        </w:rPr>
        <w:t>consultation indicated general acceptance of the three</w:t>
      </w:r>
      <w:r w:rsidR="003315EB">
        <w:rPr>
          <w:rFonts w:ascii="Times New Roman" w:hAnsi="Times New Roman" w:cs="Times New Roman"/>
        </w:rPr>
        <w:t>-</w:t>
      </w:r>
      <w:r w:rsidR="007D0A96">
        <w:rPr>
          <w:rFonts w:ascii="Times New Roman" w:hAnsi="Times New Roman" w:cs="Times New Roman"/>
        </w:rPr>
        <w:t>year proposal for the CSG Standard</w:t>
      </w:r>
      <w:r w:rsidR="00C31AA4">
        <w:rPr>
          <w:rFonts w:ascii="Times New Roman" w:hAnsi="Times New Roman" w:cs="Times New Roman"/>
        </w:rPr>
        <w:t>.</w:t>
      </w:r>
    </w:p>
    <w:p w14:paraId="7C8B1B2B" w14:textId="577F144B" w:rsidR="003315EB" w:rsidRDefault="003315EB" w:rsidP="003315EB">
      <w:pPr>
        <w:rPr>
          <w:rFonts w:ascii="Times New Roman" w:hAnsi="Times New Roman" w:cs="Times New Roman"/>
          <w:i/>
          <w:iCs/>
        </w:rPr>
      </w:pPr>
      <w:r>
        <w:rPr>
          <w:rFonts w:ascii="Times New Roman" w:hAnsi="Times New Roman" w:cs="Times New Roman"/>
          <w:i/>
          <w:iCs/>
        </w:rPr>
        <w:t>ACMA targeted consultation on the Rules</w:t>
      </w:r>
    </w:p>
    <w:p w14:paraId="413A5385" w14:textId="0B0B4F37" w:rsidR="003315EB" w:rsidRDefault="00A054FB" w:rsidP="003315EB">
      <w:pPr>
        <w:rPr>
          <w:rFonts w:ascii="Times New Roman" w:hAnsi="Times New Roman" w:cs="Times New Roman"/>
        </w:rPr>
      </w:pPr>
      <w:r>
        <w:rPr>
          <w:rFonts w:ascii="Times New Roman" w:hAnsi="Times New Roman" w:cs="Times New Roman"/>
        </w:rPr>
        <w:t xml:space="preserve">The ACMA conducted a targeted consultation with the same three stakeholders as the CSG Standard – Telstra, Optus and ACCAN – on the proposal to make the Rules in substantially the same </w:t>
      </w:r>
      <w:r w:rsidR="00FF5D4F">
        <w:rPr>
          <w:rFonts w:ascii="Times New Roman" w:hAnsi="Times New Roman" w:cs="Times New Roman"/>
        </w:rPr>
        <w:t>form</w:t>
      </w:r>
      <w:r>
        <w:rPr>
          <w:rFonts w:ascii="Times New Roman" w:hAnsi="Times New Roman" w:cs="Times New Roman"/>
        </w:rPr>
        <w:t xml:space="preserve"> as the 2011 </w:t>
      </w:r>
      <w:r w:rsidR="00C95D07">
        <w:rPr>
          <w:rFonts w:ascii="Times New Roman" w:hAnsi="Times New Roman" w:cs="Times New Roman"/>
        </w:rPr>
        <w:t xml:space="preserve">CSG </w:t>
      </w:r>
      <w:r>
        <w:rPr>
          <w:rFonts w:ascii="Times New Roman" w:hAnsi="Times New Roman" w:cs="Times New Roman"/>
        </w:rPr>
        <w:t xml:space="preserve">Rules. The consultation took place between 4 September and </w:t>
      </w:r>
      <w:r w:rsidR="00E721EB">
        <w:rPr>
          <w:rFonts w:ascii="Times New Roman" w:hAnsi="Times New Roman" w:cs="Times New Roman"/>
        </w:rPr>
        <w:t xml:space="preserve">19 </w:t>
      </w:r>
      <w:r>
        <w:rPr>
          <w:rFonts w:ascii="Times New Roman" w:hAnsi="Times New Roman" w:cs="Times New Roman"/>
        </w:rPr>
        <w:t>September 2023.</w:t>
      </w:r>
    </w:p>
    <w:p w14:paraId="511BC383" w14:textId="77777777" w:rsidR="00F46BCC" w:rsidRDefault="00A054FB" w:rsidP="003315EB">
      <w:pPr>
        <w:rPr>
          <w:rFonts w:ascii="Times New Roman" w:hAnsi="Times New Roman" w:cs="Times New Roman"/>
        </w:rPr>
      </w:pPr>
      <w:r>
        <w:rPr>
          <w:rFonts w:ascii="Times New Roman" w:hAnsi="Times New Roman" w:cs="Times New Roman"/>
        </w:rPr>
        <w:t xml:space="preserve">None of the stakeholders consulted opposed the proposal. </w:t>
      </w:r>
    </w:p>
    <w:p w14:paraId="56CB7887" w14:textId="2BD384E8" w:rsidR="00C95D07" w:rsidRDefault="00F52089" w:rsidP="003315EB">
      <w:pPr>
        <w:rPr>
          <w:rFonts w:ascii="Times New Roman" w:hAnsi="Times New Roman" w:cs="Times New Roman"/>
        </w:rPr>
      </w:pPr>
      <w:r>
        <w:rPr>
          <w:rFonts w:ascii="Times New Roman" w:hAnsi="Times New Roman" w:cs="Times New Roman"/>
        </w:rPr>
        <w:t xml:space="preserve">ACCAN was supportive of the proposal </w:t>
      </w:r>
      <w:r w:rsidR="00D778F6">
        <w:rPr>
          <w:rFonts w:ascii="Times New Roman" w:hAnsi="Times New Roman" w:cs="Times New Roman"/>
        </w:rPr>
        <w:t>but also</w:t>
      </w:r>
      <w:r>
        <w:rPr>
          <w:rFonts w:ascii="Times New Roman" w:hAnsi="Times New Roman" w:cs="Times New Roman"/>
        </w:rPr>
        <w:t xml:space="preserve"> stated a desire to expand the data collected and reported about CSG performance.</w:t>
      </w:r>
      <w:r w:rsidR="00F46BCC" w:rsidRPr="00F46BCC">
        <w:rPr>
          <w:rFonts w:ascii="Times New Roman" w:hAnsi="Times New Roman" w:cs="Times New Roman"/>
        </w:rPr>
        <w:t xml:space="preserve"> </w:t>
      </w:r>
      <w:r w:rsidR="00F46BCC">
        <w:rPr>
          <w:rFonts w:ascii="Times New Roman" w:hAnsi="Times New Roman" w:cs="Times New Roman"/>
        </w:rPr>
        <w:t>In the circumstances, the ACMA considered it preferable to prioritise ensuring the Rules requiring record-keeping were maintained continuously without sunsetting and to subsequently consider potential substantive changes.</w:t>
      </w:r>
    </w:p>
    <w:p w14:paraId="4575A0E9" w14:textId="2CBE9066" w:rsidR="00C95D07" w:rsidRDefault="00C95D07" w:rsidP="003315EB">
      <w:pPr>
        <w:rPr>
          <w:rFonts w:ascii="Times New Roman" w:hAnsi="Times New Roman" w:cs="Times New Roman"/>
        </w:rPr>
      </w:pPr>
      <w:r>
        <w:rPr>
          <w:rFonts w:ascii="Times New Roman" w:hAnsi="Times New Roman" w:cs="Times New Roman"/>
        </w:rPr>
        <w:t>Telstra suggested that the requirement for hard copy annual reports to be provided by registered post or by hand was no longer current or facilitative for QSPs or the ACMA. Th</w:t>
      </w:r>
      <w:r w:rsidR="00614479">
        <w:rPr>
          <w:rFonts w:ascii="Times New Roman" w:hAnsi="Times New Roman" w:cs="Times New Roman"/>
        </w:rPr>
        <w:t>is</w:t>
      </w:r>
      <w:r>
        <w:rPr>
          <w:rFonts w:ascii="Times New Roman" w:hAnsi="Times New Roman" w:cs="Times New Roman"/>
        </w:rPr>
        <w:t xml:space="preserve"> requirement was removed </w:t>
      </w:r>
      <w:r w:rsidR="00614479">
        <w:rPr>
          <w:rFonts w:ascii="Times New Roman" w:hAnsi="Times New Roman" w:cs="Times New Roman"/>
        </w:rPr>
        <w:t xml:space="preserve">from </w:t>
      </w:r>
      <w:r>
        <w:rPr>
          <w:rFonts w:ascii="Times New Roman" w:hAnsi="Times New Roman" w:cs="Times New Roman"/>
        </w:rPr>
        <w:t>section 17</w:t>
      </w:r>
      <w:r w:rsidR="00614479">
        <w:rPr>
          <w:rFonts w:ascii="Times New Roman" w:hAnsi="Times New Roman" w:cs="Times New Roman"/>
        </w:rPr>
        <w:t xml:space="preserve"> of the </w:t>
      </w:r>
      <w:r w:rsidR="00E721EB">
        <w:rPr>
          <w:rFonts w:ascii="Times New Roman" w:hAnsi="Times New Roman" w:cs="Times New Roman"/>
        </w:rPr>
        <w:t>Rules</w:t>
      </w:r>
      <w:r w:rsidR="00614479">
        <w:rPr>
          <w:rFonts w:ascii="Times New Roman" w:hAnsi="Times New Roman" w:cs="Times New Roman"/>
        </w:rPr>
        <w:t>,</w:t>
      </w:r>
      <w:r>
        <w:rPr>
          <w:rFonts w:ascii="Times New Roman" w:hAnsi="Times New Roman" w:cs="Times New Roman"/>
        </w:rPr>
        <w:t xml:space="preserve"> such that annual reports can be provided by email in an electronic form as agreed by the ACMA.</w:t>
      </w:r>
    </w:p>
    <w:p w14:paraId="63CE377A" w14:textId="0C1E13F4" w:rsidR="00CF6748" w:rsidRPr="003315EB" w:rsidRDefault="00CF6748" w:rsidP="003315EB">
      <w:pPr>
        <w:rPr>
          <w:rFonts w:ascii="Times New Roman" w:hAnsi="Times New Roman" w:cs="Times New Roman"/>
        </w:rPr>
      </w:pPr>
      <w:r>
        <w:rPr>
          <w:rFonts w:ascii="Times New Roman" w:hAnsi="Times New Roman" w:cs="Times New Roman"/>
        </w:rPr>
        <w:t xml:space="preserve">Optus </w:t>
      </w:r>
      <w:r w:rsidR="007E38F4">
        <w:rPr>
          <w:rFonts w:ascii="Times New Roman" w:hAnsi="Times New Roman" w:cs="Times New Roman"/>
        </w:rPr>
        <w:t>stated it had no concerns with the minor changes to</w:t>
      </w:r>
      <w:r>
        <w:rPr>
          <w:rFonts w:ascii="Times New Roman" w:hAnsi="Times New Roman" w:cs="Times New Roman"/>
        </w:rPr>
        <w:t xml:space="preserve"> the Rules.</w:t>
      </w:r>
    </w:p>
    <w:p w14:paraId="50C71CCF" w14:textId="77777777" w:rsidR="00B0677D" w:rsidRDefault="00B0677D" w:rsidP="00B0677D">
      <w:pPr>
        <w:rPr>
          <w:rFonts w:ascii="Times New Roman" w:hAnsi="Times New Roman" w:cs="Times New Roman"/>
          <w:b/>
        </w:rPr>
      </w:pPr>
      <w:r>
        <w:rPr>
          <w:rFonts w:ascii="Times New Roman" w:hAnsi="Times New Roman" w:cs="Times New Roman"/>
          <w:b/>
        </w:rPr>
        <w:lastRenderedPageBreak/>
        <w:t>Regulatory impact assessment</w:t>
      </w:r>
    </w:p>
    <w:p w14:paraId="7718863F" w14:textId="6F23BE54" w:rsidR="00B77871" w:rsidRDefault="00AC43CD" w:rsidP="00A45075">
      <w:pPr>
        <w:rPr>
          <w:rFonts w:ascii="Times New Roman" w:hAnsi="Times New Roman" w:cs="Times New Roman"/>
        </w:rPr>
      </w:pPr>
      <w:r>
        <w:rPr>
          <w:rFonts w:ascii="Times New Roman" w:hAnsi="Times New Roman" w:cs="Times New Roman"/>
        </w:rPr>
        <w:t>The ACMA</w:t>
      </w:r>
      <w:r w:rsidRPr="00AC43CD">
        <w:rPr>
          <w:rFonts w:ascii="Times New Roman" w:hAnsi="Times New Roman" w:cs="Times New Roman"/>
        </w:rPr>
        <w:t xml:space="preserve"> considered whether a regulatory impact analysis process </w:t>
      </w:r>
      <w:r>
        <w:rPr>
          <w:rFonts w:ascii="Times New Roman" w:hAnsi="Times New Roman" w:cs="Times New Roman"/>
        </w:rPr>
        <w:t>wa</w:t>
      </w:r>
      <w:r w:rsidRPr="00AC43CD">
        <w:rPr>
          <w:rFonts w:ascii="Times New Roman" w:hAnsi="Times New Roman" w:cs="Times New Roman"/>
        </w:rPr>
        <w:t>s required by undertaking a preliminary assessment</w:t>
      </w:r>
      <w:r>
        <w:rPr>
          <w:rFonts w:ascii="Times New Roman" w:hAnsi="Times New Roman" w:cs="Times New Roman"/>
        </w:rPr>
        <w:t>. B</w:t>
      </w:r>
      <w:r w:rsidRPr="00AC43CD">
        <w:rPr>
          <w:rFonts w:ascii="Times New Roman" w:hAnsi="Times New Roman" w:cs="Times New Roman"/>
        </w:rPr>
        <w:t>ased on this preliminary assessment the Office of Impact Analysis (</w:t>
      </w:r>
      <w:r w:rsidRPr="00AC43CD">
        <w:rPr>
          <w:rFonts w:ascii="Times New Roman" w:hAnsi="Times New Roman" w:cs="Times New Roman"/>
          <w:b/>
          <w:bCs/>
        </w:rPr>
        <w:t>OIA</w:t>
      </w:r>
      <w:r w:rsidRPr="00AC43CD">
        <w:rPr>
          <w:rFonts w:ascii="Times New Roman" w:hAnsi="Times New Roman" w:cs="Times New Roman"/>
        </w:rPr>
        <w:t>) determined that the propos</w:t>
      </w:r>
      <w:r>
        <w:rPr>
          <w:rFonts w:ascii="Times New Roman" w:hAnsi="Times New Roman" w:cs="Times New Roman"/>
        </w:rPr>
        <w:t>al to make the Rules</w:t>
      </w:r>
      <w:r w:rsidRPr="00AC43CD">
        <w:rPr>
          <w:rFonts w:ascii="Times New Roman" w:hAnsi="Times New Roman" w:cs="Times New Roman"/>
        </w:rPr>
        <w:t xml:space="preserve"> is minor or machinery in nature and has therefore verified that no further regulatory impact analysis is required – OIA reference number OIA23-04988</w:t>
      </w:r>
      <w:r w:rsidR="00B77871">
        <w:rPr>
          <w:rFonts w:ascii="Times New Roman" w:hAnsi="Times New Roman" w:cs="Times New Roman"/>
        </w:rPr>
        <w:t>.</w:t>
      </w:r>
    </w:p>
    <w:p w14:paraId="10037F0C" w14:textId="1F61C697" w:rsidR="008C5F4D" w:rsidRDefault="008C5F4D" w:rsidP="0076182E">
      <w:pPr>
        <w:rPr>
          <w:rFonts w:ascii="Times New Roman" w:hAnsi="Times New Roman" w:cs="Times New Roman"/>
          <w:b/>
        </w:rPr>
      </w:pPr>
      <w:r>
        <w:rPr>
          <w:rFonts w:ascii="Times New Roman" w:hAnsi="Times New Roman" w:cs="Times New Roman"/>
          <w:b/>
        </w:rPr>
        <w:br w:type="page"/>
      </w:r>
    </w:p>
    <w:p w14:paraId="4363C978" w14:textId="225BBFBB" w:rsidR="00B0677D" w:rsidRDefault="00B0677D" w:rsidP="00B0677D">
      <w:pPr>
        <w:rPr>
          <w:rFonts w:ascii="Times New Roman" w:hAnsi="Times New Roman" w:cs="Times New Roman"/>
          <w:b/>
        </w:rPr>
      </w:pPr>
      <w:r>
        <w:rPr>
          <w:rFonts w:ascii="Times New Roman" w:hAnsi="Times New Roman" w:cs="Times New Roman"/>
          <w:b/>
        </w:rPr>
        <w:lastRenderedPageBreak/>
        <w:t>Statement of compatibility with human rights</w:t>
      </w:r>
    </w:p>
    <w:p w14:paraId="6634CBD2" w14:textId="79A79011" w:rsidR="00B0677D" w:rsidRDefault="00B0677D" w:rsidP="00B0677D">
      <w:pPr>
        <w:rPr>
          <w:rFonts w:ascii="Times New Roman" w:hAnsi="Times New Roman" w:cs="Times New Roman"/>
        </w:rPr>
      </w:pPr>
      <w:r>
        <w:rPr>
          <w:rFonts w:ascii="Times New Roman" w:hAnsi="Times New Roman" w:cs="Times New Roman"/>
        </w:rPr>
        <w:t xml:space="preserve">Subsection 9(1) of the </w:t>
      </w:r>
      <w:r>
        <w:rPr>
          <w:rFonts w:ascii="Times New Roman" w:hAnsi="Times New Roman" w:cs="Times New Roman"/>
          <w:i/>
        </w:rPr>
        <w:t>Human Rights (Parliamentary Scrutiny) Act 2011</w:t>
      </w:r>
      <w:r>
        <w:rPr>
          <w:rFonts w:ascii="Times New Roman" w:hAnsi="Times New Roman" w:cs="Times New Roman"/>
        </w:rPr>
        <w:t xml:space="preserve"> requires the rule-maker in relation to a legislative instrument to which section 42 (disallowance) of the LA applies to cause a statement of compatibility</w:t>
      </w:r>
      <w:r w:rsidR="008E33FD">
        <w:rPr>
          <w:rFonts w:ascii="Times New Roman" w:hAnsi="Times New Roman" w:cs="Times New Roman"/>
        </w:rPr>
        <w:t xml:space="preserve"> with human rights</w:t>
      </w:r>
      <w:r>
        <w:rPr>
          <w:rFonts w:ascii="Times New Roman" w:hAnsi="Times New Roman" w:cs="Times New Roman"/>
        </w:rPr>
        <w:t xml:space="preserve"> to be prepared in respect of that legislative instrument.</w:t>
      </w:r>
    </w:p>
    <w:p w14:paraId="127C1F38" w14:textId="77777777" w:rsidR="00B0677D" w:rsidRDefault="00B0677D" w:rsidP="00B0677D">
      <w:pPr>
        <w:rPr>
          <w:rFonts w:ascii="Times New Roman" w:hAnsi="Times New Roman" w:cs="Times New Roman"/>
        </w:rPr>
      </w:pPr>
      <w:r>
        <w:rPr>
          <w:rFonts w:ascii="Times New Roman" w:hAnsi="Times New Roman" w:cs="Times New Roman"/>
        </w:rPr>
        <w:t>The statement of compatibility set out below has been prepared to meet that requirement.</w:t>
      </w:r>
    </w:p>
    <w:p w14:paraId="3EC65859" w14:textId="4C78202D" w:rsidR="00B0677D" w:rsidRDefault="00B0677D" w:rsidP="00B0677D">
      <w:pPr>
        <w:rPr>
          <w:rFonts w:ascii="Times New Roman" w:hAnsi="Times New Roman" w:cs="Times New Roman"/>
          <w:b/>
          <w:i/>
        </w:rPr>
      </w:pPr>
      <w:r>
        <w:rPr>
          <w:rFonts w:ascii="Times New Roman" w:hAnsi="Times New Roman" w:cs="Times New Roman"/>
          <w:b/>
          <w:i/>
        </w:rPr>
        <w:t xml:space="preserve">Overview of </w:t>
      </w:r>
      <w:r w:rsidR="0016481E">
        <w:rPr>
          <w:rFonts w:ascii="Times New Roman" w:hAnsi="Times New Roman" w:cs="Times New Roman"/>
          <w:b/>
          <w:i/>
        </w:rPr>
        <w:t xml:space="preserve">the </w:t>
      </w:r>
      <w:r w:rsidR="00C95D07">
        <w:rPr>
          <w:rFonts w:ascii="Times New Roman" w:hAnsi="Times New Roman" w:cs="Times New Roman"/>
          <w:b/>
          <w:i/>
        </w:rPr>
        <w:t>Rules</w:t>
      </w:r>
    </w:p>
    <w:p w14:paraId="3F6A6D21" w14:textId="4EF8578A" w:rsidR="008231B9" w:rsidRPr="004F62C1" w:rsidRDefault="0016481E" w:rsidP="00B0677D">
      <w:pPr>
        <w:rPr>
          <w:rFonts w:ascii="Times New Roman" w:eastAsia="Times New Roman" w:hAnsi="Times New Roman" w:cs="Times New Roman"/>
          <w:snapToGrid w:val="0"/>
          <w:szCs w:val="18"/>
        </w:rPr>
      </w:pPr>
      <w:r>
        <w:rPr>
          <w:rFonts w:ascii="Times New Roman" w:hAnsi="Times New Roman" w:cs="Times New Roman"/>
          <w:bCs/>
        </w:rPr>
        <w:t xml:space="preserve">The </w:t>
      </w:r>
      <w:r w:rsidR="00C95D07">
        <w:rPr>
          <w:rFonts w:ascii="Times New Roman" w:hAnsi="Times New Roman" w:cs="Times New Roman"/>
          <w:bCs/>
        </w:rPr>
        <w:t>Rules</w:t>
      </w:r>
      <w:r w:rsidR="00B0677D">
        <w:rPr>
          <w:rFonts w:ascii="Times New Roman" w:hAnsi="Times New Roman" w:cs="Times New Roman"/>
          <w:bCs/>
        </w:rPr>
        <w:t xml:space="preserve"> </w:t>
      </w:r>
      <w:r w:rsidR="006E03FD">
        <w:rPr>
          <w:rFonts w:ascii="Times New Roman" w:hAnsi="Times New Roman" w:cs="Times New Roman"/>
          <w:bCs/>
        </w:rPr>
        <w:t xml:space="preserve">repeal and </w:t>
      </w:r>
      <w:r w:rsidR="00B0677D">
        <w:rPr>
          <w:rFonts w:ascii="Times New Roman" w:hAnsi="Times New Roman" w:cs="Times New Roman"/>
          <w:bCs/>
        </w:rPr>
        <w:t xml:space="preserve">replace the </w:t>
      </w:r>
      <w:r w:rsidR="0036293E">
        <w:rPr>
          <w:rFonts w:ascii="Times New Roman" w:hAnsi="Times New Roman" w:cs="Times New Roman"/>
          <w:bCs/>
        </w:rPr>
        <w:t xml:space="preserve">2011 </w:t>
      </w:r>
      <w:r w:rsidR="00D778F6">
        <w:rPr>
          <w:rFonts w:ascii="Times New Roman" w:hAnsi="Times New Roman" w:cs="Times New Roman"/>
          <w:bCs/>
        </w:rPr>
        <w:t>R</w:t>
      </w:r>
      <w:r w:rsidR="00C95D07">
        <w:rPr>
          <w:rFonts w:ascii="Times New Roman" w:hAnsi="Times New Roman" w:cs="Times New Roman"/>
          <w:bCs/>
        </w:rPr>
        <w:t>ules</w:t>
      </w:r>
      <w:r w:rsidR="00382EF4">
        <w:rPr>
          <w:rFonts w:ascii="Times New Roman" w:hAnsi="Times New Roman" w:cs="Times New Roman"/>
          <w:bCs/>
        </w:rPr>
        <w:t xml:space="preserve">. </w:t>
      </w:r>
      <w:r w:rsidR="00C95D07">
        <w:rPr>
          <w:rFonts w:ascii="Times New Roman" w:hAnsi="Times New Roman" w:cs="Times New Roman"/>
          <w:bCs/>
        </w:rPr>
        <w:t>T</w:t>
      </w:r>
      <w:r w:rsidR="00382EF4">
        <w:rPr>
          <w:rFonts w:ascii="Times New Roman" w:hAnsi="Times New Roman" w:cs="Times New Roman"/>
          <w:bCs/>
        </w:rPr>
        <w:t xml:space="preserve">he 2011 </w:t>
      </w:r>
      <w:r w:rsidR="00C95D07">
        <w:rPr>
          <w:rFonts w:ascii="Times New Roman" w:hAnsi="Times New Roman" w:cs="Times New Roman"/>
          <w:bCs/>
        </w:rPr>
        <w:t>Rules</w:t>
      </w:r>
      <w:r w:rsidR="00382EF4">
        <w:rPr>
          <w:rFonts w:ascii="Times New Roman" w:hAnsi="Times New Roman" w:cs="Times New Roman"/>
          <w:bCs/>
        </w:rPr>
        <w:t xml:space="preserve"> </w:t>
      </w:r>
      <w:r w:rsidR="00C95D07">
        <w:rPr>
          <w:rFonts w:ascii="Times New Roman" w:hAnsi="Times New Roman" w:cs="Times New Roman"/>
          <w:bCs/>
        </w:rPr>
        <w:t>were</w:t>
      </w:r>
      <w:r w:rsidR="00B0677D">
        <w:rPr>
          <w:rFonts w:ascii="Times New Roman" w:eastAsia="Times New Roman" w:hAnsi="Times New Roman" w:cs="Times New Roman"/>
          <w:snapToGrid w:val="0"/>
          <w:szCs w:val="18"/>
        </w:rPr>
        <w:t xml:space="preserve"> due to sunset on 1 October 202</w:t>
      </w:r>
      <w:r w:rsidR="00567D29">
        <w:rPr>
          <w:rFonts w:ascii="Times New Roman" w:eastAsia="Times New Roman" w:hAnsi="Times New Roman" w:cs="Times New Roman"/>
          <w:snapToGrid w:val="0"/>
          <w:szCs w:val="18"/>
        </w:rPr>
        <w:t>3</w:t>
      </w:r>
      <w:r w:rsidR="00B0677D">
        <w:rPr>
          <w:rFonts w:ascii="Times New Roman" w:eastAsia="Times New Roman" w:hAnsi="Times New Roman" w:cs="Times New Roman"/>
          <w:snapToGrid w:val="0"/>
          <w:szCs w:val="18"/>
        </w:rPr>
        <w:t>. The anticipated outcome is</w:t>
      </w:r>
      <w:r w:rsidR="00C95D07">
        <w:rPr>
          <w:rFonts w:ascii="Times New Roman" w:eastAsia="Times New Roman" w:hAnsi="Times New Roman" w:cs="Times New Roman"/>
          <w:snapToGrid w:val="0"/>
          <w:szCs w:val="18"/>
        </w:rPr>
        <w:t xml:space="preserve"> to maintain the capability of the ACMA to monitor and enforce compliance with the Benchmarks, and therefore</w:t>
      </w:r>
      <w:r w:rsidR="00B0677D">
        <w:rPr>
          <w:rFonts w:ascii="Times New Roman" w:eastAsia="Times New Roman" w:hAnsi="Times New Roman" w:cs="Times New Roman"/>
          <w:snapToGrid w:val="0"/>
          <w:szCs w:val="18"/>
        </w:rPr>
        <w:t xml:space="preserve"> the ongoing effective and efficient operation of the </w:t>
      </w:r>
      <w:r>
        <w:rPr>
          <w:rFonts w:ascii="Times New Roman" w:eastAsia="Times New Roman" w:hAnsi="Times New Roman" w:cs="Times New Roman"/>
          <w:snapToGrid w:val="0"/>
          <w:szCs w:val="18"/>
        </w:rPr>
        <w:t xml:space="preserve">CSG </w:t>
      </w:r>
      <w:r w:rsidR="008F594B">
        <w:rPr>
          <w:rFonts w:ascii="Times New Roman" w:eastAsia="Times New Roman" w:hAnsi="Times New Roman" w:cs="Times New Roman"/>
          <w:snapToGrid w:val="0"/>
          <w:szCs w:val="18"/>
        </w:rPr>
        <w:t xml:space="preserve">performance standards </w:t>
      </w:r>
      <w:r w:rsidR="00C95D07">
        <w:rPr>
          <w:rFonts w:ascii="Times New Roman" w:eastAsia="Times New Roman" w:hAnsi="Times New Roman" w:cs="Times New Roman"/>
          <w:snapToGrid w:val="0"/>
          <w:szCs w:val="18"/>
        </w:rPr>
        <w:t>in the CSG Standard</w:t>
      </w:r>
      <w:r w:rsidR="00B0677D">
        <w:rPr>
          <w:rFonts w:ascii="Times New Roman" w:eastAsia="Times New Roman" w:hAnsi="Times New Roman" w:cs="Times New Roman"/>
          <w:snapToGrid w:val="0"/>
          <w:szCs w:val="18"/>
        </w:rPr>
        <w:t>.</w:t>
      </w:r>
    </w:p>
    <w:p w14:paraId="36393F5E" w14:textId="77777777" w:rsidR="00B0677D" w:rsidRDefault="00B0677D" w:rsidP="00B0677D">
      <w:pPr>
        <w:rPr>
          <w:rFonts w:ascii="Times New Roman" w:hAnsi="Times New Roman" w:cs="Times New Roman"/>
          <w:b/>
          <w:i/>
        </w:rPr>
      </w:pPr>
      <w:r>
        <w:rPr>
          <w:rFonts w:ascii="Times New Roman" w:hAnsi="Times New Roman" w:cs="Times New Roman"/>
          <w:b/>
          <w:i/>
        </w:rPr>
        <w:t>Human rights implications</w:t>
      </w:r>
    </w:p>
    <w:p w14:paraId="4D40BB03" w14:textId="7CC2CA94" w:rsidR="00B0677D" w:rsidRDefault="00B0677D" w:rsidP="00B0677D">
      <w:pPr>
        <w:rPr>
          <w:rFonts w:ascii="Times New Roman" w:hAnsi="Times New Roman" w:cs="Times New Roman"/>
        </w:rPr>
      </w:pPr>
      <w:r>
        <w:rPr>
          <w:rFonts w:ascii="Times New Roman" w:hAnsi="Times New Roman" w:cs="Times New Roman"/>
        </w:rPr>
        <w:t xml:space="preserve">The ACMA has assessed whether </w:t>
      </w:r>
      <w:r w:rsidR="0016481E">
        <w:rPr>
          <w:rFonts w:ascii="Times New Roman" w:hAnsi="Times New Roman" w:cs="Times New Roman"/>
        </w:rPr>
        <w:t xml:space="preserve">the </w:t>
      </w:r>
      <w:r w:rsidR="00425339">
        <w:rPr>
          <w:rFonts w:ascii="Times New Roman" w:hAnsi="Times New Roman" w:cs="Times New Roman"/>
        </w:rPr>
        <w:t>Rules</w:t>
      </w:r>
      <w:r>
        <w:rPr>
          <w:rFonts w:ascii="Times New Roman" w:hAnsi="Times New Roman" w:cs="Times New Roman"/>
        </w:rPr>
        <w:t xml:space="preserve"> </w:t>
      </w:r>
      <w:r w:rsidR="00425339">
        <w:rPr>
          <w:rFonts w:ascii="Times New Roman" w:hAnsi="Times New Roman" w:cs="Times New Roman"/>
        </w:rPr>
        <w:t>are</w:t>
      </w:r>
      <w:r>
        <w:rPr>
          <w:rFonts w:ascii="Times New Roman" w:hAnsi="Times New Roman" w:cs="Times New Roman"/>
        </w:rPr>
        <w:t xml:space="preserve"> compatible with human rights, being the rights and freedoms recognised or declared by the international instruments listed in subsection 3(1) of the</w:t>
      </w:r>
      <w:r>
        <w:rPr>
          <w:rFonts w:ascii="Times New Roman" w:hAnsi="Times New Roman" w:cs="Times New Roman"/>
          <w:i/>
        </w:rPr>
        <w:t xml:space="preserve"> Human Rights (Parliamentary Scrutiny) Act 2011 </w:t>
      </w:r>
      <w:r>
        <w:rPr>
          <w:rFonts w:ascii="Times New Roman" w:hAnsi="Times New Roman" w:cs="Times New Roman"/>
        </w:rPr>
        <w:t>as they apply to Australia.</w:t>
      </w:r>
    </w:p>
    <w:p w14:paraId="47532EF7" w14:textId="1FB2A5E7" w:rsidR="00B0677D" w:rsidRDefault="00B0677D" w:rsidP="00B0677D">
      <w:pPr>
        <w:rPr>
          <w:rFonts w:ascii="Times New Roman" w:hAnsi="Times New Roman" w:cs="Times New Roman"/>
        </w:rPr>
      </w:pPr>
      <w:r>
        <w:rPr>
          <w:rFonts w:ascii="Times New Roman" w:hAnsi="Times New Roman" w:cs="Times New Roman"/>
        </w:rPr>
        <w:t xml:space="preserve">Having considered the likely impact of </w:t>
      </w:r>
      <w:r w:rsidR="0016481E">
        <w:rPr>
          <w:rFonts w:ascii="Times New Roman" w:hAnsi="Times New Roman" w:cs="Times New Roman"/>
        </w:rPr>
        <w:t xml:space="preserve">the </w:t>
      </w:r>
      <w:r w:rsidR="00425339">
        <w:rPr>
          <w:rFonts w:ascii="Times New Roman" w:hAnsi="Times New Roman" w:cs="Times New Roman"/>
        </w:rPr>
        <w:t>Rules</w:t>
      </w:r>
      <w:r>
        <w:rPr>
          <w:rFonts w:ascii="Times New Roman" w:hAnsi="Times New Roman" w:cs="Times New Roman"/>
        </w:rPr>
        <w:t xml:space="preserve"> and the nature of the applicable rights and freedoms, the ACMA has formed the view that </w:t>
      </w:r>
      <w:r w:rsidR="0016481E">
        <w:rPr>
          <w:rFonts w:ascii="Times New Roman" w:hAnsi="Times New Roman" w:cs="Times New Roman"/>
        </w:rPr>
        <w:t xml:space="preserve">the </w:t>
      </w:r>
      <w:r w:rsidR="00425339">
        <w:rPr>
          <w:rFonts w:ascii="Times New Roman" w:hAnsi="Times New Roman" w:cs="Times New Roman"/>
        </w:rPr>
        <w:t>Rules</w:t>
      </w:r>
      <w:r>
        <w:rPr>
          <w:rFonts w:ascii="Times New Roman" w:hAnsi="Times New Roman" w:cs="Times New Roman"/>
        </w:rPr>
        <w:t xml:space="preserve"> do not engage any of those rights or freedoms.</w:t>
      </w:r>
    </w:p>
    <w:p w14:paraId="5D3DA181" w14:textId="77777777" w:rsidR="00B0677D" w:rsidRDefault="00B0677D" w:rsidP="00B0677D">
      <w:pPr>
        <w:rPr>
          <w:rFonts w:ascii="Times New Roman" w:hAnsi="Times New Roman" w:cs="Times New Roman"/>
          <w:b/>
          <w:i/>
        </w:rPr>
      </w:pPr>
      <w:r>
        <w:rPr>
          <w:rFonts w:ascii="Times New Roman" w:hAnsi="Times New Roman" w:cs="Times New Roman"/>
          <w:b/>
          <w:i/>
        </w:rPr>
        <w:t>Conclusion</w:t>
      </w:r>
    </w:p>
    <w:p w14:paraId="2069C1A9" w14:textId="67D301EF" w:rsidR="00B0677D" w:rsidRDefault="0016481E" w:rsidP="00B0677D">
      <w:pPr>
        <w:rPr>
          <w:rFonts w:ascii="Times New Roman" w:hAnsi="Times New Roman" w:cs="Times New Roman"/>
        </w:rPr>
      </w:pPr>
      <w:r>
        <w:rPr>
          <w:rFonts w:ascii="Times New Roman" w:hAnsi="Times New Roman" w:cs="Times New Roman"/>
        </w:rPr>
        <w:t xml:space="preserve">The </w:t>
      </w:r>
      <w:r w:rsidR="00425339">
        <w:rPr>
          <w:rFonts w:ascii="Times New Roman" w:hAnsi="Times New Roman" w:cs="Times New Roman"/>
        </w:rPr>
        <w:t>Rules</w:t>
      </w:r>
      <w:r w:rsidR="00B0677D">
        <w:rPr>
          <w:rFonts w:ascii="Times New Roman" w:hAnsi="Times New Roman" w:cs="Times New Roman"/>
        </w:rPr>
        <w:t xml:space="preserve"> </w:t>
      </w:r>
      <w:r w:rsidR="00425339">
        <w:rPr>
          <w:rFonts w:ascii="Times New Roman" w:hAnsi="Times New Roman" w:cs="Times New Roman"/>
        </w:rPr>
        <w:t>are</w:t>
      </w:r>
      <w:r w:rsidR="00B0677D">
        <w:rPr>
          <w:rFonts w:ascii="Times New Roman" w:hAnsi="Times New Roman" w:cs="Times New Roman"/>
        </w:rPr>
        <w:t xml:space="preserve"> compatible with human rights as </w:t>
      </w:r>
      <w:r w:rsidR="005B0D6E">
        <w:rPr>
          <w:rFonts w:ascii="Times New Roman" w:hAnsi="Times New Roman" w:cs="Times New Roman"/>
        </w:rPr>
        <w:t>they</w:t>
      </w:r>
      <w:r w:rsidR="00513595">
        <w:rPr>
          <w:rFonts w:ascii="Times New Roman" w:hAnsi="Times New Roman" w:cs="Times New Roman"/>
        </w:rPr>
        <w:t xml:space="preserve"> </w:t>
      </w:r>
      <w:r w:rsidR="00425339">
        <w:rPr>
          <w:rFonts w:ascii="Times New Roman" w:hAnsi="Times New Roman" w:cs="Times New Roman"/>
        </w:rPr>
        <w:t>do</w:t>
      </w:r>
      <w:r w:rsidR="00B0677D">
        <w:rPr>
          <w:rFonts w:ascii="Times New Roman" w:hAnsi="Times New Roman" w:cs="Times New Roman"/>
        </w:rPr>
        <w:t xml:space="preserve"> not raise any human rights issues.</w:t>
      </w:r>
    </w:p>
    <w:p w14:paraId="1437242C" w14:textId="77777777" w:rsidR="00B0677D" w:rsidRDefault="00B0677D" w:rsidP="00B0677D">
      <w:pPr>
        <w:rPr>
          <w:rFonts w:ascii="Times New Roman" w:hAnsi="Times New Roman" w:cs="Times New Roman"/>
          <w:b/>
        </w:rPr>
      </w:pPr>
      <w:r>
        <w:rPr>
          <w:rFonts w:ascii="Times New Roman" w:hAnsi="Times New Roman" w:cs="Times New Roman"/>
          <w:b/>
        </w:rPr>
        <w:br w:type="page"/>
      </w:r>
    </w:p>
    <w:p w14:paraId="3F83E93C" w14:textId="28FC6901" w:rsidR="00425339" w:rsidRPr="00425339" w:rsidRDefault="00425339" w:rsidP="00425339">
      <w:pPr>
        <w:jc w:val="right"/>
        <w:rPr>
          <w:rFonts w:ascii="Times New Roman" w:hAnsi="Times New Roman" w:cs="Times New Roman"/>
          <w:b/>
          <w:sz w:val="28"/>
          <w:szCs w:val="28"/>
        </w:rPr>
      </w:pPr>
      <w:r w:rsidRPr="00425339">
        <w:rPr>
          <w:rFonts w:ascii="Times New Roman" w:hAnsi="Times New Roman" w:cs="Times New Roman"/>
          <w:b/>
          <w:sz w:val="28"/>
          <w:szCs w:val="28"/>
        </w:rPr>
        <w:lastRenderedPageBreak/>
        <w:t>Attachment</w:t>
      </w:r>
      <w:r w:rsidR="00887C1D">
        <w:rPr>
          <w:rFonts w:ascii="Times New Roman" w:hAnsi="Times New Roman" w:cs="Times New Roman"/>
          <w:b/>
          <w:sz w:val="28"/>
          <w:szCs w:val="28"/>
        </w:rPr>
        <w:t xml:space="preserve"> A</w:t>
      </w:r>
    </w:p>
    <w:p w14:paraId="5A85E870" w14:textId="3299CAF0" w:rsidR="00425339" w:rsidRPr="00AC43CD" w:rsidRDefault="00E21EE7" w:rsidP="00425339">
      <w:pPr>
        <w:jc w:val="center"/>
        <w:rPr>
          <w:rFonts w:ascii="Times New Roman" w:hAnsi="Times New Roman" w:cs="Times New Roman"/>
          <w:b/>
          <w:i/>
          <w:iCs/>
          <w:sz w:val="28"/>
          <w:szCs w:val="28"/>
        </w:rPr>
      </w:pPr>
      <w:r>
        <w:rPr>
          <w:rFonts w:ascii="Times New Roman" w:hAnsi="Times New Roman" w:cs="Times New Roman"/>
          <w:b/>
          <w:sz w:val="28"/>
          <w:szCs w:val="28"/>
        </w:rPr>
        <w:t>Notes to</w:t>
      </w:r>
      <w:r w:rsidR="00425339" w:rsidRPr="00425339">
        <w:rPr>
          <w:rFonts w:ascii="Times New Roman" w:hAnsi="Times New Roman" w:cs="Times New Roman"/>
          <w:b/>
          <w:sz w:val="28"/>
          <w:szCs w:val="28"/>
        </w:rPr>
        <w:t xml:space="preserve"> the </w:t>
      </w:r>
      <w:r w:rsidR="00425339" w:rsidRPr="00AC43CD">
        <w:rPr>
          <w:rFonts w:ascii="Times New Roman" w:hAnsi="Times New Roman" w:cs="Times New Roman"/>
          <w:b/>
          <w:i/>
          <w:iCs/>
          <w:sz w:val="28"/>
          <w:szCs w:val="28"/>
        </w:rPr>
        <w:t xml:space="preserve">Telecommunications (Customer Service Guarantee) Record-Keeping Rules 2023 </w:t>
      </w:r>
    </w:p>
    <w:p w14:paraId="17FC8111" w14:textId="406AD9B8" w:rsidR="00425339" w:rsidRPr="00425339" w:rsidRDefault="00425339" w:rsidP="00DC3807">
      <w:pPr>
        <w:keepNext/>
        <w:spacing w:before="280" w:line="257" w:lineRule="auto"/>
        <w:rPr>
          <w:rFonts w:ascii="Times New Roman" w:hAnsi="Times New Roman" w:cs="Times New Roman"/>
          <w:b/>
        </w:rPr>
      </w:pPr>
      <w:r w:rsidRPr="00425339">
        <w:rPr>
          <w:rFonts w:ascii="Times New Roman" w:hAnsi="Times New Roman" w:cs="Times New Roman"/>
          <w:b/>
        </w:rPr>
        <w:t>Part 1</w:t>
      </w:r>
      <w:r w:rsidRPr="00425339">
        <w:rPr>
          <w:rFonts w:ascii="Times New Roman" w:hAnsi="Times New Roman" w:cs="Times New Roman"/>
          <w:b/>
        </w:rPr>
        <w:tab/>
        <w:t>Preliminary</w:t>
      </w:r>
    </w:p>
    <w:p w14:paraId="4CF02B1D" w14:textId="5E2F376B" w:rsidR="00425339" w:rsidRPr="00425339" w:rsidRDefault="00425339" w:rsidP="00DC3807">
      <w:pPr>
        <w:keepNext/>
        <w:spacing w:line="257" w:lineRule="auto"/>
        <w:rPr>
          <w:rFonts w:ascii="Times New Roman" w:hAnsi="Times New Roman" w:cs="Times New Roman"/>
          <w:b/>
        </w:rPr>
      </w:pPr>
      <w:r w:rsidRPr="00425339">
        <w:rPr>
          <w:rFonts w:ascii="Times New Roman" w:hAnsi="Times New Roman" w:cs="Times New Roman"/>
          <w:b/>
        </w:rPr>
        <w:t>Section 1</w:t>
      </w:r>
      <w:r w:rsidRPr="00425339">
        <w:rPr>
          <w:rFonts w:ascii="Times New Roman" w:hAnsi="Times New Roman" w:cs="Times New Roman"/>
          <w:b/>
        </w:rPr>
        <w:tab/>
        <w:t>Name</w:t>
      </w:r>
    </w:p>
    <w:p w14:paraId="34B2CB62" w14:textId="3DBD3036" w:rsidR="00425339" w:rsidRPr="00425339" w:rsidRDefault="00425339" w:rsidP="00425339">
      <w:pPr>
        <w:rPr>
          <w:rFonts w:ascii="Times New Roman" w:hAnsi="Times New Roman" w:cs="Times New Roman"/>
        </w:rPr>
      </w:pPr>
      <w:r w:rsidRPr="00425339">
        <w:rPr>
          <w:rFonts w:ascii="Times New Roman" w:hAnsi="Times New Roman" w:cs="Times New Roman"/>
        </w:rPr>
        <w:t xml:space="preserve">This section provides </w:t>
      </w:r>
      <w:r w:rsidR="00222042">
        <w:rPr>
          <w:rFonts w:ascii="Times New Roman" w:hAnsi="Times New Roman" w:cs="Times New Roman"/>
        </w:rPr>
        <w:t>for t</w:t>
      </w:r>
      <w:r w:rsidR="009E15BE">
        <w:rPr>
          <w:rFonts w:ascii="Times New Roman" w:hAnsi="Times New Roman" w:cs="Times New Roman"/>
        </w:rPr>
        <w:t>h</w:t>
      </w:r>
      <w:r w:rsidR="00222042">
        <w:rPr>
          <w:rFonts w:ascii="Times New Roman" w:hAnsi="Times New Roman" w:cs="Times New Roman"/>
        </w:rPr>
        <w:t xml:space="preserve">e </w:t>
      </w:r>
      <w:r w:rsidR="009E15BE">
        <w:rPr>
          <w:rFonts w:ascii="Times New Roman" w:hAnsi="Times New Roman" w:cs="Times New Roman"/>
        </w:rPr>
        <w:t>Rules to be cited as</w:t>
      </w:r>
      <w:r w:rsidRPr="00425339">
        <w:rPr>
          <w:rFonts w:ascii="Times New Roman" w:hAnsi="Times New Roman" w:cs="Times New Roman"/>
        </w:rPr>
        <w:t xml:space="preserve"> the </w:t>
      </w:r>
      <w:r w:rsidRPr="00DC3807">
        <w:rPr>
          <w:rFonts w:ascii="Times New Roman" w:hAnsi="Times New Roman" w:cs="Times New Roman"/>
          <w:i/>
          <w:iCs/>
        </w:rPr>
        <w:t>Telecommunications (Customer Service Guarantee) Record-Keeping Rules 2023</w:t>
      </w:r>
      <w:r w:rsidRPr="00425339">
        <w:rPr>
          <w:rFonts w:ascii="Times New Roman" w:hAnsi="Times New Roman" w:cs="Times New Roman"/>
        </w:rPr>
        <w:t>.</w:t>
      </w:r>
    </w:p>
    <w:p w14:paraId="4A312BE5" w14:textId="77777777" w:rsidR="00425339" w:rsidRPr="00425339" w:rsidRDefault="00425339" w:rsidP="00DC3807">
      <w:pPr>
        <w:keepNext/>
        <w:spacing w:line="257" w:lineRule="auto"/>
        <w:rPr>
          <w:rFonts w:ascii="Times New Roman" w:hAnsi="Times New Roman" w:cs="Times New Roman"/>
          <w:b/>
        </w:rPr>
      </w:pPr>
      <w:r w:rsidRPr="00425339">
        <w:rPr>
          <w:rFonts w:ascii="Times New Roman" w:hAnsi="Times New Roman" w:cs="Times New Roman"/>
          <w:b/>
        </w:rPr>
        <w:t>Section 2</w:t>
      </w:r>
      <w:r w:rsidRPr="00425339">
        <w:rPr>
          <w:rFonts w:ascii="Times New Roman" w:hAnsi="Times New Roman" w:cs="Times New Roman"/>
          <w:b/>
        </w:rPr>
        <w:tab/>
        <w:t>Commencement</w:t>
      </w:r>
    </w:p>
    <w:p w14:paraId="5B6DB9FF" w14:textId="78247019" w:rsidR="00425339" w:rsidRDefault="00425339" w:rsidP="00DC3807">
      <w:pPr>
        <w:rPr>
          <w:rFonts w:ascii="Times New Roman" w:hAnsi="Times New Roman" w:cs="Times New Roman"/>
        </w:rPr>
      </w:pPr>
      <w:r w:rsidRPr="00DC3807">
        <w:rPr>
          <w:rFonts w:ascii="Times New Roman" w:hAnsi="Times New Roman" w:cs="Times New Roman"/>
        </w:rPr>
        <w:t xml:space="preserve">This section provides for the Rules to commence </w:t>
      </w:r>
      <w:r w:rsidR="00E61587">
        <w:rPr>
          <w:rFonts w:ascii="Times New Roman" w:hAnsi="Times New Roman" w:cs="Times New Roman"/>
        </w:rPr>
        <w:t xml:space="preserve">at the start of </w:t>
      </w:r>
      <w:r w:rsidRPr="00DC3807">
        <w:rPr>
          <w:rFonts w:ascii="Times New Roman" w:hAnsi="Times New Roman" w:cs="Times New Roman"/>
        </w:rPr>
        <w:t xml:space="preserve">the day after </w:t>
      </w:r>
      <w:r w:rsidR="00DC3807">
        <w:rPr>
          <w:rFonts w:ascii="Times New Roman" w:hAnsi="Times New Roman" w:cs="Times New Roman"/>
        </w:rPr>
        <w:t xml:space="preserve">the day </w:t>
      </w:r>
      <w:r w:rsidR="00AC43CD">
        <w:rPr>
          <w:rFonts w:ascii="Times New Roman" w:hAnsi="Times New Roman" w:cs="Times New Roman"/>
        </w:rPr>
        <w:t xml:space="preserve">they are </w:t>
      </w:r>
      <w:r w:rsidR="00872A59">
        <w:rPr>
          <w:rFonts w:ascii="Times New Roman" w:hAnsi="Times New Roman" w:cs="Times New Roman"/>
        </w:rPr>
        <w:t>registered</w:t>
      </w:r>
      <w:r w:rsidRPr="00DC3807">
        <w:rPr>
          <w:rFonts w:ascii="Times New Roman" w:hAnsi="Times New Roman" w:cs="Times New Roman"/>
        </w:rPr>
        <w:t xml:space="preserve"> on the Federal Register of Legislati</w:t>
      </w:r>
      <w:r w:rsidR="00DC3807">
        <w:rPr>
          <w:rFonts w:ascii="Times New Roman" w:hAnsi="Times New Roman" w:cs="Times New Roman"/>
        </w:rPr>
        <w:t>on</w:t>
      </w:r>
      <w:r w:rsidRPr="00DC3807">
        <w:rPr>
          <w:rFonts w:ascii="Times New Roman" w:hAnsi="Times New Roman" w:cs="Times New Roman"/>
        </w:rPr>
        <w:t xml:space="preserve">. </w:t>
      </w:r>
    </w:p>
    <w:p w14:paraId="1552802E" w14:textId="0418A6FA" w:rsidR="00104265" w:rsidRPr="00DC3807" w:rsidRDefault="00104265" w:rsidP="00DC3807">
      <w:pPr>
        <w:rPr>
          <w:rFonts w:ascii="Times New Roman" w:hAnsi="Times New Roman" w:cs="Times New Roman"/>
        </w:rPr>
      </w:pPr>
      <w:r>
        <w:rPr>
          <w:rFonts w:ascii="Times New Roman" w:hAnsi="Times New Roman" w:cs="Times New Roman"/>
        </w:rPr>
        <w:t xml:space="preserve">The Federal Register of Legislation may be accessed free of charge at </w:t>
      </w:r>
      <w:hyperlink r:id="rId15" w:history="1">
        <w:r>
          <w:rPr>
            <w:rStyle w:val="Hyperlink"/>
            <w:rFonts w:ascii="Times New Roman" w:hAnsi="Times New Roman" w:cs="Times New Roman"/>
          </w:rPr>
          <w:t>www.legislation.gov.au</w:t>
        </w:r>
      </w:hyperlink>
      <w:r>
        <w:rPr>
          <w:rFonts w:ascii="Times New Roman" w:hAnsi="Times New Roman" w:cs="Times New Roman"/>
        </w:rPr>
        <w:t>.</w:t>
      </w:r>
    </w:p>
    <w:p w14:paraId="707533A9" w14:textId="171F7ED2" w:rsidR="00DC3807" w:rsidRPr="00425339" w:rsidRDefault="00DC3807" w:rsidP="00DC3807">
      <w:pPr>
        <w:keepNext/>
        <w:spacing w:line="257" w:lineRule="auto"/>
        <w:rPr>
          <w:rFonts w:ascii="Times New Roman" w:hAnsi="Times New Roman" w:cs="Times New Roman"/>
          <w:b/>
        </w:rPr>
      </w:pPr>
      <w:r w:rsidRPr="00425339">
        <w:rPr>
          <w:rFonts w:ascii="Times New Roman" w:hAnsi="Times New Roman" w:cs="Times New Roman"/>
          <w:b/>
        </w:rPr>
        <w:t>Section 3</w:t>
      </w:r>
      <w:r w:rsidRPr="00425339">
        <w:rPr>
          <w:rFonts w:ascii="Times New Roman" w:hAnsi="Times New Roman" w:cs="Times New Roman"/>
          <w:b/>
        </w:rPr>
        <w:tab/>
      </w:r>
      <w:r>
        <w:rPr>
          <w:rFonts w:ascii="Times New Roman" w:hAnsi="Times New Roman" w:cs="Times New Roman"/>
          <w:b/>
        </w:rPr>
        <w:t>Authority</w:t>
      </w:r>
    </w:p>
    <w:p w14:paraId="5B4BDC05" w14:textId="2F15C635" w:rsidR="00DC3807" w:rsidRPr="00DC3807" w:rsidRDefault="00DC3807" w:rsidP="00DC3807">
      <w:pPr>
        <w:rPr>
          <w:rFonts w:ascii="Times New Roman" w:hAnsi="Times New Roman" w:cs="Times New Roman"/>
        </w:rPr>
      </w:pPr>
      <w:r>
        <w:rPr>
          <w:rFonts w:ascii="Times New Roman" w:hAnsi="Times New Roman" w:cs="Times New Roman"/>
        </w:rPr>
        <w:t>This section specifies th</w:t>
      </w:r>
      <w:r w:rsidR="00972411">
        <w:rPr>
          <w:rFonts w:ascii="Times New Roman" w:hAnsi="Times New Roman" w:cs="Times New Roman"/>
        </w:rPr>
        <w:t xml:space="preserve">e </w:t>
      </w:r>
      <w:r w:rsidR="00346E4E">
        <w:rPr>
          <w:rFonts w:ascii="Times New Roman" w:hAnsi="Times New Roman" w:cs="Times New Roman"/>
        </w:rPr>
        <w:t xml:space="preserve">provision that authorises the </w:t>
      </w:r>
      <w:r w:rsidR="003F14AD">
        <w:rPr>
          <w:rFonts w:ascii="Times New Roman" w:hAnsi="Times New Roman" w:cs="Times New Roman"/>
        </w:rPr>
        <w:t xml:space="preserve">making of </w:t>
      </w:r>
      <w:r>
        <w:rPr>
          <w:rFonts w:ascii="Times New Roman" w:hAnsi="Times New Roman" w:cs="Times New Roman"/>
        </w:rPr>
        <w:t>the Rules</w:t>
      </w:r>
      <w:r w:rsidR="003F14AD">
        <w:rPr>
          <w:rFonts w:ascii="Times New Roman" w:hAnsi="Times New Roman" w:cs="Times New Roman"/>
        </w:rPr>
        <w:t>, namely</w:t>
      </w:r>
      <w:r>
        <w:rPr>
          <w:rFonts w:ascii="Times New Roman" w:hAnsi="Times New Roman" w:cs="Times New Roman"/>
        </w:rPr>
        <w:t xml:space="preserve"> section 529 of the </w:t>
      </w:r>
      <w:r>
        <w:rPr>
          <w:rFonts w:ascii="Times New Roman" w:hAnsi="Times New Roman" w:cs="Times New Roman"/>
          <w:i/>
          <w:iCs/>
        </w:rPr>
        <w:t>Telecommunications Act 1997</w:t>
      </w:r>
      <w:r w:rsidR="0002237E">
        <w:rPr>
          <w:rFonts w:ascii="Times New Roman" w:hAnsi="Times New Roman" w:cs="Times New Roman"/>
        </w:rPr>
        <w:t xml:space="preserve"> </w:t>
      </w:r>
      <w:r w:rsidR="0002237E" w:rsidRPr="00AC43CD">
        <w:rPr>
          <w:rFonts w:ascii="Times New Roman" w:hAnsi="Times New Roman" w:cs="Times New Roman"/>
        </w:rPr>
        <w:t>(</w:t>
      </w:r>
      <w:r w:rsidR="0002237E" w:rsidRPr="00AC43CD">
        <w:rPr>
          <w:rFonts w:ascii="Times New Roman" w:hAnsi="Times New Roman" w:cs="Times New Roman"/>
          <w:b/>
          <w:bCs/>
        </w:rPr>
        <w:t>the Act</w:t>
      </w:r>
      <w:r w:rsidR="0002237E" w:rsidRPr="00AC43CD">
        <w:rPr>
          <w:rFonts w:ascii="Times New Roman" w:hAnsi="Times New Roman" w:cs="Times New Roman"/>
        </w:rPr>
        <w:t>)</w:t>
      </w:r>
      <w:r w:rsidRPr="00AC43CD">
        <w:rPr>
          <w:rFonts w:ascii="Times New Roman" w:hAnsi="Times New Roman" w:cs="Times New Roman"/>
        </w:rPr>
        <w:t>.</w:t>
      </w:r>
    </w:p>
    <w:p w14:paraId="08448EF3" w14:textId="68F0DB11" w:rsidR="00DC3807" w:rsidRPr="00F81DF4" w:rsidRDefault="00DC3807" w:rsidP="00F81DF4">
      <w:pPr>
        <w:keepNext/>
        <w:spacing w:line="257" w:lineRule="auto"/>
        <w:ind w:left="1418" w:hanging="1418"/>
        <w:rPr>
          <w:rFonts w:ascii="Times New Roman" w:hAnsi="Times New Roman" w:cs="Times New Roman"/>
          <w:b/>
          <w:i/>
          <w:iCs/>
        </w:rPr>
      </w:pPr>
      <w:r w:rsidRPr="00425339">
        <w:rPr>
          <w:rFonts w:ascii="Times New Roman" w:hAnsi="Times New Roman" w:cs="Times New Roman"/>
          <w:b/>
        </w:rPr>
        <w:t xml:space="preserve">Section </w:t>
      </w:r>
      <w:r>
        <w:rPr>
          <w:rFonts w:ascii="Times New Roman" w:hAnsi="Times New Roman" w:cs="Times New Roman"/>
          <w:b/>
        </w:rPr>
        <w:t>4</w:t>
      </w:r>
      <w:r w:rsidRPr="00425339">
        <w:rPr>
          <w:rFonts w:ascii="Times New Roman" w:hAnsi="Times New Roman" w:cs="Times New Roman"/>
          <w:b/>
        </w:rPr>
        <w:tab/>
      </w:r>
      <w:r>
        <w:rPr>
          <w:rFonts w:ascii="Times New Roman" w:hAnsi="Times New Roman" w:cs="Times New Roman"/>
          <w:b/>
        </w:rPr>
        <w:t xml:space="preserve">Repeal of the </w:t>
      </w:r>
      <w:r w:rsidRPr="00F81DF4">
        <w:rPr>
          <w:rFonts w:ascii="Times New Roman" w:hAnsi="Times New Roman" w:cs="Times New Roman"/>
          <w:b/>
          <w:i/>
          <w:iCs/>
        </w:rPr>
        <w:t>Telecommunications (Customer Service Guarantee) Record-Keeping Rules 2011</w:t>
      </w:r>
    </w:p>
    <w:p w14:paraId="492CBFAB" w14:textId="54D0E8BB" w:rsidR="00DC3807" w:rsidRPr="00DC3807" w:rsidRDefault="00DC3807" w:rsidP="00DC3807">
      <w:pPr>
        <w:rPr>
          <w:rFonts w:ascii="Times New Roman" w:hAnsi="Times New Roman" w:cs="Times New Roman"/>
        </w:rPr>
      </w:pPr>
      <w:r w:rsidRPr="00DC3807">
        <w:rPr>
          <w:rFonts w:ascii="Times New Roman" w:hAnsi="Times New Roman" w:cs="Times New Roman"/>
        </w:rPr>
        <w:t xml:space="preserve">This section </w:t>
      </w:r>
      <w:r w:rsidR="007A6ABC">
        <w:rPr>
          <w:rFonts w:ascii="Times New Roman" w:hAnsi="Times New Roman" w:cs="Times New Roman"/>
        </w:rPr>
        <w:t xml:space="preserve">provides that </w:t>
      </w:r>
      <w:r>
        <w:rPr>
          <w:rFonts w:ascii="Times New Roman" w:hAnsi="Times New Roman" w:cs="Times New Roman"/>
        </w:rPr>
        <w:t xml:space="preserve">the previous record-keeping rules instrument, the </w:t>
      </w:r>
      <w:r w:rsidRPr="00DC3807">
        <w:rPr>
          <w:rFonts w:ascii="Times New Roman" w:hAnsi="Times New Roman" w:cs="Times New Roman"/>
          <w:i/>
          <w:iCs/>
        </w:rPr>
        <w:t>Telecommunications (Customer Service Guarantee) Record-Keeping Rules 2011</w:t>
      </w:r>
      <w:r w:rsidR="00E432DD" w:rsidRPr="00E432DD">
        <w:rPr>
          <w:rFonts w:ascii="Open Sans" w:hAnsi="Open Sans" w:cs="Open Sans"/>
          <w:b/>
          <w:bCs/>
          <w:color w:val="747474"/>
          <w:sz w:val="21"/>
          <w:szCs w:val="21"/>
          <w:shd w:val="clear" w:color="auto" w:fill="FFFFFF"/>
        </w:rPr>
        <w:t xml:space="preserve"> </w:t>
      </w:r>
      <w:r w:rsidR="0064567E" w:rsidRPr="00E418B8">
        <w:t>(</w:t>
      </w:r>
      <w:r w:rsidR="0064567E" w:rsidRPr="00F81DF4">
        <w:rPr>
          <w:rFonts w:ascii="Times New Roman" w:hAnsi="Times New Roman" w:cs="Times New Roman"/>
        </w:rPr>
        <w:t>Registration No. F2011L01997</w:t>
      </w:r>
      <w:r w:rsidR="0064567E">
        <w:rPr>
          <w:rFonts w:ascii="Times New Roman" w:hAnsi="Times New Roman" w:cs="Times New Roman"/>
        </w:rPr>
        <w:t>)</w:t>
      </w:r>
      <w:r w:rsidR="0064567E">
        <w:t xml:space="preserve"> </w:t>
      </w:r>
      <w:r w:rsidR="00B01148" w:rsidRPr="0095069D">
        <w:rPr>
          <w:rFonts w:ascii="Times New Roman" w:hAnsi="Times New Roman" w:cs="Times New Roman"/>
        </w:rPr>
        <w:t>is</w:t>
      </w:r>
      <w:r w:rsidR="00B01148">
        <w:rPr>
          <w:rFonts w:ascii="Times New Roman" w:hAnsi="Times New Roman" w:cs="Times New Roman"/>
        </w:rPr>
        <w:t xml:space="preserve"> repealed</w:t>
      </w:r>
      <w:r w:rsidRPr="00DC3807">
        <w:rPr>
          <w:rFonts w:ascii="Times New Roman" w:hAnsi="Times New Roman" w:cs="Times New Roman"/>
        </w:rPr>
        <w:t>.</w:t>
      </w:r>
    </w:p>
    <w:p w14:paraId="197A9577" w14:textId="756C076A" w:rsidR="002E5416" w:rsidRPr="00425339" w:rsidRDefault="002E5416" w:rsidP="002E5416">
      <w:pPr>
        <w:keepNext/>
        <w:spacing w:line="257" w:lineRule="auto"/>
        <w:rPr>
          <w:rFonts w:ascii="Times New Roman" w:hAnsi="Times New Roman" w:cs="Times New Roman"/>
          <w:b/>
        </w:rPr>
      </w:pPr>
      <w:r w:rsidRPr="00425339">
        <w:rPr>
          <w:rFonts w:ascii="Times New Roman" w:hAnsi="Times New Roman" w:cs="Times New Roman"/>
          <w:b/>
        </w:rPr>
        <w:t xml:space="preserve">Section </w:t>
      </w:r>
      <w:r>
        <w:rPr>
          <w:rFonts w:ascii="Times New Roman" w:hAnsi="Times New Roman" w:cs="Times New Roman"/>
          <w:b/>
        </w:rPr>
        <w:t>5</w:t>
      </w:r>
      <w:r w:rsidRPr="00425339">
        <w:rPr>
          <w:rFonts w:ascii="Times New Roman" w:hAnsi="Times New Roman" w:cs="Times New Roman"/>
          <w:b/>
        </w:rPr>
        <w:tab/>
      </w:r>
      <w:r>
        <w:rPr>
          <w:rFonts w:ascii="Times New Roman" w:hAnsi="Times New Roman" w:cs="Times New Roman"/>
          <w:b/>
        </w:rPr>
        <w:t>Repeal of this instrument</w:t>
      </w:r>
    </w:p>
    <w:p w14:paraId="0EC4B5EC" w14:textId="67D03A75" w:rsidR="002E5416" w:rsidRPr="00DC3807" w:rsidRDefault="002E5416" w:rsidP="002E5416">
      <w:pPr>
        <w:rPr>
          <w:rFonts w:ascii="Times New Roman" w:hAnsi="Times New Roman" w:cs="Times New Roman"/>
        </w:rPr>
      </w:pPr>
      <w:r w:rsidRPr="00DC3807">
        <w:rPr>
          <w:rFonts w:ascii="Times New Roman" w:hAnsi="Times New Roman" w:cs="Times New Roman"/>
        </w:rPr>
        <w:t xml:space="preserve">This section </w:t>
      </w:r>
      <w:r w:rsidR="001517B5">
        <w:rPr>
          <w:rFonts w:ascii="Times New Roman" w:hAnsi="Times New Roman" w:cs="Times New Roman"/>
        </w:rPr>
        <w:t>provides for</w:t>
      </w:r>
      <w:r>
        <w:rPr>
          <w:rFonts w:ascii="Times New Roman" w:hAnsi="Times New Roman" w:cs="Times New Roman"/>
        </w:rPr>
        <w:t xml:space="preserve"> the repeal of the Rules </w:t>
      </w:r>
      <w:r w:rsidR="00B018BF">
        <w:rPr>
          <w:rFonts w:ascii="Times New Roman" w:hAnsi="Times New Roman" w:cs="Times New Roman"/>
        </w:rPr>
        <w:t>on the same day as the repeal</w:t>
      </w:r>
      <w:r>
        <w:rPr>
          <w:rFonts w:ascii="Times New Roman" w:hAnsi="Times New Roman" w:cs="Times New Roman"/>
        </w:rPr>
        <w:t xml:space="preserve"> of the </w:t>
      </w:r>
      <w:r>
        <w:rPr>
          <w:rFonts w:ascii="Times New Roman" w:hAnsi="Times New Roman" w:cs="Times New Roman"/>
          <w:i/>
          <w:iCs/>
        </w:rPr>
        <w:t>Telecommunications (Customer Service Guarantee) Standard 2023</w:t>
      </w:r>
      <w:r w:rsidRPr="00DC3807">
        <w:rPr>
          <w:rFonts w:ascii="Times New Roman" w:hAnsi="Times New Roman" w:cs="Times New Roman"/>
        </w:rPr>
        <w:t>.</w:t>
      </w:r>
      <w:r w:rsidR="00D778F6">
        <w:rPr>
          <w:rFonts w:ascii="Times New Roman" w:hAnsi="Times New Roman" w:cs="Times New Roman"/>
        </w:rPr>
        <w:t xml:space="preserve"> That day is presently scheduled to be 31 August 2026.</w:t>
      </w:r>
    </w:p>
    <w:p w14:paraId="2B83E159" w14:textId="1B9E5FAD" w:rsidR="002E5416" w:rsidRPr="00425339" w:rsidRDefault="002E5416" w:rsidP="002E5416">
      <w:pPr>
        <w:keepNext/>
        <w:spacing w:line="257" w:lineRule="auto"/>
        <w:rPr>
          <w:rFonts w:ascii="Times New Roman" w:hAnsi="Times New Roman" w:cs="Times New Roman"/>
          <w:b/>
        </w:rPr>
      </w:pPr>
      <w:r w:rsidRPr="00425339">
        <w:rPr>
          <w:rFonts w:ascii="Times New Roman" w:hAnsi="Times New Roman" w:cs="Times New Roman"/>
          <w:b/>
        </w:rPr>
        <w:t xml:space="preserve">Section </w:t>
      </w:r>
      <w:r>
        <w:rPr>
          <w:rFonts w:ascii="Times New Roman" w:hAnsi="Times New Roman" w:cs="Times New Roman"/>
          <w:b/>
        </w:rPr>
        <w:t>6</w:t>
      </w:r>
      <w:r w:rsidRPr="00425339">
        <w:rPr>
          <w:rFonts w:ascii="Times New Roman" w:hAnsi="Times New Roman" w:cs="Times New Roman"/>
          <w:b/>
        </w:rPr>
        <w:tab/>
        <w:t>Definitions</w:t>
      </w:r>
    </w:p>
    <w:p w14:paraId="7D68D929" w14:textId="137108A5" w:rsidR="002E5416" w:rsidRPr="00DC3807" w:rsidRDefault="002E5416" w:rsidP="002E5416">
      <w:pPr>
        <w:rPr>
          <w:rFonts w:ascii="Times New Roman" w:hAnsi="Times New Roman" w:cs="Times New Roman"/>
        </w:rPr>
      </w:pPr>
      <w:r w:rsidRPr="00DC3807">
        <w:rPr>
          <w:rFonts w:ascii="Times New Roman" w:hAnsi="Times New Roman" w:cs="Times New Roman"/>
        </w:rPr>
        <w:t xml:space="preserve">This section defines </w:t>
      </w:r>
      <w:r w:rsidR="00995389">
        <w:rPr>
          <w:rFonts w:ascii="Times New Roman" w:hAnsi="Times New Roman" w:cs="Times New Roman"/>
        </w:rPr>
        <w:t>key terms</w:t>
      </w:r>
      <w:r w:rsidRPr="00DC3807">
        <w:rPr>
          <w:rFonts w:ascii="Times New Roman" w:hAnsi="Times New Roman" w:cs="Times New Roman"/>
        </w:rPr>
        <w:t xml:space="preserve"> used in the Rules. Unless the contrary intention appears, </w:t>
      </w:r>
      <w:r w:rsidR="00D778F6">
        <w:rPr>
          <w:rFonts w:ascii="Times New Roman" w:hAnsi="Times New Roman" w:cs="Times New Roman"/>
        </w:rPr>
        <w:t xml:space="preserve">certain specified </w:t>
      </w:r>
      <w:r w:rsidRPr="00DC3807">
        <w:rPr>
          <w:rFonts w:ascii="Times New Roman" w:hAnsi="Times New Roman" w:cs="Times New Roman"/>
        </w:rPr>
        <w:t xml:space="preserve">expressions used in the </w:t>
      </w:r>
      <w:r>
        <w:rPr>
          <w:rFonts w:ascii="Times New Roman" w:hAnsi="Times New Roman" w:cs="Times New Roman"/>
        </w:rPr>
        <w:t>R</w:t>
      </w:r>
      <w:r w:rsidRPr="00DC3807">
        <w:rPr>
          <w:rFonts w:ascii="Times New Roman" w:hAnsi="Times New Roman" w:cs="Times New Roman"/>
        </w:rPr>
        <w:t xml:space="preserve">ules have the meanings given to them in the Act, the </w:t>
      </w:r>
      <w:r>
        <w:rPr>
          <w:rFonts w:ascii="Times New Roman" w:hAnsi="Times New Roman" w:cs="Times New Roman"/>
        </w:rPr>
        <w:t>B</w:t>
      </w:r>
      <w:r w:rsidRPr="00DC3807">
        <w:rPr>
          <w:rFonts w:ascii="Times New Roman" w:hAnsi="Times New Roman" w:cs="Times New Roman"/>
        </w:rPr>
        <w:t>enchmarks or the CSG Standard.</w:t>
      </w:r>
    </w:p>
    <w:p w14:paraId="07F5625E" w14:textId="2C2D7979" w:rsidR="00425339" w:rsidRPr="00425339" w:rsidRDefault="002E5416" w:rsidP="00DC3807">
      <w:pPr>
        <w:keepNext/>
        <w:spacing w:line="257" w:lineRule="auto"/>
        <w:rPr>
          <w:rFonts w:ascii="Times New Roman" w:hAnsi="Times New Roman" w:cs="Times New Roman"/>
          <w:b/>
        </w:rPr>
      </w:pPr>
      <w:r w:rsidRPr="00425339">
        <w:rPr>
          <w:rFonts w:ascii="Times New Roman" w:hAnsi="Times New Roman" w:cs="Times New Roman"/>
          <w:b/>
        </w:rPr>
        <w:t xml:space="preserve">Section </w:t>
      </w:r>
      <w:r>
        <w:rPr>
          <w:rFonts w:ascii="Times New Roman" w:hAnsi="Times New Roman" w:cs="Times New Roman"/>
          <w:b/>
        </w:rPr>
        <w:t>7</w:t>
      </w:r>
      <w:r w:rsidRPr="00425339">
        <w:rPr>
          <w:rFonts w:ascii="Times New Roman" w:hAnsi="Times New Roman" w:cs="Times New Roman"/>
          <w:b/>
        </w:rPr>
        <w:tab/>
      </w:r>
      <w:r w:rsidR="00425339" w:rsidRPr="00425339">
        <w:rPr>
          <w:rFonts w:ascii="Times New Roman" w:hAnsi="Times New Roman" w:cs="Times New Roman"/>
          <w:b/>
        </w:rPr>
        <w:t>Qualifying carriage service providers</w:t>
      </w:r>
    </w:p>
    <w:p w14:paraId="6BCB6E43" w14:textId="771EC9B4" w:rsidR="00425339" w:rsidRPr="00DC3807" w:rsidRDefault="00425339" w:rsidP="00DC3807">
      <w:pPr>
        <w:rPr>
          <w:rFonts w:ascii="Times New Roman" w:hAnsi="Times New Roman" w:cs="Times New Roman"/>
        </w:rPr>
      </w:pPr>
      <w:r w:rsidRPr="00DC3807">
        <w:rPr>
          <w:rFonts w:ascii="Times New Roman" w:hAnsi="Times New Roman" w:cs="Times New Roman"/>
        </w:rPr>
        <w:t>This section defines a qualifying carriage service provider for a benchmark period (</w:t>
      </w:r>
      <w:r w:rsidRPr="00F81DF4">
        <w:rPr>
          <w:rFonts w:ascii="Times New Roman" w:hAnsi="Times New Roman" w:cs="Times New Roman"/>
          <w:b/>
          <w:bCs/>
        </w:rPr>
        <w:t>QSP</w:t>
      </w:r>
      <w:r w:rsidRPr="00DC3807">
        <w:rPr>
          <w:rFonts w:ascii="Times New Roman" w:hAnsi="Times New Roman" w:cs="Times New Roman"/>
        </w:rPr>
        <w:t>), using a definition which corresponds with section 4 of the</w:t>
      </w:r>
      <w:r w:rsidR="00B14942">
        <w:rPr>
          <w:rFonts w:ascii="Times New Roman" w:hAnsi="Times New Roman" w:cs="Times New Roman"/>
        </w:rPr>
        <w:t xml:space="preserve"> </w:t>
      </w:r>
      <w:r w:rsidRPr="00DC3807">
        <w:rPr>
          <w:rFonts w:ascii="Times New Roman" w:hAnsi="Times New Roman" w:cs="Times New Roman"/>
        </w:rPr>
        <w:t xml:space="preserve">Benchmarks, </w:t>
      </w:r>
      <w:r w:rsidR="00974588">
        <w:rPr>
          <w:rFonts w:ascii="Times New Roman" w:hAnsi="Times New Roman" w:cs="Times New Roman"/>
        </w:rPr>
        <w:t>be</w:t>
      </w:r>
      <w:r w:rsidR="00C17F6F">
        <w:rPr>
          <w:rFonts w:ascii="Times New Roman" w:hAnsi="Times New Roman" w:cs="Times New Roman"/>
        </w:rPr>
        <w:t>ing</w:t>
      </w:r>
      <w:r w:rsidR="009F4180">
        <w:rPr>
          <w:rFonts w:ascii="Times New Roman" w:hAnsi="Times New Roman" w:cs="Times New Roman"/>
        </w:rPr>
        <w:t xml:space="preserve"> a</w:t>
      </w:r>
      <w:r w:rsidR="00974588">
        <w:rPr>
          <w:rFonts w:ascii="Times New Roman" w:hAnsi="Times New Roman" w:cs="Times New Roman"/>
        </w:rPr>
        <w:t xml:space="preserve"> carriage service provider that </w:t>
      </w:r>
      <w:r w:rsidRPr="00DC3807">
        <w:rPr>
          <w:rFonts w:ascii="Times New Roman" w:hAnsi="Times New Roman" w:cs="Times New Roman"/>
        </w:rPr>
        <w:t>supplied 100,000 or more CSG services on the last day of the financial year preceding that benchmark period where it was obliged to comply with CSG performance standards.</w:t>
      </w:r>
    </w:p>
    <w:p w14:paraId="77193144" w14:textId="4A6D58FE" w:rsidR="002E5416" w:rsidRPr="00425339" w:rsidRDefault="002E5416" w:rsidP="002E5416">
      <w:pPr>
        <w:keepNext/>
        <w:spacing w:line="257" w:lineRule="auto"/>
        <w:rPr>
          <w:rFonts w:ascii="Times New Roman" w:hAnsi="Times New Roman" w:cs="Times New Roman"/>
          <w:b/>
        </w:rPr>
      </w:pPr>
      <w:r w:rsidRPr="00425339">
        <w:rPr>
          <w:rFonts w:ascii="Times New Roman" w:hAnsi="Times New Roman" w:cs="Times New Roman"/>
          <w:b/>
        </w:rPr>
        <w:t xml:space="preserve">Section </w:t>
      </w:r>
      <w:r>
        <w:rPr>
          <w:rFonts w:ascii="Times New Roman" w:hAnsi="Times New Roman" w:cs="Times New Roman"/>
          <w:b/>
        </w:rPr>
        <w:t>8</w:t>
      </w:r>
      <w:r w:rsidRPr="00425339">
        <w:rPr>
          <w:rFonts w:ascii="Times New Roman" w:hAnsi="Times New Roman" w:cs="Times New Roman"/>
          <w:b/>
        </w:rPr>
        <w:tab/>
      </w:r>
      <w:r>
        <w:rPr>
          <w:rFonts w:ascii="Times New Roman" w:hAnsi="Times New Roman" w:cs="Times New Roman"/>
          <w:b/>
        </w:rPr>
        <w:t>References to other instruments</w:t>
      </w:r>
    </w:p>
    <w:p w14:paraId="63469807" w14:textId="77777777" w:rsidR="00B14942" w:rsidRDefault="00B14942" w:rsidP="00B14942">
      <w:pPr>
        <w:spacing w:after="40"/>
        <w:rPr>
          <w:rFonts w:ascii="Times New Roman" w:hAnsi="Times New Roman" w:cs="Times New Roman"/>
        </w:rPr>
      </w:pPr>
      <w:r>
        <w:rPr>
          <w:rFonts w:ascii="Times New Roman" w:hAnsi="Times New Roman" w:cs="Times New Roman"/>
        </w:rPr>
        <w:t>This section has the effect that in the instrument, unless the contrary intention appears:</w:t>
      </w:r>
    </w:p>
    <w:p w14:paraId="26432BCC" w14:textId="77777777" w:rsidR="00B14942" w:rsidRDefault="00B14942" w:rsidP="00B14942">
      <w:pPr>
        <w:pStyle w:val="ListParagraph"/>
        <w:numPr>
          <w:ilvl w:val="0"/>
          <w:numId w:val="7"/>
        </w:numPr>
        <w:rPr>
          <w:rFonts w:ascii="Times New Roman" w:hAnsi="Times New Roman" w:cs="Times New Roman"/>
        </w:rPr>
      </w:pPr>
      <w:r>
        <w:rPr>
          <w:rFonts w:ascii="Times New Roman" w:hAnsi="Times New Roman" w:cs="Times New Roman"/>
        </w:rPr>
        <w:t>a reference to any other legislative instrument is a reference to that other legislative instrument as in force from time to time; and</w:t>
      </w:r>
    </w:p>
    <w:p w14:paraId="79F3F01F" w14:textId="77777777" w:rsidR="00B14942" w:rsidRDefault="00B14942" w:rsidP="00B14942">
      <w:pPr>
        <w:pStyle w:val="ListParagraph"/>
        <w:numPr>
          <w:ilvl w:val="0"/>
          <w:numId w:val="7"/>
        </w:numPr>
        <w:rPr>
          <w:rFonts w:ascii="Times New Roman" w:hAnsi="Times New Roman" w:cs="Times New Roman"/>
        </w:rPr>
      </w:pPr>
      <w:r>
        <w:rPr>
          <w:rFonts w:ascii="Times New Roman" w:hAnsi="Times New Roman" w:cs="Times New Roman"/>
        </w:rPr>
        <w:lastRenderedPageBreak/>
        <w:t>a reference to any other kind of instrument or writing is a reference to that other instrument or writing as in force from time to time.</w:t>
      </w:r>
    </w:p>
    <w:p w14:paraId="67B05A97" w14:textId="77777777" w:rsidR="00425339" w:rsidRPr="00425339" w:rsidRDefault="00425339" w:rsidP="00DC3807">
      <w:pPr>
        <w:keepNext/>
        <w:spacing w:before="280" w:line="257" w:lineRule="auto"/>
        <w:rPr>
          <w:rFonts w:ascii="Times New Roman" w:hAnsi="Times New Roman" w:cs="Times New Roman"/>
          <w:b/>
        </w:rPr>
      </w:pPr>
      <w:r w:rsidRPr="00425339">
        <w:rPr>
          <w:rFonts w:ascii="Times New Roman" w:hAnsi="Times New Roman" w:cs="Times New Roman"/>
          <w:b/>
        </w:rPr>
        <w:t>Part 2</w:t>
      </w:r>
      <w:r w:rsidRPr="00425339">
        <w:rPr>
          <w:rFonts w:ascii="Times New Roman" w:hAnsi="Times New Roman" w:cs="Times New Roman"/>
          <w:b/>
        </w:rPr>
        <w:tab/>
      </w:r>
      <w:r w:rsidRPr="00425339">
        <w:rPr>
          <w:rFonts w:ascii="Times New Roman" w:hAnsi="Times New Roman" w:cs="Times New Roman"/>
          <w:b/>
        </w:rPr>
        <w:tab/>
        <w:t>Keeping of Records</w:t>
      </w:r>
    </w:p>
    <w:p w14:paraId="739036BB" w14:textId="6F3C824E" w:rsidR="00425339" w:rsidRPr="00DC3807" w:rsidRDefault="00425339" w:rsidP="00DC3807">
      <w:pPr>
        <w:rPr>
          <w:rFonts w:ascii="Times New Roman" w:hAnsi="Times New Roman" w:cs="Times New Roman"/>
        </w:rPr>
      </w:pPr>
      <w:r w:rsidRPr="00DC3807">
        <w:rPr>
          <w:rFonts w:ascii="Times New Roman" w:hAnsi="Times New Roman" w:cs="Times New Roman"/>
        </w:rPr>
        <w:t xml:space="preserve">This Part deals with the recording by a QSP of its performance against certain Benchmarks requirements.  As the Benchmarks only contain benchmarks in relation to CSG services, QSPs will have to ensure that their record-keeping systems </w:t>
      </w:r>
      <w:proofErr w:type="gramStart"/>
      <w:r w:rsidRPr="00DC3807">
        <w:rPr>
          <w:rFonts w:ascii="Times New Roman" w:hAnsi="Times New Roman" w:cs="Times New Roman"/>
        </w:rPr>
        <w:t>are capable of differentiating</w:t>
      </w:r>
      <w:proofErr w:type="gramEnd"/>
      <w:r w:rsidRPr="00DC3807">
        <w:rPr>
          <w:rFonts w:ascii="Times New Roman" w:hAnsi="Times New Roman" w:cs="Times New Roman"/>
        </w:rPr>
        <w:t xml:space="preserve"> between requests that relate to CSG services and requests that relate to enhanced call handling features (as defined in the CSG Standard).</w:t>
      </w:r>
    </w:p>
    <w:p w14:paraId="7E90A901" w14:textId="4C0037FD" w:rsidR="00425339" w:rsidRPr="00425339" w:rsidRDefault="00425339" w:rsidP="00DC3807">
      <w:pPr>
        <w:keepNext/>
        <w:spacing w:line="257" w:lineRule="auto"/>
        <w:rPr>
          <w:rFonts w:ascii="Times New Roman" w:hAnsi="Times New Roman" w:cs="Times New Roman"/>
          <w:b/>
        </w:rPr>
      </w:pPr>
      <w:r w:rsidRPr="00425339">
        <w:rPr>
          <w:rFonts w:ascii="Times New Roman" w:hAnsi="Times New Roman" w:cs="Times New Roman"/>
          <w:b/>
        </w:rPr>
        <w:t xml:space="preserve">Section </w:t>
      </w:r>
      <w:r w:rsidR="0070227B">
        <w:rPr>
          <w:rFonts w:ascii="Times New Roman" w:hAnsi="Times New Roman" w:cs="Times New Roman"/>
          <w:b/>
        </w:rPr>
        <w:t>9</w:t>
      </w:r>
      <w:r w:rsidRPr="00425339">
        <w:rPr>
          <w:rFonts w:ascii="Times New Roman" w:hAnsi="Times New Roman" w:cs="Times New Roman"/>
          <w:b/>
        </w:rPr>
        <w:tab/>
        <w:t xml:space="preserve">Records relating to the number of CSG services </w:t>
      </w:r>
      <w:proofErr w:type="gramStart"/>
      <w:r w:rsidRPr="00425339">
        <w:rPr>
          <w:rFonts w:ascii="Times New Roman" w:hAnsi="Times New Roman" w:cs="Times New Roman"/>
          <w:b/>
        </w:rPr>
        <w:t>supplied</w:t>
      </w:r>
      <w:proofErr w:type="gramEnd"/>
    </w:p>
    <w:p w14:paraId="0EB07BFC" w14:textId="5F7062E5" w:rsidR="00425339" w:rsidRPr="00DC3807" w:rsidRDefault="00425339" w:rsidP="00DC3807">
      <w:pPr>
        <w:rPr>
          <w:rFonts w:ascii="Times New Roman" w:hAnsi="Times New Roman" w:cs="Times New Roman"/>
        </w:rPr>
      </w:pPr>
      <w:r w:rsidRPr="00DC3807">
        <w:rPr>
          <w:rFonts w:ascii="Times New Roman" w:hAnsi="Times New Roman" w:cs="Times New Roman"/>
        </w:rPr>
        <w:t xml:space="preserve">This section deals with the recording by a QSP of the total number of CSG services that it supplied on the last day of each financial year preceding a benchmark period.  This information will be relevant to establishing whether a carriage service provider is a QSP under the definition at section </w:t>
      </w:r>
      <w:r w:rsidR="0070227B">
        <w:rPr>
          <w:rFonts w:ascii="Times New Roman" w:hAnsi="Times New Roman" w:cs="Times New Roman"/>
        </w:rPr>
        <w:t>6</w:t>
      </w:r>
      <w:r w:rsidRPr="00DC3807">
        <w:rPr>
          <w:rFonts w:ascii="Times New Roman" w:hAnsi="Times New Roman" w:cs="Times New Roman"/>
        </w:rPr>
        <w:t xml:space="preserve"> of the Rules and section 4 of the Benchmarks.</w:t>
      </w:r>
    </w:p>
    <w:p w14:paraId="4D5B47EA" w14:textId="7116A00D" w:rsidR="00425339" w:rsidRPr="00425339" w:rsidRDefault="00425339" w:rsidP="00DC3807">
      <w:pPr>
        <w:keepNext/>
        <w:spacing w:line="257" w:lineRule="auto"/>
        <w:rPr>
          <w:rFonts w:ascii="Times New Roman" w:hAnsi="Times New Roman" w:cs="Times New Roman"/>
          <w:b/>
        </w:rPr>
      </w:pPr>
      <w:r w:rsidRPr="00425339">
        <w:rPr>
          <w:rFonts w:ascii="Times New Roman" w:hAnsi="Times New Roman" w:cs="Times New Roman"/>
          <w:b/>
        </w:rPr>
        <w:t xml:space="preserve">Section </w:t>
      </w:r>
      <w:r w:rsidR="0070227B">
        <w:rPr>
          <w:rFonts w:ascii="Times New Roman" w:hAnsi="Times New Roman" w:cs="Times New Roman"/>
          <w:b/>
        </w:rPr>
        <w:t>1</w:t>
      </w:r>
      <w:r w:rsidR="00B3362B">
        <w:rPr>
          <w:rFonts w:ascii="Times New Roman" w:hAnsi="Times New Roman" w:cs="Times New Roman"/>
          <w:b/>
        </w:rPr>
        <w:t>0</w:t>
      </w:r>
      <w:r w:rsidRPr="00425339">
        <w:rPr>
          <w:rFonts w:ascii="Times New Roman" w:hAnsi="Times New Roman" w:cs="Times New Roman"/>
          <w:b/>
        </w:rPr>
        <w:tab/>
        <w:t>Records relating to in-place connection</w:t>
      </w:r>
      <w:r w:rsidR="0070227B">
        <w:rPr>
          <w:rFonts w:ascii="Times New Roman" w:hAnsi="Times New Roman" w:cs="Times New Roman"/>
          <w:b/>
        </w:rPr>
        <w:t xml:space="preserve"> </w:t>
      </w:r>
      <w:proofErr w:type="gramStart"/>
      <w:r w:rsidR="0070227B">
        <w:rPr>
          <w:rFonts w:ascii="Times New Roman" w:hAnsi="Times New Roman" w:cs="Times New Roman"/>
          <w:b/>
        </w:rPr>
        <w:t>requests</w:t>
      </w:r>
      <w:proofErr w:type="gramEnd"/>
      <w:r w:rsidRPr="00425339">
        <w:rPr>
          <w:rFonts w:ascii="Times New Roman" w:hAnsi="Times New Roman" w:cs="Times New Roman"/>
          <w:b/>
        </w:rPr>
        <w:t xml:space="preserve"> </w:t>
      </w:r>
    </w:p>
    <w:p w14:paraId="41E2A80F" w14:textId="77777777" w:rsidR="00425339" w:rsidRPr="00DC3807" w:rsidRDefault="00425339" w:rsidP="00DC3807">
      <w:pPr>
        <w:rPr>
          <w:rFonts w:ascii="Times New Roman" w:hAnsi="Times New Roman" w:cs="Times New Roman"/>
        </w:rPr>
      </w:pPr>
      <w:r w:rsidRPr="00DC3807">
        <w:rPr>
          <w:rFonts w:ascii="Times New Roman" w:hAnsi="Times New Roman" w:cs="Times New Roman"/>
        </w:rPr>
        <w:t>This section sets out the record-keeping requirements for a request by a customer to a QSP for a CSG service to be connected at a site that has an in-place connection.</w:t>
      </w:r>
    </w:p>
    <w:p w14:paraId="18616D60" w14:textId="77777777" w:rsidR="00425339" w:rsidRPr="00DC3807" w:rsidRDefault="00425339" w:rsidP="00DC3807">
      <w:pPr>
        <w:rPr>
          <w:rFonts w:ascii="Times New Roman" w:hAnsi="Times New Roman" w:cs="Times New Roman"/>
        </w:rPr>
      </w:pPr>
      <w:r w:rsidRPr="00DC3807">
        <w:rPr>
          <w:rFonts w:ascii="Times New Roman" w:hAnsi="Times New Roman" w:cs="Times New Roman"/>
        </w:rPr>
        <w:t>Amongst other record-keeping requirements, if there is a failure to comply with the CSG Standard regarding such a request which is wholly or partly due to the acts or omissions of another CSP, certain information regarding that failure must be recorded.</w:t>
      </w:r>
    </w:p>
    <w:p w14:paraId="29908F94" w14:textId="2F0E5402" w:rsidR="00B3362B" w:rsidRPr="00425339" w:rsidRDefault="00B3362B" w:rsidP="00B3362B">
      <w:pPr>
        <w:keepNext/>
        <w:spacing w:line="257" w:lineRule="auto"/>
        <w:rPr>
          <w:rFonts w:ascii="Times New Roman" w:hAnsi="Times New Roman" w:cs="Times New Roman"/>
          <w:b/>
        </w:rPr>
      </w:pPr>
      <w:r w:rsidRPr="00425339">
        <w:rPr>
          <w:rFonts w:ascii="Times New Roman" w:hAnsi="Times New Roman" w:cs="Times New Roman"/>
          <w:b/>
        </w:rPr>
        <w:t xml:space="preserve">Section </w:t>
      </w:r>
      <w:r>
        <w:rPr>
          <w:rFonts w:ascii="Times New Roman" w:hAnsi="Times New Roman" w:cs="Times New Roman"/>
          <w:b/>
        </w:rPr>
        <w:t>11</w:t>
      </w:r>
      <w:r w:rsidRPr="00425339">
        <w:rPr>
          <w:rFonts w:ascii="Times New Roman" w:hAnsi="Times New Roman" w:cs="Times New Roman"/>
          <w:b/>
        </w:rPr>
        <w:tab/>
        <w:t>Records relating to new connection</w:t>
      </w:r>
      <w:r>
        <w:rPr>
          <w:rFonts w:ascii="Times New Roman" w:hAnsi="Times New Roman" w:cs="Times New Roman"/>
          <w:b/>
        </w:rPr>
        <w:t xml:space="preserve"> </w:t>
      </w:r>
      <w:proofErr w:type="gramStart"/>
      <w:r>
        <w:rPr>
          <w:rFonts w:ascii="Times New Roman" w:hAnsi="Times New Roman" w:cs="Times New Roman"/>
          <w:b/>
        </w:rPr>
        <w:t>requests</w:t>
      </w:r>
      <w:proofErr w:type="gramEnd"/>
    </w:p>
    <w:p w14:paraId="29E0F702" w14:textId="732C231D" w:rsidR="00B3362B" w:rsidRPr="00DC3807" w:rsidRDefault="00B3362B" w:rsidP="00B3362B">
      <w:pPr>
        <w:rPr>
          <w:rFonts w:ascii="Times New Roman" w:hAnsi="Times New Roman" w:cs="Times New Roman"/>
        </w:rPr>
      </w:pPr>
      <w:r w:rsidRPr="00DC3807">
        <w:rPr>
          <w:rFonts w:ascii="Times New Roman" w:hAnsi="Times New Roman" w:cs="Times New Roman"/>
        </w:rPr>
        <w:t>This section sets out the record-keeping requirements regarding a request by a customer to a QSP for a CSG service to be connected at a site that does not have an in-place connection.</w:t>
      </w:r>
    </w:p>
    <w:p w14:paraId="3670E430" w14:textId="77777777" w:rsidR="00B3362B" w:rsidRPr="00DC3807" w:rsidRDefault="00B3362B" w:rsidP="00B3362B">
      <w:pPr>
        <w:rPr>
          <w:rFonts w:ascii="Times New Roman" w:hAnsi="Times New Roman" w:cs="Times New Roman"/>
        </w:rPr>
      </w:pPr>
      <w:r w:rsidRPr="00DC3807">
        <w:rPr>
          <w:rFonts w:ascii="Times New Roman" w:hAnsi="Times New Roman" w:cs="Times New Roman"/>
        </w:rPr>
        <w:t>Amongst other record-keeping requirements, if there is a failure to comply with the CSG Standard regarding such a request which is wholly or partly due to the acts or omissions of another CSP, certain information regarding that failure must be recorded.</w:t>
      </w:r>
    </w:p>
    <w:p w14:paraId="23EEE4D3" w14:textId="08145A8E" w:rsidR="00B3362B" w:rsidRPr="00425339" w:rsidRDefault="00B3362B" w:rsidP="00F81DF4">
      <w:pPr>
        <w:keepNext/>
        <w:spacing w:line="257" w:lineRule="auto"/>
        <w:ind w:left="1418" w:hanging="1418"/>
        <w:rPr>
          <w:rFonts w:ascii="Times New Roman" w:hAnsi="Times New Roman" w:cs="Times New Roman"/>
          <w:b/>
        </w:rPr>
      </w:pPr>
      <w:r w:rsidRPr="00425339">
        <w:rPr>
          <w:rFonts w:ascii="Times New Roman" w:hAnsi="Times New Roman" w:cs="Times New Roman"/>
          <w:b/>
        </w:rPr>
        <w:t xml:space="preserve">Section </w:t>
      </w:r>
      <w:r>
        <w:rPr>
          <w:rFonts w:ascii="Times New Roman" w:hAnsi="Times New Roman" w:cs="Times New Roman"/>
          <w:b/>
        </w:rPr>
        <w:t>12</w:t>
      </w:r>
      <w:r w:rsidRPr="00425339">
        <w:rPr>
          <w:rFonts w:ascii="Times New Roman" w:hAnsi="Times New Roman" w:cs="Times New Roman"/>
          <w:b/>
        </w:rPr>
        <w:tab/>
      </w:r>
      <w:r>
        <w:rPr>
          <w:rFonts w:ascii="Times New Roman" w:hAnsi="Times New Roman" w:cs="Times New Roman"/>
          <w:b/>
        </w:rPr>
        <w:t>Records for CSG services required to be connected in guaranteed maximum connection period specified in subsection 11(2) of the CSG Standard</w:t>
      </w:r>
    </w:p>
    <w:p w14:paraId="408CE287" w14:textId="5D30A6E6" w:rsidR="00B3362B" w:rsidRPr="00DC3807" w:rsidRDefault="00AC3C3F" w:rsidP="00B3362B">
      <w:pPr>
        <w:rPr>
          <w:rFonts w:ascii="Times New Roman" w:hAnsi="Times New Roman" w:cs="Times New Roman"/>
        </w:rPr>
      </w:pPr>
      <w:r>
        <w:rPr>
          <w:rFonts w:ascii="Times New Roman" w:hAnsi="Times New Roman" w:cs="Times New Roman"/>
        </w:rPr>
        <w:t>Section 12 requires a QSP to keep records where CSG services are required to be connected in the guaranteed maximum connection period specified in subsection 11(2) of the CSG Standard</w:t>
      </w:r>
      <w:r w:rsidR="00B3362B" w:rsidRPr="00DC3807">
        <w:rPr>
          <w:rFonts w:ascii="Times New Roman" w:hAnsi="Times New Roman" w:cs="Times New Roman"/>
        </w:rPr>
        <w:t>.</w:t>
      </w:r>
      <w:r>
        <w:rPr>
          <w:rFonts w:ascii="Times New Roman" w:hAnsi="Times New Roman" w:cs="Times New Roman"/>
        </w:rPr>
        <w:t xml:space="preserve"> </w:t>
      </w:r>
    </w:p>
    <w:p w14:paraId="60292F3F" w14:textId="67594915" w:rsidR="00425339" w:rsidRPr="00425339" w:rsidRDefault="00425339" w:rsidP="00DC3807">
      <w:pPr>
        <w:keepNext/>
        <w:spacing w:line="257" w:lineRule="auto"/>
        <w:rPr>
          <w:rFonts w:ascii="Times New Roman" w:hAnsi="Times New Roman" w:cs="Times New Roman"/>
          <w:b/>
        </w:rPr>
      </w:pPr>
      <w:r w:rsidRPr="00AC3C3F">
        <w:rPr>
          <w:rFonts w:ascii="Times New Roman" w:hAnsi="Times New Roman" w:cs="Times New Roman"/>
          <w:b/>
        </w:rPr>
        <w:t>Section 1</w:t>
      </w:r>
      <w:r w:rsidR="00AC3C3F" w:rsidRPr="00AC3C3F">
        <w:rPr>
          <w:rFonts w:ascii="Times New Roman" w:hAnsi="Times New Roman" w:cs="Times New Roman"/>
          <w:b/>
        </w:rPr>
        <w:t>3</w:t>
      </w:r>
      <w:r w:rsidRPr="00AC3C3F">
        <w:rPr>
          <w:rFonts w:ascii="Times New Roman" w:hAnsi="Times New Roman" w:cs="Times New Roman"/>
          <w:b/>
        </w:rPr>
        <w:tab/>
        <w:t xml:space="preserve">Records relating to reports of faults or service </w:t>
      </w:r>
      <w:proofErr w:type="gramStart"/>
      <w:r w:rsidRPr="00AC3C3F">
        <w:rPr>
          <w:rFonts w:ascii="Times New Roman" w:hAnsi="Times New Roman" w:cs="Times New Roman"/>
          <w:b/>
        </w:rPr>
        <w:t>difficulties</w:t>
      </w:r>
      <w:proofErr w:type="gramEnd"/>
    </w:p>
    <w:p w14:paraId="2706764E" w14:textId="77777777" w:rsidR="00425339" w:rsidRPr="00DC3807" w:rsidRDefault="00425339" w:rsidP="00DC3807">
      <w:pPr>
        <w:rPr>
          <w:rFonts w:ascii="Times New Roman" w:hAnsi="Times New Roman" w:cs="Times New Roman"/>
        </w:rPr>
      </w:pPr>
      <w:r w:rsidRPr="00DC3807">
        <w:rPr>
          <w:rFonts w:ascii="Times New Roman" w:hAnsi="Times New Roman" w:cs="Times New Roman"/>
        </w:rPr>
        <w:t xml:space="preserve">This section sets out the record-keeping requirements regarding a fault or service difficulty report made by a customer to a QSP. </w:t>
      </w:r>
    </w:p>
    <w:p w14:paraId="0704220E" w14:textId="77777777" w:rsidR="00425339" w:rsidRPr="00DC3807" w:rsidRDefault="00425339" w:rsidP="00DC3807">
      <w:pPr>
        <w:rPr>
          <w:rFonts w:ascii="Times New Roman" w:hAnsi="Times New Roman" w:cs="Times New Roman"/>
        </w:rPr>
      </w:pPr>
      <w:r w:rsidRPr="00DC3807">
        <w:rPr>
          <w:rFonts w:ascii="Times New Roman" w:hAnsi="Times New Roman" w:cs="Times New Roman"/>
        </w:rPr>
        <w:t>Amongst other record-keeping requirements, if there is a failure to comply with the CSG Standard regarding such a report which is wholly or partly due to the acts or omissions of another CSP, certain information regarding that failure must be recorded.</w:t>
      </w:r>
    </w:p>
    <w:p w14:paraId="0E909A95" w14:textId="4B805DAF" w:rsidR="00425339" w:rsidRPr="00DC3807" w:rsidRDefault="00425339" w:rsidP="00DC3807">
      <w:pPr>
        <w:rPr>
          <w:rFonts w:ascii="Times New Roman" w:hAnsi="Times New Roman" w:cs="Times New Roman"/>
        </w:rPr>
      </w:pPr>
      <w:r w:rsidRPr="00DC3807">
        <w:rPr>
          <w:rFonts w:ascii="Times New Roman" w:hAnsi="Times New Roman" w:cs="Times New Roman"/>
        </w:rPr>
        <w:t xml:space="preserve">This section defines a “fault or service difficulty report” so as not to include enhanced call handling features, which are excluded under subsection </w:t>
      </w:r>
      <w:r w:rsidR="00AC3C3F">
        <w:rPr>
          <w:rFonts w:ascii="Times New Roman" w:hAnsi="Times New Roman" w:cs="Times New Roman"/>
        </w:rPr>
        <w:t>9</w:t>
      </w:r>
      <w:r w:rsidRPr="00DC3807">
        <w:rPr>
          <w:rFonts w:ascii="Times New Roman" w:hAnsi="Times New Roman" w:cs="Times New Roman"/>
        </w:rPr>
        <w:t>(3) of the Benchmarks.</w:t>
      </w:r>
    </w:p>
    <w:p w14:paraId="5C870B83" w14:textId="726553D7" w:rsidR="00425339" w:rsidRPr="00425339" w:rsidRDefault="00425339" w:rsidP="00DC3807">
      <w:pPr>
        <w:keepNext/>
        <w:spacing w:line="257" w:lineRule="auto"/>
        <w:rPr>
          <w:rFonts w:ascii="Times New Roman" w:hAnsi="Times New Roman" w:cs="Times New Roman"/>
          <w:b/>
        </w:rPr>
      </w:pPr>
      <w:r w:rsidRPr="00A71E27">
        <w:rPr>
          <w:rFonts w:ascii="Times New Roman" w:hAnsi="Times New Roman" w:cs="Times New Roman"/>
          <w:b/>
        </w:rPr>
        <w:lastRenderedPageBreak/>
        <w:t>Section 1</w:t>
      </w:r>
      <w:r w:rsidR="00A05F46" w:rsidRPr="00A71E27">
        <w:rPr>
          <w:rFonts w:ascii="Times New Roman" w:hAnsi="Times New Roman" w:cs="Times New Roman"/>
          <w:b/>
        </w:rPr>
        <w:t>4</w:t>
      </w:r>
      <w:r w:rsidRPr="00A71E27">
        <w:rPr>
          <w:rFonts w:ascii="Times New Roman" w:hAnsi="Times New Roman" w:cs="Times New Roman"/>
          <w:b/>
        </w:rPr>
        <w:tab/>
        <w:t xml:space="preserve">Records relating to the keeping of </w:t>
      </w:r>
      <w:proofErr w:type="gramStart"/>
      <w:r w:rsidRPr="00A71E27">
        <w:rPr>
          <w:rFonts w:ascii="Times New Roman" w:hAnsi="Times New Roman" w:cs="Times New Roman"/>
          <w:b/>
        </w:rPr>
        <w:t>appointments</w:t>
      </w:r>
      <w:proofErr w:type="gramEnd"/>
    </w:p>
    <w:p w14:paraId="43D18212" w14:textId="6F396EBD" w:rsidR="00425339" w:rsidRPr="00DC3807" w:rsidRDefault="00425339" w:rsidP="00DC3807">
      <w:pPr>
        <w:rPr>
          <w:rFonts w:ascii="Times New Roman" w:hAnsi="Times New Roman" w:cs="Times New Roman"/>
        </w:rPr>
      </w:pPr>
      <w:r w:rsidRPr="00DC3807">
        <w:rPr>
          <w:rFonts w:ascii="Times New Roman" w:hAnsi="Times New Roman" w:cs="Times New Roman"/>
        </w:rPr>
        <w:t xml:space="preserve">This section sets out the record-keeping requirements regarding a connection or rectification appointment involving a QSP. </w:t>
      </w:r>
      <w:r w:rsidR="00D82D96">
        <w:rPr>
          <w:rFonts w:ascii="Times New Roman" w:hAnsi="Times New Roman" w:cs="Times New Roman"/>
        </w:rPr>
        <w:t xml:space="preserve">This </w:t>
      </w:r>
      <w:r w:rsidR="004265E5">
        <w:rPr>
          <w:rFonts w:ascii="Times New Roman" w:hAnsi="Times New Roman" w:cs="Times New Roman"/>
        </w:rPr>
        <w:t>term</w:t>
      </w:r>
      <w:r w:rsidR="00D82D96">
        <w:rPr>
          <w:rFonts w:ascii="Times New Roman" w:hAnsi="Times New Roman" w:cs="Times New Roman"/>
        </w:rPr>
        <w:t xml:space="preserve"> “</w:t>
      </w:r>
      <w:r w:rsidR="001C701B">
        <w:rPr>
          <w:rFonts w:ascii="Times New Roman" w:hAnsi="Times New Roman" w:cs="Times New Roman"/>
        </w:rPr>
        <w:t>connection or rectification</w:t>
      </w:r>
      <w:r w:rsidR="004265E5">
        <w:rPr>
          <w:rFonts w:ascii="Times New Roman" w:hAnsi="Times New Roman" w:cs="Times New Roman"/>
        </w:rPr>
        <w:t xml:space="preserve"> appointment</w:t>
      </w:r>
      <w:r w:rsidR="006D78FD">
        <w:rPr>
          <w:rFonts w:ascii="Times New Roman" w:hAnsi="Times New Roman" w:cs="Times New Roman"/>
        </w:rPr>
        <w:t>” is defined</w:t>
      </w:r>
      <w:r w:rsidR="004265E5">
        <w:rPr>
          <w:rFonts w:ascii="Times New Roman" w:hAnsi="Times New Roman" w:cs="Times New Roman"/>
        </w:rPr>
        <w:t xml:space="preserve"> for the purposes</w:t>
      </w:r>
      <w:r w:rsidR="006D78FD">
        <w:rPr>
          <w:rFonts w:ascii="Times New Roman" w:hAnsi="Times New Roman" w:cs="Times New Roman"/>
        </w:rPr>
        <w:t xml:space="preserve"> of this section.</w:t>
      </w:r>
    </w:p>
    <w:p w14:paraId="2AD11417" w14:textId="77777777" w:rsidR="00425339" w:rsidRPr="00DC3807" w:rsidRDefault="00425339" w:rsidP="00DC3807">
      <w:pPr>
        <w:rPr>
          <w:rFonts w:ascii="Times New Roman" w:hAnsi="Times New Roman" w:cs="Times New Roman"/>
        </w:rPr>
      </w:pPr>
      <w:r w:rsidRPr="00DC3807">
        <w:rPr>
          <w:rFonts w:ascii="Times New Roman" w:hAnsi="Times New Roman" w:cs="Times New Roman"/>
        </w:rPr>
        <w:t>Amongst other record-keeping requirements, if there is a failure to comply with the CSG Standard regarding such an appointment which is wholly or partly due to the acts or omissions of another CSP, certain information regarding that failure must be recorded.</w:t>
      </w:r>
    </w:p>
    <w:p w14:paraId="79B5BD4B" w14:textId="77777777" w:rsidR="00425339" w:rsidRPr="00425339" w:rsidRDefault="00425339" w:rsidP="00DC3807">
      <w:pPr>
        <w:keepNext/>
        <w:spacing w:before="280" w:line="257" w:lineRule="auto"/>
        <w:rPr>
          <w:rFonts w:ascii="Times New Roman" w:hAnsi="Times New Roman" w:cs="Times New Roman"/>
          <w:b/>
        </w:rPr>
      </w:pPr>
      <w:r w:rsidRPr="00425339">
        <w:rPr>
          <w:rFonts w:ascii="Times New Roman" w:hAnsi="Times New Roman" w:cs="Times New Roman"/>
          <w:b/>
        </w:rPr>
        <w:t>Part 3</w:t>
      </w:r>
      <w:r w:rsidRPr="00425339">
        <w:rPr>
          <w:rFonts w:ascii="Times New Roman" w:hAnsi="Times New Roman" w:cs="Times New Roman"/>
          <w:b/>
        </w:rPr>
        <w:tab/>
      </w:r>
      <w:r w:rsidRPr="00425339">
        <w:rPr>
          <w:rFonts w:ascii="Times New Roman" w:hAnsi="Times New Roman" w:cs="Times New Roman"/>
          <w:b/>
        </w:rPr>
        <w:tab/>
        <w:t>Retention of Records</w:t>
      </w:r>
    </w:p>
    <w:p w14:paraId="4C2BECBE" w14:textId="25653F80" w:rsidR="00425339" w:rsidRPr="00425339" w:rsidRDefault="00425339" w:rsidP="00DC3807">
      <w:pPr>
        <w:keepNext/>
        <w:spacing w:line="257" w:lineRule="auto"/>
        <w:rPr>
          <w:rFonts w:ascii="Times New Roman" w:hAnsi="Times New Roman" w:cs="Times New Roman"/>
          <w:b/>
        </w:rPr>
      </w:pPr>
      <w:r w:rsidRPr="00425339">
        <w:rPr>
          <w:rFonts w:ascii="Times New Roman" w:hAnsi="Times New Roman" w:cs="Times New Roman"/>
          <w:b/>
        </w:rPr>
        <w:t>Section 1</w:t>
      </w:r>
      <w:r w:rsidR="00A71E27">
        <w:rPr>
          <w:rFonts w:ascii="Times New Roman" w:hAnsi="Times New Roman" w:cs="Times New Roman"/>
          <w:b/>
        </w:rPr>
        <w:t>5</w:t>
      </w:r>
      <w:r w:rsidRPr="00425339">
        <w:rPr>
          <w:rFonts w:ascii="Times New Roman" w:hAnsi="Times New Roman" w:cs="Times New Roman"/>
          <w:b/>
        </w:rPr>
        <w:tab/>
        <w:t>Period for retention of records</w:t>
      </w:r>
    </w:p>
    <w:p w14:paraId="4C2610A9" w14:textId="72910629" w:rsidR="00425339" w:rsidRPr="00DC3807" w:rsidRDefault="00425339" w:rsidP="00DC3807">
      <w:pPr>
        <w:rPr>
          <w:rFonts w:ascii="Times New Roman" w:hAnsi="Times New Roman" w:cs="Times New Roman"/>
        </w:rPr>
      </w:pPr>
      <w:r w:rsidRPr="00DC3807">
        <w:rPr>
          <w:rFonts w:ascii="Times New Roman" w:hAnsi="Times New Roman" w:cs="Times New Roman"/>
        </w:rPr>
        <w:t>A QSP</w:t>
      </w:r>
      <w:r w:rsidR="000A166B">
        <w:rPr>
          <w:rFonts w:ascii="Times New Roman" w:hAnsi="Times New Roman" w:cs="Times New Roman"/>
        </w:rPr>
        <w:t xml:space="preserve"> that</w:t>
      </w:r>
      <w:r w:rsidRPr="00DC3807">
        <w:rPr>
          <w:rFonts w:ascii="Times New Roman" w:hAnsi="Times New Roman" w:cs="Times New Roman"/>
        </w:rPr>
        <w:t xml:space="preserve"> is required to </w:t>
      </w:r>
      <w:r w:rsidR="00BE58D9">
        <w:rPr>
          <w:rFonts w:ascii="Times New Roman" w:hAnsi="Times New Roman" w:cs="Times New Roman"/>
        </w:rPr>
        <w:t>keep records under Part 2</w:t>
      </w:r>
      <w:r w:rsidR="000A166B">
        <w:rPr>
          <w:rFonts w:ascii="Times New Roman" w:hAnsi="Times New Roman" w:cs="Times New Roman"/>
        </w:rPr>
        <w:t xml:space="preserve"> must </w:t>
      </w:r>
      <w:r w:rsidRPr="00DC3807">
        <w:rPr>
          <w:rFonts w:ascii="Times New Roman" w:hAnsi="Times New Roman" w:cs="Times New Roman"/>
        </w:rPr>
        <w:t>retain</w:t>
      </w:r>
      <w:r w:rsidR="000A166B">
        <w:rPr>
          <w:rFonts w:ascii="Times New Roman" w:hAnsi="Times New Roman" w:cs="Times New Roman"/>
        </w:rPr>
        <w:t xml:space="preserve"> those</w:t>
      </w:r>
      <w:r w:rsidRPr="00DC3807">
        <w:rPr>
          <w:rFonts w:ascii="Times New Roman" w:hAnsi="Times New Roman" w:cs="Times New Roman"/>
        </w:rPr>
        <w:t xml:space="preserve"> records for </w:t>
      </w:r>
      <w:r w:rsidR="00C521A4">
        <w:rPr>
          <w:rFonts w:ascii="Times New Roman" w:hAnsi="Times New Roman" w:cs="Times New Roman"/>
        </w:rPr>
        <w:t xml:space="preserve">a </w:t>
      </w:r>
      <w:r w:rsidRPr="00DC3807">
        <w:rPr>
          <w:rFonts w:ascii="Times New Roman" w:hAnsi="Times New Roman" w:cs="Times New Roman"/>
        </w:rPr>
        <w:t xml:space="preserve">period </w:t>
      </w:r>
      <w:r w:rsidR="00C521A4">
        <w:rPr>
          <w:rFonts w:ascii="Times New Roman" w:hAnsi="Times New Roman" w:cs="Times New Roman"/>
        </w:rPr>
        <w:t xml:space="preserve">of </w:t>
      </w:r>
      <w:r w:rsidRPr="00DC3807">
        <w:rPr>
          <w:rFonts w:ascii="Times New Roman" w:hAnsi="Times New Roman" w:cs="Times New Roman"/>
        </w:rPr>
        <w:t xml:space="preserve">two years from the end of the </w:t>
      </w:r>
      <w:r w:rsidR="001D777C">
        <w:rPr>
          <w:rFonts w:ascii="Times New Roman" w:hAnsi="Times New Roman" w:cs="Times New Roman"/>
        </w:rPr>
        <w:t xml:space="preserve">relevant </w:t>
      </w:r>
      <w:r w:rsidRPr="00DC3807">
        <w:rPr>
          <w:rFonts w:ascii="Times New Roman" w:hAnsi="Times New Roman" w:cs="Times New Roman"/>
        </w:rPr>
        <w:t xml:space="preserve">benchmark period. </w:t>
      </w:r>
    </w:p>
    <w:p w14:paraId="79D6B2DB" w14:textId="77777777" w:rsidR="00425339" w:rsidRPr="00425339" w:rsidRDefault="00425339" w:rsidP="00DC3807">
      <w:pPr>
        <w:keepNext/>
        <w:spacing w:before="280" w:line="257" w:lineRule="auto"/>
        <w:rPr>
          <w:rFonts w:ascii="Times New Roman" w:hAnsi="Times New Roman" w:cs="Times New Roman"/>
          <w:b/>
        </w:rPr>
      </w:pPr>
      <w:r w:rsidRPr="00425339">
        <w:rPr>
          <w:rFonts w:ascii="Times New Roman" w:hAnsi="Times New Roman" w:cs="Times New Roman"/>
          <w:b/>
        </w:rPr>
        <w:t>Part 4</w:t>
      </w:r>
      <w:r w:rsidRPr="00425339">
        <w:rPr>
          <w:rFonts w:ascii="Times New Roman" w:hAnsi="Times New Roman" w:cs="Times New Roman"/>
          <w:b/>
        </w:rPr>
        <w:tab/>
      </w:r>
      <w:r w:rsidRPr="00425339">
        <w:rPr>
          <w:rFonts w:ascii="Times New Roman" w:hAnsi="Times New Roman" w:cs="Times New Roman"/>
          <w:b/>
        </w:rPr>
        <w:tab/>
        <w:t>Reporting</w:t>
      </w:r>
    </w:p>
    <w:p w14:paraId="3C986CED" w14:textId="52C067DB" w:rsidR="00425339" w:rsidRPr="00425339" w:rsidRDefault="00425339" w:rsidP="00DC3807">
      <w:pPr>
        <w:keepNext/>
        <w:spacing w:line="257" w:lineRule="auto"/>
        <w:rPr>
          <w:rFonts w:ascii="Times New Roman" w:hAnsi="Times New Roman" w:cs="Times New Roman"/>
          <w:b/>
        </w:rPr>
      </w:pPr>
      <w:r w:rsidRPr="00425339">
        <w:rPr>
          <w:rFonts w:ascii="Times New Roman" w:hAnsi="Times New Roman" w:cs="Times New Roman"/>
          <w:b/>
        </w:rPr>
        <w:t>Section 1</w:t>
      </w:r>
      <w:r w:rsidR="00A71E27">
        <w:rPr>
          <w:rFonts w:ascii="Times New Roman" w:hAnsi="Times New Roman" w:cs="Times New Roman"/>
          <w:b/>
        </w:rPr>
        <w:t>6</w:t>
      </w:r>
      <w:r w:rsidRPr="00425339">
        <w:rPr>
          <w:rFonts w:ascii="Times New Roman" w:hAnsi="Times New Roman" w:cs="Times New Roman"/>
          <w:b/>
        </w:rPr>
        <w:tab/>
        <w:t xml:space="preserve">Requirement to prepare compliance </w:t>
      </w:r>
      <w:proofErr w:type="gramStart"/>
      <w:r w:rsidRPr="00425339">
        <w:rPr>
          <w:rFonts w:ascii="Times New Roman" w:hAnsi="Times New Roman" w:cs="Times New Roman"/>
          <w:b/>
        </w:rPr>
        <w:t>reports</w:t>
      </w:r>
      <w:proofErr w:type="gramEnd"/>
    </w:p>
    <w:p w14:paraId="3E979332" w14:textId="4616EBB1" w:rsidR="00425339" w:rsidRPr="00DC3807" w:rsidRDefault="00425339" w:rsidP="00DC3807">
      <w:pPr>
        <w:rPr>
          <w:rFonts w:ascii="Times New Roman" w:hAnsi="Times New Roman" w:cs="Times New Roman"/>
        </w:rPr>
      </w:pPr>
      <w:r w:rsidRPr="00DC3807">
        <w:rPr>
          <w:rFonts w:ascii="Times New Roman" w:hAnsi="Times New Roman" w:cs="Times New Roman"/>
        </w:rPr>
        <w:t xml:space="preserve">This section sets out the reporting </w:t>
      </w:r>
      <w:r w:rsidR="00690CB6">
        <w:rPr>
          <w:rFonts w:ascii="Times New Roman" w:hAnsi="Times New Roman" w:cs="Times New Roman"/>
        </w:rPr>
        <w:t xml:space="preserve">requirements </w:t>
      </w:r>
      <w:r w:rsidRPr="00DC3807">
        <w:rPr>
          <w:rFonts w:ascii="Times New Roman" w:hAnsi="Times New Roman" w:cs="Times New Roman"/>
        </w:rPr>
        <w:t xml:space="preserve">which a QSP must follow.  </w:t>
      </w:r>
    </w:p>
    <w:p w14:paraId="2CD16027" w14:textId="77777777" w:rsidR="00425339" w:rsidRPr="00DC3807" w:rsidRDefault="00425339" w:rsidP="00DC3807">
      <w:pPr>
        <w:rPr>
          <w:rFonts w:ascii="Times New Roman" w:hAnsi="Times New Roman" w:cs="Times New Roman"/>
        </w:rPr>
      </w:pPr>
      <w:r w:rsidRPr="00DC3807">
        <w:rPr>
          <w:rFonts w:ascii="Times New Roman" w:hAnsi="Times New Roman" w:cs="Times New Roman"/>
        </w:rPr>
        <w:t xml:space="preserve">The information to be included in the compliance reports is contained in Schedule 1, and the required format is set out in Schedule 2. </w:t>
      </w:r>
    </w:p>
    <w:p w14:paraId="1A7CD46E" w14:textId="10C697D6" w:rsidR="00425339" w:rsidRPr="00425339" w:rsidRDefault="00425339" w:rsidP="00DC3807">
      <w:pPr>
        <w:keepNext/>
        <w:spacing w:line="257" w:lineRule="auto"/>
        <w:rPr>
          <w:rFonts w:ascii="Times New Roman" w:hAnsi="Times New Roman" w:cs="Times New Roman"/>
          <w:b/>
        </w:rPr>
      </w:pPr>
      <w:r w:rsidRPr="00425339">
        <w:rPr>
          <w:rFonts w:ascii="Times New Roman" w:hAnsi="Times New Roman" w:cs="Times New Roman"/>
          <w:b/>
        </w:rPr>
        <w:t>Section 1</w:t>
      </w:r>
      <w:r w:rsidR="00A71E27">
        <w:rPr>
          <w:rFonts w:ascii="Times New Roman" w:hAnsi="Times New Roman" w:cs="Times New Roman"/>
          <w:b/>
        </w:rPr>
        <w:t>7</w:t>
      </w:r>
      <w:r w:rsidRPr="00425339">
        <w:rPr>
          <w:rFonts w:ascii="Times New Roman" w:hAnsi="Times New Roman" w:cs="Times New Roman"/>
          <w:b/>
        </w:rPr>
        <w:tab/>
        <w:t xml:space="preserve">Requirement to give compliance reports to the </w:t>
      </w:r>
      <w:proofErr w:type="gramStart"/>
      <w:r w:rsidRPr="00425339">
        <w:rPr>
          <w:rFonts w:ascii="Times New Roman" w:hAnsi="Times New Roman" w:cs="Times New Roman"/>
          <w:b/>
        </w:rPr>
        <w:t>ACMA</w:t>
      </w:r>
      <w:proofErr w:type="gramEnd"/>
    </w:p>
    <w:p w14:paraId="41EE32B0" w14:textId="17E447D9" w:rsidR="00425339" w:rsidRPr="00DC3807" w:rsidRDefault="00425339" w:rsidP="00DC3807">
      <w:pPr>
        <w:rPr>
          <w:rFonts w:ascii="Times New Roman" w:hAnsi="Times New Roman" w:cs="Times New Roman"/>
        </w:rPr>
      </w:pPr>
      <w:r w:rsidRPr="00DC3807">
        <w:rPr>
          <w:rFonts w:ascii="Times New Roman" w:hAnsi="Times New Roman" w:cs="Times New Roman"/>
        </w:rPr>
        <w:t xml:space="preserve">This section sets out the timing and method for a QSP to give a compliance report to the ACMA. QSPs are required </w:t>
      </w:r>
      <w:r w:rsidR="007016C0">
        <w:rPr>
          <w:rFonts w:ascii="Times New Roman" w:hAnsi="Times New Roman" w:cs="Times New Roman"/>
        </w:rPr>
        <w:t xml:space="preserve">to </w:t>
      </w:r>
      <w:r w:rsidRPr="00DC3807">
        <w:rPr>
          <w:rFonts w:ascii="Times New Roman" w:hAnsi="Times New Roman" w:cs="Times New Roman"/>
        </w:rPr>
        <w:t xml:space="preserve">give compliance reports to the ACMA no later than 40 working days after the end of the relevant </w:t>
      </w:r>
      <w:r w:rsidR="004D0653">
        <w:rPr>
          <w:rFonts w:ascii="Times New Roman" w:hAnsi="Times New Roman" w:cs="Times New Roman"/>
        </w:rPr>
        <w:t>benchmark</w:t>
      </w:r>
      <w:r w:rsidR="004D0653" w:rsidRPr="00DC3807">
        <w:rPr>
          <w:rFonts w:ascii="Times New Roman" w:hAnsi="Times New Roman" w:cs="Times New Roman"/>
        </w:rPr>
        <w:t xml:space="preserve"> </w:t>
      </w:r>
      <w:r w:rsidRPr="00DC3807">
        <w:rPr>
          <w:rFonts w:ascii="Times New Roman" w:hAnsi="Times New Roman" w:cs="Times New Roman"/>
        </w:rPr>
        <w:t xml:space="preserve">period or such later time </w:t>
      </w:r>
      <w:r w:rsidR="007016C0">
        <w:rPr>
          <w:rFonts w:ascii="Times New Roman" w:hAnsi="Times New Roman" w:cs="Times New Roman"/>
        </w:rPr>
        <w:t xml:space="preserve">as </w:t>
      </w:r>
      <w:r w:rsidRPr="00DC3807">
        <w:rPr>
          <w:rFonts w:ascii="Times New Roman" w:hAnsi="Times New Roman" w:cs="Times New Roman"/>
        </w:rPr>
        <w:t xml:space="preserve">allowed by the ACMA. The compliance reports must be sent by email to an address advised by the ACMA on its website. </w:t>
      </w:r>
      <w:r w:rsidR="00A71E27">
        <w:rPr>
          <w:rFonts w:ascii="Times New Roman" w:hAnsi="Times New Roman" w:cs="Times New Roman"/>
        </w:rPr>
        <w:t>A compliance report may be delivered in a</w:t>
      </w:r>
      <w:r w:rsidR="00BD0E42">
        <w:rPr>
          <w:rFonts w:ascii="Times New Roman" w:hAnsi="Times New Roman" w:cs="Times New Roman"/>
        </w:rPr>
        <w:t>n</w:t>
      </w:r>
      <w:r w:rsidR="00A71E27">
        <w:rPr>
          <w:rFonts w:ascii="Times New Roman" w:hAnsi="Times New Roman" w:cs="Times New Roman"/>
        </w:rPr>
        <w:t xml:space="preserve"> electronic format agreed to by the ACMA in writing</w:t>
      </w:r>
      <w:r w:rsidRPr="00DC3807">
        <w:rPr>
          <w:rFonts w:ascii="Times New Roman" w:hAnsi="Times New Roman" w:cs="Times New Roman"/>
        </w:rPr>
        <w:t xml:space="preserve">. </w:t>
      </w:r>
    </w:p>
    <w:p w14:paraId="37A47CE8" w14:textId="77777777" w:rsidR="00425339" w:rsidRPr="00425339" w:rsidRDefault="00425339" w:rsidP="00DC3807">
      <w:pPr>
        <w:keepNext/>
        <w:spacing w:before="280" w:line="257" w:lineRule="auto"/>
        <w:rPr>
          <w:rFonts w:ascii="Times New Roman" w:hAnsi="Times New Roman" w:cs="Times New Roman"/>
          <w:b/>
        </w:rPr>
      </w:pPr>
      <w:r w:rsidRPr="00425339">
        <w:rPr>
          <w:rFonts w:ascii="Times New Roman" w:hAnsi="Times New Roman" w:cs="Times New Roman"/>
          <w:b/>
        </w:rPr>
        <w:t>Part 5</w:t>
      </w:r>
      <w:r w:rsidRPr="00425339">
        <w:rPr>
          <w:rFonts w:ascii="Times New Roman" w:hAnsi="Times New Roman" w:cs="Times New Roman"/>
          <w:b/>
        </w:rPr>
        <w:tab/>
      </w:r>
      <w:r w:rsidRPr="00425339">
        <w:rPr>
          <w:rFonts w:ascii="Times New Roman" w:hAnsi="Times New Roman" w:cs="Times New Roman"/>
          <w:b/>
        </w:rPr>
        <w:tab/>
        <w:t>Audit</w:t>
      </w:r>
    </w:p>
    <w:p w14:paraId="3C589AC3" w14:textId="10F3020C" w:rsidR="00425339" w:rsidRPr="00425339" w:rsidRDefault="00425339" w:rsidP="00DC3807">
      <w:pPr>
        <w:keepNext/>
        <w:spacing w:line="257" w:lineRule="auto"/>
        <w:rPr>
          <w:rFonts w:ascii="Times New Roman" w:hAnsi="Times New Roman" w:cs="Times New Roman"/>
          <w:b/>
        </w:rPr>
      </w:pPr>
      <w:r w:rsidRPr="00425339">
        <w:rPr>
          <w:rFonts w:ascii="Times New Roman" w:hAnsi="Times New Roman" w:cs="Times New Roman"/>
          <w:b/>
        </w:rPr>
        <w:t>Section 1</w:t>
      </w:r>
      <w:r w:rsidR="00A71E27">
        <w:rPr>
          <w:rFonts w:ascii="Times New Roman" w:hAnsi="Times New Roman" w:cs="Times New Roman"/>
          <w:b/>
        </w:rPr>
        <w:t>8</w:t>
      </w:r>
      <w:r w:rsidRPr="00425339">
        <w:rPr>
          <w:rFonts w:ascii="Times New Roman" w:hAnsi="Times New Roman" w:cs="Times New Roman"/>
          <w:b/>
        </w:rPr>
        <w:tab/>
        <w:t>Auditing of compliance with these Rules</w:t>
      </w:r>
    </w:p>
    <w:p w14:paraId="66C936A0" w14:textId="7881D112" w:rsidR="00425339" w:rsidRPr="00DC3807" w:rsidRDefault="00A602A7" w:rsidP="00DC3807">
      <w:pPr>
        <w:rPr>
          <w:rFonts w:ascii="Times New Roman" w:hAnsi="Times New Roman" w:cs="Times New Roman"/>
        </w:rPr>
      </w:pPr>
      <w:r>
        <w:rPr>
          <w:rFonts w:ascii="Times New Roman" w:hAnsi="Times New Roman" w:cs="Times New Roman"/>
        </w:rPr>
        <w:t>This section provides that i</w:t>
      </w:r>
      <w:r w:rsidR="00425339" w:rsidRPr="00DC3807">
        <w:rPr>
          <w:rFonts w:ascii="Times New Roman" w:hAnsi="Times New Roman" w:cs="Times New Roman"/>
        </w:rPr>
        <w:t xml:space="preserve">f the ACMA forms a view on reasonable grounds that an audit is necessary, it may write to a </w:t>
      </w:r>
      <w:r w:rsidR="008109BF">
        <w:rPr>
          <w:rFonts w:ascii="Times New Roman" w:hAnsi="Times New Roman" w:cs="Times New Roman"/>
        </w:rPr>
        <w:t xml:space="preserve">qualifying </w:t>
      </w:r>
      <w:r w:rsidR="00F407FD">
        <w:rPr>
          <w:rFonts w:ascii="Times New Roman" w:hAnsi="Times New Roman" w:cs="Times New Roman"/>
        </w:rPr>
        <w:t>carriage service provider</w:t>
      </w:r>
      <w:r w:rsidR="00425339" w:rsidRPr="00DC3807">
        <w:rPr>
          <w:rFonts w:ascii="Times New Roman" w:hAnsi="Times New Roman" w:cs="Times New Roman"/>
        </w:rPr>
        <w:t xml:space="preserve"> </w:t>
      </w:r>
      <w:r w:rsidR="00FD7D3B">
        <w:rPr>
          <w:rFonts w:ascii="Times New Roman" w:hAnsi="Times New Roman" w:cs="Times New Roman"/>
        </w:rPr>
        <w:t xml:space="preserve">to </w:t>
      </w:r>
      <w:r w:rsidR="00425339" w:rsidRPr="00DC3807">
        <w:rPr>
          <w:rFonts w:ascii="Times New Roman" w:hAnsi="Times New Roman" w:cs="Times New Roman"/>
        </w:rPr>
        <w:t>requir</w:t>
      </w:r>
      <w:r w:rsidR="00FD7D3B">
        <w:rPr>
          <w:rFonts w:ascii="Times New Roman" w:hAnsi="Times New Roman" w:cs="Times New Roman"/>
        </w:rPr>
        <w:t>e</w:t>
      </w:r>
      <w:r w:rsidR="00425339" w:rsidRPr="00DC3807">
        <w:rPr>
          <w:rFonts w:ascii="Times New Roman" w:hAnsi="Times New Roman" w:cs="Times New Roman"/>
        </w:rPr>
        <w:t xml:space="preserve"> it to engage an auditor to conduct an audit of the </w:t>
      </w:r>
      <w:r w:rsidR="00F407FD">
        <w:rPr>
          <w:rFonts w:ascii="Times New Roman" w:hAnsi="Times New Roman" w:cs="Times New Roman"/>
        </w:rPr>
        <w:t>provider</w:t>
      </w:r>
      <w:r w:rsidR="00425339" w:rsidRPr="00DC3807">
        <w:rPr>
          <w:rFonts w:ascii="Times New Roman" w:hAnsi="Times New Roman" w:cs="Times New Roman"/>
        </w:rPr>
        <w:t xml:space="preserve">’s compliance with the Rules. If the ACMA forms a view on reasonable grounds that the initial audit is inadequate, it may require a follow-up audit. </w:t>
      </w:r>
    </w:p>
    <w:p w14:paraId="50418CA3" w14:textId="4B71F9D6" w:rsidR="00425339" w:rsidRPr="00425339" w:rsidRDefault="00425339" w:rsidP="00DC3807">
      <w:pPr>
        <w:keepNext/>
        <w:spacing w:line="257" w:lineRule="auto"/>
        <w:rPr>
          <w:rFonts w:ascii="Times New Roman" w:hAnsi="Times New Roman" w:cs="Times New Roman"/>
          <w:b/>
        </w:rPr>
      </w:pPr>
      <w:r w:rsidRPr="00425339">
        <w:rPr>
          <w:rFonts w:ascii="Times New Roman" w:hAnsi="Times New Roman" w:cs="Times New Roman"/>
          <w:b/>
        </w:rPr>
        <w:t>Section 1</w:t>
      </w:r>
      <w:r w:rsidR="00A71E27">
        <w:rPr>
          <w:rFonts w:ascii="Times New Roman" w:hAnsi="Times New Roman" w:cs="Times New Roman"/>
          <w:b/>
        </w:rPr>
        <w:t>9</w:t>
      </w:r>
      <w:r w:rsidRPr="00425339">
        <w:rPr>
          <w:rFonts w:ascii="Times New Roman" w:hAnsi="Times New Roman" w:cs="Times New Roman"/>
          <w:b/>
        </w:rPr>
        <w:tab/>
        <w:t>Audit terms of reference</w:t>
      </w:r>
    </w:p>
    <w:p w14:paraId="5E8EA3E2" w14:textId="370505AF" w:rsidR="00425339" w:rsidRPr="00DC3807" w:rsidRDefault="00425339" w:rsidP="00DC3807">
      <w:pPr>
        <w:rPr>
          <w:rFonts w:ascii="Times New Roman" w:hAnsi="Times New Roman" w:cs="Times New Roman"/>
        </w:rPr>
      </w:pPr>
      <w:r w:rsidRPr="00DC3807">
        <w:rPr>
          <w:rFonts w:ascii="Times New Roman" w:hAnsi="Times New Roman" w:cs="Times New Roman"/>
        </w:rPr>
        <w:t xml:space="preserve">A </w:t>
      </w:r>
      <w:r w:rsidR="00F407FD">
        <w:rPr>
          <w:rFonts w:ascii="Times New Roman" w:hAnsi="Times New Roman" w:cs="Times New Roman"/>
        </w:rPr>
        <w:t>carriage service provider</w:t>
      </w:r>
      <w:r w:rsidRPr="00DC3807">
        <w:rPr>
          <w:rFonts w:ascii="Times New Roman" w:hAnsi="Times New Roman" w:cs="Times New Roman"/>
        </w:rPr>
        <w:t xml:space="preserve"> that has received an audit notice is required to provide draft terms of reference for the audit to the ACMA for approval.</w:t>
      </w:r>
    </w:p>
    <w:p w14:paraId="1BB09CAE" w14:textId="51A102A3" w:rsidR="00C67640" w:rsidRPr="00DC3807" w:rsidRDefault="00425339" w:rsidP="00DC3807">
      <w:pPr>
        <w:rPr>
          <w:rFonts w:ascii="Times New Roman" w:hAnsi="Times New Roman" w:cs="Times New Roman"/>
        </w:rPr>
      </w:pPr>
      <w:r w:rsidRPr="00DC3807">
        <w:rPr>
          <w:rFonts w:ascii="Times New Roman" w:hAnsi="Times New Roman" w:cs="Times New Roman"/>
        </w:rPr>
        <w:t xml:space="preserve">The ACMA may require the </w:t>
      </w:r>
      <w:r w:rsidR="00F407FD">
        <w:rPr>
          <w:rFonts w:ascii="Times New Roman" w:hAnsi="Times New Roman" w:cs="Times New Roman"/>
        </w:rPr>
        <w:t>provider</w:t>
      </w:r>
      <w:r w:rsidRPr="00DC3807">
        <w:rPr>
          <w:rFonts w:ascii="Times New Roman" w:hAnsi="Times New Roman" w:cs="Times New Roman"/>
        </w:rPr>
        <w:t xml:space="preserve"> to make changes to the draft terms of reference.  If the revised terms do not give effect to the changes required by the ACMA and are rejected, the ACMA may specify the terms of reference for the audit.</w:t>
      </w:r>
    </w:p>
    <w:p w14:paraId="1A004ED8" w14:textId="05E1D7F6" w:rsidR="00B368BE" w:rsidRDefault="00425339" w:rsidP="00DC3807">
      <w:pPr>
        <w:rPr>
          <w:rFonts w:ascii="Times New Roman" w:hAnsi="Times New Roman" w:cs="Times New Roman"/>
        </w:rPr>
      </w:pPr>
      <w:r w:rsidRPr="00DC3807">
        <w:rPr>
          <w:rFonts w:ascii="Times New Roman" w:hAnsi="Times New Roman" w:cs="Times New Roman"/>
        </w:rPr>
        <w:t xml:space="preserve">This section </w:t>
      </w:r>
      <w:r w:rsidR="00D778F6">
        <w:rPr>
          <w:rFonts w:ascii="Times New Roman" w:hAnsi="Times New Roman" w:cs="Times New Roman"/>
        </w:rPr>
        <w:t>describes the</w:t>
      </w:r>
      <w:r w:rsidRPr="00DC3807">
        <w:rPr>
          <w:rFonts w:ascii="Times New Roman" w:hAnsi="Times New Roman" w:cs="Times New Roman"/>
        </w:rPr>
        <w:t xml:space="preserve"> approval process as well as certain matters that must be included in the terms of reference and the objectives of the audit</w:t>
      </w:r>
      <w:r w:rsidR="00C67640">
        <w:rPr>
          <w:rFonts w:ascii="Times New Roman" w:hAnsi="Times New Roman" w:cs="Times New Roman"/>
        </w:rPr>
        <w:t>, including the preparation of compliance reports and record-keeping</w:t>
      </w:r>
      <w:r w:rsidRPr="00DC3807">
        <w:rPr>
          <w:rFonts w:ascii="Times New Roman" w:hAnsi="Times New Roman" w:cs="Times New Roman"/>
        </w:rPr>
        <w:t>.</w:t>
      </w:r>
    </w:p>
    <w:p w14:paraId="1038B657" w14:textId="103EFF20" w:rsidR="00A71E27" w:rsidRPr="00425339" w:rsidRDefault="00A71E27" w:rsidP="00A71E27">
      <w:pPr>
        <w:keepNext/>
        <w:spacing w:line="257" w:lineRule="auto"/>
        <w:rPr>
          <w:rFonts w:ascii="Times New Roman" w:hAnsi="Times New Roman" w:cs="Times New Roman"/>
          <w:b/>
        </w:rPr>
      </w:pPr>
      <w:r w:rsidRPr="00425339">
        <w:rPr>
          <w:rFonts w:ascii="Times New Roman" w:hAnsi="Times New Roman" w:cs="Times New Roman"/>
          <w:b/>
        </w:rPr>
        <w:lastRenderedPageBreak/>
        <w:t xml:space="preserve">Section </w:t>
      </w:r>
      <w:r>
        <w:rPr>
          <w:rFonts w:ascii="Times New Roman" w:hAnsi="Times New Roman" w:cs="Times New Roman"/>
          <w:b/>
        </w:rPr>
        <w:t>20</w:t>
      </w:r>
      <w:r w:rsidRPr="00425339">
        <w:rPr>
          <w:rFonts w:ascii="Times New Roman" w:hAnsi="Times New Roman" w:cs="Times New Roman"/>
          <w:b/>
        </w:rPr>
        <w:tab/>
      </w:r>
      <w:r>
        <w:rPr>
          <w:rFonts w:ascii="Times New Roman" w:hAnsi="Times New Roman" w:cs="Times New Roman"/>
          <w:b/>
        </w:rPr>
        <w:t>Nomination of auditor</w:t>
      </w:r>
    </w:p>
    <w:p w14:paraId="2A41B618" w14:textId="273E8DC3" w:rsidR="00A71E27" w:rsidRPr="00DC3807" w:rsidRDefault="002E2746" w:rsidP="00A71E27">
      <w:pPr>
        <w:rPr>
          <w:rFonts w:ascii="Times New Roman" w:hAnsi="Times New Roman" w:cs="Times New Roman"/>
        </w:rPr>
      </w:pPr>
      <w:r>
        <w:rPr>
          <w:rFonts w:ascii="Times New Roman" w:hAnsi="Times New Roman" w:cs="Times New Roman"/>
        </w:rPr>
        <w:t>Under this section, a</w:t>
      </w:r>
      <w:r w:rsidR="00A71E27" w:rsidRPr="00DC3807">
        <w:rPr>
          <w:rFonts w:ascii="Times New Roman" w:hAnsi="Times New Roman" w:cs="Times New Roman"/>
        </w:rPr>
        <w:t xml:space="preserve"> </w:t>
      </w:r>
      <w:r w:rsidR="00F407FD">
        <w:rPr>
          <w:rFonts w:ascii="Times New Roman" w:hAnsi="Times New Roman" w:cs="Times New Roman"/>
        </w:rPr>
        <w:t>carriage service provider</w:t>
      </w:r>
      <w:r w:rsidR="00A71E27" w:rsidRPr="00DC3807">
        <w:rPr>
          <w:rFonts w:ascii="Times New Roman" w:hAnsi="Times New Roman" w:cs="Times New Roman"/>
        </w:rPr>
        <w:t xml:space="preserve"> that has received an audit notice is required to </w:t>
      </w:r>
      <w:r w:rsidR="00A71E27">
        <w:rPr>
          <w:rFonts w:ascii="Times New Roman" w:hAnsi="Times New Roman" w:cs="Times New Roman"/>
        </w:rPr>
        <w:t>notify its choice of auditor</w:t>
      </w:r>
      <w:r w:rsidR="00A71E27" w:rsidRPr="00DC3807">
        <w:rPr>
          <w:rFonts w:ascii="Times New Roman" w:hAnsi="Times New Roman" w:cs="Times New Roman"/>
        </w:rPr>
        <w:t xml:space="preserve"> to the ACMA for approval.</w:t>
      </w:r>
    </w:p>
    <w:p w14:paraId="35F38B9D" w14:textId="7BF02C6F" w:rsidR="00A71E27" w:rsidRPr="00DC3807" w:rsidRDefault="00A71E27" w:rsidP="00A71E27">
      <w:pPr>
        <w:rPr>
          <w:rFonts w:ascii="Times New Roman" w:hAnsi="Times New Roman" w:cs="Times New Roman"/>
        </w:rPr>
      </w:pPr>
      <w:r w:rsidRPr="00DC3807">
        <w:rPr>
          <w:rFonts w:ascii="Times New Roman" w:hAnsi="Times New Roman" w:cs="Times New Roman"/>
        </w:rPr>
        <w:t xml:space="preserve">The ACMA may </w:t>
      </w:r>
      <w:r>
        <w:rPr>
          <w:rFonts w:ascii="Times New Roman" w:hAnsi="Times New Roman" w:cs="Times New Roman"/>
        </w:rPr>
        <w:t>approve or reject the choice of auditor</w:t>
      </w:r>
      <w:r w:rsidRPr="00DC3807">
        <w:rPr>
          <w:rFonts w:ascii="Times New Roman" w:hAnsi="Times New Roman" w:cs="Times New Roman"/>
        </w:rPr>
        <w:t xml:space="preserve">.  If </w:t>
      </w:r>
      <w:r>
        <w:rPr>
          <w:rFonts w:ascii="Times New Roman" w:hAnsi="Times New Roman" w:cs="Times New Roman"/>
        </w:rPr>
        <w:t xml:space="preserve">rejected, the </w:t>
      </w:r>
      <w:r w:rsidR="00F407FD">
        <w:rPr>
          <w:rFonts w:ascii="Times New Roman" w:hAnsi="Times New Roman" w:cs="Times New Roman"/>
        </w:rPr>
        <w:t>provider</w:t>
      </w:r>
      <w:r>
        <w:rPr>
          <w:rFonts w:ascii="Times New Roman" w:hAnsi="Times New Roman" w:cs="Times New Roman"/>
        </w:rPr>
        <w:t xml:space="preserve"> must notify a new chosen auditor to the ACMA for approval. If the ACMA does not approve the new chosen auditor, it may require the </w:t>
      </w:r>
      <w:r w:rsidR="00F407FD">
        <w:rPr>
          <w:rFonts w:ascii="Times New Roman" w:hAnsi="Times New Roman" w:cs="Times New Roman"/>
        </w:rPr>
        <w:t>provider</w:t>
      </w:r>
      <w:r>
        <w:rPr>
          <w:rFonts w:ascii="Times New Roman" w:hAnsi="Times New Roman" w:cs="Times New Roman"/>
        </w:rPr>
        <w:t xml:space="preserve"> to contract a specified </w:t>
      </w:r>
      <w:r w:rsidR="00C67640">
        <w:rPr>
          <w:rFonts w:ascii="Times New Roman" w:hAnsi="Times New Roman" w:cs="Times New Roman"/>
        </w:rPr>
        <w:t xml:space="preserve">auditor or to choose an auditor from a specified group of auditors. </w:t>
      </w:r>
    </w:p>
    <w:p w14:paraId="5B3FD828" w14:textId="4F02182E" w:rsidR="00A71E27" w:rsidRDefault="00A71E27" w:rsidP="00A71E27">
      <w:pPr>
        <w:rPr>
          <w:rFonts w:ascii="Times New Roman" w:hAnsi="Times New Roman" w:cs="Times New Roman"/>
        </w:rPr>
      </w:pPr>
      <w:r w:rsidRPr="00DC3807">
        <w:rPr>
          <w:rFonts w:ascii="Times New Roman" w:hAnsi="Times New Roman" w:cs="Times New Roman"/>
        </w:rPr>
        <w:t xml:space="preserve">This section </w:t>
      </w:r>
      <w:r w:rsidR="00D778F6">
        <w:rPr>
          <w:rFonts w:ascii="Times New Roman" w:hAnsi="Times New Roman" w:cs="Times New Roman"/>
        </w:rPr>
        <w:t>describes the</w:t>
      </w:r>
      <w:r w:rsidRPr="00DC3807">
        <w:rPr>
          <w:rFonts w:ascii="Times New Roman" w:hAnsi="Times New Roman" w:cs="Times New Roman"/>
        </w:rPr>
        <w:t xml:space="preserve"> approval process as well as certain </w:t>
      </w:r>
      <w:r w:rsidR="00C67640">
        <w:rPr>
          <w:rFonts w:ascii="Times New Roman" w:hAnsi="Times New Roman" w:cs="Times New Roman"/>
        </w:rPr>
        <w:t xml:space="preserve">steps that the </w:t>
      </w:r>
      <w:r w:rsidR="00F407FD">
        <w:rPr>
          <w:rFonts w:ascii="Times New Roman" w:hAnsi="Times New Roman" w:cs="Times New Roman"/>
        </w:rPr>
        <w:t>provider</w:t>
      </w:r>
      <w:r w:rsidR="00C67640">
        <w:rPr>
          <w:rFonts w:ascii="Times New Roman" w:hAnsi="Times New Roman" w:cs="Times New Roman"/>
        </w:rPr>
        <w:t xml:space="preserve"> must take to ensure that the auditor complies with the terms of reference and can form an opinion in line with the objectives in subsection 19(7).</w:t>
      </w:r>
    </w:p>
    <w:p w14:paraId="53C2C6CB" w14:textId="77777777" w:rsidR="00C67640" w:rsidRPr="00425339" w:rsidRDefault="00C67640" w:rsidP="00C67640">
      <w:pPr>
        <w:keepNext/>
        <w:spacing w:line="257" w:lineRule="auto"/>
        <w:rPr>
          <w:rFonts w:ascii="Times New Roman" w:hAnsi="Times New Roman" w:cs="Times New Roman"/>
          <w:b/>
        </w:rPr>
      </w:pPr>
      <w:r>
        <w:rPr>
          <w:rFonts w:ascii="Times New Roman" w:hAnsi="Times New Roman" w:cs="Times New Roman"/>
          <w:b/>
        </w:rPr>
        <w:t>Section 21</w:t>
      </w:r>
      <w:r w:rsidRPr="00425339">
        <w:rPr>
          <w:rFonts w:ascii="Times New Roman" w:hAnsi="Times New Roman" w:cs="Times New Roman"/>
          <w:b/>
        </w:rPr>
        <w:tab/>
      </w:r>
      <w:r>
        <w:rPr>
          <w:rFonts w:ascii="Times New Roman" w:hAnsi="Times New Roman" w:cs="Times New Roman"/>
          <w:b/>
        </w:rPr>
        <w:t xml:space="preserve">Requirement to provide an audit report to the </w:t>
      </w:r>
      <w:proofErr w:type="gramStart"/>
      <w:r>
        <w:rPr>
          <w:rFonts w:ascii="Times New Roman" w:hAnsi="Times New Roman" w:cs="Times New Roman"/>
          <w:b/>
        </w:rPr>
        <w:t>ACMA</w:t>
      </w:r>
      <w:proofErr w:type="gramEnd"/>
    </w:p>
    <w:p w14:paraId="72512EB6" w14:textId="77777777" w:rsidR="00C67640" w:rsidRDefault="00C67640" w:rsidP="00C67640">
      <w:pPr>
        <w:rPr>
          <w:rFonts w:ascii="Times New Roman" w:hAnsi="Times New Roman" w:cs="Times New Roman"/>
        </w:rPr>
      </w:pPr>
      <w:r>
        <w:rPr>
          <w:rFonts w:ascii="Times New Roman" w:hAnsi="Times New Roman" w:cs="Times New Roman"/>
        </w:rPr>
        <w:t>Section 21 requires an audited provider to give an audit report received from the auditor to the ACMA within 14 days, or longer if agreed to in writing by the ACMA</w:t>
      </w:r>
      <w:r w:rsidRPr="00DC3807">
        <w:rPr>
          <w:rFonts w:ascii="Times New Roman" w:hAnsi="Times New Roman" w:cs="Times New Roman"/>
        </w:rPr>
        <w:t>.</w:t>
      </w:r>
    </w:p>
    <w:p w14:paraId="2F79FB92" w14:textId="58A9FF06" w:rsidR="00C67640" w:rsidRPr="00DC3807" w:rsidRDefault="00C67640" w:rsidP="00C67640">
      <w:pPr>
        <w:rPr>
          <w:rFonts w:ascii="Times New Roman" w:hAnsi="Times New Roman" w:cs="Times New Roman"/>
        </w:rPr>
      </w:pPr>
      <w:r>
        <w:rPr>
          <w:rFonts w:ascii="Times New Roman" w:hAnsi="Times New Roman" w:cs="Times New Roman"/>
        </w:rPr>
        <w:t xml:space="preserve">It also requires the </w:t>
      </w:r>
      <w:r w:rsidR="00F407FD">
        <w:rPr>
          <w:rFonts w:ascii="Times New Roman" w:hAnsi="Times New Roman" w:cs="Times New Roman"/>
        </w:rPr>
        <w:t>carriage service provider</w:t>
      </w:r>
      <w:r>
        <w:rPr>
          <w:rFonts w:ascii="Times New Roman" w:hAnsi="Times New Roman" w:cs="Times New Roman"/>
        </w:rPr>
        <w:t xml:space="preserve"> to take all necessary steps to ensure the audit report includes an audit plan, a memorandum stating how the scope and objectives have been applied and an expression of an opinion on compliance report preparation and record-keeping compliance.</w:t>
      </w:r>
    </w:p>
    <w:p w14:paraId="6AF4FF39" w14:textId="28419FB3" w:rsidR="00C67640" w:rsidRPr="00425339" w:rsidRDefault="00C67640" w:rsidP="00C67640">
      <w:pPr>
        <w:keepNext/>
        <w:spacing w:before="280" w:line="257" w:lineRule="auto"/>
        <w:rPr>
          <w:rFonts w:ascii="Times New Roman" w:hAnsi="Times New Roman" w:cs="Times New Roman"/>
          <w:b/>
        </w:rPr>
      </w:pPr>
      <w:r w:rsidRPr="00425339">
        <w:rPr>
          <w:rFonts w:ascii="Times New Roman" w:hAnsi="Times New Roman" w:cs="Times New Roman"/>
          <w:b/>
        </w:rPr>
        <w:t xml:space="preserve">Part </w:t>
      </w:r>
      <w:r>
        <w:rPr>
          <w:rFonts w:ascii="Times New Roman" w:hAnsi="Times New Roman" w:cs="Times New Roman"/>
          <w:b/>
        </w:rPr>
        <w:t>6</w:t>
      </w:r>
      <w:r w:rsidRPr="00425339">
        <w:rPr>
          <w:rFonts w:ascii="Times New Roman" w:hAnsi="Times New Roman" w:cs="Times New Roman"/>
          <w:b/>
        </w:rPr>
        <w:tab/>
      </w:r>
      <w:r w:rsidRPr="00425339">
        <w:rPr>
          <w:rFonts w:ascii="Times New Roman" w:hAnsi="Times New Roman" w:cs="Times New Roman"/>
          <w:b/>
        </w:rPr>
        <w:tab/>
      </w:r>
      <w:r>
        <w:rPr>
          <w:rFonts w:ascii="Times New Roman" w:hAnsi="Times New Roman" w:cs="Times New Roman"/>
          <w:b/>
        </w:rPr>
        <w:t>Transitional</w:t>
      </w:r>
    </w:p>
    <w:p w14:paraId="75B4E8D3" w14:textId="0B4DA80F" w:rsidR="00C67640" w:rsidRPr="00425339" w:rsidRDefault="00C67640" w:rsidP="00C67640">
      <w:pPr>
        <w:keepNext/>
        <w:spacing w:line="257" w:lineRule="auto"/>
        <w:rPr>
          <w:rFonts w:ascii="Times New Roman" w:hAnsi="Times New Roman" w:cs="Times New Roman"/>
          <w:b/>
        </w:rPr>
      </w:pPr>
      <w:r>
        <w:rPr>
          <w:rFonts w:ascii="Times New Roman" w:hAnsi="Times New Roman" w:cs="Times New Roman"/>
          <w:b/>
        </w:rPr>
        <w:t>Section 22</w:t>
      </w:r>
      <w:r w:rsidRPr="00425339">
        <w:rPr>
          <w:rFonts w:ascii="Times New Roman" w:hAnsi="Times New Roman" w:cs="Times New Roman"/>
          <w:b/>
        </w:rPr>
        <w:tab/>
      </w:r>
      <w:r>
        <w:rPr>
          <w:rFonts w:ascii="Times New Roman" w:hAnsi="Times New Roman" w:cs="Times New Roman"/>
          <w:b/>
        </w:rPr>
        <w:t>Retention of records</w:t>
      </w:r>
    </w:p>
    <w:p w14:paraId="11897EFD" w14:textId="397771BD" w:rsidR="00C67640" w:rsidRDefault="00C67640" w:rsidP="00C67640">
      <w:pPr>
        <w:rPr>
          <w:rFonts w:ascii="Times New Roman" w:hAnsi="Times New Roman" w:cs="Times New Roman"/>
        </w:rPr>
      </w:pPr>
      <w:r>
        <w:rPr>
          <w:rFonts w:ascii="Times New Roman" w:hAnsi="Times New Roman" w:cs="Times New Roman"/>
        </w:rPr>
        <w:t xml:space="preserve">This section </w:t>
      </w:r>
      <w:r w:rsidR="00F81DF4">
        <w:rPr>
          <w:rFonts w:ascii="Times New Roman" w:hAnsi="Times New Roman" w:cs="Times New Roman"/>
        </w:rPr>
        <w:t xml:space="preserve">preserves </w:t>
      </w:r>
      <w:r>
        <w:rPr>
          <w:rFonts w:ascii="Times New Roman" w:hAnsi="Times New Roman" w:cs="Times New Roman"/>
        </w:rPr>
        <w:t xml:space="preserve">the obligation </w:t>
      </w:r>
      <w:r w:rsidR="00F81DF4">
        <w:rPr>
          <w:rFonts w:ascii="Times New Roman" w:hAnsi="Times New Roman" w:cs="Times New Roman"/>
        </w:rPr>
        <w:t xml:space="preserve">under the 2011 Rules </w:t>
      </w:r>
      <w:r>
        <w:rPr>
          <w:rFonts w:ascii="Times New Roman" w:hAnsi="Times New Roman" w:cs="Times New Roman"/>
        </w:rPr>
        <w:t xml:space="preserve">to </w:t>
      </w:r>
      <w:r w:rsidR="00EC3F61">
        <w:rPr>
          <w:rFonts w:ascii="Times New Roman" w:hAnsi="Times New Roman" w:cs="Times New Roman"/>
        </w:rPr>
        <w:t>retain</w:t>
      </w:r>
      <w:r w:rsidR="00E721EB">
        <w:rPr>
          <w:rFonts w:ascii="Times New Roman" w:hAnsi="Times New Roman" w:cs="Times New Roman"/>
        </w:rPr>
        <w:t>,</w:t>
      </w:r>
      <w:r w:rsidR="00EC3F61">
        <w:rPr>
          <w:rFonts w:ascii="Times New Roman" w:hAnsi="Times New Roman" w:cs="Times New Roman"/>
        </w:rPr>
        <w:t xml:space="preserve"> </w:t>
      </w:r>
      <w:r w:rsidR="00F81DF4">
        <w:rPr>
          <w:rFonts w:ascii="Times New Roman" w:hAnsi="Times New Roman" w:cs="Times New Roman"/>
        </w:rPr>
        <w:t>for a minimum period</w:t>
      </w:r>
      <w:r w:rsidR="00E721EB">
        <w:rPr>
          <w:rFonts w:ascii="Times New Roman" w:hAnsi="Times New Roman" w:cs="Times New Roman"/>
        </w:rPr>
        <w:t>,</w:t>
      </w:r>
      <w:r w:rsidR="00F81DF4">
        <w:rPr>
          <w:rFonts w:ascii="Times New Roman" w:hAnsi="Times New Roman" w:cs="Times New Roman"/>
        </w:rPr>
        <w:t xml:space="preserve"> </w:t>
      </w:r>
      <w:r>
        <w:rPr>
          <w:rFonts w:ascii="Times New Roman" w:hAnsi="Times New Roman" w:cs="Times New Roman"/>
        </w:rPr>
        <w:t>records which were required to be kept</w:t>
      </w:r>
      <w:r w:rsidR="00B82C1C">
        <w:rPr>
          <w:rFonts w:ascii="Times New Roman" w:hAnsi="Times New Roman" w:cs="Times New Roman"/>
        </w:rPr>
        <w:t xml:space="preserve"> under Part 2 of the 2011 </w:t>
      </w:r>
      <w:r w:rsidR="00E721EB">
        <w:rPr>
          <w:rFonts w:ascii="Times New Roman" w:hAnsi="Times New Roman" w:cs="Times New Roman"/>
        </w:rPr>
        <w:t>Rules</w:t>
      </w:r>
      <w:r w:rsidR="00F81DF4">
        <w:rPr>
          <w:rFonts w:ascii="Times New Roman" w:hAnsi="Times New Roman" w:cs="Times New Roman"/>
        </w:rPr>
        <w:t>.</w:t>
      </w:r>
    </w:p>
    <w:p w14:paraId="2D908111" w14:textId="2D631FA3" w:rsidR="00C67640" w:rsidRDefault="00C67640" w:rsidP="00C67640">
      <w:pPr>
        <w:rPr>
          <w:rFonts w:ascii="Times New Roman" w:hAnsi="Times New Roman" w:cs="Times New Roman"/>
        </w:rPr>
      </w:pPr>
      <w:r>
        <w:rPr>
          <w:rFonts w:ascii="Times New Roman" w:hAnsi="Times New Roman" w:cs="Times New Roman"/>
        </w:rPr>
        <w:t xml:space="preserve">For example, if a </w:t>
      </w:r>
      <w:r w:rsidR="00F407FD">
        <w:rPr>
          <w:rFonts w:ascii="Times New Roman" w:hAnsi="Times New Roman" w:cs="Times New Roman"/>
        </w:rPr>
        <w:t xml:space="preserve">record would have been required to be </w:t>
      </w:r>
      <w:r w:rsidR="00855125">
        <w:rPr>
          <w:rFonts w:ascii="Times New Roman" w:hAnsi="Times New Roman" w:cs="Times New Roman"/>
        </w:rPr>
        <w:t xml:space="preserve">retained </w:t>
      </w:r>
      <w:r w:rsidR="00F407FD">
        <w:rPr>
          <w:rFonts w:ascii="Times New Roman" w:hAnsi="Times New Roman" w:cs="Times New Roman"/>
        </w:rPr>
        <w:t xml:space="preserve">until 1 October 2025 in accordance with Part 3 of the 2011 Rules, this section requires that record be kept until 1 October 2025 to </w:t>
      </w:r>
      <w:r w:rsidR="00855125">
        <w:rPr>
          <w:rFonts w:ascii="Times New Roman" w:hAnsi="Times New Roman" w:cs="Times New Roman"/>
        </w:rPr>
        <w:t>meet</w:t>
      </w:r>
      <w:r w:rsidR="00F407FD">
        <w:rPr>
          <w:rFonts w:ascii="Times New Roman" w:hAnsi="Times New Roman" w:cs="Times New Roman"/>
        </w:rPr>
        <w:t xml:space="preserve"> the minimum 2-year retention period.</w:t>
      </w:r>
    </w:p>
    <w:p w14:paraId="0BD5B2D7" w14:textId="62B45F63" w:rsidR="00F407FD" w:rsidRPr="00425339" w:rsidRDefault="00F407FD" w:rsidP="00F407FD">
      <w:pPr>
        <w:keepNext/>
        <w:spacing w:line="257" w:lineRule="auto"/>
        <w:rPr>
          <w:rFonts w:ascii="Times New Roman" w:hAnsi="Times New Roman" w:cs="Times New Roman"/>
          <w:b/>
        </w:rPr>
      </w:pPr>
      <w:r>
        <w:rPr>
          <w:rFonts w:ascii="Times New Roman" w:hAnsi="Times New Roman" w:cs="Times New Roman"/>
          <w:b/>
        </w:rPr>
        <w:t>Section 23</w:t>
      </w:r>
      <w:r w:rsidRPr="00425339">
        <w:rPr>
          <w:rFonts w:ascii="Times New Roman" w:hAnsi="Times New Roman" w:cs="Times New Roman"/>
          <w:b/>
        </w:rPr>
        <w:tab/>
      </w:r>
      <w:r>
        <w:rPr>
          <w:rFonts w:ascii="Times New Roman" w:hAnsi="Times New Roman" w:cs="Times New Roman"/>
          <w:b/>
        </w:rPr>
        <w:t>Audit</w:t>
      </w:r>
    </w:p>
    <w:p w14:paraId="203AA7A4" w14:textId="3653256B" w:rsidR="00F407FD" w:rsidRDefault="00F407FD" w:rsidP="00F407FD">
      <w:pPr>
        <w:rPr>
          <w:rFonts w:ascii="Times New Roman" w:hAnsi="Times New Roman" w:cs="Times New Roman"/>
        </w:rPr>
      </w:pPr>
      <w:r>
        <w:rPr>
          <w:rFonts w:ascii="Times New Roman" w:hAnsi="Times New Roman" w:cs="Times New Roman"/>
        </w:rPr>
        <w:t xml:space="preserve">This section extends </w:t>
      </w:r>
      <w:r w:rsidR="00455059">
        <w:rPr>
          <w:rFonts w:ascii="Times New Roman" w:hAnsi="Times New Roman" w:cs="Times New Roman"/>
        </w:rPr>
        <w:t xml:space="preserve">the </w:t>
      </w:r>
      <w:r>
        <w:rPr>
          <w:rFonts w:ascii="Times New Roman" w:hAnsi="Times New Roman" w:cs="Times New Roman"/>
        </w:rPr>
        <w:t>reference</w:t>
      </w:r>
      <w:r w:rsidR="00455059">
        <w:rPr>
          <w:rFonts w:ascii="Times New Roman" w:hAnsi="Times New Roman" w:cs="Times New Roman"/>
        </w:rPr>
        <w:t xml:space="preserve"> in subsection 18(2)</w:t>
      </w:r>
      <w:r>
        <w:rPr>
          <w:rFonts w:ascii="Times New Roman" w:hAnsi="Times New Roman" w:cs="Times New Roman"/>
        </w:rPr>
        <w:t xml:space="preserve"> to ‘these rules’ to </w:t>
      </w:r>
      <w:r w:rsidR="00455059">
        <w:rPr>
          <w:rFonts w:ascii="Times New Roman" w:hAnsi="Times New Roman" w:cs="Times New Roman"/>
        </w:rPr>
        <w:t xml:space="preserve">include </w:t>
      </w:r>
      <w:r>
        <w:rPr>
          <w:rFonts w:ascii="Times New Roman" w:hAnsi="Times New Roman" w:cs="Times New Roman"/>
        </w:rPr>
        <w:t>the 2011 Rules</w:t>
      </w:r>
      <w:r w:rsidR="00041009">
        <w:rPr>
          <w:rFonts w:ascii="Times New Roman" w:hAnsi="Times New Roman" w:cs="Times New Roman"/>
        </w:rPr>
        <w:t>,</w:t>
      </w:r>
      <w:r>
        <w:rPr>
          <w:rFonts w:ascii="Times New Roman" w:hAnsi="Times New Roman" w:cs="Times New Roman"/>
        </w:rPr>
        <w:t xml:space="preserve"> and </w:t>
      </w:r>
      <w:r w:rsidR="00455059">
        <w:rPr>
          <w:rFonts w:ascii="Times New Roman" w:hAnsi="Times New Roman" w:cs="Times New Roman"/>
        </w:rPr>
        <w:t xml:space="preserve">the reference in subsection </w:t>
      </w:r>
      <w:r w:rsidR="00581E62">
        <w:rPr>
          <w:rFonts w:ascii="Times New Roman" w:hAnsi="Times New Roman" w:cs="Times New Roman"/>
        </w:rPr>
        <w:t xml:space="preserve">18(3) </w:t>
      </w:r>
      <w:r>
        <w:rPr>
          <w:rFonts w:ascii="Times New Roman" w:hAnsi="Times New Roman" w:cs="Times New Roman"/>
        </w:rPr>
        <w:t>to ‘subsection 17(1) of these rules’ to include subsection 14(1) of the 2011 Rules.</w:t>
      </w:r>
      <w:r w:rsidR="00C756CB">
        <w:rPr>
          <w:rFonts w:ascii="Times New Roman" w:hAnsi="Times New Roman" w:cs="Times New Roman"/>
        </w:rPr>
        <w:t xml:space="preserve"> This is to allow for </w:t>
      </w:r>
      <w:r w:rsidR="00CB6969">
        <w:rPr>
          <w:rFonts w:ascii="Times New Roman" w:hAnsi="Times New Roman" w:cs="Times New Roman"/>
        </w:rPr>
        <w:t xml:space="preserve">the scope of an audit under Part 5 to extend to compliance with </w:t>
      </w:r>
      <w:r w:rsidR="00495D3D">
        <w:rPr>
          <w:rFonts w:ascii="Times New Roman" w:hAnsi="Times New Roman" w:cs="Times New Roman"/>
        </w:rPr>
        <w:t>the requirements under the 2011 Rules.</w:t>
      </w:r>
    </w:p>
    <w:p w14:paraId="14252D11" w14:textId="77777777" w:rsidR="00F407FD" w:rsidRPr="00425339" w:rsidRDefault="00F407FD" w:rsidP="00F407FD">
      <w:pPr>
        <w:keepNext/>
        <w:spacing w:before="280" w:line="257" w:lineRule="auto"/>
        <w:rPr>
          <w:rFonts w:ascii="Times New Roman" w:hAnsi="Times New Roman" w:cs="Times New Roman"/>
          <w:b/>
        </w:rPr>
      </w:pPr>
      <w:r>
        <w:rPr>
          <w:rFonts w:ascii="Times New Roman" w:hAnsi="Times New Roman" w:cs="Times New Roman"/>
          <w:b/>
        </w:rPr>
        <w:t>Schedule 1</w:t>
      </w:r>
      <w:r w:rsidRPr="00425339">
        <w:rPr>
          <w:rFonts w:ascii="Times New Roman" w:hAnsi="Times New Roman" w:cs="Times New Roman"/>
          <w:b/>
        </w:rPr>
        <w:tab/>
      </w:r>
      <w:r>
        <w:rPr>
          <w:rFonts w:ascii="Times New Roman" w:hAnsi="Times New Roman" w:cs="Times New Roman"/>
          <w:b/>
        </w:rPr>
        <w:t xml:space="preserve">Information to be included in a compliance </w:t>
      </w:r>
      <w:proofErr w:type="gramStart"/>
      <w:r>
        <w:rPr>
          <w:rFonts w:ascii="Times New Roman" w:hAnsi="Times New Roman" w:cs="Times New Roman"/>
          <w:b/>
        </w:rPr>
        <w:t>report</w:t>
      </w:r>
      <w:proofErr w:type="gramEnd"/>
    </w:p>
    <w:p w14:paraId="713E9427" w14:textId="2ECF57D5" w:rsidR="00F407FD" w:rsidRPr="00DC3807" w:rsidRDefault="00F407FD" w:rsidP="00F407FD">
      <w:pPr>
        <w:rPr>
          <w:rFonts w:ascii="Times New Roman" w:hAnsi="Times New Roman" w:cs="Times New Roman"/>
        </w:rPr>
      </w:pPr>
      <w:r>
        <w:rPr>
          <w:rFonts w:ascii="Times New Roman" w:hAnsi="Times New Roman" w:cs="Times New Roman"/>
        </w:rPr>
        <w:t xml:space="preserve">Schedule 1 sets out the information to be included in a compliance report </w:t>
      </w:r>
      <w:r w:rsidR="00B31DB8">
        <w:rPr>
          <w:rFonts w:ascii="Times New Roman" w:hAnsi="Times New Roman" w:cs="Times New Roman"/>
        </w:rPr>
        <w:t>prepared under Part 4</w:t>
      </w:r>
      <w:r>
        <w:rPr>
          <w:rFonts w:ascii="Times New Roman" w:hAnsi="Times New Roman" w:cs="Times New Roman"/>
        </w:rPr>
        <w:t>.</w:t>
      </w:r>
    </w:p>
    <w:p w14:paraId="08C6981A" w14:textId="6B7CF6BF" w:rsidR="00F407FD" w:rsidRPr="00425339" w:rsidRDefault="00F407FD" w:rsidP="00F407FD">
      <w:pPr>
        <w:keepNext/>
        <w:spacing w:before="280" w:line="257" w:lineRule="auto"/>
        <w:rPr>
          <w:rFonts w:ascii="Times New Roman" w:hAnsi="Times New Roman" w:cs="Times New Roman"/>
          <w:b/>
        </w:rPr>
      </w:pPr>
      <w:r>
        <w:rPr>
          <w:rFonts w:ascii="Times New Roman" w:hAnsi="Times New Roman" w:cs="Times New Roman"/>
          <w:b/>
        </w:rPr>
        <w:t>Schedule 2</w:t>
      </w:r>
      <w:r w:rsidRPr="00425339">
        <w:rPr>
          <w:rFonts w:ascii="Times New Roman" w:hAnsi="Times New Roman" w:cs="Times New Roman"/>
          <w:b/>
        </w:rPr>
        <w:tab/>
      </w:r>
      <w:r>
        <w:rPr>
          <w:rFonts w:ascii="Times New Roman" w:hAnsi="Times New Roman" w:cs="Times New Roman"/>
          <w:b/>
        </w:rPr>
        <w:t xml:space="preserve">Form of </w:t>
      </w:r>
      <w:r w:rsidR="00D778F6">
        <w:rPr>
          <w:rFonts w:ascii="Times New Roman" w:hAnsi="Times New Roman" w:cs="Times New Roman"/>
          <w:b/>
        </w:rPr>
        <w:t>C</w:t>
      </w:r>
      <w:r>
        <w:rPr>
          <w:rFonts w:ascii="Times New Roman" w:hAnsi="Times New Roman" w:cs="Times New Roman"/>
          <w:b/>
        </w:rPr>
        <w:t xml:space="preserve">ompliance </w:t>
      </w:r>
      <w:r w:rsidR="00D778F6">
        <w:rPr>
          <w:rFonts w:ascii="Times New Roman" w:hAnsi="Times New Roman" w:cs="Times New Roman"/>
          <w:b/>
        </w:rPr>
        <w:t>R</w:t>
      </w:r>
      <w:r>
        <w:rPr>
          <w:rFonts w:ascii="Times New Roman" w:hAnsi="Times New Roman" w:cs="Times New Roman"/>
          <w:b/>
        </w:rPr>
        <w:t>eport</w:t>
      </w:r>
    </w:p>
    <w:p w14:paraId="4EA21A8D" w14:textId="636957AD" w:rsidR="00A71E27" w:rsidRPr="00DC3807" w:rsidRDefault="00F407FD" w:rsidP="00DC3807">
      <w:pPr>
        <w:rPr>
          <w:rFonts w:ascii="Times New Roman" w:hAnsi="Times New Roman" w:cs="Times New Roman"/>
        </w:rPr>
      </w:pPr>
      <w:r>
        <w:rPr>
          <w:rFonts w:ascii="Times New Roman" w:hAnsi="Times New Roman" w:cs="Times New Roman"/>
        </w:rPr>
        <w:t xml:space="preserve">This schedule specifies the format of a compliance report </w:t>
      </w:r>
      <w:r w:rsidR="00B31DB8">
        <w:rPr>
          <w:rFonts w:ascii="Times New Roman" w:hAnsi="Times New Roman" w:cs="Times New Roman"/>
        </w:rPr>
        <w:t>prepared under Part 4</w:t>
      </w:r>
      <w:r>
        <w:rPr>
          <w:rFonts w:ascii="Times New Roman" w:hAnsi="Times New Roman" w:cs="Times New Roman"/>
        </w:rPr>
        <w:t xml:space="preserve"> in </w:t>
      </w:r>
      <w:proofErr w:type="gramStart"/>
      <w:r>
        <w:rPr>
          <w:rFonts w:ascii="Times New Roman" w:hAnsi="Times New Roman" w:cs="Times New Roman"/>
        </w:rPr>
        <w:t>tables</w:t>
      </w:r>
      <w:r w:rsidR="00C83499">
        <w:rPr>
          <w:rFonts w:ascii="Times New Roman" w:hAnsi="Times New Roman" w:cs="Times New Roman"/>
        </w:rPr>
        <w:t>,</w:t>
      </w:r>
      <w:r>
        <w:rPr>
          <w:rFonts w:ascii="Times New Roman" w:hAnsi="Times New Roman" w:cs="Times New Roman"/>
        </w:rPr>
        <w:t xml:space="preserve"> and</w:t>
      </w:r>
      <w:proofErr w:type="gramEnd"/>
      <w:r>
        <w:rPr>
          <w:rFonts w:ascii="Times New Roman" w:hAnsi="Times New Roman" w:cs="Times New Roman"/>
        </w:rPr>
        <w:t xml:space="preserve"> provides instructions for completion.</w:t>
      </w:r>
    </w:p>
    <w:sectPr w:rsidR="00A71E27" w:rsidRPr="00DC3807" w:rsidSect="00082354">
      <w:footerReference w:type="defaul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B7EFA" w14:textId="77777777" w:rsidR="00812A1D" w:rsidRDefault="00812A1D" w:rsidP="00025ACE">
      <w:pPr>
        <w:spacing w:after="0" w:line="240" w:lineRule="auto"/>
      </w:pPr>
      <w:r>
        <w:separator/>
      </w:r>
    </w:p>
  </w:endnote>
  <w:endnote w:type="continuationSeparator" w:id="0">
    <w:p w14:paraId="656A668A" w14:textId="77777777" w:rsidR="00812A1D" w:rsidRDefault="00812A1D" w:rsidP="00025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4710804"/>
      <w:docPartObj>
        <w:docPartGallery w:val="Page Numbers (Bottom of Page)"/>
        <w:docPartUnique/>
      </w:docPartObj>
    </w:sdtPr>
    <w:sdtEndPr>
      <w:rPr>
        <w:i/>
        <w:noProof/>
      </w:rPr>
    </w:sdtEndPr>
    <w:sdtContent>
      <w:p w14:paraId="7A9CDA51" w14:textId="6EE1B4BE" w:rsidR="00AD3414" w:rsidRPr="00AD3414" w:rsidRDefault="00AD3414" w:rsidP="00232EA2">
        <w:pPr>
          <w:pStyle w:val="Footer"/>
          <w:pBdr>
            <w:top w:val="single" w:sz="4" w:space="10" w:color="auto"/>
          </w:pBdr>
          <w:spacing w:before="240" w:after="240"/>
          <w:jc w:val="center"/>
          <w:rPr>
            <w:rFonts w:ascii="Times New Roman" w:hAnsi="Times New Roman" w:cs="Times New Roman"/>
          </w:rPr>
        </w:pPr>
        <w:r w:rsidRPr="00AD3414">
          <w:rPr>
            <w:rFonts w:ascii="Times New Roman" w:hAnsi="Times New Roman" w:cs="Times New Roman"/>
            <w:i/>
          </w:rPr>
          <w:t>Explanatory Statement to the</w:t>
        </w:r>
        <w:r w:rsidRPr="00AD3414">
          <w:rPr>
            <w:rFonts w:ascii="Times New Roman" w:hAnsi="Times New Roman" w:cs="Times New Roman"/>
          </w:rPr>
          <w:t xml:space="preserve"> </w:t>
        </w:r>
        <w:r w:rsidR="00D86CB7">
          <w:rPr>
            <w:rFonts w:ascii="Times New Roman" w:hAnsi="Times New Roman" w:cs="Times New Roman"/>
            <w:i/>
          </w:rPr>
          <w:t xml:space="preserve">Telecommunications </w:t>
        </w:r>
        <w:r w:rsidR="00FF0AF0">
          <w:rPr>
            <w:rFonts w:ascii="Times New Roman" w:hAnsi="Times New Roman" w:cs="Times New Roman"/>
            <w:i/>
          </w:rPr>
          <w:t>(Customer Service Guarantee)</w:t>
        </w:r>
        <w:r w:rsidR="00D86CB7">
          <w:rPr>
            <w:rFonts w:ascii="Times New Roman" w:hAnsi="Times New Roman" w:cs="Times New Roman"/>
            <w:i/>
          </w:rPr>
          <w:t xml:space="preserve"> </w:t>
        </w:r>
        <w:r w:rsidR="00F407FD">
          <w:rPr>
            <w:rFonts w:ascii="Times New Roman" w:hAnsi="Times New Roman" w:cs="Times New Roman"/>
            <w:i/>
          </w:rPr>
          <w:t>Record-Keeping Rules</w:t>
        </w:r>
        <w:r w:rsidR="00D86CB7">
          <w:rPr>
            <w:rFonts w:ascii="Times New Roman" w:hAnsi="Times New Roman" w:cs="Times New Roman"/>
            <w:i/>
          </w:rPr>
          <w:t xml:space="preserve"> 202</w:t>
        </w:r>
        <w:r w:rsidR="00FF0AF0">
          <w:rPr>
            <w:rFonts w:ascii="Times New Roman" w:hAnsi="Times New Roman" w:cs="Times New Roman"/>
            <w:i/>
          </w:rPr>
          <w:t>3</w:t>
        </w:r>
      </w:p>
      <w:p w14:paraId="4E36910F" w14:textId="23275338" w:rsidR="00025ACE" w:rsidRPr="00AD3414" w:rsidRDefault="00025ACE">
        <w:pPr>
          <w:pStyle w:val="Footer"/>
          <w:jc w:val="right"/>
          <w:rPr>
            <w:i/>
          </w:rPr>
        </w:pPr>
        <w:r w:rsidRPr="00A07A2F">
          <w:rPr>
            <w:rFonts w:ascii="Times New Roman" w:hAnsi="Times New Roman" w:cs="Times New Roman"/>
            <w:i/>
          </w:rPr>
          <w:fldChar w:fldCharType="begin"/>
        </w:r>
        <w:r w:rsidRPr="00A07A2F">
          <w:rPr>
            <w:rFonts w:ascii="Times New Roman" w:hAnsi="Times New Roman" w:cs="Times New Roman"/>
            <w:i/>
          </w:rPr>
          <w:instrText xml:space="preserve"> PAGE   \* MERGEFORMAT </w:instrText>
        </w:r>
        <w:r w:rsidRPr="00A07A2F">
          <w:rPr>
            <w:rFonts w:ascii="Times New Roman" w:hAnsi="Times New Roman" w:cs="Times New Roman"/>
            <w:i/>
          </w:rPr>
          <w:fldChar w:fldCharType="separate"/>
        </w:r>
        <w:r w:rsidR="00D23BD5">
          <w:rPr>
            <w:rFonts w:ascii="Times New Roman" w:hAnsi="Times New Roman" w:cs="Times New Roman"/>
            <w:i/>
            <w:noProof/>
          </w:rPr>
          <w:t>6</w:t>
        </w:r>
        <w:r w:rsidRPr="00A07A2F">
          <w:rPr>
            <w:rFonts w:ascii="Times New Roman" w:hAnsi="Times New Roman" w:cs="Times New Roman"/>
            <w: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66FA4" w14:textId="77777777" w:rsidR="00812A1D" w:rsidRDefault="00812A1D" w:rsidP="00025ACE">
      <w:pPr>
        <w:spacing w:after="0" w:line="240" w:lineRule="auto"/>
      </w:pPr>
      <w:r>
        <w:separator/>
      </w:r>
    </w:p>
  </w:footnote>
  <w:footnote w:type="continuationSeparator" w:id="0">
    <w:p w14:paraId="5DE1A907" w14:textId="77777777" w:rsidR="00812A1D" w:rsidRDefault="00812A1D" w:rsidP="00025A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10F6F"/>
    <w:multiLevelType w:val="hybridMultilevel"/>
    <w:tmpl w:val="AA3687F4"/>
    <w:lvl w:ilvl="0" w:tplc="2E90C87A">
      <w:start w:val="4"/>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B44567"/>
    <w:multiLevelType w:val="hybridMultilevel"/>
    <w:tmpl w:val="D6589B20"/>
    <w:lvl w:ilvl="0" w:tplc="B028775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E0875EB"/>
    <w:multiLevelType w:val="hybridMultilevel"/>
    <w:tmpl w:val="A0902742"/>
    <w:lvl w:ilvl="0" w:tplc="FA94A91C">
      <w:start w:val="1"/>
      <w:numFmt w:val="decimal"/>
      <w:lvlText w:val="%1."/>
      <w:lvlJc w:val="left"/>
      <w:pPr>
        <w:ind w:left="360" w:hanging="360"/>
      </w:pPr>
      <w:rPr>
        <w:rFonts w:ascii="Arial" w:hAnsi="Arial" w:cs="Arial"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08B6630"/>
    <w:multiLevelType w:val="hybridMultilevel"/>
    <w:tmpl w:val="F59E6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EF61BC"/>
    <w:multiLevelType w:val="hybridMultilevel"/>
    <w:tmpl w:val="43E4D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05D54A6"/>
    <w:multiLevelType w:val="hybridMultilevel"/>
    <w:tmpl w:val="21BA5276"/>
    <w:lvl w:ilvl="0" w:tplc="3102731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243F46B9"/>
    <w:multiLevelType w:val="hybridMultilevel"/>
    <w:tmpl w:val="97AE93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5822B89"/>
    <w:multiLevelType w:val="hybridMultilevel"/>
    <w:tmpl w:val="BB38D9EA"/>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8" w15:restartNumberingAfterBreak="0">
    <w:nsid w:val="281D1869"/>
    <w:multiLevelType w:val="hybridMultilevel"/>
    <w:tmpl w:val="44CCDBB4"/>
    <w:lvl w:ilvl="0" w:tplc="B4DE576E">
      <w:start w:val="1"/>
      <w:numFmt w:val="decimal"/>
      <w:pStyle w:val="ACMANumberedLis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8492739"/>
    <w:multiLevelType w:val="hybridMultilevel"/>
    <w:tmpl w:val="F7901A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98515AB"/>
    <w:multiLevelType w:val="hybridMultilevel"/>
    <w:tmpl w:val="CAB87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DD33043"/>
    <w:multiLevelType w:val="hybridMultilevel"/>
    <w:tmpl w:val="4BB249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5F68B7"/>
    <w:multiLevelType w:val="hybridMultilevel"/>
    <w:tmpl w:val="DE5E37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7FE48EC"/>
    <w:multiLevelType w:val="hybridMultilevel"/>
    <w:tmpl w:val="9EF81C3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3B06084C"/>
    <w:multiLevelType w:val="hybridMultilevel"/>
    <w:tmpl w:val="0CB6F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B311893"/>
    <w:multiLevelType w:val="hybridMultilevel"/>
    <w:tmpl w:val="D5688FF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3C2C186A"/>
    <w:multiLevelType w:val="hybridMultilevel"/>
    <w:tmpl w:val="D5688FF8"/>
    <w:lvl w:ilvl="0" w:tplc="A7F6133E">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7" w15:restartNumberingAfterBreak="0">
    <w:nsid w:val="47FC41F2"/>
    <w:multiLevelType w:val="hybridMultilevel"/>
    <w:tmpl w:val="5A42F4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EE200D3"/>
    <w:multiLevelType w:val="hybridMultilevel"/>
    <w:tmpl w:val="A322DE44"/>
    <w:lvl w:ilvl="0" w:tplc="130407F8">
      <w:start w:val="1"/>
      <w:numFmt w:val="lowerRoman"/>
      <w:lvlText w:val="(%1)"/>
      <w:lvlJc w:val="left"/>
      <w:pPr>
        <w:ind w:left="720" w:hanging="360"/>
      </w:pPr>
    </w:lvl>
    <w:lvl w:ilvl="1" w:tplc="ECB21B44">
      <w:start w:val="1"/>
      <w:numFmt w:val="lowerLetter"/>
      <w:lvlText w:val="(%2)"/>
      <w:lvlJc w:val="left"/>
      <w:pPr>
        <w:ind w:left="1440" w:hanging="360"/>
      </w:pPr>
    </w:lvl>
    <w:lvl w:ilvl="2" w:tplc="D0DC20A0">
      <w:start w:val="1"/>
      <w:numFmt w:val="lowerRoman"/>
      <w:suff w:val="space"/>
      <w:lvlText w:val="(%3)"/>
      <w:lvlJc w:val="lef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9" w15:restartNumberingAfterBreak="0">
    <w:nsid w:val="53FB0408"/>
    <w:multiLevelType w:val="hybridMultilevel"/>
    <w:tmpl w:val="FD8A5A08"/>
    <w:lvl w:ilvl="0" w:tplc="678E0D14">
      <w:start w:val="1"/>
      <w:numFmt w:val="lowerLetter"/>
      <w:lvlText w:val="(%1)"/>
      <w:lvlJc w:val="left"/>
      <w:pPr>
        <w:ind w:left="3196" w:hanging="360"/>
      </w:pPr>
    </w:lvl>
    <w:lvl w:ilvl="1" w:tplc="0C090019">
      <w:start w:val="1"/>
      <w:numFmt w:val="lowerLetter"/>
      <w:lvlText w:val="%2."/>
      <w:lvlJc w:val="left"/>
      <w:pPr>
        <w:ind w:left="3916" w:hanging="360"/>
      </w:pPr>
    </w:lvl>
    <w:lvl w:ilvl="2" w:tplc="0C09001B">
      <w:start w:val="1"/>
      <w:numFmt w:val="lowerRoman"/>
      <w:lvlText w:val="%3."/>
      <w:lvlJc w:val="right"/>
      <w:pPr>
        <w:ind w:left="4636" w:hanging="180"/>
      </w:pPr>
    </w:lvl>
    <w:lvl w:ilvl="3" w:tplc="0C09000F">
      <w:start w:val="1"/>
      <w:numFmt w:val="decimal"/>
      <w:lvlText w:val="%4."/>
      <w:lvlJc w:val="left"/>
      <w:pPr>
        <w:ind w:left="5356" w:hanging="360"/>
      </w:pPr>
    </w:lvl>
    <w:lvl w:ilvl="4" w:tplc="0C090019">
      <w:start w:val="1"/>
      <w:numFmt w:val="lowerLetter"/>
      <w:lvlText w:val="%5."/>
      <w:lvlJc w:val="left"/>
      <w:pPr>
        <w:ind w:left="6076" w:hanging="360"/>
      </w:pPr>
    </w:lvl>
    <w:lvl w:ilvl="5" w:tplc="0C09001B">
      <w:start w:val="1"/>
      <w:numFmt w:val="lowerRoman"/>
      <w:lvlText w:val="%6."/>
      <w:lvlJc w:val="right"/>
      <w:pPr>
        <w:ind w:left="6796" w:hanging="180"/>
      </w:pPr>
    </w:lvl>
    <w:lvl w:ilvl="6" w:tplc="0C09000F">
      <w:start w:val="1"/>
      <w:numFmt w:val="decimal"/>
      <w:lvlText w:val="%7."/>
      <w:lvlJc w:val="left"/>
      <w:pPr>
        <w:ind w:left="7516" w:hanging="360"/>
      </w:pPr>
    </w:lvl>
    <w:lvl w:ilvl="7" w:tplc="0C090019">
      <w:start w:val="1"/>
      <w:numFmt w:val="lowerLetter"/>
      <w:lvlText w:val="%8."/>
      <w:lvlJc w:val="left"/>
      <w:pPr>
        <w:ind w:left="8236" w:hanging="360"/>
      </w:pPr>
    </w:lvl>
    <w:lvl w:ilvl="8" w:tplc="0C09001B">
      <w:start w:val="1"/>
      <w:numFmt w:val="lowerRoman"/>
      <w:lvlText w:val="%9."/>
      <w:lvlJc w:val="right"/>
      <w:pPr>
        <w:ind w:left="8956" w:hanging="180"/>
      </w:pPr>
    </w:lvl>
  </w:abstractNum>
  <w:abstractNum w:abstractNumId="20" w15:restartNumberingAfterBreak="0">
    <w:nsid w:val="5E0072FF"/>
    <w:multiLevelType w:val="hybridMultilevel"/>
    <w:tmpl w:val="DB5CD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5C0441C"/>
    <w:multiLevelType w:val="hybridMultilevel"/>
    <w:tmpl w:val="4F76DD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6DD6DD5"/>
    <w:multiLevelType w:val="hybridMultilevel"/>
    <w:tmpl w:val="9C38BDC2"/>
    <w:lvl w:ilvl="0" w:tplc="A7DC2F7C">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69454980"/>
    <w:multiLevelType w:val="hybridMultilevel"/>
    <w:tmpl w:val="2A9CF526"/>
    <w:lvl w:ilvl="0" w:tplc="A7F6133E">
      <w:start w:val="1"/>
      <w:numFmt w:val="lowerLetter"/>
      <w:lvlText w:val="(%1)"/>
      <w:lvlJc w:val="left"/>
      <w:pPr>
        <w:ind w:left="720" w:hanging="360"/>
      </w:pPr>
    </w:lvl>
    <w:lvl w:ilvl="1" w:tplc="130407F8">
      <w:start w:val="1"/>
      <w:numFmt w:val="lowerRoman"/>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4" w15:restartNumberingAfterBreak="0">
    <w:nsid w:val="6FA83CB5"/>
    <w:multiLevelType w:val="hybridMultilevel"/>
    <w:tmpl w:val="E46C921A"/>
    <w:lvl w:ilvl="0" w:tplc="2306DE96">
      <w:start w:val="128"/>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9487F23"/>
    <w:multiLevelType w:val="hybridMultilevel"/>
    <w:tmpl w:val="7D3024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DF272C9"/>
    <w:multiLevelType w:val="hybridMultilevel"/>
    <w:tmpl w:val="BD9EF4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64372909">
    <w:abstractNumId w:val="20"/>
  </w:num>
  <w:num w:numId="2" w16cid:durableId="790980549">
    <w:abstractNumId w:val="14"/>
  </w:num>
  <w:num w:numId="3" w16cid:durableId="785932303">
    <w:abstractNumId w:val="4"/>
  </w:num>
  <w:num w:numId="4" w16cid:durableId="1448622133">
    <w:abstractNumId w:val="10"/>
  </w:num>
  <w:num w:numId="5" w16cid:durableId="371273790">
    <w:abstractNumId w:val="9"/>
  </w:num>
  <w:num w:numId="6" w16cid:durableId="337273120">
    <w:abstractNumId w:val="3"/>
  </w:num>
  <w:num w:numId="7" w16cid:durableId="441002164">
    <w:abstractNumId w:val="6"/>
  </w:num>
  <w:num w:numId="8" w16cid:durableId="41101565">
    <w:abstractNumId w:val="20"/>
  </w:num>
  <w:num w:numId="9" w16cid:durableId="1578631906">
    <w:abstractNumId w:val="4"/>
  </w:num>
  <w:num w:numId="10" w16cid:durableId="1244997535">
    <w:abstractNumId w:val="6"/>
  </w:num>
  <w:num w:numId="11" w16cid:durableId="991566740">
    <w:abstractNumId w:val="10"/>
  </w:num>
  <w:num w:numId="12" w16cid:durableId="858588624">
    <w:abstractNumId w:val="9"/>
  </w:num>
  <w:num w:numId="13" w16cid:durableId="928150974">
    <w:abstractNumId w:val="20"/>
  </w:num>
  <w:num w:numId="14" w16cid:durableId="946741461">
    <w:abstractNumId w:val="4"/>
  </w:num>
  <w:num w:numId="15" w16cid:durableId="2061590385">
    <w:abstractNumId w:val="6"/>
  </w:num>
  <w:num w:numId="16" w16cid:durableId="746923014">
    <w:abstractNumId w:val="10"/>
  </w:num>
  <w:num w:numId="17" w16cid:durableId="1364407289">
    <w:abstractNumId w:val="9"/>
  </w:num>
  <w:num w:numId="18" w16cid:durableId="311565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20096046">
    <w:abstractNumId w:val="23"/>
  </w:num>
  <w:num w:numId="20" w16cid:durableId="1692603931">
    <w:abstractNumId w:val="8"/>
  </w:num>
  <w:num w:numId="21" w16cid:durableId="1911844746">
    <w:abstractNumId w:val="2"/>
  </w:num>
  <w:num w:numId="22" w16cid:durableId="167545398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54527684">
    <w:abstractNumId w:val="22"/>
  </w:num>
  <w:num w:numId="24" w16cid:durableId="13625119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73876329">
    <w:abstractNumId w:val="24"/>
  </w:num>
  <w:num w:numId="26" w16cid:durableId="913122328">
    <w:abstractNumId w:val="22"/>
  </w:num>
  <w:num w:numId="27" w16cid:durableId="2017227083">
    <w:abstractNumId w:val="18"/>
  </w:num>
  <w:num w:numId="28" w16cid:durableId="699934296">
    <w:abstractNumId w:val="7"/>
  </w:num>
  <w:num w:numId="29" w16cid:durableId="776682303">
    <w:abstractNumId w:val="16"/>
  </w:num>
  <w:num w:numId="30" w16cid:durableId="1816684511">
    <w:abstractNumId w:val="15"/>
  </w:num>
  <w:num w:numId="31" w16cid:durableId="249387267">
    <w:abstractNumId w:val="26"/>
  </w:num>
  <w:num w:numId="32" w16cid:durableId="259337153">
    <w:abstractNumId w:val="12"/>
  </w:num>
  <w:num w:numId="33" w16cid:durableId="1379741863">
    <w:abstractNumId w:val="13"/>
  </w:num>
  <w:num w:numId="34" w16cid:durableId="271325038">
    <w:abstractNumId w:val="5"/>
  </w:num>
  <w:num w:numId="35" w16cid:durableId="164975289">
    <w:abstractNumId w:val="1"/>
  </w:num>
  <w:num w:numId="36" w16cid:durableId="1380546558">
    <w:abstractNumId w:val="0"/>
  </w:num>
  <w:num w:numId="37" w16cid:durableId="1685159721">
    <w:abstractNumId w:val="11"/>
  </w:num>
  <w:num w:numId="38" w16cid:durableId="528493205">
    <w:abstractNumId w:val="17"/>
  </w:num>
  <w:num w:numId="39" w16cid:durableId="28530344">
    <w:abstractNumId w:val="21"/>
  </w:num>
  <w:num w:numId="40" w16cid:durableId="170289816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079"/>
    <w:rsid w:val="000015A7"/>
    <w:rsid w:val="000021EA"/>
    <w:rsid w:val="00002640"/>
    <w:rsid w:val="00003720"/>
    <w:rsid w:val="00004CC1"/>
    <w:rsid w:val="00005DA1"/>
    <w:rsid w:val="00010519"/>
    <w:rsid w:val="00010DBB"/>
    <w:rsid w:val="00012132"/>
    <w:rsid w:val="000124F9"/>
    <w:rsid w:val="00013079"/>
    <w:rsid w:val="000132A7"/>
    <w:rsid w:val="00014CDC"/>
    <w:rsid w:val="00015F0B"/>
    <w:rsid w:val="0001676A"/>
    <w:rsid w:val="00017BFD"/>
    <w:rsid w:val="00020E76"/>
    <w:rsid w:val="0002237E"/>
    <w:rsid w:val="000236D3"/>
    <w:rsid w:val="000241D4"/>
    <w:rsid w:val="0002426F"/>
    <w:rsid w:val="00024A5B"/>
    <w:rsid w:val="00025ACE"/>
    <w:rsid w:val="00027AD0"/>
    <w:rsid w:val="00031703"/>
    <w:rsid w:val="00032D6A"/>
    <w:rsid w:val="00032DA9"/>
    <w:rsid w:val="000331C5"/>
    <w:rsid w:val="000347B4"/>
    <w:rsid w:val="00035A08"/>
    <w:rsid w:val="0003681B"/>
    <w:rsid w:val="00036F4A"/>
    <w:rsid w:val="00037DEA"/>
    <w:rsid w:val="00037F0E"/>
    <w:rsid w:val="00041009"/>
    <w:rsid w:val="0004197B"/>
    <w:rsid w:val="00043E4D"/>
    <w:rsid w:val="000440B1"/>
    <w:rsid w:val="000455E6"/>
    <w:rsid w:val="00045CFD"/>
    <w:rsid w:val="00047CC5"/>
    <w:rsid w:val="0005159D"/>
    <w:rsid w:val="000547B5"/>
    <w:rsid w:val="00057E0F"/>
    <w:rsid w:val="00065CEE"/>
    <w:rsid w:val="00070D91"/>
    <w:rsid w:val="00071CD5"/>
    <w:rsid w:val="000726C7"/>
    <w:rsid w:val="00074598"/>
    <w:rsid w:val="0007478E"/>
    <w:rsid w:val="00074A8D"/>
    <w:rsid w:val="00080BD6"/>
    <w:rsid w:val="00081F5C"/>
    <w:rsid w:val="00082354"/>
    <w:rsid w:val="00083FBB"/>
    <w:rsid w:val="00090E04"/>
    <w:rsid w:val="0009164C"/>
    <w:rsid w:val="00093776"/>
    <w:rsid w:val="000939A1"/>
    <w:rsid w:val="000953CE"/>
    <w:rsid w:val="00095AB3"/>
    <w:rsid w:val="000975F0"/>
    <w:rsid w:val="000A04AD"/>
    <w:rsid w:val="000A152B"/>
    <w:rsid w:val="000A166B"/>
    <w:rsid w:val="000A3A94"/>
    <w:rsid w:val="000A43F0"/>
    <w:rsid w:val="000A4E49"/>
    <w:rsid w:val="000A6051"/>
    <w:rsid w:val="000A65E4"/>
    <w:rsid w:val="000A74E5"/>
    <w:rsid w:val="000B05F2"/>
    <w:rsid w:val="000B0A07"/>
    <w:rsid w:val="000B0BA7"/>
    <w:rsid w:val="000B0BF7"/>
    <w:rsid w:val="000B1E62"/>
    <w:rsid w:val="000B203E"/>
    <w:rsid w:val="000B33B6"/>
    <w:rsid w:val="000B375C"/>
    <w:rsid w:val="000B4B6C"/>
    <w:rsid w:val="000B5F4E"/>
    <w:rsid w:val="000C0599"/>
    <w:rsid w:val="000C4E45"/>
    <w:rsid w:val="000C5238"/>
    <w:rsid w:val="000C6436"/>
    <w:rsid w:val="000D2BAE"/>
    <w:rsid w:val="000D40D7"/>
    <w:rsid w:val="000D4ECE"/>
    <w:rsid w:val="000D73F8"/>
    <w:rsid w:val="000E1F80"/>
    <w:rsid w:val="000E3327"/>
    <w:rsid w:val="000E38C9"/>
    <w:rsid w:val="000E6F58"/>
    <w:rsid w:val="000F01F3"/>
    <w:rsid w:val="000F3532"/>
    <w:rsid w:val="000F4666"/>
    <w:rsid w:val="000F6255"/>
    <w:rsid w:val="000F67D2"/>
    <w:rsid w:val="000F6CB9"/>
    <w:rsid w:val="000F70B8"/>
    <w:rsid w:val="001033C6"/>
    <w:rsid w:val="00104130"/>
    <w:rsid w:val="00104265"/>
    <w:rsid w:val="001042F2"/>
    <w:rsid w:val="00106523"/>
    <w:rsid w:val="001078DA"/>
    <w:rsid w:val="001101AC"/>
    <w:rsid w:val="0011195D"/>
    <w:rsid w:val="00112987"/>
    <w:rsid w:val="001144A3"/>
    <w:rsid w:val="00116B9B"/>
    <w:rsid w:val="0011720E"/>
    <w:rsid w:val="00117351"/>
    <w:rsid w:val="00117A06"/>
    <w:rsid w:val="00121B9E"/>
    <w:rsid w:val="00122072"/>
    <w:rsid w:val="00122C7B"/>
    <w:rsid w:val="00125504"/>
    <w:rsid w:val="001307D5"/>
    <w:rsid w:val="00130EFD"/>
    <w:rsid w:val="00131284"/>
    <w:rsid w:val="00134705"/>
    <w:rsid w:val="00140625"/>
    <w:rsid w:val="00142CF9"/>
    <w:rsid w:val="00143D1B"/>
    <w:rsid w:val="0014655D"/>
    <w:rsid w:val="00146A0C"/>
    <w:rsid w:val="001512CC"/>
    <w:rsid w:val="001517B5"/>
    <w:rsid w:val="00151FFC"/>
    <w:rsid w:val="001561D3"/>
    <w:rsid w:val="0015647F"/>
    <w:rsid w:val="00156F57"/>
    <w:rsid w:val="00160CAE"/>
    <w:rsid w:val="00161C73"/>
    <w:rsid w:val="00162A04"/>
    <w:rsid w:val="00163ADA"/>
    <w:rsid w:val="0016481E"/>
    <w:rsid w:val="00164ECD"/>
    <w:rsid w:val="0016684A"/>
    <w:rsid w:val="00167B1F"/>
    <w:rsid w:val="00172860"/>
    <w:rsid w:val="0018349E"/>
    <w:rsid w:val="001844D9"/>
    <w:rsid w:val="00185BDC"/>
    <w:rsid w:val="00186FE3"/>
    <w:rsid w:val="0018748E"/>
    <w:rsid w:val="00187679"/>
    <w:rsid w:val="00190E24"/>
    <w:rsid w:val="001A0A47"/>
    <w:rsid w:val="001A0AFF"/>
    <w:rsid w:val="001A1C29"/>
    <w:rsid w:val="001A262F"/>
    <w:rsid w:val="001A2FB7"/>
    <w:rsid w:val="001A313C"/>
    <w:rsid w:val="001A36A1"/>
    <w:rsid w:val="001A76DD"/>
    <w:rsid w:val="001B038B"/>
    <w:rsid w:val="001B13B9"/>
    <w:rsid w:val="001B1642"/>
    <w:rsid w:val="001B43C8"/>
    <w:rsid w:val="001B68BE"/>
    <w:rsid w:val="001B73FA"/>
    <w:rsid w:val="001B7D9A"/>
    <w:rsid w:val="001C0DEC"/>
    <w:rsid w:val="001C4BF8"/>
    <w:rsid w:val="001C5421"/>
    <w:rsid w:val="001C6757"/>
    <w:rsid w:val="001C701B"/>
    <w:rsid w:val="001C7216"/>
    <w:rsid w:val="001C77DF"/>
    <w:rsid w:val="001D22EA"/>
    <w:rsid w:val="001D38D5"/>
    <w:rsid w:val="001D5C25"/>
    <w:rsid w:val="001D66E3"/>
    <w:rsid w:val="001D777C"/>
    <w:rsid w:val="001E0F54"/>
    <w:rsid w:val="001E343E"/>
    <w:rsid w:val="001E4702"/>
    <w:rsid w:val="001F0DEE"/>
    <w:rsid w:val="001F1791"/>
    <w:rsid w:val="001F2119"/>
    <w:rsid w:val="001F3D42"/>
    <w:rsid w:val="001F77D7"/>
    <w:rsid w:val="001F7978"/>
    <w:rsid w:val="0020146F"/>
    <w:rsid w:val="0020388E"/>
    <w:rsid w:val="00203E1E"/>
    <w:rsid w:val="00205030"/>
    <w:rsid w:val="002056A1"/>
    <w:rsid w:val="00210B3B"/>
    <w:rsid w:val="00212847"/>
    <w:rsid w:val="00212E84"/>
    <w:rsid w:val="002130ED"/>
    <w:rsid w:val="00222042"/>
    <w:rsid w:val="0022361E"/>
    <w:rsid w:val="002279B0"/>
    <w:rsid w:val="00231083"/>
    <w:rsid w:val="00232EA2"/>
    <w:rsid w:val="00233F2A"/>
    <w:rsid w:val="00241749"/>
    <w:rsid w:val="00241F70"/>
    <w:rsid w:val="002462ED"/>
    <w:rsid w:val="00247C96"/>
    <w:rsid w:val="002508F7"/>
    <w:rsid w:val="00251D4D"/>
    <w:rsid w:val="0025457B"/>
    <w:rsid w:val="002555A5"/>
    <w:rsid w:val="00255787"/>
    <w:rsid w:val="0025774E"/>
    <w:rsid w:val="00260837"/>
    <w:rsid w:val="00260DFD"/>
    <w:rsid w:val="00261931"/>
    <w:rsid w:val="00262873"/>
    <w:rsid w:val="00262A26"/>
    <w:rsid w:val="002634A7"/>
    <w:rsid w:val="00264CF7"/>
    <w:rsid w:val="0026603C"/>
    <w:rsid w:val="002660DF"/>
    <w:rsid w:val="00266102"/>
    <w:rsid w:val="002674E7"/>
    <w:rsid w:val="002702F0"/>
    <w:rsid w:val="002718A6"/>
    <w:rsid w:val="00274D39"/>
    <w:rsid w:val="00276065"/>
    <w:rsid w:val="002760A9"/>
    <w:rsid w:val="002800A7"/>
    <w:rsid w:val="002832C6"/>
    <w:rsid w:val="002834AE"/>
    <w:rsid w:val="002856FA"/>
    <w:rsid w:val="00286C01"/>
    <w:rsid w:val="00291BCD"/>
    <w:rsid w:val="00293212"/>
    <w:rsid w:val="00293AB2"/>
    <w:rsid w:val="00294C19"/>
    <w:rsid w:val="002A0053"/>
    <w:rsid w:val="002A04F6"/>
    <w:rsid w:val="002A3B19"/>
    <w:rsid w:val="002A4E10"/>
    <w:rsid w:val="002A5F50"/>
    <w:rsid w:val="002A60C8"/>
    <w:rsid w:val="002B0A61"/>
    <w:rsid w:val="002B1157"/>
    <w:rsid w:val="002B1948"/>
    <w:rsid w:val="002B4459"/>
    <w:rsid w:val="002B4744"/>
    <w:rsid w:val="002B5BCE"/>
    <w:rsid w:val="002B6048"/>
    <w:rsid w:val="002B6452"/>
    <w:rsid w:val="002B6699"/>
    <w:rsid w:val="002B7974"/>
    <w:rsid w:val="002C0A74"/>
    <w:rsid w:val="002C2256"/>
    <w:rsid w:val="002C35BC"/>
    <w:rsid w:val="002C4CA6"/>
    <w:rsid w:val="002D0B86"/>
    <w:rsid w:val="002D25C1"/>
    <w:rsid w:val="002D284D"/>
    <w:rsid w:val="002D2CE5"/>
    <w:rsid w:val="002D335B"/>
    <w:rsid w:val="002D417B"/>
    <w:rsid w:val="002D5D11"/>
    <w:rsid w:val="002E0055"/>
    <w:rsid w:val="002E04DC"/>
    <w:rsid w:val="002E057A"/>
    <w:rsid w:val="002E0584"/>
    <w:rsid w:val="002E0A09"/>
    <w:rsid w:val="002E1E46"/>
    <w:rsid w:val="002E2746"/>
    <w:rsid w:val="002E3B2A"/>
    <w:rsid w:val="002E5416"/>
    <w:rsid w:val="002E6FD9"/>
    <w:rsid w:val="002F0640"/>
    <w:rsid w:val="002F3156"/>
    <w:rsid w:val="002F36E0"/>
    <w:rsid w:val="002F4EF4"/>
    <w:rsid w:val="002F74E7"/>
    <w:rsid w:val="00303EE9"/>
    <w:rsid w:val="00306AA6"/>
    <w:rsid w:val="00306EBF"/>
    <w:rsid w:val="00307EF3"/>
    <w:rsid w:val="00310467"/>
    <w:rsid w:val="00312C84"/>
    <w:rsid w:val="003135AE"/>
    <w:rsid w:val="003200D0"/>
    <w:rsid w:val="003209B3"/>
    <w:rsid w:val="00320D26"/>
    <w:rsid w:val="00324303"/>
    <w:rsid w:val="00324B3C"/>
    <w:rsid w:val="00324C29"/>
    <w:rsid w:val="00326F3E"/>
    <w:rsid w:val="00327856"/>
    <w:rsid w:val="003315EB"/>
    <w:rsid w:val="003318CF"/>
    <w:rsid w:val="00331A29"/>
    <w:rsid w:val="00332D63"/>
    <w:rsid w:val="00332EFD"/>
    <w:rsid w:val="00333824"/>
    <w:rsid w:val="0033389A"/>
    <w:rsid w:val="0033542E"/>
    <w:rsid w:val="00335519"/>
    <w:rsid w:val="00335D33"/>
    <w:rsid w:val="003369FE"/>
    <w:rsid w:val="00341BF2"/>
    <w:rsid w:val="00342352"/>
    <w:rsid w:val="00342A07"/>
    <w:rsid w:val="003434D4"/>
    <w:rsid w:val="00343E33"/>
    <w:rsid w:val="00346E4E"/>
    <w:rsid w:val="00347C2F"/>
    <w:rsid w:val="00353238"/>
    <w:rsid w:val="00356315"/>
    <w:rsid w:val="003611AE"/>
    <w:rsid w:val="0036293E"/>
    <w:rsid w:val="00363025"/>
    <w:rsid w:val="00363234"/>
    <w:rsid w:val="00363B5B"/>
    <w:rsid w:val="003646F3"/>
    <w:rsid w:val="0036752E"/>
    <w:rsid w:val="00370620"/>
    <w:rsid w:val="00370759"/>
    <w:rsid w:val="00370E96"/>
    <w:rsid w:val="00375FA7"/>
    <w:rsid w:val="00377809"/>
    <w:rsid w:val="00380019"/>
    <w:rsid w:val="00380D34"/>
    <w:rsid w:val="003815CA"/>
    <w:rsid w:val="00382EF4"/>
    <w:rsid w:val="00384777"/>
    <w:rsid w:val="00385419"/>
    <w:rsid w:val="00385EF1"/>
    <w:rsid w:val="00386287"/>
    <w:rsid w:val="0039089D"/>
    <w:rsid w:val="00390D95"/>
    <w:rsid w:val="00392BD9"/>
    <w:rsid w:val="00392D9E"/>
    <w:rsid w:val="00396EC3"/>
    <w:rsid w:val="0039792A"/>
    <w:rsid w:val="003A019C"/>
    <w:rsid w:val="003A03D0"/>
    <w:rsid w:val="003A05EE"/>
    <w:rsid w:val="003A2FF5"/>
    <w:rsid w:val="003A3635"/>
    <w:rsid w:val="003A7407"/>
    <w:rsid w:val="003B08E1"/>
    <w:rsid w:val="003B3D92"/>
    <w:rsid w:val="003B5BFC"/>
    <w:rsid w:val="003B7010"/>
    <w:rsid w:val="003C2F82"/>
    <w:rsid w:val="003C3E41"/>
    <w:rsid w:val="003C44B4"/>
    <w:rsid w:val="003C58EF"/>
    <w:rsid w:val="003C5C6D"/>
    <w:rsid w:val="003C6D9A"/>
    <w:rsid w:val="003D078E"/>
    <w:rsid w:val="003D08F6"/>
    <w:rsid w:val="003D288B"/>
    <w:rsid w:val="003D46E1"/>
    <w:rsid w:val="003D74BE"/>
    <w:rsid w:val="003E0D0D"/>
    <w:rsid w:val="003E21C6"/>
    <w:rsid w:val="003E392A"/>
    <w:rsid w:val="003E4F0A"/>
    <w:rsid w:val="003E5D34"/>
    <w:rsid w:val="003E64A2"/>
    <w:rsid w:val="003E708D"/>
    <w:rsid w:val="003F14AD"/>
    <w:rsid w:val="003F28BB"/>
    <w:rsid w:val="003F421F"/>
    <w:rsid w:val="003F4510"/>
    <w:rsid w:val="003F5DE9"/>
    <w:rsid w:val="003F63B1"/>
    <w:rsid w:val="003F796C"/>
    <w:rsid w:val="00400507"/>
    <w:rsid w:val="00400BA0"/>
    <w:rsid w:val="00401B28"/>
    <w:rsid w:val="004029D5"/>
    <w:rsid w:val="004046F2"/>
    <w:rsid w:val="00405427"/>
    <w:rsid w:val="0040545F"/>
    <w:rsid w:val="004055F5"/>
    <w:rsid w:val="00406EA8"/>
    <w:rsid w:val="00407331"/>
    <w:rsid w:val="00407343"/>
    <w:rsid w:val="0041003E"/>
    <w:rsid w:val="004107B7"/>
    <w:rsid w:val="00417A5E"/>
    <w:rsid w:val="004233DE"/>
    <w:rsid w:val="00423910"/>
    <w:rsid w:val="004247B0"/>
    <w:rsid w:val="00424D10"/>
    <w:rsid w:val="00425339"/>
    <w:rsid w:val="004265E5"/>
    <w:rsid w:val="00426820"/>
    <w:rsid w:val="00426F58"/>
    <w:rsid w:val="004274C6"/>
    <w:rsid w:val="004301B9"/>
    <w:rsid w:val="004362E3"/>
    <w:rsid w:val="004369BA"/>
    <w:rsid w:val="00440904"/>
    <w:rsid w:val="00442053"/>
    <w:rsid w:val="00443FD7"/>
    <w:rsid w:val="004459E1"/>
    <w:rsid w:val="00446B58"/>
    <w:rsid w:val="00446CB7"/>
    <w:rsid w:val="00450F48"/>
    <w:rsid w:val="00451574"/>
    <w:rsid w:val="00451DCC"/>
    <w:rsid w:val="00454562"/>
    <w:rsid w:val="0045489F"/>
    <w:rsid w:val="00455059"/>
    <w:rsid w:val="004602FB"/>
    <w:rsid w:val="00462384"/>
    <w:rsid w:val="00464CA6"/>
    <w:rsid w:val="00465774"/>
    <w:rsid w:val="004705AE"/>
    <w:rsid w:val="00470BEC"/>
    <w:rsid w:val="0047246D"/>
    <w:rsid w:val="00473DFD"/>
    <w:rsid w:val="00474889"/>
    <w:rsid w:val="00477571"/>
    <w:rsid w:val="0048233E"/>
    <w:rsid w:val="004826DD"/>
    <w:rsid w:val="00482B38"/>
    <w:rsid w:val="0048506F"/>
    <w:rsid w:val="004869E6"/>
    <w:rsid w:val="0049289F"/>
    <w:rsid w:val="00493124"/>
    <w:rsid w:val="00495D3D"/>
    <w:rsid w:val="004963B3"/>
    <w:rsid w:val="004971D6"/>
    <w:rsid w:val="004977B2"/>
    <w:rsid w:val="004977FE"/>
    <w:rsid w:val="004A1064"/>
    <w:rsid w:val="004A165D"/>
    <w:rsid w:val="004A737D"/>
    <w:rsid w:val="004A796C"/>
    <w:rsid w:val="004B13DE"/>
    <w:rsid w:val="004B30DE"/>
    <w:rsid w:val="004B32C3"/>
    <w:rsid w:val="004B438E"/>
    <w:rsid w:val="004B4B3E"/>
    <w:rsid w:val="004B4F25"/>
    <w:rsid w:val="004B5D90"/>
    <w:rsid w:val="004B6BD3"/>
    <w:rsid w:val="004C1C39"/>
    <w:rsid w:val="004C27EF"/>
    <w:rsid w:val="004C33B8"/>
    <w:rsid w:val="004C3B4F"/>
    <w:rsid w:val="004C413D"/>
    <w:rsid w:val="004C58B9"/>
    <w:rsid w:val="004C7CF1"/>
    <w:rsid w:val="004C7EE7"/>
    <w:rsid w:val="004D0653"/>
    <w:rsid w:val="004D09AA"/>
    <w:rsid w:val="004D280E"/>
    <w:rsid w:val="004D2843"/>
    <w:rsid w:val="004D37A7"/>
    <w:rsid w:val="004E21B3"/>
    <w:rsid w:val="004E5AB9"/>
    <w:rsid w:val="004E790E"/>
    <w:rsid w:val="004E7B45"/>
    <w:rsid w:val="004F07A9"/>
    <w:rsid w:val="004F3145"/>
    <w:rsid w:val="004F3805"/>
    <w:rsid w:val="004F574E"/>
    <w:rsid w:val="004F62C1"/>
    <w:rsid w:val="004F64F9"/>
    <w:rsid w:val="004F792D"/>
    <w:rsid w:val="004F7C86"/>
    <w:rsid w:val="0050081C"/>
    <w:rsid w:val="00501BD4"/>
    <w:rsid w:val="005022FF"/>
    <w:rsid w:val="00502A7F"/>
    <w:rsid w:val="00503439"/>
    <w:rsid w:val="0050389F"/>
    <w:rsid w:val="00503C67"/>
    <w:rsid w:val="00505CAD"/>
    <w:rsid w:val="00507A30"/>
    <w:rsid w:val="00510E08"/>
    <w:rsid w:val="00513595"/>
    <w:rsid w:val="00516505"/>
    <w:rsid w:val="00516C1A"/>
    <w:rsid w:val="005177C5"/>
    <w:rsid w:val="005177C6"/>
    <w:rsid w:val="0052687A"/>
    <w:rsid w:val="00526F9F"/>
    <w:rsid w:val="0052741E"/>
    <w:rsid w:val="00527F3E"/>
    <w:rsid w:val="00532874"/>
    <w:rsid w:val="005414B3"/>
    <w:rsid w:val="00542039"/>
    <w:rsid w:val="00542D47"/>
    <w:rsid w:val="0054463B"/>
    <w:rsid w:val="00546174"/>
    <w:rsid w:val="00546F3F"/>
    <w:rsid w:val="00547C0A"/>
    <w:rsid w:val="005529B2"/>
    <w:rsid w:val="0055438C"/>
    <w:rsid w:val="00555AA7"/>
    <w:rsid w:val="00556AF0"/>
    <w:rsid w:val="00560269"/>
    <w:rsid w:val="00560F44"/>
    <w:rsid w:val="00564779"/>
    <w:rsid w:val="00566BF9"/>
    <w:rsid w:val="0056745F"/>
    <w:rsid w:val="005678D6"/>
    <w:rsid w:val="00567D29"/>
    <w:rsid w:val="00570722"/>
    <w:rsid w:val="00570974"/>
    <w:rsid w:val="0057114C"/>
    <w:rsid w:val="005728F3"/>
    <w:rsid w:val="00572B6C"/>
    <w:rsid w:val="005730D2"/>
    <w:rsid w:val="00574594"/>
    <w:rsid w:val="00574912"/>
    <w:rsid w:val="00575120"/>
    <w:rsid w:val="0057520A"/>
    <w:rsid w:val="00575989"/>
    <w:rsid w:val="00575C6B"/>
    <w:rsid w:val="00576EB1"/>
    <w:rsid w:val="00581E62"/>
    <w:rsid w:val="00583EA8"/>
    <w:rsid w:val="005842AF"/>
    <w:rsid w:val="005859F6"/>
    <w:rsid w:val="00586ADD"/>
    <w:rsid w:val="00587563"/>
    <w:rsid w:val="005958D6"/>
    <w:rsid w:val="00595EBD"/>
    <w:rsid w:val="005964CF"/>
    <w:rsid w:val="00597029"/>
    <w:rsid w:val="005A02A3"/>
    <w:rsid w:val="005A02CB"/>
    <w:rsid w:val="005A0896"/>
    <w:rsid w:val="005A1AA1"/>
    <w:rsid w:val="005A1E08"/>
    <w:rsid w:val="005A3F5C"/>
    <w:rsid w:val="005A4266"/>
    <w:rsid w:val="005A5C37"/>
    <w:rsid w:val="005B055A"/>
    <w:rsid w:val="005B0D6E"/>
    <w:rsid w:val="005B1AEC"/>
    <w:rsid w:val="005B1B41"/>
    <w:rsid w:val="005B4863"/>
    <w:rsid w:val="005B4BFD"/>
    <w:rsid w:val="005B7019"/>
    <w:rsid w:val="005C040A"/>
    <w:rsid w:val="005C11A9"/>
    <w:rsid w:val="005C65EB"/>
    <w:rsid w:val="005C6FC1"/>
    <w:rsid w:val="005D3289"/>
    <w:rsid w:val="005D4C84"/>
    <w:rsid w:val="005D7527"/>
    <w:rsid w:val="005D7690"/>
    <w:rsid w:val="005E0721"/>
    <w:rsid w:val="005E22CA"/>
    <w:rsid w:val="005E2628"/>
    <w:rsid w:val="005E32E3"/>
    <w:rsid w:val="005E65D0"/>
    <w:rsid w:val="005F20D9"/>
    <w:rsid w:val="005F23A3"/>
    <w:rsid w:val="005F3594"/>
    <w:rsid w:val="005F3F40"/>
    <w:rsid w:val="005F5824"/>
    <w:rsid w:val="005F5BE6"/>
    <w:rsid w:val="00600393"/>
    <w:rsid w:val="00600C16"/>
    <w:rsid w:val="00603B3F"/>
    <w:rsid w:val="0060630E"/>
    <w:rsid w:val="006067D5"/>
    <w:rsid w:val="0061009E"/>
    <w:rsid w:val="0061015A"/>
    <w:rsid w:val="006109BE"/>
    <w:rsid w:val="006129F4"/>
    <w:rsid w:val="00613837"/>
    <w:rsid w:val="00614479"/>
    <w:rsid w:val="006236D6"/>
    <w:rsid w:val="00623AEB"/>
    <w:rsid w:val="00624336"/>
    <w:rsid w:val="00625366"/>
    <w:rsid w:val="006256FF"/>
    <w:rsid w:val="00627383"/>
    <w:rsid w:val="00627F0D"/>
    <w:rsid w:val="006340EA"/>
    <w:rsid w:val="00635D13"/>
    <w:rsid w:val="006375D5"/>
    <w:rsid w:val="00640EEC"/>
    <w:rsid w:val="00641906"/>
    <w:rsid w:val="00641FF6"/>
    <w:rsid w:val="00644EEC"/>
    <w:rsid w:val="0064567E"/>
    <w:rsid w:val="00645CD3"/>
    <w:rsid w:val="00646114"/>
    <w:rsid w:val="00646934"/>
    <w:rsid w:val="00646BAB"/>
    <w:rsid w:val="00651273"/>
    <w:rsid w:val="0065131F"/>
    <w:rsid w:val="00651475"/>
    <w:rsid w:val="00652AFB"/>
    <w:rsid w:val="00653883"/>
    <w:rsid w:val="00656001"/>
    <w:rsid w:val="00656DCA"/>
    <w:rsid w:val="006623AD"/>
    <w:rsid w:val="00663AF2"/>
    <w:rsid w:val="00665A9F"/>
    <w:rsid w:val="00666048"/>
    <w:rsid w:val="00666E9D"/>
    <w:rsid w:val="00670716"/>
    <w:rsid w:val="00671216"/>
    <w:rsid w:val="00676289"/>
    <w:rsid w:val="00676BC9"/>
    <w:rsid w:val="00680986"/>
    <w:rsid w:val="00681986"/>
    <w:rsid w:val="0068238C"/>
    <w:rsid w:val="00683C55"/>
    <w:rsid w:val="00683D49"/>
    <w:rsid w:val="00684A37"/>
    <w:rsid w:val="00686CC9"/>
    <w:rsid w:val="00686F06"/>
    <w:rsid w:val="00687290"/>
    <w:rsid w:val="00690180"/>
    <w:rsid w:val="00690CB6"/>
    <w:rsid w:val="006916E6"/>
    <w:rsid w:val="00691FF2"/>
    <w:rsid w:val="006940DB"/>
    <w:rsid w:val="00696659"/>
    <w:rsid w:val="006969A4"/>
    <w:rsid w:val="00696B8D"/>
    <w:rsid w:val="00696CE3"/>
    <w:rsid w:val="006A0B6B"/>
    <w:rsid w:val="006A0BDF"/>
    <w:rsid w:val="006A3EDA"/>
    <w:rsid w:val="006A53BB"/>
    <w:rsid w:val="006A5459"/>
    <w:rsid w:val="006A6AE8"/>
    <w:rsid w:val="006A75AF"/>
    <w:rsid w:val="006B0B84"/>
    <w:rsid w:val="006B2AED"/>
    <w:rsid w:val="006B4483"/>
    <w:rsid w:val="006B6E81"/>
    <w:rsid w:val="006C3B62"/>
    <w:rsid w:val="006C4B87"/>
    <w:rsid w:val="006C59D5"/>
    <w:rsid w:val="006C6DF1"/>
    <w:rsid w:val="006C7FFE"/>
    <w:rsid w:val="006D02B0"/>
    <w:rsid w:val="006D030D"/>
    <w:rsid w:val="006D0C44"/>
    <w:rsid w:val="006D2200"/>
    <w:rsid w:val="006D3598"/>
    <w:rsid w:val="006D52E9"/>
    <w:rsid w:val="006D7652"/>
    <w:rsid w:val="006D78FD"/>
    <w:rsid w:val="006E03FD"/>
    <w:rsid w:val="006E3784"/>
    <w:rsid w:val="006E7C36"/>
    <w:rsid w:val="006F0497"/>
    <w:rsid w:val="006F32BF"/>
    <w:rsid w:val="006F57E5"/>
    <w:rsid w:val="006F6F7E"/>
    <w:rsid w:val="006F7979"/>
    <w:rsid w:val="006F797E"/>
    <w:rsid w:val="006F7BE5"/>
    <w:rsid w:val="00700177"/>
    <w:rsid w:val="00700A02"/>
    <w:rsid w:val="00701524"/>
    <w:rsid w:val="007016C0"/>
    <w:rsid w:val="0070227B"/>
    <w:rsid w:val="00706F43"/>
    <w:rsid w:val="0070719C"/>
    <w:rsid w:val="0071469F"/>
    <w:rsid w:val="00714C17"/>
    <w:rsid w:val="007203EC"/>
    <w:rsid w:val="007226FE"/>
    <w:rsid w:val="0072292A"/>
    <w:rsid w:val="00727072"/>
    <w:rsid w:val="007279B1"/>
    <w:rsid w:val="007300BD"/>
    <w:rsid w:val="00735317"/>
    <w:rsid w:val="00742111"/>
    <w:rsid w:val="007432A3"/>
    <w:rsid w:val="0074591A"/>
    <w:rsid w:val="0074661C"/>
    <w:rsid w:val="00747202"/>
    <w:rsid w:val="00747755"/>
    <w:rsid w:val="007501D4"/>
    <w:rsid w:val="00750397"/>
    <w:rsid w:val="00752A0F"/>
    <w:rsid w:val="00753C12"/>
    <w:rsid w:val="00754ADD"/>
    <w:rsid w:val="00754BC1"/>
    <w:rsid w:val="00756E7D"/>
    <w:rsid w:val="00757511"/>
    <w:rsid w:val="00757853"/>
    <w:rsid w:val="0076182E"/>
    <w:rsid w:val="00764D24"/>
    <w:rsid w:val="00766475"/>
    <w:rsid w:val="0076656F"/>
    <w:rsid w:val="007673BC"/>
    <w:rsid w:val="007677A8"/>
    <w:rsid w:val="00772693"/>
    <w:rsid w:val="0077364D"/>
    <w:rsid w:val="00773A8F"/>
    <w:rsid w:val="00773C68"/>
    <w:rsid w:val="00774F84"/>
    <w:rsid w:val="0077770D"/>
    <w:rsid w:val="007778C3"/>
    <w:rsid w:val="00780492"/>
    <w:rsid w:val="00782803"/>
    <w:rsid w:val="00784579"/>
    <w:rsid w:val="00784923"/>
    <w:rsid w:val="00790A85"/>
    <w:rsid w:val="007920CB"/>
    <w:rsid w:val="007920D8"/>
    <w:rsid w:val="00793139"/>
    <w:rsid w:val="0079338B"/>
    <w:rsid w:val="00794C5F"/>
    <w:rsid w:val="007968E7"/>
    <w:rsid w:val="007A0103"/>
    <w:rsid w:val="007A21D0"/>
    <w:rsid w:val="007A2277"/>
    <w:rsid w:val="007A2EE9"/>
    <w:rsid w:val="007A4E61"/>
    <w:rsid w:val="007A5009"/>
    <w:rsid w:val="007A6ABC"/>
    <w:rsid w:val="007A7E39"/>
    <w:rsid w:val="007B02C2"/>
    <w:rsid w:val="007B0E81"/>
    <w:rsid w:val="007B2A7F"/>
    <w:rsid w:val="007B2FCD"/>
    <w:rsid w:val="007B3A72"/>
    <w:rsid w:val="007B7756"/>
    <w:rsid w:val="007B7B06"/>
    <w:rsid w:val="007B7C25"/>
    <w:rsid w:val="007B7CBD"/>
    <w:rsid w:val="007C34CD"/>
    <w:rsid w:val="007C7142"/>
    <w:rsid w:val="007D0367"/>
    <w:rsid w:val="007D0A96"/>
    <w:rsid w:val="007D0CF2"/>
    <w:rsid w:val="007D1969"/>
    <w:rsid w:val="007D19EA"/>
    <w:rsid w:val="007D1A8F"/>
    <w:rsid w:val="007D2E97"/>
    <w:rsid w:val="007D5644"/>
    <w:rsid w:val="007D6203"/>
    <w:rsid w:val="007D7CEC"/>
    <w:rsid w:val="007E1279"/>
    <w:rsid w:val="007E18F4"/>
    <w:rsid w:val="007E2774"/>
    <w:rsid w:val="007E28DE"/>
    <w:rsid w:val="007E38F4"/>
    <w:rsid w:val="007E3EBF"/>
    <w:rsid w:val="007E42F1"/>
    <w:rsid w:val="007E7336"/>
    <w:rsid w:val="007F0964"/>
    <w:rsid w:val="007F2573"/>
    <w:rsid w:val="007F2E59"/>
    <w:rsid w:val="007F35B3"/>
    <w:rsid w:val="007F38F0"/>
    <w:rsid w:val="007F3E1B"/>
    <w:rsid w:val="00804001"/>
    <w:rsid w:val="00805358"/>
    <w:rsid w:val="008063A2"/>
    <w:rsid w:val="008069D3"/>
    <w:rsid w:val="008070A8"/>
    <w:rsid w:val="00810499"/>
    <w:rsid w:val="008109BF"/>
    <w:rsid w:val="0081150A"/>
    <w:rsid w:val="0081166D"/>
    <w:rsid w:val="0081203C"/>
    <w:rsid w:val="00812A1D"/>
    <w:rsid w:val="00816862"/>
    <w:rsid w:val="00816C94"/>
    <w:rsid w:val="0082029C"/>
    <w:rsid w:val="00820766"/>
    <w:rsid w:val="00821F3F"/>
    <w:rsid w:val="008226F8"/>
    <w:rsid w:val="008231B9"/>
    <w:rsid w:val="00823A86"/>
    <w:rsid w:val="00825C47"/>
    <w:rsid w:val="0082604D"/>
    <w:rsid w:val="00826915"/>
    <w:rsid w:val="00827091"/>
    <w:rsid w:val="008306C9"/>
    <w:rsid w:val="00831576"/>
    <w:rsid w:val="00832133"/>
    <w:rsid w:val="00835449"/>
    <w:rsid w:val="00840C65"/>
    <w:rsid w:val="008414AF"/>
    <w:rsid w:val="00842593"/>
    <w:rsid w:val="00843589"/>
    <w:rsid w:val="008436C7"/>
    <w:rsid w:val="008441CF"/>
    <w:rsid w:val="0084470A"/>
    <w:rsid w:val="00844F57"/>
    <w:rsid w:val="00847B43"/>
    <w:rsid w:val="00847D96"/>
    <w:rsid w:val="00851A3A"/>
    <w:rsid w:val="00851D43"/>
    <w:rsid w:val="00855125"/>
    <w:rsid w:val="00855A96"/>
    <w:rsid w:val="00856A27"/>
    <w:rsid w:val="00857286"/>
    <w:rsid w:val="00857EFC"/>
    <w:rsid w:val="00864811"/>
    <w:rsid w:val="008704EC"/>
    <w:rsid w:val="0087112B"/>
    <w:rsid w:val="0087234E"/>
    <w:rsid w:val="00872A59"/>
    <w:rsid w:val="00876B21"/>
    <w:rsid w:val="0087707C"/>
    <w:rsid w:val="0087728C"/>
    <w:rsid w:val="0087777D"/>
    <w:rsid w:val="00877FFE"/>
    <w:rsid w:val="008837E8"/>
    <w:rsid w:val="00887C1D"/>
    <w:rsid w:val="00890EBA"/>
    <w:rsid w:val="008955F5"/>
    <w:rsid w:val="00895A37"/>
    <w:rsid w:val="00895B76"/>
    <w:rsid w:val="00897E36"/>
    <w:rsid w:val="008A1F89"/>
    <w:rsid w:val="008A1FDF"/>
    <w:rsid w:val="008A42FA"/>
    <w:rsid w:val="008A4354"/>
    <w:rsid w:val="008A4C47"/>
    <w:rsid w:val="008A51A5"/>
    <w:rsid w:val="008A5FB6"/>
    <w:rsid w:val="008B0FA5"/>
    <w:rsid w:val="008B142E"/>
    <w:rsid w:val="008B63B3"/>
    <w:rsid w:val="008C3D46"/>
    <w:rsid w:val="008C584E"/>
    <w:rsid w:val="008C5F4D"/>
    <w:rsid w:val="008C791E"/>
    <w:rsid w:val="008D1041"/>
    <w:rsid w:val="008D1FF0"/>
    <w:rsid w:val="008D2566"/>
    <w:rsid w:val="008D3B0D"/>
    <w:rsid w:val="008D5E6E"/>
    <w:rsid w:val="008E167F"/>
    <w:rsid w:val="008E2642"/>
    <w:rsid w:val="008E320B"/>
    <w:rsid w:val="008E33FD"/>
    <w:rsid w:val="008E3483"/>
    <w:rsid w:val="008F05AD"/>
    <w:rsid w:val="008F0967"/>
    <w:rsid w:val="008F0A9D"/>
    <w:rsid w:val="008F4387"/>
    <w:rsid w:val="008F4C58"/>
    <w:rsid w:val="008F594B"/>
    <w:rsid w:val="0090572C"/>
    <w:rsid w:val="009064BD"/>
    <w:rsid w:val="00907AC1"/>
    <w:rsid w:val="009102F9"/>
    <w:rsid w:val="0091080B"/>
    <w:rsid w:val="00912465"/>
    <w:rsid w:val="00913393"/>
    <w:rsid w:val="00915A33"/>
    <w:rsid w:val="00920871"/>
    <w:rsid w:val="00924765"/>
    <w:rsid w:val="00926833"/>
    <w:rsid w:val="00926D75"/>
    <w:rsid w:val="009308A8"/>
    <w:rsid w:val="00933A1C"/>
    <w:rsid w:val="00942942"/>
    <w:rsid w:val="00944F13"/>
    <w:rsid w:val="00945A5D"/>
    <w:rsid w:val="009502CD"/>
    <w:rsid w:val="0095069D"/>
    <w:rsid w:val="0095215C"/>
    <w:rsid w:val="009534B5"/>
    <w:rsid w:val="00953C9C"/>
    <w:rsid w:val="0095757F"/>
    <w:rsid w:val="00961193"/>
    <w:rsid w:val="0096326F"/>
    <w:rsid w:val="0096581F"/>
    <w:rsid w:val="009670B7"/>
    <w:rsid w:val="00970461"/>
    <w:rsid w:val="00970F6A"/>
    <w:rsid w:val="0097145B"/>
    <w:rsid w:val="00971837"/>
    <w:rsid w:val="009723D1"/>
    <w:rsid w:val="00972411"/>
    <w:rsid w:val="009732C1"/>
    <w:rsid w:val="00973F24"/>
    <w:rsid w:val="009742A2"/>
    <w:rsid w:val="00974588"/>
    <w:rsid w:val="009745DD"/>
    <w:rsid w:val="009756DE"/>
    <w:rsid w:val="00975D0B"/>
    <w:rsid w:val="00975EEB"/>
    <w:rsid w:val="00976E82"/>
    <w:rsid w:val="00977705"/>
    <w:rsid w:val="00980372"/>
    <w:rsid w:val="00981667"/>
    <w:rsid w:val="00983CA6"/>
    <w:rsid w:val="009859B2"/>
    <w:rsid w:val="00990787"/>
    <w:rsid w:val="00995389"/>
    <w:rsid w:val="009A5675"/>
    <w:rsid w:val="009A6711"/>
    <w:rsid w:val="009A6B5B"/>
    <w:rsid w:val="009A76BD"/>
    <w:rsid w:val="009B038A"/>
    <w:rsid w:val="009B39C1"/>
    <w:rsid w:val="009B5866"/>
    <w:rsid w:val="009B7386"/>
    <w:rsid w:val="009C2618"/>
    <w:rsid w:val="009C49E6"/>
    <w:rsid w:val="009D04CD"/>
    <w:rsid w:val="009D07B2"/>
    <w:rsid w:val="009D1536"/>
    <w:rsid w:val="009D1B2A"/>
    <w:rsid w:val="009D2942"/>
    <w:rsid w:val="009D5783"/>
    <w:rsid w:val="009D5CBD"/>
    <w:rsid w:val="009D67A8"/>
    <w:rsid w:val="009E0D9D"/>
    <w:rsid w:val="009E15BE"/>
    <w:rsid w:val="009E5BA2"/>
    <w:rsid w:val="009F0A50"/>
    <w:rsid w:val="009F0BCB"/>
    <w:rsid w:val="009F0F49"/>
    <w:rsid w:val="009F10F8"/>
    <w:rsid w:val="009F1672"/>
    <w:rsid w:val="009F2984"/>
    <w:rsid w:val="009F368F"/>
    <w:rsid w:val="009F4180"/>
    <w:rsid w:val="009F461D"/>
    <w:rsid w:val="009F4C2A"/>
    <w:rsid w:val="009F7219"/>
    <w:rsid w:val="00A00452"/>
    <w:rsid w:val="00A031A2"/>
    <w:rsid w:val="00A047F8"/>
    <w:rsid w:val="00A053BC"/>
    <w:rsid w:val="00A054FB"/>
    <w:rsid w:val="00A05F46"/>
    <w:rsid w:val="00A07A2F"/>
    <w:rsid w:val="00A1299F"/>
    <w:rsid w:val="00A13D40"/>
    <w:rsid w:val="00A14BC4"/>
    <w:rsid w:val="00A14F1C"/>
    <w:rsid w:val="00A15B3A"/>
    <w:rsid w:val="00A16F1C"/>
    <w:rsid w:val="00A178F9"/>
    <w:rsid w:val="00A208CC"/>
    <w:rsid w:val="00A213A8"/>
    <w:rsid w:val="00A21F3E"/>
    <w:rsid w:val="00A2330E"/>
    <w:rsid w:val="00A23B97"/>
    <w:rsid w:val="00A24AAE"/>
    <w:rsid w:val="00A30135"/>
    <w:rsid w:val="00A31FFE"/>
    <w:rsid w:val="00A32E4A"/>
    <w:rsid w:val="00A349F6"/>
    <w:rsid w:val="00A34C3A"/>
    <w:rsid w:val="00A36749"/>
    <w:rsid w:val="00A36B09"/>
    <w:rsid w:val="00A42AA8"/>
    <w:rsid w:val="00A44A2D"/>
    <w:rsid w:val="00A44A80"/>
    <w:rsid w:val="00A45075"/>
    <w:rsid w:val="00A451CC"/>
    <w:rsid w:val="00A508B6"/>
    <w:rsid w:val="00A5270B"/>
    <w:rsid w:val="00A55ABC"/>
    <w:rsid w:val="00A55F43"/>
    <w:rsid w:val="00A57BC8"/>
    <w:rsid w:val="00A602A7"/>
    <w:rsid w:val="00A605CE"/>
    <w:rsid w:val="00A607C7"/>
    <w:rsid w:val="00A637E8"/>
    <w:rsid w:val="00A63F9D"/>
    <w:rsid w:val="00A64EC4"/>
    <w:rsid w:val="00A7023B"/>
    <w:rsid w:val="00A71E27"/>
    <w:rsid w:val="00A71EC3"/>
    <w:rsid w:val="00A71FD0"/>
    <w:rsid w:val="00A72929"/>
    <w:rsid w:val="00A72DC4"/>
    <w:rsid w:val="00A7705C"/>
    <w:rsid w:val="00A77687"/>
    <w:rsid w:val="00A803AA"/>
    <w:rsid w:val="00A824B5"/>
    <w:rsid w:val="00A83F7D"/>
    <w:rsid w:val="00A85496"/>
    <w:rsid w:val="00A856FC"/>
    <w:rsid w:val="00A86D3E"/>
    <w:rsid w:val="00A903A1"/>
    <w:rsid w:val="00A9046C"/>
    <w:rsid w:val="00A905F5"/>
    <w:rsid w:val="00AA0888"/>
    <w:rsid w:val="00AA279F"/>
    <w:rsid w:val="00AA4553"/>
    <w:rsid w:val="00AA6088"/>
    <w:rsid w:val="00AA7670"/>
    <w:rsid w:val="00AB09B1"/>
    <w:rsid w:val="00AB0AE9"/>
    <w:rsid w:val="00AB1F62"/>
    <w:rsid w:val="00AB34DC"/>
    <w:rsid w:val="00AB40CF"/>
    <w:rsid w:val="00AB42EA"/>
    <w:rsid w:val="00AB5EE4"/>
    <w:rsid w:val="00AB65E7"/>
    <w:rsid w:val="00AC010D"/>
    <w:rsid w:val="00AC3600"/>
    <w:rsid w:val="00AC3C3F"/>
    <w:rsid w:val="00AC4089"/>
    <w:rsid w:val="00AC43CD"/>
    <w:rsid w:val="00AC5BA5"/>
    <w:rsid w:val="00AC7706"/>
    <w:rsid w:val="00AD050B"/>
    <w:rsid w:val="00AD061E"/>
    <w:rsid w:val="00AD3414"/>
    <w:rsid w:val="00AD38CE"/>
    <w:rsid w:val="00AD45E0"/>
    <w:rsid w:val="00AD500F"/>
    <w:rsid w:val="00AD6AA0"/>
    <w:rsid w:val="00AD7352"/>
    <w:rsid w:val="00AD7D8A"/>
    <w:rsid w:val="00AE0A30"/>
    <w:rsid w:val="00AE12AD"/>
    <w:rsid w:val="00AE2CB4"/>
    <w:rsid w:val="00AE6898"/>
    <w:rsid w:val="00AF080D"/>
    <w:rsid w:val="00AF1962"/>
    <w:rsid w:val="00AF2316"/>
    <w:rsid w:val="00AF3707"/>
    <w:rsid w:val="00AF3B8D"/>
    <w:rsid w:val="00AF6545"/>
    <w:rsid w:val="00AF6849"/>
    <w:rsid w:val="00AF78DE"/>
    <w:rsid w:val="00B00FC3"/>
    <w:rsid w:val="00B01148"/>
    <w:rsid w:val="00B018BF"/>
    <w:rsid w:val="00B05879"/>
    <w:rsid w:val="00B06707"/>
    <w:rsid w:val="00B0677D"/>
    <w:rsid w:val="00B109DF"/>
    <w:rsid w:val="00B10A80"/>
    <w:rsid w:val="00B117C6"/>
    <w:rsid w:val="00B11957"/>
    <w:rsid w:val="00B11AC6"/>
    <w:rsid w:val="00B12728"/>
    <w:rsid w:val="00B14942"/>
    <w:rsid w:val="00B159CD"/>
    <w:rsid w:val="00B16EBF"/>
    <w:rsid w:val="00B17565"/>
    <w:rsid w:val="00B17C99"/>
    <w:rsid w:val="00B2228C"/>
    <w:rsid w:val="00B22E09"/>
    <w:rsid w:val="00B2720C"/>
    <w:rsid w:val="00B31DB8"/>
    <w:rsid w:val="00B32F58"/>
    <w:rsid w:val="00B3362B"/>
    <w:rsid w:val="00B341B4"/>
    <w:rsid w:val="00B34CEC"/>
    <w:rsid w:val="00B364D4"/>
    <w:rsid w:val="00B368BE"/>
    <w:rsid w:val="00B36CF5"/>
    <w:rsid w:val="00B37170"/>
    <w:rsid w:val="00B37316"/>
    <w:rsid w:val="00B4014E"/>
    <w:rsid w:val="00B4318A"/>
    <w:rsid w:val="00B4680D"/>
    <w:rsid w:val="00B46D28"/>
    <w:rsid w:val="00B46F84"/>
    <w:rsid w:val="00B47908"/>
    <w:rsid w:val="00B51B38"/>
    <w:rsid w:val="00B5205B"/>
    <w:rsid w:val="00B520CF"/>
    <w:rsid w:val="00B52584"/>
    <w:rsid w:val="00B52F5E"/>
    <w:rsid w:val="00B53427"/>
    <w:rsid w:val="00B540E6"/>
    <w:rsid w:val="00B54354"/>
    <w:rsid w:val="00B56D14"/>
    <w:rsid w:val="00B625C6"/>
    <w:rsid w:val="00B644ED"/>
    <w:rsid w:val="00B665E6"/>
    <w:rsid w:val="00B66FE0"/>
    <w:rsid w:val="00B673D6"/>
    <w:rsid w:val="00B6799A"/>
    <w:rsid w:val="00B7058B"/>
    <w:rsid w:val="00B727F3"/>
    <w:rsid w:val="00B72D8C"/>
    <w:rsid w:val="00B762C5"/>
    <w:rsid w:val="00B77871"/>
    <w:rsid w:val="00B77A1A"/>
    <w:rsid w:val="00B82C1C"/>
    <w:rsid w:val="00B82D41"/>
    <w:rsid w:val="00B83D84"/>
    <w:rsid w:val="00B90F17"/>
    <w:rsid w:val="00B93DF5"/>
    <w:rsid w:val="00B94B30"/>
    <w:rsid w:val="00BA116D"/>
    <w:rsid w:val="00BA3CDB"/>
    <w:rsid w:val="00BA638B"/>
    <w:rsid w:val="00BA7D17"/>
    <w:rsid w:val="00BA7D2D"/>
    <w:rsid w:val="00BB076E"/>
    <w:rsid w:val="00BB0FD6"/>
    <w:rsid w:val="00BB1B68"/>
    <w:rsid w:val="00BB1CF2"/>
    <w:rsid w:val="00BB36DD"/>
    <w:rsid w:val="00BB5152"/>
    <w:rsid w:val="00BB5E66"/>
    <w:rsid w:val="00BB7A25"/>
    <w:rsid w:val="00BB7C20"/>
    <w:rsid w:val="00BC0A3C"/>
    <w:rsid w:val="00BC0DC6"/>
    <w:rsid w:val="00BC5916"/>
    <w:rsid w:val="00BC621F"/>
    <w:rsid w:val="00BD0E42"/>
    <w:rsid w:val="00BD3A37"/>
    <w:rsid w:val="00BD4532"/>
    <w:rsid w:val="00BD5265"/>
    <w:rsid w:val="00BD5725"/>
    <w:rsid w:val="00BD615D"/>
    <w:rsid w:val="00BD6D25"/>
    <w:rsid w:val="00BD782F"/>
    <w:rsid w:val="00BD7952"/>
    <w:rsid w:val="00BD7965"/>
    <w:rsid w:val="00BE1A50"/>
    <w:rsid w:val="00BE24FD"/>
    <w:rsid w:val="00BE4E8C"/>
    <w:rsid w:val="00BE58D9"/>
    <w:rsid w:val="00BF01A1"/>
    <w:rsid w:val="00BF0DB1"/>
    <w:rsid w:val="00BF154E"/>
    <w:rsid w:val="00BF18E7"/>
    <w:rsid w:val="00BF4767"/>
    <w:rsid w:val="00BF5104"/>
    <w:rsid w:val="00BF687B"/>
    <w:rsid w:val="00C032F0"/>
    <w:rsid w:val="00C0349F"/>
    <w:rsid w:val="00C03503"/>
    <w:rsid w:val="00C03596"/>
    <w:rsid w:val="00C0667B"/>
    <w:rsid w:val="00C1025A"/>
    <w:rsid w:val="00C10E3A"/>
    <w:rsid w:val="00C1139E"/>
    <w:rsid w:val="00C14388"/>
    <w:rsid w:val="00C14BF0"/>
    <w:rsid w:val="00C1515F"/>
    <w:rsid w:val="00C17F6F"/>
    <w:rsid w:val="00C20621"/>
    <w:rsid w:val="00C21933"/>
    <w:rsid w:val="00C220B3"/>
    <w:rsid w:val="00C2299B"/>
    <w:rsid w:val="00C22A1F"/>
    <w:rsid w:val="00C24813"/>
    <w:rsid w:val="00C25511"/>
    <w:rsid w:val="00C255C1"/>
    <w:rsid w:val="00C27230"/>
    <w:rsid w:val="00C30A70"/>
    <w:rsid w:val="00C31AA4"/>
    <w:rsid w:val="00C33C97"/>
    <w:rsid w:val="00C364FE"/>
    <w:rsid w:val="00C40309"/>
    <w:rsid w:val="00C40859"/>
    <w:rsid w:val="00C44136"/>
    <w:rsid w:val="00C4724A"/>
    <w:rsid w:val="00C5087B"/>
    <w:rsid w:val="00C5099D"/>
    <w:rsid w:val="00C520C2"/>
    <w:rsid w:val="00C521A4"/>
    <w:rsid w:val="00C52681"/>
    <w:rsid w:val="00C57E29"/>
    <w:rsid w:val="00C610D2"/>
    <w:rsid w:val="00C63E8C"/>
    <w:rsid w:val="00C652B3"/>
    <w:rsid w:val="00C659A7"/>
    <w:rsid w:val="00C6674E"/>
    <w:rsid w:val="00C67640"/>
    <w:rsid w:val="00C70450"/>
    <w:rsid w:val="00C7054B"/>
    <w:rsid w:val="00C706EA"/>
    <w:rsid w:val="00C7122B"/>
    <w:rsid w:val="00C7331C"/>
    <w:rsid w:val="00C756CB"/>
    <w:rsid w:val="00C76BDE"/>
    <w:rsid w:val="00C76CB4"/>
    <w:rsid w:val="00C76E6B"/>
    <w:rsid w:val="00C76FFC"/>
    <w:rsid w:val="00C8343C"/>
    <w:rsid w:val="00C83499"/>
    <w:rsid w:val="00C843D5"/>
    <w:rsid w:val="00C8659B"/>
    <w:rsid w:val="00C9092A"/>
    <w:rsid w:val="00C910FE"/>
    <w:rsid w:val="00C9259F"/>
    <w:rsid w:val="00C92F97"/>
    <w:rsid w:val="00C94788"/>
    <w:rsid w:val="00C95D07"/>
    <w:rsid w:val="00CA2DEF"/>
    <w:rsid w:val="00CA3398"/>
    <w:rsid w:val="00CA3FA6"/>
    <w:rsid w:val="00CA40FA"/>
    <w:rsid w:val="00CA41E4"/>
    <w:rsid w:val="00CA4E47"/>
    <w:rsid w:val="00CA56BE"/>
    <w:rsid w:val="00CA5F96"/>
    <w:rsid w:val="00CA6926"/>
    <w:rsid w:val="00CA70D7"/>
    <w:rsid w:val="00CA735C"/>
    <w:rsid w:val="00CB0541"/>
    <w:rsid w:val="00CB2E23"/>
    <w:rsid w:val="00CB2FEF"/>
    <w:rsid w:val="00CB3AD5"/>
    <w:rsid w:val="00CB6969"/>
    <w:rsid w:val="00CB7014"/>
    <w:rsid w:val="00CC007C"/>
    <w:rsid w:val="00CC3FBD"/>
    <w:rsid w:val="00CC56C3"/>
    <w:rsid w:val="00CC7926"/>
    <w:rsid w:val="00CD07B6"/>
    <w:rsid w:val="00CD0D86"/>
    <w:rsid w:val="00CD11A1"/>
    <w:rsid w:val="00CD1B36"/>
    <w:rsid w:val="00CD34B2"/>
    <w:rsid w:val="00CD71EB"/>
    <w:rsid w:val="00CE1395"/>
    <w:rsid w:val="00CE3CC8"/>
    <w:rsid w:val="00CE56ED"/>
    <w:rsid w:val="00CE5710"/>
    <w:rsid w:val="00CE5861"/>
    <w:rsid w:val="00CE58C9"/>
    <w:rsid w:val="00CE6295"/>
    <w:rsid w:val="00CE6A01"/>
    <w:rsid w:val="00CE6AF3"/>
    <w:rsid w:val="00CF13A3"/>
    <w:rsid w:val="00CF4E25"/>
    <w:rsid w:val="00CF57EC"/>
    <w:rsid w:val="00CF6748"/>
    <w:rsid w:val="00CF6CBF"/>
    <w:rsid w:val="00D015B0"/>
    <w:rsid w:val="00D01DF2"/>
    <w:rsid w:val="00D059F0"/>
    <w:rsid w:val="00D0690E"/>
    <w:rsid w:val="00D1143A"/>
    <w:rsid w:val="00D1164E"/>
    <w:rsid w:val="00D119A7"/>
    <w:rsid w:val="00D12860"/>
    <w:rsid w:val="00D12BF9"/>
    <w:rsid w:val="00D13AF7"/>
    <w:rsid w:val="00D13D39"/>
    <w:rsid w:val="00D16505"/>
    <w:rsid w:val="00D212FA"/>
    <w:rsid w:val="00D21B74"/>
    <w:rsid w:val="00D23BD5"/>
    <w:rsid w:val="00D24FB9"/>
    <w:rsid w:val="00D2518B"/>
    <w:rsid w:val="00D26BCD"/>
    <w:rsid w:val="00D27A26"/>
    <w:rsid w:val="00D32460"/>
    <w:rsid w:val="00D32667"/>
    <w:rsid w:val="00D32E4E"/>
    <w:rsid w:val="00D33B36"/>
    <w:rsid w:val="00D341B0"/>
    <w:rsid w:val="00D35790"/>
    <w:rsid w:val="00D35FCE"/>
    <w:rsid w:val="00D36AF7"/>
    <w:rsid w:val="00D37552"/>
    <w:rsid w:val="00D412F7"/>
    <w:rsid w:val="00D413B3"/>
    <w:rsid w:val="00D45817"/>
    <w:rsid w:val="00D4743E"/>
    <w:rsid w:val="00D51A45"/>
    <w:rsid w:val="00D5385A"/>
    <w:rsid w:val="00D57387"/>
    <w:rsid w:val="00D607EA"/>
    <w:rsid w:val="00D60F4A"/>
    <w:rsid w:val="00D614AB"/>
    <w:rsid w:val="00D62009"/>
    <w:rsid w:val="00D6210F"/>
    <w:rsid w:val="00D62400"/>
    <w:rsid w:val="00D62DC7"/>
    <w:rsid w:val="00D665DA"/>
    <w:rsid w:val="00D672A2"/>
    <w:rsid w:val="00D70B22"/>
    <w:rsid w:val="00D7215E"/>
    <w:rsid w:val="00D74936"/>
    <w:rsid w:val="00D74C7D"/>
    <w:rsid w:val="00D759B5"/>
    <w:rsid w:val="00D765FF"/>
    <w:rsid w:val="00D76D94"/>
    <w:rsid w:val="00D778F6"/>
    <w:rsid w:val="00D81989"/>
    <w:rsid w:val="00D81A4E"/>
    <w:rsid w:val="00D81D52"/>
    <w:rsid w:val="00D82D96"/>
    <w:rsid w:val="00D839D7"/>
    <w:rsid w:val="00D83E37"/>
    <w:rsid w:val="00D83E60"/>
    <w:rsid w:val="00D83ECD"/>
    <w:rsid w:val="00D84DBF"/>
    <w:rsid w:val="00D84E5D"/>
    <w:rsid w:val="00D86CB7"/>
    <w:rsid w:val="00D90DC5"/>
    <w:rsid w:val="00D92A6C"/>
    <w:rsid w:val="00D93391"/>
    <w:rsid w:val="00D940DD"/>
    <w:rsid w:val="00D9536C"/>
    <w:rsid w:val="00D97503"/>
    <w:rsid w:val="00DA0D39"/>
    <w:rsid w:val="00DA308D"/>
    <w:rsid w:val="00DA32D2"/>
    <w:rsid w:val="00DA44C0"/>
    <w:rsid w:val="00DB3378"/>
    <w:rsid w:val="00DB405F"/>
    <w:rsid w:val="00DB4A50"/>
    <w:rsid w:val="00DB4F1F"/>
    <w:rsid w:val="00DB5C51"/>
    <w:rsid w:val="00DB7814"/>
    <w:rsid w:val="00DC06C8"/>
    <w:rsid w:val="00DC2396"/>
    <w:rsid w:val="00DC25CB"/>
    <w:rsid w:val="00DC3807"/>
    <w:rsid w:val="00DC58D9"/>
    <w:rsid w:val="00DC69BF"/>
    <w:rsid w:val="00DC6AF5"/>
    <w:rsid w:val="00DC7A03"/>
    <w:rsid w:val="00DC7BB9"/>
    <w:rsid w:val="00DD3A1B"/>
    <w:rsid w:val="00DD3EBA"/>
    <w:rsid w:val="00DD40FC"/>
    <w:rsid w:val="00DD46CB"/>
    <w:rsid w:val="00DD724F"/>
    <w:rsid w:val="00DD7EA5"/>
    <w:rsid w:val="00DE5937"/>
    <w:rsid w:val="00DE61B7"/>
    <w:rsid w:val="00DF1D36"/>
    <w:rsid w:val="00DF1F96"/>
    <w:rsid w:val="00DF2758"/>
    <w:rsid w:val="00DF38EA"/>
    <w:rsid w:val="00DF3E86"/>
    <w:rsid w:val="00E01999"/>
    <w:rsid w:val="00E041CA"/>
    <w:rsid w:val="00E05D7A"/>
    <w:rsid w:val="00E1090B"/>
    <w:rsid w:val="00E13AAD"/>
    <w:rsid w:val="00E149F4"/>
    <w:rsid w:val="00E14EB4"/>
    <w:rsid w:val="00E203A2"/>
    <w:rsid w:val="00E21EE7"/>
    <w:rsid w:val="00E23400"/>
    <w:rsid w:val="00E2572D"/>
    <w:rsid w:val="00E262C7"/>
    <w:rsid w:val="00E26DA2"/>
    <w:rsid w:val="00E273BF"/>
    <w:rsid w:val="00E3044A"/>
    <w:rsid w:val="00E31EB3"/>
    <w:rsid w:val="00E330DC"/>
    <w:rsid w:val="00E353AC"/>
    <w:rsid w:val="00E432DD"/>
    <w:rsid w:val="00E44757"/>
    <w:rsid w:val="00E4509C"/>
    <w:rsid w:val="00E4558F"/>
    <w:rsid w:val="00E505FE"/>
    <w:rsid w:val="00E50F81"/>
    <w:rsid w:val="00E533E4"/>
    <w:rsid w:val="00E54314"/>
    <w:rsid w:val="00E54C1E"/>
    <w:rsid w:val="00E5596F"/>
    <w:rsid w:val="00E56780"/>
    <w:rsid w:val="00E6084A"/>
    <w:rsid w:val="00E60EBA"/>
    <w:rsid w:val="00E6115C"/>
    <w:rsid w:val="00E61587"/>
    <w:rsid w:val="00E622C1"/>
    <w:rsid w:val="00E624BE"/>
    <w:rsid w:val="00E63703"/>
    <w:rsid w:val="00E6781F"/>
    <w:rsid w:val="00E71B6F"/>
    <w:rsid w:val="00E721EB"/>
    <w:rsid w:val="00E72636"/>
    <w:rsid w:val="00E745A8"/>
    <w:rsid w:val="00E74634"/>
    <w:rsid w:val="00E7585D"/>
    <w:rsid w:val="00E80EFA"/>
    <w:rsid w:val="00E81505"/>
    <w:rsid w:val="00E81A3A"/>
    <w:rsid w:val="00E833DA"/>
    <w:rsid w:val="00E83A9D"/>
    <w:rsid w:val="00E860CC"/>
    <w:rsid w:val="00E864A0"/>
    <w:rsid w:val="00E87A86"/>
    <w:rsid w:val="00E90571"/>
    <w:rsid w:val="00E926E6"/>
    <w:rsid w:val="00E94A5D"/>
    <w:rsid w:val="00E95AE8"/>
    <w:rsid w:val="00E97BC3"/>
    <w:rsid w:val="00EA289A"/>
    <w:rsid w:val="00EA2B67"/>
    <w:rsid w:val="00EA2BDB"/>
    <w:rsid w:val="00EA31AD"/>
    <w:rsid w:val="00EA3500"/>
    <w:rsid w:val="00EA3688"/>
    <w:rsid w:val="00EB0BC3"/>
    <w:rsid w:val="00EB0C79"/>
    <w:rsid w:val="00EB110C"/>
    <w:rsid w:val="00EB36D2"/>
    <w:rsid w:val="00EC0EE9"/>
    <w:rsid w:val="00EC20CD"/>
    <w:rsid w:val="00EC2EAC"/>
    <w:rsid w:val="00EC3F61"/>
    <w:rsid w:val="00EC4B08"/>
    <w:rsid w:val="00EC54C3"/>
    <w:rsid w:val="00EC761A"/>
    <w:rsid w:val="00EC76A0"/>
    <w:rsid w:val="00ED1836"/>
    <w:rsid w:val="00ED2F04"/>
    <w:rsid w:val="00ED4035"/>
    <w:rsid w:val="00ED48C8"/>
    <w:rsid w:val="00ED57E2"/>
    <w:rsid w:val="00ED6790"/>
    <w:rsid w:val="00ED7738"/>
    <w:rsid w:val="00EE2161"/>
    <w:rsid w:val="00EE224D"/>
    <w:rsid w:val="00EE2B89"/>
    <w:rsid w:val="00EE3EEC"/>
    <w:rsid w:val="00EE5E7F"/>
    <w:rsid w:val="00EF2E17"/>
    <w:rsid w:val="00EF42D4"/>
    <w:rsid w:val="00EF4EE9"/>
    <w:rsid w:val="00EF523E"/>
    <w:rsid w:val="00EF5FA8"/>
    <w:rsid w:val="00EF6E63"/>
    <w:rsid w:val="00F00050"/>
    <w:rsid w:val="00F0055F"/>
    <w:rsid w:val="00F01566"/>
    <w:rsid w:val="00F030EF"/>
    <w:rsid w:val="00F058CF"/>
    <w:rsid w:val="00F05B79"/>
    <w:rsid w:val="00F106BE"/>
    <w:rsid w:val="00F1192C"/>
    <w:rsid w:val="00F13252"/>
    <w:rsid w:val="00F133E6"/>
    <w:rsid w:val="00F13D97"/>
    <w:rsid w:val="00F14090"/>
    <w:rsid w:val="00F147EE"/>
    <w:rsid w:val="00F215D4"/>
    <w:rsid w:val="00F2379A"/>
    <w:rsid w:val="00F23960"/>
    <w:rsid w:val="00F2788E"/>
    <w:rsid w:val="00F32D2C"/>
    <w:rsid w:val="00F33482"/>
    <w:rsid w:val="00F33BD8"/>
    <w:rsid w:val="00F33FCA"/>
    <w:rsid w:val="00F340A1"/>
    <w:rsid w:val="00F345A9"/>
    <w:rsid w:val="00F406BB"/>
    <w:rsid w:val="00F407FD"/>
    <w:rsid w:val="00F416F2"/>
    <w:rsid w:val="00F43FBD"/>
    <w:rsid w:val="00F4414D"/>
    <w:rsid w:val="00F4440B"/>
    <w:rsid w:val="00F460B1"/>
    <w:rsid w:val="00F46BCC"/>
    <w:rsid w:val="00F516AE"/>
    <w:rsid w:val="00F52089"/>
    <w:rsid w:val="00F520BC"/>
    <w:rsid w:val="00F5445E"/>
    <w:rsid w:val="00F54DB1"/>
    <w:rsid w:val="00F56AE5"/>
    <w:rsid w:val="00F6029F"/>
    <w:rsid w:val="00F602BA"/>
    <w:rsid w:val="00F62B3B"/>
    <w:rsid w:val="00F663A2"/>
    <w:rsid w:val="00F675AA"/>
    <w:rsid w:val="00F72AD4"/>
    <w:rsid w:val="00F73DCA"/>
    <w:rsid w:val="00F764A1"/>
    <w:rsid w:val="00F76815"/>
    <w:rsid w:val="00F77219"/>
    <w:rsid w:val="00F80CB3"/>
    <w:rsid w:val="00F81BD5"/>
    <w:rsid w:val="00F81D22"/>
    <w:rsid w:val="00F81DF4"/>
    <w:rsid w:val="00F871FC"/>
    <w:rsid w:val="00F87B55"/>
    <w:rsid w:val="00F968BA"/>
    <w:rsid w:val="00F9697C"/>
    <w:rsid w:val="00F96C7A"/>
    <w:rsid w:val="00F97F59"/>
    <w:rsid w:val="00FA0D15"/>
    <w:rsid w:val="00FA0D3C"/>
    <w:rsid w:val="00FA1230"/>
    <w:rsid w:val="00FA1C5A"/>
    <w:rsid w:val="00FA231A"/>
    <w:rsid w:val="00FA2BD4"/>
    <w:rsid w:val="00FA3FF4"/>
    <w:rsid w:val="00FA6DAC"/>
    <w:rsid w:val="00FB0F25"/>
    <w:rsid w:val="00FB0F70"/>
    <w:rsid w:val="00FB23F5"/>
    <w:rsid w:val="00FB2902"/>
    <w:rsid w:val="00FB4437"/>
    <w:rsid w:val="00FB4E78"/>
    <w:rsid w:val="00FB5A38"/>
    <w:rsid w:val="00FC0BF3"/>
    <w:rsid w:val="00FC2062"/>
    <w:rsid w:val="00FC2365"/>
    <w:rsid w:val="00FC2C00"/>
    <w:rsid w:val="00FC357E"/>
    <w:rsid w:val="00FC3B9A"/>
    <w:rsid w:val="00FC51E7"/>
    <w:rsid w:val="00FC67DA"/>
    <w:rsid w:val="00FC6CC5"/>
    <w:rsid w:val="00FD1A2B"/>
    <w:rsid w:val="00FD65E8"/>
    <w:rsid w:val="00FD6A58"/>
    <w:rsid w:val="00FD7D3B"/>
    <w:rsid w:val="00FE01B9"/>
    <w:rsid w:val="00FE20C2"/>
    <w:rsid w:val="00FE412D"/>
    <w:rsid w:val="00FE6346"/>
    <w:rsid w:val="00FE730C"/>
    <w:rsid w:val="00FE7E1D"/>
    <w:rsid w:val="00FE7F4C"/>
    <w:rsid w:val="00FF0AF0"/>
    <w:rsid w:val="00FF1C00"/>
    <w:rsid w:val="00FF2DC6"/>
    <w:rsid w:val="00FF2F9B"/>
    <w:rsid w:val="00FF3819"/>
    <w:rsid w:val="00FF5BE6"/>
    <w:rsid w:val="00FF5D4F"/>
    <w:rsid w:val="00FF6BF1"/>
    <w:rsid w:val="00FF76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793DF"/>
  <w15:chartTrackingRefBased/>
  <w15:docId w15:val="{E9E7E6C5-8CBF-40D7-91AF-C5828D2D4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3"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CB7"/>
    <w:pPr>
      <w:spacing w:line="256" w:lineRule="auto"/>
    </w:pPr>
  </w:style>
  <w:style w:type="paragraph" w:styleId="Heading3">
    <w:name w:val="heading 3"/>
    <w:basedOn w:val="Normal"/>
    <w:next w:val="Normal"/>
    <w:link w:val="Heading3Char"/>
    <w:qFormat/>
    <w:rsid w:val="00425339"/>
    <w:pPr>
      <w:keepNext/>
      <w:spacing w:before="240" w:after="60" w:line="240" w:lineRule="auto"/>
      <w:outlineLvl w:val="2"/>
    </w:pPr>
    <w:rPr>
      <w:rFonts w:ascii="Times New Roman" w:eastAsia="Times New Roman" w:hAnsi="Times New Roman" w:cs="Times New Roman"/>
      <w:b/>
      <w:sz w:val="24"/>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B4B6C"/>
    <w:rPr>
      <w:sz w:val="16"/>
      <w:szCs w:val="16"/>
    </w:rPr>
  </w:style>
  <w:style w:type="paragraph" w:styleId="CommentText">
    <w:name w:val="annotation text"/>
    <w:basedOn w:val="Normal"/>
    <w:link w:val="CommentTextChar"/>
    <w:unhideWhenUsed/>
    <w:rsid w:val="000B4B6C"/>
    <w:pPr>
      <w:spacing w:line="240" w:lineRule="auto"/>
    </w:pPr>
    <w:rPr>
      <w:sz w:val="20"/>
      <w:szCs w:val="20"/>
    </w:rPr>
  </w:style>
  <w:style w:type="character" w:customStyle="1" w:styleId="CommentTextChar">
    <w:name w:val="Comment Text Char"/>
    <w:basedOn w:val="DefaultParagraphFont"/>
    <w:link w:val="CommentText"/>
    <w:rsid w:val="000B4B6C"/>
    <w:rPr>
      <w:sz w:val="20"/>
      <w:szCs w:val="20"/>
    </w:rPr>
  </w:style>
  <w:style w:type="paragraph" w:styleId="CommentSubject">
    <w:name w:val="annotation subject"/>
    <w:basedOn w:val="CommentText"/>
    <w:next w:val="CommentText"/>
    <w:link w:val="CommentSubjectChar"/>
    <w:uiPriority w:val="99"/>
    <w:semiHidden/>
    <w:unhideWhenUsed/>
    <w:rsid w:val="000B4B6C"/>
    <w:rPr>
      <w:b/>
      <w:bCs/>
    </w:rPr>
  </w:style>
  <w:style w:type="character" w:customStyle="1" w:styleId="CommentSubjectChar">
    <w:name w:val="Comment Subject Char"/>
    <w:basedOn w:val="CommentTextChar"/>
    <w:link w:val="CommentSubject"/>
    <w:uiPriority w:val="99"/>
    <w:semiHidden/>
    <w:rsid w:val="000B4B6C"/>
    <w:rPr>
      <w:b/>
      <w:bCs/>
      <w:sz w:val="20"/>
      <w:szCs w:val="20"/>
    </w:rPr>
  </w:style>
  <w:style w:type="paragraph" w:styleId="BalloonText">
    <w:name w:val="Balloon Text"/>
    <w:basedOn w:val="Normal"/>
    <w:link w:val="BalloonTextChar"/>
    <w:uiPriority w:val="99"/>
    <w:semiHidden/>
    <w:unhideWhenUsed/>
    <w:rsid w:val="000B4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B6C"/>
    <w:rPr>
      <w:rFonts w:ascii="Segoe UI" w:hAnsi="Segoe UI" w:cs="Segoe UI"/>
      <w:sz w:val="18"/>
      <w:szCs w:val="18"/>
    </w:rPr>
  </w:style>
  <w:style w:type="paragraph" w:styleId="Header">
    <w:name w:val="header"/>
    <w:basedOn w:val="Normal"/>
    <w:link w:val="HeaderChar"/>
    <w:uiPriority w:val="99"/>
    <w:unhideWhenUsed/>
    <w:rsid w:val="00025A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ACE"/>
  </w:style>
  <w:style w:type="paragraph" w:styleId="Footer">
    <w:name w:val="footer"/>
    <w:basedOn w:val="Normal"/>
    <w:link w:val="FooterChar"/>
    <w:uiPriority w:val="99"/>
    <w:unhideWhenUsed/>
    <w:rsid w:val="00025A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ACE"/>
  </w:style>
  <w:style w:type="paragraph" w:styleId="ListParagraph">
    <w:name w:val="List Paragraph"/>
    <w:basedOn w:val="Normal"/>
    <w:uiPriority w:val="34"/>
    <w:qFormat/>
    <w:rsid w:val="00185BDC"/>
    <w:pPr>
      <w:ind w:left="720"/>
      <w:contextualSpacing/>
    </w:pPr>
  </w:style>
  <w:style w:type="character" w:styleId="Hyperlink">
    <w:name w:val="Hyperlink"/>
    <w:basedOn w:val="DefaultParagraphFont"/>
    <w:uiPriority w:val="99"/>
    <w:unhideWhenUsed/>
    <w:rsid w:val="00185BDC"/>
    <w:rPr>
      <w:color w:val="0563C1" w:themeColor="hyperlink"/>
      <w:u w:val="single"/>
    </w:rPr>
  </w:style>
  <w:style w:type="paragraph" w:customStyle="1" w:styleId="ACMABodyText">
    <w:name w:val="ACMA Body Text"/>
    <w:link w:val="ACMABodyTextChar1"/>
    <w:rsid w:val="00FB4437"/>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1">
    <w:name w:val="ACMA Body Text Char1"/>
    <w:link w:val="ACMABodyText"/>
    <w:rsid w:val="00FB4437"/>
    <w:rPr>
      <w:rFonts w:ascii="Times New Roman" w:eastAsia="Times New Roman" w:hAnsi="Times New Roman" w:cs="Times New Roman"/>
      <w:snapToGrid w:val="0"/>
      <w:sz w:val="24"/>
      <w:szCs w:val="20"/>
    </w:rPr>
  </w:style>
  <w:style w:type="paragraph" w:customStyle="1" w:styleId="ACMABodyTextChar">
    <w:name w:val="ACMA Body Text Char"/>
    <w:link w:val="ACMABodyTextCharChar"/>
    <w:rsid w:val="00A213A8"/>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Char">
    <w:name w:val="ACMA Body Text Char Char"/>
    <w:link w:val="ACMABodyTextChar"/>
    <w:rsid w:val="00A213A8"/>
    <w:rPr>
      <w:rFonts w:ascii="Times New Roman" w:eastAsia="Times New Roman" w:hAnsi="Times New Roman" w:cs="Times New Roman"/>
      <w:snapToGrid w:val="0"/>
      <w:sz w:val="24"/>
      <w:szCs w:val="20"/>
    </w:rPr>
  </w:style>
  <w:style w:type="paragraph" w:customStyle="1" w:styleId="Default">
    <w:name w:val="Default"/>
    <w:rsid w:val="00146A0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ragraphsub">
    <w:name w:val="paragraph(sub)"/>
    <w:aliases w:val="aa"/>
    <w:basedOn w:val="Normal"/>
    <w:rsid w:val="008F0967"/>
    <w:pPr>
      <w:tabs>
        <w:tab w:val="right" w:pos="1985"/>
      </w:tabs>
      <w:spacing w:before="40" w:after="0" w:line="240" w:lineRule="auto"/>
      <w:ind w:left="2098" w:hanging="2098"/>
    </w:pPr>
    <w:rPr>
      <w:rFonts w:ascii="Times New Roman" w:eastAsia="Times New Roman" w:hAnsi="Times New Roman" w:cs="Times New Roman"/>
      <w:szCs w:val="24"/>
      <w:lang w:eastAsia="en-AU"/>
    </w:rPr>
  </w:style>
  <w:style w:type="paragraph" w:customStyle="1" w:styleId="ACMANumberedList">
    <w:name w:val="ACMA Numbered List"/>
    <w:rsid w:val="00844F57"/>
    <w:pPr>
      <w:numPr>
        <w:numId w:val="20"/>
      </w:numPr>
      <w:spacing w:before="20" w:after="20" w:line="240" w:lineRule="auto"/>
    </w:pPr>
    <w:rPr>
      <w:rFonts w:ascii="Times New Roman" w:eastAsia="Times New Roman" w:hAnsi="Times New Roman" w:cs="Times New Roman"/>
      <w:sz w:val="24"/>
      <w:szCs w:val="20"/>
    </w:rPr>
  </w:style>
  <w:style w:type="character" w:styleId="FootnoteReference">
    <w:name w:val="footnote reference"/>
    <w:basedOn w:val="DefaultParagraphFont"/>
    <w:semiHidden/>
    <w:rsid w:val="00847B43"/>
    <w:rPr>
      <w:rFonts w:ascii="Arial" w:hAnsi="Arial"/>
      <w:vertAlign w:val="superscript"/>
    </w:rPr>
  </w:style>
  <w:style w:type="paragraph" w:styleId="FootnoteText">
    <w:name w:val="footnote text"/>
    <w:aliases w:val="Footnote text"/>
    <w:basedOn w:val="Normal"/>
    <w:link w:val="FootnoteTextChar"/>
    <w:uiPriority w:val="23"/>
    <w:rsid w:val="00847B43"/>
    <w:pPr>
      <w:spacing w:after="0" w:line="240" w:lineRule="atLeast"/>
    </w:pPr>
    <w:rPr>
      <w:rFonts w:ascii="Arial" w:eastAsia="Times New Roman" w:hAnsi="Arial" w:cs="Times New Roman"/>
      <w:sz w:val="16"/>
      <w:szCs w:val="16"/>
      <w:lang w:eastAsia="en-AU"/>
    </w:rPr>
  </w:style>
  <w:style w:type="character" w:customStyle="1" w:styleId="FootnoteTextChar">
    <w:name w:val="Footnote Text Char"/>
    <w:aliases w:val="Footnote text Char"/>
    <w:basedOn w:val="DefaultParagraphFont"/>
    <w:link w:val="FootnoteText"/>
    <w:uiPriority w:val="23"/>
    <w:rsid w:val="00847B43"/>
    <w:rPr>
      <w:rFonts w:ascii="Arial" w:eastAsia="Times New Roman" w:hAnsi="Arial" w:cs="Times New Roman"/>
      <w:sz w:val="16"/>
      <w:szCs w:val="16"/>
      <w:lang w:eastAsia="en-AU"/>
    </w:rPr>
  </w:style>
  <w:style w:type="paragraph" w:customStyle="1" w:styleId="Paragraph">
    <w:name w:val="Paragraph"/>
    <w:basedOn w:val="Normal"/>
    <w:qFormat/>
    <w:rsid w:val="00847B43"/>
    <w:pPr>
      <w:spacing w:after="240" w:line="240" w:lineRule="atLeast"/>
    </w:pPr>
    <w:rPr>
      <w:rFonts w:ascii="Arial" w:eastAsia="Times New Roman" w:hAnsi="Arial" w:cs="Arial"/>
      <w:sz w:val="20"/>
      <w:szCs w:val="24"/>
      <w:lang w:eastAsia="en-AU"/>
    </w:rPr>
  </w:style>
  <w:style w:type="paragraph" w:styleId="NormalWeb">
    <w:name w:val="Normal (Web)"/>
    <w:basedOn w:val="Normal"/>
    <w:uiPriority w:val="99"/>
    <w:semiHidden/>
    <w:unhideWhenUsed/>
    <w:rsid w:val="00847B4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CB0541"/>
    <w:rPr>
      <w:color w:val="605E5C"/>
      <w:shd w:val="clear" w:color="auto" w:fill="E1DFDD"/>
    </w:rPr>
  </w:style>
  <w:style w:type="paragraph" w:styleId="Revision">
    <w:name w:val="Revision"/>
    <w:hidden/>
    <w:uiPriority w:val="99"/>
    <w:semiHidden/>
    <w:rsid w:val="00074598"/>
    <w:pPr>
      <w:spacing w:after="0" w:line="240" w:lineRule="auto"/>
    </w:pPr>
  </w:style>
  <w:style w:type="character" w:customStyle="1" w:styleId="Heading3Char">
    <w:name w:val="Heading 3 Char"/>
    <w:basedOn w:val="DefaultParagraphFont"/>
    <w:link w:val="Heading3"/>
    <w:rsid w:val="00425339"/>
    <w:rPr>
      <w:rFonts w:ascii="Times New Roman" w:eastAsia="Times New Roman" w:hAnsi="Times New Roman" w:cs="Times New Roman"/>
      <w:b/>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84609">
      <w:bodyDiv w:val="1"/>
      <w:marLeft w:val="0"/>
      <w:marRight w:val="0"/>
      <w:marTop w:val="0"/>
      <w:marBottom w:val="0"/>
      <w:divBdr>
        <w:top w:val="none" w:sz="0" w:space="0" w:color="auto"/>
        <w:left w:val="none" w:sz="0" w:space="0" w:color="auto"/>
        <w:bottom w:val="none" w:sz="0" w:space="0" w:color="auto"/>
        <w:right w:val="none" w:sz="0" w:space="0" w:color="auto"/>
      </w:divBdr>
    </w:div>
    <w:div w:id="272710651">
      <w:bodyDiv w:val="1"/>
      <w:marLeft w:val="0"/>
      <w:marRight w:val="0"/>
      <w:marTop w:val="0"/>
      <w:marBottom w:val="0"/>
      <w:divBdr>
        <w:top w:val="none" w:sz="0" w:space="0" w:color="auto"/>
        <w:left w:val="none" w:sz="0" w:space="0" w:color="auto"/>
        <w:bottom w:val="none" w:sz="0" w:space="0" w:color="auto"/>
        <w:right w:val="none" w:sz="0" w:space="0" w:color="auto"/>
      </w:divBdr>
    </w:div>
    <w:div w:id="348411480">
      <w:bodyDiv w:val="1"/>
      <w:marLeft w:val="0"/>
      <w:marRight w:val="0"/>
      <w:marTop w:val="0"/>
      <w:marBottom w:val="0"/>
      <w:divBdr>
        <w:top w:val="none" w:sz="0" w:space="0" w:color="auto"/>
        <w:left w:val="none" w:sz="0" w:space="0" w:color="auto"/>
        <w:bottom w:val="none" w:sz="0" w:space="0" w:color="auto"/>
        <w:right w:val="none" w:sz="0" w:space="0" w:color="auto"/>
      </w:divBdr>
    </w:div>
    <w:div w:id="363946742">
      <w:bodyDiv w:val="1"/>
      <w:marLeft w:val="0"/>
      <w:marRight w:val="0"/>
      <w:marTop w:val="0"/>
      <w:marBottom w:val="0"/>
      <w:divBdr>
        <w:top w:val="none" w:sz="0" w:space="0" w:color="auto"/>
        <w:left w:val="none" w:sz="0" w:space="0" w:color="auto"/>
        <w:bottom w:val="none" w:sz="0" w:space="0" w:color="auto"/>
        <w:right w:val="none" w:sz="0" w:space="0" w:color="auto"/>
      </w:divBdr>
    </w:div>
    <w:div w:id="370765649">
      <w:bodyDiv w:val="1"/>
      <w:marLeft w:val="0"/>
      <w:marRight w:val="0"/>
      <w:marTop w:val="0"/>
      <w:marBottom w:val="0"/>
      <w:divBdr>
        <w:top w:val="none" w:sz="0" w:space="0" w:color="auto"/>
        <w:left w:val="none" w:sz="0" w:space="0" w:color="auto"/>
        <w:bottom w:val="none" w:sz="0" w:space="0" w:color="auto"/>
        <w:right w:val="none" w:sz="0" w:space="0" w:color="auto"/>
      </w:divBdr>
    </w:div>
    <w:div w:id="444547269">
      <w:bodyDiv w:val="1"/>
      <w:marLeft w:val="0"/>
      <w:marRight w:val="0"/>
      <w:marTop w:val="0"/>
      <w:marBottom w:val="0"/>
      <w:divBdr>
        <w:top w:val="none" w:sz="0" w:space="0" w:color="auto"/>
        <w:left w:val="none" w:sz="0" w:space="0" w:color="auto"/>
        <w:bottom w:val="none" w:sz="0" w:space="0" w:color="auto"/>
        <w:right w:val="none" w:sz="0" w:space="0" w:color="auto"/>
      </w:divBdr>
    </w:div>
    <w:div w:id="453059360">
      <w:bodyDiv w:val="1"/>
      <w:marLeft w:val="0"/>
      <w:marRight w:val="0"/>
      <w:marTop w:val="0"/>
      <w:marBottom w:val="0"/>
      <w:divBdr>
        <w:top w:val="none" w:sz="0" w:space="0" w:color="auto"/>
        <w:left w:val="none" w:sz="0" w:space="0" w:color="auto"/>
        <w:bottom w:val="none" w:sz="0" w:space="0" w:color="auto"/>
        <w:right w:val="none" w:sz="0" w:space="0" w:color="auto"/>
      </w:divBdr>
    </w:div>
    <w:div w:id="762530477">
      <w:bodyDiv w:val="1"/>
      <w:marLeft w:val="0"/>
      <w:marRight w:val="0"/>
      <w:marTop w:val="0"/>
      <w:marBottom w:val="0"/>
      <w:divBdr>
        <w:top w:val="none" w:sz="0" w:space="0" w:color="auto"/>
        <w:left w:val="none" w:sz="0" w:space="0" w:color="auto"/>
        <w:bottom w:val="none" w:sz="0" w:space="0" w:color="auto"/>
        <w:right w:val="none" w:sz="0" w:space="0" w:color="auto"/>
      </w:divBdr>
    </w:div>
    <w:div w:id="765811568">
      <w:bodyDiv w:val="1"/>
      <w:marLeft w:val="0"/>
      <w:marRight w:val="0"/>
      <w:marTop w:val="0"/>
      <w:marBottom w:val="0"/>
      <w:divBdr>
        <w:top w:val="none" w:sz="0" w:space="0" w:color="auto"/>
        <w:left w:val="none" w:sz="0" w:space="0" w:color="auto"/>
        <w:bottom w:val="none" w:sz="0" w:space="0" w:color="auto"/>
        <w:right w:val="none" w:sz="0" w:space="0" w:color="auto"/>
      </w:divBdr>
    </w:div>
    <w:div w:id="837306990">
      <w:bodyDiv w:val="1"/>
      <w:marLeft w:val="0"/>
      <w:marRight w:val="0"/>
      <w:marTop w:val="0"/>
      <w:marBottom w:val="0"/>
      <w:divBdr>
        <w:top w:val="none" w:sz="0" w:space="0" w:color="auto"/>
        <w:left w:val="none" w:sz="0" w:space="0" w:color="auto"/>
        <w:bottom w:val="none" w:sz="0" w:space="0" w:color="auto"/>
        <w:right w:val="none" w:sz="0" w:space="0" w:color="auto"/>
      </w:divBdr>
    </w:div>
    <w:div w:id="838350217">
      <w:bodyDiv w:val="1"/>
      <w:marLeft w:val="0"/>
      <w:marRight w:val="0"/>
      <w:marTop w:val="0"/>
      <w:marBottom w:val="0"/>
      <w:divBdr>
        <w:top w:val="none" w:sz="0" w:space="0" w:color="auto"/>
        <w:left w:val="none" w:sz="0" w:space="0" w:color="auto"/>
        <w:bottom w:val="none" w:sz="0" w:space="0" w:color="auto"/>
        <w:right w:val="none" w:sz="0" w:space="0" w:color="auto"/>
      </w:divBdr>
    </w:div>
    <w:div w:id="916549364">
      <w:bodyDiv w:val="1"/>
      <w:marLeft w:val="0"/>
      <w:marRight w:val="0"/>
      <w:marTop w:val="0"/>
      <w:marBottom w:val="0"/>
      <w:divBdr>
        <w:top w:val="none" w:sz="0" w:space="0" w:color="auto"/>
        <w:left w:val="none" w:sz="0" w:space="0" w:color="auto"/>
        <w:bottom w:val="none" w:sz="0" w:space="0" w:color="auto"/>
        <w:right w:val="none" w:sz="0" w:space="0" w:color="auto"/>
      </w:divBdr>
    </w:div>
    <w:div w:id="1016804908">
      <w:bodyDiv w:val="1"/>
      <w:marLeft w:val="0"/>
      <w:marRight w:val="0"/>
      <w:marTop w:val="0"/>
      <w:marBottom w:val="0"/>
      <w:divBdr>
        <w:top w:val="none" w:sz="0" w:space="0" w:color="auto"/>
        <w:left w:val="none" w:sz="0" w:space="0" w:color="auto"/>
        <w:bottom w:val="none" w:sz="0" w:space="0" w:color="auto"/>
        <w:right w:val="none" w:sz="0" w:space="0" w:color="auto"/>
      </w:divBdr>
    </w:div>
    <w:div w:id="1024788557">
      <w:bodyDiv w:val="1"/>
      <w:marLeft w:val="0"/>
      <w:marRight w:val="0"/>
      <w:marTop w:val="0"/>
      <w:marBottom w:val="0"/>
      <w:divBdr>
        <w:top w:val="none" w:sz="0" w:space="0" w:color="auto"/>
        <w:left w:val="none" w:sz="0" w:space="0" w:color="auto"/>
        <w:bottom w:val="none" w:sz="0" w:space="0" w:color="auto"/>
        <w:right w:val="none" w:sz="0" w:space="0" w:color="auto"/>
      </w:divBdr>
    </w:div>
    <w:div w:id="1253662248">
      <w:bodyDiv w:val="1"/>
      <w:marLeft w:val="0"/>
      <w:marRight w:val="0"/>
      <w:marTop w:val="0"/>
      <w:marBottom w:val="0"/>
      <w:divBdr>
        <w:top w:val="none" w:sz="0" w:space="0" w:color="auto"/>
        <w:left w:val="none" w:sz="0" w:space="0" w:color="auto"/>
        <w:bottom w:val="none" w:sz="0" w:space="0" w:color="auto"/>
        <w:right w:val="none" w:sz="0" w:space="0" w:color="auto"/>
      </w:divBdr>
    </w:div>
    <w:div w:id="1276713401">
      <w:bodyDiv w:val="1"/>
      <w:marLeft w:val="0"/>
      <w:marRight w:val="0"/>
      <w:marTop w:val="0"/>
      <w:marBottom w:val="0"/>
      <w:divBdr>
        <w:top w:val="none" w:sz="0" w:space="0" w:color="auto"/>
        <w:left w:val="none" w:sz="0" w:space="0" w:color="auto"/>
        <w:bottom w:val="none" w:sz="0" w:space="0" w:color="auto"/>
        <w:right w:val="none" w:sz="0" w:space="0" w:color="auto"/>
      </w:divBdr>
    </w:div>
    <w:div w:id="1367409635">
      <w:bodyDiv w:val="1"/>
      <w:marLeft w:val="0"/>
      <w:marRight w:val="0"/>
      <w:marTop w:val="0"/>
      <w:marBottom w:val="0"/>
      <w:divBdr>
        <w:top w:val="none" w:sz="0" w:space="0" w:color="auto"/>
        <w:left w:val="none" w:sz="0" w:space="0" w:color="auto"/>
        <w:bottom w:val="none" w:sz="0" w:space="0" w:color="auto"/>
        <w:right w:val="none" w:sz="0" w:space="0" w:color="auto"/>
      </w:divBdr>
    </w:div>
    <w:div w:id="1505821011">
      <w:bodyDiv w:val="1"/>
      <w:marLeft w:val="0"/>
      <w:marRight w:val="0"/>
      <w:marTop w:val="0"/>
      <w:marBottom w:val="0"/>
      <w:divBdr>
        <w:top w:val="none" w:sz="0" w:space="0" w:color="auto"/>
        <w:left w:val="none" w:sz="0" w:space="0" w:color="auto"/>
        <w:bottom w:val="none" w:sz="0" w:space="0" w:color="auto"/>
        <w:right w:val="none" w:sz="0" w:space="0" w:color="auto"/>
      </w:divBdr>
    </w:div>
    <w:div w:id="1607693147">
      <w:bodyDiv w:val="1"/>
      <w:marLeft w:val="0"/>
      <w:marRight w:val="0"/>
      <w:marTop w:val="0"/>
      <w:marBottom w:val="0"/>
      <w:divBdr>
        <w:top w:val="none" w:sz="0" w:space="0" w:color="auto"/>
        <w:left w:val="none" w:sz="0" w:space="0" w:color="auto"/>
        <w:bottom w:val="none" w:sz="0" w:space="0" w:color="auto"/>
        <w:right w:val="none" w:sz="0" w:space="0" w:color="auto"/>
      </w:divBdr>
    </w:div>
    <w:div w:id="1871452423">
      <w:bodyDiv w:val="1"/>
      <w:marLeft w:val="0"/>
      <w:marRight w:val="0"/>
      <w:marTop w:val="0"/>
      <w:marBottom w:val="0"/>
      <w:divBdr>
        <w:top w:val="none" w:sz="0" w:space="0" w:color="auto"/>
        <w:left w:val="none" w:sz="0" w:space="0" w:color="auto"/>
        <w:bottom w:val="none" w:sz="0" w:space="0" w:color="auto"/>
        <w:right w:val="none" w:sz="0" w:space="0" w:color="auto"/>
      </w:divBdr>
    </w:div>
    <w:div w:id="1901094140">
      <w:bodyDiv w:val="1"/>
      <w:marLeft w:val="0"/>
      <w:marRight w:val="0"/>
      <w:marTop w:val="0"/>
      <w:marBottom w:val="0"/>
      <w:divBdr>
        <w:top w:val="none" w:sz="0" w:space="0" w:color="auto"/>
        <w:left w:val="none" w:sz="0" w:space="0" w:color="auto"/>
        <w:bottom w:val="none" w:sz="0" w:space="0" w:color="auto"/>
        <w:right w:val="none" w:sz="0" w:space="0" w:color="auto"/>
      </w:divBdr>
    </w:div>
    <w:div w:id="192356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egislation.gov.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legislation.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legislation.gov.au"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nfrastructure.gov.au/have-your-say/thematic-review-customer-service-guarantee-cs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d71819ef-55b9-420a-86a4-d36bc037540e">AM7W7QW6R7VW-380673718-12660</_dlc_DocId>
    <_dlc_DocIdUrl xmlns="d71819ef-55b9-420a-86a4-d36bc037540e">
      <Url>http://collaboration/organisation/cccd/CoCB/TPRS/_layouts/15/DocIdRedir.aspx?ID=AM7W7QW6R7VW-380673718-12660</Url>
      <Description>AM7W7QW6R7VW-380673718-12660</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EA4A4EA83753C4DA753A68C776C88F8" ma:contentTypeVersion="5" ma:contentTypeDescription="Create a new document." ma:contentTypeScope="" ma:versionID="d4a5d6adf94576c59840097d5c803b04">
  <xsd:schema xmlns:xsd="http://www.w3.org/2001/XMLSchema" xmlns:xs="http://www.w3.org/2001/XMLSchema" xmlns:p="http://schemas.microsoft.com/office/2006/metadata/properties" xmlns:ns1="http://schemas.microsoft.com/sharepoint/v3" xmlns:ns2="d71819ef-55b9-420a-86a4-d36bc037540e" targetNamespace="http://schemas.microsoft.com/office/2006/metadata/properties" ma:root="true" ma:fieldsID="40601cb348d211157a4ad268199d58a0" ns1:_="" ns2:_="">
    <xsd:import namespace="http://schemas.microsoft.com/sharepoint/v3"/>
    <xsd:import namespace="d71819ef-55b9-420a-86a4-d36bc037540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71819ef-55b9-420a-86a4-d36bc037540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88E647-FB6C-49D4-8E75-03B5196F5AC8}">
  <ds:schemaRefs>
    <ds:schemaRef ds:uri="http://schemas.microsoft.com/sharepoint/v3/contenttype/forms"/>
  </ds:schemaRefs>
</ds:datastoreItem>
</file>

<file path=customXml/itemProps2.xml><?xml version="1.0" encoding="utf-8"?>
<ds:datastoreItem xmlns:ds="http://schemas.openxmlformats.org/officeDocument/2006/customXml" ds:itemID="{D84A20D3-5249-4064-B676-33B74048141D}">
  <ds:schemaRefs>
    <ds:schemaRef ds:uri="http://purl.org/dc/terms/"/>
    <ds:schemaRef ds:uri="http://purl.org/dc/dcmitype/"/>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d71819ef-55b9-420a-86a4-d36bc037540e"/>
    <ds:schemaRef ds:uri="http://schemas.microsoft.com/sharepoint/v3"/>
    <ds:schemaRef ds:uri="http://www.w3.org/XML/1998/namespace"/>
  </ds:schemaRefs>
</ds:datastoreItem>
</file>

<file path=customXml/itemProps3.xml><?xml version="1.0" encoding="utf-8"?>
<ds:datastoreItem xmlns:ds="http://schemas.openxmlformats.org/officeDocument/2006/customXml" ds:itemID="{DBC1A028-272B-4902-AE2E-B80597F8DDD8}">
  <ds:schemaRefs>
    <ds:schemaRef ds:uri="http://schemas.microsoft.com/sharepoint/events"/>
  </ds:schemaRefs>
</ds:datastoreItem>
</file>

<file path=customXml/itemProps4.xml><?xml version="1.0" encoding="utf-8"?>
<ds:datastoreItem xmlns:ds="http://schemas.openxmlformats.org/officeDocument/2006/customXml" ds:itemID="{5086D54D-3E66-4AF7-B83C-EBEE5F4E5980}">
  <ds:schemaRefs>
    <ds:schemaRef ds:uri="http://schemas.openxmlformats.org/officeDocument/2006/bibliography"/>
  </ds:schemaRefs>
</ds:datastoreItem>
</file>

<file path=customXml/itemProps5.xml><?xml version="1.0" encoding="utf-8"?>
<ds:datastoreItem xmlns:ds="http://schemas.openxmlformats.org/officeDocument/2006/customXml" ds:itemID="{84257660-D205-44E2-9BB3-A213262A7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71819ef-55b9-420a-86a4-d36bc0375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3960</Words>
  <Characters>20002</Characters>
  <Application>Microsoft Office Word</Application>
  <DocSecurity>4</DocSecurity>
  <Lines>444</Lines>
  <Paragraphs>281</Paragraphs>
  <ScaleCrop>false</ScaleCrop>
  <HeadingPairs>
    <vt:vector size="2" baseType="variant">
      <vt:variant>
        <vt:lpstr>Title</vt:lpstr>
      </vt:variant>
      <vt:variant>
        <vt:i4>1</vt:i4>
      </vt:variant>
    </vt:vector>
  </HeadingPairs>
  <TitlesOfParts>
    <vt:vector size="1" baseType="lpstr">
      <vt:lpstr>Explanatory Statement Template</vt:lpstr>
    </vt:vector>
  </TitlesOfParts>
  <Company>Australian Communications and Media Authority</Company>
  <LinksUpToDate>false</LinksUpToDate>
  <CharactersWithSpaces>23681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Template</dc:title>
  <dc:subject/>
  <dc:creator>Annette Vella</dc:creator>
  <cp:keywords/>
  <dc:description/>
  <cp:lastModifiedBy>Suzanne Atkins</cp:lastModifiedBy>
  <cp:revision>2</cp:revision>
  <cp:lastPrinted>2016-07-25T00:08:00Z</cp:lastPrinted>
  <dcterms:created xsi:type="dcterms:W3CDTF">2023-09-25T01:46:00Z</dcterms:created>
  <dcterms:modified xsi:type="dcterms:W3CDTF">2023-09-25T01:46:00Z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0x010100FEA4A4EA83753C4DA753A68C776C88F8</vt:lpwstr>
  </property>
  <property fmtid="{D5CDD505-2E9C-101B-9397-08002B2CF9AE}" pid="3" name="_dlc_DocIdItemGuid">
    <vt:lpwstr>73248f5f-16b5-4e6f-9854-86cb706a3b82</vt:lpwstr>
  </property>
  <property fmtid="{D5CDD505-2E9C-101B-9397-08002B2CF9AE}" pid="4" name="TitusGUID">
    <vt:lpwstr>c5b1cadb-f381-4d41-b2e0-e6e5e441f2f3</vt:lpwstr>
  </property>
</Properties>
</file>