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2CFC" w14:textId="6A02E74E" w:rsidR="00A0421E" w:rsidRPr="00EB6A35" w:rsidRDefault="78EC3975" w:rsidP="59E20095">
      <w:pPr>
        <w:spacing w:after="600"/>
        <w:rPr>
          <w:sz w:val="28"/>
          <w:szCs w:val="28"/>
        </w:rPr>
      </w:pPr>
      <w:r w:rsidRPr="00EB6A35">
        <w:rPr>
          <w:noProof/>
        </w:rPr>
        <w:drawing>
          <wp:inline distT="0" distB="0" distL="0" distR="0" wp14:anchorId="0185C621" wp14:editId="4714810C">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543300" cy="752475"/>
                    </a:xfrm>
                    <a:prstGeom prst="rect">
                      <a:avLst/>
                    </a:prstGeom>
                  </pic:spPr>
                </pic:pic>
              </a:graphicData>
            </a:graphic>
          </wp:inline>
        </w:drawing>
      </w:r>
    </w:p>
    <w:p w14:paraId="5270B7E2" w14:textId="5CBED4A7" w:rsidR="00A0421E" w:rsidRPr="00EB6A35" w:rsidRDefault="00A0421E" w:rsidP="00A0421E">
      <w:pPr>
        <w:pStyle w:val="LI-Title"/>
        <w:pBdr>
          <w:bottom w:val="single" w:sz="4" w:space="1" w:color="auto"/>
        </w:pBdr>
      </w:pPr>
      <w:r w:rsidRPr="00EB6A35">
        <w:t xml:space="preserve">ASIC Corporations (Takeover </w:t>
      </w:r>
      <w:r w:rsidR="009B228C" w:rsidRPr="00EB6A35">
        <w:t>B</w:t>
      </w:r>
      <w:r w:rsidRPr="00EB6A35">
        <w:t>ids) Instrument 2023/</w:t>
      </w:r>
      <w:r w:rsidR="00D45531" w:rsidRPr="00EB6A35">
        <w:t>683</w:t>
      </w:r>
    </w:p>
    <w:p w14:paraId="494B2800" w14:textId="4F68B6A5" w:rsidR="00A0421E" w:rsidRPr="00EB6A35" w:rsidRDefault="00A0421E" w:rsidP="00A0421E">
      <w:pPr>
        <w:pStyle w:val="LI-Fronttext"/>
        <w:rPr>
          <w:sz w:val="24"/>
          <w:szCs w:val="24"/>
        </w:rPr>
      </w:pPr>
      <w:r w:rsidRPr="00EB6A35">
        <w:rPr>
          <w:sz w:val="24"/>
          <w:szCs w:val="24"/>
        </w:rPr>
        <w:t>I,</w:t>
      </w:r>
      <w:r w:rsidR="00626C63" w:rsidRPr="00EB6A35">
        <w:rPr>
          <w:sz w:val="24"/>
          <w:szCs w:val="24"/>
        </w:rPr>
        <w:t xml:space="preserve"> </w:t>
      </w:r>
      <w:r w:rsidR="00620312" w:rsidRPr="00EB6A35">
        <w:rPr>
          <w:sz w:val="24"/>
          <w:szCs w:val="24"/>
        </w:rPr>
        <w:t>Amanda Zeller</w:t>
      </w:r>
      <w:r w:rsidRPr="00EB6A35">
        <w:rPr>
          <w:sz w:val="24"/>
          <w:szCs w:val="24"/>
        </w:rPr>
        <w:t>, delegate of the Australian Securities and Investments Commission, make the following legislative instrument.</w:t>
      </w:r>
    </w:p>
    <w:p w14:paraId="634A6C1A" w14:textId="77777777" w:rsidR="00A0421E" w:rsidRPr="00EB6A35" w:rsidRDefault="00A0421E" w:rsidP="00A0421E">
      <w:pPr>
        <w:pStyle w:val="LI-Fronttext"/>
      </w:pPr>
    </w:p>
    <w:p w14:paraId="3922150F" w14:textId="584F75D8" w:rsidR="00A0421E" w:rsidRPr="00EB6A35" w:rsidRDefault="00A0421E" w:rsidP="00A0421E">
      <w:pPr>
        <w:pStyle w:val="LI-Fronttext"/>
        <w:rPr>
          <w:color w:val="FF0000"/>
          <w:sz w:val="24"/>
          <w:szCs w:val="24"/>
        </w:rPr>
      </w:pPr>
      <w:r w:rsidRPr="00EB6A35">
        <w:rPr>
          <w:sz w:val="24"/>
          <w:szCs w:val="24"/>
        </w:rPr>
        <w:t>Date</w:t>
      </w:r>
      <w:r w:rsidRPr="00EB6A35">
        <w:rPr>
          <w:sz w:val="24"/>
          <w:szCs w:val="24"/>
        </w:rPr>
        <w:tab/>
      </w:r>
      <w:r w:rsidR="00A96AB6" w:rsidRPr="00EB6A35">
        <w:rPr>
          <w:sz w:val="24"/>
          <w:szCs w:val="24"/>
        </w:rPr>
        <w:t>22 September 2023</w:t>
      </w:r>
      <w:r w:rsidRPr="00EB6A35">
        <w:rPr>
          <w:sz w:val="24"/>
          <w:szCs w:val="24"/>
        </w:rPr>
        <w:tab/>
      </w:r>
      <w:r w:rsidRPr="00EB6A35">
        <w:rPr>
          <w:sz w:val="24"/>
          <w:szCs w:val="24"/>
        </w:rPr>
        <w:tab/>
      </w:r>
      <w:r w:rsidRPr="00EB6A35">
        <w:rPr>
          <w:sz w:val="24"/>
          <w:szCs w:val="24"/>
        </w:rPr>
        <w:tab/>
      </w:r>
      <w:bookmarkStart w:id="0" w:name="BKCheck15B_1"/>
      <w:bookmarkEnd w:id="0"/>
    </w:p>
    <w:p w14:paraId="6B8EC4B3" w14:textId="10DFB3AD" w:rsidR="00A0421E" w:rsidRPr="00EB6A35" w:rsidRDefault="00A0421E" w:rsidP="00A0421E">
      <w:pPr>
        <w:pStyle w:val="LI-Fronttext"/>
        <w:rPr>
          <w:iCs/>
          <w:sz w:val="24"/>
          <w:szCs w:val="24"/>
        </w:rPr>
      </w:pPr>
    </w:p>
    <w:p w14:paraId="5F1D0894" w14:textId="1941F119" w:rsidR="00A0421E" w:rsidRPr="00BB5C17" w:rsidRDefault="00620312" w:rsidP="00A0421E">
      <w:pPr>
        <w:pStyle w:val="LI-Fronttext"/>
        <w:pBdr>
          <w:bottom w:val="single" w:sz="4" w:space="1" w:color="auto"/>
        </w:pBdr>
        <w:rPr>
          <w:sz w:val="24"/>
          <w:szCs w:val="24"/>
        </w:rPr>
      </w:pPr>
      <w:r w:rsidRPr="00EB6A35">
        <w:rPr>
          <w:sz w:val="24"/>
          <w:szCs w:val="24"/>
        </w:rPr>
        <w:t>Amanda Zeller</w:t>
      </w:r>
    </w:p>
    <w:p w14:paraId="77DEF1D9" w14:textId="77777777" w:rsidR="00A0421E" w:rsidRPr="00F61B09" w:rsidRDefault="00A0421E" w:rsidP="00A0421E">
      <w:pPr>
        <w:pStyle w:val="Header"/>
        <w:tabs>
          <w:tab w:val="clear" w:pos="4150"/>
          <w:tab w:val="clear" w:pos="8307"/>
        </w:tabs>
      </w:pPr>
    </w:p>
    <w:p w14:paraId="3EF11B1A" w14:textId="77777777" w:rsidR="00A0421E" w:rsidRPr="00F61B09" w:rsidRDefault="00A0421E" w:rsidP="00A0421E">
      <w:pPr>
        <w:sectPr w:rsidR="00A0421E"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42A9854B" w14:textId="77777777" w:rsidR="00A0421E" w:rsidRPr="00F61B09" w:rsidRDefault="00A0421E" w:rsidP="00A0421E">
      <w:pPr>
        <w:spacing w:before="280" w:after="240"/>
        <w:rPr>
          <w:sz w:val="36"/>
        </w:rPr>
      </w:pPr>
      <w:r w:rsidRPr="006E5320">
        <w:rPr>
          <w:b/>
          <w:sz w:val="32"/>
          <w:szCs w:val="32"/>
        </w:rPr>
        <w:lastRenderedPageBreak/>
        <w:t>Contents</w:t>
      </w:r>
    </w:p>
    <w:bookmarkStart w:id="1" w:name="BKCheck15B_2"/>
    <w:bookmarkEnd w:id="1"/>
    <w:p w14:paraId="722A3C90" w14:textId="02C0F112" w:rsidR="002E40ED" w:rsidRDefault="00A0421E">
      <w:pPr>
        <w:pStyle w:val="TOC1"/>
        <w:rPr>
          <w:rFonts w:asciiTheme="minorHAnsi" w:eastAsiaTheme="minorEastAsia" w:hAnsiTheme="minorHAnsi" w:cstheme="minorBidi"/>
          <w:b w:val="0"/>
          <w:noProof/>
          <w:kern w:val="0"/>
          <w:sz w:val="22"/>
          <w:szCs w:val="22"/>
        </w:rPr>
      </w:pPr>
      <w:r>
        <w:rPr>
          <w:color w:val="2B579A"/>
          <w:sz w:val="28"/>
          <w:shd w:val="clear" w:color="auto" w:fill="E6E6E6"/>
        </w:rPr>
        <w:fldChar w:fldCharType="begin"/>
      </w:r>
      <w:r>
        <w:rPr>
          <w:sz w:val="28"/>
        </w:rPr>
        <w:instrText xml:space="preserve"> TOC \h \z \t "LI - Heading 1,1,LI - Heading 2,2" </w:instrText>
      </w:r>
      <w:r>
        <w:rPr>
          <w:color w:val="2B579A"/>
          <w:sz w:val="28"/>
          <w:shd w:val="clear" w:color="auto" w:fill="E6E6E6"/>
        </w:rPr>
        <w:fldChar w:fldCharType="separate"/>
      </w:r>
      <w:hyperlink w:anchor="_Toc146221155" w:history="1">
        <w:r w:rsidR="002E40ED" w:rsidRPr="00565A3A">
          <w:rPr>
            <w:rStyle w:val="Hyperlink"/>
            <w:noProof/>
          </w:rPr>
          <w:t>Part 1—Preliminary</w:t>
        </w:r>
        <w:r w:rsidR="002E40ED">
          <w:rPr>
            <w:noProof/>
            <w:webHidden/>
          </w:rPr>
          <w:tab/>
        </w:r>
        <w:r w:rsidR="002E40ED">
          <w:rPr>
            <w:noProof/>
            <w:webHidden/>
          </w:rPr>
          <w:fldChar w:fldCharType="begin"/>
        </w:r>
        <w:r w:rsidR="002E40ED">
          <w:rPr>
            <w:noProof/>
            <w:webHidden/>
          </w:rPr>
          <w:instrText xml:space="preserve"> PAGEREF _Toc146221155 \h </w:instrText>
        </w:r>
        <w:r w:rsidR="002E40ED">
          <w:rPr>
            <w:noProof/>
            <w:webHidden/>
          </w:rPr>
        </w:r>
        <w:r w:rsidR="002E40ED">
          <w:rPr>
            <w:noProof/>
            <w:webHidden/>
          </w:rPr>
          <w:fldChar w:fldCharType="separate"/>
        </w:r>
        <w:r w:rsidR="002E40ED">
          <w:rPr>
            <w:noProof/>
            <w:webHidden/>
          </w:rPr>
          <w:t>3</w:t>
        </w:r>
        <w:r w:rsidR="002E40ED">
          <w:rPr>
            <w:noProof/>
            <w:webHidden/>
          </w:rPr>
          <w:fldChar w:fldCharType="end"/>
        </w:r>
      </w:hyperlink>
    </w:p>
    <w:p w14:paraId="596257AC" w14:textId="6CE1A2E4"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56" w:history="1">
        <w:r w:rsidR="002E40ED" w:rsidRPr="00565A3A">
          <w:rPr>
            <w:rStyle w:val="Hyperlink"/>
            <w:noProof/>
          </w:rPr>
          <w:t>1</w:t>
        </w:r>
        <w:r w:rsidR="002E40ED">
          <w:rPr>
            <w:rFonts w:asciiTheme="minorHAnsi" w:eastAsiaTheme="minorEastAsia" w:hAnsiTheme="minorHAnsi" w:cstheme="minorBidi"/>
            <w:noProof/>
            <w:kern w:val="0"/>
            <w:sz w:val="22"/>
            <w:szCs w:val="22"/>
          </w:rPr>
          <w:tab/>
        </w:r>
        <w:r w:rsidR="002E40ED" w:rsidRPr="00565A3A">
          <w:rPr>
            <w:rStyle w:val="Hyperlink"/>
            <w:noProof/>
          </w:rPr>
          <w:t>Name of legislative instrument</w:t>
        </w:r>
        <w:r w:rsidR="002E40ED">
          <w:rPr>
            <w:noProof/>
            <w:webHidden/>
          </w:rPr>
          <w:tab/>
        </w:r>
        <w:r w:rsidR="002E40ED">
          <w:rPr>
            <w:noProof/>
            <w:webHidden/>
          </w:rPr>
          <w:fldChar w:fldCharType="begin"/>
        </w:r>
        <w:r w:rsidR="002E40ED">
          <w:rPr>
            <w:noProof/>
            <w:webHidden/>
          </w:rPr>
          <w:instrText xml:space="preserve"> PAGEREF _Toc146221156 \h </w:instrText>
        </w:r>
        <w:r w:rsidR="002E40ED">
          <w:rPr>
            <w:noProof/>
            <w:webHidden/>
          </w:rPr>
        </w:r>
        <w:r w:rsidR="002E40ED">
          <w:rPr>
            <w:noProof/>
            <w:webHidden/>
          </w:rPr>
          <w:fldChar w:fldCharType="separate"/>
        </w:r>
        <w:r w:rsidR="002E40ED">
          <w:rPr>
            <w:noProof/>
            <w:webHidden/>
          </w:rPr>
          <w:t>3</w:t>
        </w:r>
        <w:r w:rsidR="002E40ED">
          <w:rPr>
            <w:noProof/>
            <w:webHidden/>
          </w:rPr>
          <w:fldChar w:fldCharType="end"/>
        </w:r>
      </w:hyperlink>
    </w:p>
    <w:p w14:paraId="2CCA48F6" w14:textId="19755903"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57" w:history="1">
        <w:r w:rsidR="002E40ED" w:rsidRPr="00565A3A">
          <w:rPr>
            <w:rStyle w:val="Hyperlink"/>
            <w:noProof/>
          </w:rPr>
          <w:t>2</w:t>
        </w:r>
        <w:r w:rsidR="002E40ED">
          <w:rPr>
            <w:rFonts w:asciiTheme="minorHAnsi" w:eastAsiaTheme="minorEastAsia" w:hAnsiTheme="minorHAnsi" w:cstheme="minorBidi"/>
            <w:noProof/>
            <w:kern w:val="0"/>
            <w:sz w:val="22"/>
            <w:szCs w:val="22"/>
          </w:rPr>
          <w:tab/>
        </w:r>
        <w:r w:rsidR="002E40ED" w:rsidRPr="00565A3A">
          <w:rPr>
            <w:rStyle w:val="Hyperlink"/>
            <w:noProof/>
          </w:rPr>
          <w:t>Commencement</w:t>
        </w:r>
        <w:r w:rsidR="002E40ED">
          <w:rPr>
            <w:noProof/>
            <w:webHidden/>
          </w:rPr>
          <w:tab/>
        </w:r>
        <w:r w:rsidR="002E40ED">
          <w:rPr>
            <w:noProof/>
            <w:webHidden/>
          </w:rPr>
          <w:fldChar w:fldCharType="begin"/>
        </w:r>
        <w:r w:rsidR="002E40ED">
          <w:rPr>
            <w:noProof/>
            <w:webHidden/>
          </w:rPr>
          <w:instrText xml:space="preserve"> PAGEREF _Toc146221157 \h </w:instrText>
        </w:r>
        <w:r w:rsidR="002E40ED">
          <w:rPr>
            <w:noProof/>
            <w:webHidden/>
          </w:rPr>
        </w:r>
        <w:r w:rsidR="002E40ED">
          <w:rPr>
            <w:noProof/>
            <w:webHidden/>
          </w:rPr>
          <w:fldChar w:fldCharType="separate"/>
        </w:r>
        <w:r w:rsidR="002E40ED">
          <w:rPr>
            <w:noProof/>
            <w:webHidden/>
          </w:rPr>
          <w:t>3</w:t>
        </w:r>
        <w:r w:rsidR="002E40ED">
          <w:rPr>
            <w:noProof/>
            <w:webHidden/>
          </w:rPr>
          <w:fldChar w:fldCharType="end"/>
        </w:r>
      </w:hyperlink>
    </w:p>
    <w:p w14:paraId="675DD949" w14:textId="5A41FCFB"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58" w:history="1">
        <w:r w:rsidR="002E40ED" w:rsidRPr="00565A3A">
          <w:rPr>
            <w:rStyle w:val="Hyperlink"/>
            <w:noProof/>
          </w:rPr>
          <w:t>3</w:t>
        </w:r>
        <w:r w:rsidR="002E40ED">
          <w:rPr>
            <w:rFonts w:asciiTheme="minorHAnsi" w:eastAsiaTheme="minorEastAsia" w:hAnsiTheme="minorHAnsi" w:cstheme="minorBidi"/>
            <w:noProof/>
            <w:kern w:val="0"/>
            <w:sz w:val="22"/>
            <w:szCs w:val="22"/>
          </w:rPr>
          <w:tab/>
        </w:r>
        <w:r w:rsidR="002E40ED" w:rsidRPr="00565A3A">
          <w:rPr>
            <w:rStyle w:val="Hyperlink"/>
            <w:noProof/>
          </w:rPr>
          <w:t>Authority</w:t>
        </w:r>
        <w:r w:rsidR="002E40ED">
          <w:rPr>
            <w:noProof/>
            <w:webHidden/>
          </w:rPr>
          <w:tab/>
        </w:r>
        <w:r w:rsidR="002E40ED">
          <w:rPr>
            <w:noProof/>
            <w:webHidden/>
          </w:rPr>
          <w:fldChar w:fldCharType="begin"/>
        </w:r>
        <w:r w:rsidR="002E40ED">
          <w:rPr>
            <w:noProof/>
            <w:webHidden/>
          </w:rPr>
          <w:instrText xml:space="preserve"> PAGEREF _Toc146221158 \h </w:instrText>
        </w:r>
        <w:r w:rsidR="002E40ED">
          <w:rPr>
            <w:noProof/>
            <w:webHidden/>
          </w:rPr>
        </w:r>
        <w:r w:rsidR="002E40ED">
          <w:rPr>
            <w:noProof/>
            <w:webHidden/>
          </w:rPr>
          <w:fldChar w:fldCharType="separate"/>
        </w:r>
        <w:r w:rsidR="002E40ED">
          <w:rPr>
            <w:noProof/>
            <w:webHidden/>
          </w:rPr>
          <w:t>3</w:t>
        </w:r>
        <w:r w:rsidR="002E40ED">
          <w:rPr>
            <w:noProof/>
            <w:webHidden/>
          </w:rPr>
          <w:fldChar w:fldCharType="end"/>
        </w:r>
      </w:hyperlink>
    </w:p>
    <w:p w14:paraId="1665B025" w14:textId="7AC48A14"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59" w:history="1">
        <w:r w:rsidR="002E40ED" w:rsidRPr="00565A3A">
          <w:rPr>
            <w:rStyle w:val="Hyperlink"/>
            <w:noProof/>
          </w:rPr>
          <w:t>4</w:t>
        </w:r>
        <w:r w:rsidR="002E40ED">
          <w:rPr>
            <w:rFonts w:asciiTheme="minorHAnsi" w:eastAsiaTheme="minorEastAsia" w:hAnsiTheme="minorHAnsi" w:cstheme="minorBidi"/>
            <w:noProof/>
            <w:kern w:val="0"/>
            <w:sz w:val="22"/>
            <w:szCs w:val="22"/>
          </w:rPr>
          <w:tab/>
        </w:r>
        <w:r w:rsidR="002E40ED" w:rsidRPr="00565A3A">
          <w:rPr>
            <w:rStyle w:val="Hyperlink"/>
            <w:noProof/>
          </w:rPr>
          <w:t>Definitions</w:t>
        </w:r>
        <w:r w:rsidR="002E40ED">
          <w:rPr>
            <w:noProof/>
            <w:webHidden/>
          </w:rPr>
          <w:tab/>
        </w:r>
        <w:r w:rsidR="002E40ED">
          <w:rPr>
            <w:noProof/>
            <w:webHidden/>
          </w:rPr>
          <w:fldChar w:fldCharType="begin"/>
        </w:r>
        <w:r w:rsidR="002E40ED">
          <w:rPr>
            <w:noProof/>
            <w:webHidden/>
          </w:rPr>
          <w:instrText xml:space="preserve"> PAGEREF _Toc146221159 \h </w:instrText>
        </w:r>
        <w:r w:rsidR="002E40ED">
          <w:rPr>
            <w:noProof/>
            <w:webHidden/>
          </w:rPr>
        </w:r>
        <w:r w:rsidR="002E40ED">
          <w:rPr>
            <w:noProof/>
            <w:webHidden/>
          </w:rPr>
          <w:fldChar w:fldCharType="separate"/>
        </w:r>
        <w:r w:rsidR="002E40ED">
          <w:rPr>
            <w:noProof/>
            <w:webHidden/>
          </w:rPr>
          <w:t>3</w:t>
        </w:r>
        <w:r w:rsidR="002E40ED">
          <w:rPr>
            <w:noProof/>
            <w:webHidden/>
          </w:rPr>
          <w:fldChar w:fldCharType="end"/>
        </w:r>
      </w:hyperlink>
    </w:p>
    <w:p w14:paraId="56234120" w14:textId="27800DD2" w:rsidR="002E40ED" w:rsidRDefault="00EB6A35">
      <w:pPr>
        <w:pStyle w:val="TOC1"/>
        <w:rPr>
          <w:rFonts w:asciiTheme="minorHAnsi" w:eastAsiaTheme="minorEastAsia" w:hAnsiTheme="minorHAnsi" w:cstheme="minorBidi"/>
          <w:b w:val="0"/>
          <w:noProof/>
          <w:kern w:val="0"/>
          <w:sz w:val="22"/>
          <w:szCs w:val="22"/>
        </w:rPr>
      </w:pPr>
      <w:hyperlink w:anchor="_Toc146221160" w:history="1">
        <w:r w:rsidR="002E40ED" w:rsidRPr="00565A3A">
          <w:rPr>
            <w:rStyle w:val="Hyperlink"/>
            <w:noProof/>
          </w:rPr>
          <w:t>Part 2—Declaration</w:t>
        </w:r>
        <w:r w:rsidR="002E40ED">
          <w:rPr>
            <w:noProof/>
            <w:webHidden/>
          </w:rPr>
          <w:tab/>
        </w:r>
        <w:r w:rsidR="002E40ED">
          <w:rPr>
            <w:noProof/>
            <w:webHidden/>
          </w:rPr>
          <w:fldChar w:fldCharType="begin"/>
        </w:r>
        <w:r w:rsidR="002E40ED">
          <w:rPr>
            <w:noProof/>
            <w:webHidden/>
          </w:rPr>
          <w:instrText xml:space="preserve"> PAGEREF _Toc146221160 \h </w:instrText>
        </w:r>
        <w:r w:rsidR="002E40ED">
          <w:rPr>
            <w:noProof/>
            <w:webHidden/>
          </w:rPr>
        </w:r>
        <w:r w:rsidR="002E40ED">
          <w:rPr>
            <w:noProof/>
            <w:webHidden/>
          </w:rPr>
          <w:fldChar w:fldCharType="separate"/>
        </w:r>
        <w:r w:rsidR="002E40ED">
          <w:rPr>
            <w:noProof/>
            <w:webHidden/>
          </w:rPr>
          <w:t>3</w:t>
        </w:r>
        <w:r w:rsidR="002E40ED">
          <w:rPr>
            <w:noProof/>
            <w:webHidden/>
          </w:rPr>
          <w:fldChar w:fldCharType="end"/>
        </w:r>
      </w:hyperlink>
    </w:p>
    <w:p w14:paraId="21863F9E" w14:textId="4CC41C46"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61" w:history="1">
        <w:r w:rsidR="002E40ED" w:rsidRPr="00565A3A">
          <w:rPr>
            <w:rStyle w:val="Hyperlink"/>
            <w:noProof/>
          </w:rPr>
          <w:t>5</w:t>
        </w:r>
        <w:r w:rsidR="002E40ED">
          <w:rPr>
            <w:rFonts w:asciiTheme="minorHAnsi" w:eastAsiaTheme="minorEastAsia" w:hAnsiTheme="minorHAnsi" w:cstheme="minorBidi"/>
            <w:noProof/>
            <w:kern w:val="0"/>
            <w:sz w:val="22"/>
            <w:szCs w:val="22"/>
          </w:rPr>
          <w:tab/>
        </w:r>
        <w:r w:rsidR="002E40ED" w:rsidRPr="00565A3A">
          <w:rPr>
            <w:rStyle w:val="Hyperlink"/>
            <w:noProof/>
          </w:rPr>
          <w:t>Formulating the takeover bid</w:t>
        </w:r>
        <w:r w:rsidR="002E40ED">
          <w:rPr>
            <w:noProof/>
            <w:webHidden/>
          </w:rPr>
          <w:tab/>
        </w:r>
        <w:r w:rsidR="002E40ED">
          <w:rPr>
            <w:noProof/>
            <w:webHidden/>
          </w:rPr>
          <w:fldChar w:fldCharType="begin"/>
        </w:r>
        <w:r w:rsidR="002E40ED">
          <w:rPr>
            <w:noProof/>
            <w:webHidden/>
          </w:rPr>
          <w:instrText xml:space="preserve"> PAGEREF _Toc146221161 \h </w:instrText>
        </w:r>
        <w:r w:rsidR="002E40ED">
          <w:rPr>
            <w:noProof/>
            <w:webHidden/>
          </w:rPr>
        </w:r>
        <w:r w:rsidR="002E40ED">
          <w:rPr>
            <w:noProof/>
            <w:webHidden/>
          </w:rPr>
          <w:fldChar w:fldCharType="separate"/>
        </w:r>
        <w:r w:rsidR="002E40ED">
          <w:rPr>
            <w:noProof/>
            <w:webHidden/>
          </w:rPr>
          <w:t>3</w:t>
        </w:r>
        <w:r w:rsidR="002E40ED">
          <w:rPr>
            <w:noProof/>
            <w:webHidden/>
          </w:rPr>
          <w:fldChar w:fldCharType="end"/>
        </w:r>
      </w:hyperlink>
    </w:p>
    <w:p w14:paraId="364365D1" w14:textId="0D8814E5"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62" w:history="1">
        <w:r w:rsidR="002E40ED" w:rsidRPr="00565A3A">
          <w:rPr>
            <w:rStyle w:val="Hyperlink"/>
            <w:noProof/>
          </w:rPr>
          <w:t>6</w:t>
        </w:r>
        <w:r w:rsidR="002E40ED">
          <w:rPr>
            <w:rFonts w:asciiTheme="minorHAnsi" w:eastAsiaTheme="minorEastAsia" w:hAnsiTheme="minorHAnsi" w:cstheme="minorBidi"/>
            <w:noProof/>
            <w:kern w:val="0"/>
            <w:sz w:val="22"/>
            <w:szCs w:val="22"/>
          </w:rPr>
          <w:tab/>
        </w:r>
        <w:r w:rsidR="002E40ED" w:rsidRPr="00565A3A">
          <w:rPr>
            <w:rStyle w:val="Hyperlink"/>
            <w:noProof/>
          </w:rPr>
          <w:t>Procedural steps in a takeover bid</w:t>
        </w:r>
        <w:r w:rsidR="002E40ED">
          <w:rPr>
            <w:noProof/>
            <w:webHidden/>
          </w:rPr>
          <w:tab/>
        </w:r>
        <w:r w:rsidR="002E40ED">
          <w:rPr>
            <w:noProof/>
            <w:webHidden/>
          </w:rPr>
          <w:fldChar w:fldCharType="begin"/>
        </w:r>
        <w:r w:rsidR="002E40ED">
          <w:rPr>
            <w:noProof/>
            <w:webHidden/>
          </w:rPr>
          <w:instrText xml:space="preserve"> PAGEREF _Toc146221162 \h </w:instrText>
        </w:r>
        <w:r w:rsidR="002E40ED">
          <w:rPr>
            <w:noProof/>
            <w:webHidden/>
          </w:rPr>
        </w:r>
        <w:r w:rsidR="002E40ED">
          <w:rPr>
            <w:noProof/>
            <w:webHidden/>
          </w:rPr>
          <w:fldChar w:fldCharType="separate"/>
        </w:r>
        <w:r w:rsidR="002E40ED">
          <w:rPr>
            <w:noProof/>
            <w:webHidden/>
          </w:rPr>
          <w:t>10</w:t>
        </w:r>
        <w:r w:rsidR="002E40ED">
          <w:rPr>
            <w:noProof/>
            <w:webHidden/>
          </w:rPr>
          <w:fldChar w:fldCharType="end"/>
        </w:r>
      </w:hyperlink>
    </w:p>
    <w:p w14:paraId="52A5DF76" w14:textId="6F5E645A"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63" w:history="1">
        <w:r w:rsidR="002E40ED" w:rsidRPr="00565A3A">
          <w:rPr>
            <w:rStyle w:val="Hyperlink"/>
            <w:noProof/>
          </w:rPr>
          <w:t>7</w:t>
        </w:r>
        <w:r w:rsidR="002E40ED">
          <w:rPr>
            <w:rFonts w:asciiTheme="minorHAnsi" w:eastAsiaTheme="minorEastAsia" w:hAnsiTheme="minorHAnsi" w:cstheme="minorBidi"/>
            <w:noProof/>
            <w:kern w:val="0"/>
            <w:sz w:val="22"/>
            <w:szCs w:val="22"/>
          </w:rPr>
          <w:tab/>
        </w:r>
        <w:r w:rsidR="002E40ED" w:rsidRPr="00565A3A">
          <w:rPr>
            <w:rStyle w:val="Hyperlink"/>
            <w:noProof/>
          </w:rPr>
          <w:t>Varying a takeover bid</w:t>
        </w:r>
        <w:r w:rsidR="002E40ED">
          <w:rPr>
            <w:noProof/>
            <w:webHidden/>
          </w:rPr>
          <w:tab/>
        </w:r>
        <w:r w:rsidR="002E40ED">
          <w:rPr>
            <w:noProof/>
            <w:webHidden/>
          </w:rPr>
          <w:fldChar w:fldCharType="begin"/>
        </w:r>
        <w:r w:rsidR="002E40ED">
          <w:rPr>
            <w:noProof/>
            <w:webHidden/>
          </w:rPr>
          <w:instrText xml:space="preserve"> PAGEREF _Toc146221163 \h </w:instrText>
        </w:r>
        <w:r w:rsidR="002E40ED">
          <w:rPr>
            <w:noProof/>
            <w:webHidden/>
          </w:rPr>
        </w:r>
        <w:r w:rsidR="002E40ED">
          <w:rPr>
            <w:noProof/>
            <w:webHidden/>
          </w:rPr>
          <w:fldChar w:fldCharType="separate"/>
        </w:r>
        <w:r w:rsidR="002E40ED">
          <w:rPr>
            <w:noProof/>
            <w:webHidden/>
          </w:rPr>
          <w:t>14</w:t>
        </w:r>
        <w:r w:rsidR="002E40ED">
          <w:rPr>
            <w:noProof/>
            <w:webHidden/>
          </w:rPr>
          <w:fldChar w:fldCharType="end"/>
        </w:r>
      </w:hyperlink>
    </w:p>
    <w:p w14:paraId="407A9838" w14:textId="0C83211F"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64" w:history="1">
        <w:r w:rsidR="002E40ED" w:rsidRPr="00565A3A">
          <w:rPr>
            <w:rStyle w:val="Hyperlink"/>
            <w:noProof/>
          </w:rPr>
          <w:t>8</w:t>
        </w:r>
        <w:r w:rsidR="002E40ED">
          <w:rPr>
            <w:rFonts w:asciiTheme="minorHAnsi" w:eastAsiaTheme="minorEastAsia" w:hAnsiTheme="minorHAnsi" w:cstheme="minorBidi"/>
            <w:noProof/>
            <w:kern w:val="0"/>
            <w:sz w:val="22"/>
            <w:szCs w:val="22"/>
          </w:rPr>
          <w:tab/>
        </w:r>
        <w:r w:rsidR="002E40ED" w:rsidRPr="00565A3A">
          <w:rPr>
            <w:rStyle w:val="Hyperlink"/>
            <w:noProof/>
          </w:rPr>
          <w:t>Acceptances for securities registered in a clearing and settlement facility</w:t>
        </w:r>
        <w:r w:rsidR="002E40ED">
          <w:rPr>
            <w:noProof/>
            <w:webHidden/>
          </w:rPr>
          <w:tab/>
        </w:r>
        <w:r w:rsidR="002E40ED">
          <w:rPr>
            <w:noProof/>
            <w:webHidden/>
          </w:rPr>
          <w:fldChar w:fldCharType="begin"/>
        </w:r>
        <w:r w:rsidR="002E40ED">
          <w:rPr>
            <w:noProof/>
            <w:webHidden/>
          </w:rPr>
          <w:instrText xml:space="preserve"> PAGEREF _Toc146221164 \h </w:instrText>
        </w:r>
        <w:r w:rsidR="002E40ED">
          <w:rPr>
            <w:noProof/>
            <w:webHidden/>
          </w:rPr>
        </w:r>
        <w:r w:rsidR="002E40ED">
          <w:rPr>
            <w:noProof/>
            <w:webHidden/>
          </w:rPr>
          <w:fldChar w:fldCharType="separate"/>
        </w:r>
        <w:r w:rsidR="002E40ED">
          <w:rPr>
            <w:noProof/>
            <w:webHidden/>
          </w:rPr>
          <w:t>16</w:t>
        </w:r>
        <w:r w:rsidR="002E40ED">
          <w:rPr>
            <w:noProof/>
            <w:webHidden/>
          </w:rPr>
          <w:fldChar w:fldCharType="end"/>
        </w:r>
      </w:hyperlink>
    </w:p>
    <w:p w14:paraId="3A2E7AD4" w14:textId="416900BF"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65" w:history="1">
        <w:r w:rsidR="002E40ED" w:rsidRPr="00565A3A">
          <w:rPr>
            <w:rStyle w:val="Hyperlink"/>
            <w:noProof/>
          </w:rPr>
          <w:t>9</w:t>
        </w:r>
        <w:r w:rsidR="002E40ED">
          <w:rPr>
            <w:rFonts w:asciiTheme="minorHAnsi" w:eastAsiaTheme="minorEastAsia" w:hAnsiTheme="minorHAnsi" w:cstheme="minorBidi"/>
            <w:noProof/>
            <w:kern w:val="0"/>
            <w:sz w:val="22"/>
            <w:szCs w:val="22"/>
          </w:rPr>
          <w:tab/>
        </w:r>
        <w:r w:rsidR="002E40ED" w:rsidRPr="00565A3A">
          <w:rPr>
            <w:rStyle w:val="Hyperlink"/>
            <w:noProof/>
          </w:rPr>
          <w:t>Bidder’s relevant interest in control transactions</w:t>
        </w:r>
        <w:r w:rsidR="002E40ED">
          <w:rPr>
            <w:noProof/>
            <w:webHidden/>
          </w:rPr>
          <w:tab/>
        </w:r>
        <w:r w:rsidR="002E40ED">
          <w:rPr>
            <w:noProof/>
            <w:webHidden/>
          </w:rPr>
          <w:fldChar w:fldCharType="begin"/>
        </w:r>
        <w:r w:rsidR="002E40ED">
          <w:rPr>
            <w:noProof/>
            <w:webHidden/>
          </w:rPr>
          <w:instrText xml:space="preserve"> PAGEREF _Toc146221165 \h </w:instrText>
        </w:r>
        <w:r w:rsidR="002E40ED">
          <w:rPr>
            <w:noProof/>
            <w:webHidden/>
          </w:rPr>
        </w:r>
        <w:r w:rsidR="002E40ED">
          <w:rPr>
            <w:noProof/>
            <w:webHidden/>
          </w:rPr>
          <w:fldChar w:fldCharType="separate"/>
        </w:r>
        <w:r w:rsidR="002E40ED">
          <w:rPr>
            <w:noProof/>
            <w:webHidden/>
          </w:rPr>
          <w:t>16</w:t>
        </w:r>
        <w:r w:rsidR="002E40ED">
          <w:rPr>
            <w:noProof/>
            <w:webHidden/>
          </w:rPr>
          <w:fldChar w:fldCharType="end"/>
        </w:r>
      </w:hyperlink>
    </w:p>
    <w:p w14:paraId="242AF2BB" w14:textId="2C3D1A2D"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66" w:history="1">
        <w:r w:rsidR="002E40ED" w:rsidRPr="00565A3A">
          <w:rPr>
            <w:rStyle w:val="Hyperlink"/>
            <w:noProof/>
          </w:rPr>
          <w:t>10</w:t>
        </w:r>
        <w:r w:rsidR="002E40ED">
          <w:rPr>
            <w:rFonts w:asciiTheme="minorHAnsi" w:eastAsiaTheme="minorEastAsia" w:hAnsiTheme="minorHAnsi" w:cstheme="minorBidi"/>
            <w:noProof/>
            <w:kern w:val="0"/>
            <w:sz w:val="22"/>
            <w:szCs w:val="22"/>
          </w:rPr>
          <w:tab/>
        </w:r>
        <w:r w:rsidR="002E40ED" w:rsidRPr="00565A3A">
          <w:rPr>
            <w:rStyle w:val="Hyperlink"/>
            <w:noProof/>
          </w:rPr>
          <w:t>Compulsory acquistion</w:t>
        </w:r>
        <w:r w:rsidR="002E40ED">
          <w:rPr>
            <w:noProof/>
            <w:webHidden/>
          </w:rPr>
          <w:tab/>
        </w:r>
        <w:r w:rsidR="002E40ED">
          <w:rPr>
            <w:noProof/>
            <w:webHidden/>
          </w:rPr>
          <w:fldChar w:fldCharType="begin"/>
        </w:r>
        <w:r w:rsidR="002E40ED">
          <w:rPr>
            <w:noProof/>
            <w:webHidden/>
          </w:rPr>
          <w:instrText xml:space="preserve"> PAGEREF _Toc146221166 \h </w:instrText>
        </w:r>
        <w:r w:rsidR="002E40ED">
          <w:rPr>
            <w:noProof/>
            <w:webHidden/>
          </w:rPr>
        </w:r>
        <w:r w:rsidR="002E40ED">
          <w:rPr>
            <w:noProof/>
            <w:webHidden/>
          </w:rPr>
          <w:fldChar w:fldCharType="separate"/>
        </w:r>
        <w:r w:rsidR="002E40ED">
          <w:rPr>
            <w:noProof/>
            <w:webHidden/>
          </w:rPr>
          <w:t>16</w:t>
        </w:r>
        <w:r w:rsidR="002E40ED">
          <w:rPr>
            <w:noProof/>
            <w:webHidden/>
          </w:rPr>
          <w:fldChar w:fldCharType="end"/>
        </w:r>
      </w:hyperlink>
    </w:p>
    <w:p w14:paraId="1EAEB000" w14:textId="2D6180BA" w:rsidR="002E40ED" w:rsidRDefault="00EB6A35">
      <w:pPr>
        <w:pStyle w:val="TOC1"/>
        <w:rPr>
          <w:rFonts w:asciiTheme="minorHAnsi" w:eastAsiaTheme="minorEastAsia" w:hAnsiTheme="minorHAnsi" w:cstheme="minorBidi"/>
          <w:b w:val="0"/>
          <w:noProof/>
          <w:kern w:val="0"/>
          <w:sz w:val="22"/>
          <w:szCs w:val="22"/>
        </w:rPr>
      </w:pPr>
      <w:hyperlink w:anchor="_Toc146221167" w:history="1">
        <w:r w:rsidR="002E40ED" w:rsidRPr="00565A3A">
          <w:rPr>
            <w:rStyle w:val="Hyperlink"/>
            <w:noProof/>
          </w:rPr>
          <w:t>Part 3—Repeal</w:t>
        </w:r>
        <w:r w:rsidR="002E40ED">
          <w:rPr>
            <w:noProof/>
            <w:webHidden/>
          </w:rPr>
          <w:tab/>
        </w:r>
        <w:r w:rsidR="002E40ED">
          <w:rPr>
            <w:noProof/>
            <w:webHidden/>
          </w:rPr>
          <w:fldChar w:fldCharType="begin"/>
        </w:r>
        <w:r w:rsidR="002E40ED">
          <w:rPr>
            <w:noProof/>
            <w:webHidden/>
          </w:rPr>
          <w:instrText xml:space="preserve"> PAGEREF _Toc146221167 \h </w:instrText>
        </w:r>
        <w:r w:rsidR="002E40ED">
          <w:rPr>
            <w:noProof/>
            <w:webHidden/>
          </w:rPr>
        </w:r>
        <w:r w:rsidR="002E40ED">
          <w:rPr>
            <w:noProof/>
            <w:webHidden/>
          </w:rPr>
          <w:fldChar w:fldCharType="separate"/>
        </w:r>
        <w:r w:rsidR="002E40ED">
          <w:rPr>
            <w:noProof/>
            <w:webHidden/>
          </w:rPr>
          <w:t>17</w:t>
        </w:r>
        <w:r w:rsidR="002E40ED">
          <w:rPr>
            <w:noProof/>
            <w:webHidden/>
          </w:rPr>
          <w:fldChar w:fldCharType="end"/>
        </w:r>
      </w:hyperlink>
    </w:p>
    <w:p w14:paraId="2EA2AF17" w14:textId="4C0812B0" w:rsidR="002E40ED" w:rsidRDefault="00EB6A35">
      <w:pPr>
        <w:pStyle w:val="TOC2"/>
        <w:tabs>
          <w:tab w:val="left" w:pos="1474"/>
        </w:tabs>
        <w:rPr>
          <w:rFonts w:asciiTheme="minorHAnsi" w:eastAsiaTheme="minorEastAsia" w:hAnsiTheme="minorHAnsi" w:cstheme="minorBidi"/>
          <w:noProof/>
          <w:kern w:val="0"/>
          <w:sz w:val="22"/>
          <w:szCs w:val="22"/>
        </w:rPr>
      </w:pPr>
      <w:hyperlink w:anchor="_Toc146221168" w:history="1">
        <w:r w:rsidR="002E40ED" w:rsidRPr="00565A3A">
          <w:rPr>
            <w:rStyle w:val="Hyperlink"/>
            <w:noProof/>
          </w:rPr>
          <w:t>11</w:t>
        </w:r>
        <w:r w:rsidR="002E40ED">
          <w:rPr>
            <w:rFonts w:asciiTheme="minorHAnsi" w:eastAsiaTheme="minorEastAsia" w:hAnsiTheme="minorHAnsi" w:cstheme="minorBidi"/>
            <w:noProof/>
            <w:kern w:val="0"/>
            <w:sz w:val="22"/>
            <w:szCs w:val="22"/>
          </w:rPr>
          <w:tab/>
        </w:r>
        <w:r w:rsidR="002E40ED" w:rsidRPr="00565A3A">
          <w:rPr>
            <w:rStyle w:val="Hyperlink"/>
            <w:noProof/>
          </w:rPr>
          <w:t>Repeal</w:t>
        </w:r>
        <w:r w:rsidR="002E40ED">
          <w:rPr>
            <w:noProof/>
            <w:webHidden/>
          </w:rPr>
          <w:tab/>
        </w:r>
        <w:r w:rsidR="002E40ED">
          <w:rPr>
            <w:noProof/>
            <w:webHidden/>
          </w:rPr>
          <w:fldChar w:fldCharType="begin"/>
        </w:r>
        <w:r w:rsidR="002E40ED">
          <w:rPr>
            <w:noProof/>
            <w:webHidden/>
          </w:rPr>
          <w:instrText xml:space="preserve"> PAGEREF _Toc146221168 \h </w:instrText>
        </w:r>
        <w:r w:rsidR="002E40ED">
          <w:rPr>
            <w:noProof/>
            <w:webHidden/>
          </w:rPr>
        </w:r>
        <w:r w:rsidR="002E40ED">
          <w:rPr>
            <w:noProof/>
            <w:webHidden/>
          </w:rPr>
          <w:fldChar w:fldCharType="separate"/>
        </w:r>
        <w:r w:rsidR="002E40ED">
          <w:rPr>
            <w:noProof/>
            <w:webHidden/>
          </w:rPr>
          <w:t>17</w:t>
        </w:r>
        <w:r w:rsidR="002E40ED">
          <w:rPr>
            <w:noProof/>
            <w:webHidden/>
          </w:rPr>
          <w:fldChar w:fldCharType="end"/>
        </w:r>
      </w:hyperlink>
    </w:p>
    <w:p w14:paraId="2F21D693" w14:textId="3223DCF3" w:rsidR="00A0421E" w:rsidRPr="00F61B09" w:rsidRDefault="00A0421E" w:rsidP="00A0421E">
      <w:r>
        <w:rPr>
          <w:rFonts w:eastAsia="Times New Roman"/>
          <w:color w:val="2B579A"/>
          <w:kern w:val="28"/>
          <w:sz w:val="28"/>
          <w:shd w:val="clear" w:color="auto" w:fill="E6E6E6"/>
          <w:lang w:eastAsia="en-AU"/>
        </w:rPr>
        <w:fldChar w:fldCharType="end"/>
      </w:r>
    </w:p>
    <w:p w14:paraId="40319C18" w14:textId="77777777" w:rsidR="00A0421E" w:rsidRPr="00F61B09" w:rsidRDefault="00A0421E" w:rsidP="00A0421E">
      <w:pPr>
        <w:sectPr w:rsidR="00A0421E"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4A3E24A0" w14:textId="77777777" w:rsidR="00A0421E" w:rsidRPr="00F61B09" w:rsidRDefault="00A0421E" w:rsidP="00A0421E">
      <w:pPr>
        <w:pStyle w:val="LI-Heading1"/>
      </w:pPr>
      <w:bookmarkStart w:id="2" w:name="BK_S3P1L1C1"/>
      <w:bookmarkStart w:id="3" w:name="_Toc146221155"/>
      <w:bookmarkEnd w:id="2"/>
      <w:r w:rsidRPr="006554FF">
        <w:lastRenderedPageBreak/>
        <w:t>Part </w:t>
      </w:r>
      <w:r w:rsidRPr="006E5320">
        <w:t>1</w:t>
      </w:r>
      <w:r w:rsidRPr="00F61B09">
        <w:t>—</w:t>
      </w:r>
      <w:r w:rsidRPr="00005446">
        <w:t>Preliminary</w:t>
      </w:r>
      <w:bookmarkEnd w:id="3"/>
    </w:p>
    <w:p w14:paraId="4D0FFB25" w14:textId="77777777" w:rsidR="00A0421E" w:rsidRDefault="00A0421E" w:rsidP="00A0421E">
      <w:pPr>
        <w:pStyle w:val="LI-Heading2"/>
        <w:rPr>
          <w:szCs w:val="24"/>
        </w:rPr>
      </w:pPr>
      <w:bookmarkStart w:id="4" w:name="_Toc146221156"/>
      <w:r w:rsidRPr="008C0F29">
        <w:rPr>
          <w:szCs w:val="24"/>
        </w:rPr>
        <w:t>1</w:t>
      </w:r>
      <w:r>
        <w:rPr>
          <w:szCs w:val="24"/>
        </w:rPr>
        <w:tab/>
      </w:r>
      <w:r w:rsidRPr="008C0F29">
        <w:rPr>
          <w:szCs w:val="24"/>
        </w:rPr>
        <w:t>Name of legislative instrument</w:t>
      </w:r>
      <w:bookmarkEnd w:id="4"/>
    </w:p>
    <w:p w14:paraId="79229F4B" w14:textId="09661925" w:rsidR="00A0421E" w:rsidRDefault="00A0421E" w:rsidP="00A0421E">
      <w:pPr>
        <w:pStyle w:val="LI-BodyTextUnnumbered"/>
        <w:rPr>
          <w:szCs w:val="24"/>
        </w:rPr>
      </w:pPr>
      <w:r w:rsidRPr="008C0F29">
        <w:rPr>
          <w:szCs w:val="24"/>
        </w:rPr>
        <w:t>This is</w:t>
      </w:r>
      <w:r>
        <w:rPr>
          <w:szCs w:val="24"/>
        </w:rPr>
        <w:t xml:space="preserve"> the</w:t>
      </w:r>
      <w:r w:rsidRPr="008C0F29">
        <w:rPr>
          <w:szCs w:val="24"/>
        </w:rPr>
        <w:t xml:space="preserve"> </w:t>
      </w:r>
      <w:bookmarkStart w:id="5" w:name="_Hlk146221089"/>
      <w:r w:rsidRPr="008C0F29">
        <w:rPr>
          <w:i/>
          <w:szCs w:val="24"/>
        </w:rPr>
        <w:t>A</w:t>
      </w:r>
      <w:r>
        <w:rPr>
          <w:i/>
          <w:szCs w:val="24"/>
        </w:rPr>
        <w:t xml:space="preserve">SIC Corporations </w:t>
      </w:r>
      <w:r w:rsidRPr="005D3D41">
        <w:rPr>
          <w:i/>
          <w:szCs w:val="24"/>
        </w:rPr>
        <w:t>(</w:t>
      </w:r>
      <w:r>
        <w:rPr>
          <w:i/>
          <w:szCs w:val="24"/>
        </w:rPr>
        <w:t xml:space="preserve">Takeover </w:t>
      </w:r>
      <w:r w:rsidR="00305C66">
        <w:rPr>
          <w:i/>
          <w:szCs w:val="24"/>
        </w:rPr>
        <w:t>B</w:t>
      </w:r>
      <w:r>
        <w:rPr>
          <w:i/>
          <w:szCs w:val="24"/>
        </w:rPr>
        <w:t>ids</w:t>
      </w:r>
      <w:r w:rsidRPr="005D3D41">
        <w:rPr>
          <w:i/>
          <w:szCs w:val="24"/>
        </w:rPr>
        <w:t xml:space="preserve">) Instrument </w:t>
      </w:r>
      <w:r>
        <w:rPr>
          <w:i/>
          <w:szCs w:val="24"/>
        </w:rPr>
        <w:t>2023/</w:t>
      </w:r>
      <w:r w:rsidR="002746DD">
        <w:rPr>
          <w:i/>
          <w:szCs w:val="24"/>
        </w:rPr>
        <w:t>683</w:t>
      </w:r>
      <w:bookmarkEnd w:id="5"/>
      <w:r w:rsidRPr="005D3D41">
        <w:rPr>
          <w:szCs w:val="24"/>
        </w:rPr>
        <w:t>.</w:t>
      </w:r>
    </w:p>
    <w:p w14:paraId="4045ECD1" w14:textId="77777777" w:rsidR="00A0421E" w:rsidRPr="008C0F29" w:rsidRDefault="00A0421E" w:rsidP="00A0421E">
      <w:pPr>
        <w:pStyle w:val="LI-Heading2"/>
        <w:rPr>
          <w:szCs w:val="24"/>
        </w:rPr>
      </w:pPr>
      <w:bookmarkStart w:id="6" w:name="_Toc146221157"/>
      <w:r w:rsidRPr="008C0F29">
        <w:rPr>
          <w:szCs w:val="24"/>
        </w:rPr>
        <w:t>2</w:t>
      </w:r>
      <w:r>
        <w:rPr>
          <w:szCs w:val="24"/>
        </w:rPr>
        <w:tab/>
      </w:r>
      <w:r w:rsidRPr="008C0F29">
        <w:rPr>
          <w:szCs w:val="24"/>
        </w:rPr>
        <w:t>Commencement</w:t>
      </w:r>
      <w:bookmarkEnd w:id="6"/>
    </w:p>
    <w:p w14:paraId="559AEF68" w14:textId="77777777" w:rsidR="00A0421E" w:rsidRPr="008C0F29" w:rsidRDefault="00A0421E" w:rsidP="00A0421E">
      <w:pPr>
        <w:pStyle w:val="LI-BodyTextUnnumbered"/>
        <w:rPr>
          <w:szCs w:val="24"/>
        </w:rPr>
      </w:pPr>
      <w:r w:rsidRPr="008C0F29">
        <w:rPr>
          <w:szCs w:val="24"/>
        </w:rPr>
        <w:t xml:space="preserve">This </w:t>
      </w:r>
      <w:r>
        <w:rPr>
          <w:szCs w:val="24"/>
        </w:rPr>
        <w:t>instrument</w:t>
      </w:r>
      <w:r w:rsidRPr="008C0F29">
        <w:rPr>
          <w:szCs w:val="24"/>
        </w:rPr>
        <w:t xml:space="preserve"> commences on the day </w:t>
      </w:r>
      <w:r>
        <w:rPr>
          <w:szCs w:val="24"/>
        </w:rPr>
        <w:t>after it is registered on the Federal Register of Legislation</w:t>
      </w:r>
      <w:r w:rsidRPr="008C0F29">
        <w:rPr>
          <w:szCs w:val="24"/>
        </w:rPr>
        <w:t>.</w:t>
      </w:r>
    </w:p>
    <w:p w14:paraId="33DF4EAF" w14:textId="77777777" w:rsidR="00A0421E" w:rsidRDefault="00A0421E" w:rsidP="00A0421E">
      <w:pPr>
        <w:pStyle w:val="LI-BodyTextNote"/>
      </w:pPr>
      <w:r w:rsidRPr="00F61B09">
        <w:t>Note:</w:t>
      </w:r>
      <w:r w:rsidRPr="00F61B09">
        <w:tab/>
      </w:r>
      <w:r>
        <w:t xml:space="preserve">The register </w:t>
      </w:r>
      <w:r w:rsidRPr="00572BB1">
        <w:t xml:space="preserve">may </w:t>
      </w:r>
      <w:r>
        <w:t xml:space="preserve">be accessed at </w:t>
      </w:r>
      <w:hyperlink r:id="rId26" w:history="1">
        <w:r w:rsidRPr="008B4C0E">
          <w:rPr>
            <w:rStyle w:val="Hyperlink"/>
          </w:rPr>
          <w:t>www.legislation.gov.au</w:t>
        </w:r>
      </w:hyperlink>
      <w:r>
        <w:t>.</w:t>
      </w:r>
    </w:p>
    <w:p w14:paraId="18DA6A9D" w14:textId="77777777" w:rsidR="00A0421E" w:rsidRPr="008C0F29" w:rsidRDefault="00A0421E" w:rsidP="00A0421E">
      <w:pPr>
        <w:pStyle w:val="LI-Heading2"/>
        <w:spacing w:before="240"/>
        <w:rPr>
          <w:szCs w:val="24"/>
        </w:rPr>
      </w:pPr>
      <w:bookmarkStart w:id="7" w:name="_Toc146221158"/>
      <w:r w:rsidRPr="008C0F29">
        <w:rPr>
          <w:szCs w:val="24"/>
        </w:rPr>
        <w:t>3</w:t>
      </w:r>
      <w:r>
        <w:rPr>
          <w:szCs w:val="24"/>
        </w:rPr>
        <w:tab/>
      </w:r>
      <w:r w:rsidRPr="008C0F29">
        <w:rPr>
          <w:szCs w:val="24"/>
        </w:rPr>
        <w:t>Authority</w:t>
      </w:r>
      <w:bookmarkEnd w:id="7"/>
    </w:p>
    <w:p w14:paraId="0E38D71D" w14:textId="5C729EFD" w:rsidR="00A0421E" w:rsidRPr="008C0F29" w:rsidRDefault="00A0421E" w:rsidP="00A0421E">
      <w:pPr>
        <w:pStyle w:val="LI-BodyTextUnnumbered"/>
        <w:rPr>
          <w:szCs w:val="24"/>
        </w:rPr>
      </w:pPr>
      <w:r w:rsidRPr="008C0F29">
        <w:rPr>
          <w:szCs w:val="24"/>
        </w:rPr>
        <w:t xml:space="preserve">This instrument is made under </w:t>
      </w:r>
      <w:r>
        <w:rPr>
          <w:szCs w:val="24"/>
        </w:rPr>
        <w:t>subsections 655A(1)</w:t>
      </w:r>
      <w:r w:rsidR="00180BB6">
        <w:rPr>
          <w:szCs w:val="24"/>
        </w:rPr>
        <w:t>,</w:t>
      </w:r>
      <w:r>
        <w:rPr>
          <w:szCs w:val="24"/>
        </w:rPr>
        <w:t xml:space="preserve"> </w:t>
      </w:r>
      <w:r w:rsidR="00E35EB0">
        <w:rPr>
          <w:szCs w:val="24"/>
        </w:rPr>
        <w:t>669</w:t>
      </w:r>
      <w:r w:rsidR="0014526E">
        <w:rPr>
          <w:szCs w:val="24"/>
        </w:rPr>
        <w:t xml:space="preserve">(1) </w:t>
      </w:r>
      <w:r>
        <w:rPr>
          <w:szCs w:val="24"/>
        </w:rPr>
        <w:t>and 673(1)</w:t>
      </w:r>
      <w:r w:rsidRPr="005D3D41">
        <w:rPr>
          <w:szCs w:val="24"/>
        </w:rPr>
        <w:t xml:space="preserve"> of </w:t>
      </w:r>
      <w:r>
        <w:rPr>
          <w:szCs w:val="24"/>
        </w:rPr>
        <w:t xml:space="preserve">the </w:t>
      </w:r>
      <w:r w:rsidR="0074591C" w:rsidRPr="00626C63">
        <w:rPr>
          <w:i/>
          <w:iCs/>
          <w:szCs w:val="24"/>
        </w:rPr>
        <w:t>Corporations Act 2001</w:t>
      </w:r>
      <w:r>
        <w:rPr>
          <w:i/>
          <w:iCs/>
          <w:szCs w:val="24"/>
        </w:rPr>
        <w:t>.</w:t>
      </w:r>
    </w:p>
    <w:p w14:paraId="35A1315A" w14:textId="77777777" w:rsidR="00A0421E" w:rsidRPr="00BB5C17" w:rsidRDefault="00A0421E" w:rsidP="00A0421E">
      <w:pPr>
        <w:pStyle w:val="LI-Heading2"/>
        <w:spacing w:before="240"/>
        <w:rPr>
          <w:szCs w:val="24"/>
        </w:rPr>
      </w:pPr>
      <w:bookmarkStart w:id="8" w:name="_Toc146221159"/>
      <w:r w:rsidRPr="00BB5C17">
        <w:rPr>
          <w:szCs w:val="24"/>
        </w:rPr>
        <w:t>4</w:t>
      </w:r>
      <w:r>
        <w:rPr>
          <w:szCs w:val="24"/>
        </w:rPr>
        <w:tab/>
      </w:r>
      <w:r w:rsidRPr="00BB5C17">
        <w:rPr>
          <w:szCs w:val="24"/>
        </w:rPr>
        <w:t>Definitions</w:t>
      </w:r>
      <w:bookmarkEnd w:id="8"/>
    </w:p>
    <w:p w14:paraId="03EF1DEB" w14:textId="77777777" w:rsidR="00A0421E" w:rsidRPr="00005446" w:rsidRDefault="00A0421E" w:rsidP="00A0421E">
      <w:pPr>
        <w:pStyle w:val="LI-BodyTextUnnumbered"/>
      </w:pPr>
      <w:r w:rsidRPr="00005446">
        <w:t>In this instrument:</w:t>
      </w:r>
    </w:p>
    <w:p w14:paraId="075B7A25" w14:textId="77777777" w:rsidR="00A0421E" w:rsidRDefault="00A0421E" w:rsidP="00A0421E">
      <w:pPr>
        <w:pStyle w:val="LI-BodyTextUnnumbered"/>
        <w:rPr>
          <w:b/>
          <w:i/>
        </w:rPr>
      </w:pPr>
      <w:r>
        <w:rPr>
          <w:b/>
          <w:i/>
        </w:rPr>
        <w:t>Act</w:t>
      </w:r>
      <w:r w:rsidRPr="00E85A91">
        <w:t xml:space="preserve"> means</w:t>
      </w:r>
      <w:r>
        <w:t xml:space="preserve"> the </w:t>
      </w:r>
      <w:r>
        <w:rPr>
          <w:i/>
          <w:iCs/>
        </w:rPr>
        <w:t>Corporations Act 2001</w:t>
      </w:r>
      <w:r>
        <w:t xml:space="preserve">. </w:t>
      </w:r>
      <w:r>
        <w:br/>
      </w:r>
    </w:p>
    <w:p w14:paraId="5B6992A4" w14:textId="77777777" w:rsidR="00A0421E" w:rsidRPr="00F61B09" w:rsidRDefault="00A0421E" w:rsidP="00A0421E">
      <w:pPr>
        <w:pStyle w:val="LI-Heading1"/>
      </w:pPr>
      <w:bookmarkStart w:id="9" w:name="_Toc146221160"/>
      <w:r w:rsidRPr="006E5320">
        <w:t>Part </w:t>
      </w:r>
      <w:r>
        <w:t>2</w:t>
      </w:r>
      <w:r w:rsidRPr="006554FF">
        <w:t>—</w:t>
      </w:r>
      <w:r>
        <w:t>Declaration</w:t>
      </w:r>
      <w:bookmarkEnd w:id="9"/>
    </w:p>
    <w:p w14:paraId="7C2B7611" w14:textId="77777777" w:rsidR="00A0421E" w:rsidRDefault="00A0421E" w:rsidP="00A0421E">
      <w:pPr>
        <w:pStyle w:val="LI-Heading2"/>
      </w:pPr>
      <w:bookmarkStart w:id="10" w:name="_Toc146221161"/>
      <w:r>
        <w:t>5</w:t>
      </w:r>
      <w:r>
        <w:tab/>
        <w:t>Formulating the takeover bid</w:t>
      </w:r>
      <w:bookmarkEnd w:id="10"/>
    </w:p>
    <w:p w14:paraId="2A5D57DF" w14:textId="77777777" w:rsidR="00A0421E" w:rsidRDefault="00A0421E" w:rsidP="00A0421E">
      <w:pPr>
        <w:pStyle w:val="LI-BodyTextNumbered"/>
      </w:pPr>
      <w:r w:rsidRPr="005D3D41">
        <w:tab/>
      </w:r>
      <w:r>
        <w:t xml:space="preserve">Chapter 6 of the Act applies to all persons as if the following provisions of Part 6.4 were omitted, </w:t>
      </w:r>
      <w:proofErr w:type="gramStart"/>
      <w:r>
        <w:t>modified</w:t>
      </w:r>
      <w:proofErr w:type="gramEnd"/>
      <w:r>
        <w:t xml:space="preserve"> or varied as follows:</w:t>
      </w:r>
    </w:p>
    <w:p w14:paraId="5A00DCDA" w14:textId="186003DF" w:rsidR="00A0421E" w:rsidRDefault="00A0421E" w:rsidP="00A0421E">
      <w:pPr>
        <w:pStyle w:val="LI-BodyTextParaa"/>
      </w:pPr>
      <w:r w:rsidRPr="005D3D41">
        <w:t>(</w:t>
      </w:r>
      <w:r>
        <w:t>a</w:t>
      </w:r>
      <w:r w:rsidRPr="005D3D41">
        <w:t>)</w:t>
      </w:r>
      <w:r w:rsidRPr="005D3D41">
        <w:tab/>
      </w:r>
      <w:r w:rsidRPr="00CE6634">
        <w:t>omit subsection 617(2) (excluding the note), substitute:</w:t>
      </w:r>
    </w:p>
    <w:p w14:paraId="6E25850A" w14:textId="77777777" w:rsidR="00A0421E" w:rsidRPr="00F30F3B" w:rsidRDefault="00A0421E" w:rsidP="00A0421E">
      <w:pPr>
        <w:pStyle w:val="LI-SectionHeading"/>
        <w:rPr>
          <w:rFonts w:eastAsia="Calibri"/>
          <w:b w:val="0"/>
        </w:rPr>
      </w:pPr>
      <w:r w:rsidRPr="00F30F3B">
        <w:rPr>
          <w:b w:val="0"/>
        </w:rPr>
        <w:t>“</w:t>
      </w:r>
      <w:r w:rsidRPr="00F30F3B">
        <w:rPr>
          <w:rFonts w:eastAsia="Calibri"/>
          <w:b w:val="0"/>
        </w:rPr>
        <w:t>(2)</w:t>
      </w:r>
      <w:r w:rsidRPr="00F30F3B">
        <w:rPr>
          <w:rFonts w:eastAsia="Calibri"/>
          <w:b w:val="0"/>
        </w:rPr>
        <w:tab/>
        <w:t>If other securities</w:t>
      </w:r>
      <w:r>
        <w:rPr>
          <w:rFonts w:eastAsia="Calibri"/>
          <w:b w:val="0"/>
        </w:rPr>
        <w:t xml:space="preserve"> </w:t>
      </w:r>
      <w:r w:rsidRPr="00B154F6">
        <w:rPr>
          <w:rFonts w:eastAsia="Calibri"/>
          <w:b w:val="0"/>
        </w:rPr>
        <w:t>or derivatives</w:t>
      </w:r>
      <w:r w:rsidRPr="00F30F3B">
        <w:rPr>
          <w:rFonts w:eastAsia="Calibri"/>
          <w:b w:val="0"/>
        </w:rPr>
        <w:t xml:space="preserve"> exist or will exist at </w:t>
      </w:r>
      <w:r w:rsidRPr="00483C20">
        <w:rPr>
          <w:rFonts w:eastAsia="Calibri"/>
          <w:b w:val="0"/>
        </w:rPr>
        <w:t>that date</w:t>
      </w:r>
      <w:r>
        <w:rPr>
          <w:rFonts w:eastAsia="Calibri"/>
          <w:b w:val="0"/>
        </w:rPr>
        <w:t xml:space="preserve"> </w:t>
      </w:r>
      <w:r w:rsidRPr="00F30F3B">
        <w:rPr>
          <w:rFonts w:eastAsia="Calibri"/>
          <w:b w:val="0"/>
        </w:rPr>
        <w:t xml:space="preserve"> that:</w:t>
      </w:r>
    </w:p>
    <w:p w14:paraId="306DB56A" w14:textId="6DD7733E" w:rsidR="00A0421E" w:rsidRDefault="00A0421E" w:rsidP="00A0421E">
      <w:pPr>
        <w:pStyle w:val="LI-Sectionparaa"/>
        <w:rPr>
          <w:rFonts w:eastAsia="Calibri"/>
        </w:rPr>
      </w:pPr>
      <w:r>
        <w:rPr>
          <w:rFonts w:eastAsia="Calibri"/>
        </w:rPr>
        <w:t>(a)</w:t>
      </w:r>
      <w:r>
        <w:rPr>
          <w:rFonts w:eastAsia="Calibri"/>
        </w:rPr>
        <w:tab/>
        <w:t>will convert, or may be converted, to securities in the bid class; or</w:t>
      </w:r>
    </w:p>
    <w:p w14:paraId="744BE59C" w14:textId="1C991522" w:rsidR="005B4803" w:rsidRDefault="00A0421E" w:rsidP="00A0421E">
      <w:pPr>
        <w:pStyle w:val="LI-Sectionparaa"/>
        <w:rPr>
          <w:rFonts w:eastAsia="Calibri"/>
        </w:rPr>
      </w:pPr>
      <w:r>
        <w:rPr>
          <w:rFonts w:eastAsia="Calibri"/>
        </w:rPr>
        <w:t>(b)</w:t>
      </w:r>
      <w:r>
        <w:rPr>
          <w:rFonts w:eastAsia="Calibri"/>
        </w:rPr>
        <w:tab/>
        <w:t xml:space="preserve">confer rights to be issued securities in the bid </w:t>
      </w:r>
      <w:proofErr w:type="gramStart"/>
      <w:r>
        <w:rPr>
          <w:rFonts w:eastAsia="Calibri"/>
        </w:rPr>
        <w:t>class;</w:t>
      </w:r>
      <w:proofErr w:type="gramEnd"/>
    </w:p>
    <w:p w14:paraId="11D903BA" w14:textId="3652B4A0" w:rsidR="00D651DF" w:rsidRDefault="00A0421E" w:rsidP="00BA2805">
      <w:pPr>
        <w:pStyle w:val="LI-SectionSubsectionText"/>
        <w:ind w:firstLine="0"/>
        <w:rPr>
          <w:rFonts w:eastAsia="Calibri"/>
        </w:rPr>
      </w:pPr>
      <w:r w:rsidRPr="00822194">
        <w:rPr>
          <w:rFonts w:eastAsia="Calibri"/>
        </w:rPr>
        <w:t xml:space="preserve">the bid may extend to securities that come to be in the bid class during </w:t>
      </w:r>
      <w:r w:rsidRPr="00600CB3">
        <w:rPr>
          <w:rFonts w:eastAsia="Calibri"/>
        </w:rPr>
        <w:t>the period from the date set by the bidder under subsection 633(2) to the</w:t>
      </w:r>
      <w:r w:rsidRPr="00822194">
        <w:rPr>
          <w:rFonts w:eastAsia="Calibri"/>
        </w:rPr>
        <w:t xml:space="preserve"> end of the offer period due to a conversion or exercise of the rights.</w:t>
      </w:r>
      <w:proofErr w:type="gramStart"/>
      <w:r w:rsidR="00F000B3">
        <w:rPr>
          <w:rFonts w:eastAsia="Calibri"/>
        </w:rPr>
        <w:t>”;</w:t>
      </w:r>
      <w:proofErr w:type="gramEnd"/>
    </w:p>
    <w:p w14:paraId="2444A2E3" w14:textId="29B0DF3A" w:rsidR="00A0421E" w:rsidRDefault="00A0421E" w:rsidP="00A0421E">
      <w:pPr>
        <w:pStyle w:val="LI-BodyTextParaa"/>
        <w:rPr>
          <w:rFonts w:eastAsia="Calibri"/>
        </w:rPr>
      </w:pPr>
      <w:r>
        <w:rPr>
          <w:rFonts w:eastAsia="Calibri"/>
        </w:rPr>
        <w:t>(b)</w:t>
      </w:r>
      <w:r>
        <w:rPr>
          <w:rFonts w:eastAsia="Calibri"/>
        </w:rPr>
        <w:tab/>
        <w:t>omit subsection 618(2), substitute:</w:t>
      </w:r>
    </w:p>
    <w:p w14:paraId="78299755" w14:textId="77777777" w:rsidR="00A0421E" w:rsidRPr="00F30F3B" w:rsidRDefault="00A0421E" w:rsidP="00A0421E">
      <w:pPr>
        <w:pStyle w:val="LI-SectionHeading"/>
        <w:rPr>
          <w:rFonts w:eastAsia="Calibri"/>
          <w:b w:val="0"/>
          <w:i/>
          <w:iCs/>
        </w:rPr>
      </w:pPr>
      <w:r w:rsidRPr="00F30F3B">
        <w:rPr>
          <w:b w:val="0"/>
        </w:rPr>
        <w:t>“</w:t>
      </w:r>
      <w:r w:rsidRPr="00F30F3B">
        <w:rPr>
          <w:rFonts w:eastAsia="Calibri"/>
          <w:b w:val="0"/>
          <w:i/>
          <w:iCs/>
        </w:rPr>
        <w:t xml:space="preserve">Proportional takeover bids—small parcels </w:t>
      </w:r>
    </w:p>
    <w:p w14:paraId="6E9F92E9" w14:textId="77777777" w:rsidR="00A0421E" w:rsidRPr="00F12671" w:rsidRDefault="00A0421E" w:rsidP="00A0421E">
      <w:pPr>
        <w:pStyle w:val="LI-SectionSubsectionText"/>
        <w:rPr>
          <w:rFonts w:eastAsia="Calibri"/>
        </w:rPr>
      </w:pPr>
      <w:r w:rsidRPr="0069131F">
        <w:rPr>
          <w:rFonts w:eastAsia="Calibri"/>
        </w:rPr>
        <w:lastRenderedPageBreak/>
        <w:t>(2)</w:t>
      </w:r>
      <w:r w:rsidRPr="0069131F">
        <w:rPr>
          <w:rFonts w:eastAsia="Calibri"/>
        </w:rPr>
        <w:tab/>
        <w:t>If accepting an offer under a proportional takeover bid for quoted securities would leave a person with a parcel of the securities that is a small parcel, the offer extends to that parcel.</w:t>
      </w:r>
    </w:p>
    <w:p w14:paraId="7AD3D85F" w14:textId="77777777" w:rsidR="00A0421E" w:rsidRPr="0069131F" w:rsidRDefault="00A0421E" w:rsidP="00A0421E">
      <w:pPr>
        <w:pStyle w:val="LI-SectionSubsectionText"/>
        <w:ind w:firstLine="0"/>
        <w:rPr>
          <w:rFonts w:eastAsia="Calibri"/>
          <w:bCs/>
        </w:rPr>
      </w:pPr>
      <w:r w:rsidRPr="00F12671">
        <w:rPr>
          <w:rFonts w:eastAsia="Calibri"/>
        </w:rPr>
        <w:t>This subsection (including the application of this subsection to the circumstances specified in subsection (2B)) does not apply to a parcel of securities, whether held beneficially or otherwise, that has come into existence or increased in size because of a transaction entered into (including the creation of one or more trusts) after the bid was publicly proposed</w:t>
      </w:r>
      <w:r w:rsidRPr="0069131F">
        <w:rPr>
          <w:rFonts w:eastAsia="Calibri"/>
          <w:bCs/>
        </w:rPr>
        <w:t>.</w:t>
      </w:r>
    </w:p>
    <w:p w14:paraId="2C20ABB9" w14:textId="77777777" w:rsidR="00A0421E" w:rsidRPr="0069131F" w:rsidRDefault="00A0421E" w:rsidP="00A0421E">
      <w:pPr>
        <w:pStyle w:val="LI-SectionSubsectionText"/>
        <w:rPr>
          <w:rFonts w:eastAsia="Calibri"/>
        </w:rPr>
      </w:pPr>
      <w:r w:rsidRPr="0069131F">
        <w:rPr>
          <w:rFonts w:eastAsia="Calibri"/>
        </w:rPr>
        <w:t>(2A)</w:t>
      </w:r>
      <w:r w:rsidRPr="0069131F">
        <w:rPr>
          <w:rFonts w:eastAsia="Calibri"/>
        </w:rPr>
        <w:tab/>
        <w:t>For the purposes of subsection (2), a person accepting a proportional takeover bid for quoted securities would be left with a small parcel of securities if, and only if, the parcel of securities they would be left with is not:</w:t>
      </w:r>
    </w:p>
    <w:p w14:paraId="7C68B1BE" w14:textId="77777777" w:rsidR="00A0421E" w:rsidRDefault="00A0421E" w:rsidP="00A0421E">
      <w:pPr>
        <w:pStyle w:val="LI-Sectionparaa"/>
        <w:rPr>
          <w:rFonts w:eastAsia="Calibri"/>
        </w:rPr>
      </w:pPr>
      <w:r>
        <w:rPr>
          <w:rFonts w:eastAsia="Calibri"/>
        </w:rPr>
        <w:t>(a)</w:t>
      </w:r>
      <w:r>
        <w:rPr>
          <w:rFonts w:eastAsia="Calibri"/>
        </w:rPr>
        <w:tab/>
        <w:t>if, on the most recent day before the date of acceptance that bid class securities were traded on a prescribed financial market, the securities were only traded on one prescribed financial market—a minimum parcel using the closing price of the securities on that prescribed financial market on that day; or</w:t>
      </w:r>
    </w:p>
    <w:p w14:paraId="5777C88C" w14:textId="77777777" w:rsidR="00A0421E" w:rsidRDefault="00A0421E" w:rsidP="00A0421E">
      <w:pPr>
        <w:pStyle w:val="LI-Sectionparaa"/>
        <w:rPr>
          <w:rFonts w:eastAsia="Calibri"/>
        </w:rPr>
      </w:pPr>
      <w:r>
        <w:rPr>
          <w:rFonts w:eastAsia="Calibri"/>
        </w:rPr>
        <w:t>(b)</w:t>
      </w:r>
      <w:r>
        <w:rPr>
          <w:rFonts w:eastAsia="Calibri"/>
        </w:rPr>
        <w:tab/>
        <w:t>if bid class securities traded on more than one prescribed financial market on that day—a minimum parcel using the closing price of the securities on any of the prescribed financial markets on which the securities traded on that day.</w:t>
      </w:r>
    </w:p>
    <w:p w14:paraId="29558CE2" w14:textId="77777777" w:rsidR="00A0421E" w:rsidRPr="0069131F" w:rsidRDefault="00A0421E" w:rsidP="00A0421E">
      <w:pPr>
        <w:pStyle w:val="LI-SectionSubsectionText"/>
        <w:rPr>
          <w:rFonts w:eastAsia="Calibri"/>
        </w:rPr>
      </w:pPr>
      <w:r w:rsidRPr="0069131F">
        <w:rPr>
          <w:rFonts w:eastAsia="Calibri"/>
        </w:rPr>
        <w:t>(2B)</w:t>
      </w:r>
      <w:r w:rsidRPr="0069131F">
        <w:rPr>
          <w:rFonts w:eastAsia="Calibri"/>
        </w:rPr>
        <w:tab/>
        <w:t xml:space="preserve">If under paragraph 653B(1)(b) a person (the </w:t>
      </w:r>
      <w:r w:rsidRPr="00F12671">
        <w:rPr>
          <w:rFonts w:eastAsia="Calibri"/>
          <w:b/>
          <w:i/>
        </w:rPr>
        <w:t>holder</w:t>
      </w:r>
      <w:r w:rsidRPr="0069131F">
        <w:rPr>
          <w:rFonts w:eastAsia="Calibri"/>
        </w:rPr>
        <w:t xml:space="preserve">) may accept an </w:t>
      </w:r>
      <w:proofErr w:type="gramStart"/>
      <w:r w:rsidRPr="0069131F">
        <w:rPr>
          <w:rFonts w:eastAsia="Calibri"/>
        </w:rPr>
        <w:t>off-market</w:t>
      </w:r>
      <w:proofErr w:type="gramEnd"/>
      <w:r w:rsidRPr="0069131F">
        <w:rPr>
          <w:rFonts w:eastAsia="Calibri"/>
        </w:rPr>
        <w:t xml:space="preserve"> bid for securities as if a separate offer had been made in relation to:</w:t>
      </w:r>
    </w:p>
    <w:p w14:paraId="520A94C4" w14:textId="77777777" w:rsidR="00A0421E" w:rsidRDefault="00A0421E" w:rsidP="00A0421E">
      <w:pPr>
        <w:pStyle w:val="LI-Sectionparaa"/>
        <w:rPr>
          <w:rFonts w:eastAsia="Calibri"/>
        </w:rPr>
      </w:pPr>
      <w:r>
        <w:rPr>
          <w:rFonts w:eastAsia="Calibri"/>
        </w:rPr>
        <w:t>(a)</w:t>
      </w:r>
      <w:r>
        <w:rPr>
          <w:rFonts w:eastAsia="Calibri"/>
        </w:rPr>
        <w:tab/>
        <w:t>one or more parcels of bid class securities that they hold as trustee or nominee for, or otherwise on account of, another person (a </w:t>
      </w:r>
      <w:r>
        <w:rPr>
          <w:rFonts w:eastAsia="Calibri"/>
          <w:b/>
          <w:i/>
        </w:rPr>
        <w:t>beneficiary</w:t>
      </w:r>
      <w:r>
        <w:rPr>
          <w:rFonts w:eastAsia="Calibri"/>
        </w:rPr>
        <w:t>); or</w:t>
      </w:r>
    </w:p>
    <w:p w14:paraId="7AF9F4CC" w14:textId="77777777" w:rsidR="00A0421E" w:rsidRDefault="00A0421E" w:rsidP="00A0421E">
      <w:pPr>
        <w:pStyle w:val="LI-Sectionparaa"/>
        <w:rPr>
          <w:rFonts w:eastAsia="Calibri"/>
        </w:rPr>
      </w:pPr>
      <w:r>
        <w:rPr>
          <w:rFonts w:eastAsia="Calibri"/>
        </w:rPr>
        <w:t>(b)</w:t>
      </w:r>
      <w:r>
        <w:rPr>
          <w:rFonts w:eastAsia="Calibri"/>
        </w:rPr>
        <w:tab/>
        <w:t xml:space="preserve">a parcel held in the holder’s own </w:t>
      </w:r>
      <w:proofErr w:type="gramStart"/>
      <w:r>
        <w:rPr>
          <w:rFonts w:eastAsia="Calibri"/>
        </w:rPr>
        <w:t>right;</w:t>
      </w:r>
      <w:proofErr w:type="gramEnd"/>
    </w:p>
    <w:p w14:paraId="62312EE4" w14:textId="77777777" w:rsidR="00A0421E" w:rsidRDefault="00A0421E" w:rsidP="00A0421E">
      <w:pPr>
        <w:pStyle w:val="LI-Sectionsubparai"/>
        <w:ind w:left="2268" w:firstLine="0"/>
        <w:rPr>
          <w:rFonts w:eastAsia="Calibri"/>
          <w:b/>
        </w:rPr>
      </w:pPr>
      <w:r>
        <w:rPr>
          <w:rFonts w:eastAsia="Calibri"/>
        </w:rPr>
        <w:t>then subsection (2) applies to the holder in relation to each parcel rather than the aggregate of the parcels, provided the holder has, before or at the same time as an acceptance of the offer extended under subsection (2), given a notice complying with subsection (2C) to the bidder in relation to the parcel.</w:t>
      </w:r>
    </w:p>
    <w:p w14:paraId="13E0D98A" w14:textId="77777777" w:rsidR="00A0421E" w:rsidRPr="0069131F" w:rsidRDefault="00A0421E" w:rsidP="00A0421E">
      <w:pPr>
        <w:pStyle w:val="LI-SectionSubsectionText"/>
        <w:rPr>
          <w:rFonts w:eastAsia="Calibri"/>
        </w:rPr>
      </w:pPr>
      <w:r w:rsidRPr="0069131F">
        <w:rPr>
          <w:rFonts w:eastAsia="Calibri"/>
        </w:rPr>
        <w:t>(2C)</w:t>
      </w:r>
      <w:r w:rsidRPr="0069131F">
        <w:rPr>
          <w:rFonts w:eastAsia="Calibri"/>
        </w:rPr>
        <w:tab/>
        <w:t>A notice complies with this subsection in relation to a parcel of securities if the notice is signed by the holder of the securities and states:</w:t>
      </w:r>
    </w:p>
    <w:p w14:paraId="34064E83" w14:textId="77777777" w:rsidR="00A0421E" w:rsidRDefault="00A0421E" w:rsidP="00A0421E">
      <w:pPr>
        <w:pStyle w:val="LI-Sectionparaa"/>
        <w:rPr>
          <w:rFonts w:eastAsia="Calibri"/>
        </w:rPr>
      </w:pPr>
      <w:r>
        <w:rPr>
          <w:rFonts w:eastAsia="Calibri"/>
        </w:rPr>
        <w:t>(a)</w:t>
      </w:r>
      <w:r>
        <w:rPr>
          <w:rFonts w:eastAsia="Calibri"/>
        </w:rPr>
        <w:tab/>
        <w:t>as applicable:</w:t>
      </w:r>
    </w:p>
    <w:p w14:paraId="70FEC716" w14:textId="77777777" w:rsidR="00A0421E" w:rsidRDefault="00A0421E" w:rsidP="00A0421E">
      <w:pPr>
        <w:pStyle w:val="LI-Sectionsubparai"/>
        <w:rPr>
          <w:rFonts w:eastAsia="Calibri"/>
        </w:rPr>
      </w:pPr>
      <w:r>
        <w:rPr>
          <w:rFonts w:eastAsia="Calibri"/>
        </w:rPr>
        <w:lastRenderedPageBreak/>
        <w:t>(</w:t>
      </w:r>
      <w:proofErr w:type="spellStart"/>
      <w:r>
        <w:rPr>
          <w:rFonts w:eastAsia="Calibri"/>
        </w:rPr>
        <w:t>i</w:t>
      </w:r>
      <w:proofErr w:type="spellEnd"/>
      <w:r>
        <w:rPr>
          <w:rFonts w:eastAsia="Calibri"/>
        </w:rPr>
        <w:t>)</w:t>
      </w:r>
      <w:r>
        <w:rPr>
          <w:rFonts w:eastAsia="Calibri"/>
        </w:rPr>
        <w:tab/>
        <w:t>that the holder holds the parcel in their own right; or</w:t>
      </w:r>
    </w:p>
    <w:p w14:paraId="79288C7A" w14:textId="77777777" w:rsidR="00A0421E" w:rsidRDefault="00A0421E" w:rsidP="00A0421E">
      <w:pPr>
        <w:pStyle w:val="LI-Sectionsubparai"/>
        <w:rPr>
          <w:rFonts w:eastAsia="Calibri"/>
        </w:rPr>
      </w:pPr>
      <w:r>
        <w:rPr>
          <w:rFonts w:eastAsia="Calibri"/>
        </w:rPr>
        <w:t>(ii)</w:t>
      </w:r>
      <w:r>
        <w:rPr>
          <w:rFonts w:eastAsia="Calibri"/>
        </w:rPr>
        <w:tab/>
        <w:t>where the parcel is held by the holder as trustee or nominee for, or otherwise on account of, one or more beneficiaries—the name and address of each beneficiary; and</w:t>
      </w:r>
    </w:p>
    <w:p w14:paraId="23A21D55" w14:textId="77777777" w:rsidR="00A0421E" w:rsidRDefault="00A0421E" w:rsidP="00A0421E">
      <w:pPr>
        <w:pStyle w:val="LI-Sectionparaa"/>
        <w:rPr>
          <w:rFonts w:eastAsia="Calibri"/>
        </w:rPr>
      </w:pPr>
      <w:r>
        <w:rPr>
          <w:rFonts w:eastAsia="Calibri"/>
        </w:rPr>
        <w:t>(b)</w:t>
      </w:r>
      <w:r>
        <w:rPr>
          <w:rFonts w:eastAsia="Calibri"/>
        </w:rPr>
        <w:tab/>
        <w:t>if the holder holds the parcel as trustee or nominee for, or otherwise on account of, one or more beneficiaries—the date (and if that date is the same as the date the bid was publicly proposed—the time of day) the holder reasonably believes each beneficiary acquired a beneficial interest in the parcel; and</w:t>
      </w:r>
    </w:p>
    <w:p w14:paraId="1D4C06D8" w14:textId="77777777" w:rsidR="00A0421E" w:rsidRDefault="00A0421E" w:rsidP="00A0421E">
      <w:pPr>
        <w:pStyle w:val="LI-Sectionparaa"/>
        <w:rPr>
          <w:rFonts w:eastAsia="Calibri"/>
        </w:rPr>
      </w:pPr>
      <w:r>
        <w:rPr>
          <w:rFonts w:eastAsia="Calibri"/>
        </w:rPr>
        <w:t>(c)</w:t>
      </w:r>
      <w:r>
        <w:rPr>
          <w:rFonts w:eastAsia="Calibri"/>
        </w:rPr>
        <w:tab/>
        <w:t>if the holder holds the parcel in their own right—the date (and if that date is the same as the date the bid was publicly proposed—the time of day) the holder acquired a legal interest in the parcel.</w:t>
      </w:r>
    </w:p>
    <w:p w14:paraId="08AF5275" w14:textId="77777777" w:rsidR="00A0421E" w:rsidRPr="00A315F1" w:rsidRDefault="00A0421E" w:rsidP="00A0421E">
      <w:pPr>
        <w:pStyle w:val="LI-SectionSubsectionText"/>
        <w:rPr>
          <w:rFonts w:eastAsia="Calibri"/>
        </w:rPr>
      </w:pPr>
      <w:r>
        <w:rPr>
          <w:rFonts w:eastAsia="Calibri"/>
        </w:rPr>
        <w:t>(2D)</w:t>
      </w:r>
      <w:r>
        <w:rPr>
          <w:rFonts w:eastAsia="Calibri"/>
        </w:rPr>
        <w:tab/>
        <w:t>In subsection (2A):</w:t>
      </w:r>
    </w:p>
    <w:p w14:paraId="48FAF8A4" w14:textId="77777777" w:rsidR="00A0421E" w:rsidRDefault="00A0421E" w:rsidP="00A0421E">
      <w:pPr>
        <w:pStyle w:val="LI-SectionSubsectionText"/>
        <w:ind w:firstLine="0"/>
        <w:rPr>
          <w:rFonts w:eastAsia="Calibri"/>
        </w:rPr>
      </w:pPr>
      <w:r>
        <w:rPr>
          <w:rFonts w:eastAsia="Calibri"/>
          <w:b/>
          <w:i/>
        </w:rPr>
        <w:t>minimum parcel</w:t>
      </w:r>
      <w:r>
        <w:rPr>
          <w:rFonts w:eastAsia="Calibri"/>
        </w:rPr>
        <w:t>, in relation to quoted securities, means:</w:t>
      </w:r>
    </w:p>
    <w:p w14:paraId="5F2196E0" w14:textId="77777777" w:rsidR="00A0421E" w:rsidRDefault="00A0421E" w:rsidP="00A0421E">
      <w:pPr>
        <w:pStyle w:val="LI-Sectionparaa"/>
        <w:rPr>
          <w:rFonts w:eastAsia="Calibri"/>
        </w:rPr>
      </w:pPr>
      <w:r>
        <w:rPr>
          <w:rFonts w:eastAsia="Calibri"/>
        </w:rPr>
        <w:t>(a)</w:t>
      </w:r>
      <w:r>
        <w:rPr>
          <w:rFonts w:eastAsia="Calibri"/>
        </w:rPr>
        <w:tab/>
        <w:t xml:space="preserve">if a “marketable parcel” or “minimum parcel” is defined in the rules governing the operation of the relevant prescribed financial market on which the securities are quoted—a marketable parcel or minimum parcel as defined in those </w:t>
      </w:r>
      <w:proofErr w:type="gramStart"/>
      <w:r>
        <w:rPr>
          <w:rFonts w:eastAsia="Calibri"/>
        </w:rPr>
        <w:t>rules;</w:t>
      </w:r>
      <w:proofErr w:type="gramEnd"/>
    </w:p>
    <w:p w14:paraId="26A5ED69" w14:textId="77777777" w:rsidR="00A0421E" w:rsidRDefault="00A0421E" w:rsidP="00A0421E">
      <w:pPr>
        <w:pStyle w:val="LI-Sectionparaa"/>
        <w:rPr>
          <w:rFonts w:eastAsia="Calibri"/>
        </w:rPr>
      </w:pPr>
      <w:r>
        <w:rPr>
          <w:rFonts w:eastAsia="Calibri"/>
        </w:rPr>
        <w:t>(b)</w:t>
      </w:r>
      <w:r>
        <w:rPr>
          <w:rFonts w:eastAsia="Calibri"/>
        </w:rPr>
        <w:tab/>
        <w:t>otherwise—a parcel of the securities valued at not less than $500 based on the closing price of the securities on the relevant prescribed financial market.</w:t>
      </w:r>
      <w:proofErr w:type="gramStart"/>
      <w:r>
        <w:rPr>
          <w:rFonts w:eastAsia="Calibri"/>
        </w:rPr>
        <w:t>”;</w:t>
      </w:r>
      <w:proofErr w:type="gramEnd"/>
    </w:p>
    <w:p w14:paraId="4691AD69" w14:textId="77777777" w:rsidR="00A0421E" w:rsidRDefault="00A0421E" w:rsidP="00A0421E">
      <w:pPr>
        <w:pStyle w:val="LI-BodyTextParaa"/>
        <w:rPr>
          <w:rFonts w:eastAsia="Calibri"/>
        </w:rPr>
      </w:pPr>
      <w:r>
        <w:rPr>
          <w:rFonts w:eastAsia="Calibri"/>
        </w:rPr>
        <w:t xml:space="preserve"> (c)</w:t>
      </w:r>
      <w:r>
        <w:rPr>
          <w:rFonts w:eastAsia="Calibri"/>
        </w:rPr>
        <w:tab/>
        <w:t>omit subsection 619(3), substitute:</w:t>
      </w:r>
    </w:p>
    <w:p w14:paraId="5DB66DEF" w14:textId="77777777" w:rsidR="00A0421E" w:rsidRPr="006B6CDE" w:rsidRDefault="00A0421E" w:rsidP="00A0421E">
      <w:pPr>
        <w:pStyle w:val="LI-SectionHeading"/>
        <w:rPr>
          <w:rFonts w:eastAsia="Calibri"/>
          <w:b w:val="0"/>
          <w:bCs/>
          <w:i/>
          <w:iCs/>
        </w:rPr>
      </w:pPr>
      <w:r w:rsidRPr="006B6CDE">
        <w:rPr>
          <w:rFonts w:eastAsia="Calibri"/>
          <w:b w:val="0"/>
          <w:bCs/>
        </w:rPr>
        <w:t>“</w:t>
      </w:r>
      <w:r w:rsidRPr="006B6CDE">
        <w:rPr>
          <w:rFonts w:eastAsia="Calibri"/>
          <w:b w:val="0"/>
          <w:bCs/>
          <w:i/>
          <w:iCs/>
        </w:rPr>
        <w:t>Foreign holders</w:t>
      </w:r>
    </w:p>
    <w:p w14:paraId="3AA44D08" w14:textId="77777777" w:rsidR="00A0421E" w:rsidRDefault="00A0421E" w:rsidP="00A0421E">
      <w:pPr>
        <w:pStyle w:val="LI-SectionSubsectionText"/>
        <w:rPr>
          <w:rFonts w:eastAsia="Calibri"/>
        </w:rPr>
      </w:pPr>
      <w:r>
        <w:rPr>
          <w:rFonts w:eastAsia="Calibri"/>
        </w:rPr>
        <w:t>(3)</w:t>
      </w:r>
      <w:r>
        <w:rPr>
          <w:rFonts w:eastAsia="Calibri"/>
        </w:rPr>
        <w:tab/>
        <w:t>If the consideration for the bid includes an offer of securities, the securities do not need to be offered to foreign holders of the target’s securities, or such of those foreign holders as are specified in the bidder’s statement,  if under the terms of the bid:</w:t>
      </w:r>
    </w:p>
    <w:p w14:paraId="4C2BF243" w14:textId="77777777" w:rsidR="00A0421E" w:rsidRDefault="00A0421E" w:rsidP="00A0421E">
      <w:pPr>
        <w:pStyle w:val="LI-Sectionparaa"/>
        <w:rPr>
          <w:rFonts w:eastAsia="Calibri"/>
        </w:rPr>
      </w:pPr>
      <w:r>
        <w:rPr>
          <w:rFonts w:eastAsia="Calibri"/>
        </w:rPr>
        <w:t>(a)</w:t>
      </w:r>
      <w:r>
        <w:rPr>
          <w:rFonts w:eastAsia="Calibri"/>
        </w:rPr>
        <w:tab/>
        <w:t>the bidder must appoint a nominee for those foreign holders who is approved by ASIC; and</w:t>
      </w:r>
    </w:p>
    <w:p w14:paraId="4CF9E3AF" w14:textId="77777777" w:rsidR="00A0421E" w:rsidRDefault="00A0421E" w:rsidP="00A0421E">
      <w:pPr>
        <w:pStyle w:val="LI-Sectionparaa"/>
        <w:rPr>
          <w:rFonts w:eastAsia="Calibri"/>
        </w:rPr>
      </w:pPr>
      <w:r>
        <w:rPr>
          <w:rFonts w:eastAsia="Calibri"/>
        </w:rPr>
        <w:t>(b)</w:t>
      </w:r>
      <w:r>
        <w:rPr>
          <w:rFonts w:eastAsia="Calibri"/>
        </w:rPr>
        <w:tab/>
        <w:t>the bidder must transfer to the nominee:</w:t>
      </w:r>
    </w:p>
    <w:p w14:paraId="29A08745" w14:textId="77777777" w:rsidR="00A0421E" w:rsidRDefault="00A0421E" w:rsidP="00A0421E">
      <w:pPr>
        <w:pStyle w:val="LI-Sectionsubparai"/>
        <w:rPr>
          <w:rFonts w:eastAsia="Calibri"/>
        </w:rPr>
      </w:pPr>
      <w:r>
        <w:rPr>
          <w:rFonts w:eastAsia="Calibri"/>
        </w:rPr>
        <w:lastRenderedPageBreak/>
        <w:t>(</w:t>
      </w:r>
      <w:proofErr w:type="spellStart"/>
      <w:r>
        <w:rPr>
          <w:rFonts w:eastAsia="Calibri"/>
        </w:rPr>
        <w:t>i</w:t>
      </w:r>
      <w:proofErr w:type="spellEnd"/>
      <w:r>
        <w:rPr>
          <w:rFonts w:eastAsia="Calibri"/>
        </w:rPr>
        <w:t>)</w:t>
      </w:r>
      <w:r>
        <w:rPr>
          <w:rFonts w:eastAsia="Calibri"/>
        </w:rPr>
        <w:tab/>
        <w:t>the securities that would otherwise be transferred to the foreign holders, or specified foreign holders, who accept the bid for that consideration; or</w:t>
      </w:r>
    </w:p>
    <w:p w14:paraId="0E721B9D" w14:textId="77777777" w:rsidR="00A0421E" w:rsidRDefault="00A0421E" w:rsidP="00A0421E">
      <w:pPr>
        <w:pStyle w:val="LI-Sectionsubparai"/>
        <w:rPr>
          <w:rFonts w:eastAsia="Calibri"/>
        </w:rPr>
      </w:pPr>
      <w:r>
        <w:rPr>
          <w:rFonts w:eastAsia="Calibri"/>
        </w:rPr>
        <w:t>(ii)</w:t>
      </w:r>
      <w:r>
        <w:rPr>
          <w:rFonts w:eastAsia="Calibri"/>
        </w:rPr>
        <w:tab/>
        <w:t>the right to acquire those securities; and</w:t>
      </w:r>
    </w:p>
    <w:p w14:paraId="4A9A1CB1" w14:textId="77777777" w:rsidR="00A0421E" w:rsidRDefault="00A0421E" w:rsidP="00A0421E">
      <w:pPr>
        <w:pStyle w:val="LI-Sectionparaa"/>
        <w:rPr>
          <w:rFonts w:eastAsia="Calibri"/>
        </w:rPr>
      </w:pPr>
      <w:r>
        <w:rPr>
          <w:rFonts w:eastAsia="Calibri"/>
        </w:rPr>
        <w:t>(c)</w:t>
      </w:r>
      <w:r>
        <w:rPr>
          <w:rFonts w:eastAsia="Calibri"/>
        </w:rPr>
        <w:tab/>
        <w:t>the nominee must sell the securities, or those rights, and distribute to each of those foreign holders their proportion of the proceeds of the sale net of expenses.</w:t>
      </w:r>
    </w:p>
    <w:p w14:paraId="154B9728" w14:textId="77777777" w:rsidR="00A0421E" w:rsidRPr="00E52113" w:rsidRDefault="00A0421E" w:rsidP="00A0421E">
      <w:pPr>
        <w:pStyle w:val="LI-SectionSubsectionText"/>
        <w:rPr>
          <w:rFonts w:eastAsia="Calibri"/>
          <w:i/>
          <w:iCs/>
        </w:rPr>
      </w:pPr>
      <w:r w:rsidRPr="00E52113">
        <w:rPr>
          <w:rFonts w:eastAsia="Calibri"/>
          <w:i/>
          <w:iCs/>
        </w:rPr>
        <w:t>Small parcels</w:t>
      </w:r>
    </w:p>
    <w:p w14:paraId="0FF29FBE" w14:textId="77777777" w:rsidR="00A0421E" w:rsidRDefault="00A0421E" w:rsidP="00A0421E">
      <w:pPr>
        <w:pStyle w:val="LI-SectionSubsectionText"/>
        <w:rPr>
          <w:rFonts w:eastAsia="Calibri"/>
        </w:rPr>
      </w:pPr>
      <w:r>
        <w:rPr>
          <w:rFonts w:eastAsia="Calibri"/>
        </w:rPr>
        <w:t>(4)</w:t>
      </w:r>
      <w:r>
        <w:rPr>
          <w:rFonts w:eastAsia="Calibri"/>
        </w:rPr>
        <w:tab/>
        <w:t>If the consideration for the bid includes an offer of quoted securities, the securities do not need to be offered to holders of the target’s securities who would otherwise be offered a small parcel of securities, if under the terms of the bid:</w:t>
      </w:r>
    </w:p>
    <w:p w14:paraId="69E6F711" w14:textId="77777777" w:rsidR="00A0421E" w:rsidRDefault="00A0421E" w:rsidP="00A0421E">
      <w:pPr>
        <w:pStyle w:val="LI-Sectionparaa"/>
        <w:rPr>
          <w:rFonts w:eastAsia="Calibri"/>
        </w:rPr>
      </w:pPr>
      <w:r>
        <w:rPr>
          <w:rFonts w:eastAsia="Calibri"/>
        </w:rPr>
        <w:t>(a)</w:t>
      </w:r>
      <w:r>
        <w:rPr>
          <w:rFonts w:eastAsia="Calibri"/>
        </w:rPr>
        <w:tab/>
        <w:t>where a nominee is appointed under subsection (3)—the bidder and the nominee must follow the procedure in subsection (3) as if a reference to “foreign holders” were a reference to holders of the target’s securities who would otherwise be offered a small parcel of securities; or</w:t>
      </w:r>
    </w:p>
    <w:p w14:paraId="5CA1261C" w14:textId="77777777" w:rsidR="00A0421E" w:rsidRDefault="00A0421E" w:rsidP="00A0421E">
      <w:pPr>
        <w:pStyle w:val="LI-Sectionparaa"/>
        <w:rPr>
          <w:rFonts w:eastAsia="Calibri"/>
        </w:rPr>
      </w:pPr>
      <w:r>
        <w:rPr>
          <w:rFonts w:eastAsia="Calibri"/>
        </w:rPr>
        <w:t>(b)</w:t>
      </w:r>
      <w:r>
        <w:rPr>
          <w:rFonts w:eastAsia="Calibri"/>
        </w:rPr>
        <w:tab/>
        <w:t>where a nominee is not appointed under subsection (3)—the bidder must pay to each holder of a small parcel of securities who accepts the bid an amount of cash which is equal to the market value of those securities.</w:t>
      </w:r>
    </w:p>
    <w:p w14:paraId="2D3FDF55" w14:textId="77777777" w:rsidR="00A0421E" w:rsidRDefault="00A0421E" w:rsidP="00A0421E">
      <w:pPr>
        <w:pStyle w:val="LI-SectionSubsectionText"/>
        <w:rPr>
          <w:rFonts w:eastAsia="Calibri"/>
        </w:rPr>
      </w:pPr>
      <w:r>
        <w:rPr>
          <w:rFonts w:eastAsia="Calibri"/>
        </w:rPr>
        <w:t>(5)</w:t>
      </w:r>
      <w:r>
        <w:rPr>
          <w:rFonts w:eastAsia="Calibri"/>
        </w:rPr>
        <w:tab/>
        <w:t>For the purposes of subsection (4):</w:t>
      </w:r>
    </w:p>
    <w:p w14:paraId="06678D95" w14:textId="77777777" w:rsidR="00A0421E" w:rsidRDefault="00A0421E" w:rsidP="00A0421E">
      <w:pPr>
        <w:pStyle w:val="LI-SectionSubsectionText"/>
        <w:ind w:firstLine="0"/>
        <w:rPr>
          <w:rFonts w:eastAsia="Calibri"/>
        </w:rPr>
      </w:pPr>
      <w:r w:rsidRPr="00A4740C">
        <w:rPr>
          <w:rFonts w:eastAsia="Calibri"/>
          <w:b/>
          <w:i/>
          <w:iCs/>
        </w:rPr>
        <w:t>market value</w:t>
      </w:r>
      <w:r>
        <w:rPr>
          <w:rFonts w:eastAsia="Calibri"/>
        </w:rPr>
        <w:t xml:space="preserve"> of securities means the highest closing price for the securities published by any prescribed financial market on which the securities are quoted during the period beginning on the first day of the bid period, and ending on the earlier of:</w:t>
      </w:r>
    </w:p>
    <w:p w14:paraId="4DAF4E77" w14:textId="77777777" w:rsidR="00A0421E" w:rsidRDefault="00A0421E" w:rsidP="00A0421E">
      <w:pPr>
        <w:pStyle w:val="LI-Sectionparaa"/>
        <w:rPr>
          <w:rFonts w:eastAsia="Calibri"/>
        </w:rPr>
      </w:pPr>
      <w:r>
        <w:rPr>
          <w:rFonts w:eastAsia="Calibri"/>
        </w:rPr>
        <w:t>(a)</w:t>
      </w:r>
      <w:r>
        <w:rPr>
          <w:rFonts w:eastAsia="Calibri"/>
        </w:rPr>
        <w:tab/>
        <w:t xml:space="preserve">5 trading days before the first day on which the bidder must pay or provide the consideration to a holder of bid class securities under terms of the </w:t>
      </w:r>
      <w:proofErr w:type="gramStart"/>
      <w:r>
        <w:rPr>
          <w:rFonts w:eastAsia="Calibri"/>
        </w:rPr>
        <w:t>offers;</w:t>
      </w:r>
      <w:proofErr w:type="gramEnd"/>
      <w:r>
        <w:rPr>
          <w:rFonts w:eastAsia="Calibri"/>
        </w:rPr>
        <w:t xml:space="preserve"> and</w:t>
      </w:r>
    </w:p>
    <w:p w14:paraId="5962140E" w14:textId="77777777" w:rsidR="00A0421E" w:rsidRDefault="00A0421E" w:rsidP="00A0421E">
      <w:pPr>
        <w:pStyle w:val="LI-Sectionparaa"/>
        <w:rPr>
          <w:rFonts w:eastAsia="Calibri"/>
        </w:rPr>
      </w:pPr>
      <w:r>
        <w:rPr>
          <w:rFonts w:eastAsia="Calibri"/>
        </w:rPr>
        <w:t>(b)</w:t>
      </w:r>
      <w:r>
        <w:rPr>
          <w:rFonts w:eastAsia="Calibri"/>
        </w:rPr>
        <w:tab/>
        <w:t>the end of the bid period.</w:t>
      </w:r>
    </w:p>
    <w:p w14:paraId="22A83B59" w14:textId="77777777" w:rsidR="00A0421E" w:rsidRDefault="00A0421E" w:rsidP="00A0421E">
      <w:pPr>
        <w:pStyle w:val="LI-SectionSubsectionText"/>
        <w:ind w:firstLine="0"/>
        <w:rPr>
          <w:rFonts w:eastAsia="Calibri"/>
        </w:rPr>
      </w:pPr>
      <w:r w:rsidRPr="00A4740C">
        <w:rPr>
          <w:rFonts w:eastAsia="Calibri"/>
          <w:b/>
          <w:i/>
          <w:iCs/>
        </w:rPr>
        <w:t>minimum parcel</w:t>
      </w:r>
      <w:r>
        <w:rPr>
          <w:rFonts w:eastAsia="Calibri"/>
        </w:rPr>
        <w:t xml:space="preserve">, in relation to quoted securities, means: </w:t>
      </w:r>
    </w:p>
    <w:p w14:paraId="2AF98C24" w14:textId="77777777" w:rsidR="00A0421E" w:rsidRDefault="00A0421E" w:rsidP="00A0421E">
      <w:pPr>
        <w:pStyle w:val="LI-Sectionparaa"/>
        <w:rPr>
          <w:rFonts w:eastAsia="Calibri"/>
        </w:rPr>
      </w:pPr>
      <w:r>
        <w:rPr>
          <w:rFonts w:eastAsia="Calibri"/>
        </w:rPr>
        <w:t>(a)</w:t>
      </w:r>
      <w:r>
        <w:rPr>
          <w:rFonts w:eastAsia="Calibri"/>
        </w:rPr>
        <w:tab/>
        <w:t xml:space="preserve">if a “marketable parcel” or “minimum parcel” is defined in the respective rules governing the operation of more than one prescribed financial market on which the securities are quoted—a marketable parcel or minimum parcel as defined in whichever of the rules the bidder specifies in the bidder’s </w:t>
      </w:r>
      <w:proofErr w:type="gramStart"/>
      <w:r>
        <w:rPr>
          <w:rFonts w:eastAsia="Calibri"/>
        </w:rPr>
        <w:t>statement;</w:t>
      </w:r>
      <w:proofErr w:type="gramEnd"/>
    </w:p>
    <w:p w14:paraId="42820D81" w14:textId="77777777" w:rsidR="00A0421E" w:rsidRDefault="00A0421E" w:rsidP="00A0421E">
      <w:pPr>
        <w:pStyle w:val="LI-Sectionparaa"/>
        <w:rPr>
          <w:rFonts w:eastAsia="Calibri"/>
        </w:rPr>
      </w:pPr>
      <w:r>
        <w:rPr>
          <w:rFonts w:eastAsia="Calibri"/>
        </w:rPr>
        <w:lastRenderedPageBreak/>
        <w:t>(b)</w:t>
      </w:r>
      <w:r>
        <w:rPr>
          <w:rFonts w:eastAsia="Calibri"/>
        </w:rPr>
        <w:tab/>
        <w:t xml:space="preserve">if a “marketable parcel” or “minimum parcel” is defined in the rules governing the operation of only one prescribed financial market on which the securities are quoted—a marketable parcel or minimum parcel as defined in those </w:t>
      </w:r>
      <w:proofErr w:type="gramStart"/>
      <w:r>
        <w:rPr>
          <w:rFonts w:eastAsia="Calibri"/>
        </w:rPr>
        <w:t>rules;</w:t>
      </w:r>
      <w:proofErr w:type="gramEnd"/>
      <w:r>
        <w:rPr>
          <w:rFonts w:eastAsia="Calibri"/>
        </w:rPr>
        <w:t xml:space="preserve"> </w:t>
      </w:r>
    </w:p>
    <w:p w14:paraId="124CF232" w14:textId="77777777" w:rsidR="00A0421E" w:rsidRDefault="00A0421E" w:rsidP="00A0421E">
      <w:pPr>
        <w:pStyle w:val="LI-Sectionparaa"/>
        <w:rPr>
          <w:rFonts w:eastAsia="Calibri"/>
        </w:rPr>
      </w:pPr>
      <w:r>
        <w:rPr>
          <w:rFonts w:eastAsia="Calibri"/>
        </w:rPr>
        <w:t>(c)</w:t>
      </w:r>
      <w:r>
        <w:rPr>
          <w:rFonts w:eastAsia="Calibri"/>
        </w:rPr>
        <w:tab/>
        <w:t>otherwise—a parcel of the securities valued at not less than $500 based on the closing price of the securities on the relevant prescribed financial market.</w:t>
      </w:r>
    </w:p>
    <w:p w14:paraId="2CF423F5" w14:textId="77777777" w:rsidR="00A0421E" w:rsidRDefault="00A0421E" w:rsidP="00A0421E">
      <w:pPr>
        <w:pStyle w:val="LI-SectionSubsectionText"/>
        <w:ind w:firstLine="0"/>
        <w:rPr>
          <w:rFonts w:eastAsia="Calibri"/>
        </w:rPr>
      </w:pPr>
      <w:r w:rsidRPr="00A4740C">
        <w:rPr>
          <w:rFonts w:eastAsia="Calibri"/>
          <w:b/>
          <w:i/>
          <w:iCs/>
        </w:rPr>
        <w:t>small parcel</w:t>
      </w:r>
      <w:r>
        <w:rPr>
          <w:rFonts w:eastAsia="Calibri"/>
        </w:rPr>
        <w:t>, in relation to securities, means a parcel of securities which is not a minimum parcel calculated using the market value of those securities.</w:t>
      </w:r>
      <w:proofErr w:type="gramStart"/>
      <w:r>
        <w:rPr>
          <w:rFonts w:eastAsia="Calibri"/>
        </w:rPr>
        <w:t>”;</w:t>
      </w:r>
      <w:proofErr w:type="gramEnd"/>
    </w:p>
    <w:p w14:paraId="2D1445E5" w14:textId="77777777" w:rsidR="00A0421E" w:rsidRDefault="00A0421E" w:rsidP="00A0421E">
      <w:pPr>
        <w:pStyle w:val="LI-BodyTextParaa"/>
        <w:rPr>
          <w:rFonts w:eastAsia="Calibri"/>
        </w:rPr>
      </w:pPr>
      <w:r>
        <w:rPr>
          <w:rFonts w:eastAsia="Calibri"/>
        </w:rPr>
        <w:t>(d)</w:t>
      </w:r>
      <w:r>
        <w:rPr>
          <w:rFonts w:eastAsia="Calibri"/>
        </w:rPr>
        <w:tab/>
        <w:t>omit paragraphs 620(2)(b) and (c), substitute:</w:t>
      </w:r>
    </w:p>
    <w:p w14:paraId="7DCA3E80" w14:textId="77777777" w:rsidR="00A0421E" w:rsidRPr="006B6CDE" w:rsidRDefault="00A0421E" w:rsidP="00A0421E">
      <w:pPr>
        <w:pStyle w:val="LI-SectionHeading"/>
        <w:rPr>
          <w:rFonts w:eastAsia="Calibri"/>
          <w:b w:val="0"/>
          <w:bCs/>
        </w:rPr>
      </w:pPr>
      <w:r w:rsidRPr="006B6CDE">
        <w:rPr>
          <w:rFonts w:eastAsia="Calibri"/>
          <w:b w:val="0"/>
          <w:bCs/>
        </w:rPr>
        <w:t>“(b)</w:t>
      </w:r>
      <w:r w:rsidRPr="006B6CDE">
        <w:rPr>
          <w:rFonts w:eastAsia="Calibri"/>
          <w:b w:val="0"/>
          <w:bCs/>
        </w:rPr>
        <w:tab/>
        <w:t>if the bidder is given the necessary transfer documents after the acceptance and before the end of the bid period and the offer is subject to a defeating condition at the time that the bidder is given the necessary transfer documents—by the end of whichever of the following periods ends earlier:</w:t>
      </w:r>
    </w:p>
    <w:p w14:paraId="52CCAC4F"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1 month after the takeover contract becomes unconditional; or</w:t>
      </w:r>
    </w:p>
    <w:p w14:paraId="10FB3DA0" w14:textId="77777777" w:rsidR="00A0421E" w:rsidRDefault="00A0421E" w:rsidP="00A0421E">
      <w:pPr>
        <w:pStyle w:val="LI-Sectionsubparai"/>
        <w:ind w:left="2835"/>
        <w:rPr>
          <w:rFonts w:eastAsia="Calibri"/>
        </w:rPr>
      </w:pPr>
      <w:r>
        <w:rPr>
          <w:rFonts w:eastAsia="Calibri"/>
        </w:rPr>
        <w:t>(ii)</w:t>
      </w:r>
      <w:r>
        <w:rPr>
          <w:rFonts w:eastAsia="Calibri"/>
        </w:rPr>
        <w:tab/>
        <w:t>21 days after the end of the offer period; or</w:t>
      </w:r>
    </w:p>
    <w:p w14:paraId="1177DE52" w14:textId="77777777" w:rsidR="00A0421E" w:rsidRDefault="00A0421E" w:rsidP="00A0421E">
      <w:pPr>
        <w:pStyle w:val="LI-Sectionparaa"/>
        <w:ind w:left="2268"/>
        <w:rPr>
          <w:rFonts w:eastAsia="Calibri"/>
        </w:rPr>
      </w:pPr>
      <w:r>
        <w:rPr>
          <w:rFonts w:eastAsia="Calibri"/>
        </w:rPr>
        <w:t>(</w:t>
      </w:r>
      <w:proofErr w:type="spellStart"/>
      <w:r>
        <w:rPr>
          <w:rFonts w:eastAsia="Calibri"/>
        </w:rPr>
        <w:t>ba</w:t>
      </w:r>
      <w:proofErr w:type="spellEnd"/>
      <w:r>
        <w:rPr>
          <w:rFonts w:eastAsia="Calibri"/>
        </w:rPr>
        <w:t>)</w:t>
      </w:r>
      <w:r>
        <w:rPr>
          <w:rFonts w:eastAsia="Calibri"/>
        </w:rPr>
        <w:tab/>
        <w:t>if the bidder is given the necessary transfer documents after the acceptance and before the end of the bid period and the offer is unconditional at the time  that the bidder is given the necessary transfer documents—by the end of whichever of the following periods ends earlier:</w:t>
      </w:r>
    </w:p>
    <w:p w14:paraId="3E98B64C"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1 month after the bidder is given the necessary transfer documents; or</w:t>
      </w:r>
    </w:p>
    <w:p w14:paraId="03965888" w14:textId="77777777" w:rsidR="00A0421E" w:rsidRDefault="00A0421E" w:rsidP="00A0421E">
      <w:pPr>
        <w:pStyle w:val="LI-Sectionsubparai"/>
        <w:ind w:left="2835"/>
        <w:rPr>
          <w:rFonts w:eastAsia="Calibri"/>
        </w:rPr>
      </w:pPr>
      <w:r>
        <w:rPr>
          <w:rFonts w:eastAsia="Calibri"/>
        </w:rPr>
        <w:t>(ii)</w:t>
      </w:r>
      <w:r>
        <w:rPr>
          <w:rFonts w:eastAsia="Calibri"/>
        </w:rPr>
        <w:tab/>
        <w:t>21 days after the end of the offer period; or</w:t>
      </w:r>
    </w:p>
    <w:p w14:paraId="39CF017E" w14:textId="77777777" w:rsidR="00A0421E" w:rsidRDefault="00A0421E" w:rsidP="00A0421E">
      <w:pPr>
        <w:pStyle w:val="LI-Sectionparaa"/>
        <w:ind w:left="2268"/>
        <w:rPr>
          <w:rFonts w:eastAsia="Calibri"/>
        </w:rPr>
      </w:pPr>
      <w:r>
        <w:rPr>
          <w:rFonts w:eastAsia="Calibri"/>
        </w:rPr>
        <w:t>(c)</w:t>
      </w:r>
      <w:r>
        <w:rPr>
          <w:rFonts w:eastAsia="Calibri"/>
        </w:rPr>
        <w:tab/>
        <w:t>if the bidder is given the necessary transfer documents after the acceptance and after the end of the bid period:</w:t>
      </w:r>
    </w:p>
    <w:p w14:paraId="55791F6E"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 xml:space="preserve">if at the time the bidder is given the necessary transfer documents the takeover contract is unconditional—within 21 days after the bidder is given the necessary transfer </w:t>
      </w:r>
      <w:proofErr w:type="gramStart"/>
      <w:r>
        <w:rPr>
          <w:rFonts w:eastAsia="Calibri"/>
        </w:rPr>
        <w:t>documents;</w:t>
      </w:r>
      <w:proofErr w:type="gramEnd"/>
      <w:r>
        <w:rPr>
          <w:rFonts w:eastAsia="Calibri"/>
        </w:rPr>
        <w:t xml:space="preserve"> or</w:t>
      </w:r>
    </w:p>
    <w:p w14:paraId="22B7A4F1" w14:textId="77777777" w:rsidR="00A0421E" w:rsidRDefault="00A0421E" w:rsidP="00A0421E">
      <w:pPr>
        <w:pStyle w:val="LI-Sectionsubparai"/>
        <w:ind w:left="2835"/>
        <w:rPr>
          <w:rFonts w:eastAsia="Calibri"/>
        </w:rPr>
      </w:pPr>
      <w:r>
        <w:rPr>
          <w:rFonts w:eastAsia="Calibri"/>
        </w:rPr>
        <w:t>(ii)</w:t>
      </w:r>
      <w:r>
        <w:rPr>
          <w:rFonts w:eastAsia="Calibri"/>
        </w:rPr>
        <w:tab/>
        <w:t xml:space="preserve">if at the time the bidder is given the necessary transfer documents the takeover contract is subject to a defeating condition that relates only to the happening of an event or circumstance referred to in subsection 652C(1) or </w:t>
      </w:r>
      <w:r>
        <w:rPr>
          <w:rFonts w:eastAsia="Calibri"/>
        </w:rPr>
        <w:lastRenderedPageBreak/>
        <w:t>(2)—within 21 days after the takeover contract becomes unconditional.</w:t>
      </w:r>
      <w:proofErr w:type="gramStart"/>
      <w:r>
        <w:rPr>
          <w:rFonts w:eastAsia="Calibri"/>
        </w:rPr>
        <w:t>”;</w:t>
      </w:r>
      <w:proofErr w:type="gramEnd"/>
    </w:p>
    <w:p w14:paraId="7A3F6D31" w14:textId="1E682184" w:rsidR="00A0421E" w:rsidRDefault="00A0421E" w:rsidP="00D54A74">
      <w:pPr>
        <w:pStyle w:val="LI-BodyTextParaa"/>
        <w:rPr>
          <w:rFonts w:eastAsia="Calibri"/>
        </w:rPr>
      </w:pPr>
      <w:r>
        <w:rPr>
          <w:rFonts w:eastAsia="Calibri"/>
        </w:rPr>
        <w:t>(e)</w:t>
      </w:r>
      <w:r>
        <w:rPr>
          <w:rFonts w:eastAsia="Calibri"/>
        </w:rPr>
        <w:tab/>
        <w:t>after subsection 62</w:t>
      </w:r>
      <w:r w:rsidR="003B3364">
        <w:rPr>
          <w:rFonts w:eastAsia="Calibri"/>
        </w:rPr>
        <w:t>0</w:t>
      </w:r>
      <w:r>
        <w:rPr>
          <w:rFonts w:eastAsia="Calibri"/>
        </w:rPr>
        <w:t>(2), insert:</w:t>
      </w:r>
    </w:p>
    <w:p w14:paraId="16652088" w14:textId="6729395E" w:rsidR="00A0421E" w:rsidRDefault="00A0421E" w:rsidP="00A0421E">
      <w:pPr>
        <w:pStyle w:val="LI-Sectionparaa"/>
        <w:ind w:left="2268"/>
        <w:rPr>
          <w:color w:val="000000"/>
          <w:sz w:val="18"/>
          <w:szCs w:val="18"/>
          <w:shd w:val="clear" w:color="auto" w:fill="FFFFFF"/>
        </w:rPr>
      </w:pPr>
      <w:r>
        <w:rPr>
          <w:rFonts w:eastAsia="Calibri"/>
        </w:rPr>
        <w:t>“</w:t>
      </w:r>
      <w:r w:rsidRPr="00D54A74">
        <w:t>(2A</w:t>
      </w:r>
      <w:r>
        <w:rPr>
          <w:rFonts w:eastAsia="Calibri"/>
        </w:rPr>
        <w:t>)</w:t>
      </w:r>
      <w:r>
        <w:rPr>
          <w:rFonts w:eastAsia="Calibri"/>
        </w:rPr>
        <w:tab/>
        <w:t>For the avoidance of doubt, an offer will satisfy a requirement in subsection (2) to provide or pay consideration within a period if it provides for the consideration to be paid or provided within a shorter period.</w:t>
      </w:r>
      <w:proofErr w:type="gramStart"/>
      <w:r>
        <w:rPr>
          <w:rFonts w:eastAsia="Calibri"/>
        </w:rPr>
        <w:t>”;</w:t>
      </w:r>
      <w:proofErr w:type="gramEnd"/>
    </w:p>
    <w:p w14:paraId="409DB2C9" w14:textId="1976880D" w:rsidR="00A0421E" w:rsidRDefault="00A0421E" w:rsidP="00A0421E">
      <w:pPr>
        <w:pStyle w:val="LI-BodyTextParaa"/>
        <w:rPr>
          <w:rFonts w:eastAsia="Calibri"/>
        </w:rPr>
      </w:pPr>
      <w:r>
        <w:rPr>
          <w:rFonts w:eastAsia="Calibri"/>
        </w:rPr>
        <w:t>(f)</w:t>
      </w:r>
      <w:r>
        <w:rPr>
          <w:rFonts w:eastAsia="Calibri"/>
        </w:rPr>
        <w:tab/>
        <w:t>omit subsection 623(1), substitute:</w:t>
      </w:r>
    </w:p>
    <w:p w14:paraId="7CE09764" w14:textId="77777777" w:rsidR="00A0421E" w:rsidRPr="006B6CDE" w:rsidRDefault="00A0421E" w:rsidP="00A0421E">
      <w:pPr>
        <w:pStyle w:val="LI-SectionHeading"/>
        <w:rPr>
          <w:rFonts w:eastAsia="Calibri"/>
          <w:b w:val="0"/>
          <w:bCs/>
        </w:rPr>
      </w:pPr>
      <w:r w:rsidRPr="006B6CDE">
        <w:rPr>
          <w:rFonts w:eastAsia="Calibri"/>
          <w:b w:val="0"/>
          <w:bCs/>
        </w:rPr>
        <w:t>“(1)</w:t>
      </w:r>
      <w:r w:rsidRPr="006B6CDE">
        <w:rPr>
          <w:rFonts w:eastAsia="Calibri"/>
          <w:b w:val="0"/>
          <w:bCs/>
        </w:rPr>
        <w:tab/>
        <w:t>A bidder, or an associate, must not, during:</w:t>
      </w:r>
    </w:p>
    <w:p w14:paraId="4F1CD761" w14:textId="77777777" w:rsidR="00A0421E" w:rsidRDefault="00A0421E" w:rsidP="00A0421E">
      <w:pPr>
        <w:pStyle w:val="LI-Sectionparaa"/>
        <w:rPr>
          <w:rFonts w:eastAsia="Calibri"/>
        </w:rPr>
      </w:pPr>
      <w:r>
        <w:rPr>
          <w:rFonts w:eastAsia="Calibri"/>
        </w:rPr>
        <w:t>(a)</w:t>
      </w:r>
      <w:r>
        <w:rPr>
          <w:rFonts w:eastAsia="Calibri"/>
        </w:rPr>
        <w:tab/>
        <w:t>for an off-market bid—the offer period; or</w:t>
      </w:r>
    </w:p>
    <w:p w14:paraId="207F8E6A" w14:textId="77777777" w:rsidR="00A0421E" w:rsidRDefault="00A0421E" w:rsidP="00A0421E">
      <w:pPr>
        <w:pStyle w:val="LI-Sectionparaa"/>
        <w:rPr>
          <w:rFonts w:eastAsia="Calibri"/>
        </w:rPr>
      </w:pPr>
      <w:r>
        <w:rPr>
          <w:rFonts w:eastAsia="Calibri"/>
        </w:rPr>
        <w:t>(b)</w:t>
      </w:r>
      <w:r>
        <w:rPr>
          <w:rFonts w:eastAsia="Calibri"/>
        </w:rPr>
        <w:tab/>
        <w:t xml:space="preserve">for a market bid—the bid </w:t>
      </w:r>
      <w:proofErr w:type="gramStart"/>
      <w:r>
        <w:rPr>
          <w:rFonts w:eastAsia="Calibri"/>
        </w:rPr>
        <w:t>period;</w:t>
      </w:r>
      <w:proofErr w:type="gramEnd"/>
    </w:p>
    <w:p w14:paraId="58873ABE" w14:textId="77777777" w:rsidR="00A0421E" w:rsidRDefault="00A0421E" w:rsidP="00A0421E">
      <w:pPr>
        <w:pStyle w:val="LI-SectionSubsectionText"/>
        <w:ind w:firstLine="0"/>
        <w:rPr>
          <w:rFonts w:eastAsia="Calibri"/>
        </w:rPr>
      </w:pPr>
      <w:r>
        <w:rPr>
          <w:rFonts w:eastAsia="Calibri"/>
        </w:rPr>
        <w:t xml:space="preserve">give, offer to </w:t>
      </w:r>
      <w:proofErr w:type="gramStart"/>
      <w:r>
        <w:rPr>
          <w:rFonts w:eastAsia="Calibri"/>
        </w:rPr>
        <w:t>give</w:t>
      </w:r>
      <w:proofErr w:type="gramEnd"/>
      <w:r>
        <w:rPr>
          <w:rFonts w:eastAsia="Calibri"/>
        </w:rPr>
        <w:t xml:space="preserve"> or agree to give a benefit to a person if:</w:t>
      </w:r>
    </w:p>
    <w:p w14:paraId="56E57ABE" w14:textId="77777777" w:rsidR="00A0421E" w:rsidRDefault="00A0421E" w:rsidP="00A0421E">
      <w:pPr>
        <w:pStyle w:val="LI-Sectionparaa"/>
        <w:rPr>
          <w:rFonts w:eastAsia="Calibri"/>
        </w:rPr>
      </w:pPr>
      <w:r>
        <w:rPr>
          <w:rFonts w:eastAsia="Calibri"/>
        </w:rPr>
        <w:t>(c)</w:t>
      </w:r>
      <w:r>
        <w:rPr>
          <w:rFonts w:eastAsia="Calibri"/>
        </w:rPr>
        <w:tab/>
        <w:t>the benefit is likely to induce the person or an associate to:</w:t>
      </w:r>
    </w:p>
    <w:p w14:paraId="3CA29E32" w14:textId="77777777" w:rsidR="00A0421E" w:rsidRDefault="00A0421E" w:rsidP="00A0421E">
      <w:pPr>
        <w:pStyle w:val="LI-Sectionsubparai"/>
        <w:rPr>
          <w:rFonts w:eastAsia="Calibri"/>
        </w:rPr>
      </w:pPr>
      <w:r>
        <w:rPr>
          <w:rFonts w:eastAsia="Calibri"/>
        </w:rPr>
        <w:t>(</w:t>
      </w:r>
      <w:proofErr w:type="spellStart"/>
      <w:r>
        <w:rPr>
          <w:rFonts w:eastAsia="Calibri"/>
        </w:rPr>
        <w:t>i</w:t>
      </w:r>
      <w:proofErr w:type="spellEnd"/>
      <w:r>
        <w:rPr>
          <w:rFonts w:eastAsia="Calibri"/>
        </w:rPr>
        <w:t>)</w:t>
      </w:r>
      <w:r>
        <w:rPr>
          <w:rFonts w:eastAsia="Calibri"/>
        </w:rPr>
        <w:tab/>
        <w:t>accept an offer under the bid; or</w:t>
      </w:r>
    </w:p>
    <w:p w14:paraId="459BAF78" w14:textId="77777777" w:rsidR="00A0421E" w:rsidRDefault="00A0421E" w:rsidP="00A0421E">
      <w:pPr>
        <w:pStyle w:val="LI-Sectionsubparai"/>
        <w:rPr>
          <w:rFonts w:eastAsia="Calibri"/>
        </w:rPr>
      </w:pPr>
      <w:r>
        <w:rPr>
          <w:rFonts w:eastAsia="Calibri"/>
        </w:rPr>
        <w:t>(ii)</w:t>
      </w:r>
      <w:r>
        <w:rPr>
          <w:rFonts w:eastAsia="Calibri"/>
        </w:rPr>
        <w:tab/>
        <w:t>dispose of securities in the bid class; and</w:t>
      </w:r>
    </w:p>
    <w:p w14:paraId="00A75721" w14:textId="77777777" w:rsidR="00A0421E" w:rsidRDefault="00A0421E" w:rsidP="00A0421E">
      <w:pPr>
        <w:pStyle w:val="LI-Sectionparaa"/>
        <w:rPr>
          <w:rFonts w:eastAsia="Calibri"/>
        </w:rPr>
      </w:pPr>
      <w:r>
        <w:rPr>
          <w:rFonts w:eastAsia="Calibri"/>
        </w:rPr>
        <w:t>(d)</w:t>
      </w:r>
      <w:r>
        <w:rPr>
          <w:rFonts w:eastAsia="Calibri"/>
        </w:rPr>
        <w:tab/>
        <w:t>the benefit is not offered to all holders of securities in the bid class under the bid.</w:t>
      </w:r>
      <w:proofErr w:type="gramStart"/>
      <w:r>
        <w:rPr>
          <w:rFonts w:eastAsia="Calibri"/>
        </w:rPr>
        <w:t>”;</w:t>
      </w:r>
      <w:proofErr w:type="gramEnd"/>
    </w:p>
    <w:p w14:paraId="2EC639DF" w14:textId="10E75AB7" w:rsidR="00A0421E" w:rsidRDefault="00A0421E" w:rsidP="00A0421E">
      <w:pPr>
        <w:pStyle w:val="LI-BodyTextParaa"/>
        <w:rPr>
          <w:rFonts w:eastAsia="Calibri"/>
        </w:rPr>
      </w:pPr>
      <w:r>
        <w:rPr>
          <w:rFonts w:eastAsia="Calibri"/>
        </w:rPr>
        <w:t>(g)</w:t>
      </w:r>
      <w:r>
        <w:rPr>
          <w:rFonts w:eastAsia="Calibri"/>
        </w:rPr>
        <w:tab/>
        <w:t>omit subsection 624(2) (excluding the heading and the note), substitute:</w:t>
      </w:r>
    </w:p>
    <w:p w14:paraId="05A6F24A" w14:textId="77777777" w:rsidR="00A0421E" w:rsidRPr="006B6CDE" w:rsidRDefault="00A0421E" w:rsidP="00A0421E">
      <w:pPr>
        <w:pStyle w:val="LI-SectionHeading"/>
        <w:rPr>
          <w:rFonts w:eastAsia="Calibri"/>
          <w:b w:val="0"/>
          <w:bCs/>
        </w:rPr>
      </w:pPr>
      <w:r w:rsidRPr="006B6CDE">
        <w:rPr>
          <w:rFonts w:eastAsia="Calibri"/>
          <w:b w:val="0"/>
          <w:bCs/>
        </w:rPr>
        <w:t>“(2)</w:t>
      </w:r>
      <w:r w:rsidRPr="006B6CDE">
        <w:rPr>
          <w:rFonts w:eastAsia="Calibri"/>
          <w:b w:val="0"/>
          <w:bCs/>
        </w:rPr>
        <w:tab/>
        <w:t>If, within the last 7 days of the offer period:</w:t>
      </w:r>
    </w:p>
    <w:p w14:paraId="70A9AA6E" w14:textId="77777777" w:rsidR="00A0421E" w:rsidRDefault="00A0421E" w:rsidP="00A0421E">
      <w:pPr>
        <w:pStyle w:val="LI-Sectionparaa"/>
        <w:rPr>
          <w:rFonts w:eastAsia="Calibri"/>
        </w:rPr>
      </w:pPr>
      <w:r>
        <w:rPr>
          <w:rFonts w:eastAsia="Calibri"/>
        </w:rPr>
        <w:t>(a)</w:t>
      </w:r>
      <w:r>
        <w:rPr>
          <w:rFonts w:eastAsia="Calibri"/>
        </w:rPr>
        <w:tab/>
        <w:t>for an off-market bid—the offers under the bid are varied to improve the consideration offered; or</w:t>
      </w:r>
    </w:p>
    <w:p w14:paraId="37FC203B" w14:textId="77777777" w:rsidR="00A0421E" w:rsidRDefault="00A0421E" w:rsidP="00A0421E">
      <w:pPr>
        <w:pStyle w:val="LI-Sectionparaa"/>
        <w:rPr>
          <w:rFonts w:eastAsia="Calibri"/>
        </w:rPr>
      </w:pPr>
      <w:r>
        <w:rPr>
          <w:rFonts w:eastAsia="Calibri"/>
        </w:rPr>
        <w:t>(b)</w:t>
      </w:r>
      <w:r>
        <w:rPr>
          <w:rFonts w:eastAsia="Calibri"/>
        </w:rPr>
        <w:tab/>
        <w:t xml:space="preserve">in any case—the bidder’s voting power in the target increases to more than </w:t>
      </w:r>
      <w:proofErr w:type="gramStart"/>
      <w:r>
        <w:rPr>
          <w:rFonts w:eastAsia="Calibri"/>
        </w:rPr>
        <w:t>50%;</w:t>
      </w:r>
      <w:proofErr w:type="gramEnd"/>
    </w:p>
    <w:p w14:paraId="5E6D46A2" w14:textId="77777777" w:rsidR="00A0421E" w:rsidRDefault="00A0421E" w:rsidP="00A0421E">
      <w:pPr>
        <w:pStyle w:val="LI-SectionSubsectionText"/>
        <w:ind w:firstLine="0"/>
        <w:rPr>
          <w:rFonts w:eastAsia="Calibri"/>
        </w:rPr>
      </w:pPr>
      <w:r>
        <w:rPr>
          <w:rFonts w:eastAsia="Calibri"/>
        </w:rPr>
        <w:t>the offer period is extended so that it ends 14 days after the event referred to in paragraph (a) or (b) at the following times:</w:t>
      </w:r>
    </w:p>
    <w:p w14:paraId="213B8E78" w14:textId="77777777" w:rsidR="00A0421E" w:rsidRPr="00A4740C" w:rsidRDefault="00A0421E" w:rsidP="00A0421E">
      <w:pPr>
        <w:pStyle w:val="LI-Sectionparaa"/>
        <w:rPr>
          <w:rFonts w:eastAsia="Calibri"/>
        </w:rPr>
      </w:pPr>
      <w:r w:rsidRPr="00A4740C">
        <w:rPr>
          <w:rFonts w:eastAsia="Calibri"/>
        </w:rPr>
        <w:t>(c)</w:t>
      </w:r>
      <w:r w:rsidRPr="00A4740C">
        <w:rPr>
          <w:rFonts w:eastAsia="Calibri"/>
        </w:rPr>
        <w:tab/>
        <w:t>for a market bid—the close of ordinary trading; and</w:t>
      </w:r>
    </w:p>
    <w:p w14:paraId="04D54E5D" w14:textId="77777777" w:rsidR="00A0421E" w:rsidRPr="00A4740C" w:rsidRDefault="00A0421E" w:rsidP="00A0421E">
      <w:pPr>
        <w:pStyle w:val="LI-Sectionparaa"/>
        <w:rPr>
          <w:rFonts w:eastAsia="Calibri"/>
        </w:rPr>
      </w:pPr>
      <w:r w:rsidRPr="00A4740C">
        <w:rPr>
          <w:rFonts w:eastAsia="Calibri"/>
        </w:rPr>
        <w:t>(d)</w:t>
      </w:r>
      <w:r w:rsidRPr="00A4740C">
        <w:rPr>
          <w:rFonts w:eastAsia="Calibri"/>
        </w:rPr>
        <w:tab/>
        <w:t>for an off-market bid—the time of day the offer period would have ended if it had not been extended under this subsection.</w:t>
      </w:r>
    </w:p>
    <w:p w14:paraId="062C052E" w14:textId="77777777" w:rsidR="00A0421E" w:rsidRDefault="00A0421E" w:rsidP="00A0421E">
      <w:pPr>
        <w:pStyle w:val="LI-SectionSubsectionText"/>
        <w:ind w:firstLine="0"/>
        <w:rPr>
          <w:rFonts w:eastAsia="Calibri"/>
        </w:rPr>
      </w:pPr>
      <w:r w:rsidRPr="00A4740C">
        <w:rPr>
          <w:rFonts w:eastAsia="Calibri"/>
        </w:rPr>
        <w:t xml:space="preserve">The bidder must give each of the persons specified in paragraph 650D(1)(c) (other than those who have accepted an </w:t>
      </w:r>
      <w:r w:rsidRPr="00A4740C">
        <w:rPr>
          <w:rFonts w:eastAsia="Calibri"/>
        </w:rPr>
        <w:lastRenderedPageBreak/>
        <w:t>offer under the bid) written notice that the extension has occurred within 3 days after that event.</w:t>
      </w:r>
      <w:proofErr w:type="gramStart"/>
      <w:r w:rsidRPr="00A4740C">
        <w:rPr>
          <w:rFonts w:eastAsia="Calibri"/>
        </w:rPr>
        <w:t>”;</w:t>
      </w:r>
      <w:proofErr w:type="gramEnd"/>
    </w:p>
    <w:p w14:paraId="61CF5C72" w14:textId="0C481A36" w:rsidR="00A0421E" w:rsidRDefault="00A0421E" w:rsidP="00A0421E">
      <w:pPr>
        <w:pStyle w:val="LI-BodyTextParaa"/>
        <w:rPr>
          <w:rFonts w:eastAsia="Calibri"/>
        </w:rPr>
      </w:pPr>
      <w:r>
        <w:rPr>
          <w:rFonts w:eastAsia="Calibri"/>
        </w:rPr>
        <w:t>(h)</w:t>
      </w:r>
      <w:r>
        <w:rPr>
          <w:rFonts w:eastAsia="Calibri"/>
        </w:rPr>
        <w:tab/>
        <w:t>after subsection 624(3) insert:</w:t>
      </w:r>
    </w:p>
    <w:p w14:paraId="6B1A7E18" w14:textId="77777777" w:rsidR="00A0421E" w:rsidRPr="006B6CDE" w:rsidRDefault="00A0421E" w:rsidP="00A0421E">
      <w:pPr>
        <w:pStyle w:val="LI-SectionHeading"/>
        <w:rPr>
          <w:rFonts w:eastAsia="Calibri"/>
          <w:b w:val="0"/>
          <w:bCs/>
        </w:rPr>
      </w:pPr>
      <w:r w:rsidRPr="006B6CDE">
        <w:rPr>
          <w:rFonts w:eastAsia="Calibri"/>
          <w:b w:val="0"/>
          <w:bCs/>
        </w:rPr>
        <w:t>“(4)</w:t>
      </w:r>
      <w:r w:rsidRPr="006B6CDE">
        <w:rPr>
          <w:rFonts w:eastAsia="Calibri"/>
          <w:b w:val="0"/>
          <w:bCs/>
        </w:rPr>
        <w:tab/>
        <w:t xml:space="preserve">For the purposes of this section, </w:t>
      </w:r>
      <w:r w:rsidRPr="00E52113">
        <w:rPr>
          <w:rFonts w:eastAsia="Calibri"/>
          <w:i/>
        </w:rPr>
        <w:t>close of ordinary trading</w:t>
      </w:r>
      <w:r w:rsidRPr="006B6CDE">
        <w:rPr>
          <w:rFonts w:eastAsia="Calibri"/>
          <w:b w:val="0"/>
          <w:bCs/>
        </w:rPr>
        <w:t xml:space="preserve">, in relation to a particular day, means the latest time specified in the rules governing the operation of each prescribed financial market on which bid class securities are quoted (or as otherwise determined by the relevant market operator) as the time after which no further on-market transactions may be </w:t>
      </w:r>
      <w:proofErr w:type="gramStart"/>
      <w:r w:rsidRPr="006B6CDE">
        <w:rPr>
          <w:rFonts w:eastAsia="Calibri"/>
          <w:b w:val="0"/>
          <w:bCs/>
        </w:rPr>
        <w:t>effected</w:t>
      </w:r>
      <w:proofErr w:type="gramEnd"/>
      <w:r w:rsidRPr="006B6CDE">
        <w:rPr>
          <w:rFonts w:eastAsia="Calibri"/>
          <w:b w:val="0"/>
          <w:bCs/>
        </w:rPr>
        <w:t xml:space="preserve"> on that day.</w:t>
      </w:r>
    </w:p>
    <w:p w14:paraId="72644225" w14:textId="77777777" w:rsidR="00A0421E" w:rsidRDefault="00A0421E" w:rsidP="00A0421E">
      <w:pPr>
        <w:pStyle w:val="LI-SectionSubsectionText"/>
        <w:rPr>
          <w:rFonts w:eastAsia="Calibri"/>
          <w:i/>
        </w:rPr>
      </w:pPr>
      <w:r>
        <w:rPr>
          <w:rFonts w:eastAsia="Calibri"/>
          <w:i/>
        </w:rPr>
        <w:t>Treatment of acceptances in an acceptance facility</w:t>
      </w:r>
    </w:p>
    <w:p w14:paraId="549D1CF7" w14:textId="1A79FEC5" w:rsidR="006B1D79" w:rsidRPr="002E40ED" w:rsidRDefault="006B1D79" w:rsidP="006B1D79">
      <w:pPr>
        <w:pStyle w:val="LI-SectionSubsectionText"/>
        <w:rPr>
          <w:rFonts w:eastAsia="Calibri"/>
        </w:rPr>
      </w:pPr>
      <w:r w:rsidRPr="002E40ED">
        <w:rPr>
          <w:rFonts w:eastAsia="Calibri"/>
        </w:rPr>
        <w:t>(5)</w:t>
      </w:r>
      <w:r w:rsidRPr="002E40ED">
        <w:rPr>
          <w:rFonts w:eastAsia="Calibri"/>
        </w:rPr>
        <w:tab/>
        <w:t xml:space="preserve">If: </w:t>
      </w:r>
    </w:p>
    <w:p w14:paraId="2A6D07B3" w14:textId="16242D7E" w:rsidR="006B1D79" w:rsidRPr="002E40ED" w:rsidRDefault="006B1D79" w:rsidP="006B1D79">
      <w:pPr>
        <w:pStyle w:val="LI-Sectionparaa"/>
        <w:rPr>
          <w:rFonts w:eastAsia="Calibri"/>
        </w:rPr>
      </w:pPr>
      <w:r w:rsidRPr="002E40ED">
        <w:rPr>
          <w:rFonts w:eastAsia="Calibri"/>
        </w:rPr>
        <w:t>(a)</w:t>
      </w:r>
      <w:r w:rsidRPr="002E40ED">
        <w:rPr>
          <w:rFonts w:eastAsia="Calibri"/>
        </w:rPr>
        <w:tab/>
        <w:t>a bidder has established a</w:t>
      </w:r>
      <w:r w:rsidR="009B462E" w:rsidRPr="002E40ED">
        <w:rPr>
          <w:rFonts w:eastAsia="Calibri"/>
        </w:rPr>
        <w:t xml:space="preserve"> </w:t>
      </w:r>
      <w:r w:rsidRPr="002E40ED">
        <w:rPr>
          <w:rFonts w:eastAsia="Calibri"/>
        </w:rPr>
        <w:t>facility</w:t>
      </w:r>
      <w:r w:rsidR="009B462E" w:rsidRPr="002E40ED">
        <w:rPr>
          <w:rFonts w:eastAsia="Calibri"/>
        </w:rPr>
        <w:t xml:space="preserve"> </w:t>
      </w:r>
      <w:r w:rsidR="00231868" w:rsidRPr="002E40ED">
        <w:rPr>
          <w:rFonts w:eastAsia="Calibri"/>
        </w:rPr>
        <w:t>covered by subsection 609A(2)</w:t>
      </w:r>
      <w:r w:rsidRPr="002E40ED">
        <w:rPr>
          <w:rFonts w:eastAsia="Calibri"/>
        </w:rPr>
        <w:t>;</w:t>
      </w:r>
      <w:r w:rsidR="00447517" w:rsidRPr="002E40ED">
        <w:rPr>
          <w:rFonts w:eastAsia="Calibri"/>
        </w:rPr>
        <w:t xml:space="preserve"> and</w:t>
      </w:r>
    </w:p>
    <w:p w14:paraId="33CD1AF2" w14:textId="440B2D49" w:rsidR="006B1D79" w:rsidRPr="002E40ED" w:rsidRDefault="006B1D79" w:rsidP="006B1D79">
      <w:pPr>
        <w:pStyle w:val="LI-Sectionparaa"/>
        <w:rPr>
          <w:rFonts w:eastAsia="Calibri"/>
        </w:rPr>
      </w:pPr>
      <w:r w:rsidRPr="002E40ED">
        <w:rPr>
          <w:rFonts w:eastAsia="Calibri"/>
        </w:rPr>
        <w:t>(b)</w:t>
      </w:r>
      <w:r w:rsidRPr="002E40ED">
        <w:rPr>
          <w:rFonts w:eastAsia="Calibri"/>
        </w:rPr>
        <w:tab/>
        <w:t>subsection 609</w:t>
      </w:r>
      <w:r w:rsidR="00231868" w:rsidRPr="002E40ED">
        <w:rPr>
          <w:rFonts w:eastAsia="Calibri"/>
        </w:rPr>
        <w:t>A(1)</w:t>
      </w:r>
      <w:r w:rsidRPr="002E40ED">
        <w:rPr>
          <w:rFonts w:eastAsia="Calibri"/>
        </w:rPr>
        <w:t xml:space="preserve"> applies with respect to </w:t>
      </w:r>
      <w:r w:rsidR="001D132C" w:rsidRPr="002E40ED">
        <w:rPr>
          <w:rFonts w:eastAsia="Calibri"/>
        </w:rPr>
        <w:t xml:space="preserve">bid class </w:t>
      </w:r>
      <w:r w:rsidRPr="002E40ED">
        <w:rPr>
          <w:rFonts w:eastAsia="Calibri"/>
        </w:rPr>
        <w:t xml:space="preserve">securities </w:t>
      </w:r>
      <w:r w:rsidR="00345416" w:rsidRPr="002E40ED">
        <w:rPr>
          <w:rFonts w:eastAsia="Calibri"/>
          <w:b/>
          <w:bCs/>
          <w:i/>
          <w:iCs/>
        </w:rPr>
        <w:t>(acceptance facility securities</w:t>
      </w:r>
      <w:r w:rsidR="00345416" w:rsidRPr="002E40ED">
        <w:rPr>
          <w:rFonts w:eastAsia="Calibri"/>
        </w:rPr>
        <w:t xml:space="preserve">) </w:t>
      </w:r>
      <w:r w:rsidRPr="002E40ED">
        <w:rPr>
          <w:rFonts w:eastAsia="Calibri"/>
        </w:rPr>
        <w:t xml:space="preserve">the subject of </w:t>
      </w:r>
      <w:r w:rsidR="00765AAC" w:rsidRPr="002E40ED">
        <w:rPr>
          <w:rFonts w:eastAsia="Calibri"/>
        </w:rPr>
        <w:t xml:space="preserve">an </w:t>
      </w:r>
      <w:r w:rsidRPr="002E40ED">
        <w:rPr>
          <w:rFonts w:eastAsia="Calibri"/>
        </w:rPr>
        <w:t>acceptance</w:t>
      </w:r>
      <w:r w:rsidR="00EC2268" w:rsidRPr="002E40ED">
        <w:rPr>
          <w:rFonts w:eastAsia="Calibri"/>
        </w:rPr>
        <w:t xml:space="preserve"> (within the meaning of </w:t>
      </w:r>
      <w:r w:rsidR="00DD186D" w:rsidRPr="002E40ED">
        <w:rPr>
          <w:rFonts w:eastAsia="Calibri"/>
        </w:rPr>
        <w:t>subsection 609A(5))</w:t>
      </w:r>
      <w:r w:rsidR="00A1676F" w:rsidRPr="002E40ED">
        <w:rPr>
          <w:rFonts w:eastAsia="Calibri"/>
        </w:rPr>
        <w:t>,</w:t>
      </w:r>
      <w:r w:rsidR="00765AAC" w:rsidRPr="002E40ED">
        <w:rPr>
          <w:rFonts w:eastAsia="Calibri"/>
        </w:rPr>
        <w:t xml:space="preserve"> in relation to the </w:t>
      </w:r>
      <w:r w:rsidR="0071467A" w:rsidRPr="002E40ED">
        <w:rPr>
          <w:rFonts w:eastAsia="Calibri"/>
        </w:rPr>
        <w:t>facility, that is given to the operator of the</w:t>
      </w:r>
      <w:r w:rsidRPr="002E40ED">
        <w:rPr>
          <w:rFonts w:eastAsia="Calibri"/>
        </w:rPr>
        <w:t xml:space="preserve"> facility; and</w:t>
      </w:r>
    </w:p>
    <w:p w14:paraId="5E8F833D" w14:textId="77777777" w:rsidR="006B1D79" w:rsidRPr="002E40ED" w:rsidRDefault="006B1D79" w:rsidP="006B1D79">
      <w:pPr>
        <w:pStyle w:val="LI-Sectionparaa"/>
        <w:rPr>
          <w:rFonts w:eastAsia="Calibri"/>
        </w:rPr>
      </w:pPr>
      <w:r w:rsidRPr="002E40ED">
        <w:rPr>
          <w:rFonts w:eastAsia="Calibri"/>
        </w:rPr>
        <w:t>(c)</w:t>
      </w:r>
      <w:r w:rsidRPr="002E40ED">
        <w:rPr>
          <w:rFonts w:eastAsia="Calibri"/>
        </w:rPr>
        <w:tab/>
        <w:t>the bidder has included in the notice given under subsection 630(3):</w:t>
      </w:r>
    </w:p>
    <w:p w14:paraId="42AAA662" w14:textId="77777777" w:rsidR="006B1D79" w:rsidRPr="002E40ED" w:rsidRDefault="006B1D79" w:rsidP="006B1D79">
      <w:pPr>
        <w:pStyle w:val="LI-Sectionsubparai"/>
        <w:rPr>
          <w:rFonts w:eastAsia="Calibri"/>
        </w:rPr>
      </w:pPr>
      <w:r w:rsidRPr="002E40ED">
        <w:rPr>
          <w:rFonts w:eastAsia="Calibri"/>
        </w:rPr>
        <w:t>(</w:t>
      </w:r>
      <w:proofErr w:type="spellStart"/>
      <w:r w:rsidRPr="002E40ED">
        <w:rPr>
          <w:rFonts w:eastAsia="Calibri"/>
        </w:rPr>
        <w:t>i</w:t>
      </w:r>
      <w:proofErr w:type="spellEnd"/>
      <w:r w:rsidRPr="002E40ED">
        <w:rPr>
          <w:rFonts w:eastAsia="Calibri"/>
        </w:rPr>
        <w:t>)</w:t>
      </w:r>
      <w:r w:rsidRPr="002E40ED">
        <w:rPr>
          <w:rFonts w:eastAsia="Calibri"/>
        </w:rPr>
        <w:tab/>
        <w:t>a statement that the bid remains subject to one or more defeating conditions (other than defeating conditions of the kind referred to in paragraph 650F(1)(a)</w:t>
      </w:r>
      <w:proofErr w:type="gramStart"/>
      <w:r w:rsidRPr="002E40ED">
        <w:rPr>
          <w:rFonts w:eastAsia="Calibri"/>
        </w:rPr>
        <w:t>);</w:t>
      </w:r>
      <w:proofErr w:type="gramEnd"/>
    </w:p>
    <w:p w14:paraId="27BDD4AC" w14:textId="77777777" w:rsidR="006B1D79" w:rsidRPr="002E40ED" w:rsidRDefault="006B1D79" w:rsidP="006B1D79">
      <w:pPr>
        <w:pStyle w:val="LI-Sectionsubparai"/>
        <w:rPr>
          <w:rFonts w:eastAsia="Calibri"/>
        </w:rPr>
      </w:pPr>
      <w:r w:rsidRPr="002E40ED">
        <w:rPr>
          <w:rFonts w:eastAsia="Calibri"/>
        </w:rPr>
        <w:t>(ii)</w:t>
      </w:r>
      <w:r w:rsidRPr="002E40ED">
        <w:rPr>
          <w:rFonts w:eastAsia="Calibri"/>
        </w:rPr>
        <w:tab/>
        <w:t>a statement that the bidder has elected that this subsection is to apply; and</w:t>
      </w:r>
    </w:p>
    <w:p w14:paraId="38948082" w14:textId="77777777" w:rsidR="006B1D79" w:rsidRPr="002E40ED" w:rsidRDefault="006B1D79" w:rsidP="006B1D79">
      <w:pPr>
        <w:pStyle w:val="LI-Sectionsubparai"/>
        <w:rPr>
          <w:rFonts w:eastAsia="Calibri"/>
        </w:rPr>
      </w:pPr>
      <w:r w:rsidRPr="002E40ED">
        <w:rPr>
          <w:rFonts w:eastAsia="Calibri"/>
        </w:rPr>
        <w:t>(iii)</w:t>
      </w:r>
      <w:r w:rsidRPr="002E40ED">
        <w:rPr>
          <w:rFonts w:eastAsia="Calibri"/>
        </w:rPr>
        <w:tab/>
        <w:t xml:space="preserve">a description of the effect of this </w:t>
      </w:r>
      <w:proofErr w:type="gramStart"/>
      <w:r w:rsidRPr="002E40ED">
        <w:rPr>
          <w:rFonts w:eastAsia="Calibri"/>
        </w:rPr>
        <w:t>subsection;</w:t>
      </w:r>
      <w:proofErr w:type="gramEnd"/>
    </w:p>
    <w:p w14:paraId="5DDAA405" w14:textId="138DEF83" w:rsidR="006B1D79" w:rsidRPr="002E40ED" w:rsidRDefault="006B1D79" w:rsidP="00A96AB6">
      <w:pPr>
        <w:pStyle w:val="LI-SectionSubsectionText"/>
        <w:ind w:firstLine="0"/>
        <w:rPr>
          <w:rFonts w:eastAsia="Calibri"/>
        </w:rPr>
      </w:pPr>
      <w:r w:rsidRPr="002E40ED">
        <w:rPr>
          <w:rFonts w:eastAsia="Calibri"/>
        </w:rPr>
        <w:t xml:space="preserve">then, in determining the bidder’s voting power for the purposes of paragraph (2)(b), the bidder is taken to acquire a relevant interest in </w:t>
      </w:r>
      <w:r w:rsidR="00345416" w:rsidRPr="002E40ED">
        <w:rPr>
          <w:rFonts w:eastAsia="Calibri"/>
        </w:rPr>
        <w:t>the acceptance facility</w:t>
      </w:r>
      <w:r w:rsidR="00B23A15" w:rsidRPr="002E40ED">
        <w:rPr>
          <w:rFonts w:eastAsia="Calibri"/>
        </w:rPr>
        <w:t xml:space="preserve"> securities</w:t>
      </w:r>
      <w:r w:rsidRPr="002E40ED">
        <w:rPr>
          <w:rFonts w:eastAsia="Calibri"/>
        </w:rPr>
        <w:t xml:space="preserve"> at the time </w:t>
      </w:r>
      <w:r w:rsidR="005B65AA" w:rsidRPr="002E40ED">
        <w:rPr>
          <w:rFonts w:eastAsia="Calibri"/>
        </w:rPr>
        <w:t>any</w:t>
      </w:r>
      <w:r w:rsidRPr="002E40ED">
        <w:rPr>
          <w:rFonts w:eastAsia="Calibri"/>
        </w:rPr>
        <w:t xml:space="preserve"> condition</w:t>
      </w:r>
      <w:r w:rsidR="005B65AA" w:rsidRPr="002E40ED">
        <w:rPr>
          <w:rFonts w:eastAsia="Calibri"/>
        </w:rPr>
        <w:t xml:space="preserve"> of a kind specified in subsection </w:t>
      </w:r>
      <w:r w:rsidR="00353987" w:rsidRPr="002E40ED">
        <w:rPr>
          <w:rFonts w:eastAsia="Calibri"/>
        </w:rPr>
        <w:t>609A</w:t>
      </w:r>
      <w:r w:rsidR="005B65AA" w:rsidRPr="002E40ED">
        <w:rPr>
          <w:rFonts w:eastAsia="Calibri"/>
        </w:rPr>
        <w:t>(3) that is specified in relation to the facility</w:t>
      </w:r>
      <w:r w:rsidRPr="002E40ED">
        <w:rPr>
          <w:rFonts w:eastAsia="Calibri"/>
        </w:rPr>
        <w:t xml:space="preserve"> </w:t>
      </w:r>
      <w:r w:rsidR="005B65AA" w:rsidRPr="002E40ED">
        <w:rPr>
          <w:rFonts w:eastAsia="Calibri"/>
        </w:rPr>
        <w:t>is</w:t>
      </w:r>
      <w:r w:rsidRPr="002E40ED">
        <w:rPr>
          <w:rFonts w:eastAsia="Calibri"/>
        </w:rPr>
        <w:t xml:space="preserve"> satisfied.</w:t>
      </w:r>
      <w:proofErr w:type="gramStart"/>
      <w:r w:rsidRPr="002E40ED">
        <w:rPr>
          <w:rFonts w:eastAsia="Calibri"/>
        </w:rPr>
        <w:t>”;</w:t>
      </w:r>
      <w:proofErr w:type="gramEnd"/>
      <w:r w:rsidR="00A96AB6" w:rsidRPr="002E40ED">
        <w:rPr>
          <w:rFonts w:eastAsia="Calibri"/>
        </w:rPr>
        <w:t xml:space="preserve"> </w:t>
      </w:r>
    </w:p>
    <w:p w14:paraId="69C84154" w14:textId="32166FE2" w:rsidR="00A0421E" w:rsidRDefault="00A0421E" w:rsidP="00A0421E">
      <w:pPr>
        <w:pStyle w:val="LI-BodyTextParaa"/>
        <w:rPr>
          <w:rFonts w:eastAsia="Calibri"/>
        </w:rPr>
      </w:pPr>
      <w:r>
        <w:rPr>
          <w:rFonts w:eastAsia="Calibri"/>
        </w:rPr>
        <w:t>(</w:t>
      </w:r>
      <w:proofErr w:type="spellStart"/>
      <w:r>
        <w:rPr>
          <w:rFonts w:eastAsia="Calibri"/>
        </w:rPr>
        <w:t>i</w:t>
      </w:r>
      <w:proofErr w:type="spellEnd"/>
      <w:r>
        <w:rPr>
          <w:rFonts w:eastAsia="Calibri"/>
        </w:rPr>
        <w:t>)</w:t>
      </w:r>
      <w:r>
        <w:rPr>
          <w:rFonts w:eastAsia="Calibri"/>
        </w:rPr>
        <w:tab/>
        <w:t>at the end of subsection 625(3) insert on a new line:</w:t>
      </w:r>
    </w:p>
    <w:p w14:paraId="427F1B84" w14:textId="77777777" w:rsidR="00A0421E" w:rsidRPr="006B6CDE" w:rsidRDefault="00A0421E" w:rsidP="00A0421E">
      <w:pPr>
        <w:pStyle w:val="LI-SectionHeading"/>
        <w:ind w:left="1701" w:firstLine="0"/>
        <w:rPr>
          <w:rFonts w:eastAsia="Calibri"/>
          <w:b w:val="0"/>
          <w:bCs/>
        </w:rPr>
      </w:pPr>
      <w:r w:rsidRPr="006B6CDE">
        <w:rPr>
          <w:rFonts w:eastAsia="Calibri"/>
          <w:b w:val="0"/>
          <w:bCs/>
        </w:rPr>
        <w:t>“The condition referred to in this subsection is not a defeating condition.</w:t>
      </w:r>
      <w:proofErr w:type="gramStart"/>
      <w:r w:rsidRPr="006B6CDE">
        <w:rPr>
          <w:rFonts w:eastAsia="Calibri"/>
          <w:b w:val="0"/>
          <w:bCs/>
        </w:rPr>
        <w:t>”;</w:t>
      </w:r>
      <w:proofErr w:type="gramEnd"/>
    </w:p>
    <w:p w14:paraId="214F754A" w14:textId="01B18D45" w:rsidR="00A0421E" w:rsidRPr="00D366F2" w:rsidRDefault="00A0421E" w:rsidP="00A0421E">
      <w:pPr>
        <w:pStyle w:val="LI-BodyTextParaa"/>
        <w:rPr>
          <w:rFonts w:eastAsia="Calibri"/>
        </w:rPr>
      </w:pPr>
      <w:r w:rsidRPr="00D366F2">
        <w:rPr>
          <w:rFonts w:eastAsia="Calibri"/>
        </w:rPr>
        <w:t>(</w:t>
      </w:r>
      <w:r>
        <w:rPr>
          <w:rFonts w:eastAsia="Calibri"/>
        </w:rPr>
        <w:t>j</w:t>
      </w:r>
      <w:r w:rsidRPr="00D366F2">
        <w:rPr>
          <w:rFonts w:eastAsia="Calibri"/>
        </w:rPr>
        <w:t>)</w:t>
      </w:r>
      <w:r w:rsidRPr="00D366F2">
        <w:rPr>
          <w:rFonts w:eastAsia="Calibri"/>
        </w:rPr>
        <w:tab/>
        <w:t>omit subsection 630(4), substitute:</w:t>
      </w:r>
    </w:p>
    <w:p w14:paraId="005365AA" w14:textId="77777777" w:rsidR="00A0421E" w:rsidRPr="0007316D" w:rsidRDefault="00A0421E" w:rsidP="00A0421E">
      <w:pPr>
        <w:pStyle w:val="LI-SectionHeading"/>
        <w:rPr>
          <w:rFonts w:eastAsia="Calibri"/>
          <w:b w:val="0"/>
          <w:bCs/>
        </w:rPr>
      </w:pPr>
      <w:r w:rsidRPr="0007316D">
        <w:rPr>
          <w:rFonts w:eastAsia="Calibri"/>
          <w:b w:val="0"/>
          <w:bCs/>
        </w:rPr>
        <w:lastRenderedPageBreak/>
        <w:t>“</w:t>
      </w:r>
      <w:r w:rsidRPr="0007316D">
        <w:rPr>
          <w:rFonts w:eastAsia="Calibri"/>
          <w:b w:val="0"/>
          <w:bCs/>
          <w:i/>
          <w:iCs/>
        </w:rPr>
        <w:t>Bidder to give notice if defeating condition fulfilled</w:t>
      </w:r>
    </w:p>
    <w:p w14:paraId="1A6FCCB4" w14:textId="77777777" w:rsidR="00A0421E" w:rsidRDefault="00A0421E" w:rsidP="00A0421E">
      <w:pPr>
        <w:pStyle w:val="LI-SectionSubsectionText"/>
        <w:rPr>
          <w:rFonts w:eastAsia="Calibri"/>
        </w:rPr>
      </w:pPr>
      <w:r>
        <w:rPr>
          <w:rFonts w:eastAsia="Calibri"/>
        </w:rPr>
        <w:t>(4)</w:t>
      </w:r>
      <w:r>
        <w:rPr>
          <w:rFonts w:eastAsia="Calibri"/>
        </w:rPr>
        <w:tab/>
        <w:t>If the condition is fulfilled (so that the offers become free of the condition) during the bid period but before the date for giving the notice on the status of the condition, the bidder must give as soon as practicable a notice that states that the condition has been fulfilled.”.</w:t>
      </w:r>
    </w:p>
    <w:p w14:paraId="4E0CD3BB" w14:textId="77777777" w:rsidR="00A0421E" w:rsidRDefault="00A0421E" w:rsidP="00A0421E">
      <w:pPr>
        <w:pStyle w:val="LI-Heading2"/>
      </w:pPr>
      <w:bookmarkStart w:id="11" w:name="_Toc146221162"/>
      <w:r w:rsidRPr="008166C3">
        <w:t>6</w:t>
      </w:r>
      <w:r w:rsidRPr="008166C3">
        <w:tab/>
      </w:r>
      <w:r w:rsidRPr="0033350E">
        <w:t>Procedural</w:t>
      </w:r>
      <w:r>
        <w:t xml:space="preserve"> steps in a takeover bid</w:t>
      </w:r>
      <w:bookmarkEnd w:id="11"/>
    </w:p>
    <w:p w14:paraId="5D2399EF" w14:textId="77777777" w:rsidR="00A0421E" w:rsidRDefault="00A0421E" w:rsidP="00A0421E">
      <w:pPr>
        <w:pStyle w:val="LI-BodyTextNumbered"/>
        <w:rPr>
          <w:rFonts w:eastAsia="Calibri"/>
        </w:rPr>
      </w:pPr>
      <w:r>
        <w:rPr>
          <w:rFonts w:eastAsia="Calibri"/>
        </w:rPr>
        <w:tab/>
      </w:r>
      <w:r w:rsidRPr="00D366F2">
        <w:rPr>
          <w:rFonts w:eastAsia="Calibri"/>
        </w:rPr>
        <w:t xml:space="preserve">Chapter 6 of the Act applies to all persons as if the following provisions of Part 6.5 were omitted, </w:t>
      </w:r>
      <w:proofErr w:type="gramStart"/>
      <w:r w:rsidRPr="00D366F2">
        <w:rPr>
          <w:rFonts w:eastAsia="Calibri"/>
        </w:rPr>
        <w:t>modified</w:t>
      </w:r>
      <w:proofErr w:type="gramEnd"/>
      <w:r w:rsidRPr="00D366F2">
        <w:rPr>
          <w:rFonts w:eastAsia="Calibri"/>
        </w:rPr>
        <w:t xml:space="preserve"> or varied as follows:</w:t>
      </w:r>
    </w:p>
    <w:p w14:paraId="39D5528C" w14:textId="77777777" w:rsidR="00A0421E" w:rsidRDefault="00A0421E" w:rsidP="00A0421E">
      <w:pPr>
        <w:pStyle w:val="LI-BodyTextParaa"/>
        <w:rPr>
          <w:rFonts w:eastAsia="Calibri"/>
        </w:rPr>
      </w:pPr>
      <w:r>
        <w:rPr>
          <w:rFonts w:eastAsia="Calibri"/>
        </w:rPr>
        <w:t>(a)</w:t>
      </w:r>
      <w:r>
        <w:rPr>
          <w:rFonts w:eastAsia="Calibri"/>
        </w:rPr>
        <w:tab/>
        <w:t>after subsection 633(1) insert:</w:t>
      </w:r>
    </w:p>
    <w:p w14:paraId="47CC8DD7" w14:textId="77777777" w:rsidR="00A0421E" w:rsidRPr="0007316D" w:rsidRDefault="00A0421E" w:rsidP="00A0421E">
      <w:pPr>
        <w:pStyle w:val="LI-SectionHeading"/>
        <w:rPr>
          <w:rFonts w:eastAsia="Calibri"/>
          <w:b w:val="0"/>
          <w:bCs/>
        </w:rPr>
      </w:pPr>
      <w:r w:rsidRPr="0007316D">
        <w:rPr>
          <w:rFonts w:eastAsia="Calibri"/>
          <w:b w:val="0"/>
          <w:bCs/>
        </w:rPr>
        <w:t>“(1</w:t>
      </w:r>
      <w:r>
        <w:rPr>
          <w:rFonts w:eastAsia="Calibri"/>
          <w:b w:val="0"/>
          <w:bCs/>
        </w:rPr>
        <w:t>A</w:t>
      </w:r>
      <w:r w:rsidRPr="0007316D">
        <w:rPr>
          <w:rFonts w:eastAsia="Calibri"/>
          <w:b w:val="0"/>
          <w:bCs/>
        </w:rPr>
        <w:t>)</w:t>
      </w:r>
      <w:r w:rsidRPr="0007316D">
        <w:rPr>
          <w:rFonts w:eastAsia="Calibri"/>
          <w:b w:val="0"/>
          <w:bCs/>
        </w:rPr>
        <w:tab/>
        <w:t xml:space="preserve">Despite any other provision of this Chapter, the copy of the bidder’s statement and offer document that the bidder lodges with </w:t>
      </w:r>
      <w:r>
        <w:rPr>
          <w:rFonts w:eastAsia="Calibri"/>
          <w:b w:val="0"/>
          <w:bCs/>
        </w:rPr>
        <w:t>ASIC</w:t>
      </w:r>
      <w:r w:rsidRPr="0007316D">
        <w:rPr>
          <w:rFonts w:eastAsia="Calibri"/>
          <w:b w:val="0"/>
          <w:bCs/>
        </w:rPr>
        <w:t xml:space="preserve"> under item 2 of the table in subsection (1), sends to the target under item 3 of the table and sends to the operator of each relevant prescribed financial market under item 5 of the table may omit the following information:</w:t>
      </w:r>
    </w:p>
    <w:p w14:paraId="0D6A47CD" w14:textId="77777777" w:rsidR="00A0421E" w:rsidRDefault="00A0421E" w:rsidP="00A0421E">
      <w:pPr>
        <w:pStyle w:val="LI-Sectionparaa"/>
        <w:rPr>
          <w:rFonts w:eastAsia="Calibri"/>
        </w:rPr>
      </w:pPr>
      <w:r>
        <w:rPr>
          <w:rFonts w:eastAsia="Calibri"/>
        </w:rPr>
        <w:t>(a)</w:t>
      </w:r>
      <w:r>
        <w:rPr>
          <w:rFonts w:eastAsia="Calibri"/>
        </w:rPr>
        <w:tab/>
        <w:t>the date of the proposed offer or any other date that is related to or dependent on that date; and</w:t>
      </w:r>
    </w:p>
    <w:p w14:paraId="41513D05" w14:textId="77777777" w:rsidR="00A0421E" w:rsidRDefault="00A0421E" w:rsidP="00A0421E">
      <w:pPr>
        <w:pStyle w:val="LI-Sectionparaa"/>
        <w:rPr>
          <w:rFonts w:eastAsia="Calibri"/>
        </w:rPr>
      </w:pPr>
      <w:r>
        <w:rPr>
          <w:rFonts w:eastAsia="Calibri"/>
        </w:rPr>
        <w:t>(b)</w:t>
      </w:r>
      <w:r>
        <w:rPr>
          <w:rFonts w:eastAsia="Calibri"/>
        </w:rPr>
        <w:tab/>
        <w:t>the name and address of the holders of securities referred to in item 6 of the table.</w:t>
      </w:r>
    </w:p>
    <w:p w14:paraId="649EAF79" w14:textId="77777777" w:rsidR="00A0421E" w:rsidRDefault="00A0421E" w:rsidP="00A0421E">
      <w:pPr>
        <w:pStyle w:val="LI-SectionSubsectionText"/>
        <w:ind w:firstLine="0"/>
        <w:rPr>
          <w:rFonts w:eastAsia="Calibri"/>
        </w:rPr>
      </w:pPr>
      <w:r>
        <w:rPr>
          <w:rFonts w:eastAsia="Calibri"/>
        </w:rPr>
        <w:t>The bidder must include the information in the bidder’s statement and offer document sent to the holders of securities under item 6 of the table in subsection (1).</w:t>
      </w:r>
    </w:p>
    <w:p w14:paraId="36BE99D0" w14:textId="77777777" w:rsidR="00A0421E" w:rsidRDefault="00A0421E" w:rsidP="00A0421E">
      <w:pPr>
        <w:pStyle w:val="LI-SectionSubsectionText"/>
        <w:rPr>
          <w:rFonts w:eastAsia="Calibri"/>
        </w:rPr>
      </w:pPr>
      <w:r>
        <w:rPr>
          <w:rFonts w:eastAsia="Calibri"/>
        </w:rPr>
        <w:t>(1B)</w:t>
      </w:r>
      <w:r>
        <w:rPr>
          <w:rFonts w:eastAsia="Calibri"/>
        </w:rPr>
        <w:tab/>
        <w:t>Despite subsection 636(1), the copy of the bidder’s statement and offer document that the bidder lodges with ASIC under item 2 of the table in subsection (1), sends to the target under item 3 of the table and sends to the operator of each relevant prescribed financial market under item 5 of the table may include the following information:</w:t>
      </w:r>
    </w:p>
    <w:p w14:paraId="491F86C5" w14:textId="77777777" w:rsidR="00A0421E" w:rsidRDefault="00A0421E" w:rsidP="00A0421E">
      <w:pPr>
        <w:pStyle w:val="LI-Sectionparaa"/>
        <w:rPr>
          <w:rFonts w:eastAsia="Calibri"/>
        </w:rPr>
      </w:pPr>
      <w:r>
        <w:rPr>
          <w:rFonts w:eastAsia="Calibri"/>
        </w:rPr>
        <w:t>(a)</w:t>
      </w:r>
      <w:r>
        <w:rPr>
          <w:rFonts w:eastAsia="Calibri"/>
        </w:rPr>
        <w:tab/>
        <w:t xml:space="preserve">details of the bidder’s relevant interest and voting power referred to in paragraphs 636(1)(k) and (l) as at the date of </w:t>
      </w:r>
      <w:proofErr w:type="spellStart"/>
      <w:r>
        <w:rPr>
          <w:rFonts w:eastAsia="Calibri"/>
        </w:rPr>
        <w:t>lodgment</w:t>
      </w:r>
      <w:proofErr w:type="spellEnd"/>
      <w:r>
        <w:rPr>
          <w:rFonts w:eastAsia="Calibri"/>
        </w:rPr>
        <w:t>; or</w:t>
      </w:r>
    </w:p>
    <w:p w14:paraId="598214F9" w14:textId="77777777" w:rsidR="00A0421E" w:rsidRDefault="00A0421E" w:rsidP="00A0421E">
      <w:pPr>
        <w:pStyle w:val="LI-Sectionparaa"/>
        <w:rPr>
          <w:rFonts w:eastAsia="Calibri"/>
        </w:rPr>
      </w:pPr>
      <w:r>
        <w:rPr>
          <w:rFonts w:eastAsia="Calibri"/>
        </w:rPr>
        <w:t>(b)</w:t>
      </w:r>
      <w:r>
        <w:rPr>
          <w:rFonts w:eastAsia="Calibri"/>
        </w:rPr>
        <w:tab/>
        <w:t>details of the consideration and benefits referred to in paragraphs 636(1)(h) and (</w:t>
      </w:r>
      <w:proofErr w:type="spellStart"/>
      <w:r>
        <w:rPr>
          <w:rFonts w:eastAsia="Calibri"/>
        </w:rPr>
        <w:t>i</w:t>
      </w:r>
      <w:proofErr w:type="spellEnd"/>
      <w:r>
        <w:rPr>
          <w:rFonts w:eastAsia="Calibri"/>
        </w:rPr>
        <w:t xml:space="preserve">) for the period of 4 months before the date of </w:t>
      </w:r>
      <w:proofErr w:type="spellStart"/>
      <w:r>
        <w:rPr>
          <w:rFonts w:eastAsia="Calibri"/>
        </w:rPr>
        <w:t>lodgment</w:t>
      </w:r>
      <w:proofErr w:type="spellEnd"/>
      <w:r>
        <w:rPr>
          <w:rFonts w:eastAsia="Calibri"/>
        </w:rPr>
        <w:t>.</w:t>
      </w:r>
    </w:p>
    <w:p w14:paraId="6E6B7363" w14:textId="77777777" w:rsidR="00A0421E" w:rsidRDefault="00A0421E" w:rsidP="00A0421E">
      <w:pPr>
        <w:pStyle w:val="LI-SectionSubsectionText"/>
        <w:ind w:firstLine="0"/>
        <w:rPr>
          <w:rFonts w:eastAsia="Calibri"/>
        </w:rPr>
      </w:pPr>
      <w:r>
        <w:rPr>
          <w:rFonts w:eastAsia="Calibri"/>
        </w:rPr>
        <w:t xml:space="preserve">The bidder’s statement and offer document sent to holders of securities under item 6 of the table in subsection (1) must be updated to include the information in paragraph (a) as at the </w:t>
      </w:r>
      <w:r>
        <w:rPr>
          <w:rFonts w:eastAsia="Calibri"/>
        </w:rPr>
        <w:lastRenderedPageBreak/>
        <w:t>date of the bid and the information in paragraph (b) for the period of 4 months before the date of the bid.</w:t>
      </w:r>
    </w:p>
    <w:p w14:paraId="2B36A27D" w14:textId="77777777" w:rsidR="00A0421E" w:rsidRDefault="00A0421E" w:rsidP="00A0421E">
      <w:pPr>
        <w:pStyle w:val="LI-SectionSubsectionText"/>
        <w:rPr>
          <w:rFonts w:eastAsia="Calibri"/>
        </w:rPr>
      </w:pPr>
      <w:r>
        <w:rPr>
          <w:rFonts w:eastAsia="Calibri"/>
        </w:rPr>
        <w:t>(1C)</w:t>
      </w:r>
      <w:r>
        <w:rPr>
          <w:rFonts w:eastAsia="Calibri"/>
        </w:rPr>
        <w:tab/>
        <w:t>If the bidder’s statement and offer document:</w:t>
      </w:r>
    </w:p>
    <w:p w14:paraId="6A046342" w14:textId="77777777" w:rsidR="00A0421E" w:rsidRDefault="00A0421E" w:rsidP="00A0421E">
      <w:pPr>
        <w:pStyle w:val="LI-Sectionparaa"/>
        <w:rPr>
          <w:rFonts w:eastAsia="Calibri"/>
        </w:rPr>
      </w:pPr>
      <w:r>
        <w:rPr>
          <w:rFonts w:eastAsia="Calibri"/>
        </w:rPr>
        <w:t>(a)</w:t>
      </w:r>
      <w:r>
        <w:rPr>
          <w:rFonts w:eastAsia="Calibri"/>
        </w:rPr>
        <w:tab/>
        <w:t>omits information under subsection (1A); or</w:t>
      </w:r>
    </w:p>
    <w:p w14:paraId="4560D09D" w14:textId="77777777" w:rsidR="00A0421E" w:rsidRDefault="00A0421E" w:rsidP="00A0421E">
      <w:pPr>
        <w:pStyle w:val="LI-Sectionparaa"/>
        <w:rPr>
          <w:rFonts w:eastAsia="Calibri"/>
        </w:rPr>
      </w:pPr>
      <w:r>
        <w:rPr>
          <w:rFonts w:eastAsia="Calibri"/>
        </w:rPr>
        <w:t>(b)</w:t>
      </w:r>
      <w:r>
        <w:rPr>
          <w:rFonts w:eastAsia="Calibri"/>
        </w:rPr>
        <w:tab/>
        <w:t>includes information under subsection (1B),</w:t>
      </w:r>
    </w:p>
    <w:p w14:paraId="2E2FF79E" w14:textId="77777777" w:rsidR="00A0421E" w:rsidRDefault="00A0421E" w:rsidP="00A0421E">
      <w:pPr>
        <w:pStyle w:val="LI-SectionSubsectionText"/>
        <w:ind w:firstLine="0"/>
        <w:rPr>
          <w:rFonts w:eastAsia="Calibri"/>
        </w:rPr>
      </w:pPr>
      <w:r>
        <w:rPr>
          <w:rFonts w:eastAsia="Calibri"/>
        </w:rPr>
        <w:t>the bidder must:</w:t>
      </w:r>
    </w:p>
    <w:p w14:paraId="013B4769" w14:textId="77777777" w:rsidR="00A0421E" w:rsidRDefault="00A0421E" w:rsidP="00A0421E">
      <w:pPr>
        <w:pStyle w:val="LI-Sectionparaa"/>
        <w:rPr>
          <w:rFonts w:eastAsia="Calibri"/>
        </w:rPr>
      </w:pPr>
      <w:r>
        <w:rPr>
          <w:rFonts w:eastAsia="Calibri"/>
        </w:rPr>
        <w:t xml:space="preserve">(c) </w:t>
      </w:r>
      <w:r>
        <w:rPr>
          <w:rFonts w:eastAsia="Calibri"/>
        </w:rPr>
        <w:tab/>
        <w:t>send to the target and the operator of each relevant prescribed financial market at the time that the bidder sends its first bidder’s statement and offer document to holders; and</w:t>
      </w:r>
    </w:p>
    <w:p w14:paraId="5A2F46E8" w14:textId="77777777" w:rsidR="00A0421E" w:rsidRDefault="00A0421E" w:rsidP="00A0421E">
      <w:pPr>
        <w:pStyle w:val="LI-Sectionparaa"/>
        <w:rPr>
          <w:rFonts w:eastAsia="Calibri"/>
        </w:rPr>
      </w:pPr>
      <w:r>
        <w:rPr>
          <w:rFonts w:eastAsia="Calibri"/>
        </w:rPr>
        <w:t>(d)</w:t>
      </w:r>
      <w:r>
        <w:rPr>
          <w:rFonts w:eastAsia="Calibri"/>
        </w:rPr>
        <w:tab/>
        <w:t xml:space="preserve">attach to the notice lodged with </w:t>
      </w:r>
      <w:proofErr w:type="spellStart"/>
      <w:r>
        <w:rPr>
          <w:rFonts w:eastAsia="Calibri"/>
        </w:rPr>
        <w:t>ASICunder</w:t>
      </w:r>
      <w:proofErr w:type="spellEnd"/>
      <w:r>
        <w:rPr>
          <w:rFonts w:eastAsia="Calibri"/>
        </w:rPr>
        <w:t xml:space="preserve"> item 9 of the table in subsection (1</w:t>
      </w:r>
      <w:proofErr w:type="gramStart"/>
      <w:r>
        <w:rPr>
          <w:rFonts w:eastAsia="Calibri"/>
        </w:rPr>
        <w:t>);</w:t>
      </w:r>
      <w:proofErr w:type="gramEnd"/>
    </w:p>
    <w:p w14:paraId="62C02239" w14:textId="77777777" w:rsidR="00A0421E" w:rsidRDefault="00A0421E" w:rsidP="00A0421E">
      <w:pPr>
        <w:pStyle w:val="LI-SectionSubsectionText"/>
        <w:ind w:firstLine="0"/>
        <w:rPr>
          <w:rFonts w:eastAsia="Calibri"/>
        </w:rPr>
      </w:pPr>
      <w:r>
        <w:rPr>
          <w:rFonts w:eastAsia="Calibri"/>
        </w:rPr>
        <w:t>a copy of the bidder’s statement and offer document as sent to holders.</w:t>
      </w:r>
      <w:proofErr w:type="gramStart"/>
      <w:r>
        <w:rPr>
          <w:rFonts w:eastAsia="Calibri"/>
        </w:rPr>
        <w:t>”;</w:t>
      </w:r>
      <w:proofErr w:type="gramEnd"/>
    </w:p>
    <w:p w14:paraId="5A8D2020" w14:textId="50E2C281" w:rsidR="003E31AD" w:rsidRDefault="003E31AD" w:rsidP="00A0421E">
      <w:pPr>
        <w:pStyle w:val="LI-BodyTextParaa"/>
        <w:rPr>
          <w:rFonts w:eastAsia="Calibri"/>
        </w:rPr>
      </w:pPr>
      <w:r>
        <w:rPr>
          <w:rFonts w:eastAsia="Calibri"/>
        </w:rPr>
        <w:t>(b)</w:t>
      </w:r>
      <w:r>
        <w:rPr>
          <w:rFonts w:eastAsia="Calibri"/>
        </w:rPr>
        <w:tab/>
      </w:r>
      <w:r w:rsidR="005F585E">
        <w:rPr>
          <w:rFonts w:eastAsia="Calibri"/>
        </w:rPr>
        <w:t xml:space="preserve">in subsection 633(2), after </w:t>
      </w:r>
      <w:r w:rsidR="002D3CFC">
        <w:rPr>
          <w:rFonts w:eastAsia="Calibri"/>
        </w:rPr>
        <w:t>“</w:t>
      </w:r>
      <w:r w:rsidR="005F585E">
        <w:rPr>
          <w:rFonts w:eastAsia="Calibri"/>
        </w:rPr>
        <w:t>securities</w:t>
      </w:r>
      <w:r w:rsidR="002D3CFC">
        <w:rPr>
          <w:rFonts w:eastAsia="Calibri"/>
        </w:rPr>
        <w:t>”</w:t>
      </w:r>
      <w:r w:rsidR="005F1782">
        <w:rPr>
          <w:rFonts w:eastAsia="Calibri"/>
        </w:rPr>
        <w:t>, insert “or derivatives</w:t>
      </w:r>
      <w:proofErr w:type="gramStart"/>
      <w:r w:rsidR="005F1782">
        <w:rPr>
          <w:rFonts w:eastAsia="Calibri"/>
        </w:rPr>
        <w:t>”;</w:t>
      </w:r>
      <w:proofErr w:type="gramEnd"/>
    </w:p>
    <w:p w14:paraId="7FEDD83E" w14:textId="450A5274" w:rsidR="00A0421E" w:rsidRDefault="00A0421E" w:rsidP="00A0421E">
      <w:pPr>
        <w:pStyle w:val="LI-BodyTextParaa"/>
        <w:rPr>
          <w:rFonts w:eastAsia="Calibri"/>
        </w:rPr>
      </w:pPr>
      <w:r>
        <w:rPr>
          <w:rFonts w:eastAsia="Calibri"/>
        </w:rPr>
        <w:t>(</w:t>
      </w:r>
      <w:r w:rsidR="00D84F62">
        <w:rPr>
          <w:rFonts w:eastAsia="Calibri"/>
        </w:rPr>
        <w:t>c</w:t>
      </w:r>
      <w:r>
        <w:rPr>
          <w:rFonts w:eastAsia="Calibri"/>
        </w:rPr>
        <w:t>)</w:t>
      </w:r>
      <w:r>
        <w:rPr>
          <w:rFonts w:eastAsia="Calibri"/>
        </w:rPr>
        <w:tab/>
        <w:t>omit paragraphs 636(1)(g) and (ga), substitute:</w:t>
      </w:r>
    </w:p>
    <w:p w14:paraId="628DC62C" w14:textId="77777777" w:rsidR="00A0421E" w:rsidRPr="0080151D" w:rsidRDefault="00A0421E" w:rsidP="00A0421E">
      <w:pPr>
        <w:pStyle w:val="LI-SectionHeading"/>
        <w:rPr>
          <w:rFonts w:eastAsia="Calibri"/>
          <w:b w:val="0"/>
          <w:bCs/>
        </w:rPr>
      </w:pPr>
      <w:r w:rsidRPr="0080151D">
        <w:rPr>
          <w:b w:val="0"/>
          <w:bCs/>
        </w:rPr>
        <w:t>“</w:t>
      </w:r>
      <w:r w:rsidRPr="0080151D">
        <w:rPr>
          <w:rFonts w:eastAsia="Calibri"/>
          <w:b w:val="0"/>
          <w:bCs/>
        </w:rPr>
        <w:t>(g)</w:t>
      </w:r>
      <w:r w:rsidRPr="0080151D">
        <w:rPr>
          <w:rFonts w:eastAsia="Calibri"/>
          <w:b w:val="0"/>
          <w:bCs/>
        </w:rPr>
        <w:tab/>
        <w:t>if any securities (other than managed investment products</w:t>
      </w:r>
      <w:r>
        <w:rPr>
          <w:rFonts w:eastAsia="Calibri"/>
          <w:b w:val="0"/>
          <w:bCs/>
        </w:rPr>
        <w:t xml:space="preserve">, foreign passport fund products, </w:t>
      </w:r>
      <w:r w:rsidRPr="00975509">
        <w:rPr>
          <w:rFonts w:eastAsia="Calibri"/>
          <w:b w:val="0"/>
          <w:bCs/>
        </w:rPr>
        <w:t xml:space="preserve"> </w:t>
      </w:r>
      <w:r w:rsidRPr="00EE41D1">
        <w:rPr>
          <w:rFonts w:eastAsia="Calibri"/>
          <w:b w:val="0"/>
          <w:bCs/>
        </w:rPr>
        <w:t>or securities in a CCIV</w:t>
      </w:r>
      <w:r w:rsidRPr="0080151D">
        <w:rPr>
          <w:rFonts w:eastAsia="Calibri"/>
          <w:b w:val="0"/>
          <w:bCs/>
        </w:rPr>
        <w:t>) are offered as consideration under the bid and:</w:t>
      </w:r>
    </w:p>
    <w:p w14:paraId="73F8655E"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the bidder is the body that has issued or will issue the securities; or</w:t>
      </w:r>
    </w:p>
    <w:p w14:paraId="1B55A9C2" w14:textId="77777777" w:rsidR="00A0421E" w:rsidRDefault="00A0421E" w:rsidP="00A0421E">
      <w:pPr>
        <w:pStyle w:val="LI-Sectionsubparai"/>
        <w:ind w:left="2835"/>
        <w:rPr>
          <w:rFonts w:eastAsia="Calibri"/>
        </w:rPr>
      </w:pPr>
      <w:r>
        <w:rPr>
          <w:rFonts w:eastAsia="Calibri"/>
        </w:rPr>
        <w:t>(ii)</w:t>
      </w:r>
      <w:r>
        <w:rPr>
          <w:rFonts w:eastAsia="Calibri"/>
        </w:rPr>
        <w:tab/>
        <w:t>the bidder is a person that controls that body; or</w:t>
      </w:r>
    </w:p>
    <w:p w14:paraId="405E2C74" w14:textId="77777777" w:rsidR="00A0421E" w:rsidRDefault="00A0421E" w:rsidP="00A0421E">
      <w:pPr>
        <w:pStyle w:val="LI-Sectionsubparai"/>
        <w:ind w:left="2835"/>
        <w:rPr>
          <w:rFonts w:eastAsia="Calibri"/>
        </w:rPr>
      </w:pPr>
      <w:r>
        <w:rPr>
          <w:rFonts w:eastAsia="Calibri"/>
        </w:rPr>
        <w:t>(iii)</w:t>
      </w:r>
      <w:r>
        <w:rPr>
          <w:rFonts w:eastAsia="Calibri"/>
        </w:rPr>
        <w:tab/>
        <w:t xml:space="preserve">that body agrees to the bidder offering, or authorises, arranges for or permits the bidder to offer the </w:t>
      </w:r>
      <w:proofErr w:type="gramStart"/>
      <w:r>
        <w:rPr>
          <w:rFonts w:eastAsia="Calibri"/>
        </w:rPr>
        <w:t>securities;</w:t>
      </w:r>
      <w:proofErr w:type="gramEnd"/>
    </w:p>
    <w:p w14:paraId="77DC21B9" w14:textId="68054EC0" w:rsidR="00A0421E" w:rsidRDefault="00A0421E" w:rsidP="00A0421E">
      <w:pPr>
        <w:pStyle w:val="LI-Sectionparaa"/>
        <w:ind w:firstLine="0"/>
        <w:rPr>
          <w:rFonts w:eastAsia="Calibri"/>
        </w:rPr>
      </w:pPr>
      <w:r>
        <w:rPr>
          <w:rFonts w:eastAsia="Calibri"/>
        </w:rPr>
        <w:t xml:space="preserve">all material that would be required for a prospectus for an offer of those securities by the bidder, or, if subparagraph (iii) applies, the body, under sections 710 to </w:t>
      </w:r>
      <w:proofErr w:type="gramStart"/>
      <w:r w:rsidR="007D7DF6">
        <w:rPr>
          <w:rFonts w:eastAsia="Calibri"/>
        </w:rPr>
        <w:t>7F</w:t>
      </w:r>
      <w:r>
        <w:rPr>
          <w:rFonts w:eastAsia="Calibri"/>
        </w:rPr>
        <w:t>;</w:t>
      </w:r>
      <w:proofErr w:type="gramEnd"/>
    </w:p>
    <w:p w14:paraId="5306B044" w14:textId="77777777" w:rsidR="00A0421E" w:rsidRDefault="00A0421E" w:rsidP="00A0421E">
      <w:pPr>
        <w:pStyle w:val="LI-Sectionparaa"/>
        <w:ind w:left="2268"/>
        <w:rPr>
          <w:rFonts w:eastAsia="Calibri"/>
        </w:rPr>
      </w:pPr>
      <w:r>
        <w:rPr>
          <w:rFonts w:eastAsia="Calibri"/>
        </w:rPr>
        <w:t>(ga)</w:t>
      </w:r>
      <w:r>
        <w:rPr>
          <w:rFonts w:eastAsia="Calibri"/>
        </w:rPr>
        <w:tab/>
        <w:t>if any managed investment products are offered as consideration under the bid and:</w:t>
      </w:r>
    </w:p>
    <w:p w14:paraId="42A4F67F"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the bidder is the responsible entity of the managed investment scheme to which those managed investment products relate; or</w:t>
      </w:r>
    </w:p>
    <w:p w14:paraId="4D913F27" w14:textId="77777777" w:rsidR="00A0421E" w:rsidRDefault="00A0421E" w:rsidP="00A0421E">
      <w:pPr>
        <w:pStyle w:val="LI-Sectionsubparai"/>
        <w:ind w:left="2835"/>
        <w:rPr>
          <w:rFonts w:eastAsia="Calibri"/>
        </w:rPr>
      </w:pPr>
      <w:r>
        <w:rPr>
          <w:rFonts w:eastAsia="Calibri"/>
        </w:rPr>
        <w:lastRenderedPageBreak/>
        <w:t>(ii)</w:t>
      </w:r>
      <w:r>
        <w:rPr>
          <w:rFonts w:eastAsia="Calibri"/>
        </w:rPr>
        <w:tab/>
        <w:t>the bidder is a person that controls the responsible entity of the managed investment scheme to which those managed investment products relate; or</w:t>
      </w:r>
    </w:p>
    <w:p w14:paraId="58308CEA" w14:textId="77777777" w:rsidR="00A0421E" w:rsidRDefault="00A0421E" w:rsidP="00A0421E">
      <w:pPr>
        <w:pStyle w:val="LI-Sectionsubparai"/>
        <w:ind w:left="2835"/>
        <w:rPr>
          <w:rFonts w:eastAsia="Calibri"/>
        </w:rPr>
      </w:pPr>
      <w:r>
        <w:rPr>
          <w:rFonts w:eastAsia="Calibri"/>
        </w:rPr>
        <w:t>(iii)</w:t>
      </w:r>
      <w:r>
        <w:rPr>
          <w:rFonts w:eastAsia="Calibri"/>
        </w:rPr>
        <w:tab/>
        <w:t xml:space="preserve">the responsible entity agrees to the bidder offering, or authorises, arranges for or permits the bidder to offer the managed investment </w:t>
      </w:r>
      <w:proofErr w:type="gramStart"/>
      <w:r>
        <w:rPr>
          <w:rFonts w:eastAsia="Calibri"/>
        </w:rPr>
        <w:t>products;</w:t>
      </w:r>
      <w:proofErr w:type="gramEnd"/>
    </w:p>
    <w:p w14:paraId="599ACD5D" w14:textId="77777777" w:rsidR="00A0421E" w:rsidRDefault="00A0421E" w:rsidP="00A0421E">
      <w:pPr>
        <w:pStyle w:val="LI-Sectionparaa"/>
        <w:ind w:left="2268" w:firstLine="0"/>
        <w:rPr>
          <w:rFonts w:eastAsia="Calibri"/>
        </w:rPr>
      </w:pPr>
      <w:r>
        <w:rPr>
          <w:rFonts w:eastAsia="Calibri"/>
        </w:rPr>
        <w:t xml:space="preserve">all material that would be required by section 1013C to be included in a Product Disclosure Statement given to a person in an issue situation (within the meaning of section 1012B) in relation to those managed investment </w:t>
      </w:r>
      <w:proofErr w:type="gramStart"/>
      <w:r>
        <w:rPr>
          <w:rFonts w:eastAsia="Calibri"/>
        </w:rPr>
        <w:t>products;</w:t>
      </w:r>
      <w:proofErr w:type="gramEnd"/>
    </w:p>
    <w:p w14:paraId="22C55941" w14:textId="77777777" w:rsidR="00A0421E" w:rsidRDefault="00A0421E" w:rsidP="00A0421E">
      <w:pPr>
        <w:pStyle w:val="LI-Sectionparaa"/>
        <w:ind w:left="2268"/>
      </w:pPr>
      <w:r>
        <w:t>(</w:t>
      </w:r>
      <w:proofErr w:type="spellStart"/>
      <w:r>
        <w:t>gaa</w:t>
      </w:r>
      <w:proofErr w:type="spellEnd"/>
      <w:r>
        <w:t>)</w:t>
      </w:r>
      <w:r>
        <w:tab/>
        <w:t>if any foreign passport fund products are offered as consideration under the bid and:</w:t>
      </w:r>
    </w:p>
    <w:p w14:paraId="07FDDEBF" w14:textId="77777777" w:rsidR="00A0421E" w:rsidRDefault="00A0421E" w:rsidP="00A0421E">
      <w:pPr>
        <w:pStyle w:val="LI-Sectionsubparai"/>
        <w:ind w:left="2835"/>
      </w:pPr>
      <w:r>
        <w:t>(</w:t>
      </w:r>
      <w:proofErr w:type="spellStart"/>
      <w:r>
        <w:t>i</w:t>
      </w:r>
      <w:proofErr w:type="spellEnd"/>
      <w:r>
        <w:t>)</w:t>
      </w:r>
      <w:r>
        <w:tab/>
        <w:t>the bidder is the operator of the notified foreign passport fund to which those foreign passport fund products relate; or</w:t>
      </w:r>
    </w:p>
    <w:p w14:paraId="3156E77B" w14:textId="77777777" w:rsidR="00A0421E" w:rsidRDefault="00A0421E" w:rsidP="00A0421E">
      <w:pPr>
        <w:pStyle w:val="LI-Sectionsubparai"/>
        <w:ind w:left="2835"/>
      </w:pPr>
      <w:r>
        <w:t>(ii)</w:t>
      </w:r>
      <w:r>
        <w:tab/>
        <w:t>the bidder is a person that controls the operator of the notified foreign passport fund to which those foreign passport fund products relate; or</w:t>
      </w:r>
    </w:p>
    <w:p w14:paraId="6DFB25F5" w14:textId="77777777" w:rsidR="00A0421E" w:rsidRDefault="00A0421E" w:rsidP="00A0421E">
      <w:pPr>
        <w:pStyle w:val="LI-Sectionsubparai"/>
        <w:ind w:left="2835"/>
      </w:pPr>
      <w:r>
        <w:t>(iii)</w:t>
      </w:r>
      <w:r>
        <w:tab/>
        <w:t xml:space="preserve">the operator agrees to the bidder offering, or authorises, arranges for or permits the bidder to offer the foreign passport fund </w:t>
      </w:r>
      <w:proofErr w:type="gramStart"/>
      <w:r>
        <w:t>products;</w:t>
      </w:r>
      <w:proofErr w:type="gramEnd"/>
    </w:p>
    <w:p w14:paraId="56EC24C2" w14:textId="77777777" w:rsidR="00A0421E" w:rsidRDefault="00A0421E" w:rsidP="00A0421E">
      <w:pPr>
        <w:pStyle w:val="LI-Sectionparaa"/>
        <w:ind w:left="2268" w:firstLine="0"/>
        <w:rPr>
          <w:b/>
        </w:rPr>
      </w:pPr>
      <w:r>
        <w:t>all material that would be required by sections 1013C and 1013GA to be included in a Product Disclosure Statement given to a person in an issue situation (within the meaning of section 1012B) in relation to those foreign passport fund products;</w:t>
      </w:r>
      <w:proofErr w:type="gramStart"/>
      <w:r>
        <w:rPr>
          <w:rFonts w:eastAsia="Calibri"/>
        </w:rPr>
        <w:t>”;</w:t>
      </w:r>
      <w:proofErr w:type="gramEnd"/>
    </w:p>
    <w:p w14:paraId="3C4B10F3" w14:textId="198C2A86" w:rsidR="00A0421E" w:rsidRDefault="00A0421E" w:rsidP="00A0421E">
      <w:pPr>
        <w:pStyle w:val="LI-BodyTextParaa"/>
        <w:rPr>
          <w:rFonts w:eastAsia="Calibri"/>
        </w:rPr>
      </w:pPr>
      <w:r>
        <w:rPr>
          <w:rFonts w:eastAsia="Calibri"/>
        </w:rPr>
        <w:t>(</w:t>
      </w:r>
      <w:r w:rsidR="00D84F62">
        <w:rPr>
          <w:rFonts w:eastAsia="Calibri"/>
        </w:rPr>
        <w:t>d</w:t>
      </w:r>
      <w:r>
        <w:rPr>
          <w:rFonts w:eastAsia="Calibri"/>
        </w:rPr>
        <w:t>)</w:t>
      </w:r>
      <w:r>
        <w:rPr>
          <w:rFonts w:eastAsia="Calibri"/>
        </w:rPr>
        <w:tab/>
        <w:t>omit paragraph 636(1)(j), substitute:</w:t>
      </w:r>
    </w:p>
    <w:p w14:paraId="26D61864" w14:textId="77777777" w:rsidR="00A0421E" w:rsidRPr="0080151D" w:rsidRDefault="00A0421E" w:rsidP="00A0421E">
      <w:pPr>
        <w:pStyle w:val="LI-SectionHeading"/>
        <w:rPr>
          <w:rFonts w:eastAsia="Calibri"/>
          <w:b w:val="0"/>
          <w:bCs/>
        </w:rPr>
      </w:pPr>
      <w:r w:rsidRPr="0080151D">
        <w:rPr>
          <w:b w:val="0"/>
          <w:bCs/>
        </w:rPr>
        <w:t>“</w:t>
      </w:r>
      <w:r w:rsidRPr="0080151D">
        <w:rPr>
          <w:rFonts w:eastAsia="Calibri"/>
          <w:b w:val="0"/>
          <w:bCs/>
        </w:rPr>
        <w:t>(j)</w:t>
      </w:r>
      <w:r w:rsidRPr="0080151D">
        <w:rPr>
          <w:rFonts w:eastAsia="Calibri"/>
          <w:b w:val="0"/>
          <w:bCs/>
        </w:rPr>
        <w:tab/>
        <w:t>if the bid is to extend to securities that come to be in the bid class during the period from the date set by the bidder under subsection 633(2) to the end of the offer period due to the conversion of or exercise of rights attached to other securities</w:t>
      </w:r>
      <w:r>
        <w:rPr>
          <w:rFonts w:eastAsia="Calibri"/>
          <w:b w:val="0"/>
          <w:bCs/>
        </w:rPr>
        <w:t xml:space="preserve"> </w:t>
      </w:r>
      <w:r w:rsidRPr="006F72E1">
        <w:rPr>
          <w:rFonts w:eastAsia="Calibri"/>
          <w:b w:val="0"/>
          <w:bCs/>
        </w:rPr>
        <w:t>or derivatives</w:t>
      </w:r>
      <w:r w:rsidRPr="0080151D">
        <w:rPr>
          <w:rFonts w:eastAsia="Calibri"/>
          <w:b w:val="0"/>
          <w:bCs/>
        </w:rPr>
        <w:t xml:space="preserve"> (see subsection 617(2))—a statement to that effect;</w:t>
      </w:r>
      <w:proofErr w:type="gramStart"/>
      <w:r w:rsidRPr="0080151D">
        <w:rPr>
          <w:rFonts w:eastAsia="Calibri"/>
          <w:b w:val="0"/>
          <w:bCs/>
        </w:rPr>
        <w:t>”;</w:t>
      </w:r>
      <w:proofErr w:type="gramEnd"/>
    </w:p>
    <w:p w14:paraId="10CAEBE6" w14:textId="776B1972" w:rsidR="00A0421E" w:rsidRDefault="00A0421E" w:rsidP="00A0421E">
      <w:pPr>
        <w:pStyle w:val="LI-BodyTextParaa"/>
        <w:rPr>
          <w:rFonts w:eastAsia="Calibri"/>
        </w:rPr>
      </w:pPr>
      <w:r>
        <w:rPr>
          <w:rFonts w:eastAsia="Calibri"/>
        </w:rPr>
        <w:t>(</w:t>
      </w:r>
      <w:r w:rsidR="00D84F62">
        <w:rPr>
          <w:rFonts w:eastAsia="Calibri"/>
        </w:rPr>
        <w:t>e</w:t>
      </w:r>
      <w:r>
        <w:rPr>
          <w:rFonts w:eastAsia="Calibri"/>
        </w:rPr>
        <w:t>)</w:t>
      </w:r>
      <w:r>
        <w:rPr>
          <w:rFonts w:eastAsia="Calibri"/>
        </w:rPr>
        <w:tab/>
        <w:t>at the end of subsection 636(3) and on a new line, insert:</w:t>
      </w:r>
    </w:p>
    <w:p w14:paraId="53C880F7" w14:textId="77777777" w:rsidR="00A0421E" w:rsidRPr="0080151D" w:rsidRDefault="00A0421E" w:rsidP="00A0421E">
      <w:pPr>
        <w:pStyle w:val="LI-SectionHeading"/>
        <w:ind w:left="1701" w:firstLine="0"/>
        <w:rPr>
          <w:rFonts w:eastAsia="Calibri"/>
          <w:b w:val="0"/>
          <w:bCs/>
        </w:rPr>
      </w:pPr>
      <w:r w:rsidRPr="0080151D">
        <w:rPr>
          <w:b w:val="0"/>
          <w:bCs/>
        </w:rPr>
        <w:t>“</w:t>
      </w:r>
      <w:r w:rsidRPr="0080151D">
        <w:rPr>
          <w:rFonts w:eastAsia="Calibri"/>
          <w:b w:val="0"/>
          <w:bCs/>
        </w:rPr>
        <w:t>But the bidder’s statement may include or be accompanied by a statement without the requirements in paragraphs (a) to (c) being met where:</w:t>
      </w:r>
    </w:p>
    <w:p w14:paraId="4E08563A" w14:textId="77777777" w:rsidR="00A0421E" w:rsidRDefault="00A0421E" w:rsidP="00A0421E">
      <w:pPr>
        <w:pStyle w:val="LI-Sectionparaa"/>
        <w:ind w:left="2268"/>
        <w:rPr>
          <w:rFonts w:eastAsia="Calibri"/>
        </w:rPr>
      </w:pPr>
      <w:r>
        <w:rPr>
          <w:rFonts w:eastAsia="Calibri"/>
        </w:rPr>
        <w:t>(d)</w:t>
      </w:r>
      <w:r>
        <w:rPr>
          <w:rFonts w:eastAsia="Calibri"/>
        </w:rPr>
        <w:tab/>
        <w:t>the statement was made in a document lodged with:</w:t>
      </w:r>
    </w:p>
    <w:p w14:paraId="30E0C863" w14:textId="77777777" w:rsidR="00A0421E" w:rsidRDefault="00A0421E" w:rsidP="00A0421E">
      <w:pPr>
        <w:pStyle w:val="LI-Sectionsubparai"/>
        <w:ind w:left="2835"/>
        <w:rPr>
          <w:rFonts w:eastAsia="Calibri"/>
        </w:rPr>
      </w:pPr>
      <w:r>
        <w:rPr>
          <w:rFonts w:eastAsia="Calibri"/>
        </w:rPr>
        <w:lastRenderedPageBreak/>
        <w:t>(</w:t>
      </w:r>
      <w:proofErr w:type="spellStart"/>
      <w:r>
        <w:rPr>
          <w:rFonts w:eastAsia="Calibri"/>
        </w:rPr>
        <w:t>i</w:t>
      </w:r>
      <w:proofErr w:type="spellEnd"/>
      <w:r>
        <w:rPr>
          <w:rFonts w:eastAsia="Calibri"/>
        </w:rPr>
        <w:t>)</w:t>
      </w:r>
      <w:r>
        <w:rPr>
          <w:rFonts w:eastAsia="Calibri"/>
        </w:rPr>
        <w:tab/>
        <w:t>ASIC; or</w:t>
      </w:r>
    </w:p>
    <w:p w14:paraId="3A744539" w14:textId="77777777" w:rsidR="00A0421E" w:rsidRDefault="00A0421E" w:rsidP="00A0421E">
      <w:pPr>
        <w:pStyle w:val="LI-Sectionsubparai"/>
        <w:ind w:left="2835"/>
        <w:rPr>
          <w:rFonts w:eastAsia="Calibri"/>
        </w:rPr>
      </w:pPr>
      <w:r>
        <w:rPr>
          <w:rFonts w:eastAsia="Calibri"/>
        </w:rPr>
        <w:t>(ii)</w:t>
      </w:r>
      <w:r>
        <w:rPr>
          <w:rFonts w:eastAsia="Calibri"/>
        </w:rPr>
        <w:tab/>
        <w:t>the operator of a prescribed financial market by a listed company, managed investment scheme</w:t>
      </w:r>
      <w:r>
        <w:t>, notified foreign passport fund</w:t>
      </w:r>
      <w:r>
        <w:rPr>
          <w:rFonts w:eastAsia="Calibri"/>
        </w:rPr>
        <w:t xml:space="preserve"> or other body in compliance with the listing rules of the prescribed financial </w:t>
      </w:r>
      <w:proofErr w:type="gramStart"/>
      <w:r>
        <w:rPr>
          <w:rFonts w:eastAsia="Calibri"/>
        </w:rPr>
        <w:t>market;</w:t>
      </w:r>
      <w:proofErr w:type="gramEnd"/>
    </w:p>
    <w:p w14:paraId="19906B95" w14:textId="77777777" w:rsidR="00A0421E" w:rsidRDefault="00A0421E" w:rsidP="00A0421E">
      <w:pPr>
        <w:pStyle w:val="LI-Sectionparaa"/>
        <w:ind w:left="2268"/>
        <w:rPr>
          <w:rFonts w:eastAsia="Calibri"/>
        </w:rPr>
      </w:pPr>
      <w:r>
        <w:rPr>
          <w:rFonts w:eastAsia="Calibri"/>
        </w:rPr>
        <w:t>(e)</w:t>
      </w:r>
      <w:r>
        <w:rPr>
          <w:rFonts w:eastAsia="Calibri"/>
        </w:rPr>
        <w:tab/>
        <w:t>the bidder’s statement:</w:t>
      </w:r>
    </w:p>
    <w:p w14:paraId="547BFEBB"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fairly represents the statement; or</w:t>
      </w:r>
    </w:p>
    <w:p w14:paraId="33E83057" w14:textId="77777777" w:rsidR="00A0421E" w:rsidRDefault="00A0421E" w:rsidP="00A0421E">
      <w:pPr>
        <w:pStyle w:val="LI-Sectionsubparai"/>
        <w:ind w:left="2835"/>
        <w:rPr>
          <w:rFonts w:eastAsia="Calibri"/>
        </w:rPr>
      </w:pPr>
      <w:r>
        <w:rPr>
          <w:rFonts w:eastAsia="Calibri"/>
        </w:rPr>
        <w:t>(ii)</w:t>
      </w:r>
      <w:r>
        <w:rPr>
          <w:rFonts w:eastAsia="Calibri"/>
        </w:rPr>
        <w:tab/>
        <w:t>includes, or is accompanied by, a correct and fair copy of the document or the part of the document that contains the statement; and</w:t>
      </w:r>
    </w:p>
    <w:p w14:paraId="6D933C5D" w14:textId="77777777" w:rsidR="00A0421E" w:rsidRDefault="00A0421E" w:rsidP="00A0421E">
      <w:pPr>
        <w:pStyle w:val="LI-Sectionparaa"/>
        <w:ind w:left="2268"/>
        <w:rPr>
          <w:rFonts w:eastAsia="Calibri"/>
        </w:rPr>
      </w:pPr>
      <w:r>
        <w:rPr>
          <w:rFonts w:eastAsia="Calibri"/>
        </w:rPr>
        <w:t>(f)</w:t>
      </w:r>
      <w:r>
        <w:rPr>
          <w:rFonts w:eastAsia="Calibri"/>
        </w:rPr>
        <w:tab/>
        <w:t>if the bidder’s statement is not accompanied by a copy of the document or part of the document that contains the statement—the bidder’s statement:</w:t>
      </w:r>
    </w:p>
    <w:p w14:paraId="447FB5EB"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identifies the document or the part of the document that contains the statement; and</w:t>
      </w:r>
    </w:p>
    <w:p w14:paraId="7272D534" w14:textId="77777777" w:rsidR="00A0421E" w:rsidRDefault="00A0421E" w:rsidP="00A0421E">
      <w:pPr>
        <w:pStyle w:val="LI-Sectionsubparai"/>
        <w:ind w:left="2835"/>
        <w:rPr>
          <w:rFonts w:eastAsia="Calibri"/>
        </w:rPr>
      </w:pPr>
      <w:r>
        <w:rPr>
          <w:rFonts w:eastAsia="Calibri"/>
        </w:rPr>
        <w:t>(ii)</w:t>
      </w:r>
      <w:r>
        <w:rPr>
          <w:rFonts w:eastAsia="Calibri"/>
        </w:rPr>
        <w:tab/>
        <w:t>states that the bidder, on  request during the bid period, will provide within 2 business days of the request, a copy of the document (or part) free of charge to any holder of bid class securities.</w:t>
      </w:r>
      <w:proofErr w:type="gramStart"/>
      <w:r>
        <w:rPr>
          <w:rFonts w:eastAsia="Calibri"/>
        </w:rPr>
        <w:t>”;</w:t>
      </w:r>
      <w:proofErr w:type="gramEnd"/>
    </w:p>
    <w:p w14:paraId="3A6A2E1E" w14:textId="47011512" w:rsidR="00A0421E" w:rsidRDefault="00A0421E" w:rsidP="00A0421E">
      <w:pPr>
        <w:pStyle w:val="LI-BodyTextParaa"/>
        <w:rPr>
          <w:rFonts w:eastAsia="Calibri"/>
        </w:rPr>
      </w:pPr>
      <w:r>
        <w:rPr>
          <w:rFonts w:eastAsia="Calibri"/>
        </w:rPr>
        <w:t>(</w:t>
      </w:r>
      <w:r w:rsidR="00D84F62">
        <w:rPr>
          <w:rFonts w:eastAsia="Calibri"/>
        </w:rPr>
        <w:t>f</w:t>
      </w:r>
      <w:r>
        <w:rPr>
          <w:rFonts w:eastAsia="Calibri"/>
        </w:rPr>
        <w:t>)</w:t>
      </w:r>
      <w:r>
        <w:rPr>
          <w:rFonts w:eastAsia="Calibri"/>
        </w:rPr>
        <w:tab/>
        <w:t>at the end of subsection 638(5) and on a new line, insert:</w:t>
      </w:r>
    </w:p>
    <w:p w14:paraId="1678030D" w14:textId="77777777" w:rsidR="00A0421E" w:rsidRPr="0080151D" w:rsidRDefault="00A0421E" w:rsidP="00A0421E">
      <w:pPr>
        <w:pStyle w:val="LI-SectionHeading"/>
        <w:ind w:left="1701" w:firstLine="0"/>
        <w:rPr>
          <w:rFonts w:eastAsia="Calibri"/>
          <w:b w:val="0"/>
          <w:bCs/>
        </w:rPr>
      </w:pPr>
      <w:r w:rsidRPr="0080151D">
        <w:rPr>
          <w:rFonts w:eastAsia="Calibri"/>
          <w:b w:val="0"/>
          <w:bCs/>
        </w:rPr>
        <w:t>“But the target’s statement may include or be accompanied by a statement without the requirements in paragraphs (a) to (c) being met where:</w:t>
      </w:r>
    </w:p>
    <w:p w14:paraId="1519CE83" w14:textId="77777777" w:rsidR="00A0421E" w:rsidRDefault="00A0421E" w:rsidP="00A0421E">
      <w:pPr>
        <w:pStyle w:val="LI-Sectionparaa"/>
        <w:ind w:left="2268"/>
        <w:rPr>
          <w:rFonts w:eastAsia="Calibri"/>
        </w:rPr>
      </w:pPr>
      <w:r>
        <w:rPr>
          <w:rFonts w:eastAsia="Calibri"/>
        </w:rPr>
        <w:t>(d)</w:t>
      </w:r>
      <w:r>
        <w:rPr>
          <w:rFonts w:eastAsia="Calibri"/>
        </w:rPr>
        <w:tab/>
        <w:t>the statement was made in a document lodged with:</w:t>
      </w:r>
    </w:p>
    <w:p w14:paraId="1A142154"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ASIC; or</w:t>
      </w:r>
    </w:p>
    <w:p w14:paraId="114F4DAA" w14:textId="77777777" w:rsidR="00A0421E" w:rsidRDefault="00A0421E" w:rsidP="00A0421E">
      <w:pPr>
        <w:pStyle w:val="LI-Sectionsubparai"/>
        <w:ind w:left="2835"/>
        <w:rPr>
          <w:rFonts w:eastAsia="Calibri"/>
        </w:rPr>
      </w:pPr>
      <w:r>
        <w:rPr>
          <w:rFonts w:eastAsia="Calibri"/>
        </w:rPr>
        <w:t>(ii)</w:t>
      </w:r>
      <w:r>
        <w:rPr>
          <w:rFonts w:eastAsia="Calibri"/>
        </w:rPr>
        <w:tab/>
        <w:t xml:space="preserve">the operator of a prescribed financial market by a listed company, managed investment scheme or other body in compliance with the listing rules of the prescribed financial </w:t>
      </w:r>
      <w:proofErr w:type="gramStart"/>
      <w:r>
        <w:rPr>
          <w:rFonts w:eastAsia="Calibri"/>
        </w:rPr>
        <w:t>market;</w:t>
      </w:r>
      <w:proofErr w:type="gramEnd"/>
    </w:p>
    <w:p w14:paraId="2A632470" w14:textId="77777777" w:rsidR="00A0421E" w:rsidRDefault="00A0421E" w:rsidP="00A0421E">
      <w:pPr>
        <w:pStyle w:val="LI-Sectionparaa"/>
        <w:ind w:left="2268"/>
        <w:rPr>
          <w:rFonts w:eastAsia="Calibri"/>
        </w:rPr>
      </w:pPr>
      <w:r>
        <w:rPr>
          <w:rFonts w:eastAsia="Calibri"/>
        </w:rPr>
        <w:t>(e)</w:t>
      </w:r>
      <w:r>
        <w:rPr>
          <w:rFonts w:eastAsia="Calibri"/>
        </w:rPr>
        <w:tab/>
        <w:t>the target’s statement:</w:t>
      </w:r>
    </w:p>
    <w:p w14:paraId="3879A093"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fairly represents the statement; or</w:t>
      </w:r>
    </w:p>
    <w:p w14:paraId="2D11F09C" w14:textId="77777777" w:rsidR="00A0421E" w:rsidRDefault="00A0421E" w:rsidP="00A0421E">
      <w:pPr>
        <w:pStyle w:val="LI-Sectionsubparai"/>
        <w:ind w:left="2835"/>
        <w:rPr>
          <w:rFonts w:eastAsia="Calibri"/>
        </w:rPr>
      </w:pPr>
      <w:r>
        <w:rPr>
          <w:rFonts w:eastAsia="Calibri"/>
        </w:rPr>
        <w:t>(ii)</w:t>
      </w:r>
      <w:r>
        <w:rPr>
          <w:rFonts w:eastAsia="Calibri"/>
        </w:rPr>
        <w:tab/>
        <w:t xml:space="preserve">includes, or is accompanied by, a correct and fair copy of the document or the part of the document that contains the </w:t>
      </w:r>
      <w:proofErr w:type="gramStart"/>
      <w:r>
        <w:rPr>
          <w:rFonts w:eastAsia="Calibri"/>
        </w:rPr>
        <w:t>statement;</w:t>
      </w:r>
      <w:proofErr w:type="gramEnd"/>
    </w:p>
    <w:p w14:paraId="244855E8" w14:textId="77777777" w:rsidR="00A0421E" w:rsidRDefault="00A0421E" w:rsidP="00A0421E">
      <w:pPr>
        <w:pStyle w:val="LI-Sectionparaa"/>
        <w:ind w:left="2268"/>
        <w:rPr>
          <w:rFonts w:eastAsia="Calibri"/>
        </w:rPr>
      </w:pPr>
      <w:r>
        <w:rPr>
          <w:rFonts w:eastAsia="Calibri"/>
        </w:rPr>
        <w:lastRenderedPageBreak/>
        <w:t>(f)</w:t>
      </w:r>
      <w:r>
        <w:rPr>
          <w:rFonts w:eastAsia="Calibri"/>
        </w:rPr>
        <w:tab/>
        <w:t>if the target’s statement is not accompanied by a copy of the document or part of the document that contains the statement—the target’s statement:</w:t>
      </w:r>
    </w:p>
    <w:p w14:paraId="061478D5" w14:textId="77777777" w:rsidR="00A0421E" w:rsidRDefault="00A0421E" w:rsidP="00A0421E">
      <w:pPr>
        <w:pStyle w:val="LI-Sectionsubparai"/>
        <w:ind w:left="2835"/>
        <w:rPr>
          <w:rFonts w:eastAsia="Calibri"/>
        </w:rPr>
      </w:pPr>
      <w:r>
        <w:rPr>
          <w:rFonts w:eastAsia="Calibri"/>
        </w:rPr>
        <w:t>(</w:t>
      </w:r>
      <w:proofErr w:type="spellStart"/>
      <w:r>
        <w:rPr>
          <w:rFonts w:eastAsia="Calibri"/>
        </w:rPr>
        <w:t>i</w:t>
      </w:r>
      <w:proofErr w:type="spellEnd"/>
      <w:r>
        <w:rPr>
          <w:rFonts w:eastAsia="Calibri"/>
        </w:rPr>
        <w:t>)</w:t>
      </w:r>
      <w:r>
        <w:rPr>
          <w:rFonts w:eastAsia="Calibri"/>
        </w:rPr>
        <w:tab/>
        <w:t>identifies the document or the part of the document that contains the statement; and</w:t>
      </w:r>
    </w:p>
    <w:p w14:paraId="5A6C24CC" w14:textId="77777777" w:rsidR="00A0421E" w:rsidRDefault="00A0421E" w:rsidP="00A0421E">
      <w:pPr>
        <w:pStyle w:val="LI-Sectionsubparai"/>
        <w:ind w:left="2835"/>
        <w:rPr>
          <w:rFonts w:eastAsia="Calibri"/>
        </w:rPr>
      </w:pPr>
      <w:r>
        <w:rPr>
          <w:rFonts w:eastAsia="Calibri"/>
        </w:rPr>
        <w:t>(ii)</w:t>
      </w:r>
      <w:r>
        <w:rPr>
          <w:rFonts w:eastAsia="Calibri"/>
        </w:rPr>
        <w:tab/>
        <w:t>states that the target, on  request during the bid period, will provide within 2 business days of the request, a copy of the document (or part) free of charge to any holder of bid class securities.</w:t>
      </w:r>
      <w:proofErr w:type="gramStart"/>
      <w:r>
        <w:rPr>
          <w:rFonts w:eastAsia="Calibri"/>
        </w:rPr>
        <w:t>”;</w:t>
      </w:r>
      <w:proofErr w:type="gramEnd"/>
    </w:p>
    <w:p w14:paraId="01CC8067" w14:textId="09526BEE" w:rsidR="00A0421E" w:rsidRDefault="00A0421E" w:rsidP="00A0421E">
      <w:pPr>
        <w:pStyle w:val="LI-Sectionsubparai"/>
        <w:ind w:left="1701"/>
        <w:rPr>
          <w:rFonts w:eastAsia="Calibri"/>
        </w:rPr>
      </w:pPr>
      <w:r>
        <w:rPr>
          <w:rFonts w:eastAsia="Calibri"/>
        </w:rPr>
        <w:t>(</w:t>
      </w:r>
      <w:r w:rsidR="00D84F62">
        <w:rPr>
          <w:rFonts w:eastAsia="Calibri"/>
        </w:rPr>
        <w:t>g</w:t>
      </w:r>
      <w:r>
        <w:rPr>
          <w:rFonts w:eastAsia="Calibri"/>
        </w:rPr>
        <w:t>)</w:t>
      </w:r>
      <w:r>
        <w:rPr>
          <w:rFonts w:eastAsia="Calibri"/>
        </w:rPr>
        <w:tab/>
        <w:t xml:space="preserve">omit </w:t>
      </w:r>
      <w:r w:rsidR="0079369C">
        <w:rPr>
          <w:rFonts w:eastAsia="Calibri"/>
        </w:rPr>
        <w:t xml:space="preserve">subsection </w:t>
      </w:r>
      <w:r>
        <w:rPr>
          <w:rFonts w:eastAsia="Calibri"/>
        </w:rPr>
        <w:t>641(1) (excluding the heading), substitute:</w:t>
      </w:r>
    </w:p>
    <w:p w14:paraId="1D669E2D" w14:textId="77777777" w:rsidR="00A0421E" w:rsidRDefault="00A0421E" w:rsidP="00A0421E">
      <w:pPr>
        <w:pStyle w:val="LI-Sectionsubparai"/>
        <w:ind w:left="2268"/>
        <w:rPr>
          <w:rFonts w:eastAsia="Calibri"/>
        </w:rPr>
      </w:pPr>
      <w:r>
        <w:rPr>
          <w:rFonts w:eastAsia="Calibri"/>
        </w:rPr>
        <w:t xml:space="preserve">“(1) </w:t>
      </w:r>
      <w:r>
        <w:rPr>
          <w:rFonts w:eastAsia="Calibri"/>
        </w:rPr>
        <w:tab/>
        <w:t>If the bidder has given a bidder’s statement to the target and requested the target to give the bidder information in accordance with this section, the target must inform the bidder of:</w:t>
      </w:r>
    </w:p>
    <w:p w14:paraId="04CEE504" w14:textId="77777777" w:rsidR="00A0421E" w:rsidRDefault="00A0421E" w:rsidP="00A0421E">
      <w:pPr>
        <w:pStyle w:val="LI-Sectionsubparai"/>
        <w:ind w:left="2835"/>
        <w:rPr>
          <w:rFonts w:eastAsia="Calibri"/>
        </w:rPr>
      </w:pPr>
      <w:r>
        <w:rPr>
          <w:rFonts w:eastAsia="Calibri"/>
        </w:rPr>
        <w:t>(a)</w:t>
      </w:r>
      <w:r>
        <w:rPr>
          <w:rFonts w:eastAsia="Calibri"/>
        </w:rPr>
        <w:tab/>
        <w:t>the name and address of each person who, at a time specified by the bidder under subsection (2), held:</w:t>
      </w:r>
    </w:p>
    <w:p w14:paraId="10348B92" w14:textId="77777777" w:rsidR="00A0421E" w:rsidRPr="00E4777D" w:rsidRDefault="00A0421E" w:rsidP="00A0421E">
      <w:pPr>
        <w:pStyle w:val="LI-Sectionsubparai"/>
        <w:rPr>
          <w:rFonts w:eastAsia="Calibri"/>
        </w:rPr>
      </w:pPr>
      <w:r>
        <w:rPr>
          <w:rFonts w:eastAsia="Calibri"/>
        </w:rPr>
        <w:t>(</w:t>
      </w:r>
      <w:proofErr w:type="spellStart"/>
      <w:r>
        <w:rPr>
          <w:rFonts w:eastAsia="Calibri"/>
        </w:rPr>
        <w:t>i</w:t>
      </w:r>
      <w:proofErr w:type="spellEnd"/>
      <w:r>
        <w:rPr>
          <w:rFonts w:eastAsia="Calibri"/>
        </w:rPr>
        <w:t xml:space="preserve">) </w:t>
      </w:r>
      <w:r>
        <w:rPr>
          <w:rFonts w:eastAsia="Calibri"/>
        </w:rPr>
        <w:tab/>
      </w:r>
      <w:r w:rsidRPr="00E4777D">
        <w:rPr>
          <w:rFonts w:eastAsia="Calibri"/>
        </w:rPr>
        <w:t>securities in the bid class; or</w:t>
      </w:r>
    </w:p>
    <w:p w14:paraId="4ADB0D98" w14:textId="30B8EE61" w:rsidR="00A0421E" w:rsidRPr="00E4777D" w:rsidRDefault="00A0421E" w:rsidP="00A0421E">
      <w:pPr>
        <w:pStyle w:val="LI-Sectionsubparai"/>
        <w:rPr>
          <w:rFonts w:eastAsia="Calibri"/>
        </w:rPr>
      </w:pPr>
      <w:r w:rsidRPr="00E4777D">
        <w:rPr>
          <w:rFonts w:eastAsia="Calibri"/>
        </w:rPr>
        <w:t>(ii)</w:t>
      </w:r>
      <w:r w:rsidRPr="00E4777D">
        <w:rPr>
          <w:rFonts w:eastAsia="Calibri"/>
        </w:rPr>
        <w:tab/>
        <w:t>securities or derivatives convertible into securities in the bid class</w:t>
      </w:r>
      <w:r w:rsidR="00F1517F">
        <w:rPr>
          <w:rFonts w:eastAsia="Calibri"/>
        </w:rPr>
        <w:t xml:space="preserve"> or </w:t>
      </w:r>
      <w:r w:rsidR="00FB7482">
        <w:rPr>
          <w:rFonts w:eastAsia="Calibri"/>
        </w:rPr>
        <w:t>that confer the right to be issued securities in the bid class</w:t>
      </w:r>
      <w:r w:rsidRPr="00E4777D">
        <w:rPr>
          <w:rFonts w:eastAsia="Calibri"/>
        </w:rPr>
        <w:t>; and</w:t>
      </w:r>
    </w:p>
    <w:p w14:paraId="50A56AD7" w14:textId="77777777" w:rsidR="00A0421E" w:rsidRPr="00E4777D" w:rsidRDefault="00A0421E" w:rsidP="00A0421E">
      <w:pPr>
        <w:pStyle w:val="LI-Sectionsubparai"/>
        <w:ind w:left="2835"/>
        <w:rPr>
          <w:rFonts w:eastAsia="Calibri"/>
        </w:rPr>
      </w:pPr>
      <w:r w:rsidRPr="00E4777D">
        <w:rPr>
          <w:rFonts w:eastAsia="Calibri"/>
        </w:rPr>
        <w:t>(b)</w:t>
      </w:r>
      <w:r w:rsidRPr="00E4777D">
        <w:rPr>
          <w:rFonts w:eastAsia="Calibri"/>
        </w:rPr>
        <w:tab/>
        <w:t>the type, and number of each type, of those securities or derivatives held by the person at the specified time.</w:t>
      </w:r>
      <w:proofErr w:type="gramStart"/>
      <w:r w:rsidRPr="00E4777D">
        <w:rPr>
          <w:rFonts w:eastAsia="Calibri"/>
        </w:rPr>
        <w:t>”</w:t>
      </w:r>
      <w:r>
        <w:rPr>
          <w:rFonts w:eastAsia="Calibri"/>
        </w:rPr>
        <w:t>;</w:t>
      </w:r>
      <w:proofErr w:type="gramEnd"/>
    </w:p>
    <w:p w14:paraId="7500A626" w14:textId="0B591760" w:rsidR="00A0421E" w:rsidRPr="00E4777D" w:rsidRDefault="00A0421E" w:rsidP="00A0421E">
      <w:pPr>
        <w:pStyle w:val="LI-Sectionsubparai"/>
        <w:ind w:left="1701"/>
        <w:rPr>
          <w:rFonts w:eastAsia="Calibri"/>
        </w:rPr>
      </w:pPr>
      <w:r w:rsidRPr="00E4777D">
        <w:rPr>
          <w:rFonts w:eastAsia="Calibri"/>
        </w:rPr>
        <w:t>(</w:t>
      </w:r>
      <w:r w:rsidR="00D84F62">
        <w:rPr>
          <w:rFonts w:eastAsia="Calibri"/>
        </w:rPr>
        <w:t>h</w:t>
      </w:r>
      <w:r w:rsidRPr="00E4777D">
        <w:rPr>
          <w:rFonts w:eastAsia="Calibri"/>
        </w:rPr>
        <w:t>)</w:t>
      </w:r>
      <w:r w:rsidRPr="00E4777D">
        <w:rPr>
          <w:rFonts w:eastAsia="Calibri"/>
        </w:rPr>
        <w:tab/>
        <w:t xml:space="preserve">omit </w:t>
      </w:r>
      <w:r w:rsidR="0079369C">
        <w:rPr>
          <w:rFonts w:eastAsia="Calibri"/>
        </w:rPr>
        <w:t>subsection</w:t>
      </w:r>
      <w:r w:rsidR="0079369C" w:rsidRPr="00E4777D">
        <w:rPr>
          <w:rFonts w:eastAsia="Calibri"/>
        </w:rPr>
        <w:t xml:space="preserve"> </w:t>
      </w:r>
      <w:r w:rsidRPr="00E4777D">
        <w:rPr>
          <w:rFonts w:eastAsia="Calibri"/>
        </w:rPr>
        <w:t>641(1A) (excluding the note), substitute:</w:t>
      </w:r>
    </w:p>
    <w:p w14:paraId="34F2FD29" w14:textId="1D48F1D6" w:rsidR="00A0421E" w:rsidRDefault="00A0421E" w:rsidP="00A0421E">
      <w:pPr>
        <w:pStyle w:val="LI-Sectionsubparai"/>
        <w:ind w:left="2268"/>
        <w:rPr>
          <w:rFonts w:eastAsia="Calibri"/>
        </w:rPr>
      </w:pPr>
      <w:r w:rsidRPr="00E4777D">
        <w:rPr>
          <w:rFonts w:eastAsia="Calibri"/>
        </w:rPr>
        <w:t>“(1A)</w:t>
      </w:r>
      <w:r w:rsidRPr="00E4777D">
        <w:rPr>
          <w:rFonts w:eastAsia="Calibri"/>
        </w:rPr>
        <w:tab/>
        <w:t>However, the target does not need to give information to the bidder about a person or their holding of securities or derivatives unless the target knows the person’s name.</w:t>
      </w:r>
      <w:proofErr w:type="gramStart"/>
      <w:r w:rsidRPr="00E4777D">
        <w:rPr>
          <w:rFonts w:eastAsia="Calibri"/>
        </w:rPr>
        <w:t>”</w:t>
      </w:r>
      <w:r w:rsidR="00B151CD">
        <w:rPr>
          <w:rFonts w:eastAsia="Calibri"/>
        </w:rPr>
        <w:t>;</w:t>
      </w:r>
      <w:proofErr w:type="gramEnd"/>
    </w:p>
    <w:p w14:paraId="4A51E127" w14:textId="73FC8CB7" w:rsidR="001307A4" w:rsidRDefault="001307A4" w:rsidP="001307A4">
      <w:pPr>
        <w:pStyle w:val="LI-BodyTextParaa"/>
        <w:rPr>
          <w:rFonts w:eastAsia="Calibri"/>
        </w:rPr>
      </w:pPr>
      <w:r>
        <w:rPr>
          <w:rFonts w:eastAsia="Calibri"/>
        </w:rPr>
        <w:t>(</w:t>
      </w:r>
      <w:proofErr w:type="spellStart"/>
      <w:r w:rsidR="001B3E52">
        <w:rPr>
          <w:rFonts w:eastAsia="Calibri"/>
        </w:rPr>
        <w:t>i</w:t>
      </w:r>
      <w:proofErr w:type="spellEnd"/>
      <w:r>
        <w:rPr>
          <w:rFonts w:eastAsia="Calibri"/>
        </w:rPr>
        <w:t>)</w:t>
      </w:r>
      <w:r>
        <w:rPr>
          <w:rFonts w:eastAsia="Calibri"/>
        </w:rPr>
        <w:tab/>
        <w:t>in section 648</w:t>
      </w:r>
      <w:r w:rsidR="00E609BA">
        <w:rPr>
          <w:rFonts w:eastAsia="Calibri"/>
        </w:rPr>
        <w:t>B</w:t>
      </w:r>
      <w:r>
        <w:rPr>
          <w:rFonts w:eastAsia="Calibri"/>
        </w:rPr>
        <w:t xml:space="preserve">, after </w:t>
      </w:r>
      <w:r w:rsidR="002D3CFC">
        <w:rPr>
          <w:rFonts w:eastAsia="Calibri"/>
        </w:rPr>
        <w:t>“</w:t>
      </w:r>
      <w:r>
        <w:rPr>
          <w:rFonts w:eastAsia="Calibri"/>
        </w:rPr>
        <w:t>securities</w:t>
      </w:r>
      <w:r w:rsidR="002D3CFC">
        <w:rPr>
          <w:rFonts w:eastAsia="Calibri"/>
        </w:rPr>
        <w:t>”</w:t>
      </w:r>
      <w:r>
        <w:rPr>
          <w:rFonts w:eastAsia="Calibri"/>
        </w:rPr>
        <w:t>, insert “or derivatives</w:t>
      </w:r>
      <w:proofErr w:type="gramStart"/>
      <w:r>
        <w:rPr>
          <w:rFonts w:eastAsia="Calibri"/>
        </w:rPr>
        <w:t>”;</w:t>
      </w:r>
      <w:proofErr w:type="gramEnd"/>
    </w:p>
    <w:p w14:paraId="4B36E46E" w14:textId="6DF842FB" w:rsidR="008D61F9" w:rsidRDefault="008D61F9" w:rsidP="008D61F9">
      <w:pPr>
        <w:pStyle w:val="LI-BodyTextParaa"/>
        <w:rPr>
          <w:rFonts w:eastAsia="Calibri"/>
        </w:rPr>
      </w:pPr>
      <w:r>
        <w:rPr>
          <w:rFonts w:eastAsia="Calibri"/>
        </w:rPr>
        <w:t>(</w:t>
      </w:r>
      <w:r w:rsidR="001B3E52">
        <w:rPr>
          <w:rFonts w:eastAsia="Calibri"/>
        </w:rPr>
        <w:t>j</w:t>
      </w:r>
      <w:r>
        <w:rPr>
          <w:rFonts w:eastAsia="Calibri"/>
        </w:rPr>
        <w:t>)</w:t>
      </w:r>
      <w:r>
        <w:rPr>
          <w:rFonts w:eastAsia="Calibri"/>
        </w:rPr>
        <w:tab/>
        <w:t xml:space="preserve">in section 648C, after </w:t>
      </w:r>
      <w:r w:rsidR="002D3CFC">
        <w:rPr>
          <w:rFonts w:eastAsia="Calibri"/>
        </w:rPr>
        <w:t>“</w:t>
      </w:r>
      <w:r>
        <w:rPr>
          <w:rFonts w:eastAsia="Calibri"/>
        </w:rPr>
        <w:t>securities</w:t>
      </w:r>
      <w:r w:rsidR="002D3CFC">
        <w:rPr>
          <w:rFonts w:eastAsia="Calibri"/>
        </w:rPr>
        <w:t>”</w:t>
      </w:r>
      <w:r>
        <w:rPr>
          <w:rFonts w:eastAsia="Calibri"/>
        </w:rPr>
        <w:t>, insert “or derivatives”</w:t>
      </w:r>
      <w:r w:rsidR="005D68F1">
        <w:rPr>
          <w:rFonts w:eastAsia="Calibri"/>
        </w:rPr>
        <w:t>.</w:t>
      </w:r>
    </w:p>
    <w:p w14:paraId="68E6E363" w14:textId="77777777" w:rsidR="00A0421E" w:rsidRPr="00E4777D" w:rsidRDefault="00A0421E" w:rsidP="00A0421E">
      <w:pPr>
        <w:pStyle w:val="LI-Heading2"/>
      </w:pPr>
      <w:bookmarkStart w:id="12" w:name="_Toc146221163"/>
      <w:r w:rsidRPr="00E4777D">
        <w:t>7</w:t>
      </w:r>
      <w:r w:rsidRPr="00E4777D">
        <w:tab/>
        <w:t>Varying a takeover bid</w:t>
      </w:r>
      <w:bookmarkEnd w:id="12"/>
    </w:p>
    <w:p w14:paraId="7CAE3077" w14:textId="77777777" w:rsidR="00A0421E" w:rsidRPr="00E4777D" w:rsidRDefault="00A0421E" w:rsidP="00A0421E">
      <w:pPr>
        <w:pStyle w:val="LI-BodyTextNumbered"/>
        <w:rPr>
          <w:rFonts w:eastAsia="Calibri"/>
        </w:rPr>
      </w:pPr>
      <w:r w:rsidRPr="00E4777D">
        <w:rPr>
          <w:rFonts w:eastAsia="Calibri"/>
        </w:rPr>
        <w:tab/>
        <w:t xml:space="preserve">Chapter 6 of the Act applies to all persons as if the following provisions of Part 6.6 were omitted, </w:t>
      </w:r>
      <w:proofErr w:type="gramStart"/>
      <w:r w:rsidRPr="00E4777D">
        <w:rPr>
          <w:rFonts w:eastAsia="Calibri"/>
        </w:rPr>
        <w:t>modified</w:t>
      </w:r>
      <w:proofErr w:type="gramEnd"/>
      <w:r w:rsidRPr="00E4777D">
        <w:rPr>
          <w:rFonts w:eastAsia="Calibri"/>
        </w:rPr>
        <w:t xml:space="preserve"> or varied as follows:</w:t>
      </w:r>
    </w:p>
    <w:p w14:paraId="41864DD3" w14:textId="77777777" w:rsidR="00A0421E" w:rsidRPr="00E4777D" w:rsidRDefault="00A0421E" w:rsidP="00A0421E">
      <w:pPr>
        <w:pStyle w:val="LI-BodyTextParaa"/>
        <w:rPr>
          <w:rFonts w:eastAsia="Calibri"/>
        </w:rPr>
      </w:pPr>
      <w:r w:rsidRPr="00E4777D">
        <w:rPr>
          <w:rFonts w:eastAsia="Calibri"/>
        </w:rPr>
        <w:t>(a)</w:t>
      </w:r>
      <w:r w:rsidRPr="00E4777D">
        <w:rPr>
          <w:rFonts w:eastAsia="Calibri"/>
        </w:rPr>
        <w:tab/>
        <w:t>omit paragraph 650B(1)(h), substitute:</w:t>
      </w:r>
    </w:p>
    <w:p w14:paraId="58647696" w14:textId="77777777" w:rsidR="00A0421E" w:rsidRDefault="00A0421E" w:rsidP="00A0421E">
      <w:pPr>
        <w:pStyle w:val="LI-SectionHeading"/>
        <w:rPr>
          <w:rFonts w:eastAsia="Calibri"/>
        </w:rPr>
      </w:pPr>
      <w:r w:rsidRPr="00E4777D">
        <w:rPr>
          <w:b w:val="0"/>
          <w:bCs/>
        </w:rPr>
        <w:t>“</w:t>
      </w:r>
      <w:r w:rsidRPr="00E4777D">
        <w:rPr>
          <w:rFonts w:eastAsia="Calibri"/>
          <w:b w:val="0"/>
          <w:bCs/>
        </w:rPr>
        <w:t>(h)</w:t>
      </w:r>
      <w:r w:rsidRPr="00E4777D">
        <w:rPr>
          <w:rFonts w:eastAsia="Calibri"/>
        </w:rPr>
        <w:tab/>
      </w:r>
      <w:r w:rsidRPr="005D68F1">
        <w:rPr>
          <w:rFonts w:eastAsia="Calibri"/>
          <w:b w:val="0"/>
        </w:rPr>
        <w:t xml:space="preserve">by </w:t>
      </w:r>
      <w:r w:rsidRPr="00E4777D">
        <w:rPr>
          <w:rFonts w:eastAsia="Calibri"/>
          <w:b w:val="0"/>
          <w:bCs/>
        </w:rPr>
        <w:t>offer</w:t>
      </w:r>
      <w:r w:rsidRPr="00C7274B">
        <w:rPr>
          <w:rFonts w:eastAsia="Calibri"/>
          <w:b w:val="0"/>
          <w:bCs/>
        </w:rPr>
        <w:t>ing an additional or alternative form of consideration.</w:t>
      </w:r>
      <w:proofErr w:type="gramStart"/>
      <w:r w:rsidRPr="00C7274B">
        <w:rPr>
          <w:rFonts w:eastAsia="Calibri"/>
          <w:b w:val="0"/>
          <w:bCs/>
        </w:rPr>
        <w:t>”;</w:t>
      </w:r>
      <w:proofErr w:type="gramEnd"/>
    </w:p>
    <w:p w14:paraId="212637A7" w14:textId="77777777" w:rsidR="00A0421E" w:rsidRDefault="00A0421E" w:rsidP="00A0421E">
      <w:pPr>
        <w:pStyle w:val="LI-Sectionparaa"/>
        <w:ind w:left="1701"/>
        <w:rPr>
          <w:rFonts w:eastAsia="Calibri"/>
        </w:rPr>
      </w:pPr>
      <w:r>
        <w:rPr>
          <w:rFonts w:eastAsia="Calibri"/>
        </w:rPr>
        <w:lastRenderedPageBreak/>
        <w:t>(b)</w:t>
      </w:r>
      <w:r>
        <w:rPr>
          <w:rFonts w:eastAsia="Calibri"/>
        </w:rPr>
        <w:tab/>
        <w:t>in subsection 650C(2) omit “the bidder may extend the offer period after the publication of the notice under subsection 630(3) only if one of the following happens after the publication:”, substitute “the bidder may extend the offer period after the bidder has given the notice under subsection 630(3) only if one of the following happens after the bidder has given the notice:</w:t>
      </w:r>
      <w:proofErr w:type="gramStart"/>
      <w:r>
        <w:rPr>
          <w:rFonts w:eastAsia="Calibri"/>
        </w:rPr>
        <w:t>”;</w:t>
      </w:r>
      <w:proofErr w:type="gramEnd"/>
    </w:p>
    <w:p w14:paraId="5231CF5E" w14:textId="77777777" w:rsidR="00A0421E" w:rsidRDefault="00A0421E" w:rsidP="00A0421E">
      <w:pPr>
        <w:pStyle w:val="LI-BodyTextParaa"/>
        <w:rPr>
          <w:rFonts w:eastAsia="Calibri"/>
        </w:rPr>
      </w:pPr>
      <w:r>
        <w:rPr>
          <w:rFonts w:eastAsia="Calibri"/>
        </w:rPr>
        <w:t>(c)</w:t>
      </w:r>
      <w:r>
        <w:rPr>
          <w:rFonts w:eastAsia="Calibri"/>
        </w:rPr>
        <w:tab/>
        <w:t>omit subparagraph 650D(1)(c)(ii), substitute:</w:t>
      </w:r>
    </w:p>
    <w:p w14:paraId="5BED30D9" w14:textId="015B4D88" w:rsidR="00A0421E" w:rsidRPr="00C7274B" w:rsidRDefault="00A0421E" w:rsidP="00A0421E">
      <w:pPr>
        <w:pStyle w:val="LI-SectionHeading"/>
        <w:rPr>
          <w:rFonts w:eastAsia="Calibri"/>
          <w:b w:val="0"/>
          <w:bCs/>
        </w:rPr>
      </w:pPr>
      <w:r w:rsidRPr="00C7274B">
        <w:rPr>
          <w:b w:val="0"/>
          <w:bCs/>
        </w:rPr>
        <w:t>“</w:t>
      </w:r>
      <w:r w:rsidRPr="00C7274B">
        <w:rPr>
          <w:rFonts w:eastAsia="Calibri"/>
          <w:b w:val="0"/>
          <w:bCs/>
        </w:rPr>
        <w:t>(ii)</w:t>
      </w:r>
      <w:r w:rsidRPr="00C7274B">
        <w:rPr>
          <w:rFonts w:eastAsia="Calibri"/>
          <w:b w:val="0"/>
          <w:bCs/>
        </w:rPr>
        <w:tab/>
        <w:t>in respect of each class of securities</w:t>
      </w:r>
      <w:r w:rsidR="00A56D85">
        <w:rPr>
          <w:rFonts w:eastAsia="Calibri"/>
          <w:b w:val="0"/>
          <w:bCs/>
        </w:rPr>
        <w:t xml:space="preserve"> and derivatives</w:t>
      </w:r>
      <w:r w:rsidR="00E12F01">
        <w:rPr>
          <w:rFonts w:eastAsia="Calibri"/>
          <w:b w:val="0"/>
          <w:bCs/>
        </w:rPr>
        <w:t xml:space="preserve"> </w:t>
      </w:r>
      <w:r w:rsidRPr="00C7274B">
        <w:rPr>
          <w:rFonts w:eastAsia="Calibri"/>
          <w:b w:val="0"/>
          <w:bCs/>
        </w:rPr>
        <w:t xml:space="preserve">the holders of which the bidder sent offers under item 6 of subsection 633(1) and for which the bidder has obtained a copy of a register including the name and address of each person who, at a time subsequent to the time specified by the bidder under subsection 633(2), held securities </w:t>
      </w:r>
      <w:r w:rsidR="00A56D85">
        <w:rPr>
          <w:rFonts w:eastAsia="Calibri"/>
          <w:b w:val="0"/>
          <w:bCs/>
        </w:rPr>
        <w:t xml:space="preserve">or derivatives </w:t>
      </w:r>
      <w:r w:rsidRPr="00C7274B">
        <w:rPr>
          <w:rFonts w:eastAsia="Calibri"/>
          <w:b w:val="0"/>
          <w:bCs/>
        </w:rPr>
        <w:t>in the class—the following persons:</w:t>
      </w:r>
    </w:p>
    <w:p w14:paraId="3577DDA8" w14:textId="77777777" w:rsidR="00A0421E" w:rsidRDefault="00A0421E" w:rsidP="00A0421E">
      <w:pPr>
        <w:pStyle w:val="LI-SectionsubsubparaA"/>
        <w:ind w:left="2835"/>
        <w:rPr>
          <w:rFonts w:eastAsia="Calibri"/>
        </w:rPr>
      </w:pPr>
      <w:r>
        <w:rPr>
          <w:rFonts w:eastAsia="Calibri"/>
        </w:rPr>
        <w:t>(A)</w:t>
      </w:r>
      <w:r>
        <w:rPr>
          <w:rFonts w:eastAsia="Calibri"/>
        </w:rPr>
        <w:tab/>
        <w:t xml:space="preserve">each person (other than the bidder) on the most recent register obtained by the bidder to whom the bidder would have had to send the bidder’s statement and offers under item 6 of subsection 633(1) if the date set by the bidder under subsection 633(2) had been the date at which holdings are recorded on that register; and </w:t>
      </w:r>
    </w:p>
    <w:p w14:paraId="408E69C3" w14:textId="6A13EB3F" w:rsidR="00E67DFF" w:rsidRPr="005D68F1" w:rsidRDefault="00A0421E" w:rsidP="00757201">
      <w:pPr>
        <w:pStyle w:val="LI-SectionsubsubparaA"/>
        <w:ind w:left="2835"/>
        <w:rPr>
          <w:rFonts w:eastAsia="Calibri"/>
          <w:b/>
          <w:bCs/>
        </w:rPr>
      </w:pPr>
      <w:r w:rsidRPr="00531686">
        <w:rPr>
          <w:rFonts w:eastAsia="Calibri"/>
        </w:rPr>
        <w:t>(B)</w:t>
      </w:r>
      <w:r w:rsidRPr="00531686">
        <w:rPr>
          <w:rFonts w:eastAsia="Calibri"/>
        </w:rPr>
        <w:tab/>
        <w:t xml:space="preserve">any other person who has accepted the offer in respect of securities </w:t>
      </w:r>
      <w:r w:rsidR="000C05A8" w:rsidRPr="00531686">
        <w:rPr>
          <w:rFonts w:eastAsia="Calibri"/>
        </w:rPr>
        <w:t xml:space="preserve">or derivatives </w:t>
      </w:r>
      <w:r w:rsidRPr="00531686">
        <w:rPr>
          <w:rFonts w:eastAsia="Calibri"/>
        </w:rPr>
        <w:t>in the class; and</w:t>
      </w:r>
    </w:p>
    <w:p w14:paraId="79D1880D" w14:textId="09D18962" w:rsidR="00A0421E" w:rsidRDefault="00A0421E" w:rsidP="00A0421E">
      <w:pPr>
        <w:pStyle w:val="LI-Sectionsubparai"/>
        <w:ind w:left="2268"/>
        <w:rPr>
          <w:rFonts w:eastAsia="Calibri"/>
          <w:b/>
          <w:bCs/>
        </w:rPr>
      </w:pPr>
      <w:r>
        <w:rPr>
          <w:rFonts w:eastAsia="Calibri"/>
        </w:rPr>
        <w:t>(iii)</w:t>
      </w:r>
      <w:r>
        <w:rPr>
          <w:rFonts w:eastAsia="Calibri"/>
        </w:rPr>
        <w:tab/>
        <w:t>in respect of any other class of securities</w:t>
      </w:r>
      <w:r w:rsidR="00F129EF">
        <w:rPr>
          <w:rFonts w:eastAsia="Calibri"/>
        </w:rPr>
        <w:t xml:space="preserve"> or derivatives</w:t>
      </w:r>
      <w:r w:rsidR="00225860">
        <w:rPr>
          <w:rFonts w:eastAsia="Calibri"/>
        </w:rPr>
        <w:t xml:space="preserve"> </w:t>
      </w:r>
      <w:r>
        <w:rPr>
          <w:rFonts w:eastAsia="Calibri"/>
        </w:rPr>
        <w:t>the holders of which the bidder sent offers under item 6 of subsection 633(1)—each person to whom offers were made under the bid because they held securities</w:t>
      </w:r>
      <w:r w:rsidR="00F129EF">
        <w:rPr>
          <w:rFonts w:eastAsia="Calibri"/>
        </w:rPr>
        <w:t xml:space="preserve"> or derivatives</w:t>
      </w:r>
      <w:r>
        <w:rPr>
          <w:rFonts w:eastAsia="Calibri"/>
        </w:rPr>
        <w:t xml:space="preserve"> in that class</w:t>
      </w:r>
      <w:r w:rsidRPr="002E2F55">
        <w:rPr>
          <w:rFonts w:eastAsia="Calibri"/>
        </w:rPr>
        <w:t>.</w:t>
      </w:r>
      <w:proofErr w:type="gramStart"/>
      <w:r w:rsidR="005D68F1" w:rsidRPr="002E2F55">
        <w:rPr>
          <w:rFonts w:eastAsia="Calibri"/>
        </w:rPr>
        <w:t>”</w:t>
      </w:r>
      <w:r w:rsidR="002E2F55">
        <w:rPr>
          <w:rFonts w:eastAsia="Calibri"/>
        </w:rPr>
        <w:t>;</w:t>
      </w:r>
      <w:proofErr w:type="gramEnd"/>
    </w:p>
    <w:p w14:paraId="765D4D83" w14:textId="77777777" w:rsidR="00A0421E" w:rsidRDefault="00A0421E" w:rsidP="00A0421E">
      <w:pPr>
        <w:pStyle w:val="LI-BodyTextParaa"/>
        <w:rPr>
          <w:rFonts w:eastAsia="Calibri"/>
        </w:rPr>
      </w:pPr>
      <w:r>
        <w:rPr>
          <w:rFonts w:eastAsia="Calibri"/>
        </w:rPr>
        <w:t>(d)</w:t>
      </w:r>
      <w:r>
        <w:rPr>
          <w:rFonts w:eastAsia="Calibri"/>
        </w:rPr>
        <w:tab/>
        <w:t>after subsection 650D(3) insert:</w:t>
      </w:r>
    </w:p>
    <w:p w14:paraId="74737EEA" w14:textId="77777777" w:rsidR="00A0421E" w:rsidRPr="00C7274B" w:rsidRDefault="00A0421E" w:rsidP="00A0421E">
      <w:pPr>
        <w:pStyle w:val="LI-SectionHeading"/>
        <w:rPr>
          <w:rFonts w:eastAsia="Calibri"/>
          <w:b w:val="0"/>
          <w:bCs/>
        </w:rPr>
      </w:pPr>
      <w:r w:rsidRPr="00C7274B">
        <w:rPr>
          <w:b w:val="0"/>
          <w:bCs/>
        </w:rPr>
        <w:t>“</w:t>
      </w:r>
      <w:r w:rsidRPr="00C7274B">
        <w:rPr>
          <w:rFonts w:eastAsia="Calibri"/>
          <w:b w:val="0"/>
          <w:bCs/>
        </w:rPr>
        <w:t>(3A)</w:t>
      </w:r>
      <w:r w:rsidRPr="00C7274B">
        <w:rPr>
          <w:rFonts w:eastAsia="Calibri"/>
          <w:b w:val="0"/>
          <w:bCs/>
        </w:rPr>
        <w:tab/>
        <w:t>Notwithstanding subsection (3), a notice under subsection (1) need not be signed if the notice is approved by:</w:t>
      </w:r>
    </w:p>
    <w:p w14:paraId="0DD8DF9B" w14:textId="77777777" w:rsidR="00A0421E" w:rsidRDefault="00A0421E" w:rsidP="00A0421E">
      <w:pPr>
        <w:pStyle w:val="LI-Sectionparaa"/>
        <w:rPr>
          <w:rFonts w:eastAsia="Calibri"/>
        </w:rPr>
      </w:pPr>
      <w:r>
        <w:rPr>
          <w:rFonts w:eastAsia="Calibri"/>
        </w:rPr>
        <w:t>(a)</w:t>
      </w:r>
      <w:r>
        <w:rPr>
          <w:rFonts w:eastAsia="Calibri"/>
        </w:rPr>
        <w:tab/>
        <w:t>for a bidder that is a body corporate:</w:t>
      </w:r>
    </w:p>
    <w:p w14:paraId="5406F5E1" w14:textId="77777777" w:rsidR="00A0421E" w:rsidRDefault="00A0421E" w:rsidP="00A0421E">
      <w:pPr>
        <w:pStyle w:val="LI-Sectionsubparai"/>
        <w:rPr>
          <w:rFonts w:eastAsia="Calibri"/>
        </w:rPr>
      </w:pPr>
      <w:r>
        <w:rPr>
          <w:rFonts w:eastAsia="Calibri"/>
        </w:rPr>
        <w:t>(</w:t>
      </w:r>
      <w:proofErr w:type="spellStart"/>
      <w:r>
        <w:rPr>
          <w:rFonts w:eastAsia="Calibri"/>
        </w:rPr>
        <w:t>i</w:t>
      </w:r>
      <w:proofErr w:type="spellEnd"/>
      <w:r>
        <w:rPr>
          <w:rFonts w:eastAsia="Calibri"/>
        </w:rPr>
        <w:t>)</w:t>
      </w:r>
      <w:r>
        <w:rPr>
          <w:rFonts w:eastAsia="Calibri"/>
        </w:rPr>
        <w:tab/>
        <w:t>if the consideration offered under the bid is a cash sum only—a resolution passed by the directors of the bidder; or</w:t>
      </w:r>
    </w:p>
    <w:p w14:paraId="2A1397E6" w14:textId="77777777" w:rsidR="00A0421E" w:rsidRDefault="00A0421E" w:rsidP="00A0421E">
      <w:pPr>
        <w:pStyle w:val="LI-Sectionsubparai"/>
        <w:rPr>
          <w:rFonts w:eastAsia="Calibri"/>
        </w:rPr>
      </w:pPr>
      <w:r>
        <w:rPr>
          <w:rFonts w:eastAsia="Calibri"/>
        </w:rPr>
        <w:t>(ii)</w:t>
      </w:r>
      <w:r>
        <w:rPr>
          <w:rFonts w:eastAsia="Calibri"/>
        </w:rPr>
        <w:tab/>
        <w:t>otherwise—a unanimous resolution passed by all the directors of the bidder; or</w:t>
      </w:r>
    </w:p>
    <w:p w14:paraId="4CB72041" w14:textId="77777777" w:rsidR="00A0421E" w:rsidRDefault="00A0421E" w:rsidP="00A0421E">
      <w:pPr>
        <w:pStyle w:val="LI-Sectionparaa"/>
        <w:rPr>
          <w:rFonts w:eastAsia="Calibri"/>
        </w:rPr>
      </w:pPr>
      <w:r>
        <w:rPr>
          <w:rFonts w:eastAsia="Calibri"/>
        </w:rPr>
        <w:t>(b)</w:t>
      </w:r>
      <w:r>
        <w:rPr>
          <w:rFonts w:eastAsia="Calibri"/>
        </w:rPr>
        <w:tab/>
        <w:t>for a bidder who is an individual—the bidder.</w:t>
      </w:r>
      <w:proofErr w:type="gramStart"/>
      <w:r>
        <w:rPr>
          <w:rFonts w:eastAsia="Calibri"/>
        </w:rPr>
        <w:t>”;</w:t>
      </w:r>
      <w:proofErr w:type="gramEnd"/>
    </w:p>
    <w:p w14:paraId="285D4551" w14:textId="77777777" w:rsidR="00A0421E" w:rsidRDefault="00A0421E" w:rsidP="00A0421E">
      <w:pPr>
        <w:pStyle w:val="LI-BodyTextParaa"/>
        <w:rPr>
          <w:rFonts w:eastAsia="Calibri"/>
        </w:rPr>
      </w:pPr>
      <w:r>
        <w:rPr>
          <w:rFonts w:eastAsia="Calibri"/>
        </w:rPr>
        <w:t>(e)</w:t>
      </w:r>
      <w:r>
        <w:rPr>
          <w:rFonts w:eastAsia="Calibri"/>
        </w:rPr>
        <w:tab/>
        <w:t>omit paragraph 650F(1)(a), substitute:</w:t>
      </w:r>
    </w:p>
    <w:p w14:paraId="1D38F6E4" w14:textId="77777777" w:rsidR="00A0421E" w:rsidRPr="00C7274B" w:rsidRDefault="00A0421E" w:rsidP="00A0421E">
      <w:pPr>
        <w:pStyle w:val="LI-SectionHeading"/>
        <w:rPr>
          <w:rFonts w:eastAsia="Calibri"/>
          <w:b w:val="0"/>
          <w:bCs/>
        </w:rPr>
      </w:pPr>
      <w:r w:rsidRPr="00C7274B">
        <w:rPr>
          <w:rFonts w:eastAsia="Calibri"/>
          <w:b w:val="0"/>
          <w:bCs/>
        </w:rPr>
        <w:lastRenderedPageBreak/>
        <w:t>“(a)</w:t>
      </w:r>
      <w:r w:rsidRPr="00C7274B">
        <w:rPr>
          <w:rFonts w:eastAsia="Calibri"/>
          <w:b w:val="0"/>
          <w:bCs/>
        </w:rPr>
        <w:tab/>
        <w:t>if the condition relates only to the happening of an event or circumstance referred to in subsection 652C(1) or (2)—not later than 3 business days after the end of the offer period; or</w:t>
      </w:r>
      <w:proofErr w:type="gramStart"/>
      <w:r w:rsidRPr="00C7274B">
        <w:rPr>
          <w:rFonts w:eastAsia="Calibri"/>
          <w:b w:val="0"/>
          <w:bCs/>
        </w:rPr>
        <w:t>”;</w:t>
      </w:r>
      <w:proofErr w:type="gramEnd"/>
    </w:p>
    <w:p w14:paraId="2D6440BA" w14:textId="77777777" w:rsidR="00A0421E" w:rsidRDefault="00A0421E" w:rsidP="00A0421E">
      <w:pPr>
        <w:pStyle w:val="LI-BodyTextParaa"/>
        <w:rPr>
          <w:rFonts w:eastAsia="Calibri"/>
        </w:rPr>
      </w:pPr>
      <w:r>
        <w:rPr>
          <w:rFonts w:eastAsia="Calibri"/>
        </w:rPr>
        <w:t>(f)</w:t>
      </w:r>
      <w:r>
        <w:rPr>
          <w:rFonts w:eastAsia="Calibri"/>
        </w:rPr>
        <w:tab/>
        <w:t>omit paragraph 650G(b), substitute:</w:t>
      </w:r>
    </w:p>
    <w:p w14:paraId="7A13E660" w14:textId="77777777" w:rsidR="00A0421E" w:rsidRPr="00C7274B" w:rsidRDefault="00A0421E" w:rsidP="00A0421E">
      <w:pPr>
        <w:pStyle w:val="LI-SectionHeading"/>
        <w:rPr>
          <w:rFonts w:eastAsia="Calibri"/>
          <w:b w:val="0"/>
          <w:bCs/>
        </w:rPr>
      </w:pPr>
      <w:r w:rsidRPr="00C7274B">
        <w:rPr>
          <w:rFonts w:eastAsia="Calibri"/>
          <w:b w:val="0"/>
          <w:bCs/>
        </w:rPr>
        <w:t>“(b)</w:t>
      </w:r>
      <w:r w:rsidRPr="00C7274B">
        <w:rPr>
          <w:rFonts w:eastAsia="Calibri"/>
          <w:b w:val="0"/>
          <w:bCs/>
        </w:rPr>
        <w:tab/>
        <w:t>the bidder has not declared the offers to be free from the condition within the period before the date applicable under subsection 650F(1); and”.</w:t>
      </w:r>
    </w:p>
    <w:p w14:paraId="6879E3AA" w14:textId="77777777" w:rsidR="00A0421E" w:rsidRDefault="00A0421E" w:rsidP="00A0421E">
      <w:pPr>
        <w:pStyle w:val="LI-Heading2"/>
      </w:pPr>
      <w:bookmarkStart w:id="13" w:name="_Toc146221164"/>
      <w:r w:rsidRPr="008166C3">
        <w:t>8</w:t>
      </w:r>
      <w:r w:rsidRPr="008166C3">
        <w:tab/>
      </w:r>
      <w:r w:rsidRPr="00F71614">
        <w:t xml:space="preserve">Acceptances </w:t>
      </w:r>
      <w:r>
        <w:t>for securities registered in a</w:t>
      </w:r>
      <w:r w:rsidRPr="00F71614">
        <w:t xml:space="preserve"> </w:t>
      </w:r>
      <w:r w:rsidRPr="0033350E">
        <w:t>clearing</w:t>
      </w:r>
      <w:r>
        <w:t xml:space="preserve"> and settlement facility</w:t>
      </w:r>
      <w:bookmarkEnd w:id="13"/>
    </w:p>
    <w:p w14:paraId="271FD517" w14:textId="77777777" w:rsidR="00A0421E" w:rsidRDefault="00A0421E" w:rsidP="00A0421E">
      <w:pPr>
        <w:pStyle w:val="LI-BodyTextNumbered"/>
        <w:rPr>
          <w:rFonts w:eastAsia="Calibri"/>
        </w:rPr>
      </w:pPr>
      <w:r>
        <w:rPr>
          <w:rFonts w:eastAsia="Calibri"/>
        </w:rPr>
        <w:tab/>
        <w:t>Chapter 6 of the Act applies to all persons as if Part 6.8 were modified or varied by, after section 653A, inserting:</w:t>
      </w:r>
    </w:p>
    <w:p w14:paraId="0A891996" w14:textId="51F8A771" w:rsidR="00450F17" w:rsidRDefault="00A0421E" w:rsidP="00802246">
      <w:pPr>
        <w:pStyle w:val="LI-SectionHeading"/>
        <w:ind w:hanging="1134"/>
        <w:rPr>
          <w:rFonts w:eastAsia="Calibri"/>
          <w:b w:val="0"/>
          <w:bCs/>
        </w:rPr>
      </w:pPr>
      <w:r w:rsidRPr="00C7274B">
        <w:rPr>
          <w:rFonts w:eastAsia="Calibri"/>
          <w:b w:val="0"/>
          <w:bCs/>
        </w:rPr>
        <w:t>“</w:t>
      </w:r>
      <w:r w:rsidR="00450F17" w:rsidRPr="00FD5894">
        <w:rPr>
          <w:rFonts w:eastAsia="Calibri"/>
        </w:rPr>
        <w:t>653AA</w:t>
      </w:r>
      <w:r w:rsidR="00802246">
        <w:rPr>
          <w:rFonts w:eastAsia="Calibri"/>
        </w:rPr>
        <w:tab/>
      </w:r>
      <w:r w:rsidR="00450F17" w:rsidRPr="00FD5894">
        <w:rPr>
          <w:rFonts w:eastAsia="Calibri"/>
        </w:rPr>
        <w:t>Acceptances received by the bidder for securities registered in a clearing and settlement facility</w:t>
      </w:r>
    </w:p>
    <w:p w14:paraId="0B3E8F27" w14:textId="461ABB1D" w:rsidR="00A0421E" w:rsidRPr="00C7274B" w:rsidRDefault="00A0421E" w:rsidP="00802246">
      <w:pPr>
        <w:pStyle w:val="LI-SectionHeading"/>
        <w:ind w:firstLine="0"/>
        <w:rPr>
          <w:rFonts w:eastAsia="Calibri"/>
          <w:b w:val="0"/>
          <w:bCs/>
        </w:rPr>
      </w:pPr>
      <w:r w:rsidRPr="00C7274B">
        <w:rPr>
          <w:rFonts w:eastAsia="Calibri"/>
          <w:b w:val="0"/>
          <w:bCs/>
        </w:rPr>
        <w:t xml:space="preserve">If, under an </w:t>
      </w:r>
      <w:proofErr w:type="gramStart"/>
      <w:r w:rsidRPr="00C7274B">
        <w:rPr>
          <w:rFonts w:eastAsia="Calibri"/>
          <w:b w:val="0"/>
          <w:bCs/>
        </w:rPr>
        <w:t>off-market</w:t>
      </w:r>
      <w:proofErr w:type="gramEnd"/>
      <w:r w:rsidRPr="00C7274B">
        <w:rPr>
          <w:rFonts w:eastAsia="Calibri"/>
          <w:b w:val="0"/>
          <w:bCs/>
        </w:rPr>
        <w:t xml:space="preserve"> bid for quoted securities, a bidder receives a written instruction or authority, or both, that:</w:t>
      </w:r>
    </w:p>
    <w:p w14:paraId="7A067CB1" w14:textId="77777777" w:rsidR="00A0421E" w:rsidRDefault="00A0421E" w:rsidP="00802246">
      <w:pPr>
        <w:pStyle w:val="LI-Sectionparaa"/>
        <w:ind w:left="2977" w:hanging="709"/>
        <w:rPr>
          <w:rFonts w:eastAsia="Calibri"/>
        </w:rPr>
      </w:pPr>
      <w:r>
        <w:rPr>
          <w:rFonts w:eastAsia="Calibri"/>
        </w:rPr>
        <w:t>(a)</w:t>
      </w:r>
      <w:r>
        <w:rPr>
          <w:rFonts w:eastAsia="Calibri"/>
        </w:rPr>
        <w:tab/>
        <w:t>is from a holder of securities registered in a clearing and settlement facility or a person with a right to be registered as a holder of such securities; and</w:t>
      </w:r>
    </w:p>
    <w:p w14:paraId="65EA94F9" w14:textId="77777777" w:rsidR="00A0421E" w:rsidRDefault="00A0421E" w:rsidP="00802246">
      <w:pPr>
        <w:pStyle w:val="LI-Sectionparaa"/>
        <w:ind w:left="2977" w:hanging="709"/>
        <w:rPr>
          <w:rFonts w:eastAsia="Calibri"/>
        </w:rPr>
      </w:pPr>
      <w:r>
        <w:rPr>
          <w:rFonts w:eastAsia="Calibri"/>
        </w:rPr>
        <w:t>(b)</w:t>
      </w:r>
      <w:r>
        <w:rPr>
          <w:rFonts w:eastAsia="Calibri"/>
        </w:rPr>
        <w:tab/>
        <w:t>is provided for the purpose, and has the effect, of enabling the bidder to effect acceptance of the offer by instructing another person, in accordance with the operating rules of a clearing and settlement facility, to accept, in accordance with section 653A, an offer made under the bid on behalf of the holder or person mentioned in paragraph (a</w:t>
      </w:r>
      <w:proofErr w:type="gramStart"/>
      <w:r>
        <w:rPr>
          <w:rFonts w:eastAsia="Calibri"/>
        </w:rPr>
        <w:t>);</w:t>
      </w:r>
      <w:proofErr w:type="gramEnd"/>
    </w:p>
    <w:p w14:paraId="73620C44" w14:textId="77777777" w:rsidR="00A0421E" w:rsidRDefault="00A0421E" w:rsidP="00802246">
      <w:pPr>
        <w:pStyle w:val="LI-SectionSubsectionText"/>
        <w:ind w:firstLine="0"/>
        <w:rPr>
          <w:rFonts w:eastAsia="Calibri"/>
        </w:rPr>
      </w:pPr>
      <w:r>
        <w:rPr>
          <w:rFonts w:eastAsia="Calibri"/>
        </w:rPr>
        <w:t>the offer is taken, for the purposes of this Chapter apart from section 653A, to have been accepted in relation to the securities covered by the instruction or authority when it is received by the bidder.”.</w:t>
      </w:r>
    </w:p>
    <w:p w14:paraId="137D778E" w14:textId="77777777" w:rsidR="00A0421E" w:rsidRDefault="00A0421E" w:rsidP="00A0421E">
      <w:pPr>
        <w:pStyle w:val="LI-Heading2"/>
      </w:pPr>
      <w:bookmarkStart w:id="14" w:name="_Toc146221165"/>
      <w:r>
        <w:t>9</w:t>
      </w:r>
      <w:r>
        <w:tab/>
        <w:t>Bidder’s relevant interest in control transactions</w:t>
      </w:r>
      <w:bookmarkEnd w:id="14"/>
      <w:r>
        <w:t xml:space="preserve"> </w:t>
      </w:r>
    </w:p>
    <w:p w14:paraId="4F6036F6" w14:textId="77777777" w:rsidR="00A0421E" w:rsidRDefault="00A0421E" w:rsidP="00A0421E">
      <w:pPr>
        <w:pStyle w:val="LI-BodyTextNumbered"/>
        <w:rPr>
          <w:rFonts w:eastAsia="Calibri"/>
        </w:rPr>
      </w:pPr>
      <w:r>
        <w:rPr>
          <w:rFonts w:eastAsia="Calibri"/>
        </w:rPr>
        <w:tab/>
        <w:t xml:space="preserve">Chapter 6 of </w:t>
      </w:r>
      <w:proofErr w:type="spellStart"/>
      <w:r>
        <w:rPr>
          <w:rFonts w:eastAsia="Calibri"/>
        </w:rPr>
        <w:t>of</w:t>
      </w:r>
      <w:proofErr w:type="spellEnd"/>
      <w:r>
        <w:rPr>
          <w:rFonts w:eastAsia="Calibri"/>
        </w:rPr>
        <w:t xml:space="preserve"> the Act applies to all persons as if section 608 were modified or varied by, after subsection (10), inserting:</w:t>
      </w:r>
    </w:p>
    <w:p w14:paraId="392953EF" w14:textId="77777777" w:rsidR="00A0421E" w:rsidRDefault="00A0421E" w:rsidP="00A0421E">
      <w:pPr>
        <w:pStyle w:val="LI-SectionHeading"/>
        <w:ind w:left="1701"/>
        <w:rPr>
          <w:rFonts w:eastAsia="Calibri"/>
          <w:b w:val="0"/>
          <w:bCs/>
        </w:rPr>
      </w:pPr>
      <w:r w:rsidRPr="00C7274B">
        <w:rPr>
          <w:rFonts w:eastAsia="Calibri"/>
          <w:b w:val="0"/>
          <w:bCs/>
        </w:rPr>
        <w:t>“(11)</w:t>
      </w:r>
      <w:r w:rsidRPr="00C7274B">
        <w:rPr>
          <w:rFonts w:eastAsia="Calibri"/>
          <w:b w:val="0"/>
          <w:bCs/>
        </w:rPr>
        <w:tab/>
        <w:t>A bidder has a relevant interest in securities if, under section 653AA, an offer is taken to have been accepted in relation to the securities.”.</w:t>
      </w:r>
    </w:p>
    <w:p w14:paraId="2C22114F" w14:textId="2149A8FC" w:rsidR="00516681" w:rsidRDefault="007159F8" w:rsidP="00516681">
      <w:pPr>
        <w:pStyle w:val="LI-Heading2"/>
      </w:pPr>
      <w:bookmarkStart w:id="15" w:name="_Toc146221166"/>
      <w:r>
        <w:t>10</w:t>
      </w:r>
      <w:r w:rsidR="00516681">
        <w:tab/>
        <w:t xml:space="preserve">Compulsory </w:t>
      </w:r>
      <w:proofErr w:type="spellStart"/>
      <w:r w:rsidR="00516681">
        <w:t>acquistion</w:t>
      </w:r>
      <w:bookmarkEnd w:id="15"/>
      <w:proofErr w:type="spellEnd"/>
      <w:r w:rsidR="00516681">
        <w:t xml:space="preserve"> </w:t>
      </w:r>
    </w:p>
    <w:p w14:paraId="2B4AC186" w14:textId="77777777" w:rsidR="00516681" w:rsidRDefault="00516681" w:rsidP="00516681">
      <w:pPr>
        <w:pStyle w:val="LI-BodyTextNumbered"/>
        <w:rPr>
          <w:rFonts w:eastAsia="Calibri"/>
        </w:rPr>
      </w:pPr>
      <w:r>
        <w:rPr>
          <w:rFonts w:eastAsia="Calibri"/>
        </w:rPr>
        <w:tab/>
        <w:t xml:space="preserve">Chapter 6A of </w:t>
      </w:r>
      <w:proofErr w:type="spellStart"/>
      <w:r>
        <w:rPr>
          <w:rFonts w:eastAsia="Calibri"/>
        </w:rPr>
        <w:t>of</w:t>
      </w:r>
      <w:proofErr w:type="spellEnd"/>
      <w:r>
        <w:rPr>
          <w:rFonts w:eastAsia="Calibri"/>
        </w:rPr>
        <w:t xml:space="preserve"> the Act applies to all persons as if:</w:t>
      </w:r>
    </w:p>
    <w:p w14:paraId="011ED9BD" w14:textId="40199744" w:rsidR="00DF4BBC" w:rsidRDefault="00536CD2" w:rsidP="00536CD2">
      <w:pPr>
        <w:pStyle w:val="LI-BodyTextNumbered"/>
        <w:ind w:left="1701"/>
        <w:rPr>
          <w:rFonts w:eastAsia="Calibri"/>
        </w:rPr>
      </w:pPr>
      <w:r>
        <w:rPr>
          <w:rFonts w:eastAsia="Calibri"/>
        </w:rPr>
        <w:lastRenderedPageBreak/>
        <w:t>(a)</w:t>
      </w:r>
      <w:r>
        <w:rPr>
          <w:rFonts w:eastAsia="Calibri"/>
        </w:rPr>
        <w:tab/>
      </w:r>
      <w:r w:rsidR="00DF4BBC">
        <w:rPr>
          <w:rFonts w:eastAsia="Calibri"/>
        </w:rPr>
        <w:t>paragraph</w:t>
      </w:r>
      <w:r w:rsidR="00EA0347">
        <w:rPr>
          <w:rFonts w:eastAsia="Calibri"/>
        </w:rPr>
        <w:t xml:space="preserve"> 661A</w:t>
      </w:r>
      <w:r w:rsidR="00A90D6D">
        <w:rPr>
          <w:rFonts w:eastAsia="Calibri"/>
        </w:rPr>
        <w:t xml:space="preserve">(4)(c) were modified or </w:t>
      </w:r>
      <w:r w:rsidR="00516681">
        <w:rPr>
          <w:rFonts w:eastAsia="Calibri"/>
        </w:rPr>
        <w:t xml:space="preserve">varied by, after </w:t>
      </w:r>
      <w:r w:rsidR="00DF4BBC">
        <w:rPr>
          <w:rFonts w:eastAsia="Calibri"/>
        </w:rPr>
        <w:t>“if securit</w:t>
      </w:r>
      <w:r w:rsidR="008158B8">
        <w:rPr>
          <w:rFonts w:eastAsia="Calibri"/>
        </w:rPr>
        <w:t>i</w:t>
      </w:r>
      <w:r w:rsidR="00DF4BBC">
        <w:rPr>
          <w:rFonts w:eastAsia="Calibri"/>
        </w:rPr>
        <w:t>es”, inserting “or derivatives”; and</w:t>
      </w:r>
    </w:p>
    <w:p w14:paraId="22630DFD" w14:textId="18933378" w:rsidR="007E3D0B" w:rsidRDefault="00536CD2" w:rsidP="00536CD2">
      <w:pPr>
        <w:pStyle w:val="LI-BodyTextNumbered"/>
        <w:ind w:left="1701"/>
        <w:rPr>
          <w:rFonts w:eastAsia="Calibri"/>
        </w:rPr>
      </w:pPr>
      <w:r>
        <w:rPr>
          <w:rFonts w:eastAsia="Calibri"/>
        </w:rPr>
        <w:t>(b)</w:t>
      </w:r>
      <w:r>
        <w:rPr>
          <w:rFonts w:eastAsia="Calibri"/>
        </w:rPr>
        <w:tab/>
      </w:r>
      <w:r w:rsidR="007E3D0B">
        <w:rPr>
          <w:rFonts w:eastAsia="Calibri"/>
        </w:rPr>
        <w:t>paragraph 661B(1)(c)</w:t>
      </w:r>
      <w:r w:rsidR="00BB6D4D">
        <w:rPr>
          <w:rFonts w:eastAsia="Calibri"/>
        </w:rPr>
        <w:t>(ii)</w:t>
      </w:r>
      <w:r w:rsidR="009F17EC">
        <w:rPr>
          <w:rFonts w:eastAsia="Calibri"/>
        </w:rPr>
        <w:t xml:space="preserve"> were modified or varied by </w:t>
      </w:r>
      <w:r w:rsidR="00BB6D4D">
        <w:rPr>
          <w:rFonts w:eastAsia="Calibri"/>
        </w:rPr>
        <w:t>omitting the subparagraph and substituting:</w:t>
      </w:r>
    </w:p>
    <w:p w14:paraId="5D6CC96D" w14:textId="786B11B4" w:rsidR="00516681" w:rsidRDefault="00536CD2" w:rsidP="005A1E7A">
      <w:pPr>
        <w:pStyle w:val="LI-BodyTextNumbered"/>
        <w:ind w:left="2268"/>
        <w:rPr>
          <w:rFonts w:eastAsia="Calibri"/>
        </w:rPr>
      </w:pPr>
      <w:r>
        <w:rPr>
          <w:rFonts w:eastAsia="Calibri"/>
        </w:rPr>
        <w:t>“</w:t>
      </w:r>
      <w:r w:rsidR="00405669">
        <w:rPr>
          <w:rFonts w:eastAsia="Calibri"/>
        </w:rPr>
        <w:t>(ii)</w:t>
      </w:r>
      <w:r w:rsidR="00405669" w:rsidRPr="00405669">
        <w:t xml:space="preserve"> </w:t>
      </w:r>
      <w:r w:rsidR="00255B5E">
        <w:tab/>
      </w:r>
      <w:r w:rsidR="00405669" w:rsidRPr="00405669">
        <w:rPr>
          <w:rFonts w:eastAsia="Calibri"/>
        </w:rPr>
        <w:t xml:space="preserve">if the bidder elects under paragraph 661A(4)(c) to acquire securities </w:t>
      </w:r>
      <w:r>
        <w:rPr>
          <w:rFonts w:eastAsia="Calibri"/>
        </w:rPr>
        <w:t xml:space="preserve">or </w:t>
      </w:r>
      <w:r w:rsidR="004836A6">
        <w:rPr>
          <w:rFonts w:eastAsia="Calibri"/>
        </w:rPr>
        <w:t xml:space="preserve">derivatives </w:t>
      </w:r>
      <w:r w:rsidR="00405669" w:rsidRPr="00405669">
        <w:rPr>
          <w:rFonts w:eastAsia="Calibri"/>
        </w:rPr>
        <w:t>that come to be in the bid class after the notice is given</w:t>
      </w:r>
      <w:r w:rsidR="00405669">
        <w:rPr>
          <w:rFonts w:eastAsia="Calibri"/>
        </w:rPr>
        <w:t>—</w:t>
      </w:r>
      <w:r w:rsidR="00405669" w:rsidRPr="00405669">
        <w:rPr>
          <w:rFonts w:eastAsia="Calibri"/>
        </w:rPr>
        <w:t>a holder of the convertible securities</w:t>
      </w:r>
      <w:r w:rsidR="00255B5E">
        <w:rPr>
          <w:rFonts w:eastAsia="Calibri"/>
        </w:rPr>
        <w:t xml:space="preserve"> or derivatives</w:t>
      </w:r>
      <w:r w:rsidR="00405669" w:rsidRPr="00405669">
        <w:rPr>
          <w:rFonts w:eastAsia="Calibri"/>
        </w:rPr>
        <w:t xml:space="preserve"> referred to in that paragraph; and</w:t>
      </w:r>
      <w:r w:rsidR="00255B5E">
        <w:rPr>
          <w:rFonts w:eastAsia="Calibri"/>
        </w:rPr>
        <w:t>”.</w:t>
      </w:r>
    </w:p>
    <w:p w14:paraId="3287D2DD" w14:textId="77777777" w:rsidR="00F258C6" w:rsidRPr="00F61B09" w:rsidRDefault="00F258C6" w:rsidP="00F258C6">
      <w:pPr>
        <w:pStyle w:val="LI-Heading1"/>
        <w:ind w:left="0" w:firstLine="0"/>
      </w:pPr>
      <w:bookmarkStart w:id="16" w:name="_Toc139968506"/>
      <w:bookmarkStart w:id="17" w:name="_Toc146221167"/>
      <w:r>
        <w:t>Pa</w:t>
      </w:r>
      <w:r w:rsidRPr="006E5320">
        <w:t>rt </w:t>
      </w:r>
      <w:r>
        <w:t>3</w:t>
      </w:r>
      <w:r w:rsidRPr="006554FF">
        <w:t>—</w:t>
      </w:r>
      <w:r>
        <w:t>Repeal</w:t>
      </w:r>
      <w:bookmarkEnd w:id="16"/>
      <w:bookmarkEnd w:id="17"/>
    </w:p>
    <w:p w14:paraId="1FB1481F" w14:textId="5E2F6572" w:rsidR="00F258C6" w:rsidRDefault="00F258C6" w:rsidP="00F258C6">
      <w:pPr>
        <w:pStyle w:val="LI-Heading2"/>
      </w:pPr>
      <w:bookmarkStart w:id="18" w:name="_Toc139968507"/>
      <w:bookmarkStart w:id="19" w:name="_Toc146221168"/>
      <w:r>
        <w:t>1</w:t>
      </w:r>
      <w:r w:rsidR="007159F8">
        <w:t>1</w:t>
      </w:r>
      <w:r>
        <w:tab/>
      </w:r>
      <w:bookmarkEnd w:id="18"/>
      <w:r>
        <w:t>Repeal</w:t>
      </w:r>
      <w:bookmarkEnd w:id="19"/>
    </w:p>
    <w:p w14:paraId="6F288CF3" w14:textId="77777777" w:rsidR="00F258C6" w:rsidRPr="00786CEB" w:rsidRDefault="00F258C6" w:rsidP="00F258C6">
      <w:pPr>
        <w:pStyle w:val="LI-BodyTextNumbered"/>
        <w:ind w:left="567" w:firstLine="0"/>
      </w:pPr>
      <w:r w:rsidRPr="009B7050">
        <w:t>This instrument is repealed at the start of 1 October 202</w:t>
      </w:r>
      <w:r>
        <w:t>8</w:t>
      </w:r>
      <w:r w:rsidRPr="009B7050">
        <w:t>.</w:t>
      </w:r>
    </w:p>
    <w:p w14:paraId="3A11C9BA" w14:textId="7E3728EE" w:rsidR="00F258C6" w:rsidRPr="00A0421E" w:rsidRDefault="00F258C6" w:rsidP="00A0421E"/>
    <w:sectPr w:rsidR="00F258C6" w:rsidRPr="00A0421E" w:rsidSect="0040053F">
      <w:headerReference w:type="even" r:id="rId27"/>
      <w:headerReference w:type="default" r:id="rId28"/>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C113" w14:textId="77777777" w:rsidR="00A03239" w:rsidRDefault="00A03239" w:rsidP="00715914">
      <w:pPr>
        <w:spacing w:line="240" w:lineRule="auto"/>
      </w:pPr>
      <w:r>
        <w:separator/>
      </w:r>
    </w:p>
  </w:endnote>
  <w:endnote w:type="continuationSeparator" w:id="0">
    <w:p w14:paraId="070E4F07" w14:textId="77777777" w:rsidR="00A03239" w:rsidRDefault="00A03239" w:rsidP="00715914">
      <w:pPr>
        <w:spacing w:line="240" w:lineRule="auto"/>
      </w:pPr>
      <w:r>
        <w:continuationSeparator/>
      </w:r>
    </w:p>
  </w:endnote>
  <w:endnote w:type="continuationNotice" w:id="1">
    <w:p w14:paraId="074EBF25" w14:textId="77777777" w:rsidR="00A03239" w:rsidRDefault="00A032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A0421E" w:rsidRPr="00081794" w14:paraId="1F640DB7" w14:textId="77777777" w:rsidTr="00081794">
      <w:tc>
        <w:tcPr>
          <w:tcW w:w="8472" w:type="dxa"/>
          <w:shd w:val="clear" w:color="auto" w:fill="auto"/>
        </w:tcPr>
        <w:p w14:paraId="1ECC519F" w14:textId="77777777" w:rsidR="00A0421E" w:rsidRPr="00081794" w:rsidRDefault="00A0421E" w:rsidP="00081794">
          <w:pPr>
            <w:jc w:val="right"/>
            <w:rPr>
              <w:sz w:val="18"/>
            </w:rPr>
          </w:pPr>
          <w:r>
            <w:rPr>
              <w:noProof/>
              <w:color w:val="2B579A"/>
              <w:shd w:val="clear" w:color="auto" w:fill="E6E6E6"/>
            </w:rPr>
            <mc:AlternateContent>
              <mc:Choice Requires="wps">
                <w:drawing>
                  <wp:anchor distT="0" distB="0" distL="114300" distR="114300" simplePos="0" relativeHeight="251658243" behindDoc="1" locked="0" layoutInCell="1" allowOverlap="1" wp14:anchorId="5ED0FF76" wp14:editId="12E54CA4">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B985D43" w14:textId="77777777" w:rsidR="00A0421E" w:rsidRPr="00284719" w:rsidRDefault="00A0421E" w:rsidP="00284719">
                                <w:pPr>
                                  <w:jc w:val="center"/>
                                  <w:rPr>
                                    <w:rFonts w:ascii="Arial" w:hAnsi="Arial" w:cs="Arial"/>
                                    <w:b/>
                                    <w:sz w:val="40"/>
                                  </w:rPr>
                                </w:pPr>
                                <w:r w:rsidRPr="00284719">
                                  <w:rPr>
                                    <w:rFonts w:ascii="Arial" w:hAnsi="Arial" w:cs="Arial"/>
                                    <w:b/>
                                    <w:color w:val="2B579A"/>
                                    <w:sz w:val="40"/>
                                    <w:shd w:val="clear" w:color="auto" w:fill="E6E6E6"/>
                                  </w:rPr>
                                  <w:fldChar w:fldCharType="begin"/>
                                </w:r>
                                <w:r w:rsidRPr="00284719">
                                  <w:rPr>
                                    <w:rFonts w:ascii="Arial" w:hAnsi="Arial" w:cs="Arial"/>
                                    <w:b/>
                                    <w:sz w:val="40"/>
                                  </w:rPr>
                                  <w:instrText xml:space="preserve"> DOCPROPERTY  DLM  </w:instrText>
                                </w:r>
                                <w:r w:rsidRPr="00284719">
                                  <w:rPr>
                                    <w:rFonts w:ascii="Arial" w:hAnsi="Arial" w:cs="Arial"/>
                                    <w:b/>
                                    <w:color w:val="2B579A"/>
                                    <w:sz w:val="40"/>
                                    <w:shd w:val="clear" w:color="auto" w:fill="E6E6E6"/>
                                  </w:rPr>
                                  <w:fldChar w:fldCharType="separate"/>
                                </w:r>
                                <w:r>
                                  <w:rPr>
                                    <w:rFonts w:ascii="Arial" w:hAnsi="Arial" w:cs="Arial"/>
                                    <w:b/>
                                    <w:sz w:val="40"/>
                                  </w:rPr>
                                  <w:t>Sensitive: Legal</w:t>
                                </w:r>
                                <w:r w:rsidRPr="00284719">
                                  <w:rPr>
                                    <w:rFonts w:ascii="Arial" w:hAnsi="Arial" w:cs="Arial"/>
                                    <w:b/>
                                    <w:color w:val="2B579A"/>
                                    <w:sz w:val="40"/>
                                    <w:shd w:val="clear" w:color="auto" w:fill="E6E6E6"/>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0FF76"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5B985D43" w14:textId="77777777" w:rsidR="00A0421E" w:rsidRPr="00284719" w:rsidRDefault="00A0421E" w:rsidP="00284719">
                          <w:pPr>
                            <w:jc w:val="center"/>
                            <w:rPr>
                              <w:rFonts w:ascii="Arial" w:hAnsi="Arial" w:cs="Arial"/>
                              <w:b/>
                              <w:sz w:val="40"/>
                            </w:rPr>
                          </w:pPr>
                          <w:r w:rsidRPr="00284719">
                            <w:rPr>
                              <w:rFonts w:ascii="Arial" w:hAnsi="Arial" w:cs="Arial"/>
                              <w:b/>
                              <w:color w:val="2B579A"/>
                              <w:sz w:val="40"/>
                              <w:shd w:val="clear" w:color="auto" w:fill="E6E6E6"/>
                            </w:rPr>
                            <w:fldChar w:fldCharType="begin"/>
                          </w:r>
                          <w:r w:rsidRPr="00284719">
                            <w:rPr>
                              <w:rFonts w:ascii="Arial" w:hAnsi="Arial" w:cs="Arial"/>
                              <w:b/>
                              <w:sz w:val="40"/>
                            </w:rPr>
                            <w:instrText xml:space="preserve"> DOCPROPERTY  DLM  </w:instrText>
                          </w:r>
                          <w:r w:rsidRPr="00284719">
                            <w:rPr>
                              <w:rFonts w:ascii="Arial" w:hAnsi="Arial" w:cs="Arial"/>
                              <w:b/>
                              <w:color w:val="2B579A"/>
                              <w:sz w:val="40"/>
                              <w:shd w:val="clear" w:color="auto" w:fill="E6E6E6"/>
                            </w:rPr>
                            <w:fldChar w:fldCharType="separate"/>
                          </w:r>
                          <w:r>
                            <w:rPr>
                              <w:rFonts w:ascii="Arial" w:hAnsi="Arial" w:cs="Arial"/>
                              <w:b/>
                              <w:sz w:val="40"/>
                            </w:rPr>
                            <w:t>Sensitive: Legal</w:t>
                          </w:r>
                          <w:r w:rsidRPr="00284719">
                            <w:rPr>
                              <w:rFonts w:ascii="Arial" w:hAnsi="Arial" w:cs="Arial"/>
                              <w:b/>
                              <w:color w:val="2B579A"/>
                              <w:sz w:val="40"/>
                              <w:shd w:val="clear" w:color="auto" w:fill="E6E6E6"/>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5C6EEDDC" w14:textId="77777777" w:rsidR="00A0421E" w:rsidRPr="007500C8" w:rsidRDefault="00A0421E"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2DBC" w14:textId="77777777" w:rsidR="00A0421E" w:rsidRDefault="00A0421E" w:rsidP="007500C8">
    <w:pPr>
      <w:pStyle w:val="Footer"/>
    </w:pPr>
    <w:r>
      <w:rPr>
        <w:noProof/>
        <w:color w:val="2B579A"/>
        <w:shd w:val="clear" w:color="auto" w:fill="E6E6E6"/>
      </w:rPr>
      <mc:AlternateContent>
        <mc:Choice Requires="wps">
          <w:drawing>
            <wp:anchor distT="0" distB="0" distL="114300" distR="114300" simplePos="0" relativeHeight="251658242" behindDoc="1" locked="0" layoutInCell="1" allowOverlap="1" wp14:anchorId="01B9E7A1" wp14:editId="53F7B9DE">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F3EBEEF" w14:textId="77777777" w:rsidR="00A0421E" w:rsidRPr="00284719" w:rsidRDefault="00A0421E"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9E7A1"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F3EBEEF" w14:textId="77777777" w:rsidR="00A0421E" w:rsidRPr="00284719" w:rsidRDefault="00A0421E"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A0421E" w:rsidRPr="00081794" w14:paraId="7A88B9AA" w14:textId="77777777" w:rsidTr="00081794">
      <w:tc>
        <w:tcPr>
          <w:tcW w:w="8472" w:type="dxa"/>
          <w:shd w:val="clear" w:color="auto" w:fill="auto"/>
        </w:tcPr>
        <w:p w14:paraId="23F148F6" w14:textId="77777777" w:rsidR="00A0421E" w:rsidRPr="00081794" w:rsidRDefault="00A0421E" w:rsidP="00102CA6">
          <w:pPr>
            <w:rPr>
              <w:sz w:val="18"/>
            </w:rPr>
          </w:pPr>
        </w:p>
      </w:tc>
    </w:tr>
  </w:tbl>
  <w:p w14:paraId="6A47A6B7" w14:textId="77777777" w:rsidR="00A0421E" w:rsidRPr="007500C8" w:rsidRDefault="00A0421E"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E525" w14:textId="77777777" w:rsidR="00A0421E" w:rsidRPr="00ED79B6" w:rsidRDefault="00A0421E"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129C" w14:textId="77777777" w:rsidR="00A0421E" w:rsidRPr="00E2168B" w:rsidRDefault="00A0421E" w:rsidP="00E2168B">
    <w:pPr>
      <w:pStyle w:val="LI-Footer"/>
    </w:pPr>
    <w:r w:rsidRPr="00A52B0F">
      <w:rPr>
        <w:color w:val="2B579A"/>
        <w:shd w:val="clear" w:color="auto" w:fill="E6E6E6"/>
      </w:rPr>
      <w:fldChar w:fldCharType="begin"/>
    </w:r>
    <w:r w:rsidRPr="00A52B0F">
      <w:instrText xml:space="preserve"> PAGE  \* Arabic  \* MERGEFORMAT </w:instrText>
    </w:r>
    <w:r w:rsidRPr="00A52B0F">
      <w:rPr>
        <w:color w:val="2B579A"/>
        <w:shd w:val="clear" w:color="auto" w:fill="E6E6E6"/>
      </w:rPr>
      <w:fldChar w:fldCharType="separate"/>
    </w:r>
    <w:r>
      <w:rPr>
        <w:noProof/>
      </w:rPr>
      <w:t>2</w:t>
    </w:r>
    <w:r w:rsidRPr="00A52B0F">
      <w:rPr>
        <w:color w:val="2B579A"/>
        <w:shd w:val="clear" w:color="auto" w:fill="E6E6E6"/>
      </w:rPr>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1A38" w14:textId="77777777" w:rsidR="00A0421E" w:rsidRPr="00E33C1C" w:rsidRDefault="00A0421E" w:rsidP="00243EC0">
    <w:pPr>
      <w:pStyle w:val="LI-Footer"/>
      <w:rPr>
        <w:sz w:val="16"/>
        <w:szCs w:val="16"/>
      </w:rPr>
    </w:pPr>
    <w:r w:rsidRPr="00A52B0F">
      <w:tab/>
    </w:r>
    <w:r>
      <w:t xml:space="preserve">Page </w:t>
    </w:r>
    <w:r w:rsidRPr="00A52B0F">
      <w:rPr>
        <w:color w:val="2B579A"/>
        <w:shd w:val="clear" w:color="auto" w:fill="E6E6E6"/>
      </w:rPr>
      <w:fldChar w:fldCharType="begin"/>
    </w:r>
    <w:r w:rsidRPr="00A52B0F">
      <w:instrText xml:space="preserve"> PAGE  \* Arabic  \* MERGEFORMAT </w:instrText>
    </w:r>
    <w:r w:rsidRPr="00A52B0F">
      <w:rPr>
        <w:color w:val="2B579A"/>
        <w:shd w:val="clear" w:color="auto" w:fill="E6E6E6"/>
      </w:rPr>
      <w:fldChar w:fldCharType="separate"/>
    </w:r>
    <w:r>
      <w:rPr>
        <w:noProof/>
      </w:rPr>
      <w:t>3</w:t>
    </w:r>
    <w:r w:rsidRPr="00A52B0F">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077F" w14:textId="77777777" w:rsidR="00A03239" w:rsidRDefault="00A03239" w:rsidP="00715914">
      <w:pPr>
        <w:spacing w:line="240" w:lineRule="auto"/>
      </w:pPr>
      <w:r>
        <w:separator/>
      </w:r>
    </w:p>
  </w:footnote>
  <w:footnote w:type="continuationSeparator" w:id="0">
    <w:p w14:paraId="4E6D974D" w14:textId="77777777" w:rsidR="00A03239" w:rsidRDefault="00A03239" w:rsidP="00715914">
      <w:pPr>
        <w:spacing w:line="240" w:lineRule="auto"/>
      </w:pPr>
      <w:r>
        <w:continuationSeparator/>
      </w:r>
    </w:p>
  </w:footnote>
  <w:footnote w:type="continuationNotice" w:id="1">
    <w:p w14:paraId="3A8ABD58" w14:textId="77777777" w:rsidR="00A03239" w:rsidRDefault="00A032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D0BC" w14:textId="77777777" w:rsidR="00A0421E" w:rsidRPr="005F1388" w:rsidRDefault="00A0421E" w:rsidP="00715914">
    <w:pPr>
      <w:pStyle w:val="Header"/>
      <w:tabs>
        <w:tab w:val="clear" w:pos="4150"/>
        <w:tab w:val="clear" w:pos="8307"/>
      </w:tabs>
    </w:pPr>
    <w:r>
      <w:rPr>
        <w:noProof/>
        <w:color w:val="2B579A"/>
        <w:shd w:val="clear" w:color="auto" w:fill="E6E6E6"/>
      </w:rPr>
      <mc:AlternateContent>
        <mc:Choice Requires="wps">
          <w:drawing>
            <wp:anchor distT="0" distB="0" distL="114300" distR="114300" simplePos="0" relativeHeight="251658241" behindDoc="1" locked="0" layoutInCell="1" allowOverlap="1" wp14:anchorId="027CDCE4" wp14:editId="0B32BFF8">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5275FD8" w14:textId="77777777" w:rsidR="00A0421E" w:rsidRPr="00284719" w:rsidRDefault="00A0421E" w:rsidP="00284719">
                          <w:pPr>
                            <w:jc w:val="center"/>
                            <w:rPr>
                              <w:rFonts w:ascii="Arial" w:hAnsi="Arial" w:cs="Arial"/>
                              <w:b/>
                              <w:sz w:val="40"/>
                            </w:rPr>
                          </w:pPr>
                          <w:r w:rsidRPr="00284719">
                            <w:rPr>
                              <w:rFonts w:ascii="Arial" w:hAnsi="Arial" w:cs="Arial"/>
                              <w:b/>
                              <w:color w:val="2B579A"/>
                              <w:sz w:val="40"/>
                              <w:shd w:val="clear" w:color="auto" w:fill="E6E6E6"/>
                            </w:rPr>
                            <w:fldChar w:fldCharType="begin"/>
                          </w:r>
                          <w:r w:rsidRPr="00284719">
                            <w:rPr>
                              <w:rFonts w:ascii="Arial" w:hAnsi="Arial" w:cs="Arial"/>
                              <w:b/>
                              <w:sz w:val="40"/>
                            </w:rPr>
                            <w:instrText xml:space="preserve"> DOCPROPERTY  DLM  </w:instrText>
                          </w:r>
                          <w:r w:rsidRPr="00284719">
                            <w:rPr>
                              <w:rFonts w:ascii="Arial" w:hAnsi="Arial" w:cs="Arial"/>
                              <w:b/>
                              <w:color w:val="2B579A"/>
                              <w:sz w:val="40"/>
                              <w:shd w:val="clear" w:color="auto" w:fill="E6E6E6"/>
                            </w:rPr>
                            <w:fldChar w:fldCharType="separate"/>
                          </w:r>
                          <w:r>
                            <w:rPr>
                              <w:rFonts w:ascii="Arial" w:hAnsi="Arial" w:cs="Arial"/>
                              <w:b/>
                              <w:sz w:val="40"/>
                            </w:rPr>
                            <w:t>Sensitive: Legal</w:t>
                          </w:r>
                          <w:r w:rsidRPr="00284719">
                            <w:rPr>
                              <w:rFonts w:ascii="Arial" w:hAnsi="Arial" w:cs="Arial"/>
                              <w:b/>
                              <w:color w:val="2B579A"/>
                              <w:sz w:val="40"/>
                              <w:shd w:val="clear" w:color="auto" w:fill="E6E6E6"/>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CDCE4"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35275FD8" w14:textId="77777777" w:rsidR="00A0421E" w:rsidRPr="00284719" w:rsidRDefault="00A0421E" w:rsidP="00284719">
                    <w:pPr>
                      <w:jc w:val="center"/>
                      <w:rPr>
                        <w:rFonts w:ascii="Arial" w:hAnsi="Arial" w:cs="Arial"/>
                        <w:b/>
                        <w:sz w:val="40"/>
                      </w:rPr>
                    </w:pPr>
                    <w:r w:rsidRPr="00284719">
                      <w:rPr>
                        <w:rFonts w:ascii="Arial" w:hAnsi="Arial" w:cs="Arial"/>
                        <w:b/>
                        <w:color w:val="2B579A"/>
                        <w:sz w:val="40"/>
                        <w:shd w:val="clear" w:color="auto" w:fill="E6E6E6"/>
                      </w:rPr>
                      <w:fldChar w:fldCharType="begin"/>
                    </w:r>
                    <w:r w:rsidRPr="00284719">
                      <w:rPr>
                        <w:rFonts w:ascii="Arial" w:hAnsi="Arial" w:cs="Arial"/>
                        <w:b/>
                        <w:sz w:val="40"/>
                      </w:rPr>
                      <w:instrText xml:space="preserve"> DOCPROPERTY  DLM  </w:instrText>
                    </w:r>
                    <w:r w:rsidRPr="00284719">
                      <w:rPr>
                        <w:rFonts w:ascii="Arial" w:hAnsi="Arial" w:cs="Arial"/>
                        <w:b/>
                        <w:color w:val="2B579A"/>
                        <w:sz w:val="40"/>
                        <w:shd w:val="clear" w:color="auto" w:fill="E6E6E6"/>
                      </w:rPr>
                      <w:fldChar w:fldCharType="separate"/>
                    </w:r>
                    <w:r>
                      <w:rPr>
                        <w:rFonts w:ascii="Arial" w:hAnsi="Arial" w:cs="Arial"/>
                        <w:b/>
                        <w:sz w:val="40"/>
                      </w:rPr>
                      <w:t>Sensitive: Legal</w:t>
                    </w:r>
                    <w:r w:rsidRPr="00284719">
                      <w:rPr>
                        <w:rFonts w:ascii="Arial" w:hAnsi="Arial" w:cs="Arial"/>
                        <w:b/>
                        <w:color w:val="2B579A"/>
                        <w:sz w:val="40"/>
                        <w:shd w:val="clear" w:color="auto" w:fill="E6E6E6"/>
                      </w:rPr>
                      <w:fldChar w:fldCharType="end"/>
                    </w:r>
                    <w:r w:rsidRPr="00284719">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AD6D" w14:textId="77777777" w:rsidR="00A0421E" w:rsidRPr="005F1388" w:rsidRDefault="00A0421E" w:rsidP="00715914">
    <w:pPr>
      <w:pStyle w:val="Header"/>
      <w:tabs>
        <w:tab w:val="clear" w:pos="4150"/>
        <w:tab w:val="clear" w:pos="8307"/>
      </w:tabs>
    </w:pPr>
    <w:r>
      <w:rPr>
        <w:noProof/>
        <w:color w:val="2B579A"/>
        <w:shd w:val="clear" w:color="auto" w:fill="E6E6E6"/>
      </w:rPr>
      <mc:AlternateContent>
        <mc:Choice Requires="wps">
          <w:drawing>
            <wp:anchor distT="0" distB="0" distL="114300" distR="114300" simplePos="0" relativeHeight="251658240" behindDoc="1" locked="0" layoutInCell="1" allowOverlap="1" wp14:anchorId="34FB35DC" wp14:editId="244DFC33">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294A55B" w14:textId="77777777" w:rsidR="00A0421E" w:rsidRPr="00284719" w:rsidRDefault="00A0421E"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B35D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4294A55B" w14:textId="77777777" w:rsidR="00A0421E" w:rsidRPr="00284719" w:rsidRDefault="00A0421E"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E9EC" w14:textId="77777777" w:rsidR="00A0421E" w:rsidRPr="005F1388" w:rsidRDefault="00A0421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B030" w14:textId="77777777" w:rsidR="00A0421E" w:rsidRDefault="00A0421E"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A0421E" w:rsidRPr="00E40FF8" w14:paraId="06F91D8A" w14:textId="77777777" w:rsidTr="00BF75C9">
      <w:tc>
        <w:tcPr>
          <w:tcW w:w="6804" w:type="dxa"/>
          <w:shd w:val="clear" w:color="auto" w:fill="auto"/>
        </w:tcPr>
        <w:p w14:paraId="316A4C4C" w14:textId="30CEBEFA" w:rsidR="00A0421E" w:rsidRDefault="00A0421E" w:rsidP="00E40FF8">
          <w:pPr>
            <w:pStyle w:val="LI-Header"/>
            <w:pBdr>
              <w:bottom w:val="none" w:sz="0" w:space="0" w:color="auto"/>
            </w:pBdr>
            <w:jc w:val="left"/>
          </w:pPr>
          <w:r>
            <w:rPr>
              <w:color w:val="2B579A"/>
              <w:shd w:val="clear" w:color="auto" w:fill="E6E6E6"/>
            </w:rPr>
            <w:fldChar w:fldCharType="begin"/>
          </w:r>
          <w:r>
            <w:instrText>STYLEREF  "LI - Title"</w:instrText>
          </w:r>
          <w:r>
            <w:rPr>
              <w:color w:val="2B579A"/>
              <w:shd w:val="clear" w:color="auto" w:fill="E6E6E6"/>
            </w:rPr>
            <w:fldChar w:fldCharType="separate"/>
          </w:r>
          <w:r w:rsidR="00EB6A35">
            <w:rPr>
              <w:noProof/>
            </w:rPr>
            <w:t>ASIC Corporations (Takeover Bids) Instrument 2023/683</w:t>
          </w:r>
          <w:r>
            <w:rPr>
              <w:color w:val="2B579A"/>
              <w:shd w:val="clear" w:color="auto" w:fill="E6E6E6"/>
            </w:rPr>
            <w:fldChar w:fldCharType="end"/>
          </w:r>
        </w:p>
      </w:tc>
      <w:tc>
        <w:tcPr>
          <w:tcW w:w="1509" w:type="dxa"/>
          <w:shd w:val="clear" w:color="auto" w:fill="auto"/>
        </w:tcPr>
        <w:p w14:paraId="55FDDC4B" w14:textId="77777777" w:rsidR="00A0421E" w:rsidRDefault="00A0421E" w:rsidP="00E40FF8">
          <w:pPr>
            <w:pStyle w:val="LI-Header"/>
            <w:pBdr>
              <w:bottom w:val="none" w:sz="0" w:space="0" w:color="auto"/>
            </w:pBdr>
          </w:pPr>
        </w:p>
      </w:tc>
    </w:tr>
  </w:tbl>
  <w:p w14:paraId="1DEEE704" w14:textId="77777777" w:rsidR="00A0421E" w:rsidRPr="008945E0" w:rsidRDefault="00A0421E"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FA44" w14:textId="77777777" w:rsidR="00A0421E" w:rsidRPr="00ED79B6" w:rsidRDefault="00A0421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1423"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77D9BA77" w14:textId="77777777" w:rsidTr="00BF75C9">
      <w:tc>
        <w:tcPr>
          <w:tcW w:w="6804" w:type="dxa"/>
          <w:shd w:val="clear" w:color="auto" w:fill="auto"/>
        </w:tcPr>
        <w:p w14:paraId="535CF22C" w14:textId="04F922FC" w:rsidR="00F4215A" w:rsidRDefault="00A80633" w:rsidP="00E40FF8">
          <w:pPr>
            <w:pStyle w:val="LI-Header"/>
            <w:pBdr>
              <w:bottom w:val="none" w:sz="0" w:space="0" w:color="auto"/>
            </w:pBdr>
            <w:jc w:val="left"/>
          </w:pPr>
          <w:r>
            <w:rPr>
              <w:color w:val="2B579A"/>
              <w:shd w:val="clear" w:color="auto" w:fill="E6E6E6"/>
            </w:rPr>
            <w:fldChar w:fldCharType="begin"/>
          </w:r>
          <w:r>
            <w:instrText>STYLEREF  "LI - Title"</w:instrText>
          </w:r>
          <w:r>
            <w:rPr>
              <w:color w:val="2B579A"/>
              <w:shd w:val="clear" w:color="auto" w:fill="E6E6E6"/>
            </w:rPr>
            <w:fldChar w:fldCharType="separate"/>
          </w:r>
          <w:r w:rsidR="00EB6A35">
            <w:rPr>
              <w:noProof/>
            </w:rPr>
            <w:t>ASIC Corporations (Takeover Bids) Instrument 2023/683</w:t>
          </w:r>
          <w:r>
            <w:rPr>
              <w:color w:val="2B579A"/>
              <w:shd w:val="clear" w:color="auto" w:fill="E6E6E6"/>
            </w:rPr>
            <w:fldChar w:fldCharType="end"/>
          </w:r>
        </w:p>
      </w:tc>
      <w:tc>
        <w:tcPr>
          <w:tcW w:w="1509" w:type="dxa"/>
          <w:shd w:val="clear" w:color="auto" w:fill="auto"/>
        </w:tcPr>
        <w:p w14:paraId="2FC3712E" w14:textId="2F917008" w:rsidR="00F4215A" w:rsidRDefault="00A80633" w:rsidP="00E40FF8">
          <w:pPr>
            <w:pStyle w:val="LI-Header"/>
            <w:pBdr>
              <w:bottom w:val="none" w:sz="0" w:space="0" w:color="auto"/>
            </w:pBdr>
          </w:pPr>
          <w:r>
            <w:rPr>
              <w:color w:val="2B579A"/>
              <w:shd w:val="clear" w:color="auto" w:fill="E6E6E6"/>
            </w:rPr>
            <w:fldChar w:fldCharType="begin"/>
          </w:r>
          <w:r>
            <w:instrText>STYLEREF  "LI - Heading 1"</w:instrText>
          </w:r>
          <w:r>
            <w:rPr>
              <w:color w:val="2B579A"/>
              <w:shd w:val="clear" w:color="auto" w:fill="E6E6E6"/>
            </w:rPr>
            <w:fldChar w:fldCharType="separate"/>
          </w:r>
          <w:r w:rsidR="00EB6A35">
            <w:rPr>
              <w:noProof/>
            </w:rPr>
            <w:t>Part 3—Repeal</w:t>
          </w:r>
          <w:r>
            <w:rPr>
              <w:color w:val="2B579A"/>
              <w:shd w:val="clear" w:color="auto" w:fill="E6E6E6"/>
            </w:rPr>
            <w:fldChar w:fldCharType="end"/>
          </w:r>
        </w:p>
      </w:tc>
    </w:tr>
  </w:tbl>
  <w:p w14:paraId="76D34F61"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E13FD1"/>
    <w:multiLevelType w:val="hybridMultilevel"/>
    <w:tmpl w:val="5914B016"/>
    <w:lvl w:ilvl="0" w:tplc="B9A228AA">
      <w:start w:val="1"/>
      <w:numFmt w:val="lowerLetter"/>
      <w:lvlText w:val="(%1)"/>
      <w:lvlJc w:val="left"/>
      <w:pPr>
        <w:ind w:left="2061" w:hanging="360"/>
      </w:pPr>
      <w:rPr>
        <w:rFonts w:hint="default"/>
      </w:rPr>
    </w:lvl>
    <w:lvl w:ilvl="1" w:tplc="0C090019">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28A4538C"/>
    <w:multiLevelType w:val="hybridMultilevel"/>
    <w:tmpl w:val="F12CBBB2"/>
    <w:lvl w:ilvl="0" w:tplc="A3CC673C">
      <w:start w:val="9"/>
      <w:numFmt w:val="lowerLetter"/>
      <w:lvlText w:val="(%1)"/>
      <w:lvlJc w:val="left"/>
      <w:pPr>
        <w:ind w:left="3141" w:hanging="360"/>
      </w:pPr>
      <w:rPr>
        <w:rFonts w:hint="default"/>
      </w:rPr>
    </w:lvl>
    <w:lvl w:ilvl="1" w:tplc="0C090019" w:tentative="1">
      <w:start w:val="1"/>
      <w:numFmt w:val="lowerLetter"/>
      <w:lvlText w:val="%2."/>
      <w:lvlJc w:val="left"/>
      <w:pPr>
        <w:ind w:left="3861" w:hanging="360"/>
      </w:pPr>
    </w:lvl>
    <w:lvl w:ilvl="2" w:tplc="0C09001B" w:tentative="1">
      <w:start w:val="1"/>
      <w:numFmt w:val="lowerRoman"/>
      <w:lvlText w:val="%3."/>
      <w:lvlJc w:val="right"/>
      <w:pPr>
        <w:ind w:left="4581" w:hanging="180"/>
      </w:pPr>
    </w:lvl>
    <w:lvl w:ilvl="3" w:tplc="0C09000F" w:tentative="1">
      <w:start w:val="1"/>
      <w:numFmt w:val="decimal"/>
      <w:lvlText w:val="%4."/>
      <w:lvlJc w:val="left"/>
      <w:pPr>
        <w:ind w:left="5301" w:hanging="360"/>
      </w:pPr>
    </w:lvl>
    <w:lvl w:ilvl="4" w:tplc="0C090019" w:tentative="1">
      <w:start w:val="1"/>
      <w:numFmt w:val="lowerLetter"/>
      <w:lvlText w:val="%5."/>
      <w:lvlJc w:val="left"/>
      <w:pPr>
        <w:ind w:left="6021" w:hanging="360"/>
      </w:pPr>
    </w:lvl>
    <w:lvl w:ilvl="5" w:tplc="0C09001B" w:tentative="1">
      <w:start w:val="1"/>
      <w:numFmt w:val="lowerRoman"/>
      <w:lvlText w:val="%6."/>
      <w:lvlJc w:val="right"/>
      <w:pPr>
        <w:ind w:left="6741" w:hanging="180"/>
      </w:pPr>
    </w:lvl>
    <w:lvl w:ilvl="6" w:tplc="0C09000F" w:tentative="1">
      <w:start w:val="1"/>
      <w:numFmt w:val="decimal"/>
      <w:lvlText w:val="%7."/>
      <w:lvlJc w:val="left"/>
      <w:pPr>
        <w:ind w:left="7461" w:hanging="360"/>
      </w:pPr>
    </w:lvl>
    <w:lvl w:ilvl="7" w:tplc="0C090019" w:tentative="1">
      <w:start w:val="1"/>
      <w:numFmt w:val="lowerLetter"/>
      <w:lvlText w:val="%8."/>
      <w:lvlJc w:val="left"/>
      <w:pPr>
        <w:ind w:left="8181" w:hanging="360"/>
      </w:pPr>
    </w:lvl>
    <w:lvl w:ilvl="8" w:tplc="0C09001B" w:tentative="1">
      <w:start w:val="1"/>
      <w:numFmt w:val="lowerRoman"/>
      <w:lvlText w:val="%9."/>
      <w:lvlJc w:val="right"/>
      <w:pPr>
        <w:ind w:left="8901" w:hanging="180"/>
      </w:pPr>
    </w:lvl>
  </w:abstractNum>
  <w:abstractNum w:abstractNumId="14" w15:restartNumberingAfterBreak="0">
    <w:nsid w:val="32EB2273"/>
    <w:multiLevelType w:val="hybridMultilevel"/>
    <w:tmpl w:val="5ACCDE7A"/>
    <w:lvl w:ilvl="0" w:tplc="18B8BE9E">
      <w:start w:val="1"/>
      <w:numFmt w:val="lowerLetter"/>
      <w:lvlText w:val="(%1)"/>
      <w:lvlJc w:val="left"/>
      <w:pPr>
        <w:ind w:left="1700" w:hanging="56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A15E3D"/>
    <w:multiLevelType w:val="hybridMultilevel"/>
    <w:tmpl w:val="D0F6F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12E8"/>
    <w:multiLevelType w:val="hybridMultilevel"/>
    <w:tmpl w:val="7D664CFE"/>
    <w:lvl w:ilvl="0" w:tplc="4B1CC51C">
      <w:start w:val="1"/>
      <w:numFmt w:val="lowerLetter"/>
      <w:lvlText w:val="(%1)"/>
      <w:lvlJc w:val="left"/>
      <w:pPr>
        <w:ind w:left="1700" w:hanging="56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5708070E"/>
    <w:multiLevelType w:val="hybridMultilevel"/>
    <w:tmpl w:val="00A6598C"/>
    <w:lvl w:ilvl="0" w:tplc="50CADE98">
      <w:start w:val="1"/>
      <w:numFmt w:val="lowerLetter"/>
      <w:lvlText w:val="(%1)"/>
      <w:lvlJc w:val="left"/>
      <w:pPr>
        <w:ind w:left="1700" w:hanging="566"/>
      </w:pPr>
      <w:rPr>
        <w:rFonts w:ascii="Arial" w:hAnsi="Arial" w:cs="Arial" w:hint="default"/>
        <w:sz w:val="18"/>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0" w15:restartNumberingAfterBreak="0">
    <w:nsid w:val="57CC6D98"/>
    <w:multiLevelType w:val="hybridMultilevel"/>
    <w:tmpl w:val="FA30C7B6"/>
    <w:lvl w:ilvl="0" w:tplc="91FCDCFA">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62F34353"/>
    <w:multiLevelType w:val="hybridMultilevel"/>
    <w:tmpl w:val="1C8226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815D23"/>
    <w:multiLevelType w:val="hybridMultilevel"/>
    <w:tmpl w:val="62B29D30"/>
    <w:lvl w:ilvl="0" w:tplc="849A9430">
      <w:numFmt w:val="bullet"/>
      <w:lvlText w:val="-"/>
      <w:lvlJc w:val="left"/>
      <w:pPr>
        <w:ind w:left="2628" w:hanging="360"/>
      </w:pPr>
      <w:rPr>
        <w:rFonts w:ascii="Times New Roman" w:eastAsia="Calibri" w:hAnsi="Times New Roman" w:cs="Times New Roman"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16cid:durableId="2054695224">
    <w:abstractNumId w:val="9"/>
  </w:num>
  <w:num w:numId="2" w16cid:durableId="289482450">
    <w:abstractNumId w:val="7"/>
  </w:num>
  <w:num w:numId="3" w16cid:durableId="1141847694">
    <w:abstractNumId w:val="6"/>
  </w:num>
  <w:num w:numId="4" w16cid:durableId="1967394216">
    <w:abstractNumId w:val="5"/>
  </w:num>
  <w:num w:numId="5" w16cid:durableId="1600522481">
    <w:abstractNumId w:val="4"/>
  </w:num>
  <w:num w:numId="6" w16cid:durableId="366219274">
    <w:abstractNumId w:val="8"/>
  </w:num>
  <w:num w:numId="7" w16cid:durableId="132647827">
    <w:abstractNumId w:val="3"/>
  </w:num>
  <w:num w:numId="8" w16cid:durableId="335349528">
    <w:abstractNumId w:val="2"/>
  </w:num>
  <w:num w:numId="9" w16cid:durableId="1254241362">
    <w:abstractNumId w:val="1"/>
  </w:num>
  <w:num w:numId="10" w16cid:durableId="1537616596">
    <w:abstractNumId w:val="0"/>
  </w:num>
  <w:num w:numId="11" w16cid:durableId="1697848993">
    <w:abstractNumId w:val="15"/>
  </w:num>
  <w:num w:numId="12" w16cid:durableId="1965109908">
    <w:abstractNumId w:val="10"/>
  </w:num>
  <w:num w:numId="13" w16cid:durableId="693654333">
    <w:abstractNumId w:val="11"/>
  </w:num>
  <w:num w:numId="14" w16cid:durableId="2099593945">
    <w:abstractNumId w:val="16"/>
  </w:num>
  <w:num w:numId="15" w16cid:durableId="1186678146">
    <w:abstractNumId w:val="17"/>
  </w:num>
  <w:num w:numId="16" w16cid:durableId="614990473">
    <w:abstractNumId w:val="21"/>
  </w:num>
  <w:num w:numId="17" w16cid:durableId="1989281710">
    <w:abstractNumId w:val="12"/>
  </w:num>
  <w:num w:numId="18" w16cid:durableId="292491443">
    <w:abstractNumId w:val="13"/>
  </w:num>
  <w:num w:numId="19" w16cid:durableId="1213931862">
    <w:abstractNumId w:val="14"/>
  </w:num>
  <w:num w:numId="20" w16cid:durableId="1647271602">
    <w:abstractNumId w:val="19"/>
  </w:num>
  <w:num w:numId="21" w16cid:durableId="1265311220">
    <w:abstractNumId w:val="20"/>
  </w:num>
  <w:num w:numId="22" w16cid:durableId="460147054">
    <w:abstractNumId w:val="22"/>
  </w:num>
  <w:num w:numId="23" w16cid:durableId="1444031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168"/>
    <w:rsid w:val="0000191E"/>
    <w:rsid w:val="00003329"/>
    <w:rsid w:val="00003D47"/>
    <w:rsid w:val="00004470"/>
    <w:rsid w:val="00004846"/>
    <w:rsid w:val="00005446"/>
    <w:rsid w:val="00005DA1"/>
    <w:rsid w:val="0000671C"/>
    <w:rsid w:val="00007BBF"/>
    <w:rsid w:val="00010FD6"/>
    <w:rsid w:val="000123D1"/>
    <w:rsid w:val="000136AF"/>
    <w:rsid w:val="0001399E"/>
    <w:rsid w:val="00013B8D"/>
    <w:rsid w:val="000149D1"/>
    <w:rsid w:val="00015719"/>
    <w:rsid w:val="00015951"/>
    <w:rsid w:val="000170E0"/>
    <w:rsid w:val="000216CC"/>
    <w:rsid w:val="00021E2B"/>
    <w:rsid w:val="00021FDD"/>
    <w:rsid w:val="00023D53"/>
    <w:rsid w:val="0002480E"/>
    <w:rsid w:val="00025CCF"/>
    <w:rsid w:val="00026A87"/>
    <w:rsid w:val="00026D52"/>
    <w:rsid w:val="0003190D"/>
    <w:rsid w:val="00031F40"/>
    <w:rsid w:val="0003340C"/>
    <w:rsid w:val="000349B9"/>
    <w:rsid w:val="000349E5"/>
    <w:rsid w:val="0003668A"/>
    <w:rsid w:val="00037C90"/>
    <w:rsid w:val="000404D5"/>
    <w:rsid w:val="000415C0"/>
    <w:rsid w:val="000437C1"/>
    <w:rsid w:val="000455A3"/>
    <w:rsid w:val="00051017"/>
    <w:rsid w:val="000530A3"/>
    <w:rsid w:val="0005365D"/>
    <w:rsid w:val="0005369D"/>
    <w:rsid w:val="00055168"/>
    <w:rsid w:val="00055263"/>
    <w:rsid w:val="0005531D"/>
    <w:rsid w:val="00055E7E"/>
    <w:rsid w:val="00057489"/>
    <w:rsid w:val="000614BF"/>
    <w:rsid w:val="0006250C"/>
    <w:rsid w:val="00063156"/>
    <w:rsid w:val="0006389D"/>
    <w:rsid w:val="00065EFC"/>
    <w:rsid w:val="00066349"/>
    <w:rsid w:val="000665BF"/>
    <w:rsid w:val="00067E92"/>
    <w:rsid w:val="00070020"/>
    <w:rsid w:val="00072092"/>
    <w:rsid w:val="0007316D"/>
    <w:rsid w:val="000734EA"/>
    <w:rsid w:val="00073DA2"/>
    <w:rsid w:val="00077BBF"/>
    <w:rsid w:val="00081204"/>
    <w:rsid w:val="00081794"/>
    <w:rsid w:val="0008280C"/>
    <w:rsid w:val="00084FF4"/>
    <w:rsid w:val="00091868"/>
    <w:rsid w:val="00091B7E"/>
    <w:rsid w:val="00092534"/>
    <w:rsid w:val="00092DC4"/>
    <w:rsid w:val="0009366F"/>
    <w:rsid w:val="000939B1"/>
    <w:rsid w:val="000968E5"/>
    <w:rsid w:val="00096BAA"/>
    <w:rsid w:val="00097160"/>
    <w:rsid w:val="0009716A"/>
    <w:rsid w:val="000A12B5"/>
    <w:rsid w:val="000A142F"/>
    <w:rsid w:val="000A1B94"/>
    <w:rsid w:val="000A29B4"/>
    <w:rsid w:val="000A2C1E"/>
    <w:rsid w:val="000A3AF0"/>
    <w:rsid w:val="000A56E9"/>
    <w:rsid w:val="000A5BF1"/>
    <w:rsid w:val="000A67B0"/>
    <w:rsid w:val="000A6C39"/>
    <w:rsid w:val="000A785E"/>
    <w:rsid w:val="000A7B39"/>
    <w:rsid w:val="000B1D30"/>
    <w:rsid w:val="000B2798"/>
    <w:rsid w:val="000B2E1C"/>
    <w:rsid w:val="000B2F57"/>
    <w:rsid w:val="000B331E"/>
    <w:rsid w:val="000B57A9"/>
    <w:rsid w:val="000B58FA"/>
    <w:rsid w:val="000B69E5"/>
    <w:rsid w:val="000C05A8"/>
    <w:rsid w:val="000C4BB0"/>
    <w:rsid w:val="000C55A0"/>
    <w:rsid w:val="000C66BF"/>
    <w:rsid w:val="000C6908"/>
    <w:rsid w:val="000D041F"/>
    <w:rsid w:val="000D05EF"/>
    <w:rsid w:val="000D09A6"/>
    <w:rsid w:val="000D268E"/>
    <w:rsid w:val="000D3CEE"/>
    <w:rsid w:val="000D4A5B"/>
    <w:rsid w:val="000D5E5D"/>
    <w:rsid w:val="000D5F11"/>
    <w:rsid w:val="000D6AA1"/>
    <w:rsid w:val="000D6AE6"/>
    <w:rsid w:val="000D6C09"/>
    <w:rsid w:val="000E0015"/>
    <w:rsid w:val="000E057A"/>
    <w:rsid w:val="000E2261"/>
    <w:rsid w:val="000E3C2E"/>
    <w:rsid w:val="000E4B81"/>
    <w:rsid w:val="000E552B"/>
    <w:rsid w:val="000E59B6"/>
    <w:rsid w:val="000E6BF7"/>
    <w:rsid w:val="000E7F44"/>
    <w:rsid w:val="000F049D"/>
    <w:rsid w:val="000F1CEA"/>
    <w:rsid w:val="000F21C1"/>
    <w:rsid w:val="000F337E"/>
    <w:rsid w:val="000F7CBD"/>
    <w:rsid w:val="0010265A"/>
    <w:rsid w:val="00102CA6"/>
    <w:rsid w:val="001033CC"/>
    <w:rsid w:val="00103BFC"/>
    <w:rsid w:val="001041D4"/>
    <w:rsid w:val="00104394"/>
    <w:rsid w:val="00104AAB"/>
    <w:rsid w:val="00105BCC"/>
    <w:rsid w:val="00105EDC"/>
    <w:rsid w:val="00106A97"/>
    <w:rsid w:val="00106CE2"/>
    <w:rsid w:val="0010745C"/>
    <w:rsid w:val="0010787B"/>
    <w:rsid w:val="0011092A"/>
    <w:rsid w:val="001111C0"/>
    <w:rsid w:val="001120A3"/>
    <w:rsid w:val="001122F9"/>
    <w:rsid w:val="001127D6"/>
    <w:rsid w:val="00112A42"/>
    <w:rsid w:val="00113BF1"/>
    <w:rsid w:val="001144F0"/>
    <w:rsid w:val="0011631D"/>
    <w:rsid w:val="001164B2"/>
    <w:rsid w:val="001171F3"/>
    <w:rsid w:val="001178D7"/>
    <w:rsid w:val="00117996"/>
    <w:rsid w:val="00117C83"/>
    <w:rsid w:val="0012074C"/>
    <w:rsid w:val="001240BB"/>
    <w:rsid w:val="00124BA0"/>
    <w:rsid w:val="00125141"/>
    <w:rsid w:val="00125213"/>
    <w:rsid w:val="0012572D"/>
    <w:rsid w:val="001267D2"/>
    <w:rsid w:val="00127324"/>
    <w:rsid w:val="001305BE"/>
    <w:rsid w:val="001307A4"/>
    <w:rsid w:val="001313FC"/>
    <w:rsid w:val="00131413"/>
    <w:rsid w:val="00131B27"/>
    <w:rsid w:val="001324F5"/>
    <w:rsid w:val="00132CEB"/>
    <w:rsid w:val="001340F9"/>
    <w:rsid w:val="00134B35"/>
    <w:rsid w:val="00136224"/>
    <w:rsid w:val="0013691C"/>
    <w:rsid w:val="00136AE0"/>
    <w:rsid w:val="001427F9"/>
    <w:rsid w:val="00142B62"/>
    <w:rsid w:val="00143B0A"/>
    <w:rsid w:val="00144EF9"/>
    <w:rsid w:val="0014526E"/>
    <w:rsid w:val="00146435"/>
    <w:rsid w:val="00147156"/>
    <w:rsid w:val="001512FA"/>
    <w:rsid w:val="00151D8F"/>
    <w:rsid w:val="00152B10"/>
    <w:rsid w:val="00153032"/>
    <w:rsid w:val="00153B32"/>
    <w:rsid w:val="001557CA"/>
    <w:rsid w:val="00155E58"/>
    <w:rsid w:val="00157A1E"/>
    <w:rsid w:val="00157B8B"/>
    <w:rsid w:val="00162655"/>
    <w:rsid w:val="00162737"/>
    <w:rsid w:val="001636F4"/>
    <w:rsid w:val="0016584A"/>
    <w:rsid w:val="00166C2F"/>
    <w:rsid w:val="00171671"/>
    <w:rsid w:val="00171900"/>
    <w:rsid w:val="00171A6E"/>
    <w:rsid w:val="00171D66"/>
    <w:rsid w:val="001723A1"/>
    <w:rsid w:val="0017309D"/>
    <w:rsid w:val="001809D7"/>
    <w:rsid w:val="00180BB6"/>
    <w:rsid w:val="001817AD"/>
    <w:rsid w:val="00182F09"/>
    <w:rsid w:val="00185C43"/>
    <w:rsid w:val="001868EF"/>
    <w:rsid w:val="001876BE"/>
    <w:rsid w:val="001911EA"/>
    <w:rsid w:val="00191AFD"/>
    <w:rsid w:val="00192899"/>
    <w:rsid w:val="001931EE"/>
    <w:rsid w:val="001939E1"/>
    <w:rsid w:val="00194C3E"/>
    <w:rsid w:val="00195382"/>
    <w:rsid w:val="00195BD4"/>
    <w:rsid w:val="00195BFC"/>
    <w:rsid w:val="00195C35"/>
    <w:rsid w:val="0019630B"/>
    <w:rsid w:val="001A07EC"/>
    <w:rsid w:val="001A0CEA"/>
    <w:rsid w:val="001A3026"/>
    <w:rsid w:val="001A4512"/>
    <w:rsid w:val="001A4AC3"/>
    <w:rsid w:val="001A53FA"/>
    <w:rsid w:val="001A5B2C"/>
    <w:rsid w:val="001A65B0"/>
    <w:rsid w:val="001B0A3A"/>
    <w:rsid w:val="001B3D61"/>
    <w:rsid w:val="001B3E52"/>
    <w:rsid w:val="001B4D15"/>
    <w:rsid w:val="001C01D7"/>
    <w:rsid w:val="001C0846"/>
    <w:rsid w:val="001C0926"/>
    <w:rsid w:val="001C116B"/>
    <w:rsid w:val="001C11F2"/>
    <w:rsid w:val="001C33B8"/>
    <w:rsid w:val="001C3622"/>
    <w:rsid w:val="001C3ADF"/>
    <w:rsid w:val="001C61C5"/>
    <w:rsid w:val="001C69C4"/>
    <w:rsid w:val="001D132C"/>
    <w:rsid w:val="001D3101"/>
    <w:rsid w:val="001D37EF"/>
    <w:rsid w:val="001D690C"/>
    <w:rsid w:val="001D6C6F"/>
    <w:rsid w:val="001D7565"/>
    <w:rsid w:val="001E1D9A"/>
    <w:rsid w:val="001E3590"/>
    <w:rsid w:val="001E3C69"/>
    <w:rsid w:val="001E7407"/>
    <w:rsid w:val="001E7AF2"/>
    <w:rsid w:val="001E7D3C"/>
    <w:rsid w:val="001F02B1"/>
    <w:rsid w:val="001F0BE4"/>
    <w:rsid w:val="001F1800"/>
    <w:rsid w:val="001F1AC0"/>
    <w:rsid w:val="001F2A5C"/>
    <w:rsid w:val="001F2FBC"/>
    <w:rsid w:val="001F3840"/>
    <w:rsid w:val="001F39FE"/>
    <w:rsid w:val="001F4AD8"/>
    <w:rsid w:val="001F5D5E"/>
    <w:rsid w:val="001F6219"/>
    <w:rsid w:val="001F6CD4"/>
    <w:rsid w:val="00200943"/>
    <w:rsid w:val="00202DAE"/>
    <w:rsid w:val="00205250"/>
    <w:rsid w:val="00205C60"/>
    <w:rsid w:val="002064D7"/>
    <w:rsid w:val="00206C4D"/>
    <w:rsid w:val="00206EB6"/>
    <w:rsid w:val="00206EFE"/>
    <w:rsid w:val="00207AB2"/>
    <w:rsid w:val="0021053C"/>
    <w:rsid w:val="00210683"/>
    <w:rsid w:val="00210EA6"/>
    <w:rsid w:val="002125CA"/>
    <w:rsid w:val="00215AF1"/>
    <w:rsid w:val="002224FE"/>
    <w:rsid w:val="00225480"/>
    <w:rsid w:val="00225860"/>
    <w:rsid w:val="002271E4"/>
    <w:rsid w:val="0023110A"/>
    <w:rsid w:val="00231868"/>
    <w:rsid w:val="002321E8"/>
    <w:rsid w:val="002341DE"/>
    <w:rsid w:val="00236EEC"/>
    <w:rsid w:val="0024010F"/>
    <w:rsid w:val="00240749"/>
    <w:rsid w:val="00242586"/>
    <w:rsid w:val="00243018"/>
    <w:rsid w:val="00243EC0"/>
    <w:rsid w:val="00244742"/>
    <w:rsid w:val="0024517E"/>
    <w:rsid w:val="00246EEA"/>
    <w:rsid w:val="00247B1A"/>
    <w:rsid w:val="002513AE"/>
    <w:rsid w:val="0025454F"/>
    <w:rsid w:val="002553E5"/>
    <w:rsid w:val="00255A50"/>
    <w:rsid w:val="00255B5E"/>
    <w:rsid w:val="002564A4"/>
    <w:rsid w:val="0026005D"/>
    <w:rsid w:val="0026068F"/>
    <w:rsid w:val="002645C0"/>
    <w:rsid w:val="00265047"/>
    <w:rsid w:val="00265DE4"/>
    <w:rsid w:val="002662ED"/>
    <w:rsid w:val="00266531"/>
    <w:rsid w:val="0026736C"/>
    <w:rsid w:val="00267CE1"/>
    <w:rsid w:val="0027448C"/>
    <w:rsid w:val="002746BF"/>
    <w:rsid w:val="002746DD"/>
    <w:rsid w:val="00274C45"/>
    <w:rsid w:val="00275C33"/>
    <w:rsid w:val="0027776B"/>
    <w:rsid w:val="00281308"/>
    <w:rsid w:val="0028175C"/>
    <w:rsid w:val="00281813"/>
    <w:rsid w:val="00281CBF"/>
    <w:rsid w:val="00284271"/>
    <w:rsid w:val="00284719"/>
    <w:rsid w:val="00284F30"/>
    <w:rsid w:val="00287309"/>
    <w:rsid w:val="0029086C"/>
    <w:rsid w:val="00290F5B"/>
    <w:rsid w:val="002926AC"/>
    <w:rsid w:val="002929C4"/>
    <w:rsid w:val="0029328C"/>
    <w:rsid w:val="002948E5"/>
    <w:rsid w:val="00295259"/>
    <w:rsid w:val="00295790"/>
    <w:rsid w:val="00297ECB"/>
    <w:rsid w:val="002A25F2"/>
    <w:rsid w:val="002A2E81"/>
    <w:rsid w:val="002A4715"/>
    <w:rsid w:val="002A4FE4"/>
    <w:rsid w:val="002A639B"/>
    <w:rsid w:val="002A7328"/>
    <w:rsid w:val="002A7384"/>
    <w:rsid w:val="002A7776"/>
    <w:rsid w:val="002A7BCF"/>
    <w:rsid w:val="002A7EA0"/>
    <w:rsid w:val="002B19F3"/>
    <w:rsid w:val="002B226D"/>
    <w:rsid w:val="002B2824"/>
    <w:rsid w:val="002B4A0D"/>
    <w:rsid w:val="002C0592"/>
    <w:rsid w:val="002C16E2"/>
    <w:rsid w:val="002C332E"/>
    <w:rsid w:val="002C3870"/>
    <w:rsid w:val="002C3FC6"/>
    <w:rsid w:val="002C43B3"/>
    <w:rsid w:val="002C4E91"/>
    <w:rsid w:val="002C6FAE"/>
    <w:rsid w:val="002C7A3A"/>
    <w:rsid w:val="002C7B6F"/>
    <w:rsid w:val="002D0285"/>
    <w:rsid w:val="002D043A"/>
    <w:rsid w:val="002D09B6"/>
    <w:rsid w:val="002D0F07"/>
    <w:rsid w:val="002D2248"/>
    <w:rsid w:val="002D3CFC"/>
    <w:rsid w:val="002D4873"/>
    <w:rsid w:val="002D6224"/>
    <w:rsid w:val="002E1955"/>
    <w:rsid w:val="002E21A3"/>
    <w:rsid w:val="002E2F55"/>
    <w:rsid w:val="002E3536"/>
    <w:rsid w:val="002E39BD"/>
    <w:rsid w:val="002E3F4B"/>
    <w:rsid w:val="002E40ED"/>
    <w:rsid w:val="002E416D"/>
    <w:rsid w:val="002E41C5"/>
    <w:rsid w:val="002E4DCB"/>
    <w:rsid w:val="002E6790"/>
    <w:rsid w:val="002F1007"/>
    <w:rsid w:val="002F2A85"/>
    <w:rsid w:val="002F409B"/>
    <w:rsid w:val="002F42C4"/>
    <w:rsid w:val="002F497F"/>
    <w:rsid w:val="002F59BC"/>
    <w:rsid w:val="00303CAF"/>
    <w:rsid w:val="00303D11"/>
    <w:rsid w:val="00304647"/>
    <w:rsid w:val="00304F8B"/>
    <w:rsid w:val="00305C66"/>
    <w:rsid w:val="00305DDD"/>
    <w:rsid w:val="00306577"/>
    <w:rsid w:val="00306C97"/>
    <w:rsid w:val="00310DEE"/>
    <w:rsid w:val="003128DA"/>
    <w:rsid w:val="00315867"/>
    <w:rsid w:val="00315C18"/>
    <w:rsid w:val="00315FC6"/>
    <w:rsid w:val="00316D2E"/>
    <w:rsid w:val="00316E0F"/>
    <w:rsid w:val="003174EB"/>
    <w:rsid w:val="003205CF"/>
    <w:rsid w:val="00321D82"/>
    <w:rsid w:val="00321DA6"/>
    <w:rsid w:val="00321EC0"/>
    <w:rsid w:val="0032267A"/>
    <w:rsid w:val="0032270E"/>
    <w:rsid w:val="0032498D"/>
    <w:rsid w:val="00326131"/>
    <w:rsid w:val="00326B2C"/>
    <w:rsid w:val="00327DDF"/>
    <w:rsid w:val="0033103D"/>
    <w:rsid w:val="003315BA"/>
    <w:rsid w:val="0033350E"/>
    <w:rsid w:val="003354D2"/>
    <w:rsid w:val="00335BC6"/>
    <w:rsid w:val="00335C46"/>
    <w:rsid w:val="00337D61"/>
    <w:rsid w:val="003415D3"/>
    <w:rsid w:val="00342AEB"/>
    <w:rsid w:val="00343373"/>
    <w:rsid w:val="00344701"/>
    <w:rsid w:val="00345416"/>
    <w:rsid w:val="003477EF"/>
    <w:rsid w:val="00347DDD"/>
    <w:rsid w:val="00350A41"/>
    <w:rsid w:val="00351B66"/>
    <w:rsid w:val="003528DA"/>
    <w:rsid w:val="003529FB"/>
    <w:rsid w:val="00352B0F"/>
    <w:rsid w:val="00353987"/>
    <w:rsid w:val="00353DB7"/>
    <w:rsid w:val="00356690"/>
    <w:rsid w:val="00356728"/>
    <w:rsid w:val="00357DD0"/>
    <w:rsid w:val="00360459"/>
    <w:rsid w:val="003620BD"/>
    <w:rsid w:val="00362F8D"/>
    <w:rsid w:val="003632B3"/>
    <w:rsid w:val="00363437"/>
    <w:rsid w:val="003645A3"/>
    <w:rsid w:val="003646A3"/>
    <w:rsid w:val="0036497B"/>
    <w:rsid w:val="00365497"/>
    <w:rsid w:val="00371851"/>
    <w:rsid w:val="00374E11"/>
    <w:rsid w:val="003753FD"/>
    <w:rsid w:val="00376F4E"/>
    <w:rsid w:val="003804C8"/>
    <w:rsid w:val="00386078"/>
    <w:rsid w:val="00386558"/>
    <w:rsid w:val="003869DD"/>
    <w:rsid w:val="00386DB4"/>
    <w:rsid w:val="00386E5D"/>
    <w:rsid w:val="0038785D"/>
    <w:rsid w:val="00387A96"/>
    <w:rsid w:val="003905B4"/>
    <w:rsid w:val="00390DFC"/>
    <w:rsid w:val="00391122"/>
    <w:rsid w:val="00392EEC"/>
    <w:rsid w:val="00393AE3"/>
    <w:rsid w:val="0039419C"/>
    <w:rsid w:val="00394621"/>
    <w:rsid w:val="003954F9"/>
    <w:rsid w:val="0039596F"/>
    <w:rsid w:val="003960D3"/>
    <w:rsid w:val="00397981"/>
    <w:rsid w:val="003A0191"/>
    <w:rsid w:val="003A114F"/>
    <w:rsid w:val="003A2A48"/>
    <w:rsid w:val="003A3093"/>
    <w:rsid w:val="003A4ECA"/>
    <w:rsid w:val="003A6D35"/>
    <w:rsid w:val="003B1201"/>
    <w:rsid w:val="003B1A6D"/>
    <w:rsid w:val="003B1AA6"/>
    <w:rsid w:val="003B1CD8"/>
    <w:rsid w:val="003B28C3"/>
    <w:rsid w:val="003B2A42"/>
    <w:rsid w:val="003B3364"/>
    <w:rsid w:val="003B4AFC"/>
    <w:rsid w:val="003B4B48"/>
    <w:rsid w:val="003B51E3"/>
    <w:rsid w:val="003B732F"/>
    <w:rsid w:val="003B7756"/>
    <w:rsid w:val="003C0CE2"/>
    <w:rsid w:val="003C11CA"/>
    <w:rsid w:val="003C2487"/>
    <w:rsid w:val="003C2CEC"/>
    <w:rsid w:val="003C3CB5"/>
    <w:rsid w:val="003C60B6"/>
    <w:rsid w:val="003C6231"/>
    <w:rsid w:val="003D0764"/>
    <w:rsid w:val="003D0BFE"/>
    <w:rsid w:val="003D0C6E"/>
    <w:rsid w:val="003D17E2"/>
    <w:rsid w:val="003D2266"/>
    <w:rsid w:val="003D5700"/>
    <w:rsid w:val="003D5C53"/>
    <w:rsid w:val="003D6CDC"/>
    <w:rsid w:val="003D6DD0"/>
    <w:rsid w:val="003D726D"/>
    <w:rsid w:val="003D7B7C"/>
    <w:rsid w:val="003E0F99"/>
    <w:rsid w:val="003E1BFC"/>
    <w:rsid w:val="003E200E"/>
    <w:rsid w:val="003E2085"/>
    <w:rsid w:val="003E31AD"/>
    <w:rsid w:val="003E3249"/>
    <w:rsid w:val="003E341B"/>
    <w:rsid w:val="003E3689"/>
    <w:rsid w:val="003E3FCC"/>
    <w:rsid w:val="003E5604"/>
    <w:rsid w:val="003E6BF5"/>
    <w:rsid w:val="003E739F"/>
    <w:rsid w:val="003E74F1"/>
    <w:rsid w:val="003E7504"/>
    <w:rsid w:val="003F0377"/>
    <w:rsid w:val="003F1101"/>
    <w:rsid w:val="003F1C64"/>
    <w:rsid w:val="003F1CF1"/>
    <w:rsid w:val="003F1D8A"/>
    <w:rsid w:val="003F20C9"/>
    <w:rsid w:val="003F2165"/>
    <w:rsid w:val="003F263C"/>
    <w:rsid w:val="003F2C48"/>
    <w:rsid w:val="003F30F4"/>
    <w:rsid w:val="003F319A"/>
    <w:rsid w:val="003F3F56"/>
    <w:rsid w:val="003F5E96"/>
    <w:rsid w:val="003F6BDB"/>
    <w:rsid w:val="0040053F"/>
    <w:rsid w:val="004005E4"/>
    <w:rsid w:val="00400699"/>
    <w:rsid w:val="00400A75"/>
    <w:rsid w:val="00401ABC"/>
    <w:rsid w:val="00403C16"/>
    <w:rsid w:val="0040539D"/>
    <w:rsid w:val="00405669"/>
    <w:rsid w:val="00407FFB"/>
    <w:rsid w:val="004116CD"/>
    <w:rsid w:val="00412CF9"/>
    <w:rsid w:val="00412E67"/>
    <w:rsid w:val="00413DAB"/>
    <w:rsid w:val="004144EC"/>
    <w:rsid w:val="00414A5E"/>
    <w:rsid w:val="00417EB9"/>
    <w:rsid w:val="00417FBC"/>
    <w:rsid w:val="00424CA9"/>
    <w:rsid w:val="00425946"/>
    <w:rsid w:val="00426A8C"/>
    <w:rsid w:val="00430E52"/>
    <w:rsid w:val="004311F8"/>
    <w:rsid w:val="00431E9B"/>
    <w:rsid w:val="00433400"/>
    <w:rsid w:val="00435275"/>
    <w:rsid w:val="004362ED"/>
    <w:rsid w:val="004379E3"/>
    <w:rsid w:val="0044015E"/>
    <w:rsid w:val="0044291A"/>
    <w:rsid w:val="00442CF2"/>
    <w:rsid w:val="0044409B"/>
    <w:rsid w:val="004442F9"/>
    <w:rsid w:val="00444ABD"/>
    <w:rsid w:val="00444ECE"/>
    <w:rsid w:val="00446091"/>
    <w:rsid w:val="004460B4"/>
    <w:rsid w:val="004467BB"/>
    <w:rsid w:val="0044688D"/>
    <w:rsid w:val="00447517"/>
    <w:rsid w:val="00447CFD"/>
    <w:rsid w:val="00447DB4"/>
    <w:rsid w:val="00450005"/>
    <w:rsid w:val="00450ACD"/>
    <w:rsid w:val="00450F17"/>
    <w:rsid w:val="0045145D"/>
    <w:rsid w:val="004514AC"/>
    <w:rsid w:val="00451AA4"/>
    <w:rsid w:val="00451E6A"/>
    <w:rsid w:val="004536F6"/>
    <w:rsid w:val="00453F0B"/>
    <w:rsid w:val="004543A5"/>
    <w:rsid w:val="004565B6"/>
    <w:rsid w:val="004568AF"/>
    <w:rsid w:val="00460177"/>
    <w:rsid w:val="00460F1D"/>
    <w:rsid w:val="00461FF2"/>
    <w:rsid w:val="00462F62"/>
    <w:rsid w:val="004635A8"/>
    <w:rsid w:val="004647AA"/>
    <w:rsid w:val="004647B7"/>
    <w:rsid w:val="00465DC1"/>
    <w:rsid w:val="0046603E"/>
    <w:rsid w:val="00467661"/>
    <w:rsid w:val="004705B7"/>
    <w:rsid w:val="004715CB"/>
    <w:rsid w:val="00472685"/>
    <w:rsid w:val="00472DBE"/>
    <w:rsid w:val="0047369A"/>
    <w:rsid w:val="004740F8"/>
    <w:rsid w:val="00474A19"/>
    <w:rsid w:val="004765C5"/>
    <w:rsid w:val="00477EE0"/>
    <w:rsid w:val="004802E6"/>
    <w:rsid w:val="00480615"/>
    <w:rsid w:val="004811AF"/>
    <w:rsid w:val="00481DDB"/>
    <w:rsid w:val="004823C0"/>
    <w:rsid w:val="0048276B"/>
    <w:rsid w:val="004828ED"/>
    <w:rsid w:val="00483309"/>
    <w:rsid w:val="004836A6"/>
    <w:rsid w:val="00485DC1"/>
    <w:rsid w:val="00487159"/>
    <w:rsid w:val="0048736D"/>
    <w:rsid w:val="00487AB0"/>
    <w:rsid w:val="004900BB"/>
    <w:rsid w:val="00490ED6"/>
    <w:rsid w:val="004926D4"/>
    <w:rsid w:val="00493BD9"/>
    <w:rsid w:val="004965CA"/>
    <w:rsid w:val="00496B5F"/>
    <w:rsid w:val="00496E54"/>
    <w:rsid w:val="00496F97"/>
    <w:rsid w:val="00497928"/>
    <w:rsid w:val="004A1318"/>
    <w:rsid w:val="004A1ED3"/>
    <w:rsid w:val="004A1F7E"/>
    <w:rsid w:val="004A2681"/>
    <w:rsid w:val="004A2A49"/>
    <w:rsid w:val="004A44FC"/>
    <w:rsid w:val="004A60E2"/>
    <w:rsid w:val="004A6345"/>
    <w:rsid w:val="004B079F"/>
    <w:rsid w:val="004B2D37"/>
    <w:rsid w:val="004B31B3"/>
    <w:rsid w:val="004B3EC8"/>
    <w:rsid w:val="004B5B44"/>
    <w:rsid w:val="004B69FE"/>
    <w:rsid w:val="004B6DB6"/>
    <w:rsid w:val="004C1755"/>
    <w:rsid w:val="004C1CB1"/>
    <w:rsid w:val="004C21AC"/>
    <w:rsid w:val="004C3027"/>
    <w:rsid w:val="004C4069"/>
    <w:rsid w:val="004C5F6E"/>
    <w:rsid w:val="004C6DBF"/>
    <w:rsid w:val="004C73F2"/>
    <w:rsid w:val="004C751C"/>
    <w:rsid w:val="004C787D"/>
    <w:rsid w:val="004D0268"/>
    <w:rsid w:val="004D0354"/>
    <w:rsid w:val="004D1214"/>
    <w:rsid w:val="004D411D"/>
    <w:rsid w:val="004D757E"/>
    <w:rsid w:val="004E00AF"/>
    <w:rsid w:val="004E063A"/>
    <w:rsid w:val="004E2181"/>
    <w:rsid w:val="004E2636"/>
    <w:rsid w:val="004E5651"/>
    <w:rsid w:val="004E6D8E"/>
    <w:rsid w:val="004E7A5C"/>
    <w:rsid w:val="004E7BEC"/>
    <w:rsid w:val="004F1A1C"/>
    <w:rsid w:val="004F2667"/>
    <w:rsid w:val="0050044F"/>
    <w:rsid w:val="00502F12"/>
    <w:rsid w:val="00505042"/>
    <w:rsid w:val="0050533F"/>
    <w:rsid w:val="0050537D"/>
    <w:rsid w:val="00505D3D"/>
    <w:rsid w:val="00506A37"/>
    <w:rsid w:val="00506AF6"/>
    <w:rsid w:val="00507335"/>
    <w:rsid w:val="00507997"/>
    <w:rsid w:val="00510B59"/>
    <w:rsid w:val="00514188"/>
    <w:rsid w:val="00515D96"/>
    <w:rsid w:val="005162B8"/>
    <w:rsid w:val="00516681"/>
    <w:rsid w:val="00516AD1"/>
    <w:rsid w:val="00516B8D"/>
    <w:rsid w:val="00516BA8"/>
    <w:rsid w:val="00517E09"/>
    <w:rsid w:val="00517E56"/>
    <w:rsid w:val="005207E9"/>
    <w:rsid w:val="005211E7"/>
    <w:rsid w:val="00521C74"/>
    <w:rsid w:val="00522736"/>
    <w:rsid w:val="00525169"/>
    <w:rsid w:val="00526995"/>
    <w:rsid w:val="0052718A"/>
    <w:rsid w:val="005303A4"/>
    <w:rsid w:val="00530F6A"/>
    <w:rsid w:val="00531686"/>
    <w:rsid w:val="00532049"/>
    <w:rsid w:val="00532B91"/>
    <w:rsid w:val="00532C75"/>
    <w:rsid w:val="00532F6E"/>
    <w:rsid w:val="00534DC2"/>
    <w:rsid w:val="005356A7"/>
    <w:rsid w:val="00536184"/>
    <w:rsid w:val="005362E9"/>
    <w:rsid w:val="00536CD2"/>
    <w:rsid w:val="005372BF"/>
    <w:rsid w:val="00537FBC"/>
    <w:rsid w:val="00540372"/>
    <w:rsid w:val="005423E2"/>
    <w:rsid w:val="00542AF2"/>
    <w:rsid w:val="00543B87"/>
    <w:rsid w:val="005448B2"/>
    <w:rsid w:val="00551F5B"/>
    <w:rsid w:val="0055530E"/>
    <w:rsid w:val="00555AF9"/>
    <w:rsid w:val="00555C2A"/>
    <w:rsid w:val="005574D1"/>
    <w:rsid w:val="00557C7F"/>
    <w:rsid w:val="005608BF"/>
    <w:rsid w:val="00560B8E"/>
    <w:rsid w:val="00562760"/>
    <w:rsid w:val="00562BC5"/>
    <w:rsid w:val="00562FA3"/>
    <w:rsid w:val="005634D3"/>
    <w:rsid w:val="005657FE"/>
    <w:rsid w:val="00566861"/>
    <w:rsid w:val="00572BB1"/>
    <w:rsid w:val="00573D84"/>
    <w:rsid w:val="00574EAE"/>
    <w:rsid w:val="0057670F"/>
    <w:rsid w:val="005769FC"/>
    <w:rsid w:val="005775B8"/>
    <w:rsid w:val="00577EC6"/>
    <w:rsid w:val="00580A4E"/>
    <w:rsid w:val="00580ECB"/>
    <w:rsid w:val="00581617"/>
    <w:rsid w:val="005823DA"/>
    <w:rsid w:val="00584811"/>
    <w:rsid w:val="00585784"/>
    <w:rsid w:val="00585C86"/>
    <w:rsid w:val="005867C2"/>
    <w:rsid w:val="00590B36"/>
    <w:rsid w:val="00590ECE"/>
    <w:rsid w:val="00591B96"/>
    <w:rsid w:val="005932C6"/>
    <w:rsid w:val="00593AA6"/>
    <w:rsid w:val="00594161"/>
    <w:rsid w:val="00594749"/>
    <w:rsid w:val="005961E3"/>
    <w:rsid w:val="005A0ADE"/>
    <w:rsid w:val="005A1E7A"/>
    <w:rsid w:val="005A1FF3"/>
    <w:rsid w:val="005A2407"/>
    <w:rsid w:val="005A4006"/>
    <w:rsid w:val="005A4B8D"/>
    <w:rsid w:val="005A6B92"/>
    <w:rsid w:val="005B4067"/>
    <w:rsid w:val="005B470D"/>
    <w:rsid w:val="005B4803"/>
    <w:rsid w:val="005B4E13"/>
    <w:rsid w:val="005B65AA"/>
    <w:rsid w:val="005B6E3F"/>
    <w:rsid w:val="005B721C"/>
    <w:rsid w:val="005B780C"/>
    <w:rsid w:val="005C375F"/>
    <w:rsid w:val="005C3F41"/>
    <w:rsid w:val="005C4D3E"/>
    <w:rsid w:val="005C52E3"/>
    <w:rsid w:val="005C6177"/>
    <w:rsid w:val="005C62E8"/>
    <w:rsid w:val="005C6653"/>
    <w:rsid w:val="005D0489"/>
    <w:rsid w:val="005D1344"/>
    <w:rsid w:val="005D1642"/>
    <w:rsid w:val="005D2D09"/>
    <w:rsid w:val="005D370D"/>
    <w:rsid w:val="005D3D41"/>
    <w:rsid w:val="005D4F0B"/>
    <w:rsid w:val="005D52F1"/>
    <w:rsid w:val="005D6255"/>
    <w:rsid w:val="005D68F1"/>
    <w:rsid w:val="005D6A24"/>
    <w:rsid w:val="005D6B41"/>
    <w:rsid w:val="005E0CEE"/>
    <w:rsid w:val="005E134C"/>
    <w:rsid w:val="005E190C"/>
    <w:rsid w:val="005E3449"/>
    <w:rsid w:val="005E436C"/>
    <w:rsid w:val="005E4810"/>
    <w:rsid w:val="005E5AD1"/>
    <w:rsid w:val="005E654F"/>
    <w:rsid w:val="005F003F"/>
    <w:rsid w:val="005F1782"/>
    <w:rsid w:val="005F1B7D"/>
    <w:rsid w:val="005F2791"/>
    <w:rsid w:val="005F4140"/>
    <w:rsid w:val="005F50A2"/>
    <w:rsid w:val="005F585E"/>
    <w:rsid w:val="005F65CD"/>
    <w:rsid w:val="00600219"/>
    <w:rsid w:val="0060031A"/>
    <w:rsid w:val="0060055A"/>
    <w:rsid w:val="00601607"/>
    <w:rsid w:val="00601D8F"/>
    <w:rsid w:val="00603D72"/>
    <w:rsid w:val="00603DC4"/>
    <w:rsid w:val="00605DDA"/>
    <w:rsid w:val="006060FF"/>
    <w:rsid w:val="0060657B"/>
    <w:rsid w:val="00607A71"/>
    <w:rsid w:val="00610992"/>
    <w:rsid w:val="006117CB"/>
    <w:rsid w:val="0061318D"/>
    <w:rsid w:val="00615FDD"/>
    <w:rsid w:val="00616086"/>
    <w:rsid w:val="0061614D"/>
    <w:rsid w:val="00616C63"/>
    <w:rsid w:val="006175C8"/>
    <w:rsid w:val="00620076"/>
    <w:rsid w:val="00620312"/>
    <w:rsid w:val="00621712"/>
    <w:rsid w:val="0062396A"/>
    <w:rsid w:val="00625320"/>
    <w:rsid w:val="00626988"/>
    <w:rsid w:val="00626C63"/>
    <w:rsid w:val="00632B54"/>
    <w:rsid w:val="00634044"/>
    <w:rsid w:val="00637E1E"/>
    <w:rsid w:val="00637F5B"/>
    <w:rsid w:val="00640161"/>
    <w:rsid w:val="00640930"/>
    <w:rsid w:val="00641F34"/>
    <w:rsid w:val="006420CA"/>
    <w:rsid w:val="0064289C"/>
    <w:rsid w:val="006448AB"/>
    <w:rsid w:val="006451AA"/>
    <w:rsid w:val="006457BA"/>
    <w:rsid w:val="00646426"/>
    <w:rsid w:val="00646A7B"/>
    <w:rsid w:val="00651DDB"/>
    <w:rsid w:val="00652769"/>
    <w:rsid w:val="00652D75"/>
    <w:rsid w:val="00654921"/>
    <w:rsid w:val="0065542F"/>
    <w:rsid w:val="006554FF"/>
    <w:rsid w:val="006577BE"/>
    <w:rsid w:val="006579C4"/>
    <w:rsid w:val="006601B9"/>
    <w:rsid w:val="00660384"/>
    <w:rsid w:val="00664995"/>
    <w:rsid w:val="00664A67"/>
    <w:rsid w:val="006659C1"/>
    <w:rsid w:val="00670EA1"/>
    <w:rsid w:val="00671F26"/>
    <w:rsid w:val="00672C3E"/>
    <w:rsid w:val="00675018"/>
    <w:rsid w:val="00677CC2"/>
    <w:rsid w:val="0068002A"/>
    <w:rsid w:val="00680C9D"/>
    <w:rsid w:val="00681399"/>
    <w:rsid w:val="006828B4"/>
    <w:rsid w:val="00682BE1"/>
    <w:rsid w:val="006879D3"/>
    <w:rsid w:val="0069005B"/>
    <w:rsid w:val="0069012E"/>
    <w:rsid w:val="006905DE"/>
    <w:rsid w:val="0069131F"/>
    <w:rsid w:val="0069207B"/>
    <w:rsid w:val="00693949"/>
    <w:rsid w:val="00693EC3"/>
    <w:rsid w:val="00695F3E"/>
    <w:rsid w:val="00696426"/>
    <w:rsid w:val="00696CEB"/>
    <w:rsid w:val="006A054F"/>
    <w:rsid w:val="006A2261"/>
    <w:rsid w:val="006A2562"/>
    <w:rsid w:val="006A5323"/>
    <w:rsid w:val="006A72FB"/>
    <w:rsid w:val="006A7963"/>
    <w:rsid w:val="006A7B7B"/>
    <w:rsid w:val="006B1D79"/>
    <w:rsid w:val="006B2013"/>
    <w:rsid w:val="006B5727"/>
    <w:rsid w:val="006B5789"/>
    <w:rsid w:val="006B6CDE"/>
    <w:rsid w:val="006B7AE3"/>
    <w:rsid w:val="006C073A"/>
    <w:rsid w:val="006C10CE"/>
    <w:rsid w:val="006C1715"/>
    <w:rsid w:val="006C2524"/>
    <w:rsid w:val="006C30C5"/>
    <w:rsid w:val="006C404A"/>
    <w:rsid w:val="006C48FA"/>
    <w:rsid w:val="006C4A12"/>
    <w:rsid w:val="006C4C40"/>
    <w:rsid w:val="006C4C9D"/>
    <w:rsid w:val="006C5E9C"/>
    <w:rsid w:val="006C797E"/>
    <w:rsid w:val="006C7E38"/>
    <w:rsid w:val="006C7F8C"/>
    <w:rsid w:val="006D0EC0"/>
    <w:rsid w:val="006D2890"/>
    <w:rsid w:val="006D3067"/>
    <w:rsid w:val="006D42CC"/>
    <w:rsid w:val="006D44FA"/>
    <w:rsid w:val="006D4BD5"/>
    <w:rsid w:val="006D5818"/>
    <w:rsid w:val="006E2774"/>
    <w:rsid w:val="006E394A"/>
    <w:rsid w:val="006E4E41"/>
    <w:rsid w:val="006E5320"/>
    <w:rsid w:val="006E61D2"/>
    <w:rsid w:val="006E6246"/>
    <w:rsid w:val="006E7C2A"/>
    <w:rsid w:val="006F1EEE"/>
    <w:rsid w:val="006F23CA"/>
    <w:rsid w:val="006F28A6"/>
    <w:rsid w:val="006F318F"/>
    <w:rsid w:val="006F4226"/>
    <w:rsid w:val="006F4794"/>
    <w:rsid w:val="006F5B6A"/>
    <w:rsid w:val="006F6025"/>
    <w:rsid w:val="006F6711"/>
    <w:rsid w:val="006F6CB3"/>
    <w:rsid w:val="006F72E1"/>
    <w:rsid w:val="006F760A"/>
    <w:rsid w:val="0070017E"/>
    <w:rsid w:val="00700B2C"/>
    <w:rsid w:val="007012CE"/>
    <w:rsid w:val="00701982"/>
    <w:rsid w:val="00702C55"/>
    <w:rsid w:val="00702EFD"/>
    <w:rsid w:val="00703710"/>
    <w:rsid w:val="007040A9"/>
    <w:rsid w:val="00704725"/>
    <w:rsid w:val="007050A2"/>
    <w:rsid w:val="00705A88"/>
    <w:rsid w:val="00705D14"/>
    <w:rsid w:val="007061C4"/>
    <w:rsid w:val="00706403"/>
    <w:rsid w:val="00706BBB"/>
    <w:rsid w:val="00710343"/>
    <w:rsid w:val="00710FF8"/>
    <w:rsid w:val="00712161"/>
    <w:rsid w:val="00713084"/>
    <w:rsid w:val="0071399B"/>
    <w:rsid w:val="0071467A"/>
    <w:rsid w:val="00714F20"/>
    <w:rsid w:val="00715680"/>
    <w:rsid w:val="0071590F"/>
    <w:rsid w:val="00715914"/>
    <w:rsid w:val="007159F8"/>
    <w:rsid w:val="00715B99"/>
    <w:rsid w:val="00720C27"/>
    <w:rsid w:val="00721731"/>
    <w:rsid w:val="00722A9A"/>
    <w:rsid w:val="00722EEE"/>
    <w:rsid w:val="00724C45"/>
    <w:rsid w:val="00724CBC"/>
    <w:rsid w:val="00725159"/>
    <w:rsid w:val="007263D0"/>
    <w:rsid w:val="007264E3"/>
    <w:rsid w:val="00726F64"/>
    <w:rsid w:val="00726FF7"/>
    <w:rsid w:val="00731833"/>
    <w:rsid w:val="00731E00"/>
    <w:rsid w:val="0073241D"/>
    <w:rsid w:val="00732693"/>
    <w:rsid w:val="00735AE0"/>
    <w:rsid w:val="0073775F"/>
    <w:rsid w:val="00740290"/>
    <w:rsid w:val="00741EE8"/>
    <w:rsid w:val="007440B7"/>
    <w:rsid w:val="0074591C"/>
    <w:rsid w:val="0074708D"/>
    <w:rsid w:val="007500C8"/>
    <w:rsid w:val="00753C33"/>
    <w:rsid w:val="00755F8E"/>
    <w:rsid w:val="00756272"/>
    <w:rsid w:val="007564FA"/>
    <w:rsid w:val="00757201"/>
    <w:rsid w:val="007573D0"/>
    <w:rsid w:val="00757D1B"/>
    <w:rsid w:val="00757E86"/>
    <w:rsid w:val="00761208"/>
    <w:rsid w:val="00761840"/>
    <w:rsid w:val="0076314C"/>
    <w:rsid w:val="007646AB"/>
    <w:rsid w:val="00765AAC"/>
    <w:rsid w:val="007662B5"/>
    <w:rsid w:val="00766583"/>
    <w:rsid w:val="0076681A"/>
    <w:rsid w:val="00766F46"/>
    <w:rsid w:val="007670F5"/>
    <w:rsid w:val="00770304"/>
    <w:rsid w:val="007715C9"/>
    <w:rsid w:val="00771613"/>
    <w:rsid w:val="00771ECD"/>
    <w:rsid w:val="00774E11"/>
    <w:rsid w:val="00774EDD"/>
    <w:rsid w:val="0077506D"/>
    <w:rsid w:val="007757EC"/>
    <w:rsid w:val="00775B2E"/>
    <w:rsid w:val="00777412"/>
    <w:rsid w:val="007812CC"/>
    <w:rsid w:val="007814CB"/>
    <w:rsid w:val="0078164F"/>
    <w:rsid w:val="0078212A"/>
    <w:rsid w:val="00783E89"/>
    <w:rsid w:val="00784B8F"/>
    <w:rsid w:val="00785223"/>
    <w:rsid w:val="00785A9E"/>
    <w:rsid w:val="00786DA2"/>
    <w:rsid w:val="00787AD9"/>
    <w:rsid w:val="00790548"/>
    <w:rsid w:val="00790877"/>
    <w:rsid w:val="007908A2"/>
    <w:rsid w:val="007913D6"/>
    <w:rsid w:val="00792295"/>
    <w:rsid w:val="00792C22"/>
    <w:rsid w:val="007930F5"/>
    <w:rsid w:val="0079369C"/>
    <w:rsid w:val="00793915"/>
    <w:rsid w:val="00793C98"/>
    <w:rsid w:val="00794951"/>
    <w:rsid w:val="00796997"/>
    <w:rsid w:val="007A1078"/>
    <w:rsid w:val="007A208A"/>
    <w:rsid w:val="007A2F00"/>
    <w:rsid w:val="007A4FD9"/>
    <w:rsid w:val="007A5369"/>
    <w:rsid w:val="007A626E"/>
    <w:rsid w:val="007A63E0"/>
    <w:rsid w:val="007B0408"/>
    <w:rsid w:val="007B08FA"/>
    <w:rsid w:val="007B11D6"/>
    <w:rsid w:val="007B1D28"/>
    <w:rsid w:val="007B223F"/>
    <w:rsid w:val="007B2C16"/>
    <w:rsid w:val="007B440D"/>
    <w:rsid w:val="007B4C4F"/>
    <w:rsid w:val="007B4EBC"/>
    <w:rsid w:val="007B6FFA"/>
    <w:rsid w:val="007C0409"/>
    <w:rsid w:val="007C0D98"/>
    <w:rsid w:val="007C2253"/>
    <w:rsid w:val="007C2FC5"/>
    <w:rsid w:val="007C459F"/>
    <w:rsid w:val="007D07AA"/>
    <w:rsid w:val="007D1444"/>
    <w:rsid w:val="007D230B"/>
    <w:rsid w:val="007D249E"/>
    <w:rsid w:val="007D2B9B"/>
    <w:rsid w:val="007D3984"/>
    <w:rsid w:val="007D4D91"/>
    <w:rsid w:val="007D6750"/>
    <w:rsid w:val="007D7DF6"/>
    <w:rsid w:val="007D7EBC"/>
    <w:rsid w:val="007E163D"/>
    <w:rsid w:val="007E3316"/>
    <w:rsid w:val="007E3D0B"/>
    <w:rsid w:val="007E44BF"/>
    <w:rsid w:val="007E55D1"/>
    <w:rsid w:val="007E667A"/>
    <w:rsid w:val="007F1A5A"/>
    <w:rsid w:val="007F28C9"/>
    <w:rsid w:val="007F3DC8"/>
    <w:rsid w:val="007F46BF"/>
    <w:rsid w:val="007F5FC8"/>
    <w:rsid w:val="0080044B"/>
    <w:rsid w:val="0080151D"/>
    <w:rsid w:val="00802246"/>
    <w:rsid w:val="0080312D"/>
    <w:rsid w:val="00803587"/>
    <w:rsid w:val="00804718"/>
    <w:rsid w:val="00804F51"/>
    <w:rsid w:val="00805080"/>
    <w:rsid w:val="00806CC6"/>
    <w:rsid w:val="008102DA"/>
    <w:rsid w:val="00810BFD"/>
    <w:rsid w:val="0081158B"/>
    <w:rsid w:val="008117E9"/>
    <w:rsid w:val="00812D25"/>
    <w:rsid w:val="00813B7F"/>
    <w:rsid w:val="00814274"/>
    <w:rsid w:val="008147A4"/>
    <w:rsid w:val="00814962"/>
    <w:rsid w:val="008158B8"/>
    <w:rsid w:val="008166C3"/>
    <w:rsid w:val="00816E03"/>
    <w:rsid w:val="00817909"/>
    <w:rsid w:val="00817E1A"/>
    <w:rsid w:val="00817FA9"/>
    <w:rsid w:val="00821D1D"/>
    <w:rsid w:val="00822194"/>
    <w:rsid w:val="00823252"/>
    <w:rsid w:val="00823365"/>
    <w:rsid w:val="008235C4"/>
    <w:rsid w:val="00823B66"/>
    <w:rsid w:val="00823BF8"/>
    <w:rsid w:val="00824498"/>
    <w:rsid w:val="00824855"/>
    <w:rsid w:val="00825E6A"/>
    <w:rsid w:val="00830DED"/>
    <w:rsid w:val="00831203"/>
    <w:rsid w:val="008321EA"/>
    <w:rsid w:val="00833BBF"/>
    <w:rsid w:val="00835A6C"/>
    <w:rsid w:val="00837A4E"/>
    <w:rsid w:val="00837C9F"/>
    <w:rsid w:val="00837D42"/>
    <w:rsid w:val="00840442"/>
    <w:rsid w:val="00843239"/>
    <w:rsid w:val="008436D3"/>
    <w:rsid w:val="00843F16"/>
    <w:rsid w:val="008444E2"/>
    <w:rsid w:val="008452D2"/>
    <w:rsid w:val="0084721A"/>
    <w:rsid w:val="00847315"/>
    <w:rsid w:val="00851991"/>
    <w:rsid w:val="008527C0"/>
    <w:rsid w:val="008537B6"/>
    <w:rsid w:val="008538DC"/>
    <w:rsid w:val="00855843"/>
    <w:rsid w:val="00855AC0"/>
    <w:rsid w:val="00855C6F"/>
    <w:rsid w:val="00856A31"/>
    <w:rsid w:val="00857180"/>
    <w:rsid w:val="00860B58"/>
    <w:rsid w:val="008610B9"/>
    <w:rsid w:val="00861545"/>
    <w:rsid w:val="0086156D"/>
    <w:rsid w:val="00861ACE"/>
    <w:rsid w:val="00866BE8"/>
    <w:rsid w:val="0086711A"/>
    <w:rsid w:val="00867B37"/>
    <w:rsid w:val="008718DD"/>
    <w:rsid w:val="00873F02"/>
    <w:rsid w:val="00874982"/>
    <w:rsid w:val="008754D0"/>
    <w:rsid w:val="008758C2"/>
    <w:rsid w:val="00877A3A"/>
    <w:rsid w:val="00880B12"/>
    <w:rsid w:val="00881518"/>
    <w:rsid w:val="00881E14"/>
    <w:rsid w:val="00881FE8"/>
    <w:rsid w:val="008825CC"/>
    <w:rsid w:val="008855C9"/>
    <w:rsid w:val="00886456"/>
    <w:rsid w:val="00886A76"/>
    <w:rsid w:val="00886D48"/>
    <w:rsid w:val="00890025"/>
    <w:rsid w:val="0089232A"/>
    <w:rsid w:val="00892D73"/>
    <w:rsid w:val="008933AE"/>
    <w:rsid w:val="008945E0"/>
    <w:rsid w:val="00894B03"/>
    <w:rsid w:val="0089527F"/>
    <w:rsid w:val="008A004B"/>
    <w:rsid w:val="008A0ABA"/>
    <w:rsid w:val="008A2F42"/>
    <w:rsid w:val="008A362B"/>
    <w:rsid w:val="008A41C0"/>
    <w:rsid w:val="008A46E1"/>
    <w:rsid w:val="008A4F43"/>
    <w:rsid w:val="008A55E0"/>
    <w:rsid w:val="008A5EA4"/>
    <w:rsid w:val="008A6066"/>
    <w:rsid w:val="008A67AE"/>
    <w:rsid w:val="008B1782"/>
    <w:rsid w:val="008B2706"/>
    <w:rsid w:val="008B2868"/>
    <w:rsid w:val="008B57A2"/>
    <w:rsid w:val="008C0EF7"/>
    <w:rsid w:val="008C0F0E"/>
    <w:rsid w:val="008C0F29"/>
    <w:rsid w:val="008C115A"/>
    <w:rsid w:val="008C14F0"/>
    <w:rsid w:val="008C1919"/>
    <w:rsid w:val="008C3440"/>
    <w:rsid w:val="008C3A6E"/>
    <w:rsid w:val="008C4B5B"/>
    <w:rsid w:val="008C5454"/>
    <w:rsid w:val="008C5868"/>
    <w:rsid w:val="008D0054"/>
    <w:rsid w:val="008D06E1"/>
    <w:rsid w:val="008D08D5"/>
    <w:rsid w:val="008D0EE0"/>
    <w:rsid w:val="008D10F9"/>
    <w:rsid w:val="008D1935"/>
    <w:rsid w:val="008D2709"/>
    <w:rsid w:val="008D3422"/>
    <w:rsid w:val="008D3ECB"/>
    <w:rsid w:val="008D61F9"/>
    <w:rsid w:val="008D626D"/>
    <w:rsid w:val="008E24B7"/>
    <w:rsid w:val="008E2FA2"/>
    <w:rsid w:val="008E6067"/>
    <w:rsid w:val="008E728A"/>
    <w:rsid w:val="008E7D8B"/>
    <w:rsid w:val="008F052E"/>
    <w:rsid w:val="008F1454"/>
    <w:rsid w:val="008F1A2E"/>
    <w:rsid w:val="008F42BA"/>
    <w:rsid w:val="008F451D"/>
    <w:rsid w:val="008F4CA1"/>
    <w:rsid w:val="008F54E7"/>
    <w:rsid w:val="008F5E3F"/>
    <w:rsid w:val="008F64EF"/>
    <w:rsid w:val="00900D6C"/>
    <w:rsid w:val="009016BE"/>
    <w:rsid w:val="00903422"/>
    <w:rsid w:val="00903ECD"/>
    <w:rsid w:val="009049DC"/>
    <w:rsid w:val="00905AB2"/>
    <w:rsid w:val="00905F4C"/>
    <w:rsid w:val="00907C1C"/>
    <w:rsid w:val="0091004E"/>
    <w:rsid w:val="009102C0"/>
    <w:rsid w:val="009115F2"/>
    <w:rsid w:val="009119C3"/>
    <w:rsid w:val="0091347A"/>
    <w:rsid w:val="0091361D"/>
    <w:rsid w:val="009136FB"/>
    <w:rsid w:val="00914083"/>
    <w:rsid w:val="009157B9"/>
    <w:rsid w:val="00915DF9"/>
    <w:rsid w:val="009163F6"/>
    <w:rsid w:val="00916926"/>
    <w:rsid w:val="00916F0A"/>
    <w:rsid w:val="009202AD"/>
    <w:rsid w:val="009202C2"/>
    <w:rsid w:val="00922A61"/>
    <w:rsid w:val="0092356F"/>
    <w:rsid w:val="009236EF"/>
    <w:rsid w:val="00923B31"/>
    <w:rsid w:val="009247F2"/>
    <w:rsid w:val="009253E9"/>
    <w:rsid w:val="009254C3"/>
    <w:rsid w:val="00926940"/>
    <w:rsid w:val="00927741"/>
    <w:rsid w:val="009303A8"/>
    <w:rsid w:val="009303CE"/>
    <w:rsid w:val="009308B4"/>
    <w:rsid w:val="00930A0A"/>
    <w:rsid w:val="009314D6"/>
    <w:rsid w:val="00931A7C"/>
    <w:rsid w:val="00932377"/>
    <w:rsid w:val="009329FD"/>
    <w:rsid w:val="0093405F"/>
    <w:rsid w:val="00934283"/>
    <w:rsid w:val="00936A2F"/>
    <w:rsid w:val="00936DDC"/>
    <w:rsid w:val="009370A8"/>
    <w:rsid w:val="00941CAE"/>
    <w:rsid w:val="00941FE4"/>
    <w:rsid w:val="00942C0F"/>
    <w:rsid w:val="00944100"/>
    <w:rsid w:val="009460DC"/>
    <w:rsid w:val="009460FD"/>
    <w:rsid w:val="00947D5A"/>
    <w:rsid w:val="00952BD3"/>
    <w:rsid w:val="009532A5"/>
    <w:rsid w:val="0095528E"/>
    <w:rsid w:val="00963010"/>
    <w:rsid w:val="00963A40"/>
    <w:rsid w:val="0096753E"/>
    <w:rsid w:val="00971B78"/>
    <w:rsid w:val="00971F48"/>
    <w:rsid w:val="00973423"/>
    <w:rsid w:val="00973CBD"/>
    <w:rsid w:val="00973D2E"/>
    <w:rsid w:val="00974E8E"/>
    <w:rsid w:val="0097513C"/>
    <w:rsid w:val="0097547B"/>
    <w:rsid w:val="00975509"/>
    <w:rsid w:val="009765B1"/>
    <w:rsid w:val="009774E8"/>
    <w:rsid w:val="0098048B"/>
    <w:rsid w:val="00980B01"/>
    <w:rsid w:val="00981075"/>
    <w:rsid w:val="00981656"/>
    <w:rsid w:val="00981C29"/>
    <w:rsid w:val="00982242"/>
    <w:rsid w:val="009826DB"/>
    <w:rsid w:val="009830E0"/>
    <w:rsid w:val="0098359B"/>
    <w:rsid w:val="00986745"/>
    <w:rsid w:val="009868E9"/>
    <w:rsid w:val="009868EC"/>
    <w:rsid w:val="00992247"/>
    <w:rsid w:val="009929CE"/>
    <w:rsid w:val="009944E6"/>
    <w:rsid w:val="00994E24"/>
    <w:rsid w:val="00997959"/>
    <w:rsid w:val="009A0E4F"/>
    <w:rsid w:val="009A2A3C"/>
    <w:rsid w:val="009A3027"/>
    <w:rsid w:val="009A3087"/>
    <w:rsid w:val="009A49C9"/>
    <w:rsid w:val="009A4F74"/>
    <w:rsid w:val="009B01DB"/>
    <w:rsid w:val="009B0206"/>
    <w:rsid w:val="009B228C"/>
    <w:rsid w:val="009B29B1"/>
    <w:rsid w:val="009B33D8"/>
    <w:rsid w:val="009B462E"/>
    <w:rsid w:val="009B48F3"/>
    <w:rsid w:val="009B51AC"/>
    <w:rsid w:val="009B544D"/>
    <w:rsid w:val="009B667C"/>
    <w:rsid w:val="009B69DC"/>
    <w:rsid w:val="009B769E"/>
    <w:rsid w:val="009B7DF5"/>
    <w:rsid w:val="009B7E88"/>
    <w:rsid w:val="009B7F0F"/>
    <w:rsid w:val="009C10AB"/>
    <w:rsid w:val="009C4830"/>
    <w:rsid w:val="009C5081"/>
    <w:rsid w:val="009C62ED"/>
    <w:rsid w:val="009C69ED"/>
    <w:rsid w:val="009C6B90"/>
    <w:rsid w:val="009C744A"/>
    <w:rsid w:val="009D065B"/>
    <w:rsid w:val="009D0796"/>
    <w:rsid w:val="009D1490"/>
    <w:rsid w:val="009D1818"/>
    <w:rsid w:val="009D195A"/>
    <w:rsid w:val="009D1B9E"/>
    <w:rsid w:val="009D4228"/>
    <w:rsid w:val="009D4349"/>
    <w:rsid w:val="009D7B07"/>
    <w:rsid w:val="009E0AA8"/>
    <w:rsid w:val="009E142C"/>
    <w:rsid w:val="009E2141"/>
    <w:rsid w:val="009E27DF"/>
    <w:rsid w:val="009E288D"/>
    <w:rsid w:val="009E32F0"/>
    <w:rsid w:val="009E3796"/>
    <w:rsid w:val="009E43EA"/>
    <w:rsid w:val="009E4EF7"/>
    <w:rsid w:val="009E5CFC"/>
    <w:rsid w:val="009E6040"/>
    <w:rsid w:val="009E6098"/>
    <w:rsid w:val="009E6A10"/>
    <w:rsid w:val="009E6FAB"/>
    <w:rsid w:val="009F1724"/>
    <w:rsid w:val="009F17EC"/>
    <w:rsid w:val="009F209D"/>
    <w:rsid w:val="009F2921"/>
    <w:rsid w:val="009F2CEB"/>
    <w:rsid w:val="009F401F"/>
    <w:rsid w:val="009F4862"/>
    <w:rsid w:val="009F76FA"/>
    <w:rsid w:val="009F7D9E"/>
    <w:rsid w:val="00A00149"/>
    <w:rsid w:val="00A012E8"/>
    <w:rsid w:val="00A01866"/>
    <w:rsid w:val="00A03239"/>
    <w:rsid w:val="00A03315"/>
    <w:rsid w:val="00A034DF"/>
    <w:rsid w:val="00A0421E"/>
    <w:rsid w:val="00A0491B"/>
    <w:rsid w:val="00A06AF0"/>
    <w:rsid w:val="00A079CB"/>
    <w:rsid w:val="00A12128"/>
    <w:rsid w:val="00A12521"/>
    <w:rsid w:val="00A12F48"/>
    <w:rsid w:val="00A13B9D"/>
    <w:rsid w:val="00A15512"/>
    <w:rsid w:val="00A1676F"/>
    <w:rsid w:val="00A16B25"/>
    <w:rsid w:val="00A16CCB"/>
    <w:rsid w:val="00A1763B"/>
    <w:rsid w:val="00A20F29"/>
    <w:rsid w:val="00A215E6"/>
    <w:rsid w:val="00A2272F"/>
    <w:rsid w:val="00A22C98"/>
    <w:rsid w:val="00A231E2"/>
    <w:rsid w:val="00A236D5"/>
    <w:rsid w:val="00A23CC7"/>
    <w:rsid w:val="00A265E2"/>
    <w:rsid w:val="00A26D44"/>
    <w:rsid w:val="00A2777F"/>
    <w:rsid w:val="00A315F1"/>
    <w:rsid w:val="00A31E40"/>
    <w:rsid w:val="00A33D55"/>
    <w:rsid w:val="00A33FA9"/>
    <w:rsid w:val="00A3411B"/>
    <w:rsid w:val="00A34412"/>
    <w:rsid w:val="00A34854"/>
    <w:rsid w:val="00A3532B"/>
    <w:rsid w:val="00A36E84"/>
    <w:rsid w:val="00A37FAD"/>
    <w:rsid w:val="00A40424"/>
    <w:rsid w:val="00A40728"/>
    <w:rsid w:val="00A40CA2"/>
    <w:rsid w:val="00A4146C"/>
    <w:rsid w:val="00A42A42"/>
    <w:rsid w:val="00A44758"/>
    <w:rsid w:val="00A4591D"/>
    <w:rsid w:val="00A46A42"/>
    <w:rsid w:val="00A4740C"/>
    <w:rsid w:val="00A50521"/>
    <w:rsid w:val="00A5155A"/>
    <w:rsid w:val="00A515CC"/>
    <w:rsid w:val="00A51CBE"/>
    <w:rsid w:val="00A51E57"/>
    <w:rsid w:val="00A525A4"/>
    <w:rsid w:val="00A52B0F"/>
    <w:rsid w:val="00A53B2D"/>
    <w:rsid w:val="00A54EC1"/>
    <w:rsid w:val="00A5632E"/>
    <w:rsid w:val="00A563AC"/>
    <w:rsid w:val="00A56D85"/>
    <w:rsid w:val="00A60E9D"/>
    <w:rsid w:val="00A61A98"/>
    <w:rsid w:val="00A61EFF"/>
    <w:rsid w:val="00A61F20"/>
    <w:rsid w:val="00A63D47"/>
    <w:rsid w:val="00A64912"/>
    <w:rsid w:val="00A65D25"/>
    <w:rsid w:val="00A65DBE"/>
    <w:rsid w:val="00A66E79"/>
    <w:rsid w:val="00A66F61"/>
    <w:rsid w:val="00A6740F"/>
    <w:rsid w:val="00A67C44"/>
    <w:rsid w:val="00A70A74"/>
    <w:rsid w:val="00A70FB5"/>
    <w:rsid w:val="00A71A50"/>
    <w:rsid w:val="00A71E25"/>
    <w:rsid w:val="00A722FA"/>
    <w:rsid w:val="00A73245"/>
    <w:rsid w:val="00A752DB"/>
    <w:rsid w:val="00A7573D"/>
    <w:rsid w:val="00A77A19"/>
    <w:rsid w:val="00A8014E"/>
    <w:rsid w:val="00A805AB"/>
    <w:rsid w:val="00A80633"/>
    <w:rsid w:val="00A81971"/>
    <w:rsid w:val="00A81D13"/>
    <w:rsid w:val="00A8300B"/>
    <w:rsid w:val="00A83448"/>
    <w:rsid w:val="00A8383B"/>
    <w:rsid w:val="00A856B4"/>
    <w:rsid w:val="00A85D1B"/>
    <w:rsid w:val="00A85E7C"/>
    <w:rsid w:val="00A860F4"/>
    <w:rsid w:val="00A861EA"/>
    <w:rsid w:val="00A866B8"/>
    <w:rsid w:val="00A90D6D"/>
    <w:rsid w:val="00A9117A"/>
    <w:rsid w:val="00A91927"/>
    <w:rsid w:val="00A91966"/>
    <w:rsid w:val="00A9266C"/>
    <w:rsid w:val="00A93F5A"/>
    <w:rsid w:val="00A9564F"/>
    <w:rsid w:val="00A95F05"/>
    <w:rsid w:val="00A96308"/>
    <w:rsid w:val="00A964A1"/>
    <w:rsid w:val="00A96AB6"/>
    <w:rsid w:val="00AA050B"/>
    <w:rsid w:val="00AA16D0"/>
    <w:rsid w:val="00AA28C4"/>
    <w:rsid w:val="00AA30B3"/>
    <w:rsid w:val="00AA316F"/>
    <w:rsid w:val="00AA595D"/>
    <w:rsid w:val="00AA622B"/>
    <w:rsid w:val="00AA66AC"/>
    <w:rsid w:val="00AB02C6"/>
    <w:rsid w:val="00AB03AB"/>
    <w:rsid w:val="00AB1DE8"/>
    <w:rsid w:val="00AB3F1C"/>
    <w:rsid w:val="00AB407D"/>
    <w:rsid w:val="00AB4589"/>
    <w:rsid w:val="00AB4ADB"/>
    <w:rsid w:val="00AB4C16"/>
    <w:rsid w:val="00AB4C9B"/>
    <w:rsid w:val="00AB4E77"/>
    <w:rsid w:val="00AB57AD"/>
    <w:rsid w:val="00AB5B48"/>
    <w:rsid w:val="00AB60B3"/>
    <w:rsid w:val="00AC047B"/>
    <w:rsid w:val="00AC0886"/>
    <w:rsid w:val="00AC0949"/>
    <w:rsid w:val="00AC2BC6"/>
    <w:rsid w:val="00AC31BB"/>
    <w:rsid w:val="00AC357B"/>
    <w:rsid w:val="00AC36D4"/>
    <w:rsid w:val="00AC6CB7"/>
    <w:rsid w:val="00AC709D"/>
    <w:rsid w:val="00AC7AE3"/>
    <w:rsid w:val="00AD1BC5"/>
    <w:rsid w:val="00AD1C05"/>
    <w:rsid w:val="00AD1F73"/>
    <w:rsid w:val="00AD4BBE"/>
    <w:rsid w:val="00AD5315"/>
    <w:rsid w:val="00AD5641"/>
    <w:rsid w:val="00AD6D9B"/>
    <w:rsid w:val="00AD6DEF"/>
    <w:rsid w:val="00AD7889"/>
    <w:rsid w:val="00AE030D"/>
    <w:rsid w:val="00AE08C4"/>
    <w:rsid w:val="00AE0997"/>
    <w:rsid w:val="00AE1A12"/>
    <w:rsid w:val="00AE1CD2"/>
    <w:rsid w:val="00AE1D94"/>
    <w:rsid w:val="00AE21B8"/>
    <w:rsid w:val="00AE2991"/>
    <w:rsid w:val="00AE4757"/>
    <w:rsid w:val="00AE48EE"/>
    <w:rsid w:val="00AE4A90"/>
    <w:rsid w:val="00AE4B04"/>
    <w:rsid w:val="00AE5D33"/>
    <w:rsid w:val="00AE6D48"/>
    <w:rsid w:val="00AE7DE8"/>
    <w:rsid w:val="00AF021B"/>
    <w:rsid w:val="00AF06CF"/>
    <w:rsid w:val="00AF1911"/>
    <w:rsid w:val="00AF3A72"/>
    <w:rsid w:val="00AF3C2A"/>
    <w:rsid w:val="00AF6867"/>
    <w:rsid w:val="00AF6DC3"/>
    <w:rsid w:val="00AF6F7E"/>
    <w:rsid w:val="00AF7A0F"/>
    <w:rsid w:val="00AF7D9A"/>
    <w:rsid w:val="00AF7E00"/>
    <w:rsid w:val="00B037A3"/>
    <w:rsid w:val="00B03834"/>
    <w:rsid w:val="00B0499A"/>
    <w:rsid w:val="00B04D9E"/>
    <w:rsid w:val="00B0535F"/>
    <w:rsid w:val="00B07CDB"/>
    <w:rsid w:val="00B12467"/>
    <w:rsid w:val="00B1271E"/>
    <w:rsid w:val="00B128F3"/>
    <w:rsid w:val="00B136A7"/>
    <w:rsid w:val="00B14744"/>
    <w:rsid w:val="00B14B96"/>
    <w:rsid w:val="00B151CD"/>
    <w:rsid w:val="00B152C5"/>
    <w:rsid w:val="00B154F6"/>
    <w:rsid w:val="00B16A31"/>
    <w:rsid w:val="00B17269"/>
    <w:rsid w:val="00B17DFD"/>
    <w:rsid w:val="00B200AF"/>
    <w:rsid w:val="00B20A9F"/>
    <w:rsid w:val="00B20D3D"/>
    <w:rsid w:val="00B23133"/>
    <w:rsid w:val="00B23299"/>
    <w:rsid w:val="00B237AE"/>
    <w:rsid w:val="00B23A15"/>
    <w:rsid w:val="00B23C42"/>
    <w:rsid w:val="00B23DBB"/>
    <w:rsid w:val="00B24282"/>
    <w:rsid w:val="00B24B17"/>
    <w:rsid w:val="00B25834"/>
    <w:rsid w:val="00B25D65"/>
    <w:rsid w:val="00B2799D"/>
    <w:rsid w:val="00B308FE"/>
    <w:rsid w:val="00B33120"/>
    <w:rsid w:val="00B33709"/>
    <w:rsid w:val="00B33B3C"/>
    <w:rsid w:val="00B33BD1"/>
    <w:rsid w:val="00B36AAC"/>
    <w:rsid w:val="00B406D4"/>
    <w:rsid w:val="00B407A2"/>
    <w:rsid w:val="00B4192A"/>
    <w:rsid w:val="00B41DA0"/>
    <w:rsid w:val="00B4347A"/>
    <w:rsid w:val="00B437B5"/>
    <w:rsid w:val="00B44078"/>
    <w:rsid w:val="00B4427F"/>
    <w:rsid w:val="00B447A3"/>
    <w:rsid w:val="00B46497"/>
    <w:rsid w:val="00B504B7"/>
    <w:rsid w:val="00B5081A"/>
    <w:rsid w:val="00B50916"/>
    <w:rsid w:val="00B50ADC"/>
    <w:rsid w:val="00B51B6E"/>
    <w:rsid w:val="00B531D8"/>
    <w:rsid w:val="00B53D3A"/>
    <w:rsid w:val="00B54110"/>
    <w:rsid w:val="00B55532"/>
    <w:rsid w:val="00B566B1"/>
    <w:rsid w:val="00B566CB"/>
    <w:rsid w:val="00B57784"/>
    <w:rsid w:val="00B601BC"/>
    <w:rsid w:val="00B63809"/>
    <w:rsid w:val="00B63834"/>
    <w:rsid w:val="00B638F8"/>
    <w:rsid w:val="00B645DD"/>
    <w:rsid w:val="00B64937"/>
    <w:rsid w:val="00B6582F"/>
    <w:rsid w:val="00B66465"/>
    <w:rsid w:val="00B670C0"/>
    <w:rsid w:val="00B67B61"/>
    <w:rsid w:val="00B67E8C"/>
    <w:rsid w:val="00B72734"/>
    <w:rsid w:val="00B727C8"/>
    <w:rsid w:val="00B74C6E"/>
    <w:rsid w:val="00B756B5"/>
    <w:rsid w:val="00B80199"/>
    <w:rsid w:val="00B801EA"/>
    <w:rsid w:val="00B81DA0"/>
    <w:rsid w:val="00B826B4"/>
    <w:rsid w:val="00B82D81"/>
    <w:rsid w:val="00B83204"/>
    <w:rsid w:val="00B843C4"/>
    <w:rsid w:val="00B866EC"/>
    <w:rsid w:val="00B87F89"/>
    <w:rsid w:val="00B9126E"/>
    <w:rsid w:val="00B92B39"/>
    <w:rsid w:val="00B936EC"/>
    <w:rsid w:val="00B93771"/>
    <w:rsid w:val="00B93B26"/>
    <w:rsid w:val="00B94B38"/>
    <w:rsid w:val="00BA04B6"/>
    <w:rsid w:val="00BA1A2C"/>
    <w:rsid w:val="00BA220B"/>
    <w:rsid w:val="00BA2718"/>
    <w:rsid w:val="00BA2805"/>
    <w:rsid w:val="00BA35C1"/>
    <w:rsid w:val="00BA3A57"/>
    <w:rsid w:val="00BA3DAB"/>
    <w:rsid w:val="00BA51F8"/>
    <w:rsid w:val="00BA5C95"/>
    <w:rsid w:val="00BA660B"/>
    <w:rsid w:val="00BA68E0"/>
    <w:rsid w:val="00BA6B28"/>
    <w:rsid w:val="00BA7ADE"/>
    <w:rsid w:val="00BB0473"/>
    <w:rsid w:val="00BB13C1"/>
    <w:rsid w:val="00BB2F86"/>
    <w:rsid w:val="00BB349B"/>
    <w:rsid w:val="00BB473C"/>
    <w:rsid w:val="00BB4E1A"/>
    <w:rsid w:val="00BB5C17"/>
    <w:rsid w:val="00BB68FB"/>
    <w:rsid w:val="00BB6B74"/>
    <w:rsid w:val="00BB6BB2"/>
    <w:rsid w:val="00BB6D4D"/>
    <w:rsid w:val="00BC015E"/>
    <w:rsid w:val="00BC1458"/>
    <w:rsid w:val="00BC1DBE"/>
    <w:rsid w:val="00BC6419"/>
    <w:rsid w:val="00BC7183"/>
    <w:rsid w:val="00BC7329"/>
    <w:rsid w:val="00BC76AC"/>
    <w:rsid w:val="00BD0ECB"/>
    <w:rsid w:val="00BD165C"/>
    <w:rsid w:val="00BD33B9"/>
    <w:rsid w:val="00BD3CE0"/>
    <w:rsid w:val="00BD44AC"/>
    <w:rsid w:val="00BD53EE"/>
    <w:rsid w:val="00BD5503"/>
    <w:rsid w:val="00BE0C02"/>
    <w:rsid w:val="00BE1B94"/>
    <w:rsid w:val="00BE2155"/>
    <w:rsid w:val="00BE2213"/>
    <w:rsid w:val="00BE2BEE"/>
    <w:rsid w:val="00BE2F0A"/>
    <w:rsid w:val="00BE34DB"/>
    <w:rsid w:val="00BE3A88"/>
    <w:rsid w:val="00BE3D6B"/>
    <w:rsid w:val="00BE4E45"/>
    <w:rsid w:val="00BE719A"/>
    <w:rsid w:val="00BE720A"/>
    <w:rsid w:val="00BF0652"/>
    <w:rsid w:val="00BF0D73"/>
    <w:rsid w:val="00BF0E3B"/>
    <w:rsid w:val="00BF2465"/>
    <w:rsid w:val="00BF3735"/>
    <w:rsid w:val="00BF45C6"/>
    <w:rsid w:val="00BF5E15"/>
    <w:rsid w:val="00BF6602"/>
    <w:rsid w:val="00BF75C9"/>
    <w:rsid w:val="00C0020D"/>
    <w:rsid w:val="00C0054F"/>
    <w:rsid w:val="00C0057B"/>
    <w:rsid w:val="00C006E1"/>
    <w:rsid w:val="00C01D27"/>
    <w:rsid w:val="00C01EA0"/>
    <w:rsid w:val="00C0260D"/>
    <w:rsid w:val="00C04B7B"/>
    <w:rsid w:val="00C0512E"/>
    <w:rsid w:val="00C0544A"/>
    <w:rsid w:val="00C11452"/>
    <w:rsid w:val="00C1391D"/>
    <w:rsid w:val="00C14D67"/>
    <w:rsid w:val="00C15F1C"/>
    <w:rsid w:val="00C1710B"/>
    <w:rsid w:val="00C174AF"/>
    <w:rsid w:val="00C1760A"/>
    <w:rsid w:val="00C17F38"/>
    <w:rsid w:val="00C2078D"/>
    <w:rsid w:val="00C214CB"/>
    <w:rsid w:val="00C2161E"/>
    <w:rsid w:val="00C21904"/>
    <w:rsid w:val="00C224DF"/>
    <w:rsid w:val="00C24544"/>
    <w:rsid w:val="00C252C2"/>
    <w:rsid w:val="00C254A9"/>
    <w:rsid w:val="00C25840"/>
    <w:rsid w:val="00C25A65"/>
    <w:rsid w:val="00C25E7F"/>
    <w:rsid w:val="00C271F9"/>
    <w:rsid w:val="00C2746F"/>
    <w:rsid w:val="00C324A0"/>
    <w:rsid w:val="00C3300F"/>
    <w:rsid w:val="00C34250"/>
    <w:rsid w:val="00C34410"/>
    <w:rsid w:val="00C34E77"/>
    <w:rsid w:val="00C35875"/>
    <w:rsid w:val="00C358BD"/>
    <w:rsid w:val="00C359B6"/>
    <w:rsid w:val="00C35DAF"/>
    <w:rsid w:val="00C40A5C"/>
    <w:rsid w:val="00C40E9B"/>
    <w:rsid w:val="00C42BF8"/>
    <w:rsid w:val="00C43461"/>
    <w:rsid w:val="00C435A5"/>
    <w:rsid w:val="00C45171"/>
    <w:rsid w:val="00C4784C"/>
    <w:rsid w:val="00C47F07"/>
    <w:rsid w:val="00C50043"/>
    <w:rsid w:val="00C50B97"/>
    <w:rsid w:val="00C52E23"/>
    <w:rsid w:val="00C52E8B"/>
    <w:rsid w:val="00C54D16"/>
    <w:rsid w:val="00C55279"/>
    <w:rsid w:val="00C55502"/>
    <w:rsid w:val="00C5659B"/>
    <w:rsid w:val="00C572FA"/>
    <w:rsid w:val="00C5760A"/>
    <w:rsid w:val="00C5784E"/>
    <w:rsid w:val="00C60447"/>
    <w:rsid w:val="00C609A3"/>
    <w:rsid w:val="00C61D4E"/>
    <w:rsid w:val="00C61EAC"/>
    <w:rsid w:val="00C62C91"/>
    <w:rsid w:val="00C6434E"/>
    <w:rsid w:val="00C649C7"/>
    <w:rsid w:val="00C65EDD"/>
    <w:rsid w:val="00C67ECD"/>
    <w:rsid w:val="00C70CA8"/>
    <w:rsid w:val="00C712CE"/>
    <w:rsid w:val="00C71AEF"/>
    <w:rsid w:val="00C7274B"/>
    <w:rsid w:val="00C72FC4"/>
    <w:rsid w:val="00C73787"/>
    <w:rsid w:val="00C7573B"/>
    <w:rsid w:val="00C7660C"/>
    <w:rsid w:val="00C7761F"/>
    <w:rsid w:val="00C776B2"/>
    <w:rsid w:val="00C80DF8"/>
    <w:rsid w:val="00C8190E"/>
    <w:rsid w:val="00C8343B"/>
    <w:rsid w:val="00C83A15"/>
    <w:rsid w:val="00C84611"/>
    <w:rsid w:val="00C84F52"/>
    <w:rsid w:val="00C864B1"/>
    <w:rsid w:val="00C877B2"/>
    <w:rsid w:val="00C91252"/>
    <w:rsid w:val="00C9157B"/>
    <w:rsid w:val="00C915AA"/>
    <w:rsid w:val="00C917D6"/>
    <w:rsid w:val="00C91B9A"/>
    <w:rsid w:val="00C91D67"/>
    <w:rsid w:val="00C93C03"/>
    <w:rsid w:val="00C941CA"/>
    <w:rsid w:val="00C94C67"/>
    <w:rsid w:val="00C94D0C"/>
    <w:rsid w:val="00C96C46"/>
    <w:rsid w:val="00C973F2"/>
    <w:rsid w:val="00C97C8E"/>
    <w:rsid w:val="00CA1B51"/>
    <w:rsid w:val="00CA20DA"/>
    <w:rsid w:val="00CA2D0D"/>
    <w:rsid w:val="00CA504D"/>
    <w:rsid w:val="00CA5D9E"/>
    <w:rsid w:val="00CA66DC"/>
    <w:rsid w:val="00CA6D14"/>
    <w:rsid w:val="00CA6D9F"/>
    <w:rsid w:val="00CB0403"/>
    <w:rsid w:val="00CB08B9"/>
    <w:rsid w:val="00CB10C5"/>
    <w:rsid w:val="00CB2C8E"/>
    <w:rsid w:val="00CB2DDA"/>
    <w:rsid w:val="00CB602E"/>
    <w:rsid w:val="00CB704F"/>
    <w:rsid w:val="00CB7180"/>
    <w:rsid w:val="00CB7813"/>
    <w:rsid w:val="00CB790A"/>
    <w:rsid w:val="00CC0A25"/>
    <w:rsid w:val="00CC0EAA"/>
    <w:rsid w:val="00CC24B1"/>
    <w:rsid w:val="00CC4703"/>
    <w:rsid w:val="00CC50FF"/>
    <w:rsid w:val="00CC6781"/>
    <w:rsid w:val="00CC6942"/>
    <w:rsid w:val="00CC6DED"/>
    <w:rsid w:val="00CC71A9"/>
    <w:rsid w:val="00CD1618"/>
    <w:rsid w:val="00CD1D4D"/>
    <w:rsid w:val="00CD2C5E"/>
    <w:rsid w:val="00CD2E90"/>
    <w:rsid w:val="00CD315A"/>
    <w:rsid w:val="00CD4CA6"/>
    <w:rsid w:val="00CD71F3"/>
    <w:rsid w:val="00CD7470"/>
    <w:rsid w:val="00CD7E60"/>
    <w:rsid w:val="00CE051D"/>
    <w:rsid w:val="00CE079F"/>
    <w:rsid w:val="00CE1335"/>
    <w:rsid w:val="00CE13D5"/>
    <w:rsid w:val="00CE1895"/>
    <w:rsid w:val="00CE3C7B"/>
    <w:rsid w:val="00CE3D2A"/>
    <w:rsid w:val="00CE4538"/>
    <w:rsid w:val="00CE493D"/>
    <w:rsid w:val="00CE49DC"/>
    <w:rsid w:val="00CE5F8C"/>
    <w:rsid w:val="00CE6634"/>
    <w:rsid w:val="00CE6771"/>
    <w:rsid w:val="00CE6D42"/>
    <w:rsid w:val="00CE7AC6"/>
    <w:rsid w:val="00CF013D"/>
    <w:rsid w:val="00CF07FA"/>
    <w:rsid w:val="00CF0BB2"/>
    <w:rsid w:val="00CF1A83"/>
    <w:rsid w:val="00CF3EE8"/>
    <w:rsid w:val="00CF3FFE"/>
    <w:rsid w:val="00CF45F4"/>
    <w:rsid w:val="00D00331"/>
    <w:rsid w:val="00D00805"/>
    <w:rsid w:val="00D018F9"/>
    <w:rsid w:val="00D01E43"/>
    <w:rsid w:val="00D01E66"/>
    <w:rsid w:val="00D025F3"/>
    <w:rsid w:val="00D0388B"/>
    <w:rsid w:val="00D03BD9"/>
    <w:rsid w:val="00D050E6"/>
    <w:rsid w:val="00D05504"/>
    <w:rsid w:val="00D06168"/>
    <w:rsid w:val="00D06506"/>
    <w:rsid w:val="00D07213"/>
    <w:rsid w:val="00D0756F"/>
    <w:rsid w:val="00D07A89"/>
    <w:rsid w:val="00D07FA5"/>
    <w:rsid w:val="00D10346"/>
    <w:rsid w:val="00D10549"/>
    <w:rsid w:val="00D11113"/>
    <w:rsid w:val="00D12749"/>
    <w:rsid w:val="00D13441"/>
    <w:rsid w:val="00D13BC6"/>
    <w:rsid w:val="00D13CD2"/>
    <w:rsid w:val="00D14C5F"/>
    <w:rsid w:val="00D14FFD"/>
    <w:rsid w:val="00D150E7"/>
    <w:rsid w:val="00D16EC2"/>
    <w:rsid w:val="00D17D2B"/>
    <w:rsid w:val="00D2109A"/>
    <w:rsid w:val="00D21D11"/>
    <w:rsid w:val="00D22234"/>
    <w:rsid w:val="00D232A2"/>
    <w:rsid w:val="00D23FD8"/>
    <w:rsid w:val="00D258BE"/>
    <w:rsid w:val="00D268A0"/>
    <w:rsid w:val="00D31EBE"/>
    <w:rsid w:val="00D31F8A"/>
    <w:rsid w:val="00D32AA3"/>
    <w:rsid w:val="00D32F65"/>
    <w:rsid w:val="00D341C4"/>
    <w:rsid w:val="00D35579"/>
    <w:rsid w:val="00D366F2"/>
    <w:rsid w:val="00D372B1"/>
    <w:rsid w:val="00D402C1"/>
    <w:rsid w:val="00D40A64"/>
    <w:rsid w:val="00D42C36"/>
    <w:rsid w:val="00D42C8B"/>
    <w:rsid w:val="00D43539"/>
    <w:rsid w:val="00D43B2A"/>
    <w:rsid w:val="00D44846"/>
    <w:rsid w:val="00D45531"/>
    <w:rsid w:val="00D45708"/>
    <w:rsid w:val="00D46A3F"/>
    <w:rsid w:val="00D4724C"/>
    <w:rsid w:val="00D47679"/>
    <w:rsid w:val="00D47856"/>
    <w:rsid w:val="00D47F89"/>
    <w:rsid w:val="00D50A85"/>
    <w:rsid w:val="00D51108"/>
    <w:rsid w:val="00D51B2C"/>
    <w:rsid w:val="00D51CC3"/>
    <w:rsid w:val="00D52DC2"/>
    <w:rsid w:val="00D53BCC"/>
    <w:rsid w:val="00D54A74"/>
    <w:rsid w:val="00D55E43"/>
    <w:rsid w:val="00D56724"/>
    <w:rsid w:val="00D56A7C"/>
    <w:rsid w:val="00D56DCB"/>
    <w:rsid w:val="00D644FB"/>
    <w:rsid w:val="00D651DF"/>
    <w:rsid w:val="00D702DE"/>
    <w:rsid w:val="00D707A1"/>
    <w:rsid w:val="00D70DFB"/>
    <w:rsid w:val="00D7136C"/>
    <w:rsid w:val="00D71EF0"/>
    <w:rsid w:val="00D723C5"/>
    <w:rsid w:val="00D72CB5"/>
    <w:rsid w:val="00D731E3"/>
    <w:rsid w:val="00D73C22"/>
    <w:rsid w:val="00D75D37"/>
    <w:rsid w:val="00D75D71"/>
    <w:rsid w:val="00D766DF"/>
    <w:rsid w:val="00D7747D"/>
    <w:rsid w:val="00D77B1D"/>
    <w:rsid w:val="00D80A73"/>
    <w:rsid w:val="00D80D56"/>
    <w:rsid w:val="00D81623"/>
    <w:rsid w:val="00D82B17"/>
    <w:rsid w:val="00D84F62"/>
    <w:rsid w:val="00D85D21"/>
    <w:rsid w:val="00D863B9"/>
    <w:rsid w:val="00D87A09"/>
    <w:rsid w:val="00D87ED7"/>
    <w:rsid w:val="00D91F3C"/>
    <w:rsid w:val="00D93635"/>
    <w:rsid w:val="00D974EC"/>
    <w:rsid w:val="00DA00EF"/>
    <w:rsid w:val="00DA17EF"/>
    <w:rsid w:val="00DA186E"/>
    <w:rsid w:val="00DA1D8B"/>
    <w:rsid w:val="00DA2273"/>
    <w:rsid w:val="00DA3DA3"/>
    <w:rsid w:val="00DA4116"/>
    <w:rsid w:val="00DA51DD"/>
    <w:rsid w:val="00DA530E"/>
    <w:rsid w:val="00DA662A"/>
    <w:rsid w:val="00DB1602"/>
    <w:rsid w:val="00DB1B18"/>
    <w:rsid w:val="00DB1B6F"/>
    <w:rsid w:val="00DB251C"/>
    <w:rsid w:val="00DB2785"/>
    <w:rsid w:val="00DB2EF3"/>
    <w:rsid w:val="00DB38AD"/>
    <w:rsid w:val="00DB4298"/>
    <w:rsid w:val="00DB4630"/>
    <w:rsid w:val="00DB47E3"/>
    <w:rsid w:val="00DB5244"/>
    <w:rsid w:val="00DB5AB3"/>
    <w:rsid w:val="00DB62AE"/>
    <w:rsid w:val="00DB63B0"/>
    <w:rsid w:val="00DB6510"/>
    <w:rsid w:val="00DB7893"/>
    <w:rsid w:val="00DC0857"/>
    <w:rsid w:val="00DC18F0"/>
    <w:rsid w:val="00DC4445"/>
    <w:rsid w:val="00DC4F88"/>
    <w:rsid w:val="00DC7CFE"/>
    <w:rsid w:val="00DD0AAD"/>
    <w:rsid w:val="00DD186D"/>
    <w:rsid w:val="00DD2051"/>
    <w:rsid w:val="00DD3395"/>
    <w:rsid w:val="00DD4257"/>
    <w:rsid w:val="00DD771A"/>
    <w:rsid w:val="00DE1C91"/>
    <w:rsid w:val="00DE2658"/>
    <w:rsid w:val="00DE273D"/>
    <w:rsid w:val="00DE3B93"/>
    <w:rsid w:val="00DE4044"/>
    <w:rsid w:val="00DE4D0F"/>
    <w:rsid w:val="00DE4F87"/>
    <w:rsid w:val="00DE639B"/>
    <w:rsid w:val="00DE6CFB"/>
    <w:rsid w:val="00DE700C"/>
    <w:rsid w:val="00DE72FD"/>
    <w:rsid w:val="00DE79F9"/>
    <w:rsid w:val="00DE7E62"/>
    <w:rsid w:val="00DF022A"/>
    <w:rsid w:val="00DF08F4"/>
    <w:rsid w:val="00DF0C19"/>
    <w:rsid w:val="00DF12C2"/>
    <w:rsid w:val="00DF25F6"/>
    <w:rsid w:val="00DF2975"/>
    <w:rsid w:val="00DF3844"/>
    <w:rsid w:val="00DF4BBC"/>
    <w:rsid w:val="00DF5E00"/>
    <w:rsid w:val="00DF5EDE"/>
    <w:rsid w:val="00DF6A5A"/>
    <w:rsid w:val="00DF7EB6"/>
    <w:rsid w:val="00E00786"/>
    <w:rsid w:val="00E00860"/>
    <w:rsid w:val="00E03552"/>
    <w:rsid w:val="00E03EC2"/>
    <w:rsid w:val="00E04125"/>
    <w:rsid w:val="00E05704"/>
    <w:rsid w:val="00E05F1F"/>
    <w:rsid w:val="00E06251"/>
    <w:rsid w:val="00E06CC3"/>
    <w:rsid w:val="00E07568"/>
    <w:rsid w:val="00E10834"/>
    <w:rsid w:val="00E11E44"/>
    <w:rsid w:val="00E12651"/>
    <w:rsid w:val="00E12A41"/>
    <w:rsid w:val="00E12F01"/>
    <w:rsid w:val="00E13AFA"/>
    <w:rsid w:val="00E13CF7"/>
    <w:rsid w:val="00E13E1E"/>
    <w:rsid w:val="00E159BE"/>
    <w:rsid w:val="00E15BA4"/>
    <w:rsid w:val="00E15CC8"/>
    <w:rsid w:val="00E1647A"/>
    <w:rsid w:val="00E17657"/>
    <w:rsid w:val="00E17741"/>
    <w:rsid w:val="00E210EA"/>
    <w:rsid w:val="00E21507"/>
    <w:rsid w:val="00E2168B"/>
    <w:rsid w:val="00E21F03"/>
    <w:rsid w:val="00E22277"/>
    <w:rsid w:val="00E24112"/>
    <w:rsid w:val="00E26FDB"/>
    <w:rsid w:val="00E32A79"/>
    <w:rsid w:val="00E338EF"/>
    <w:rsid w:val="00E35EB0"/>
    <w:rsid w:val="00E36AF4"/>
    <w:rsid w:val="00E373C1"/>
    <w:rsid w:val="00E37970"/>
    <w:rsid w:val="00E40801"/>
    <w:rsid w:val="00E40FF8"/>
    <w:rsid w:val="00E41ADE"/>
    <w:rsid w:val="00E42504"/>
    <w:rsid w:val="00E434CF"/>
    <w:rsid w:val="00E440EA"/>
    <w:rsid w:val="00E449FD"/>
    <w:rsid w:val="00E45035"/>
    <w:rsid w:val="00E4586D"/>
    <w:rsid w:val="00E45FBB"/>
    <w:rsid w:val="00E4777D"/>
    <w:rsid w:val="00E50297"/>
    <w:rsid w:val="00E509CB"/>
    <w:rsid w:val="00E51177"/>
    <w:rsid w:val="00E513B7"/>
    <w:rsid w:val="00E5149B"/>
    <w:rsid w:val="00E52113"/>
    <w:rsid w:val="00E530C8"/>
    <w:rsid w:val="00E5429D"/>
    <w:rsid w:val="00E544BB"/>
    <w:rsid w:val="00E547D6"/>
    <w:rsid w:val="00E555DC"/>
    <w:rsid w:val="00E5579A"/>
    <w:rsid w:val="00E56C1A"/>
    <w:rsid w:val="00E578EC"/>
    <w:rsid w:val="00E60423"/>
    <w:rsid w:val="00E609BA"/>
    <w:rsid w:val="00E61350"/>
    <w:rsid w:val="00E638F9"/>
    <w:rsid w:val="00E649D7"/>
    <w:rsid w:val="00E64C51"/>
    <w:rsid w:val="00E65E2B"/>
    <w:rsid w:val="00E662CB"/>
    <w:rsid w:val="00E67AEE"/>
    <w:rsid w:val="00E67C2B"/>
    <w:rsid w:val="00E67DFF"/>
    <w:rsid w:val="00E72FD6"/>
    <w:rsid w:val="00E744B2"/>
    <w:rsid w:val="00E74A66"/>
    <w:rsid w:val="00E74DC7"/>
    <w:rsid w:val="00E74F94"/>
    <w:rsid w:val="00E7635D"/>
    <w:rsid w:val="00E770B6"/>
    <w:rsid w:val="00E77E6D"/>
    <w:rsid w:val="00E77FCB"/>
    <w:rsid w:val="00E8075A"/>
    <w:rsid w:val="00E80957"/>
    <w:rsid w:val="00E80C5F"/>
    <w:rsid w:val="00E80F55"/>
    <w:rsid w:val="00E8144C"/>
    <w:rsid w:val="00E818A6"/>
    <w:rsid w:val="00E82251"/>
    <w:rsid w:val="00E83420"/>
    <w:rsid w:val="00E84688"/>
    <w:rsid w:val="00E8510C"/>
    <w:rsid w:val="00E85A91"/>
    <w:rsid w:val="00E85EC0"/>
    <w:rsid w:val="00E86029"/>
    <w:rsid w:val="00E86DD5"/>
    <w:rsid w:val="00E87718"/>
    <w:rsid w:val="00E9081D"/>
    <w:rsid w:val="00E91261"/>
    <w:rsid w:val="00E928BD"/>
    <w:rsid w:val="00E92C80"/>
    <w:rsid w:val="00E92EE8"/>
    <w:rsid w:val="00E9375A"/>
    <w:rsid w:val="00E94D5E"/>
    <w:rsid w:val="00E95BE7"/>
    <w:rsid w:val="00E971F8"/>
    <w:rsid w:val="00E9796D"/>
    <w:rsid w:val="00EA0347"/>
    <w:rsid w:val="00EA147B"/>
    <w:rsid w:val="00EA1D18"/>
    <w:rsid w:val="00EA40ED"/>
    <w:rsid w:val="00EA460E"/>
    <w:rsid w:val="00EA5940"/>
    <w:rsid w:val="00EA5B1A"/>
    <w:rsid w:val="00EA64B9"/>
    <w:rsid w:val="00EA7100"/>
    <w:rsid w:val="00EA798D"/>
    <w:rsid w:val="00EA7F9F"/>
    <w:rsid w:val="00EB0309"/>
    <w:rsid w:val="00EB0E70"/>
    <w:rsid w:val="00EB10E7"/>
    <w:rsid w:val="00EB1274"/>
    <w:rsid w:val="00EB2ED3"/>
    <w:rsid w:val="00EB3EC2"/>
    <w:rsid w:val="00EB45E4"/>
    <w:rsid w:val="00EB49E5"/>
    <w:rsid w:val="00EB58CD"/>
    <w:rsid w:val="00EB5F75"/>
    <w:rsid w:val="00EB6A35"/>
    <w:rsid w:val="00EB75C0"/>
    <w:rsid w:val="00EC1277"/>
    <w:rsid w:val="00EC14DC"/>
    <w:rsid w:val="00EC1FD4"/>
    <w:rsid w:val="00EC2268"/>
    <w:rsid w:val="00EC3BEB"/>
    <w:rsid w:val="00EC3F93"/>
    <w:rsid w:val="00EC4757"/>
    <w:rsid w:val="00EC5024"/>
    <w:rsid w:val="00EC50B7"/>
    <w:rsid w:val="00EC51E9"/>
    <w:rsid w:val="00EC532C"/>
    <w:rsid w:val="00EC55DB"/>
    <w:rsid w:val="00EC6B25"/>
    <w:rsid w:val="00EC793B"/>
    <w:rsid w:val="00EC7EDB"/>
    <w:rsid w:val="00ED2BB6"/>
    <w:rsid w:val="00ED34E1"/>
    <w:rsid w:val="00ED3B8D"/>
    <w:rsid w:val="00ED4728"/>
    <w:rsid w:val="00EE1DB4"/>
    <w:rsid w:val="00EE3770"/>
    <w:rsid w:val="00EE41D1"/>
    <w:rsid w:val="00EE4652"/>
    <w:rsid w:val="00EE4B93"/>
    <w:rsid w:val="00EE4C0E"/>
    <w:rsid w:val="00EE60BC"/>
    <w:rsid w:val="00EE7502"/>
    <w:rsid w:val="00EF0A02"/>
    <w:rsid w:val="00EF15D3"/>
    <w:rsid w:val="00EF2E3A"/>
    <w:rsid w:val="00EF4EAE"/>
    <w:rsid w:val="00EF5EAF"/>
    <w:rsid w:val="00EF7501"/>
    <w:rsid w:val="00EF7673"/>
    <w:rsid w:val="00EF7DC2"/>
    <w:rsid w:val="00F000B3"/>
    <w:rsid w:val="00F002E9"/>
    <w:rsid w:val="00F02EF9"/>
    <w:rsid w:val="00F03164"/>
    <w:rsid w:val="00F0434A"/>
    <w:rsid w:val="00F047D8"/>
    <w:rsid w:val="00F053C5"/>
    <w:rsid w:val="00F072A7"/>
    <w:rsid w:val="00F07674"/>
    <w:rsid w:val="00F07827"/>
    <w:rsid w:val="00F078DC"/>
    <w:rsid w:val="00F110C3"/>
    <w:rsid w:val="00F11443"/>
    <w:rsid w:val="00F11E26"/>
    <w:rsid w:val="00F1256C"/>
    <w:rsid w:val="00F12580"/>
    <w:rsid w:val="00F12671"/>
    <w:rsid w:val="00F129EF"/>
    <w:rsid w:val="00F13E7B"/>
    <w:rsid w:val="00F14593"/>
    <w:rsid w:val="00F1517F"/>
    <w:rsid w:val="00F1528C"/>
    <w:rsid w:val="00F155D0"/>
    <w:rsid w:val="00F15ECD"/>
    <w:rsid w:val="00F16441"/>
    <w:rsid w:val="00F164C9"/>
    <w:rsid w:val="00F16B9A"/>
    <w:rsid w:val="00F171A1"/>
    <w:rsid w:val="00F17F2F"/>
    <w:rsid w:val="00F20C0C"/>
    <w:rsid w:val="00F22F12"/>
    <w:rsid w:val="00F23AB4"/>
    <w:rsid w:val="00F258C6"/>
    <w:rsid w:val="00F261D4"/>
    <w:rsid w:val="00F274E1"/>
    <w:rsid w:val="00F30F3B"/>
    <w:rsid w:val="00F317AA"/>
    <w:rsid w:val="00F32076"/>
    <w:rsid w:val="00F32BA8"/>
    <w:rsid w:val="00F349F1"/>
    <w:rsid w:val="00F37240"/>
    <w:rsid w:val="00F372CB"/>
    <w:rsid w:val="00F373A9"/>
    <w:rsid w:val="00F37A23"/>
    <w:rsid w:val="00F37ED9"/>
    <w:rsid w:val="00F40112"/>
    <w:rsid w:val="00F40D06"/>
    <w:rsid w:val="00F41866"/>
    <w:rsid w:val="00F4215A"/>
    <w:rsid w:val="00F428EE"/>
    <w:rsid w:val="00F4350D"/>
    <w:rsid w:val="00F43757"/>
    <w:rsid w:val="00F446E4"/>
    <w:rsid w:val="00F46038"/>
    <w:rsid w:val="00F46ED0"/>
    <w:rsid w:val="00F470AF"/>
    <w:rsid w:val="00F476A8"/>
    <w:rsid w:val="00F47B27"/>
    <w:rsid w:val="00F50532"/>
    <w:rsid w:val="00F51DBC"/>
    <w:rsid w:val="00F524EB"/>
    <w:rsid w:val="00F52BB1"/>
    <w:rsid w:val="00F52E4A"/>
    <w:rsid w:val="00F544B9"/>
    <w:rsid w:val="00F546D0"/>
    <w:rsid w:val="00F55007"/>
    <w:rsid w:val="00F55ADF"/>
    <w:rsid w:val="00F564E8"/>
    <w:rsid w:val="00F567F7"/>
    <w:rsid w:val="00F601D1"/>
    <w:rsid w:val="00F612D9"/>
    <w:rsid w:val="00F61B09"/>
    <w:rsid w:val="00F62036"/>
    <w:rsid w:val="00F62EE6"/>
    <w:rsid w:val="00F6356A"/>
    <w:rsid w:val="00F63C8F"/>
    <w:rsid w:val="00F64616"/>
    <w:rsid w:val="00F65B52"/>
    <w:rsid w:val="00F66AC9"/>
    <w:rsid w:val="00F66EB3"/>
    <w:rsid w:val="00F67BCA"/>
    <w:rsid w:val="00F71614"/>
    <w:rsid w:val="00F71901"/>
    <w:rsid w:val="00F73BD6"/>
    <w:rsid w:val="00F7423A"/>
    <w:rsid w:val="00F743FB"/>
    <w:rsid w:val="00F746FD"/>
    <w:rsid w:val="00F769E9"/>
    <w:rsid w:val="00F82D91"/>
    <w:rsid w:val="00F83989"/>
    <w:rsid w:val="00F83B38"/>
    <w:rsid w:val="00F83EEF"/>
    <w:rsid w:val="00F85099"/>
    <w:rsid w:val="00F9379C"/>
    <w:rsid w:val="00F93E5C"/>
    <w:rsid w:val="00F94578"/>
    <w:rsid w:val="00F94679"/>
    <w:rsid w:val="00F95053"/>
    <w:rsid w:val="00F95FE1"/>
    <w:rsid w:val="00F960F9"/>
    <w:rsid w:val="00F9632C"/>
    <w:rsid w:val="00F976CB"/>
    <w:rsid w:val="00FA1E52"/>
    <w:rsid w:val="00FA31BE"/>
    <w:rsid w:val="00FA31DE"/>
    <w:rsid w:val="00FA46ED"/>
    <w:rsid w:val="00FA4BA7"/>
    <w:rsid w:val="00FA4D24"/>
    <w:rsid w:val="00FA522A"/>
    <w:rsid w:val="00FA5430"/>
    <w:rsid w:val="00FA5B5E"/>
    <w:rsid w:val="00FA617D"/>
    <w:rsid w:val="00FA75A2"/>
    <w:rsid w:val="00FA7725"/>
    <w:rsid w:val="00FA7D17"/>
    <w:rsid w:val="00FB20AA"/>
    <w:rsid w:val="00FB2707"/>
    <w:rsid w:val="00FB3A82"/>
    <w:rsid w:val="00FB6259"/>
    <w:rsid w:val="00FB6698"/>
    <w:rsid w:val="00FB6CCE"/>
    <w:rsid w:val="00FB6E17"/>
    <w:rsid w:val="00FB7482"/>
    <w:rsid w:val="00FB750D"/>
    <w:rsid w:val="00FC34A9"/>
    <w:rsid w:val="00FC3BAA"/>
    <w:rsid w:val="00FC3EB8"/>
    <w:rsid w:val="00FC457A"/>
    <w:rsid w:val="00FC4861"/>
    <w:rsid w:val="00FC4F71"/>
    <w:rsid w:val="00FC4FE3"/>
    <w:rsid w:val="00FC531D"/>
    <w:rsid w:val="00FC5965"/>
    <w:rsid w:val="00FC7D25"/>
    <w:rsid w:val="00FD13CC"/>
    <w:rsid w:val="00FD3FC0"/>
    <w:rsid w:val="00FD4A8D"/>
    <w:rsid w:val="00FD5369"/>
    <w:rsid w:val="00FD5679"/>
    <w:rsid w:val="00FD5894"/>
    <w:rsid w:val="00FD68E8"/>
    <w:rsid w:val="00FE17A4"/>
    <w:rsid w:val="00FE4688"/>
    <w:rsid w:val="00FE48EA"/>
    <w:rsid w:val="00FE72D6"/>
    <w:rsid w:val="00FE7720"/>
    <w:rsid w:val="00FE79D0"/>
    <w:rsid w:val="00FE7F28"/>
    <w:rsid w:val="00FF08DC"/>
    <w:rsid w:val="00FF1785"/>
    <w:rsid w:val="00FF2106"/>
    <w:rsid w:val="00FF38D9"/>
    <w:rsid w:val="00FF692E"/>
    <w:rsid w:val="026023E3"/>
    <w:rsid w:val="035F2AE6"/>
    <w:rsid w:val="08AD1D56"/>
    <w:rsid w:val="0EC26B73"/>
    <w:rsid w:val="180E736C"/>
    <w:rsid w:val="2F1E7310"/>
    <w:rsid w:val="38624215"/>
    <w:rsid w:val="59E20095"/>
    <w:rsid w:val="63FD84BB"/>
    <w:rsid w:val="6E8CC003"/>
    <w:rsid w:val="78EC39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1FC92"/>
  <w15:chartTrackingRefBased/>
  <w15:docId w15:val="{9CAECBED-8744-472E-8BD3-E7A3B96A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ListB">
    <w:name w:val="ListB"/>
    <w:rsid w:val="000349E5"/>
    <w:pPr>
      <w:overflowPunct w:val="0"/>
      <w:autoSpaceDE w:val="0"/>
      <w:autoSpaceDN w:val="0"/>
      <w:adjustRightInd w:val="0"/>
      <w:spacing w:before="120" w:after="120"/>
      <w:ind w:left="850" w:hanging="425"/>
    </w:pPr>
    <w:rPr>
      <w:rFonts w:eastAsia="Times New Roman"/>
      <w:sz w:val="24"/>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styleId="Revision">
    <w:name w:val="Revision"/>
    <w:hidden/>
    <w:uiPriority w:val="99"/>
    <w:semiHidden/>
    <w:rsid w:val="00922A61"/>
    <w:rPr>
      <w:sz w:val="22"/>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subsection">
    <w:name w:val="subsection"/>
    <w:basedOn w:val="Normal"/>
    <w:rsid w:val="009E288D"/>
    <w:pPr>
      <w:spacing w:before="100" w:beforeAutospacing="1" w:after="100" w:afterAutospacing="1" w:line="240" w:lineRule="auto"/>
    </w:pPr>
    <w:rPr>
      <w:rFonts w:eastAsia="Times New Roman"/>
      <w:sz w:val="24"/>
      <w:szCs w:val="24"/>
      <w:lang w:eastAsia="en-AU"/>
    </w:rPr>
  </w:style>
  <w:style w:type="paragraph" w:customStyle="1" w:styleId="paragraph">
    <w:name w:val="paragraph"/>
    <w:basedOn w:val="Normal"/>
    <w:rsid w:val="009E288D"/>
    <w:pPr>
      <w:spacing w:before="100" w:beforeAutospacing="1" w:after="100" w:afterAutospacing="1" w:line="240" w:lineRule="auto"/>
    </w:pPr>
    <w:rPr>
      <w:rFonts w:eastAsia="Times New Roman"/>
      <w:sz w:val="24"/>
      <w:szCs w:val="24"/>
      <w:lang w:eastAsia="en-AU"/>
    </w:rPr>
  </w:style>
  <w:style w:type="character" w:styleId="UnresolvedMention">
    <w:name w:val="Unresolved Mention"/>
    <w:basedOn w:val="DefaultParagraphFont"/>
    <w:uiPriority w:val="99"/>
    <w:unhideWhenUsed/>
    <w:rsid w:val="00F71901"/>
    <w:rPr>
      <w:color w:val="605E5C"/>
      <w:shd w:val="clear" w:color="auto" w:fill="E1DFDD"/>
    </w:rPr>
  </w:style>
  <w:style w:type="paragraph" w:customStyle="1" w:styleId="Default">
    <w:name w:val="Default"/>
    <w:rsid w:val="00A1252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A2D0D"/>
    <w:pPr>
      <w:ind w:left="720"/>
      <w:contextualSpacing/>
    </w:pPr>
  </w:style>
  <w:style w:type="paragraph" w:styleId="FootnoteText">
    <w:name w:val="footnote text"/>
    <w:basedOn w:val="Normal"/>
    <w:link w:val="FootnoteTextChar"/>
    <w:uiPriority w:val="99"/>
    <w:semiHidden/>
    <w:unhideWhenUsed/>
    <w:rsid w:val="00182F09"/>
    <w:pPr>
      <w:spacing w:line="240" w:lineRule="auto"/>
    </w:pPr>
    <w:rPr>
      <w:sz w:val="20"/>
    </w:rPr>
  </w:style>
  <w:style w:type="character" w:customStyle="1" w:styleId="FootnoteTextChar">
    <w:name w:val="Footnote Text Char"/>
    <w:basedOn w:val="DefaultParagraphFont"/>
    <w:link w:val="FootnoteText"/>
    <w:uiPriority w:val="99"/>
    <w:semiHidden/>
    <w:rsid w:val="00182F09"/>
    <w:rPr>
      <w:lang w:eastAsia="en-US"/>
    </w:rPr>
  </w:style>
  <w:style w:type="character" w:styleId="FootnoteReference">
    <w:name w:val="footnote reference"/>
    <w:basedOn w:val="DefaultParagraphFont"/>
    <w:uiPriority w:val="99"/>
    <w:semiHidden/>
    <w:unhideWhenUsed/>
    <w:rsid w:val="00182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8353">
      <w:bodyDiv w:val="1"/>
      <w:marLeft w:val="0"/>
      <w:marRight w:val="0"/>
      <w:marTop w:val="0"/>
      <w:marBottom w:val="0"/>
      <w:divBdr>
        <w:top w:val="none" w:sz="0" w:space="0" w:color="auto"/>
        <w:left w:val="none" w:sz="0" w:space="0" w:color="auto"/>
        <w:bottom w:val="none" w:sz="0" w:space="0" w:color="auto"/>
        <w:right w:val="none" w:sz="0" w:space="0" w:color="auto"/>
      </w:divBdr>
    </w:div>
    <w:div w:id="176430418">
      <w:bodyDiv w:val="1"/>
      <w:marLeft w:val="0"/>
      <w:marRight w:val="0"/>
      <w:marTop w:val="0"/>
      <w:marBottom w:val="0"/>
      <w:divBdr>
        <w:top w:val="none" w:sz="0" w:space="0" w:color="auto"/>
        <w:left w:val="none" w:sz="0" w:space="0" w:color="auto"/>
        <w:bottom w:val="none" w:sz="0" w:space="0" w:color="auto"/>
        <w:right w:val="none" w:sz="0" w:space="0" w:color="auto"/>
      </w:divBdr>
    </w:div>
    <w:div w:id="239027451">
      <w:bodyDiv w:val="1"/>
      <w:marLeft w:val="0"/>
      <w:marRight w:val="0"/>
      <w:marTop w:val="0"/>
      <w:marBottom w:val="0"/>
      <w:divBdr>
        <w:top w:val="none" w:sz="0" w:space="0" w:color="auto"/>
        <w:left w:val="none" w:sz="0" w:space="0" w:color="auto"/>
        <w:bottom w:val="none" w:sz="0" w:space="0" w:color="auto"/>
        <w:right w:val="none" w:sz="0" w:space="0" w:color="auto"/>
      </w:divBdr>
    </w:div>
    <w:div w:id="334458265">
      <w:bodyDiv w:val="1"/>
      <w:marLeft w:val="0"/>
      <w:marRight w:val="0"/>
      <w:marTop w:val="0"/>
      <w:marBottom w:val="0"/>
      <w:divBdr>
        <w:top w:val="none" w:sz="0" w:space="0" w:color="auto"/>
        <w:left w:val="none" w:sz="0" w:space="0" w:color="auto"/>
        <w:bottom w:val="none" w:sz="0" w:space="0" w:color="auto"/>
        <w:right w:val="none" w:sz="0" w:space="0" w:color="auto"/>
      </w:divBdr>
    </w:div>
    <w:div w:id="341780870">
      <w:bodyDiv w:val="1"/>
      <w:marLeft w:val="0"/>
      <w:marRight w:val="0"/>
      <w:marTop w:val="0"/>
      <w:marBottom w:val="0"/>
      <w:divBdr>
        <w:top w:val="none" w:sz="0" w:space="0" w:color="auto"/>
        <w:left w:val="none" w:sz="0" w:space="0" w:color="auto"/>
        <w:bottom w:val="none" w:sz="0" w:space="0" w:color="auto"/>
        <w:right w:val="none" w:sz="0" w:space="0" w:color="auto"/>
      </w:divBdr>
    </w:div>
    <w:div w:id="400950395">
      <w:bodyDiv w:val="1"/>
      <w:marLeft w:val="0"/>
      <w:marRight w:val="0"/>
      <w:marTop w:val="0"/>
      <w:marBottom w:val="0"/>
      <w:divBdr>
        <w:top w:val="none" w:sz="0" w:space="0" w:color="auto"/>
        <w:left w:val="none" w:sz="0" w:space="0" w:color="auto"/>
        <w:bottom w:val="none" w:sz="0" w:space="0" w:color="auto"/>
        <w:right w:val="none" w:sz="0" w:space="0" w:color="auto"/>
      </w:divBdr>
    </w:div>
    <w:div w:id="465515858">
      <w:bodyDiv w:val="1"/>
      <w:marLeft w:val="0"/>
      <w:marRight w:val="0"/>
      <w:marTop w:val="0"/>
      <w:marBottom w:val="0"/>
      <w:divBdr>
        <w:top w:val="none" w:sz="0" w:space="0" w:color="auto"/>
        <w:left w:val="none" w:sz="0" w:space="0" w:color="auto"/>
        <w:bottom w:val="none" w:sz="0" w:space="0" w:color="auto"/>
        <w:right w:val="none" w:sz="0" w:space="0" w:color="auto"/>
      </w:divBdr>
    </w:div>
    <w:div w:id="763965292">
      <w:bodyDiv w:val="1"/>
      <w:marLeft w:val="0"/>
      <w:marRight w:val="0"/>
      <w:marTop w:val="0"/>
      <w:marBottom w:val="0"/>
      <w:divBdr>
        <w:top w:val="none" w:sz="0" w:space="0" w:color="auto"/>
        <w:left w:val="none" w:sz="0" w:space="0" w:color="auto"/>
        <w:bottom w:val="none" w:sz="0" w:space="0" w:color="auto"/>
        <w:right w:val="none" w:sz="0" w:space="0" w:color="auto"/>
      </w:divBdr>
    </w:div>
    <w:div w:id="770128424">
      <w:bodyDiv w:val="1"/>
      <w:marLeft w:val="0"/>
      <w:marRight w:val="0"/>
      <w:marTop w:val="0"/>
      <w:marBottom w:val="0"/>
      <w:divBdr>
        <w:top w:val="none" w:sz="0" w:space="0" w:color="auto"/>
        <w:left w:val="none" w:sz="0" w:space="0" w:color="auto"/>
        <w:bottom w:val="none" w:sz="0" w:space="0" w:color="auto"/>
        <w:right w:val="none" w:sz="0" w:space="0" w:color="auto"/>
      </w:divBdr>
    </w:div>
    <w:div w:id="850290923">
      <w:bodyDiv w:val="1"/>
      <w:marLeft w:val="0"/>
      <w:marRight w:val="0"/>
      <w:marTop w:val="0"/>
      <w:marBottom w:val="0"/>
      <w:divBdr>
        <w:top w:val="none" w:sz="0" w:space="0" w:color="auto"/>
        <w:left w:val="none" w:sz="0" w:space="0" w:color="auto"/>
        <w:bottom w:val="none" w:sz="0" w:space="0" w:color="auto"/>
        <w:right w:val="none" w:sz="0" w:space="0" w:color="auto"/>
      </w:divBdr>
    </w:div>
    <w:div w:id="895707231">
      <w:bodyDiv w:val="1"/>
      <w:marLeft w:val="0"/>
      <w:marRight w:val="0"/>
      <w:marTop w:val="0"/>
      <w:marBottom w:val="0"/>
      <w:divBdr>
        <w:top w:val="none" w:sz="0" w:space="0" w:color="auto"/>
        <w:left w:val="none" w:sz="0" w:space="0" w:color="auto"/>
        <w:bottom w:val="none" w:sz="0" w:space="0" w:color="auto"/>
        <w:right w:val="none" w:sz="0" w:space="0" w:color="auto"/>
      </w:divBdr>
    </w:div>
    <w:div w:id="922691090">
      <w:bodyDiv w:val="1"/>
      <w:marLeft w:val="0"/>
      <w:marRight w:val="0"/>
      <w:marTop w:val="0"/>
      <w:marBottom w:val="0"/>
      <w:divBdr>
        <w:top w:val="none" w:sz="0" w:space="0" w:color="auto"/>
        <w:left w:val="none" w:sz="0" w:space="0" w:color="auto"/>
        <w:bottom w:val="none" w:sz="0" w:space="0" w:color="auto"/>
        <w:right w:val="none" w:sz="0" w:space="0" w:color="auto"/>
      </w:divBdr>
    </w:div>
    <w:div w:id="1115438937">
      <w:bodyDiv w:val="1"/>
      <w:marLeft w:val="0"/>
      <w:marRight w:val="0"/>
      <w:marTop w:val="0"/>
      <w:marBottom w:val="0"/>
      <w:divBdr>
        <w:top w:val="none" w:sz="0" w:space="0" w:color="auto"/>
        <w:left w:val="none" w:sz="0" w:space="0" w:color="auto"/>
        <w:bottom w:val="none" w:sz="0" w:space="0" w:color="auto"/>
        <w:right w:val="none" w:sz="0" w:space="0" w:color="auto"/>
      </w:divBdr>
    </w:div>
    <w:div w:id="1139882705">
      <w:bodyDiv w:val="1"/>
      <w:marLeft w:val="0"/>
      <w:marRight w:val="0"/>
      <w:marTop w:val="0"/>
      <w:marBottom w:val="0"/>
      <w:divBdr>
        <w:top w:val="none" w:sz="0" w:space="0" w:color="auto"/>
        <w:left w:val="none" w:sz="0" w:space="0" w:color="auto"/>
        <w:bottom w:val="none" w:sz="0" w:space="0" w:color="auto"/>
        <w:right w:val="none" w:sz="0" w:space="0" w:color="auto"/>
      </w:divBdr>
    </w:div>
    <w:div w:id="1189296177">
      <w:bodyDiv w:val="1"/>
      <w:marLeft w:val="0"/>
      <w:marRight w:val="0"/>
      <w:marTop w:val="0"/>
      <w:marBottom w:val="0"/>
      <w:divBdr>
        <w:top w:val="none" w:sz="0" w:space="0" w:color="auto"/>
        <w:left w:val="none" w:sz="0" w:space="0" w:color="auto"/>
        <w:bottom w:val="none" w:sz="0" w:space="0" w:color="auto"/>
        <w:right w:val="none" w:sz="0" w:space="0" w:color="auto"/>
      </w:divBdr>
    </w:div>
    <w:div w:id="1231042885">
      <w:bodyDiv w:val="1"/>
      <w:marLeft w:val="0"/>
      <w:marRight w:val="0"/>
      <w:marTop w:val="0"/>
      <w:marBottom w:val="0"/>
      <w:divBdr>
        <w:top w:val="none" w:sz="0" w:space="0" w:color="auto"/>
        <w:left w:val="none" w:sz="0" w:space="0" w:color="auto"/>
        <w:bottom w:val="none" w:sz="0" w:space="0" w:color="auto"/>
        <w:right w:val="none" w:sz="0" w:space="0" w:color="auto"/>
      </w:divBdr>
    </w:div>
    <w:div w:id="1361585587">
      <w:bodyDiv w:val="1"/>
      <w:marLeft w:val="0"/>
      <w:marRight w:val="0"/>
      <w:marTop w:val="0"/>
      <w:marBottom w:val="0"/>
      <w:divBdr>
        <w:top w:val="none" w:sz="0" w:space="0" w:color="auto"/>
        <w:left w:val="none" w:sz="0" w:space="0" w:color="auto"/>
        <w:bottom w:val="none" w:sz="0" w:space="0" w:color="auto"/>
        <w:right w:val="none" w:sz="0" w:space="0" w:color="auto"/>
      </w:divBdr>
    </w:div>
    <w:div w:id="1681396638">
      <w:bodyDiv w:val="1"/>
      <w:marLeft w:val="0"/>
      <w:marRight w:val="0"/>
      <w:marTop w:val="0"/>
      <w:marBottom w:val="0"/>
      <w:divBdr>
        <w:top w:val="none" w:sz="0" w:space="0" w:color="auto"/>
        <w:left w:val="none" w:sz="0" w:space="0" w:color="auto"/>
        <w:bottom w:val="none" w:sz="0" w:space="0" w:color="auto"/>
        <w:right w:val="none" w:sz="0" w:space="0" w:color="auto"/>
      </w:divBdr>
    </w:div>
    <w:div w:id="1690328448">
      <w:bodyDiv w:val="1"/>
      <w:marLeft w:val="0"/>
      <w:marRight w:val="0"/>
      <w:marTop w:val="0"/>
      <w:marBottom w:val="0"/>
      <w:divBdr>
        <w:top w:val="none" w:sz="0" w:space="0" w:color="auto"/>
        <w:left w:val="none" w:sz="0" w:space="0" w:color="auto"/>
        <w:bottom w:val="none" w:sz="0" w:space="0" w:color="auto"/>
        <w:right w:val="none" w:sz="0" w:space="0" w:color="auto"/>
      </w:divBdr>
    </w:div>
    <w:div w:id="1859008029">
      <w:bodyDiv w:val="1"/>
      <w:marLeft w:val="0"/>
      <w:marRight w:val="0"/>
      <w:marTop w:val="0"/>
      <w:marBottom w:val="0"/>
      <w:divBdr>
        <w:top w:val="none" w:sz="0" w:space="0" w:color="auto"/>
        <w:left w:val="none" w:sz="0" w:space="0" w:color="auto"/>
        <w:bottom w:val="none" w:sz="0" w:space="0" w:color="auto"/>
        <w:right w:val="none" w:sz="0" w:space="0" w:color="auto"/>
      </w:divBdr>
    </w:div>
    <w:div w:id="1884830542">
      <w:bodyDiv w:val="1"/>
      <w:marLeft w:val="0"/>
      <w:marRight w:val="0"/>
      <w:marTop w:val="0"/>
      <w:marBottom w:val="0"/>
      <w:divBdr>
        <w:top w:val="none" w:sz="0" w:space="0" w:color="auto"/>
        <w:left w:val="none" w:sz="0" w:space="0" w:color="auto"/>
        <w:bottom w:val="none" w:sz="0" w:space="0" w:color="auto"/>
        <w:right w:val="none" w:sz="0" w:space="0" w:color="auto"/>
      </w:divBdr>
    </w:div>
    <w:div w:id="1901162353">
      <w:bodyDiv w:val="1"/>
      <w:marLeft w:val="0"/>
      <w:marRight w:val="0"/>
      <w:marTop w:val="0"/>
      <w:marBottom w:val="0"/>
      <w:divBdr>
        <w:top w:val="none" w:sz="0" w:space="0" w:color="auto"/>
        <w:left w:val="none" w:sz="0" w:space="0" w:color="auto"/>
        <w:bottom w:val="none" w:sz="0" w:space="0" w:color="auto"/>
        <w:right w:val="none" w:sz="0" w:space="0" w:color="auto"/>
      </w:divBdr>
    </w:div>
    <w:div w:id="20568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8C9EE83D83D4448AF8205A6FC777399" ma:contentTypeVersion="26" ma:contentTypeDescription="" ma:contentTypeScope="" ma:versionID="98489e600dabfeb969d5adbe273e37da">
  <xsd:schema xmlns:xsd="http://www.w3.org/2001/XMLSchema" xmlns:xs="http://www.w3.org/2001/XMLSchema" xmlns:p="http://schemas.microsoft.com/office/2006/metadata/properties" xmlns:ns2="db2b92ca-6ed0-4085-802d-4c686a2e8c3f" xmlns:ns3="97799607-2890-4a68-80f0-689cc1cb251f" xmlns:ns4="eb44715b-cd74-4c79-92c4-f0e9f1a86440" targetNamespace="http://schemas.microsoft.com/office/2006/metadata/properties" ma:root="true" ma:fieldsID="94942c314d4d09e00065f407cdafa03b" ns2:_="" ns3:_="" ns4:_="">
    <xsd:import namespace="db2b92ca-6ed0-4085-802d-4c686a2e8c3f"/>
    <xsd:import namespace="97799607-2890-4a68-80f0-689cc1cb251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99607-2890-4a68-80f0-689cc1cb25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f302855-5de3-48f9-83c2-fc1acc0f760b" ContentTypeId="0x010100B5F685A1365F544391EF8C813B164F3A" PreviousValue="false"/>
</file>

<file path=customXml/item4.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PROTECTED - Legislative secrecybf406189-a923-4a31-9cc7-20467e3d9cea</p1abb5e704a84578aa4b8ef0390c3b25>
    <DocumentNotes xmlns="db2b92ca-6ed0-4085-802d-4c686a2e8c3f" xsi:nil="true"/>
    <NAPReason xmlns="db2b92ca-6ed0-4085-802d-4c686a2e8c3f" xsi:nil="true"/>
    <_dlc_DocId xmlns="eb44715b-cd74-4c79-92c4-f0e9f1a86440">000853-1726373233-1514</_dlc_DocId>
    <_dlc_DocIdUrl xmlns="eb44715b-cd74-4c79-92c4-f0e9f1a86440">
      <Url>https://asiclink.sharepoint.com/teams/000853/_layouts/15/DocIdRedir.aspx?ID=000853-1726373233-1514</Url>
      <Description>000853-1726373233-1514</Description>
    </_dlc_DocIdUrl>
  </documentManagement>
</p:propertie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000BA410-69E0-4E28-BC4D-B8470B584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97799607-2890-4a68-80f0-689cc1cb251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CC33A-1EE8-44D4-91C8-B7559A30D867}">
  <ds:schemaRefs>
    <ds:schemaRef ds:uri="http://schemas.microsoft.com/sharepoint/events"/>
  </ds:schemaRefs>
</ds:datastoreItem>
</file>

<file path=customXml/itemProps3.xml><?xml version="1.0" encoding="utf-8"?>
<ds:datastoreItem xmlns:ds="http://schemas.openxmlformats.org/officeDocument/2006/customXml" ds:itemID="{F0CB6651-F40C-40FD-938A-D3E8EC1A789D}">
  <ds:schemaRefs>
    <ds:schemaRef ds:uri="Microsoft.SharePoint.Taxonomy.ContentTypeSync"/>
  </ds:schemaRefs>
</ds:datastoreItem>
</file>

<file path=customXml/itemProps4.xml><?xml version="1.0" encoding="utf-8"?>
<ds:datastoreItem xmlns:ds="http://schemas.openxmlformats.org/officeDocument/2006/customXml" ds:itemID="{0EFBC483-196A-4EF7-86DB-AE85FF30EC85}">
  <ds:schemaRefs>
    <ds:schemaRef ds:uri="97799607-2890-4a68-80f0-689cc1cb25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44715b-cd74-4c79-92c4-f0e9f1a86440"/>
    <ds:schemaRef ds:uri="http://purl.org/dc/elements/1.1/"/>
    <ds:schemaRef ds:uri="http://schemas.microsoft.com/office/2006/metadata/properties"/>
    <ds:schemaRef ds:uri="db2b92ca-6ed0-4085-802d-4c686a2e8c3f"/>
    <ds:schemaRef ds:uri="http://www.w3.org/XML/1998/namespace"/>
    <ds:schemaRef ds:uri="http://purl.org/dc/dcmitype/"/>
  </ds:schemaRefs>
</ds:datastoreItem>
</file>

<file path=customXml/itemProps5.xml><?xml version="1.0" encoding="utf-8"?>
<ds:datastoreItem xmlns:ds="http://schemas.openxmlformats.org/officeDocument/2006/customXml" ds:itemID="{08D9AD8E-4D1E-41F3-8754-68D19A280593}">
  <ds:schemaRefs>
    <ds:schemaRef ds:uri="http://schemas.microsoft.com/sharepoint/v3/contenttype/forms"/>
  </ds:schemaRefs>
</ds:datastoreItem>
</file>

<file path=customXml/itemProps6.xml><?xml version="1.0" encoding="utf-8"?>
<ds:datastoreItem xmlns:ds="http://schemas.openxmlformats.org/officeDocument/2006/customXml" ds:itemID="{853B48A1-F23F-4F4F-AB9E-6AAEED610AA1}">
  <ds:schemaRefs>
    <ds:schemaRef ds:uri="http://schemas.openxmlformats.org/officeDocument/2006/bibliography"/>
  </ds:schemaRefs>
</ds:datastoreItem>
</file>

<file path=customXml/itemProps7.xml><?xml version="1.0" encoding="utf-8"?>
<ds:datastoreItem xmlns:ds="http://schemas.openxmlformats.org/officeDocument/2006/customXml" ds:itemID="{E287D47D-1CC7-494D-8BFE-1D990A0E20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17</Pages>
  <Words>4088</Words>
  <Characters>23303</Characters>
  <Application>Microsoft Office Word</Application>
  <DocSecurity>0</DocSecurity>
  <PresentationFormat/>
  <Lines>194</Lines>
  <Paragraphs>54</Paragraphs>
  <ScaleCrop>false</ScaleCrop>
  <Company>ASIC</Company>
  <LinksUpToDate>false</LinksUpToDate>
  <CharactersWithSpaces>27337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13-521</dc:title>
  <dc:subject/>
  <dc:creator>Matthew Bevins</dc:creator>
  <cp:keywords/>
  <cp:lastModifiedBy>Narelle Kane</cp:lastModifiedBy>
  <cp:revision>4</cp:revision>
  <cp:lastPrinted>2014-06-28T03:38:00Z</cp:lastPrinted>
  <dcterms:created xsi:type="dcterms:W3CDTF">2023-09-22T02:31:00Z</dcterms:created>
  <dcterms:modified xsi:type="dcterms:W3CDTF">2023-09-22T03:47:00Z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48;#PROTECTED - Legislative secrecy|bf406189-a923-4a31-9cc7-20467e3d9cea</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0x010100B5F685A1365F544391EF8C813B164F3A0008C9EE83D83D4448AF8205A6FC777399</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f75aa398-0e36-4be4-b6bd-f601112fda48</vt:lpwstr>
  </property>
  <property fmtid="{D5CDD505-2E9C-101B-9397-08002B2CF9AE}" pid="75" name="_dlc_DocIdUrl">
    <vt:lpwstr>https://asiclink.sharepoint.com/teams/000853/_layouts/15/DocIdRedir.aspx?ID=000853-1726373233-7, 000853-1726373233-7</vt:lpwstr>
  </property>
  <property fmtid="{D5CDD505-2E9C-101B-9397-08002B2CF9AE}" pid="76" name="Order">
    <vt:r8>29300</vt:r8>
  </property>
  <property fmtid="{D5CDD505-2E9C-101B-9397-08002B2CF9AE}" pid="77" name="ECMSP13CreatedBy">
    <vt:lpwstr>Grant Moodie</vt:lpwstr>
  </property>
  <property fmtid="{D5CDD505-2E9C-101B-9397-08002B2CF9AE}" pid="78" name="ECMSP13ModifiedBy">
    <vt:lpwstr>Tony Tong</vt:lpwstr>
  </property>
  <property fmtid="{D5CDD505-2E9C-101B-9397-08002B2CF9AE}" pid="79" name="ECMSP13SecurityClassification">
    <vt:lpwstr>Sensitive</vt:lpwstr>
  </property>
  <property fmtid="{D5CDD505-2E9C-101B-9397-08002B2CF9AE}" pid="80" name="ECMSP13DocumentID">
    <vt:lpwstr>R20150000005028</vt:lpwstr>
  </property>
  <property fmtid="{D5CDD505-2E9C-101B-9397-08002B2CF9AE}" pid="81" name="MSIP_Label_a6aead41-07f8-4767-ac8e-ef1c9c793766_Enabled">
    <vt:lpwstr>true</vt:lpwstr>
  </property>
  <property fmtid="{D5CDD505-2E9C-101B-9397-08002B2CF9AE}" pid="82" name="MSIP_Label_a6aead41-07f8-4767-ac8e-ef1c9c793766_SetDate">
    <vt:lpwstr>2022-08-17T02:43:55Z</vt:lpwstr>
  </property>
  <property fmtid="{D5CDD505-2E9C-101B-9397-08002B2CF9AE}" pid="83" name="MSIP_Label_a6aead41-07f8-4767-ac8e-ef1c9c793766_Method">
    <vt:lpwstr>Standard</vt:lpwstr>
  </property>
  <property fmtid="{D5CDD505-2E9C-101B-9397-08002B2CF9AE}" pid="84" name="MSIP_Label_a6aead41-07f8-4767-ac8e-ef1c9c793766_Name">
    <vt:lpwstr>OFFICIAL</vt:lpwstr>
  </property>
  <property fmtid="{D5CDD505-2E9C-101B-9397-08002B2CF9AE}" pid="85" name="MSIP_Label_a6aead41-07f8-4767-ac8e-ef1c9c793766_SiteId">
    <vt:lpwstr>5f1de7c6-55cd-4bb2-902d-514c78cf10f4</vt:lpwstr>
  </property>
  <property fmtid="{D5CDD505-2E9C-101B-9397-08002B2CF9AE}" pid="86" name="MSIP_Label_a6aead41-07f8-4767-ac8e-ef1c9c793766_ActionId">
    <vt:lpwstr>aaae96a3-33be-4cd1-8c42-6b63e8abccc7</vt:lpwstr>
  </property>
  <property fmtid="{D5CDD505-2E9C-101B-9397-08002B2CF9AE}" pid="87" name="MSIP_Label_a6aead41-07f8-4767-ac8e-ef1c9c793766_ContentBits">
    <vt:lpwstr>0</vt:lpwstr>
  </property>
</Properties>
</file>