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0B6A" w14:textId="77777777" w:rsidR="005E1D55" w:rsidRPr="00BD1760" w:rsidRDefault="005E1D55" w:rsidP="005E1D55">
      <w:pPr>
        <w:spacing w:after="600"/>
        <w:rPr>
          <w:sz w:val="28"/>
        </w:rPr>
      </w:pPr>
      <w:r w:rsidRPr="00BD1760">
        <w:rPr>
          <w:noProof/>
        </w:rPr>
        <w:drawing>
          <wp:inline distT="0" distB="0" distL="0" distR="0" wp14:anchorId="7FFF48DF" wp14:editId="7F9B9589">
            <wp:extent cx="3543300" cy="755650"/>
            <wp:effectExtent l="0" t="0" r="0" b="0"/>
            <wp:docPr id="3"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300" cy="755650"/>
                    </a:xfrm>
                    <a:prstGeom prst="rect">
                      <a:avLst/>
                    </a:prstGeom>
                    <a:noFill/>
                    <a:ln>
                      <a:noFill/>
                    </a:ln>
                  </pic:spPr>
                </pic:pic>
              </a:graphicData>
            </a:graphic>
          </wp:inline>
        </w:drawing>
      </w:r>
    </w:p>
    <w:p w14:paraId="370AAED6" w14:textId="77777777" w:rsidR="005E1D55" w:rsidRPr="00BD1760" w:rsidRDefault="005E1D55" w:rsidP="005E1D55">
      <w:pPr>
        <w:pStyle w:val="LI-Title"/>
        <w:pBdr>
          <w:bottom w:val="single" w:sz="4" w:space="1" w:color="auto"/>
        </w:pBdr>
      </w:pPr>
      <w:r w:rsidRPr="00BD1760">
        <w:t>ASIC Corporations (On-Sale Disclosure Relief for Scrip Bids and Schemes of Arrangement) Instrument 2023/686</w:t>
      </w:r>
    </w:p>
    <w:p w14:paraId="2FE20C9A" w14:textId="77777777" w:rsidR="005E1D55" w:rsidRPr="00BD1760" w:rsidRDefault="005E1D55" w:rsidP="005E1D55">
      <w:pPr>
        <w:pStyle w:val="LI-Fronttext"/>
        <w:rPr>
          <w:sz w:val="24"/>
          <w:szCs w:val="24"/>
        </w:rPr>
      </w:pPr>
      <w:r w:rsidRPr="00BD1760">
        <w:rPr>
          <w:sz w:val="24"/>
          <w:szCs w:val="24"/>
        </w:rPr>
        <w:t>I, Amanda Zeller, delegate of the Australian Securities and Investments Commission, make the following legislative instrument.</w:t>
      </w:r>
    </w:p>
    <w:p w14:paraId="0E0A4704" w14:textId="77777777" w:rsidR="005E1D55" w:rsidRPr="00BD1760" w:rsidRDefault="005E1D55" w:rsidP="005E1D55">
      <w:pPr>
        <w:pStyle w:val="LI-Fronttext"/>
      </w:pPr>
    </w:p>
    <w:p w14:paraId="3B531A7A" w14:textId="77777777" w:rsidR="005E1D55" w:rsidRPr="00BD1760" w:rsidRDefault="005E1D55" w:rsidP="005E1D55">
      <w:pPr>
        <w:pStyle w:val="LI-Fronttext"/>
        <w:rPr>
          <w:sz w:val="24"/>
          <w:szCs w:val="24"/>
        </w:rPr>
      </w:pPr>
      <w:r w:rsidRPr="00BD1760">
        <w:rPr>
          <w:sz w:val="24"/>
          <w:szCs w:val="24"/>
        </w:rPr>
        <w:t>Date</w:t>
      </w:r>
      <w:r w:rsidRPr="00BD1760">
        <w:rPr>
          <w:sz w:val="24"/>
          <w:szCs w:val="24"/>
        </w:rPr>
        <w:tab/>
        <w:t>22 September 2023</w:t>
      </w:r>
    </w:p>
    <w:p w14:paraId="7E2B92BB" w14:textId="07D98D22" w:rsidR="005E1D55" w:rsidRPr="00BD1760" w:rsidRDefault="005E1D55" w:rsidP="005E1D55">
      <w:pPr>
        <w:pStyle w:val="LI-Fronttext"/>
        <w:rPr>
          <w:color w:val="FF0000"/>
          <w:sz w:val="24"/>
          <w:szCs w:val="24"/>
        </w:rPr>
      </w:pPr>
      <w:bookmarkStart w:id="0" w:name="BKCheck15B_1"/>
      <w:bookmarkEnd w:id="0"/>
    </w:p>
    <w:p w14:paraId="68A91D05" w14:textId="77777777" w:rsidR="005E1D55" w:rsidRPr="00BB5C17" w:rsidRDefault="005E1D55" w:rsidP="005E1D55">
      <w:pPr>
        <w:pStyle w:val="LI-Fronttext"/>
        <w:pBdr>
          <w:bottom w:val="single" w:sz="4" w:space="1" w:color="auto"/>
        </w:pBdr>
        <w:rPr>
          <w:sz w:val="24"/>
          <w:szCs w:val="24"/>
        </w:rPr>
      </w:pPr>
      <w:r w:rsidRPr="00BD1760">
        <w:rPr>
          <w:sz w:val="24"/>
          <w:szCs w:val="24"/>
        </w:rPr>
        <w:t>Amanda Zeller</w:t>
      </w:r>
    </w:p>
    <w:p w14:paraId="3ACB4A38" w14:textId="77777777" w:rsidR="005E1D55" w:rsidRPr="00F61B09" w:rsidRDefault="005E1D55" w:rsidP="005E1D55">
      <w:pPr>
        <w:pStyle w:val="Header"/>
        <w:tabs>
          <w:tab w:val="clear" w:pos="4150"/>
          <w:tab w:val="clear" w:pos="8307"/>
        </w:tabs>
      </w:pPr>
    </w:p>
    <w:p w14:paraId="23EB146C" w14:textId="77777777" w:rsidR="005E1D55" w:rsidRPr="00F61B09" w:rsidRDefault="005E1D55" w:rsidP="005E1D55">
      <w:pPr>
        <w:sectPr w:rsidR="005E1D55" w:rsidRPr="00F61B09" w:rsidSect="008945E0">
          <w:headerReference w:type="even" r:id="rId7"/>
          <w:headerReference w:type="default" r:id="rId8"/>
          <w:footerReference w:type="even" r:id="rId9"/>
          <w:footerReference w:type="default" r:id="rId10"/>
          <w:headerReference w:type="first" r:id="rId11"/>
          <w:footerReference w:type="first" r:id="rId12"/>
          <w:pgSz w:w="11907" w:h="16839"/>
          <w:pgMar w:top="1440" w:right="1797" w:bottom="1440" w:left="1797" w:header="720" w:footer="709" w:gutter="0"/>
          <w:cols w:space="708"/>
          <w:titlePg/>
          <w:docGrid w:linePitch="360"/>
        </w:sectPr>
      </w:pPr>
    </w:p>
    <w:p w14:paraId="0C7B310E" w14:textId="77777777" w:rsidR="005E1D55" w:rsidRPr="00F61B09" w:rsidRDefault="005E1D55" w:rsidP="005E1D55">
      <w:pPr>
        <w:spacing w:before="280" w:after="240"/>
        <w:rPr>
          <w:sz w:val="36"/>
        </w:rPr>
      </w:pPr>
      <w:r w:rsidRPr="006E5320">
        <w:rPr>
          <w:b/>
          <w:sz w:val="32"/>
          <w:szCs w:val="32"/>
        </w:rPr>
        <w:lastRenderedPageBreak/>
        <w:t>Contents</w:t>
      </w:r>
    </w:p>
    <w:bookmarkStart w:id="1" w:name="BKCheck15B_2"/>
    <w:bookmarkEnd w:id="1"/>
    <w:p w14:paraId="6D1593F1" w14:textId="77777777" w:rsidR="005E1D55" w:rsidRPr="005511A5" w:rsidRDefault="005E1D55" w:rsidP="005E1D55">
      <w:pPr>
        <w:pStyle w:val="TOC1"/>
        <w:rPr>
          <w:rFonts w:ascii="Calibri" w:hAnsi="Calibri"/>
          <w:b w:val="0"/>
          <w:noProof/>
          <w:kern w:val="0"/>
          <w:sz w:val="22"/>
          <w:szCs w:val="22"/>
        </w:rPr>
      </w:pPr>
      <w:r>
        <w:rPr>
          <w:sz w:val="28"/>
        </w:rPr>
        <w:fldChar w:fldCharType="begin"/>
      </w:r>
      <w:r>
        <w:rPr>
          <w:sz w:val="28"/>
        </w:rPr>
        <w:instrText xml:space="preserve"> TOC \h \z \t "LI - Heading 1,1,LI - Heading 2,2" </w:instrText>
      </w:r>
      <w:r>
        <w:rPr>
          <w:sz w:val="28"/>
        </w:rPr>
        <w:fldChar w:fldCharType="separate"/>
      </w:r>
      <w:hyperlink w:anchor="_Toc146221503" w:history="1">
        <w:r w:rsidRPr="00993029">
          <w:rPr>
            <w:rStyle w:val="Hyperlink"/>
            <w:noProof/>
          </w:rPr>
          <w:t>Part 1—Preliminary</w:t>
        </w:r>
        <w:r>
          <w:rPr>
            <w:noProof/>
            <w:webHidden/>
          </w:rPr>
          <w:tab/>
        </w:r>
        <w:r>
          <w:rPr>
            <w:noProof/>
            <w:webHidden/>
          </w:rPr>
          <w:fldChar w:fldCharType="begin"/>
        </w:r>
        <w:r>
          <w:rPr>
            <w:noProof/>
            <w:webHidden/>
          </w:rPr>
          <w:instrText xml:space="preserve"> PAGEREF _Toc146221503 \h </w:instrText>
        </w:r>
        <w:r>
          <w:rPr>
            <w:noProof/>
            <w:webHidden/>
          </w:rPr>
        </w:r>
        <w:r>
          <w:rPr>
            <w:noProof/>
            <w:webHidden/>
          </w:rPr>
          <w:fldChar w:fldCharType="separate"/>
        </w:r>
        <w:r>
          <w:rPr>
            <w:noProof/>
            <w:webHidden/>
          </w:rPr>
          <w:t>3</w:t>
        </w:r>
        <w:r>
          <w:rPr>
            <w:noProof/>
            <w:webHidden/>
          </w:rPr>
          <w:fldChar w:fldCharType="end"/>
        </w:r>
      </w:hyperlink>
    </w:p>
    <w:p w14:paraId="6FD964AE" w14:textId="77777777" w:rsidR="005E1D55" w:rsidRPr="005511A5" w:rsidRDefault="00BD1760" w:rsidP="005E1D55">
      <w:pPr>
        <w:pStyle w:val="TOC2"/>
        <w:tabs>
          <w:tab w:val="left" w:pos="1474"/>
        </w:tabs>
        <w:rPr>
          <w:rFonts w:ascii="Calibri" w:hAnsi="Calibri"/>
          <w:noProof/>
          <w:kern w:val="0"/>
          <w:sz w:val="22"/>
          <w:szCs w:val="22"/>
        </w:rPr>
      </w:pPr>
      <w:hyperlink w:anchor="_Toc146221504" w:history="1">
        <w:r w:rsidR="005E1D55" w:rsidRPr="00993029">
          <w:rPr>
            <w:rStyle w:val="Hyperlink"/>
            <w:noProof/>
          </w:rPr>
          <w:t>1</w:t>
        </w:r>
        <w:r w:rsidR="005E1D55" w:rsidRPr="005511A5">
          <w:rPr>
            <w:rFonts w:ascii="Calibri" w:hAnsi="Calibri"/>
            <w:noProof/>
            <w:kern w:val="0"/>
            <w:sz w:val="22"/>
            <w:szCs w:val="22"/>
          </w:rPr>
          <w:tab/>
        </w:r>
        <w:r w:rsidR="005E1D55" w:rsidRPr="00993029">
          <w:rPr>
            <w:rStyle w:val="Hyperlink"/>
            <w:noProof/>
          </w:rPr>
          <w:t>Name of legislative instrument</w:t>
        </w:r>
        <w:r w:rsidR="005E1D55">
          <w:rPr>
            <w:noProof/>
            <w:webHidden/>
          </w:rPr>
          <w:tab/>
        </w:r>
        <w:r w:rsidR="005E1D55">
          <w:rPr>
            <w:noProof/>
            <w:webHidden/>
          </w:rPr>
          <w:fldChar w:fldCharType="begin"/>
        </w:r>
        <w:r w:rsidR="005E1D55">
          <w:rPr>
            <w:noProof/>
            <w:webHidden/>
          </w:rPr>
          <w:instrText xml:space="preserve"> PAGEREF _Toc146221504 \h </w:instrText>
        </w:r>
        <w:r w:rsidR="005E1D55">
          <w:rPr>
            <w:noProof/>
            <w:webHidden/>
          </w:rPr>
        </w:r>
        <w:r w:rsidR="005E1D55">
          <w:rPr>
            <w:noProof/>
            <w:webHidden/>
          </w:rPr>
          <w:fldChar w:fldCharType="separate"/>
        </w:r>
        <w:r w:rsidR="005E1D55">
          <w:rPr>
            <w:noProof/>
            <w:webHidden/>
          </w:rPr>
          <w:t>3</w:t>
        </w:r>
        <w:r w:rsidR="005E1D55">
          <w:rPr>
            <w:noProof/>
            <w:webHidden/>
          </w:rPr>
          <w:fldChar w:fldCharType="end"/>
        </w:r>
      </w:hyperlink>
    </w:p>
    <w:p w14:paraId="01F86937" w14:textId="77777777" w:rsidR="005E1D55" w:rsidRPr="005511A5" w:rsidRDefault="00BD1760" w:rsidP="005E1D55">
      <w:pPr>
        <w:pStyle w:val="TOC2"/>
        <w:tabs>
          <w:tab w:val="left" w:pos="1474"/>
        </w:tabs>
        <w:rPr>
          <w:rFonts w:ascii="Calibri" w:hAnsi="Calibri"/>
          <w:noProof/>
          <w:kern w:val="0"/>
          <w:sz w:val="22"/>
          <w:szCs w:val="22"/>
        </w:rPr>
      </w:pPr>
      <w:hyperlink w:anchor="_Toc146221505" w:history="1">
        <w:r w:rsidR="005E1D55" w:rsidRPr="00993029">
          <w:rPr>
            <w:rStyle w:val="Hyperlink"/>
            <w:noProof/>
          </w:rPr>
          <w:t>2</w:t>
        </w:r>
        <w:r w:rsidR="005E1D55" w:rsidRPr="005511A5">
          <w:rPr>
            <w:rFonts w:ascii="Calibri" w:hAnsi="Calibri"/>
            <w:noProof/>
            <w:kern w:val="0"/>
            <w:sz w:val="22"/>
            <w:szCs w:val="22"/>
          </w:rPr>
          <w:tab/>
        </w:r>
        <w:r w:rsidR="005E1D55" w:rsidRPr="00993029">
          <w:rPr>
            <w:rStyle w:val="Hyperlink"/>
            <w:noProof/>
          </w:rPr>
          <w:t>Commencement</w:t>
        </w:r>
        <w:r w:rsidR="005E1D55">
          <w:rPr>
            <w:noProof/>
            <w:webHidden/>
          </w:rPr>
          <w:tab/>
        </w:r>
        <w:r w:rsidR="005E1D55">
          <w:rPr>
            <w:noProof/>
            <w:webHidden/>
          </w:rPr>
          <w:fldChar w:fldCharType="begin"/>
        </w:r>
        <w:r w:rsidR="005E1D55">
          <w:rPr>
            <w:noProof/>
            <w:webHidden/>
          </w:rPr>
          <w:instrText xml:space="preserve"> PAGEREF _Toc146221505 \h </w:instrText>
        </w:r>
        <w:r w:rsidR="005E1D55">
          <w:rPr>
            <w:noProof/>
            <w:webHidden/>
          </w:rPr>
        </w:r>
        <w:r w:rsidR="005E1D55">
          <w:rPr>
            <w:noProof/>
            <w:webHidden/>
          </w:rPr>
          <w:fldChar w:fldCharType="separate"/>
        </w:r>
        <w:r w:rsidR="005E1D55">
          <w:rPr>
            <w:noProof/>
            <w:webHidden/>
          </w:rPr>
          <w:t>3</w:t>
        </w:r>
        <w:r w:rsidR="005E1D55">
          <w:rPr>
            <w:noProof/>
            <w:webHidden/>
          </w:rPr>
          <w:fldChar w:fldCharType="end"/>
        </w:r>
      </w:hyperlink>
    </w:p>
    <w:p w14:paraId="31E91C27" w14:textId="77777777" w:rsidR="005E1D55" w:rsidRPr="005511A5" w:rsidRDefault="00BD1760" w:rsidP="005E1D55">
      <w:pPr>
        <w:pStyle w:val="TOC2"/>
        <w:tabs>
          <w:tab w:val="left" w:pos="1474"/>
        </w:tabs>
        <w:rPr>
          <w:rFonts w:ascii="Calibri" w:hAnsi="Calibri"/>
          <w:noProof/>
          <w:kern w:val="0"/>
          <w:sz w:val="22"/>
          <w:szCs w:val="22"/>
        </w:rPr>
      </w:pPr>
      <w:hyperlink w:anchor="_Toc146221506" w:history="1">
        <w:r w:rsidR="005E1D55" w:rsidRPr="00993029">
          <w:rPr>
            <w:rStyle w:val="Hyperlink"/>
            <w:noProof/>
          </w:rPr>
          <w:t>3</w:t>
        </w:r>
        <w:r w:rsidR="005E1D55" w:rsidRPr="005511A5">
          <w:rPr>
            <w:rFonts w:ascii="Calibri" w:hAnsi="Calibri"/>
            <w:noProof/>
            <w:kern w:val="0"/>
            <w:sz w:val="22"/>
            <w:szCs w:val="22"/>
          </w:rPr>
          <w:tab/>
        </w:r>
        <w:r w:rsidR="005E1D55" w:rsidRPr="00993029">
          <w:rPr>
            <w:rStyle w:val="Hyperlink"/>
            <w:noProof/>
          </w:rPr>
          <w:t>Authority</w:t>
        </w:r>
        <w:r w:rsidR="005E1D55">
          <w:rPr>
            <w:noProof/>
            <w:webHidden/>
          </w:rPr>
          <w:tab/>
        </w:r>
        <w:r w:rsidR="005E1D55">
          <w:rPr>
            <w:noProof/>
            <w:webHidden/>
          </w:rPr>
          <w:fldChar w:fldCharType="begin"/>
        </w:r>
        <w:r w:rsidR="005E1D55">
          <w:rPr>
            <w:noProof/>
            <w:webHidden/>
          </w:rPr>
          <w:instrText xml:space="preserve"> PAGEREF _Toc146221506 \h </w:instrText>
        </w:r>
        <w:r w:rsidR="005E1D55">
          <w:rPr>
            <w:noProof/>
            <w:webHidden/>
          </w:rPr>
        </w:r>
        <w:r w:rsidR="005E1D55">
          <w:rPr>
            <w:noProof/>
            <w:webHidden/>
          </w:rPr>
          <w:fldChar w:fldCharType="separate"/>
        </w:r>
        <w:r w:rsidR="005E1D55">
          <w:rPr>
            <w:noProof/>
            <w:webHidden/>
          </w:rPr>
          <w:t>3</w:t>
        </w:r>
        <w:r w:rsidR="005E1D55">
          <w:rPr>
            <w:noProof/>
            <w:webHidden/>
          </w:rPr>
          <w:fldChar w:fldCharType="end"/>
        </w:r>
      </w:hyperlink>
    </w:p>
    <w:p w14:paraId="56E9CE59" w14:textId="77777777" w:rsidR="005E1D55" w:rsidRPr="005511A5" w:rsidRDefault="00BD1760" w:rsidP="005E1D55">
      <w:pPr>
        <w:pStyle w:val="TOC2"/>
        <w:tabs>
          <w:tab w:val="left" w:pos="1474"/>
        </w:tabs>
        <w:rPr>
          <w:rFonts w:ascii="Calibri" w:hAnsi="Calibri"/>
          <w:noProof/>
          <w:kern w:val="0"/>
          <w:sz w:val="22"/>
          <w:szCs w:val="22"/>
        </w:rPr>
      </w:pPr>
      <w:hyperlink w:anchor="_Toc146221507" w:history="1">
        <w:r w:rsidR="005E1D55" w:rsidRPr="00993029">
          <w:rPr>
            <w:rStyle w:val="Hyperlink"/>
            <w:noProof/>
          </w:rPr>
          <w:t>4</w:t>
        </w:r>
        <w:r w:rsidR="005E1D55" w:rsidRPr="005511A5">
          <w:rPr>
            <w:rFonts w:ascii="Calibri" w:hAnsi="Calibri"/>
            <w:noProof/>
            <w:kern w:val="0"/>
            <w:sz w:val="22"/>
            <w:szCs w:val="22"/>
          </w:rPr>
          <w:tab/>
        </w:r>
        <w:r w:rsidR="005E1D55" w:rsidRPr="00993029">
          <w:rPr>
            <w:rStyle w:val="Hyperlink"/>
            <w:noProof/>
          </w:rPr>
          <w:t>Definitions</w:t>
        </w:r>
        <w:r w:rsidR="005E1D55">
          <w:rPr>
            <w:noProof/>
            <w:webHidden/>
          </w:rPr>
          <w:tab/>
        </w:r>
        <w:r w:rsidR="005E1D55">
          <w:rPr>
            <w:noProof/>
            <w:webHidden/>
          </w:rPr>
          <w:fldChar w:fldCharType="begin"/>
        </w:r>
        <w:r w:rsidR="005E1D55">
          <w:rPr>
            <w:noProof/>
            <w:webHidden/>
          </w:rPr>
          <w:instrText xml:space="preserve"> PAGEREF _Toc146221507 \h </w:instrText>
        </w:r>
        <w:r w:rsidR="005E1D55">
          <w:rPr>
            <w:noProof/>
            <w:webHidden/>
          </w:rPr>
        </w:r>
        <w:r w:rsidR="005E1D55">
          <w:rPr>
            <w:noProof/>
            <w:webHidden/>
          </w:rPr>
          <w:fldChar w:fldCharType="separate"/>
        </w:r>
        <w:r w:rsidR="005E1D55">
          <w:rPr>
            <w:noProof/>
            <w:webHidden/>
          </w:rPr>
          <w:t>3</w:t>
        </w:r>
        <w:r w:rsidR="005E1D55">
          <w:rPr>
            <w:noProof/>
            <w:webHidden/>
          </w:rPr>
          <w:fldChar w:fldCharType="end"/>
        </w:r>
      </w:hyperlink>
    </w:p>
    <w:p w14:paraId="629E166E" w14:textId="77777777" w:rsidR="005E1D55" w:rsidRPr="005511A5" w:rsidRDefault="00BD1760" w:rsidP="005E1D55">
      <w:pPr>
        <w:pStyle w:val="TOC1"/>
        <w:rPr>
          <w:rFonts w:ascii="Calibri" w:hAnsi="Calibri"/>
          <w:b w:val="0"/>
          <w:noProof/>
          <w:kern w:val="0"/>
          <w:sz w:val="22"/>
          <w:szCs w:val="22"/>
        </w:rPr>
      </w:pPr>
      <w:hyperlink w:anchor="_Toc146221508" w:history="1">
        <w:r w:rsidR="005E1D55" w:rsidRPr="00993029">
          <w:rPr>
            <w:rStyle w:val="Hyperlink"/>
            <w:noProof/>
          </w:rPr>
          <w:t>Part 2—Exemption</w:t>
        </w:r>
        <w:r w:rsidR="005E1D55">
          <w:rPr>
            <w:noProof/>
            <w:webHidden/>
          </w:rPr>
          <w:tab/>
        </w:r>
        <w:r w:rsidR="005E1D55">
          <w:rPr>
            <w:noProof/>
            <w:webHidden/>
          </w:rPr>
          <w:fldChar w:fldCharType="begin"/>
        </w:r>
        <w:r w:rsidR="005E1D55">
          <w:rPr>
            <w:noProof/>
            <w:webHidden/>
          </w:rPr>
          <w:instrText xml:space="preserve"> PAGEREF _Toc146221508 \h </w:instrText>
        </w:r>
        <w:r w:rsidR="005E1D55">
          <w:rPr>
            <w:noProof/>
            <w:webHidden/>
          </w:rPr>
        </w:r>
        <w:r w:rsidR="005E1D55">
          <w:rPr>
            <w:noProof/>
            <w:webHidden/>
          </w:rPr>
          <w:fldChar w:fldCharType="separate"/>
        </w:r>
        <w:r w:rsidR="005E1D55">
          <w:rPr>
            <w:noProof/>
            <w:webHidden/>
          </w:rPr>
          <w:t>6</w:t>
        </w:r>
        <w:r w:rsidR="005E1D55">
          <w:rPr>
            <w:noProof/>
            <w:webHidden/>
          </w:rPr>
          <w:fldChar w:fldCharType="end"/>
        </w:r>
      </w:hyperlink>
    </w:p>
    <w:p w14:paraId="65CF5B97" w14:textId="77777777" w:rsidR="005E1D55" w:rsidRPr="005511A5" w:rsidRDefault="00BD1760" w:rsidP="005E1D55">
      <w:pPr>
        <w:pStyle w:val="TOC2"/>
        <w:tabs>
          <w:tab w:val="left" w:pos="1474"/>
        </w:tabs>
        <w:rPr>
          <w:rFonts w:ascii="Calibri" w:hAnsi="Calibri"/>
          <w:noProof/>
          <w:kern w:val="0"/>
          <w:sz w:val="22"/>
          <w:szCs w:val="22"/>
        </w:rPr>
      </w:pPr>
      <w:hyperlink w:anchor="_Toc146221509" w:history="1">
        <w:r w:rsidR="005E1D55" w:rsidRPr="00993029">
          <w:rPr>
            <w:rStyle w:val="Hyperlink"/>
            <w:noProof/>
          </w:rPr>
          <w:t>5</w:t>
        </w:r>
        <w:r w:rsidR="005E1D55" w:rsidRPr="005511A5">
          <w:rPr>
            <w:rFonts w:ascii="Calibri" w:hAnsi="Calibri"/>
            <w:noProof/>
            <w:kern w:val="0"/>
            <w:sz w:val="22"/>
            <w:szCs w:val="22"/>
          </w:rPr>
          <w:tab/>
        </w:r>
        <w:r w:rsidR="005E1D55" w:rsidRPr="00993029">
          <w:rPr>
            <w:rStyle w:val="Hyperlink"/>
            <w:noProof/>
          </w:rPr>
          <w:t>On-sale disclosure relief for scrip bids and schemes of arrangement</w:t>
        </w:r>
        <w:r w:rsidR="005E1D55">
          <w:rPr>
            <w:noProof/>
            <w:webHidden/>
          </w:rPr>
          <w:tab/>
        </w:r>
        <w:r w:rsidR="005E1D55">
          <w:rPr>
            <w:noProof/>
            <w:webHidden/>
          </w:rPr>
          <w:fldChar w:fldCharType="begin"/>
        </w:r>
        <w:r w:rsidR="005E1D55">
          <w:rPr>
            <w:noProof/>
            <w:webHidden/>
          </w:rPr>
          <w:instrText xml:space="preserve"> PAGEREF _Toc146221509 \h </w:instrText>
        </w:r>
        <w:r w:rsidR="005E1D55">
          <w:rPr>
            <w:noProof/>
            <w:webHidden/>
          </w:rPr>
        </w:r>
        <w:r w:rsidR="005E1D55">
          <w:rPr>
            <w:noProof/>
            <w:webHidden/>
          </w:rPr>
          <w:fldChar w:fldCharType="separate"/>
        </w:r>
        <w:r w:rsidR="005E1D55">
          <w:rPr>
            <w:noProof/>
            <w:webHidden/>
          </w:rPr>
          <w:t>6</w:t>
        </w:r>
        <w:r w:rsidR="005E1D55">
          <w:rPr>
            <w:noProof/>
            <w:webHidden/>
          </w:rPr>
          <w:fldChar w:fldCharType="end"/>
        </w:r>
      </w:hyperlink>
    </w:p>
    <w:p w14:paraId="5EF9A3B1" w14:textId="77777777" w:rsidR="005E1D55" w:rsidRPr="005511A5" w:rsidRDefault="00BD1760" w:rsidP="005E1D55">
      <w:pPr>
        <w:pStyle w:val="TOC1"/>
        <w:rPr>
          <w:rFonts w:ascii="Calibri" w:hAnsi="Calibri"/>
          <w:b w:val="0"/>
          <w:noProof/>
          <w:kern w:val="0"/>
          <w:sz w:val="22"/>
          <w:szCs w:val="22"/>
        </w:rPr>
      </w:pPr>
      <w:hyperlink w:anchor="_Toc146221510" w:history="1">
        <w:r w:rsidR="005E1D55" w:rsidRPr="00993029">
          <w:rPr>
            <w:rStyle w:val="Hyperlink"/>
            <w:noProof/>
          </w:rPr>
          <w:t>Part 3—Repeal</w:t>
        </w:r>
        <w:r w:rsidR="005E1D55">
          <w:rPr>
            <w:noProof/>
            <w:webHidden/>
          </w:rPr>
          <w:tab/>
        </w:r>
        <w:r w:rsidR="005E1D55">
          <w:rPr>
            <w:noProof/>
            <w:webHidden/>
          </w:rPr>
          <w:fldChar w:fldCharType="begin"/>
        </w:r>
        <w:r w:rsidR="005E1D55">
          <w:rPr>
            <w:noProof/>
            <w:webHidden/>
          </w:rPr>
          <w:instrText xml:space="preserve"> PAGEREF _Toc146221510 \h </w:instrText>
        </w:r>
        <w:r w:rsidR="005E1D55">
          <w:rPr>
            <w:noProof/>
            <w:webHidden/>
          </w:rPr>
        </w:r>
        <w:r w:rsidR="005E1D55">
          <w:rPr>
            <w:noProof/>
            <w:webHidden/>
          </w:rPr>
          <w:fldChar w:fldCharType="separate"/>
        </w:r>
        <w:r w:rsidR="005E1D55">
          <w:rPr>
            <w:noProof/>
            <w:webHidden/>
          </w:rPr>
          <w:t>6</w:t>
        </w:r>
        <w:r w:rsidR="005E1D55">
          <w:rPr>
            <w:noProof/>
            <w:webHidden/>
          </w:rPr>
          <w:fldChar w:fldCharType="end"/>
        </w:r>
      </w:hyperlink>
    </w:p>
    <w:p w14:paraId="2A09B676" w14:textId="77777777" w:rsidR="005E1D55" w:rsidRPr="005511A5" w:rsidRDefault="00BD1760" w:rsidP="005E1D55">
      <w:pPr>
        <w:pStyle w:val="TOC2"/>
        <w:tabs>
          <w:tab w:val="left" w:pos="1474"/>
        </w:tabs>
        <w:rPr>
          <w:rFonts w:ascii="Calibri" w:hAnsi="Calibri"/>
          <w:noProof/>
          <w:kern w:val="0"/>
          <w:sz w:val="22"/>
          <w:szCs w:val="22"/>
        </w:rPr>
      </w:pPr>
      <w:hyperlink w:anchor="_Toc146221511" w:history="1">
        <w:r w:rsidR="005E1D55" w:rsidRPr="00993029">
          <w:rPr>
            <w:rStyle w:val="Hyperlink"/>
            <w:noProof/>
          </w:rPr>
          <w:t>6</w:t>
        </w:r>
        <w:r w:rsidR="005E1D55" w:rsidRPr="005511A5">
          <w:rPr>
            <w:rFonts w:ascii="Calibri" w:hAnsi="Calibri"/>
            <w:noProof/>
            <w:kern w:val="0"/>
            <w:sz w:val="22"/>
            <w:szCs w:val="22"/>
          </w:rPr>
          <w:tab/>
        </w:r>
        <w:r w:rsidR="005E1D55" w:rsidRPr="00993029">
          <w:rPr>
            <w:rStyle w:val="Hyperlink"/>
            <w:noProof/>
          </w:rPr>
          <w:t>Repeal</w:t>
        </w:r>
        <w:r w:rsidR="005E1D55">
          <w:rPr>
            <w:noProof/>
            <w:webHidden/>
          </w:rPr>
          <w:tab/>
        </w:r>
        <w:r w:rsidR="005E1D55">
          <w:rPr>
            <w:noProof/>
            <w:webHidden/>
          </w:rPr>
          <w:fldChar w:fldCharType="begin"/>
        </w:r>
        <w:r w:rsidR="005E1D55">
          <w:rPr>
            <w:noProof/>
            <w:webHidden/>
          </w:rPr>
          <w:instrText xml:space="preserve"> PAGEREF _Toc146221511 \h </w:instrText>
        </w:r>
        <w:r w:rsidR="005E1D55">
          <w:rPr>
            <w:noProof/>
            <w:webHidden/>
          </w:rPr>
        </w:r>
        <w:r w:rsidR="005E1D55">
          <w:rPr>
            <w:noProof/>
            <w:webHidden/>
          </w:rPr>
          <w:fldChar w:fldCharType="separate"/>
        </w:r>
        <w:r w:rsidR="005E1D55">
          <w:rPr>
            <w:noProof/>
            <w:webHidden/>
          </w:rPr>
          <w:t>6</w:t>
        </w:r>
        <w:r w:rsidR="005E1D55">
          <w:rPr>
            <w:noProof/>
            <w:webHidden/>
          </w:rPr>
          <w:fldChar w:fldCharType="end"/>
        </w:r>
      </w:hyperlink>
    </w:p>
    <w:p w14:paraId="51A99BB1" w14:textId="77777777" w:rsidR="005E1D55" w:rsidRPr="00F61B09" w:rsidRDefault="005E1D55" w:rsidP="005E1D55">
      <w:r>
        <w:rPr>
          <w:rFonts w:eastAsia="Times New Roman"/>
          <w:kern w:val="28"/>
          <w:sz w:val="28"/>
          <w:lang w:eastAsia="en-AU"/>
        </w:rPr>
        <w:fldChar w:fldCharType="end"/>
      </w:r>
    </w:p>
    <w:p w14:paraId="72C6B26F" w14:textId="77777777" w:rsidR="005E1D55" w:rsidRPr="00F61B09" w:rsidRDefault="005E1D55" w:rsidP="005E1D55">
      <w:pPr>
        <w:sectPr w:rsidR="005E1D55" w:rsidRPr="00F61B09" w:rsidSect="00F4215A">
          <w:headerReference w:type="even" r:id="rId13"/>
          <w:headerReference w:type="default" r:id="rId14"/>
          <w:footerReference w:type="even" r:id="rId15"/>
          <w:footerReference w:type="default" r:id="rId16"/>
          <w:headerReference w:type="first" r:id="rId17"/>
          <w:pgSz w:w="11907" w:h="16839"/>
          <w:pgMar w:top="1098" w:right="1797" w:bottom="1440" w:left="1797" w:header="720" w:footer="709" w:gutter="0"/>
          <w:pgNumType w:fmt="lowerRoman"/>
          <w:cols w:space="708"/>
          <w:docGrid w:linePitch="360"/>
        </w:sectPr>
      </w:pPr>
    </w:p>
    <w:p w14:paraId="4BB8440F" w14:textId="77777777" w:rsidR="005E1D55" w:rsidRPr="00F61B09" w:rsidRDefault="005E1D55" w:rsidP="005E1D55">
      <w:pPr>
        <w:pStyle w:val="LI-Heading1"/>
      </w:pPr>
      <w:bookmarkStart w:id="2" w:name="BK_S3P1L1C1"/>
      <w:bookmarkStart w:id="3" w:name="_Toc146221503"/>
      <w:bookmarkEnd w:id="2"/>
      <w:r w:rsidRPr="006554FF">
        <w:lastRenderedPageBreak/>
        <w:t>Part </w:t>
      </w:r>
      <w:r w:rsidRPr="006E5320">
        <w:t>1</w:t>
      </w:r>
      <w:r w:rsidRPr="00F61B09">
        <w:t>—</w:t>
      </w:r>
      <w:r w:rsidRPr="00005446">
        <w:t>Preliminary</w:t>
      </w:r>
      <w:bookmarkEnd w:id="3"/>
    </w:p>
    <w:p w14:paraId="7717D77A" w14:textId="77777777" w:rsidR="005E1D55" w:rsidRDefault="005E1D55" w:rsidP="005E1D55">
      <w:pPr>
        <w:pStyle w:val="LI-Heading2"/>
        <w:rPr>
          <w:szCs w:val="24"/>
        </w:rPr>
      </w:pPr>
      <w:bookmarkStart w:id="4" w:name="_Toc146221504"/>
      <w:r w:rsidRPr="008C0F29">
        <w:rPr>
          <w:szCs w:val="24"/>
        </w:rPr>
        <w:t>1</w:t>
      </w:r>
      <w:r>
        <w:rPr>
          <w:szCs w:val="24"/>
        </w:rPr>
        <w:tab/>
      </w:r>
      <w:r w:rsidRPr="008C0F29">
        <w:rPr>
          <w:szCs w:val="24"/>
        </w:rPr>
        <w:t>Name of legislative instrument</w:t>
      </w:r>
      <w:bookmarkEnd w:id="4"/>
    </w:p>
    <w:p w14:paraId="68B24FF7" w14:textId="77777777" w:rsidR="005E1D55" w:rsidRDefault="005E1D55" w:rsidP="005E1D55">
      <w:pPr>
        <w:pStyle w:val="LI-BodyTextUnnumbered"/>
        <w:rPr>
          <w:szCs w:val="24"/>
        </w:rPr>
      </w:pPr>
      <w:r w:rsidRPr="008C0F29">
        <w:rPr>
          <w:szCs w:val="24"/>
        </w:rPr>
        <w:t>This is</w:t>
      </w:r>
      <w:r>
        <w:rPr>
          <w:szCs w:val="24"/>
        </w:rPr>
        <w:t xml:space="preserve"> the</w:t>
      </w:r>
      <w:r w:rsidRPr="008C0F29">
        <w:rPr>
          <w:szCs w:val="24"/>
        </w:rPr>
        <w:t xml:space="preserve"> </w:t>
      </w:r>
      <w:bookmarkStart w:id="5" w:name="_Hlk146221476"/>
      <w:r w:rsidRPr="008C0F29">
        <w:rPr>
          <w:i/>
          <w:szCs w:val="24"/>
        </w:rPr>
        <w:t>A</w:t>
      </w:r>
      <w:r>
        <w:rPr>
          <w:i/>
          <w:szCs w:val="24"/>
        </w:rPr>
        <w:t xml:space="preserve">SIC Corporations </w:t>
      </w:r>
      <w:r w:rsidRPr="005D3D41">
        <w:rPr>
          <w:i/>
          <w:szCs w:val="24"/>
        </w:rPr>
        <w:t>(</w:t>
      </w:r>
      <w:r w:rsidRPr="004E7A71">
        <w:rPr>
          <w:i/>
          <w:szCs w:val="24"/>
        </w:rPr>
        <w:t>On-</w:t>
      </w:r>
      <w:r>
        <w:rPr>
          <w:i/>
          <w:szCs w:val="24"/>
        </w:rPr>
        <w:t>S</w:t>
      </w:r>
      <w:r w:rsidRPr="004E7A71">
        <w:rPr>
          <w:i/>
          <w:szCs w:val="24"/>
        </w:rPr>
        <w:t xml:space="preserve">ale </w:t>
      </w:r>
      <w:r>
        <w:rPr>
          <w:i/>
          <w:szCs w:val="24"/>
        </w:rPr>
        <w:t>D</w:t>
      </w:r>
      <w:r w:rsidRPr="004E7A71">
        <w:rPr>
          <w:i/>
          <w:szCs w:val="24"/>
        </w:rPr>
        <w:t xml:space="preserve">isclosure </w:t>
      </w:r>
      <w:r>
        <w:rPr>
          <w:i/>
          <w:szCs w:val="24"/>
        </w:rPr>
        <w:t>R</w:t>
      </w:r>
      <w:r w:rsidRPr="004E7A71">
        <w:rPr>
          <w:i/>
          <w:szCs w:val="24"/>
        </w:rPr>
        <w:t xml:space="preserve">elief for </w:t>
      </w:r>
      <w:r>
        <w:rPr>
          <w:i/>
          <w:szCs w:val="24"/>
        </w:rPr>
        <w:t>S</w:t>
      </w:r>
      <w:r w:rsidRPr="004E7A71">
        <w:rPr>
          <w:i/>
          <w:szCs w:val="24"/>
        </w:rPr>
        <w:t xml:space="preserve">crip </w:t>
      </w:r>
      <w:r>
        <w:rPr>
          <w:i/>
          <w:szCs w:val="24"/>
        </w:rPr>
        <w:t>B</w:t>
      </w:r>
      <w:r w:rsidRPr="004E7A71">
        <w:rPr>
          <w:i/>
          <w:szCs w:val="24"/>
        </w:rPr>
        <w:t xml:space="preserve">ids and </w:t>
      </w:r>
      <w:r>
        <w:rPr>
          <w:i/>
          <w:szCs w:val="24"/>
        </w:rPr>
        <w:t>S</w:t>
      </w:r>
      <w:r w:rsidRPr="004E7A71">
        <w:rPr>
          <w:i/>
          <w:szCs w:val="24"/>
        </w:rPr>
        <w:t xml:space="preserve">chemes of </w:t>
      </w:r>
      <w:r>
        <w:rPr>
          <w:i/>
          <w:szCs w:val="24"/>
        </w:rPr>
        <w:t>A</w:t>
      </w:r>
      <w:r w:rsidRPr="004E7A71">
        <w:rPr>
          <w:i/>
          <w:szCs w:val="24"/>
        </w:rPr>
        <w:t>rrangement</w:t>
      </w:r>
      <w:r w:rsidRPr="005D3D41">
        <w:rPr>
          <w:i/>
          <w:szCs w:val="24"/>
        </w:rPr>
        <w:t>) Instrument</w:t>
      </w:r>
      <w:r>
        <w:rPr>
          <w:i/>
          <w:szCs w:val="24"/>
        </w:rPr>
        <w:t xml:space="preserve"> 2023/686</w:t>
      </w:r>
      <w:bookmarkEnd w:id="5"/>
      <w:r>
        <w:rPr>
          <w:iCs/>
          <w:szCs w:val="24"/>
        </w:rPr>
        <w:t>.</w:t>
      </w:r>
    </w:p>
    <w:p w14:paraId="1BB29F42" w14:textId="77777777" w:rsidR="005E1D55" w:rsidRPr="008C0F29" w:rsidRDefault="005E1D55" w:rsidP="005E1D55">
      <w:pPr>
        <w:pStyle w:val="LI-Heading2"/>
        <w:rPr>
          <w:szCs w:val="24"/>
        </w:rPr>
      </w:pPr>
      <w:bookmarkStart w:id="6" w:name="_Toc146221505"/>
      <w:r w:rsidRPr="008C0F29">
        <w:rPr>
          <w:szCs w:val="24"/>
        </w:rPr>
        <w:t>2</w:t>
      </w:r>
      <w:r>
        <w:rPr>
          <w:szCs w:val="24"/>
        </w:rPr>
        <w:tab/>
      </w:r>
      <w:r w:rsidRPr="008C0F29">
        <w:rPr>
          <w:szCs w:val="24"/>
        </w:rPr>
        <w:t>Commencement</w:t>
      </w:r>
      <w:bookmarkEnd w:id="6"/>
    </w:p>
    <w:p w14:paraId="2E94695D" w14:textId="77777777" w:rsidR="005E1D55" w:rsidRPr="008C0F29" w:rsidRDefault="005E1D55" w:rsidP="005E1D55">
      <w:pPr>
        <w:pStyle w:val="LI-BodyTextUnnumbered"/>
        <w:rPr>
          <w:szCs w:val="24"/>
        </w:rPr>
      </w:pPr>
      <w:r w:rsidRPr="008C0F29">
        <w:rPr>
          <w:szCs w:val="24"/>
        </w:rPr>
        <w:t xml:space="preserve">This </w:t>
      </w:r>
      <w:r>
        <w:rPr>
          <w:szCs w:val="24"/>
        </w:rPr>
        <w:t>instrument</w:t>
      </w:r>
      <w:r w:rsidRPr="008C0F29">
        <w:rPr>
          <w:szCs w:val="24"/>
        </w:rPr>
        <w:t xml:space="preserve"> commences on the day </w:t>
      </w:r>
      <w:r>
        <w:rPr>
          <w:szCs w:val="24"/>
        </w:rPr>
        <w:t>after it is registered on the Federal Register of Legislation</w:t>
      </w:r>
      <w:r w:rsidRPr="008C0F29">
        <w:rPr>
          <w:szCs w:val="24"/>
        </w:rPr>
        <w:t>.</w:t>
      </w:r>
    </w:p>
    <w:p w14:paraId="0E9AEC14" w14:textId="77777777" w:rsidR="005E1D55" w:rsidRDefault="005E1D55" w:rsidP="005E1D55">
      <w:pPr>
        <w:pStyle w:val="LI-BodyTextNote"/>
      </w:pPr>
      <w:r w:rsidRPr="00F61B09">
        <w:t>Note:</w:t>
      </w:r>
      <w:r w:rsidRPr="00F61B09">
        <w:tab/>
      </w:r>
      <w:r>
        <w:t xml:space="preserve">The register </w:t>
      </w:r>
      <w:r w:rsidRPr="00572BB1">
        <w:t xml:space="preserve">may </w:t>
      </w:r>
      <w:r>
        <w:t xml:space="preserve">be accessed at </w:t>
      </w:r>
      <w:hyperlink r:id="rId18" w:history="1">
        <w:r w:rsidRPr="008B4C0E">
          <w:rPr>
            <w:rStyle w:val="Hyperlink"/>
          </w:rPr>
          <w:t>www.legislation.gov.au</w:t>
        </w:r>
      </w:hyperlink>
      <w:r>
        <w:t>.</w:t>
      </w:r>
    </w:p>
    <w:p w14:paraId="685F8631" w14:textId="77777777" w:rsidR="005E1D55" w:rsidRPr="008C0F29" w:rsidRDefault="005E1D55" w:rsidP="005E1D55">
      <w:pPr>
        <w:pStyle w:val="LI-Heading2"/>
        <w:spacing w:before="240"/>
        <w:rPr>
          <w:szCs w:val="24"/>
        </w:rPr>
      </w:pPr>
      <w:bookmarkStart w:id="7" w:name="_Toc146221506"/>
      <w:r w:rsidRPr="008C0F29">
        <w:rPr>
          <w:szCs w:val="24"/>
        </w:rPr>
        <w:t>3</w:t>
      </w:r>
      <w:r>
        <w:rPr>
          <w:szCs w:val="24"/>
        </w:rPr>
        <w:tab/>
      </w:r>
      <w:r w:rsidRPr="008C0F29">
        <w:rPr>
          <w:szCs w:val="24"/>
        </w:rPr>
        <w:t>Authority</w:t>
      </w:r>
      <w:bookmarkEnd w:id="7"/>
    </w:p>
    <w:p w14:paraId="33ABF838" w14:textId="77777777" w:rsidR="005E1D55" w:rsidRPr="008C0F29" w:rsidRDefault="005E1D55" w:rsidP="005E1D55">
      <w:pPr>
        <w:pStyle w:val="LI-BodyTextUnnumbered"/>
        <w:rPr>
          <w:szCs w:val="24"/>
        </w:rPr>
      </w:pPr>
      <w:r w:rsidRPr="008C0F29">
        <w:rPr>
          <w:szCs w:val="24"/>
        </w:rPr>
        <w:t xml:space="preserve">This instrument is made under </w:t>
      </w:r>
      <w:r w:rsidRPr="004E7A71">
        <w:rPr>
          <w:szCs w:val="24"/>
        </w:rPr>
        <w:t xml:space="preserve">subsections 741(1) and 1020F(1) of </w:t>
      </w:r>
      <w:r>
        <w:rPr>
          <w:szCs w:val="24"/>
        </w:rPr>
        <w:t xml:space="preserve">the </w:t>
      </w:r>
      <w:r w:rsidRPr="00C83D31">
        <w:rPr>
          <w:i/>
          <w:iCs/>
          <w:szCs w:val="24"/>
        </w:rPr>
        <w:t>Corporations Act 2001</w:t>
      </w:r>
      <w:r w:rsidRPr="004E7A71">
        <w:rPr>
          <w:szCs w:val="24"/>
        </w:rPr>
        <w:t>.</w:t>
      </w:r>
    </w:p>
    <w:p w14:paraId="675E3DD4" w14:textId="77777777" w:rsidR="005E1D55" w:rsidRPr="00BB5C17" w:rsidRDefault="005E1D55" w:rsidP="005E1D55">
      <w:pPr>
        <w:pStyle w:val="LI-Heading2"/>
        <w:spacing w:before="240"/>
        <w:rPr>
          <w:szCs w:val="24"/>
        </w:rPr>
      </w:pPr>
      <w:bookmarkStart w:id="8" w:name="_Toc146221507"/>
      <w:r w:rsidRPr="00BB5C17">
        <w:rPr>
          <w:szCs w:val="24"/>
        </w:rPr>
        <w:t>4</w:t>
      </w:r>
      <w:r>
        <w:rPr>
          <w:szCs w:val="24"/>
        </w:rPr>
        <w:tab/>
      </w:r>
      <w:r w:rsidRPr="00BB5C17">
        <w:rPr>
          <w:szCs w:val="24"/>
        </w:rPr>
        <w:t>Definitions</w:t>
      </w:r>
      <w:bookmarkEnd w:id="8"/>
    </w:p>
    <w:p w14:paraId="2576E4C7" w14:textId="77777777" w:rsidR="005E1D55" w:rsidRDefault="005E1D55" w:rsidP="005E1D55">
      <w:pPr>
        <w:pStyle w:val="LI-BodyTextUnnumbered"/>
      </w:pPr>
      <w:r w:rsidRPr="00005446">
        <w:t>In this instrument:</w:t>
      </w:r>
    </w:p>
    <w:p w14:paraId="5D337C4F" w14:textId="77777777" w:rsidR="005E1D55" w:rsidRPr="00CD7576" w:rsidRDefault="005E1D55" w:rsidP="005E1D55">
      <w:pPr>
        <w:pStyle w:val="LI-BodyTextUnnumbered"/>
        <w:rPr>
          <w:b/>
        </w:rPr>
      </w:pPr>
      <w:r>
        <w:rPr>
          <w:b/>
          <w:i/>
        </w:rPr>
        <w:t>Act</w:t>
      </w:r>
      <w:r w:rsidRPr="00E85A91">
        <w:t xml:space="preserve"> means</w:t>
      </w:r>
      <w:r>
        <w:t xml:space="preserve"> the </w:t>
      </w:r>
      <w:r>
        <w:rPr>
          <w:i/>
          <w:iCs/>
        </w:rPr>
        <w:t>Corporations Act 2001.</w:t>
      </w:r>
    </w:p>
    <w:p w14:paraId="1B34D09F" w14:textId="77777777" w:rsidR="005E1D55" w:rsidRDefault="005E1D55" w:rsidP="005E1D55">
      <w:pPr>
        <w:pStyle w:val="LI-BodyTextUnnumbered"/>
        <w:rPr>
          <w:lang w:eastAsia="en-US"/>
        </w:rPr>
      </w:pPr>
      <w:r>
        <w:rPr>
          <w:b/>
          <w:i/>
        </w:rPr>
        <w:t>minimum parcel</w:t>
      </w:r>
      <w:r>
        <w:t>, in relation to quoted securities, means:</w:t>
      </w:r>
    </w:p>
    <w:p w14:paraId="54342925" w14:textId="77777777" w:rsidR="005E1D55" w:rsidRDefault="005E1D55" w:rsidP="005E1D55">
      <w:pPr>
        <w:pStyle w:val="LI-BodyTextParaa"/>
      </w:pPr>
      <w:r>
        <w:t>(a)</w:t>
      </w:r>
      <w:r>
        <w:tab/>
        <w:t>if a “marketable parcel” or “minimum parcel” is defined in the rules governing the operation of a prescribed financial market on which the securities are quoted—a marketable parcel or minimum parcel as defined in those rules; and</w:t>
      </w:r>
    </w:p>
    <w:p w14:paraId="701B51EC" w14:textId="77777777" w:rsidR="005E1D55" w:rsidRDefault="005E1D55" w:rsidP="005E1D55">
      <w:pPr>
        <w:pStyle w:val="LI-BodyTextParaa"/>
      </w:pPr>
      <w:r>
        <w:t>(b)</w:t>
      </w:r>
      <w:r>
        <w:tab/>
        <w:t>otherwise—a parcel of the securities valued at not less than $500 based on the closing price of the securities on the relevant prescribed financial market.</w:t>
      </w:r>
    </w:p>
    <w:p w14:paraId="6322B0A3" w14:textId="77777777" w:rsidR="005E1D55" w:rsidRDefault="005E1D55" w:rsidP="005E1D55">
      <w:pPr>
        <w:pStyle w:val="LI-BodyTextUnnumbered"/>
      </w:pPr>
      <w:r w:rsidRPr="004E7A71">
        <w:rPr>
          <w:b/>
          <w:bCs/>
          <w:i/>
          <w:iCs/>
        </w:rPr>
        <w:t>non-participant</w:t>
      </w:r>
      <w:r>
        <w:t xml:space="preserve"> means:</w:t>
      </w:r>
    </w:p>
    <w:p w14:paraId="44DF3841" w14:textId="77777777" w:rsidR="005E1D55" w:rsidRDefault="005E1D55" w:rsidP="005E1D55">
      <w:pPr>
        <w:pStyle w:val="LI-BodyTextParaa"/>
      </w:pPr>
      <w:r>
        <w:t>(a)</w:t>
      </w:r>
      <w:r>
        <w:tab/>
        <w:t>in relation to a takeover bid—a holder of the target’s securities who has accepted an offer made under a takeover bid and has elected not to acquire scrip consideration as consideration for their acceptance; and</w:t>
      </w:r>
    </w:p>
    <w:p w14:paraId="427DE3B0" w14:textId="77777777" w:rsidR="005E1D55" w:rsidRDefault="005E1D55" w:rsidP="005E1D55">
      <w:pPr>
        <w:pStyle w:val="LI-BodyTextParaa"/>
      </w:pPr>
      <w:r>
        <w:t>(b)</w:t>
      </w:r>
      <w:r>
        <w:tab/>
        <w:t>in relation to a Part 5.1 scheme:</w:t>
      </w:r>
    </w:p>
    <w:p w14:paraId="7294BB1D" w14:textId="77777777" w:rsidR="005E1D55" w:rsidRDefault="005E1D55" w:rsidP="005E1D55">
      <w:pPr>
        <w:pStyle w:val="LI-BodyTextSubparai"/>
      </w:pPr>
      <w:r>
        <w:t>(</w:t>
      </w:r>
      <w:proofErr w:type="spellStart"/>
      <w:r>
        <w:t>i</w:t>
      </w:r>
      <w:proofErr w:type="spellEnd"/>
      <w:r>
        <w:t>)</w:t>
      </w:r>
      <w:r>
        <w:tab/>
        <w:t xml:space="preserve">a person who has been offered scrip consideration under the Part 5.1 scheme and has elected not to acquire the scrip </w:t>
      </w:r>
      <w:proofErr w:type="gramStart"/>
      <w:r>
        <w:t>consideration;</w:t>
      </w:r>
      <w:proofErr w:type="gramEnd"/>
      <w:r>
        <w:t xml:space="preserve"> or</w:t>
      </w:r>
    </w:p>
    <w:p w14:paraId="4EDB421E" w14:textId="77777777" w:rsidR="005E1D55" w:rsidRDefault="005E1D55" w:rsidP="005E1D55">
      <w:pPr>
        <w:pStyle w:val="LI-BodyTextSubparai"/>
      </w:pPr>
      <w:r>
        <w:lastRenderedPageBreak/>
        <w:t>(ii)</w:t>
      </w:r>
      <w:r>
        <w:tab/>
        <w:t>a person who is not offered scrip consideration under a Part 5.1 scheme involving an issue of scrip consideration in exchange for other securities because:</w:t>
      </w:r>
    </w:p>
    <w:p w14:paraId="4C845908" w14:textId="77777777" w:rsidR="005E1D55" w:rsidRDefault="005E1D55" w:rsidP="005E1D55">
      <w:pPr>
        <w:pStyle w:val="LI-BodyTextSubsubparaA"/>
      </w:pPr>
      <w:r>
        <w:t>(A)</w:t>
      </w:r>
      <w:r>
        <w:tab/>
        <w:t xml:space="preserve">the person is a foreign holder of the other securities; or </w:t>
      </w:r>
    </w:p>
    <w:p w14:paraId="0C586379" w14:textId="77777777" w:rsidR="005E1D55" w:rsidRDefault="005E1D55" w:rsidP="005E1D55">
      <w:pPr>
        <w:pStyle w:val="LI-BodyTextSubsubparaA"/>
      </w:pPr>
      <w:r>
        <w:t>(B)</w:t>
      </w:r>
      <w:r>
        <w:tab/>
        <w:t>the person would otherwise receive a small parcel of scrip consideration under the terms of the scheme.</w:t>
      </w:r>
    </w:p>
    <w:p w14:paraId="35ECCB16" w14:textId="77777777" w:rsidR="005E1D55" w:rsidRDefault="005E1D55" w:rsidP="005E1D55">
      <w:pPr>
        <w:pStyle w:val="LI-BodyTextUnnumbered"/>
      </w:pPr>
      <w:r w:rsidRPr="004E7A71">
        <w:rPr>
          <w:rStyle w:val="LI-BodyTextUnnumberedChar"/>
          <w:b/>
          <w:bCs/>
          <w:i/>
          <w:iCs/>
        </w:rPr>
        <w:t>offer for sale</w:t>
      </w:r>
      <w:r>
        <w:t xml:space="preserve"> includes an invitation to purchase.</w:t>
      </w:r>
    </w:p>
    <w:p w14:paraId="5837D253" w14:textId="77777777" w:rsidR="005E1D55" w:rsidRDefault="005E1D55" w:rsidP="005E1D55">
      <w:pPr>
        <w:pStyle w:val="LI-BodyTextUnnumbered"/>
      </w:pPr>
      <w:r w:rsidRPr="004E7A71">
        <w:rPr>
          <w:b/>
          <w:bCs/>
          <w:i/>
          <w:iCs/>
        </w:rPr>
        <w:t>Part 5.1 scheme</w:t>
      </w:r>
      <w:r>
        <w:t xml:space="preserve"> means a compromise or arrangement conducted under Part 5.1 of the Act approved at a meeting held as a result of an order under subsection 411(1) or (1A) of the Act.</w:t>
      </w:r>
    </w:p>
    <w:p w14:paraId="708C90FE" w14:textId="77777777" w:rsidR="005E1D55" w:rsidRDefault="005E1D55" w:rsidP="005E1D55">
      <w:pPr>
        <w:pStyle w:val="LI-BodyTextUnnumbered"/>
      </w:pPr>
      <w:r w:rsidRPr="004E7A71">
        <w:rPr>
          <w:b/>
          <w:bCs/>
          <w:i/>
          <w:iCs/>
        </w:rPr>
        <w:t>scrip consideration</w:t>
      </w:r>
      <w:r>
        <w:t xml:space="preserve"> means securities that are:</w:t>
      </w:r>
    </w:p>
    <w:p w14:paraId="5BA34E1E" w14:textId="77777777" w:rsidR="005E1D55" w:rsidRDefault="005E1D55" w:rsidP="005E1D55">
      <w:pPr>
        <w:pStyle w:val="LI-BodyTextParaa"/>
      </w:pPr>
      <w:r>
        <w:t>(a)</w:t>
      </w:r>
      <w:r>
        <w:tab/>
        <w:t xml:space="preserve">transferred to a nominee under the terms of an </w:t>
      </w:r>
      <w:proofErr w:type="gramStart"/>
      <w:r>
        <w:t>off-market</w:t>
      </w:r>
      <w:proofErr w:type="gramEnd"/>
      <w:r>
        <w:t xml:space="preserve"> bid which are of the kind described in subsection 619(3) of the Act; or</w:t>
      </w:r>
    </w:p>
    <w:p w14:paraId="22F8B9D4" w14:textId="77777777" w:rsidR="005E1D55" w:rsidRDefault="005E1D55" w:rsidP="005E1D55">
      <w:pPr>
        <w:pStyle w:val="LI-BodyTextParaa"/>
      </w:pPr>
      <w:r>
        <w:t>(b)</w:t>
      </w:r>
      <w:r>
        <w:tab/>
        <w:t>offered for sale through a security sale facility; or</w:t>
      </w:r>
    </w:p>
    <w:p w14:paraId="3AFDC731" w14:textId="77777777" w:rsidR="005E1D55" w:rsidRDefault="005E1D55" w:rsidP="005E1D55">
      <w:pPr>
        <w:pStyle w:val="LI-BodyTextParaa"/>
      </w:pPr>
      <w:r>
        <w:t>(c)</w:t>
      </w:r>
      <w:r>
        <w:tab/>
        <w:t>offered for sale through a takeover-related small parcel sale facility; or</w:t>
      </w:r>
    </w:p>
    <w:p w14:paraId="34CF8016" w14:textId="77777777" w:rsidR="005E1D55" w:rsidRDefault="005E1D55" w:rsidP="005E1D55">
      <w:pPr>
        <w:pStyle w:val="LI-BodyTextParaa"/>
      </w:pPr>
      <w:r>
        <w:t>(d)</w:t>
      </w:r>
      <w:r>
        <w:tab/>
        <w:t>issued under a right to acquire securities that has been transferred or offered in accordance with paragraph (a), (b) or (c).</w:t>
      </w:r>
    </w:p>
    <w:p w14:paraId="1771AB4E" w14:textId="77777777" w:rsidR="005E1D55" w:rsidRDefault="005E1D55" w:rsidP="005E1D55">
      <w:pPr>
        <w:pStyle w:val="LI-BodyTextNote"/>
      </w:pPr>
      <w:r>
        <w:t>Note:</w:t>
      </w:r>
      <w:r>
        <w:tab/>
        <w:t xml:space="preserve">Subsection 619(3) is notionally substituted into the Act by </w:t>
      </w:r>
      <w:r w:rsidRPr="0015749D">
        <w:rPr>
          <w:i/>
          <w:iCs/>
        </w:rPr>
        <w:t>ASIC Corporations (Takeover Bids) Instrument 2023/683</w:t>
      </w:r>
      <w:r>
        <w:t>.</w:t>
      </w:r>
    </w:p>
    <w:p w14:paraId="7EC5849B" w14:textId="77777777" w:rsidR="005E1D55" w:rsidRDefault="005E1D55" w:rsidP="005E1D55">
      <w:pPr>
        <w:pStyle w:val="LI-BodyTextUnnumbered"/>
      </w:pPr>
      <w:r>
        <w:rPr>
          <w:b/>
          <w:i/>
        </w:rPr>
        <w:t>securities</w:t>
      </w:r>
      <w:r>
        <w:rPr>
          <w:b/>
        </w:rPr>
        <w:t xml:space="preserve"> </w:t>
      </w:r>
      <w:proofErr w:type="gramStart"/>
      <w:r>
        <w:t>has</w:t>
      </w:r>
      <w:proofErr w:type="gramEnd"/>
      <w:r>
        <w:t xml:space="preserve"> the meaning given by subsection 92(3) of the Act.</w:t>
      </w:r>
    </w:p>
    <w:p w14:paraId="7A7D3421" w14:textId="77777777" w:rsidR="005E1D55" w:rsidRDefault="005E1D55" w:rsidP="005E1D55">
      <w:pPr>
        <w:pStyle w:val="LI-BodyTextUnnumbered"/>
        <w:rPr>
          <w:lang w:val="en-US"/>
        </w:rPr>
      </w:pPr>
      <w:r>
        <w:rPr>
          <w:b/>
          <w:bCs/>
          <w:i/>
          <w:iCs/>
        </w:rPr>
        <w:t xml:space="preserve">security sale facility </w:t>
      </w:r>
      <w:r>
        <w:t>means:</w:t>
      </w:r>
    </w:p>
    <w:p w14:paraId="3045BFB7" w14:textId="77777777" w:rsidR="005E1D55" w:rsidRDefault="005E1D55" w:rsidP="005E1D55">
      <w:pPr>
        <w:pStyle w:val="LI-BodyTextParaa"/>
      </w:pPr>
      <w:r>
        <w:t>(a)</w:t>
      </w:r>
      <w:r>
        <w:tab/>
        <w:t>a facility established in connection with a takeover bid to which both of the following apply:</w:t>
      </w:r>
    </w:p>
    <w:p w14:paraId="7ED88E58" w14:textId="77777777" w:rsidR="005E1D55" w:rsidRDefault="005E1D55" w:rsidP="005E1D55">
      <w:pPr>
        <w:pStyle w:val="LI-BodyTextSubparai"/>
      </w:pPr>
      <w:r>
        <w:t>(</w:t>
      </w:r>
      <w:proofErr w:type="spellStart"/>
      <w:r>
        <w:t>i</w:t>
      </w:r>
      <w:proofErr w:type="spellEnd"/>
      <w:r>
        <w:t>)</w:t>
      </w:r>
      <w:r>
        <w:tab/>
        <w:t>under the terms of the bid:</w:t>
      </w:r>
    </w:p>
    <w:p w14:paraId="54D9AF04" w14:textId="77777777" w:rsidR="005E1D55" w:rsidRDefault="005E1D55" w:rsidP="005E1D55">
      <w:pPr>
        <w:pStyle w:val="LI-BodyTextSubsubparaA"/>
      </w:pPr>
      <w:r>
        <w:t>(A)</w:t>
      </w:r>
      <w:r>
        <w:tab/>
        <w:t>the consideration includes an offer of scrip consideration; and</w:t>
      </w:r>
    </w:p>
    <w:p w14:paraId="3E1C1FC5" w14:textId="77777777" w:rsidR="005E1D55" w:rsidRDefault="005E1D55" w:rsidP="005E1D55">
      <w:pPr>
        <w:pStyle w:val="LI-BodyTextSubsubparaA"/>
      </w:pPr>
      <w:r>
        <w:t>(B)</w:t>
      </w:r>
      <w:r>
        <w:tab/>
      </w:r>
      <w:r>
        <w:tab/>
        <w:t>the bidder appoints a nominee and transfers the scrip consideration that are not acquired by non-participants, or the right to acquire the scrip consideration, to the nominee; and</w:t>
      </w:r>
    </w:p>
    <w:p w14:paraId="57FB90F2" w14:textId="77777777" w:rsidR="005E1D55" w:rsidRDefault="005E1D55" w:rsidP="005E1D55">
      <w:pPr>
        <w:pStyle w:val="LI-BodyTextSubsubparaA"/>
      </w:pPr>
      <w:r>
        <w:t>(C)</w:t>
      </w:r>
      <w:r>
        <w:tab/>
        <w:t xml:space="preserve">the nominee sells the scrip consideration, or the right to acquire the scrip consideration, and distributes to the non-participants their proportion of the proceeds of the sale net of </w:t>
      </w:r>
      <w:proofErr w:type="gramStart"/>
      <w:r>
        <w:t>expenses;</w:t>
      </w:r>
      <w:proofErr w:type="gramEnd"/>
    </w:p>
    <w:p w14:paraId="68F47F95" w14:textId="77777777" w:rsidR="005E1D55" w:rsidRDefault="005E1D55" w:rsidP="005E1D55">
      <w:pPr>
        <w:pStyle w:val="LI-BodyTextSubparai"/>
      </w:pPr>
      <w:r>
        <w:lastRenderedPageBreak/>
        <w:t>(ii)</w:t>
      </w:r>
      <w:r>
        <w:tab/>
        <w:t>the terms and conditions of the facility are disclosed in the bidder’s statement; and</w:t>
      </w:r>
    </w:p>
    <w:p w14:paraId="06CF7802" w14:textId="77777777" w:rsidR="005E1D55" w:rsidRDefault="005E1D55" w:rsidP="005E1D55">
      <w:pPr>
        <w:pStyle w:val="LI-BodyTextParaa"/>
      </w:pPr>
      <w:r>
        <w:t>(b)</w:t>
      </w:r>
      <w:r>
        <w:tab/>
        <w:t>a facility established in connection with a Part 5.1 scheme to which both of the following apply:</w:t>
      </w:r>
    </w:p>
    <w:p w14:paraId="603BA863" w14:textId="77777777" w:rsidR="005E1D55" w:rsidRDefault="005E1D55" w:rsidP="005E1D55">
      <w:pPr>
        <w:pStyle w:val="LI-BodyTextSubparai"/>
      </w:pPr>
      <w:r>
        <w:t>(</w:t>
      </w:r>
      <w:proofErr w:type="spellStart"/>
      <w:r>
        <w:t>i</w:t>
      </w:r>
      <w:proofErr w:type="spellEnd"/>
      <w:r>
        <w:t>)</w:t>
      </w:r>
      <w:r>
        <w:tab/>
        <w:t>under the terms of the scheme:</w:t>
      </w:r>
    </w:p>
    <w:p w14:paraId="6BB7B8A0" w14:textId="77777777" w:rsidR="005E1D55" w:rsidRDefault="005E1D55" w:rsidP="005E1D55">
      <w:pPr>
        <w:pStyle w:val="LI-BodyTextSubsubparaA"/>
      </w:pPr>
      <w:r>
        <w:t>(A)</w:t>
      </w:r>
      <w:r>
        <w:tab/>
        <w:t>scrip consideration is to be issued in exchange for other securities; and</w:t>
      </w:r>
    </w:p>
    <w:p w14:paraId="0232CA17" w14:textId="77777777" w:rsidR="005E1D55" w:rsidRDefault="005E1D55" w:rsidP="005E1D55">
      <w:pPr>
        <w:pStyle w:val="LI-BodyTextSubsubparaA"/>
      </w:pPr>
      <w:r>
        <w:t>(B)</w:t>
      </w:r>
      <w:r>
        <w:tab/>
        <w:t xml:space="preserve">the scrip consideration, or the right to acquire the scrip consideration, that are not acquired by non-participants are sold and their proportion of the proceeds of the sale net of expenses is distributed to </w:t>
      </w:r>
      <w:proofErr w:type="gramStart"/>
      <w:r>
        <w:t>them;</w:t>
      </w:r>
      <w:proofErr w:type="gramEnd"/>
    </w:p>
    <w:p w14:paraId="717F807C" w14:textId="77777777" w:rsidR="005E1D55" w:rsidRDefault="005E1D55" w:rsidP="005E1D55">
      <w:pPr>
        <w:pStyle w:val="LI-BodyTextSubparai"/>
      </w:pPr>
      <w:r>
        <w:t>(ii)</w:t>
      </w:r>
      <w:r>
        <w:tab/>
        <w:t>the terms and conditions of the facility are disclosed in the explanatory statement for the scheme.</w:t>
      </w:r>
    </w:p>
    <w:p w14:paraId="437114BA" w14:textId="77777777" w:rsidR="005E1D55" w:rsidRDefault="005E1D55" w:rsidP="005E1D55">
      <w:pPr>
        <w:pStyle w:val="LI-BodyTextUnnumbered"/>
      </w:pPr>
      <w:r>
        <w:rPr>
          <w:b/>
          <w:bCs/>
          <w:i/>
          <w:iCs/>
        </w:rPr>
        <w:t>small parcel</w:t>
      </w:r>
      <w:r>
        <w:rPr>
          <w:bCs/>
          <w:iCs/>
        </w:rPr>
        <w:t>, in relation to a non-participant in a Part 5.1 scheme,</w:t>
      </w:r>
      <w:r>
        <w:rPr>
          <w:b/>
          <w:bCs/>
          <w:i/>
          <w:iCs/>
        </w:rPr>
        <w:t xml:space="preserve"> </w:t>
      </w:r>
      <w:r>
        <w:t>means a parcel of securities which is not a minimum parcel within the meaning of the operating rules of any prescribed financial market on which the securities are quoted, calculated using the highest closing price for the securities published by the financial market during the period:</w:t>
      </w:r>
    </w:p>
    <w:p w14:paraId="643501E7" w14:textId="77777777" w:rsidR="005E1D55" w:rsidRDefault="005E1D55" w:rsidP="005E1D55">
      <w:pPr>
        <w:pStyle w:val="LI-BodyTextParaa"/>
      </w:pPr>
      <w:r>
        <w:t>(a)</w:t>
      </w:r>
      <w:r>
        <w:tab/>
        <w:t>beginning on the day a copy of the explanatory statement is registered by ASIC under subsection 412(6) of the Act; and</w:t>
      </w:r>
    </w:p>
    <w:p w14:paraId="6096EF0E" w14:textId="77777777" w:rsidR="005E1D55" w:rsidRDefault="005E1D55" w:rsidP="005E1D55">
      <w:pPr>
        <w:pStyle w:val="LI-BodyTextParaa"/>
      </w:pPr>
      <w:r>
        <w:t>(b)</w:t>
      </w:r>
      <w:r>
        <w:tab/>
        <w:t>ending on the day an office copy of the order of the Court is lodged with ASIC under subsection 411(10) of the Act.</w:t>
      </w:r>
    </w:p>
    <w:p w14:paraId="195DDAC2" w14:textId="77777777" w:rsidR="005E1D55" w:rsidRDefault="005E1D55" w:rsidP="005E1D55">
      <w:pPr>
        <w:pStyle w:val="LI-BodyTextUnnumbered"/>
      </w:pPr>
      <w:r>
        <w:rPr>
          <w:b/>
          <w:bCs/>
          <w:i/>
          <w:iCs/>
        </w:rPr>
        <w:t xml:space="preserve">takeover-related small parcel sale facility </w:t>
      </w:r>
      <w:r>
        <w:t>means a facility through which securities, or the right to acquire securities, are sold in accordance with the requirements of subsection 619(4) of the Act.</w:t>
      </w:r>
    </w:p>
    <w:p w14:paraId="409E02D1" w14:textId="77777777" w:rsidR="005E1D55" w:rsidRDefault="005E1D55" w:rsidP="005E1D55">
      <w:pPr>
        <w:pStyle w:val="LI-BodyTextNote"/>
      </w:pPr>
      <w:r>
        <w:t>Note:</w:t>
      </w:r>
      <w:r>
        <w:tab/>
        <w:t xml:space="preserve">Subsection 619(4) is notionally inserted into the Act by </w:t>
      </w:r>
      <w:r w:rsidRPr="002079C9">
        <w:rPr>
          <w:i/>
          <w:iCs/>
        </w:rPr>
        <w:t xml:space="preserve">ASIC Corporations (Takeover </w:t>
      </w:r>
      <w:r>
        <w:rPr>
          <w:i/>
          <w:iCs/>
        </w:rPr>
        <w:t>B</w:t>
      </w:r>
      <w:r w:rsidRPr="002079C9">
        <w:rPr>
          <w:i/>
          <w:iCs/>
        </w:rPr>
        <w:t>ids) Instrument 2023/683</w:t>
      </w:r>
      <w:r w:rsidRPr="003E28F0">
        <w:t>.</w:t>
      </w:r>
    </w:p>
    <w:p w14:paraId="08DEEA90" w14:textId="77777777" w:rsidR="005E1D55" w:rsidRDefault="005E1D55" w:rsidP="005E1D55">
      <w:pPr>
        <w:pStyle w:val="LI-BodyTextParaa"/>
        <w:sectPr w:rsidR="005E1D55" w:rsidSect="007D230B">
          <w:headerReference w:type="even" r:id="rId19"/>
          <w:headerReference w:type="default" r:id="rId20"/>
          <w:footerReference w:type="even" r:id="rId21"/>
          <w:headerReference w:type="first" r:id="rId22"/>
          <w:footerReference w:type="first" r:id="rId23"/>
          <w:pgSz w:w="11907" w:h="16839" w:code="9"/>
          <w:pgMar w:top="1534" w:right="1797" w:bottom="1440" w:left="1797" w:header="720" w:footer="709" w:gutter="0"/>
          <w:cols w:space="708"/>
          <w:docGrid w:linePitch="360"/>
        </w:sectPr>
      </w:pPr>
    </w:p>
    <w:p w14:paraId="6AD95999" w14:textId="77777777" w:rsidR="005E1D55" w:rsidRPr="00F61B09" w:rsidRDefault="005E1D55" w:rsidP="005E1D55">
      <w:pPr>
        <w:pStyle w:val="LI-Heading1"/>
        <w:ind w:left="1138" w:hanging="1138"/>
      </w:pPr>
      <w:bookmarkStart w:id="9" w:name="_Toc146221508"/>
      <w:r w:rsidRPr="006554FF">
        <w:lastRenderedPageBreak/>
        <w:t xml:space="preserve">Part </w:t>
      </w:r>
      <w:r w:rsidRPr="006E5320">
        <w:t>2</w:t>
      </w:r>
      <w:r w:rsidRPr="00F61B09">
        <w:t>—Exemption</w:t>
      </w:r>
      <w:bookmarkEnd w:id="9"/>
    </w:p>
    <w:p w14:paraId="2F4F20C5" w14:textId="77777777" w:rsidR="005E1D55" w:rsidRPr="005D3D41" w:rsidRDefault="005E1D55" w:rsidP="005E1D55">
      <w:pPr>
        <w:pStyle w:val="LI-Heading2"/>
      </w:pPr>
      <w:bookmarkStart w:id="10" w:name="_Toc146221509"/>
      <w:r>
        <w:t>5</w:t>
      </w:r>
      <w:r>
        <w:tab/>
      </w:r>
      <w:r w:rsidRPr="004E7A71">
        <w:t>On-sale disclosure relief for scrip bids and schemes of arrangement</w:t>
      </w:r>
      <w:bookmarkEnd w:id="10"/>
    </w:p>
    <w:p w14:paraId="09A8E57C" w14:textId="77777777" w:rsidR="005E1D55" w:rsidRPr="004E7A71" w:rsidRDefault="005E1D55" w:rsidP="005E1D55">
      <w:pPr>
        <w:pStyle w:val="LI-BodyTextNumbered"/>
      </w:pPr>
      <w:r>
        <w:t>(1)</w:t>
      </w:r>
      <w:r w:rsidRPr="004E7A71">
        <w:tab/>
        <w:t>A person who makes an offer for sale of scrip consideration does not, for that offer, have to comply with:</w:t>
      </w:r>
    </w:p>
    <w:p w14:paraId="2F787734" w14:textId="77777777" w:rsidR="005E1D55" w:rsidRPr="004E7A71" w:rsidRDefault="005E1D55" w:rsidP="005E1D55">
      <w:pPr>
        <w:pStyle w:val="LI-BodyTextParaa"/>
      </w:pPr>
      <w:r w:rsidRPr="004E7A71">
        <w:t>(a)</w:t>
      </w:r>
      <w:r w:rsidRPr="004E7A71">
        <w:tab/>
        <w:t>subsection 707(3) of the Act; or</w:t>
      </w:r>
    </w:p>
    <w:p w14:paraId="3B81BF5C" w14:textId="77777777" w:rsidR="005E1D55" w:rsidRPr="004E7A71" w:rsidRDefault="005E1D55" w:rsidP="005E1D55">
      <w:pPr>
        <w:pStyle w:val="LI-BodyTextParaa"/>
      </w:pPr>
      <w:r w:rsidRPr="004E7A71">
        <w:t>(b)</w:t>
      </w:r>
      <w:r w:rsidRPr="004E7A71">
        <w:tab/>
        <w:t>subsection 1012C(3) of the Act insofar as it applies to an offer that takes place in the circumstances covered by subsection 1012C(6) of the Act.</w:t>
      </w:r>
    </w:p>
    <w:p w14:paraId="7B971279" w14:textId="77777777" w:rsidR="005E1D55" w:rsidRPr="004E7A71" w:rsidRDefault="005E1D55" w:rsidP="005E1D55">
      <w:pPr>
        <w:pStyle w:val="LI-BodyTextNumbered"/>
      </w:pPr>
      <w:r>
        <w:t>(2)</w:t>
      </w:r>
      <w:r w:rsidRPr="004E7A71">
        <w:tab/>
        <w:t>A person who makes a recommendation to acquire scrip consideration does not, for that recommendation, have to comply with subsection 1012A(3) of the Act insofar as it applies to an acquisition by way of a transfer of the scrip consideration in circumstances covered by subsection 1012C(6) of the Act.</w:t>
      </w:r>
    </w:p>
    <w:p w14:paraId="6DAC94EE" w14:textId="77777777" w:rsidR="005E1D55" w:rsidRPr="00F61B09" w:rsidRDefault="005E1D55" w:rsidP="005E1D55">
      <w:pPr>
        <w:pStyle w:val="LI-Heading1"/>
        <w:ind w:left="0" w:firstLine="0"/>
      </w:pPr>
      <w:bookmarkStart w:id="11" w:name="_Toc139968506"/>
      <w:bookmarkStart w:id="12" w:name="_Toc146221510"/>
      <w:r>
        <w:t>Pa</w:t>
      </w:r>
      <w:r w:rsidRPr="006E5320">
        <w:t>rt </w:t>
      </w:r>
      <w:r>
        <w:t>3</w:t>
      </w:r>
      <w:r w:rsidRPr="006554FF">
        <w:t>—</w:t>
      </w:r>
      <w:r>
        <w:t>Repeal</w:t>
      </w:r>
      <w:bookmarkEnd w:id="11"/>
      <w:bookmarkEnd w:id="12"/>
    </w:p>
    <w:p w14:paraId="10DA5ABC" w14:textId="77777777" w:rsidR="005E1D55" w:rsidRDefault="005E1D55" w:rsidP="005E1D55">
      <w:pPr>
        <w:pStyle w:val="LI-Heading2"/>
      </w:pPr>
      <w:bookmarkStart w:id="13" w:name="_Toc139968507"/>
      <w:bookmarkStart w:id="14" w:name="_Toc146221511"/>
      <w:r>
        <w:t>6</w:t>
      </w:r>
      <w:r>
        <w:tab/>
      </w:r>
      <w:bookmarkEnd w:id="13"/>
      <w:r>
        <w:t>Repeal</w:t>
      </w:r>
      <w:bookmarkEnd w:id="14"/>
    </w:p>
    <w:p w14:paraId="55747C7A" w14:textId="0173D34F" w:rsidR="000D0233" w:rsidRDefault="005E1D55" w:rsidP="005E1D55">
      <w:pPr>
        <w:pStyle w:val="LI-BodyTextNumbered"/>
        <w:ind w:left="567" w:firstLine="0"/>
      </w:pPr>
      <w:r w:rsidRPr="009B7050">
        <w:t>This instrument is repealed at the start of 1 October 202</w:t>
      </w:r>
      <w:r>
        <w:t>8</w:t>
      </w:r>
      <w:r w:rsidRPr="009B7050">
        <w:t>.</w:t>
      </w:r>
    </w:p>
    <w:sectPr w:rsidR="000D0233" w:rsidSect="0040053F">
      <w:headerReference w:type="even" r:id="rId24"/>
      <w:headerReference w:type="default" r:id="rId25"/>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4D5DA" w14:textId="77777777" w:rsidR="00CD2E57" w:rsidRDefault="007130D1">
      <w:pPr>
        <w:spacing w:line="240" w:lineRule="auto"/>
      </w:pPr>
      <w:r>
        <w:separator/>
      </w:r>
    </w:p>
  </w:endnote>
  <w:endnote w:type="continuationSeparator" w:id="0">
    <w:p w14:paraId="281A9543" w14:textId="77777777" w:rsidR="00CD2E57" w:rsidRDefault="00713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Look w:val="04A0" w:firstRow="1" w:lastRow="0" w:firstColumn="1" w:lastColumn="0" w:noHBand="0" w:noVBand="1"/>
    </w:tblPr>
    <w:tblGrid>
      <w:gridCol w:w="8313"/>
    </w:tblGrid>
    <w:tr w:rsidR="00102CA6" w:rsidRPr="00081794" w14:paraId="06765740" w14:textId="77777777" w:rsidTr="00081794">
      <w:tc>
        <w:tcPr>
          <w:tcW w:w="8472" w:type="dxa"/>
          <w:shd w:val="clear" w:color="auto" w:fill="auto"/>
        </w:tcPr>
        <w:p w14:paraId="2D4335DE" w14:textId="77777777" w:rsidR="00102CA6" w:rsidRPr="00081794" w:rsidRDefault="005E1D55" w:rsidP="00081794">
          <w:pPr>
            <w:jc w:val="right"/>
            <w:rPr>
              <w:sz w:val="18"/>
            </w:rPr>
          </w:pPr>
          <w:r>
            <w:rPr>
              <w:noProof/>
            </w:rPr>
            <mc:AlternateContent>
              <mc:Choice Requires="wps">
                <w:drawing>
                  <wp:anchor distT="0" distB="0" distL="114300" distR="114300" simplePos="0" relativeHeight="251662336" behindDoc="1" locked="0" layoutInCell="1" allowOverlap="1" wp14:anchorId="7D791FA5" wp14:editId="2ABFE684">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416EDC1" w14:textId="77777777" w:rsidR="00102CA6" w:rsidRPr="00284719" w:rsidRDefault="005E1D5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91FA5"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1416EDC1" w14:textId="77777777" w:rsidR="00102CA6" w:rsidRPr="00284719" w:rsidRDefault="005E1D5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081794">
            <w:rPr>
              <w:i/>
              <w:noProof/>
              <w:sz w:val="18"/>
            </w:rPr>
            <w:t>I14KE197.v07.docx</w:t>
          </w:r>
          <w:r w:rsidRPr="00081794">
            <w:rPr>
              <w:i/>
              <w:sz w:val="18"/>
            </w:rPr>
            <w:t xml:space="preserve"> </w:t>
          </w:r>
          <w:r w:rsidRPr="00081794">
            <w:rPr>
              <w:i/>
              <w:noProof/>
              <w:sz w:val="18"/>
            </w:rPr>
            <w:t>25/6/2014 3:37 PM</w:t>
          </w:r>
        </w:p>
      </w:tc>
    </w:tr>
  </w:tbl>
  <w:p w14:paraId="04FDDE50" w14:textId="77777777" w:rsidR="00102CA6" w:rsidRPr="007500C8" w:rsidRDefault="00BD1760"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4ABD" w14:textId="77777777" w:rsidR="00102CA6" w:rsidRDefault="005E1D55" w:rsidP="007500C8">
    <w:pPr>
      <w:pStyle w:val="Footer"/>
    </w:pPr>
    <w:r>
      <w:rPr>
        <w:noProof/>
      </w:rPr>
      <mc:AlternateContent>
        <mc:Choice Requires="wps">
          <w:drawing>
            <wp:anchor distT="0" distB="0" distL="114300" distR="114300" simplePos="0" relativeHeight="251661312" behindDoc="1" locked="0" layoutInCell="1" allowOverlap="1" wp14:anchorId="1EFB2D3F" wp14:editId="250394D1">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B8219CA" w14:textId="77777777" w:rsidR="00102CA6" w:rsidRPr="00284719" w:rsidRDefault="00BD1760"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B2D3F" id="_x0000_t202" coordsize="21600,21600" o:spt="202" path="m,l,21600r21600,l21600,xe">
              <v:stroke joinstyle="miter"/>
              <v:path gradientshapeok="t" o:connecttype="rect"/>
            </v:shapetype>
            <v:shape id="Text Box 20" o:spid="_x0000_s1029" type="#_x0000_t202" style="position:absolute;margin-left:0;margin-top:793.7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2B8219CA" w14:textId="77777777" w:rsidR="00102CA6" w:rsidRPr="00284719" w:rsidRDefault="005E1D55" w:rsidP="00284719">
                    <w:pPr>
                      <w:jc w:val="center"/>
                      <w:rPr>
                        <w:rFonts w:ascii="Arial" w:hAnsi="Arial" w:cs="Arial"/>
                        <w:b/>
                        <w:sz w:val="40"/>
                      </w:rPr>
                    </w:pPr>
                  </w:p>
                </w:txbxContent>
              </v:textbox>
              <w10:wrap anchory="page"/>
            </v:shape>
          </w:pict>
        </mc:Fallback>
      </mc:AlternateContent>
    </w:r>
  </w:p>
  <w:tbl>
    <w:tblPr>
      <w:tblW w:w="0" w:type="dxa"/>
      <w:tblLook w:val="04A0" w:firstRow="1" w:lastRow="0" w:firstColumn="1" w:lastColumn="0" w:noHBand="0" w:noVBand="1"/>
    </w:tblPr>
    <w:tblGrid>
      <w:gridCol w:w="8313"/>
    </w:tblGrid>
    <w:tr w:rsidR="00102CA6" w:rsidRPr="00081794" w14:paraId="4F176805" w14:textId="77777777" w:rsidTr="00081794">
      <w:tc>
        <w:tcPr>
          <w:tcW w:w="8472" w:type="dxa"/>
          <w:shd w:val="clear" w:color="auto" w:fill="auto"/>
        </w:tcPr>
        <w:p w14:paraId="14670429" w14:textId="77777777" w:rsidR="00102CA6" w:rsidRPr="00081794" w:rsidRDefault="00BD1760" w:rsidP="00102CA6">
          <w:pPr>
            <w:rPr>
              <w:sz w:val="18"/>
            </w:rPr>
          </w:pPr>
        </w:p>
      </w:tc>
    </w:tr>
  </w:tbl>
  <w:p w14:paraId="4FFE5A76" w14:textId="77777777" w:rsidR="00102CA6" w:rsidRPr="007500C8" w:rsidRDefault="00BD1760"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BD4E" w14:textId="77777777" w:rsidR="00102CA6" w:rsidRPr="00ED79B6" w:rsidRDefault="00BD1760"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6988" w14:textId="77777777" w:rsidR="00102CA6" w:rsidRPr="00E2168B" w:rsidRDefault="005E1D55" w:rsidP="00E2168B">
    <w:pPr>
      <w:pStyle w:val="LI-Footer"/>
    </w:pPr>
    <w:r w:rsidRPr="00A52B0F">
      <w:fldChar w:fldCharType="begin"/>
    </w:r>
    <w:r w:rsidRPr="00A52B0F">
      <w:instrText xml:space="preserve"> PAGE  \* Arabic  \* MERGEFORMAT </w:instrText>
    </w:r>
    <w:r w:rsidRPr="00A52B0F">
      <w:fldChar w:fldCharType="separate"/>
    </w:r>
    <w:r>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AC71" w14:textId="77777777" w:rsidR="00102CA6" w:rsidRPr="00E33C1C" w:rsidRDefault="005E1D55" w:rsidP="00243EC0">
    <w:pPr>
      <w:pStyle w:val="LI-Footer"/>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rPr>
        <w:noProof/>
      </w:rPr>
      <w:t>3</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998B" w14:textId="77777777" w:rsidR="00102CA6" w:rsidRPr="00243EC0" w:rsidRDefault="005E1D55" w:rsidP="00E2168B">
    <w:pPr>
      <w:pStyle w:val="LI-Footer"/>
    </w:pPr>
    <w:r w:rsidRPr="00A52B0F">
      <w:fldChar w:fldCharType="begin"/>
    </w:r>
    <w:r w:rsidRPr="00A52B0F">
      <w:instrText xml:space="preserve"> PAGE  \* Arabic  \* MERGEFORMAT </w:instrText>
    </w:r>
    <w:r w:rsidRPr="00A52B0F">
      <w:fldChar w:fldCharType="separate"/>
    </w:r>
    <w:r>
      <w:rPr>
        <w:noProof/>
      </w:rPr>
      <w:t>4</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3E95" w14:textId="77777777" w:rsidR="00102CA6" w:rsidRPr="00E33C1C" w:rsidRDefault="00BD1760" w:rsidP="007500C8">
    <w:pPr>
      <w:pBdr>
        <w:top w:val="single" w:sz="6" w:space="1" w:color="auto"/>
      </w:pBdr>
      <w:spacing w:line="0" w:lineRule="atLeast"/>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102CA6" w:rsidRPr="00081794" w14:paraId="64851E43" w14:textId="77777777" w:rsidTr="00081794">
      <w:tc>
        <w:tcPr>
          <w:tcW w:w="1384" w:type="dxa"/>
          <w:tcBorders>
            <w:top w:val="nil"/>
            <w:left w:val="nil"/>
            <w:bottom w:val="nil"/>
            <w:right w:val="nil"/>
          </w:tcBorders>
          <w:shd w:val="clear" w:color="auto" w:fill="auto"/>
        </w:tcPr>
        <w:p w14:paraId="3967BF5C" w14:textId="77777777" w:rsidR="00102CA6" w:rsidRPr="00081794" w:rsidRDefault="00BD1760" w:rsidP="00081794">
          <w:pPr>
            <w:spacing w:line="0" w:lineRule="atLeast"/>
            <w:rPr>
              <w:sz w:val="18"/>
            </w:rPr>
          </w:pPr>
        </w:p>
      </w:tc>
      <w:tc>
        <w:tcPr>
          <w:tcW w:w="6379" w:type="dxa"/>
          <w:tcBorders>
            <w:top w:val="nil"/>
            <w:left w:val="nil"/>
            <w:bottom w:val="nil"/>
            <w:right w:val="nil"/>
          </w:tcBorders>
          <w:shd w:val="clear" w:color="auto" w:fill="auto"/>
        </w:tcPr>
        <w:p w14:paraId="5C24EF1B" w14:textId="77777777" w:rsidR="00102CA6" w:rsidRPr="00081794" w:rsidRDefault="005E1D55"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shd w:val="clear" w:color="auto" w:fill="auto"/>
        </w:tcPr>
        <w:p w14:paraId="0FF5D1FA" w14:textId="77777777" w:rsidR="00102CA6" w:rsidRPr="00081794" w:rsidRDefault="005E1D55"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Pr="00081794">
            <w:rPr>
              <w:i/>
              <w:noProof/>
              <w:sz w:val="18"/>
            </w:rPr>
            <w:t>4</w:t>
          </w:r>
          <w:r w:rsidRPr="00081794">
            <w:rPr>
              <w:i/>
              <w:sz w:val="18"/>
            </w:rPr>
            <w:fldChar w:fldCharType="end"/>
          </w:r>
        </w:p>
      </w:tc>
    </w:tr>
    <w:tr w:rsidR="00102CA6" w:rsidRPr="00081794" w14:paraId="71CF6B60"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61E6E441" w14:textId="77777777" w:rsidR="00102CA6" w:rsidRPr="00081794" w:rsidRDefault="005E1D55" w:rsidP="00102CA6">
          <w:pPr>
            <w:rPr>
              <w:sz w:val="18"/>
            </w:rPr>
          </w:pPr>
          <w:r w:rsidRPr="00081794">
            <w:rPr>
              <w:i/>
              <w:noProof/>
              <w:sz w:val="18"/>
            </w:rPr>
            <w:t>I14KE197.v01.docx</w:t>
          </w:r>
          <w:r w:rsidRPr="00081794">
            <w:rPr>
              <w:i/>
              <w:sz w:val="18"/>
            </w:rPr>
            <w:t xml:space="preserve"> </w:t>
          </w:r>
          <w:r w:rsidRPr="00081794">
            <w:rPr>
              <w:i/>
              <w:noProof/>
              <w:sz w:val="18"/>
            </w:rPr>
            <w:t>13/6/2014 3:07 PM</w:t>
          </w:r>
        </w:p>
      </w:tc>
    </w:tr>
  </w:tbl>
  <w:p w14:paraId="3D5732F1" w14:textId="77777777" w:rsidR="00102CA6" w:rsidRPr="00ED79B6" w:rsidRDefault="00BD1760"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A388" w14:textId="77777777" w:rsidR="00CD2E57" w:rsidRDefault="007130D1">
      <w:pPr>
        <w:spacing w:line="240" w:lineRule="auto"/>
      </w:pPr>
      <w:r>
        <w:separator/>
      </w:r>
    </w:p>
  </w:footnote>
  <w:footnote w:type="continuationSeparator" w:id="0">
    <w:p w14:paraId="0235E5C4" w14:textId="77777777" w:rsidR="00CD2E57" w:rsidRDefault="007130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D6A0" w14:textId="77777777" w:rsidR="00102CA6" w:rsidRPr="005F1388" w:rsidRDefault="005E1D55" w:rsidP="00715914">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187F8489" wp14:editId="6F0C46EC">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C5C7D9E" w14:textId="77777777" w:rsidR="00102CA6" w:rsidRPr="00284719" w:rsidRDefault="005E1D5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F8489" id="_x0000_t202" coordsize="21600,21600" o:spt="202" path="m,l,21600r21600,l21600,xe">
              <v:stroke joinstyle="miter"/>
              <v:path gradientshapeok="t" o:connecttype="rect"/>
            </v:shapetype>
            <v:shape id="Text Box 15" o:spid="_x0000_s1026" type="#_x0000_t202" style="position:absolute;margin-left:0;margin-top:11.3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0C5C7D9E" w14:textId="77777777" w:rsidR="00102CA6" w:rsidRPr="00284719" w:rsidRDefault="005E1D5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E1FB" w14:textId="77777777" w:rsidR="00E2168B" w:rsidRPr="00243EC0" w:rsidRDefault="005E1D55"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08E51DD3" w14:textId="77777777" w:rsidTr="00BF75C9">
      <w:tc>
        <w:tcPr>
          <w:tcW w:w="6804" w:type="dxa"/>
          <w:shd w:val="clear" w:color="auto" w:fill="auto"/>
        </w:tcPr>
        <w:p w14:paraId="012465E3" w14:textId="79380351" w:rsidR="00F4215A" w:rsidRDefault="00BD1760" w:rsidP="00E40FF8">
          <w:pPr>
            <w:pStyle w:val="LI-Header"/>
            <w:pBdr>
              <w:bottom w:val="none" w:sz="0" w:space="0" w:color="auto"/>
            </w:pBdr>
            <w:jc w:val="left"/>
          </w:pPr>
          <w:r>
            <w:fldChar w:fldCharType="begin"/>
          </w:r>
          <w:r>
            <w:instrText xml:space="preserve"> STYLEREF  "LI - Title" </w:instrText>
          </w:r>
          <w:r>
            <w:fldChar w:fldCharType="separate"/>
          </w:r>
          <w:r>
            <w:rPr>
              <w:noProof/>
            </w:rPr>
            <w:t>ASIC Corporations (On-Sale Disclosure Relief for Scrip Bids and Schemes of Arrangement) Instrument 2023/686</w:t>
          </w:r>
          <w:r>
            <w:rPr>
              <w:noProof/>
            </w:rPr>
            <w:fldChar w:fldCharType="end"/>
          </w:r>
        </w:p>
      </w:tc>
      <w:tc>
        <w:tcPr>
          <w:tcW w:w="1509" w:type="dxa"/>
          <w:shd w:val="clear" w:color="auto" w:fill="auto"/>
        </w:tcPr>
        <w:p w14:paraId="6C65651E" w14:textId="6ED01084" w:rsidR="00F4215A" w:rsidRDefault="00BD1760" w:rsidP="00E40FF8">
          <w:pPr>
            <w:pStyle w:val="LI-Header"/>
            <w:pBdr>
              <w:bottom w:val="none" w:sz="0" w:space="0" w:color="auto"/>
            </w:pBdr>
          </w:pPr>
          <w:r>
            <w:fldChar w:fldCharType="begin"/>
          </w:r>
          <w:r>
            <w:instrText xml:space="preserve"> STYLEREF  "LI - Heading 1" </w:instrText>
          </w:r>
          <w:r>
            <w:fldChar w:fldCharType="separate"/>
          </w:r>
          <w:r>
            <w:rPr>
              <w:noProof/>
            </w:rPr>
            <w:t>Part 2—Exemption</w:t>
          </w:r>
          <w:r>
            <w:rPr>
              <w:noProof/>
            </w:rPr>
            <w:fldChar w:fldCharType="end"/>
          </w:r>
        </w:p>
      </w:tc>
    </w:tr>
  </w:tbl>
  <w:p w14:paraId="58B5D249" w14:textId="77777777" w:rsidR="0040053F" w:rsidRPr="00F4215A" w:rsidRDefault="00BD1760"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E5D7" w14:textId="77777777" w:rsidR="00102CA6" w:rsidRPr="005F1388" w:rsidRDefault="005E1D55" w:rsidP="00715914">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4509ACB1" wp14:editId="1F32DDF1">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BD1BBF7" w14:textId="77777777" w:rsidR="00102CA6" w:rsidRPr="00284719" w:rsidRDefault="00BD1760"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ACB1" id="_x0000_t202" coordsize="21600,21600" o:spt="202" path="m,l,21600r21600,l21600,xe">
              <v:stroke joinstyle="miter"/>
              <v:path gradientshapeok="t" o:connecttype="rect"/>
            </v:shapetype>
            <v:shape id="Text Box 14" o:spid="_x0000_s1027" type="#_x0000_t202" style="position:absolute;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1BD1BBF7" w14:textId="77777777" w:rsidR="00102CA6" w:rsidRPr="00284719" w:rsidRDefault="005E1D55"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8C47" w14:textId="77777777" w:rsidR="00102CA6" w:rsidRPr="005F1388" w:rsidRDefault="00BD1760"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5307" w14:textId="77777777" w:rsidR="00102CA6" w:rsidRDefault="005E1D55"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4E3A1D13" w14:textId="77777777" w:rsidTr="00BF75C9">
      <w:tc>
        <w:tcPr>
          <w:tcW w:w="6804" w:type="dxa"/>
          <w:shd w:val="clear" w:color="auto" w:fill="auto"/>
        </w:tcPr>
        <w:p w14:paraId="50640565" w14:textId="6DAF0224" w:rsidR="00F4215A" w:rsidRDefault="00BD1760" w:rsidP="00E40FF8">
          <w:pPr>
            <w:pStyle w:val="LI-Header"/>
            <w:pBdr>
              <w:bottom w:val="none" w:sz="0" w:space="0" w:color="auto"/>
            </w:pBdr>
            <w:jc w:val="left"/>
          </w:pPr>
          <w:r>
            <w:fldChar w:fldCharType="begin"/>
          </w:r>
          <w:r>
            <w:instrText xml:space="preserve"> STYLEREF  "LI - Title" </w:instrText>
          </w:r>
          <w:r>
            <w:fldChar w:fldCharType="separate"/>
          </w:r>
          <w:r>
            <w:rPr>
              <w:noProof/>
            </w:rPr>
            <w:t>ASIC Corporations (On-Sale Disclosure Relief for Scrip Bids and Schemes of Arrangement) Instrument 2023/686</w:t>
          </w:r>
          <w:r>
            <w:rPr>
              <w:noProof/>
            </w:rPr>
            <w:fldChar w:fldCharType="end"/>
          </w:r>
        </w:p>
      </w:tc>
      <w:tc>
        <w:tcPr>
          <w:tcW w:w="1509" w:type="dxa"/>
          <w:shd w:val="clear" w:color="auto" w:fill="auto"/>
        </w:tcPr>
        <w:p w14:paraId="282FD639" w14:textId="77777777" w:rsidR="00F4215A" w:rsidRDefault="00BD1760" w:rsidP="00E40FF8">
          <w:pPr>
            <w:pStyle w:val="LI-Header"/>
            <w:pBdr>
              <w:bottom w:val="none" w:sz="0" w:space="0" w:color="auto"/>
            </w:pBdr>
          </w:pPr>
        </w:p>
      </w:tc>
    </w:tr>
  </w:tbl>
  <w:p w14:paraId="267A4FF9" w14:textId="77777777" w:rsidR="00102CA6" w:rsidRPr="008945E0" w:rsidRDefault="00BD1760"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E780" w14:textId="77777777" w:rsidR="00102CA6" w:rsidRPr="00ED79B6" w:rsidRDefault="00BD1760"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E447" w14:textId="77777777" w:rsidR="00102CA6" w:rsidRPr="00243EC0" w:rsidRDefault="005E1D55"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2—Exemption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14:paraId="54CA4AE1" w14:textId="77777777" w:rsidTr="00BF75C9">
      <w:tc>
        <w:tcPr>
          <w:tcW w:w="6804" w:type="dxa"/>
          <w:shd w:val="clear" w:color="auto" w:fill="auto"/>
        </w:tcPr>
        <w:p w14:paraId="4005BF85" w14:textId="5548DB60" w:rsidR="00F4215A" w:rsidRDefault="00BD1760" w:rsidP="00E40FF8">
          <w:pPr>
            <w:pStyle w:val="LI-Header"/>
            <w:pBdr>
              <w:bottom w:val="none" w:sz="0" w:space="0" w:color="auto"/>
            </w:pBdr>
            <w:jc w:val="left"/>
          </w:pPr>
          <w:r>
            <w:fldChar w:fldCharType="begin"/>
          </w:r>
          <w:r>
            <w:instrText xml:space="preserve"> STYLEREF  "LI - Title" </w:instrText>
          </w:r>
          <w:r>
            <w:fldChar w:fldCharType="separate"/>
          </w:r>
          <w:r>
            <w:rPr>
              <w:noProof/>
            </w:rPr>
            <w:t>ASIC Corporations (On-Sale Disclosure Relief for Scrip Bids and Schemes of Arrangement) Instrument 2023/686</w:t>
          </w:r>
          <w:r>
            <w:rPr>
              <w:noProof/>
            </w:rPr>
            <w:fldChar w:fldCharType="end"/>
          </w:r>
        </w:p>
      </w:tc>
      <w:tc>
        <w:tcPr>
          <w:tcW w:w="1509" w:type="dxa"/>
          <w:shd w:val="clear" w:color="auto" w:fill="auto"/>
        </w:tcPr>
        <w:p w14:paraId="37911B1F" w14:textId="27AC310E" w:rsidR="00F4215A" w:rsidRDefault="00BD1760" w:rsidP="00E40FF8">
          <w:pPr>
            <w:pStyle w:val="LI-Header"/>
            <w:pBdr>
              <w:bottom w:val="none" w:sz="0" w:space="0" w:color="auto"/>
            </w:pBdr>
          </w:pPr>
          <w:r>
            <w:fldChar w:fldCharType="begin"/>
          </w:r>
          <w:r>
            <w:instrText xml:space="preserve"> STYLEREF  "LI - Heading 1" </w:instrText>
          </w:r>
          <w:r>
            <w:fldChar w:fldCharType="separate"/>
          </w:r>
          <w:r>
            <w:rPr>
              <w:noProof/>
            </w:rPr>
            <w:t>Part 1—Preliminary</w:t>
          </w:r>
          <w:r>
            <w:rPr>
              <w:noProof/>
            </w:rPr>
            <w:fldChar w:fldCharType="end"/>
          </w:r>
        </w:p>
      </w:tc>
    </w:tr>
  </w:tbl>
  <w:p w14:paraId="6FA772AD" w14:textId="77777777" w:rsidR="00D341C4" w:rsidRPr="00F4215A" w:rsidRDefault="00BD1760"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F1E1" w14:textId="77777777" w:rsidR="00102CA6" w:rsidRPr="007A1328" w:rsidRDefault="00BD1760" w:rsidP="007159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55"/>
    <w:rsid w:val="005E1D55"/>
    <w:rsid w:val="006B50FB"/>
    <w:rsid w:val="007130D1"/>
    <w:rsid w:val="00AC056F"/>
    <w:rsid w:val="00B206A0"/>
    <w:rsid w:val="00BD1760"/>
    <w:rsid w:val="00CD2E57"/>
    <w:rsid w:val="00E523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B6F8"/>
  <w15:chartTrackingRefBased/>
  <w15:docId w15:val="{25FFA589-FDE0-4A85-82B0-39243E30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1D55"/>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5E1D55"/>
    <w:pPr>
      <w:pBdr>
        <w:top w:val="single" w:sz="4" w:space="1" w:color="auto"/>
      </w:pBdr>
      <w:spacing w:line="240" w:lineRule="auto"/>
    </w:pPr>
    <w:rPr>
      <w:rFonts w:eastAsia="Times New Roman"/>
      <w:b/>
      <w:sz w:val="40"/>
      <w:lang w:eastAsia="en-AU"/>
    </w:rPr>
  </w:style>
  <w:style w:type="paragraph" w:customStyle="1" w:styleId="LI-Heading1">
    <w:name w:val="LI - Heading 1"/>
    <w:basedOn w:val="Normal"/>
    <w:next w:val="Normal"/>
    <w:qFormat/>
    <w:rsid w:val="005E1D55"/>
    <w:pPr>
      <w:keepNext/>
      <w:keepLines/>
      <w:spacing w:before="280" w:line="240" w:lineRule="auto"/>
      <w:ind w:left="1134" w:hanging="1134"/>
      <w:outlineLvl w:val="0"/>
    </w:pPr>
    <w:rPr>
      <w:rFonts w:eastAsia="Times New Roman"/>
      <w:b/>
      <w:kern w:val="28"/>
      <w:sz w:val="32"/>
      <w:lang w:eastAsia="en-AU"/>
    </w:rPr>
  </w:style>
  <w:style w:type="paragraph" w:customStyle="1" w:styleId="LI-Heading2">
    <w:name w:val="LI - Heading 2"/>
    <w:basedOn w:val="Normal"/>
    <w:next w:val="LI-BodyTextUnnumbered"/>
    <w:qFormat/>
    <w:rsid w:val="005E1D55"/>
    <w:pPr>
      <w:keepNext/>
      <w:keepLines/>
      <w:spacing w:before="360" w:line="240" w:lineRule="auto"/>
      <w:ind w:left="567" w:hanging="567"/>
      <w:outlineLvl w:val="1"/>
    </w:pPr>
    <w:rPr>
      <w:rFonts w:eastAsia="Times New Roman"/>
      <w:b/>
      <w:kern w:val="28"/>
      <w:sz w:val="24"/>
      <w:lang w:eastAsia="en-AU"/>
    </w:rPr>
  </w:style>
  <w:style w:type="paragraph" w:customStyle="1" w:styleId="LI-BodyTextUnnumbered">
    <w:name w:val="LI - Body Text Unnumbered"/>
    <w:basedOn w:val="Normal"/>
    <w:link w:val="LI-BodyTextUnnumberedChar"/>
    <w:rsid w:val="005E1D55"/>
    <w:pPr>
      <w:spacing w:before="240" w:line="240" w:lineRule="auto"/>
      <w:ind w:left="1134"/>
    </w:pPr>
    <w:rPr>
      <w:rFonts w:eastAsia="Times New Roman"/>
      <w:sz w:val="24"/>
      <w:lang w:eastAsia="en-AU"/>
    </w:rPr>
  </w:style>
  <w:style w:type="paragraph" w:styleId="Header">
    <w:name w:val="header"/>
    <w:basedOn w:val="Normal"/>
    <w:link w:val="HeaderChar"/>
    <w:unhideWhenUsed/>
    <w:rsid w:val="005E1D55"/>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5E1D55"/>
    <w:rPr>
      <w:rFonts w:ascii="Times New Roman" w:eastAsia="Times New Roman" w:hAnsi="Times New Roman" w:cs="Times New Roman"/>
      <w:sz w:val="16"/>
      <w:szCs w:val="20"/>
      <w:lang w:eastAsia="en-AU"/>
    </w:rPr>
  </w:style>
  <w:style w:type="paragraph" w:customStyle="1" w:styleId="LI-BodyTextParaa">
    <w:name w:val="LI - Body Text Para (a)"/>
    <w:basedOn w:val="Normal"/>
    <w:link w:val="LI-BodyTextParaaChar"/>
    <w:rsid w:val="005E1D55"/>
    <w:pPr>
      <w:spacing w:before="240" w:line="240" w:lineRule="auto"/>
      <w:ind w:left="1701" w:hanging="567"/>
    </w:pPr>
    <w:rPr>
      <w:rFonts w:eastAsia="Times New Roman"/>
      <w:sz w:val="24"/>
      <w:szCs w:val="24"/>
      <w:lang w:eastAsia="en-AU"/>
    </w:rPr>
  </w:style>
  <w:style w:type="paragraph" w:styleId="TOC1">
    <w:name w:val="toc 1"/>
    <w:basedOn w:val="Normal"/>
    <w:next w:val="Normal"/>
    <w:uiPriority w:val="39"/>
    <w:unhideWhenUsed/>
    <w:rsid w:val="005E1D55"/>
    <w:pPr>
      <w:keepNext/>
      <w:keepLines/>
      <w:tabs>
        <w:tab w:val="right" w:pos="8278"/>
      </w:tabs>
      <w:spacing w:before="120" w:line="240" w:lineRule="auto"/>
      <w:ind w:left="1474" w:right="567" w:hanging="1474"/>
    </w:pPr>
    <w:rPr>
      <w:rFonts w:eastAsia="Times New Roman"/>
      <w:b/>
      <w:kern w:val="28"/>
      <w:sz w:val="24"/>
      <w:lang w:eastAsia="en-AU"/>
    </w:rPr>
  </w:style>
  <w:style w:type="paragraph" w:styleId="TOC2">
    <w:name w:val="toc 2"/>
    <w:basedOn w:val="Normal"/>
    <w:next w:val="Normal"/>
    <w:uiPriority w:val="39"/>
    <w:unhideWhenUsed/>
    <w:rsid w:val="005E1D55"/>
    <w:pPr>
      <w:keepNext/>
      <w:keepLines/>
      <w:tabs>
        <w:tab w:val="right" w:leader="dot" w:pos="8278"/>
      </w:tabs>
      <w:spacing w:before="120" w:line="240" w:lineRule="auto"/>
      <w:ind w:left="851" w:hanging="284"/>
    </w:pPr>
    <w:rPr>
      <w:rFonts w:eastAsia="Times New Roman"/>
      <w:kern w:val="28"/>
      <w:sz w:val="24"/>
      <w:lang w:eastAsia="en-AU"/>
    </w:rPr>
  </w:style>
  <w:style w:type="paragraph" w:styleId="Footer">
    <w:name w:val="footer"/>
    <w:link w:val="FooterChar"/>
    <w:rsid w:val="005E1D55"/>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5E1D55"/>
    <w:rPr>
      <w:rFonts w:ascii="Times New Roman" w:eastAsia="Times New Roman" w:hAnsi="Times New Roman" w:cs="Times New Roman"/>
      <w:szCs w:val="24"/>
      <w:lang w:eastAsia="en-AU"/>
    </w:rPr>
  </w:style>
  <w:style w:type="paragraph" w:customStyle="1" w:styleId="LI-Fronttext">
    <w:name w:val="LI - Front text"/>
    <w:basedOn w:val="Normal"/>
    <w:next w:val="Normal"/>
    <w:rsid w:val="005E1D55"/>
    <w:pPr>
      <w:spacing w:before="240"/>
      <w:ind w:right="397"/>
    </w:pPr>
    <w:rPr>
      <w:rFonts w:eastAsia="Times New Roman"/>
      <w:lang w:eastAsia="en-AU"/>
    </w:rPr>
  </w:style>
  <w:style w:type="paragraph" w:customStyle="1" w:styleId="LI-BodyTextNote">
    <w:name w:val="LI - Body Text Note"/>
    <w:basedOn w:val="Normal"/>
    <w:link w:val="LI-BodyTextNoteChar"/>
    <w:rsid w:val="005E1D55"/>
    <w:pPr>
      <w:spacing w:before="200" w:line="240" w:lineRule="auto"/>
      <w:ind w:left="1701" w:hanging="567"/>
    </w:pPr>
    <w:rPr>
      <w:rFonts w:eastAsia="Times New Roman"/>
      <w:sz w:val="18"/>
      <w:lang w:eastAsia="en-AU"/>
    </w:rPr>
  </w:style>
  <w:style w:type="character" w:styleId="Hyperlink">
    <w:name w:val="Hyperlink"/>
    <w:uiPriority w:val="99"/>
    <w:rsid w:val="005E1D55"/>
    <w:rPr>
      <w:color w:val="0000FF"/>
      <w:u w:val="single"/>
    </w:rPr>
  </w:style>
  <w:style w:type="paragraph" w:customStyle="1" w:styleId="LI-BodyTextSubparai">
    <w:name w:val="LI - Body Text Subpara (i)"/>
    <w:basedOn w:val="LI-BodyTextParaa"/>
    <w:link w:val="LI-BodyTextSubparaiChar"/>
    <w:qFormat/>
    <w:rsid w:val="005E1D55"/>
    <w:pPr>
      <w:ind w:left="2268"/>
    </w:pPr>
  </w:style>
  <w:style w:type="paragraph" w:customStyle="1" w:styleId="LI-BodyTextSubsubparaA">
    <w:name w:val="LI - Body Text Subsubpara (A)"/>
    <w:basedOn w:val="LI-BodyTextParaa"/>
    <w:link w:val="LI-BodyTextSubsubparaAChar"/>
    <w:qFormat/>
    <w:rsid w:val="005E1D55"/>
    <w:pPr>
      <w:ind w:left="2835"/>
    </w:pPr>
  </w:style>
  <w:style w:type="character" w:customStyle="1" w:styleId="LI-BodyTextParaaChar">
    <w:name w:val="LI - Body Text Para (a) Char"/>
    <w:link w:val="LI-BodyTextParaa"/>
    <w:rsid w:val="005E1D55"/>
    <w:rPr>
      <w:rFonts w:ascii="Times New Roman" w:eastAsia="Times New Roman" w:hAnsi="Times New Roman" w:cs="Times New Roman"/>
      <w:sz w:val="24"/>
      <w:szCs w:val="24"/>
      <w:lang w:eastAsia="en-AU"/>
    </w:rPr>
  </w:style>
  <w:style w:type="character" w:customStyle="1" w:styleId="LI-BodyTextSubparaiChar">
    <w:name w:val="LI - Body Text Subpara (i) Char"/>
    <w:basedOn w:val="LI-BodyTextParaaChar"/>
    <w:link w:val="LI-BodyTextSubparai"/>
    <w:rsid w:val="005E1D55"/>
    <w:rPr>
      <w:rFonts w:ascii="Times New Roman" w:eastAsia="Times New Roman" w:hAnsi="Times New Roman" w:cs="Times New Roman"/>
      <w:sz w:val="24"/>
      <w:szCs w:val="24"/>
      <w:lang w:eastAsia="en-AU"/>
    </w:rPr>
  </w:style>
  <w:style w:type="paragraph" w:customStyle="1" w:styleId="LI-BodyTextNumbered">
    <w:name w:val="LI - Body Text Numbered"/>
    <w:basedOn w:val="LI-BodyTextUnnumbered"/>
    <w:link w:val="LI-BodyTextNumberedChar"/>
    <w:qFormat/>
    <w:rsid w:val="005E1D55"/>
    <w:pPr>
      <w:ind w:hanging="567"/>
    </w:pPr>
    <w:rPr>
      <w:szCs w:val="24"/>
    </w:rPr>
  </w:style>
  <w:style w:type="character" w:customStyle="1" w:styleId="LI-BodyTextSubsubparaAChar">
    <w:name w:val="LI - Body Text Subsubpara (A) Char"/>
    <w:basedOn w:val="LI-BodyTextParaaChar"/>
    <w:link w:val="LI-BodyTextSubsubparaA"/>
    <w:rsid w:val="005E1D55"/>
    <w:rPr>
      <w:rFonts w:ascii="Times New Roman" w:eastAsia="Times New Roman" w:hAnsi="Times New Roman" w:cs="Times New Roman"/>
      <w:sz w:val="24"/>
      <w:szCs w:val="24"/>
      <w:lang w:eastAsia="en-AU"/>
    </w:rPr>
  </w:style>
  <w:style w:type="paragraph" w:customStyle="1" w:styleId="LI-Footer">
    <w:name w:val="LI - Footer"/>
    <w:basedOn w:val="Normal"/>
    <w:link w:val="LI-FooterChar"/>
    <w:qFormat/>
    <w:rsid w:val="005E1D55"/>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5E1D55"/>
    <w:rPr>
      <w:rFonts w:ascii="Times New Roman" w:eastAsia="Times New Roman" w:hAnsi="Times New Roman" w:cs="Times New Roman"/>
      <w:sz w:val="24"/>
      <w:szCs w:val="20"/>
      <w:lang w:eastAsia="en-AU"/>
    </w:rPr>
  </w:style>
  <w:style w:type="character" w:customStyle="1" w:styleId="LI-BodyTextNumberedChar">
    <w:name w:val="LI - Body Text Numbered Char"/>
    <w:link w:val="LI-BodyTextNumbered"/>
    <w:rsid w:val="005E1D55"/>
    <w:rPr>
      <w:rFonts w:ascii="Times New Roman" w:eastAsia="Times New Roman" w:hAnsi="Times New Roman" w:cs="Times New Roman"/>
      <w:sz w:val="24"/>
      <w:szCs w:val="24"/>
      <w:lang w:eastAsia="en-AU"/>
    </w:rPr>
  </w:style>
  <w:style w:type="character" w:customStyle="1" w:styleId="LI-FooterChar">
    <w:name w:val="LI - Footer Char"/>
    <w:link w:val="LI-Footer"/>
    <w:rsid w:val="005E1D55"/>
    <w:rPr>
      <w:rFonts w:ascii="Times New Roman" w:eastAsia="Calibri" w:hAnsi="Times New Roman" w:cs="Times New Roman"/>
      <w:i/>
      <w:sz w:val="18"/>
      <w:szCs w:val="20"/>
    </w:rPr>
  </w:style>
  <w:style w:type="character" w:customStyle="1" w:styleId="LI-BodyTextNoteChar">
    <w:name w:val="LI - Body Text Note Char"/>
    <w:link w:val="LI-BodyTextNote"/>
    <w:rsid w:val="005E1D55"/>
    <w:rPr>
      <w:rFonts w:ascii="Times New Roman" w:eastAsia="Times New Roman" w:hAnsi="Times New Roman" w:cs="Times New Roman"/>
      <w:sz w:val="18"/>
      <w:szCs w:val="20"/>
      <w:lang w:eastAsia="en-AU"/>
    </w:rPr>
  </w:style>
  <w:style w:type="paragraph" w:customStyle="1" w:styleId="LI-Header">
    <w:name w:val="LI - Header"/>
    <w:basedOn w:val="LI-Footer"/>
    <w:link w:val="LI-HeaderChar"/>
    <w:qFormat/>
    <w:rsid w:val="005E1D55"/>
    <w:pPr>
      <w:pBdr>
        <w:top w:val="none" w:sz="0" w:space="0" w:color="auto"/>
        <w:bottom w:val="single" w:sz="4" w:space="1" w:color="auto"/>
      </w:pBdr>
      <w:jc w:val="right"/>
    </w:pPr>
  </w:style>
  <w:style w:type="character" w:customStyle="1" w:styleId="LI-HeaderChar">
    <w:name w:val="LI - Header Char"/>
    <w:basedOn w:val="LI-FooterChar"/>
    <w:link w:val="LI-Header"/>
    <w:rsid w:val="005E1D55"/>
    <w:rPr>
      <w:rFonts w:ascii="Times New Roman" w:eastAsia="Calibri" w:hAnsi="Times New Roman"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www.legislation.gov.au"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Bevins</dc:creator>
  <cp:keywords/>
  <dc:description/>
  <cp:lastModifiedBy>Narelle Kane</cp:lastModifiedBy>
  <cp:revision>4</cp:revision>
  <dcterms:created xsi:type="dcterms:W3CDTF">2023-09-26T03:37:00Z</dcterms:created>
  <dcterms:modified xsi:type="dcterms:W3CDTF">2023-09-26T03:40:00Z</dcterms:modified>
</cp:coreProperties>
</file>