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0B97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88BFE7D" wp14:editId="0DAEF96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F86D" w14:textId="77777777" w:rsidR="005E317F" w:rsidRDefault="005E317F" w:rsidP="005E317F">
      <w:pPr>
        <w:rPr>
          <w:sz w:val="19"/>
        </w:rPr>
      </w:pPr>
    </w:p>
    <w:p w14:paraId="23450EF1" w14:textId="7AA05AC5" w:rsidR="005E317F" w:rsidRPr="00E500D4" w:rsidRDefault="00596AD9" w:rsidP="005E317F">
      <w:pPr>
        <w:pStyle w:val="ShortT"/>
      </w:pPr>
      <w:r>
        <w:t>An</w:t>
      </w:r>
      <w:r w:rsidR="0066089E">
        <w:t>ti-Money Laundering and Counter</w:t>
      </w:r>
      <w:r w:rsidR="0066089E">
        <w:noBreakHyphen/>
      </w:r>
      <w:r>
        <w:t xml:space="preserve">Terrorism Financing Rules </w:t>
      </w:r>
      <w:r w:rsidR="00DB3226">
        <w:t xml:space="preserve">(Online Gambling </w:t>
      </w:r>
      <w:r w:rsidR="006945A3">
        <w:t>Services</w:t>
      </w:r>
      <w:r w:rsidR="00DB3226">
        <w:t xml:space="preserve">) </w:t>
      </w:r>
      <w:r w:rsidR="00CB22E6">
        <w:t xml:space="preserve">Amendment </w:t>
      </w:r>
      <w:r>
        <w:t>Instrument 202</w:t>
      </w:r>
      <w:r w:rsidR="0019243C">
        <w:t>3</w:t>
      </w:r>
      <w:r>
        <w:t xml:space="preserve"> </w:t>
      </w:r>
    </w:p>
    <w:p w14:paraId="2B5B06E0" w14:textId="744F08D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9243C">
        <w:rPr>
          <w:szCs w:val="22"/>
        </w:rPr>
        <w:t>Peter Soros</w:t>
      </w:r>
      <w:r w:rsidRPr="00DA182D">
        <w:rPr>
          <w:szCs w:val="22"/>
        </w:rPr>
        <w:t xml:space="preserve">, </w:t>
      </w:r>
      <w:r w:rsidR="0019243C">
        <w:rPr>
          <w:szCs w:val="22"/>
        </w:rPr>
        <w:t xml:space="preserve">Acting </w:t>
      </w:r>
      <w:r w:rsidR="00596AD9">
        <w:rPr>
          <w:szCs w:val="22"/>
        </w:rPr>
        <w:t>Chief Executive Officer, Australian Transaction Reports and Analysis Centre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</w:t>
      </w:r>
      <w:r w:rsidR="00920058">
        <w:rPr>
          <w:szCs w:val="22"/>
        </w:rPr>
        <w:t>the following legislative instrument</w:t>
      </w:r>
      <w:r w:rsidR="00596AD9" w:rsidRPr="00DA182D">
        <w:rPr>
          <w:szCs w:val="22"/>
        </w:rPr>
        <w:t>.</w:t>
      </w:r>
    </w:p>
    <w:p w14:paraId="6E0CBA64" w14:textId="4148FB79" w:rsidR="00C365D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7834C5">
        <w:rPr>
          <w:szCs w:val="22"/>
        </w:rPr>
        <w:t xml:space="preserve">  25 September 2023</w:t>
      </w:r>
    </w:p>
    <w:p w14:paraId="378A1D19" w14:textId="2772DE3E" w:rsidR="00C365DF" w:rsidRDefault="00C365DF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72DA0D08" w14:textId="77777777" w:rsidR="007834C5" w:rsidRDefault="007834C5" w:rsidP="007834C5">
      <w:pPr>
        <w:keepNext/>
        <w:spacing w:before="120" w:line="240" w:lineRule="atLeast"/>
        <w:ind w:right="397"/>
        <w:jc w:val="both"/>
        <w:rPr>
          <w:szCs w:val="22"/>
        </w:rPr>
      </w:pPr>
      <w:r>
        <w:rPr>
          <w:szCs w:val="22"/>
        </w:rPr>
        <w:t>[signed]</w:t>
      </w:r>
    </w:p>
    <w:p w14:paraId="14556034" w14:textId="4140ED3D" w:rsidR="005E317F" w:rsidRDefault="0019243C" w:rsidP="007834C5">
      <w:pPr>
        <w:keepNext/>
        <w:spacing w:before="120" w:line="240" w:lineRule="atLeast"/>
        <w:ind w:right="397"/>
        <w:jc w:val="both"/>
        <w:rPr>
          <w:b/>
          <w:szCs w:val="22"/>
        </w:rPr>
      </w:pPr>
      <w:r>
        <w:rPr>
          <w:szCs w:val="22"/>
        </w:rPr>
        <w:t>P</w:t>
      </w:r>
      <w:bookmarkStart w:id="0" w:name="_GoBack"/>
      <w:bookmarkEnd w:id="0"/>
      <w:r>
        <w:rPr>
          <w:szCs w:val="22"/>
        </w:rPr>
        <w:t>eter Soros</w:t>
      </w:r>
    </w:p>
    <w:p w14:paraId="2A585959" w14:textId="2267108C" w:rsidR="00596AD9" w:rsidRDefault="0019243C" w:rsidP="00596AD9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596AD9">
        <w:rPr>
          <w:sz w:val="22"/>
        </w:rPr>
        <w:t>Chief Executive Officer</w:t>
      </w:r>
    </w:p>
    <w:p w14:paraId="1A68767D" w14:textId="77777777" w:rsidR="00596AD9" w:rsidRDefault="00596AD9" w:rsidP="005E317F">
      <w:pPr>
        <w:pStyle w:val="SignCoverPageEnd"/>
        <w:ind w:right="91"/>
        <w:rPr>
          <w:sz w:val="22"/>
        </w:rPr>
      </w:pPr>
      <w:r>
        <w:rPr>
          <w:sz w:val="22"/>
        </w:rPr>
        <w:t>Australian Transaction Reports and Analysis Centre</w:t>
      </w:r>
    </w:p>
    <w:p w14:paraId="34965401" w14:textId="77777777" w:rsidR="00596AD9" w:rsidRPr="00596AD9" w:rsidRDefault="00596AD9" w:rsidP="00596AD9">
      <w:pPr>
        <w:rPr>
          <w:lang w:eastAsia="en-AU"/>
        </w:rPr>
      </w:pPr>
    </w:p>
    <w:p w14:paraId="062185DB" w14:textId="77777777" w:rsidR="00596AD9" w:rsidRPr="00596AD9" w:rsidRDefault="00596AD9" w:rsidP="00596AD9">
      <w:pPr>
        <w:rPr>
          <w:lang w:eastAsia="en-AU"/>
        </w:rPr>
      </w:pPr>
    </w:p>
    <w:p w14:paraId="4F18CDB7" w14:textId="77777777" w:rsidR="00B20990" w:rsidRDefault="00B20990" w:rsidP="00B20990"/>
    <w:p w14:paraId="0598D74D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388551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683B782A" w14:textId="7DD63F43" w:rsidR="00DB322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DB3226">
        <w:rPr>
          <w:noProof/>
        </w:rPr>
        <w:t>1  Name</w:t>
      </w:r>
      <w:r w:rsidR="00DB3226">
        <w:rPr>
          <w:noProof/>
        </w:rPr>
        <w:tab/>
      </w:r>
      <w:r w:rsidR="00DB3226">
        <w:rPr>
          <w:noProof/>
        </w:rPr>
        <w:fldChar w:fldCharType="begin"/>
      </w:r>
      <w:r w:rsidR="00DB3226">
        <w:rPr>
          <w:noProof/>
        </w:rPr>
        <w:instrText xml:space="preserve"> PAGEREF _Toc144900515 \h </w:instrText>
      </w:r>
      <w:r w:rsidR="00DB3226">
        <w:rPr>
          <w:noProof/>
        </w:rPr>
      </w:r>
      <w:r w:rsidR="00DB3226">
        <w:rPr>
          <w:noProof/>
        </w:rPr>
        <w:fldChar w:fldCharType="separate"/>
      </w:r>
      <w:r w:rsidR="00DB3226">
        <w:rPr>
          <w:noProof/>
        </w:rPr>
        <w:t>1</w:t>
      </w:r>
      <w:r w:rsidR="00DB3226">
        <w:rPr>
          <w:noProof/>
        </w:rPr>
        <w:fldChar w:fldCharType="end"/>
      </w:r>
    </w:p>
    <w:p w14:paraId="4C7DC4F7" w14:textId="797F5907" w:rsidR="00DB3226" w:rsidRDefault="00DB32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_Toc144900516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FFA0C2E" w14:textId="29C1A0BE" w:rsidR="00DB3226" w:rsidRDefault="00DB32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_Toc144900517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6B1E907" w14:textId="141D4284" w:rsidR="00DB3226" w:rsidRDefault="00DB32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_Toc144900518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2455A60" w14:textId="60A73AD4" w:rsidR="00DB3226" w:rsidRDefault="00DB322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_Toc144900519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9A914DA" w14:textId="1E539575" w:rsidR="00DB3226" w:rsidRDefault="00DB322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Anti-Money Laundering and Counter-Terrorism Financing Rules Instrument 2007 (No. 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_Toc144900520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691D254" w14:textId="52BE6C08" w:rsidR="00DB3226" w:rsidRDefault="00DB322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_Toc144900521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33E9FE7" w14:textId="61549430" w:rsidR="00DB3226" w:rsidRDefault="00DB322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Anti-Money Laundering and Counter-Terrorism Financing Rules Instrument 2007 (No. 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_Toc144900522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4895462" w14:textId="4AFC514E" w:rsidR="00DB3226" w:rsidRDefault="00DB322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_Toc144900523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37709FE" w14:textId="4EFD6884" w:rsidR="00DB3226" w:rsidRDefault="00DB322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Anti-Money Laundering and Counter-Terrorism Financing Rules Instrument 2007 (No. 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_Toc144900524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D75D681" w14:textId="114D9435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CB2DF36" w14:textId="77777777" w:rsidR="00B20990" w:rsidRDefault="00B20990" w:rsidP="00B20990"/>
    <w:p w14:paraId="252A1E58" w14:textId="77777777" w:rsidR="00B20990" w:rsidRDefault="00B20990" w:rsidP="00B20990">
      <w:pPr>
        <w:sectPr w:rsidR="00B20990" w:rsidSect="00BE77B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BDAD608" w14:textId="77777777" w:rsidR="005E317F" w:rsidRPr="009C2562" w:rsidRDefault="005E317F" w:rsidP="005E317F">
      <w:pPr>
        <w:pStyle w:val="ActHead5"/>
      </w:pPr>
      <w:bookmarkStart w:id="2" w:name="_Toc144900515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7551D65B" w14:textId="5066370B" w:rsidR="005E317F" w:rsidRDefault="005E317F" w:rsidP="005E317F">
      <w:pPr>
        <w:pStyle w:val="subsection"/>
      </w:pPr>
      <w:r w:rsidRPr="009C2562">
        <w:tab/>
      </w:r>
      <w:r w:rsidR="004463E4">
        <w:tab/>
      </w:r>
      <w:r w:rsidR="00596AD9" w:rsidRPr="009C2562">
        <w:t xml:space="preserve">This </w:t>
      </w:r>
      <w:r w:rsidR="00596AD9">
        <w:t xml:space="preserve">instrument </w:t>
      </w:r>
      <w:r w:rsidR="00596AD9" w:rsidRPr="009C2562">
        <w:t xml:space="preserve">is </w:t>
      </w:r>
      <w:r w:rsidR="00596AD9" w:rsidRPr="00F64003">
        <w:rPr>
          <w:szCs w:val="22"/>
        </w:rPr>
        <w:t>the</w:t>
      </w:r>
      <w:bookmarkStart w:id="3" w:name="BKCheck15B_3"/>
      <w:bookmarkEnd w:id="3"/>
      <w:r w:rsidR="00596AD9">
        <w:rPr>
          <w:szCs w:val="22"/>
        </w:rPr>
        <w:t xml:space="preserve"> </w:t>
      </w:r>
      <w:r w:rsidR="004463E4" w:rsidRPr="004463E4">
        <w:rPr>
          <w:i/>
          <w:szCs w:val="22"/>
        </w:rPr>
        <w:t xml:space="preserve">Anti-Money Laundering and Counter-Terrorism Financing Rules (Online Gambling </w:t>
      </w:r>
      <w:r w:rsidR="006945A3">
        <w:rPr>
          <w:i/>
          <w:szCs w:val="22"/>
        </w:rPr>
        <w:t>Services</w:t>
      </w:r>
      <w:r w:rsidR="004463E4" w:rsidRPr="004463E4">
        <w:rPr>
          <w:i/>
          <w:szCs w:val="22"/>
        </w:rPr>
        <w:t xml:space="preserve">) </w:t>
      </w:r>
      <w:r w:rsidR="00CB22E6" w:rsidRPr="004463E4">
        <w:rPr>
          <w:i/>
          <w:szCs w:val="22"/>
        </w:rPr>
        <w:t xml:space="preserve">Amendment </w:t>
      </w:r>
      <w:r w:rsidR="004463E4" w:rsidRPr="004463E4">
        <w:rPr>
          <w:i/>
          <w:szCs w:val="22"/>
        </w:rPr>
        <w:t>Instrument 2023</w:t>
      </w:r>
      <w:r w:rsidR="004463E4">
        <w:rPr>
          <w:szCs w:val="22"/>
        </w:rPr>
        <w:t>.</w:t>
      </w:r>
    </w:p>
    <w:p w14:paraId="7B55EA09" w14:textId="1A1D68A6" w:rsidR="00920058" w:rsidRPr="003422B4" w:rsidRDefault="005E317F" w:rsidP="00272CE3">
      <w:pPr>
        <w:pStyle w:val="ActHead5"/>
      </w:pPr>
      <w:bookmarkStart w:id="4" w:name="_Toc144900516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2C2EAB26" w14:textId="77777777" w:rsidR="00920058" w:rsidRPr="003422B4" w:rsidRDefault="00920058" w:rsidP="00920058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5689511" w14:textId="77777777" w:rsidR="00920058" w:rsidRPr="003422B4" w:rsidRDefault="00920058" w:rsidP="0092005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20058" w:rsidRPr="003422B4" w14:paraId="65E238E9" w14:textId="77777777" w:rsidTr="00BE77B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82B72DB" w14:textId="77777777" w:rsidR="00920058" w:rsidRPr="003422B4" w:rsidRDefault="00920058" w:rsidP="00BE77B7">
            <w:pPr>
              <w:pStyle w:val="TableHeading"/>
            </w:pPr>
            <w:r w:rsidRPr="003422B4">
              <w:t>Commencement information</w:t>
            </w:r>
          </w:p>
        </w:tc>
      </w:tr>
      <w:tr w:rsidR="00920058" w:rsidRPr="003422B4" w14:paraId="7A1295DF" w14:textId="77777777" w:rsidTr="00BE77B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AE3E6D" w14:textId="77777777" w:rsidR="00920058" w:rsidRPr="003422B4" w:rsidRDefault="00920058" w:rsidP="00BE77B7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9DB822" w14:textId="77777777" w:rsidR="00920058" w:rsidRPr="003422B4" w:rsidRDefault="00920058" w:rsidP="00BE77B7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ADD6B3" w14:textId="77777777" w:rsidR="00920058" w:rsidRPr="003422B4" w:rsidRDefault="00920058" w:rsidP="00BE77B7">
            <w:pPr>
              <w:pStyle w:val="TableHeading"/>
            </w:pPr>
            <w:r w:rsidRPr="003422B4">
              <w:t>Column 3</w:t>
            </w:r>
          </w:p>
        </w:tc>
      </w:tr>
      <w:tr w:rsidR="00920058" w:rsidRPr="003422B4" w14:paraId="1B527FD7" w14:textId="77777777" w:rsidTr="00BE77B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0C8E2A" w14:textId="77777777" w:rsidR="00920058" w:rsidRPr="003422B4" w:rsidRDefault="00920058" w:rsidP="00BE77B7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B6A85E" w14:textId="77777777" w:rsidR="00920058" w:rsidRPr="003422B4" w:rsidRDefault="00920058" w:rsidP="00BE77B7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65E015" w14:textId="77777777" w:rsidR="00920058" w:rsidRPr="003422B4" w:rsidRDefault="00920058" w:rsidP="00BE77B7">
            <w:pPr>
              <w:pStyle w:val="TableHeading"/>
            </w:pPr>
            <w:r w:rsidRPr="003422B4">
              <w:t>Date/Details</w:t>
            </w:r>
          </w:p>
        </w:tc>
      </w:tr>
      <w:tr w:rsidR="00920058" w:rsidRPr="00F32CF4" w14:paraId="30B54747" w14:textId="77777777" w:rsidTr="00BE77B7">
        <w:trPr>
          <w:tblHeader/>
        </w:trPr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6FF1879" w14:textId="77777777" w:rsidR="00920058" w:rsidRPr="003422B4" w:rsidRDefault="00920058" w:rsidP="00BE77B7">
            <w:pPr>
              <w:pStyle w:val="Tabletext"/>
              <w:spacing w:after="60"/>
            </w:pPr>
            <w:r w:rsidRPr="003422B4">
              <w:t xml:space="preserve">1.  </w:t>
            </w:r>
            <w:r>
              <w:t>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35AAABB" w14:textId="1F9953EC" w:rsidR="00920058" w:rsidRPr="003422B4" w:rsidRDefault="000D649E" w:rsidP="00BE77B7">
            <w:pPr>
              <w:pStyle w:val="Tabletext"/>
              <w:spacing w:after="60"/>
            </w:pPr>
            <w:r>
              <w:t>The day after registration.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8549A6F" w14:textId="77777777" w:rsidR="00920058" w:rsidRPr="003422B4" w:rsidRDefault="00920058" w:rsidP="00BE77B7">
            <w:pPr>
              <w:pStyle w:val="Tabletext"/>
              <w:spacing w:after="60"/>
            </w:pPr>
          </w:p>
        </w:tc>
      </w:tr>
      <w:tr w:rsidR="00920058" w:rsidRPr="003422B4" w14:paraId="3DF1848E" w14:textId="77777777" w:rsidTr="00B5500F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7C360D" w14:textId="77777777" w:rsidR="00920058" w:rsidRPr="003A6229" w:rsidRDefault="00920058" w:rsidP="00BE77B7">
            <w:pPr>
              <w:pStyle w:val="Tabletext"/>
              <w:spacing w:after="60"/>
              <w:rPr>
                <w:i/>
              </w:rPr>
            </w:pPr>
            <w:r>
              <w:t>2</w:t>
            </w:r>
            <w:r w:rsidRPr="003422B4">
              <w:t xml:space="preserve">.  </w:t>
            </w:r>
            <w:r w:rsidRPr="00E76157">
              <w:t>Schedule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326098" w14:textId="39529218" w:rsidR="00920058" w:rsidRPr="00113481" w:rsidRDefault="00B13023" w:rsidP="00BE77B7">
            <w:pPr>
              <w:pStyle w:val="Tabletext"/>
              <w:spacing w:after="60"/>
            </w:pPr>
            <w:r>
              <w:t xml:space="preserve">29 </w:t>
            </w:r>
            <w:r w:rsidR="00B5500F">
              <w:t>September 2023</w:t>
            </w:r>
            <w:r w:rsidR="000D649E">
              <w:t>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09930" w14:textId="77777777" w:rsidR="00920058" w:rsidRPr="00B43C50" w:rsidRDefault="00920058" w:rsidP="00BE77B7">
            <w:pPr>
              <w:pStyle w:val="Tabletext"/>
              <w:spacing w:after="60"/>
              <w:rPr>
                <w:i/>
              </w:rPr>
            </w:pPr>
          </w:p>
        </w:tc>
      </w:tr>
      <w:tr w:rsidR="00B5500F" w:rsidRPr="003422B4" w14:paraId="4F6ED0C7" w14:textId="77777777" w:rsidTr="00B5500F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24D46" w14:textId="12B70F9B" w:rsidR="00B5500F" w:rsidRDefault="00B5500F" w:rsidP="00BE77B7">
            <w:pPr>
              <w:pStyle w:val="Tabletext"/>
              <w:spacing w:after="60"/>
            </w:pPr>
            <w:r>
              <w:t>3.  Schedule 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B65B2" w14:textId="2FBB6269" w:rsidR="00B5500F" w:rsidRDefault="00B13023" w:rsidP="00BE77B7">
            <w:pPr>
              <w:pStyle w:val="Tabletext"/>
              <w:spacing w:after="60"/>
            </w:pPr>
            <w:r>
              <w:t xml:space="preserve">29 </w:t>
            </w:r>
            <w:r w:rsidR="00B5500F">
              <w:t>September 2023</w:t>
            </w:r>
            <w:r w:rsidR="00853B3E">
              <w:t>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953BF" w14:textId="77777777" w:rsidR="00B5500F" w:rsidRPr="00B43C50" w:rsidRDefault="00B5500F" w:rsidP="00BE77B7">
            <w:pPr>
              <w:pStyle w:val="Tabletext"/>
              <w:spacing w:after="60"/>
              <w:rPr>
                <w:i/>
              </w:rPr>
            </w:pPr>
          </w:p>
        </w:tc>
      </w:tr>
      <w:tr w:rsidR="00B5500F" w:rsidRPr="003422B4" w14:paraId="10BBCFE5" w14:textId="77777777" w:rsidTr="00BE77B7"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0FE2D2" w14:textId="0C37D08A" w:rsidR="00B5500F" w:rsidRDefault="00B5500F" w:rsidP="00BE77B7">
            <w:pPr>
              <w:pStyle w:val="Tabletext"/>
              <w:spacing w:after="60"/>
            </w:pPr>
            <w:r>
              <w:t>4.  Schedule 3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F7D4B29" w14:textId="42BB18C2" w:rsidR="00B5500F" w:rsidRDefault="00B13023" w:rsidP="00BE77B7">
            <w:pPr>
              <w:pStyle w:val="Tabletext"/>
              <w:spacing w:after="60"/>
            </w:pPr>
            <w:r>
              <w:t xml:space="preserve">29 </w:t>
            </w:r>
            <w:r w:rsidR="00B5500F">
              <w:t>September 2024</w:t>
            </w:r>
            <w:r w:rsidR="00853B3E">
              <w:t>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4B93890" w14:textId="77777777" w:rsidR="00B5500F" w:rsidRPr="00B43C50" w:rsidRDefault="00B5500F" w:rsidP="00BE77B7">
            <w:pPr>
              <w:pStyle w:val="Tabletext"/>
              <w:spacing w:after="60"/>
              <w:rPr>
                <w:i/>
              </w:rPr>
            </w:pPr>
          </w:p>
        </w:tc>
      </w:tr>
    </w:tbl>
    <w:p w14:paraId="75770550" w14:textId="77777777" w:rsidR="00920058" w:rsidRPr="003422B4" w:rsidRDefault="00920058" w:rsidP="00920058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213C412" w14:textId="77777777" w:rsidR="00920058" w:rsidRPr="003422B4" w:rsidRDefault="00920058" w:rsidP="00920058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5CFD8A2" w14:textId="77777777" w:rsidR="005E317F" w:rsidRPr="009C2562" w:rsidRDefault="005E317F" w:rsidP="005E317F">
      <w:pPr>
        <w:pStyle w:val="ActHead5"/>
      </w:pPr>
      <w:bookmarkStart w:id="5" w:name="_Toc144900517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61B67DB7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596AD9" w:rsidRPr="009C2562">
        <w:t xml:space="preserve">This instrument is made under </w:t>
      </w:r>
      <w:r w:rsidR="00596AD9">
        <w:t xml:space="preserve">section 229 of the </w:t>
      </w:r>
      <w:r w:rsidR="00596AD9" w:rsidRPr="00F64003">
        <w:rPr>
          <w:i/>
        </w:rPr>
        <w:t>Anti-Money Laundering and Counter-Terrorism Financing Act 2006</w:t>
      </w:r>
      <w:r w:rsidR="00596AD9" w:rsidRPr="009C2562">
        <w:t>.</w:t>
      </w:r>
    </w:p>
    <w:p w14:paraId="3101BE88" w14:textId="77777777" w:rsidR="005E317F" w:rsidRPr="006065DA" w:rsidRDefault="005E317F" w:rsidP="005E317F">
      <w:pPr>
        <w:pStyle w:val="ActHead5"/>
      </w:pPr>
      <w:bookmarkStart w:id="6" w:name="_Toc144900518"/>
      <w:r w:rsidRPr="006065DA">
        <w:t>4  Schedules</w:t>
      </w:r>
      <w:bookmarkEnd w:id="6"/>
    </w:p>
    <w:p w14:paraId="2AF7343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89AB60F" w14:textId="77777777" w:rsidR="005E317F" w:rsidRDefault="005E317F" w:rsidP="005E317F">
      <w:pPr>
        <w:pStyle w:val="ActHead6"/>
        <w:pageBreakBefore/>
      </w:pPr>
      <w:bookmarkStart w:id="7" w:name="_Toc144900519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1247515E" w14:textId="77777777" w:rsidR="005E317F" w:rsidRDefault="003B0342" w:rsidP="003B0342">
      <w:pPr>
        <w:pStyle w:val="ActHead9"/>
        <w:ind w:left="0" w:firstLine="0"/>
      </w:pPr>
      <w:bookmarkStart w:id="8" w:name="_Toc144900520"/>
      <w:r>
        <w:t>Anti-Money Laundering and Counter-Terrorism Financing Rules Instrument 2007 (No. 1)</w:t>
      </w:r>
      <w:bookmarkEnd w:id="8"/>
    </w:p>
    <w:p w14:paraId="5509368C" w14:textId="27AC955A" w:rsidR="005E317F" w:rsidRDefault="005E317F" w:rsidP="005E317F">
      <w:pPr>
        <w:pStyle w:val="ItemHead"/>
      </w:pPr>
      <w:r>
        <w:t xml:space="preserve">1  </w:t>
      </w:r>
      <w:r w:rsidR="003B0342">
        <w:t xml:space="preserve">Chapter </w:t>
      </w:r>
      <w:r w:rsidR="00703986">
        <w:t>82</w:t>
      </w:r>
    </w:p>
    <w:p w14:paraId="6F7F6699" w14:textId="5F1D266C" w:rsidR="008E687F" w:rsidRPr="00E719E3" w:rsidRDefault="008E687F" w:rsidP="008E687F">
      <w:pPr>
        <w:spacing w:before="120" w:after="120" w:line="276" w:lineRule="auto"/>
        <w:ind w:left="720" w:hanging="11"/>
        <w:rPr>
          <w:rFonts w:eastAsia="Times New Roman" w:cs="Times New Roman"/>
          <w:sz w:val="24"/>
          <w:szCs w:val="22"/>
        </w:rPr>
      </w:pPr>
      <w:r w:rsidRPr="00E719E3">
        <w:rPr>
          <w:rFonts w:eastAsia="Times New Roman" w:cs="Times New Roman"/>
          <w:sz w:val="24"/>
          <w:szCs w:val="22"/>
        </w:rPr>
        <w:t xml:space="preserve">After </w:t>
      </w:r>
      <w:r w:rsidR="00C65EDB">
        <w:rPr>
          <w:rFonts w:eastAsia="Times New Roman" w:cs="Times New Roman"/>
          <w:sz w:val="24"/>
          <w:szCs w:val="22"/>
        </w:rPr>
        <w:t xml:space="preserve">Chapter </w:t>
      </w:r>
      <w:r w:rsidR="00703986">
        <w:rPr>
          <w:rFonts w:eastAsia="Times New Roman" w:cs="Times New Roman"/>
          <w:sz w:val="24"/>
          <w:szCs w:val="22"/>
        </w:rPr>
        <w:t>81</w:t>
      </w:r>
      <w:r w:rsidRPr="00E719E3">
        <w:rPr>
          <w:rFonts w:eastAsia="Times New Roman" w:cs="Times New Roman"/>
          <w:sz w:val="24"/>
          <w:szCs w:val="22"/>
        </w:rPr>
        <w:t xml:space="preserve">: </w:t>
      </w:r>
      <w:r w:rsidRPr="00E719E3">
        <w:rPr>
          <w:rFonts w:eastAsia="Times New Roman" w:cs="Times New Roman"/>
          <w:i/>
          <w:sz w:val="24"/>
          <w:szCs w:val="22"/>
        </w:rPr>
        <w:t>insert:</w:t>
      </w:r>
    </w:p>
    <w:p w14:paraId="4A9E397E" w14:textId="06817C3F" w:rsidR="00C65EDB" w:rsidRPr="00477418" w:rsidRDefault="00C65EDB" w:rsidP="00C65EDB">
      <w:pPr>
        <w:pStyle w:val="HP"/>
        <w:pageBreakBefore/>
        <w:rPr>
          <w:rStyle w:val="CharPartNo"/>
          <w:sz w:val="28"/>
        </w:rPr>
      </w:pPr>
      <w:bookmarkStart w:id="9" w:name="_Toc6934426"/>
      <w:r w:rsidRPr="00477418">
        <w:rPr>
          <w:rStyle w:val="CharPartNo"/>
          <w:sz w:val="28"/>
        </w:rPr>
        <w:lastRenderedPageBreak/>
        <w:t xml:space="preserve">CHAPTER </w:t>
      </w:r>
      <w:r w:rsidR="00B5500F">
        <w:rPr>
          <w:rStyle w:val="CharPartNo"/>
          <w:sz w:val="28"/>
        </w:rPr>
        <w:t>82</w:t>
      </w:r>
      <w:r w:rsidRPr="00477418">
        <w:rPr>
          <w:rStyle w:val="CharPartNo"/>
          <w:sz w:val="28"/>
        </w:rPr>
        <w:tab/>
      </w:r>
      <w:r w:rsidRPr="00477418">
        <w:rPr>
          <w:rStyle w:val="CharPartText"/>
          <w:sz w:val="28"/>
        </w:rPr>
        <w:t>Applicable customer identification procedure</w:t>
      </w:r>
      <w:bookmarkEnd w:id="9"/>
      <w:r w:rsidRPr="00477418">
        <w:rPr>
          <w:rStyle w:val="CharPartNo"/>
          <w:rFonts w:cs="Arial"/>
          <w:sz w:val="28"/>
        </w:rPr>
        <w:t>—</w:t>
      </w:r>
      <w:r w:rsidRPr="00477418">
        <w:rPr>
          <w:rStyle w:val="CharPartNo"/>
          <w:sz w:val="28"/>
        </w:rPr>
        <w:t>special circumstances</w:t>
      </w:r>
      <w:r w:rsidRPr="00477418">
        <w:rPr>
          <w:rStyle w:val="CharPartNo"/>
          <w:rFonts w:cs="Arial"/>
          <w:sz w:val="28"/>
        </w:rPr>
        <w:t>—</w:t>
      </w:r>
      <w:r w:rsidR="00F81AF8">
        <w:rPr>
          <w:rStyle w:val="CharPartNo"/>
          <w:rFonts w:cs="Arial"/>
          <w:sz w:val="28"/>
        </w:rPr>
        <w:t xml:space="preserve">online gambling </w:t>
      </w:r>
      <w:r>
        <w:rPr>
          <w:rStyle w:val="CharPartNo"/>
          <w:sz w:val="28"/>
        </w:rPr>
        <w:t xml:space="preserve">account opening </w:t>
      </w:r>
    </w:p>
    <w:p w14:paraId="331078C8" w14:textId="374978C2" w:rsidR="00C65EDB" w:rsidRPr="00574481" w:rsidRDefault="00F81AF8" w:rsidP="00C65EDB">
      <w:pPr>
        <w:pStyle w:val="Default"/>
        <w:spacing w:before="240"/>
        <w:ind w:left="720" w:hanging="720"/>
        <w:rPr>
          <w:iCs/>
          <w:color w:val="auto"/>
        </w:rPr>
      </w:pPr>
      <w:r>
        <w:rPr>
          <w:color w:val="auto"/>
        </w:rPr>
        <w:t>82</w:t>
      </w:r>
      <w:r w:rsidR="00C65EDB" w:rsidRPr="00574481">
        <w:rPr>
          <w:color w:val="auto"/>
        </w:rPr>
        <w:t>.1</w:t>
      </w:r>
      <w:r w:rsidR="00C65EDB" w:rsidRPr="00477418">
        <w:rPr>
          <w:color w:val="auto"/>
          <w:sz w:val="22"/>
        </w:rPr>
        <w:tab/>
      </w:r>
      <w:r w:rsidR="00C65EDB" w:rsidRPr="00574481">
        <w:rPr>
          <w:color w:val="auto"/>
        </w:rPr>
        <w:t xml:space="preserve">These Anti-Money Laundering and Counter-Terrorism Financing Rules are made under section 229 for the purposes of paragraphs 33(a) and 33(b) and subparagraph 34(1)(d)(i) of the </w:t>
      </w:r>
      <w:r w:rsidR="00C65EDB" w:rsidRPr="00574481">
        <w:rPr>
          <w:i/>
          <w:color w:val="auto"/>
        </w:rPr>
        <w:t>Anti-Money Laundering and Counter</w:t>
      </w:r>
      <w:r w:rsidR="00A12DE6">
        <w:rPr>
          <w:i/>
          <w:color w:val="auto"/>
        </w:rPr>
        <w:t>-</w:t>
      </w:r>
      <w:r w:rsidR="00C65EDB" w:rsidRPr="00574481">
        <w:rPr>
          <w:i/>
          <w:color w:val="auto"/>
        </w:rPr>
        <w:t xml:space="preserve"> Terrorism Financing Act</w:t>
      </w:r>
      <w:r w:rsidR="00C65EDB" w:rsidRPr="00574481">
        <w:rPr>
          <w:iCs/>
          <w:color w:val="auto"/>
        </w:rPr>
        <w:t xml:space="preserve"> </w:t>
      </w:r>
      <w:r w:rsidR="00C65EDB" w:rsidRPr="00574481">
        <w:rPr>
          <w:i/>
          <w:iCs/>
          <w:color w:val="auto"/>
        </w:rPr>
        <w:t>2006</w:t>
      </w:r>
      <w:r w:rsidR="00C65EDB" w:rsidRPr="00574481">
        <w:rPr>
          <w:iCs/>
          <w:color w:val="auto"/>
        </w:rPr>
        <w:t>.</w:t>
      </w:r>
    </w:p>
    <w:p w14:paraId="19F65A9D" w14:textId="1ADD0DF3" w:rsidR="00C65EDB" w:rsidRDefault="00C65EDB" w:rsidP="00C65EDB">
      <w:pPr>
        <w:pStyle w:val="Default"/>
        <w:spacing w:before="240"/>
        <w:rPr>
          <w:i/>
          <w:iCs/>
          <w:color w:val="auto"/>
          <w:sz w:val="22"/>
        </w:rPr>
      </w:pPr>
      <w:r>
        <w:rPr>
          <w:i/>
          <w:iCs/>
          <w:color w:val="auto"/>
          <w:sz w:val="22"/>
        </w:rPr>
        <w:t>C</w:t>
      </w:r>
      <w:r w:rsidRPr="00930C73">
        <w:rPr>
          <w:i/>
          <w:iCs/>
          <w:color w:val="auto"/>
          <w:sz w:val="22"/>
        </w:rPr>
        <w:t xml:space="preserve">onditions for carrying out the applicable customer identification procedure after </w:t>
      </w:r>
      <w:r>
        <w:rPr>
          <w:i/>
          <w:iCs/>
          <w:color w:val="auto"/>
          <w:sz w:val="22"/>
        </w:rPr>
        <w:t>commencing to o</w:t>
      </w:r>
      <w:r w:rsidRPr="00D72C93">
        <w:rPr>
          <w:i/>
          <w:iCs/>
          <w:color w:val="auto"/>
          <w:sz w:val="22"/>
        </w:rPr>
        <w:t>pen an</w:t>
      </w:r>
      <w:r>
        <w:rPr>
          <w:i/>
          <w:iCs/>
          <w:color w:val="auto"/>
          <w:sz w:val="22"/>
        </w:rPr>
        <w:t xml:space="preserve"> </w:t>
      </w:r>
      <w:r w:rsidR="00B7300A">
        <w:rPr>
          <w:i/>
          <w:iCs/>
          <w:color w:val="auto"/>
          <w:sz w:val="22"/>
        </w:rPr>
        <w:t xml:space="preserve">online gambling </w:t>
      </w:r>
      <w:r>
        <w:rPr>
          <w:i/>
          <w:iCs/>
          <w:color w:val="auto"/>
          <w:sz w:val="22"/>
        </w:rPr>
        <w:t>account</w:t>
      </w:r>
      <w:r w:rsidRPr="00D72C93">
        <w:rPr>
          <w:i/>
          <w:iCs/>
          <w:color w:val="auto"/>
          <w:sz w:val="22"/>
        </w:rPr>
        <w:t xml:space="preserve"> </w:t>
      </w:r>
    </w:p>
    <w:p w14:paraId="157C6225" w14:textId="177BBBC9" w:rsidR="00442C56" w:rsidRDefault="00442C56" w:rsidP="00C65EDB">
      <w:pPr>
        <w:pStyle w:val="Default"/>
        <w:spacing w:before="240"/>
        <w:ind w:left="720" w:hanging="720"/>
        <w:rPr>
          <w:iCs/>
          <w:color w:val="auto"/>
        </w:rPr>
      </w:pPr>
      <w:r>
        <w:rPr>
          <w:iCs/>
          <w:color w:val="auto"/>
        </w:rPr>
        <w:t>82.2</w:t>
      </w:r>
      <w:r>
        <w:rPr>
          <w:iCs/>
          <w:color w:val="auto"/>
        </w:rPr>
        <w:tab/>
        <w:t>Online gambling services, subject to the conditions specified in paragraph 82.3, are specified for the purposes of paragraph 33(a) of the Act.</w:t>
      </w:r>
    </w:p>
    <w:p w14:paraId="1AFEF73A" w14:textId="65DC18ED" w:rsidR="00C65EDB" w:rsidRPr="00574481" w:rsidRDefault="00F81AF8" w:rsidP="00C65EDB">
      <w:pPr>
        <w:pStyle w:val="Default"/>
        <w:spacing w:before="240"/>
        <w:ind w:left="720" w:hanging="720"/>
        <w:rPr>
          <w:color w:val="auto"/>
        </w:rPr>
      </w:pPr>
      <w:r>
        <w:rPr>
          <w:iCs/>
          <w:color w:val="auto"/>
        </w:rPr>
        <w:t>82</w:t>
      </w:r>
      <w:r w:rsidR="00C65EDB" w:rsidRPr="00574481">
        <w:rPr>
          <w:iCs/>
          <w:color w:val="auto"/>
        </w:rPr>
        <w:t>.</w:t>
      </w:r>
      <w:r w:rsidR="00442C56">
        <w:rPr>
          <w:iCs/>
          <w:color w:val="auto"/>
        </w:rPr>
        <w:t>3</w:t>
      </w:r>
      <w:r w:rsidR="00C65EDB" w:rsidRPr="00574481">
        <w:rPr>
          <w:iCs/>
          <w:color w:val="auto"/>
        </w:rPr>
        <w:tab/>
        <w:t xml:space="preserve">A reporting entity </w:t>
      </w:r>
      <w:r w:rsidR="00C65EDB" w:rsidRPr="00574481">
        <w:rPr>
          <w:color w:val="auto"/>
        </w:rPr>
        <w:t xml:space="preserve">that </w:t>
      </w:r>
      <w:r w:rsidR="00C65EDB">
        <w:rPr>
          <w:color w:val="auto"/>
        </w:rPr>
        <w:t xml:space="preserve">commences to </w:t>
      </w:r>
      <w:r w:rsidR="00C65EDB" w:rsidRPr="00574481">
        <w:rPr>
          <w:color w:val="auto"/>
        </w:rPr>
        <w:t xml:space="preserve">provide </w:t>
      </w:r>
      <w:r w:rsidR="00C65EDB">
        <w:rPr>
          <w:color w:val="auto"/>
        </w:rPr>
        <w:t xml:space="preserve">to a customer </w:t>
      </w:r>
      <w:r w:rsidR="00C65EDB" w:rsidRPr="00574481">
        <w:rPr>
          <w:color w:val="auto"/>
        </w:rPr>
        <w:t>a designated service described in item 1</w:t>
      </w:r>
      <w:r>
        <w:rPr>
          <w:color w:val="auto"/>
        </w:rPr>
        <w:t>1</w:t>
      </w:r>
      <w:r w:rsidR="00C65EDB" w:rsidRPr="00574481">
        <w:rPr>
          <w:color w:val="auto"/>
        </w:rPr>
        <w:t xml:space="preserve"> of table </w:t>
      </w:r>
      <w:r>
        <w:rPr>
          <w:color w:val="auto"/>
        </w:rPr>
        <w:t>3</w:t>
      </w:r>
      <w:r w:rsidR="00C65EDB" w:rsidRPr="00574481">
        <w:rPr>
          <w:color w:val="auto"/>
        </w:rPr>
        <w:t xml:space="preserve"> in subsection 6(</w:t>
      </w:r>
      <w:r>
        <w:rPr>
          <w:color w:val="auto"/>
        </w:rPr>
        <w:t>4</w:t>
      </w:r>
      <w:r w:rsidR="00C65EDB" w:rsidRPr="00574481">
        <w:rPr>
          <w:color w:val="auto"/>
        </w:rPr>
        <w:t xml:space="preserve">) of the Act, may carry out the applicable customer identification procedure </w:t>
      </w:r>
      <w:r w:rsidR="00C65EDB">
        <w:rPr>
          <w:color w:val="auto"/>
        </w:rPr>
        <w:t>(</w:t>
      </w:r>
      <w:r w:rsidR="00C65EDB" w:rsidRPr="002A3222">
        <w:rPr>
          <w:b/>
          <w:color w:val="auto"/>
        </w:rPr>
        <w:t>ACIP</w:t>
      </w:r>
      <w:r w:rsidR="00C65EDB">
        <w:rPr>
          <w:color w:val="auto"/>
        </w:rPr>
        <w:t xml:space="preserve">) </w:t>
      </w:r>
      <w:r w:rsidR="00C65EDB" w:rsidRPr="00574481">
        <w:rPr>
          <w:color w:val="auto"/>
        </w:rPr>
        <w:t xml:space="preserve">in respect of </w:t>
      </w:r>
      <w:r w:rsidR="00C65EDB">
        <w:rPr>
          <w:color w:val="auto"/>
        </w:rPr>
        <w:t>the</w:t>
      </w:r>
      <w:r w:rsidR="00C65EDB" w:rsidRPr="00574481">
        <w:rPr>
          <w:color w:val="auto"/>
        </w:rPr>
        <w:t xml:space="preserve"> customer (including any beneficial owner of the customer or any person purporting to act on behalf of the customer), after commencing to provide </w:t>
      </w:r>
      <w:r w:rsidR="00C65EDB">
        <w:rPr>
          <w:color w:val="auto"/>
        </w:rPr>
        <w:t>the</w:t>
      </w:r>
      <w:r w:rsidR="00C65EDB" w:rsidRPr="00574481">
        <w:rPr>
          <w:color w:val="auto"/>
        </w:rPr>
        <w:t xml:space="preserve"> designated service if</w:t>
      </w:r>
      <w:r w:rsidR="00B15B19">
        <w:rPr>
          <w:color w:val="auto"/>
        </w:rPr>
        <w:t xml:space="preserve"> it</w:t>
      </w:r>
      <w:r w:rsidR="00C65EDB" w:rsidRPr="00574481">
        <w:rPr>
          <w:color w:val="auto"/>
        </w:rPr>
        <w:t>:</w:t>
      </w:r>
    </w:p>
    <w:p w14:paraId="425F3CC5" w14:textId="0279F3AE" w:rsidR="00C65EDB" w:rsidRPr="00574481" w:rsidRDefault="00B15B19" w:rsidP="00C65EDB">
      <w:pPr>
        <w:pStyle w:val="Default"/>
        <w:spacing w:before="240"/>
        <w:ind w:left="1418" w:hanging="698"/>
      </w:pPr>
      <w:r>
        <w:rPr>
          <w:color w:val="auto"/>
        </w:rPr>
        <w:t>(1)</w:t>
      </w:r>
      <w:r>
        <w:rPr>
          <w:color w:val="auto"/>
        </w:rPr>
        <w:tab/>
      </w:r>
      <w:r w:rsidR="00C65EDB" w:rsidRPr="00574481">
        <w:rPr>
          <w:color w:val="auto"/>
        </w:rPr>
        <w:t xml:space="preserve">has determined on reasonable grounds that </w:t>
      </w:r>
      <w:r w:rsidR="00C65EDB" w:rsidRPr="00574481">
        <w:t>doing so is essential to avoid interrupting the ordinary course of its business; and</w:t>
      </w:r>
    </w:p>
    <w:p w14:paraId="5AAB1D18" w14:textId="3A3124D7" w:rsidR="00C65EDB" w:rsidRDefault="00C65EDB" w:rsidP="00C65EDB">
      <w:pPr>
        <w:pStyle w:val="Default"/>
        <w:spacing w:before="240"/>
        <w:ind w:left="1418" w:hanging="698"/>
        <w:rPr>
          <w:color w:val="auto"/>
        </w:rPr>
      </w:pPr>
      <w:r>
        <w:rPr>
          <w:color w:val="auto"/>
        </w:rPr>
        <w:t>(2)</w:t>
      </w:r>
      <w:r>
        <w:rPr>
          <w:color w:val="auto"/>
        </w:rPr>
        <w:tab/>
      </w:r>
      <w:r w:rsidRPr="00546D15">
        <w:rPr>
          <w:color w:val="auto"/>
        </w:rPr>
        <w:t xml:space="preserve">has determined </w:t>
      </w:r>
      <w:r>
        <w:rPr>
          <w:color w:val="auto"/>
        </w:rPr>
        <w:t xml:space="preserve">on reasonable grounds </w:t>
      </w:r>
      <w:r w:rsidRPr="00546D15">
        <w:rPr>
          <w:color w:val="auto"/>
        </w:rPr>
        <w:t xml:space="preserve">that any additional ML/TF risk arising from carrying out the ACIP after commencing to provide the designated service specified in paragraph </w:t>
      </w:r>
      <w:r w:rsidR="00F81AF8">
        <w:rPr>
          <w:color w:val="auto"/>
        </w:rPr>
        <w:t>82</w:t>
      </w:r>
      <w:r w:rsidRPr="00546D15">
        <w:rPr>
          <w:color w:val="auto"/>
        </w:rPr>
        <w:t>.</w:t>
      </w:r>
      <w:r w:rsidR="00442C56">
        <w:rPr>
          <w:color w:val="auto"/>
        </w:rPr>
        <w:t>3</w:t>
      </w:r>
      <w:r w:rsidRPr="00546D15">
        <w:rPr>
          <w:color w:val="auto"/>
        </w:rPr>
        <w:t xml:space="preserve"> is low</w:t>
      </w:r>
      <w:r>
        <w:rPr>
          <w:color w:val="auto"/>
        </w:rPr>
        <w:t>;</w:t>
      </w:r>
      <w:r w:rsidRPr="002A3222">
        <w:rPr>
          <w:color w:val="auto"/>
        </w:rPr>
        <w:t xml:space="preserve"> </w:t>
      </w:r>
      <w:r>
        <w:rPr>
          <w:color w:val="auto"/>
        </w:rPr>
        <w:t>and</w:t>
      </w:r>
    </w:p>
    <w:p w14:paraId="7187FF27" w14:textId="77777777" w:rsidR="00C65EDB" w:rsidRPr="00574481" w:rsidRDefault="00C65EDB" w:rsidP="00C65EDB">
      <w:pPr>
        <w:pStyle w:val="Default"/>
        <w:spacing w:before="240"/>
        <w:ind w:left="1418" w:hanging="698"/>
        <w:rPr>
          <w:color w:val="auto"/>
        </w:rPr>
      </w:pPr>
      <w:r w:rsidRPr="00574481">
        <w:rPr>
          <w:color w:val="auto"/>
        </w:rPr>
        <w:t>(</w:t>
      </w:r>
      <w:r>
        <w:rPr>
          <w:color w:val="auto"/>
        </w:rPr>
        <w:t>3</w:t>
      </w:r>
      <w:r w:rsidRPr="00574481">
        <w:rPr>
          <w:color w:val="auto"/>
        </w:rPr>
        <w:t>)</w:t>
      </w:r>
      <w:r w:rsidRPr="00574481">
        <w:rPr>
          <w:color w:val="auto"/>
        </w:rPr>
        <w:tab/>
        <w:t>has implemented appropriate risk-based systems and controls to effectively manage the associated ML/TF risks; and</w:t>
      </w:r>
    </w:p>
    <w:p w14:paraId="0954686B" w14:textId="77777777" w:rsidR="00C65EDB" w:rsidRPr="00574481" w:rsidRDefault="00C65EDB" w:rsidP="00C65EDB">
      <w:pPr>
        <w:pStyle w:val="Default"/>
        <w:spacing w:before="240"/>
        <w:ind w:left="1418" w:hanging="698"/>
        <w:rPr>
          <w:color w:val="auto"/>
        </w:rPr>
      </w:pPr>
      <w:r w:rsidRPr="00574481">
        <w:rPr>
          <w:color w:val="auto"/>
        </w:rPr>
        <w:t>(</w:t>
      </w:r>
      <w:r>
        <w:rPr>
          <w:color w:val="auto"/>
        </w:rPr>
        <w:t>4</w:t>
      </w:r>
      <w:r w:rsidRPr="00574481">
        <w:rPr>
          <w:color w:val="auto"/>
        </w:rPr>
        <w:t>)</w:t>
      </w:r>
      <w:r w:rsidRPr="00574481">
        <w:rPr>
          <w:color w:val="auto"/>
        </w:rPr>
        <w:tab/>
        <w:t xml:space="preserve">has systems and controls in place to ensure it carries out the </w:t>
      </w:r>
      <w:r>
        <w:rPr>
          <w:color w:val="auto"/>
        </w:rPr>
        <w:t>ACIP</w:t>
      </w:r>
      <w:r w:rsidRPr="00574481">
        <w:rPr>
          <w:color w:val="auto"/>
        </w:rPr>
        <w:t xml:space="preserve"> as soon as practicable; and</w:t>
      </w:r>
    </w:p>
    <w:p w14:paraId="06367E0F" w14:textId="686E1335" w:rsidR="00F81AF8" w:rsidRDefault="00C65EDB" w:rsidP="00F81AF8">
      <w:pPr>
        <w:pStyle w:val="Default"/>
        <w:spacing w:before="240"/>
        <w:ind w:left="1418" w:hanging="698"/>
        <w:rPr>
          <w:color w:val="auto"/>
        </w:rPr>
      </w:pPr>
      <w:r w:rsidRPr="00574481">
        <w:rPr>
          <w:color w:val="auto"/>
        </w:rPr>
        <w:t>(</w:t>
      </w:r>
      <w:r>
        <w:rPr>
          <w:color w:val="auto"/>
        </w:rPr>
        <w:t>5</w:t>
      </w:r>
      <w:r w:rsidRPr="00574481">
        <w:rPr>
          <w:color w:val="auto"/>
        </w:rPr>
        <w:t>)</w:t>
      </w:r>
      <w:r w:rsidRPr="00574481">
        <w:rPr>
          <w:color w:val="auto"/>
        </w:rPr>
        <w:tab/>
        <w:t>does not commence to provide to the customer a</w:t>
      </w:r>
      <w:r>
        <w:rPr>
          <w:color w:val="auto"/>
        </w:rPr>
        <w:t>nother</w:t>
      </w:r>
      <w:r w:rsidRPr="00574481">
        <w:rPr>
          <w:color w:val="auto"/>
        </w:rPr>
        <w:t xml:space="preserve"> designated service</w:t>
      </w:r>
      <w:r w:rsidR="00F81AF8">
        <w:rPr>
          <w:color w:val="auto"/>
        </w:rPr>
        <w:t>.</w:t>
      </w:r>
    </w:p>
    <w:p w14:paraId="38F40862" w14:textId="2324069A" w:rsidR="00226A44" w:rsidRDefault="00F81AF8" w:rsidP="00C65EDB">
      <w:pPr>
        <w:pStyle w:val="Default"/>
        <w:spacing w:before="240"/>
        <w:ind w:left="720" w:hanging="720"/>
        <w:rPr>
          <w:color w:val="auto"/>
        </w:rPr>
      </w:pPr>
      <w:r>
        <w:rPr>
          <w:color w:val="auto"/>
        </w:rPr>
        <w:t>82</w:t>
      </w:r>
      <w:r w:rsidR="00C65EDB" w:rsidRPr="00574481">
        <w:rPr>
          <w:color w:val="auto"/>
        </w:rPr>
        <w:t>.</w:t>
      </w:r>
      <w:r w:rsidR="00CC1AEC">
        <w:rPr>
          <w:color w:val="auto"/>
        </w:rPr>
        <w:t>4</w:t>
      </w:r>
      <w:r w:rsidR="00C65EDB" w:rsidRPr="00574481">
        <w:rPr>
          <w:color w:val="auto"/>
        </w:rPr>
        <w:tab/>
        <w:t xml:space="preserve">For the purposes of subparagraph 34(1)(d)(i) of the Act, the relevant period ends </w:t>
      </w:r>
      <w:r w:rsidR="00BC7561">
        <w:rPr>
          <w:color w:val="auto"/>
        </w:rPr>
        <w:t>72 hours</w:t>
      </w:r>
      <w:r w:rsidR="00C65EDB" w:rsidRPr="00574481">
        <w:rPr>
          <w:color w:val="auto"/>
        </w:rPr>
        <w:t xml:space="preserve"> after the reporting entity </w:t>
      </w:r>
      <w:r w:rsidR="00C65EDB">
        <w:rPr>
          <w:color w:val="auto"/>
        </w:rPr>
        <w:t>commences to provide the designated service.</w:t>
      </w:r>
    </w:p>
    <w:p w14:paraId="730CBF19" w14:textId="77777777" w:rsidR="00226A44" w:rsidRDefault="00226A44">
      <w:pPr>
        <w:spacing w:line="240" w:lineRule="auto"/>
        <w:rPr>
          <w:rFonts w:eastAsia="Times New Roman" w:cs="Times New Roman"/>
          <w:sz w:val="24"/>
          <w:szCs w:val="24"/>
          <w:lang w:eastAsia="en-AU"/>
        </w:rPr>
      </w:pPr>
      <w:r>
        <w:br w:type="page"/>
      </w:r>
    </w:p>
    <w:p w14:paraId="4D56314F" w14:textId="0B7835CC" w:rsidR="00226A44" w:rsidRDefault="00226A44" w:rsidP="00226A44">
      <w:pPr>
        <w:pStyle w:val="ActHead6"/>
        <w:pageBreakBefore/>
      </w:pPr>
      <w:bookmarkStart w:id="10" w:name="_Toc144900521"/>
      <w:r w:rsidRPr="00DB64FC">
        <w:rPr>
          <w:rStyle w:val="CharAmSchNo"/>
        </w:rPr>
        <w:lastRenderedPageBreak/>
        <w:t>Schedule </w:t>
      </w:r>
      <w:r>
        <w:rPr>
          <w:rStyle w:val="CharAmSchNo"/>
        </w:rPr>
        <w:t>2</w:t>
      </w:r>
      <w:r>
        <w:t>—</w:t>
      </w:r>
      <w:r>
        <w:rPr>
          <w:rStyle w:val="CharAmSchText"/>
        </w:rPr>
        <w:t>Repeal</w:t>
      </w:r>
      <w:bookmarkEnd w:id="10"/>
    </w:p>
    <w:p w14:paraId="7EAE79F0" w14:textId="77777777" w:rsidR="00226A44" w:rsidRDefault="00226A44" w:rsidP="00226A44">
      <w:pPr>
        <w:pStyle w:val="ActHead9"/>
        <w:ind w:left="0" w:firstLine="0"/>
      </w:pPr>
      <w:bookmarkStart w:id="11" w:name="_Toc144900522"/>
      <w:r>
        <w:t>Anti-Money Laundering and Counter-Terrorism Financing Rules Instrument 2007 (No. 1)</w:t>
      </w:r>
      <w:bookmarkEnd w:id="11"/>
    </w:p>
    <w:p w14:paraId="508CE66A" w14:textId="77777777" w:rsidR="00512455" w:rsidRDefault="00512455" w:rsidP="00512455">
      <w:pPr>
        <w:pStyle w:val="HR"/>
        <w:ind w:left="567" w:hanging="567"/>
      </w:pPr>
      <w:r>
        <w:t>1</w:t>
      </w:r>
      <w:r>
        <w:tab/>
        <w:t>Part 10.4</w:t>
      </w:r>
    </w:p>
    <w:p w14:paraId="48705EF4" w14:textId="77777777" w:rsidR="00512455" w:rsidRDefault="00512455" w:rsidP="00512455">
      <w:pPr>
        <w:autoSpaceDE w:val="0"/>
        <w:autoSpaceDN w:val="0"/>
        <w:adjustRightInd w:val="0"/>
        <w:spacing w:before="240"/>
        <w:ind w:left="1134"/>
        <w:rPr>
          <w:szCs w:val="22"/>
        </w:rPr>
      </w:pPr>
      <w:r>
        <w:rPr>
          <w:sz w:val="24"/>
          <w:lang w:eastAsia="en-AU"/>
        </w:rPr>
        <w:t>Repeal the Part.</w:t>
      </w:r>
    </w:p>
    <w:p w14:paraId="4E46259F" w14:textId="33835627" w:rsidR="00226A44" w:rsidRDefault="00226A44" w:rsidP="00226A44">
      <w:pPr>
        <w:spacing w:before="120" w:after="120" w:line="276" w:lineRule="auto"/>
        <w:ind w:left="720" w:hanging="11"/>
        <w:rPr>
          <w:rFonts w:eastAsia="Times New Roman" w:cs="Times New Roman"/>
          <w:i/>
          <w:sz w:val="24"/>
          <w:szCs w:val="22"/>
        </w:rPr>
      </w:pPr>
    </w:p>
    <w:p w14:paraId="718D4C13" w14:textId="679FF559" w:rsidR="00E65E7A" w:rsidRDefault="00E65E7A" w:rsidP="00226A44">
      <w:pPr>
        <w:spacing w:before="120" w:after="120" w:line="276" w:lineRule="auto"/>
        <w:ind w:left="720" w:hanging="11"/>
        <w:rPr>
          <w:rFonts w:eastAsia="Times New Roman" w:cs="Times New Roman"/>
          <w:i/>
          <w:sz w:val="24"/>
          <w:szCs w:val="22"/>
        </w:rPr>
      </w:pPr>
    </w:p>
    <w:p w14:paraId="7E943F41" w14:textId="1C20EFA9" w:rsidR="00E65E7A" w:rsidRDefault="00E65E7A">
      <w:pPr>
        <w:spacing w:line="240" w:lineRule="auto"/>
        <w:rPr>
          <w:rFonts w:eastAsia="Times New Roman" w:cs="Times New Roman"/>
          <w:i/>
          <w:sz w:val="24"/>
          <w:szCs w:val="22"/>
        </w:rPr>
      </w:pPr>
      <w:r>
        <w:rPr>
          <w:rFonts w:eastAsia="Times New Roman" w:cs="Times New Roman"/>
          <w:i/>
          <w:sz w:val="24"/>
          <w:szCs w:val="22"/>
        </w:rPr>
        <w:br w:type="page"/>
      </w:r>
    </w:p>
    <w:p w14:paraId="67F19C9C" w14:textId="3735F0D6" w:rsidR="00E65E7A" w:rsidRDefault="00E65E7A" w:rsidP="00E65E7A">
      <w:pPr>
        <w:pStyle w:val="ActHead6"/>
        <w:pageBreakBefore/>
      </w:pPr>
      <w:bookmarkStart w:id="12" w:name="_Toc144900523"/>
      <w:r w:rsidRPr="00DB64FC">
        <w:rPr>
          <w:rStyle w:val="CharAmSchNo"/>
        </w:rPr>
        <w:lastRenderedPageBreak/>
        <w:t>Schedule </w:t>
      </w:r>
      <w:r>
        <w:rPr>
          <w:rStyle w:val="CharAmSchNo"/>
        </w:rPr>
        <w:t>3</w:t>
      </w:r>
      <w:r>
        <w:t>—</w:t>
      </w:r>
      <w:r>
        <w:rPr>
          <w:rStyle w:val="CharAmSchText"/>
        </w:rPr>
        <w:t>Repeal</w:t>
      </w:r>
      <w:bookmarkEnd w:id="12"/>
    </w:p>
    <w:p w14:paraId="3B11F4E6" w14:textId="77777777" w:rsidR="00E65E7A" w:rsidRDefault="00E65E7A" w:rsidP="00E65E7A">
      <w:pPr>
        <w:pStyle w:val="ActHead9"/>
        <w:ind w:left="0" w:firstLine="0"/>
      </w:pPr>
      <w:bookmarkStart w:id="13" w:name="_Toc144900524"/>
      <w:r>
        <w:t>Anti-Money Laundering and Counter-Terrorism Financing Rules Instrument 2007 (No. 1)</w:t>
      </w:r>
      <w:bookmarkEnd w:id="13"/>
    </w:p>
    <w:p w14:paraId="3AECE86F" w14:textId="77777777" w:rsidR="00E65E7A" w:rsidRDefault="00E65E7A" w:rsidP="00E65E7A">
      <w:pPr>
        <w:pStyle w:val="ItemHead"/>
      </w:pPr>
      <w:r>
        <w:t>1  Chapter 82</w:t>
      </w:r>
    </w:p>
    <w:p w14:paraId="12F255F4" w14:textId="61465E42" w:rsidR="00771916" w:rsidRDefault="00771916" w:rsidP="00771916">
      <w:pPr>
        <w:autoSpaceDE w:val="0"/>
        <w:autoSpaceDN w:val="0"/>
        <w:adjustRightInd w:val="0"/>
        <w:spacing w:before="240"/>
        <w:ind w:left="1134"/>
        <w:rPr>
          <w:szCs w:val="22"/>
        </w:rPr>
      </w:pPr>
      <w:r>
        <w:rPr>
          <w:sz w:val="24"/>
          <w:lang w:eastAsia="en-AU"/>
        </w:rPr>
        <w:t>Repeal the Chapter.</w:t>
      </w:r>
    </w:p>
    <w:p w14:paraId="2D9DABBD" w14:textId="03A686B1" w:rsidR="00E65E7A" w:rsidRPr="00E719E3" w:rsidRDefault="00E65E7A" w:rsidP="00E65E7A">
      <w:pPr>
        <w:spacing w:before="120" w:after="120" w:line="276" w:lineRule="auto"/>
        <w:ind w:left="720" w:hanging="11"/>
        <w:rPr>
          <w:rFonts w:eastAsia="Times New Roman" w:cs="Times New Roman"/>
          <w:sz w:val="24"/>
          <w:szCs w:val="22"/>
        </w:rPr>
      </w:pPr>
    </w:p>
    <w:p w14:paraId="3696EC4E" w14:textId="77777777" w:rsidR="00E65E7A" w:rsidRPr="00E719E3" w:rsidRDefault="00E65E7A" w:rsidP="00226A44">
      <w:pPr>
        <w:spacing w:before="120" w:after="120" w:line="276" w:lineRule="auto"/>
        <w:ind w:left="720" w:hanging="11"/>
        <w:rPr>
          <w:rFonts w:eastAsia="Times New Roman" w:cs="Times New Roman"/>
          <w:sz w:val="24"/>
          <w:szCs w:val="22"/>
        </w:rPr>
      </w:pPr>
    </w:p>
    <w:p w14:paraId="3BEBB4BD" w14:textId="77777777" w:rsidR="00C65EDB" w:rsidRPr="00574481" w:rsidRDefault="00C65EDB" w:rsidP="00C65EDB">
      <w:pPr>
        <w:pStyle w:val="Default"/>
        <w:spacing w:before="240"/>
        <w:ind w:left="720" w:hanging="720"/>
        <w:rPr>
          <w:color w:val="auto"/>
        </w:rPr>
      </w:pPr>
    </w:p>
    <w:p w14:paraId="04F25F3D" w14:textId="77777777" w:rsidR="00C65EDB" w:rsidRDefault="00C65EDB" w:rsidP="00C65EDB">
      <w:pPr>
        <w:spacing w:after="120" w:line="276" w:lineRule="auto"/>
        <w:rPr>
          <w:rFonts w:eastAsia="Times New Roman" w:cs="Times New Roman"/>
          <w:color w:val="000000"/>
          <w:sz w:val="20"/>
          <w:szCs w:val="24"/>
          <w:lang w:eastAsia="en-AU"/>
        </w:rPr>
      </w:pPr>
    </w:p>
    <w:p w14:paraId="5924907B" w14:textId="1F2A209D" w:rsidR="008E687F" w:rsidRDefault="008E687F" w:rsidP="008E687F">
      <w:pPr>
        <w:autoSpaceDE w:val="0"/>
        <w:autoSpaceDN w:val="0"/>
        <w:adjustRightInd w:val="0"/>
        <w:spacing w:before="120" w:after="120" w:line="276" w:lineRule="auto"/>
        <w:ind w:left="2160" w:hanging="720"/>
        <w:rPr>
          <w:rFonts w:eastAsia="Times New Roman" w:cs="Times New Roman"/>
          <w:sz w:val="24"/>
          <w:szCs w:val="22"/>
        </w:rPr>
      </w:pPr>
    </w:p>
    <w:sectPr w:rsidR="008E687F" w:rsidSect="00B2099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8A6F9" w14:textId="77777777" w:rsidR="00EC7DF8" w:rsidRDefault="00EC7DF8" w:rsidP="0048364F">
      <w:pPr>
        <w:spacing w:line="240" w:lineRule="auto"/>
      </w:pPr>
      <w:r>
        <w:separator/>
      </w:r>
    </w:p>
  </w:endnote>
  <w:endnote w:type="continuationSeparator" w:id="0">
    <w:p w14:paraId="4FE5EE63" w14:textId="77777777" w:rsidR="00EC7DF8" w:rsidRDefault="00EC7DF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E77B7" w14:paraId="126C0455" w14:textId="77777777" w:rsidTr="00BE77B7">
      <w:tc>
        <w:tcPr>
          <w:tcW w:w="5000" w:type="pct"/>
        </w:tcPr>
        <w:p w14:paraId="30E9BFB3" w14:textId="77777777" w:rsidR="00BE77B7" w:rsidRDefault="00BE77B7" w:rsidP="00BE77B7">
          <w:pPr>
            <w:rPr>
              <w:sz w:val="18"/>
            </w:rPr>
          </w:pPr>
        </w:p>
      </w:tc>
    </w:tr>
  </w:tbl>
  <w:p w14:paraId="54EEDD3C" w14:textId="77777777" w:rsidR="00BE77B7" w:rsidRPr="005F1388" w:rsidRDefault="00BE77B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E77B7" w14:paraId="62EE061D" w14:textId="77777777" w:rsidTr="00BE77B7">
      <w:tc>
        <w:tcPr>
          <w:tcW w:w="5000" w:type="pct"/>
        </w:tcPr>
        <w:p w14:paraId="1EC0BBB6" w14:textId="77777777" w:rsidR="00BE77B7" w:rsidRDefault="00BE77B7" w:rsidP="00BE77B7">
          <w:pPr>
            <w:rPr>
              <w:sz w:val="18"/>
            </w:rPr>
          </w:pPr>
        </w:p>
      </w:tc>
    </w:tr>
  </w:tbl>
  <w:p w14:paraId="606D6DEF" w14:textId="77777777" w:rsidR="00BE77B7" w:rsidRPr="006D3667" w:rsidRDefault="00BE77B7" w:rsidP="00BE77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EE2DC" w14:textId="77777777" w:rsidR="00BE77B7" w:rsidRDefault="00BE77B7" w:rsidP="00BE77B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E77B7" w14:paraId="0C5B4D95" w14:textId="77777777" w:rsidTr="00BE77B7">
      <w:tc>
        <w:tcPr>
          <w:tcW w:w="5000" w:type="pct"/>
        </w:tcPr>
        <w:p w14:paraId="06F1FBF3" w14:textId="77777777" w:rsidR="00BE77B7" w:rsidRDefault="00BE77B7" w:rsidP="00BE77B7">
          <w:pPr>
            <w:rPr>
              <w:sz w:val="18"/>
            </w:rPr>
          </w:pPr>
        </w:p>
      </w:tc>
    </w:tr>
  </w:tbl>
  <w:p w14:paraId="25BBF85D" w14:textId="77777777" w:rsidR="00BE77B7" w:rsidRPr="00486382" w:rsidRDefault="00BE77B7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7665" w14:textId="77777777" w:rsidR="00BE77B7" w:rsidRPr="00E33C1C" w:rsidRDefault="00BE77B7" w:rsidP="00BE77B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E77B7" w14:paraId="1C4A6CBD" w14:textId="77777777" w:rsidTr="00BE77B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64FC194" w14:textId="77777777" w:rsidR="00BE77B7" w:rsidRDefault="00BE77B7" w:rsidP="00BE77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C23025" w14:textId="597444F2" w:rsidR="00BE77B7" w:rsidRDefault="00BE77B7" w:rsidP="00BE77B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75DB0">
            <w:rPr>
              <w:i/>
              <w:noProof/>
              <w:sz w:val="18"/>
            </w:rPr>
            <w:t>Anti-Money Laundering and Counter-Terrorism Financing Rules Amendment Instrument 2021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0BDCC10" w14:textId="77777777" w:rsidR="00BE77B7" w:rsidRDefault="00BE77B7" w:rsidP="00BE77B7">
          <w:pPr>
            <w:spacing w:line="0" w:lineRule="atLeast"/>
            <w:jc w:val="right"/>
            <w:rPr>
              <w:sz w:val="18"/>
            </w:rPr>
          </w:pPr>
        </w:p>
      </w:tc>
    </w:tr>
    <w:tr w:rsidR="00BE77B7" w14:paraId="4D301D11" w14:textId="77777777" w:rsidTr="00BE77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E3A49DA" w14:textId="77777777" w:rsidR="00BE77B7" w:rsidRDefault="00BE77B7" w:rsidP="00BE77B7">
          <w:pPr>
            <w:jc w:val="right"/>
            <w:rPr>
              <w:sz w:val="18"/>
            </w:rPr>
          </w:pPr>
        </w:p>
      </w:tc>
    </w:tr>
  </w:tbl>
  <w:p w14:paraId="49D7EC2B" w14:textId="77777777" w:rsidR="00BE77B7" w:rsidRPr="00ED79B6" w:rsidRDefault="00BE77B7" w:rsidP="00BE77B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732B" w14:textId="77777777" w:rsidR="00BE77B7" w:rsidRPr="00E33C1C" w:rsidRDefault="00BE77B7" w:rsidP="00BE77B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E77B7" w14:paraId="6F6869F8" w14:textId="77777777" w:rsidTr="00BE77B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D181F0D" w14:textId="77777777" w:rsidR="00BE77B7" w:rsidRDefault="00BE77B7" w:rsidP="00BE77B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16BF4D1" w14:textId="2FD6F2F4" w:rsidR="00BE77B7" w:rsidRPr="00B20990" w:rsidRDefault="00BE77B7" w:rsidP="00BE77B7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834C5">
            <w:rPr>
              <w:i/>
              <w:noProof/>
              <w:sz w:val="18"/>
            </w:rPr>
            <w:t>Anti-Money Laundering and Counter-Terrorism Financing Rules (Online Gambling Services) Amendment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59BA727" w14:textId="1F317063" w:rsidR="00BE77B7" w:rsidRDefault="00BE77B7" w:rsidP="00BE77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34C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77B7" w14:paraId="4F839C9A" w14:textId="77777777" w:rsidTr="00BE77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3B63107" w14:textId="77777777" w:rsidR="00BE77B7" w:rsidRDefault="00BE77B7" w:rsidP="00BE77B7">
          <w:pPr>
            <w:rPr>
              <w:sz w:val="18"/>
            </w:rPr>
          </w:pPr>
        </w:p>
      </w:tc>
    </w:tr>
  </w:tbl>
  <w:p w14:paraId="071BAF98" w14:textId="77777777" w:rsidR="00BE77B7" w:rsidRPr="00ED79B6" w:rsidRDefault="00BE77B7" w:rsidP="00BE77B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EE2F" w14:textId="77777777" w:rsidR="00BE77B7" w:rsidRPr="00E33C1C" w:rsidRDefault="00BE77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E77B7" w14:paraId="2F7E02B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413D8A" w14:textId="14B1F6D8" w:rsidR="00BE77B7" w:rsidRDefault="00BE77B7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34C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E2C760" w14:textId="5793C6E7" w:rsidR="00BE77B7" w:rsidRDefault="00BE77B7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834C5">
            <w:rPr>
              <w:i/>
              <w:noProof/>
              <w:sz w:val="18"/>
            </w:rPr>
            <w:t>Anti-Money Laundering and Counter-Terrorism Financing Rules (Online Gambling Services) Amendment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078B77" w14:textId="77777777" w:rsidR="00BE77B7" w:rsidRDefault="00BE77B7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BE77B7" w14:paraId="1816845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39E518" w14:textId="77777777" w:rsidR="00BE77B7" w:rsidRDefault="00BE77B7" w:rsidP="00EE57E8">
          <w:pPr>
            <w:jc w:val="right"/>
            <w:rPr>
              <w:sz w:val="18"/>
            </w:rPr>
          </w:pPr>
        </w:p>
      </w:tc>
    </w:tr>
  </w:tbl>
  <w:p w14:paraId="32DECC8D" w14:textId="77777777" w:rsidR="00BE77B7" w:rsidRPr="00ED79B6" w:rsidRDefault="00BE77B7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80D7" w14:textId="77777777" w:rsidR="00BE77B7" w:rsidRPr="00E33C1C" w:rsidRDefault="00BE77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E77B7" w14:paraId="3A3C0C3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FF8E93" w14:textId="77777777" w:rsidR="00BE77B7" w:rsidRDefault="00BE77B7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0D6868" w14:textId="3973D242" w:rsidR="00BE77B7" w:rsidRDefault="00BE77B7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834C5">
            <w:rPr>
              <w:i/>
              <w:noProof/>
              <w:sz w:val="18"/>
            </w:rPr>
            <w:t>Anti-Money Laundering and Counter-Terrorism Financing Rules (Online Gambling Services) Amendment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6B30CD" w14:textId="1E59EFE5" w:rsidR="00BE77B7" w:rsidRDefault="00BE77B7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34C5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77B7" w14:paraId="02A6074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ACF7AA" w14:textId="77777777" w:rsidR="00BE77B7" w:rsidRDefault="00BE77B7" w:rsidP="00EE57E8">
          <w:pPr>
            <w:rPr>
              <w:sz w:val="18"/>
            </w:rPr>
          </w:pPr>
        </w:p>
      </w:tc>
    </w:tr>
  </w:tbl>
  <w:p w14:paraId="367121EE" w14:textId="77777777" w:rsidR="00BE77B7" w:rsidRPr="00ED79B6" w:rsidRDefault="00BE77B7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3441" w14:textId="77777777" w:rsidR="00BE77B7" w:rsidRPr="00E33C1C" w:rsidRDefault="00BE77B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E77B7" w14:paraId="15EF763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F6644D" w14:textId="77777777" w:rsidR="00BE77B7" w:rsidRDefault="00BE77B7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72AAC6" w14:textId="0E5A04C5" w:rsidR="00BE77B7" w:rsidRDefault="00BE77B7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5DB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0E4EBD" w14:textId="77777777" w:rsidR="00BE77B7" w:rsidRDefault="00BE77B7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77B7" w14:paraId="1A9EAD4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96CF62" w14:textId="135ECD3E" w:rsidR="00BE77B7" w:rsidRDefault="00BE77B7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75DB0">
            <w:rPr>
              <w:i/>
              <w:noProof/>
              <w:sz w:val="18"/>
            </w:rPr>
            <w:t>C:\Users\hdixon\AppData\Roaming\OpenText\OTEdit\EC_SAFE\c111922\AML_CTF Rules Amendment Instrument 2021 (No. 1) - AUSTRAC - 12943932.docx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834C5">
            <w:rPr>
              <w:i/>
              <w:noProof/>
              <w:sz w:val="18"/>
            </w:rPr>
            <w:t>25/9/2023 4:11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6B66D8" w14:textId="77777777" w:rsidR="00BE77B7" w:rsidRPr="00ED79B6" w:rsidRDefault="00BE77B7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115A3" w14:textId="77777777" w:rsidR="00EC7DF8" w:rsidRDefault="00EC7DF8" w:rsidP="0048364F">
      <w:pPr>
        <w:spacing w:line="240" w:lineRule="auto"/>
      </w:pPr>
      <w:r>
        <w:separator/>
      </w:r>
    </w:p>
  </w:footnote>
  <w:footnote w:type="continuationSeparator" w:id="0">
    <w:p w14:paraId="1BD2922C" w14:textId="77777777" w:rsidR="00EC7DF8" w:rsidRDefault="00EC7DF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4397E" w14:textId="5B511CBA" w:rsidR="00BE77B7" w:rsidRPr="005F1388" w:rsidRDefault="00BE77B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1731" w14:textId="51C80002" w:rsidR="00BE77B7" w:rsidRPr="005F1388" w:rsidRDefault="00BE77B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F676" w14:textId="0D99AB66" w:rsidR="00BE77B7" w:rsidRPr="005F1388" w:rsidRDefault="00BE77B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6F599" w14:textId="42220880" w:rsidR="00BE77B7" w:rsidRPr="00ED79B6" w:rsidRDefault="00BE77B7" w:rsidP="00BE77B7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9FA7" w14:textId="2EACF6A3" w:rsidR="00BE77B7" w:rsidRPr="00ED79B6" w:rsidRDefault="00BE77B7" w:rsidP="00BE77B7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0EDF" w14:textId="00B530E9" w:rsidR="00BE77B7" w:rsidRPr="00ED79B6" w:rsidRDefault="00BE77B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18B2D" w14:textId="5DC90736" w:rsidR="00BE77B7" w:rsidRPr="00A961C4" w:rsidRDefault="00BE77B7" w:rsidP="0048364F">
    <w:pPr>
      <w:rPr>
        <w:b/>
        <w:sz w:val="20"/>
      </w:rPr>
    </w:pPr>
  </w:p>
  <w:p w14:paraId="12B4FE04" w14:textId="77777777" w:rsidR="00BE77B7" w:rsidRPr="00A961C4" w:rsidRDefault="00BE77B7" w:rsidP="0048364F">
    <w:pPr>
      <w:rPr>
        <w:b/>
        <w:sz w:val="20"/>
      </w:rPr>
    </w:pPr>
  </w:p>
  <w:p w14:paraId="44818990" w14:textId="77777777" w:rsidR="00BE77B7" w:rsidRPr="00A961C4" w:rsidRDefault="00BE77B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AEB69" w14:textId="04267F9B" w:rsidR="00BE77B7" w:rsidRPr="00A961C4" w:rsidRDefault="00BE77B7" w:rsidP="0048364F">
    <w:pPr>
      <w:jc w:val="right"/>
      <w:rPr>
        <w:sz w:val="20"/>
      </w:rPr>
    </w:pPr>
  </w:p>
  <w:p w14:paraId="0D65E0E8" w14:textId="77777777" w:rsidR="00BE77B7" w:rsidRPr="00A961C4" w:rsidRDefault="00BE77B7" w:rsidP="0048364F">
    <w:pPr>
      <w:jc w:val="right"/>
      <w:rPr>
        <w:b/>
        <w:sz w:val="20"/>
      </w:rPr>
    </w:pPr>
  </w:p>
  <w:p w14:paraId="1871DBE1" w14:textId="77777777" w:rsidR="00BE77B7" w:rsidRPr="00A961C4" w:rsidRDefault="00BE77B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6FB9" w14:textId="3C7E8BE1" w:rsidR="00BE77B7" w:rsidRDefault="00BE7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73E93"/>
    <w:multiLevelType w:val="hybridMultilevel"/>
    <w:tmpl w:val="84BE0184"/>
    <w:lvl w:ilvl="0" w:tplc="0AA49F2A">
      <w:start w:val="1"/>
      <w:numFmt w:val="decimal"/>
      <w:lvlText w:val="(%1)"/>
      <w:lvlJc w:val="left"/>
      <w:pPr>
        <w:ind w:left="142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0018D1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14C8D"/>
    <w:multiLevelType w:val="hybridMultilevel"/>
    <w:tmpl w:val="93A4665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3B4CE9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0B73C51"/>
    <w:multiLevelType w:val="hybridMultilevel"/>
    <w:tmpl w:val="FE9C6C2E"/>
    <w:lvl w:ilvl="0" w:tplc="A320ADD2">
      <w:start w:val="1"/>
      <w:numFmt w:val="decimal"/>
      <w:lvlText w:val="(%1)"/>
      <w:lvlJc w:val="left"/>
      <w:pPr>
        <w:ind w:left="1208" w:hanging="360"/>
      </w:pPr>
      <w:rPr>
        <w:rFonts w:ascii="Times New Roman" w:eastAsia="Times New Roman" w:hAnsi="Times New Roman" w:cs="Times New Roman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28" w:hanging="360"/>
      </w:pPr>
    </w:lvl>
    <w:lvl w:ilvl="2" w:tplc="0C09001B" w:tentative="1">
      <w:start w:val="1"/>
      <w:numFmt w:val="lowerRoman"/>
      <w:lvlText w:val="%3."/>
      <w:lvlJc w:val="right"/>
      <w:pPr>
        <w:ind w:left="2648" w:hanging="180"/>
      </w:pPr>
    </w:lvl>
    <w:lvl w:ilvl="3" w:tplc="0C09000F" w:tentative="1">
      <w:start w:val="1"/>
      <w:numFmt w:val="decimal"/>
      <w:lvlText w:val="%4."/>
      <w:lvlJc w:val="left"/>
      <w:pPr>
        <w:ind w:left="3368" w:hanging="360"/>
      </w:pPr>
    </w:lvl>
    <w:lvl w:ilvl="4" w:tplc="0C090019" w:tentative="1">
      <w:start w:val="1"/>
      <w:numFmt w:val="lowerLetter"/>
      <w:lvlText w:val="%5."/>
      <w:lvlJc w:val="left"/>
      <w:pPr>
        <w:ind w:left="4088" w:hanging="360"/>
      </w:pPr>
    </w:lvl>
    <w:lvl w:ilvl="5" w:tplc="0C09001B" w:tentative="1">
      <w:start w:val="1"/>
      <w:numFmt w:val="lowerRoman"/>
      <w:lvlText w:val="%6."/>
      <w:lvlJc w:val="right"/>
      <w:pPr>
        <w:ind w:left="4808" w:hanging="180"/>
      </w:pPr>
    </w:lvl>
    <w:lvl w:ilvl="6" w:tplc="0C09000F" w:tentative="1">
      <w:start w:val="1"/>
      <w:numFmt w:val="decimal"/>
      <w:lvlText w:val="%7."/>
      <w:lvlJc w:val="left"/>
      <w:pPr>
        <w:ind w:left="5528" w:hanging="360"/>
      </w:pPr>
    </w:lvl>
    <w:lvl w:ilvl="7" w:tplc="0C090019" w:tentative="1">
      <w:start w:val="1"/>
      <w:numFmt w:val="lowerLetter"/>
      <w:lvlText w:val="%8."/>
      <w:lvlJc w:val="left"/>
      <w:pPr>
        <w:ind w:left="6248" w:hanging="360"/>
      </w:pPr>
    </w:lvl>
    <w:lvl w:ilvl="8" w:tplc="0C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7" w15:restartNumberingAfterBreak="0">
    <w:nsid w:val="2A1B159A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DA66DB9"/>
    <w:multiLevelType w:val="hybridMultilevel"/>
    <w:tmpl w:val="2B56CFD4"/>
    <w:lvl w:ilvl="0" w:tplc="61DCB42E">
      <w:start w:val="1"/>
      <w:numFmt w:val="lowerRoman"/>
      <w:lvlText w:val="(%1)"/>
      <w:lvlJc w:val="left"/>
      <w:pPr>
        <w:ind w:left="24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405B6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79B7255"/>
    <w:multiLevelType w:val="hybridMultilevel"/>
    <w:tmpl w:val="163EBC40"/>
    <w:lvl w:ilvl="0" w:tplc="B838ED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4B4C5BFD"/>
    <w:multiLevelType w:val="hybridMultilevel"/>
    <w:tmpl w:val="A55AF24C"/>
    <w:lvl w:ilvl="0" w:tplc="AFFE5322">
      <w:start w:val="1"/>
      <w:numFmt w:val="lowerLetter"/>
      <w:lvlText w:val="(%1)"/>
      <w:lvlJc w:val="left"/>
      <w:pPr>
        <w:ind w:left="1208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928" w:hanging="360"/>
      </w:pPr>
    </w:lvl>
    <w:lvl w:ilvl="2" w:tplc="0C09001B" w:tentative="1">
      <w:start w:val="1"/>
      <w:numFmt w:val="lowerRoman"/>
      <w:lvlText w:val="%3."/>
      <w:lvlJc w:val="right"/>
      <w:pPr>
        <w:ind w:left="2648" w:hanging="180"/>
      </w:pPr>
    </w:lvl>
    <w:lvl w:ilvl="3" w:tplc="0C09000F" w:tentative="1">
      <w:start w:val="1"/>
      <w:numFmt w:val="decimal"/>
      <w:lvlText w:val="%4."/>
      <w:lvlJc w:val="left"/>
      <w:pPr>
        <w:ind w:left="3368" w:hanging="360"/>
      </w:pPr>
    </w:lvl>
    <w:lvl w:ilvl="4" w:tplc="0C090019" w:tentative="1">
      <w:start w:val="1"/>
      <w:numFmt w:val="lowerLetter"/>
      <w:lvlText w:val="%5."/>
      <w:lvlJc w:val="left"/>
      <w:pPr>
        <w:ind w:left="4088" w:hanging="360"/>
      </w:pPr>
    </w:lvl>
    <w:lvl w:ilvl="5" w:tplc="0C09001B" w:tentative="1">
      <w:start w:val="1"/>
      <w:numFmt w:val="lowerRoman"/>
      <w:lvlText w:val="%6."/>
      <w:lvlJc w:val="right"/>
      <w:pPr>
        <w:ind w:left="4808" w:hanging="180"/>
      </w:pPr>
    </w:lvl>
    <w:lvl w:ilvl="6" w:tplc="0C09000F" w:tentative="1">
      <w:start w:val="1"/>
      <w:numFmt w:val="decimal"/>
      <w:lvlText w:val="%7."/>
      <w:lvlJc w:val="left"/>
      <w:pPr>
        <w:ind w:left="5528" w:hanging="360"/>
      </w:pPr>
    </w:lvl>
    <w:lvl w:ilvl="7" w:tplc="0C090019" w:tentative="1">
      <w:start w:val="1"/>
      <w:numFmt w:val="lowerLetter"/>
      <w:lvlText w:val="%8."/>
      <w:lvlJc w:val="left"/>
      <w:pPr>
        <w:ind w:left="6248" w:hanging="360"/>
      </w:pPr>
    </w:lvl>
    <w:lvl w:ilvl="8" w:tplc="0C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3" w15:restartNumberingAfterBreak="0">
    <w:nsid w:val="4DAF67E3"/>
    <w:multiLevelType w:val="multilevel"/>
    <w:tmpl w:val="8BCA39C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630473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4C67765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8B67EA5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16E069F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9872741"/>
    <w:multiLevelType w:val="hybridMultilevel"/>
    <w:tmpl w:val="66F657E4"/>
    <w:lvl w:ilvl="0" w:tplc="61DCB42E">
      <w:start w:val="1"/>
      <w:numFmt w:val="lowerRoman"/>
      <w:lvlText w:val="(%1)"/>
      <w:lvlJc w:val="left"/>
      <w:pPr>
        <w:ind w:left="24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24913"/>
    <w:multiLevelType w:val="hybridMultilevel"/>
    <w:tmpl w:val="84BE0184"/>
    <w:lvl w:ilvl="0" w:tplc="0AA49F2A">
      <w:start w:val="1"/>
      <w:numFmt w:val="decimal"/>
      <w:lvlText w:val="(%1)"/>
      <w:lvlJc w:val="left"/>
      <w:pPr>
        <w:ind w:left="142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10D87"/>
    <w:multiLevelType w:val="hybridMultilevel"/>
    <w:tmpl w:val="3CD89A68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61DCB42E">
      <w:start w:val="1"/>
      <w:numFmt w:val="lowerRoman"/>
      <w:lvlText w:val="(%2)"/>
      <w:lvlJc w:val="left"/>
      <w:pPr>
        <w:ind w:left="249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ED128F9"/>
    <w:multiLevelType w:val="hybridMultilevel"/>
    <w:tmpl w:val="84BE0184"/>
    <w:lvl w:ilvl="0" w:tplc="0AA49F2A">
      <w:start w:val="1"/>
      <w:numFmt w:val="decimal"/>
      <w:lvlText w:val="(%1)"/>
      <w:lvlJc w:val="left"/>
      <w:pPr>
        <w:ind w:left="142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572591"/>
    <w:multiLevelType w:val="hybridMultilevel"/>
    <w:tmpl w:val="882A188E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531DC"/>
    <w:multiLevelType w:val="hybridMultilevel"/>
    <w:tmpl w:val="A5261158"/>
    <w:lvl w:ilvl="0" w:tplc="1CA8A0E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7929BB"/>
    <w:multiLevelType w:val="hybridMultilevel"/>
    <w:tmpl w:val="84BE0184"/>
    <w:lvl w:ilvl="0" w:tplc="0AA49F2A">
      <w:start w:val="1"/>
      <w:numFmt w:val="decimal"/>
      <w:lvlText w:val="(%1)"/>
      <w:lvlJc w:val="left"/>
      <w:pPr>
        <w:ind w:left="142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3E69DE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2"/>
  </w:num>
  <w:num w:numId="13">
    <w:abstractNumId w:val="14"/>
  </w:num>
  <w:num w:numId="14">
    <w:abstractNumId w:val="23"/>
  </w:num>
  <w:num w:numId="15">
    <w:abstractNumId w:val="32"/>
  </w:num>
  <w:num w:numId="16">
    <w:abstractNumId w:val="33"/>
  </w:num>
  <w:num w:numId="17">
    <w:abstractNumId w:val="13"/>
  </w:num>
  <w:num w:numId="18">
    <w:abstractNumId w:val="22"/>
  </w:num>
  <w:num w:numId="19">
    <w:abstractNumId w:val="16"/>
  </w:num>
  <w:num w:numId="20">
    <w:abstractNumId w:val="20"/>
  </w:num>
  <w:num w:numId="21">
    <w:abstractNumId w:val="34"/>
  </w:num>
  <w:num w:numId="22">
    <w:abstractNumId w:val="31"/>
  </w:num>
  <w:num w:numId="23">
    <w:abstractNumId w:val="10"/>
  </w:num>
  <w:num w:numId="24">
    <w:abstractNumId w:val="29"/>
  </w:num>
  <w:num w:numId="25">
    <w:abstractNumId w:val="30"/>
  </w:num>
  <w:num w:numId="26">
    <w:abstractNumId w:val="17"/>
  </w:num>
  <w:num w:numId="27">
    <w:abstractNumId w:val="19"/>
  </w:num>
  <w:num w:numId="28">
    <w:abstractNumId w:val="24"/>
  </w:num>
  <w:num w:numId="29">
    <w:abstractNumId w:val="35"/>
  </w:num>
  <w:num w:numId="30">
    <w:abstractNumId w:val="11"/>
  </w:num>
  <w:num w:numId="31">
    <w:abstractNumId w:val="15"/>
  </w:num>
  <w:num w:numId="32">
    <w:abstractNumId w:val="28"/>
  </w:num>
  <w:num w:numId="33">
    <w:abstractNumId w:val="18"/>
  </w:num>
  <w:num w:numId="34">
    <w:abstractNumId w:val="27"/>
  </w:num>
  <w:num w:numId="35">
    <w:abstractNumId w:val="2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05"/>
    <w:rsid w:val="00000263"/>
    <w:rsid w:val="000062B9"/>
    <w:rsid w:val="000113BC"/>
    <w:rsid w:val="000130D1"/>
    <w:rsid w:val="000136AF"/>
    <w:rsid w:val="0002473F"/>
    <w:rsid w:val="00024CF2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7C76"/>
    <w:rsid w:val="000C1506"/>
    <w:rsid w:val="000D05EF"/>
    <w:rsid w:val="000D3FB9"/>
    <w:rsid w:val="000D5485"/>
    <w:rsid w:val="000D649E"/>
    <w:rsid w:val="000E598E"/>
    <w:rsid w:val="000E5A3D"/>
    <w:rsid w:val="000F0ADA"/>
    <w:rsid w:val="000F141E"/>
    <w:rsid w:val="000F21C1"/>
    <w:rsid w:val="00105517"/>
    <w:rsid w:val="0010745C"/>
    <w:rsid w:val="001122FF"/>
    <w:rsid w:val="001207B7"/>
    <w:rsid w:val="001545C3"/>
    <w:rsid w:val="00155483"/>
    <w:rsid w:val="0015558D"/>
    <w:rsid w:val="00160BD7"/>
    <w:rsid w:val="001643C9"/>
    <w:rsid w:val="00165568"/>
    <w:rsid w:val="00166082"/>
    <w:rsid w:val="00166C2F"/>
    <w:rsid w:val="001716C9"/>
    <w:rsid w:val="00175DB0"/>
    <w:rsid w:val="00184261"/>
    <w:rsid w:val="0019243C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7A23"/>
    <w:rsid w:val="001E0A8D"/>
    <w:rsid w:val="001E3590"/>
    <w:rsid w:val="001E7407"/>
    <w:rsid w:val="001F1A46"/>
    <w:rsid w:val="00201D27"/>
    <w:rsid w:val="0021153A"/>
    <w:rsid w:val="00221507"/>
    <w:rsid w:val="002245A6"/>
    <w:rsid w:val="00226A44"/>
    <w:rsid w:val="002302EA"/>
    <w:rsid w:val="00237614"/>
    <w:rsid w:val="00240749"/>
    <w:rsid w:val="002468D7"/>
    <w:rsid w:val="00247E97"/>
    <w:rsid w:val="00256C81"/>
    <w:rsid w:val="00263499"/>
    <w:rsid w:val="00272CE3"/>
    <w:rsid w:val="00285CDD"/>
    <w:rsid w:val="00291167"/>
    <w:rsid w:val="0029489E"/>
    <w:rsid w:val="00297D1D"/>
    <w:rsid w:val="00297ECB"/>
    <w:rsid w:val="002B5929"/>
    <w:rsid w:val="002C152A"/>
    <w:rsid w:val="002C2424"/>
    <w:rsid w:val="002D043A"/>
    <w:rsid w:val="0030357C"/>
    <w:rsid w:val="0031713F"/>
    <w:rsid w:val="003222D1"/>
    <w:rsid w:val="0032750F"/>
    <w:rsid w:val="0033545B"/>
    <w:rsid w:val="003415D3"/>
    <w:rsid w:val="0034202A"/>
    <w:rsid w:val="003442F6"/>
    <w:rsid w:val="00346335"/>
    <w:rsid w:val="00352B0F"/>
    <w:rsid w:val="003561B0"/>
    <w:rsid w:val="0036666D"/>
    <w:rsid w:val="003905D6"/>
    <w:rsid w:val="00397893"/>
    <w:rsid w:val="003A15AC"/>
    <w:rsid w:val="003B0342"/>
    <w:rsid w:val="003B0627"/>
    <w:rsid w:val="003B4358"/>
    <w:rsid w:val="003B57A9"/>
    <w:rsid w:val="003C5F2B"/>
    <w:rsid w:val="003C704B"/>
    <w:rsid w:val="003C7D35"/>
    <w:rsid w:val="003D0BFE"/>
    <w:rsid w:val="003D5700"/>
    <w:rsid w:val="003D6D54"/>
    <w:rsid w:val="003F6F52"/>
    <w:rsid w:val="004022CA"/>
    <w:rsid w:val="004104BD"/>
    <w:rsid w:val="004116CD"/>
    <w:rsid w:val="004140CA"/>
    <w:rsid w:val="00414ADE"/>
    <w:rsid w:val="00421B91"/>
    <w:rsid w:val="00424CA9"/>
    <w:rsid w:val="004257BB"/>
    <w:rsid w:val="00433ECC"/>
    <w:rsid w:val="0043498B"/>
    <w:rsid w:val="0044291A"/>
    <w:rsid w:val="00442C56"/>
    <w:rsid w:val="004463E4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E2E26"/>
    <w:rsid w:val="004E37EA"/>
    <w:rsid w:val="004F0B14"/>
    <w:rsid w:val="004F1FAC"/>
    <w:rsid w:val="004F676E"/>
    <w:rsid w:val="004F71C0"/>
    <w:rsid w:val="00506F80"/>
    <w:rsid w:val="00512455"/>
    <w:rsid w:val="00516B8D"/>
    <w:rsid w:val="00517137"/>
    <w:rsid w:val="0052756C"/>
    <w:rsid w:val="00530230"/>
    <w:rsid w:val="00530CC9"/>
    <w:rsid w:val="00531788"/>
    <w:rsid w:val="00531B46"/>
    <w:rsid w:val="00534702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96AD9"/>
    <w:rsid w:val="005B1555"/>
    <w:rsid w:val="005B2DC9"/>
    <w:rsid w:val="005B3C51"/>
    <w:rsid w:val="005B4067"/>
    <w:rsid w:val="005C3F41"/>
    <w:rsid w:val="005C4EF0"/>
    <w:rsid w:val="005D5EA1"/>
    <w:rsid w:val="005E098C"/>
    <w:rsid w:val="005E1F8D"/>
    <w:rsid w:val="005E317F"/>
    <w:rsid w:val="005E61D3"/>
    <w:rsid w:val="005E764D"/>
    <w:rsid w:val="005F7FEA"/>
    <w:rsid w:val="00600219"/>
    <w:rsid w:val="006065DA"/>
    <w:rsid w:val="00606AA4"/>
    <w:rsid w:val="00640402"/>
    <w:rsid w:val="00640F78"/>
    <w:rsid w:val="00655D6A"/>
    <w:rsid w:val="00656DE9"/>
    <w:rsid w:val="0066089E"/>
    <w:rsid w:val="00672876"/>
    <w:rsid w:val="00677CC2"/>
    <w:rsid w:val="006814B9"/>
    <w:rsid w:val="006854B8"/>
    <w:rsid w:val="00685F42"/>
    <w:rsid w:val="0069207B"/>
    <w:rsid w:val="006945A3"/>
    <w:rsid w:val="006A304E"/>
    <w:rsid w:val="006B4253"/>
    <w:rsid w:val="006B4EFC"/>
    <w:rsid w:val="006B7006"/>
    <w:rsid w:val="006C31BC"/>
    <w:rsid w:val="006C7F8C"/>
    <w:rsid w:val="006D7AB9"/>
    <w:rsid w:val="006E7292"/>
    <w:rsid w:val="006F38D3"/>
    <w:rsid w:val="00700B2C"/>
    <w:rsid w:val="00703986"/>
    <w:rsid w:val="00713084"/>
    <w:rsid w:val="00717463"/>
    <w:rsid w:val="00720FC2"/>
    <w:rsid w:val="00722E89"/>
    <w:rsid w:val="00726979"/>
    <w:rsid w:val="00731E00"/>
    <w:rsid w:val="007339C7"/>
    <w:rsid w:val="007440B7"/>
    <w:rsid w:val="00747993"/>
    <w:rsid w:val="00747C38"/>
    <w:rsid w:val="007634AD"/>
    <w:rsid w:val="00765732"/>
    <w:rsid w:val="007715C9"/>
    <w:rsid w:val="00771916"/>
    <w:rsid w:val="00774EDD"/>
    <w:rsid w:val="007757EC"/>
    <w:rsid w:val="00781E92"/>
    <w:rsid w:val="007834C5"/>
    <w:rsid w:val="00787BFB"/>
    <w:rsid w:val="007913DE"/>
    <w:rsid w:val="00795A98"/>
    <w:rsid w:val="007A1C57"/>
    <w:rsid w:val="007A6863"/>
    <w:rsid w:val="007B62F9"/>
    <w:rsid w:val="007C5D4E"/>
    <w:rsid w:val="007C63F3"/>
    <w:rsid w:val="007C78B4"/>
    <w:rsid w:val="007D480F"/>
    <w:rsid w:val="007E32B6"/>
    <w:rsid w:val="007E486B"/>
    <w:rsid w:val="007E7D4A"/>
    <w:rsid w:val="007F15EC"/>
    <w:rsid w:val="007F48ED"/>
    <w:rsid w:val="007F4FB3"/>
    <w:rsid w:val="007F5E3F"/>
    <w:rsid w:val="00812F45"/>
    <w:rsid w:val="00836FE9"/>
    <w:rsid w:val="0084172C"/>
    <w:rsid w:val="008425BD"/>
    <w:rsid w:val="008437F2"/>
    <w:rsid w:val="0085175E"/>
    <w:rsid w:val="00853B3E"/>
    <w:rsid w:val="00856A31"/>
    <w:rsid w:val="008754D0"/>
    <w:rsid w:val="00877C69"/>
    <w:rsid w:val="00877D48"/>
    <w:rsid w:val="0088345B"/>
    <w:rsid w:val="0089080C"/>
    <w:rsid w:val="008A16A5"/>
    <w:rsid w:val="008A3DB2"/>
    <w:rsid w:val="008A5C57"/>
    <w:rsid w:val="008A663D"/>
    <w:rsid w:val="008B6B2F"/>
    <w:rsid w:val="008C0629"/>
    <w:rsid w:val="008D0EE0"/>
    <w:rsid w:val="008D5227"/>
    <w:rsid w:val="008D7A27"/>
    <w:rsid w:val="008E4702"/>
    <w:rsid w:val="008E687F"/>
    <w:rsid w:val="008E69AA"/>
    <w:rsid w:val="008F4F1C"/>
    <w:rsid w:val="009069AD"/>
    <w:rsid w:val="00910E64"/>
    <w:rsid w:val="00920058"/>
    <w:rsid w:val="00922764"/>
    <w:rsid w:val="009278C1"/>
    <w:rsid w:val="00927E40"/>
    <w:rsid w:val="00932377"/>
    <w:rsid w:val="009346E3"/>
    <w:rsid w:val="009355AD"/>
    <w:rsid w:val="0094523D"/>
    <w:rsid w:val="00955D3C"/>
    <w:rsid w:val="00965A8B"/>
    <w:rsid w:val="00976A63"/>
    <w:rsid w:val="009B2490"/>
    <w:rsid w:val="009B37CE"/>
    <w:rsid w:val="009B50E5"/>
    <w:rsid w:val="009C3431"/>
    <w:rsid w:val="009C5989"/>
    <w:rsid w:val="009C6A32"/>
    <w:rsid w:val="009D08DA"/>
    <w:rsid w:val="009D5C79"/>
    <w:rsid w:val="009F0D4C"/>
    <w:rsid w:val="00A06860"/>
    <w:rsid w:val="00A10139"/>
    <w:rsid w:val="00A12DE6"/>
    <w:rsid w:val="00A136F5"/>
    <w:rsid w:val="00A1463E"/>
    <w:rsid w:val="00A21937"/>
    <w:rsid w:val="00A231E2"/>
    <w:rsid w:val="00A2550D"/>
    <w:rsid w:val="00A309A8"/>
    <w:rsid w:val="00A37966"/>
    <w:rsid w:val="00A379BB"/>
    <w:rsid w:val="00A4169B"/>
    <w:rsid w:val="00A50D55"/>
    <w:rsid w:val="00A52FDA"/>
    <w:rsid w:val="00A57999"/>
    <w:rsid w:val="00A64912"/>
    <w:rsid w:val="00A70A74"/>
    <w:rsid w:val="00A755FB"/>
    <w:rsid w:val="00A86232"/>
    <w:rsid w:val="00A9231A"/>
    <w:rsid w:val="00A95BC7"/>
    <w:rsid w:val="00AA0343"/>
    <w:rsid w:val="00AA78CE"/>
    <w:rsid w:val="00AA7B26"/>
    <w:rsid w:val="00AC16C8"/>
    <w:rsid w:val="00AC2C51"/>
    <w:rsid w:val="00AC767C"/>
    <w:rsid w:val="00AD3467"/>
    <w:rsid w:val="00AD5641"/>
    <w:rsid w:val="00AE74AB"/>
    <w:rsid w:val="00AF33DB"/>
    <w:rsid w:val="00AF351A"/>
    <w:rsid w:val="00AF5C54"/>
    <w:rsid w:val="00B032D8"/>
    <w:rsid w:val="00B05D72"/>
    <w:rsid w:val="00B13023"/>
    <w:rsid w:val="00B15B19"/>
    <w:rsid w:val="00B1719A"/>
    <w:rsid w:val="00B20990"/>
    <w:rsid w:val="00B2380B"/>
    <w:rsid w:val="00B23FAF"/>
    <w:rsid w:val="00B33B3C"/>
    <w:rsid w:val="00B40D74"/>
    <w:rsid w:val="00B40F05"/>
    <w:rsid w:val="00B42649"/>
    <w:rsid w:val="00B46467"/>
    <w:rsid w:val="00B52663"/>
    <w:rsid w:val="00B53BB7"/>
    <w:rsid w:val="00B5500F"/>
    <w:rsid w:val="00B550FD"/>
    <w:rsid w:val="00B56DCB"/>
    <w:rsid w:val="00B61728"/>
    <w:rsid w:val="00B7300A"/>
    <w:rsid w:val="00B770D2"/>
    <w:rsid w:val="00B87EB0"/>
    <w:rsid w:val="00B93516"/>
    <w:rsid w:val="00B96776"/>
    <w:rsid w:val="00B97247"/>
    <w:rsid w:val="00B973E5"/>
    <w:rsid w:val="00BA47A3"/>
    <w:rsid w:val="00BA5026"/>
    <w:rsid w:val="00BA7B5B"/>
    <w:rsid w:val="00BB4E42"/>
    <w:rsid w:val="00BB5C00"/>
    <w:rsid w:val="00BB6E79"/>
    <w:rsid w:val="00BC7561"/>
    <w:rsid w:val="00BE42C5"/>
    <w:rsid w:val="00BE719A"/>
    <w:rsid w:val="00BE720A"/>
    <w:rsid w:val="00BE77B7"/>
    <w:rsid w:val="00BF048B"/>
    <w:rsid w:val="00BF0723"/>
    <w:rsid w:val="00BF6650"/>
    <w:rsid w:val="00C067E5"/>
    <w:rsid w:val="00C164CA"/>
    <w:rsid w:val="00C26051"/>
    <w:rsid w:val="00C34AB5"/>
    <w:rsid w:val="00C365DF"/>
    <w:rsid w:val="00C42BF8"/>
    <w:rsid w:val="00C460AE"/>
    <w:rsid w:val="00C50043"/>
    <w:rsid w:val="00C5015F"/>
    <w:rsid w:val="00C50A0F"/>
    <w:rsid w:val="00C50F4A"/>
    <w:rsid w:val="00C53A3C"/>
    <w:rsid w:val="00C625C0"/>
    <w:rsid w:val="00C65EDB"/>
    <w:rsid w:val="00C72D10"/>
    <w:rsid w:val="00C7573B"/>
    <w:rsid w:val="00C7687E"/>
    <w:rsid w:val="00C76CF3"/>
    <w:rsid w:val="00C93205"/>
    <w:rsid w:val="00C945DC"/>
    <w:rsid w:val="00CA619E"/>
    <w:rsid w:val="00CA7844"/>
    <w:rsid w:val="00CB1337"/>
    <w:rsid w:val="00CB22E6"/>
    <w:rsid w:val="00CB58EF"/>
    <w:rsid w:val="00CC1AEC"/>
    <w:rsid w:val="00CC2184"/>
    <w:rsid w:val="00CE0666"/>
    <w:rsid w:val="00CE0A93"/>
    <w:rsid w:val="00CE0B40"/>
    <w:rsid w:val="00CF0548"/>
    <w:rsid w:val="00CF0BB2"/>
    <w:rsid w:val="00D12B0D"/>
    <w:rsid w:val="00D13441"/>
    <w:rsid w:val="00D13544"/>
    <w:rsid w:val="00D243A3"/>
    <w:rsid w:val="00D30E5D"/>
    <w:rsid w:val="00D33440"/>
    <w:rsid w:val="00D36A1B"/>
    <w:rsid w:val="00D41D2D"/>
    <w:rsid w:val="00D52EFE"/>
    <w:rsid w:val="00D56A0D"/>
    <w:rsid w:val="00D63EF6"/>
    <w:rsid w:val="00D66518"/>
    <w:rsid w:val="00D70DFB"/>
    <w:rsid w:val="00D71EEA"/>
    <w:rsid w:val="00D735CD"/>
    <w:rsid w:val="00D75E53"/>
    <w:rsid w:val="00D766DF"/>
    <w:rsid w:val="00D87609"/>
    <w:rsid w:val="00D90841"/>
    <w:rsid w:val="00D96A69"/>
    <w:rsid w:val="00DA2439"/>
    <w:rsid w:val="00DA6F05"/>
    <w:rsid w:val="00DB3226"/>
    <w:rsid w:val="00DB64FC"/>
    <w:rsid w:val="00DE149E"/>
    <w:rsid w:val="00E02A1B"/>
    <w:rsid w:val="00E034DB"/>
    <w:rsid w:val="00E05704"/>
    <w:rsid w:val="00E12F1A"/>
    <w:rsid w:val="00E22935"/>
    <w:rsid w:val="00E367E1"/>
    <w:rsid w:val="00E41A05"/>
    <w:rsid w:val="00E54292"/>
    <w:rsid w:val="00E60191"/>
    <w:rsid w:val="00E65E7A"/>
    <w:rsid w:val="00E66C87"/>
    <w:rsid w:val="00E74DC7"/>
    <w:rsid w:val="00E87699"/>
    <w:rsid w:val="00E92E27"/>
    <w:rsid w:val="00E9586B"/>
    <w:rsid w:val="00E97334"/>
    <w:rsid w:val="00EB3A99"/>
    <w:rsid w:val="00EB65F8"/>
    <w:rsid w:val="00EC7DF8"/>
    <w:rsid w:val="00ED2BF9"/>
    <w:rsid w:val="00ED4928"/>
    <w:rsid w:val="00EE3FFE"/>
    <w:rsid w:val="00EE57E8"/>
    <w:rsid w:val="00EE6190"/>
    <w:rsid w:val="00EF2E3A"/>
    <w:rsid w:val="00EF6402"/>
    <w:rsid w:val="00EF6B2E"/>
    <w:rsid w:val="00F047E2"/>
    <w:rsid w:val="00F04D57"/>
    <w:rsid w:val="00F078DC"/>
    <w:rsid w:val="00F13E86"/>
    <w:rsid w:val="00F201CD"/>
    <w:rsid w:val="00F20B52"/>
    <w:rsid w:val="00F32FCB"/>
    <w:rsid w:val="00F33523"/>
    <w:rsid w:val="00F42AEE"/>
    <w:rsid w:val="00F677A9"/>
    <w:rsid w:val="00F8121C"/>
    <w:rsid w:val="00F81AF8"/>
    <w:rsid w:val="00F84CF5"/>
    <w:rsid w:val="00F8612E"/>
    <w:rsid w:val="00F94583"/>
    <w:rsid w:val="00FA420B"/>
    <w:rsid w:val="00FB1450"/>
    <w:rsid w:val="00FB6AEE"/>
    <w:rsid w:val="00FC3EAC"/>
    <w:rsid w:val="00FC62B9"/>
    <w:rsid w:val="00FF39D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D09A85"/>
  <w15:docId w15:val="{B951A5E6-C7BF-46AD-BA53-6E05FB8C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aliases w:val="Dot Point Lvl 1,TOC style,lp1,Bullet OSM,Proposal Bullet List,Recommendation,List Paragraph1,List Paragraph11,List Paragraph111,L,F5 List Paragraph,Dot pt,CV text,Medium Grid 1 - Accent 21,Numbered Paragraph,No Spacing1,列出段落,FooterText"/>
    <w:basedOn w:val="Normal"/>
    <w:link w:val="ListParagraphChar"/>
    <w:uiPriority w:val="34"/>
    <w:qFormat/>
    <w:rsid w:val="00FB1450"/>
    <w:pPr>
      <w:ind w:left="720"/>
      <w:contextualSpacing/>
    </w:pPr>
  </w:style>
  <w:style w:type="paragraph" w:styleId="Revision">
    <w:name w:val="Revision"/>
    <w:hidden/>
    <w:uiPriority w:val="99"/>
    <w:semiHidden/>
    <w:rsid w:val="00B53BB7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3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C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C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C51"/>
    <w:rPr>
      <w:b/>
      <w:bCs/>
    </w:rPr>
  </w:style>
  <w:style w:type="character" w:customStyle="1" w:styleId="ListParagraphChar">
    <w:name w:val="List Paragraph Char"/>
    <w:aliases w:val="Dot Point Lvl 1 Char,TOC style Char,lp1 Char,Bullet OSM Char,Proposal Bullet List Char,Recommendation Char,List Paragraph1 Char,List Paragraph11 Char,List Paragraph111 Char,L Char,F5 List Paragraph Char,Dot pt Char,CV text Char"/>
    <w:basedOn w:val="DefaultParagraphFont"/>
    <w:link w:val="ListParagraph"/>
    <w:uiPriority w:val="34"/>
    <w:locked/>
    <w:rsid w:val="007D480F"/>
    <w:rPr>
      <w:sz w:val="22"/>
    </w:rPr>
  </w:style>
  <w:style w:type="paragraph" w:customStyle="1" w:styleId="HD">
    <w:name w:val="HD"/>
    <w:aliases w:val="Division Heading"/>
    <w:basedOn w:val="Normal"/>
    <w:next w:val="Normal"/>
    <w:rsid w:val="007D480F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28"/>
      <w:szCs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20058"/>
    <w:rPr>
      <w:rFonts w:eastAsia="Times New Roman" w:cs="Times New Roman"/>
      <w:sz w:val="18"/>
      <w:lang w:eastAsia="en-AU"/>
    </w:rPr>
  </w:style>
  <w:style w:type="paragraph" w:customStyle="1" w:styleId="HP">
    <w:name w:val="HP"/>
    <w:aliases w:val="Part Heading"/>
    <w:basedOn w:val="Normal"/>
    <w:next w:val="Normal"/>
    <w:rsid w:val="00C65EDB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32"/>
      <w:szCs w:val="24"/>
    </w:rPr>
  </w:style>
  <w:style w:type="paragraph" w:customStyle="1" w:styleId="Default">
    <w:name w:val="Default"/>
    <w:rsid w:val="00C65ED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Normal"/>
    <w:rsid w:val="00512455"/>
    <w:pPr>
      <w:keepNext/>
      <w:spacing w:before="36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ixon\AppData\Local\Microsoft\Windows\INetCache\IE\KI7BA63H\Amending%20Instrument%20Template.dotx%20-%20AUSTRAC%20-%2090891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3405-E8A0-482D-964F-31E2E688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Amending Instrument Template.dotx - AUSTRAC - 9089118</Template>
  <TotalTime>1</TotalTime>
  <Pages>9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Dixon</dc:creator>
  <cp:lastModifiedBy>Hugh Dixon</cp:lastModifiedBy>
  <cp:revision>2</cp:revision>
  <cp:lastPrinted>2021-06-15T05:27:00Z</cp:lastPrinted>
  <dcterms:created xsi:type="dcterms:W3CDTF">2023-09-25T06:16:00Z</dcterms:created>
  <dcterms:modified xsi:type="dcterms:W3CDTF">2023-09-25T06:16:00Z</dcterms:modified>
</cp:coreProperties>
</file>