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41527" w14:textId="4C5AD4D2" w:rsidR="000456F2" w:rsidRDefault="00FB3847" w:rsidP="00287845">
      <w:pPr>
        <w:spacing w:after="240" w:line="259" w:lineRule="auto"/>
        <w:ind w:left="720"/>
        <w:rPr>
          <w:rFonts w:ascii="Times New Roman" w:eastAsia="Calibri" w:hAnsi="Times New Roman"/>
          <w:b/>
          <w:sz w:val="28"/>
          <w:szCs w:val="28"/>
        </w:rPr>
      </w:pPr>
      <w:r>
        <w:rPr>
          <w:rFonts w:ascii="Arial Narrow" w:hAnsi="Arial Narrow"/>
          <w:b/>
          <w:noProof/>
          <w:color w:val="C86464"/>
          <w:sz w:val="36"/>
          <w:szCs w:val="36"/>
          <w:lang w:eastAsia="en-AU"/>
        </w:rPr>
        <w:pict w14:anchorId="2B6E9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USTRAC_inlineShort" style="width:193.45pt;height:53.85pt;visibility:visible;mso-wrap-style:square">
            <v:imagedata r:id="rId8" o:title="AUSTRAC_inlineShort"/>
          </v:shape>
        </w:pict>
      </w:r>
    </w:p>
    <w:p w14:paraId="72DD205A" w14:textId="77777777" w:rsidR="00287845" w:rsidRDefault="00287845" w:rsidP="00287845">
      <w:pPr>
        <w:spacing w:after="240" w:line="259" w:lineRule="auto"/>
        <w:ind w:left="720"/>
        <w:jc w:val="center"/>
        <w:rPr>
          <w:rFonts w:ascii="Times New Roman" w:eastAsia="Calibri" w:hAnsi="Times New Roman"/>
          <w:b/>
          <w:sz w:val="28"/>
          <w:szCs w:val="28"/>
        </w:rPr>
      </w:pPr>
    </w:p>
    <w:p w14:paraId="419BAC02" w14:textId="67F9BD39" w:rsidR="00017141" w:rsidRPr="00017141" w:rsidRDefault="00017141" w:rsidP="00287845">
      <w:pPr>
        <w:spacing w:after="240" w:line="259" w:lineRule="auto"/>
        <w:ind w:left="720"/>
        <w:jc w:val="center"/>
        <w:rPr>
          <w:rFonts w:ascii="Times New Roman" w:eastAsia="Calibri" w:hAnsi="Times New Roman"/>
          <w:b/>
          <w:sz w:val="28"/>
          <w:szCs w:val="28"/>
        </w:rPr>
      </w:pPr>
      <w:r w:rsidRPr="00017141">
        <w:rPr>
          <w:rFonts w:ascii="Times New Roman" w:eastAsia="Calibri" w:hAnsi="Times New Roman"/>
          <w:b/>
          <w:sz w:val="28"/>
          <w:szCs w:val="28"/>
        </w:rPr>
        <w:t>EXPLANATORY STATEMENT</w:t>
      </w:r>
    </w:p>
    <w:p w14:paraId="3834CFA0" w14:textId="770F3BC6" w:rsidR="00DA2AA1" w:rsidRPr="00BF6A36" w:rsidRDefault="00DA2AA1" w:rsidP="00287845">
      <w:pPr>
        <w:spacing w:after="240" w:line="259" w:lineRule="auto"/>
        <w:ind w:left="720"/>
        <w:jc w:val="center"/>
        <w:rPr>
          <w:rFonts w:ascii="Times New Roman" w:eastAsia="Calibri" w:hAnsi="Times New Roman"/>
          <w:sz w:val="24"/>
        </w:rPr>
      </w:pPr>
      <w:r w:rsidRPr="00C46410">
        <w:rPr>
          <w:rFonts w:ascii="Times New Roman" w:eastAsia="Calibri" w:hAnsi="Times New Roman"/>
          <w:sz w:val="24"/>
        </w:rPr>
        <w:t xml:space="preserve">Issued by authority of the </w:t>
      </w:r>
      <w:r w:rsidR="00213B8F">
        <w:rPr>
          <w:rFonts w:ascii="Times New Roman" w:eastAsia="Calibri" w:hAnsi="Times New Roman"/>
          <w:sz w:val="24"/>
        </w:rPr>
        <w:t xml:space="preserve">Acting </w:t>
      </w:r>
      <w:r w:rsidRPr="00C46410">
        <w:rPr>
          <w:rFonts w:ascii="Times New Roman" w:eastAsia="Calibri" w:hAnsi="Times New Roman"/>
          <w:sz w:val="24"/>
        </w:rPr>
        <w:t>AUSTRAC CEO</w:t>
      </w:r>
    </w:p>
    <w:p w14:paraId="5D0DF0EF" w14:textId="77777777" w:rsidR="00DA2AA1" w:rsidRPr="00C1088D" w:rsidRDefault="00DA2AA1" w:rsidP="00287845">
      <w:pPr>
        <w:spacing w:after="240" w:line="259" w:lineRule="auto"/>
        <w:ind w:left="720"/>
        <w:jc w:val="center"/>
        <w:rPr>
          <w:rFonts w:ascii="Times New Roman" w:eastAsia="Calibri" w:hAnsi="Times New Roman"/>
          <w:i/>
          <w:sz w:val="24"/>
        </w:rPr>
      </w:pPr>
      <w:r w:rsidRPr="00C1088D">
        <w:rPr>
          <w:rFonts w:ascii="Times New Roman" w:eastAsia="Calibri" w:hAnsi="Times New Roman"/>
          <w:i/>
          <w:sz w:val="24"/>
        </w:rPr>
        <w:t>Anti-Money Laundering and Counter-Terrorism Financing Act 2006</w:t>
      </w:r>
    </w:p>
    <w:p w14:paraId="7AE0E96C" w14:textId="7528F6E1" w:rsidR="00DA2AA1" w:rsidRPr="00C46410" w:rsidRDefault="00DA2AA1" w:rsidP="00287845">
      <w:pPr>
        <w:spacing w:after="240" w:line="259" w:lineRule="auto"/>
        <w:ind w:left="720"/>
        <w:jc w:val="center"/>
        <w:rPr>
          <w:rFonts w:ascii="Times New Roman" w:eastAsia="Calibri" w:hAnsi="Times New Roman"/>
          <w:i/>
          <w:sz w:val="24"/>
        </w:rPr>
      </w:pPr>
      <w:r w:rsidRPr="00C46410">
        <w:rPr>
          <w:rFonts w:ascii="Times New Roman" w:eastAsia="Calibri" w:hAnsi="Times New Roman"/>
          <w:i/>
          <w:sz w:val="24"/>
        </w:rPr>
        <w:t xml:space="preserve">Anti-Money Laundering and Counter-Terrorism Financing Rules </w:t>
      </w:r>
      <w:r w:rsidR="00AB6C51">
        <w:rPr>
          <w:rFonts w:ascii="Times New Roman" w:eastAsia="Calibri" w:hAnsi="Times New Roman"/>
          <w:i/>
          <w:sz w:val="24"/>
        </w:rPr>
        <w:t>(</w:t>
      </w:r>
      <w:r w:rsidR="00287845">
        <w:rPr>
          <w:rFonts w:ascii="Times New Roman" w:eastAsia="Calibri" w:hAnsi="Times New Roman"/>
          <w:i/>
          <w:sz w:val="24"/>
        </w:rPr>
        <w:t xml:space="preserve">Online Gambling </w:t>
      </w:r>
      <w:r w:rsidR="004E7A2A">
        <w:rPr>
          <w:rFonts w:ascii="Times New Roman" w:eastAsia="Calibri" w:hAnsi="Times New Roman"/>
          <w:i/>
          <w:sz w:val="24"/>
        </w:rPr>
        <w:t>Services</w:t>
      </w:r>
      <w:r w:rsidR="00287845">
        <w:rPr>
          <w:rFonts w:ascii="Times New Roman" w:eastAsia="Calibri" w:hAnsi="Times New Roman"/>
          <w:i/>
          <w:sz w:val="24"/>
        </w:rPr>
        <w:t xml:space="preserve">) </w:t>
      </w:r>
      <w:r w:rsidR="002843CC">
        <w:rPr>
          <w:rFonts w:ascii="Times New Roman" w:eastAsia="Calibri" w:hAnsi="Times New Roman"/>
          <w:i/>
          <w:sz w:val="24"/>
        </w:rPr>
        <w:t xml:space="preserve">Amendment </w:t>
      </w:r>
      <w:r w:rsidRPr="00C46410">
        <w:rPr>
          <w:rFonts w:ascii="Times New Roman" w:eastAsia="Calibri" w:hAnsi="Times New Roman"/>
          <w:i/>
          <w:sz w:val="24"/>
        </w:rPr>
        <w:t>Instrument 202</w:t>
      </w:r>
      <w:r w:rsidR="00AB6C51">
        <w:rPr>
          <w:rFonts w:ascii="Times New Roman" w:eastAsia="Calibri" w:hAnsi="Times New Roman"/>
          <w:i/>
          <w:sz w:val="24"/>
        </w:rPr>
        <w:t>3</w:t>
      </w:r>
    </w:p>
    <w:p w14:paraId="02072A80" w14:textId="358F5200" w:rsidR="00017141" w:rsidRPr="00C46410" w:rsidRDefault="004F00BC" w:rsidP="00BD02D0">
      <w:pPr>
        <w:spacing w:after="160" w:line="259" w:lineRule="auto"/>
        <w:ind w:left="720"/>
        <w:rPr>
          <w:rFonts w:ascii="Times New Roman" w:eastAsia="Calibri" w:hAnsi="Times New Roman"/>
          <w:sz w:val="24"/>
        </w:rPr>
      </w:pPr>
      <w:r w:rsidRPr="00C46410">
        <w:rPr>
          <w:rFonts w:ascii="Times New Roman" w:eastAsia="Calibri" w:hAnsi="Times New Roman"/>
          <w:b/>
          <w:bCs/>
          <w:sz w:val="24"/>
        </w:rPr>
        <w:t>AUTHORITY</w:t>
      </w:r>
    </w:p>
    <w:p w14:paraId="688A0299" w14:textId="0DAA7B04" w:rsidR="00017141" w:rsidRPr="006D7DED" w:rsidRDefault="00017141" w:rsidP="00287845">
      <w:pPr>
        <w:numPr>
          <w:ilvl w:val="0"/>
          <w:numId w:val="18"/>
        </w:numPr>
        <w:spacing w:after="160" w:line="259" w:lineRule="auto"/>
        <w:rPr>
          <w:rFonts w:ascii="Times New Roman" w:eastAsia="Calibri" w:hAnsi="Times New Roman"/>
          <w:iCs/>
          <w:sz w:val="24"/>
        </w:rPr>
      </w:pPr>
      <w:r w:rsidRPr="006D7DED">
        <w:rPr>
          <w:rFonts w:ascii="Times New Roman" w:eastAsia="Calibri" w:hAnsi="Times New Roman"/>
          <w:sz w:val="24"/>
        </w:rPr>
        <w:t>Section 229 of the </w:t>
      </w:r>
      <w:r w:rsidRPr="006D7DED">
        <w:rPr>
          <w:rFonts w:ascii="Times New Roman" w:eastAsia="Calibri" w:hAnsi="Times New Roman"/>
          <w:i/>
          <w:iCs/>
          <w:sz w:val="24"/>
        </w:rPr>
        <w:t xml:space="preserve">Anti-Money Laundering and Counter-Terrorism Financing Act 2006 </w:t>
      </w:r>
      <w:r w:rsidRPr="006D7DED">
        <w:rPr>
          <w:rFonts w:ascii="Times New Roman" w:eastAsia="Calibri" w:hAnsi="Times New Roman"/>
          <w:sz w:val="24"/>
        </w:rPr>
        <w:t>(</w:t>
      </w:r>
      <w:r w:rsidRPr="006D7DED">
        <w:rPr>
          <w:rFonts w:ascii="Times New Roman" w:eastAsia="Calibri" w:hAnsi="Times New Roman"/>
          <w:b/>
          <w:sz w:val="24"/>
        </w:rPr>
        <w:t>AML/CTF Act</w:t>
      </w:r>
      <w:r w:rsidRPr="006D7DED">
        <w:rPr>
          <w:rFonts w:ascii="Times New Roman" w:eastAsia="Calibri" w:hAnsi="Times New Roman"/>
          <w:sz w:val="24"/>
        </w:rPr>
        <w:t xml:space="preserve">) provides that the AUSTRAC CEO may, by legislative instrument, make </w:t>
      </w:r>
      <w:r w:rsidR="00DA2AA1" w:rsidRPr="006D7DED">
        <w:rPr>
          <w:rFonts w:ascii="Times New Roman" w:eastAsia="Calibri" w:hAnsi="Times New Roman"/>
          <w:sz w:val="24"/>
        </w:rPr>
        <w:t xml:space="preserve">Anti-Money Laundering and Counter-Terrorism Financing </w:t>
      </w:r>
      <w:r w:rsidR="00733D11" w:rsidRPr="006D7DED">
        <w:rPr>
          <w:rFonts w:ascii="Times New Roman" w:eastAsia="Calibri" w:hAnsi="Times New Roman"/>
          <w:sz w:val="24"/>
        </w:rPr>
        <w:t>R</w:t>
      </w:r>
      <w:r w:rsidRPr="006D7DED">
        <w:rPr>
          <w:rFonts w:ascii="Times New Roman" w:eastAsia="Calibri" w:hAnsi="Times New Roman"/>
          <w:sz w:val="24"/>
        </w:rPr>
        <w:t>ules</w:t>
      </w:r>
      <w:r w:rsidR="00DA2AA1" w:rsidRPr="006D7DED">
        <w:rPr>
          <w:rFonts w:ascii="Times New Roman" w:eastAsia="Calibri" w:hAnsi="Times New Roman"/>
          <w:sz w:val="24"/>
        </w:rPr>
        <w:t xml:space="preserve"> (</w:t>
      </w:r>
      <w:r w:rsidR="00DA2AA1" w:rsidRPr="006D7DED">
        <w:rPr>
          <w:rFonts w:ascii="Times New Roman" w:eastAsia="Calibri" w:hAnsi="Times New Roman"/>
          <w:b/>
          <w:sz w:val="24"/>
        </w:rPr>
        <w:t>AML/CTF Rules</w:t>
      </w:r>
      <w:r w:rsidR="00DA2AA1" w:rsidRPr="006D7DED">
        <w:rPr>
          <w:rFonts w:ascii="Times New Roman" w:eastAsia="Calibri" w:hAnsi="Times New Roman"/>
          <w:sz w:val="24"/>
        </w:rPr>
        <w:t>)</w:t>
      </w:r>
      <w:r w:rsidRPr="006D7DED">
        <w:rPr>
          <w:rFonts w:ascii="Times New Roman" w:eastAsia="Calibri" w:hAnsi="Times New Roman"/>
          <w:sz w:val="24"/>
        </w:rPr>
        <w:t>.</w:t>
      </w:r>
      <w:r w:rsidR="00DA2AA1" w:rsidRPr="006D7DED">
        <w:rPr>
          <w:rFonts w:ascii="Times New Roman" w:eastAsia="Calibri" w:hAnsi="Times New Roman"/>
          <w:sz w:val="24"/>
        </w:rPr>
        <w:t xml:space="preserve"> The AML/CTF Rules are set out in the </w:t>
      </w:r>
      <w:r w:rsidR="00DA2AA1" w:rsidRPr="006D7DED">
        <w:rPr>
          <w:rFonts w:ascii="Times New Roman" w:eastAsia="Calibri" w:hAnsi="Times New Roman"/>
          <w:i/>
          <w:sz w:val="24"/>
        </w:rPr>
        <w:t>Anti-Money Laundering and Counter-Terrorism Financing Rules Instrument 2007 (No. 1)</w:t>
      </w:r>
      <w:r w:rsidR="00DA2AA1" w:rsidRPr="006D7DED">
        <w:rPr>
          <w:rFonts w:ascii="Times New Roman" w:eastAsia="Calibri" w:hAnsi="Times New Roman"/>
          <w:sz w:val="24"/>
        </w:rPr>
        <w:t>.</w:t>
      </w:r>
    </w:p>
    <w:p w14:paraId="758BC837" w14:textId="164B0A3B" w:rsidR="004F00BC" w:rsidRPr="00BF6A36" w:rsidRDefault="009B309E" w:rsidP="00BD02D0">
      <w:pPr>
        <w:spacing w:after="160" w:line="259" w:lineRule="auto"/>
        <w:ind w:left="720"/>
        <w:rPr>
          <w:rFonts w:ascii="Times New Roman" w:eastAsia="Calibri" w:hAnsi="Times New Roman"/>
          <w:b/>
          <w:caps/>
          <w:sz w:val="24"/>
        </w:rPr>
      </w:pPr>
      <w:r w:rsidRPr="00C46410">
        <w:rPr>
          <w:rFonts w:ascii="Times New Roman" w:eastAsia="Calibri" w:hAnsi="Times New Roman"/>
          <w:b/>
          <w:caps/>
          <w:sz w:val="24"/>
        </w:rPr>
        <w:t>Purpose and operation of the instrument</w:t>
      </w:r>
    </w:p>
    <w:p w14:paraId="21E9EE3D" w14:textId="23F265A9" w:rsidR="00017141" w:rsidRPr="00BC6A40" w:rsidRDefault="00DA2AA1" w:rsidP="00287845">
      <w:pPr>
        <w:numPr>
          <w:ilvl w:val="0"/>
          <w:numId w:val="18"/>
        </w:numPr>
        <w:spacing w:after="160" w:line="259" w:lineRule="auto"/>
        <w:rPr>
          <w:rFonts w:ascii="Times New Roman" w:eastAsia="Calibri" w:hAnsi="Times New Roman"/>
          <w:sz w:val="24"/>
        </w:rPr>
      </w:pPr>
      <w:r w:rsidRPr="00BC6A40">
        <w:rPr>
          <w:rFonts w:ascii="Times New Roman" w:eastAsia="Calibri" w:hAnsi="Times New Roman"/>
          <w:sz w:val="24"/>
        </w:rPr>
        <w:t xml:space="preserve">The </w:t>
      </w:r>
      <w:r w:rsidR="00AB6C51" w:rsidRPr="00583D84">
        <w:rPr>
          <w:rFonts w:ascii="Times New Roman" w:eastAsia="Calibri" w:hAnsi="Times New Roman"/>
          <w:i/>
          <w:sz w:val="24"/>
        </w:rPr>
        <w:t>Anti-Money Laundering and Counter-Terrorism Financing Rules (</w:t>
      </w:r>
      <w:r w:rsidR="00583D84">
        <w:rPr>
          <w:rFonts w:ascii="Times New Roman" w:eastAsia="Calibri" w:hAnsi="Times New Roman"/>
          <w:i/>
          <w:sz w:val="24"/>
        </w:rPr>
        <w:t xml:space="preserve">Online Gambling </w:t>
      </w:r>
      <w:r w:rsidR="004E7A2A">
        <w:rPr>
          <w:rFonts w:ascii="Times New Roman" w:eastAsia="Calibri" w:hAnsi="Times New Roman"/>
          <w:i/>
          <w:sz w:val="24"/>
        </w:rPr>
        <w:t>Services</w:t>
      </w:r>
      <w:r w:rsidR="00583D84">
        <w:rPr>
          <w:rFonts w:ascii="Times New Roman" w:eastAsia="Calibri" w:hAnsi="Times New Roman"/>
          <w:i/>
          <w:sz w:val="24"/>
        </w:rPr>
        <w:t>)</w:t>
      </w:r>
      <w:r w:rsidR="00AB6C51" w:rsidRPr="00583D84">
        <w:rPr>
          <w:rFonts w:ascii="Times New Roman" w:eastAsia="Calibri" w:hAnsi="Times New Roman"/>
          <w:i/>
          <w:sz w:val="24"/>
        </w:rPr>
        <w:t xml:space="preserve"> </w:t>
      </w:r>
      <w:r w:rsidR="002843CC">
        <w:rPr>
          <w:rFonts w:ascii="Times New Roman" w:eastAsia="Calibri" w:hAnsi="Times New Roman"/>
          <w:i/>
          <w:sz w:val="24"/>
        </w:rPr>
        <w:t xml:space="preserve">Amendment </w:t>
      </w:r>
      <w:r w:rsidR="00AB6C51" w:rsidRPr="00583D84">
        <w:rPr>
          <w:rFonts w:ascii="Times New Roman" w:eastAsia="Calibri" w:hAnsi="Times New Roman"/>
          <w:i/>
          <w:sz w:val="24"/>
        </w:rPr>
        <w:t>Instrument 2023</w:t>
      </w:r>
      <w:r w:rsidRPr="00287845">
        <w:rPr>
          <w:rFonts w:ascii="Times New Roman" w:eastAsia="Calibri" w:hAnsi="Times New Roman"/>
          <w:sz w:val="24"/>
        </w:rPr>
        <w:t xml:space="preserve"> </w:t>
      </w:r>
      <w:r w:rsidRPr="00BC6A40">
        <w:rPr>
          <w:rFonts w:ascii="Times New Roman" w:eastAsia="Calibri" w:hAnsi="Times New Roman"/>
          <w:sz w:val="24"/>
        </w:rPr>
        <w:t xml:space="preserve">(the </w:t>
      </w:r>
      <w:r w:rsidRPr="00287845">
        <w:rPr>
          <w:rFonts w:ascii="Times New Roman" w:eastAsia="Calibri" w:hAnsi="Times New Roman"/>
          <w:b/>
          <w:sz w:val="24"/>
        </w:rPr>
        <w:t>Instrument</w:t>
      </w:r>
      <w:r w:rsidRPr="00BC6A40">
        <w:rPr>
          <w:rFonts w:ascii="Times New Roman" w:eastAsia="Calibri" w:hAnsi="Times New Roman"/>
          <w:sz w:val="24"/>
        </w:rPr>
        <w:t>)</w:t>
      </w:r>
      <w:r w:rsidRPr="00287845">
        <w:rPr>
          <w:rFonts w:ascii="Times New Roman" w:eastAsia="Calibri" w:hAnsi="Times New Roman"/>
          <w:sz w:val="24"/>
        </w:rPr>
        <w:t xml:space="preserve"> </w:t>
      </w:r>
      <w:r w:rsidRPr="00BC6A40">
        <w:rPr>
          <w:rFonts w:ascii="Times New Roman" w:eastAsia="Calibri" w:hAnsi="Times New Roman"/>
          <w:sz w:val="24"/>
        </w:rPr>
        <w:t xml:space="preserve">is </w:t>
      </w:r>
      <w:r w:rsidR="00017141" w:rsidRPr="00BC6A40">
        <w:rPr>
          <w:rFonts w:ascii="Times New Roman" w:eastAsia="Calibri" w:hAnsi="Times New Roman"/>
          <w:sz w:val="24"/>
        </w:rPr>
        <w:t xml:space="preserve">a legislative instrument for the purposes of the </w:t>
      </w:r>
      <w:r w:rsidR="00017141" w:rsidRPr="004E7A2A">
        <w:rPr>
          <w:rFonts w:ascii="Times New Roman" w:eastAsia="Calibri" w:hAnsi="Times New Roman"/>
          <w:i/>
          <w:sz w:val="24"/>
        </w:rPr>
        <w:t>Legislation Act 2003</w:t>
      </w:r>
      <w:r w:rsidR="00017141" w:rsidRPr="00BC6A40">
        <w:rPr>
          <w:rFonts w:ascii="Times New Roman" w:eastAsia="Calibri" w:hAnsi="Times New Roman"/>
          <w:sz w:val="24"/>
        </w:rPr>
        <w:t xml:space="preserve">. </w:t>
      </w:r>
    </w:p>
    <w:p w14:paraId="2630780F" w14:textId="46EDC3D6" w:rsidR="004F00BC" w:rsidRPr="00BC6A40" w:rsidRDefault="004F00BC" w:rsidP="00287845">
      <w:pPr>
        <w:numPr>
          <w:ilvl w:val="0"/>
          <w:numId w:val="18"/>
        </w:numPr>
        <w:spacing w:after="160" w:line="259" w:lineRule="auto"/>
        <w:rPr>
          <w:rFonts w:ascii="Times New Roman" w:eastAsia="Calibri" w:hAnsi="Times New Roman"/>
          <w:sz w:val="24"/>
        </w:rPr>
      </w:pPr>
      <w:r w:rsidRPr="00BC6A40">
        <w:rPr>
          <w:rFonts w:ascii="Times New Roman" w:eastAsia="Calibri" w:hAnsi="Times New Roman"/>
          <w:sz w:val="24"/>
        </w:rPr>
        <w:t xml:space="preserve">Details of the </w:t>
      </w:r>
      <w:r w:rsidR="00DA2AA1" w:rsidRPr="00BC6A40">
        <w:rPr>
          <w:rFonts w:ascii="Times New Roman" w:eastAsia="Calibri" w:hAnsi="Times New Roman"/>
          <w:sz w:val="24"/>
        </w:rPr>
        <w:t xml:space="preserve">Instrument </w:t>
      </w:r>
      <w:r w:rsidRPr="00BC6A40">
        <w:rPr>
          <w:rFonts w:ascii="Times New Roman" w:eastAsia="Calibri" w:hAnsi="Times New Roman"/>
          <w:sz w:val="24"/>
        </w:rPr>
        <w:t xml:space="preserve">are set out in </w:t>
      </w:r>
      <w:r w:rsidRPr="00287845">
        <w:rPr>
          <w:rFonts w:ascii="Times New Roman" w:eastAsia="Calibri" w:hAnsi="Times New Roman"/>
          <w:sz w:val="24"/>
        </w:rPr>
        <w:t>Attachment A.</w:t>
      </w:r>
    </w:p>
    <w:p w14:paraId="2C7A8DEC" w14:textId="1A7E0836" w:rsidR="004F00BC" w:rsidRPr="003B5048" w:rsidRDefault="004F00BC" w:rsidP="00287845">
      <w:pPr>
        <w:numPr>
          <w:ilvl w:val="0"/>
          <w:numId w:val="18"/>
        </w:numPr>
        <w:spacing w:after="160" w:line="259" w:lineRule="auto"/>
        <w:rPr>
          <w:rFonts w:ascii="Times New Roman" w:eastAsia="Calibri" w:hAnsi="Times New Roman"/>
          <w:sz w:val="24"/>
        </w:rPr>
      </w:pPr>
      <w:r w:rsidRPr="00BC6A40">
        <w:rPr>
          <w:rFonts w:ascii="Times New Roman" w:eastAsia="Calibri" w:hAnsi="Times New Roman"/>
          <w:sz w:val="24"/>
        </w:rPr>
        <w:t xml:space="preserve">A Statement of Compatibility with Human Rights (the </w:t>
      </w:r>
      <w:r w:rsidRPr="00287845">
        <w:rPr>
          <w:rFonts w:ascii="Times New Roman" w:eastAsia="Calibri" w:hAnsi="Times New Roman"/>
          <w:b/>
          <w:sz w:val="24"/>
        </w:rPr>
        <w:t>Statement</w:t>
      </w:r>
      <w:r w:rsidRPr="00BC6A40">
        <w:rPr>
          <w:rFonts w:ascii="Times New Roman" w:eastAsia="Calibri" w:hAnsi="Times New Roman"/>
          <w:sz w:val="24"/>
        </w:rPr>
        <w:t xml:space="preserve">) </w:t>
      </w:r>
      <w:r w:rsidR="00DA2AA1" w:rsidRPr="00BC6A40">
        <w:rPr>
          <w:rFonts w:ascii="Times New Roman" w:eastAsia="Calibri" w:hAnsi="Times New Roman"/>
          <w:sz w:val="24"/>
        </w:rPr>
        <w:t xml:space="preserve">is at </w:t>
      </w:r>
      <w:r w:rsidR="00DA2AA1" w:rsidRPr="00287845">
        <w:rPr>
          <w:rFonts w:ascii="Times New Roman" w:eastAsia="Calibri" w:hAnsi="Times New Roman"/>
          <w:sz w:val="24"/>
        </w:rPr>
        <w:t>Attachment B</w:t>
      </w:r>
      <w:r w:rsidR="00DA2AA1" w:rsidRPr="003B5048">
        <w:rPr>
          <w:rFonts w:ascii="Times New Roman" w:eastAsia="Calibri" w:hAnsi="Times New Roman"/>
          <w:sz w:val="24"/>
        </w:rPr>
        <w:t xml:space="preserve">. The Statement </w:t>
      </w:r>
      <w:r w:rsidR="00AE3182">
        <w:rPr>
          <w:rFonts w:ascii="Times New Roman" w:eastAsia="Calibri" w:hAnsi="Times New Roman"/>
          <w:sz w:val="24"/>
        </w:rPr>
        <w:t>was</w:t>
      </w:r>
      <w:r w:rsidRPr="003B5048">
        <w:rPr>
          <w:rFonts w:ascii="Times New Roman" w:eastAsia="Calibri" w:hAnsi="Times New Roman"/>
          <w:sz w:val="24"/>
        </w:rPr>
        <w:t xml:space="preserve"> completed in accordance with the </w:t>
      </w:r>
      <w:r w:rsidRPr="00287845">
        <w:rPr>
          <w:rFonts w:ascii="Times New Roman" w:eastAsia="Calibri" w:hAnsi="Times New Roman"/>
          <w:i/>
          <w:sz w:val="24"/>
        </w:rPr>
        <w:t>Human Rights</w:t>
      </w:r>
      <w:r w:rsidRPr="003B5048">
        <w:rPr>
          <w:rFonts w:ascii="Times New Roman" w:eastAsia="Calibri" w:hAnsi="Times New Roman"/>
          <w:i/>
          <w:iCs/>
          <w:sz w:val="24"/>
        </w:rPr>
        <w:t xml:space="preserve"> (Parliamentary Scrutiny) Act 2011. </w:t>
      </w:r>
      <w:r w:rsidRPr="00E75C18">
        <w:rPr>
          <w:rFonts w:ascii="Times New Roman" w:eastAsia="Calibri" w:hAnsi="Times New Roman"/>
          <w:sz w:val="24"/>
        </w:rPr>
        <w:t xml:space="preserve">The overall assessment is that the </w:t>
      </w:r>
      <w:r w:rsidR="00DA2AA1" w:rsidRPr="00E75C18">
        <w:rPr>
          <w:rFonts w:ascii="Times New Roman" w:eastAsia="Calibri" w:hAnsi="Times New Roman"/>
          <w:sz w:val="24"/>
        </w:rPr>
        <w:t>Amendment Instrument</w:t>
      </w:r>
      <w:r w:rsidR="001C55AA" w:rsidRPr="00E75C18">
        <w:rPr>
          <w:rFonts w:ascii="Times New Roman" w:eastAsia="Calibri" w:hAnsi="Times New Roman"/>
          <w:sz w:val="24"/>
        </w:rPr>
        <w:t xml:space="preserve"> </w:t>
      </w:r>
      <w:r w:rsidR="00DA2AA1" w:rsidRPr="00E75C18">
        <w:rPr>
          <w:rFonts w:ascii="Times New Roman" w:eastAsia="Calibri" w:hAnsi="Times New Roman"/>
          <w:sz w:val="24"/>
        </w:rPr>
        <w:t xml:space="preserve">is </w:t>
      </w:r>
      <w:r w:rsidR="001C55AA" w:rsidRPr="00E75C18">
        <w:rPr>
          <w:rFonts w:ascii="Times New Roman" w:eastAsia="Calibri" w:hAnsi="Times New Roman"/>
          <w:sz w:val="24"/>
        </w:rPr>
        <w:t>compatible with them.</w:t>
      </w:r>
      <w:r w:rsidRPr="003B5048">
        <w:rPr>
          <w:rFonts w:ascii="Times New Roman" w:eastAsia="Calibri" w:hAnsi="Times New Roman"/>
          <w:sz w:val="24"/>
        </w:rPr>
        <w:t xml:space="preserve"> </w:t>
      </w:r>
    </w:p>
    <w:p w14:paraId="7F67CB67" w14:textId="05610210" w:rsidR="004F00BC" w:rsidRDefault="004F00BC" w:rsidP="00BD02D0">
      <w:pPr>
        <w:spacing w:after="160" w:line="259" w:lineRule="auto"/>
        <w:ind w:left="720"/>
        <w:rPr>
          <w:rFonts w:ascii="Times New Roman" w:eastAsia="Calibri" w:hAnsi="Times New Roman"/>
          <w:b/>
          <w:sz w:val="24"/>
        </w:rPr>
      </w:pPr>
      <w:r w:rsidRPr="003B5048">
        <w:rPr>
          <w:rFonts w:ascii="Times New Roman" w:eastAsia="Calibri" w:hAnsi="Times New Roman"/>
          <w:b/>
          <w:sz w:val="24"/>
        </w:rPr>
        <w:t>Background</w:t>
      </w:r>
    </w:p>
    <w:p w14:paraId="6AD1789E" w14:textId="2324BCE3" w:rsidR="0097440E" w:rsidRDefault="00E80931" w:rsidP="00BD02D0">
      <w:pPr>
        <w:tabs>
          <w:tab w:val="left" w:pos="360"/>
          <w:tab w:val="left" w:pos="1080"/>
          <w:tab w:val="left" w:pos="3600"/>
        </w:tabs>
        <w:ind w:left="720"/>
        <w:rPr>
          <w:rFonts w:ascii="Times New Roman" w:hAnsi="Times New Roman"/>
          <w:b/>
          <w:sz w:val="24"/>
        </w:rPr>
      </w:pPr>
      <w:r>
        <w:rPr>
          <w:rFonts w:ascii="Times New Roman" w:hAnsi="Times New Roman"/>
          <w:b/>
          <w:i/>
          <w:sz w:val="24"/>
        </w:rPr>
        <w:t>A</w:t>
      </w:r>
      <w:r w:rsidR="0097440E" w:rsidRPr="00273B1A">
        <w:rPr>
          <w:rFonts w:ascii="Times New Roman" w:hAnsi="Times New Roman"/>
          <w:b/>
          <w:i/>
          <w:sz w:val="24"/>
        </w:rPr>
        <w:t>mendment to Chapter 10 implementing changes to the</w:t>
      </w:r>
      <w:r w:rsidR="0097440E" w:rsidRPr="00273B1A">
        <w:rPr>
          <w:rFonts w:ascii="Times New Roman" w:hAnsi="Times New Roman"/>
          <w:b/>
          <w:sz w:val="24"/>
        </w:rPr>
        <w:t xml:space="preserve"> </w:t>
      </w:r>
      <w:r w:rsidR="0097440E" w:rsidRPr="00273B1A">
        <w:rPr>
          <w:rFonts w:ascii="Times New Roman" w:hAnsi="Times New Roman"/>
          <w:b/>
          <w:i/>
          <w:sz w:val="24"/>
        </w:rPr>
        <w:t xml:space="preserve">National Consumer Protection Framework for Online Wagering </w:t>
      </w:r>
    </w:p>
    <w:p w14:paraId="3DFFEE94" w14:textId="77777777" w:rsidR="00287845" w:rsidRPr="00273B1A" w:rsidRDefault="00287845" w:rsidP="00BD02D0">
      <w:pPr>
        <w:tabs>
          <w:tab w:val="left" w:pos="360"/>
          <w:tab w:val="left" w:pos="1080"/>
          <w:tab w:val="left" w:pos="3600"/>
        </w:tabs>
        <w:ind w:left="720"/>
        <w:rPr>
          <w:rFonts w:ascii="Times New Roman" w:hAnsi="Times New Roman"/>
          <w:b/>
          <w:i/>
          <w:sz w:val="24"/>
        </w:rPr>
      </w:pPr>
    </w:p>
    <w:p w14:paraId="1725EAB4" w14:textId="5C540CE8" w:rsidR="00583D84" w:rsidRPr="00583D84" w:rsidRDefault="00583D84" w:rsidP="00583D84">
      <w:pPr>
        <w:numPr>
          <w:ilvl w:val="0"/>
          <w:numId w:val="18"/>
        </w:numPr>
        <w:spacing w:after="160" w:line="259" w:lineRule="auto"/>
        <w:rPr>
          <w:rFonts w:ascii="Times New Roman" w:eastAsia="Calibri" w:hAnsi="Times New Roman"/>
          <w:sz w:val="24"/>
        </w:rPr>
      </w:pPr>
      <w:r>
        <w:rPr>
          <w:rFonts w:ascii="Times New Roman" w:eastAsia="Calibri" w:hAnsi="Times New Roman"/>
          <w:sz w:val="24"/>
        </w:rPr>
        <w:t xml:space="preserve">Section 33 of the AML/CTF Act </w:t>
      </w:r>
      <w:r w:rsidR="000D00F3">
        <w:rPr>
          <w:rFonts w:ascii="Times New Roman" w:eastAsia="Calibri" w:hAnsi="Times New Roman"/>
          <w:sz w:val="24"/>
        </w:rPr>
        <w:t xml:space="preserve">allows a reporting entity to carry out </w:t>
      </w:r>
      <w:r w:rsidRPr="00583D84">
        <w:rPr>
          <w:rFonts w:ascii="Times New Roman" w:eastAsia="Calibri" w:hAnsi="Times New Roman"/>
          <w:sz w:val="24"/>
        </w:rPr>
        <w:t>the applicable customer identifica</w:t>
      </w:r>
      <w:r w:rsidR="000D00F3">
        <w:rPr>
          <w:rFonts w:ascii="Times New Roman" w:eastAsia="Calibri" w:hAnsi="Times New Roman"/>
          <w:sz w:val="24"/>
        </w:rPr>
        <w:t xml:space="preserve">tion procedure </w:t>
      </w:r>
      <w:r w:rsidR="000D00F3" w:rsidRPr="007D60FE">
        <w:rPr>
          <w:rFonts w:ascii="Times New Roman" w:eastAsia="Calibri" w:hAnsi="Times New Roman"/>
          <w:sz w:val="24"/>
        </w:rPr>
        <w:t>in</w:t>
      </w:r>
      <w:r w:rsidR="000D00F3">
        <w:rPr>
          <w:rFonts w:ascii="Times New Roman" w:eastAsia="Calibri" w:hAnsi="Times New Roman"/>
          <w:sz w:val="24"/>
        </w:rPr>
        <w:t xml:space="preserve"> respect of a customer after commencing to provide</w:t>
      </w:r>
      <w:r w:rsidRPr="00583D84">
        <w:rPr>
          <w:rFonts w:ascii="Times New Roman" w:eastAsia="Calibri" w:hAnsi="Times New Roman"/>
          <w:sz w:val="24"/>
        </w:rPr>
        <w:t xml:space="preserve"> a designated service if the service is specifi</w:t>
      </w:r>
      <w:r w:rsidR="000D00F3">
        <w:rPr>
          <w:rFonts w:ascii="Times New Roman" w:eastAsia="Calibri" w:hAnsi="Times New Roman"/>
          <w:sz w:val="24"/>
        </w:rPr>
        <w:t xml:space="preserve">ed in the AML/CTF Rules, and any conditions set out </w:t>
      </w:r>
      <w:r w:rsidRPr="00583D84">
        <w:rPr>
          <w:rFonts w:ascii="Times New Roman" w:eastAsia="Calibri" w:hAnsi="Times New Roman"/>
          <w:sz w:val="24"/>
        </w:rPr>
        <w:t>in the AML/CTF Rules are satisfied.</w:t>
      </w:r>
    </w:p>
    <w:p w14:paraId="6FB4682B" w14:textId="6E3C9B02" w:rsidR="00AB6C51" w:rsidRPr="00287845" w:rsidRDefault="00AB6C51" w:rsidP="00287845">
      <w:pPr>
        <w:numPr>
          <w:ilvl w:val="0"/>
          <w:numId w:val="18"/>
        </w:numPr>
        <w:spacing w:after="160" w:line="259" w:lineRule="auto"/>
        <w:rPr>
          <w:rFonts w:ascii="Times New Roman" w:eastAsia="Calibri" w:hAnsi="Times New Roman"/>
          <w:sz w:val="24"/>
        </w:rPr>
      </w:pPr>
      <w:r w:rsidRPr="00287845">
        <w:rPr>
          <w:rFonts w:ascii="Times New Roman" w:eastAsia="Calibri" w:hAnsi="Times New Roman"/>
          <w:sz w:val="24"/>
        </w:rPr>
        <w:lastRenderedPageBreak/>
        <w:t>Part 10.4 of the AML/CTF Rules sets out the special circumstances that justify carrying out the applicable customer identification procedure after commencement of the provision of online gambling services.</w:t>
      </w:r>
    </w:p>
    <w:p w14:paraId="3240C73C" w14:textId="39EAFF40" w:rsidR="00AB6C51" w:rsidRDefault="00AB6C51" w:rsidP="00287845">
      <w:pPr>
        <w:numPr>
          <w:ilvl w:val="0"/>
          <w:numId w:val="18"/>
        </w:numPr>
        <w:spacing w:after="160" w:line="259" w:lineRule="auto"/>
        <w:rPr>
          <w:rFonts w:ascii="Times New Roman" w:hAnsi="Times New Roman"/>
          <w:sz w:val="24"/>
        </w:rPr>
      </w:pPr>
      <w:r w:rsidRPr="00287845">
        <w:rPr>
          <w:rFonts w:ascii="Times New Roman" w:eastAsia="Calibri" w:hAnsi="Times New Roman"/>
          <w:sz w:val="24"/>
        </w:rPr>
        <w:t>Where</w:t>
      </w:r>
      <w:r>
        <w:rPr>
          <w:rFonts w:ascii="Times New Roman" w:hAnsi="Times New Roman"/>
          <w:sz w:val="24"/>
        </w:rPr>
        <w:t xml:space="preserve"> the special circumstances apply, paragraph 10.4.4 </w:t>
      </w:r>
      <w:r w:rsidR="0080608B">
        <w:rPr>
          <w:rFonts w:ascii="Times New Roman" w:hAnsi="Times New Roman"/>
          <w:sz w:val="24"/>
        </w:rPr>
        <w:t xml:space="preserve">of the AML/CTF Rules </w:t>
      </w:r>
      <w:r>
        <w:rPr>
          <w:rFonts w:ascii="Times New Roman" w:hAnsi="Times New Roman"/>
          <w:sz w:val="24"/>
        </w:rPr>
        <w:t>sets out the period in which the reporting entity is required to carry out the applicable customer identification procedure, in relation to online gambling services.</w:t>
      </w:r>
    </w:p>
    <w:p w14:paraId="010D3AD1" w14:textId="4569D328" w:rsidR="0097440E" w:rsidRDefault="0097440E" w:rsidP="00EA4767">
      <w:pPr>
        <w:numPr>
          <w:ilvl w:val="0"/>
          <w:numId w:val="18"/>
        </w:numPr>
        <w:spacing w:after="160" w:line="259" w:lineRule="auto"/>
        <w:rPr>
          <w:rFonts w:ascii="Times New Roman" w:hAnsi="Times New Roman"/>
          <w:sz w:val="24"/>
        </w:rPr>
      </w:pPr>
      <w:r w:rsidRPr="005C4572">
        <w:rPr>
          <w:rFonts w:ascii="Times New Roman" w:hAnsi="Times New Roman"/>
          <w:sz w:val="24"/>
        </w:rPr>
        <w:t xml:space="preserve">The Commonwealth, </w:t>
      </w:r>
      <w:r>
        <w:rPr>
          <w:rFonts w:ascii="Times New Roman" w:hAnsi="Times New Roman"/>
          <w:sz w:val="24"/>
        </w:rPr>
        <w:t>St</w:t>
      </w:r>
      <w:r w:rsidRPr="005C4572">
        <w:rPr>
          <w:rFonts w:ascii="Times New Roman" w:hAnsi="Times New Roman"/>
          <w:sz w:val="24"/>
        </w:rPr>
        <w:t xml:space="preserve">ate and </w:t>
      </w:r>
      <w:r>
        <w:rPr>
          <w:rFonts w:ascii="Times New Roman" w:hAnsi="Times New Roman"/>
          <w:sz w:val="24"/>
        </w:rPr>
        <w:t>T</w:t>
      </w:r>
      <w:r w:rsidRPr="005C4572">
        <w:rPr>
          <w:rFonts w:ascii="Times New Roman" w:hAnsi="Times New Roman"/>
          <w:sz w:val="24"/>
        </w:rPr>
        <w:t xml:space="preserve">erritory governments are responsible for implementing the </w:t>
      </w:r>
      <w:r w:rsidR="00EA4767" w:rsidRPr="00EA4767">
        <w:rPr>
          <w:rFonts w:ascii="Times New Roman" w:hAnsi="Times New Roman"/>
          <w:sz w:val="24"/>
        </w:rPr>
        <w:t>National Consumer Protection Framework for Online Wagering (the National Framework)</w:t>
      </w:r>
      <w:r w:rsidRPr="005C4572">
        <w:rPr>
          <w:rFonts w:ascii="Times New Roman" w:hAnsi="Times New Roman"/>
          <w:sz w:val="24"/>
        </w:rPr>
        <w:t xml:space="preserve">. Amongst other matters, the National Framework addresses the </w:t>
      </w:r>
      <w:r>
        <w:rPr>
          <w:rFonts w:ascii="Times New Roman" w:hAnsi="Times New Roman"/>
          <w:sz w:val="24"/>
        </w:rPr>
        <w:t>timeframe in which online wagering providers are required to verify their customer</w:t>
      </w:r>
      <w:r w:rsidR="007D60FE">
        <w:rPr>
          <w:rFonts w:ascii="Times New Roman" w:hAnsi="Times New Roman"/>
          <w:sz w:val="24"/>
        </w:rPr>
        <w:t>’</w:t>
      </w:r>
      <w:r>
        <w:rPr>
          <w:rFonts w:ascii="Times New Roman" w:hAnsi="Times New Roman"/>
          <w:sz w:val="24"/>
        </w:rPr>
        <w:t>s identity</w:t>
      </w:r>
      <w:r w:rsidRPr="005C4572">
        <w:rPr>
          <w:rFonts w:ascii="Times New Roman" w:hAnsi="Times New Roman"/>
          <w:sz w:val="24"/>
        </w:rPr>
        <w:t xml:space="preserve">. </w:t>
      </w:r>
    </w:p>
    <w:p w14:paraId="5DF03467" w14:textId="0DB46035" w:rsidR="0097440E" w:rsidRDefault="00AB6C51" w:rsidP="00EA4767">
      <w:pPr>
        <w:numPr>
          <w:ilvl w:val="0"/>
          <w:numId w:val="18"/>
        </w:numPr>
        <w:spacing w:after="160" w:line="259" w:lineRule="auto"/>
        <w:rPr>
          <w:rFonts w:ascii="Times New Roman" w:hAnsi="Times New Roman"/>
          <w:sz w:val="24"/>
        </w:rPr>
      </w:pPr>
      <w:r w:rsidRPr="00EA4767">
        <w:rPr>
          <w:rFonts w:ascii="Times New Roman" w:hAnsi="Times New Roman"/>
          <w:sz w:val="24"/>
        </w:rPr>
        <w:t>Following agreement between Commonwealth, State and Territory ministers responsible for gambling (the</w:t>
      </w:r>
      <w:r w:rsidRPr="00EA4767">
        <w:rPr>
          <w:rFonts w:ascii="Times New Roman" w:hAnsi="Times New Roman"/>
          <w:b/>
          <w:sz w:val="24"/>
        </w:rPr>
        <w:t xml:space="preserve"> ministers</w:t>
      </w:r>
      <w:r w:rsidRPr="00EA4767">
        <w:rPr>
          <w:rFonts w:ascii="Times New Roman" w:hAnsi="Times New Roman"/>
          <w:sz w:val="24"/>
        </w:rPr>
        <w:t>), i</w:t>
      </w:r>
      <w:r w:rsidR="0097440E" w:rsidRPr="00EA4767">
        <w:rPr>
          <w:rFonts w:ascii="Times New Roman" w:hAnsi="Times New Roman"/>
          <w:sz w:val="24"/>
        </w:rPr>
        <w:t xml:space="preserve">n </w:t>
      </w:r>
      <w:r w:rsidRPr="00EA4767">
        <w:rPr>
          <w:rFonts w:ascii="Times New Roman" w:hAnsi="Times New Roman"/>
          <w:sz w:val="24"/>
        </w:rPr>
        <w:t>May 2022</w:t>
      </w:r>
      <w:r w:rsidR="0097440E" w:rsidRPr="00EA4767">
        <w:rPr>
          <w:rFonts w:ascii="Times New Roman" w:hAnsi="Times New Roman"/>
          <w:sz w:val="24"/>
        </w:rPr>
        <w:t xml:space="preserve">, the period within which reporting entities are required to carry out the applicable identification procedure in relation to online gambling </w:t>
      </w:r>
      <w:r w:rsidR="004E7A2A">
        <w:rPr>
          <w:rFonts w:ascii="Times New Roman" w:hAnsi="Times New Roman"/>
          <w:sz w:val="24"/>
        </w:rPr>
        <w:t>services</w:t>
      </w:r>
      <w:r w:rsidR="004E7A2A" w:rsidRPr="00EA4767">
        <w:rPr>
          <w:rFonts w:ascii="Times New Roman" w:hAnsi="Times New Roman"/>
          <w:sz w:val="24"/>
        </w:rPr>
        <w:t xml:space="preserve"> </w:t>
      </w:r>
      <w:r w:rsidR="0097440E" w:rsidRPr="00EA4767">
        <w:rPr>
          <w:rFonts w:ascii="Times New Roman" w:hAnsi="Times New Roman"/>
          <w:sz w:val="24"/>
        </w:rPr>
        <w:t xml:space="preserve">was reduced from </w:t>
      </w:r>
      <w:r w:rsidRPr="00EA4767">
        <w:rPr>
          <w:rFonts w:ascii="Times New Roman" w:hAnsi="Times New Roman"/>
          <w:sz w:val="24"/>
        </w:rPr>
        <w:t>14</w:t>
      </w:r>
      <w:r w:rsidR="0097440E" w:rsidRPr="00EA4767">
        <w:rPr>
          <w:rFonts w:ascii="Times New Roman" w:hAnsi="Times New Roman"/>
          <w:sz w:val="24"/>
        </w:rPr>
        <w:t xml:space="preserve"> days to </w:t>
      </w:r>
      <w:r w:rsidRPr="00EA4767">
        <w:rPr>
          <w:rFonts w:ascii="Times New Roman" w:hAnsi="Times New Roman"/>
          <w:sz w:val="24"/>
        </w:rPr>
        <w:t>72 hours</w:t>
      </w:r>
      <w:r w:rsidR="0097440E" w:rsidRPr="00EA4767">
        <w:rPr>
          <w:rFonts w:ascii="Times New Roman" w:hAnsi="Times New Roman"/>
          <w:sz w:val="24"/>
        </w:rPr>
        <w:t xml:space="preserve"> through an amendment to Part 10.4 of the AML/CTF Rules. </w:t>
      </w:r>
    </w:p>
    <w:p w14:paraId="21E56495" w14:textId="1EBC8484" w:rsidR="0097440E" w:rsidRDefault="00AB6C51" w:rsidP="00EA4767">
      <w:pPr>
        <w:numPr>
          <w:ilvl w:val="0"/>
          <w:numId w:val="18"/>
        </w:numPr>
        <w:spacing w:after="160" w:line="259" w:lineRule="auto"/>
        <w:rPr>
          <w:rFonts w:ascii="Times New Roman" w:hAnsi="Times New Roman"/>
          <w:sz w:val="24"/>
        </w:rPr>
      </w:pPr>
      <w:r w:rsidRPr="00EA4767">
        <w:rPr>
          <w:rFonts w:ascii="Times New Roman" w:hAnsi="Times New Roman"/>
          <w:sz w:val="24"/>
        </w:rPr>
        <w:t xml:space="preserve">The ministers have now agreed to implement pre-verification </w:t>
      </w:r>
      <w:r w:rsidR="007A4676" w:rsidRPr="00EA4767">
        <w:rPr>
          <w:rFonts w:ascii="Times New Roman" w:hAnsi="Times New Roman"/>
          <w:sz w:val="24"/>
        </w:rPr>
        <w:t xml:space="preserve">for online gambling </w:t>
      </w:r>
      <w:r w:rsidR="004E7A2A">
        <w:rPr>
          <w:rFonts w:ascii="Times New Roman" w:hAnsi="Times New Roman"/>
          <w:sz w:val="24"/>
        </w:rPr>
        <w:t>services</w:t>
      </w:r>
      <w:r w:rsidR="007A4676" w:rsidRPr="00EA4767">
        <w:rPr>
          <w:rFonts w:ascii="Times New Roman" w:hAnsi="Times New Roman"/>
          <w:sz w:val="24"/>
        </w:rPr>
        <w:t>.</w:t>
      </w:r>
      <w:r w:rsidR="00EA4767">
        <w:rPr>
          <w:rFonts w:ascii="Times New Roman" w:hAnsi="Times New Roman"/>
          <w:sz w:val="24"/>
        </w:rPr>
        <w:t xml:space="preserve"> The</w:t>
      </w:r>
      <w:r w:rsidR="0097440E" w:rsidRPr="00EA4767">
        <w:rPr>
          <w:rFonts w:ascii="Times New Roman" w:hAnsi="Times New Roman"/>
          <w:sz w:val="24"/>
        </w:rPr>
        <w:t xml:space="preserve"> </w:t>
      </w:r>
      <w:r w:rsidR="00AB5C4D">
        <w:rPr>
          <w:rFonts w:ascii="Times New Roman" w:hAnsi="Times New Roman"/>
          <w:sz w:val="24"/>
        </w:rPr>
        <w:t xml:space="preserve">Amendment </w:t>
      </w:r>
      <w:r w:rsidR="00E80931" w:rsidRPr="00EA4767">
        <w:rPr>
          <w:rFonts w:ascii="Times New Roman" w:hAnsi="Times New Roman"/>
          <w:sz w:val="24"/>
        </w:rPr>
        <w:t>Instrument</w:t>
      </w:r>
      <w:r w:rsidR="0097440E" w:rsidRPr="00EA4767">
        <w:rPr>
          <w:rFonts w:ascii="Times New Roman" w:hAnsi="Times New Roman"/>
          <w:sz w:val="24"/>
        </w:rPr>
        <w:t xml:space="preserve"> </w:t>
      </w:r>
      <w:r w:rsidR="007A4676" w:rsidRPr="00EA4767">
        <w:rPr>
          <w:rFonts w:ascii="Times New Roman" w:hAnsi="Times New Roman"/>
          <w:sz w:val="24"/>
        </w:rPr>
        <w:t>operationalises that agreement by repealing Part 10.4 of the AML/CTF Act.</w:t>
      </w:r>
    </w:p>
    <w:p w14:paraId="1F84A49A" w14:textId="0858C2A8" w:rsidR="00E06A26" w:rsidRDefault="0097440E" w:rsidP="00EA4767">
      <w:pPr>
        <w:numPr>
          <w:ilvl w:val="0"/>
          <w:numId w:val="18"/>
        </w:numPr>
        <w:spacing w:after="160" w:line="259" w:lineRule="auto"/>
        <w:rPr>
          <w:rFonts w:ascii="Times New Roman" w:hAnsi="Times New Roman"/>
          <w:sz w:val="24"/>
        </w:rPr>
      </w:pPr>
      <w:r w:rsidRPr="00EA4767">
        <w:rPr>
          <w:rFonts w:ascii="Times New Roman" w:hAnsi="Times New Roman"/>
          <w:sz w:val="24"/>
        </w:rPr>
        <w:t xml:space="preserve">The </w:t>
      </w:r>
      <w:r w:rsidR="007A4676" w:rsidRPr="00EA4767">
        <w:rPr>
          <w:rFonts w:ascii="Times New Roman" w:hAnsi="Times New Roman"/>
          <w:sz w:val="24"/>
        </w:rPr>
        <w:t>repeal of Part 10.4</w:t>
      </w:r>
      <w:r w:rsidRPr="00EA4767">
        <w:rPr>
          <w:rFonts w:ascii="Times New Roman" w:hAnsi="Times New Roman"/>
          <w:sz w:val="24"/>
        </w:rPr>
        <w:t xml:space="preserve"> takes effect on </w:t>
      </w:r>
      <w:r w:rsidR="00F169C4">
        <w:rPr>
          <w:rFonts w:ascii="Times New Roman" w:hAnsi="Times New Roman"/>
          <w:sz w:val="24"/>
        </w:rPr>
        <w:t>29</w:t>
      </w:r>
      <w:r w:rsidR="00F169C4" w:rsidRPr="00EA4767">
        <w:rPr>
          <w:rFonts w:ascii="Times New Roman" w:hAnsi="Times New Roman"/>
          <w:sz w:val="24"/>
        </w:rPr>
        <w:t xml:space="preserve"> </w:t>
      </w:r>
      <w:r w:rsidR="00D7186E" w:rsidRPr="00EA4767">
        <w:rPr>
          <w:rFonts w:ascii="Times New Roman" w:hAnsi="Times New Roman"/>
          <w:sz w:val="24"/>
        </w:rPr>
        <w:t>September 2023</w:t>
      </w:r>
      <w:r w:rsidRPr="00EA4767">
        <w:rPr>
          <w:rFonts w:ascii="Times New Roman" w:hAnsi="Times New Roman"/>
          <w:sz w:val="24"/>
        </w:rPr>
        <w:t xml:space="preserve">. </w:t>
      </w:r>
    </w:p>
    <w:p w14:paraId="5E4383E1" w14:textId="4C0FBF78" w:rsidR="00EA4767" w:rsidRDefault="00EA4767" w:rsidP="00EA4767">
      <w:pPr>
        <w:spacing w:after="160" w:line="259" w:lineRule="auto"/>
        <w:ind w:left="720"/>
        <w:rPr>
          <w:rFonts w:ascii="Times New Roman" w:hAnsi="Times New Roman"/>
          <w:b/>
          <w:i/>
          <w:sz w:val="24"/>
        </w:rPr>
      </w:pPr>
      <w:r>
        <w:rPr>
          <w:rFonts w:ascii="Times New Roman" w:hAnsi="Times New Roman"/>
          <w:b/>
          <w:i/>
          <w:sz w:val="24"/>
        </w:rPr>
        <w:t>Inserting Chapter 82 relating to special circumstances that justify carrying out the applicable customer identification procedure after the commencement of the provision of a designated service</w:t>
      </w:r>
    </w:p>
    <w:p w14:paraId="6D66F74B" w14:textId="58A390A4" w:rsidR="000D00F3" w:rsidRPr="000D00F3" w:rsidRDefault="00331543" w:rsidP="000D00F3">
      <w:pPr>
        <w:numPr>
          <w:ilvl w:val="0"/>
          <w:numId w:val="18"/>
        </w:numPr>
        <w:spacing w:after="160" w:line="259" w:lineRule="auto"/>
        <w:rPr>
          <w:rFonts w:ascii="Times New Roman" w:hAnsi="Times New Roman"/>
          <w:sz w:val="24"/>
        </w:rPr>
      </w:pPr>
      <w:r w:rsidRPr="00331543">
        <w:rPr>
          <w:rFonts w:ascii="Times New Roman" w:hAnsi="Times New Roman"/>
          <w:sz w:val="24"/>
        </w:rPr>
        <w:t xml:space="preserve">Chapter 82 </w:t>
      </w:r>
      <w:r w:rsidR="000D00F3">
        <w:rPr>
          <w:rFonts w:ascii="Times New Roman" w:hAnsi="Times New Roman"/>
          <w:sz w:val="24"/>
        </w:rPr>
        <w:t xml:space="preserve">sets out the special circumstances </w:t>
      </w:r>
      <w:r w:rsidR="00586F80">
        <w:rPr>
          <w:rFonts w:ascii="Times New Roman" w:hAnsi="Times New Roman"/>
          <w:sz w:val="24"/>
        </w:rPr>
        <w:t xml:space="preserve">that apply in relation to online gambling services </w:t>
      </w:r>
      <w:r w:rsidR="000D00F3">
        <w:rPr>
          <w:rFonts w:ascii="Times New Roman" w:hAnsi="Times New Roman"/>
          <w:sz w:val="24"/>
        </w:rPr>
        <w:t xml:space="preserve">in which a reporting entity may carry out the applicable customer identification procedure in respect of a customer, after commencing to provide </w:t>
      </w:r>
      <w:r w:rsidR="00947B93">
        <w:rPr>
          <w:rFonts w:ascii="Times New Roman" w:hAnsi="Times New Roman"/>
          <w:sz w:val="24"/>
        </w:rPr>
        <w:t>a</w:t>
      </w:r>
      <w:r w:rsidR="000D00F3">
        <w:rPr>
          <w:rFonts w:ascii="Times New Roman" w:hAnsi="Times New Roman"/>
          <w:sz w:val="24"/>
        </w:rPr>
        <w:t xml:space="preserve"> designated </w:t>
      </w:r>
      <w:r w:rsidR="00BF7D65">
        <w:rPr>
          <w:rFonts w:ascii="Times New Roman" w:hAnsi="Times New Roman"/>
          <w:sz w:val="24"/>
        </w:rPr>
        <w:t xml:space="preserve">service </w:t>
      </w:r>
      <w:r>
        <w:rPr>
          <w:rFonts w:ascii="Times New Roman" w:hAnsi="Times New Roman"/>
          <w:sz w:val="24"/>
        </w:rPr>
        <w:t>described in item 11 of table 3 in subsection 6(4) of the AML/CTF Act</w:t>
      </w:r>
      <w:r w:rsidR="000D00F3">
        <w:rPr>
          <w:rFonts w:ascii="Times New Roman" w:hAnsi="Times New Roman"/>
          <w:sz w:val="24"/>
        </w:rPr>
        <w:t xml:space="preserve"> (opening an account)</w:t>
      </w:r>
      <w:r>
        <w:rPr>
          <w:rFonts w:ascii="Times New Roman" w:hAnsi="Times New Roman"/>
          <w:sz w:val="24"/>
        </w:rPr>
        <w:t>.</w:t>
      </w:r>
    </w:p>
    <w:p w14:paraId="773B58DD" w14:textId="3805AB32" w:rsidR="00270CB7" w:rsidRDefault="00947B93" w:rsidP="00405212">
      <w:pPr>
        <w:numPr>
          <w:ilvl w:val="0"/>
          <w:numId w:val="18"/>
        </w:numPr>
        <w:spacing w:after="160" w:line="259" w:lineRule="auto"/>
        <w:rPr>
          <w:rFonts w:ascii="Times New Roman" w:hAnsi="Times New Roman"/>
          <w:sz w:val="24"/>
        </w:rPr>
      </w:pPr>
      <w:r>
        <w:rPr>
          <w:rFonts w:ascii="Times New Roman" w:hAnsi="Times New Roman"/>
          <w:sz w:val="24"/>
        </w:rPr>
        <w:t xml:space="preserve">Reporting entities are not permitted to provide any other designated services to the customer (including </w:t>
      </w:r>
      <w:r w:rsidR="002843CC">
        <w:rPr>
          <w:rFonts w:ascii="Times New Roman" w:hAnsi="Times New Roman"/>
          <w:sz w:val="24"/>
        </w:rPr>
        <w:t xml:space="preserve">allowing </w:t>
      </w:r>
      <w:r>
        <w:rPr>
          <w:rFonts w:ascii="Times New Roman" w:hAnsi="Times New Roman"/>
          <w:sz w:val="24"/>
        </w:rPr>
        <w:t>a deposit</w:t>
      </w:r>
      <w:r w:rsidR="00F524CE">
        <w:rPr>
          <w:rFonts w:ascii="Times New Roman" w:hAnsi="Times New Roman"/>
          <w:sz w:val="24"/>
        </w:rPr>
        <w:t xml:space="preserve"> or </w:t>
      </w:r>
      <w:r w:rsidR="002843CC">
        <w:rPr>
          <w:rFonts w:ascii="Times New Roman" w:hAnsi="Times New Roman"/>
          <w:sz w:val="24"/>
        </w:rPr>
        <w:t xml:space="preserve">accepting </w:t>
      </w:r>
      <w:r w:rsidR="00F524CE">
        <w:rPr>
          <w:rFonts w:ascii="Times New Roman" w:hAnsi="Times New Roman"/>
          <w:sz w:val="24"/>
        </w:rPr>
        <w:t>bets</w:t>
      </w:r>
      <w:r>
        <w:rPr>
          <w:rFonts w:ascii="Times New Roman" w:hAnsi="Times New Roman"/>
          <w:sz w:val="24"/>
        </w:rPr>
        <w:t xml:space="preserve">) </w:t>
      </w:r>
      <w:r w:rsidR="000D00F3">
        <w:rPr>
          <w:rFonts w:ascii="Times New Roman" w:hAnsi="Times New Roman"/>
          <w:sz w:val="24"/>
        </w:rPr>
        <w:t>until the applicable customer identification procedure has been completed</w:t>
      </w:r>
      <w:r>
        <w:rPr>
          <w:rFonts w:ascii="Times New Roman" w:hAnsi="Times New Roman"/>
          <w:sz w:val="24"/>
        </w:rPr>
        <w:t>.</w:t>
      </w:r>
      <w:r w:rsidR="00270CB7">
        <w:rPr>
          <w:rFonts w:ascii="Times New Roman" w:hAnsi="Times New Roman"/>
          <w:sz w:val="24"/>
        </w:rPr>
        <w:t xml:space="preserve"> Furthermore, after</w:t>
      </w:r>
      <w:r w:rsidR="000D00F3">
        <w:rPr>
          <w:rFonts w:ascii="Times New Roman" w:hAnsi="Times New Roman"/>
          <w:sz w:val="24"/>
        </w:rPr>
        <w:t xml:space="preserve"> the end of the 72 hour period, </w:t>
      </w:r>
      <w:r w:rsidR="00682ECA">
        <w:rPr>
          <w:rFonts w:ascii="Times New Roman" w:hAnsi="Times New Roman"/>
          <w:sz w:val="24"/>
        </w:rPr>
        <w:t xml:space="preserve">the reporting entity cannot </w:t>
      </w:r>
      <w:r w:rsidR="00D3041E">
        <w:rPr>
          <w:rFonts w:ascii="Times New Roman" w:hAnsi="Times New Roman"/>
          <w:sz w:val="24"/>
        </w:rPr>
        <w:t xml:space="preserve">continue to provide, and must not commence to provide, any designated service to the customer until </w:t>
      </w:r>
      <w:r w:rsidR="00AB5C4D">
        <w:rPr>
          <w:rFonts w:ascii="Times New Roman" w:hAnsi="Times New Roman"/>
          <w:sz w:val="24"/>
        </w:rPr>
        <w:t xml:space="preserve">the </w:t>
      </w:r>
      <w:r w:rsidR="007D60FE">
        <w:rPr>
          <w:rFonts w:ascii="Times New Roman" w:hAnsi="Times New Roman"/>
          <w:sz w:val="24"/>
        </w:rPr>
        <w:t>applicable customer identification procedure</w:t>
      </w:r>
      <w:r w:rsidR="00D3041E">
        <w:rPr>
          <w:rFonts w:ascii="Times New Roman" w:hAnsi="Times New Roman"/>
          <w:sz w:val="24"/>
        </w:rPr>
        <w:t xml:space="preserve"> is </w:t>
      </w:r>
      <w:r w:rsidR="00682ECA">
        <w:rPr>
          <w:rFonts w:ascii="Times New Roman" w:hAnsi="Times New Roman"/>
          <w:sz w:val="24"/>
        </w:rPr>
        <w:t>completed</w:t>
      </w:r>
      <w:r w:rsidR="00D3041E">
        <w:rPr>
          <w:rFonts w:ascii="Times New Roman" w:hAnsi="Times New Roman"/>
          <w:sz w:val="24"/>
        </w:rPr>
        <w:t xml:space="preserve"> in respect of the customer</w:t>
      </w:r>
      <w:r w:rsidR="00682ECA">
        <w:rPr>
          <w:rFonts w:ascii="Times New Roman" w:hAnsi="Times New Roman"/>
          <w:sz w:val="24"/>
        </w:rPr>
        <w:t>.</w:t>
      </w:r>
      <w:r w:rsidR="00D3041E" w:rsidRPr="001A4632">
        <w:rPr>
          <w:rFonts w:ascii="Calibri" w:hAnsi="Calibri"/>
        </w:rPr>
        <w:t xml:space="preserve"> </w:t>
      </w:r>
    </w:p>
    <w:p w14:paraId="23561ADF" w14:textId="0F317CF0" w:rsidR="00E421B4" w:rsidRDefault="00E421B4" w:rsidP="00405212">
      <w:pPr>
        <w:numPr>
          <w:ilvl w:val="0"/>
          <w:numId w:val="18"/>
        </w:numPr>
        <w:spacing w:after="160" w:line="259" w:lineRule="auto"/>
        <w:rPr>
          <w:rFonts w:ascii="Times New Roman" w:hAnsi="Times New Roman"/>
          <w:sz w:val="24"/>
        </w:rPr>
      </w:pPr>
      <w:r>
        <w:rPr>
          <w:rFonts w:ascii="Times New Roman" w:hAnsi="Times New Roman"/>
          <w:sz w:val="24"/>
        </w:rPr>
        <w:t xml:space="preserve">The reporting entity may carry out </w:t>
      </w:r>
      <w:r w:rsidR="00AB5C4D">
        <w:rPr>
          <w:rFonts w:ascii="Times New Roman" w:hAnsi="Times New Roman"/>
          <w:sz w:val="24"/>
        </w:rPr>
        <w:t xml:space="preserve">the </w:t>
      </w:r>
      <w:r w:rsidR="007D60FE">
        <w:rPr>
          <w:rFonts w:ascii="Times New Roman" w:hAnsi="Times New Roman"/>
          <w:sz w:val="24"/>
        </w:rPr>
        <w:t>applicable customer identification procedure</w:t>
      </w:r>
      <w:r>
        <w:rPr>
          <w:rFonts w:ascii="Times New Roman" w:hAnsi="Times New Roman"/>
          <w:sz w:val="24"/>
        </w:rPr>
        <w:t xml:space="preserve"> on the customer after commencing to provide this designated service if it:</w:t>
      </w:r>
    </w:p>
    <w:p w14:paraId="53684AAF" w14:textId="33DC59F4" w:rsidR="00E421B4" w:rsidRPr="008267EC" w:rsidRDefault="008267EC" w:rsidP="00E421B4">
      <w:pPr>
        <w:numPr>
          <w:ilvl w:val="1"/>
          <w:numId w:val="18"/>
        </w:numPr>
        <w:spacing w:after="160" w:line="259" w:lineRule="auto"/>
        <w:rPr>
          <w:rFonts w:ascii="Times New Roman" w:hAnsi="Times New Roman"/>
          <w:sz w:val="24"/>
        </w:rPr>
      </w:pPr>
      <w:r w:rsidRPr="00B63BCF">
        <w:rPr>
          <w:rFonts w:ascii="Times New Roman" w:hAnsi="Times New Roman"/>
          <w:sz w:val="24"/>
        </w:rPr>
        <w:lastRenderedPageBreak/>
        <w:t>has determined on reasonable grounds that doing so is essential to avoid interrupting the ordinary course of its business</w:t>
      </w:r>
    </w:p>
    <w:p w14:paraId="2773B12C" w14:textId="0A6E40A9" w:rsidR="008267EC" w:rsidRPr="008267EC" w:rsidRDefault="008267EC" w:rsidP="00E421B4">
      <w:pPr>
        <w:numPr>
          <w:ilvl w:val="1"/>
          <w:numId w:val="18"/>
        </w:numPr>
        <w:spacing w:after="160" w:line="259" w:lineRule="auto"/>
        <w:rPr>
          <w:rFonts w:ascii="Times New Roman" w:hAnsi="Times New Roman"/>
          <w:sz w:val="24"/>
        </w:rPr>
      </w:pPr>
      <w:r w:rsidRPr="00B63BCF">
        <w:rPr>
          <w:rFonts w:ascii="Times New Roman" w:hAnsi="Times New Roman"/>
          <w:sz w:val="24"/>
        </w:rPr>
        <w:t xml:space="preserve">has determined on reasonable grounds that any additional ML/TF risk arising from carrying out the </w:t>
      </w:r>
      <w:r w:rsidR="007D60FE">
        <w:rPr>
          <w:rFonts w:ascii="Times New Roman" w:hAnsi="Times New Roman"/>
          <w:sz w:val="24"/>
        </w:rPr>
        <w:t>applicable customer identification procedure</w:t>
      </w:r>
      <w:r w:rsidR="007D60FE" w:rsidRPr="00B63BCF">
        <w:rPr>
          <w:rFonts w:ascii="Times New Roman" w:hAnsi="Times New Roman"/>
          <w:sz w:val="24"/>
        </w:rPr>
        <w:t xml:space="preserve"> </w:t>
      </w:r>
      <w:r w:rsidRPr="00B63BCF">
        <w:rPr>
          <w:rFonts w:ascii="Times New Roman" w:hAnsi="Times New Roman"/>
          <w:sz w:val="24"/>
        </w:rPr>
        <w:t>after commencing to provide the designated service specified in paragraph 82.</w:t>
      </w:r>
      <w:r w:rsidR="00586F80">
        <w:rPr>
          <w:rFonts w:ascii="Times New Roman" w:hAnsi="Times New Roman"/>
          <w:sz w:val="24"/>
        </w:rPr>
        <w:t>3</w:t>
      </w:r>
      <w:r w:rsidRPr="00B63BCF">
        <w:rPr>
          <w:rFonts w:ascii="Times New Roman" w:hAnsi="Times New Roman"/>
          <w:sz w:val="24"/>
        </w:rPr>
        <w:t xml:space="preserve"> is low</w:t>
      </w:r>
    </w:p>
    <w:p w14:paraId="75FFA6D8" w14:textId="6C3E7595" w:rsidR="008267EC" w:rsidRPr="008267EC" w:rsidRDefault="008267EC" w:rsidP="00E421B4">
      <w:pPr>
        <w:numPr>
          <w:ilvl w:val="1"/>
          <w:numId w:val="18"/>
        </w:numPr>
        <w:spacing w:after="160" w:line="259" w:lineRule="auto"/>
        <w:rPr>
          <w:rFonts w:ascii="Times New Roman" w:hAnsi="Times New Roman"/>
          <w:sz w:val="24"/>
        </w:rPr>
      </w:pPr>
      <w:r w:rsidRPr="00B63BCF">
        <w:rPr>
          <w:rFonts w:ascii="Times New Roman" w:hAnsi="Times New Roman"/>
          <w:sz w:val="24"/>
        </w:rPr>
        <w:t>has implemented appropriate risk-based systems and controls to effectively manage the associated ML/TF risks</w:t>
      </w:r>
    </w:p>
    <w:p w14:paraId="3331C6DF" w14:textId="4565AFBA" w:rsidR="008267EC" w:rsidRPr="008267EC" w:rsidRDefault="008267EC" w:rsidP="00E421B4">
      <w:pPr>
        <w:numPr>
          <w:ilvl w:val="1"/>
          <w:numId w:val="18"/>
        </w:numPr>
        <w:spacing w:after="160" w:line="259" w:lineRule="auto"/>
        <w:rPr>
          <w:rFonts w:ascii="Times New Roman" w:hAnsi="Times New Roman"/>
          <w:sz w:val="24"/>
        </w:rPr>
      </w:pPr>
      <w:r w:rsidRPr="00B63BCF">
        <w:rPr>
          <w:rFonts w:ascii="Times New Roman" w:hAnsi="Times New Roman"/>
          <w:sz w:val="24"/>
        </w:rPr>
        <w:t xml:space="preserve">has systems and controls in place to ensure it carries out the </w:t>
      </w:r>
      <w:r w:rsidR="007D60FE">
        <w:rPr>
          <w:rFonts w:ascii="Times New Roman" w:hAnsi="Times New Roman"/>
          <w:sz w:val="24"/>
        </w:rPr>
        <w:t>applicable customer identification procedure</w:t>
      </w:r>
      <w:r w:rsidR="007D60FE" w:rsidRPr="00B63BCF">
        <w:rPr>
          <w:rFonts w:ascii="Times New Roman" w:hAnsi="Times New Roman"/>
          <w:sz w:val="24"/>
        </w:rPr>
        <w:t xml:space="preserve"> </w:t>
      </w:r>
      <w:r w:rsidRPr="00B63BCF">
        <w:rPr>
          <w:rFonts w:ascii="Times New Roman" w:hAnsi="Times New Roman"/>
          <w:sz w:val="24"/>
        </w:rPr>
        <w:t>as soon as practicable</w:t>
      </w:r>
    </w:p>
    <w:p w14:paraId="4899493A" w14:textId="2815622D" w:rsidR="008267EC" w:rsidRDefault="008267EC" w:rsidP="00E421B4">
      <w:pPr>
        <w:numPr>
          <w:ilvl w:val="1"/>
          <w:numId w:val="18"/>
        </w:numPr>
        <w:spacing w:after="160" w:line="259" w:lineRule="auto"/>
        <w:rPr>
          <w:rFonts w:ascii="Times New Roman" w:hAnsi="Times New Roman"/>
          <w:sz w:val="24"/>
        </w:rPr>
      </w:pPr>
      <w:proofErr w:type="gramStart"/>
      <w:r w:rsidRPr="00B63BCF">
        <w:rPr>
          <w:rFonts w:ascii="Times New Roman" w:hAnsi="Times New Roman"/>
          <w:sz w:val="24"/>
        </w:rPr>
        <w:t>does</w:t>
      </w:r>
      <w:proofErr w:type="gramEnd"/>
      <w:r w:rsidRPr="00B63BCF">
        <w:rPr>
          <w:rFonts w:ascii="Times New Roman" w:hAnsi="Times New Roman"/>
          <w:sz w:val="24"/>
        </w:rPr>
        <w:t xml:space="preserve"> not commence to provide to the customer another designated service. The reporting entity should have appropriate systems and controls to ensure this does not occur.</w:t>
      </w:r>
    </w:p>
    <w:p w14:paraId="5F7396C3" w14:textId="6858128E" w:rsidR="005B710F" w:rsidRDefault="00331543" w:rsidP="00B51224">
      <w:pPr>
        <w:numPr>
          <w:ilvl w:val="0"/>
          <w:numId w:val="18"/>
        </w:numPr>
        <w:spacing w:after="160" w:line="259" w:lineRule="auto"/>
        <w:rPr>
          <w:rFonts w:ascii="Times New Roman" w:hAnsi="Times New Roman"/>
          <w:sz w:val="24"/>
        </w:rPr>
      </w:pPr>
      <w:r w:rsidRPr="00405212">
        <w:rPr>
          <w:rFonts w:ascii="Times New Roman" w:hAnsi="Times New Roman"/>
          <w:sz w:val="24"/>
        </w:rPr>
        <w:t xml:space="preserve">Chapter 82 will operate from </w:t>
      </w:r>
      <w:r w:rsidR="00F169C4">
        <w:rPr>
          <w:rFonts w:ascii="Times New Roman" w:hAnsi="Times New Roman"/>
          <w:sz w:val="24"/>
        </w:rPr>
        <w:t>29</w:t>
      </w:r>
      <w:r w:rsidR="00F169C4" w:rsidRPr="00405212">
        <w:rPr>
          <w:rFonts w:ascii="Times New Roman" w:hAnsi="Times New Roman"/>
          <w:sz w:val="24"/>
        </w:rPr>
        <w:t xml:space="preserve"> </w:t>
      </w:r>
      <w:r w:rsidRPr="00405212">
        <w:rPr>
          <w:rFonts w:ascii="Times New Roman" w:hAnsi="Times New Roman"/>
          <w:sz w:val="24"/>
        </w:rPr>
        <w:t>September 2023</w:t>
      </w:r>
      <w:r w:rsidR="00405212">
        <w:rPr>
          <w:rFonts w:ascii="Times New Roman" w:hAnsi="Times New Roman"/>
          <w:sz w:val="24"/>
        </w:rPr>
        <w:t xml:space="preserve"> until </w:t>
      </w:r>
      <w:r w:rsidR="00F169C4">
        <w:rPr>
          <w:rFonts w:ascii="Times New Roman" w:hAnsi="Times New Roman"/>
          <w:sz w:val="24"/>
        </w:rPr>
        <w:t xml:space="preserve">29 </w:t>
      </w:r>
      <w:r w:rsidR="00405212">
        <w:rPr>
          <w:rFonts w:ascii="Times New Roman" w:hAnsi="Times New Roman"/>
          <w:sz w:val="24"/>
        </w:rPr>
        <w:t>September 2024.</w:t>
      </w:r>
      <w:r w:rsidR="00947B93">
        <w:rPr>
          <w:rFonts w:ascii="Times New Roman" w:hAnsi="Times New Roman"/>
          <w:sz w:val="24"/>
        </w:rPr>
        <w:t xml:space="preserve"> It is intended that this period will enable reporting entities to implement any required systems changes to ensure that the applicable customer identification procedure is carried out before commencing to provide a designated service.</w:t>
      </w:r>
    </w:p>
    <w:p w14:paraId="541E8AD2" w14:textId="6FC74155" w:rsidR="00017141" w:rsidRPr="00C46410" w:rsidRDefault="009B309E" w:rsidP="00BD02D0">
      <w:pPr>
        <w:spacing w:before="360" w:after="160" w:line="259" w:lineRule="auto"/>
        <w:ind w:left="720"/>
        <w:rPr>
          <w:rFonts w:ascii="Times New Roman" w:eastAsia="Calibri" w:hAnsi="Times New Roman"/>
          <w:b/>
          <w:caps/>
          <w:sz w:val="24"/>
        </w:rPr>
      </w:pPr>
      <w:r w:rsidRPr="00C46410">
        <w:rPr>
          <w:rFonts w:ascii="Times New Roman" w:eastAsia="Calibri" w:hAnsi="Times New Roman"/>
          <w:b/>
          <w:caps/>
          <w:sz w:val="24"/>
        </w:rPr>
        <w:t>Consultation</w:t>
      </w:r>
    </w:p>
    <w:p w14:paraId="20C5CE16" w14:textId="303AC90F" w:rsidR="0058710C" w:rsidRDefault="0058710C" w:rsidP="00B63BCF">
      <w:pPr>
        <w:numPr>
          <w:ilvl w:val="0"/>
          <w:numId w:val="18"/>
        </w:numPr>
        <w:spacing w:after="160" w:line="259" w:lineRule="auto"/>
        <w:rPr>
          <w:rFonts w:ascii="Times New Roman" w:hAnsi="Times New Roman"/>
          <w:sz w:val="24"/>
        </w:rPr>
      </w:pPr>
      <w:r w:rsidRPr="00617C83">
        <w:rPr>
          <w:rFonts w:ascii="Times New Roman" w:hAnsi="Times New Roman"/>
          <w:sz w:val="24"/>
        </w:rPr>
        <w:t xml:space="preserve">Draft AML/CTF Rules </w:t>
      </w:r>
      <w:r w:rsidR="00114263">
        <w:rPr>
          <w:rFonts w:ascii="Times New Roman" w:hAnsi="Times New Roman"/>
          <w:sz w:val="24"/>
        </w:rPr>
        <w:t xml:space="preserve">repealing Part 10.4 of the AML/CTF Rules </w:t>
      </w:r>
      <w:r w:rsidRPr="00617C83">
        <w:rPr>
          <w:rFonts w:ascii="Times New Roman" w:hAnsi="Times New Roman"/>
          <w:sz w:val="24"/>
        </w:rPr>
        <w:t xml:space="preserve">were released on </w:t>
      </w:r>
      <w:r w:rsidR="0087758E">
        <w:rPr>
          <w:rFonts w:ascii="Times New Roman" w:hAnsi="Times New Roman"/>
          <w:sz w:val="24"/>
        </w:rPr>
        <w:t>7 August 2023</w:t>
      </w:r>
      <w:r w:rsidRPr="00617C83">
        <w:rPr>
          <w:rFonts w:ascii="Times New Roman" w:hAnsi="Times New Roman"/>
          <w:sz w:val="24"/>
        </w:rPr>
        <w:t xml:space="preserve"> for a </w:t>
      </w:r>
      <w:r w:rsidR="00507CCA" w:rsidRPr="00617C83">
        <w:rPr>
          <w:rFonts w:ascii="Times New Roman" w:hAnsi="Times New Roman"/>
          <w:sz w:val="24"/>
        </w:rPr>
        <w:t>four</w:t>
      </w:r>
      <w:r w:rsidRPr="00617C83">
        <w:rPr>
          <w:rFonts w:ascii="Times New Roman" w:hAnsi="Times New Roman"/>
          <w:sz w:val="24"/>
        </w:rPr>
        <w:t xml:space="preserve">-week period of public consultation. </w:t>
      </w:r>
    </w:p>
    <w:p w14:paraId="13945FEA" w14:textId="4B786F3D" w:rsidR="003C29DC" w:rsidRDefault="003C29DC" w:rsidP="00B63BCF">
      <w:pPr>
        <w:numPr>
          <w:ilvl w:val="0"/>
          <w:numId w:val="18"/>
        </w:numPr>
        <w:spacing w:after="160" w:line="259" w:lineRule="auto"/>
        <w:rPr>
          <w:rFonts w:ascii="Times New Roman" w:hAnsi="Times New Roman"/>
          <w:sz w:val="24"/>
        </w:rPr>
      </w:pPr>
      <w:r>
        <w:rPr>
          <w:rFonts w:ascii="Times New Roman" w:hAnsi="Times New Roman"/>
          <w:sz w:val="24"/>
        </w:rPr>
        <w:t>AUSTRAC received six submissions and made amendments to the draft AML/CTF Rules in response to the submissions received.</w:t>
      </w:r>
      <w:r w:rsidR="00114263">
        <w:rPr>
          <w:rFonts w:ascii="Times New Roman" w:hAnsi="Times New Roman"/>
          <w:sz w:val="24"/>
        </w:rPr>
        <w:t xml:space="preserve"> The amendments proposed the addition of Chapter 82 for a period of 12 months.</w:t>
      </w:r>
    </w:p>
    <w:p w14:paraId="16EF547C" w14:textId="43BB7CB7" w:rsidR="003C29DC" w:rsidRDefault="00BF7D65" w:rsidP="00B63BCF">
      <w:pPr>
        <w:numPr>
          <w:ilvl w:val="0"/>
          <w:numId w:val="18"/>
        </w:numPr>
        <w:spacing w:after="160" w:line="259" w:lineRule="auto"/>
        <w:rPr>
          <w:rFonts w:ascii="Times New Roman" w:hAnsi="Times New Roman"/>
          <w:sz w:val="24"/>
        </w:rPr>
      </w:pPr>
      <w:r>
        <w:rPr>
          <w:rFonts w:ascii="Times New Roman" w:hAnsi="Times New Roman"/>
          <w:sz w:val="24"/>
        </w:rPr>
        <w:t>On 15 September 2023, f</w:t>
      </w:r>
      <w:r w:rsidR="003C29DC">
        <w:rPr>
          <w:rFonts w:ascii="Times New Roman" w:hAnsi="Times New Roman"/>
          <w:sz w:val="24"/>
        </w:rPr>
        <w:t xml:space="preserve">urther targeted consultation on the </w:t>
      </w:r>
      <w:r w:rsidR="00114263">
        <w:rPr>
          <w:rFonts w:ascii="Times New Roman" w:hAnsi="Times New Roman"/>
          <w:sz w:val="24"/>
        </w:rPr>
        <w:t>Instrument</w:t>
      </w:r>
      <w:r w:rsidR="003C29DC">
        <w:rPr>
          <w:rFonts w:ascii="Times New Roman" w:hAnsi="Times New Roman"/>
          <w:sz w:val="24"/>
        </w:rPr>
        <w:t xml:space="preserve"> was undertaken with entities who made a submission to AUSTRAC</w:t>
      </w:r>
      <w:r>
        <w:rPr>
          <w:rFonts w:ascii="Times New Roman" w:hAnsi="Times New Roman"/>
          <w:sz w:val="24"/>
        </w:rPr>
        <w:t>, including a consultation meeting on 21 September 2023. One written submission was received and considered by AUSTRAC.</w:t>
      </w:r>
      <w:r w:rsidR="003C29DC">
        <w:rPr>
          <w:rFonts w:ascii="Times New Roman" w:hAnsi="Times New Roman"/>
          <w:sz w:val="24"/>
        </w:rPr>
        <w:t xml:space="preserve"> </w:t>
      </w:r>
    </w:p>
    <w:p w14:paraId="4D61041C" w14:textId="668DB257" w:rsidR="00B63BCF" w:rsidRPr="00B63BCF" w:rsidRDefault="00617C83" w:rsidP="00B63BCF">
      <w:pPr>
        <w:autoSpaceDE w:val="0"/>
        <w:autoSpaceDN w:val="0"/>
        <w:adjustRightInd w:val="0"/>
        <w:spacing w:before="240"/>
        <w:ind w:left="720"/>
        <w:rPr>
          <w:rFonts w:ascii="Times New Roman" w:hAnsi="Times New Roman"/>
          <w:b/>
          <w:sz w:val="24"/>
        </w:rPr>
      </w:pPr>
      <w:r w:rsidRPr="00617C83">
        <w:rPr>
          <w:rFonts w:ascii="Times New Roman" w:hAnsi="Times New Roman"/>
          <w:b/>
          <w:sz w:val="24"/>
        </w:rPr>
        <w:t>SUNSETTING</w:t>
      </w:r>
      <w:r w:rsidR="00B63BCF">
        <w:rPr>
          <w:rFonts w:ascii="Times New Roman" w:hAnsi="Times New Roman"/>
          <w:b/>
          <w:sz w:val="24"/>
        </w:rPr>
        <w:br/>
      </w:r>
    </w:p>
    <w:p w14:paraId="17D19653" w14:textId="422CD7D6" w:rsidR="00077604" w:rsidRPr="00077604" w:rsidRDefault="00077604" w:rsidP="00B63BCF">
      <w:pPr>
        <w:numPr>
          <w:ilvl w:val="0"/>
          <w:numId w:val="18"/>
        </w:numPr>
        <w:spacing w:after="160" w:line="259" w:lineRule="auto"/>
        <w:rPr>
          <w:rFonts w:ascii="Times New Roman" w:hAnsi="Times New Roman"/>
          <w:sz w:val="24"/>
        </w:rPr>
      </w:pPr>
      <w:r w:rsidRPr="00077604">
        <w:rPr>
          <w:rFonts w:ascii="Times New Roman" w:hAnsi="Times New Roman"/>
          <w:sz w:val="24"/>
        </w:rPr>
        <w:t xml:space="preserve">Under item 6 of Regulation 12 of the </w:t>
      </w:r>
      <w:r w:rsidRPr="006228FB">
        <w:rPr>
          <w:rFonts w:ascii="Times New Roman" w:hAnsi="Times New Roman"/>
          <w:i/>
          <w:sz w:val="24"/>
        </w:rPr>
        <w:t>Legislation (Exemptions and Other Matters) Regulation 2015</w:t>
      </w:r>
      <w:r w:rsidRPr="00077604">
        <w:rPr>
          <w:rFonts w:ascii="Times New Roman" w:hAnsi="Times New Roman"/>
          <w:sz w:val="24"/>
        </w:rPr>
        <w:t xml:space="preserve"> this Instrument is not subject to </w:t>
      </w:r>
      <w:proofErr w:type="spellStart"/>
      <w:r w:rsidRPr="00077604">
        <w:rPr>
          <w:rFonts w:ascii="Times New Roman" w:hAnsi="Times New Roman"/>
          <w:sz w:val="24"/>
        </w:rPr>
        <w:t>sunsetting</w:t>
      </w:r>
      <w:proofErr w:type="spellEnd"/>
      <w:r w:rsidRPr="00077604">
        <w:rPr>
          <w:rFonts w:ascii="Times New Roman" w:hAnsi="Times New Roman"/>
          <w:sz w:val="24"/>
        </w:rPr>
        <w:t>.</w:t>
      </w:r>
    </w:p>
    <w:p w14:paraId="2F84F382" w14:textId="77777777" w:rsidR="00B63BCF" w:rsidRDefault="00077604" w:rsidP="00B63BCF">
      <w:pPr>
        <w:numPr>
          <w:ilvl w:val="0"/>
          <w:numId w:val="18"/>
        </w:numPr>
        <w:spacing w:after="160" w:line="259" w:lineRule="auto"/>
        <w:rPr>
          <w:rFonts w:ascii="Times New Roman" w:hAnsi="Times New Roman"/>
          <w:sz w:val="24"/>
        </w:rPr>
      </w:pPr>
      <w:r w:rsidRPr="00077604">
        <w:rPr>
          <w:rFonts w:ascii="Times New Roman" w:hAnsi="Times New Roman"/>
          <w:sz w:val="24"/>
        </w:rPr>
        <w:t>The AML/CTF Rules are design</w:t>
      </w:r>
      <w:r w:rsidR="00B63BCF">
        <w:rPr>
          <w:rFonts w:ascii="Times New Roman" w:hAnsi="Times New Roman"/>
          <w:sz w:val="24"/>
        </w:rPr>
        <w:t>ed to be enduring because they:</w:t>
      </w:r>
    </w:p>
    <w:p w14:paraId="070A9792" w14:textId="2AA24D87" w:rsidR="00077604" w:rsidRPr="00B63BCF" w:rsidRDefault="00077604" w:rsidP="00B63BCF">
      <w:pPr>
        <w:numPr>
          <w:ilvl w:val="1"/>
          <w:numId w:val="18"/>
        </w:numPr>
        <w:spacing w:after="160" w:line="259" w:lineRule="auto"/>
        <w:rPr>
          <w:rFonts w:ascii="Times New Roman" w:hAnsi="Times New Roman"/>
          <w:sz w:val="24"/>
        </w:rPr>
      </w:pPr>
      <w:r w:rsidRPr="00B63BCF">
        <w:rPr>
          <w:rFonts w:ascii="Times New Roman" w:hAnsi="Times New Roman"/>
          <w:sz w:val="24"/>
        </w:rPr>
        <w:t>complement and provide the detail for the broader obligations set out in the AML/CTF Act, aid in meeting Australia’s international obligations and matters of international concern, and support the combatting of money laundering and terrorism financing,</w:t>
      </w:r>
    </w:p>
    <w:p w14:paraId="3C656E64" w14:textId="77777777" w:rsidR="00077604" w:rsidRPr="00077604" w:rsidRDefault="00077604" w:rsidP="00B63BCF">
      <w:pPr>
        <w:numPr>
          <w:ilvl w:val="1"/>
          <w:numId w:val="18"/>
        </w:numPr>
        <w:spacing w:after="160" w:line="259" w:lineRule="auto"/>
        <w:rPr>
          <w:rFonts w:ascii="Times New Roman" w:hAnsi="Times New Roman"/>
          <w:sz w:val="24"/>
        </w:rPr>
      </w:pPr>
      <w:r w:rsidRPr="00077604">
        <w:rPr>
          <w:rFonts w:ascii="Times New Roman" w:hAnsi="Times New Roman"/>
          <w:sz w:val="24"/>
        </w:rPr>
        <w:lastRenderedPageBreak/>
        <w:t>assist industry in fulfilling their compliance with the AML/CTF Act and provide commercial and regulatory certainty for industry, and</w:t>
      </w:r>
    </w:p>
    <w:p w14:paraId="5C27C934" w14:textId="1A48CE91" w:rsidR="00617C83" w:rsidRPr="00617C83" w:rsidRDefault="00077604" w:rsidP="00B63BCF">
      <w:pPr>
        <w:numPr>
          <w:ilvl w:val="1"/>
          <w:numId w:val="18"/>
        </w:numPr>
        <w:spacing w:after="160" w:line="259" w:lineRule="auto"/>
        <w:rPr>
          <w:rFonts w:ascii="Times New Roman" w:hAnsi="Times New Roman"/>
          <w:sz w:val="24"/>
        </w:rPr>
      </w:pPr>
      <w:proofErr w:type="gramStart"/>
      <w:r w:rsidRPr="00077604">
        <w:rPr>
          <w:rFonts w:ascii="Times New Roman" w:hAnsi="Times New Roman"/>
          <w:sz w:val="24"/>
        </w:rPr>
        <w:t>are</w:t>
      </w:r>
      <w:proofErr w:type="gramEnd"/>
      <w:r w:rsidRPr="00077604">
        <w:rPr>
          <w:rFonts w:ascii="Times New Roman" w:hAnsi="Times New Roman"/>
          <w:sz w:val="24"/>
        </w:rPr>
        <w:t xml:space="preserve"> subject to an ongoing process of development, refinement and review, involving scrutiny and feedback from a wide range of stakeholders including industry, the Financial Action Task Force, Australian Government agencies, law enforcement agencies, and other interested parties.</w:t>
      </w:r>
    </w:p>
    <w:p w14:paraId="1BD50BEE" w14:textId="45F32D3F" w:rsidR="00017141" w:rsidRPr="00C46410" w:rsidRDefault="009B309E" w:rsidP="00BD02D0">
      <w:pPr>
        <w:spacing w:before="360" w:after="160" w:line="259" w:lineRule="auto"/>
        <w:ind w:left="720"/>
        <w:rPr>
          <w:rFonts w:ascii="Times New Roman" w:eastAsia="Calibri" w:hAnsi="Times New Roman"/>
          <w:b/>
          <w:caps/>
          <w:sz w:val="24"/>
        </w:rPr>
      </w:pPr>
      <w:r w:rsidRPr="00C46410">
        <w:rPr>
          <w:rFonts w:ascii="Times New Roman" w:eastAsia="Calibri" w:hAnsi="Times New Roman"/>
          <w:b/>
          <w:caps/>
          <w:sz w:val="24"/>
        </w:rPr>
        <w:t xml:space="preserve">Regulation impact statement </w:t>
      </w:r>
    </w:p>
    <w:p w14:paraId="02122FAE" w14:textId="53E7CDA8" w:rsidR="00A05511" w:rsidRDefault="002F62ED" w:rsidP="00B63BCF">
      <w:pPr>
        <w:numPr>
          <w:ilvl w:val="0"/>
          <w:numId w:val="18"/>
        </w:numPr>
        <w:spacing w:after="160" w:line="259" w:lineRule="auto"/>
        <w:rPr>
          <w:rFonts w:ascii="Times New Roman" w:hAnsi="Times New Roman"/>
          <w:sz w:val="24"/>
        </w:rPr>
      </w:pPr>
      <w:r w:rsidRPr="00617C83">
        <w:rPr>
          <w:rFonts w:ascii="Times New Roman" w:hAnsi="Times New Roman"/>
          <w:sz w:val="24"/>
        </w:rPr>
        <w:t xml:space="preserve">The Office of </w:t>
      </w:r>
      <w:r w:rsidR="007A4676">
        <w:rPr>
          <w:rFonts w:ascii="Times New Roman" w:hAnsi="Times New Roman"/>
          <w:sz w:val="24"/>
        </w:rPr>
        <w:t>Impact Assessment</w:t>
      </w:r>
      <w:r w:rsidRPr="00617C83">
        <w:rPr>
          <w:rFonts w:ascii="Times New Roman" w:hAnsi="Times New Roman"/>
          <w:sz w:val="24"/>
        </w:rPr>
        <w:t xml:space="preserve"> has advised that </w:t>
      </w:r>
      <w:r w:rsidR="00BF51EC">
        <w:rPr>
          <w:rFonts w:ascii="Times New Roman" w:hAnsi="Times New Roman"/>
          <w:sz w:val="24"/>
        </w:rPr>
        <w:t xml:space="preserve">the </w:t>
      </w:r>
      <w:r w:rsidR="00BF51EC" w:rsidRPr="00BF51EC">
        <w:rPr>
          <w:rFonts w:ascii="Times New Roman" w:hAnsi="Times New Roman"/>
          <w:sz w:val="24"/>
        </w:rPr>
        <w:t>Regulatory Impact Statement completed in 2018 for the National Framework can be used to meet the Impact Analysis requirements for this AML/CTF Rules amendment</w:t>
      </w:r>
      <w:r w:rsidR="00044B95" w:rsidRPr="00617C83">
        <w:rPr>
          <w:rFonts w:ascii="Times New Roman" w:hAnsi="Times New Roman"/>
          <w:sz w:val="24"/>
        </w:rPr>
        <w:t>.</w:t>
      </w:r>
    </w:p>
    <w:p w14:paraId="7EC98423" w14:textId="04634AD2" w:rsidR="00BF51EC" w:rsidRPr="00617C83" w:rsidRDefault="00BF51EC" w:rsidP="00B63BCF">
      <w:pPr>
        <w:numPr>
          <w:ilvl w:val="0"/>
          <w:numId w:val="18"/>
        </w:numPr>
        <w:spacing w:after="160" w:line="259" w:lineRule="auto"/>
        <w:rPr>
          <w:rFonts w:ascii="Times New Roman" w:hAnsi="Times New Roman"/>
          <w:sz w:val="24"/>
        </w:rPr>
      </w:pPr>
      <w:r>
        <w:rPr>
          <w:rFonts w:ascii="Times New Roman" w:hAnsi="Times New Roman"/>
          <w:sz w:val="24"/>
        </w:rPr>
        <w:t>The Regulatory Impact Statement indicates that mandatory verification prior to any wagering activity is likely to have the same regulatory impact on industry as options which permit a delayed verification period of between 21 days and 72 hours.</w:t>
      </w:r>
    </w:p>
    <w:p w14:paraId="57377164" w14:textId="77777777" w:rsidR="00017141" w:rsidRPr="00733D11" w:rsidRDefault="00017141" w:rsidP="00BD02D0">
      <w:pPr>
        <w:spacing w:line="276" w:lineRule="auto"/>
        <w:ind w:left="720"/>
        <w:rPr>
          <w:rFonts w:ascii="Times New Roman" w:eastAsia="Calibri" w:hAnsi="Times New Roman"/>
          <w:sz w:val="24"/>
          <w:szCs w:val="22"/>
        </w:rPr>
      </w:pPr>
    </w:p>
    <w:p w14:paraId="3DA72700" w14:textId="3014249C" w:rsidR="00B04F55" w:rsidRPr="00BD639B" w:rsidRDefault="009B309E" w:rsidP="00BD639B">
      <w:pPr>
        <w:spacing w:after="160" w:line="360" w:lineRule="auto"/>
        <w:ind w:left="720"/>
        <w:rPr>
          <w:rFonts w:ascii="Times New Roman" w:eastAsia="Calibri" w:hAnsi="Times New Roman"/>
          <w:b/>
          <w:caps/>
          <w:sz w:val="24"/>
          <w:u w:val="single"/>
        </w:rPr>
      </w:pPr>
      <w:r w:rsidRPr="00733D11">
        <w:rPr>
          <w:rFonts w:ascii="Times New Roman" w:eastAsia="Calibri" w:hAnsi="Times New Roman"/>
          <w:b/>
          <w:caps/>
          <w:sz w:val="24"/>
        </w:rPr>
        <w:br w:type="page"/>
      </w:r>
      <w:r w:rsidRPr="0060668C">
        <w:rPr>
          <w:rFonts w:ascii="Times New Roman" w:eastAsia="Calibri" w:hAnsi="Times New Roman"/>
          <w:b/>
          <w:caps/>
          <w:sz w:val="24"/>
          <w:u w:val="single"/>
        </w:rPr>
        <w:lastRenderedPageBreak/>
        <w:t>ATTACHMENT A</w:t>
      </w:r>
    </w:p>
    <w:p w14:paraId="27035FD6" w14:textId="602F4753" w:rsidR="00B04F55" w:rsidRPr="00C1088D" w:rsidRDefault="007A4676" w:rsidP="00BD02D0">
      <w:pPr>
        <w:spacing w:before="240" w:after="160" w:line="259" w:lineRule="auto"/>
        <w:ind w:left="720"/>
        <w:rPr>
          <w:rFonts w:ascii="Times New Roman" w:eastAsia="Calibri" w:hAnsi="Times New Roman"/>
          <w:b/>
          <w:i/>
          <w:sz w:val="24"/>
        </w:rPr>
      </w:pPr>
      <w:r w:rsidRPr="007A4676">
        <w:rPr>
          <w:rFonts w:ascii="Times New Roman" w:eastAsia="Calibri" w:hAnsi="Times New Roman"/>
          <w:b/>
          <w:i/>
          <w:sz w:val="24"/>
        </w:rPr>
        <w:t>Anti-Money Laundering and Counter-Terrorism Financing Rules (</w:t>
      </w:r>
      <w:r w:rsidR="00FB3847">
        <w:rPr>
          <w:rFonts w:ascii="Times New Roman" w:eastAsia="Calibri" w:hAnsi="Times New Roman"/>
          <w:b/>
          <w:i/>
          <w:sz w:val="24"/>
        </w:rPr>
        <w:t>Online Gambling Services</w:t>
      </w:r>
      <w:bookmarkStart w:id="0" w:name="_GoBack"/>
      <w:bookmarkEnd w:id="0"/>
      <w:r w:rsidRPr="007A4676">
        <w:rPr>
          <w:rFonts w:ascii="Times New Roman" w:eastAsia="Calibri" w:hAnsi="Times New Roman"/>
          <w:b/>
          <w:i/>
          <w:sz w:val="24"/>
        </w:rPr>
        <w:t xml:space="preserve">) Amendment Instrument 2023 </w:t>
      </w:r>
      <w:r w:rsidR="00B04F55" w:rsidRPr="00C1088D">
        <w:rPr>
          <w:rFonts w:ascii="Times New Roman" w:eastAsia="Calibri" w:hAnsi="Times New Roman"/>
          <w:b/>
          <w:i/>
          <w:sz w:val="24"/>
        </w:rPr>
        <w:t xml:space="preserve"> </w:t>
      </w:r>
    </w:p>
    <w:p w14:paraId="19C4B0D8" w14:textId="77777777" w:rsidR="00C46410" w:rsidRPr="00BF6A36" w:rsidRDefault="00C46410" w:rsidP="00BD02D0">
      <w:pPr>
        <w:spacing w:before="240" w:line="259" w:lineRule="auto"/>
        <w:ind w:left="720"/>
        <w:rPr>
          <w:rFonts w:ascii="Times New Roman" w:hAnsi="Times New Roman"/>
          <w:b/>
          <w:sz w:val="24"/>
        </w:rPr>
      </w:pPr>
      <w:r w:rsidRPr="00BF6A36">
        <w:rPr>
          <w:rFonts w:ascii="Times New Roman" w:hAnsi="Times New Roman"/>
          <w:b/>
          <w:sz w:val="24"/>
        </w:rPr>
        <w:t>Section 1—Name</w:t>
      </w:r>
    </w:p>
    <w:p w14:paraId="110DBB82" w14:textId="47A392A4" w:rsidR="00B04F55" w:rsidRPr="0060668C" w:rsidRDefault="00B04F55" w:rsidP="00BD02D0">
      <w:pPr>
        <w:autoSpaceDE w:val="0"/>
        <w:autoSpaceDN w:val="0"/>
        <w:adjustRightInd w:val="0"/>
        <w:spacing w:before="240" w:line="259" w:lineRule="auto"/>
        <w:ind w:left="720"/>
        <w:rPr>
          <w:rFonts w:ascii="Times New Roman" w:hAnsi="Times New Roman"/>
          <w:sz w:val="24"/>
        </w:rPr>
      </w:pPr>
      <w:r w:rsidRPr="0060668C">
        <w:rPr>
          <w:rFonts w:ascii="Times New Roman" w:hAnsi="Times New Roman"/>
          <w:sz w:val="24"/>
        </w:rPr>
        <w:t xml:space="preserve">This section </w:t>
      </w:r>
      <w:r w:rsidR="00206C4A" w:rsidRPr="0060668C">
        <w:rPr>
          <w:rFonts w:ascii="Times New Roman" w:hAnsi="Times New Roman"/>
          <w:sz w:val="24"/>
        </w:rPr>
        <w:t>provides that the name of the Instrument is</w:t>
      </w:r>
      <w:r w:rsidRPr="0060668C">
        <w:rPr>
          <w:rFonts w:ascii="Times New Roman" w:hAnsi="Times New Roman"/>
          <w:sz w:val="24"/>
        </w:rPr>
        <w:t xml:space="preserve"> the </w:t>
      </w:r>
      <w:r w:rsidR="007A4676" w:rsidRPr="00C46410">
        <w:rPr>
          <w:rFonts w:ascii="Times New Roman" w:eastAsia="Calibri" w:hAnsi="Times New Roman"/>
          <w:i/>
          <w:sz w:val="24"/>
        </w:rPr>
        <w:t xml:space="preserve">Anti-Money Laundering and Counter-Terrorism Financing Rules </w:t>
      </w:r>
      <w:r w:rsidR="007A4676">
        <w:rPr>
          <w:rFonts w:ascii="Times New Roman" w:eastAsia="Calibri" w:hAnsi="Times New Roman"/>
          <w:i/>
          <w:sz w:val="24"/>
        </w:rPr>
        <w:t xml:space="preserve">(Part 10.4) </w:t>
      </w:r>
      <w:r w:rsidR="007A4676" w:rsidRPr="00C46410">
        <w:rPr>
          <w:rFonts w:ascii="Times New Roman" w:eastAsia="Calibri" w:hAnsi="Times New Roman"/>
          <w:i/>
          <w:sz w:val="24"/>
        </w:rPr>
        <w:t>Amendment Instrument 202</w:t>
      </w:r>
      <w:r w:rsidR="007A4676">
        <w:rPr>
          <w:rFonts w:ascii="Times New Roman" w:eastAsia="Calibri" w:hAnsi="Times New Roman"/>
          <w:i/>
          <w:sz w:val="24"/>
        </w:rPr>
        <w:t>3</w:t>
      </w:r>
      <w:r w:rsidRPr="0060668C">
        <w:rPr>
          <w:rFonts w:ascii="Times New Roman" w:hAnsi="Times New Roman"/>
          <w:sz w:val="24"/>
        </w:rPr>
        <w:t>.</w:t>
      </w:r>
    </w:p>
    <w:p w14:paraId="53188F4B" w14:textId="77777777" w:rsidR="00C46410" w:rsidRPr="00BF6A36" w:rsidRDefault="00C46410" w:rsidP="00BD02D0">
      <w:pPr>
        <w:spacing w:before="240" w:line="259" w:lineRule="auto"/>
        <w:ind w:left="720"/>
        <w:rPr>
          <w:rFonts w:ascii="Times New Roman" w:hAnsi="Times New Roman"/>
          <w:b/>
          <w:sz w:val="24"/>
        </w:rPr>
      </w:pPr>
      <w:r w:rsidRPr="00BF6A36">
        <w:rPr>
          <w:rFonts w:ascii="Times New Roman" w:hAnsi="Times New Roman"/>
          <w:b/>
          <w:sz w:val="24"/>
        </w:rPr>
        <w:t>Section 2—Commencement</w:t>
      </w:r>
    </w:p>
    <w:p w14:paraId="0F7EB19E" w14:textId="3963D53D" w:rsidR="00206C4A" w:rsidRPr="0060668C" w:rsidRDefault="00B04F55" w:rsidP="00BD02D0">
      <w:pPr>
        <w:autoSpaceDE w:val="0"/>
        <w:autoSpaceDN w:val="0"/>
        <w:adjustRightInd w:val="0"/>
        <w:spacing w:before="240" w:line="259" w:lineRule="auto"/>
        <w:ind w:left="720"/>
        <w:rPr>
          <w:rFonts w:ascii="Times New Roman" w:hAnsi="Times New Roman"/>
          <w:sz w:val="24"/>
        </w:rPr>
      </w:pPr>
      <w:r w:rsidRPr="0060668C">
        <w:rPr>
          <w:rFonts w:ascii="Times New Roman" w:hAnsi="Times New Roman"/>
          <w:sz w:val="24"/>
        </w:rPr>
        <w:t>This section</w:t>
      </w:r>
      <w:r w:rsidR="00BF6A36">
        <w:rPr>
          <w:rFonts w:ascii="Times New Roman" w:hAnsi="Times New Roman"/>
          <w:sz w:val="24"/>
        </w:rPr>
        <w:t xml:space="preserve"> provides for the commencement of each provision in the Instrument, as set out in the table in subsection 2(</w:t>
      </w:r>
      <w:r w:rsidR="004076E6">
        <w:rPr>
          <w:rFonts w:ascii="Times New Roman" w:hAnsi="Times New Roman"/>
          <w:sz w:val="24"/>
        </w:rPr>
        <w:t>1</w:t>
      </w:r>
      <w:r w:rsidR="00BF6A36">
        <w:rPr>
          <w:rFonts w:ascii="Times New Roman" w:hAnsi="Times New Roman"/>
          <w:sz w:val="24"/>
        </w:rPr>
        <w:t>).</w:t>
      </w:r>
      <w:r w:rsidRPr="0060668C">
        <w:rPr>
          <w:rFonts w:ascii="Times New Roman" w:hAnsi="Times New Roman"/>
          <w:sz w:val="24"/>
        </w:rPr>
        <w:t xml:space="preserve"> </w:t>
      </w:r>
    </w:p>
    <w:p w14:paraId="46D42776" w14:textId="15CCB791" w:rsidR="00B04F55" w:rsidRDefault="00206C4A" w:rsidP="00BD02D0">
      <w:pPr>
        <w:autoSpaceDE w:val="0"/>
        <w:autoSpaceDN w:val="0"/>
        <w:adjustRightInd w:val="0"/>
        <w:spacing w:before="240"/>
        <w:ind w:left="720"/>
        <w:rPr>
          <w:rFonts w:ascii="Times New Roman" w:hAnsi="Times New Roman"/>
          <w:sz w:val="24"/>
        </w:rPr>
      </w:pPr>
      <w:r w:rsidRPr="0060668C">
        <w:rPr>
          <w:rFonts w:ascii="Times New Roman" w:hAnsi="Times New Roman"/>
          <w:sz w:val="24"/>
        </w:rPr>
        <w:t xml:space="preserve">The </w:t>
      </w:r>
      <w:r w:rsidR="00BF6A36">
        <w:rPr>
          <w:rFonts w:ascii="Times New Roman" w:hAnsi="Times New Roman"/>
          <w:sz w:val="24"/>
        </w:rPr>
        <w:t>amendments in Schedule 1 commence</w:t>
      </w:r>
      <w:r w:rsidR="00B04F55" w:rsidRPr="0060668C">
        <w:rPr>
          <w:rFonts w:ascii="Times New Roman" w:hAnsi="Times New Roman"/>
          <w:sz w:val="24"/>
        </w:rPr>
        <w:t xml:space="preserve"> </w:t>
      </w:r>
      <w:r w:rsidRPr="0060668C">
        <w:rPr>
          <w:rFonts w:ascii="Times New Roman" w:hAnsi="Times New Roman"/>
          <w:sz w:val="24"/>
        </w:rPr>
        <w:t xml:space="preserve">on </w:t>
      </w:r>
      <w:r w:rsidR="00F169C4">
        <w:rPr>
          <w:rFonts w:ascii="Times New Roman" w:hAnsi="Times New Roman"/>
          <w:sz w:val="24"/>
        </w:rPr>
        <w:t xml:space="preserve">29 </w:t>
      </w:r>
      <w:r w:rsidR="00D7186E">
        <w:rPr>
          <w:rFonts w:ascii="Times New Roman" w:hAnsi="Times New Roman"/>
          <w:sz w:val="24"/>
        </w:rPr>
        <w:t>September 2023</w:t>
      </w:r>
      <w:r w:rsidR="00B04F55" w:rsidRPr="0060668C">
        <w:rPr>
          <w:rFonts w:ascii="Times New Roman" w:hAnsi="Times New Roman"/>
          <w:sz w:val="24"/>
        </w:rPr>
        <w:t>.</w:t>
      </w:r>
    </w:p>
    <w:p w14:paraId="200580AD" w14:textId="69AAF151" w:rsidR="00BD639B" w:rsidRDefault="00BD639B" w:rsidP="00BD02D0">
      <w:pPr>
        <w:autoSpaceDE w:val="0"/>
        <w:autoSpaceDN w:val="0"/>
        <w:adjustRightInd w:val="0"/>
        <w:spacing w:before="240"/>
        <w:ind w:left="720"/>
        <w:rPr>
          <w:rFonts w:ascii="Times New Roman" w:hAnsi="Times New Roman"/>
          <w:sz w:val="24"/>
        </w:rPr>
      </w:pPr>
      <w:r>
        <w:rPr>
          <w:rFonts w:ascii="Times New Roman" w:hAnsi="Times New Roman"/>
          <w:sz w:val="24"/>
        </w:rPr>
        <w:t xml:space="preserve">The amendments in Schedule 2 commence on </w:t>
      </w:r>
      <w:r w:rsidR="00F169C4">
        <w:rPr>
          <w:rFonts w:ascii="Times New Roman" w:hAnsi="Times New Roman"/>
          <w:sz w:val="24"/>
        </w:rPr>
        <w:t xml:space="preserve">29 </w:t>
      </w:r>
      <w:r>
        <w:rPr>
          <w:rFonts w:ascii="Times New Roman" w:hAnsi="Times New Roman"/>
          <w:sz w:val="24"/>
        </w:rPr>
        <w:t>September 2023.</w:t>
      </w:r>
    </w:p>
    <w:p w14:paraId="1CAC6919" w14:textId="5DF8A0BE" w:rsidR="00BD639B" w:rsidRPr="0060668C" w:rsidRDefault="00BD639B" w:rsidP="00BD02D0">
      <w:pPr>
        <w:autoSpaceDE w:val="0"/>
        <w:autoSpaceDN w:val="0"/>
        <w:adjustRightInd w:val="0"/>
        <w:spacing w:before="240"/>
        <w:ind w:left="720"/>
        <w:rPr>
          <w:rFonts w:ascii="Times New Roman" w:hAnsi="Times New Roman"/>
          <w:sz w:val="24"/>
        </w:rPr>
      </w:pPr>
      <w:r>
        <w:rPr>
          <w:rFonts w:ascii="Times New Roman" w:hAnsi="Times New Roman"/>
          <w:sz w:val="24"/>
        </w:rPr>
        <w:t xml:space="preserve">The amendments in Schedule 3 commence on </w:t>
      </w:r>
      <w:r w:rsidR="00F169C4">
        <w:rPr>
          <w:rFonts w:ascii="Times New Roman" w:hAnsi="Times New Roman"/>
          <w:sz w:val="24"/>
        </w:rPr>
        <w:t xml:space="preserve">29 </w:t>
      </w:r>
      <w:r>
        <w:rPr>
          <w:rFonts w:ascii="Times New Roman" w:hAnsi="Times New Roman"/>
          <w:sz w:val="24"/>
        </w:rPr>
        <w:t>September 2024.</w:t>
      </w:r>
    </w:p>
    <w:p w14:paraId="5D7815ED" w14:textId="77777777" w:rsidR="00C46410" w:rsidRPr="00BF6A36" w:rsidRDefault="00C46410" w:rsidP="00BD02D0">
      <w:pPr>
        <w:spacing w:before="240" w:line="259" w:lineRule="auto"/>
        <w:ind w:left="720"/>
        <w:rPr>
          <w:rFonts w:ascii="Times New Roman" w:hAnsi="Times New Roman"/>
          <w:b/>
          <w:sz w:val="24"/>
        </w:rPr>
      </w:pPr>
      <w:r w:rsidRPr="00BF6A36">
        <w:rPr>
          <w:rFonts w:ascii="Times New Roman" w:hAnsi="Times New Roman"/>
          <w:b/>
          <w:sz w:val="24"/>
        </w:rPr>
        <w:t>Section 3—Authority</w:t>
      </w:r>
    </w:p>
    <w:p w14:paraId="546271B3" w14:textId="31ABE998" w:rsidR="00B04F55" w:rsidRPr="0060108F" w:rsidRDefault="00B04F55" w:rsidP="00BD02D0">
      <w:pPr>
        <w:autoSpaceDE w:val="0"/>
        <w:autoSpaceDN w:val="0"/>
        <w:adjustRightInd w:val="0"/>
        <w:spacing w:before="240" w:line="259" w:lineRule="auto"/>
        <w:ind w:left="720"/>
        <w:rPr>
          <w:rFonts w:ascii="Times New Roman" w:hAnsi="Times New Roman"/>
          <w:sz w:val="24"/>
        </w:rPr>
      </w:pPr>
      <w:r w:rsidRPr="0060668C">
        <w:rPr>
          <w:rFonts w:ascii="Times New Roman" w:hAnsi="Times New Roman"/>
          <w:sz w:val="24"/>
        </w:rPr>
        <w:t>This section</w:t>
      </w:r>
      <w:r w:rsidR="00BF6A36">
        <w:rPr>
          <w:rFonts w:ascii="Times New Roman" w:hAnsi="Times New Roman"/>
          <w:sz w:val="24"/>
        </w:rPr>
        <w:t xml:space="preserve"> provides that the Instrument is made under section 229 of the </w:t>
      </w:r>
      <w:r w:rsidR="00BF6A36">
        <w:rPr>
          <w:rFonts w:ascii="Times New Roman" w:hAnsi="Times New Roman"/>
          <w:i/>
          <w:sz w:val="24"/>
        </w:rPr>
        <w:t>Anti-Money Laundering and Counter-Terrorism Financing Act 2006</w:t>
      </w:r>
      <w:r w:rsidR="00BF6A36">
        <w:rPr>
          <w:rFonts w:ascii="Times New Roman" w:hAnsi="Times New Roman"/>
          <w:sz w:val="24"/>
        </w:rPr>
        <w:t xml:space="preserve">. </w:t>
      </w:r>
    </w:p>
    <w:p w14:paraId="2FD24FAA" w14:textId="77777777" w:rsidR="00C46410" w:rsidRPr="00BF6A36" w:rsidRDefault="00C46410" w:rsidP="00BD02D0">
      <w:pPr>
        <w:autoSpaceDE w:val="0"/>
        <w:autoSpaceDN w:val="0"/>
        <w:adjustRightInd w:val="0"/>
        <w:spacing w:before="240" w:line="259" w:lineRule="auto"/>
        <w:ind w:left="720"/>
        <w:rPr>
          <w:rFonts w:ascii="Times New Roman" w:hAnsi="Times New Roman"/>
          <w:b/>
          <w:sz w:val="24"/>
        </w:rPr>
      </w:pPr>
      <w:r w:rsidRPr="00BF6A36">
        <w:rPr>
          <w:rFonts w:ascii="Times New Roman" w:hAnsi="Times New Roman"/>
          <w:b/>
          <w:sz w:val="24"/>
        </w:rPr>
        <w:t>Section 4—Schedules</w:t>
      </w:r>
    </w:p>
    <w:p w14:paraId="4FDB3BAD" w14:textId="149A24B7" w:rsidR="00206C4A" w:rsidRPr="0060108F" w:rsidRDefault="0021786A" w:rsidP="00BD02D0">
      <w:pPr>
        <w:autoSpaceDE w:val="0"/>
        <w:autoSpaceDN w:val="0"/>
        <w:adjustRightInd w:val="0"/>
        <w:spacing w:before="240" w:line="259" w:lineRule="auto"/>
        <w:ind w:left="720"/>
        <w:rPr>
          <w:rFonts w:ascii="Times New Roman" w:hAnsi="Times New Roman"/>
          <w:sz w:val="24"/>
        </w:rPr>
      </w:pPr>
      <w:r>
        <w:rPr>
          <w:rFonts w:ascii="Times New Roman" w:hAnsi="Times New Roman"/>
          <w:sz w:val="24"/>
        </w:rPr>
        <w:t>This section provides that each</w:t>
      </w:r>
      <w:r w:rsidR="00206C4A" w:rsidRPr="0060108F">
        <w:rPr>
          <w:rFonts w:ascii="Times New Roman" w:hAnsi="Times New Roman"/>
          <w:sz w:val="24"/>
        </w:rPr>
        <w:t xml:space="preserve"> </w:t>
      </w:r>
      <w:r w:rsidR="00BF6A36">
        <w:rPr>
          <w:rFonts w:ascii="Times New Roman" w:hAnsi="Times New Roman"/>
          <w:sz w:val="24"/>
        </w:rPr>
        <w:t>i</w:t>
      </w:r>
      <w:r w:rsidR="00206C4A" w:rsidRPr="0060108F">
        <w:rPr>
          <w:rFonts w:ascii="Times New Roman" w:hAnsi="Times New Roman"/>
          <w:sz w:val="24"/>
        </w:rPr>
        <w:t xml:space="preserve">nstrument specified in </w:t>
      </w:r>
      <w:r>
        <w:rPr>
          <w:rFonts w:ascii="Times New Roman" w:hAnsi="Times New Roman"/>
          <w:sz w:val="24"/>
        </w:rPr>
        <w:t>a Schedule</w:t>
      </w:r>
      <w:r w:rsidR="00206C4A" w:rsidRPr="0060108F">
        <w:rPr>
          <w:rFonts w:ascii="Times New Roman" w:hAnsi="Times New Roman"/>
          <w:sz w:val="24"/>
        </w:rPr>
        <w:t xml:space="preserve"> is amended</w:t>
      </w:r>
      <w:r>
        <w:rPr>
          <w:rFonts w:ascii="Times New Roman" w:hAnsi="Times New Roman"/>
          <w:sz w:val="24"/>
        </w:rPr>
        <w:t xml:space="preserve"> or repealed</w:t>
      </w:r>
      <w:r w:rsidR="00206C4A" w:rsidRPr="0060108F">
        <w:rPr>
          <w:rFonts w:ascii="Times New Roman" w:hAnsi="Times New Roman"/>
          <w:sz w:val="24"/>
        </w:rPr>
        <w:t xml:space="preserve"> as set out</w:t>
      </w:r>
      <w:r>
        <w:rPr>
          <w:rFonts w:ascii="Times New Roman" w:hAnsi="Times New Roman"/>
          <w:sz w:val="24"/>
        </w:rPr>
        <w:t xml:space="preserve"> in the applicable items in the</w:t>
      </w:r>
      <w:r w:rsidR="00206C4A" w:rsidRPr="0060108F">
        <w:rPr>
          <w:rFonts w:ascii="Times New Roman" w:hAnsi="Times New Roman"/>
          <w:sz w:val="24"/>
        </w:rPr>
        <w:t xml:space="preserve"> Schedule</w:t>
      </w:r>
      <w:r>
        <w:rPr>
          <w:rFonts w:ascii="Times New Roman" w:hAnsi="Times New Roman"/>
          <w:sz w:val="24"/>
        </w:rPr>
        <w:t xml:space="preserve"> concerned</w:t>
      </w:r>
      <w:r w:rsidR="00206C4A" w:rsidRPr="0060108F">
        <w:rPr>
          <w:rFonts w:ascii="Times New Roman" w:hAnsi="Times New Roman"/>
          <w:sz w:val="24"/>
        </w:rPr>
        <w:t>.</w:t>
      </w:r>
    </w:p>
    <w:p w14:paraId="6119ECBB" w14:textId="2E521186" w:rsidR="0021786A" w:rsidRDefault="0021786A" w:rsidP="00BD02D0">
      <w:pPr>
        <w:spacing w:before="240" w:line="259" w:lineRule="auto"/>
        <w:ind w:left="720"/>
        <w:rPr>
          <w:rFonts w:ascii="Times New Roman" w:hAnsi="Times New Roman"/>
          <w:b/>
          <w:sz w:val="24"/>
        </w:rPr>
      </w:pPr>
      <w:r>
        <w:rPr>
          <w:rFonts w:ascii="Times New Roman" w:hAnsi="Times New Roman"/>
          <w:b/>
          <w:sz w:val="24"/>
        </w:rPr>
        <w:t xml:space="preserve">Schedule 1 – Amendments </w:t>
      </w:r>
    </w:p>
    <w:p w14:paraId="6B50A251" w14:textId="77777777" w:rsidR="0021786A" w:rsidRPr="0060108F" w:rsidRDefault="0021786A" w:rsidP="0021786A">
      <w:pPr>
        <w:spacing w:before="240" w:line="259" w:lineRule="auto"/>
        <w:ind w:left="720"/>
        <w:rPr>
          <w:rFonts w:ascii="Times New Roman" w:hAnsi="Times New Roman"/>
          <w:b/>
          <w:sz w:val="24"/>
        </w:rPr>
      </w:pPr>
      <w:r w:rsidRPr="0060108F">
        <w:rPr>
          <w:rFonts w:ascii="Times New Roman" w:hAnsi="Times New Roman"/>
          <w:i/>
          <w:sz w:val="24"/>
        </w:rPr>
        <w:t xml:space="preserve">Anti-Money Laundering and Counter-Terrorism Financing Rules Instrument 2007 (No. </w:t>
      </w:r>
      <w:r>
        <w:rPr>
          <w:rFonts w:ascii="Times New Roman" w:hAnsi="Times New Roman"/>
          <w:i/>
          <w:sz w:val="24"/>
        </w:rPr>
        <w:t>1</w:t>
      </w:r>
      <w:r w:rsidRPr="0060108F">
        <w:rPr>
          <w:rFonts w:ascii="Times New Roman" w:hAnsi="Times New Roman"/>
          <w:i/>
          <w:sz w:val="24"/>
        </w:rPr>
        <w:t>)</w:t>
      </w:r>
    </w:p>
    <w:p w14:paraId="0F6FF17E" w14:textId="77777777" w:rsidR="0021786A" w:rsidRPr="0060108F" w:rsidRDefault="0021786A" w:rsidP="0021786A">
      <w:pPr>
        <w:keepNext/>
        <w:spacing w:before="240"/>
        <w:ind w:left="720"/>
        <w:rPr>
          <w:rFonts w:ascii="Times New Roman" w:hAnsi="Times New Roman"/>
          <w:b/>
          <w:sz w:val="24"/>
        </w:rPr>
      </w:pPr>
      <w:r w:rsidRPr="0060108F">
        <w:rPr>
          <w:rFonts w:ascii="Times New Roman" w:hAnsi="Times New Roman"/>
          <w:b/>
          <w:sz w:val="24"/>
        </w:rPr>
        <w:t>Notes on items</w:t>
      </w:r>
    </w:p>
    <w:p w14:paraId="5490302F" w14:textId="43AF71F6" w:rsidR="0021786A" w:rsidRPr="00BF6A36" w:rsidRDefault="0021786A" w:rsidP="0021786A">
      <w:pPr>
        <w:keepNext/>
        <w:spacing w:before="240" w:line="259" w:lineRule="auto"/>
        <w:ind w:left="720"/>
        <w:rPr>
          <w:rFonts w:ascii="Times New Roman" w:hAnsi="Times New Roman"/>
          <w:b/>
          <w:sz w:val="24"/>
        </w:rPr>
      </w:pPr>
      <w:r w:rsidRPr="00BF6A36">
        <w:rPr>
          <w:rFonts w:ascii="Times New Roman" w:hAnsi="Times New Roman"/>
          <w:b/>
          <w:sz w:val="24"/>
        </w:rPr>
        <w:t xml:space="preserve">Item 1—Chapter </w:t>
      </w:r>
      <w:r>
        <w:rPr>
          <w:rFonts w:ascii="Times New Roman" w:hAnsi="Times New Roman"/>
          <w:b/>
          <w:sz w:val="24"/>
        </w:rPr>
        <w:t>82</w:t>
      </w:r>
    </w:p>
    <w:p w14:paraId="4D2B30F4" w14:textId="7836FAFE" w:rsidR="0021786A" w:rsidRDefault="00CF589A" w:rsidP="00BD02D0">
      <w:pPr>
        <w:spacing w:before="240" w:line="259" w:lineRule="auto"/>
        <w:ind w:left="720"/>
        <w:rPr>
          <w:rFonts w:ascii="Times New Roman" w:hAnsi="Times New Roman"/>
          <w:sz w:val="24"/>
        </w:rPr>
      </w:pPr>
      <w:r>
        <w:rPr>
          <w:rFonts w:ascii="Times New Roman" w:hAnsi="Times New Roman"/>
          <w:sz w:val="24"/>
        </w:rPr>
        <w:t>This item inserts a new Chapter, Chapter 82, in the AML/CTF Rules.</w:t>
      </w:r>
    </w:p>
    <w:p w14:paraId="7047D6DC" w14:textId="21276668" w:rsidR="00CF589A" w:rsidRDefault="00D3041E" w:rsidP="00BD02D0">
      <w:pPr>
        <w:spacing w:before="240" w:line="259" w:lineRule="auto"/>
        <w:ind w:left="720"/>
        <w:rPr>
          <w:rFonts w:ascii="Times New Roman" w:hAnsi="Times New Roman"/>
          <w:sz w:val="24"/>
        </w:rPr>
      </w:pPr>
      <w:r>
        <w:rPr>
          <w:rFonts w:ascii="Times New Roman" w:hAnsi="Times New Roman"/>
          <w:sz w:val="24"/>
        </w:rPr>
        <w:t>Paragraph 82.1 provides that Chapter 82 is made under section 229 for the purposes of paragraphs 33(a) and 33(b) and subparagraph 34(1</w:t>
      </w:r>
      <w:proofErr w:type="gramStart"/>
      <w:r>
        <w:rPr>
          <w:rFonts w:ascii="Times New Roman" w:hAnsi="Times New Roman"/>
          <w:sz w:val="24"/>
        </w:rPr>
        <w:t>)(</w:t>
      </w:r>
      <w:proofErr w:type="gramEnd"/>
      <w:r>
        <w:rPr>
          <w:rFonts w:ascii="Times New Roman" w:hAnsi="Times New Roman"/>
          <w:sz w:val="24"/>
        </w:rPr>
        <w:t>d)(</w:t>
      </w:r>
      <w:proofErr w:type="spellStart"/>
      <w:r>
        <w:rPr>
          <w:rFonts w:ascii="Times New Roman" w:hAnsi="Times New Roman"/>
          <w:sz w:val="24"/>
        </w:rPr>
        <w:t>i</w:t>
      </w:r>
      <w:proofErr w:type="spellEnd"/>
      <w:r>
        <w:rPr>
          <w:rFonts w:ascii="Times New Roman" w:hAnsi="Times New Roman"/>
          <w:sz w:val="24"/>
        </w:rPr>
        <w:t>) of the AML/CTF Act.</w:t>
      </w:r>
    </w:p>
    <w:p w14:paraId="7F906CD5" w14:textId="5BBE9EDE" w:rsidR="00586F80" w:rsidRDefault="00586F80" w:rsidP="00BD02D0">
      <w:pPr>
        <w:spacing w:before="240" w:line="259" w:lineRule="auto"/>
        <w:ind w:left="720"/>
        <w:rPr>
          <w:rFonts w:ascii="Times New Roman" w:hAnsi="Times New Roman"/>
          <w:sz w:val="24"/>
        </w:rPr>
      </w:pPr>
      <w:r>
        <w:rPr>
          <w:rFonts w:ascii="Times New Roman" w:hAnsi="Times New Roman"/>
          <w:sz w:val="24"/>
        </w:rPr>
        <w:t>Paragraph 82.2 provides that online gambling services are specified for the purposes of paragraph 33(2) of the Act, subject to the conditions specified in paragraph 82.3.</w:t>
      </w:r>
    </w:p>
    <w:p w14:paraId="5394C150" w14:textId="568B0427" w:rsidR="004C28D4" w:rsidRDefault="004C28D4" w:rsidP="00BD02D0">
      <w:pPr>
        <w:spacing w:before="240" w:line="259" w:lineRule="auto"/>
        <w:ind w:left="720"/>
        <w:rPr>
          <w:rFonts w:ascii="Times New Roman" w:hAnsi="Times New Roman"/>
          <w:sz w:val="24"/>
        </w:rPr>
      </w:pPr>
      <w:r>
        <w:rPr>
          <w:rFonts w:ascii="Times New Roman" w:hAnsi="Times New Roman"/>
          <w:sz w:val="24"/>
        </w:rPr>
        <w:lastRenderedPageBreak/>
        <w:t>Paragraph 82.</w:t>
      </w:r>
      <w:r w:rsidR="00586F80">
        <w:rPr>
          <w:rFonts w:ascii="Times New Roman" w:hAnsi="Times New Roman"/>
          <w:sz w:val="24"/>
        </w:rPr>
        <w:t>3</w:t>
      </w:r>
      <w:r>
        <w:rPr>
          <w:rFonts w:ascii="Times New Roman" w:hAnsi="Times New Roman"/>
          <w:sz w:val="24"/>
        </w:rPr>
        <w:t xml:space="preserve"> sets out the conditions that a reporting entity must meet to allow it to complete the applicable customer identification procedure in respect of the customer after commencing to provide a designated service described in item 11 if table 3 in subsection 6(4) of the AML/CTF Act. </w:t>
      </w:r>
    </w:p>
    <w:p w14:paraId="20449528" w14:textId="3A469DAB" w:rsidR="004C28D4" w:rsidRPr="0021786A" w:rsidRDefault="004C28D4" w:rsidP="00BD02D0">
      <w:pPr>
        <w:spacing w:before="240" w:line="259" w:lineRule="auto"/>
        <w:ind w:left="720"/>
        <w:rPr>
          <w:rFonts w:ascii="Times New Roman" w:hAnsi="Times New Roman"/>
          <w:sz w:val="24"/>
        </w:rPr>
      </w:pPr>
      <w:r>
        <w:rPr>
          <w:rFonts w:ascii="Times New Roman" w:hAnsi="Times New Roman"/>
          <w:sz w:val="24"/>
        </w:rPr>
        <w:t>Paragraph 82.</w:t>
      </w:r>
      <w:r w:rsidR="00586F80">
        <w:rPr>
          <w:rFonts w:ascii="Times New Roman" w:hAnsi="Times New Roman"/>
          <w:sz w:val="24"/>
        </w:rPr>
        <w:t>4</w:t>
      </w:r>
      <w:r>
        <w:rPr>
          <w:rFonts w:ascii="Times New Roman" w:hAnsi="Times New Roman"/>
          <w:sz w:val="24"/>
        </w:rPr>
        <w:t xml:space="preserve"> sets out that for the purposes of subparagraph 34(1</w:t>
      </w:r>
      <w:proofErr w:type="gramStart"/>
      <w:r>
        <w:rPr>
          <w:rFonts w:ascii="Times New Roman" w:hAnsi="Times New Roman"/>
          <w:sz w:val="24"/>
        </w:rPr>
        <w:t>)(</w:t>
      </w:r>
      <w:proofErr w:type="gramEnd"/>
      <w:r>
        <w:rPr>
          <w:rFonts w:ascii="Times New Roman" w:hAnsi="Times New Roman"/>
          <w:sz w:val="24"/>
        </w:rPr>
        <w:t>d)(</w:t>
      </w:r>
      <w:proofErr w:type="spellStart"/>
      <w:r>
        <w:rPr>
          <w:rFonts w:ascii="Times New Roman" w:hAnsi="Times New Roman"/>
          <w:sz w:val="24"/>
        </w:rPr>
        <w:t>i</w:t>
      </w:r>
      <w:proofErr w:type="spellEnd"/>
      <w:r>
        <w:rPr>
          <w:rFonts w:ascii="Times New Roman" w:hAnsi="Times New Roman"/>
          <w:sz w:val="24"/>
        </w:rPr>
        <w:t>) of the AML/CTF Act, the relevant period is 72 hours</w:t>
      </w:r>
      <w:r w:rsidR="00E34C46">
        <w:rPr>
          <w:rFonts w:ascii="Times New Roman" w:hAnsi="Times New Roman"/>
          <w:sz w:val="24"/>
        </w:rPr>
        <w:t xml:space="preserve"> after the reporting entity commences to provide the designated service to the customer. After the relevant period ends </w:t>
      </w:r>
      <w:r w:rsidR="00E34C46" w:rsidRPr="00E34C46">
        <w:rPr>
          <w:rFonts w:ascii="Times New Roman" w:hAnsi="Times New Roman"/>
          <w:sz w:val="24"/>
        </w:rPr>
        <w:t xml:space="preserve">the reporting entity may no longer provide a designated service to the customer until it has completed the </w:t>
      </w:r>
      <w:r w:rsidR="00E34C46">
        <w:rPr>
          <w:rFonts w:ascii="Times New Roman" w:hAnsi="Times New Roman"/>
          <w:sz w:val="24"/>
        </w:rPr>
        <w:t>applicable customer identification procedure</w:t>
      </w:r>
      <w:r w:rsidR="00E34C46" w:rsidRPr="00E34C46">
        <w:rPr>
          <w:rFonts w:ascii="Times New Roman" w:hAnsi="Times New Roman"/>
          <w:sz w:val="24"/>
        </w:rPr>
        <w:t xml:space="preserve"> on the customer</w:t>
      </w:r>
      <w:r w:rsidR="00E34C46">
        <w:rPr>
          <w:rFonts w:ascii="Times New Roman" w:hAnsi="Times New Roman"/>
          <w:sz w:val="24"/>
        </w:rPr>
        <w:t>.</w:t>
      </w:r>
    </w:p>
    <w:p w14:paraId="031E5818" w14:textId="17E23C12" w:rsidR="00C46410" w:rsidRPr="00BF6A36" w:rsidRDefault="00774204" w:rsidP="00BD02D0">
      <w:pPr>
        <w:spacing w:before="240" w:line="259" w:lineRule="auto"/>
        <w:ind w:left="720"/>
        <w:rPr>
          <w:rFonts w:ascii="Times New Roman" w:hAnsi="Times New Roman"/>
          <w:b/>
          <w:sz w:val="24"/>
        </w:rPr>
      </w:pPr>
      <w:r>
        <w:rPr>
          <w:rFonts w:ascii="Times New Roman" w:hAnsi="Times New Roman"/>
          <w:b/>
          <w:sz w:val="24"/>
        </w:rPr>
        <w:t>Schedule 2</w:t>
      </w:r>
      <w:r w:rsidR="00C46410" w:rsidRPr="00BF6A36">
        <w:rPr>
          <w:rFonts w:ascii="Times New Roman" w:hAnsi="Times New Roman"/>
          <w:b/>
          <w:sz w:val="24"/>
        </w:rPr>
        <w:t>—</w:t>
      </w:r>
      <w:r>
        <w:rPr>
          <w:rFonts w:ascii="Times New Roman" w:hAnsi="Times New Roman"/>
          <w:b/>
          <w:sz w:val="24"/>
        </w:rPr>
        <w:t>Repeal</w:t>
      </w:r>
    </w:p>
    <w:p w14:paraId="07457E47" w14:textId="4BA23FA7" w:rsidR="00206C4A" w:rsidRPr="0060108F" w:rsidRDefault="00206C4A" w:rsidP="00BD02D0">
      <w:pPr>
        <w:spacing w:before="240" w:line="259" w:lineRule="auto"/>
        <w:ind w:left="720"/>
        <w:rPr>
          <w:rFonts w:ascii="Times New Roman" w:hAnsi="Times New Roman"/>
          <w:b/>
          <w:sz w:val="24"/>
        </w:rPr>
      </w:pPr>
      <w:r w:rsidRPr="0060108F">
        <w:rPr>
          <w:rFonts w:ascii="Times New Roman" w:hAnsi="Times New Roman"/>
          <w:i/>
          <w:sz w:val="24"/>
        </w:rPr>
        <w:t xml:space="preserve">Anti-Money Laundering and Counter-Terrorism Financing Rules Instrument 2007 (No. </w:t>
      </w:r>
      <w:r w:rsidR="007F18B0">
        <w:rPr>
          <w:rFonts w:ascii="Times New Roman" w:hAnsi="Times New Roman"/>
          <w:i/>
          <w:sz w:val="24"/>
        </w:rPr>
        <w:t>1</w:t>
      </w:r>
      <w:r w:rsidR="005C28B5" w:rsidRPr="0060108F">
        <w:rPr>
          <w:rFonts w:ascii="Times New Roman" w:hAnsi="Times New Roman"/>
          <w:i/>
          <w:sz w:val="24"/>
        </w:rPr>
        <w:t>)</w:t>
      </w:r>
    </w:p>
    <w:p w14:paraId="31A4E642" w14:textId="77777777" w:rsidR="00B04F55" w:rsidRPr="0060108F" w:rsidRDefault="00B04F55" w:rsidP="00BD02D0">
      <w:pPr>
        <w:keepNext/>
        <w:spacing w:before="240"/>
        <w:ind w:left="720"/>
        <w:rPr>
          <w:rFonts w:ascii="Times New Roman" w:hAnsi="Times New Roman"/>
          <w:b/>
          <w:sz w:val="24"/>
        </w:rPr>
      </w:pPr>
      <w:r w:rsidRPr="0060108F">
        <w:rPr>
          <w:rFonts w:ascii="Times New Roman" w:hAnsi="Times New Roman"/>
          <w:b/>
          <w:sz w:val="24"/>
        </w:rPr>
        <w:t>Notes on items</w:t>
      </w:r>
    </w:p>
    <w:p w14:paraId="77ED2EEC" w14:textId="375A5C0C" w:rsidR="00C46410" w:rsidRPr="00BF6A36" w:rsidRDefault="00C46410" w:rsidP="00BD02D0">
      <w:pPr>
        <w:keepNext/>
        <w:spacing w:before="240" w:line="259" w:lineRule="auto"/>
        <w:ind w:left="720"/>
        <w:rPr>
          <w:rFonts w:ascii="Times New Roman" w:hAnsi="Times New Roman"/>
          <w:b/>
          <w:sz w:val="24"/>
        </w:rPr>
      </w:pPr>
      <w:r w:rsidRPr="00BF6A36">
        <w:rPr>
          <w:rFonts w:ascii="Times New Roman" w:hAnsi="Times New Roman"/>
          <w:b/>
          <w:sz w:val="24"/>
        </w:rPr>
        <w:t>Item 1—</w:t>
      </w:r>
      <w:r w:rsidR="00774204">
        <w:rPr>
          <w:rFonts w:ascii="Times New Roman" w:hAnsi="Times New Roman"/>
          <w:b/>
          <w:sz w:val="24"/>
        </w:rPr>
        <w:t>Part 10.4</w:t>
      </w:r>
    </w:p>
    <w:p w14:paraId="71DEDEDB" w14:textId="47F8440E" w:rsidR="001D23A8" w:rsidRDefault="00B04F55" w:rsidP="007A4676">
      <w:pPr>
        <w:autoSpaceDE w:val="0"/>
        <w:autoSpaceDN w:val="0"/>
        <w:adjustRightInd w:val="0"/>
        <w:spacing w:before="240" w:line="259" w:lineRule="auto"/>
        <w:ind w:left="720"/>
        <w:rPr>
          <w:rFonts w:ascii="Times New Roman" w:hAnsi="Times New Roman"/>
          <w:sz w:val="24"/>
        </w:rPr>
      </w:pPr>
      <w:r w:rsidRPr="0060108F">
        <w:rPr>
          <w:rFonts w:ascii="Times New Roman" w:hAnsi="Times New Roman"/>
          <w:sz w:val="24"/>
        </w:rPr>
        <w:t xml:space="preserve">This item </w:t>
      </w:r>
      <w:r w:rsidR="007A4676">
        <w:rPr>
          <w:rFonts w:ascii="Times New Roman" w:hAnsi="Times New Roman"/>
          <w:sz w:val="24"/>
        </w:rPr>
        <w:t>repeals Part 10.4</w:t>
      </w:r>
      <w:r w:rsidR="009B7EE2">
        <w:rPr>
          <w:rFonts w:ascii="Times New Roman" w:hAnsi="Times New Roman"/>
          <w:sz w:val="24"/>
        </w:rPr>
        <w:t>.</w:t>
      </w:r>
    </w:p>
    <w:p w14:paraId="7F011625" w14:textId="2A8C3356" w:rsidR="00774204" w:rsidRPr="00BF6A36" w:rsidRDefault="00774204" w:rsidP="00774204">
      <w:pPr>
        <w:spacing w:before="240" w:line="259" w:lineRule="auto"/>
        <w:ind w:left="720"/>
        <w:rPr>
          <w:rFonts w:ascii="Times New Roman" w:hAnsi="Times New Roman"/>
          <w:b/>
          <w:sz w:val="24"/>
        </w:rPr>
      </w:pPr>
      <w:r>
        <w:rPr>
          <w:rFonts w:ascii="Times New Roman" w:hAnsi="Times New Roman"/>
          <w:b/>
          <w:sz w:val="24"/>
        </w:rPr>
        <w:t>Schedule 3</w:t>
      </w:r>
      <w:r w:rsidRPr="00BF6A36">
        <w:rPr>
          <w:rFonts w:ascii="Times New Roman" w:hAnsi="Times New Roman"/>
          <w:b/>
          <w:sz w:val="24"/>
        </w:rPr>
        <w:t>—</w:t>
      </w:r>
      <w:r>
        <w:rPr>
          <w:rFonts w:ascii="Times New Roman" w:hAnsi="Times New Roman"/>
          <w:b/>
          <w:sz w:val="24"/>
        </w:rPr>
        <w:t>Repeal</w:t>
      </w:r>
    </w:p>
    <w:p w14:paraId="67BB8D3D" w14:textId="77777777" w:rsidR="00774204" w:rsidRPr="0060108F" w:rsidRDefault="00774204" w:rsidP="00774204">
      <w:pPr>
        <w:spacing w:before="240" w:line="259" w:lineRule="auto"/>
        <w:ind w:left="720"/>
        <w:rPr>
          <w:rFonts w:ascii="Times New Roman" w:hAnsi="Times New Roman"/>
          <w:b/>
          <w:sz w:val="24"/>
        </w:rPr>
      </w:pPr>
      <w:r w:rsidRPr="0060108F">
        <w:rPr>
          <w:rFonts w:ascii="Times New Roman" w:hAnsi="Times New Roman"/>
          <w:i/>
          <w:sz w:val="24"/>
        </w:rPr>
        <w:t xml:space="preserve">Anti-Money Laundering and Counter-Terrorism Financing Rules Instrument 2007 (No. </w:t>
      </w:r>
      <w:r>
        <w:rPr>
          <w:rFonts w:ascii="Times New Roman" w:hAnsi="Times New Roman"/>
          <w:i/>
          <w:sz w:val="24"/>
        </w:rPr>
        <w:t>1</w:t>
      </w:r>
      <w:r w:rsidRPr="0060108F">
        <w:rPr>
          <w:rFonts w:ascii="Times New Roman" w:hAnsi="Times New Roman"/>
          <w:i/>
          <w:sz w:val="24"/>
        </w:rPr>
        <w:t>)</w:t>
      </w:r>
    </w:p>
    <w:p w14:paraId="21264A7C" w14:textId="77777777" w:rsidR="00774204" w:rsidRPr="0060108F" w:rsidRDefault="00774204" w:rsidP="00774204">
      <w:pPr>
        <w:keepNext/>
        <w:spacing w:before="240"/>
        <w:ind w:left="720"/>
        <w:rPr>
          <w:rFonts w:ascii="Times New Roman" w:hAnsi="Times New Roman"/>
          <w:b/>
          <w:sz w:val="24"/>
        </w:rPr>
      </w:pPr>
      <w:r w:rsidRPr="0060108F">
        <w:rPr>
          <w:rFonts w:ascii="Times New Roman" w:hAnsi="Times New Roman"/>
          <w:b/>
          <w:sz w:val="24"/>
        </w:rPr>
        <w:t>Notes on items</w:t>
      </w:r>
    </w:p>
    <w:p w14:paraId="55042B0C" w14:textId="3866E992" w:rsidR="00774204" w:rsidRPr="00BF6A36" w:rsidRDefault="00774204" w:rsidP="00774204">
      <w:pPr>
        <w:keepNext/>
        <w:spacing w:before="240" w:line="259" w:lineRule="auto"/>
        <w:ind w:left="720"/>
        <w:rPr>
          <w:rFonts w:ascii="Times New Roman" w:hAnsi="Times New Roman"/>
          <w:b/>
          <w:sz w:val="24"/>
        </w:rPr>
      </w:pPr>
      <w:r w:rsidRPr="00BF6A36">
        <w:rPr>
          <w:rFonts w:ascii="Times New Roman" w:hAnsi="Times New Roman"/>
          <w:b/>
          <w:sz w:val="24"/>
        </w:rPr>
        <w:t>Item 1—</w:t>
      </w:r>
      <w:r>
        <w:rPr>
          <w:rFonts w:ascii="Times New Roman" w:hAnsi="Times New Roman"/>
          <w:b/>
          <w:sz w:val="24"/>
        </w:rPr>
        <w:t>Chapter 82</w:t>
      </w:r>
    </w:p>
    <w:p w14:paraId="1A579D90" w14:textId="1D48DD13" w:rsidR="00774204" w:rsidRDefault="00774204" w:rsidP="00774204">
      <w:pPr>
        <w:autoSpaceDE w:val="0"/>
        <w:autoSpaceDN w:val="0"/>
        <w:adjustRightInd w:val="0"/>
        <w:spacing w:before="240" w:line="259" w:lineRule="auto"/>
        <w:ind w:left="720"/>
        <w:rPr>
          <w:rFonts w:ascii="Times New Roman" w:hAnsi="Times New Roman"/>
          <w:sz w:val="24"/>
        </w:rPr>
      </w:pPr>
      <w:r w:rsidRPr="0060108F">
        <w:rPr>
          <w:rFonts w:ascii="Times New Roman" w:hAnsi="Times New Roman"/>
          <w:sz w:val="24"/>
        </w:rPr>
        <w:t xml:space="preserve">This item </w:t>
      </w:r>
      <w:r>
        <w:rPr>
          <w:rFonts w:ascii="Times New Roman" w:hAnsi="Times New Roman"/>
          <w:sz w:val="24"/>
        </w:rPr>
        <w:t>repeals Chapter 82.</w:t>
      </w:r>
    </w:p>
    <w:p w14:paraId="057C8523" w14:textId="77777777" w:rsidR="00666B66" w:rsidRPr="000C7ED6" w:rsidRDefault="0059594F" w:rsidP="000C7ED6">
      <w:pPr>
        <w:pStyle w:val="Item"/>
        <w:ind w:left="720"/>
        <w:rPr>
          <w:sz w:val="24"/>
          <w:szCs w:val="22"/>
        </w:rPr>
      </w:pPr>
      <w:r>
        <w:rPr>
          <w:sz w:val="24"/>
          <w:szCs w:val="22"/>
        </w:rPr>
        <w:br w:type="page"/>
      </w:r>
    </w:p>
    <w:p w14:paraId="2DBE56F4" w14:textId="14F2A643" w:rsidR="00684A1B" w:rsidRDefault="00684A1B" w:rsidP="00BD02D0">
      <w:pPr>
        <w:keepNext/>
        <w:spacing w:before="240" w:line="259" w:lineRule="auto"/>
        <w:ind w:left="720"/>
        <w:rPr>
          <w:rFonts w:ascii="Times New Roman" w:hAnsi="Times New Roman"/>
          <w:b/>
        </w:rPr>
      </w:pPr>
    </w:p>
    <w:p w14:paraId="19974919" w14:textId="77777777" w:rsidR="004A1634" w:rsidRPr="004A1634" w:rsidRDefault="004A1634" w:rsidP="00BD02D0">
      <w:pPr>
        <w:ind w:left="720"/>
        <w:rPr>
          <w:lang w:eastAsia="en-AU"/>
        </w:rPr>
      </w:pPr>
    </w:p>
    <w:p w14:paraId="1C4487B8" w14:textId="68C33B45" w:rsidR="009B309E" w:rsidRPr="009A29DA" w:rsidRDefault="009B309E" w:rsidP="00BD02D0">
      <w:pPr>
        <w:spacing w:after="160" w:line="360" w:lineRule="auto"/>
        <w:ind w:left="720"/>
        <w:rPr>
          <w:rFonts w:ascii="Times New Roman" w:eastAsia="Calibri" w:hAnsi="Times New Roman"/>
          <w:b/>
          <w:caps/>
          <w:sz w:val="24"/>
          <w:u w:val="single"/>
        </w:rPr>
      </w:pPr>
      <w:r w:rsidRPr="009A29DA">
        <w:rPr>
          <w:rFonts w:ascii="Times New Roman" w:eastAsia="Calibri" w:hAnsi="Times New Roman"/>
          <w:b/>
          <w:caps/>
          <w:sz w:val="24"/>
          <w:u w:val="single"/>
        </w:rPr>
        <w:t>ATTACHMENT B</w:t>
      </w:r>
    </w:p>
    <w:p w14:paraId="4AF4F136" w14:textId="77777777" w:rsidR="00733D11" w:rsidRDefault="00733D11" w:rsidP="00BD02D0">
      <w:pPr>
        <w:spacing w:after="160" w:line="360" w:lineRule="auto"/>
        <w:ind w:left="720"/>
        <w:rPr>
          <w:rFonts w:ascii="Times New Roman" w:eastAsia="Calibri" w:hAnsi="Times New Roman"/>
          <w:b/>
          <w:caps/>
          <w:sz w:val="24"/>
        </w:rPr>
      </w:pPr>
    </w:p>
    <w:p w14:paraId="5E190E38" w14:textId="77777777" w:rsidR="002E09D5" w:rsidRDefault="002E09D5" w:rsidP="002E09D5">
      <w:pPr>
        <w:jc w:val="center"/>
        <w:rPr>
          <w:rFonts w:ascii="Times New Roman" w:hAnsi="Times New Roman"/>
          <w:b/>
          <w:sz w:val="24"/>
        </w:rPr>
      </w:pPr>
      <w:r>
        <w:rPr>
          <w:rFonts w:ascii="Times New Roman" w:hAnsi="Times New Roman"/>
          <w:b/>
          <w:sz w:val="24"/>
        </w:rPr>
        <w:t>STATEMENT OF COMPATABILITY WITH HUMAN RIGHTS</w:t>
      </w:r>
    </w:p>
    <w:p w14:paraId="024374A1" w14:textId="77777777" w:rsidR="002E09D5" w:rsidRDefault="002E09D5" w:rsidP="002E09D5">
      <w:pPr>
        <w:jc w:val="center"/>
        <w:rPr>
          <w:rFonts w:ascii="Times New Roman" w:hAnsi="Times New Roman"/>
          <w:b/>
          <w:sz w:val="24"/>
        </w:rPr>
      </w:pPr>
    </w:p>
    <w:p w14:paraId="70DE08BF" w14:textId="77777777" w:rsidR="002E09D5" w:rsidRDefault="002E09D5" w:rsidP="002E09D5">
      <w:pPr>
        <w:jc w:val="center"/>
        <w:rPr>
          <w:rFonts w:ascii="Times New Roman" w:hAnsi="Times New Roman"/>
          <w:i/>
          <w:sz w:val="24"/>
        </w:rPr>
      </w:pPr>
      <w:r>
        <w:rPr>
          <w:rFonts w:ascii="Times New Roman" w:hAnsi="Times New Roman"/>
          <w:i/>
          <w:sz w:val="24"/>
        </w:rPr>
        <w:t>Prepared in accordance with Part 3 of the Human Rights (Parliamentary Scrutiny) Act 2011</w:t>
      </w:r>
    </w:p>
    <w:p w14:paraId="11027370" w14:textId="77777777" w:rsidR="002E09D5" w:rsidRDefault="002E09D5" w:rsidP="002E09D5">
      <w:pPr>
        <w:jc w:val="center"/>
        <w:rPr>
          <w:rFonts w:ascii="Times New Roman" w:hAnsi="Times New Roman"/>
          <w:i/>
          <w:sz w:val="24"/>
        </w:rPr>
      </w:pPr>
    </w:p>
    <w:p w14:paraId="26135765" w14:textId="77777777" w:rsidR="002E09D5" w:rsidRPr="006D16D4" w:rsidRDefault="002E09D5" w:rsidP="002E09D5">
      <w:pPr>
        <w:jc w:val="center"/>
        <w:rPr>
          <w:rFonts w:ascii="Times New Roman" w:hAnsi="Times New Roman"/>
          <w:b/>
          <w:i/>
          <w:sz w:val="24"/>
        </w:rPr>
      </w:pPr>
      <w:r>
        <w:rPr>
          <w:rFonts w:ascii="Times New Roman" w:hAnsi="Times New Roman"/>
          <w:b/>
          <w:i/>
          <w:sz w:val="24"/>
        </w:rPr>
        <w:t>Australian Human Rights Commission Regulations 2019</w:t>
      </w:r>
    </w:p>
    <w:p w14:paraId="4F0C9103" w14:textId="77777777" w:rsidR="002E09D5" w:rsidRPr="006D16D4" w:rsidRDefault="002E09D5" w:rsidP="002E09D5">
      <w:pPr>
        <w:rPr>
          <w:rFonts w:ascii="Times New Roman" w:hAnsi="Times New Roman"/>
          <w:b/>
          <w:sz w:val="24"/>
        </w:rPr>
      </w:pPr>
    </w:p>
    <w:p w14:paraId="3023F955" w14:textId="7B2C2759" w:rsidR="002E09D5" w:rsidRPr="009A1D4F" w:rsidRDefault="002E09D5" w:rsidP="002E09D5">
      <w:pPr>
        <w:pBdr>
          <w:top w:val="single" w:sz="4" w:space="1" w:color="auto"/>
          <w:left w:val="single" w:sz="4" w:space="4" w:color="auto"/>
          <w:bottom w:val="single" w:sz="4" w:space="1" w:color="auto"/>
          <w:right w:val="single" w:sz="4" w:space="4" w:color="auto"/>
        </w:pBdr>
        <w:spacing w:before="240"/>
        <w:jc w:val="center"/>
        <w:rPr>
          <w:rFonts w:ascii="Times New Roman" w:hAnsi="Times New Roman"/>
          <w:i/>
          <w:sz w:val="24"/>
        </w:rPr>
      </w:pPr>
      <w:r>
        <w:rPr>
          <w:rFonts w:ascii="Times New Roman" w:hAnsi="Times New Roman"/>
          <w:b/>
          <w:i/>
          <w:sz w:val="24"/>
        </w:rPr>
        <w:t>Amendments to the Anti-Money Laundering and Counter-Terrorism Financing Rules Instrument 2007 (No. 1) (AML/CTF Rules) amending Chapter 10</w:t>
      </w:r>
    </w:p>
    <w:p w14:paraId="6F20F22A" w14:textId="77777777" w:rsidR="002E09D5" w:rsidRPr="00CD4FA5" w:rsidRDefault="002E09D5" w:rsidP="002E09D5">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Pr>
          <w:rFonts w:ascii="Times New Roman" w:hAnsi="Times New Roman"/>
          <w:sz w:val="24"/>
        </w:rPr>
        <w:t xml:space="preserve">This Disallowable Legislative Instrument (the </w:t>
      </w:r>
      <w:r w:rsidRPr="006D16D4">
        <w:rPr>
          <w:rFonts w:ascii="Times New Roman" w:hAnsi="Times New Roman"/>
          <w:b/>
          <w:sz w:val="24"/>
        </w:rPr>
        <w:t>Instrument</w:t>
      </w:r>
      <w:r>
        <w:rPr>
          <w:rFonts w:ascii="Times New Roman" w:hAnsi="Times New Roman"/>
          <w:sz w:val="24"/>
        </w:rPr>
        <w:t xml:space="preserve">)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14:paraId="5DF72F9D" w14:textId="77777777" w:rsidR="002E09D5" w:rsidRDefault="002E09D5" w:rsidP="002E09D5">
      <w:pPr>
        <w:pBdr>
          <w:top w:val="single" w:sz="4" w:space="1" w:color="auto"/>
          <w:left w:val="single" w:sz="4" w:space="4" w:color="auto"/>
          <w:bottom w:val="single" w:sz="4" w:space="1" w:color="auto"/>
          <w:right w:val="single" w:sz="4" w:space="4" w:color="auto"/>
        </w:pBdr>
        <w:spacing w:before="240"/>
        <w:rPr>
          <w:rFonts w:ascii="Times New Roman" w:hAnsi="Times New Roman"/>
          <w:b/>
          <w:sz w:val="24"/>
        </w:rPr>
      </w:pPr>
      <w:r w:rsidRPr="00CD4FA5">
        <w:rPr>
          <w:rFonts w:ascii="Times New Roman" w:hAnsi="Times New Roman"/>
          <w:b/>
          <w:sz w:val="24"/>
        </w:rPr>
        <w:t xml:space="preserve">Overview of the </w:t>
      </w:r>
      <w:r>
        <w:rPr>
          <w:rFonts w:ascii="Times New Roman" w:hAnsi="Times New Roman"/>
          <w:b/>
          <w:sz w:val="24"/>
        </w:rPr>
        <w:t>I</w:t>
      </w:r>
      <w:r w:rsidRPr="00CD4FA5">
        <w:rPr>
          <w:rFonts w:ascii="Times New Roman" w:hAnsi="Times New Roman"/>
          <w:b/>
          <w:sz w:val="24"/>
        </w:rPr>
        <w:t>nstrument</w:t>
      </w:r>
    </w:p>
    <w:p w14:paraId="6EEA8BB3" w14:textId="0F0FDDC1" w:rsidR="002E09D5" w:rsidRPr="00EE4515" w:rsidRDefault="002E09D5" w:rsidP="002E09D5">
      <w:pPr>
        <w:pBdr>
          <w:top w:val="single" w:sz="4" w:space="1" w:color="auto"/>
          <w:left w:val="single" w:sz="4" w:space="4" w:color="auto"/>
          <w:bottom w:val="single" w:sz="4" w:space="1" w:color="auto"/>
          <w:right w:val="single" w:sz="4" w:space="4" w:color="auto"/>
        </w:pBdr>
        <w:spacing w:before="120"/>
        <w:ind w:left="720" w:hanging="720"/>
        <w:rPr>
          <w:rFonts w:ascii="Times New Roman" w:hAnsi="Times New Roman"/>
          <w:b/>
          <w:sz w:val="24"/>
        </w:rPr>
      </w:pPr>
      <w:r>
        <w:rPr>
          <w:rFonts w:ascii="Times New Roman" w:hAnsi="Times New Roman"/>
          <w:b/>
          <w:i/>
          <w:sz w:val="24"/>
        </w:rPr>
        <w:t>(</w:t>
      </w:r>
      <w:proofErr w:type="spellStart"/>
      <w:r>
        <w:rPr>
          <w:rFonts w:ascii="Times New Roman" w:hAnsi="Times New Roman"/>
          <w:b/>
          <w:i/>
          <w:sz w:val="24"/>
        </w:rPr>
        <w:t>i</w:t>
      </w:r>
      <w:proofErr w:type="spellEnd"/>
      <w:r>
        <w:rPr>
          <w:rFonts w:ascii="Times New Roman" w:hAnsi="Times New Roman"/>
          <w:b/>
          <w:i/>
          <w:sz w:val="24"/>
        </w:rPr>
        <w:t>)</w:t>
      </w:r>
      <w:r>
        <w:rPr>
          <w:rFonts w:ascii="Times New Roman" w:hAnsi="Times New Roman"/>
          <w:b/>
          <w:i/>
          <w:sz w:val="24"/>
        </w:rPr>
        <w:tab/>
        <w:t>Repeal of Part 10.4</w:t>
      </w:r>
      <w:r w:rsidRPr="00D12EE6">
        <w:rPr>
          <w:rFonts w:ascii="Times New Roman" w:hAnsi="Times New Roman"/>
          <w:b/>
          <w:i/>
          <w:sz w:val="24"/>
        </w:rPr>
        <w:t xml:space="preserve"> </w:t>
      </w:r>
      <w:r>
        <w:rPr>
          <w:rFonts w:ascii="Times New Roman" w:hAnsi="Times New Roman"/>
          <w:b/>
          <w:i/>
          <w:sz w:val="24"/>
        </w:rPr>
        <w:t>of the AML/CTF Rules</w:t>
      </w:r>
    </w:p>
    <w:p w14:paraId="36FE40EC" w14:textId="0D04EF6C" w:rsidR="002E09D5" w:rsidRDefault="002E09D5" w:rsidP="002E09D5">
      <w:pPr>
        <w:pBdr>
          <w:top w:val="single" w:sz="4" w:space="1" w:color="auto"/>
          <w:left w:val="single" w:sz="4" w:space="4" w:color="auto"/>
          <w:bottom w:val="single" w:sz="4" w:space="1" w:color="auto"/>
          <w:right w:val="single" w:sz="4" w:space="4" w:color="auto"/>
        </w:pBdr>
        <w:spacing w:before="120"/>
        <w:rPr>
          <w:rFonts w:ascii="Times New Roman" w:eastAsia="Calibri" w:hAnsi="Times New Roman"/>
          <w:sz w:val="24"/>
          <w:szCs w:val="20"/>
        </w:rPr>
      </w:pPr>
      <w:r>
        <w:rPr>
          <w:rFonts w:ascii="Times New Roman" w:eastAsia="Calibri" w:hAnsi="Times New Roman"/>
          <w:sz w:val="24"/>
          <w:szCs w:val="20"/>
        </w:rPr>
        <w:t>The Instrument amends Chapter 10 by repealing Part 10.4.</w:t>
      </w:r>
      <w:r w:rsidRPr="003E5515">
        <w:rPr>
          <w:rFonts w:ascii="Times New Roman" w:eastAsia="Calibri" w:hAnsi="Times New Roman"/>
          <w:sz w:val="24"/>
          <w:szCs w:val="20"/>
        </w:rPr>
        <w:t xml:space="preserve"> </w:t>
      </w:r>
      <w:r>
        <w:rPr>
          <w:rFonts w:ascii="Times New Roman" w:hAnsi="Times New Roman"/>
          <w:sz w:val="24"/>
        </w:rPr>
        <w:t>Commonwealth, State and Territory ministers responsible for gambling</w:t>
      </w:r>
      <w:r w:rsidRPr="007A4676">
        <w:rPr>
          <w:rFonts w:ascii="Times New Roman" w:hAnsi="Times New Roman"/>
          <w:sz w:val="24"/>
        </w:rPr>
        <w:t xml:space="preserve"> have agreed to implement pre-verification </w:t>
      </w:r>
      <w:r>
        <w:rPr>
          <w:rFonts w:ascii="Times New Roman" w:hAnsi="Times New Roman"/>
          <w:sz w:val="24"/>
        </w:rPr>
        <w:t xml:space="preserve">of customers </w:t>
      </w:r>
      <w:r w:rsidRPr="007A4676">
        <w:rPr>
          <w:rFonts w:ascii="Times New Roman" w:hAnsi="Times New Roman"/>
          <w:sz w:val="24"/>
        </w:rPr>
        <w:t xml:space="preserve">for online gambling </w:t>
      </w:r>
      <w:r w:rsidR="004E7A2A">
        <w:rPr>
          <w:rFonts w:ascii="Times New Roman" w:hAnsi="Times New Roman"/>
          <w:sz w:val="24"/>
        </w:rPr>
        <w:t>services</w:t>
      </w:r>
      <w:r w:rsidRPr="007A4676">
        <w:rPr>
          <w:rFonts w:ascii="Times New Roman" w:hAnsi="Times New Roman"/>
          <w:sz w:val="24"/>
        </w:rPr>
        <w:t xml:space="preserve">. This Instrument </w:t>
      </w:r>
      <w:r>
        <w:rPr>
          <w:rFonts w:ascii="Times New Roman" w:hAnsi="Times New Roman"/>
          <w:sz w:val="24"/>
        </w:rPr>
        <w:t>operationalises that agreement by repealing Part 10.4 of the AML/CTF Act.</w:t>
      </w:r>
      <w:r>
        <w:rPr>
          <w:rFonts w:ascii="Times New Roman" w:eastAsia="Calibri" w:hAnsi="Times New Roman"/>
          <w:sz w:val="24"/>
          <w:szCs w:val="20"/>
        </w:rPr>
        <w:t xml:space="preserve"> </w:t>
      </w:r>
    </w:p>
    <w:p w14:paraId="28064D3F" w14:textId="08BF3D5F" w:rsidR="0073145B" w:rsidRDefault="00B0518A" w:rsidP="002E09D5">
      <w:pPr>
        <w:pBdr>
          <w:top w:val="single" w:sz="4" w:space="1" w:color="auto"/>
          <w:left w:val="single" w:sz="4" w:space="4" w:color="auto"/>
          <w:bottom w:val="single" w:sz="4" w:space="1" w:color="auto"/>
          <w:right w:val="single" w:sz="4" w:space="4" w:color="auto"/>
        </w:pBdr>
        <w:spacing w:before="120"/>
        <w:rPr>
          <w:rFonts w:ascii="Times New Roman" w:hAnsi="Times New Roman"/>
          <w:sz w:val="24"/>
        </w:rPr>
      </w:pPr>
      <w:r>
        <w:rPr>
          <w:rFonts w:ascii="Times New Roman" w:eastAsia="Calibri" w:hAnsi="Times New Roman"/>
          <w:sz w:val="24"/>
          <w:szCs w:val="20"/>
        </w:rPr>
        <w:t xml:space="preserve">The instrument </w:t>
      </w:r>
      <w:r w:rsidR="0073145B">
        <w:rPr>
          <w:rFonts w:ascii="Times New Roman" w:eastAsia="Calibri" w:hAnsi="Times New Roman"/>
          <w:sz w:val="24"/>
          <w:szCs w:val="20"/>
        </w:rPr>
        <w:t xml:space="preserve">inserts Chapter 82 which </w:t>
      </w:r>
      <w:r w:rsidR="0073145B">
        <w:rPr>
          <w:rFonts w:ascii="Times New Roman" w:hAnsi="Times New Roman"/>
          <w:sz w:val="24"/>
        </w:rPr>
        <w:t xml:space="preserve">sets out the special circumstances </w:t>
      </w:r>
      <w:r w:rsidR="00870EBF">
        <w:rPr>
          <w:rFonts w:ascii="Times New Roman" w:hAnsi="Times New Roman"/>
          <w:sz w:val="24"/>
        </w:rPr>
        <w:t xml:space="preserve">which apply in relation to online gambling services </w:t>
      </w:r>
      <w:r w:rsidR="0073145B">
        <w:rPr>
          <w:rFonts w:ascii="Times New Roman" w:hAnsi="Times New Roman"/>
          <w:sz w:val="24"/>
        </w:rPr>
        <w:t xml:space="preserve">in which a reporting entity may carry out the applicable customer identification procedure in respect of a customer, after commencing to provide a designated </w:t>
      </w:r>
      <w:r w:rsidR="00BF7D65">
        <w:rPr>
          <w:rFonts w:ascii="Times New Roman" w:hAnsi="Times New Roman"/>
          <w:sz w:val="24"/>
        </w:rPr>
        <w:t xml:space="preserve">service </w:t>
      </w:r>
      <w:r w:rsidR="0073145B">
        <w:rPr>
          <w:rFonts w:ascii="Times New Roman" w:hAnsi="Times New Roman"/>
          <w:sz w:val="24"/>
        </w:rPr>
        <w:t xml:space="preserve">described in item 11 of table 3 in subsection 6(4) of the AML/CTF Act (opening an account). </w:t>
      </w:r>
    </w:p>
    <w:p w14:paraId="51901404" w14:textId="51474C0A" w:rsidR="0073145B" w:rsidRDefault="0073145B" w:rsidP="002E09D5">
      <w:pPr>
        <w:pBdr>
          <w:top w:val="single" w:sz="4" w:space="1" w:color="auto"/>
          <w:left w:val="single" w:sz="4" w:space="4" w:color="auto"/>
          <w:bottom w:val="single" w:sz="4" w:space="1" w:color="auto"/>
          <w:right w:val="single" w:sz="4" w:space="4" w:color="auto"/>
        </w:pBdr>
        <w:spacing w:before="120"/>
        <w:rPr>
          <w:rFonts w:ascii="Times New Roman" w:hAnsi="Times New Roman"/>
          <w:sz w:val="24"/>
        </w:rPr>
      </w:pPr>
      <w:r>
        <w:rPr>
          <w:rFonts w:ascii="Times New Roman" w:hAnsi="Times New Roman"/>
          <w:sz w:val="24"/>
        </w:rPr>
        <w:t xml:space="preserve">Reporting entities are not permitted to provide any other designated services to the customer (including </w:t>
      </w:r>
      <w:r w:rsidR="002843CC">
        <w:rPr>
          <w:rFonts w:ascii="Times New Roman" w:hAnsi="Times New Roman"/>
          <w:sz w:val="24"/>
        </w:rPr>
        <w:t xml:space="preserve">allowing </w:t>
      </w:r>
      <w:r>
        <w:rPr>
          <w:rFonts w:ascii="Times New Roman" w:hAnsi="Times New Roman"/>
          <w:sz w:val="24"/>
        </w:rPr>
        <w:t>a deposit</w:t>
      </w:r>
      <w:r w:rsidR="00586F80">
        <w:rPr>
          <w:rFonts w:ascii="Times New Roman" w:hAnsi="Times New Roman"/>
          <w:sz w:val="24"/>
        </w:rPr>
        <w:t xml:space="preserve"> </w:t>
      </w:r>
      <w:r w:rsidR="00F371DB">
        <w:rPr>
          <w:rFonts w:ascii="Times New Roman" w:hAnsi="Times New Roman"/>
          <w:sz w:val="24"/>
        </w:rPr>
        <w:t xml:space="preserve">or </w:t>
      </w:r>
      <w:r w:rsidR="002843CC">
        <w:rPr>
          <w:rFonts w:ascii="Times New Roman" w:hAnsi="Times New Roman"/>
          <w:sz w:val="24"/>
        </w:rPr>
        <w:t>accepting</w:t>
      </w:r>
      <w:r w:rsidR="00586F80">
        <w:rPr>
          <w:rFonts w:ascii="Times New Roman" w:hAnsi="Times New Roman"/>
          <w:sz w:val="24"/>
        </w:rPr>
        <w:t xml:space="preserve"> bets</w:t>
      </w:r>
      <w:r>
        <w:rPr>
          <w:rFonts w:ascii="Times New Roman" w:hAnsi="Times New Roman"/>
          <w:sz w:val="24"/>
        </w:rPr>
        <w:t>) until the applicable customer identification procedure has been completed. Furthermore, after the end of the 72 hour period, the reporting entity cannot continue to provide, and must not commence to provide, any designated service to the customer until applicable customer identification procedure is completed in respect of the customer</w:t>
      </w:r>
    </w:p>
    <w:p w14:paraId="1E9D9D4C" w14:textId="0F074675" w:rsidR="00B0518A" w:rsidRDefault="0073145B" w:rsidP="002E09D5">
      <w:pPr>
        <w:pBdr>
          <w:top w:val="single" w:sz="4" w:space="1" w:color="auto"/>
          <w:left w:val="single" w:sz="4" w:space="4" w:color="auto"/>
          <w:bottom w:val="single" w:sz="4" w:space="1" w:color="auto"/>
          <w:right w:val="single" w:sz="4" w:space="4" w:color="auto"/>
        </w:pBdr>
        <w:spacing w:before="120"/>
        <w:rPr>
          <w:rFonts w:ascii="Times New Roman" w:eastAsia="Calibri" w:hAnsi="Times New Roman"/>
          <w:sz w:val="24"/>
          <w:szCs w:val="20"/>
        </w:rPr>
      </w:pPr>
      <w:r>
        <w:rPr>
          <w:rFonts w:ascii="Times New Roman" w:hAnsi="Times New Roman"/>
          <w:sz w:val="24"/>
        </w:rPr>
        <w:t>The Instrument provides that this Chapter will be repealed 12 months after it commences. This Chapter provides reporting entities with 12 months to implement any required systems changes to ensure that the applicable customer identification procedure is carried out before commencing to provide a designated service</w:t>
      </w:r>
      <w:r w:rsidR="00DC32A5">
        <w:rPr>
          <w:rFonts w:ascii="Times New Roman" w:hAnsi="Times New Roman"/>
          <w:sz w:val="24"/>
        </w:rPr>
        <w:t>.</w:t>
      </w:r>
    </w:p>
    <w:p w14:paraId="16050A3E" w14:textId="7BF01B4D" w:rsidR="002E09D5" w:rsidRPr="00CD4FA5" w:rsidRDefault="002E09D5" w:rsidP="002E09D5">
      <w:pPr>
        <w:keepNext/>
        <w:pBdr>
          <w:top w:val="single" w:sz="4" w:space="1" w:color="auto"/>
          <w:left w:val="single" w:sz="4" w:space="4" w:color="auto"/>
          <w:bottom w:val="single" w:sz="4" w:space="1" w:color="auto"/>
          <w:right w:val="single" w:sz="4" w:space="4" w:color="auto"/>
        </w:pBdr>
        <w:spacing w:before="240"/>
        <w:rPr>
          <w:rFonts w:ascii="Times New Roman" w:hAnsi="Times New Roman"/>
          <w:b/>
          <w:sz w:val="24"/>
        </w:rPr>
      </w:pPr>
      <w:r w:rsidRPr="00CD4FA5">
        <w:rPr>
          <w:rFonts w:ascii="Times New Roman" w:hAnsi="Times New Roman"/>
          <w:b/>
          <w:sz w:val="24"/>
        </w:rPr>
        <w:lastRenderedPageBreak/>
        <w:t>Human rights implications</w:t>
      </w:r>
    </w:p>
    <w:p w14:paraId="7E10529F" w14:textId="1589A528" w:rsidR="00DC32A5" w:rsidRPr="004E7A2A" w:rsidRDefault="00DC32A5" w:rsidP="002E09D5">
      <w:pPr>
        <w:keepNext/>
        <w:pBdr>
          <w:top w:val="single" w:sz="4" w:space="1" w:color="auto"/>
          <w:left w:val="single" w:sz="4" w:space="4" w:color="auto"/>
          <w:bottom w:val="single" w:sz="4" w:space="1" w:color="auto"/>
          <w:right w:val="single" w:sz="4" w:space="4" w:color="auto"/>
        </w:pBdr>
        <w:spacing w:before="240"/>
        <w:rPr>
          <w:rFonts w:ascii="Times New Roman" w:hAnsi="Times New Roman"/>
          <w:color w:val="000000"/>
          <w:sz w:val="24"/>
          <w:shd w:val="clear" w:color="auto" w:fill="FFFFFF"/>
        </w:rPr>
      </w:pPr>
      <w:r w:rsidRPr="004E7A2A">
        <w:rPr>
          <w:rFonts w:ascii="Times New Roman" w:hAnsi="Times New Roman"/>
          <w:color w:val="000000"/>
          <w:sz w:val="24"/>
          <w:shd w:val="clear" w:color="auto" w:fill="FFFFFF"/>
        </w:rPr>
        <w:t>The </w:t>
      </w:r>
      <w:r w:rsidRPr="004E7A2A">
        <w:rPr>
          <w:rFonts w:ascii="Times New Roman" w:hAnsi="Times New Roman"/>
          <w:i/>
          <w:iCs/>
          <w:color w:val="000000"/>
          <w:sz w:val="24"/>
          <w:shd w:val="clear" w:color="auto" w:fill="FFFFFF"/>
        </w:rPr>
        <w:t>Human Rights (Parliamentary Scrutiny) Act 2011</w:t>
      </w:r>
      <w:r w:rsidRPr="004E7A2A">
        <w:rPr>
          <w:rFonts w:ascii="Times New Roman" w:hAnsi="Times New Roman"/>
          <w:color w:val="000000"/>
          <w:sz w:val="24"/>
          <w:shd w:val="clear" w:color="auto" w:fill="FFFFFF"/>
        </w:rPr>
        <w:t> requires that Statements of Compatibility must be made by the rule-maker with regard to disallowable legislative instruments, and must contain an assessment of whether the legislative instrument is compatible with the rights and freedoms recognised in the seven core international human rights treaties that Australia has ratified.</w:t>
      </w:r>
    </w:p>
    <w:p w14:paraId="5C91BF67" w14:textId="27C6FEE1" w:rsidR="00DC32A5" w:rsidRPr="004E7A2A" w:rsidRDefault="00DC32A5" w:rsidP="002E09D5">
      <w:pPr>
        <w:keepNext/>
        <w:pBdr>
          <w:top w:val="single" w:sz="4" w:space="1" w:color="auto"/>
          <w:left w:val="single" w:sz="4" w:space="4" w:color="auto"/>
          <w:bottom w:val="single" w:sz="4" w:space="1" w:color="auto"/>
          <w:right w:val="single" w:sz="4" w:space="4" w:color="auto"/>
        </w:pBdr>
        <w:spacing w:before="240"/>
        <w:rPr>
          <w:rFonts w:ascii="Times New Roman" w:hAnsi="Times New Roman"/>
          <w:color w:val="000000"/>
          <w:sz w:val="24"/>
          <w:shd w:val="clear" w:color="auto" w:fill="FFFFFF"/>
        </w:rPr>
      </w:pPr>
      <w:r w:rsidRPr="004E7A2A">
        <w:rPr>
          <w:rFonts w:ascii="Times New Roman" w:hAnsi="Times New Roman"/>
          <w:color w:val="000000"/>
          <w:sz w:val="24"/>
          <w:shd w:val="clear" w:color="auto" w:fill="FFFFFF"/>
        </w:rPr>
        <w:t>It is considered that this instrument does not engage any of the human rights and freedoms recognised or declared in the international instruments listed in the definition of ‘human rights’ in subsection 3(1) of the </w:t>
      </w:r>
      <w:r w:rsidRPr="004E7A2A">
        <w:rPr>
          <w:rFonts w:ascii="Times New Roman" w:hAnsi="Times New Roman"/>
          <w:i/>
          <w:iCs/>
          <w:color w:val="000000"/>
          <w:sz w:val="24"/>
          <w:shd w:val="clear" w:color="auto" w:fill="FFFFFF"/>
        </w:rPr>
        <w:t>Human Rights (Parliamentary Scrutiny) Act 2011</w:t>
      </w:r>
      <w:r w:rsidRPr="004E7A2A">
        <w:rPr>
          <w:rFonts w:ascii="Times New Roman" w:hAnsi="Times New Roman"/>
          <w:color w:val="000000"/>
          <w:sz w:val="24"/>
          <w:shd w:val="clear" w:color="auto" w:fill="FFFFFF"/>
        </w:rPr>
        <w:t>.</w:t>
      </w:r>
    </w:p>
    <w:p w14:paraId="2D881803" w14:textId="1C081B69" w:rsidR="002E09D5" w:rsidRPr="00E30BC5" w:rsidRDefault="002E09D5" w:rsidP="002E09D5">
      <w:pPr>
        <w:keepNext/>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sidRPr="00E30BC5">
        <w:rPr>
          <w:rFonts w:ascii="Times New Roman" w:hAnsi="Times New Roman"/>
          <w:b/>
          <w:sz w:val="24"/>
        </w:rPr>
        <w:t>Conclusion</w:t>
      </w:r>
    </w:p>
    <w:p w14:paraId="590DE83B" w14:textId="77777777" w:rsidR="002E09D5" w:rsidRDefault="002E09D5" w:rsidP="002E09D5">
      <w:pPr>
        <w:pBdr>
          <w:top w:val="single" w:sz="4" w:space="1" w:color="auto"/>
          <w:left w:val="single" w:sz="4" w:space="4" w:color="auto"/>
          <w:bottom w:val="single" w:sz="4" w:space="1" w:color="auto"/>
          <w:right w:val="single" w:sz="4" w:space="4" w:color="auto"/>
        </w:pBdr>
        <w:spacing w:before="120"/>
        <w:rPr>
          <w:rFonts w:ascii="Times New Roman" w:hAnsi="Times New Roman"/>
          <w:sz w:val="24"/>
        </w:rPr>
      </w:pPr>
      <w:r w:rsidRPr="00E30BC5">
        <w:rPr>
          <w:rFonts w:ascii="Times New Roman" w:hAnsi="Times New Roman"/>
          <w:sz w:val="24"/>
        </w:rPr>
        <w:t>This Disallowable Legislative Instrument is compatible with human rights as it does not raise any human rights issues.</w:t>
      </w:r>
    </w:p>
    <w:p w14:paraId="059301AB" w14:textId="77777777" w:rsidR="002E09D5" w:rsidRPr="00A64FE1" w:rsidRDefault="002E09D5" w:rsidP="002E09D5">
      <w:pPr>
        <w:pBdr>
          <w:top w:val="single" w:sz="4" w:space="1" w:color="auto"/>
          <w:left w:val="single" w:sz="4" w:space="4" w:color="auto"/>
          <w:bottom w:val="single" w:sz="4" w:space="1" w:color="auto"/>
          <w:right w:val="single" w:sz="4" w:space="4" w:color="auto"/>
        </w:pBdr>
        <w:spacing w:before="120"/>
        <w:rPr>
          <w:rFonts w:ascii="Times New Roman" w:hAnsi="Times New Roman"/>
          <w:sz w:val="24"/>
        </w:rPr>
      </w:pPr>
    </w:p>
    <w:p w14:paraId="73B3B59D" w14:textId="77777777" w:rsidR="002E09D5" w:rsidRPr="00CD4FA5" w:rsidRDefault="002E09D5" w:rsidP="002E09D5">
      <w:pPr>
        <w:pBdr>
          <w:top w:val="single" w:sz="4" w:space="1" w:color="auto"/>
          <w:left w:val="single" w:sz="4" w:space="4" w:color="auto"/>
          <w:bottom w:val="single" w:sz="4" w:space="1" w:color="auto"/>
          <w:right w:val="single" w:sz="4" w:space="4" w:color="auto"/>
        </w:pBdr>
        <w:spacing w:before="120"/>
        <w:rPr>
          <w:rFonts w:ascii="Times New Roman" w:hAnsi="Times New Roman"/>
          <w:sz w:val="24"/>
        </w:rPr>
      </w:pPr>
    </w:p>
    <w:p w14:paraId="504B4697" w14:textId="4C2039A0" w:rsidR="002E09D5" w:rsidRPr="00CD4FA5" w:rsidRDefault="002E09D5" w:rsidP="002E09D5">
      <w:pPr>
        <w:pBdr>
          <w:top w:val="single" w:sz="4" w:space="1" w:color="auto"/>
          <w:left w:val="single" w:sz="4" w:space="4" w:color="auto"/>
          <w:bottom w:val="single" w:sz="4" w:space="1" w:color="auto"/>
          <w:right w:val="single" w:sz="4" w:space="4" w:color="auto"/>
        </w:pBdr>
        <w:rPr>
          <w:rFonts w:ascii="Times New Roman" w:hAnsi="Times New Roman"/>
          <w:sz w:val="24"/>
        </w:rPr>
      </w:pPr>
      <w:r>
        <w:rPr>
          <w:rFonts w:ascii="Times New Roman" w:hAnsi="Times New Roman"/>
          <w:sz w:val="24"/>
        </w:rPr>
        <w:t>Peter Soros</w:t>
      </w:r>
    </w:p>
    <w:p w14:paraId="72DFE0C0" w14:textId="434A808F" w:rsidR="002E09D5" w:rsidRPr="00CD4FA5" w:rsidRDefault="002E09D5" w:rsidP="002E09D5">
      <w:pPr>
        <w:pBdr>
          <w:top w:val="single" w:sz="4" w:space="1" w:color="auto"/>
          <w:left w:val="single" w:sz="4" w:space="4" w:color="auto"/>
          <w:bottom w:val="single" w:sz="4" w:space="1" w:color="auto"/>
          <w:right w:val="single" w:sz="4" w:space="4" w:color="auto"/>
        </w:pBdr>
        <w:rPr>
          <w:rFonts w:ascii="Times New Roman" w:hAnsi="Times New Roman"/>
          <w:sz w:val="24"/>
        </w:rPr>
      </w:pPr>
      <w:r>
        <w:rPr>
          <w:rFonts w:ascii="Times New Roman" w:hAnsi="Times New Roman"/>
          <w:sz w:val="24"/>
        </w:rPr>
        <w:t xml:space="preserve">Acting </w:t>
      </w:r>
      <w:r w:rsidRPr="00CD4FA5">
        <w:rPr>
          <w:rFonts w:ascii="Times New Roman" w:hAnsi="Times New Roman"/>
          <w:sz w:val="24"/>
        </w:rPr>
        <w:t>Chief Executive Officer</w:t>
      </w:r>
    </w:p>
    <w:p w14:paraId="11BE140C" w14:textId="77777777" w:rsidR="002E09D5" w:rsidRDefault="002E09D5" w:rsidP="002E09D5">
      <w:pPr>
        <w:pBdr>
          <w:top w:val="single" w:sz="4" w:space="1" w:color="auto"/>
          <w:left w:val="single" w:sz="4" w:space="4" w:color="auto"/>
          <w:bottom w:val="single" w:sz="4" w:space="1" w:color="auto"/>
          <w:right w:val="single" w:sz="4" w:space="4" w:color="auto"/>
        </w:pBdr>
        <w:rPr>
          <w:rFonts w:ascii="Times New Roman" w:hAnsi="Times New Roman"/>
          <w:sz w:val="24"/>
        </w:rPr>
      </w:pPr>
      <w:r w:rsidRPr="00CD4FA5">
        <w:rPr>
          <w:rFonts w:ascii="Times New Roman" w:hAnsi="Times New Roman"/>
          <w:sz w:val="24"/>
        </w:rPr>
        <w:t>Australian Transaction Reports and Analysis Centre</w:t>
      </w:r>
    </w:p>
    <w:p w14:paraId="25D33808" w14:textId="22F2F7CC" w:rsidR="009B309E" w:rsidRPr="00BC6A40" w:rsidRDefault="009B309E" w:rsidP="00BD02D0">
      <w:pPr>
        <w:ind w:left="720"/>
        <w:rPr>
          <w:rFonts w:ascii="Times New Roman" w:hAnsi="Times New Roman"/>
          <w:sz w:val="24"/>
        </w:rPr>
      </w:pPr>
    </w:p>
    <w:sectPr w:rsidR="009B309E" w:rsidRPr="00BC6A40" w:rsidSect="007A53C1">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82BDC" w14:textId="77777777" w:rsidR="001A4632" w:rsidRDefault="001A4632">
      <w:r>
        <w:separator/>
      </w:r>
    </w:p>
  </w:endnote>
  <w:endnote w:type="continuationSeparator" w:id="0">
    <w:p w14:paraId="2D82E2EB" w14:textId="77777777" w:rsidR="001A4632" w:rsidRDefault="001A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BEE1" w14:textId="77777777" w:rsidR="00860B5B" w:rsidRDefault="00860B5B" w:rsidP="003F2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4EB9ADF" w14:textId="77777777" w:rsidR="00860B5B" w:rsidRDefault="00860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0745" w14:textId="035044E8" w:rsidR="00860B5B" w:rsidRPr="007A53C1" w:rsidRDefault="00860B5B" w:rsidP="003F250A">
    <w:pPr>
      <w:pStyle w:val="Footer"/>
      <w:framePr w:wrap="around" w:vAnchor="text" w:hAnchor="margin" w:xAlign="center" w:y="1"/>
      <w:rPr>
        <w:rStyle w:val="PageNumber"/>
        <w:rFonts w:ascii="Times New Roman" w:hAnsi="Times New Roman"/>
      </w:rPr>
    </w:pPr>
    <w:r w:rsidRPr="007A53C1">
      <w:rPr>
        <w:rStyle w:val="PageNumber"/>
        <w:rFonts w:ascii="Times New Roman" w:hAnsi="Times New Roman"/>
      </w:rPr>
      <w:fldChar w:fldCharType="begin"/>
    </w:r>
    <w:r w:rsidRPr="007A53C1">
      <w:rPr>
        <w:rStyle w:val="PageNumber"/>
        <w:rFonts w:ascii="Times New Roman" w:hAnsi="Times New Roman"/>
      </w:rPr>
      <w:instrText xml:space="preserve">PAGE  </w:instrText>
    </w:r>
    <w:r w:rsidRPr="007A53C1">
      <w:rPr>
        <w:rStyle w:val="PageNumber"/>
        <w:rFonts w:ascii="Times New Roman" w:hAnsi="Times New Roman"/>
      </w:rPr>
      <w:fldChar w:fldCharType="separate"/>
    </w:r>
    <w:r w:rsidR="00FB3847">
      <w:rPr>
        <w:rStyle w:val="PageNumber"/>
        <w:rFonts w:ascii="Times New Roman" w:hAnsi="Times New Roman"/>
        <w:noProof/>
      </w:rPr>
      <w:t>1</w:t>
    </w:r>
    <w:r w:rsidRPr="007A53C1">
      <w:rPr>
        <w:rStyle w:val="PageNumber"/>
        <w:rFonts w:ascii="Times New Roman" w:hAnsi="Times New Roman"/>
      </w:rPr>
      <w:fldChar w:fldCharType="end"/>
    </w:r>
  </w:p>
  <w:p w14:paraId="1D4C9A6A" w14:textId="77777777" w:rsidR="00860B5B" w:rsidRPr="007A53C1" w:rsidRDefault="00860B5B" w:rsidP="003B7524">
    <w:pPr>
      <w:pStyle w:val="Footer"/>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73F3" w14:textId="77777777" w:rsidR="0039191B" w:rsidRDefault="00391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2D31C" w14:textId="77777777" w:rsidR="001A4632" w:rsidRDefault="001A4632">
      <w:r>
        <w:separator/>
      </w:r>
    </w:p>
  </w:footnote>
  <w:footnote w:type="continuationSeparator" w:id="0">
    <w:p w14:paraId="7E7A4ECE" w14:textId="77777777" w:rsidR="001A4632" w:rsidRDefault="001A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1BA0" w14:textId="77777777" w:rsidR="0039191B" w:rsidRDefault="00391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27B4" w14:textId="5D980FEC" w:rsidR="0039191B" w:rsidRDefault="00391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690AD" w14:textId="77777777" w:rsidR="0039191B" w:rsidRDefault="003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8D1"/>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 w15:restartNumberingAfterBreak="0">
    <w:nsid w:val="0B444F2D"/>
    <w:multiLevelType w:val="hybridMultilevel"/>
    <w:tmpl w:val="4B4C1DC2"/>
    <w:lvl w:ilvl="0" w:tplc="8A403158">
      <w:start w:val="1"/>
      <w:numFmt w:val="lowerLetter"/>
      <w:lvlText w:val="(%1)"/>
      <w:lvlJc w:val="left"/>
      <w:pPr>
        <w:tabs>
          <w:tab w:val="num" w:pos="1647"/>
        </w:tabs>
        <w:ind w:left="1647" w:hanging="360"/>
      </w:pPr>
      <w:rPr>
        <w:rFonts w:hint="default"/>
        <w:b w:val="0"/>
        <w:i w:val="0"/>
        <w:sz w:val="24"/>
        <w:szCs w:val="24"/>
      </w:rPr>
    </w:lvl>
    <w:lvl w:ilvl="1" w:tplc="FC107410">
      <w:start w:val="1"/>
      <w:numFmt w:val="lowerLetter"/>
      <w:lvlText w:val="(%2)"/>
      <w:lvlJc w:val="left"/>
      <w:pPr>
        <w:tabs>
          <w:tab w:val="num" w:pos="2007"/>
        </w:tabs>
        <w:ind w:left="2177" w:hanging="170"/>
      </w:pPr>
      <w:rPr>
        <w:rFonts w:hint="default"/>
        <w:sz w:val="24"/>
        <w:szCs w:val="24"/>
      </w:rPr>
    </w:lvl>
    <w:lvl w:ilvl="2" w:tplc="0C09001B">
      <w:start w:val="1"/>
      <w:numFmt w:val="lowerRoman"/>
      <w:lvlText w:val="%3."/>
      <w:lvlJc w:val="right"/>
      <w:pPr>
        <w:tabs>
          <w:tab w:val="num" w:pos="3087"/>
        </w:tabs>
        <w:ind w:left="3087" w:hanging="180"/>
      </w:pPr>
    </w:lvl>
    <w:lvl w:ilvl="3" w:tplc="0C09000F" w:tentative="1">
      <w:start w:val="1"/>
      <w:numFmt w:val="decimal"/>
      <w:lvlText w:val="%4."/>
      <w:lvlJc w:val="left"/>
      <w:pPr>
        <w:tabs>
          <w:tab w:val="num" w:pos="3807"/>
        </w:tabs>
        <w:ind w:left="3807" w:hanging="360"/>
      </w:pPr>
    </w:lvl>
    <w:lvl w:ilvl="4" w:tplc="0C090019" w:tentative="1">
      <w:start w:val="1"/>
      <w:numFmt w:val="lowerLetter"/>
      <w:lvlText w:val="%5."/>
      <w:lvlJc w:val="left"/>
      <w:pPr>
        <w:tabs>
          <w:tab w:val="num" w:pos="4527"/>
        </w:tabs>
        <w:ind w:left="4527" w:hanging="360"/>
      </w:pPr>
    </w:lvl>
    <w:lvl w:ilvl="5" w:tplc="0C09001B" w:tentative="1">
      <w:start w:val="1"/>
      <w:numFmt w:val="lowerRoman"/>
      <w:lvlText w:val="%6."/>
      <w:lvlJc w:val="right"/>
      <w:pPr>
        <w:tabs>
          <w:tab w:val="num" w:pos="5247"/>
        </w:tabs>
        <w:ind w:left="5247" w:hanging="180"/>
      </w:pPr>
    </w:lvl>
    <w:lvl w:ilvl="6" w:tplc="0C09000F" w:tentative="1">
      <w:start w:val="1"/>
      <w:numFmt w:val="decimal"/>
      <w:lvlText w:val="%7."/>
      <w:lvlJc w:val="left"/>
      <w:pPr>
        <w:tabs>
          <w:tab w:val="num" w:pos="5967"/>
        </w:tabs>
        <w:ind w:left="5967" w:hanging="360"/>
      </w:pPr>
    </w:lvl>
    <w:lvl w:ilvl="7" w:tplc="0C090019" w:tentative="1">
      <w:start w:val="1"/>
      <w:numFmt w:val="lowerLetter"/>
      <w:lvlText w:val="%8."/>
      <w:lvlJc w:val="left"/>
      <w:pPr>
        <w:tabs>
          <w:tab w:val="num" w:pos="6687"/>
        </w:tabs>
        <w:ind w:left="6687" w:hanging="360"/>
      </w:pPr>
    </w:lvl>
    <w:lvl w:ilvl="8" w:tplc="0C09001B" w:tentative="1">
      <w:start w:val="1"/>
      <w:numFmt w:val="lowerRoman"/>
      <w:lvlText w:val="%9."/>
      <w:lvlJc w:val="right"/>
      <w:pPr>
        <w:tabs>
          <w:tab w:val="num" w:pos="7407"/>
        </w:tabs>
        <w:ind w:left="7407" w:hanging="180"/>
      </w:pPr>
    </w:lvl>
  </w:abstractNum>
  <w:abstractNum w:abstractNumId="2" w15:restartNumberingAfterBreak="0">
    <w:nsid w:val="187E443C"/>
    <w:multiLevelType w:val="hybridMultilevel"/>
    <w:tmpl w:val="DA5EE64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B3B4CE9"/>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 w15:restartNumberingAfterBreak="0">
    <w:nsid w:val="26BE7BAC"/>
    <w:multiLevelType w:val="hybridMultilevel"/>
    <w:tmpl w:val="8244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FC397F"/>
    <w:multiLevelType w:val="hybridMultilevel"/>
    <w:tmpl w:val="F766CC2E"/>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2E304C"/>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2F1976"/>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C6776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9" w15:restartNumberingAfterBreak="0">
    <w:nsid w:val="5732736A"/>
    <w:multiLevelType w:val="hybridMultilevel"/>
    <w:tmpl w:val="FE3CE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B67EA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1" w15:restartNumberingAfterBreak="0">
    <w:nsid w:val="5FE80D0D"/>
    <w:multiLevelType w:val="hybridMultilevel"/>
    <w:tmpl w:val="25BE4860"/>
    <w:lvl w:ilvl="0" w:tplc="78ACFE64">
      <w:start w:val="1"/>
      <w:numFmt w:val="decimal"/>
      <w:lvlText w:val="%1."/>
      <w:lvlJc w:val="left"/>
      <w:pPr>
        <w:tabs>
          <w:tab w:val="num" w:pos="720"/>
        </w:tabs>
        <w:ind w:left="720" w:hanging="360"/>
      </w:pPr>
      <w:rPr>
        <w:rFonts w:hint="default"/>
        <w:b w:val="0"/>
        <w:i w:val="0"/>
        <w:sz w:val="24"/>
        <w:szCs w:val="24"/>
      </w:rPr>
    </w:lvl>
    <w:lvl w:ilvl="1" w:tplc="FC107410">
      <w:start w:val="1"/>
      <w:numFmt w:val="lowerLetter"/>
      <w:lvlText w:val="(%2)"/>
      <w:lvlJc w:val="left"/>
      <w:pPr>
        <w:tabs>
          <w:tab w:val="num" w:pos="1080"/>
        </w:tabs>
        <w:ind w:left="1250" w:hanging="170"/>
      </w:pPr>
      <w:rPr>
        <w:rFonts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16E069F"/>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3" w15:restartNumberingAfterBreak="0">
    <w:nsid w:val="6AE65171"/>
    <w:multiLevelType w:val="hybridMultilevel"/>
    <w:tmpl w:val="D3D4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AD3B17"/>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A64D45"/>
    <w:multiLevelType w:val="hybridMultilevel"/>
    <w:tmpl w:val="9B966D8C"/>
    <w:lvl w:ilvl="0" w:tplc="79A4F224">
      <w:start w:val="1"/>
      <w:numFmt w:val="decimal"/>
      <w:lvlText w:val="%1."/>
      <w:lvlJc w:val="left"/>
      <w:pPr>
        <w:ind w:left="360" w:hanging="360"/>
      </w:pPr>
      <w:rPr>
        <w:color w:val="00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C692AEE"/>
    <w:multiLevelType w:val="hybridMultilevel"/>
    <w:tmpl w:val="3446BBBA"/>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3E69DE"/>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15"/>
  </w:num>
  <w:num w:numId="2">
    <w:abstractNumId w:val="5"/>
  </w:num>
  <w:num w:numId="3">
    <w:abstractNumId w:val="16"/>
  </w:num>
  <w:num w:numId="4">
    <w:abstractNumId w:val="17"/>
  </w:num>
  <w:num w:numId="5">
    <w:abstractNumId w:val="0"/>
  </w:num>
  <w:num w:numId="6">
    <w:abstractNumId w:val="3"/>
  </w:num>
  <w:num w:numId="7">
    <w:abstractNumId w:val="12"/>
  </w:num>
  <w:num w:numId="8">
    <w:abstractNumId w:val="8"/>
  </w:num>
  <w:num w:numId="9">
    <w:abstractNumId w:val="10"/>
  </w:num>
  <w:num w:numId="10">
    <w:abstractNumId w:val="4"/>
  </w:num>
  <w:num w:numId="11">
    <w:abstractNumId w:val="7"/>
  </w:num>
  <w:num w:numId="12">
    <w:abstractNumId w:val="6"/>
  </w:num>
  <w:num w:numId="13">
    <w:abstractNumId w:val="14"/>
  </w:num>
  <w:num w:numId="14">
    <w:abstractNumId w:val="9"/>
  </w:num>
  <w:num w:numId="15">
    <w:abstractNumId w:val="13"/>
  </w:num>
  <w:num w:numId="16">
    <w:abstractNumId w:val="11"/>
  </w:num>
  <w:num w:numId="17">
    <w:abstractNumId w:val="1"/>
  </w:num>
  <w:num w:numId="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524"/>
    <w:rsid w:val="0000129C"/>
    <w:rsid w:val="00002D59"/>
    <w:rsid w:val="000041E4"/>
    <w:rsid w:val="00004237"/>
    <w:rsid w:val="00005185"/>
    <w:rsid w:val="00005C87"/>
    <w:rsid w:val="0001158F"/>
    <w:rsid w:val="00011BFD"/>
    <w:rsid w:val="00013686"/>
    <w:rsid w:val="00017141"/>
    <w:rsid w:val="0001730D"/>
    <w:rsid w:val="000217EC"/>
    <w:rsid w:val="00021CB1"/>
    <w:rsid w:val="000222A4"/>
    <w:rsid w:val="00024783"/>
    <w:rsid w:val="00024980"/>
    <w:rsid w:val="00024C66"/>
    <w:rsid w:val="00027747"/>
    <w:rsid w:val="0003033B"/>
    <w:rsid w:val="00031690"/>
    <w:rsid w:val="00033B8D"/>
    <w:rsid w:val="00035748"/>
    <w:rsid w:val="00035795"/>
    <w:rsid w:val="000358DA"/>
    <w:rsid w:val="00035AF4"/>
    <w:rsid w:val="00035CF9"/>
    <w:rsid w:val="00037327"/>
    <w:rsid w:val="00042863"/>
    <w:rsid w:val="000430D4"/>
    <w:rsid w:val="00044B95"/>
    <w:rsid w:val="000456F2"/>
    <w:rsid w:val="00050B40"/>
    <w:rsid w:val="00050CE5"/>
    <w:rsid w:val="00051713"/>
    <w:rsid w:val="00053A7A"/>
    <w:rsid w:val="00053D86"/>
    <w:rsid w:val="000552BF"/>
    <w:rsid w:val="000572EA"/>
    <w:rsid w:val="00057C98"/>
    <w:rsid w:val="0006328D"/>
    <w:rsid w:val="00064B1E"/>
    <w:rsid w:val="000673A4"/>
    <w:rsid w:val="00072759"/>
    <w:rsid w:val="00075472"/>
    <w:rsid w:val="00077604"/>
    <w:rsid w:val="0008191B"/>
    <w:rsid w:val="00083A52"/>
    <w:rsid w:val="000851F0"/>
    <w:rsid w:val="000869B9"/>
    <w:rsid w:val="000926BD"/>
    <w:rsid w:val="00092891"/>
    <w:rsid w:val="0009363E"/>
    <w:rsid w:val="000942AF"/>
    <w:rsid w:val="0009570F"/>
    <w:rsid w:val="00095CB4"/>
    <w:rsid w:val="000961DD"/>
    <w:rsid w:val="00097839"/>
    <w:rsid w:val="000A0109"/>
    <w:rsid w:val="000A1B36"/>
    <w:rsid w:val="000A25BE"/>
    <w:rsid w:val="000A448C"/>
    <w:rsid w:val="000A71FF"/>
    <w:rsid w:val="000B07C2"/>
    <w:rsid w:val="000B3A73"/>
    <w:rsid w:val="000B3D22"/>
    <w:rsid w:val="000B4EE1"/>
    <w:rsid w:val="000B7574"/>
    <w:rsid w:val="000B7D16"/>
    <w:rsid w:val="000C048B"/>
    <w:rsid w:val="000C26E9"/>
    <w:rsid w:val="000C3669"/>
    <w:rsid w:val="000C4CBB"/>
    <w:rsid w:val="000C4DEC"/>
    <w:rsid w:val="000C5E2A"/>
    <w:rsid w:val="000C7ED6"/>
    <w:rsid w:val="000D00F3"/>
    <w:rsid w:val="000D0E25"/>
    <w:rsid w:val="000D13F2"/>
    <w:rsid w:val="000D143A"/>
    <w:rsid w:val="000D180A"/>
    <w:rsid w:val="000D1DA2"/>
    <w:rsid w:val="000D261E"/>
    <w:rsid w:val="000D4F84"/>
    <w:rsid w:val="000D658D"/>
    <w:rsid w:val="000E22B7"/>
    <w:rsid w:val="000E63EE"/>
    <w:rsid w:val="000E67B4"/>
    <w:rsid w:val="000F0AA0"/>
    <w:rsid w:val="00100A29"/>
    <w:rsid w:val="00100E9D"/>
    <w:rsid w:val="00100EE3"/>
    <w:rsid w:val="00101C26"/>
    <w:rsid w:val="00101CDF"/>
    <w:rsid w:val="0010234E"/>
    <w:rsid w:val="00106221"/>
    <w:rsid w:val="0010649D"/>
    <w:rsid w:val="00112B9E"/>
    <w:rsid w:val="001138C2"/>
    <w:rsid w:val="00114263"/>
    <w:rsid w:val="00114B13"/>
    <w:rsid w:val="00115CA1"/>
    <w:rsid w:val="001161BA"/>
    <w:rsid w:val="00116245"/>
    <w:rsid w:val="001212F7"/>
    <w:rsid w:val="00121FC3"/>
    <w:rsid w:val="00122D9B"/>
    <w:rsid w:val="00131A1D"/>
    <w:rsid w:val="00133529"/>
    <w:rsid w:val="0013429C"/>
    <w:rsid w:val="0013441F"/>
    <w:rsid w:val="00134CA6"/>
    <w:rsid w:val="00135E20"/>
    <w:rsid w:val="001369B9"/>
    <w:rsid w:val="00136AE5"/>
    <w:rsid w:val="00142343"/>
    <w:rsid w:val="00142983"/>
    <w:rsid w:val="001434AB"/>
    <w:rsid w:val="00143BAA"/>
    <w:rsid w:val="00146670"/>
    <w:rsid w:val="00146C29"/>
    <w:rsid w:val="001475BE"/>
    <w:rsid w:val="00151851"/>
    <w:rsid w:val="00151CE0"/>
    <w:rsid w:val="0015491C"/>
    <w:rsid w:val="00156041"/>
    <w:rsid w:val="0015621A"/>
    <w:rsid w:val="00156C39"/>
    <w:rsid w:val="00157B80"/>
    <w:rsid w:val="00160041"/>
    <w:rsid w:val="001602B8"/>
    <w:rsid w:val="001625EF"/>
    <w:rsid w:val="00162CC7"/>
    <w:rsid w:val="00163115"/>
    <w:rsid w:val="001663D5"/>
    <w:rsid w:val="0017034F"/>
    <w:rsid w:val="00173D1C"/>
    <w:rsid w:val="00190C40"/>
    <w:rsid w:val="00193377"/>
    <w:rsid w:val="001941DA"/>
    <w:rsid w:val="00194C14"/>
    <w:rsid w:val="0019595E"/>
    <w:rsid w:val="001970B1"/>
    <w:rsid w:val="00197E8A"/>
    <w:rsid w:val="001A03E1"/>
    <w:rsid w:val="001A11DA"/>
    <w:rsid w:val="001A25CB"/>
    <w:rsid w:val="001A4632"/>
    <w:rsid w:val="001A58BA"/>
    <w:rsid w:val="001A63E8"/>
    <w:rsid w:val="001B005E"/>
    <w:rsid w:val="001B3A61"/>
    <w:rsid w:val="001B679A"/>
    <w:rsid w:val="001B6FCC"/>
    <w:rsid w:val="001B7562"/>
    <w:rsid w:val="001B7DCC"/>
    <w:rsid w:val="001C001A"/>
    <w:rsid w:val="001C2371"/>
    <w:rsid w:val="001C37C9"/>
    <w:rsid w:val="001C55AA"/>
    <w:rsid w:val="001C57DA"/>
    <w:rsid w:val="001C5B36"/>
    <w:rsid w:val="001C5B6B"/>
    <w:rsid w:val="001C60F1"/>
    <w:rsid w:val="001C6C6F"/>
    <w:rsid w:val="001C734E"/>
    <w:rsid w:val="001D022F"/>
    <w:rsid w:val="001D23A8"/>
    <w:rsid w:val="001D3034"/>
    <w:rsid w:val="001D3559"/>
    <w:rsid w:val="001D3968"/>
    <w:rsid w:val="001D3C6E"/>
    <w:rsid w:val="001D5E25"/>
    <w:rsid w:val="001D5F12"/>
    <w:rsid w:val="001D6003"/>
    <w:rsid w:val="001D63FB"/>
    <w:rsid w:val="001E005B"/>
    <w:rsid w:val="001E23BF"/>
    <w:rsid w:val="001E2728"/>
    <w:rsid w:val="001E4D8A"/>
    <w:rsid w:val="001E52A5"/>
    <w:rsid w:val="001F108A"/>
    <w:rsid w:val="001F165F"/>
    <w:rsid w:val="001F396D"/>
    <w:rsid w:val="001F4CE5"/>
    <w:rsid w:val="002027D7"/>
    <w:rsid w:val="0020292C"/>
    <w:rsid w:val="002041BC"/>
    <w:rsid w:val="00205D35"/>
    <w:rsid w:val="00205D9F"/>
    <w:rsid w:val="00206C4A"/>
    <w:rsid w:val="0020702F"/>
    <w:rsid w:val="00207A4E"/>
    <w:rsid w:val="00207D34"/>
    <w:rsid w:val="00210C12"/>
    <w:rsid w:val="00213B8F"/>
    <w:rsid w:val="0021786A"/>
    <w:rsid w:val="002222BA"/>
    <w:rsid w:val="002227A8"/>
    <w:rsid w:val="00226A90"/>
    <w:rsid w:val="00231302"/>
    <w:rsid w:val="00232C59"/>
    <w:rsid w:val="00234EE9"/>
    <w:rsid w:val="002358FE"/>
    <w:rsid w:val="00236988"/>
    <w:rsid w:val="00237735"/>
    <w:rsid w:val="00241858"/>
    <w:rsid w:val="00243298"/>
    <w:rsid w:val="00243B31"/>
    <w:rsid w:val="00243C97"/>
    <w:rsid w:val="00244D95"/>
    <w:rsid w:val="00246666"/>
    <w:rsid w:val="00247043"/>
    <w:rsid w:val="002475AC"/>
    <w:rsid w:val="002526C4"/>
    <w:rsid w:val="00252A86"/>
    <w:rsid w:val="00252D90"/>
    <w:rsid w:val="0025603C"/>
    <w:rsid w:val="00256A5A"/>
    <w:rsid w:val="002570AB"/>
    <w:rsid w:val="00261776"/>
    <w:rsid w:val="002632D9"/>
    <w:rsid w:val="00263EDA"/>
    <w:rsid w:val="0026503A"/>
    <w:rsid w:val="002700FC"/>
    <w:rsid w:val="00270CB7"/>
    <w:rsid w:val="00270F89"/>
    <w:rsid w:val="00272368"/>
    <w:rsid w:val="0027417D"/>
    <w:rsid w:val="002748A5"/>
    <w:rsid w:val="00276CC0"/>
    <w:rsid w:val="002843CC"/>
    <w:rsid w:val="00285066"/>
    <w:rsid w:val="00285882"/>
    <w:rsid w:val="00287845"/>
    <w:rsid w:val="00291994"/>
    <w:rsid w:val="00292115"/>
    <w:rsid w:val="002948D1"/>
    <w:rsid w:val="0029686B"/>
    <w:rsid w:val="002A02FC"/>
    <w:rsid w:val="002A0A5F"/>
    <w:rsid w:val="002A2BE8"/>
    <w:rsid w:val="002A4E4A"/>
    <w:rsid w:val="002A5004"/>
    <w:rsid w:val="002A6852"/>
    <w:rsid w:val="002A6B5F"/>
    <w:rsid w:val="002B0655"/>
    <w:rsid w:val="002B0D2D"/>
    <w:rsid w:val="002B4D5C"/>
    <w:rsid w:val="002C10AE"/>
    <w:rsid w:val="002C2936"/>
    <w:rsid w:val="002C3BD6"/>
    <w:rsid w:val="002C5045"/>
    <w:rsid w:val="002C6AC2"/>
    <w:rsid w:val="002C7537"/>
    <w:rsid w:val="002C75DD"/>
    <w:rsid w:val="002C76AE"/>
    <w:rsid w:val="002D123A"/>
    <w:rsid w:val="002D18EA"/>
    <w:rsid w:val="002D6746"/>
    <w:rsid w:val="002D67A4"/>
    <w:rsid w:val="002D7A9B"/>
    <w:rsid w:val="002E09D5"/>
    <w:rsid w:val="002E5D55"/>
    <w:rsid w:val="002E74AC"/>
    <w:rsid w:val="002F38AD"/>
    <w:rsid w:val="002F4E2A"/>
    <w:rsid w:val="002F525A"/>
    <w:rsid w:val="002F62ED"/>
    <w:rsid w:val="003017CC"/>
    <w:rsid w:val="00301D3F"/>
    <w:rsid w:val="00303AFD"/>
    <w:rsid w:val="00304398"/>
    <w:rsid w:val="0030476E"/>
    <w:rsid w:val="00304ACF"/>
    <w:rsid w:val="00304F89"/>
    <w:rsid w:val="00304F91"/>
    <w:rsid w:val="0030571B"/>
    <w:rsid w:val="00306189"/>
    <w:rsid w:val="00306D9E"/>
    <w:rsid w:val="0030748F"/>
    <w:rsid w:val="003112C7"/>
    <w:rsid w:val="00313FAF"/>
    <w:rsid w:val="00314530"/>
    <w:rsid w:val="00316294"/>
    <w:rsid w:val="003206F6"/>
    <w:rsid w:val="0032216B"/>
    <w:rsid w:val="00322542"/>
    <w:rsid w:val="00322DBF"/>
    <w:rsid w:val="00324521"/>
    <w:rsid w:val="00324BFE"/>
    <w:rsid w:val="00325102"/>
    <w:rsid w:val="00326047"/>
    <w:rsid w:val="003262D9"/>
    <w:rsid w:val="00326E01"/>
    <w:rsid w:val="00327A8D"/>
    <w:rsid w:val="00330292"/>
    <w:rsid w:val="00330393"/>
    <w:rsid w:val="00331543"/>
    <w:rsid w:val="003340DB"/>
    <w:rsid w:val="00337B46"/>
    <w:rsid w:val="00341E53"/>
    <w:rsid w:val="00344E15"/>
    <w:rsid w:val="00345884"/>
    <w:rsid w:val="00345CA1"/>
    <w:rsid w:val="0034729E"/>
    <w:rsid w:val="00353910"/>
    <w:rsid w:val="003559A1"/>
    <w:rsid w:val="00356306"/>
    <w:rsid w:val="003568F8"/>
    <w:rsid w:val="00360349"/>
    <w:rsid w:val="00363F21"/>
    <w:rsid w:val="00365FD7"/>
    <w:rsid w:val="003676D9"/>
    <w:rsid w:val="003747EE"/>
    <w:rsid w:val="00375A0F"/>
    <w:rsid w:val="00384116"/>
    <w:rsid w:val="003911F4"/>
    <w:rsid w:val="003912AD"/>
    <w:rsid w:val="0039191B"/>
    <w:rsid w:val="003932F4"/>
    <w:rsid w:val="00393952"/>
    <w:rsid w:val="00393D2A"/>
    <w:rsid w:val="00394650"/>
    <w:rsid w:val="00394850"/>
    <w:rsid w:val="003975CF"/>
    <w:rsid w:val="003A0C67"/>
    <w:rsid w:val="003A1795"/>
    <w:rsid w:val="003A3B0B"/>
    <w:rsid w:val="003A49E8"/>
    <w:rsid w:val="003A73B8"/>
    <w:rsid w:val="003B2DDD"/>
    <w:rsid w:val="003B4F88"/>
    <w:rsid w:val="003B5048"/>
    <w:rsid w:val="003B7524"/>
    <w:rsid w:val="003C0500"/>
    <w:rsid w:val="003C1A25"/>
    <w:rsid w:val="003C29DC"/>
    <w:rsid w:val="003C43B6"/>
    <w:rsid w:val="003C57E7"/>
    <w:rsid w:val="003D1772"/>
    <w:rsid w:val="003D672A"/>
    <w:rsid w:val="003D7390"/>
    <w:rsid w:val="003D75BA"/>
    <w:rsid w:val="003D7A85"/>
    <w:rsid w:val="003D7BC9"/>
    <w:rsid w:val="003E07F4"/>
    <w:rsid w:val="003E13D0"/>
    <w:rsid w:val="003E22BE"/>
    <w:rsid w:val="003E2DC9"/>
    <w:rsid w:val="003E329A"/>
    <w:rsid w:val="003E43EC"/>
    <w:rsid w:val="003E6AA6"/>
    <w:rsid w:val="003F12F1"/>
    <w:rsid w:val="003F166D"/>
    <w:rsid w:val="003F16C9"/>
    <w:rsid w:val="003F250A"/>
    <w:rsid w:val="003F2F59"/>
    <w:rsid w:val="003F55FC"/>
    <w:rsid w:val="003F5ADD"/>
    <w:rsid w:val="003F623E"/>
    <w:rsid w:val="00402D9E"/>
    <w:rsid w:val="0040415D"/>
    <w:rsid w:val="00404190"/>
    <w:rsid w:val="00405212"/>
    <w:rsid w:val="0040525D"/>
    <w:rsid w:val="004062DD"/>
    <w:rsid w:val="004065F6"/>
    <w:rsid w:val="004076E6"/>
    <w:rsid w:val="00407EE4"/>
    <w:rsid w:val="00410457"/>
    <w:rsid w:val="00412303"/>
    <w:rsid w:val="004132BB"/>
    <w:rsid w:val="00413391"/>
    <w:rsid w:val="00413620"/>
    <w:rsid w:val="0041386C"/>
    <w:rsid w:val="0041387C"/>
    <w:rsid w:val="0041480B"/>
    <w:rsid w:val="004171CA"/>
    <w:rsid w:val="00420679"/>
    <w:rsid w:val="00420F02"/>
    <w:rsid w:val="0042132D"/>
    <w:rsid w:val="004253AB"/>
    <w:rsid w:val="004255A4"/>
    <w:rsid w:val="00425876"/>
    <w:rsid w:val="00426515"/>
    <w:rsid w:val="00426675"/>
    <w:rsid w:val="00430DA3"/>
    <w:rsid w:val="00430E99"/>
    <w:rsid w:val="00431575"/>
    <w:rsid w:val="004321FD"/>
    <w:rsid w:val="00433B24"/>
    <w:rsid w:val="00433C9D"/>
    <w:rsid w:val="00435A0B"/>
    <w:rsid w:val="0043626D"/>
    <w:rsid w:val="004379C6"/>
    <w:rsid w:val="004404EC"/>
    <w:rsid w:val="00442AD4"/>
    <w:rsid w:val="00442CFC"/>
    <w:rsid w:val="004444B7"/>
    <w:rsid w:val="00445B35"/>
    <w:rsid w:val="004479B7"/>
    <w:rsid w:val="00451459"/>
    <w:rsid w:val="004516ED"/>
    <w:rsid w:val="004521B8"/>
    <w:rsid w:val="004571E2"/>
    <w:rsid w:val="00460652"/>
    <w:rsid w:val="00460BA8"/>
    <w:rsid w:val="00460E86"/>
    <w:rsid w:val="004619BB"/>
    <w:rsid w:val="00464460"/>
    <w:rsid w:val="004661D5"/>
    <w:rsid w:val="004671D0"/>
    <w:rsid w:val="00474718"/>
    <w:rsid w:val="00474DE4"/>
    <w:rsid w:val="00475F7C"/>
    <w:rsid w:val="004760F8"/>
    <w:rsid w:val="0048013E"/>
    <w:rsid w:val="0048014C"/>
    <w:rsid w:val="004811E8"/>
    <w:rsid w:val="00482B80"/>
    <w:rsid w:val="004849C5"/>
    <w:rsid w:val="00484BF4"/>
    <w:rsid w:val="004851BD"/>
    <w:rsid w:val="00486E49"/>
    <w:rsid w:val="0048754E"/>
    <w:rsid w:val="004878CA"/>
    <w:rsid w:val="0049116B"/>
    <w:rsid w:val="00492927"/>
    <w:rsid w:val="0049443F"/>
    <w:rsid w:val="004A034C"/>
    <w:rsid w:val="004A1634"/>
    <w:rsid w:val="004A2AEF"/>
    <w:rsid w:val="004A3E2A"/>
    <w:rsid w:val="004A3E59"/>
    <w:rsid w:val="004A473A"/>
    <w:rsid w:val="004A47D4"/>
    <w:rsid w:val="004A49A4"/>
    <w:rsid w:val="004A4CD9"/>
    <w:rsid w:val="004B06CC"/>
    <w:rsid w:val="004B06F0"/>
    <w:rsid w:val="004B17CA"/>
    <w:rsid w:val="004B231F"/>
    <w:rsid w:val="004B264D"/>
    <w:rsid w:val="004B37C0"/>
    <w:rsid w:val="004B3BB2"/>
    <w:rsid w:val="004B3D32"/>
    <w:rsid w:val="004B5627"/>
    <w:rsid w:val="004B71F7"/>
    <w:rsid w:val="004C1454"/>
    <w:rsid w:val="004C28D4"/>
    <w:rsid w:val="004C42D1"/>
    <w:rsid w:val="004D1BEF"/>
    <w:rsid w:val="004D29B8"/>
    <w:rsid w:val="004D3937"/>
    <w:rsid w:val="004D4B9B"/>
    <w:rsid w:val="004D6131"/>
    <w:rsid w:val="004E2FA0"/>
    <w:rsid w:val="004E3315"/>
    <w:rsid w:val="004E7A2A"/>
    <w:rsid w:val="004F00BC"/>
    <w:rsid w:val="004F566E"/>
    <w:rsid w:val="004F6865"/>
    <w:rsid w:val="005039C9"/>
    <w:rsid w:val="00504315"/>
    <w:rsid w:val="00504EFC"/>
    <w:rsid w:val="005063DE"/>
    <w:rsid w:val="00506FF0"/>
    <w:rsid w:val="005073C6"/>
    <w:rsid w:val="00507CCA"/>
    <w:rsid w:val="00507EC4"/>
    <w:rsid w:val="005107A4"/>
    <w:rsid w:val="005114F2"/>
    <w:rsid w:val="005117CC"/>
    <w:rsid w:val="0051246A"/>
    <w:rsid w:val="00512702"/>
    <w:rsid w:val="00512DE8"/>
    <w:rsid w:val="005132E2"/>
    <w:rsid w:val="00514F91"/>
    <w:rsid w:val="00515AE5"/>
    <w:rsid w:val="00515F66"/>
    <w:rsid w:val="00517752"/>
    <w:rsid w:val="00521F8E"/>
    <w:rsid w:val="0052299B"/>
    <w:rsid w:val="00523442"/>
    <w:rsid w:val="00524990"/>
    <w:rsid w:val="00525E3E"/>
    <w:rsid w:val="00527C66"/>
    <w:rsid w:val="005300D6"/>
    <w:rsid w:val="00531FCB"/>
    <w:rsid w:val="005352F5"/>
    <w:rsid w:val="00535FD4"/>
    <w:rsid w:val="0054012A"/>
    <w:rsid w:val="00540572"/>
    <w:rsid w:val="00541242"/>
    <w:rsid w:val="00542129"/>
    <w:rsid w:val="005432EB"/>
    <w:rsid w:val="00543C45"/>
    <w:rsid w:val="00543FD3"/>
    <w:rsid w:val="0054466C"/>
    <w:rsid w:val="0054647D"/>
    <w:rsid w:val="005467A0"/>
    <w:rsid w:val="005472C1"/>
    <w:rsid w:val="005474A0"/>
    <w:rsid w:val="005516F3"/>
    <w:rsid w:val="005522D5"/>
    <w:rsid w:val="00554C4D"/>
    <w:rsid w:val="00555A1B"/>
    <w:rsid w:val="0055701C"/>
    <w:rsid w:val="00560220"/>
    <w:rsid w:val="0056172E"/>
    <w:rsid w:val="00562951"/>
    <w:rsid w:val="005635A2"/>
    <w:rsid w:val="00564C8E"/>
    <w:rsid w:val="00565748"/>
    <w:rsid w:val="00570274"/>
    <w:rsid w:val="00570B58"/>
    <w:rsid w:val="00570F9B"/>
    <w:rsid w:val="00571128"/>
    <w:rsid w:val="005723CF"/>
    <w:rsid w:val="00573FB1"/>
    <w:rsid w:val="00575F3B"/>
    <w:rsid w:val="00577307"/>
    <w:rsid w:val="00577445"/>
    <w:rsid w:val="0058089B"/>
    <w:rsid w:val="00580BF2"/>
    <w:rsid w:val="00582944"/>
    <w:rsid w:val="00583869"/>
    <w:rsid w:val="00583D84"/>
    <w:rsid w:val="0058606F"/>
    <w:rsid w:val="0058695A"/>
    <w:rsid w:val="00586F80"/>
    <w:rsid w:val="0058710C"/>
    <w:rsid w:val="00592027"/>
    <w:rsid w:val="0059487B"/>
    <w:rsid w:val="0059594F"/>
    <w:rsid w:val="00596868"/>
    <w:rsid w:val="005A36E3"/>
    <w:rsid w:val="005A3C8A"/>
    <w:rsid w:val="005A3F83"/>
    <w:rsid w:val="005A489D"/>
    <w:rsid w:val="005A7812"/>
    <w:rsid w:val="005B003B"/>
    <w:rsid w:val="005B0550"/>
    <w:rsid w:val="005B43BF"/>
    <w:rsid w:val="005B52F4"/>
    <w:rsid w:val="005B548D"/>
    <w:rsid w:val="005B5AD3"/>
    <w:rsid w:val="005B5D9A"/>
    <w:rsid w:val="005B64EA"/>
    <w:rsid w:val="005B6807"/>
    <w:rsid w:val="005B69DB"/>
    <w:rsid w:val="005B710F"/>
    <w:rsid w:val="005B7452"/>
    <w:rsid w:val="005C0442"/>
    <w:rsid w:val="005C0E87"/>
    <w:rsid w:val="005C28B5"/>
    <w:rsid w:val="005C3227"/>
    <w:rsid w:val="005C4DD2"/>
    <w:rsid w:val="005C51C8"/>
    <w:rsid w:val="005C60A5"/>
    <w:rsid w:val="005C77BF"/>
    <w:rsid w:val="005D07B2"/>
    <w:rsid w:val="005D1AAB"/>
    <w:rsid w:val="005D4012"/>
    <w:rsid w:val="005D4A0E"/>
    <w:rsid w:val="005D51C8"/>
    <w:rsid w:val="005D51E4"/>
    <w:rsid w:val="005D58B2"/>
    <w:rsid w:val="005D59E2"/>
    <w:rsid w:val="005D650F"/>
    <w:rsid w:val="005D67E7"/>
    <w:rsid w:val="005D7052"/>
    <w:rsid w:val="005E5849"/>
    <w:rsid w:val="005E5E7F"/>
    <w:rsid w:val="005E600A"/>
    <w:rsid w:val="005E7F24"/>
    <w:rsid w:val="005F2719"/>
    <w:rsid w:val="005F2F3D"/>
    <w:rsid w:val="005F4536"/>
    <w:rsid w:val="005F54C0"/>
    <w:rsid w:val="005F5E52"/>
    <w:rsid w:val="005F5F9C"/>
    <w:rsid w:val="005F6A22"/>
    <w:rsid w:val="005F7110"/>
    <w:rsid w:val="0060028C"/>
    <w:rsid w:val="0060108F"/>
    <w:rsid w:val="006032DC"/>
    <w:rsid w:val="00603BC5"/>
    <w:rsid w:val="00604416"/>
    <w:rsid w:val="00604EF2"/>
    <w:rsid w:val="00605791"/>
    <w:rsid w:val="0060668C"/>
    <w:rsid w:val="00606CF2"/>
    <w:rsid w:val="00607A71"/>
    <w:rsid w:val="00611827"/>
    <w:rsid w:val="00612BA5"/>
    <w:rsid w:val="006138A7"/>
    <w:rsid w:val="00613E6B"/>
    <w:rsid w:val="00617B8E"/>
    <w:rsid w:val="00617C83"/>
    <w:rsid w:val="00617ECA"/>
    <w:rsid w:val="00621D05"/>
    <w:rsid w:val="006228FB"/>
    <w:rsid w:val="00624DF2"/>
    <w:rsid w:val="00625479"/>
    <w:rsid w:val="006262A1"/>
    <w:rsid w:val="00626E80"/>
    <w:rsid w:val="00627996"/>
    <w:rsid w:val="00627C0B"/>
    <w:rsid w:val="0063048E"/>
    <w:rsid w:val="00631254"/>
    <w:rsid w:val="00631371"/>
    <w:rsid w:val="00633ACE"/>
    <w:rsid w:val="00633BBF"/>
    <w:rsid w:val="006361B8"/>
    <w:rsid w:val="00637851"/>
    <w:rsid w:val="00640917"/>
    <w:rsid w:val="00640C28"/>
    <w:rsid w:val="00642710"/>
    <w:rsid w:val="006469CC"/>
    <w:rsid w:val="00647174"/>
    <w:rsid w:val="006474D5"/>
    <w:rsid w:val="00650E63"/>
    <w:rsid w:val="006552E8"/>
    <w:rsid w:val="006568C2"/>
    <w:rsid w:val="00656B01"/>
    <w:rsid w:val="00657A4D"/>
    <w:rsid w:val="006613BC"/>
    <w:rsid w:val="00661BFE"/>
    <w:rsid w:val="00662190"/>
    <w:rsid w:val="00662796"/>
    <w:rsid w:val="00662DA7"/>
    <w:rsid w:val="00666B66"/>
    <w:rsid w:val="00673BD1"/>
    <w:rsid w:val="006757A9"/>
    <w:rsid w:val="006760CB"/>
    <w:rsid w:val="006825A8"/>
    <w:rsid w:val="00682BAA"/>
    <w:rsid w:val="00682BC5"/>
    <w:rsid w:val="00682ECA"/>
    <w:rsid w:val="00684A1B"/>
    <w:rsid w:val="00684C5B"/>
    <w:rsid w:val="00685865"/>
    <w:rsid w:val="00685FBE"/>
    <w:rsid w:val="006867FD"/>
    <w:rsid w:val="00686BF3"/>
    <w:rsid w:val="006906D3"/>
    <w:rsid w:val="00696F2E"/>
    <w:rsid w:val="006A0527"/>
    <w:rsid w:val="006A089A"/>
    <w:rsid w:val="006A21D1"/>
    <w:rsid w:val="006A262A"/>
    <w:rsid w:val="006A400D"/>
    <w:rsid w:val="006A44F1"/>
    <w:rsid w:val="006A5671"/>
    <w:rsid w:val="006B0CA0"/>
    <w:rsid w:val="006B1285"/>
    <w:rsid w:val="006B1869"/>
    <w:rsid w:val="006B2808"/>
    <w:rsid w:val="006B3A2F"/>
    <w:rsid w:val="006B520D"/>
    <w:rsid w:val="006C1ED7"/>
    <w:rsid w:val="006C3F77"/>
    <w:rsid w:val="006C6AC0"/>
    <w:rsid w:val="006D0503"/>
    <w:rsid w:val="006D1068"/>
    <w:rsid w:val="006D1560"/>
    <w:rsid w:val="006D1794"/>
    <w:rsid w:val="006D1C08"/>
    <w:rsid w:val="006D41AF"/>
    <w:rsid w:val="006D4D8A"/>
    <w:rsid w:val="006D7DED"/>
    <w:rsid w:val="006E438F"/>
    <w:rsid w:val="006E51E2"/>
    <w:rsid w:val="006E5F4D"/>
    <w:rsid w:val="006E645F"/>
    <w:rsid w:val="006E65FD"/>
    <w:rsid w:val="006E6DFF"/>
    <w:rsid w:val="006F0637"/>
    <w:rsid w:val="006F4E28"/>
    <w:rsid w:val="006F5D16"/>
    <w:rsid w:val="0070191D"/>
    <w:rsid w:val="0070277B"/>
    <w:rsid w:val="007030C7"/>
    <w:rsid w:val="007037F4"/>
    <w:rsid w:val="00703DE2"/>
    <w:rsid w:val="0070408F"/>
    <w:rsid w:val="00704289"/>
    <w:rsid w:val="00706BE4"/>
    <w:rsid w:val="007102B3"/>
    <w:rsid w:val="007103FF"/>
    <w:rsid w:val="00710EA7"/>
    <w:rsid w:val="00712840"/>
    <w:rsid w:val="00712D1D"/>
    <w:rsid w:val="00713311"/>
    <w:rsid w:val="00713353"/>
    <w:rsid w:val="00715DED"/>
    <w:rsid w:val="007202F1"/>
    <w:rsid w:val="00720D25"/>
    <w:rsid w:val="00722B4C"/>
    <w:rsid w:val="00722E42"/>
    <w:rsid w:val="00723200"/>
    <w:rsid w:val="007242D1"/>
    <w:rsid w:val="00725474"/>
    <w:rsid w:val="00730049"/>
    <w:rsid w:val="007301BE"/>
    <w:rsid w:val="00731178"/>
    <w:rsid w:val="0073145B"/>
    <w:rsid w:val="00731CAB"/>
    <w:rsid w:val="00733D11"/>
    <w:rsid w:val="00734A7A"/>
    <w:rsid w:val="007350B4"/>
    <w:rsid w:val="00736E51"/>
    <w:rsid w:val="007402D2"/>
    <w:rsid w:val="00740E05"/>
    <w:rsid w:val="00743DDD"/>
    <w:rsid w:val="007442E3"/>
    <w:rsid w:val="00745E6D"/>
    <w:rsid w:val="007466A5"/>
    <w:rsid w:val="00746C4A"/>
    <w:rsid w:val="00747409"/>
    <w:rsid w:val="00747548"/>
    <w:rsid w:val="007506AC"/>
    <w:rsid w:val="00752598"/>
    <w:rsid w:val="00753207"/>
    <w:rsid w:val="00753E95"/>
    <w:rsid w:val="00760411"/>
    <w:rsid w:val="00761556"/>
    <w:rsid w:val="00765492"/>
    <w:rsid w:val="0076566A"/>
    <w:rsid w:val="00766E95"/>
    <w:rsid w:val="00774204"/>
    <w:rsid w:val="00774219"/>
    <w:rsid w:val="00775723"/>
    <w:rsid w:val="00775BBE"/>
    <w:rsid w:val="00776474"/>
    <w:rsid w:val="00777624"/>
    <w:rsid w:val="00780E18"/>
    <w:rsid w:val="0078172D"/>
    <w:rsid w:val="00781EFF"/>
    <w:rsid w:val="00784906"/>
    <w:rsid w:val="00785B2D"/>
    <w:rsid w:val="00786207"/>
    <w:rsid w:val="007868DF"/>
    <w:rsid w:val="00787D9C"/>
    <w:rsid w:val="00791450"/>
    <w:rsid w:val="007929FC"/>
    <w:rsid w:val="00794DB6"/>
    <w:rsid w:val="00797E4D"/>
    <w:rsid w:val="007A4676"/>
    <w:rsid w:val="007A4967"/>
    <w:rsid w:val="007A53C1"/>
    <w:rsid w:val="007A7979"/>
    <w:rsid w:val="007B0B01"/>
    <w:rsid w:val="007B0ECA"/>
    <w:rsid w:val="007B174A"/>
    <w:rsid w:val="007B1B95"/>
    <w:rsid w:val="007B404C"/>
    <w:rsid w:val="007C1E79"/>
    <w:rsid w:val="007C52B3"/>
    <w:rsid w:val="007C6B20"/>
    <w:rsid w:val="007C7671"/>
    <w:rsid w:val="007D0554"/>
    <w:rsid w:val="007D0816"/>
    <w:rsid w:val="007D191E"/>
    <w:rsid w:val="007D1961"/>
    <w:rsid w:val="007D1A54"/>
    <w:rsid w:val="007D2DBB"/>
    <w:rsid w:val="007D32B1"/>
    <w:rsid w:val="007D3E7B"/>
    <w:rsid w:val="007D52F8"/>
    <w:rsid w:val="007D57F7"/>
    <w:rsid w:val="007D5F87"/>
    <w:rsid w:val="007D60FE"/>
    <w:rsid w:val="007D6927"/>
    <w:rsid w:val="007D7E86"/>
    <w:rsid w:val="007E0112"/>
    <w:rsid w:val="007E08A2"/>
    <w:rsid w:val="007E2861"/>
    <w:rsid w:val="007E2D73"/>
    <w:rsid w:val="007E32CD"/>
    <w:rsid w:val="007E53E1"/>
    <w:rsid w:val="007E6720"/>
    <w:rsid w:val="007E67BF"/>
    <w:rsid w:val="007E7D66"/>
    <w:rsid w:val="007F18B0"/>
    <w:rsid w:val="007F2F0F"/>
    <w:rsid w:val="007F550C"/>
    <w:rsid w:val="007F6190"/>
    <w:rsid w:val="007F6303"/>
    <w:rsid w:val="007F7874"/>
    <w:rsid w:val="00800032"/>
    <w:rsid w:val="00800383"/>
    <w:rsid w:val="00800465"/>
    <w:rsid w:val="00800B66"/>
    <w:rsid w:val="008017F2"/>
    <w:rsid w:val="008018B5"/>
    <w:rsid w:val="00801D69"/>
    <w:rsid w:val="00802A94"/>
    <w:rsid w:val="00803999"/>
    <w:rsid w:val="00805867"/>
    <w:rsid w:val="0080608B"/>
    <w:rsid w:val="0080636F"/>
    <w:rsid w:val="00807BFF"/>
    <w:rsid w:val="00813180"/>
    <w:rsid w:val="00813373"/>
    <w:rsid w:val="008156AC"/>
    <w:rsid w:val="008158AC"/>
    <w:rsid w:val="0081645F"/>
    <w:rsid w:val="008169EF"/>
    <w:rsid w:val="00816F93"/>
    <w:rsid w:val="0082090C"/>
    <w:rsid w:val="008211B5"/>
    <w:rsid w:val="00821DE1"/>
    <w:rsid w:val="00822A17"/>
    <w:rsid w:val="00822B6C"/>
    <w:rsid w:val="008257C6"/>
    <w:rsid w:val="008267EC"/>
    <w:rsid w:val="008275EE"/>
    <w:rsid w:val="008320A3"/>
    <w:rsid w:val="00832FD7"/>
    <w:rsid w:val="00833CEC"/>
    <w:rsid w:val="0083420B"/>
    <w:rsid w:val="008344D1"/>
    <w:rsid w:val="00834E6A"/>
    <w:rsid w:val="00836D05"/>
    <w:rsid w:val="00842441"/>
    <w:rsid w:val="008429C5"/>
    <w:rsid w:val="0084370A"/>
    <w:rsid w:val="00844BEE"/>
    <w:rsid w:val="00846965"/>
    <w:rsid w:val="00847D82"/>
    <w:rsid w:val="00850188"/>
    <w:rsid w:val="00850EFB"/>
    <w:rsid w:val="00851AE0"/>
    <w:rsid w:val="00851B71"/>
    <w:rsid w:val="00853BDB"/>
    <w:rsid w:val="00853EB5"/>
    <w:rsid w:val="00854825"/>
    <w:rsid w:val="00854C0D"/>
    <w:rsid w:val="00854FDF"/>
    <w:rsid w:val="00856FD6"/>
    <w:rsid w:val="00860109"/>
    <w:rsid w:val="00860B5B"/>
    <w:rsid w:val="00862CF5"/>
    <w:rsid w:val="00862E9E"/>
    <w:rsid w:val="008634E5"/>
    <w:rsid w:val="00866A85"/>
    <w:rsid w:val="00870E6D"/>
    <w:rsid w:val="00870EBF"/>
    <w:rsid w:val="00871EB9"/>
    <w:rsid w:val="008759D0"/>
    <w:rsid w:val="0087758E"/>
    <w:rsid w:val="00881FF0"/>
    <w:rsid w:val="0088590B"/>
    <w:rsid w:val="008908C3"/>
    <w:rsid w:val="00890E98"/>
    <w:rsid w:val="008929D0"/>
    <w:rsid w:val="00893479"/>
    <w:rsid w:val="00893E97"/>
    <w:rsid w:val="008944A3"/>
    <w:rsid w:val="00896697"/>
    <w:rsid w:val="008A1912"/>
    <w:rsid w:val="008A4E5F"/>
    <w:rsid w:val="008A5AE5"/>
    <w:rsid w:val="008A602F"/>
    <w:rsid w:val="008A6095"/>
    <w:rsid w:val="008A68C3"/>
    <w:rsid w:val="008B14C4"/>
    <w:rsid w:val="008B2491"/>
    <w:rsid w:val="008B4637"/>
    <w:rsid w:val="008B5AA2"/>
    <w:rsid w:val="008C002C"/>
    <w:rsid w:val="008C3631"/>
    <w:rsid w:val="008C3CEA"/>
    <w:rsid w:val="008C67CA"/>
    <w:rsid w:val="008D00E8"/>
    <w:rsid w:val="008D0498"/>
    <w:rsid w:val="008D0E3B"/>
    <w:rsid w:val="008D128E"/>
    <w:rsid w:val="008D1D16"/>
    <w:rsid w:val="008D24F5"/>
    <w:rsid w:val="008D25B6"/>
    <w:rsid w:val="008D2782"/>
    <w:rsid w:val="008E016D"/>
    <w:rsid w:val="008E09CA"/>
    <w:rsid w:val="008E4A3B"/>
    <w:rsid w:val="008E4D07"/>
    <w:rsid w:val="008E7F86"/>
    <w:rsid w:val="008F238F"/>
    <w:rsid w:val="008F36B9"/>
    <w:rsid w:val="008F5EA5"/>
    <w:rsid w:val="008F6D78"/>
    <w:rsid w:val="008F6EB6"/>
    <w:rsid w:val="00900F7E"/>
    <w:rsid w:val="00901510"/>
    <w:rsid w:val="00901A26"/>
    <w:rsid w:val="00903128"/>
    <w:rsid w:val="00903A21"/>
    <w:rsid w:val="00906E18"/>
    <w:rsid w:val="009103AC"/>
    <w:rsid w:val="009143FB"/>
    <w:rsid w:val="00915C8B"/>
    <w:rsid w:val="0091656F"/>
    <w:rsid w:val="00920455"/>
    <w:rsid w:val="00922EA2"/>
    <w:rsid w:val="00923554"/>
    <w:rsid w:val="00923713"/>
    <w:rsid w:val="0093152C"/>
    <w:rsid w:val="00935459"/>
    <w:rsid w:val="009413B8"/>
    <w:rsid w:val="009430AC"/>
    <w:rsid w:val="0094470E"/>
    <w:rsid w:val="009451CB"/>
    <w:rsid w:val="00945CFF"/>
    <w:rsid w:val="009471D1"/>
    <w:rsid w:val="0094760B"/>
    <w:rsid w:val="00947B93"/>
    <w:rsid w:val="00951A7D"/>
    <w:rsid w:val="0095227F"/>
    <w:rsid w:val="009531E4"/>
    <w:rsid w:val="00955AF7"/>
    <w:rsid w:val="00956137"/>
    <w:rsid w:val="0096018A"/>
    <w:rsid w:val="00960B38"/>
    <w:rsid w:val="00961209"/>
    <w:rsid w:val="00961CA2"/>
    <w:rsid w:val="00961E2A"/>
    <w:rsid w:val="00962024"/>
    <w:rsid w:val="0096237A"/>
    <w:rsid w:val="00965575"/>
    <w:rsid w:val="009671EF"/>
    <w:rsid w:val="00972512"/>
    <w:rsid w:val="0097268A"/>
    <w:rsid w:val="0097373B"/>
    <w:rsid w:val="0097440E"/>
    <w:rsid w:val="00976AF8"/>
    <w:rsid w:val="00977E50"/>
    <w:rsid w:val="009808DB"/>
    <w:rsid w:val="00980BB2"/>
    <w:rsid w:val="00981803"/>
    <w:rsid w:val="009823D3"/>
    <w:rsid w:val="00983976"/>
    <w:rsid w:val="0098428C"/>
    <w:rsid w:val="00986F88"/>
    <w:rsid w:val="00987A3A"/>
    <w:rsid w:val="00992FA8"/>
    <w:rsid w:val="00995FE6"/>
    <w:rsid w:val="009A05A7"/>
    <w:rsid w:val="009A188F"/>
    <w:rsid w:val="009A29DA"/>
    <w:rsid w:val="009A5B10"/>
    <w:rsid w:val="009A70D8"/>
    <w:rsid w:val="009A7C0B"/>
    <w:rsid w:val="009B18E1"/>
    <w:rsid w:val="009B309E"/>
    <w:rsid w:val="009B30D9"/>
    <w:rsid w:val="009B3D69"/>
    <w:rsid w:val="009B6097"/>
    <w:rsid w:val="009B66AA"/>
    <w:rsid w:val="009B74C3"/>
    <w:rsid w:val="009B7EE2"/>
    <w:rsid w:val="009C2AEA"/>
    <w:rsid w:val="009C4EAC"/>
    <w:rsid w:val="009C6D37"/>
    <w:rsid w:val="009C6DD3"/>
    <w:rsid w:val="009C7626"/>
    <w:rsid w:val="009D1541"/>
    <w:rsid w:val="009D1CD1"/>
    <w:rsid w:val="009D20F2"/>
    <w:rsid w:val="009D4EDA"/>
    <w:rsid w:val="009D7365"/>
    <w:rsid w:val="009E0B1E"/>
    <w:rsid w:val="009E2403"/>
    <w:rsid w:val="009E3615"/>
    <w:rsid w:val="009E3ABB"/>
    <w:rsid w:val="009E3AD0"/>
    <w:rsid w:val="009E3D62"/>
    <w:rsid w:val="009E714F"/>
    <w:rsid w:val="009F1526"/>
    <w:rsid w:val="009F24E4"/>
    <w:rsid w:val="009F55D4"/>
    <w:rsid w:val="009F7B8D"/>
    <w:rsid w:val="00A0370A"/>
    <w:rsid w:val="00A040D4"/>
    <w:rsid w:val="00A046E3"/>
    <w:rsid w:val="00A04F48"/>
    <w:rsid w:val="00A05511"/>
    <w:rsid w:val="00A06364"/>
    <w:rsid w:val="00A15988"/>
    <w:rsid w:val="00A15D25"/>
    <w:rsid w:val="00A15FD8"/>
    <w:rsid w:val="00A20C58"/>
    <w:rsid w:val="00A220EF"/>
    <w:rsid w:val="00A247CD"/>
    <w:rsid w:val="00A265DF"/>
    <w:rsid w:val="00A3206B"/>
    <w:rsid w:val="00A3220B"/>
    <w:rsid w:val="00A33486"/>
    <w:rsid w:val="00A33736"/>
    <w:rsid w:val="00A3493F"/>
    <w:rsid w:val="00A35354"/>
    <w:rsid w:val="00A364BC"/>
    <w:rsid w:val="00A40D24"/>
    <w:rsid w:val="00A41DC2"/>
    <w:rsid w:val="00A42783"/>
    <w:rsid w:val="00A427FE"/>
    <w:rsid w:val="00A42967"/>
    <w:rsid w:val="00A434EF"/>
    <w:rsid w:val="00A435EB"/>
    <w:rsid w:val="00A44FB5"/>
    <w:rsid w:val="00A45F3B"/>
    <w:rsid w:val="00A477FB"/>
    <w:rsid w:val="00A52F00"/>
    <w:rsid w:val="00A55140"/>
    <w:rsid w:val="00A55530"/>
    <w:rsid w:val="00A55E30"/>
    <w:rsid w:val="00A56A87"/>
    <w:rsid w:val="00A57F33"/>
    <w:rsid w:val="00A629AC"/>
    <w:rsid w:val="00A66647"/>
    <w:rsid w:val="00A66E81"/>
    <w:rsid w:val="00A673EB"/>
    <w:rsid w:val="00A67B86"/>
    <w:rsid w:val="00A70225"/>
    <w:rsid w:val="00A70400"/>
    <w:rsid w:val="00A72496"/>
    <w:rsid w:val="00A72603"/>
    <w:rsid w:val="00A73A2F"/>
    <w:rsid w:val="00A743E1"/>
    <w:rsid w:val="00A76C79"/>
    <w:rsid w:val="00A80293"/>
    <w:rsid w:val="00A810CD"/>
    <w:rsid w:val="00A8111F"/>
    <w:rsid w:val="00A81A7B"/>
    <w:rsid w:val="00A825E5"/>
    <w:rsid w:val="00A82F52"/>
    <w:rsid w:val="00A83001"/>
    <w:rsid w:val="00A83FE8"/>
    <w:rsid w:val="00A84F00"/>
    <w:rsid w:val="00A91296"/>
    <w:rsid w:val="00A920E5"/>
    <w:rsid w:val="00A92202"/>
    <w:rsid w:val="00A93FC1"/>
    <w:rsid w:val="00A969F6"/>
    <w:rsid w:val="00A97B24"/>
    <w:rsid w:val="00AA0188"/>
    <w:rsid w:val="00AA28B4"/>
    <w:rsid w:val="00AA6218"/>
    <w:rsid w:val="00AA6A5E"/>
    <w:rsid w:val="00AB3147"/>
    <w:rsid w:val="00AB4A86"/>
    <w:rsid w:val="00AB5C4D"/>
    <w:rsid w:val="00AB6C51"/>
    <w:rsid w:val="00AC2B2D"/>
    <w:rsid w:val="00AC3AA5"/>
    <w:rsid w:val="00AC4DF8"/>
    <w:rsid w:val="00AC4EFE"/>
    <w:rsid w:val="00AC605B"/>
    <w:rsid w:val="00AC6B48"/>
    <w:rsid w:val="00AD08E1"/>
    <w:rsid w:val="00AD12F4"/>
    <w:rsid w:val="00AD168B"/>
    <w:rsid w:val="00AD1949"/>
    <w:rsid w:val="00AE0609"/>
    <w:rsid w:val="00AE0E61"/>
    <w:rsid w:val="00AE10CB"/>
    <w:rsid w:val="00AE23BF"/>
    <w:rsid w:val="00AE3182"/>
    <w:rsid w:val="00AE52B2"/>
    <w:rsid w:val="00AE63D5"/>
    <w:rsid w:val="00AE7619"/>
    <w:rsid w:val="00AF361F"/>
    <w:rsid w:val="00AF543F"/>
    <w:rsid w:val="00AF6BAB"/>
    <w:rsid w:val="00B00638"/>
    <w:rsid w:val="00B024FE"/>
    <w:rsid w:val="00B0398F"/>
    <w:rsid w:val="00B04F55"/>
    <w:rsid w:val="00B0518A"/>
    <w:rsid w:val="00B05B5F"/>
    <w:rsid w:val="00B06115"/>
    <w:rsid w:val="00B0751C"/>
    <w:rsid w:val="00B12DE7"/>
    <w:rsid w:val="00B12E5F"/>
    <w:rsid w:val="00B14265"/>
    <w:rsid w:val="00B142A8"/>
    <w:rsid w:val="00B14DFD"/>
    <w:rsid w:val="00B165C0"/>
    <w:rsid w:val="00B177C9"/>
    <w:rsid w:val="00B20C44"/>
    <w:rsid w:val="00B21FD1"/>
    <w:rsid w:val="00B235C2"/>
    <w:rsid w:val="00B26413"/>
    <w:rsid w:val="00B268B2"/>
    <w:rsid w:val="00B26FEF"/>
    <w:rsid w:val="00B3042A"/>
    <w:rsid w:val="00B304FD"/>
    <w:rsid w:val="00B3179F"/>
    <w:rsid w:val="00B319D0"/>
    <w:rsid w:val="00B35542"/>
    <w:rsid w:val="00B414A6"/>
    <w:rsid w:val="00B41C9C"/>
    <w:rsid w:val="00B42965"/>
    <w:rsid w:val="00B45933"/>
    <w:rsid w:val="00B45F8C"/>
    <w:rsid w:val="00B4677F"/>
    <w:rsid w:val="00B47D6F"/>
    <w:rsid w:val="00B51224"/>
    <w:rsid w:val="00B51AAC"/>
    <w:rsid w:val="00B52D72"/>
    <w:rsid w:val="00B53805"/>
    <w:rsid w:val="00B572B0"/>
    <w:rsid w:val="00B63BCF"/>
    <w:rsid w:val="00B647FD"/>
    <w:rsid w:val="00B65DF4"/>
    <w:rsid w:val="00B66083"/>
    <w:rsid w:val="00B7008F"/>
    <w:rsid w:val="00B70663"/>
    <w:rsid w:val="00B75210"/>
    <w:rsid w:val="00B76175"/>
    <w:rsid w:val="00B77480"/>
    <w:rsid w:val="00B804DA"/>
    <w:rsid w:val="00B85A4C"/>
    <w:rsid w:val="00B85D0F"/>
    <w:rsid w:val="00B8667B"/>
    <w:rsid w:val="00B907A6"/>
    <w:rsid w:val="00B925C6"/>
    <w:rsid w:val="00B936F6"/>
    <w:rsid w:val="00B94373"/>
    <w:rsid w:val="00B94668"/>
    <w:rsid w:val="00B950C0"/>
    <w:rsid w:val="00B95901"/>
    <w:rsid w:val="00B96862"/>
    <w:rsid w:val="00B969D5"/>
    <w:rsid w:val="00BA0C4A"/>
    <w:rsid w:val="00BA11F5"/>
    <w:rsid w:val="00BA1275"/>
    <w:rsid w:val="00BA2CFE"/>
    <w:rsid w:val="00BA3130"/>
    <w:rsid w:val="00BA6B2D"/>
    <w:rsid w:val="00BA7E86"/>
    <w:rsid w:val="00BB186F"/>
    <w:rsid w:val="00BB454B"/>
    <w:rsid w:val="00BB57CE"/>
    <w:rsid w:val="00BB59CE"/>
    <w:rsid w:val="00BB6C62"/>
    <w:rsid w:val="00BB6FC8"/>
    <w:rsid w:val="00BC0846"/>
    <w:rsid w:val="00BC0F96"/>
    <w:rsid w:val="00BC1C66"/>
    <w:rsid w:val="00BC221B"/>
    <w:rsid w:val="00BC451A"/>
    <w:rsid w:val="00BC5456"/>
    <w:rsid w:val="00BC6A40"/>
    <w:rsid w:val="00BC71EB"/>
    <w:rsid w:val="00BD02D0"/>
    <w:rsid w:val="00BD06AD"/>
    <w:rsid w:val="00BD07E8"/>
    <w:rsid w:val="00BD14DB"/>
    <w:rsid w:val="00BD2466"/>
    <w:rsid w:val="00BD3813"/>
    <w:rsid w:val="00BD639B"/>
    <w:rsid w:val="00BE0002"/>
    <w:rsid w:val="00BE3197"/>
    <w:rsid w:val="00BE3D82"/>
    <w:rsid w:val="00BE509D"/>
    <w:rsid w:val="00BF0E87"/>
    <w:rsid w:val="00BF295D"/>
    <w:rsid w:val="00BF4F6F"/>
    <w:rsid w:val="00BF51EC"/>
    <w:rsid w:val="00BF5792"/>
    <w:rsid w:val="00BF6A36"/>
    <w:rsid w:val="00BF7D65"/>
    <w:rsid w:val="00BF7EAB"/>
    <w:rsid w:val="00C00D41"/>
    <w:rsid w:val="00C011CA"/>
    <w:rsid w:val="00C0291D"/>
    <w:rsid w:val="00C029B0"/>
    <w:rsid w:val="00C039F5"/>
    <w:rsid w:val="00C049C9"/>
    <w:rsid w:val="00C07A56"/>
    <w:rsid w:val="00C1088D"/>
    <w:rsid w:val="00C12640"/>
    <w:rsid w:val="00C13200"/>
    <w:rsid w:val="00C13686"/>
    <w:rsid w:val="00C1446B"/>
    <w:rsid w:val="00C14E21"/>
    <w:rsid w:val="00C15AD7"/>
    <w:rsid w:val="00C16F20"/>
    <w:rsid w:val="00C21C37"/>
    <w:rsid w:val="00C2613B"/>
    <w:rsid w:val="00C32017"/>
    <w:rsid w:val="00C320D4"/>
    <w:rsid w:val="00C32255"/>
    <w:rsid w:val="00C3257C"/>
    <w:rsid w:val="00C33980"/>
    <w:rsid w:val="00C33C4F"/>
    <w:rsid w:val="00C34C45"/>
    <w:rsid w:val="00C35234"/>
    <w:rsid w:val="00C3543E"/>
    <w:rsid w:val="00C35547"/>
    <w:rsid w:val="00C37EE6"/>
    <w:rsid w:val="00C40447"/>
    <w:rsid w:val="00C406E5"/>
    <w:rsid w:val="00C40751"/>
    <w:rsid w:val="00C40AA3"/>
    <w:rsid w:val="00C40CB3"/>
    <w:rsid w:val="00C44C32"/>
    <w:rsid w:val="00C44F54"/>
    <w:rsid w:val="00C46410"/>
    <w:rsid w:val="00C47BCA"/>
    <w:rsid w:val="00C47FFC"/>
    <w:rsid w:val="00C50A36"/>
    <w:rsid w:val="00C52C1F"/>
    <w:rsid w:val="00C53B7B"/>
    <w:rsid w:val="00C562F5"/>
    <w:rsid w:val="00C5647C"/>
    <w:rsid w:val="00C57C3B"/>
    <w:rsid w:val="00C6204F"/>
    <w:rsid w:val="00C64858"/>
    <w:rsid w:val="00C66A1A"/>
    <w:rsid w:val="00C672BC"/>
    <w:rsid w:val="00C67BBA"/>
    <w:rsid w:val="00C70146"/>
    <w:rsid w:val="00C74573"/>
    <w:rsid w:val="00C74DF5"/>
    <w:rsid w:val="00C813A6"/>
    <w:rsid w:val="00C822A4"/>
    <w:rsid w:val="00C83B9B"/>
    <w:rsid w:val="00C83C74"/>
    <w:rsid w:val="00C85B0D"/>
    <w:rsid w:val="00C85E03"/>
    <w:rsid w:val="00C86384"/>
    <w:rsid w:val="00C87509"/>
    <w:rsid w:val="00C878B0"/>
    <w:rsid w:val="00C91A7C"/>
    <w:rsid w:val="00C9657D"/>
    <w:rsid w:val="00CA0D07"/>
    <w:rsid w:val="00CA1878"/>
    <w:rsid w:val="00CA215F"/>
    <w:rsid w:val="00CA239D"/>
    <w:rsid w:val="00CA3485"/>
    <w:rsid w:val="00CA497D"/>
    <w:rsid w:val="00CB020A"/>
    <w:rsid w:val="00CB12E9"/>
    <w:rsid w:val="00CB2871"/>
    <w:rsid w:val="00CB2E92"/>
    <w:rsid w:val="00CB3BA0"/>
    <w:rsid w:val="00CB3DC6"/>
    <w:rsid w:val="00CB435E"/>
    <w:rsid w:val="00CB5002"/>
    <w:rsid w:val="00CB5B8C"/>
    <w:rsid w:val="00CB5CDA"/>
    <w:rsid w:val="00CB6711"/>
    <w:rsid w:val="00CB675F"/>
    <w:rsid w:val="00CC054E"/>
    <w:rsid w:val="00CC0775"/>
    <w:rsid w:val="00CC34D4"/>
    <w:rsid w:val="00CC3776"/>
    <w:rsid w:val="00CC5DDC"/>
    <w:rsid w:val="00CD1629"/>
    <w:rsid w:val="00CD4FA5"/>
    <w:rsid w:val="00CD5822"/>
    <w:rsid w:val="00CD7CBE"/>
    <w:rsid w:val="00CE05AD"/>
    <w:rsid w:val="00CE2AEB"/>
    <w:rsid w:val="00CE3A3D"/>
    <w:rsid w:val="00CE3E37"/>
    <w:rsid w:val="00CE3FFF"/>
    <w:rsid w:val="00CE532B"/>
    <w:rsid w:val="00CE7678"/>
    <w:rsid w:val="00CE7F16"/>
    <w:rsid w:val="00CF081A"/>
    <w:rsid w:val="00CF3A4F"/>
    <w:rsid w:val="00CF589A"/>
    <w:rsid w:val="00CF684B"/>
    <w:rsid w:val="00D008C3"/>
    <w:rsid w:val="00D01CB0"/>
    <w:rsid w:val="00D035FD"/>
    <w:rsid w:val="00D071F3"/>
    <w:rsid w:val="00D07AC3"/>
    <w:rsid w:val="00D1119E"/>
    <w:rsid w:val="00D13DE2"/>
    <w:rsid w:val="00D13F7F"/>
    <w:rsid w:val="00D14754"/>
    <w:rsid w:val="00D16B20"/>
    <w:rsid w:val="00D1765D"/>
    <w:rsid w:val="00D17CB5"/>
    <w:rsid w:val="00D202CE"/>
    <w:rsid w:val="00D214A0"/>
    <w:rsid w:val="00D21F50"/>
    <w:rsid w:val="00D25D42"/>
    <w:rsid w:val="00D26799"/>
    <w:rsid w:val="00D300A2"/>
    <w:rsid w:val="00D3041E"/>
    <w:rsid w:val="00D30F52"/>
    <w:rsid w:val="00D318F4"/>
    <w:rsid w:val="00D330B3"/>
    <w:rsid w:val="00D335F0"/>
    <w:rsid w:val="00D34049"/>
    <w:rsid w:val="00D342EB"/>
    <w:rsid w:val="00D35C24"/>
    <w:rsid w:val="00D36795"/>
    <w:rsid w:val="00D37860"/>
    <w:rsid w:val="00D37C18"/>
    <w:rsid w:val="00D426F8"/>
    <w:rsid w:val="00D4382C"/>
    <w:rsid w:val="00D447B2"/>
    <w:rsid w:val="00D44977"/>
    <w:rsid w:val="00D44DEA"/>
    <w:rsid w:val="00D456F1"/>
    <w:rsid w:val="00D4591E"/>
    <w:rsid w:val="00D52BF2"/>
    <w:rsid w:val="00D53D19"/>
    <w:rsid w:val="00D548E2"/>
    <w:rsid w:val="00D54B98"/>
    <w:rsid w:val="00D5606C"/>
    <w:rsid w:val="00D569FC"/>
    <w:rsid w:val="00D575BF"/>
    <w:rsid w:val="00D62B18"/>
    <w:rsid w:val="00D62BC3"/>
    <w:rsid w:val="00D62E3F"/>
    <w:rsid w:val="00D631C4"/>
    <w:rsid w:val="00D65393"/>
    <w:rsid w:val="00D656CC"/>
    <w:rsid w:val="00D7004C"/>
    <w:rsid w:val="00D70C84"/>
    <w:rsid w:val="00D7186E"/>
    <w:rsid w:val="00D71B84"/>
    <w:rsid w:val="00D72E28"/>
    <w:rsid w:val="00D7416B"/>
    <w:rsid w:val="00D74443"/>
    <w:rsid w:val="00D763EF"/>
    <w:rsid w:val="00D808DA"/>
    <w:rsid w:val="00D80A79"/>
    <w:rsid w:val="00D80B64"/>
    <w:rsid w:val="00D831F7"/>
    <w:rsid w:val="00D852BA"/>
    <w:rsid w:val="00D92A32"/>
    <w:rsid w:val="00D932DB"/>
    <w:rsid w:val="00D94888"/>
    <w:rsid w:val="00DA141C"/>
    <w:rsid w:val="00DA2AA1"/>
    <w:rsid w:val="00DA5511"/>
    <w:rsid w:val="00DA6249"/>
    <w:rsid w:val="00DA6BA2"/>
    <w:rsid w:val="00DA6E85"/>
    <w:rsid w:val="00DA7965"/>
    <w:rsid w:val="00DB2BA3"/>
    <w:rsid w:val="00DB317D"/>
    <w:rsid w:val="00DB32A9"/>
    <w:rsid w:val="00DB46BA"/>
    <w:rsid w:val="00DB59B1"/>
    <w:rsid w:val="00DB626B"/>
    <w:rsid w:val="00DB62BE"/>
    <w:rsid w:val="00DB6EF1"/>
    <w:rsid w:val="00DB7E90"/>
    <w:rsid w:val="00DC0D48"/>
    <w:rsid w:val="00DC32A5"/>
    <w:rsid w:val="00DC3F5A"/>
    <w:rsid w:val="00DC410E"/>
    <w:rsid w:val="00DC5399"/>
    <w:rsid w:val="00DC6773"/>
    <w:rsid w:val="00DC73ED"/>
    <w:rsid w:val="00DD029B"/>
    <w:rsid w:val="00DD17DD"/>
    <w:rsid w:val="00DD3A09"/>
    <w:rsid w:val="00DD464C"/>
    <w:rsid w:val="00DD4AD5"/>
    <w:rsid w:val="00DD5873"/>
    <w:rsid w:val="00DE08BE"/>
    <w:rsid w:val="00DE43EB"/>
    <w:rsid w:val="00DE4563"/>
    <w:rsid w:val="00DE4DCD"/>
    <w:rsid w:val="00DE6A9B"/>
    <w:rsid w:val="00DE7AA1"/>
    <w:rsid w:val="00DE7DBA"/>
    <w:rsid w:val="00DF0101"/>
    <w:rsid w:val="00DF3630"/>
    <w:rsid w:val="00E00882"/>
    <w:rsid w:val="00E02648"/>
    <w:rsid w:val="00E0274B"/>
    <w:rsid w:val="00E04E5B"/>
    <w:rsid w:val="00E0591C"/>
    <w:rsid w:val="00E064BE"/>
    <w:rsid w:val="00E06A12"/>
    <w:rsid w:val="00E06A26"/>
    <w:rsid w:val="00E07FA9"/>
    <w:rsid w:val="00E108DB"/>
    <w:rsid w:val="00E11F78"/>
    <w:rsid w:val="00E1250A"/>
    <w:rsid w:val="00E1267D"/>
    <w:rsid w:val="00E13361"/>
    <w:rsid w:val="00E15115"/>
    <w:rsid w:val="00E157F5"/>
    <w:rsid w:val="00E1765C"/>
    <w:rsid w:val="00E22266"/>
    <w:rsid w:val="00E2277B"/>
    <w:rsid w:val="00E2389C"/>
    <w:rsid w:val="00E251AF"/>
    <w:rsid w:val="00E266EA"/>
    <w:rsid w:val="00E32833"/>
    <w:rsid w:val="00E32F27"/>
    <w:rsid w:val="00E33030"/>
    <w:rsid w:val="00E33BDF"/>
    <w:rsid w:val="00E34C46"/>
    <w:rsid w:val="00E34D58"/>
    <w:rsid w:val="00E36D58"/>
    <w:rsid w:val="00E421B4"/>
    <w:rsid w:val="00E42AF0"/>
    <w:rsid w:val="00E454F8"/>
    <w:rsid w:val="00E45F28"/>
    <w:rsid w:val="00E462B0"/>
    <w:rsid w:val="00E53131"/>
    <w:rsid w:val="00E5533D"/>
    <w:rsid w:val="00E567C6"/>
    <w:rsid w:val="00E600DC"/>
    <w:rsid w:val="00E61D36"/>
    <w:rsid w:val="00E635EC"/>
    <w:rsid w:val="00E64F1D"/>
    <w:rsid w:val="00E66000"/>
    <w:rsid w:val="00E67FF6"/>
    <w:rsid w:val="00E72232"/>
    <w:rsid w:val="00E75C18"/>
    <w:rsid w:val="00E773B9"/>
    <w:rsid w:val="00E80931"/>
    <w:rsid w:val="00E83DF0"/>
    <w:rsid w:val="00E90EF9"/>
    <w:rsid w:val="00E9115C"/>
    <w:rsid w:val="00E912AF"/>
    <w:rsid w:val="00E92CBB"/>
    <w:rsid w:val="00E93F84"/>
    <w:rsid w:val="00E943AE"/>
    <w:rsid w:val="00E94B56"/>
    <w:rsid w:val="00E961FB"/>
    <w:rsid w:val="00E97BA9"/>
    <w:rsid w:val="00EA1048"/>
    <w:rsid w:val="00EA32FC"/>
    <w:rsid w:val="00EA4767"/>
    <w:rsid w:val="00EA5F4F"/>
    <w:rsid w:val="00EA774E"/>
    <w:rsid w:val="00EB1C10"/>
    <w:rsid w:val="00EB51D0"/>
    <w:rsid w:val="00EB5A54"/>
    <w:rsid w:val="00EB5C57"/>
    <w:rsid w:val="00EB5F44"/>
    <w:rsid w:val="00EB6E3B"/>
    <w:rsid w:val="00EC4A44"/>
    <w:rsid w:val="00EC51D6"/>
    <w:rsid w:val="00EC58C8"/>
    <w:rsid w:val="00EC638E"/>
    <w:rsid w:val="00ED0231"/>
    <w:rsid w:val="00ED1D2A"/>
    <w:rsid w:val="00ED38BE"/>
    <w:rsid w:val="00ED6819"/>
    <w:rsid w:val="00ED6C78"/>
    <w:rsid w:val="00ED7333"/>
    <w:rsid w:val="00EE04A8"/>
    <w:rsid w:val="00EE3472"/>
    <w:rsid w:val="00EE7D92"/>
    <w:rsid w:val="00EF1910"/>
    <w:rsid w:val="00EF197E"/>
    <w:rsid w:val="00EF1BAE"/>
    <w:rsid w:val="00EF30D3"/>
    <w:rsid w:val="00EF3F73"/>
    <w:rsid w:val="00EF7964"/>
    <w:rsid w:val="00F00884"/>
    <w:rsid w:val="00F021D4"/>
    <w:rsid w:val="00F02FC6"/>
    <w:rsid w:val="00F0383E"/>
    <w:rsid w:val="00F03C63"/>
    <w:rsid w:val="00F053E4"/>
    <w:rsid w:val="00F06A0F"/>
    <w:rsid w:val="00F10923"/>
    <w:rsid w:val="00F15258"/>
    <w:rsid w:val="00F169C4"/>
    <w:rsid w:val="00F17295"/>
    <w:rsid w:val="00F21CB2"/>
    <w:rsid w:val="00F228A0"/>
    <w:rsid w:val="00F22D44"/>
    <w:rsid w:val="00F239B5"/>
    <w:rsid w:val="00F24D4D"/>
    <w:rsid w:val="00F2653B"/>
    <w:rsid w:val="00F26ECE"/>
    <w:rsid w:val="00F30B06"/>
    <w:rsid w:val="00F30D1C"/>
    <w:rsid w:val="00F35A73"/>
    <w:rsid w:val="00F3660E"/>
    <w:rsid w:val="00F36D4C"/>
    <w:rsid w:val="00F371DB"/>
    <w:rsid w:val="00F3748B"/>
    <w:rsid w:val="00F43694"/>
    <w:rsid w:val="00F43D4C"/>
    <w:rsid w:val="00F44835"/>
    <w:rsid w:val="00F44C21"/>
    <w:rsid w:val="00F45001"/>
    <w:rsid w:val="00F474CA"/>
    <w:rsid w:val="00F47B4B"/>
    <w:rsid w:val="00F524CE"/>
    <w:rsid w:val="00F53284"/>
    <w:rsid w:val="00F55412"/>
    <w:rsid w:val="00F55C52"/>
    <w:rsid w:val="00F62A16"/>
    <w:rsid w:val="00F65A0D"/>
    <w:rsid w:val="00F72014"/>
    <w:rsid w:val="00F7392E"/>
    <w:rsid w:val="00F74E13"/>
    <w:rsid w:val="00F76DE0"/>
    <w:rsid w:val="00F7776E"/>
    <w:rsid w:val="00F81405"/>
    <w:rsid w:val="00F82B9F"/>
    <w:rsid w:val="00F83A54"/>
    <w:rsid w:val="00F83DEF"/>
    <w:rsid w:val="00F8508D"/>
    <w:rsid w:val="00F85165"/>
    <w:rsid w:val="00F86738"/>
    <w:rsid w:val="00F90296"/>
    <w:rsid w:val="00F905A2"/>
    <w:rsid w:val="00F910C0"/>
    <w:rsid w:val="00F927A7"/>
    <w:rsid w:val="00F92905"/>
    <w:rsid w:val="00FA17AB"/>
    <w:rsid w:val="00FA1EEF"/>
    <w:rsid w:val="00FA2372"/>
    <w:rsid w:val="00FA4351"/>
    <w:rsid w:val="00FA45DE"/>
    <w:rsid w:val="00FA4A39"/>
    <w:rsid w:val="00FA5793"/>
    <w:rsid w:val="00FA5799"/>
    <w:rsid w:val="00FA7AE1"/>
    <w:rsid w:val="00FB3096"/>
    <w:rsid w:val="00FB3847"/>
    <w:rsid w:val="00FB5536"/>
    <w:rsid w:val="00FC34E7"/>
    <w:rsid w:val="00FC3DE0"/>
    <w:rsid w:val="00FC3E55"/>
    <w:rsid w:val="00FC42B9"/>
    <w:rsid w:val="00FC480D"/>
    <w:rsid w:val="00FC504D"/>
    <w:rsid w:val="00FC6595"/>
    <w:rsid w:val="00FC730B"/>
    <w:rsid w:val="00FD0BB4"/>
    <w:rsid w:val="00FD3177"/>
    <w:rsid w:val="00FD557A"/>
    <w:rsid w:val="00FD5727"/>
    <w:rsid w:val="00FD5819"/>
    <w:rsid w:val="00FD6954"/>
    <w:rsid w:val="00FE31BF"/>
    <w:rsid w:val="00FE38AB"/>
    <w:rsid w:val="00FE415A"/>
    <w:rsid w:val="00FE5A97"/>
    <w:rsid w:val="00FE78D3"/>
    <w:rsid w:val="00FF299A"/>
    <w:rsid w:val="00FF3C57"/>
    <w:rsid w:val="00FF525E"/>
    <w:rsid w:val="00FF7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F47F62"/>
  <w15:docId w15:val="{D9B1A4E2-8787-4765-930B-B285905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867"/>
    <w:rPr>
      <w:rFonts w:ascii="CG Omega" w:hAnsi="CG Omega"/>
      <w:sz w:val="22"/>
      <w:szCs w:val="24"/>
      <w:lang w:eastAsia="en-US"/>
    </w:rPr>
  </w:style>
  <w:style w:type="paragraph" w:styleId="Heading1">
    <w:name w:val="heading 1"/>
    <w:basedOn w:val="Normal"/>
    <w:next w:val="Normal"/>
    <w:link w:val="Heading1Char"/>
    <w:qFormat/>
    <w:rsid w:val="001A03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B32A9"/>
    <w:pPr>
      <w:keepNext/>
      <w:keepLines/>
      <w:spacing w:before="200"/>
      <w:outlineLvl w:val="1"/>
    </w:pPr>
    <w:rPr>
      <w:rFonts w:ascii="Times New Roman" w:hAnsi="Times New Roman"/>
      <w:b/>
      <w:bCs/>
      <w:color w:val="4F81BD"/>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7524"/>
    <w:pPr>
      <w:numPr>
        <w:ilvl w:val="12"/>
      </w:numPr>
      <w:spacing w:before="240"/>
    </w:pPr>
    <w:rPr>
      <w:rFonts w:ascii="Times New Roman" w:hAnsi="Times New Roman"/>
      <w:sz w:val="24"/>
      <w:szCs w:val="20"/>
      <w:lang w:eastAsia="en-AU"/>
    </w:rPr>
  </w:style>
  <w:style w:type="paragraph" w:customStyle="1" w:styleId="StyleLeft349cmRight-011cm">
    <w:name w:val="Style Left:  3.49 cm Right:  -0.11 cm"/>
    <w:basedOn w:val="Normal"/>
    <w:rsid w:val="003B7524"/>
    <w:pPr>
      <w:ind w:left="1979" w:right="1701"/>
    </w:pPr>
    <w:rPr>
      <w:rFonts w:ascii="Times New Roman" w:hAnsi="Times New Roman"/>
      <w:sz w:val="24"/>
      <w:szCs w:val="20"/>
      <w:lang w:eastAsia="en-AU"/>
    </w:rPr>
  </w:style>
  <w:style w:type="paragraph" w:styleId="Footer">
    <w:name w:val="footer"/>
    <w:basedOn w:val="Normal"/>
    <w:rsid w:val="003B7524"/>
    <w:pPr>
      <w:tabs>
        <w:tab w:val="center" w:pos="4153"/>
        <w:tab w:val="right" w:pos="8306"/>
      </w:tabs>
    </w:pPr>
  </w:style>
  <w:style w:type="character" w:styleId="PageNumber">
    <w:name w:val="page number"/>
    <w:basedOn w:val="DefaultParagraphFont"/>
    <w:rsid w:val="003B7524"/>
  </w:style>
  <w:style w:type="paragraph" w:customStyle="1" w:styleId="Default1">
    <w:name w:val="Default1"/>
    <w:basedOn w:val="Normal"/>
    <w:next w:val="Normal"/>
    <w:rsid w:val="003B7524"/>
    <w:pPr>
      <w:autoSpaceDE w:val="0"/>
      <w:autoSpaceDN w:val="0"/>
      <w:adjustRightInd w:val="0"/>
      <w:spacing w:after="240"/>
    </w:pPr>
    <w:rPr>
      <w:rFonts w:ascii="Times New Roman" w:hAnsi="Times New Roman"/>
      <w:sz w:val="24"/>
      <w:lang w:eastAsia="en-AU"/>
    </w:rPr>
  </w:style>
  <w:style w:type="paragraph" w:styleId="Header">
    <w:name w:val="header"/>
    <w:aliases w:val="h"/>
    <w:basedOn w:val="Normal"/>
    <w:link w:val="HeaderChar"/>
    <w:uiPriority w:val="99"/>
    <w:rsid w:val="003B7524"/>
    <w:pPr>
      <w:tabs>
        <w:tab w:val="center" w:pos="4153"/>
        <w:tab w:val="right" w:pos="8306"/>
      </w:tabs>
    </w:pPr>
  </w:style>
  <w:style w:type="paragraph" w:styleId="BalloonText">
    <w:name w:val="Balloon Text"/>
    <w:basedOn w:val="Normal"/>
    <w:semiHidden/>
    <w:rsid w:val="00146C29"/>
    <w:rPr>
      <w:rFonts w:ascii="Tahoma" w:hAnsi="Tahoma" w:cs="Tahoma"/>
      <w:sz w:val="16"/>
      <w:szCs w:val="16"/>
    </w:rPr>
  </w:style>
  <w:style w:type="character" w:styleId="CommentReference">
    <w:name w:val="annotation reference"/>
    <w:uiPriority w:val="99"/>
    <w:semiHidden/>
    <w:rsid w:val="0009363E"/>
    <w:rPr>
      <w:sz w:val="16"/>
      <w:szCs w:val="16"/>
    </w:rPr>
  </w:style>
  <w:style w:type="paragraph" w:styleId="CommentText">
    <w:name w:val="annotation text"/>
    <w:basedOn w:val="Normal"/>
    <w:link w:val="CommentTextChar"/>
    <w:uiPriority w:val="99"/>
    <w:semiHidden/>
    <w:rsid w:val="0009363E"/>
    <w:rPr>
      <w:sz w:val="20"/>
      <w:szCs w:val="20"/>
    </w:rPr>
  </w:style>
  <w:style w:type="paragraph" w:styleId="CommentSubject">
    <w:name w:val="annotation subject"/>
    <w:basedOn w:val="CommentText"/>
    <w:next w:val="CommentText"/>
    <w:semiHidden/>
    <w:rsid w:val="0009363E"/>
    <w:rPr>
      <w:b/>
      <w:bCs/>
    </w:rPr>
  </w:style>
  <w:style w:type="paragraph" w:customStyle="1" w:styleId="Default">
    <w:name w:val="Default"/>
    <w:rsid w:val="00F7392E"/>
    <w:pPr>
      <w:autoSpaceDE w:val="0"/>
      <w:autoSpaceDN w:val="0"/>
      <w:adjustRightInd w:val="0"/>
    </w:pPr>
    <w:rPr>
      <w:color w:val="000000"/>
      <w:sz w:val="24"/>
      <w:szCs w:val="24"/>
    </w:rPr>
  </w:style>
  <w:style w:type="character" w:styleId="Hyperlink">
    <w:name w:val="Hyperlink"/>
    <w:rsid w:val="004D1BEF"/>
    <w:rPr>
      <w:color w:val="0000FF"/>
      <w:u w:val="single"/>
    </w:rPr>
  </w:style>
  <w:style w:type="paragraph" w:styleId="ListParagraph">
    <w:name w:val="List Paragraph"/>
    <w:aliases w:val="Dot Point Lvl 1,TOC style,lp1,Bullet OSM,Proposal Bullet List,Recommendation,List Paragraph1,List Paragraph11,List Paragraph111,L,F5 List Paragraph,Dot pt,CV text,Medium Grid 1 - Accent 21,Numbered Paragraph,No Spacing1,列出段落,FooterText"/>
    <w:basedOn w:val="Normal"/>
    <w:link w:val="ListParagraphChar"/>
    <w:uiPriority w:val="34"/>
    <w:qFormat/>
    <w:rsid w:val="00433B24"/>
    <w:pPr>
      <w:ind w:left="720"/>
    </w:pPr>
  </w:style>
  <w:style w:type="character" w:customStyle="1" w:styleId="CommentTextChar">
    <w:name w:val="Comment Text Char"/>
    <w:link w:val="CommentText"/>
    <w:semiHidden/>
    <w:rsid w:val="00190C40"/>
    <w:rPr>
      <w:rFonts w:ascii="CG Omega" w:hAnsi="CG Omega"/>
      <w:lang w:eastAsia="en-US"/>
    </w:rPr>
  </w:style>
  <w:style w:type="character" w:customStyle="1" w:styleId="Heading2Char">
    <w:name w:val="Heading 2 Char"/>
    <w:link w:val="Heading2"/>
    <w:uiPriority w:val="9"/>
    <w:rsid w:val="00DB32A9"/>
    <w:rPr>
      <w:b/>
      <w:bCs/>
      <w:color w:val="4F81BD"/>
      <w:sz w:val="26"/>
      <w:szCs w:val="26"/>
    </w:rPr>
  </w:style>
  <w:style w:type="table" w:styleId="TableGrid">
    <w:name w:val="Table Grid"/>
    <w:basedOn w:val="TableNormal"/>
    <w:rsid w:val="00DB32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5E3E"/>
    <w:rPr>
      <w:color w:val="800080"/>
      <w:u w:val="single"/>
    </w:rPr>
  </w:style>
  <w:style w:type="character" w:customStyle="1" w:styleId="HeaderChar">
    <w:name w:val="Header Char"/>
    <w:aliases w:val="h Char"/>
    <w:link w:val="Header"/>
    <w:uiPriority w:val="99"/>
    <w:rsid w:val="00800032"/>
    <w:rPr>
      <w:rFonts w:ascii="CG Omega" w:hAnsi="CG Omega"/>
      <w:sz w:val="22"/>
      <w:szCs w:val="24"/>
      <w:lang w:eastAsia="en-US"/>
    </w:rPr>
  </w:style>
  <w:style w:type="paragraph" w:customStyle="1" w:styleId="TableText">
    <w:name w:val="TableText"/>
    <w:basedOn w:val="Normal"/>
    <w:qFormat/>
    <w:rsid w:val="00114B13"/>
    <w:pPr>
      <w:spacing w:before="120" w:after="120"/>
    </w:pPr>
    <w:rPr>
      <w:rFonts w:ascii="Arial" w:hAnsi="Arial" w:cs="Arial"/>
      <w:bCs/>
      <w:sz w:val="20"/>
      <w:szCs w:val="20"/>
    </w:rPr>
  </w:style>
  <w:style w:type="paragraph" w:styleId="Revision">
    <w:name w:val="Revision"/>
    <w:hidden/>
    <w:uiPriority w:val="99"/>
    <w:semiHidden/>
    <w:rsid w:val="006E645F"/>
    <w:rPr>
      <w:rFonts w:ascii="CG Omega" w:hAnsi="CG Omega"/>
      <w:sz w:val="22"/>
      <w:szCs w:val="24"/>
      <w:lang w:eastAsia="en-US"/>
    </w:rPr>
  </w:style>
  <w:style w:type="character" w:customStyle="1" w:styleId="Heading1Char">
    <w:name w:val="Heading 1 Char"/>
    <w:link w:val="Heading1"/>
    <w:rsid w:val="001A03E1"/>
    <w:rPr>
      <w:rFonts w:ascii="Cambria" w:eastAsia="Times New Roman" w:hAnsi="Cambria" w:cs="Times New Roman"/>
      <w:b/>
      <w:bCs/>
      <w:kern w:val="32"/>
      <w:sz w:val="32"/>
      <w:szCs w:val="32"/>
      <w:lang w:eastAsia="en-US"/>
    </w:rPr>
  </w:style>
  <w:style w:type="character" w:customStyle="1" w:styleId="CommentTextChar1">
    <w:name w:val="Comment Text Char1"/>
    <w:uiPriority w:val="99"/>
    <w:semiHidden/>
    <w:rsid w:val="001A03E1"/>
    <w:rPr>
      <w:sz w:val="20"/>
      <w:szCs w:val="20"/>
    </w:rPr>
  </w:style>
  <w:style w:type="paragraph" w:customStyle="1" w:styleId="paragraph0">
    <w:name w:val="paragraph"/>
    <w:basedOn w:val="Normal"/>
    <w:rsid w:val="004671D0"/>
    <w:pPr>
      <w:spacing w:before="100" w:beforeAutospacing="1" w:after="100" w:afterAutospacing="1"/>
    </w:pPr>
    <w:rPr>
      <w:rFonts w:ascii="Times New Roman" w:hAnsi="Times New Roman"/>
      <w:sz w:val="24"/>
      <w:lang w:eastAsia="en-AU"/>
    </w:rPr>
  </w:style>
  <w:style w:type="paragraph" w:customStyle="1" w:styleId="ItemHead">
    <w:name w:val="ItemHead"/>
    <w:aliases w:val="ih"/>
    <w:basedOn w:val="Normal"/>
    <w:next w:val="Normal"/>
    <w:rsid w:val="00684A1B"/>
    <w:pPr>
      <w:keepNext/>
      <w:keepLines/>
      <w:spacing w:before="220"/>
      <w:ind w:left="709" w:hanging="709"/>
    </w:pPr>
    <w:rPr>
      <w:rFonts w:ascii="Arial" w:hAnsi="Arial"/>
      <w:b/>
      <w:kern w:val="28"/>
      <w:sz w:val="24"/>
      <w:szCs w:val="20"/>
      <w:lang w:eastAsia="en-AU"/>
    </w:rPr>
  </w:style>
  <w:style w:type="character" w:customStyle="1" w:styleId="ListParagraphChar">
    <w:name w:val="List Paragraph Char"/>
    <w:aliases w:val="Dot Point Lvl 1 Char,TOC style Char,lp1 Char,Bullet OSM Char,Proposal Bullet List Char,Recommendation Char,List Paragraph1 Char,List Paragraph11 Char,List Paragraph111 Char,L Char,F5 List Paragraph Char,Dot pt Char,CV text Char"/>
    <w:link w:val="ListParagraph"/>
    <w:uiPriority w:val="34"/>
    <w:locked/>
    <w:rsid w:val="00AD08E1"/>
    <w:rPr>
      <w:rFonts w:ascii="CG Omega" w:hAnsi="CG Omega"/>
      <w:sz w:val="22"/>
      <w:szCs w:val="24"/>
      <w:lang w:eastAsia="en-US"/>
    </w:rPr>
  </w:style>
  <w:style w:type="paragraph" w:customStyle="1" w:styleId="Item">
    <w:name w:val="Item"/>
    <w:aliases w:val="i"/>
    <w:basedOn w:val="Normal"/>
    <w:next w:val="ItemHead"/>
    <w:rsid w:val="0013441F"/>
    <w:pPr>
      <w:keepLines/>
      <w:spacing w:before="80"/>
      <w:ind w:left="709"/>
    </w:pPr>
    <w:rPr>
      <w:rFonts w:ascii="Times New Roman" w:hAnsi="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1934">
      <w:bodyDiv w:val="1"/>
      <w:marLeft w:val="0"/>
      <w:marRight w:val="0"/>
      <w:marTop w:val="0"/>
      <w:marBottom w:val="0"/>
      <w:divBdr>
        <w:top w:val="none" w:sz="0" w:space="0" w:color="auto"/>
        <w:left w:val="none" w:sz="0" w:space="0" w:color="auto"/>
        <w:bottom w:val="none" w:sz="0" w:space="0" w:color="auto"/>
        <w:right w:val="none" w:sz="0" w:space="0" w:color="auto"/>
      </w:divBdr>
    </w:div>
    <w:div w:id="144856074">
      <w:bodyDiv w:val="1"/>
      <w:marLeft w:val="0"/>
      <w:marRight w:val="0"/>
      <w:marTop w:val="0"/>
      <w:marBottom w:val="0"/>
      <w:divBdr>
        <w:top w:val="none" w:sz="0" w:space="0" w:color="auto"/>
        <w:left w:val="none" w:sz="0" w:space="0" w:color="auto"/>
        <w:bottom w:val="none" w:sz="0" w:space="0" w:color="auto"/>
        <w:right w:val="none" w:sz="0" w:space="0" w:color="auto"/>
      </w:divBdr>
    </w:div>
    <w:div w:id="268126803">
      <w:bodyDiv w:val="1"/>
      <w:marLeft w:val="0"/>
      <w:marRight w:val="0"/>
      <w:marTop w:val="0"/>
      <w:marBottom w:val="0"/>
      <w:divBdr>
        <w:top w:val="none" w:sz="0" w:space="0" w:color="auto"/>
        <w:left w:val="none" w:sz="0" w:space="0" w:color="auto"/>
        <w:bottom w:val="none" w:sz="0" w:space="0" w:color="auto"/>
        <w:right w:val="none" w:sz="0" w:space="0" w:color="auto"/>
      </w:divBdr>
    </w:div>
    <w:div w:id="327440870">
      <w:bodyDiv w:val="1"/>
      <w:marLeft w:val="0"/>
      <w:marRight w:val="0"/>
      <w:marTop w:val="0"/>
      <w:marBottom w:val="0"/>
      <w:divBdr>
        <w:top w:val="none" w:sz="0" w:space="0" w:color="auto"/>
        <w:left w:val="none" w:sz="0" w:space="0" w:color="auto"/>
        <w:bottom w:val="none" w:sz="0" w:space="0" w:color="auto"/>
        <w:right w:val="none" w:sz="0" w:space="0" w:color="auto"/>
      </w:divBdr>
    </w:div>
    <w:div w:id="975839409">
      <w:bodyDiv w:val="1"/>
      <w:marLeft w:val="0"/>
      <w:marRight w:val="0"/>
      <w:marTop w:val="0"/>
      <w:marBottom w:val="0"/>
      <w:divBdr>
        <w:top w:val="none" w:sz="0" w:space="0" w:color="auto"/>
        <w:left w:val="none" w:sz="0" w:space="0" w:color="auto"/>
        <w:bottom w:val="none" w:sz="0" w:space="0" w:color="auto"/>
        <w:right w:val="none" w:sz="0" w:space="0" w:color="auto"/>
      </w:divBdr>
    </w:div>
    <w:div w:id="1297375660">
      <w:bodyDiv w:val="1"/>
      <w:marLeft w:val="0"/>
      <w:marRight w:val="0"/>
      <w:marTop w:val="0"/>
      <w:marBottom w:val="0"/>
      <w:divBdr>
        <w:top w:val="none" w:sz="0" w:space="0" w:color="auto"/>
        <w:left w:val="none" w:sz="0" w:space="0" w:color="auto"/>
        <w:bottom w:val="none" w:sz="0" w:space="0" w:color="auto"/>
        <w:right w:val="none" w:sz="0" w:space="0" w:color="auto"/>
      </w:divBdr>
    </w:div>
    <w:div w:id="1364942763">
      <w:bodyDiv w:val="1"/>
      <w:marLeft w:val="0"/>
      <w:marRight w:val="0"/>
      <w:marTop w:val="0"/>
      <w:marBottom w:val="0"/>
      <w:divBdr>
        <w:top w:val="none" w:sz="0" w:space="0" w:color="auto"/>
        <w:left w:val="none" w:sz="0" w:space="0" w:color="auto"/>
        <w:bottom w:val="none" w:sz="0" w:space="0" w:color="auto"/>
        <w:right w:val="none" w:sz="0" w:space="0" w:color="auto"/>
      </w:divBdr>
    </w:div>
    <w:div w:id="1506900722">
      <w:bodyDiv w:val="1"/>
      <w:marLeft w:val="0"/>
      <w:marRight w:val="0"/>
      <w:marTop w:val="0"/>
      <w:marBottom w:val="0"/>
      <w:divBdr>
        <w:top w:val="none" w:sz="0" w:space="0" w:color="auto"/>
        <w:left w:val="none" w:sz="0" w:space="0" w:color="auto"/>
        <w:bottom w:val="none" w:sz="0" w:space="0" w:color="auto"/>
        <w:right w:val="none" w:sz="0" w:space="0" w:color="auto"/>
      </w:divBdr>
    </w:div>
    <w:div w:id="1544056451">
      <w:bodyDiv w:val="1"/>
      <w:marLeft w:val="0"/>
      <w:marRight w:val="0"/>
      <w:marTop w:val="0"/>
      <w:marBottom w:val="0"/>
      <w:divBdr>
        <w:top w:val="none" w:sz="0" w:space="0" w:color="auto"/>
        <w:left w:val="none" w:sz="0" w:space="0" w:color="auto"/>
        <w:bottom w:val="none" w:sz="0" w:space="0" w:color="auto"/>
        <w:right w:val="none" w:sz="0" w:space="0" w:color="auto"/>
      </w:divBdr>
    </w:div>
    <w:div w:id="1561791439">
      <w:bodyDiv w:val="1"/>
      <w:marLeft w:val="0"/>
      <w:marRight w:val="0"/>
      <w:marTop w:val="0"/>
      <w:marBottom w:val="0"/>
      <w:divBdr>
        <w:top w:val="none" w:sz="0" w:space="0" w:color="auto"/>
        <w:left w:val="none" w:sz="0" w:space="0" w:color="auto"/>
        <w:bottom w:val="none" w:sz="0" w:space="0" w:color="auto"/>
        <w:right w:val="none" w:sz="0" w:space="0" w:color="auto"/>
      </w:divBdr>
    </w:div>
    <w:div w:id="1677001127">
      <w:bodyDiv w:val="1"/>
      <w:marLeft w:val="0"/>
      <w:marRight w:val="0"/>
      <w:marTop w:val="0"/>
      <w:marBottom w:val="0"/>
      <w:divBdr>
        <w:top w:val="none" w:sz="0" w:space="0" w:color="auto"/>
        <w:left w:val="none" w:sz="0" w:space="0" w:color="auto"/>
        <w:bottom w:val="none" w:sz="0" w:space="0" w:color="auto"/>
        <w:right w:val="none" w:sz="0" w:space="0" w:color="auto"/>
      </w:divBdr>
    </w:div>
    <w:div w:id="20447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A2E9-E7C3-4F0E-8508-60DB3211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1912</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pjohns</dc:creator>
  <cp:lastModifiedBy>Hugh Dixon</cp:lastModifiedBy>
  <cp:revision>3</cp:revision>
  <cp:lastPrinted>2021-06-15T03:26:00Z</cp:lastPrinted>
  <dcterms:created xsi:type="dcterms:W3CDTF">2023-09-25T06:27:00Z</dcterms:created>
  <dcterms:modified xsi:type="dcterms:W3CDTF">2023-09-25T06:29:00Z</dcterms:modified>
</cp:coreProperties>
</file>