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A76B5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DF3C1EB" wp14:editId="5B631C2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8C6AA" w14:textId="77777777" w:rsidR="00715914" w:rsidRPr="00E500D4" w:rsidRDefault="00715914" w:rsidP="00715914">
      <w:pPr>
        <w:rPr>
          <w:sz w:val="19"/>
        </w:rPr>
      </w:pPr>
    </w:p>
    <w:p w14:paraId="220A111F" w14:textId="0DAEBD68" w:rsidR="00554826" w:rsidRPr="00E500D4" w:rsidRDefault="00BD3518" w:rsidP="00554826">
      <w:pPr>
        <w:pStyle w:val="ShortT"/>
      </w:pPr>
      <w:r w:rsidRPr="00BD3518">
        <w:t>Therapeutic Goods</w:t>
      </w:r>
      <w:r w:rsidR="00554826" w:rsidRPr="00BD3518">
        <w:t xml:space="preserve"> (</w:t>
      </w:r>
      <w:r w:rsidR="00464BFF">
        <w:t>Information Specification—</w:t>
      </w:r>
      <w:r w:rsidRPr="00BD3518">
        <w:t>Database of Adverse Event Notifications</w:t>
      </w:r>
      <w:r w:rsidR="00554826" w:rsidRPr="00BD3518">
        <w:t>)</w:t>
      </w:r>
      <w:r w:rsidR="001A02AF">
        <w:t xml:space="preserve"> </w:t>
      </w:r>
      <w:r w:rsidR="00DD35C7">
        <w:t>Instrument </w:t>
      </w:r>
      <w:r>
        <w:t>202</w:t>
      </w:r>
      <w:r w:rsidR="00376941">
        <w:t>3</w:t>
      </w:r>
    </w:p>
    <w:p w14:paraId="773F8FED" w14:textId="07024560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577045">
        <w:rPr>
          <w:szCs w:val="22"/>
        </w:rPr>
        <w:t xml:space="preserve">Anthony </w:t>
      </w:r>
      <w:r w:rsidR="008E48A4">
        <w:rPr>
          <w:szCs w:val="22"/>
        </w:rPr>
        <w:t>Lawler</w:t>
      </w:r>
      <w:r w:rsidRPr="00DA182D">
        <w:rPr>
          <w:szCs w:val="22"/>
        </w:rPr>
        <w:t xml:space="preserve">, </w:t>
      </w:r>
      <w:r w:rsidR="00BD3518">
        <w:rPr>
          <w:color w:val="000000"/>
          <w:szCs w:val="22"/>
          <w:shd w:val="clear" w:color="auto" w:fill="FFFFFF"/>
        </w:rPr>
        <w:t>as delegate of the Minister for Health and Aged Care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DD35C7">
        <w:rPr>
          <w:szCs w:val="22"/>
        </w:rPr>
        <w:t>instrument</w:t>
      </w:r>
      <w:r w:rsidRPr="00DA182D">
        <w:rPr>
          <w:szCs w:val="22"/>
        </w:rPr>
        <w:t>.</w:t>
      </w:r>
    </w:p>
    <w:p w14:paraId="5C8163BE" w14:textId="072746AC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9D4845">
        <w:rPr>
          <w:szCs w:val="22"/>
        </w:rPr>
        <w:tab/>
      </w:r>
      <w:r w:rsidR="00455947">
        <w:rPr>
          <w:szCs w:val="22"/>
        </w:rPr>
        <w:t xml:space="preserve">25 September </w:t>
      </w:r>
      <w:r w:rsidR="00BD3518">
        <w:rPr>
          <w:szCs w:val="22"/>
        </w:rPr>
        <w:t>2023</w:t>
      </w:r>
    </w:p>
    <w:p w14:paraId="6ADC588C" w14:textId="399FE3A2" w:rsidR="00554826" w:rsidRDefault="005D0F8D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Professor Anth</w:t>
      </w:r>
      <w:r w:rsidR="008E48A4">
        <w:rPr>
          <w:szCs w:val="22"/>
        </w:rPr>
        <w:t>ony Lawler</w:t>
      </w:r>
    </w:p>
    <w:p w14:paraId="5E71EA8B" w14:textId="2C683AC5" w:rsidR="00860680" w:rsidRDefault="00860680" w:rsidP="00554826">
      <w:pPr>
        <w:pStyle w:val="SignCoverPageEnd"/>
        <w:ind w:right="91"/>
        <w:rPr>
          <w:sz w:val="22"/>
        </w:rPr>
      </w:pPr>
      <w:r w:rsidRPr="00860680">
        <w:rPr>
          <w:sz w:val="22"/>
        </w:rPr>
        <w:t>Deputy Secretary</w:t>
      </w:r>
    </w:p>
    <w:p w14:paraId="2394A782" w14:textId="387B4FE2" w:rsidR="00860680" w:rsidRDefault="00860680" w:rsidP="00554826">
      <w:pPr>
        <w:pStyle w:val="SignCoverPageEnd"/>
        <w:ind w:right="91"/>
        <w:rPr>
          <w:sz w:val="22"/>
        </w:rPr>
      </w:pPr>
      <w:r>
        <w:rPr>
          <w:sz w:val="22"/>
        </w:rPr>
        <w:t>Health Products Regulation Group</w:t>
      </w:r>
    </w:p>
    <w:p w14:paraId="223DDB9C" w14:textId="69D1757A" w:rsidR="00554826" w:rsidRPr="008E0027" w:rsidRDefault="00860680" w:rsidP="00554826">
      <w:pPr>
        <w:pStyle w:val="SignCoverPageEnd"/>
        <w:ind w:right="91"/>
        <w:rPr>
          <w:sz w:val="22"/>
        </w:rPr>
      </w:pPr>
      <w:r>
        <w:rPr>
          <w:sz w:val="22"/>
        </w:rPr>
        <w:t>Department of Health and Aged Care</w:t>
      </w:r>
    </w:p>
    <w:p w14:paraId="3A1EC71D" w14:textId="77777777" w:rsidR="00554826" w:rsidRDefault="00554826" w:rsidP="00554826"/>
    <w:p w14:paraId="49C97C66" w14:textId="77777777" w:rsidR="00554826" w:rsidRPr="00ED79B6" w:rsidRDefault="00554826" w:rsidP="00554826"/>
    <w:p w14:paraId="51B63F3A" w14:textId="77777777" w:rsidR="00F6696E" w:rsidRDefault="00F6696E" w:rsidP="00F6696E"/>
    <w:p w14:paraId="57A47CAB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C4F9BD6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356F25E" w14:textId="492DA0A2" w:rsidR="006802A3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6802A3">
        <w:rPr>
          <w:noProof/>
        </w:rPr>
        <w:t>1  Name</w:t>
      </w:r>
      <w:r w:rsidR="006802A3">
        <w:rPr>
          <w:noProof/>
        </w:rPr>
        <w:tab/>
      </w:r>
      <w:r w:rsidR="006802A3">
        <w:rPr>
          <w:noProof/>
        </w:rPr>
        <w:fldChar w:fldCharType="begin"/>
      </w:r>
      <w:r w:rsidR="006802A3">
        <w:rPr>
          <w:noProof/>
        </w:rPr>
        <w:instrText xml:space="preserve"> PAGEREF _Toc143014586 \h </w:instrText>
      </w:r>
      <w:r w:rsidR="006802A3">
        <w:rPr>
          <w:noProof/>
        </w:rPr>
      </w:r>
      <w:r w:rsidR="006802A3">
        <w:rPr>
          <w:noProof/>
        </w:rPr>
        <w:fldChar w:fldCharType="separate"/>
      </w:r>
      <w:r w:rsidR="006802A3">
        <w:rPr>
          <w:noProof/>
        </w:rPr>
        <w:t>1</w:t>
      </w:r>
      <w:r w:rsidR="006802A3">
        <w:rPr>
          <w:noProof/>
        </w:rPr>
        <w:fldChar w:fldCharType="end"/>
      </w:r>
    </w:p>
    <w:p w14:paraId="799CC800" w14:textId="7E651408" w:rsidR="006802A3" w:rsidRDefault="006802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_Toc143014587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EB1AFA0" w14:textId="063FE5F1" w:rsidR="006802A3" w:rsidRDefault="006802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_Toc143014588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1AB37E9" w14:textId="1BC23370" w:rsidR="006802A3" w:rsidRDefault="006802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_Toc143014589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08CB49F" w14:textId="6A7F621D" w:rsidR="006802A3" w:rsidRDefault="006802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Release of therapeutic goods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_Toc143014590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0F9FC79" w14:textId="3DC6438D" w:rsidR="006802A3" w:rsidRDefault="006802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_Toc143014591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1577717" w14:textId="4B20A2DC" w:rsidR="006802A3" w:rsidRDefault="006802A3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1—Therapeutic goods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_Toc143014592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3806BA0" w14:textId="5454478E" w:rsidR="006802A3" w:rsidRDefault="006802A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1—DAEN – Medical Devices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_Toc143014593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0AD8A6D" w14:textId="59CCD84D" w:rsidR="006802A3" w:rsidRDefault="006802A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2—DAEN – Medicines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_Toc143014594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CA4655E" w14:textId="5186F443" w:rsidR="006802A3" w:rsidRDefault="006802A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2—Repeals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_Toc143014595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9D1A508" w14:textId="0C99A927" w:rsidR="006802A3" w:rsidRDefault="006802A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(Database of Adverse Event Notifications) (Information) Specification 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_Toc143014596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AB51499" w14:textId="5AC4553E" w:rsidR="006802A3" w:rsidRDefault="006802A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Information (Adverse Event Notifications – Medical Devices) Specification 2013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_Toc143014597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FE4129D" w14:textId="2DAF535D" w:rsidR="006802A3" w:rsidRDefault="006802A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Information (Joint Recalls Portal) Specification 2013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_Toc143014598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3F7F403" w14:textId="1BAAF37E" w:rsidR="00F6696E" w:rsidRDefault="00B418CB" w:rsidP="00F6696E">
      <w:pPr>
        <w:outlineLvl w:val="0"/>
      </w:pPr>
      <w:r>
        <w:fldChar w:fldCharType="end"/>
      </w:r>
    </w:p>
    <w:p w14:paraId="5A58C8C4" w14:textId="77777777" w:rsidR="00F6696E" w:rsidRPr="00A802BC" w:rsidRDefault="00F6696E" w:rsidP="00F6696E">
      <w:pPr>
        <w:outlineLvl w:val="0"/>
        <w:rPr>
          <w:sz w:val="20"/>
        </w:rPr>
      </w:pPr>
    </w:p>
    <w:p w14:paraId="1B1AF174" w14:textId="77777777" w:rsidR="00F6696E" w:rsidRDefault="00F6696E" w:rsidP="00F6696E">
      <w:pPr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3ADB858" w14:textId="77777777" w:rsidR="00554826" w:rsidRPr="00554826" w:rsidRDefault="00554826" w:rsidP="00554826">
      <w:pPr>
        <w:pStyle w:val="ActHead5"/>
      </w:pPr>
      <w:bookmarkStart w:id="0" w:name="_Toc143014586"/>
      <w:r w:rsidRPr="00554826">
        <w:lastRenderedPageBreak/>
        <w:t>1  Name</w:t>
      </w:r>
      <w:bookmarkEnd w:id="0"/>
    </w:p>
    <w:p w14:paraId="6A85F390" w14:textId="3EC6D8B4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860680">
        <w:rPr>
          <w:i/>
        </w:rPr>
        <w:t>Therapeutic Goods (</w:t>
      </w:r>
      <w:r w:rsidR="00464BFF">
        <w:rPr>
          <w:i/>
        </w:rPr>
        <w:t>Information Specification</w:t>
      </w:r>
      <w:r w:rsidR="00464BFF">
        <w:t>—</w:t>
      </w:r>
      <w:r w:rsidR="00860680">
        <w:rPr>
          <w:i/>
        </w:rPr>
        <w:t>Database of Adverse Event Notifications)</w:t>
      </w:r>
      <w:r w:rsidR="001A02AF">
        <w:rPr>
          <w:i/>
        </w:rPr>
        <w:t xml:space="preserve"> </w:t>
      </w:r>
      <w:r w:rsidR="00DC028D">
        <w:rPr>
          <w:i/>
        </w:rPr>
        <w:t xml:space="preserve">Instrument </w:t>
      </w:r>
      <w:r w:rsidR="00860680">
        <w:rPr>
          <w:i/>
        </w:rPr>
        <w:t>202</w:t>
      </w:r>
      <w:r w:rsidR="00376941">
        <w:rPr>
          <w:i/>
        </w:rPr>
        <w:t>3</w:t>
      </w:r>
      <w:r w:rsidRPr="009C2562">
        <w:t>.</w:t>
      </w:r>
    </w:p>
    <w:p w14:paraId="2FDDD539" w14:textId="77777777" w:rsidR="00554826" w:rsidRPr="00554826" w:rsidRDefault="00554826" w:rsidP="00554826">
      <w:pPr>
        <w:pStyle w:val="ActHead5"/>
      </w:pPr>
      <w:bookmarkStart w:id="2" w:name="_Toc143014587"/>
      <w:r w:rsidRPr="00554826">
        <w:t>2  Commencement</w:t>
      </w:r>
      <w:bookmarkEnd w:id="2"/>
    </w:p>
    <w:p w14:paraId="114E1F55" w14:textId="77777777" w:rsidR="002668FC" w:rsidRPr="003422B4" w:rsidRDefault="002668FC" w:rsidP="002668F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D14A8F0" w14:textId="77777777" w:rsidR="002668FC" w:rsidRPr="003422B4" w:rsidRDefault="002668FC" w:rsidP="002668F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668FC" w:rsidRPr="003422B4" w14:paraId="0D503EBF" w14:textId="77777777" w:rsidTr="002B24F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CA1FC14" w14:textId="77777777" w:rsidR="002668FC" w:rsidRPr="003422B4" w:rsidRDefault="002668FC" w:rsidP="002B24F4">
            <w:pPr>
              <w:pStyle w:val="TableHeading"/>
            </w:pPr>
            <w:r w:rsidRPr="003422B4">
              <w:t>Commencement information</w:t>
            </w:r>
          </w:p>
        </w:tc>
      </w:tr>
      <w:tr w:rsidR="002668FC" w:rsidRPr="003422B4" w14:paraId="4ED5F9D0" w14:textId="77777777" w:rsidTr="002B24F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A83D0B2" w14:textId="77777777" w:rsidR="002668FC" w:rsidRPr="003422B4" w:rsidRDefault="002668FC" w:rsidP="002B24F4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DEA160F" w14:textId="77777777" w:rsidR="002668FC" w:rsidRPr="003422B4" w:rsidRDefault="002668FC" w:rsidP="002B24F4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85CE54F" w14:textId="77777777" w:rsidR="002668FC" w:rsidRPr="003422B4" w:rsidRDefault="002668FC" w:rsidP="002B24F4">
            <w:pPr>
              <w:pStyle w:val="TableHeading"/>
            </w:pPr>
            <w:r w:rsidRPr="003422B4">
              <w:t>Column 3</w:t>
            </w:r>
          </w:p>
        </w:tc>
      </w:tr>
      <w:tr w:rsidR="002668FC" w:rsidRPr="003422B4" w14:paraId="5480A0EB" w14:textId="77777777" w:rsidTr="002B24F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1DD92E8" w14:textId="77777777" w:rsidR="002668FC" w:rsidRPr="003422B4" w:rsidRDefault="002668FC" w:rsidP="002B24F4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C5988CD" w14:textId="77777777" w:rsidR="002668FC" w:rsidRPr="003422B4" w:rsidRDefault="002668FC" w:rsidP="002B24F4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1E1F500" w14:textId="77777777" w:rsidR="002668FC" w:rsidRPr="003422B4" w:rsidRDefault="002668FC" w:rsidP="002B24F4">
            <w:pPr>
              <w:pStyle w:val="TableHeading"/>
            </w:pPr>
            <w:r w:rsidRPr="003422B4">
              <w:t>Date/Details</w:t>
            </w:r>
          </w:p>
        </w:tc>
      </w:tr>
      <w:tr w:rsidR="002668FC" w:rsidRPr="00B05561" w14:paraId="1EBA256D" w14:textId="77777777" w:rsidTr="002B24F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5AA3FBF" w14:textId="77777777" w:rsidR="002668FC" w:rsidRPr="003A6229" w:rsidRDefault="002668FC" w:rsidP="002B24F4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Pr="00274759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F5C7434" w14:textId="4D1444E6" w:rsidR="002668FC" w:rsidRPr="00500FEC" w:rsidRDefault="008F3C51" w:rsidP="002B24F4">
            <w:pPr>
              <w:pStyle w:val="Tabletext"/>
              <w:rPr>
                <w:iCs/>
              </w:rPr>
            </w:pPr>
            <w:r>
              <w:rPr>
                <w:iCs/>
              </w:rPr>
              <w:t>30 September 2023</w:t>
            </w:r>
            <w:r w:rsidR="007461AC"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E2C55C" w14:textId="7B9BCDFD" w:rsidR="002668FC" w:rsidRPr="00500FEC" w:rsidRDefault="008F3C51" w:rsidP="002B24F4">
            <w:pPr>
              <w:pStyle w:val="Tabletext"/>
              <w:rPr>
                <w:iCs/>
              </w:rPr>
            </w:pPr>
            <w:r>
              <w:rPr>
                <w:iCs/>
              </w:rPr>
              <w:t>30 September 2023</w:t>
            </w:r>
          </w:p>
        </w:tc>
      </w:tr>
    </w:tbl>
    <w:p w14:paraId="663A999E" w14:textId="77777777" w:rsidR="002668FC" w:rsidRPr="003422B4" w:rsidRDefault="002668FC" w:rsidP="002668F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71242620" w14:textId="77777777" w:rsidR="002668FC" w:rsidRPr="003422B4" w:rsidRDefault="002668FC" w:rsidP="002668F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2779CB2" w14:textId="77777777" w:rsidR="00554826" w:rsidRPr="00554826" w:rsidRDefault="00554826" w:rsidP="00554826">
      <w:pPr>
        <w:pStyle w:val="ActHead5"/>
      </w:pPr>
      <w:bookmarkStart w:id="3" w:name="_Toc143014588"/>
      <w:r w:rsidRPr="00554826">
        <w:t>3  Authority</w:t>
      </w:r>
      <w:bookmarkEnd w:id="3"/>
    </w:p>
    <w:p w14:paraId="21C35439" w14:textId="62F700F6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2668FC">
        <w:t xml:space="preserve">section 61(5D) of the </w:t>
      </w:r>
      <w:r w:rsidR="002668FC">
        <w:rPr>
          <w:i/>
          <w:iCs/>
        </w:rPr>
        <w:t>Therapeutic Goods Act 1989</w:t>
      </w:r>
      <w:r w:rsidRPr="009C2562">
        <w:t>.</w:t>
      </w:r>
    </w:p>
    <w:p w14:paraId="5D82D656" w14:textId="77777777" w:rsidR="00554826" w:rsidRPr="00554826" w:rsidRDefault="00554826" w:rsidP="00554826">
      <w:pPr>
        <w:pStyle w:val="ActHead5"/>
      </w:pPr>
      <w:bookmarkStart w:id="4" w:name="_Toc143014589"/>
      <w:r w:rsidRPr="00554826">
        <w:t>4  Definitions</w:t>
      </w:r>
      <w:bookmarkEnd w:id="4"/>
    </w:p>
    <w:p w14:paraId="7F6593F4" w14:textId="28E4D758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2668FC">
        <w:t>subsection 3(1)</w:t>
      </w:r>
      <w:r>
        <w:t xml:space="preserve"> of the Act</w:t>
      </w:r>
      <w:r w:rsidRPr="009C2562">
        <w:t>, including the following:</w:t>
      </w:r>
    </w:p>
    <w:p w14:paraId="33546437" w14:textId="43073CFE" w:rsidR="002668FC" w:rsidRDefault="002668FC" w:rsidP="002668FC">
      <w:pPr>
        <w:pStyle w:val="notepara"/>
      </w:pPr>
      <w:r w:rsidRPr="009C2562">
        <w:t>(a)</w:t>
      </w:r>
      <w:r w:rsidRPr="009C2562">
        <w:tab/>
      </w:r>
      <w:r>
        <w:t>biological;</w:t>
      </w:r>
    </w:p>
    <w:p w14:paraId="07BBA868" w14:textId="4CB2842E" w:rsidR="003107EF" w:rsidRDefault="003107EF" w:rsidP="002668FC">
      <w:pPr>
        <w:pStyle w:val="notepara"/>
      </w:pPr>
      <w:r w:rsidRPr="007B0210">
        <w:t>(b)</w:t>
      </w:r>
      <w:r w:rsidRPr="007B0210">
        <w:tab/>
        <w:t>manufacturer;</w:t>
      </w:r>
    </w:p>
    <w:p w14:paraId="45ABCBFB" w14:textId="636AF273" w:rsidR="008F3C51" w:rsidRDefault="002668FC" w:rsidP="002668FC">
      <w:pPr>
        <w:pStyle w:val="notepara"/>
      </w:pPr>
      <w:r>
        <w:t>(</w:t>
      </w:r>
      <w:r w:rsidR="003107EF">
        <w:t>c</w:t>
      </w:r>
      <w:r>
        <w:t>)</w:t>
      </w:r>
      <w:r>
        <w:tab/>
      </w:r>
      <w:r w:rsidR="008F3C51" w:rsidRPr="00044A0F">
        <w:t>medical device;</w:t>
      </w:r>
    </w:p>
    <w:p w14:paraId="479558F0" w14:textId="3423EB5C" w:rsidR="002668FC" w:rsidRDefault="008F3C51" w:rsidP="002668FC">
      <w:pPr>
        <w:pStyle w:val="notepara"/>
      </w:pPr>
      <w:r>
        <w:t>(</w:t>
      </w:r>
      <w:r w:rsidR="003107EF">
        <w:t>d</w:t>
      </w:r>
      <w:r>
        <w:t>)</w:t>
      </w:r>
      <w:r>
        <w:tab/>
      </w:r>
      <w:r w:rsidR="002668FC">
        <w:t>medicine;</w:t>
      </w:r>
    </w:p>
    <w:p w14:paraId="4781C98D" w14:textId="21EC6A58" w:rsidR="002668FC" w:rsidRPr="009C2562" w:rsidRDefault="002668FC" w:rsidP="002668FC">
      <w:pPr>
        <w:pStyle w:val="notepara"/>
      </w:pPr>
      <w:r>
        <w:t>(</w:t>
      </w:r>
      <w:r w:rsidR="003107EF">
        <w:t>e</w:t>
      </w:r>
      <w:r>
        <w:t>)</w:t>
      </w:r>
      <w:r>
        <w:tab/>
        <w:t>Register</w:t>
      </w:r>
      <w:r w:rsidRPr="009C2562">
        <w:t>;</w:t>
      </w:r>
    </w:p>
    <w:p w14:paraId="591E024F" w14:textId="02D459CE" w:rsidR="002668FC" w:rsidRDefault="002668FC" w:rsidP="002668FC">
      <w:pPr>
        <w:pStyle w:val="notepara"/>
      </w:pPr>
      <w:r w:rsidRPr="009C2562">
        <w:t>(</w:t>
      </w:r>
      <w:r w:rsidR="003107EF">
        <w:t>f</w:t>
      </w:r>
      <w:r w:rsidRPr="009C2562">
        <w:t>)</w:t>
      </w:r>
      <w:r w:rsidRPr="009C2562">
        <w:tab/>
      </w:r>
      <w:r>
        <w:t>Secretary;</w:t>
      </w:r>
    </w:p>
    <w:p w14:paraId="055C9835" w14:textId="1AA5EA65" w:rsidR="003107EF" w:rsidRDefault="003107EF" w:rsidP="002668FC">
      <w:pPr>
        <w:pStyle w:val="notepara"/>
      </w:pPr>
      <w:r w:rsidRPr="007B0210">
        <w:t>(g)</w:t>
      </w:r>
      <w:r w:rsidRPr="007B0210">
        <w:tab/>
        <w:t>sponsor</w:t>
      </w:r>
      <w:r w:rsidRPr="009772D5">
        <w:t>;</w:t>
      </w:r>
    </w:p>
    <w:p w14:paraId="6F4B739A" w14:textId="60F1591F" w:rsidR="002668FC" w:rsidRPr="009C2562" w:rsidRDefault="002668FC" w:rsidP="002668FC">
      <w:pPr>
        <w:pStyle w:val="notepara"/>
      </w:pPr>
      <w:r>
        <w:t>(</w:t>
      </w:r>
      <w:r w:rsidR="003107EF">
        <w:t>h</w:t>
      </w:r>
      <w:r>
        <w:t>)</w:t>
      </w:r>
      <w:r>
        <w:tab/>
        <w:t>therapeutic goods.</w:t>
      </w:r>
    </w:p>
    <w:p w14:paraId="509DCE25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50FA4000" w14:textId="4903FEBA" w:rsidR="00554826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7422BE" w:rsidRPr="00D307B2">
        <w:rPr>
          <w:i/>
        </w:rPr>
        <w:t>Therapeutic Goods Act 1989</w:t>
      </w:r>
      <w:r>
        <w:t>.</w:t>
      </w:r>
    </w:p>
    <w:p w14:paraId="6ED13784" w14:textId="21B895CD" w:rsidR="00376941" w:rsidRDefault="008D3FF2" w:rsidP="00376941">
      <w:pPr>
        <w:pStyle w:val="Definition"/>
        <w:rPr>
          <w:szCs w:val="22"/>
        </w:rPr>
      </w:pPr>
      <w:r w:rsidRPr="006B1C52">
        <w:rPr>
          <w:b/>
          <w:i/>
          <w:szCs w:val="22"/>
        </w:rPr>
        <w:t>adverse event</w:t>
      </w:r>
      <w:r w:rsidR="00554826" w:rsidRPr="006B1C52">
        <w:rPr>
          <w:b/>
          <w:i/>
          <w:szCs w:val="22"/>
        </w:rPr>
        <w:t xml:space="preserve"> </w:t>
      </w:r>
      <w:r w:rsidR="00554826" w:rsidRPr="006B1C52">
        <w:rPr>
          <w:szCs w:val="22"/>
        </w:rPr>
        <w:t>means</w:t>
      </w:r>
      <w:r w:rsidR="008F3C51">
        <w:rPr>
          <w:szCs w:val="22"/>
        </w:rPr>
        <w:t xml:space="preserve"> </w:t>
      </w:r>
      <w:r w:rsidR="00DC028D">
        <w:rPr>
          <w:szCs w:val="22"/>
        </w:rPr>
        <w:t>the following</w:t>
      </w:r>
      <w:r w:rsidR="00376941">
        <w:rPr>
          <w:szCs w:val="22"/>
        </w:rPr>
        <w:t>:</w:t>
      </w:r>
    </w:p>
    <w:p w14:paraId="2B7622AF" w14:textId="3FDC508A" w:rsidR="00554826" w:rsidRPr="008F3C51" w:rsidRDefault="008F3C51" w:rsidP="008E78B7">
      <w:pPr>
        <w:pStyle w:val="paragraph"/>
      </w:pPr>
      <w:r>
        <w:tab/>
      </w:r>
      <w:r w:rsidR="00EF3EF3" w:rsidRPr="008F3C51">
        <w:t>(a)</w:t>
      </w:r>
      <w:r w:rsidR="00EF3EF3" w:rsidRPr="008F3C51">
        <w:tab/>
        <w:t>in relation to a medicine or biological</w:t>
      </w:r>
      <w:r w:rsidR="00EF3EF3">
        <w:t>—</w:t>
      </w:r>
      <w:r w:rsidR="008D3FF2" w:rsidRPr="008F3C51">
        <w:t>an adverse event that occurs in relation to a person</w:t>
      </w:r>
      <w:r>
        <w:t xml:space="preserve"> in Australia</w:t>
      </w:r>
      <w:r w:rsidR="008D3FF2" w:rsidRPr="008F3C51">
        <w:t xml:space="preserve"> following the administration of a medicine or a biological</w:t>
      </w:r>
      <w:r w:rsidR="006B1C52" w:rsidRPr="008F3C51">
        <w:t>;</w:t>
      </w:r>
    </w:p>
    <w:p w14:paraId="2AC631AE" w14:textId="330B47A3" w:rsidR="00ED2E61" w:rsidRPr="008F3C51" w:rsidRDefault="008F3C51" w:rsidP="00767995">
      <w:pPr>
        <w:pStyle w:val="paragraph"/>
      </w:pPr>
      <w:r>
        <w:lastRenderedPageBreak/>
        <w:tab/>
      </w:r>
      <w:r w:rsidR="00376941" w:rsidRPr="008F3C51">
        <w:t>(b)</w:t>
      </w:r>
      <w:r w:rsidR="00376941" w:rsidRPr="008F3C51">
        <w:tab/>
        <w:t>in relation to a medical device</w:t>
      </w:r>
      <w:r w:rsidR="00CA2A14">
        <w:t xml:space="preserve"> or other therapeutic good</w:t>
      </w:r>
      <w:r>
        <w:t>—</w:t>
      </w:r>
      <w:r w:rsidR="00376941" w:rsidRPr="008F3C51">
        <w:t xml:space="preserve">an </w:t>
      </w:r>
      <w:r w:rsidR="007E4421">
        <w:t xml:space="preserve">adverse </w:t>
      </w:r>
      <w:r w:rsidR="00376941" w:rsidRPr="008F3C51">
        <w:t>event that</w:t>
      </w:r>
      <w:r>
        <w:t xml:space="preserve"> occurs in relation to a person in Australia </w:t>
      </w:r>
      <w:r w:rsidR="0063582A">
        <w:t>following use of a medical device or other therapeutic good</w:t>
      </w:r>
      <w:r w:rsidR="0063582A" w:rsidRPr="008E78B7">
        <w:t xml:space="preserve"> </w:t>
      </w:r>
      <w:r w:rsidRPr="008E78B7">
        <w:t>that</w:t>
      </w:r>
      <w:r w:rsidR="00376941" w:rsidRPr="008E78B7">
        <w:t xml:space="preserve"> led</w:t>
      </w:r>
      <w:r w:rsidR="00464BFF">
        <w:t>, or might have led,</w:t>
      </w:r>
      <w:r w:rsidR="00376941" w:rsidRPr="008E78B7">
        <w:t xml:space="preserve"> to the death of, a serious injury</w:t>
      </w:r>
      <w:r w:rsidRPr="008E78B7">
        <w:t xml:space="preserve"> to,</w:t>
      </w:r>
      <w:r w:rsidR="00376941" w:rsidRPr="008E78B7">
        <w:t xml:space="preserve"> or serious deterioration</w:t>
      </w:r>
      <w:r w:rsidRPr="008E78B7">
        <w:t xml:space="preserve"> in the health of</w:t>
      </w:r>
      <w:r w:rsidR="00376941" w:rsidRPr="008E78B7">
        <w:t xml:space="preserve">, </w:t>
      </w:r>
      <w:r w:rsidRPr="008E78B7">
        <w:t>that person</w:t>
      </w:r>
      <w:r w:rsidR="002B5BC5">
        <w:t>.</w:t>
      </w:r>
    </w:p>
    <w:p w14:paraId="31776AB1" w14:textId="6625308B" w:rsidR="008F3C51" w:rsidRDefault="008F3C51" w:rsidP="008E78B7">
      <w:pPr>
        <w:pStyle w:val="notetext"/>
      </w:pPr>
      <w:r w:rsidRPr="00BD5490">
        <w:t>Note:</w:t>
      </w:r>
      <w:r w:rsidRPr="00BD5490">
        <w:tab/>
      </w:r>
      <w:r w:rsidRPr="00AB2A05">
        <w:t>An adverse event</w:t>
      </w:r>
      <w:r w:rsidR="003107EF">
        <w:t xml:space="preserve"> </w:t>
      </w:r>
      <w:r>
        <w:t>may</w:t>
      </w:r>
      <w:r w:rsidRPr="00AB2A05">
        <w:t xml:space="preserve"> not </w:t>
      </w:r>
      <w:r w:rsidRPr="00BD5490">
        <w:t>necessar</w:t>
      </w:r>
      <w:r w:rsidRPr="00AB2A05">
        <w:t>il</w:t>
      </w:r>
      <w:r w:rsidRPr="00BD5490">
        <w:t xml:space="preserve">y </w:t>
      </w:r>
      <w:r w:rsidRPr="00AB2A05">
        <w:t>have a caus</w:t>
      </w:r>
      <w:r w:rsidRPr="003C7FC1">
        <w:t>al relationship</w:t>
      </w:r>
      <w:r w:rsidRPr="00AB2A05">
        <w:t xml:space="preserve"> with the administration </w:t>
      </w:r>
      <w:r w:rsidR="00D337F4">
        <w:t>or use of the therapeutic good.</w:t>
      </w:r>
    </w:p>
    <w:p w14:paraId="3BED3CF8" w14:textId="3C2CF5E3" w:rsidR="008F3C51" w:rsidRPr="006E323B" w:rsidRDefault="008F3C51" w:rsidP="00554826">
      <w:pPr>
        <w:pStyle w:val="Definition"/>
        <w:rPr>
          <w:bCs/>
          <w:iCs/>
          <w:szCs w:val="22"/>
        </w:rPr>
      </w:pPr>
      <w:r w:rsidRPr="008F3C51">
        <w:rPr>
          <w:b/>
          <w:i/>
          <w:szCs w:val="22"/>
        </w:rPr>
        <w:t xml:space="preserve">DAEN – </w:t>
      </w:r>
      <w:r w:rsidR="009220D4">
        <w:rPr>
          <w:b/>
          <w:i/>
          <w:szCs w:val="22"/>
        </w:rPr>
        <w:t>M</w:t>
      </w:r>
      <w:r w:rsidRPr="008F3C51">
        <w:rPr>
          <w:b/>
          <w:i/>
          <w:szCs w:val="22"/>
        </w:rPr>
        <w:t xml:space="preserve">edical </w:t>
      </w:r>
      <w:r w:rsidR="009220D4">
        <w:rPr>
          <w:b/>
          <w:i/>
          <w:szCs w:val="22"/>
        </w:rPr>
        <w:t>D</w:t>
      </w:r>
      <w:r w:rsidRPr="008F3C51">
        <w:rPr>
          <w:b/>
          <w:i/>
          <w:szCs w:val="22"/>
        </w:rPr>
        <w:t>evices</w:t>
      </w:r>
      <w:r>
        <w:rPr>
          <w:bCs/>
          <w:iCs/>
          <w:szCs w:val="22"/>
        </w:rPr>
        <w:t xml:space="preserve"> </w:t>
      </w:r>
      <w:r w:rsidRPr="00ED2E61">
        <w:rPr>
          <w:szCs w:val="22"/>
        </w:rPr>
        <w:t xml:space="preserve">means </w:t>
      </w:r>
      <w:r w:rsidRPr="00ED2E61">
        <w:rPr>
          <w:bCs/>
          <w:iCs/>
          <w:szCs w:val="22"/>
        </w:rPr>
        <w:t xml:space="preserve">the Database of Adverse Event Notifications </w:t>
      </w:r>
      <w:r w:rsidR="00682A30">
        <w:rPr>
          <w:bCs/>
          <w:iCs/>
          <w:szCs w:val="22"/>
        </w:rPr>
        <w:t>for</w:t>
      </w:r>
      <w:r w:rsidR="003107EF">
        <w:rPr>
          <w:bCs/>
          <w:iCs/>
          <w:szCs w:val="22"/>
        </w:rPr>
        <w:t xml:space="preserve"> </w:t>
      </w:r>
      <w:r>
        <w:rPr>
          <w:bCs/>
          <w:iCs/>
          <w:szCs w:val="22"/>
        </w:rPr>
        <w:t xml:space="preserve">medical devices and other therapeutic goods, </w:t>
      </w:r>
      <w:r w:rsidRPr="00ED2E61">
        <w:rPr>
          <w:bCs/>
          <w:iCs/>
          <w:szCs w:val="22"/>
        </w:rPr>
        <w:t>maintained by the Therapeutic Goods Administration</w:t>
      </w:r>
      <w:r w:rsidRPr="00ED2E61">
        <w:rPr>
          <w:szCs w:val="22"/>
        </w:rPr>
        <w:t>.</w:t>
      </w:r>
    </w:p>
    <w:p w14:paraId="6E1D4F84" w14:textId="75E180F4" w:rsidR="00554826" w:rsidRPr="00ED2E61" w:rsidRDefault="008D3FF2" w:rsidP="00554826">
      <w:pPr>
        <w:pStyle w:val="Definition"/>
        <w:rPr>
          <w:szCs w:val="22"/>
        </w:rPr>
      </w:pPr>
      <w:r w:rsidRPr="008F3C51">
        <w:rPr>
          <w:b/>
          <w:i/>
          <w:szCs w:val="22"/>
        </w:rPr>
        <w:t>DAEN</w:t>
      </w:r>
      <w:r w:rsidR="008F3C51">
        <w:rPr>
          <w:b/>
          <w:i/>
          <w:szCs w:val="22"/>
        </w:rPr>
        <w:t xml:space="preserve"> </w:t>
      </w:r>
      <w:r w:rsidR="00EF3EF3" w:rsidRPr="008F3C51">
        <w:rPr>
          <w:b/>
          <w:i/>
          <w:szCs w:val="22"/>
        </w:rPr>
        <w:t>–</w:t>
      </w:r>
      <w:r w:rsidR="00EF3EF3">
        <w:rPr>
          <w:b/>
          <w:i/>
          <w:szCs w:val="22"/>
        </w:rPr>
        <w:t xml:space="preserve"> </w:t>
      </w:r>
      <w:r w:rsidR="009220D4">
        <w:rPr>
          <w:b/>
          <w:i/>
          <w:szCs w:val="22"/>
        </w:rPr>
        <w:t>M</w:t>
      </w:r>
      <w:r w:rsidR="00EF3EF3">
        <w:rPr>
          <w:b/>
          <w:i/>
          <w:szCs w:val="22"/>
        </w:rPr>
        <w:t>edicines</w:t>
      </w:r>
      <w:r w:rsidR="00EF3EF3" w:rsidRPr="006E323B">
        <w:rPr>
          <w:bCs/>
          <w:iCs/>
          <w:szCs w:val="22"/>
        </w:rPr>
        <w:t xml:space="preserve"> </w:t>
      </w:r>
      <w:r w:rsidR="00554826" w:rsidRPr="00ED2E61">
        <w:rPr>
          <w:szCs w:val="22"/>
        </w:rPr>
        <w:t xml:space="preserve">means </w:t>
      </w:r>
      <w:r w:rsidRPr="00ED2E61">
        <w:rPr>
          <w:bCs/>
          <w:iCs/>
          <w:szCs w:val="22"/>
        </w:rPr>
        <w:t xml:space="preserve">the Database of Adverse Event Notifications </w:t>
      </w:r>
      <w:r w:rsidR="003107EF">
        <w:rPr>
          <w:bCs/>
          <w:iCs/>
          <w:szCs w:val="22"/>
        </w:rPr>
        <w:t>for</w:t>
      </w:r>
      <w:r w:rsidR="008F3C51">
        <w:rPr>
          <w:bCs/>
          <w:iCs/>
          <w:szCs w:val="22"/>
        </w:rPr>
        <w:t xml:space="preserve"> medicines and biologicals</w:t>
      </w:r>
      <w:r w:rsidR="00EF3EF3">
        <w:rPr>
          <w:bCs/>
          <w:iCs/>
          <w:szCs w:val="22"/>
        </w:rPr>
        <w:t>,</w:t>
      </w:r>
      <w:r w:rsidR="008F3C51">
        <w:rPr>
          <w:bCs/>
          <w:iCs/>
          <w:szCs w:val="22"/>
        </w:rPr>
        <w:t xml:space="preserve"> </w:t>
      </w:r>
      <w:r w:rsidRPr="00ED2E61">
        <w:rPr>
          <w:bCs/>
          <w:iCs/>
          <w:szCs w:val="22"/>
        </w:rPr>
        <w:t>maintained by the Therapeutic Goods Administration</w:t>
      </w:r>
      <w:r w:rsidR="00554826" w:rsidRPr="00ED2E61">
        <w:rPr>
          <w:szCs w:val="22"/>
        </w:rPr>
        <w:t>.</w:t>
      </w:r>
    </w:p>
    <w:p w14:paraId="471DA988" w14:textId="5EB6AFB1" w:rsidR="00A7717D" w:rsidRDefault="00A7717D" w:rsidP="008D3FF2">
      <w:pPr>
        <w:pStyle w:val="Definition"/>
        <w:rPr>
          <w:bCs/>
          <w:iCs/>
          <w:szCs w:val="22"/>
        </w:rPr>
      </w:pPr>
      <w:r>
        <w:rPr>
          <w:b/>
          <w:i/>
          <w:szCs w:val="22"/>
        </w:rPr>
        <w:t>defect</w:t>
      </w:r>
      <w:r>
        <w:rPr>
          <w:bCs/>
          <w:iCs/>
          <w:szCs w:val="22"/>
        </w:rPr>
        <w:t>, in relation to a medical device or other therapeutic good, means any of the following that might</w:t>
      </w:r>
      <w:r w:rsidR="00532916">
        <w:rPr>
          <w:bCs/>
          <w:iCs/>
          <w:szCs w:val="22"/>
        </w:rPr>
        <w:t xml:space="preserve"> lead</w:t>
      </w:r>
      <w:r>
        <w:rPr>
          <w:bCs/>
          <w:iCs/>
          <w:szCs w:val="22"/>
        </w:rPr>
        <w:t xml:space="preserve">, or might </w:t>
      </w:r>
      <w:r w:rsidR="00532916">
        <w:rPr>
          <w:bCs/>
          <w:iCs/>
          <w:szCs w:val="22"/>
        </w:rPr>
        <w:t xml:space="preserve">have </w:t>
      </w:r>
      <w:r>
        <w:rPr>
          <w:bCs/>
          <w:iCs/>
          <w:szCs w:val="22"/>
        </w:rPr>
        <w:t>led, to the</w:t>
      </w:r>
      <w:r w:rsidRPr="00A7717D">
        <w:t xml:space="preserve"> </w:t>
      </w:r>
      <w:r w:rsidRPr="008E78B7">
        <w:t xml:space="preserve">death of, a serious injury to, or serious deterioration in the health of, </w:t>
      </w:r>
      <w:r>
        <w:t>a</w:t>
      </w:r>
      <w:r w:rsidRPr="008E78B7">
        <w:t xml:space="preserve"> person</w:t>
      </w:r>
      <w:r>
        <w:rPr>
          <w:bCs/>
          <w:iCs/>
          <w:szCs w:val="22"/>
        </w:rPr>
        <w:t>:</w:t>
      </w:r>
    </w:p>
    <w:p w14:paraId="18C9FFAE" w14:textId="7B6D3F09" w:rsidR="00A7717D" w:rsidRDefault="00A7717D" w:rsidP="00A7717D">
      <w:pPr>
        <w:pStyle w:val="paragraph"/>
      </w:pPr>
      <w:r>
        <w:tab/>
        <w:t>(a)</w:t>
      </w:r>
      <w:r>
        <w:tab/>
      </w:r>
      <w:r w:rsidRPr="00A7717D">
        <w:t>any malfunction or deterioration in the characteristics or performance of the</w:t>
      </w:r>
      <w:r w:rsidR="001C49F4">
        <w:t xml:space="preserve"> medical</w:t>
      </w:r>
      <w:r w:rsidRPr="00A7717D">
        <w:t xml:space="preserve"> device</w:t>
      </w:r>
      <w:r>
        <w:t xml:space="preserve"> or other therapeutic good</w:t>
      </w:r>
      <w:r w:rsidRPr="00A7717D">
        <w:t>;</w:t>
      </w:r>
    </w:p>
    <w:p w14:paraId="134E6C97" w14:textId="5482525D" w:rsidR="00A7717D" w:rsidRPr="00A7717D" w:rsidRDefault="00A7717D" w:rsidP="00A7717D">
      <w:pPr>
        <w:pStyle w:val="paragraph"/>
      </w:pPr>
      <w:r>
        <w:tab/>
        <w:t>(b)</w:t>
      </w:r>
      <w:r>
        <w:tab/>
      </w:r>
      <w:r w:rsidRPr="001C49F4">
        <w:t>any inadequacy in the design, production, labelling, instructions for use or advertising materials of the</w:t>
      </w:r>
      <w:r w:rsidR="001C49F4">
        <w:t xml:space="preserve"> medical</w:t>
      </w:r>
      <w:r w:rsidRPr="001C49F4">
        <w:t xml:space="preserve"> device</w:t>
      </w:r>
      <w:r w:rsidR="001C49F4">
        <w:t xml:space="preserve"> or other therapeutic good</w:t>
      </w:r>
      <w:r>
        <w:t>.</w:t>
      </w:r>
    </w:p>
    <w:p w14:paraId="64CDAC75" w14:textId="2A1698B0" w:rsidR="00CA2A14" w:rsidRDefault="00CA2A14" w:rsidP="008D3FF2">
      <w:pPr>
        <w:pStyle w:val="Definition"/>
        <w:rPr>
          <w:bCs/>
          <w:iCs/>
          <w:szCs w:val="22"/>
        </w:rPr>
      </w:pPr>
      <w:r>
        <w:rPr>
          <w:b/>
          <w:i/>
          <w:szCs w:val="22"/>
        </w:rPr>
        <w:t>event outcome</w:t>
      </w:r>
      <w:r w:rsidR="002D3CBE">
        <w:rPr>
          <w:bCs/>
          <w:iCs/>
          <w:szCs w:val="22"/>
        </w:rPr>
        <w:t xml:space="preserve">, </w:t>
      </w:r>
      <w:r w:rsidR="00735A16">
        <w:rPr>
          <w:bCs/>
          <w:iCs/>
          <w:szCs w:val="22"/>
        </w:rPr>
        <w:t>in relation to a medical device or other therapeutic good</w:t>
      </w:r>
      <w:r w:rsidR="002D3CBE">
        <w:rPr>
          <w:bCs/>
          <w:iCs/>
          <w:szCs w:val="22"/>
        </w:rPr>
        <w:t>,</w:t>
      </w:r>
      <w:r w:rsidR="00735A16">
        <w:rPr>
          <w:bCs/>
          <w:iCs/>
          <w:szCs w:val="22"/>
        </w:rPr>
        <w:t xml:space="preserve"> </w:t>
      </w:r>
      <w:r w:rsidR="00A7717D">
        <w:rPr>
          <w:bCs/>
          <w:iCs/>
          <w:szCs w:val="22"/>
        </w:rPr>
        <w:t>means</w:t>
      </w:r>
      <w:r>
        <w:rPr>
          <w:bCs/>
          <w:iCs/>
          <w:szCs w:val="22"/>
        </w:rPr>
        <w:t xml:space="preserve"> </w:t>
      </w:r>
      <w:r w:rsidR="000F1DED">
        <w:rPr>
          <w:bCs/>
          <w:iCs/>
          <w:szCs w:val="22"/>
        </w:rPr>
        <w:t xml:space="preserve">one of the following outcomes </w:t>
      </w:r>
      <w:r w:rsidR="008B1119">
        <w:rPr>
          <w:bCs/>
          <w:iCs/>
          <w:szCs w:val="22"/>
        </w:rPr>
        <w:t>reported to the TGA in relation to</w:t>
      </w:r>
      <w:r w:rsidR="000F1DED">
        <w:rPr>
          <w:bCs/>
          <w:iCs/>
          <w:szCs w:val="22"/>
        </w:rPr>
        <w:t xml:space="preserve"> </w:t>
      </w:r>
      <w:r w:rsidR="008B1119">
        <w:rPr>
          <w:bCs/>
          <w:iCs/>
          <w:szCs w:val="22"/>
        </w:rPr>
        <w:t xml:space="preserve">an </w:t>
      </w:r>
      <w:r w:rsidR="000F1DED">
        <w:rPr>
          <w:bCs/>
          <w:iCs/>
          <w:szCs w:val="22"/>
        </w:rPr>
        <w:t>adverse event:</w:t>
      </w:r>
    </w:p>
    <w:p w14:paraId="1FD6C05F" w14:textId="658D7DD3" w:rsidR="000F1DED" w:rsidRDefault="000F1DED" w:rsidP="006E323B">
      <w:pPr>
        <w:pStyle w:val="paragraph"/>
      </w:pPr>
      <w:r>
        <w:tab/>
        <w:t>(a)</w:t>
      </w:r>
      <w:r>
        <w:tab/>
        <w:t>death;</w:t>
      </w:r>
    </w:p>
    <w:p w14:paraId="24C7E1F3" w14:textId="48036869" w:rsidR="000F1DED" w:rsidRDefault="000F1DED" w:rsidP="006E323B">
      <w:pPr>
        <w:pStyle w:val="paragraph"/>
      </w:pPr>
      <w:r>
        <w:tab/>
        <w:t>(b)</w:t>
      </w:r>
      <w:r>
        <w:tab/>
        <w:t>injury;</w:t>
      </w:r>
    </w:p>
    <w:p w14:paraId="6282F2BA" w14:textId="5D6DF7C8" w:rsidR="000F1DED" w:rsidRDefault="000F1DED" w:rsidP="006E323B">
      <w:pPr>
        <w:pStyle w:val="paragraph"/>
      </w:pPr>
      <w:r>
        <w:tab/>
        <w:t>(c)</w:t>
      </w:r>
      <w:r>
        <w:tab/>
        <w:t>no injury;</w:t>
      </w:r>
    </w:p>
    <w:p w14:paraId="25C69C01" w14:textId="6952D121" w:rsidR="000F1DED" w:rsidRDefault="000F1DED" w:rsidP="006E323B">
      <w:pPr>
        <w:pStyle w:val="paragraph"/>
      </w:pPr>
      <w:r>
        <w:tab/>
        <w:t>(d)</w:t>
      </w:r>
      <w:r>
        <w:tab/>
        <w:t>unknown.</w:t>
      </w:r>
    </w:p>
    <w:p w14:paraId="292DC471" w14:textId="7C7C0F94" w:rsidR="00FA1230" w:rsidRDefault="00FA1230" w:rsidP="008B692A">
      <w:pPr>
        <w:pStyle w:val="Definition"/>
      </w:pPr>
      <w:r>
        <w:rPr>
          <w:b/>
          <w:i/>
          <w:szCs w:val="22"/>
        </w:rPr>
        <w:t>event type</w:t>
      </w:r>
      <w:r w:rsidR="002D3CBE">
        <w:rPr>
          <w:bCs/>
          <w:iCs/>
          <w:szCs w:val="22"/>
        </w:rPr>
        <w:t>,</w:t>
      </w:r>
      <w:r>
        <w:rPr>
          <w:bCs/>
          <w:iCs/>
          <w:szCs w:val="22"/>
        </w:rPr>
        <w:t xml:space="preserve"> </w:t>
      </w:r>
      <w:r w:rsidR="00F87942">
        <w:rPr>
          <w:bCs/>
          <w:iCs/>
          <w:szCs w:val="22"/>
        </w:rPr>
        <w:t>in relation to a medical device or other therapeutic good</w:t>
      </w:r>
      <w:r w:rsidR="00E33E4F">
        <w:rPr>
          <w:bCs/>
          <w:iCs/>
          <w:szCs w:val="22"/>
        </w:rPr>
        <w:t>,</w:t>
      </w:r>
      <w:r w:rsidR="00A7717D" w:rsidRPr="00A7717D">
        <w:rPr>
          <w:bCs/>
          <w:iCs/>
          <w:szCs w:val="22"/>
        </w:rPr>
        <w:t xml:space="preserve"> </w:t>
      </w:r>
      <w:r w:rsidR="00A7717D">
        <w:rPr>
          <w:bCs/>
          <w:iCs/>
          <w:szCs w:val="22"/>
        </w:rPr>
        <w:t>means</w:t>
      </w:r>
      <w:r w:rsidR="00F87942">
        <w:rPr>
          <w:bCs/>
          <w:iCs/>
          <w:szCs w:val="22"/>
        </w:rPr>
        <w:t xml:space="preserve"> </w:t>
      </w:r>
      <w:r>
        <w:rPr>
          <w:bCs/>
          <w:iCs/>
          <w:szCs w:val="22"/>
        </w:rPr>
        <w:t xml:space="preserve">the event type </w:t>
      </w:r>
      <w:r>
        <w:t xml:space="preserve">described in </w:t>
      </w:r>
      <w:r w:rsidR="00D337F4">
        <w:t xml:space="preserve">the </w:t>
      </w:r>
      <w:r w:rsidR="008C0E4E">
        <w:t>IMDRF</w:t>
      </w:r>
      <w:r w:rsidR="00D337F4">
        <w:t xml:space="preserve"> Terminology Document</w:t>
      </w:r>
      <w:r>
        <w:t xml:space="preserve"> </w:t>
      </w:r>
      <w:r w:rsidR="00D337F4">
        <w:t xml:space="preserve">that is </w:t>
      </w:r>
      <w:r>
        <w:t>applicable to the adverse event.</w:t>
      </w:r>
    </w:p>
    <w:p w14:paraId="7FC1D9FA" w14:textId="73883FDD" w:rsidR="00CA2A14" w:rsidRPr="006E323B" w:rsidRDefault="00395301" w:rsidP="008D3FF2">
      <w:pPr>
        <w:pStyle w:val="Definition"/>
        <w:rPr>
          <w:bCs/>
          <w:iCs/>
          <w:szCs w:val="22"/>
        </w:rPr>
      </w:pPr>
      <w:r w:rsidRPr="00395301">
        <w:rPr>
          <w:b/>
          <w:bCs/>
          <w:i/>
          <w:iCs/>
        </w:rPr>
        <w:t>IMDRF</w:t>
      </w:r>
      <w:r w:rsidR="00D337F4">
        <w:rPr>
          <w:b/>
          <w:bCs/>
          <w:i/>
          <w:iCs/>
        </w:rPr>
        <w:t xml:space="preserve"> Terminology Document</w:t>
      </w:r>
      <w:r>
        <w:t xml:space="preserve"> </w:t>
      </w:r>
      <w:r w:rsidR="00CA2A14">
        <w:rPr>
          <w:bCs/>
          <w:iCs/>
          <w:szCs w:val="22"/>
        </w:rPr>
        <w:t xml:space="preserve">means </w:t>
      </w:r>
      <w:r w:rsidR="002D3CBE">
        <w:rPr>
          <w:bCs/>
          <w:iCs/>
          <w:szCs w:val="22"/>
        </w:rPr>
        <w:t xml:space="preserve">the </w:t>
      </w:r>
      <w:r w:rsidRPr="002D3CBE">
        <w:rPr>
          <w:i/>
          <w:iCs/>
        </w:rPr>
        <w:t>Terminologies for Categorized Adverse Event Reporting (AER): terms, terminology and codes</w:t>
      </w:r>
      <w:r w:rsidR="00D337F4">
        <w:t>,</w:t>
      </w:r>
      <w:r w:rsidRPr="00395301">
        <w:t xml:space="preserve"> </w:t>
      </w:r>
      <w:r w:rsidR="00D337F4">
        <w:t>published</w:t>
      </w:r>
      <w:r>
        <w:t xml:space="preserve"> by the International Medical Device Regulators Forum</w:t>
      </w:r>
      <w:r w:rsidR="00CA21ED">
        <w:rPr>
          <w:bCs/>
          <w:iCs/>
          <w:szCs w:val="22"/>
        </w:rPr>
        <w:t>, as in force or existing from time to time</w:t>
      </w:r>
      <w:r w:rsidR="00CA2A14">
        <w:rPr>
          <w:bCs/>
          <w:iCs/>
          <w:szCs w:val="22"/>
        </w:rPr>
        <w:t>.</w:t>
      </w:r>
    </w:p>
    <w:p w14:paraId="19D70487" w14:textId="3E82A68A" w:rsidR="008D3FF2" w:rsidRDefault="008D3FF2" w:rsidP="008D3FF2">
      <w:pPr>
        <w:pStyle w:val="Definition"/>
        <w:rPr>
          <w:bCs/>
          <w:iCs/>
          <w:szCs w:val="22"/>
        </w:rPr>
      </w:pPr>
      <w:r w:rsidRPr="00ED2E61">
        <w:rPr>
          <w:b/>
          <w:i/>
          <w:szCs w:val="22"/>
        </w:rPr>
        <w:t xml:space="preserve">MedDRA </w:t>
      </w:r>
      <w:r w:rsidRPr="00ED2E61">
        <w:rPr>
          <w:bCs/>
          <w:iCs/>
          <w:szCs w:val="22"/>
        </w:rPr>
        <w:t xml:space="preserve">means the </w:t>
      </w:r>
      <w:r w:rsidRPr="00ED2E61">
        <w:rPr>
          <w:bCs/>
          <w:i/>
          <w:szCs w:val="22"/>
        </w:rPr>
        <w:t>Medical Dictionary for Regulatory Activities</w:t>
      </w:r>
      <w:r w:rsidRPr="00ED2E61">
        <w:rPr>
          <w:bCs/>
          <w:iCs/>
          <w:szCs w:val="22"/>
        </w:rPr>
        <w:t xml:space="preserve"> published by the MedDRA Maintenance and Support Services Organization</w:t>
      </w:r>
      <w:r w:rsidR="00CA21ED">
        <w:rPr>
          <w:bCs/>
          <w:iCs/>
          <w:szCs w:val="22"/>
        </w:rPr>
        <w:t>, as in force or existing from time to time</w:t>
      </w:r>
      <w:r w:rsidRPr="00ED2E61">
        <w:rPr>
          <w:bCs/>
          <w:iCs/>
          <w:szCs w:val="22"/>
        </w:rPr>
        <w:t>.</w:t>
      </w:r>
    </w:p>
    <w:p w14:paraId="353BD692" w14:textId="1CEEA60B" w:rsidR="00BA45EA" w:rsidRPr="00ED2E61" w:rsidRDefault="00BA45EA" w:rsidP="008D3FF2">
      <w:pPr>
        <w:pStyle w:val="Definition"/>
        <w:rPr>
          <w:bCs/>
          <w:iCs/>
          <w:szCs w:val="22"/>
        </w:rPr>
      </w:pPr>
      <w:r>
        <w:rPr>
          <w:b/>
          <w:bCs/>
          <w:i/>
          <w:iCs/>
        </w:rPr>
        <w:t xml:space="preserve">other therapeutic good </w:t>
      </w:r>
      <w:r>
        <w:t xml:space="preserve">means </w:t>
      </w:r>
      <w:r w:rsidR="00CF553E">
        <w:t xml:space="preserve">a </w:t>
      </w:r>
      <w:r>
        <w:t xml:space="preserve">therapeutic good that </w:t>
      </w:r>
      <w:r w:rsidR="00CF553E">
        <w:t>is</w:t>
      </w:r>
      <w:r>
        <w:t xml:space="preserve"> not </w:t>
      </w:r>
      <w:r w:rsidR="00CF553E">
        <w:t xml:space="preserve">a </w:t>
      </w:r>
      <w:r>
        <w:t>medicine, biological or medical device.</w:t>
      </w:r>
    </w:p>
    <w:p w14:paraId="6F91119F" w14:textId="3B28899A" w:rsidR="00CA2A14" w:rsidRDefault="00CA2A14" w:rsidP="008D3FF2">
      <w:pPr>
        <w:pStyle w:val="Definition"/>
        <w:rPr>
          <w:bCs/>
          <w:iCs/>
        </w:rPr>
      </w:pPr>
      <w:r w:rsidRPr="006E323B">
        <w:rPr>
          <w:b/>
          <w:i/>
        </w:rPr>
        <w:t>report source category</w:t>
      </w:r>
      <w:r w:rsidR="002D3CBE">
        <w:rPr>
          <w:bCs/>
          <w:iCs/>
        </w:rPr>
        <w:t xml:space="preserve">, </w:t>
      </w:r>
      <w:r w:rsidR="00F87942">
        <w:rPr>
          <w:bCs/>
          <w:iCs/>
          <w:szCs w:val="22"/>
        </w:rPr>
        <w:t>in relation to a medical device or other therapeutic good</w:t>
      </w:r>
      <w:r w:rsidR="00E33E4F">
        <w:rPr>
          <w:bCs/>
          <w:iCs/>
          <w:szCs w:val="22"/>
        </w:rPr>
        <w:t>,</w:t>
      </w:r>
      <w:r w:rsidRPr="006E323B">
        <w:rPr>
          <w:bCs/>
          <w:iCs/>
        </w:rPr>
        <w:t xml:space="preserve"> </w:t>
      </w:r>
      <w:r w:rsidR="00A7717D">
        <w:rPr>
          <w:bCs/>
          <w:iCs/>
        </w:rPr>
        <w:t xml:space="preserve">means </w:t>
      </w:r>
      <w:r w:rsidR="008B1119">
        <w:rPr>
          <w:bCs/>
          <w:iCs/>
        </w:rPr>
        <w:t>one of the following</w:t>
      </w:r>
      <w:r w:rsidRPr="006E323B">
        <w:rPr>
          <w:bCs/>
          <w:iCs/>
        </w:rPr>
        <w:t xml:space="preserve"> categor</w:t>
      </w:r>
      <w:r w:rsidR="008B1119">
        <w:rPr>
          <w:bCs/>
          <w:iCs/>
        </w:rPr>
        <w:t>ies</w:t>
      </w:r>
      <w:r>
        <w:rPr>
          <w:bCs/>
          <w:iCs/>
        </w:rPr>
        <w:t xml:space="preserve"> describing the person who reported the adverse event</w:t>
      </w:r>
      <w:r w:rsidR="008B1119">
        <w:rPr>
          <w:bCs/>
          <w:iCs/>
        </w:rPr>
        <w:t>:</w:t>
      </w:r>
    </w:p>
    <w:p w14:paraId="3E4F0126" w14:textId="5472A661" w:rsidR="00CA2A14" w:rsidRPr="006E323B" w:rsidRDefault="00CA2A14" w:rsidP="006E323B">
      <w:pPr>
        <w:pStyle w:val="paragraph"/>
      </w:pPr>
      <w:r>
        <w:tab/>
        <w:t>(a)</w:t>
      </w:r>
      <w:r>
        <w:tab/>
      </w:r>
      <w:r w:rsidRPr="006E323B">
        <w:t>consumer;</w:t>
      </w:r>
    </w:p>
    <w:p w14:paraId="4A39609A" w14:textId="09EF1337" w:rsidR="00CA2A14" w:rsidRPr="006E323B" w:rsidRDefault="00CA2A14" w:rsidP="006E323B">
      <w:pPr>
        <w:pStyle w:val="paragraph"/>
      </w:pPr>
      <w:r>
        <w:tab/>
        <w:t>(b)</w:t>
      </w:r>
      <w:r>
        <w:tab/>
      </w:r>
      <w:r w:rsidRPr="006E323B">
        <w:t>health professional;</w:t>
      </w:r>
    </w:p>
    <w:p w14:paraId="006B0917" w14:textId="631F128B" w:rsidR="00CA2A14" w:rsidRPr="006E323B" w:rsidRDefault="00CA2A14" w:rsidP="006E323B">
      <w:pPr>
        <w:pStyle w:val="paragraph"/>
      </w:pPr>
      <w:r>
        <w:lastRenderedPageBreak/>
        <w:tab/>
        <w:t>(c)</w:t>
      </w:r>
      <w:r>
        <w:tab/>
      </w:r>
      <w:r w:rsidRPr="006E323B">
        <w:t>industry;</w:t>
      </w:r>
    </w:p>
    <w:p w14:paraId="4DF5EE06" w14:textId="29F1B8B7" w:rsidR="00CA2A14" w:rsidRPr="006E323B" w:rsidRDefault="00CA2A14" w:rsidP="006E323B">
      <w:pPr>
        <w:pStyle w:val="paragraph"/>
      </w:pPr>
      <w:r>
        <w:tab/>
        <w:t>(d)</w:t>
      </w:r>
      <w:r>
        <w:tab/>
      </w:r>
      <w:r w:rsidRPr="006E323B">
        <w:t>government;</w:t>
      </w:r>
    </w:p>
    <w:p w14:paraId="04DFF7BC" w14:textId="678FAF15" w:rsidR="00CA2A14" w:rsidRPr="006E323B" w:rsidRDefault="00CA2A14" w:rsidP="006E323B">
      <w:pPr>
        <w:pStyle w:val="paragraph"/>
      </w:pPr>
      <w:r>
        <w:tab/>
        <w:t>(e)</w:t>
      </w:r>
      <w:r>
        <w:tab/>
      </w:r>
      <w:r w:rsidRPr="006E323B">
        <w:t>other</w:t>
      </w:r>
      <w:r>
        <w:t>.</w:t>
      </w:r>
    </w:p>
    <w:p w14:paraId="68D5722D" w14:textId="1AFE8748" w:rsidR="008D3FF2" w:rsidRPr="00007804" w:rsidRDefault="008D3FF2" w:rsidP="008D3FF2">
      <w:pPr>
        <w:pStyle w:val="Definition"/>
        <w:rPr>
          <w:bCs/>
          <w:iCs/>
        </w:rPr>
      </w:pPr>
      <w:r w:rsidRPr="00007804">
        <w:rPr>
          <w:b/>
          <w:i/>
        </w:rPr>
        <w:t>Therapeutic Goods Administration</w:t>
      </w:r>
      <w:r w:rsidRPr="00007804">
        <w:rPr>
          <w:bCs/>
          <w:iCs/>
        </w:rPr>
        <w:t>, or</w:t>
      </w:r>
      <w:r w:rsidRPr="00007804">
        <w:rPr>
          <w:b/>
          <w:i/>
        </w:rPr>
        <w:t xml:space="preserve"> TGA</w:t>
      </w:r>
      <w:r w:rsidRPr="00007804">
        <w:rPr>
          <w:bCs/>
          <w:iCs/>
        </w:rPr>
        <w:t xml:space="preserve">, means </w:t>
      </w:r>
      <w:r w:rsidR="003107EF">
        <w:rPr>
          <w:bCs/>
          <w:iCs/>
        </w:rPr>
        <w:t>th</w:t>
      </w:r>
      <w:r w:rsidR="00DF6B28">
        <w:rPr>
          <w:bCs/>
          <w:iCs/>
        </w:rPr>
        <w:t>e</w:t>
      </w:r>
      <w:r w:rsidR="003107EF" w:rsidRPr="00007804">
        <w:rPr>
          <w:bCs/>
          <w:iCs/>
        </w:rPr>
        <w:t xml:space="preserve"> </w:t>
      </w:r>
      <w:r w:rsidRPr="00007804">
        <w:rPr>
          <w:bCs/>
          <w:iCs/>
        </w:rPr>
        <w:t>part of the Department known as the Therapeutic Goods Administration.</w:t>
      </w:r>
    </w:p>
    <w:p w14:paraId="5F8A1EF5" w14:textId="77777777" w:rsidR="008D3FF2" w:rsidRPr="00D307B2" w:rsidRDefault="008D3FF2" w:rsidP="008D3FF2">
      <w:pPr>
        <w:pStyle w:val="Definition"/>
        <w:rPr>
          <w:bCs/>
          <w:iCs/>
        </w:rPr>
      </w:pPr>
      <w:r w:rsidRPr="00D307B2">
        <w:rPr>
          <w:b/>
          <w:i/>
        </w:rPr>
        <w:t xml:space="preserve">therapeutic goods information </w:t>
      </w:r>
      <w:r w:rsidRPr="00D307B2">
        <w:rPr>
          <w:bCs/>
          <w:iCs/>
        </w:rPr>
        <w:t>has the meaning given by subsection 61(1) of the Act.</w:t>
      </w:r>
    </w:p>
    <w:p w14:paraId="758060C7" w14:textId="731A13F8" w:rsidR="00554826" w:rsidRPr="00554826" w:rsidRDefault="00554826" w:rsidP="00554826">
      <w:pPr>
        <w:pStyle w:val="ActHead5"/>
      </w:pPr>
      <w:bookmarkStart w:id="5" w:name="_Toc454781205"/>
      <w:bookmarkStart w:id="6" w:name="_Toc143014590"/>
      <w:r w:rsidRPr="00554826">
        <w:t xml:space="preserve">5  </w:t>
      </w:r>
      <w:r w:rsidR="002E46B2">
        <w:t>Release of therapeutic goods information</w:t>
      </w:r>
      <w:bookmarkEnd w:id="5"/>
      <w:bookmarkEnd w:id="6"/>
    </w:p>
    <w:p w14:paraId="4F219949" w14:textId="789929B3" w:rsidR="00671A88" w:rsidRPr="00D307B2" w:rsidRDefault="00554826" w:rsidP="00671A88">
      <w:pPr>
        <w:pStyle w:val="subsection"/>
      </w:pPr>
      <w:r w:rsidRPr="006065DA">
        <w:tab/>
      </w:r>
      <w:r w:rsidRPr="006065DA">
        <w:tab/>
      </w:r>
      <w:r w:rsidR="00671A88" w:rsidRPr="00D307B2">
        <w:t xml:space="preserve">The kinds of therapeutic goods information set out in </w:t>
      </w:r>
      <w:r w:rsidR="002158D5">
        <w:t>the</w:t>
      </w:r>
      <w:r w:rsidR="008F3C51">
        <w:t xml:space="preserve"> </w:t>
      </w:r>
      <w:r w:rsidR="00671A88" w:rsidRPr="00D307B2">
        <w:t>table</w:t>
      </w:r>
      <w:r w:rsidR="002158D5">
        <w:t>s</w:t>
      </w:r>
      <w:r w:rsidR="00671A88" w:rsidRPr="00D307B2">
        <w:t xml:space="preserve"> in</w:t>
      </w:r>
      <w:r w:rsidR="008F3C51">
        <w:t xml:space="preserve"> Parts 1 and 2 </w:t>
      </w:r>
      <w:r w:rsidR="002158D5">
        <w:t>of</w:t>
      </w:r>
      <w:r w:rsidR="002158D5" w:rsidRPr="00D307B2">
        <w:t xml:space="preserve"> </w:t>
      </w:r>
      <w:r w:rsidR="00671A88" w:rsidRPr="00D307B2">
        <w:t>Schedule 1 are specified for the purpose of subsection 61(5C) of the Act.</w:t>
      </w:r>
    </w:p>
    <w:p w14:paraId="590DACCD" w14:textId="733F8486" w:rsidR="00554826" w:rsidRDefault="00671A88" w:rsidP="00671A88">
      <w:pPr>
        <w:pStyle w:val="notetext"/>
      </w:pPr>
      <w:r w:rsidRPr="009C2562">
        <w:t>Note:</w:t>
      </w:r>
      <w:r w:rsidRPr="009C2562">
        <w:tab/>
      </w:r>
      <w:r w:rsidRPr="00D307B2">
        <w:t>Kinds of therapeutic goods information specified under subsection 61(5D) of the Act may be released by the Secretary to the public under subsection 61(5C).</w:t>
      </w:r>
    </w:p>
    <w:p w14:paraId="7CAB0DB5" w14:textId="14B3C459" w:rsidR="00554826" w:rsidRPr="00671A88" w:rsidRDefault="00554826" w:rsidP="00554826">
      <w:pPr>
        <w:pStyle w:val="ActHead5"/>
      </w:pPr>
      <w:bookmarkStart w:id="7" w:name="_Toc143014591"/>
      <w:r w:rsidRPr="00671A88">
        <w:t xml:space="preserve">6  </w:t>
      </w:r>
      <w:r w:rsidR="00671A88" w:rsidRPr="00671A88">
        <w:t>Repeals</w:t>
      </w:r>
      <w:bookmarkEnd w:id="7"/>
    </w:p>
    <w:p w14:paraId="39C9E354" w14:textId="3A2D3442" w:rsidR="00554826" w:rsidRPr="00B25306" w:rsidRDefault="00671A88" w:rsidP="00671A88">
      <w:pPr>
        <w:pStyle w:val="subsection"/>
      </w:pPr>
      <w:r>
        <w:tab/>
      </w:r>
      <w:r>
        <w:tab/>
      </w:r>
      <w:r w:rsidRPr="006065DA">
        <w:t xml:space="preserve">Each instrument that is specified in </w:t>
      </w:r>
      <w:r>
        <w:t>Schedule 2</w:t>
      </w:r>
      <w:r w:rsidRPr="006065DA">
        <w:t xml:space="preserve"> is repealed as set out in the applicable items in </w:t>
      </w:r>
      <w:r>
        <w:t>that</w:t>
      </w:r>
      <w:r w:rsidRPr="006065DA">
        <w:t xml:space="preserve"> Schedule.</w:t>
      </w:r>
    </w:p>
    <w:p w14:paraId="1122D107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7FB9C644" w14:textId="3BB7630E" w:rsidR="00D6537E" w:rsidRPr="007E4421" w:rsidRDefault="004E1307" w:rsidP="007E4421">
      <w:pPr>
        <w:pStyle w:val="ActHead1"/>
        <w:pageBreakBefore/>
        <w:rPr>
          <w:rStyle w:val="CharChapNo"/>
        </w:rPr>
      </w:pPr>
      <w:bookmarkStart w:id="8" w:name="_Toc143014592"/>
      <w:r w:rsidRPr="007E4421">
        <w:rPr>
          <w:rStyle w:val="CharChapNo"/>
        </w:rPr>
        <w:lastRenderedPageBreak/>
        <w:t xml:space="preserve">Schedule </w:t>
      </w:r>
      <w:r w:rsidR="00D6537E" w:rsidRPr="007E4421">
        <w:rPr>
          <w:rStyle w:val="CharChapNo"/>
        </w:rPr>
        <w:t>1—</w:t>
      </w:r>
      <w:r w:rsidR="005036C5" w:rsidRPr="007E4421">
        <w:rPr>
          <w:rStyle w:val="CharChapNo"/>
        </w:rPr>
        <w:t>Therapeutic goods information</w:t>
      </w:r>
      <w:bookmarkEnd w:id="8"/>
    </w:p>
    <w:p w14:paraId="0BA7D83B" w14:textId="77777777" w:rsidR="004B7AD1" w:rsidRDefault="004B7AD1" w:rsidP="004B7AD1">
      <w:pPr>
        <w:pStyle w:val="notemargin"/>
      </w:pPr>
      <w:r w:rsidRPr="00FC4418">
        <w:t>Note:</w:t>
      </w:r>
      <w:r w:rsidRPr="00FC4418">
        <w:tab/>
        <w:t>See section </w:t>
      </w:r>
      <w:r>
        <w:t>5</w:t>
      </w:r>
      <w:r w:rsidRPr="00FC4418">
        <w:t>.</w:t>
      </w:r>
    </w:p>
    <w:p w14:paraId="010129F6" w14:textId="16F8AAE2" w:rsidR="003107EF" w:rsidRDefault="003107EF" w:rsidP="003107EF">
      <w:pPr>
        <w:pStyle w:val="ActHead2"/>
        <w:rPr>
          <w:rStyle w:val="CharPartNo"/>
        </w:rPr>
      </w:pPr>
      <w:bookmarkStart w:id="9" w:name="_Toc143014593"/>
      <w:bookmarkStart w:id="10" w:name="_Toc58247160"/>
      <w:bookmarkStart w:id="11" w:name="_Toc130904727"/>
      <w:bookmarkStart w:id="12" w:name="_Toc11226466"/>
      <w:bookmarkStart w:id="13" w:name="_Toc11226512"/>
      <w:bookmarkStart w:id="14" w:name="_Toc11244280"/>
      <w:r w:rsidRPr="009702BC">
        <w:rPr>
          <w:rStyle w:val="CharPartNo"/>
        </w:rPr>
        <w:t xml:space="preserve">Part </w:t>
      </w:r>
      <w:r>
        <w:rPr>
          <w:rStyle w:val="CharPartNo"/>
        </w:rPr>
        <w:t>1</w:t>
      </w:r>
      <w:r w:rsidRPr="009702BC">
        <w:rPr>
          <w:rStyle w:val="CharPartNo"/>
        </w:rPr>
        <w:t>—</w:t>
      </w:r>
      <w:r>
        <w:rPr>
          <w:rStyle w:val="CharPartNo"/>
        </w:rPr>
        <w:t xml:space="preserve">DAEN – </w:t>
      </w:r>
      <w:r w:rsidR="009220D4">
        <w:rPr>
          <w:rStyle w:val="CharPartNo"/>
        </w:rPr>
        <w:t>M</w:t>
      </w:r>
      <w:r>
        <w:rPr>
          <w:rStyle w:val="CharPartNo"/>
        </w:rPr>
        <w:t xml:space="preserve">edical </w:t>
      </w:r>
      <w:r w:rsidR="009220D4">
        <w:rPr>
          <w:rStyle w:val="CharPartNo"/>
        </w:rPr>
        <w:t>D</w:t>
      </w:r>
      <w:r>
        <w:rPr>
          <w:rStyle w:val="CharPartNo"/>
        </w:rPr>
        <w:t>evices</w:t>
      </w:r>
      <w:bookmarkEnd w:id="9"/>
    </w:p>
    <w:p w14:paraId="264F6597" w14:textId="77777777" w:rsidR="003107EF" w:rsidRPr="006E323B" w:rsidRDefault="003107EF" w:rsidP="006E323B"/>
    <w:tbl>
      <w:tblPr>
        <w:tblW w:w="4945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7143"/>
      </w:tblGrid>
      <w:tr w:rsidR="003107EF" w:rsidRPr="00C47ACA" w14:paraId="021AECA4" w14:textId="77777777" w:rsidTr="006E323B">
        <w:trPr>
          <w:tblHeader/>
        </w:trPr>
        <w:tc>
          <w:tcPr>
            <w:tcW w:w="656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1675652E" w14:textId="77777777" w:rsidR="003107EF" w:rsidRDefault="003107EF" w:rsidP="00DF2CBB">
            <w:pPr>
              <w:pStyle w:val="TableHeading"/>
            </w:pPr>
            <w:r>
              <w:t>Column 1</w:t>
            </w:r>
          </w:p>
        </w:tc>
        <w:tc>
          <w:tcPr>
            <w:tcW w:w="4344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30B74691" w14:textId="77777777" w:rsidR="003107EF" w:rsidRPr="00C47ACA" w:rsidRDefault="003107EF" w:rsidP="00DF2CBB">
            <w:pPr>
              <w:pStyle w:val="TableHeading"/>
            </w:pPr>
            <w:r w:rsidRPr="00C47ACA">
              <w:t xml:space="preserve">Column </w:t>
            </w:r>
            <w:r>
              <w:t>2</w:t>
            </w:r>
          </w:p>
        </w:tc>
      </w:tr>
      <w:tr w:rsidR="003107EF" w:rsidRPr="00C47ACA" w14:paraId="7A6C03F8" w14:textId="77777777" w:rsidTr="006E323B">
        <w:trPr>
          <w:tblHeader/>
        </w:trPr>
        <w:tc>
          <w:tcPr>
            <w:tcW w:w="656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DF4F963" w14:textId="77777777" w:rsidR="003107EF" w:rsidRPr="00C47ACA" w:rsidRDefault="003107EF" w:rsidP="00DF2CBB">
            <w:pPr>
              <w:pStyle w:val="TableHeading"/>
            </w:pPr>
            <w:r w:rsidRPr="00C47ACA">
              <w:t>Item</w:t>
            </w:r>
            <w:r>
              <w:t xml:space="preserve"> </w:t>
            </w:r>
          </w:p>
        </w:tc>
        <w:tc>
          <w:tcPr>
            <w:tcW w:w="4344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A103272" w14:textId="225164E3" w:rsidR="003107EF" w:rsidRPr="00C47ACA" w:rsidRDefault="003107EF" w:rsidP="00DF2CBB">
            <w:pPr>
              <w:pStyle w:val="TableHeading"/>
              <w:tabs>
                <w:tab w:val="right" w:pos="2329"/>
              </w:tabs>
            </w:pPr>
            <w:r>
              <w:t>Kinds of therapeutic goods information</w:t>
            </w:r>
          </w:p>
        </w:tc>
      </w:tr>
      <w:tr w:rsidR="003107EF" w:rsidRPr="00636A96" w14:paraId="5B99B78D" w14:textId="77777777" w:rsidTr="006E323B">
        <w:tc>
          <w:tcPr>
            <w:tcW w:w="6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E14904" w14:textId="77777777" w:rsidR="003107EF" w:rsidRPr="00DA220E" w:rsidRDefault="003107EF" w:rsidP="00DF2CBB">
            <w:pPr>
              <w:pStyle w:val="Tabletext"/>
            </w:pPr>
            <w:r>
              <w:t>1</w:t>
            </w:r>
          </w:p>
        </w:tc>
        <w:tc>
          <w:tcPr>
            <w:tcW w:w="4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BAE51D" w14:textId="59E98B72" w:rsidR="003107EF" w:rsidRPr="00FD0F1B" w:rsidRDefault="003107EF" w:rsidP="00DF2CBB">
            <w:pPr>
              <w:pStyle w:val="Tabletext"/>
              <w:spacing w:after="60"/>
            </w:pPr>
            <w:r w:rsidRPr="00FD0F1B">
              <w:t xml:space="preserve">information </w:t>
            </w:r>
            <w:r w:rsidR="00DF6B28">
              <w:t>about</w:t>
            </w:r>
            <w:r w:rsidRPr="00FD0F1B">
              <w:t xml:space="preserve"> an adverse event</w:t>
            </w:r>
            <w:r w:rsidR="00A7717D">
              <w:t xml:space="preserve"> or defect</w:t>
            </w:r>
            <w:r w:rsidRPr="00FD0F1B">
              <w:t xml:space="preserve"> </w:t>
            </w:r>
            <w:r w:rsidR="00D83AE6">
              <w:t xml:space="preserve">in relation to </w:t>
            </w:r>
            <w:r w:rsidRPr="00DF6B28">
              <w:t xml:space="preserve">a medical device or other therapeutic </w:t>
            </w:r>
            <w:r w:rsidRPr="006E323B">
              <w:t>good</w:t>
            </w:r>
            <w:r w:rsidR="00DF6B28">
              <w:t>,</w:t>
            </w:r>
            <w:r>
              <w:t xml:space="preserve"> </w:t>
            </w:r>
            <w:r w:rsidRPr="003107EF">
              <w:t>that</w:t>
            </w:r>
            <w:r w:rsidRPr="00FD0F1B">
              <w:t xml:space="preserve"> has been reported to the TGA</w:t>
            </w:r>
            <w:r w:rsidR="00DF6B28">
              <w:t xml:space="preserve"> and is recorded in the DAEN – </w:t>
            </w:r>
            <w:r w:rsidR="009220D4">
              <w:t>M</w:t>
            </w:r>
            <w:r w:rsidR="00DF6B28">
              <w:t xml:space="preserve">edical </w:t>
            </w:r>
            <w:r w:rsidR="009220D4">
              <w:t>D</w:t>
            </w:r>
            <w:r w:rsidR="00DF6B28">
              <w:t>evices</w:t>
            </w:r>
            <w:r w:rsidRPr="00FD0F1B">
              <w:t xml:space="preserve"> (</w:t>
            </w:r>
            <w:r w:rsidRPr="006E323B">
              <w:rPr>
                <w:b/>
                <w:bCs/>
                <w:i/>
                <w:iCs/>
              </w:rPr>
              <w:t>medical device</w:t>
            </w:r>
            <w:r>
              <w:t xml:space="preserve"> </w:t>
            </w:r>
            <w:r w:rsidRPr="00CE2657">
              <w:rPr>
                <w:b/>
                <w:bCs/>
                <w:i/>
                <w:iCs/>
              </w:rPr>
              <w:t>adverse event</w:t>
            </w:r>
            <w:r>
              <w:t xml:space="preserve"> </w:t>
            </w:r>
            <w:r w:rsidRPr="00FD0F1B">
              <w:rPr>
                <w:b/>
                <w:bCs/>
                <w:i/>
                <w:iCs/>
              </w:rPr>
              <w:t>report</w:t>
            </w:r>
            <w:r w:rsidRPr="00FD0F1B">
              <w:t xml:space="preserve">), </w:t>
            </w:r>
            <w:r>
              <w:t>as follows</w:t>
            </w:r>
            <w:r w:rsidRPr="00FD0F1B">
              <w:t>:</w:t>
            </w:r>
          </w:p>
          <w:p w14:paraId="61F44806" w14:textId="082EF7DC" w:rsidR="003107EF" w:rsidRDefault="003107EF" w:rsidP="008B1119">
            <w:pPr>
              <w:pStyle w:val="Tabletext"/>
              <w:spacing w:after="60"/>
              <w:ind w:left="516" w:hanging="435"/>
            </w:pPr>
            <w:r>
              <w:t>(a)</w:t>
            </w:r>
            <w:r>
              <w:tab/>
              <w:t>details</w:t>
            </w:r>
            <w:r w:rsidRPr="00FD0F1B">
              <w:t xml:space="preserve"> of the</w:t>
            </w:r>
            <w:r>
              <w:t xml:space="preserve"> medical device or other therapeutic good</w:t>
            </w:r>
            <w:r w:rsidRPr="00FD0F1B">
              <w:t>;</w:t>
            </w:r>
          </w:p>
          <w:p w14:paraId="3008C787" w14:textId="1D373AB0" w:rsidR="00D620AE" w:rsidRDefault="00D620AE" w:rsidP="008B1119">
            <w:pPr>
              <w:pStyle w:val="Tabletext"/>
              <w:spacing w:after="60"/>
              <w:ind w:left="516" w:hanging="435"/>
            </w:pPr>
            <w:r>
              <w:t>(b)</w:t>
            </w:r>
            <w:r>
              <w:tab/>
              <w:t>details of the manufacturer of the medical device or other therapeutic good;</w:t>
            </w:r>
          </w:p>
          <w:p w14:paraId="0E7C4068" w14:textId="5AEB2C3B" w:rsidR="0088086B" w:rsidRDefault="0088086B" w:rsidP="008B1119">
            <w:pPr>
              <w:pStyle w:val="Tabletext"/>
              <w:spacing w:after="60"/>
              <w:ind w:left="516" w:hanging="435"/>
            </w:pPr>
            <w:r>
              <w:t>(</w:t>
            </w:r>
            <w:r w:rsidR="00D620AE">
              <w:t>c</w:t>
            </w:r>
            <w:r>
              <w:t>)</w:t>
            </w:r>
            <w:r>
              <w:tab/>
              <w:t>details of the sponsor of the medical device or other therapeutic good</w:t>
            </w:r>
            <w:r w:rsidRPr="00FD0F1B">
              <w:t>;</w:t>
            </w:r>
          </w:p>
          <w:p w14:paraId="737BFABF" w14:textId="2BEDB2CC" w:rsidR="003107EF" w:rsidRPr="00FD0F1B" w:rsidRDefault="003107EF" w:rsidP="008B1119">
            <w:pPr>
              <w:pStyle w:val="Tabletext"/>
              <w:spacing w:after="60"/>
              <w:ind w:left="516" w:hanging="435"/>
            </w:pPr>
            <w:r>
              <w:t>(</w:t>
            </w:r>
            <w:r w:rsidR="0088086B">
              <w:t>d</w:t>
            </w:r>
            <w:r>
              <w:t>)</w:t>
            </w:r>
            <w:r>
              <w:tab/>
              <w:t xml:space="preserve">details of </w:t>
            </w:r>
            <w:r w:rsidRPr="00FD0F1B">
              <w:t xml:space="preserve">any other </w:t>
            </w:r>
            <w:r w:rsidR="00CA21ED">
              <w:t>therapeutic good</w:t>
            </w:r>
            <w:r w:rsidR="00CA2A14">
              <w:t xml:space="preserve"> </w:t>
            </w:r>
            <w:r w:rsidRPr="009772D5">
              <w:t>reported</w:t>
            </w:r>
            <w:r>
              <w:t xml:space="preserve"> to have been involved in the adverse event</w:t>
            </w:r>
            <w:r w:rsidRPr="00FD0F1B">
              <w:t>;</w:t>
            </w:r>
          </w:p>
          <w:p w14:paraId="1085D8A9" w14:textId="54E4E8DA" w:rsidR="00CA2A14" w:rsidRPr="00FD0F1B" w:rsidRDefault="00CA2A14" w:rsidP="008B1119">
            <w:pPr>
              <w:pStyle w:val="Tabletext"/>
              <w:spacing w:after="60"/>
              <w:ind w:left="516" w:hanging="435"/>
            </w:pPr>
            <w:r>
              <w:t>(</w:t>
            </w:r>
            <w:r w:rsidR="0088086B">
              <w:t>e</w:t>
            </w:r>
            <w:r>
              <w:t>)</w:t>
            </w:r>
            <w:r>
              <w:tab/>
              <w:t>the description of the adverse event;</w:t>
            </w:r>
          </w:p>
          <w:p w14:paraId="2475E705" w14:textId="7C569396" w:rsidR="00CA2A14" w:rsidRDefault="00CA2A14" w:rsidP="008B1119">
            <w:pPr>
              <w:pStyle w:val="Tabletext"/>
              <w:spacing w:after="60"/>
              <w:ind w:left="516" w:hanging="435"/>
            </w:pPr>
            <w:r>
              <w:t>(</w:t>
            </w:r>
            <w:r w:rsidR="0088086B">
              <w:t>f</w:t>
            </w:r>
            <w:r>
              <w:t>)</w:t>
            </w:r>
            <w:r>
              <w:tab/>
              <w:t>the event outcome;</w:t>
            </w:r>
          </w:p>
          <w:p w14:paraId="01C38565" w14:textId="663D2104" w:rsidR="00CA2A14" w:rsidRDefault="00CA2A14" w:rsidP="008B1119">
            <w:pPr>
              <w:pStyle w:val="Tabletext"/>
              <w:spacing w:after="60"/>
              <w:ind w:left="516" w:hanging="435"/>
            </w:pPr>
            <w:r>
              <w:t>(</w:t>
            </w:r>
            <w:r w:rsidR="0088086B">
              <w:t>g</w:t>
            </w:r>
            <w:r>
              <w:t>)</w:t>
            </w:r>
            <w:r>
              <w:tab/>
              <w:t>the event type;</w:t>
            </w:r>
          </w:p>
          <w:p w14:paraId="629CE9BC" w14:textId="16B2A9E3" w:rsidR="00CA2A14" w:rsidRDefault="00CA2A14" w:rsidP="008B1119">
            <w:pPr>
              <w:pStyle w:val="Tabletext"/>
              <w:spacing w:after="60"/>
              <w:ind w:left="516" w:hanging="435"/>
            </w:pPr>
            <w:r>
              <w:t>(</w:t>
            </w:r>
            <w:r w:rsidR="0088086B">
              <w:t>h</w:t>
            </w:r>
            <w:r>
              <w:t>)</w:t>
            </w:r>
            <w:r>
              <w:tab/>
              <w:t>the report source category;</w:t>
            </w:r>
          </w:p>
          <w:p w14:paraId="2BDDFB01" w14:textId="0DD1F687" w:rsidR="0088086B" w:rsidRDefault="0088086B" w:rsidP="008B1119">
            <w:pPr>
              <w:pStyle w:val="Tabletext"/>
              <w:spacing w:after="60"/>
              <w:ind w:left="516" w:hanging="435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tab/>
            </w:r>
            <w:r w:rsidRPr="00FD0F1B">
              <w:t>the date</w:t>
            </w:r>
            <w:r>
              <w:t xml:space="preserve"> that the medical device adverse event report was </w:t>
            </w:r>
            <w:r w:rsidR="00CA21ED">
              <w:t xml:space="preserve">received </w:t>
            </w:r>
            <w:r>
              <w:t>by the TGA;</w:t>
            </w:r>
          </w:p>
          <w:p w14:paraId="5FFF2E22" w14:textId="2D03098A" w:rsidR="003107EF" w:rsidRPr="00DA2B7A" w:rsidRDefault="003107EF" w:rsidP="008B1119">
            <w:pPr>
              <w:pStyle w:val="Tabletext"/>
              <w:spacing w:after="60"/>
              <w:ind w:left="516" w:hanging="435"/>
            </w:pPr>
            <w:r>
              <w:t>(</w:t>
            </w:r>
            <w:r w:rsidR="00CA2A14">
              <w:t>j</w:t>
            </w:r>
            <w:r>
              <w:t>)</w:t>
            </w:r>
            <w:r>
              <w:tab/>
            </w:r>
            <w:r w:rsidRPr="00FD0F1B">
              <w:t xml:space="preserve">the </w:t>
            </w:r>
            <w:r>
              <w:t xml:space="preserve">unique </w:t>
            </w:r>
            <w:r w:rsidRPr="00FD0F1B">
              <w:t xml:space="preserve">number allocated to the </w:t>
            </w:r>
            <w:r w:rsidR="00CA2A14">
              <w:t xml:space="preserve">medical device </w:t>
            </w:r>
            <w:r>
              <w:t xml:space="preserve">adverse event </w:t>
            </w:r>
            <w:r w:rsidRPr="00FD0F1B">
              <w:t xml:space="preserve">report </w:t>
            </w:r>
            <w:r>
              <w:t>by the TGA</w:t>
            </w:r>
          </w:p>
        </w:tc>
      </w:tr>
    </w:tbl>
    <w:p w14:paraId="17315C63" w14:textId="79D6E1C5" w:rsidR="008F3C51" w:rsidRDefault="008F3C51" w:rsidP="008F3C51">
      <w:pPr>
        <w:pStyle w:val="ActHead2"/>
        <w:rPr>
          <w:rStyle w:val="CharPartNo"/>
        </w:rPr>
      </w:pPr>
      <w:bookmarkStart w:id="15" w:name="_Toc143014594"/>
      <w:r w:rsidRPr="009702BC">
        <w:rPr>
          <w:rStyle w:val="CharPartNo"/>
        </w:rPr>
        <w:t xml:space="preserve">Part </w:t>
      </w:r>
      <w:r w:rsidR="003107EF">
        <w:rPr>
          <w:rStyle w:val="CharPartNo"/>
        </w:rPr>
        <w:t>2</w:t>
      </w:r>
      <w:r w:rsidRPr="009702BC">
        <w:rPr>
          <w:rStyle w:val="CharPartNo"/>
        </w:rPr>
        <w:t>—</w:t>
      </w:r>
      <w:bookmarkEnd w:id="10"/>
      <w:bookmarkEnd w:id="11"/>
      <w:r w:rsidR="00F16EC9">
        <w:rPr>
          <w:rStyle w:val="CharPartNo"/>
        </w:rPr>
        <w:t xml:space="preserve">DAEN – </w:t>
      </w:r>
      <w:r w:rsidR="009220D4">
        <w:rPr>
          <w:rStyle w:val="CharPartNo"/>
        </w:rPr>
        <w:t>M</w:t>
      </w:r>
      <w:r>
        <w:rPr>
          <w:rStyle w:val="CharPartNo"/>
        </w:rPr>
        <w:t>edicines</w:t>
      </w:r>
      <w:bookmarkEnd w:id="15"/>
    </w:p>
    <w:bookmarkEnd w:id="12"/>
    <w:bookmarkEnd w:id="13"/>
    <w:bookmarkEnd w:id="14"/>
    <w:p w14:paraId="1C0605A6" w14:textId="77777777" w:rsidR="00183662" w:rsidRDefault="00183662" w:rsidP="004B7AD1"/>
    <w:tbl>
      <w:tblPr>
        <w:tblW w:w="4945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7143"/>
      </w:tblGrid>
      <w:tr w:rsidR="004B7AD1" w:rsidRPr="00C47ACA" w14:paraId="537EB549" w14:textId="77777777" w:rsidTr="006E323B">
        <w:trPr>
          <w:tblHeader/>
        </w:trPr>
        <w:tc>
          <w:tcPr>
            <w:tcW w:w="656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1E1DC5C4" w14:textId="77777777" w:rsidR="004B7AD1" w:rsidRDefault="004B7AD1" w:rsidP="002B24F4">
            <w:pPr>
              <w:pStyle w:val="TableHeading"/>
            </w:pPr>
            <w:bookmarkStart w:id="16" w:name="_Hlk137554479"/>
            <w:r>
              <w:t>Column 1</w:t>
            </w:r>
          </w:p>
        </w:tc>
        <w:tc>
          <w:tcPr>
            <w:tcW w:w="4344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7738A77F" w14:textId="77777777" w:rsidR="004B7AD1" w:rsidRPr="00C47ACA" w:rsidRDefault="004B7AD1" w:rsidP="002B24F4">
            <w:pPr>
              <w:pStyle w:val="TableHeading"/>
            </w:pPr>
            <w:r w:rsidRPr="00C47ACA">
              <w:t xml:space="preserve">Column </w:t>
            </w:r>
            <w:r>
              <w:t>2</w:t>
            </w:r>
          </w:p>
        </w:tc>
      </w:tr>
      <w:tr w:rsidR="004B7AD1" w:rsidRPr="00C47ACA" w14:paraId="1C7E4377" w14:textId="77777777" w:rsidTr="002B24F4">
        <w:trPr>
          <w:tblHeader/>
        </w:trPr>
        <w:tc>
          <w:tcPr>
            <w:tcW w:w="656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3EFD9EFD" w14:textId="77777777" w:rsidR="004B7AD1" w:rsidRPr="00C47ACA" w:rsidRDefault="004B7AD1" w:rsidP="002B24F4">
            <w:pPr>
              <w:pStyle w:val="TableHeading"/>
            </w:pPr>
            <w:r w:rsidRPr="00C47ACA">
              <w:t>Item</w:t>
            </w:r>
            <w:r>
              <w:t xml:space="preserve"> </w:t>
            </w:r>
          </w:p>
        </w:tc>
        <w:tc>
          <w:tcPr>
            <w:tcW w:w="4344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2C93836" w14:textId="4DB6D67E" w:rsidR="004B7AD1" w:rsidRPr="00C47ACA" w:rsidRDefault="004B7AD1" w:rsidP="002B24F4">
            <w:pPr>
              <w:pStyle w:val="TableHeading"/>
              <w:tabs>
                <w:tab w:val="right" w:pos="2329"/>
              </w:tabs>
            </w:pPr>
            <w:r>
              <w:t>Kinds of therapeutic goods information</w:t>
            </w:r>
          </w:p>
        </w:tc>
      </w:tr>
      <w:tr w:rsidR="004B7AD1" w:rsidRPr="00636A96" w14:paraId="4F60427A" w14:textId="77777777" w:rsidTr="00C161FD">
        <w:tc>
          <w:tcPr>
            <w:tcW w:w="65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2EEE986" w14:textId="77777777" w:rsidR="004B7AD1" w:rsidRPr="00DA220E" w:rsidRDefault="004B7AD1" w:rsidP="002B24F4">
            <w:pPr>
              <w:pStyle w:val="Tabletext"/>
            </w:pPr>
            <w:r>
              <w:t>1</w:t>
            </w:r>
          </w:p>
        </w:tc>
        <w:tc>
          <w:tcPr>
            <w:tcW w:w="434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281837D" w14:textId="2A313209" w:rsidR="004B7AD1" w:rsidRPr="00FD0F1B" w:rsidRDefault="004B7AD1" w:rsidP="002B24F4">
            <w:pPr>
              <w:pStyle w:val="Tabletext"/>
              <w:spacing w:after="60"/>
            </w:pPr>
            <w:r w:rsidRPr="00FD0F1B">
              <w:t xml:space="preserve">information </w:t>
            </w:r>
            <w:r w:rsidR="00464BFF">
              <w:t>about</w:t>
            </w:r>
            <w:r w:rsidRPr="00FD0F1B">
              <w:t xml:space="preserve"> an adverse event </w:t>
            </w:r>
            <w:r w:rsidR="00D83AE6">
              <w:t xml:space="preserve">in relation to a medicine or biological </w:t>
            </w:r>
            <w:r w:rsidRPr="00FD0F1B">
              <w:t xml:space="preserve">that has been reported to the TGA </w:t>
            </w:r>
            <w:r w:rsidR="008364B6">
              <w:t xml:space="preserve">and is recorded in the DAEN – </w:t>
            </w:r>
            <w:r w:rsidR="009220D4">
              <w:t>M</w:t>
            </w:r>
            <w:r w:rsidR="008364B6">
              <w:t xml:space="preserve">edicines </w:t>
            </w:r>
            <w:r w:rsidRPr="00FD0F1B">
              <w:t>(</w:t>
            </w:r>
            <w:r w:rsidR="00464BFF" w:rsidRPr="006E323B">
              <w:rPr>
                <w:b/>
                <w:bCs/>
                <w:i/>
                <w:iCs/>
              </w:rPr>
              <w:t xml:space="preserve">medicine </w:t>
            </w:r>
            <w:r w:rsidRPr="00CE2657">
              <w:rPr>
                <w:b/>
                <w:bCs/>
                <w:i/>
                <w:iCs/>
              </w:rPr>
              <w:t>adverse event</w:t>
            </w:r>
            <w:r>
              <w:t xml:space="preserve"> </w:t>
            </w:r>
            <w:r w:rsidRPr="00FD0F1B">
              <w:rPr>
                <w:b/>
                <w:bCs/>
                <w:i/>
                <w:iCs/>
              </w:rPr>
              <w:t>report</w:t>
            </w:r>
            <w:r w:rsidRPr="00FD0F1B">
              <w:t xml:space="preserve">), </w:t>
            </w:r>
            <w:r>
              <w:t>as follows</w:t>
            </w:r>
            <w:r w:rsidRPr="00FD0F1B">
              <w:t>:</w:t>
            </w:r>
          </w:p>
          <w:p w14:paraId="0D9E02AB" w14:textId="77777777" w:rsidR="004B7AD1" w:rsidRPr="00FD0F1B" w:rsidRDefault="004B7AD1" w:rsidP="008B1119">
            <w:pPr>
              <w:pStyle w:val="Tabletext"/>
              <w:spacing w:after="60"/>
              <w:ind w:left="516" w:hanging="435"/>
            </w:pPr>
            <w:r>
              <w:t>(a)</w:t>
            </w:r>
            <w:r>
              <w:tab/>
              <w:t>details</w:t>
            </w:r>
            <w:r w:rsidRPr="00FD0F1B">
              <w:t xml:space="preserve"> of the</w:t>
            </w:r>
            <w:r>
              <w:t xml:space="preserve"> </w:t>
            </w:r>
            <w:r w:rsidRPr="00FD0F1B">
              <w:t>medicine</w:t>
            </w:r>
            <w:r>
              <w:t xml:space="preserve"> or biological</w:t>
            </w:r>
            <w:r w:rsidRPr="00FD0F1B">
              <w:t>;</w:t>
            </w:r>
          </w:p>
          <w:p w14:paraId="01D90CB4" w14:textId="77777777" w:rsidR="004B7AD1" w:rsidRPr="00FD0F1B" w:rsidRDefault="004B7AD1" w:rsidP="008B1119">
            <w:pPr>
              <w:pStyle w:val="Tabletext"/>
              <w:spacing w:after="60"/>
              <w:ind w:left="516" w:hanging="435"/>
            </w:pPr>
            <w:r>
              <w:t>(b)</w:t>
            </w:r>
            <w:r>
              <w:tab/>
              <w:t xml:space="preserve">details of </w:t>
            </w:r>
            <w:r w:rsidRPr="00FD0F1B">
              <w:t xml:space="preserve">any other </w:t>
            </w:r>
            <w:r>
              <w:t>therapeutic good</w:t>
            </w:r>
            <w:r w:rsidRPr="00FD0F1B">
              <w:t xml:space="preserve"> </w:t>
            </w:r>
            <w:r>
              <w:t xml:space="preserve">administered </w:t>
            </w:r>
            <w:r w:rsidRPr="008C127B">
              <w:t>to</w:t>
            </w:r>
            <w:r w:rsidRPr="00FD0F1B">
              <w:t xml:space="preserve"> the person</w:t>
            </w:r>
            <w:r>
              <w:t xml:space="preserve"> who is reported to have suffered the adverse event (the </w:t>
            </w:r>
            <w:r w:rsidRPr="00CE2657">
              <w:rPr>
                <w:b/>
                <w:bCs/>
                <w:i/>
                <w:iCs/>
              </w:rPr>
              <w:t>relevant person</w:t>
            </w:r>
            <w:r>
              <w:t>)</w:t>
            </w:r>
            <w:r w:rsidRPr="00FD0F1B">
              <w:t>;</w:t>
            </w:r>
          </w:p>
          <w:p w14:paraId="7EC8F9CD" w14:textId="77777777" w:rsidR="004B7AD1" w:rsidRPr="00FD0F1B" w:rsidRDefault="004B7AD1" w:rsidP="008B1119">
            <w:pPr>
              <w:pStyle w:val="Tabletext"/>
              <w:spacing w:after="60"/>
              <w:ind w:left="516" w:hanging="435"/>
            </w:pPr>
            <w:r>
              <w:t>(c)</w:t>
            </w:r>
            <w:r>
              <w:tab/>
            </w:r>
            <w:r w:rsidRPr="00FD0F1B">
              <w:t>the age of the relevant person;</w:t>
            </w:r>
          </w:p>
          <w:p w14:paraId="7F243850" w14:textId="77777777" w:rsidR="004B7AD1" w:rsidRDefault="004B7AD1" w:rsidP="008B1119">
            <w:pPr>
              <w:pStyle w:val="Tabletext"/>
              <w:spacing w:after="60"/>
              <w:ind w:left="516" w:hanging="435"/>
            </w:pPr>
            <w:r>
              <w:t>(d)</w:t>
            </w:r>
            <w:r>
              <w:tab/>
            </w:r>
            <w:r w:rsidRPr="00FD0F1B">
              <w:t>the gender of the relevant person;</w:t>
            </w:r>
          </w:p>
          <w:p w14:paraId="2B915C29" w14:textId="77777777" w:rsidR="004B7AD1" w:rsidRPr="00FD0F1B" w:rsidRDefault="004B7AD1" w:rsidP="008B1119">
            <w:pPr>
              <w:pStyle w:val="Tabletext"/>
              <w:spacing w:after="60"/>
              <w:ind w:left="516" w:hanging="435"/>
            </w:pPr>
            <w:r>
              <w:t>(e)</w:t>
            </w:r>
            <w:r>
              <w:tab/>
              <w:t xml:space="preserve">the adverse event description term, as described in the </w:t>
            </w:r>
            <w:r w:rsidRPr="005D0809">
              <w:t>MedDRA</w:t>
            </w:r>
            <w:r>
              <w:t>, that relates to the adverse event</w:t>
            </w:r>
            <w:r w:rsidRPr="005D0809">
              <w:t>;</w:t>
            </w:r>
          </w:p>
          <w:p w14:paraId="0289578E" w14:textId="5BC44B7E" w:rsidR="004B7AD1" w:rsidRPr="00FD0F1B" w:rsidRDefault="004B7AD1" w:rsidP="008B1119">
            <w:pPr>
              <w:pStyle w:val="Tabletext"/>
              <w:spacing w:after="60"/>
              <w:ind w:left="516" w:hanging="435"/>
            </w:pPr>
            <w:r>
              <w:t>(f)</w:t>
            </w:r>
            <w:r>
              <w:tab/>
            </w:r>
            <w:r w:rsidRPr="00FD0F1B">
              <w:t>the date</w:t>
            </w:r>
            <w:r>
              <w:t xml:space="preserve"> that the adverse event was </w:t>
            </w:r>
            <w:r w:rsidR="00735A16">
              <w:t xml:space="preserve">recorded </w:t>
            </w:r>
            <w:r>
              <w:t>by the TGA;</w:t>
            </w:r>
          </w:p>
          <w:p w14:paraId="69F0A113" w14:textId="77777777" w:rsidR="004B7AD1" w:rsidRPr="00DA2B7A" w:rsidRDefault="004B7AD1" w:rsidP="008B1119">
            <w:pPr>
              <w:pStyle w:val="Tabletext"/>
              <w:spacing w:after="60"/>
              <w:ind w:left="516" w:hanging="435"/>
            </w:pPr>
            <w:r>
              <w:t>(g)</w:t>
            </w:r>
            <w:r>
              <w:tab/>
            </w:r>
            <w:r w:rsidRPr="00FD0F1B">
              <w:t xml:space="preserve">the </w:t>
            </w:r>
            <w:r>
              <w:t xml:space="preserve">unique </w:t>
            </w:r>
            <w:r w:rsidRPr="00FD0F1B">
              <w:t xml:space="preserve">number allocated to the </w:t>
            </w:r>
            <w:r>
              <w:t xml:space="preserve">adverse event </w:t>
            </w:r>
            <w:r w:rsidRPr="00FD0F1B">
              <w:t xml:space="preserve">report </w:t>
            </w:r>
            <w:r>
              <w:t>by the TGA</w:t>
            </w:r>
          </w:p>
        </w:tc>
      </w:tr>
      <w:tr w:rsidR="004B7AD1" w:rsidRPr="00636A96" w14:paraId="6B63E3C4" w14:textId="77777777" w:rsidTr="00C161FD">
        <w:tc>
          <w:tcPr>
            <w:tcW w:w="65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AE3145E" w14:textId="77777777" w:rsidR="004B7AD1" w:rsidRDefault="004B7AD1" w:rsidP="002B24F4">
            <w:pPr>
              <w:pStyle w:val="Tabletext"/>
            </w:pPr>
            <w:r>
              <w:t>2</w:t>
            </w:r>
          </w:p>
        </w:tc>
        <w:tc>
          <w:tcPr>
            <w:tcW w:w="434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4913004" w14:textId="73EA7AD0" w:rsidR="004B7AD1" w:rsidRPr="00FD0F1B" w:rsidRDefault="004B7AD1" w:rsidP="002B24F4">
            <w:pPr>
              <w:pStyle w:val="Tabletext"/>
              <w:spacing w:after="60"/>
            </w:pPr>
            <w:r w:rsidRPr="00FD0F1B">
              <w:t xml:space="preserve">information </w:t>
            </w:r>
            <w:r>
              <w:t xml:space="preserve">collated by the TGA from </w:t>
            </w:r>
            <w:r w:rsidR="00D83AE6">
              <w:t xml:space="preserve">reports of </w:t>
            </w:r>
            <w:r>
              <w:t xml:space="preserve">adverse events </w:t>
            </w:r>
            <w:r w:rsidR="00D83AE6">
              <w:t>received by</w:t>
            </w:r>
            <w:r>
              <w:t xml:space="preserve"> the TGA in relation to </w:t>
            </w:r>
            <w:r w:rsidR="00D83AE6">
              <w:t xml:space="preserve">a </w:t>
            </w:r>
            <w:r>
              <w:t>medicine or biological and recorded in the DAEN</w:t>
            </w:r>
            <w:r w:rsidR="00EF3EF3">
              <w:t xml:space="preserve"> – </w:t>
            </w:r>
            <w:r w:rsidR="009220D4">
              <w:t>M</w:t>
            </w:r>
            <w:r w:rsidR="00EF3EF3">
              <w:t xml:space="preserve">edicines </w:t>
            </w:r>
            <w:r>
              <w:t>(</w:t>
            </w:r>
            <w:r w:rsidRPr="005128B3">
              <w:rPr>
                <w:b/>
                <w:bCs/>
                <w:i/>
                <w:iCs/>
              </w:rPr>
              <w:t>relevant cases</w:t>
            </w:r>
            <w:r>
              <w:t>),</w:t>
            </w:r>
            <w:r w:rsidRPr="00FD0F1B">
              <w:t xml:space="preserve"> </w:t>
            </w:r>
            <w:r>
              <w:t>as follows</w:t>
            </w:r>
            <w:r w:rsidRPr="00FD0F1B">
              <w:t>:</w:t>
            </w:r>
          </w:p>
          <w:p w14:paraId="40EBE970" w14:textId="77777777" w:rsidR="004B7AD1" w:rsidRPr="00623AC7" w:rsidRDefault="004B7AD1" w:rsidP="008B1119">
            <w:pPr>
              <w:pStyle w:val="Tabletext"/>
              <w:spacing w:after="60"/>
              <w:ind w:left="516" w:hanging="435"/>
            </w:pPr>
            <w:r>
              <w:lastRenderedPageBreak/>
              <w:t>(a)</w:t>
            </w:r>
            <w:r>
              <w:tab/>
              <w:t xml:space="preserve">the number of </w:t>
            </w:r>
            <w:r w:rsidRPr="00623AC7">
              <w:t>relevant cases;</w:t>
            </w:r>
          </w:p>
          <w:p w14:paraId="35673B50" w14:textId="72474D5D" w:rsidR="004B7AD1" w:rsidRPr="00FD0F1B" w:rsidRDefault="004B7AD1" w:rsidP="008B1119">
            <w:pPr>
              <w:pStyle w:val="Tabletext"/>
              <w:spacing w:after="60"/>
              <w:ind w:left="516" w:hanging="435"/>
            </w:pPr>
            <w:r>
              <w:t>(b)</w:t>
            </w:r>
            <w:r>
              <w:tab/>
              <w:t xml:space="preserve">the number of relevant cases </w:t>
            </w:r>
            <w:r w:rsidR="00735A16">
              <w:t>where</w:t>
            </w:r>
            <w:r>
              <w:t xml:space="preserve"> death</w:t>
            </w:r>
            <w:r w:rsidR="00735A16">
              <w:t xml:space="preserve"> was a reported outcome</w:t>
            </w:r>
            <w:r w:rsidRPr="00FD0F1B">
              <w:t>;</w:t>
            </w:r>
          </w:p>
          <w:p w14:paraId="545B4CCB" w14:textId="77777777" w:rsidR="004B7AD1" w:rsidRPr="00FD0F1B" w:rsidRDefault="004B7AD1" w:rsidP="008B1119">
            <w:pPr>
              <w:pStyle w:val="Tabletext"/>
              <w:spacing w:after="60"/>
              <w:ind w:left="516" w:hanging="435"/>
            </w:pPr>
            <w:r>
              <w:t>(c)</w:t>
            </w:r>
            <w:r>
              <w:tab/>
            </w:r>
            <w:r w:rsidRPr="00FD0F1B">
              <w:t xml:space="preserve">the </w:t>
            </w:r>
            <w:r>
              <w:t>number of relevant cases in which the medicine or biological was reported to be the only therapeutic good suspected of being related to the adverse event</w:t>
            </w:r>
            <w:r w:rsidRPr="00FD0F1B">
              <w:t>;</w:t>
            </w:r>
          </w:p>
          <w:p w14:paraId="4D9DF4B1" w14:textId="77777777" w:rsidR="004B7AD1" w:rsidRDefault="004B7AD1" w:rsidP="008B1119">
            <w:pPr>
              <w:pStyle w:val="Tabletext"/>
              <w:spacing w:after="60"/>
              <w:ind w:left="516" w:hanging="435"/>
            </w:pPr>
            <w:r>
              <w:t>(d)</w:t>
            </w:r>
            <w:r>
              <w:tab/>
            </w:r>
            <w:r w:rsidRPr="00FD0F1B">
              <w:t xml:space="preserve">the </w:t>
            </w:r>
            <w:r>
              <w:t>system organ class terminology, as described in the MedDRA, for the part of the body that was reported as being affected by each adverse event</w:t>
            </w:r>
            <w:r w:rsidRPr="00FD0F1B">
              <w:t>;</w:t>
            </w:r>
          </w:p>
          <w:p w14:paraId="3FC10830" w14:textId="77777777" w:rsidR="004B7AD1" w:rsidRPr="005D0809" w:rsidRDefault="004B7AD1" w:rsidP="008B1119">
            <w:pPr>
              <w:pStyle w:val="Tabletext"/>
              <w:spacing w:after="60"/>
              <w:ind w:left="516" w:hanging="435"/>
            </w:pPr>
            <w:r>
              <w:t>(e)</w:t>
            </w:r>
            <w:r>
              <w:tab/>
              <w:t>the adverse event description term, as described in the MedDRA, that relates to each adverse event</w:t>
            </w:r>
          </w:p>
        </w:tc>
      </w:tr>
      <w:bookmarkEnd w:id="16"/>
    </w:tbl>
    <w:p w14:paraId="26E27C40" w14:textId="2AC873B3" w:rsidR="00A5474A" w:rsidRDefault="00A5474A">
      <w:pPr>
        <w:spacing w:line="240" w:lineRule="auto"/>
        <w:rPr>
          <w:rFonts w:eastAsia="Times New Roman" w:cs="Times New Roman"/>
          <w:b/>
          <w:szCs w:val="22"/>
          <w:lang w:eastAsia="en-AU"/>
        </w:rPr>
      </w:pPr>
      <w:r>
        <w:rPr>
          <w:b/>
          <w:szCs w:val="22"/>
        </w:rPr>
        <w:lastRenderedPageBreak/>
        <w:br w:type="page"/>
      </w:r>
    </w:p>
    <w:p w14:paraId="141A9D5F" w14:textId="30121710" w:rsidR="005036C5" w:rsidRDefault="005036C5" w:rsidP="005036C5">
      <w:pPr>
        <w:pStyle w:val="ActHead6"/>
      </w:pPr>
      <w:bookmarkStart w:id="17" w:name="_Toc143014595"/>
      <w:r>
        <w:lastRenderedPageBreak/>
        <w:t>Schedule 2</w:t>
      </w:r>
      <w:r w:rsidRPr="004E1307">
        <w:t>—</w:t>
      </w:r>
      <w:r>
        <w:t>Repeals</w:t>
      </w:r>
      <w:bookmarkEnd w:id="17"/>
    </w:p>
    <w:p w14:paraId="625C0D17" w14:textId="77777777" w:rsidR="00806320" w:rsidRDefault="00806320" w:rsidP="00806320">
      <w:pPr>
        <w:pStyle w:val="notemargin"/>
      </w:pPr>
      <w:r>
        <w:t>Note:</w:t>
      </w:r>
      <w:r>
        <w:tab/>
        <w:t>See section 6.</w:t>
      </w:r>
    </w:p>
    <w:p w14:paraId="5C13FD42" w14:textId="77FBC426" w:rsidR="005036C5" w:rsidRPr="00573ABF" w:rsidRDefault="005036C5" w:rsidP="00573ABF">
      <w:pPr>
        <w:pStyle w:val="ActHead9"/>
      </w:pPr>
      <w:bookmarkStart w:id="18" w:name="_Toc143014596"/>
      <w:r w:rsidRPr="00573ABF">
        <w:t>Therapeutic Goods (Database of Adverse Event Notifications) (Information) Specification 2022</w:t>
      </w:r>
      <w:bookmarkEnd w:id="18"/>
    </w:p>
    <w:p w14:paraId="05E7AC37" w14:textId="77777777" w:rsidR="005036C5" w:rsidRDefault="005036C5" w:rsidP="005036C5">
      <w:pPr>
        <w:pStyle w:val="ItemHead"/>
      </w:pPr>
      <w:r w:rsidRPr="00B1728A">
        <w:t xml:space="preserve">1  </w:t>
      </w:r>
      <w:r>
        <w:t>The whole of the instrument</w:t>
      </w:r>
    </w:p>
    <w:p w14:paraId="214923EB" w14:textId="4A281814" w:rsidR="00A75FE9" w:rsidRDefault="005036C5" w:rsidP="00F70F0F">
      <w:pPr>
        <w:pStyle w:val="Item"/>
      </w:pPr>
      <w:r>
        <w:t>Repeal the instrument</w:t>
      </w:r>
      <w:r w:rsidR="001510A9">
        <w:t>.</w:t>
      </w:r>
    </w:p>
    <w:p w14:paraId="42B2E419" w14:textId="5BFAB304" w:rsidR="008C681B" w:rsidRPr="00D6537E" w:rsidRDefault="008C681B" w:rsidP="00573ABF">
      <w:pPr>
        <w:pStyle w:val="ActHead9"/>
      </w:pPr>
      <w:bookmarkStart w:id="19" w:name="_Toc143014597"/>
      <w:r>
        <w:t>Therapeutic Goods Information (Adverse Event Notifications – Medical Devices) Specification 2013</w:t>
      </w:r>
      <w:bookmarkEnd w:id="19"/>
    </w:p>
    <w:p w14:paraId="63E561FB" w14:textId="30CED720" w:rsidR="008C681B" w:rsidRDefault="008C681B" w:rsidP="008C681B">
      <w:pPr>
        <w:pStyle w:val="ItemHead"/>
      </w:pPr>
      <w:r>
        <w:t>2</w:t>
      </w:r>
      <w:r w:rsidRPr="00B1728A">
        <w:t xml:space="preserve">  </w:t>
      </w:r>
      <w:r>
        <w:t>The whole of the instrument</w:t>
      </w:r>
    </w:p>
    <w:p w14:paraId="051DF493" w14:textId="77DC0D6D" w:rsidR="008C681B" w:rsidRDefault="008C681B" w:rsidP="008C681B">
      <w:pPr>
        <w:pStyle w:val="Item"/>
      </w:pPr>
      <w:r>
        <w:t>Repeal the instrument</w:t>
      </w:r>
      <w:r w:rsidR="001510A9">
        <w:t>.</w:t>
      </w:r>
    </w:p>
    <w:p w14:paraId="39CA3039" w14:textId="6FFBA273" w:rsidR="00022CC1" w:rsidRPr="00573ABF" w:rsidRDefault="00022CC1" w:rsidP="00022CC1">
      <w:pPr>
        <w:pStyle w:val="ActHead9"/>
      </w:pPr>
      <w:bookmarkStart w:id="20" w:name="_Toc143014598"/>
      <w:r w:rsidRPr="00573ABF">
        <w:t xml:space="preserve">Therapeutic Goods </w:t>
      </w:r>
      <w:r>
        <w:t xml:space="preserve">Information </w:t>
      </w:r>
      <w:r w:rsidRPr="00573ABF">
        <w:t>(</w:t>
      </w:r>
      <w:r>
        <w:t xml:space="preserve">Joint Recalls Portal) </w:t>
      </w:r>
      <w:r w:rsidRPr="00573ABF">
        <w:t>Specification 20</w:t>
      </w:r>
      <w:r>
        <w:t>13</w:t>
      </w:r>
      <w:bookmarkEnd w:id="20"/>
    </w:p>
    <w:p w14:paraId="1CA8C590" w14:textId="7EF7DD12" w:rsidR="00022CC1" w:rsidRDefault="003532F7" w:rsidP="00022CC1">
      <w:pPr>
        <w:pStyle w:val="ItemHead"/>
      </w:pPr>
      <w:r>
        <w:t>3</w:t>
      </w:r>
      <w:r w:rsidR="00022CC1" w:rsidRPr="00B1728A">
        <w:t xml:space="preserve">  </w:t>
      </w:r>
      <w:r w:rsidR="00022CC1">
        <w:t>The whole of the instrument</w:t>
      </w:r>
    </w:p>
    <w:p w14:paraId="4FFC1000" w14:textId="388FB300" w:rsidR="00022CC1" w:rsidRPr="00022CC1" w:rsidRDefault="00022CC1" w:rsidP="00022CC1">
      <w:pPr>
        <w:pStyle w:val="Item"/>
      </w:pPr>
      <w:r>
        <w:t>Repeal the instrument.</w:t>
      </w:r>
    </w:p>
    <w:sectPr w:rsidR="00022CC1" w:rsidRPr="00022CC1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4EEF2" w14:textId="77777777" w:rsidR="0074476D" w:rsidRDefault="0074476D" w:rsidP="00715914">
      <w:pPr>
        <w:spacing w:line="240" w:lineRule="auto"/>
      </w:pPr>
      <w:r>
        <w:separator/>
      </w:r>
    </w:p>
  </w:endnote>
  <w:endnote w:type="continuationSeparator" w:id="0">
    <w:p w14:paraId="7EDF72AE" w14:textId="77777777" w:rsidR="0074476D" w:rsidRDefault="0074476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84D16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C53EF5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D1F374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754DEE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713AC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E3B846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17495E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B128B3E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00A68FBD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3AFEC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44CAFCF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50B5B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57AF21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713AC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E65EA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2AE61556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56B18C" w14:textId="77777777" w:rsidR="0072147A" w:rsidRDefault="0072147A" w:rsidP="00A369E3">
          <w:pPr>
            <w:rPr>
              <w:sz w:val="18"/>
            </w:rPr>
          </w:pPr>
        </w:p>
      </w:tc>
    </w:tr>
  </w:tbl>
  <w:p w14:paraId="57CD5709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0AA5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0BA0D632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FA0706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EC5C07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935E9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4460200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53596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560FA0D2" w14:textId="77777777" w:rsidTr="00A87A58">
      <w:tc>
        <w:tcPr>
          <w:tcW w:w="365" w:type="pct"/>
        </w:tcPr>
        <w:p w14:paraId="31E57EA1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C37B6BC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713AC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06A38BF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0C4E700C" w14:textId="77777777" w:rsidTr="00A87A58">
      <w:tc>
        <w:tcPr>
          <w:tcW w:w="5000" w:type="pct"/>
          <w:gridSpan w:val="3"/>
        </w:tcPr>
        <w:p w14:paraId="3099834A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382D3EBF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66A23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6E69F2E1" w14:textId="77777777" w:rsidTr="00A87A58">
      <w:tc>
        <w:tcPr>
          <w:tcW w:w="947" w:type="pct"/>
        </w:tcPr>
        <w:p w14:paraId="4222B321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83EE0D7" w14:textId="3EDCDD1D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55947">
            <w:rPr>
              <w:i/>
              <w:noProof/>
              <w:sz w:val="18"/>
            </w:rPr>
            <w:t>Therapeutic Goods (Information Specification—Database of Adverse Event Notifications) Instrument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F446881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5E6F0BDA" w14:textId="77777777" w:rsidTr="00A87A58">
      <w:tc>
        <w:tcPr>
          <w:tcW w:w="5000" w:type="pct"/>
          <w:gridSpan w:val="3"/>
        </w:tcPr>
        <w:p w14:paraId="71978FA8" w14:textId="77777777" w:rsidR="00F6696E" w:rsidRDefault="00F6696E" w:rsidP="000850AC">
          <w:pPr>
            <w:rPr>
              <w:sz w:val="18"/>
            </w:rPr>
          </w:pPr>
        </w:p>
      </w:tc>
    </w:tr>
  </w:tbl>
  <w:p w14:paraId="652692B8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9A2C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68AC4436" w14:textId="77777777" w:rsidTr="00A87A58">
      <w:tc>
        <w:tcPr>
          <w:tcW w:w="365" w:type="pct"/>
        </w:tcPr>
        <w:p w14:paraId="3A464B3F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5C191BE" w14:textId="473250B4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55947">
            <w:rPr>
              <w:i/>
              <w:noProof/>
              <w:sz w:val="18"/>
            </w:rPr>
            <w:t>Therapeutic Goods (Information Specification—Database of Adverse Event Notifications) Instrument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E010867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2B399A09" w14:textId="77777777" w:rsidTr="00A87A58">
      <w:tc>
        <w:tcPr>
          <w:tcW w:w="5000" w:type="pct"/>
          <w:gridSpan w:val="3"/>
        </w:tcPr>
        <w:p w14:paraId="33C1C1EE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5BD70530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2671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3C731E8E" w14:textId="77777777" w:rsidTr="00A87A58">
      <w:tc>
        <w:tcPr>
          <w:tcW w:w="947" w:type="pct"/>
        </w:tcPr>
        <w:p w14:paraId="1F755EC5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4C17B5D" w14:textId="0C314EA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55947">
            <w:rPr>
              <w:i/>
              <w:noProof/>
              <w:sz w:val="18"/>
            </w:rPr>
            <w:t>Therapeutic Goods (Information Specification—Database of Adverse Event Notifications) Instrument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DA6A0C9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5A98ED4C" w14:textId="77777777" w:rsidTr="00A87A58">
      <w:tc>
        <w:tcPr>
          <w:tcW w:w="5000" w:type="pct"/>
          <w:gridSpan w:val="3"/>
        </w:tcPr>
        <w:p w14:paraId="2767F7C4" w14:textId="77777777" w:rsidR="008C2EAC" w:rsidRDefault="008C2EAC" w:rsidP="000850AC">
          <w:pPr>
            <w:rPr>
              <w:sz w:val="18"/>
            </w:rPr>
          </w:pPr>
        </w:p>
      </w:tc>
    </w:tr>
  </w:tbl>
  <w:p w14:paraId="37D4674F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50DFE" w14:textId="77777777" w:rsidR="0074476D" w:rsidRDefault="0074476D" w:rsidP="00715914">
      <w:pPr>
        <w:spacing w:line="240" w:lineRule="auto"/>
      </w:pPr>
      <w:r>
        <w:separator/>
      </w:r>
    </w:p>
  </w:footnote>
  <w:footnote w:type="continuationSeparator" w:id="0">
    <w:p w14:paraId="742C90F7" w14:textId="77777777" w:rsidR="0074476D" w:rsidRDefault="0074476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27679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55B2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91FDB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CCBB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EF82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9D5F" w14:textId="77777777" w:rsidR="004E1307" w:rsidRDefault="004E1307" w:rsidP="00715914">
    <w:pPr>
      <w:rPr>
        <w:sz w:val="20"/>
      </w:rPr>
    </w:pPr>
  </w:p>
  <w:p w14:paraId="40640700" w14:textId="77777777" w:rsidR="004E1307" w:rsidRDefault="004E1307" w:rsidP="00715914">
    <w:pPr>
      <w:rPr>
        <w:sz w:val="20"/>
      </w:rPr>
    </w:pPr>
  </w:p>
  <w:p w14:paraId="586D5B66" w14:textId="77777777" w:rsidR="004E1307" w:rsidRPr="007A1328" w:rsidRDefault="004E1307" w:rsidP="00715914">
    <w:pPr>
      <w:rPr>
        <w:sz w:val="20"/>
      </w:rPr>
    </w:pPr>
  </w:p>
  <w:p w14:paraId="76582E12" w14:textId="77777777" w:rsidR="004E1307" w:rsidRPr="007A1328" w:rsidRDefault="004E1307" w:rsidP="00715914">
    <w:pPr>
      <w:rPr>
        <w:b/>
        <w:sz w:val="24"/>
      </w:rPr>
    </w:pPr>
  </w:p>
  <w:p w14:paraId="2FEC5676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029A" w14:textId="77777777" w:rsidR="004E1307" w:rsidRPr="007A1328" w:rsidRDefault="004E1307" w:rsidP="00715914">
    <w:pPr>
      <w:jc w:val="right"/>
      <w:rPr>
        <w:sz w:val="20"/>
      </w:rPr>
    </w:pPr>
  </w:p>
  <w:p w14:paraId="7DC3AFB9" w14:textId="77777777" w:rsidR="004E1307" w:rsidRPr="007A1328" w:rsidRDefault="004E1307" w:rsidP="00715914">
    <w:pPr>
      <w:jc w:val="right"/>
      <w:rPr>
        <w:sz w:val="20"/>
      </w:rPr>
    </w:pPr>
  </w:p>
  <w:p w14:paraId="57394DFB" w14:textId="77777777" w:rsidR="004E1307" w:rsidRPr="007A1328" w:rsidRDefault="004E1307" w:rsidP="00715914">
    <w:pPr>
      <w:jc w:val="right"/>
      <w:rPr>
        <w:sz w:val="20"/>
      </w:rPr>
    </w:pPr>
  </w:p>
  <w:p w14:paraId="4C71871A" w14:textId="77777777" w:rsidR="004E1307" w:rsidRPr="007A1328" w:rsidRDefault="004E1307" w:rsidP="00715914">
    <w:pPr>
      <w:jc w:val="right"/>
      <w:rPr>
        <w:b/>
        <w:sz w:val="24"/>
      </w:rPr>
    </w:pPr>
  </w:p>
  <w:p w14:paraId="3A58C005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54873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71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AAA6A2E"/>
    <w:multiLevelType w:val="hybridMultilevel"/>
    <w:tmpl w:val="29CAAF06"/>
    <w:lvl w:ilvl="0" w:tplc="F99C8930">
      <w:start w:val="1"/>
      <w:numFmt w:val="lowerRoman"/>
      <w:lvlText w:val="(%1)"/>
      <w:lvlJc w:val="left"/>
      <w:pPr>
        <w:ind w:left="2138" w:hanging="72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2C491A55"/>
    <w:multiLevelType w:val="hybridMultilevel"/>
    <w:tmpl w:val="84A08A96"/>
    <w:lvl w:ilvl="0" w:tplc="46324AE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5FC95DBE"/>
    <w:multiLevelType w:val="hybridMultilevel"/>
    <w:tmpl w:val="E97CB8FC"/>
    <w:lvl w:ilvl="0" w:tplc="7B32CB7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6C39064C"/>
    <w:multiLevelType w:val="hybridMultilevel"/>
    <w:tmpl w:val="42F6667C"/>
    <w:lvl w:ilvl="0" w:tplc="019E4C5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7C1B7ADD"/>
    <w:multiLevelType w:val="hybridMultilevel"/>
    <w:tmpl w:val="50C2AA2A"/>
    <w:lvl w:ilvl="0" w:tplc="7E12E5F4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2105496218">
    <w:abstractNumId w:val="9"/>
  </w:num>
  <w:num w:numId="2" w16cid:durableId="616182414">
    <w:abstractNumId w:val="7"/>
  </w:num>
  <w:num w:numId="3" w16cid:durableId="1305546562">
    <w:abstractNumId w:val="6"/>
  </w:num>
  <w:num w:numId="4" w16cid:durableId="1183784145">
    <w:abstractNumId w:val="5"/>
  </w:num>
  <w:num w:numId="5" w16cid:durableId="572474055">
    <w:abstractNumId w:val="4"/>
  </w:num>
  <w:num w:numId="6" w16cid:durableId="742484512">
    <w:abstractNumId w:val="8"/>
  </w:num>
  <w:num w:numId="7" w16cid:durableId="1439790926">
    <w:abstractNumId w:val="3"/>
  </w:num>
  <w:num w:numId="8" w16cid:durableId="1170177747">
    <w:abstractNumId w:val="2"/>
  </w:num>
  <w:num w:numId="9" w16cid:durableId="2048555267">
    <w:abstractNumId w:val="1"/>
  </w:num>
  <w:num w:numId="10" w16cid:durableId="1360008797">
    <w:abstractNumId w:val="0"/>
  </w:num>
  <w:num w:numId="11" w16cid:durableId="902639502">
    <w:abstractNumId w:val="15"/>
  </w:num>
  <w:num w:numId="12" w16cid:durableId="64230843">
    <w:abstractNumId w:val="10"/>
  </w:num>
  <w:num w:numId="13" w16cid:durableId="1695569763">
    <w:abstractNumId w:val="12"/>
  </w:num>
  <w:num w:numId="14" w16cid:durableId="1360206918">
    <w:abstractNumId w:val="18"/>
  </w:num>
  <w:num w:numId="15" w16cid:durableId="1056516708">
    <w:abstractNumId w:val="11"/>
  </w:num>
  <w:num w:numId="16" w16cid:durableId="635841747">
    <w:abstractNumId w:val="13"/>
  </w:num>
  <w:num w:numId="17" w16cid:durableId="1843004957">
    <w:abstractNumId w:val="17"/>
  </w:num>
  <w:num w:numId="18" w16cid:durableId="68430117">
    <w:abstractNumId w:val="14"/>
  </w:num>
  <w:num w:numId="19" w16cid:durableId="19656507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AC"/>
    <w:rsid w:val="00004174"/>
    <w:rsid w:val="00004470"/>
    <w:rsid w:val="000136AF"/>
    <w:rsid w:val="00022CC1"/>
    <w:rsid w:val="000258B1"/>
    <w:rsid w:val="00031B5F"/>
    <w:rsid w:val="00040A89"/>
    <w:rsid w:val="000437C1"/>
    <w:rsid w:val="0004455A"/>
    <w:rsid w:val="00044A0F"/>
    <w:rsid w:val="00050A3A"/>
    <w:rsid w:val="0005365D"/>
    <w:rsid w:val="000614BF"/>
    <w:rsid w:val="0006709C"/>
    <w:rsid w:val="00074376"/>
    <w:rsid w:val="000978F5"/>
    <w:rsid w:val="000B15CD"/>
    <w:rsid w:val="000B35EB"/>
    <w:rsid w:val="000D05EF"/>
    <w:rsid w:val="000D6410"/>
    <w:rsid w:val="000E2261"/>
    <w:rsid w:val="000E78B7"/>
    <w:rsid w:val="000F1DED"/>
    <w:rsid w:val="000F21C1"/>
    <w:rsid w:val="0010745C"/>
    <w:rsid w:val="00125E0A"/>
    <w:rsid w:val="001277A8"/>
    <w:rsid w:val="00132CEB"/>
    <w:rsid w:val="001339B0"/>
    <w:rsid w:val="00137013"/>
    <w:rsid w:val="00142B62"/>
    <w:rsid w:val="001441B7"/>
    <w:rsid w:val="001510A9"/>
    <w:rsid w:val="001516CB"/>
    <w:rsid w:val="00152336"/>
    <w:rsid w:val="00157B8B"/>
    <w:rsid w:val="00166C2F"/>
    <w:rsid w:val="00167E11"/>
    <w:rsid w:val="001713AC"/>
    <w:rsid w:val="001809D7"/>
    <w:rsid w:val="00181B19"/>
    <w:rsid w:val="00183662"/>
    <w:rsid w:val="00186F96"/>
    <w:rsid w:val="001939E1"/>
    <w:rsid w:val="00194C3E"/>
    <w:rsid w:val="00195382"/>
    <w:rsid w:val="001A02AF"/>
    <w:rsid w:val="001A0DAE"/>
    <w:rsid w:val="001A6E31"/>
    <w:rsid w:val="001A7EC0"/>
    <w:rsid w:val="001B2CB6"/>
    <w:rsid w:val="001C41E2"/>
    <w:rsid w:val="001C49F4"/>
    <w:rsid w:val="001C61C5"/>
    <w:rsid w:val="001C69C4"/>
    <w:rsid w:val="001D00F0"/>
    <w:rsid w:val="001D37EF"/>
    <w:rsid w:val="001D4156"/>
    <w:rsid w:val="001E3590"/>
    <w:rsid w:val="001E4408"/>
    <w:rsid w:val="001E7407"/>
    <w:rsid w:val="001F5D5E"/>
    <w:rsid w:val="001F6219"/>
    <w:rsid w:val="001F6CD4"/>
    <w:rsid w:val="00200F60"/>
    <w:rsid w:val="00206C4D"/>
    <w:rsid w:val="002158D5"/>
    <w:rsid w:val="00215AF1"/>
    <w:rsid w:val="002321E8"/>
    <w:rsid w:val="00232984"/>
    <w:rsid w:val="0024010F"/>
    <w:rsid w:val="00240749"/>
    <w:rsid w:val="00243018"/>
    <w:rsid w:val="002564A4"/>
    <w:rsid w:val="00265DB3"/>
    <w:rsid w:val="002668FC"/>
    <w:rsid w:val="0026736C"/>
    <w:rsid w:val="00281308"/>
    <w:rsid w:val="00284719"/>
    <w:rsid w:val="00297ECB"/>
    <w:rsid w:val="002A7BCF"/>
    <w:rsid w:val="002B5BC5"/>
    <w:rsid w:val="002C3FD1"/>
    <w:rsid w:val="002D043A"/>
    <w:rsid w:val="002D266B"/>
    <w:rsid w:val="002D3CBE"/>
    <w:rsid w:val="002D6224"/>
    <w:rsid w:val="002E46B2"/>
    <w:rsid w:val="002E63D1"/>
    <w:rsid w:val="002F4A49"/>
    <w:rsid w:val="00304F8B"/>
    <w:rsid w:val="003107EF"/>
    <w:rsid w:val="00313962"/>
    <w:rsid w:val="003349A6"/>
    <w:rsid w:val="00335BC6"/>
    <w:rsid w:val="003415D3"/>
    <w:rsid w:val="00344338"/>
    <w:rsid w:val="00344701"/>
    <w:rsid w:val="00352B0F"/>
    <w:rsid w:val="003532F7"/>
    <w:rsid w:val="00360459"/>
    <w:rsid w:val="00376941"/>
    <w:rsid w:val="0038049F"/>
    <w:rsid w:val="003846D6"/>
    <w:rsid w:val="00395301"/>
    <w:rsid w:val="003C3884"/>
    <w:rsid w:val="003C6231"/>
    <w:rsid w:val="003D0BFE"/>
    <w:rsid w:val="003D5700"/>
    <w:rsid w:val="003E341B"/>
    <w:rsid w:val="003E4D00"/>
    <w:rsid w:val="003F6FA5"/>
    <w:rsid w:val="0040505B"/>
    <w:rsid w:val="004116CD"/>
    <w:rsid w:val="00417A3E"/>
    <w:rsid w:val="00417EB9"/>
    <w:rsid w:val="00424CA9"/>
    <w:rsid w:val="004276DF"/>
    <w:rsid w:val="00431E9B"/>
    <w:rsid w:val="004379E3"/>
    <w:rsid w:val="0044015E"/>
    <w:rsid w:val="0044291A"/>
    <w:rsid w:val="00447519"/>
    <w:rsid w:val="00455947"/>
    <w:rsid w:val="004568AF"/>
    <w:rsid w:val="00464BFF"/>
    <w:rsid w:val="00467661"/>
    <w:rsid w:val="00472DBE"/>
    <w:rsid w:val="0047468E"/>
    <w:rsid w:val="00474A19"/>
    <w:rsid w:val="00477830"/>
    <w:rsid w:val="00480851"/>
    <w:rsid w:val="00487764"/>
    <w:rsid w:val="00496F97"/>
    <w:rsid w:val="004B534A"/>
    <w:rsid w:val="004B6C48"/>
    <w:rsid w:val="004B7AD1"/>
    <w:rsid w:val="004C251E"/>
    <w:rsid w:val="004C32CD"/>
    <w:rsid w:val="004C4E59"/>
    <w:rsid w:val="004C6809"/>
    <w:rsid w:val="004C71B8"/>
    <w:rsid w:val="004D0456"/>
    <w:rsid w:val="004E063A"/>
    <w:rsid w:val="004E1307"/>
    <w:rsid w:val="004E7BEC"/>
    <w:rsid w:val="005036C5"/>
    <w:rsid w:val="00505D3D"/>
    <w:rsid w:val="00506AF6"/>
    <w:rsid w:val="00510AC8"/>
    <w:rsid w:val="005132B6"/>
    <w:rsid w:val="00516B8D"/>
    <w:rsid w:val="00522642"/>
    <w:rsid w:val="005303C8"/>
    <w:rsid w:val="00532916"/>
    <w:rsid w:val="00537FBC"/>
    <w:rsid w:val="005402A5"/>
    <w:rsid w:val="00554826"/>
    <w:rsid w:val="00562877"/>
    <w:rsid w:val="0056641E"/>
    <w:rsid w:val="00573ABF"/>
    <w:rsid w:val="00576590"/>
    <w:rsid w:val="00577045"/>
    <w:rsid w:val="00584811"/>
    <w:rsid w:val="00585784"/>
    <w:rsid w:val="00590F77"/>
    <w:rsid w:val="00593AA6"/>
    <w:rsid w:val="00594161"/>
    <w:rsid w:val="00594548"/>
    <w:rsid w:val="00594749"/>
    <w:rsid w:val="005A65D5"/>
    <w:rsid w:val="005B4067"/>
    <w:rsid w:val="005B4EBA"/>
    <w:rsid w:val="005C3F41"/>
    <w:rsid w:val="005D0F8D"/>
    <w:rsid w:val="005D1D92"/>
    <w:rsid w:val="005D2D09"/>
    <w:rsid w:val="00600219"/>
    <w:rsid w:val="00604F2A"/>
    <w:rsid w:val="00610CAE"/>
    <w:rsid w:val="00612A9E"/>
    <w:rsid w:val="00620076"/>
    <w:rsid w:val="00623D56"/>
    <w:rsid w:val="00625BC8"/>
    <w:rsid w:val="00627E0A"/>
    <w:rsid w:val="0063582A"/>
    <w:rsid w:val="00635CC3"/>
    <w:rsid w:val="0065488B"/>
    <w:rsid w:val="00670EA1"/>
    <w:rsid w:val="00671A88"/>
    <w:rsid w:val="00677CC2"/>
    <w:rsid w:val="006802A3"/>
    <w:rsid w:val="00682A30"/>
    <w:rsid w:val="0068744B"/>
    <w:rsid w:val="006905DE"/>
    <w:rsid w:val="0069207B"/>
    <w:rsid w:val="00693AE2"/>
    <w:rsid w:val="00697323"/>
    <w:rsid w:val="00697619"/>
    <w:rsid w:val="006A0B52"/>
    <w:rsid w:val="006A154F"/>
    <w:rsid w:val="006A2F4A"/>
    <w:rsid w:val="006A437B"/>
    <w:rsid w:val="006B1C52"/>
    <w:rsid w:val="006B5789"/>
    <w:rsid w:val="006C30C5"/>
    <w:rsid w:val="006C382F"/>
    <w:rsid w:val="006C7F8C"/>
    <w:rsid w:val="006E2320"/>
    <w:rsid w:val="006E2E1C"/>
    <w:rsid w:val="006E323B"/>
    <w:rsid w:val="006E614F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35A16"/>
    <w:rsid w:val="007422BE"/>
    <w:rsid w:val="007440B7"/>
    <w:rsid w:val="0074476D"/>
    <w:rsid w:val="007461AC"/>
    <w:rsid w:val="007500C8"/>
    <w:rsid w:val="007511BD"/>
    <w:rsid w:val="00756272"/>
    <w:rsid w:val="00762D38"/>
    <w:rsid w:val="00767995"/>
    <w:rsid w:val="007715C9"/>
    <w:rsid w:val="00771613"/>
    <w:rsid w:val="007724AF"/>
    <w:rsid w:val="00774EDD"/>
    <w:rsid w:val="007757EC"/>
    <w:rsid w:val="007810C9"/>
    <w:rsid w:val="00783E89"/>
    <w:rsid w:val="00784DD9"/>
    <w:rsid w:val="00793915"/>
    <w:rsid w:val="007B0210"/>
    <w:rsid w:val="007B363A"/>
    <w:rsid w:val="007C2253"/>
    <w:rsid w:val="007C3C30"/>
    <w:rsid w:val="007D7911"/>
    <w:rsid w:val="007E163D"/>
    <w:rsid w:val="007E4421"/>
    <w:rsid w:val="007E667A"/>
    <w:rsid w:val="007F28C9"/>
    <w:rsid w:val="007F4F72"/>
    <w:rsid w:val="007F51B2"/>
    <w:rsid w:val="007F6BF8"/>
    <w:rsid w:val="008040DD"/>
    <w:rsid w:val="00806320"/>
    <w:rsid w:val="00810123"/>
    <w:rsid w:val="008117E9"/>
    <w:rsid w:val="00824498"/>
    <w:rsid w:val="00826BD1"/>
    <w:rsid w:val="008317D8"/>
    <w:rsid w:val="008364B6"/>
    <w:rsid w:val="00854D0B"/>
    <w:rsid w:val="00856A31"/>
    <w:rsid w:val="00860680"/>
    <w:rsid w:val="00860B4E"/>
    <w:rsid w:val="00867B37"/>
    <w:rsid w:val="008754D0"/>
    <w:rsid w:val="00875D13"/>
    <w:rsid w:val="0088086B"/>
    <w:rsid w:val="008855C9"/>
    <w:rsid w:val="00886456"/>
    <w:rsid w:val="00896176"/>
    <w:rsid w:val="008A46E1"/>
    <w:rsid w:val="008A4F43"/>
    <w:rsid w:val="008B1119"/>
    <w:rsid w:val="008B2706"/>
    <w:rsid w:val="008B692A"/>
    <w:rsid w:val="008C0E4E"/>
    <w:rsid w:val="008C2EAC"/>
    <w:rsid w:val="008C681B"/>
    <w:rsid w:val="008D0EE0"/>
    <w:rsid w:val="008D3FF2"/>
    <w:rsid w:val="008E0027"/>
    <w:rsid w:val="008E48A4"/>
    <w:rsid w:val="008E5F61"/>
    <w:rsid w:val="008E6067"/>
    <w:rsid w:val="008E78B7"/>
    <w:rsid w:val="008F3C51"/>
    <w:rsid w:val="008F54E7"/>
    <w:rsid w:val="00903422"/>
    <w:rsid w:val="00917FB7"/>
    <w:rsid w:val="009220D4"/>
    <w:rsid w:val="009254C3"/>
    <w:rsid w:val="00932377"/>
    <w:rsid w:val="00934935"/>
    <w:rsid w:val="00941236"/>
    <w:rsid w:val="00943FD5"/>
    <w:rsid w:val="0094739B"/>
    <w:rsid w:val="00947D5A"/>
    <w:rsid w:val="00952C7F"/>
    <w:rsid w:val="009532A5"/>
    <w:rsid w:val="009545BD"/>
    <w:rsid w:val="00964CF0"/>
    <w:rsid w:val="009772D5"/>
    <w:rsid w:val="00977806"/>
    <w:rsid w:val="00982242"/>
    <w:rsid w:val="009868E9"/>
    <w:rsid w:val="009900A3"/>
    <w:rsid w:val="009C3413"/>
    <w:rsid w:val="009C4E63"/>
    <w:rsid w:val="009D00AB"/>
    <w:rsid w:val="009D4845"/>
    <w:rsid w:val="009F16CA"/>
    <w:rsid w:val="009F1E94"/>
    <w:rsid w:val="009F398F"/>
    <w:rsid w:val="00A0441E"/>
    <w:rsid w:val="00A12128"/>
    <w:rsid w:val="00A22C98"/>
    <w:rsid w:val="00A231E2"/>
    <w:rsid w:val="00A369E3"/>
    <w:rsid w:val="00A5474A"/>
    <w:rsid w:val="00A57600"/>
    <w:rsid w:val="00A64912"/>
    <w:rsid w:val="00A70A74"/>
    <w:rsid w:val="00A75FE9"/>
    <w:rsid w:val="00A7717D"/>
    <w:rsid w:val="00A8406B"/>
    <w:rsid w:val="00AC606F"/>
    <w:rsid w:val="00AD296B"/>
    <w:rsid w:val="00AD37C5"/>
    <w:rsid w:val="00AD53CC"/>
    <w:rsid w:val="00AD5641"/>
    <w:rsid w:val="00AE5374"/>
    <w:rsid w:val="00AF06CF"/>
    <w:rsid w:val="00B02F4C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37005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A45EA"/>
    <w:rsid w:val="00BA6857"/>
    <w:rsid w:val="00BA7516"/>
    <w:rsid w:val="00BB081B"/>
    <w:rsid w:val="00BB1533"/>
    <w:rsid w:val="00BB4E1A"/>
    <w:rsid w:val="00BC015E"/>
    <w:rsid w:val="00BC76AC"/>
    <w:rsid w:val="00BD0ECB"/>
    <w:rsid w:val="00BD3518"/>
    <w:rsid w:val="00BE2155"/>
    <w:rsid w:val="00BE719A"/>
    <w:rsid w:val="00BE720A"/>
    <w:rsid w:val="00BF0D73"/>
    <w:rsid w:val="00BF2465"/>
    <w:rsid w:val="00BF3A3F"/>
    <w:rsid w:val="00BF3D64"/>
    <w:rsid w:val="00BF3F4C"/>
    <w:rsid w:val="00C04C9A"/>
    <w:rsid w:val="00C161FD"/>
    <w:rsid w:val="00C16619"/>
    <w:rsid w:val="00C25E7F"/>
    <w:rsid w:val="00C2746F"/>
    <w:rsid w:val="00C323D6"/>
    <w:rsid w:val="00C324A0"/>
    <w:rsid w:val="00C33C1F"/>
    <w:rsid w:val="00C42BF8"/>
    <w:rsid w:val="00C50043"/>
    <w:rsid w:val="00C7573B"/>
    <w:rsid w:val="00C97A54"/>
    <w:rsid w:val="00CA21ED"/>
    <w:rsid w:val="00CA28F5"/>
    <w:rsid w:val="00CA2A1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CF553E"/>
    <w:rsid w:val="00D13441"/>
    <w:rsid w:val="00D150E7"/>
    <w:rsid w:val="00D337F4"/>
    <w:rsid w:val="00D52DC2"/>
    <w:rsid w:val="00D53BCC"/>
    <w:rsid w:val="00D54C9E"/>
    <w:rsid w:val="00D57193"/>
    <w:rsid w:val="00D620AE"/>
    <w:rsid w:val="00D6537E"/>
    <w:rsid w:val="00D70DFB"/>
    <w:rsid w:val="00D766DF"/>
    <w:rsid w:val="00D80052"/>
    <w:rsid w:val="00D81A20"/>
    <w:rsid w:val="00D8206C"/>
    <w:rsid w:val="00D83AE6"/>
    <w:rsid w:val="00D84861"/>
    <w:rsid w:val="00D91F10"/>
    <w:rsid w:val="00DA0DCA"/>
    <w:rsid w:val="00DA186E"/>
    <w:rsid w:val="00DA4116"/>
    <w:rsid w:val="00DB251C"/>
    <w:rsid w:val="00DB4630"/>
    <w:rsid w:val="00DC028D"/>
    <w:rsid w:val="00DC4F88"/>
    <w:rsid w:val="00DC79AD"/>
    <w:rsid w:val="00DD35C7"/>
    <w:rsid w:val="00DD5377"/>
    <w:rsid w:val="00DD6846"/>
    <w:rsid w:val="00DE107C"/>
    <w:rsid w:val="00DF2388"/>
    <w:rsid w:val="00DF6B28"/>
    <w:rsid w:val="00E05704"/>
    <w:rsid w:val="00E06187"/>
    <w:rsid w:val="00E105F5"/>
    <w:rsid w:val="00E15636"/>
    <w:rsid w:val="00E16104"/>
    <w:rsid w:val="00E338EF"/>
    <w:rsid w:val="00E33E4F"/>
    <w:rsid w:val="00E46056"/>
    <w:rsid w:val="00E544BB"/>
    <w:rsid w:val="00E56191"/>
    <w:rsid w:val="00E65B67"/>
    <w:rsid w:val="00E74DC7"/>
    <w:rsid w:val="00E8075A"/>
    <w:rsid w:val="00E914CD"/>
    <w:rsid w:val="00E940D8"/>
    <w:rsid w:val="00E94D5E"/>
    <w:rsid w:val="00EA7100"/>
    <w:rsid w:val="00EA7F9F"/>
    <w:rsid w:val="00EB03BC"/>
    <w:rsid w:val="00EB1274"/>
    <w:rsid w:val="00ED2BB6"/>
    <w:rsid w:val="00ED2E61"/>
    <w:rsid w:val="00ED34E1"/>
    <w:rsid w:val="00ED3B8D"/>
    <w:rsid w:val="00EE5E36"/>
    <w:rsid w:val="00EE5EC3"/>
    <w:rsid w:val="00EF2E3A"/>
    <w:rsid w:val="00EF3EF3"/>
    <w:rsid w:val="00F02C7C"/>
    <w:rsid w:val="00F072A7"/>
    <w:rsid w:val="00F078DC"/>
    <w:rsid w:val="00F11EE9"/>
    <w:rsid w:val="00F16062"/>
    <w:rsid w:val="00F16EC9"/>
    <w:rsid w:val="00F32BA8"/>
    <w:rsid w:val="00F32EE0"/>
    <w:rsid w:val="00F349F1"/>
    <w:rsid w:val="00F3697C"/>
    <w:rsid w:val="00F42326"/>
    <w:rsid w:val="00F4350D"/>
    <w:rsid w:val="00F479C4"/>
    <w:rsid w:val="00F52580"/>
    <w:rsid w:val="00F567F7"/>
    <w:rsid w:val="00F6696E"/>
    <w:rsid w:val="00F70F0F"/>
    <w:rsid w:val="00F73BD6"/>
    <w:rsid w:val="00F83989"/>
    <w:rsid w:val="00F85099"/>
    <w:rsid w:val="00F85F24"/>
    <w:rsid w:val="00F87942"/>
    <w:rsid w:val="00F9379C"/>
    <w:rsid w:val="00F93EB9"/>
    <w:rsid w:val="00F9632C"/>
    <w:rsid w:val="00FA1230"/>
    <w:rsid w:val="00FA1E52"/>
    <w:rsid w:val="00FB3040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4719C"/>
  <w15:docId w15:val="{D5CE69EF-99BB-4666-8A5F-2E048AE2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E46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46B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46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6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6B2"/>
    <w:rPr>
      <w:b/>
      <w:bCs/>
    </w:rPr>
  </w:style>
  <w:style w:type="paragraph" w:customStyle="1" w:styleId="definition0">
    <w:name w:val="definition"/>
    <w:basedOn w:val="Normal"/>
    <w:rsid w:val="002E46B2"/>
    <w:pPr>
      <w:spacing w:before="80" w:line="260" w:lineRule="exact"/>
      <w:ind w:left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M2">
    <w:name w:val="M2"/>
    <w:aliases w:val="Modification Instruction"/>
    <w:basedOn w:val="Normal"/>
    <w:next w:val="Normal"/>
    <w:rsid w:val="00ED2E61"/>
    <w:pPr>
      <w:keepNext/>
      <w:spacing w:before="120" w:line="260" w:lineRule="exact"/>
      <w:ind w:left="964"/>
    </w:pPr>
    <w:rPr>
      <w:rFonts w:eastAsia="Times New Roman" w:cs="Times New Roman"/>
      <w:i/>
      <w:sz w:val="24"/>
      <w:szCs w:val="24"/>
      <w:lang w:eastAsia="en-AU"/>
    </w:rPr>
  </w:style>
  <w:style w:type="paragraph" w:customStyle="1" w:styleId="Schedulepara">
    <w:name w:val="Schedule para"/>
    <w:basedOn w:val="Normal"/>
    <w:rsid w:val="001D4156"/>
    <w:pPr>
      <w:tabs>
        <w:tab w:val="right" w:pos="567"/>
      </w:tabs>
      <w:spacing w:before="18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paragraph" w:styleId="MacroText">
    <w:name w:val="macro"/>
    <w:link w:val="MacroTextChar"/>
    <w:rsid w:val="001C41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1C41E2"/>
    <w:rPr>
      <w:rFonts w:ascii="Courier New" w:eastAsia="Times New Roman" w:hAnsi="Courier New" w:cs="Courier Ne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48A4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48A4"/>
  </w:style>
  <w:style w:type="character" w:styleId="FootnoteReference">
    <w:name w:val="footnote reference"/>
    <w:basedOn w:val="DefaultParagraphFont"/>
    <w:uiPriority w:val="99"/>
    <w:semiHidden/>
    <w:unhideWhenUsed/>
    <w:rsid w:val="008E48A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C32C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14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4861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1A0D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paragraphsub0">
    <w:name w:val="paragraphsub"/>
    <w:basedOn w:val="Normal"/>
    <w:rsid w:val="00E105F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810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SINNATHAMBY, Priya</dc:creator>
  <cp:lastModifiedBy>SINNATHAMBY, Priya</cp:lastModifiedBy>
  <cp:revision>3</cp:revision>
  <dcterms:created xsi:type="dcterms:W3CDTF">2023-09-19T01:48:00Z</dcterms:created>
  <dcterms:modified xsi:type="dcterms:W3CDTF">2023-09-25T03:39:00Z</dcterms:modified>
</cp:coreProperties>
</file>