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7160" w14:textId="77777777" w:rsidR="00D80F90" w:rsidRPr="00B2546F" w:rsidRDefault="00D80F90" w:rsidP="00D80F90">
      <w:pPr>
        <w:spacing w:before="0" w:after="0"/>
        <w:jc w:val="center"/>
        <w:rPr>
          <w:b/>
          <w:sz w:val="22"/>
          <w:szCs w:val="22"/>
          <w:u w:val="single"/>
        </w:rPr>
      </w:pPr>
      <w:r w:rsidRPr="00B2546F">
        <w:rPr>
          <w:b/>
          <w:sz w:val="22"/>
          <w:szCs w:val="22"/>
          <w:u w:val="single"/>
        </w:rPr>
        <w:t>EXPLANATORY STATEMENT</w:t>
      </w:r>
    </w:p>
    <w:p w14:paraId="0D792215" w14:textId="77777777" w:rsidR="00D80F90" w:rsidRPr="00A84CC1" w:rsidRDefault="00D80F90" w:rsidP="00D80F90">
      <w:pPr>
        <w:spacing w:before="0" w:after="0"/>
        <w:jc w:val="center"/>
        <w:rPr>
          <w:iCs/>
          <w:sz w:val="22"/>
          <w:szCs w:val="22"/>
        </w:rPr>
      </w:pPr>
    </w:p>
    <w:p w14:paraId="7B1D2790" w14:textId="77777777" w:rsidR="00D80F90" w:rsidRPr="00B2546F" w:rsidRDefault="00D80F90" w:rsidP="00D80F90">
      <w:pPr>
        <w:spacing w:before="0" w:after="0"/>
        <w:jc w:val="center"/>
        <w:rPr>
          <w:i/>
          <w:sz w:val="22"/>
          <w:szCs w:val="22"/>
        </w:rPr>
      </w:pPr>
      <w:r w:rsidRPr="00B2546F">
        <w:rPr>
          <w:i/>
          <w:sz w:val="22"/>
          <w:szCs w:val="22"/>
        </w:rPr>
        <w:t>Therapeutic Goods Act 1989</w:t>
      </w:r>
    </w:p>
    <w:p w14:paraId="2883B866" w14:textId="77777777" w:rsidR="00D80F90" w:rsidRPr="00A84CC1" w:rsidRDefault="00D80F90" w:rsidP="00D80F90">
      <w:pPr>
        <w:spacing w:before="0" w:after="0"/>
        <w:jc w:val="center"/>
        <w:rPr>
          <w:iCs/>
          <w:sz w:val="22"/>
          <w:szCs w:val="22"/>
        </w:rPr>
      </w:pPr>
    </w:p>
    <w:p w14:paraId="6045E8E9" w14:textId="7284DF7E" w:rsidR="00D80F90" w:rsidRPr="009535EF" w:rsidRDefault="00D563E3" w:rsidP="00D80F90">
      <w:pPr>
        <w:spacing w:before="0" w:after="0"/>
        <w:jc w:val="center"/>
        <w:rPr>
          <w:sz w:val="22"/>
          <w:szCs w:val="22"/>
        </w:rPr>
      </w:pPr>
      <w:bookmarkStart w:id="0" w:name="_Hlk88734622"/>
      <w:r w:rsidRPr="009535EF">
        <w:rPr>
          <w:i/>
          <w:sz w:val="22"/>
          <w:szCs w:val="22"/>
        </w:rPr>
        <w:t>Therapeutic Goods</w:t>
      </w:r>
      <w:r w:rsidR="00B41B30" w:rsidRPr="009535EF">
        <w:rPr>
          <w:i/>
          <w:sz w:val="22"/>
          <w:szCs w:val="22"/>
        </w:rPr>
        <w:t xml:space="preserve"> </w:t>
      </w:r>
      <w:r w:rsidRPr="009535EF">
        <w:rPr>
          <w:i/>
          <w:sz w:val="22"/>
          <w:szCs w:val="22"/>
        </w:rPr>
        <w:t>(</w:t>
      </w:r>
      <w:r w:rsidR="00591DA8">
        <w:rPr>
          <w:i/>
          <w:sz w:val="22"/>
          <w:szCs w:val="22"/>
        </w:rPr>
        <w:t>Information Specification</w:t>
      </w:r>
      <w:r w:rsidR="00591DA8" w:rsidRPr="00591DA8">
        <w:rPr>
          <w:i/>
          <w:iCs/>
        </w:rPr>
        <w:t>—</w:t>
      </w:r>
      <w:r w:rsidRPr="009535EF">
        <w:rPr>
          <w:i/>
          <w:sz w:val="22"/>
          <w:szCs w:val="22"/>
        </w:rPr>
        <w:t>Database of Adverse Event Notifications</w:t>
      </w:r>
      <w:r w:rsidR="00B41B30" w:rsidRPr="009535EF">
        <w:rPr>
          <w:i/>
          <w:sz w:val="22"/>
          <w:szCs w:val="22"/>
        </w:rPr>
        <w:t>)</w:t>
      </w:r>
      <w:r w:rsidR="00594475" w:rsidRPr="009535EF">
        <w:rPr>
          <w:i/>
          <w:sz w:val="22"/>
          <w:szCs w:val="22"/>
        </w:rPr>
        <w:t xml:space="preserve"> </w:t>
      </w:r>
      <w:r w:rsidR="00591DA8">
        <w:rPr>
          <w:i/>
          <w:sz w:val="22"/>
          <w:szCs w:val="22"/>
        </w:rPr>
        <w:t>Instrument</w:t>
      </w:r>
      <w:r w:rsidR="004B2F20">
        <w:rPr>
          <w:i/>
          <w:sz w:val="22"/>
          <w:szCs w:val="22"/>
        </w:rPr>
        <w:t> </w:t>
      </w:r>
      <w:r w:rsidRPr="009535EF">
        <w:rPr>
          <w:i/>
          <w:sz w:val="22"/>
          <w:szCs w:val="22"/>
        </w:rPr>
        <w:t>202</w:t>
      </w:r>
      <w:r w:rsidR="00B41B30" w:rsidRPr="009535EF">
        <w:rPr>
          <w:i/>
          <w:sz w:val="22"/>
          <w:szCs w:val="22"/>
        </w:rPr>
        <w:t>3</w:t>
      </w:r>
    </w:p>
    <w:bookmarkEnd w:id="0"/>
    <w:p w14:paraId="750513E6" w14:textId="77777777" w:rsidR="00D80F90" w:rsidRPr="00B2546F" w:rsidRDefault="00D80F90" w:rsidP="00D80F90">
      <w:pPr>
        <w:spacing w:before="0" w:after="0"/>
        <w:rPr>
          <w:sz w:val="22"/>
          <w:szCs w:val="22"/>
        </w:rPr>
      </w:pPr>
    </w:p>
    <w:p w14:paraId="5ED955EA" w14:textId="0B78453C" w:rsidR="00D80F90" w:rsidRPr="00B2546F" w:rsidRDefault="00D80F90" w:rsidP="00D80F90">
      <w:pPr>
        <w:spacing w:before="0" w:after="0"/>
        <w:rPr>
          <w:sz w:val="22"/>
          <w:szCs w:val="22"/>
        </w:rPr>
      </w:pPr>
      <w:bookmarkStart w:id="1" w:name="_Hlk114230837"/>
      <w:r w:rsidRPr="00B2546F">
        <w:rPr>
          <w:sz w:val="22"/>
          <w:szCs w:val="22"/>
        </w:rPr>
        <w:t xml:space="preserve">The </w:t>
      </w:r>
      <w:r w:rsidRPr="00B2546F">
        <w:rPr>
          <w:i/>
          <w:sz w:val="22"/>
          <w:szCs w:val="22"/>
        </w:rPr>
        <w:t>Therapeutic Goods Act 1989</w:t>
      </w:r>
      <w:r w:rsidRPr="00B2546F">
        <w:rPr>
          <w:sz w:val="22"/>
          <w:szCs w:val="22"/>
        </w:rPr>
        <w:t xml:space="preserve"> (“the Act”) provides for the establishment and maintenance of a national system of controls for the quality, safety, efficacy</w:t>
      </w:r>
      <w:r w:rsidR="00AF4639">
        <w:rPr>
          <w:sz w:val="22"/>
          <w:szCs w:val="22"/>
        </w:rPr>
        <w:t xml:space="preserve"> or</w:t>
      </w:r>
      <w:r w:rsidR="00254E86">
        <w:rPr>
          <w:sz w:val="22"/>
          <w:szCs w:val="22"/>
        </w:rPr>
        <w:t xml:space="preserve"> performance</w:t>
      </w:r>
      <w:r w:rsidR="00AF4639">
        <w:rPr>
          <w:sz w:val="22"/>
          <w:szCs w:val="22"/>
        </w:rPr>
        <w:t>,</w:t>
      </w:r>
      <w:r w:rsidRPr="00B2546F">
        <w:rPr>
          <w:sz w:val="22"/>
          <w:szCs w:val="22"/>
        </w:rPr>
        <w:t xml:space="preserve"> and timely availability of therapeutic goods that are used in, or exported from, Australia. The Act is administered by the Therapeutic Goods Administration (“the TGA”) within the Australian Government Department of Health</w:t>
      </w:r>
      <w:r w:rsidR="009520A5">
        <w:rPr>
          <w:sz w:val="22"/>
          <w:szCs w:val="22"/>
        </w:rPr>
        <w:t xml:space="preserve"> and Aged Care </w:t>
      </w:r>
      <w:r w:rsidR="009520A5" w:rsidRPr="00090FAA">
        <w:rPr>
          <w:sz w:val="22"/>
          <w:szCs w:val="22"/>
        </w:rPr>
        <w:t>(“the Department”)</w:t>
      </w:r>
      <w:r w:rsidRPr="00B2546F">
        <w:rPr>
          <w:sz w:val="22"/>
          <w:szCs w:val="22"/>
        </w:rPr>
        <w:t>.</w:t>
      </w:r>
    </w:p>
    <w:p w14:paraId="52C1D97C" w14:textId="77777777" w:rsidR="00D80F90" w:rsidRPr="00B2546F" w:rsidRDefault="00D80F90" w:rsidP="00D80F90">
      <w:pPr>
        <w:spacing w:before="0" w:after="0"/>
        <w:rPr>
          <w:sz w:val="22"/>
          <w:szCs w:val="22"/>
        </w:rPr>
      </w:pPr>
    </w:p>
    <w:p w14:paraId="00281DDF" w14:textId="6E151E89" w:rsidR="003D14C0" w:rsidRPr="003D14C0" w:rsidRDefault="003D14C0" w:rsidP="003D14C0">
      <w:pPr>
        <w:spacing w:before="0" w:after="0"/>
        <w:rPr>
          <w:sz w:val="22"/>
          <w:szCs w:val="22"/>
        </w:rPr>
      </w:pPr>
      <w:bookmarkStart w:id="2" w:name="_Hlk95988838"/>
      <w:r w:rsidRPr="003D14C0">
        <w:rPr>
          <w:sz w:val="22"/>
          <w:szCs w:val="22"/>
        </w:rPr>
        <w:t xml:space="preserve">Section 61 of the Act provides that the Secretary may release specified kinds of therapeutic goods information to the public, </w:t>
      </w:r>
      <w:r w:rsidR="00DC4486">
        <w:rPr>
          <w:sz w:val="22"/>
          <w:szCs w:val="22"/>
        </w:rPr>
        <w:t>as well as</w:t>
      </w:r>
      <w:r w:rsidRPr="003D14C0">
        <w:rPr>
          <w:sz w:val="22"/>
          <w:szCs w:val="22"/>
        </w:rPr>
        <w:t xml:space="preserve"> certain organisations, </w:t>
      </w:r>
      <w:proofErr w:type="gramStart"/>
      <w:r w:rsidRPr="003D14C0">
        <w:rPr>
          <w:sz w:val="22"/>
          <w:szCs w:val="22"/>
        </w:rPr>
        <w:t>bodies</w:t>
      </w:r>
      <w:proofErr w:type="gramEnd"/>
      <w:r w:rsidRPr="003D14C0">
        <w:rPr>
          <w:sz w:val="22"/>
          <w:szCs w:val="22"/>
        </w:rPr>
        <w:t xml:space="preserve"> or authorities. Subsection 61(1) of the Act provides that therapeutic goods information means, for the purposes of the section, information relating to therapeutic goods which is held by the Department and relates to the performance of the Department’s functions.</w:t>
      </w:r>
    </w:p>
    <w:p w14:paraId="4FFDCE2E" w14:textId="3163544F" w:rsidR="003D14C0" w:rsidRPr="003D14C0" w:rsidRDefault="003D14C0" w:rsidP="003D14C0">
      <w:pPr>
        <w:spacing w:before="0" w:after="0"/>
        <w:rPr>
          <w:sz w:val="22"/>
          <w:szCs w:val="22"/>
        </w:rPr>
      </w:pPr>
    </w:p>
    <w:p w14:paraId="38949EA0" w14:textId="4C6E2CB0" w:rsidR="00DF58A5" w:rsidRDefault="003D14C0" w:rsidP="00DF58A5">
      <w:pPr>
        <w:spacing w:before="0" w:after="0"/>
        <w:rPr>
          <w:color w:val="000000"/>
          <w:sz w:val="22"/>
          <w:szCs w:val="22"/>
          <w:shd w:val="clear" w:color="auto" w:fill="FFFFFF"/>
        </w:rPr>
      </w:pPr>
      <w:r w:rsidRPr="003D14C0">
        <w:rPr>
          <w:sz w:val="22"/>
          <w:szCs w:val="22"/>
        </w:rPr>
        <w:t xml:space="preserve">Under subsection 61(5C) of the Act, the Secretary may release to the public kinds of therapeutic goods information specified under subsection 61(5D) of the Act. </w:t>
      </w:r>
      <w:r w:rsidR="00DF58A5" w:rsidRPr="00B2546F">
        <w:rPr>
          <w:sz w:val="22"/>
          <w:szCs w:val="22"/>
        </w:rPr>
        <w:t xml:space="preserve">The </w:t>
      </w:r>
      <w:r w:rsidR="00B41B30" w:rsidRPr="009535EF">
        <w:rPr>
          <w:i/>
          <w:sz w:val="22"/>
          <w:szCs w:val="22"/>
        </w:rPr>
        <w:t>Therapeutic Goods (</w:t>
      </w:r>
      <w:r w:rsidR="00591DA8">
        <w:rPr>
          <w:i/>
          <w:sz w:val="22"/>
          <w:szCs w:val="22"/>
        </w:rPr>
        <w:t>Information Specification</w:t>
      </w:r>
      <w:r w:rsidR="00591DA8" w:rsidRPr="00591DA8">
        <w:rPr>
          <w:i/>
          <w:iCs/>
        </w:rPr>
        <w:t>—</w:t>
      </w:r>
      <w:r w:rsidR="00B41B30" w:rsidRPr="009535EF">
        <w:rPr>
          <w:i/>
          <w:sz w:val="22"/>
          <w:szCs w:val="22"/>
        </w:rPr>
        <w:t xml:space="preserve">Database of Adverse Event Notifications) </w:t>
      </w:r>
      <w:r w:rsidR="00591DA8">
        <w:rPr>
          <w:i/>
          <w:sz w:val="22"/>
          <w:szCs w:val="22"/>
        </w:rPr>
        <w:t>Instrument</w:t>
      </w:r>
      <w:r w:rsidR="00B41B30" w:rsidRPr="009535EF">
        <w:rPr>
          <w:i/>
          <w:sz w:val="22"/>
          <w:szCs w:val="22"/>
        </w:rPr>
        <w:t xml:space="preserve"> 2023</w:t>
      </w:r>
      <w:r w:rsidR="00DF58A5" w:rsidRPr="009535EF">
        <w:rPr>
          <w:i/>
        </w:rPr>
        <w:t xml:space="preserve"> </w:t>
      </w:r>
      <w:r w:rsidR="00DF58A5" w:rsidRPr="009535EF">
        <w:rPr>
          <w:sz w:val="22"/>
          <w:szCs w:val="22"/>
        </w:rPr>
        <w:t>(“th</w:t>
      </w:r>
      <w:r w:rsidR="001C28D7" w:rsidRPr="009535EF">
        <w:rPr>
          <w:sz w:val="22"/>
          <w:szCs w:val="22"/>
        </w:rPr>
        <w:t>e</w:t>
      </w:r>
      <w:r w:rsidR="00DF58A5" w:rsidRPr="009535EF">
        <w:rPr>
          <w:sz w:val="22"/>
          <w:szCs w:val="22"/>
        </w:rPr>
        <w:t xml:space="preserve"> </w:t>
      </w:r>
      <w:r w:rsidR="00EE70EA">
        <w:rPr>
          <w:sz w:val="22"/>
          <w:szCs w:val="22"/>
        </w:rPr>
        <w:t>Instrument</w:t>
      </w:r>
      <w:r w:rsidR="00DF58A5" w:rsidRPr="00B2546F">
        <w:rPr>
          <w:sz w:val="22"/>
          <w:szCs w:val="22"/>
        </w:rPr>
        <w:t xml:space="preserve">”) </w:t>
      </w:r>
      <w:r w:rsidR="00DF58A5">
        <w:rPr>
          <w:color w:val="000000"/>
          <w:sz w:val="22"/>
          <w:szCs w:val="22"/>
          <w:shd w:val="clear" w:color="auto" w:fill="FFFFFF"/>
        </w:rPr>
        <w:t>is a legislative instrument made under subsection 61(5D) of the Act and specifies</w:t>
      </w:r>
      <w:r w:rsidR="00591DA8">
        <w:rPr>
          <w:color w:val="000000"/>
          <w:sz w:val="22"/>
          <w:szCs w:val="22"/>
          <w:shd w:val="clear" w:color="auto" w:fill="FFFFFF"/>
        </w:rPr>
        <w:t xml:space="preserve"> </w:t>
      </w:r>
      <w:r w:rsidR="00DF58A5">
        <w:rPr>
          <w:color w:val="000000"/>
          <w:sz w:val="22"/>
          <w:szCs w:val="22"/>
          <w:shd w:val="clear" w:color="auto" w:fill="FFFFFF"/>
        </w:rPr>
        <w:t>kinds of therapeutic goods information that the Secretary may release to the public under subsection 61(5C) of the Act.</w:t>
      </w:r>
    </w:p>
    <w:p w14:paraId="5DD3ABA3" w14:textId="77777777" w:rsidR="00DF58A5" w:rsidRDefault="00DF58A5" w:rsidP="003D14C0">
      <w:pPr>
        <w:spacing w:before="0" w:after="0"/>
        <w:rPr>
          <w:sz w:val="22"/>
          <w:szCs w:val="22"/>
        </w:rPr>
      </w:pPr>
    </w:p>
    <w:p w14:paraId="3B69D14B" w14:textId="591DEF51" w:rsidR="007111A5" w:rsidRDefault="00D121ED" w:rsidP="0061288B">
      <w:pPr>
        <w:spacing w:before="0" w:after="0"/>
        <w:rPr>
          <w:color w:val="000000"/>
          <w:sz w:val="22"/>
          <w:szCs w:val="22"/>
          <w:shd w:val="clear" w:color="auto" w:fill="FFFFFF"/>
        </w:rPr>
      </w:pPr>
      <w:r>
        <w:rPr>
          <w:color w:val="000000"/>
          <w:sz w:val="22"/>
          <w:szCs w:val="22"/>
          <w:shd w:val="clear" w:color="auto" w:fill="FFFFFF"/>
        </w:rPr>
        <w:t xml:space="preserve">The </w:t>
      </w:r>
      <w:r w:rsidR="00EE70EA">
        <w:rPr>
          <w:color w:val="000000"/>
          <w:sz w:val="22"/>
          <w:szCs w:val="22"/>
          <w:shd w:val="clear" w:color="auto" w:fill="FFFFFF"/>
        </w:rPr>
        <w:t>Instrument</w:t>
      </w:r>
      <w:r>
        <w:rPr>
          <w:color w:val="000000"/>
          <w:sz w:val="22"/>
          <w:szCs w:val="22"/>
          <w:shd w:val="clear" w:color="auto" w:fill="FFFFFF"/>
        </w:rPr>
        <w:t xml:space="preserve"> </w:t>
      </w:r>
      <w:proofErr w:type="spellStart"/>
      <w:r>
        <w:rPr>
          <w:color w:val="000000"/>
          <w:sz w:val="22"/>
          <w:szCs w:val="22"/>
          <w:shd w:val="clear" w:color="auto" w:fill="FFFFFF"/>
        </w:rPr>
        <w:t>authorises</w:t>
      </w:r>
      <w:proofErr w:type="spellEnd"/>
      <w:r>
        <w:rPr>
          <w:color w:val="000000"/>
          <w:sz w:val="22"/>
          <w:szCs w:val="22"/>
          <w:shd w:val="clear" w:color="auto" w:fill="FFFFFF"/>
        </w:rPr>
        <w:t xml:space="preserve"> the release of </w:t>
      </w:r>
      <w:r w:rsidR="008E4FB6">
        <w:rPr>
          <w:color w:val="000000"/>
          <w:sz w:val="22"/>
          <w:szCs w:val="22"/>
          <w:shd w:val="clear" w:color="auto" w:fill="FFFFFF"/>
        </w:rPr>
        <w:t>sp</w:t>
      </w:r>
      <w:r w:rsidR="008E4FB6" w:rsidRPr="00954FDB">
        <w:rPr>
          <w:sz w:val="22"/>
          <w:szCs w:val="22"/>
          <w:shd w:val="clear" w:color="auto" w:fill="FFFFFF"/>
        </w:rPr>
        <w:t xml:space="preserve">ecified kinds of </w:t>
      </w:r>
      <w:r w:rsidRPr="00954FDB">
        <w:rPr>
          <w:sz w:val="22"/>
          <w:szCs w:val="22"/>
          <w:shd w:val="clear" w:color="auto" w:fill="FFFFFF"/>
        </w:rPr>
        <w:t>therapeutic goods information</w:t>
      </w:r>
      <w:r w:rsidR="00EE6226">
        <w:rPr>
          <w:sz w:val="22"/>
          <w:szCs w:val="22"/>
          <w:shd w:val="clear" w:color="auto" w:fill="FFFFFF"/>
        </w:rPr>
        <w:t>,</w:t>
      </w:r>
      <w:r w:rsidRPr="00954FDB">
        <w:rPr>
          <w:sz w:val="22"/>
          <w:szCs w:val="22"/>
          <w:shd w:val="clear" w:color="auto" w:fill="FFFFFF"/>
        </w:rPr>
        <w:t xml:space="preserve"> </w:t>
      </w:r>
      <w:r w:rsidR="008E4FB6" w:rsidRPr="00954FDB">
        <w:rPr>
          <w:sz w:val="22"/>
          <w:szCs w:val="22"/>
          <w:shd w:val="clear" w:color="auto" w:fill="FFFFFF"/>
        </w:rPr>
        <w:t>relating to adverse events involving medicines</w:t>
      </w:r>
      <w:r w:rsidR="00931A89">
        <w:rPr>
          <w:sz w:val="22"/>
          <w:szCs w:val="22"/>
          <w:shd w:val="clear" w:color="auto" w:fill="FFFFFF"/>
        </w:rPr>
        <w:t xml:space="preserve"> and</w:t>
      </w:r>
      <w:r w:rsidR="00B41B30" w:rsidRPr="00954FDB">
        <w:rPr>
          <w:sz w:val="22"/>
          <w:szCs w:val="22"/>
          <w:shd w:val="clear" w:color="auto" w:fill="FFFFFF"/>
        </w:rPr>
        <w:t xml:space="preserve"> </w:t>
      </w:r>
      <w:r w:rsidR="00751B23" w:rsidRPr="00954FDB">
        <w:rPr>
          <w:sz w:val="22"/>
          <w:szCs w:val="22"/>
          <w:shd w:val="clear" w:color="auto" w:fill="FFFFFF"/>
        </w:rPr>
        <w:t>b</w:t>
      </w:r>
      <w:r w:rsidR="007F4FED" w:rsidRPr="00954FDB">
        <w:rPr>
          <w:sz w:val="22"/>
          <w:szCs w:val="22"/>
          <w:shd w:val="clear" w:color="auto" w:fill="FFFFFF"/>
        </w:rPr>
        <w:t>iological</w:t>
      </w:r>
      <w:r w:rsidR="00DC4F82" w:rsidRPr="00954FDB">
        <w:rPr>
          <w:sz w:val="22"/>
          <w:szCs w:val="22"/>
          <w:shd w:val="clear" w:color="auto" w:fill="FFFFFF"/>
        </w:rPr>
        <w:t>s,</w:t>
      </w:r>
      <w:r w:rsidR="001761EB">
        <w:rPr>
          <w:sz w:val="22"/>
          <w:szCs w:val="22"/>
          <w:shd w:val="clear" w:color="auto" w:fill="FFFFFF"/>
        </w:rPr>
        <w:t xml:space="preserve"> </w:t>
      </w:r>
      <w:r w:rsidR="00EE6226">
        <w:rPr>
          <w:sz w:val="22"/>
          <w:szCs w:val="22"/>
          <w:shd w:val="clear" w:color="auto" w:fill="FFFFFF"/>
        </w:rPr>
        <w:t>from</w:t>
      </w:r>
      <w:r w:rsidR="00931A89">
        <w:rPr>
          <w:sz w:val="22"/>
          <w:szCs w:val="22"/>
          <w:shd w:val="clear" w:color="auto" w:fill="FFFFFF"/>
        </w:rPr>
        <w:t xml:space="preserve"> the Database of Adverse Event</w:t>
      </w:r>
      <w:bookmarkStart w:id="3" w:name="_Hlk143088824"/>
      <w:r w:rsidR="00EE6226">
        <w:rPr>
          <w:sz w:val="22"/>
          <w:szCs w:val="22"/>
          <w:shd w:val="clear" w:color="auto" w:fill="FFFFFF"/>
        </w:rPr>
        <w:t xml:space="preserve"> Notifications</w:t>
      </w:r>
      <w:r w:rsidR="00931A89">
        <w:rPr>
          <w:sz w:val="22"/>
          <w:szCs w:val="22"/>
          <w:shd w:val="clear" w:color="auto" w:fill="FFFFFF"/>
        </w:rPr>
        <w:t xml:space="preserve"> – </w:t>
      </w:r>
      <w:bookmarkEnd w:id="3"/>
      <w:r w:rsidR="00931A89">
        <w:rPr>
          <w:sz w:val="22"/>
          <w:szCs w:val="22"/>
          <w:shd w:val="clear" w:color="auto" w:fill="FFFFFF"/>
        </w:rPr>
        <w:t>Medicines (“DAEN</w:t>
      </w:r>
      <w:r w:rsidR="009C7E13">
        <w:rPr>
          <w:sz w:val="22"/>
          <w:szCs w:val="22"/>
          <w:shd w:val="clear" w:color="auto" w:fill="FFFFFF"/>
        </w:rPr>
        <w:t xml:space="preserve"> – </w:t>
      </w:r>
      <w:r w:rsidR="00931A89">
        <w:rPr>
          <w:sz w:val="22"/>
          <w:szCs w:val="22"/>
          <w:shd w:val="clear" w:color="auto" w:fill="FFFFFF"/>
        </w:rPr>
        <w:t xml:space="preserve">Medicines”). The </w:t>
      </w:r>
      <w:r w:rsidR="00EE70EA">
        <w:rPr>
          <w:color w:val="000000"/>
          <w:sz w:val="22"/>
          <w:szCs w:val="22"/>
          <w:shd w:val="clear" w:color="auto" w:fill="FFFFFF"/>
        </w:rPr>
        <w:t xml:space="preserve">Instrument </w:t>
      </w:r>
      <w:r w:rsidR="00931A89">
        <w:rPr>
          <w:sz w:val="22"/>
          <w:szCs w:val="22"/>
          <w:shd w:val="clear" w:color="auto" w:fill="FFFFFF"/>
        </w:rPr>
        <w:t xml:space="preserve">also </w:t>
      </w:r>
      <w:proofErr w:type="spellStart"/>
      <w:r w:rsidR="00931A89">
        <w:rPr>
          <w:sz w:val="22"/>
          <w:szCs w:val="22"/>
          <w:shd w:val="clear" w:color="auto" w:fill="FFFFFF"/>
        </w:rPr>
        <w:t>authorises</w:t>
      </w:r>
      <w:proofErr w:type="spellEnd"/>
      <w:r w:rsidR="00931A89">
        <w:rPr>
          <w:sz w:val="22"/>
          <w:szCs w:val="22"/>
          <w:shd w:val="clear" w:color="auto" w:fill="FFFFFF"/>
        </w:rPr>
        <w:t xml:space="preserve"> the release of specified kinds of therapeutic goods information</w:t>
      </w:r>
      <w:r w:rsidR="003A3E3F">
        <w:rPr>
          <w:sz w:val="22"/>
          <w:szCs w:val="22"/>
          <w:shd w:val="clear" w:color="auto" w:fill="FFFFFF"/>
        </w:rPr>
        <w:t>,</w:t>
      </w:r>
      <w:r w:rsidR="00931A89">
        <w:rPr>
          <w:sz w:val="22"/>
          <w:szCs w:val="22"/>
          <w:shd w:val="clear" w:color="auto" w:fill="FFFFFF"/>
        </w:rPr>
        <w:t xml:space="preserve"> relating to adverse events</w:t>
      </w:r>
      <w:r w:rsidR="003A3E3F">
        <w:rPr>
          <w:sz w:val="22"/>
          <w:szCs w:val="22"/>
          <w:shd w:val="clear" w:color="auto" w:fill="FFFFFF"/>
        </w:rPr>
        <w:t xml:space="preserve"> involving,</w:t>
      </w:r>
      <w:r w:rsidR="00C21485">
        <w:rPr>
          <w:sz w:val="22"/>
          <w:szCs w:val="22"/>
          <w:shd w:val="clear" w:color="auto" w:fill="FFFFFF"/>
        </w:rPr>
        <w:t xml:space="preserve"> and defects</w:t>
      </w:r>
      <w:r w:rsidR="003A3E3F">
        <w:rPr>
          <w:sz w:val="22"/>
          <w:szCs w:val="22"/>
          <w:shd w:val="clear" w:color="auto" w:fill="FFFFFF"/>
        </w:rPr>
        <w:t xml:space="preserve"> of</w:t>
      </w:r>
      <w:r w:rsidR="00931A89">
        <w:rPr>
          <w:sz w:val="22"/>
          <w:szCs w:val="22"/>
          <w:shd w:val="clear" w:color="auto" w:fill="FFFFFF"/>
        </w:rPr>
        <w:t xml:space="preserve">, </w:t>
      </w:r>
      <w:r w:rsidR="00B41B30" w:rsidRPr="00954FDB">
        <w:rPr>
          <w:sz w:val="22"/>
          <w:szCs w:val="22"/>
          <w:shd w:val="clear" w:color="auto" w:fill="FFFFFF"/>
        </w:rPr>
        <w:t>medical devices</w:t>
      </w:r>
      <w:r w:rsidR="00DC4F82" w:rsidRPr="00954FDB">
        <w:rPr>
          <w:sz w:val="22"/>
          <w:szCs w:val="22"/>
          <w:shd w:val="clear" w:color="auto" w:fill="FFFFFF"/>
        </w:rPr>
        <w:t xml:space="preserve"> and other therapeutic goods</w:t>
      </w:r>
      <w:r w:rsidR="002B7D09">
        <w:rPr>
          <w:sz w:val="22"/>
          <w:szCs w:val="22"/>
          <w:shd w:val="clear" w:color="auto" w:fill="FFFFFF"/>
        </w:rPr>
        <w:t xml:space="preserve"> (“OTGs”)</w:t>
      </w:r>
      <w:r w:rsidR="003B5673" w:rsidRPr="00954FDB">
        <w:rPr>
          <w:sz w:val="22"/>
          <w:szCs w:val="22"/>
          <w:shd w:val="clear" w:color="auto" w:fill="FFFFFF"/>
        </w:rPr>
        <w:t xml:space="preserve">, </w:t>
      </w:r>
      <w:r w:rsidR="00EE6226">
        <w:rPr>
          <w:color w:val="000000"/>
          <w:sz w:val="22"/>
          <w:szCs w:val="22"/>
          <w:shd w:val="clear" w:color="auto" w:fill="FFFFFF"/>
        </w:rPr>
        <w:t>from</w:t>
      </w:r>
      <w:r>
        <w:rPr>
          <w:color w:val="000000"/>
          <w:sz w:val="22"/>
          <w:szCs w:val="22"/>
          <w:shd w:val="clear" w:color="auto" w:fill="FFFFFF"/>
        </w:rPr>
        <w:t xml:space="preserve"> the Database of Adverse Event Notifications</w:t>
      </w:r>
      <w:r w:rsidR="00591DA8">
        <w:rPr>
          <w:sz w:val="22"/>
          <w:szCs w:val="22"/>
          <w:shd w:val="clear" w:color="auto" w:fill="FFFFFF"/>
        </w:rPr>
        <w:t xml:space="preserve"> – </w:t>
      </w:r>
      <w:r w:rsidR="00931A89">
        <w:rPr>
          <w:color w:val="000000"/>
          <w:sz w:val="22"/>
          <w:szCs w:val="22"/>
          <w:shd w:val="clear" w:color="auto" w:fill="FFFFFF"/>
        </w:rPr>
        <w:t xml:space="preserve">Medical </w:t>
      </w:r>
      <w:r w:rsidR="00591DA8">
        <w:rPr>
          <w:color w:val="000000"/>
          <w:sz w:val="22"/>
          <w:szCs w:val="22"/>
          <w:shd w:val="clear" w:color="auto" w:fill="FFFFFF"/>
        </w:rPr>
        <w:t>D</w:t>
      </w:r>
      <w:r w:rsidR="00931A89">
        <w:rPr>
          <w:color w:val="000000"/>
          <w:sz w:val="22"/>
          <w:szCs w:val="22"/>
          <w:shd w:val="clear" w:color="auto" w:fill="FFFFFF"/>
        </w:rPr>
        <w:t>evices</w:t>
      </w:r>
      <w:r w:rsidR="0090236F">
        <w:rPr>
          <w:color w:val="000000"/>
          <w:sz w:val="22"/>
          <w:szCs w:val="22"/>
          <w:shd w:val="clear" w:color="auto" w:fill="FFFFFF"/>
        </w:rPr>
        <w:t xml:space="preserve"> </w:t>
      </w:r>
      <w:r>
        <w:rPr>
          <w:color w:val="000000"/>
          <w:sz w:val="22"/>
          <w:szCs w:val="22"/>
          <w:shd w:val="clear" w:color="auto" w:fill="FFFFFF"/>
        </w:rPr>
        <w:t>(“DAE</w:t>
      </w:r>
      <w:r w:rsidR="003B5673">
        <w:rPr>
          <w:color w:val="000000"/>
          <w:sz w:val="22"/>
          <w:szCs w:val="22"/>
          <w:shd w:val="clear" w:color="auto" w:fill="FFFFFF"/>
        </w:rPr>
        <w:t>N</w:t>
      </w:r>
      <w:r w:rsidR="009C7E13">
        <w:rPr>
          <w:sz w:val="22"/>
          <w:szCs w:val="22"/>
          <w:shd w:val="clear" w:color="auto" w:fill="FFFFFF"/>
        </w:rPr>
        <w:t xml:space="preserve"> – </w:t>
      </w:r>
      <w:r w:rsidR="00931A89">
        <w:rPr>
          <w:color w:val="000000"/>
          <w:sz w:val="22"/>
          <w:szCs w:val="22"/>
          <w:shd w:val="clear" w:color="auto" w:fill="FFFFFF"/>
        </w:rPr>
        <w:t>Medical Devices</w:t>
      </w:r>
      <w:r>
        <w:rPr>
          <w:color w:val="000000"/>
          <w:sz w:val="22"/>
          <w:szCs w:val="22"/>
          <w:shd w:val="clear" w:color="auto" w:fill="FFFFFF"/>
        </w:rPr>
        <w:t>”</w:t>
      </w:r>
      <w:r w:rsidR="007111A5">
        <w:rPr>
          <w:color w:val="000000"/>
          <w:sz w:val="22"/>
          <w:szCs w:val="22"/>
          <w:shd w:val="clear" w:color="auto" w:fill="FFFFFF"/>
        </w:rPr>
        <w:t>).</w:t>
      </w:r>
    </w:p>
    <w:p w14:paraId="3BFB41E3" w14:textId="77777777" w:rsidR="007111A5" w:rsidRDefault="007111A5" w:rsidP="0061288B">
      <w:pPr>
        <w:spacing w:before="0" w:after="0"/>
        <w:rPr>
          <w:color w:val="000000"/>
          <w:sz w:val="22"/>
          <w:szCs w:val="22"/>
          <w:shd w:val="clear" w:color="auto" w:fill="FFFFFF"/>
        </w:rPr>
      </w:pPr>
    </w:p>
    <w:p w14:paraId="580C5E3B" w14:textId="7700D4AE" w:rsidR="00931A89" w:rsidRDefault="007111A5" w:rsidP="0061288B">
      <w:pPr>
        <w:spacing w:before="0" w:after="0"/>
        <w:rPr>
          <w:color w:val="000000"/>
          <w:sz w:val="22"/>
          <w:szCs w:val="22"/>
          <w:shd w:val="clear" w:color="auto" w:fill="FFFFFF"/>
        </w:rPr>
      </w:pPr>
      <w:r>
        <w:rPr>
          <w:color w:val="000000"/>
          <w:sz w:val="22"/>
          <w:szCs w:val="22"/>
          <w:shd w:val="clear" w:color="auto" w:fill="FFFFFF"/>
        </w:rPr>
        <w:t>The</w:t>
      </w:r>
      <w:r w:rsidR="00931A89">
        <w:rPr>
          <w:color w:val="000000"/>
          <w:sz w:val="22"/>
          <w:szCs w:val="22"/>
          <w:shd w:val="clear" w:color="auto" w:fill="FFFFFF"/>
        </w:rPr>
        <w:t xml:space="preserve"> DAEN</w:t>
      </w:r>
      <w:r w:rsidR="009C7E13">
        <w:rPr>
          <w:sz w:val="22"/>
          <w:szCs w:val="22"/>
          <w:shd w:val="clear" w:color="auto" w:fill="FFFFFF"/>
        </w:rPr>
        <w:t xml:space="preserve"> – </w:t>
      </w:r>
      <w:r w:rsidR="00931A89">
        <w:rPr>
          <w:color w:val="000000"/>
          <w:sz w:val="22"/>
          <w:szCs w:val="22"/>
          <w:shd w:val="clear" w:color="auto" w:fill="FFFFFF"/>
        </w:rPr>
        <w:t>Medicines and DAEN</w:t>
      </w:r>
      <w:r w:rsidR="009C7E13">
        <w:rPr>
          <w:sz w:val="22"/>
          <w:szCs w:val="22"/>
          <w:shd w:val="clear" w:color="auto" w:fill="FFFFFF"/>
        </w:rPr>
        <w:t xml:space="preserve"> – </w:t>
      </w:r>
      <w:r w:rsidR="00931A89">
        <w:rPr>
          <w:color w:val="000000"/>
          <w:sz w:val="22"/>
          <w:szCs w:val="22"/>
          <w:shd w:val="clear" w:color="auto" w:fill="FFFFFF"/>
        </w:rPr>
        <w:t>Medical Devices are publicly available databases maintained by the TGA. The public release of information from both the DAEN</w:t>
      </w:r>
      <w:r w:rsidR="009C7E13">
        <w:rPr>
          <w:sz w:val="22"/>
          <w:szCs w:val="22"/>
          <w:shd w:val="clear" w:color="auto" w:fill="FFFFFF"/>
        </w:rPr>
        <w:t xml:space="preserve"> – </w:t>
      </w:r>
      <w:r w:rsidR="00931A89">
        <w:rPr>
          <w:color w:val="000000"/>
          <w:sz w:val="22"/>
          <w:szCs w:val="22"/>
          <w:shd w:val="clear" w:color="auto" w:fill="FFFFFF"/>
        </w:rPr>
        <w:t>Medicines and DAEN</w:t>
      </w:r>
      <w:r w:rsidR="009C7E13">
        <w:rPr>
          <w:sz w:val="22"/>
          <w:szCs w:val="22"/>
          <w:shd w:val="clear" w:color="auto" w:fill="FFFFFF"/>
        </w:rPr>
        <w:t xml:space="preserve"> – </w:t>
      </w:r>
      <w:r w:rsidR="00931A89">
        <w:rPr>
          <w:color w:val="000000"/>
          <w:sz w:val="22"/>
          <w:szCs w:val="22"/>
          <w:shd w:val="clear" w:color="auto" w:fill="FFFFFF"/>
        </w:rPr>
        <w:t xml:space="preserve">Medical </w:t>
      </w:r>
      <w:r w:rsidR="00591DA8">
        <w:rPr>
          <w:color w:val="000000"/>
          <w:sz w:val="22"/>
          <w:szCs w:val="22"/>
          <w:shd w:val="clear" w:color="auto" w:fill="FFFFFF"/>
        </w:rPr>
        <w:t>D</w:t>
      </w:r>
      <w:r w:rsidR="00931A89">
        <w:rPr>
          <w:color w:val="000000"/>
          <w:sz w:val="22"/>
          <w:szCs w:val="22"/>
          <w:shd w:val="clear" w:color="auto" w:fill="FFFFFF"/>
        </w:rPr>
        <w:t>evices benefits</w:t>
      </w:r>
      <w:r w:rsidR="00591DA8">
        <w:rPr>
          <w:color w:val="000000"/>
          <w:sz w:val="22"/>
          <w:szCs w:val="22"/>
          <w:shd w:val="clear" w:color="auto" w:fill="FFFFFF"/>
        </w:rPr>
        <w:t xml:space="preserve"> a</w:t>
      </w:r>
      <w:r w:rsidR="00931A89">
        <w:rPr>
          <w:color w:val="000000"/>
          <w:sz w:val="22"/>
          <w:szCs w:val="22"/>
          <w:shd w:val="clear" w:color="auto" w:fill="FFFFFF"/>
        </w:rPr>
        <w:t xml:space="preserve"> range of key external stakeholders including consumers, </w:t>
      </w:r>
      <w:proofErr w:type="gramStart"/>
      <w:r w:rsidR="00931A89">
        <w:rPr>
          <w:color w:val="000000"/>
          <w:sz w:val="22"/>
          <w:szCs w:val="22"/>
          <w:shd w:val="clear" w:color="auto" w:fill="FFFFFF"/>
        </w:rPr>
        <w:t>patients</w:t>
      </w:r>
      <w:proofErr w:type="gramEnd"/>
      <w:r w:rsidR="00931A89">
        <w:rPr>
          <w:color w:val="000000"/>
          <w:sz w:val="22"/>
          <w:szCs w:val="22"/>
          <w:shd w:val="clear" w:color="auto" w:fill="FFFFFF"/>
        </w:rPr>
        <w:t xml:space="preserve"> </w:t>
      </w:r>
      <w:r w:rsidR="00591DA8">
        <w:rPr>
          <w:color w:val="000000"/>
          <w:sz w:val="22"/>
          <w:szCs w:val="22"/>
          <w:shd w:val="clear" w:color="auto" w:fill="FFFFFF"/>
        </w:rPr>
        <w:t xml:space="preserve">and </w:t>
      </w:r>
      <w:r w:rsidR="00931A89">
        <w:rPr>
          <w:color w:val="000000"/>
          <w:sz w:val="22"/>
          <w:szCs w:val="22"/>
          <w:shd w:val="clear" w:color="auto" w:fill="FFFFFF"/>
        </w:rPr>
        <w:t>healthcare professionals</w:t>
      </w:r>
      <w:r>
        <w:rPr>
          <w:color w:val="000000"/>
          <w:sz w:val="22"/>
          <w:szCs w:val="22"/>
          <w:shd w:val="clear" w:color="auto" w:fill="FFFFFF"/>
        </w:rPr>
        <w:t>,</w:t>
      </w:r>
      <w:r w:rsidR="00931A89">
        <w:rPr>
          <w:color w:val="000000"/>
          <w:sz w:val="22"/>
          <w:szCs w:val="22"/>
          <w:shd w:val="clear" w:color="auto" w:fill="FFFFFF"/>
        </w:rPr>
        <w:t xml:space="preserve"> by providing access to information about adverse events involving therapeutic goods in Australia.</w:t>
      </w:r>
    </w:p>
    <w:p w14:paraId="79A65442" w14:textId="7CFB6388" w:rsidR="00DD39E0" w:rsidRDefault="00DD39E0" w:rsidP="0061288B">
      <w:pPr>
        <w:spacing w:before="0" w:after="0"/>
        <w:rPr>
          <w:color w:val="000000"/>
          <w:sz w:val="22"/>
          <w:szCs w:val="22"/>
          <w:shd w:val="clear" w:color="auto" w:fill="FFFFFF"/>
        </w:rPr>
      </w:pPr>
    </w:p>
    <w:p w14:paraId="2E5E64B6" w14:textId="5200D522" w:rsidR="00A34BB1" w:rsidRDefault="003E1C9B" w:rsidP="0061288B">
      <w:pPr>
        <w:spacing w:before="0" w:after="0"/>
        <w:rPr>
          <w:color w:val="000000"/>
          <w:sz w:val="22"/>
          <w:szCs w:val="22"/>
          <w:shd w:val="clear" w:color="auto" w:fill="FFFFFF"/>
        </w:rPr>
      </w:pPr>
      <w:r>
        <w:rPr>
          <w:color w:val="000000"/>
          <w:sz w:val="22"/>
          <w:szCs w:val="22"/>
          <w:shd w:val="clear" w:color="auto" w:fill="FFFFFF"/>
        </w:rPr>
        <w:t xml:space="preserve">The </w:t>
      </w:r>
      <w:r w:rsidR="00EE70EA">
        <w:rPr>
          <w:color w:val="000000"/>
          <w:sz w:val="22"/>
          <w:szCs w:val="22"/>
          <w:shd w:val="clear" w:color="auto" w:fill="FFFFFF"/>
        </w:rPr>
        <w:t xml:space="preserve">Instrument </w:t>
      </w:r>
      <w:r>
        <w:rPr>
          <w:color w:val="000000"/>
          <w:sz w:val="22"/>
          <w:szCs w:val="22"/>
          <w:shd w:val="clear" w:color="auto" w:fill="FFFFFF"/>
        </w:rPr>
        <w:t>repeals</w:t>
      </w:r>
      <w:r w:rsidR="00381853">
        <w:rPr>
          <w:color w:val="000000"/>
          <w:sz w:val="22"/>
          <w:szCs w:val="22"/>
          <w:shd w:val="clear" w:color="auto" w:fill="FFFFFF"/>
        </w:rPr>
        <w:t xml:space="preserve"> the following</w:t>
      </w:r>
      <w:r>
        <w:rPr>
          <w:color w:val="000000"/>
          <w:sz w:val="22"/>
          <w:szCs w:val="22"/>
          <w:shd w:val="clear" w:color="auto" w:fill="FFFFFF"/>
        </w:rPr>
        <w:t xml:space="preserve"> two instruments</w:t>
      </w:r>
      <w:r w:rsidR="007111A5">
        <w:rPr>
          <w:color w:val="000000"/>
          <w:sz w:val="22"/>
          <w:szCs w:val="22"/>
          <w:shd w:val="clear" w:color="auto" w:fill="FFFFFF"/>
        </w:rPr>
        <w:t xml:space="preserve"> (</w:t>
      </w:r>
      <w:r w:rsidR="007111A5" w:rsidRPr="00591DA8">
        <w:rPr>
          <w:color w:val="000000"/>
          <w:sz w:val="22"/>
          <w:szCs w:val="22"/>
          <w:shd w:val="clear" w:color="auto" w:fill="FFFFFF"/>
        </w:rPr>
        <w:t>collectively known as “the former Specifications”)</w:t>
      </w:r>
      <w:r w:rsidR="00381853">
        <w:rPr>
          <w:color w:val="000000"/>
          <w:sz w:val="22"/>
          <w:szCs w:val="22"/>
          <w:shd w:val="clear" w:color="auto" w:fill="FFFFFF"/>
        </w:rPr>
        <w:t xml:space="preserve"> and replaces them with a single instrument dealing with adverse event notifications for all therapeutic goods</w:t>
      </w:r>
      <w:r w:rsidR="00DD39E0">
        <w:rPr>
          <w:color w:val="000000"/>
          <w:sz w:val="22"/>
          <w:szCs w:val="22"/>
          <w:shd w:val="clear" w:color="auto" w:fill="FFFFFF"/>
        </w:rPr>
        <w:t>:</w:t>
      </w:r>
    </w:p>
    <w:p w14:paraId="6CFC3FF9" w14:textId="05B0D8C0" w:rsidR="00A34BB1" w:rsidRPr="00983AA4" w:rsidRDefault="00DD39E0" w:rsidP="00983AA4">
      <w:pPr>
        <w:pStyle w:val="ListParagraph"/>
        <w:numPr>
          <w:ilvl w:val="0"/>
          <w:numId w:val="8"/>
        </w:numPr>
        <w:spacing w:before="0" w:after="0"/>
        <w:rPr>
          <w:color w:val="000000"/>
          <w:sz w:val="22"/>
          <w:szCs w:val="22"/>
          <w:shd w:val="clear" w:color="auto" w:fill="FFFFFF"/>
        </w:rPr>
      </w:pPr>
      <w:r w:rsidRPr="00591DA8">
        <w:rPr>
          <w:color w:val="000000"/>
          <w:sz w:val="22"/>
          <w:szCs w:val="22"/>
          <w:shd w:val="clear" w:color="auto" w:fill="FFFFFF"/>
        </w:rPr>
        <w:t xml:space="preserve">the </w:t>
      </w:r>
      <w:r w:rsidRPr="00591DA8">
        <w:rPr>
          <w:i/>
          <w:iCs/>
          <w:color w:val="000000"/>
          <w:sz w:val="22"/>
          <w:szCs w:val="22"/>
          <w:shd w:val="clear" w:color="auto" w:fill="FFFFFF"/>
        </w:rPr>
        <w:t>Therapeutic Goods Information (Adverse Event Notifications</w:t>
      </w:r>
      <w:r w:rsidR="007111A5">
        <w:rPr>
          <w:i/>
          <w:iCs/>
          <w:color w:val="000000"/>
          <w:sz w:val="22"/>
          <w:szCs w:val="22"/>
          <w:shd w:val="clear" w:color="auto" w:fill="FFFFFF"/>
        </w:rPr>
        <w:t xml:space="preserve"> – </w:t>
      </w:r>
      <w:r w:rsidRPr="00591DA8">
        <w:rPr>
          <w:i/>
          <w:iCs/>
          <w:color w:val="000000"/>
          <w:sz w:val="22"/>
          <w:szCs w:val="22"/>
          <w:shd w:val="clear" w:color="auto" w:fill="FFFFFF"/>
        </w:rPr>
        <w:t>Medical Devices) Specification 2013</w:t>
      </w:r>
      <w:r w:rsidRPr="00591DA8">
        <w:rPr>
          <w:color w:val="000000"/>
          <w:sz w:val="22"/>
          <w:szCs w:val="22"/>
          <w:shd w:val="clear" w:color="auto" w:fill="FFFFFF"/>
        </w:rPr>
        <w:t> (“the</w:t>
      </w:r>
      <w:r>
        <w:rPr>
          <w:color w:val="000000"/>
          <w:sz w:val="22"/>
          <w:szCs w:val="22"/>
          <w:shd w:val="clear" w:color="auto" w:fill="FFFFFF"/>
        </w:rPr>
        <w:t xml:space="preserve"> </w:t>
      </w:r>
      <w:r w:rsidR="003E1C9B">
        <w:rPr>
          <w:color w:val="000000"/>
          <w:sz w:val="22"/>
          <w:szCs w:val="22"/>
          <w:shd w:val="clear" w:color="auto" w:fill="FFFFFF"/>
        </w:rPr>
        <w:t xml:space="preserve">former </w:t>
      </w:r>
      <w:r w:rsidRPr="00591DA8">
        <w:rPr>
          <w:color w:val="000000"/>
          <w:sz w:val="22"/>
          <w:szCs w:val="22"/>
          <w:shd w:val="clear" w:color="auto" w:fill="FFFFFF"/>
        </w:rPr>
        <w:t>DAEN</w:t>
      </w:r>
      <w:r w:rsidR="009C7E13">
        <w:rPr>
          <w:sz w:val="22"/>
          <w:szCs w:val="22"/>
          <w:shd w:val="clear" w:color="auto" w:fill="FFFFFF"/>
        </w:rPr>
        <w:t xml:space="preserve"> – </w:t>
      </w:r>
      <w:r w:rsidRPr="00591DA8">
        <w:rPr>
          <w:color w:val="000000"/>
          <w:sz w:val="22"/>
          <w:szCs w:val="22"/>
          <w:shd w:val="clear" w:color="auto" w:fill="FFFFFF"/>
        </w:rPr>
        <w:t>Medical Devices Specification”)</w:t>
      </w:r>
      <w:r>
        <w:rPr>
          <w:color w:val="000000"/>
          <w:sz w:val="22"/>
          <w:szCs w:val="22"/>
          <w:shd w:val="clear" w:color="auto" w:fill="FFFFFF"/>
        </w:rPr>
        <w:t>,</w:t>
      </w:r>
      <w:r w:rsidR="003E1C9B">
        <w:rPr>
          <w:color w:val="000000"/>
          <w:sz w:val="22"/>
          <w:szCs w:val="22"/>
          <w:shd w:val="clear" w:color="auto" w:fill="FFFFFF"/>
        </w:rPr>
        <w:t xml:space="preserve"> which would </w:t>
      </w:r>
      <w:proofErr w:type="gramStart"/>
      <w:r w:rsidR="003E1C9B">
        <w:rPr>
          <w:color w:val="000000"/>
          <w:sz w:val="22"/>
          <w:szCs w:val="22"/>
          <w:shd w:val="clear" w:color="auto" w:fill="FFFFFF"/>
        </w:rPr>
        <w:t>otherwise</w:t>
      </w:r>
      <w:proofErr w:type="gramEnd"/>
      <w:r w:rsidR="003E1C9B">
        <w:rPr>
          <w:color w:val="000000"/>
          <w:sz w:val="22"/>
          <w:szCs w:val="22"/>
          <w:shd w:val="clear" w:color="auto" w:fill="FFFFFF"/>
        </w:rPr>
        <w:t xml:space="preserve"> sunset on 1 October 202</w:t>
      </w:r>
      <w:r w:rsidR="00381853">
        <w:rPr>
          <w:color w:val="000000"/>
          <w:sz w:val="22"/>
          <w:szCs w:val="22"/>
          <w:shd w:val="clear" w:color="auto" w:fill="FFFFFF"/>
        </w:rPr>
        <w:t>3</w:t>
      </w:r>
      <w:r w:rsidRPr="00591DA8">
        <w:rPr>
          <w:color w:val="000000"/>
          <w:sz w:val="22"/>
          <w:szCs w:val="22"/>
          <w:shd w:val="clear" w:color="auto" w:fill="FFFFFF"/>
        </w:rPr>
        <w:t>; and</w:t>
      </w:r>
    </w:p>
    <w:p w14:paraId="7F0E140A" w14:textId="6C19A2A4" w:rsidR="007111A5" w:rsidRDefault="00DD39E0" w:rsidP="007111A5">
      <w:pPr>
        <w:pStyle w:val="ListParagraph"/>
        <w:numPr>
          <w:ilvl w:val="0"/>
          <w:numId w:val="8"/>
        </w:numPr>
        <w:spacing w:before="0" w:after="0"/>
        <w:rPr>
          <w:color w:val="000000"/>
          <w:sz w:val="22"/>
          <w:szCs w:val="22"/>
          <w:shd w:val="clear" w:color="auto" w:fill="FFFFFF"/>
        </w:rPr>
      </w:pPr>
      <w:r w:rsidRPr="007111A5">
        <w:rPr>
          <w:sz w:val="22"/>
          <w:szCs w:val="22"/>
        </w:rPr>
        <w:t xml:space="preserve">the </w:t>
      </w:r>
      <w:r w:rsidRPr="007111A5">
        <w:rPr>
          <w:i/>
          <w:iCs/>
          <w:sz w:val="22"/>
          <w:szCs w:val="22"/>
        </w:rPr>
        <w:t xml:space="preserve">Therapeutic Goods (Database of Adverse Event Notifications) (Information) Specification 2022 </w:t>
      </w:r>
      <w:r w:rsidRPr="007111A5">
        <w:rPr>
          <w:color w:val="000000"/>
          <w:sz w:val="22"/>
          <w:szCs w:val="22"/>
          <w:shd w:val="clear" w:color="auto" w:fill="FFFFFF"/>
        </w:rPr>
        <w:t xml:space="preserve">(“the </w:t>
      </w:r>
      <w:r w:rsidR="003E1C9B">
        <w:rPr>
          <w:color w:val="000000"/>
          <w:sz w:val="22"/>
          <w:szCs w:val="22"/>
          <w:shd w:val="clear" w:color="auto" w:fill="FFFFFF"/>
        </w:rPr>
        <w:t xml:space="preserve">former </w:t>
      </w:r>
      <w:r w:rsidRPr="007111A5">
        <w:rPr>
          <w:color w:val="000000"/>
          <w:sz w:val="22"/>
          <w:szCs w:val="22"/>
          <w:shd w:val="clear" w:color="auto" w:fill="FFFFFF"/>
        </w:rPr>
        <w:t>DAEN</w:t>
      </w:r>
      <w:r w:rsidR="009C7E13" w:rsidRPr="007111A5">
        <w:rPr>
          <w:sz w:val="22"/>
          <w:szCs w:val="22"/>
          <w:shd w:val="clear" w:color="auto" w:fill="FFFFFF"/>
        </w:rPr>
        <w:t xml:space="preserve"> – </w:t>
      </w:r>
      <w:r w:rsidRPr="007111A5">
        <w:rPr>
          <w:color w:val="000000"/>
          <w:sz w:val="22"/>
          <w:szCs w:val="22"/>
          <w:shd w:val="clear" w:color="auto" w:fill="FFFFFF"/>
        </w:rPr>
        <w:t>Medicines Specification”)</w:t>
      </w:r>
      <w:r w:rsidR="003E1C9B">
        <w:rPr>
          <w:color w:val="000000"/>
          <w:sz w:val="22"/>
          <w:szCs w:val="22"/>
          <w:shd w:val="clear" w:color="auto" w:fill="FFFFFF"/>
        </w:rPr>
        <w:t>.</w:t>
      </w:r>
    </w:p>
    <w:p w14:paraId="3F70D39D" w14:textId="739F2C4E" w:rsidR="00A34BB1" w:rsidRDefault="00A34BB1" w:rsidP="0061288B">
      <w:pPr>
        <w:spacing w:before="0" w:after="0"/>
        <w:rPr>
          <w:color w:val="000000"/>
          <w:sz w:val="22"/>
          <w:szCs w:val="22"/>
          <w:shd w:val="clear" w:color="auto" w:fill="FFFFFF"/>
        </w:rPr>
      </w:pPr>
    </w:p>
    <w:p w14:paraId="3C739875" w14:textId="4D0FAE7D" w:rsidR="00E77ACB" w:rsidRDefault="00E77ACB" w:rsidP="0061288B">
      <w:pPr>
        <w:spacing w:before="0" w:after="0"/>
        <w:rPr>
          <w:color w:val="000000"/>
          <w:sz w:val="22"/>
          <w:szCs w:val="22"/>
          <w:shd w:val="clear" w:color="auto" w:fill="FFFFFF"/>
        </w:rPr>
      </w:pPr>
      <w:r>
        <w:rPr>
          <w:color w:val="000000"/>
          <w:sz w:val="22"/>
          <w:szCs w:val="22"/>
          <w:shd w:val="clear" w:color="auto" w:fill="FFFFFF"/>
        </w:rPr>
        <w:t xml:space="preserve">The Instrument also repeals the </w:t>
      </w:r>
      <w:r>
        <w:rPr>
          <w:bCs/>
          <w:i/>
          <w:iCs/>
          <w:sz w:val="22"/>
          <w:szCs w:val="22"/>
          <w:lang w:val="en-AU" w:eastAsia="en-AU"/>
        </w:rPr>
        <w:t>Therapeutic Goods Information (Joint Recalls Portal) Specification 2013</w:t>
      </w:r>
      <w:r>
        <w:rPr>
          <w:bCs/>
          <w:sz w:val="22"/>
          <w:szCs w:val="22"/>
          <w:lang w:val="en-AU" w:eastAsia="en-AU"/>
        </w:rPr>
        <w:t>, which is due to sunset on 1 October 2023, as that instrument is no longer required.</w:t>
      </w:r>
    </w:p>
    <w:p w14:paraId="56FFE818" w14:textId="77777777" w:rsidR="00E77ACB" w:rsidRDefault="00E77ACB" w:rsidP="0061288B">
      <w:pPr>
        <w:spacing w:before="0" w:after="0"/>
        <w:rPr>
          <w:color w:val="000000"/>
          <w:sz w:val="22"/>
          <w:szCs w:val="22"/>
          <w:shd w:val="clear" w:color="auto" w:fill="FFFFFF"/>
        </w:rPr>
      </w:pPr>
    </w:p>
    <w:p w14:paraId="254C5DF8" w14:textId="4BCEE8FE" w:rsidR="0061288B" w:rsidRPr="00B2546F" w:rsidRDefault="0061288B" w:rsidP="00254E86">
      <w:pPr>
        <w:keepNext/>
        <w:spacing w:before="0" w:after="0"/>
        <w:rPr>
          <w:b/>
          <w:bCs/>
          <w:sz w:val="22"/>
          <w:szCs w:val="22"/>
        </w:rPr>
      </w:pPr>
      <w:r w:rsidRPr="00B2546F">
        <w:rPr>
          <w:b/>
          <w:bCs/>
          <w:sz w:val="22"/>
          <w:szCs w:val="22"/>
        </w:rPr>
        <w:lastRenderedPageBreak/>
        <w:t>Background</w:t>
      </w:r>
    </w:p>
    <w:p w14:paraId="364D62FA" w14:textId="2A3D6888" w:rsidR="002B7D09" w:rsidRDefault="002B7D09" w:rsidP="00254E86">
      <w:pPr>
        <w:keepNext/>
        <w:spacing w:before="0" w:after="0"/>
        <w:rPr>
          <w:sz w:val="22"/>
          <w:szCs w:val="22"/>
        </w:rPr>
      </w:pPr>
    </w:p>
    <w:p w14:paraId="2F5A0749" w14:textId="19DC83CC" w:rsidR="002B7D09" w:rsidRDefault="002B7D09" w:rsidP="00254E86">
      <w:pPr>
        <w:keepNext/>
        <w:spacing w:before="0" w:after="0"/>
        <w:rPr>
          <w:i/>
          <w:iCs/>
          <w:sz w:val="22"/>
          <w:szCs w:val="22"/>
        </w:rPr>
      </w:pPr>
      <w:r>
        <w:rPr>
          <w:i/>
          <w:iCs/>
          <w:sz w:val="22"/>
          <w:szCs w:val="22"/>
        </w:rPr>
        <w:t>Adverse</w:t>
      </w:r>
      <w:r w:rsidR="0044355C">
        <w:rPr>
          <w:i/>
          <w:iCs/>
          <w:sz w:val="22"/>
          <w:szCs w:val="22"/>
        </w:rPr>
        <w:t xml:space="preserve"> events</w:t>
      </w:r>
    </w:p>
    <w:p w14:paraId="382D8644" w14:textId="77777777" w:rsidR="002B7D09" w:rsidRPr="002B7D09" w:rsidRDefault="002B7D09" w:rsidP="00254E86">
      <w:pPr>
        <w:keepNext/>
        <w:spacing w:before="0" w:after="0"/>
        <w:rPr>
          <w:i/>
          <w:iCs/>
          <w:sz w:val="22"/>
          <w:szCs w:val="22"/>
        </w:rPr>
      </w:pPr>
    </w:p>
    <w:p w14:paraId="5FB554DF" w14:textId="7874CFAE" w:rsidR="0079329E" w:rsidRDefault="0079329E" w:rsidP="0079329E">
      <w:pPr>
        <w:spacing w:before="0" w:after="0"/>
        <w:rPr>
          <w:sz w:val="22"/>
          <w:szCs w:val="22"/>
        </w:rPr>
      </w:pPr>
      <w:r w:rsidRPr="0079329E">
        <w:rPr>
          <w:sz w:val="22"/>
          <w:szCs w:val="22"/>
        </w:rPr>
        <w:t>Adverse events</w:t>
      </w:r>
      <w:r w:rsidR="00D42A80">
        <w:rPr>
          <w:sz w:val="22"/>
          <w:szCs w:val="22"/>
        </w:rPr>
        <w:t xml:space="preserve"> </w:t>
      </w:r>
      <w:r w:rsidRPr="0079329E">
        <w:rPr>
          <w:sz w:val="22"/>
          <w:szCs w:val="22"/>
        </w:rPr>
        <w:t>are</w:t>
      </w:r>
      <w:r w:rsidR="00A31F5F">
        <w:rPr>
          <w:sz w:val="22"/>
          <w:szCs w:val="22"/>
        </w:rPr>
        <w:t>, in practice, principally</w:t>
      </w:r>
      <w:r w:rsidRPr="0079329E">
        <w:rPr>
          <w:sz w:val="22"/>
          <w:szCs w:val="22"/>
        </w:rPr>
        <w:t xml:space="preserve"> unintended and sometimes harmful occurrences associated with the </w:t>
      </w:r>
      <w:r w:rsidR="00F4241D">
        <w:rPr>
          <w:sz w:val="22"/>
          <w:szCs w:val="22"/>
        </w:rPr>
        <w:t>administration</w:t>
      </w:r>
      <w:r w:rsidR="00F4241D" w:rsidRPr="0079329E">
        <w:rPr>
          <w:sz w:val="22"/>
          <w:szCs w:val="22"/>
        </w:rPr>
        <w:t xml:space="preserve"> </w:t>
      </w:r>
      <w:r w:rsidR="00381853">
        <w:rPr>
          <w:sz w:val="22"/>
          <w:szCs w:val="22"/>
        </w:rPr>
        <w:t xml:space="preserve">or use </w:t>
      </w:r>
      <w:r w:rsidRPr="0079329E">
        <w:rPr>
          <w:sz w:val="22"/>
          <w:szCs w:val="22"/>
        </w:rPr>
        <w:t xml:space="preserve">of </w:t>
      </w:r>
      <w:r w:rsidR="00381853">
        <w:rPr>
          <w:sz w:val="22"/>
          <w:szCs w:val="22"/>
        </w:rPr>
        <w:t>therapeutic goods</w:t>
      </w:r>
      <w:r w:rsidRPr="0079329E">
        <w:rPr>
          <w:sz w:val="22"/>
          <w:szCs w:val="22"/>
        </w:rPr>
        <w:t xml:space="preserve">. </w:t>
      </w:r>
      <w:r w:rsidR="00FD755B">
        <w:rPr>
          <w:sz w:val="22"/>
          <w:szCs w:val="22"/>
        </w:rPr>
        <w:t>I</w:t>
      </w:r>
      <w:r w:rsidR="00A31F5F">
        <w:rPr>
          <w:sz w:val="22"/>
          <w:szCs w:val="22"/>
        </w:rPr>
        <w:t xml:space="preserve">n some </w:t>
      </w:r>
      <w:r w:rsidR="005333AD">
        <w:rPr>
          <w:sz w:val="22"/>
          <w:szCs w:val="22"/>
        </w:rPr>
        <w:t>instances,</w:t>
      </w:r>
      <w:r w:rsidR="00A31F5F">
        <w:rPr>
          <w:sz w:val="22"/>
          <w:szCs w:val="22"/>
        </w:rPr>
        <w:t xml:space="preserve"> t</w:t>
      </w:r>
      <w:r w:rsidRPr="0079329E">
        <w:rPr>
          <w:sz w:val="22"/>
          <w:szCs w:val="22"/>
        </w:rPr>
        <w:t xml:space="preserve">he therapeutic good may have caused the event, </w:t>
      </w:r>
      <w:r w:rsidR="00A31F5F">
        <w:rPr>
          <w:sz w:val="22"/>
          <w:szCs w:val="22"/>
        </w:rPr>
        <w:t>and</w:t>
      </w:r>
      <w:r w:rsidRPr="0079329E">
        <w:rPr>
          <w:sz w:val="22"/>
          <w:szCs w:val="22"/>
        </w:rPr>
        <w:t xml:space="preserve"> </w:t>
      </w:r>
      <w:r w:rsidR="00A31F5F">
        <w:rPr>
          <w:sz w:val="22"/>
          <w:szCs w:val="22"/>
        </w:rPr>
        <w:t xml:space="preserve">there may be other instances where the use of the therapeutic good </w:t>
      </w:r>
      <w:r w:rsidRPr="0079329E">
        <w:rPr>
          <w:sz w:val="22"/>
          <w:szCs w:val="22"/>
        </w:rPr>
        <w:t xml:space="preserve">may </w:t>
      </w:r>
      <w:r w:rsidR="00A31F5F">
        <w:rPr>
          <w:sz w:val="22"/>
          <w:szCs w:val="22"/>
        </w:rPr>
        <w:t xml:space="preserve">have </w:t>
      </w:r>
      <w:r w:rsidRPr="0079329E">
        <w:rPr>
          <w:sz w:val="22"/>
          <w:szCs w:val="22"/>
        </w:rPr>
        <w:t>be</w:t>
      </w:r>
      <w:r w:rsidR="00A31F5F">
        <w:rPr>
          <w:sz w:val="22"/>
          <w:szCs w:val="22"/>
        </w:rPr>
        <w:t>en</w:t>
      </w:r>
      <w:r w:rsidRPr="0079329E">
        <w:rPr>
          <w:sz w:val="22"/>
          <w:szCs w:val="22"/>
        </w:rPr>
        <w:t xml:space="preserve"> a coincidence </w:t>
      </w:r>
      <w:r w:rsidR="00A31F5F">
        <w:rPr>
          <w:sz w:val="22"/>
          <w:szCs w:val="22"/>
        </w:rPr>
        <w:t>rather than a cause of</w:t>
      </w:r>
      <w:r w:rsidRPr="0079329E">
        <w:rPr>
          <w:sz w:val="22"/>
          <w:szCs w:val="22"/>
        </w:rPr>
        <w:t xml:space="preserve"> the </w:t>
      </w:r>
      <w:r w:rsidR="00A31F5F">
        <w:rPr>
          <w:sz w:val="22"/>
          <w:szCs w:val="22"/>
        </w:rPr>
        <w:t xml:space="preserve">adverse </w:t>
      </w:r>
      <w:r w:rsidRPr="0079329E">
        <w:rPr>
          <w:sz w:val="22"/>
          <w:szCs w:val="22"/>
        </w:rPr>
        <w:t>event.</w:t>
      </w:r>
      <w:r>
        <w:rPr>
          <w:sz w:val="22"/>
          <w:szCs w:val="22"/>
        </w:rPr>
        <w:t xml:space="preserve"> </w:t>
      </w:r>
      <w:r w:rsidRPr="0079329E">
        <w:rPr>
          <w:sz w:val="22"/>
          <w:szCs w:val="22"/>
        </w:rPr>
        <w:t xml:space="preserve">Adverse events </w:t>
      </w:r>
      <w:r w:rsidR="00D42A80">
        <w:rPr>
          <w:sz w:val="22"/>
          <w:szCs w:val="22"/>
        </w:rPr>
        <w:t xml:space="preserve">in this context </w:t>
      </w:r>
      <w:r w:rsidR="00A31F5F">
        <w:rPr>
          <w:sz w:val="22"/>
          <w:szCs w:val="22"/>
        </w:rPr>
        <w:t>may</w:t>
      </w:r>
      <w:r w:rsidRPr="0079329E">
        <w:rPr>
          <w:sz w:val="22"/>
          <w:szCs w:val="22"/>
        </w:rPr>
        <w:t xml:space="preserve"> range in severity from mild, expected reactions </w:t>
      </w:r>
      <w:r>
        <w:rPr>
          <w:sz w:val="22"/>
          <w:szCs w:val="22"/>
        </w:rPr>
        <w:t>(</w:t>
      </w:r>
      <w:r w:rsidRPr="0079329E">
        <w:rPr>
          <w:sz w:val="22"/>
          <w:szCs w:val="22"/>
        </w:rPr>
        <w:t xml:space="preserve">such as headache, </w:t>
      </w:r>
      <w:proofErr w:type="gramStart"/>
      <w:r w:rsidRPr="0079329E">
        <w:rPr>
          <w:sz w:val="22"/>
          <w:szCs w:val="22"/>
        </w:rPr>
        <w:t>nausea</w:t>
      </w:r>
      <w:proofErr w:type="gramEnd"/>
      <w:r w:rsidRPr="0079329E">
        <w:rPr>
          <w:sz w:val="22"/>
          <w:szCs w:val="22"/>
        </w:rPr>
        <w:t xml:space="preserve"> and body aches</w:t>
      </w:r>
      <w:r>
        <w:rPr>
          <w:sz w:val="22"/>
          <w:szCs w:val="22"/>
        </w:rPr>
        <w:t>)</w:t>
      </w:r>
      <w:r w:rsidRPr="0079329E">
        <w:rPr>
          <w:sz w:val="22"/>
          <w:szCs w:val="22"/>
        </w:rPr>
        <w:t xml:space="preserve"> to more severe events</w:t>
      </w:r>
      <w:r w:rsidR="003975D6">
        <w:rPr>
          <w:sz w:val="22"/>
          <w:szCs w:val="22"/>
        </w:rPr>
        <w:t>,</w:t>
      </w:r>
      <w:r w:rsidRPr="0079329E">
        <w:rPr>
          <w:sz w:val="22"/>
          <w:szCs w:val="22"/>
        </w:rPr>
        <w:t xml:space="preserve"> </w:t>
      </w:r>
      <w:r w:rsidR="003975D6">
        <w:rPr>
          <w:sz w:val="22"/>
          <w:szCs w:val="22"/>
        </w:rPr>
        <w:t>including</w:t>
      </w:r>
      <w:r w:rsidR="003975D6" w:rsidRPr="0079329E">
        <w:rPr>
          <w:sz w:val="22"/>
          <w:szCs w:val="22"/>
        </w:rPr>
        <w:t xml:space="preserve"> </w:t>
      </w:r>
      <w:r w:rsidR="003975D6">
        <w:rPr>
          <w:sz w:val="22"/>
          <w:szCs w:val="22"/>
        </w:rPr>
        <w:t>death</w:t>
      </w:r>
      <w:r w:rsidR="00870192">
        <w:rPr>
          <w:sz w:val="22"/>
          <w:szCs w:val="22"/>
        </w:rPr>
        <w:t>.</w:t>
      </w:r>
      <w:r w:rsidR="00D6228C">
        <w:rPr>
          <w:sz w:val="22"/>
          <w:szCs w:val="22"/>
        </w:rPr>
        <w:t xml:space="preserve"> </w:t>
      </w:r>
      <w:r w:rsidR="00D6228C" w:rsidRPr="00D6228C">
        <w:rPr>
          <w:sz w:val="22"/>
          <w:szCs w:val="22"/>
        </w:rPr>
        <w:t>The TGA uses reports of adverse events to monitor the safety of</w:t>
      </w:r>
      <w:r w:rsidR="00D6228C">
        <w:rPr>
          <w:sz w:val="22"/>
          <w:szCs w:val="22"/>
        </w:rPr>
        <w:t xml:space="preserve"> therapeutic goods</w:t>
      </w:r>
      <w:r w:rsidR="005333AD">
        <w:rPr>
          <w:sz w:val="22"/>
          <w:szCs w:val="22"/>
        </w:rPr>
        <w:t xml:space="preserve"> and, where possible, to identify safety signals that may be </w:t>
      </w:r>
      <w:r w:rsidR="00FD755B">
        <w:rPr>
          <w:sz w:val="22"/>
          <w:szCs w:val="22"/>
        </w:rPr>
        <w:t xml:space="preserve">investigated and </w:t>
      </w:r>
      <w:r w:rsidR="005333AD">
        <w:rPr>
          <w:sz w:val="22"/>
          <w:szCs w:val="22"/>
        </w:rPr>
        <w:t xml:space="preserve">used to alert patients, health practitioners and the public about </w:t>
      </w:r>
      <w:proofErr w:type="gramStart"/>
      <w:r w:rsidR="005333AD">
        <w:rPr>
          <w:sz w:val="22"/>
          <w:szCs w:val="22"/>
        </w:rPr>
        <w:t>particular risks</w:t>
      </w:r>
      <w:proofErr w:type="gramEnd"/>
      <w:r w:rsidR="00D6228C">
        <w:rPr>
          <w:sz w:val="22"/>
          <w:szCs w:val="22"/>
        </w:rPr>
        <w:t>.</w:t>
      </w:r>
    </w:p>
    <w:p w14:paraId="0A9C0E03" w14:textId="2415EDC4" w:rsidR="00D42A80" w:rsidRDefault="00D42A80" w:rsidP="0061288B">
      <w:pPr>
        <w:spacing w:before="0" w:after="0"/>
        <w:rPr>
          <w:sz w:val="22"/>
          <w:szCs w:val="22"/>
        </w:rPr>
      </w:pPr>
    </w:p>
    <w:p w14:paraId="5F94C67F" w14:textId="329B0FEA" w:rsidR="00711A0E" w:rsidRDefault="0062745A" w:rsidP="0061288B">
      <w:pPr>
        <w:spacing w:before="0" w:after="0"/>
        <w:rPr>
          <w:sz w:val="22"/>
          <w:szCs w:val="22"/>
        </w:rPr>
      </w:pPr>
      <w:r>
        <w:rPr>
          <w:sz w:val="22"/>
          <w:szCs w:val="22"/>
        </w:rPr>
        <w:t>An a</w:t>
      </w:r>
      <w:r w:rsidR="00D42A80">
        <w:rPr>
          <w:sz w:val="22"/>
          <w:szCs w:val="22"/>
        </w:rPr>
        <w:t xml:space="preserve">dverse event in the context of </w:t>
      </w:r>
      <w:r>
        <w:rPr>
          <w:sz w:val="22"/>
          <w:szCs w:val="22"/>
        </w:rPr>
        <w:t xml:space="preserve">a </w:t>
      </w:r>
      <w:r w:rsidR="00D42A80">
        <w:rPr>
          <w:sz w:val="22"/>
          <w:szCs w:val="22"/>
        </w:rPr>
        <w:t>medical device</w:t>
      </w:r>
      <w:r w:rsidR="005517E1">
        <w:rPr>
          <w:sz w:val="22"/>
          <w:szCs w:val="22"/>
        </w:rPr>
        <w:t xml:space="preserve"> or OTG</w:t>
      </w:r>
      <w:r w:rsidR="00D42A80">
        <w:rPr>
          <w:sz w:val="22"/>
          <w:szCs w:val="22"/>
        </w:rPr>
        <w:t xml:space="preserve"> </w:t>
      </w:r>
      <w:r>
        <w:rPr>
          <w:sz w:val="22"/>
          <w:szCs w:val="22"/>
        </w:rPr>
        <w:t>is</w:t>
      </w:r>
      <w:r w:rsidR="00B52AEE">
        <w:rPr>
          <w:sz w:val="22"/>
          <w:szCs w:val="22"/>
        </w:rPr>
        <w:t xml:space="preserve"> </w:t>
      </w:r>
      <w:r>
        <w:rPr>
          <w:sz w:val="22"/>
          <w:szCs w:val="22"/>
        </w:rPr>
        <w:t xml:space="preserve">an event </w:t>
      </w:r>
      <w:r w:rsidR="00B52AEE">
        <w:rPr>
          <w:sz w:val="22"/>
          <w:szCs w:val="22"/>
        </w:rPr>
        <w:t>that ha</w:t>
      </w:r>
      <w:r>
        <w:rPr>
          <w:sz w:val="22"/>
          <w:szCs w:val="22"/>
        </w:rPr>
        <w:t>s</w:t>
      </w:r>
      <w:r w:rsidR="00B52AEE">
        <w:rPr>
          <w:sz w:val="22"/>
          <w:szCs w:val="22"/>
        </w:rPr>
        <w:t xml:space="preserve"> led</w:t>
      </w:r>
      <w:r w:rsidR="00F4241D">
        <w:rPr>
          <w:sz w:val="22"/>
          <w:szCs w:val="22"/>
        </w:rPr>
        <w:t>, or might have led,</w:t>
      </w:r>
      <w:r w:rsidR="00B52AEE">
        <w:rPr>
          <w:sz w:val="22"/>
          <w:szCs w:val="22"/>
        </w:rPr>
        <w:t xml:space="preserve"> to the death of, serious injury </w:t>
      </w:r>
      <w:r w:rsidR="000A4CEA">
        <w:rPr>
          <w:sz w:val="22"/>
          <w:szCs w:val="22"/>
        </w:rPr>
        <w:t xml:space="preserve">to, </w:t>
      </w:r>
      <w:r w:rsidR="00B52AEE">
        <w:rPr>
          <w:sz w:val="22"/>
          <w:szCs w:val="22"/>
        </w:rPr>
        <w:t xml:space="preserve">or serious deterioration </w:t>
      </w:r>
      <w:r w:rsidR="000A4CEA">
        <w:rPr>
          <w:sz w:val="22"/>
          <w:szCs w:val="22"/>
        </w:rPr>
        <w:t>in the health of</w:t>
      </w:r>
      <w:r w:rsidR="00B52AEE">
        <w:rPr>
          <w:sz w:val="22"/>
          <w:szCs w:val="22"/>
        </w:rPr>
        <w:t xml:space="preserve">, a </w:t>
      </w:r>
      <w:r w:rsidR="00B92F56">
        <w:rPr>
          <w:sz w:val="22"/>
          <w:szCs w:val="22"/>
        </w:rPr>
        <w:t>person,</w:t>
      </w:r>
      <w:r w:rsidR="00F4241D">
        <w:rPr>
          <w:sz w:val="22"/>
          <w:szCs w:val="22"/>
        </w:rPr>
        <w:t xml:space="preserve"> following the use of a medical device or OTG.</w:t>
      </w:r>
      <w:r w:rsidR="00B92F56">
        <w:rPr>
          <w:sz w:val="22"/>
          <w:szCs w:val="22"/>
        </w:rPr>
        <w:t xml:space="preserve"> </w:t>
      </w:r>
      <w:r w:rsidR="005D375A">
        <w:rPr>
          <w:sz w:val="22"/>
          <w:szCs w:val="22"/>
        </w:rPr>
        <w:t xml:space="preserve">This may </w:t>
      </w:r>
      <w:r w:rsidR="00B92F56">
        <w:rPr>
          <w:sz w:val="22"/>
          <w:szCs w:val="22"/>
        </w:rPr>
        <w:t>includ</w:t>
      </w:r>
      <w:r w:rsidR="005D375A">
        <w:rPr>
          <w:sz w:val="22"/>
          <w:szCs w:val="22"/>
        </w:rPr>
        <w:t>e</w:t>
      </w:r>
      <w:r w:rsidR="00B92F56">
        <w:rPr>
          <w:sz w:val="22"/>
          <w:szCs w:val="22"/>
        </w:rPr>
        <w:t xml:space="preserve"> a life-threatening illness or injury, permanent impairment of a body function, permanent damage to a body structure or a </w:t>
      </w:r>
      <w:r w:rsidR="00B92F56" w:rsidRPr="00ED2E61">
        <w:rPr>
          <w:sz w:val="22"/>
          <w:szCs w:val="22"/>
        </w:rPr>
        <w:t>condition necessitating medical or surgical intervention to prevent permanent impairment of a body function or permanent damage to a body structure</w:t>
      </w:r>
      <w:r w:rsidR="00B92F56">
        <w:rPr>
          <w:sz w:val="22"/>
          <w:szCs w:val="22"/>
        </w:rPr>
        <w:t>.</w:t>
      </w:r>
    </w:p>
    <w:p w14:paraId="308984F4" w14:textId="77777777" w:rsidR="00711A0E" w:rsidRDefault="00711A0E" w:rsidP="0061288B">
      <w:pPr>
        <w:spacing w:before="0" w:after="0"/>
        <w:rPr>
          <w:sz w:val="22"/>
          <w:szCs w:val="22"/>
        </w:rPr>
      </w:pPr>
    </w:p>
    <w:p w14:paraId="3770A82C" w14:textId="2A8437C7" w:rsidR="00FB100B" w:rsidRDefault="005D375A" w:rsidP="0061288B">
      <w:pPr>
        <w:spacing w:before="0" w:after="0"/>
        <w:rPr>
          <w:sz w:val="22"/>
          <w:szCs w:val="22"/>
        </w:rPr>
      </w:pPr>
      <w:r>
        <w:rPr>
          <w:sz w:val="22"/>
          <w:szCs w:val="22"/>
        </w:rPr>
        <w:t>In relation to adverse events</w:t>
      </w:r>
      <w:r w:rsidR="0062745A">
        <w:rPr>
          <w:sz w:val="22"/>
          <w:szCs w:val="22"/>
        </w:rPr>
        <w:t xml:space="preserve"> that might have led to death</w:t>
      </w:r>
      <w:r w:rsidR="000A4CEA">
        <w:rPr>
          <w:sz w:val="22"/>
          <w:szCs w:val="22"/>
        </w:rPr>
        <w:t xml:space="preserve">, </w:t>
      </w:r>
      <w:r w:rsidR="0062745A">
        <w:rPr>
          <w:sz w:val="22"/>
          <w:szCs w:val="22"/>
        </w:rPr>
        <w:t>serious injury</w:t>
      </w:r>
      <w:r w:rsidR="000A4CEA">
        <w:rPr>
          <w:sz w:val="22"/>
          <w:szCs w:val="22"/>
        </w:rPr>
        <w:t xml:space="preserve"> or serious deterioration in </w:t>
      </w:r>
      <w:r w:rsidR="004212A3">
        <w:rPr>
          <w:sz w:val="22"/>
          <w:szCs w:val="22"/>
        </w:rPr>
        <w:t xml:space="preserve">the </w:t>
      </w:r>
      <w:r w:rsidR="000A4CEA">
        <w:rPr>
          <w:sz w:val="22"/>
          <w:szCs w:val="22"/>
        </w:rPr>
        <w:t>health</w:t>
      </w:r>
      <w:r w:rsidR="004212A3">
        <w:rPr>
          <w:sz w:val="22"/>
          <w:szCs w:val="22"/>
        </w:rPr>
        <w:t xml:space="preserve"> of a person</w:t>
      </w:r>
      <w:r>
        <w:rPr>
          <w:sz w:val="22"/>
          <w:szCs w:val="22"/>
        </w:rPr>
        <w:t>,</w:t>
      </w:r>
      <w:r w:rsidR="0062745A">
        <w:rPr>
          <w:sz w:val="22"/>
          <w:szCs w:val="22"/>
        </w:rPr>
        <w:t xml:space="preserve"> </w:t>
      </w:r>
      <w:r>
        <w:rPr>
          <w:sz w:val="22"/>
          <w:szCs w:val="22"/>
        </w:rPr>
        <w:t>i</w:t>
      </w:r>
      <w:r w:rsidR="0062745A">
        <w:rPr>
          <w:sz w:val="22"/>
          <w:szCs w:val="22"/>
        </w:rPr>
        <w:t xml:space="preserve">t may be that, due to the timely intervention of a healthcare practitioner, </w:t>
      </w:r>
      <w:r w:rsidR="000A4CEA">
        <w:rPr>
          <w:sz w:val="22"/>
          <w:szCs w:val="22"/>
        </w:rPr>
        <w:t>none of these</w:t>
      </w:r>
      <w:r w:rsidR="004212A3">
        <w:rPr>
          <w:sz w:val="22"/>
          <w:szCs w:val="22"/>
        </w:rPr>
        <w:t xml:space="preserve"> outcomes</w:t>
      </w:r>
      <w:r w:rsidR="0062745A">
        <w:rPr>
          <w:sz w:val="22"/>
          <w:szCs w:val="22"/>
        </w:rPr>
        <w:t xml:space="preserve"> </w:t>
      </w:r>
      <w:r w:rsidR="004212A3">
        <w:rPr>
          <w:sz w:val="22"/>
          <w:szCs w:val="22"/>
        </w:rPr>
        <w:t>eventuated</w:t>
      </w:r>
      <w:r w:rsidR="0062745A">
        <w:rPr>
          <w:sz w:val="22"/>
          <w:szCs w:val="22"/>
        </w:rPr>
        <w:t xml:space="preserve">. </w:t>
      </w:r>
      <w:r w:rsidR="00711A0E" w:rsidRPr="00983AA4">
        <w:rPr>
          <w:sz w:val="22"/>
          <w:szCs w:val="22"/>
        </w:rPr>
        <w:t>In addition</w:t>
      </w:r>
      <w:r w:rsidR="00711A0E">
        <w:rPr>
          <w:sz w:val="22"/>
          <w:szCs w:val="22"/>
        </w:rPr>
        <w:t xml:space="preserve">, a defect in a medical device or OTG might have led to death, serious injury or serious deterioration in the health of a person. A </w:t>
      </w:r>
      <w:r w:rsidR="00C21485">
        <w:rPr>
          <w:sz w:val="22"/>
          <w:szCs w:val="22"/>
        </w:rPr>
        <w:t xml:space="preserve">defect is any malfunction or deterioration in the characteristics or performance of the </w:t>
      </w:r>
      <w:r w:rsidR="00711A0E">
        <w:rPr>
          <w:sz w:val="22"/>
          <w:szCs w:val="22"/>
        </w:rPr>
        <w:t xml:space="preserve">medical </w:t>
      </w:r>
      <w:r w:rsidR="00C21485">
        <w:rPr>
          <w:sz w:val="22"/>
          <w:szCs w:val="22"/>
        </w:rPr>
        <w:t xml:space="preserve">device or OTG, or </w:t>
      </w:r>
      <w:r w:rsidR="00711A0E">
        <w:rPr>
          <w:sz w:val="22"/>
          <w:szCs w:val="22"/>
        </w:rPr>
        <w:t xml:space="preserve">any </w:t>
      </w:r>
      <w:r w:rsidR="00C21485">
        <w:rPr>
          <w:sz w:val="22"/>
          <w:szCs w:val="22"/>
        </w:rPr>
        <w:t xml:space="preserve">inadequacy in the design, production, labelling, instructions for use or advertising materials of the </w:t>
      </w:r>
      <w:r w:rsidR="00711A0E">
        <w:rPr>
          <w:sz w:val="22"/>
          <w:szCs w:val="22"/>
        </w:rPr>
        <w:t xml:space="preserve">medical </w:t>
      </w:r>
      <w:r w:rsidR="00C21485">
        <w:rPr>
          <w:sz w:val="22"/>
          <w:szCs w:val="22"/>
        </w:rPr>
        <w:t>device or OTG, that might lead</w:t>
      </w:r>
      <w:r w:rsidR="00FB100B">
        <w:rPr>
          <w:sz w:val="22"/>
          <w:szCs w:val="22"/>
        </w:rPr>
        <w:t>,</w:t>
      </w:r>
      <w:r w:rsidR="00C21485">
        <w:rPr>
          <w:sz w:val="22"/>
          <w:szCs w:val="22"/>
        </w:rPr>
        <w:t xml:space="preserve"> or might have led</w:t>
      </w:r>
      <w:r w:rsidR="00FB100B">
        <w:rPr>
          <w:sz w:val="22"/>
          <w:szCs w:val="22"/>
        </w:rPr>
        <w:t>,</w:t>
      </w:r>
      <w:r w:rsidR="00C21485">
        <w:rPr>
          <w:sz w:val="22"/>
          <w:szCs w:val="22"/>
        </w:rPr>
        <w:t xml:space="preserve"> to the death of, a serious injury to</w:t>
      </w:r>
      <w:r w:rsidR="00D97823">
        <w:rPr>
          <w:sz w:val="22"/>
          <w:szCs w:val="22"/>
        </w:rPr>
        <w:t>,</w:t>
      </w:r>
      <w:r w:rsidR="00C21485">
        <w:rPr>
          <w:sz w:val="22"/>
          <w:szCs w:val="22"/>
        </w:rPr>
        <w:t xml:space="preserve"> or serious deterioration in</w:t>
      </w:r>
      <w:r w:rsidR="00D97823">
        <w:rPr>
          <w:sz w:val="22"/>
          <w:szCs w:val="22"/>
        </w:rPr>
        <w:t>,</w:t>
      </w:r>
      <w:r w:rsidR="00C21485">
        <w:rPr>
          <w:sz w:val="22"/>
          <w:szCs w:val="22"/>
        </w:rPr>
        <w:t xml:space="preserve"> the health of a person.</w:t>
      </w:r>
    </w:p>
    <w:p w14:paraId="3DA02178" w14:textId="77777777" w:rsidR="00C21485" w:rsidRPr="001F6F5D" w:rsidRDefault="00C21485" w:rsidP="0061288B">
      <w:pPr>
        <w:spacing w:before="0" w:after="0"/>
        <w:rPr>
          <w:sz w:val="22"/>
          <w:szCs w:val="22"/>
        </w:rPr>
      </w:pPr>
    </w:p>
    <w:p w14:paraId="11438BAD" w14:textId="2BEE0DBF" w:rsidR="002B7D09" w:rsidRPr="009C7E13" w:rsidRDefault="002B7D09" w:rsidP="0061288B">
      <w:pPr>
        <w:spacing w:before="0" w:after="0"/>
        <w:rPr>
          <w:i/>
          <w:iCs/>
          <w:sz w:val="22"/>
          <w:szCs w:val="22"/>
        </w:rPr>
      </w:pPr>
      <w:r w:rsidRPr="009C7E13">
        <w:rPr>
          <w:i/>
          <w:iCs/>
          <w:sz w:val="22"/>
          <w:szCs w:val="22"/>
        </w:rPr>
        <w:t>The DAEN</w:t>
      </w:r>
      <w:r w:rsidR="009C7E13" w:rsidRPr="009C7E13">
        <w:rPr>
          <w:i/>
          <w:iCs/>
          <w:sz w:val="22"/>
          <w:szCs w:val="22"/>
          <w:shd w:val="clear" w:color="auto" w:fill="FFFFFF"/>
        </w:rPr>
        <w:t xml:space="preserve"> – </w:t>
      </w:r>
      <w:r w:rsidR="005517E1" w:rsidRPr="009C7E13">
        <w:rPr>
          <w:i/>
          <w:iCs/>
          <w:sz w:val="22"/>
          <w:szCs w:val="22"/>
        </w:rPr>
        <w:t xml:space="preserve">Medical </w:t>
      </w:r>
      <w:r w:rsidR="004212A3" w:rsidRPr="009C7E13">
        <w:rPr>
          <w:i/>
          <w:iCs/>
          <w:sz w:val="22"/>
          <w:szCs w:val="22"/>
        </w:rPr>
        <w:t>D</w:t>
      </w:r>
      <w:r w:rsidR="005517E1" w:rsidRPr="009C7E13">
        <w:rPr>
          <w:i/>
          <w:iCs/>
          <w:sz w:val="22"/>
          <w:szCs w:val="22"/>
        </w:rPr>
        <w:t>evices and DAEN</w:t>
      </w:r>
      <w:r w:rsidR="009C7E13" w:rsidRPr="009C7E13">
        <w:rPr>
          <w:i/>
          <w:iCs/>
          <w:sz w:val="22"/>
          <w:szCs w:val="22"/>
          <w:shd w:val="clear" w:color="auto" w:fill="FFFFFF"/>
        </w:rPr>
        <w:t xml:space="preserve"> – </w:t>
      </w:r>
      <w:r w:rsidR="005517E1" w:rsidRPr="009C7E13">
        <w:rPr>
          <w:i/>
          <w:iCs/>
          <w:sz w:val="22"/>
          <w:szCs w:val="22"/>
        </w:rPr>
        <w:t>Medicines</w:t>
      </w:r>
    </w:p>
    <w:p w14:paraId="08CA2098" w14:textId="77777777" w:rsidR="002B7D09" w:rsidRPr="002B7D09" w:rsidRDefault="002B7D09" w:rsidP="0061288B">
      <w:pPr>
        <w:spacing w:before="0" w:after="0"/>
        <w:rPr>
          <w:i/>
          <w:iCs/>
          <w:sz w:val="22"/>
          <w:szCs w:val="22"/>
        </w:rPr>
      </w:pPr>
    </w:p>
    <w:p w14:paraId="48C8B7A1" w14:textId="176C29A0" w:rsidR="00B42E25" w:rsidRPr="00EE70EA" w:rsidRDefault="00D8089C" w:rsidP="00B42E25">
      <w:pPr>
        <w:spacing w:before="0" w:after="0"/>
        <w:rPr>
          <w:sz w:val="22"/>
          <w:szCs w:val="22"/>
        </w:rPr>
      </w:pPr>
      <w:r w:rsidRPr="00D8089C">
        <w:rPr>
          <w:sz w:val="22"/>
          <w:szCs w:val="22"/>
        </w:rPr>
        <w:t>Th</w:t>
      </w:r>
      <w:r w:rsidR="002E626A">
        <w:rPr>
          <w:sz w:val="22"/>
          <w:szCs w:val="22"/>
        </w:rPr>
        <w:t>e</w:t>
      </w:r>
      <w:r w:rsidR="00711A0E">
        <w:rPr>
          <w:sz w:val="22"/>
          <w:szCs w:val="22"/>
        </w:rPr>
        <w:t xml:space="preserve"> DAEN – Medicines and</w:t>
      </w:r>
      <w:r w:rsidR="002E626A">
        <w:rPr>
          <w:sz w:val="22"/>
          <w:szCs w:val="22"/>
        </w:rPr>
        <w:t xml:space="preserve"> DAEN</w:t>
      </w:r>
      <w:r w:rsidR="009C7E13">
        <w:rPr>
          <w:sz w:val="22"/>
          <w:szCs w:val="22"/>
          <w:shd w:val="clear" w:color="auto" w:fill="FFFFFF"/>
        </w:rPr>
        <w:t xml:space="preserve"> – </w:t>
      </w:r>
      <w:r w:rsidR="005517E1">
        <w:rPr>
          <w:sz w:val="22"/>
          <w:szCs w:val="22"/>
        </w:rPr>
        <w:t>Medical Devices</w:t>
      </w:r>
      <w:r w:rsidR="002E626A">
        <w:rPr>
          <w:sz w:val="22"/>
          <w:szCs w:val="22"/>
        </w:rPr>
        <w:t xml:space="preserve"> </w:t>
      </w:r>
      <w:r w:rsidR="00711A0E">
        <w:rPr>
          <w:sz w:val="22"/>
          <w:szCs w:val="22"/>
        </w:rPr>
        <w:t>are</w:t>
      </w:r>
      <w:r w:rsidR="00711A0E" w:rsidRPr="00D8089C">
        <w:rPr>
          <w:sz w:val="22"/>
          <w:szCs w:val="22"/>
        </w:rPr>
        <w:t xml:space="preserve"> </w:t>
      </w:r>
      <w:r w:rsidRPr="00D8089C">
        <w:rPr>
          <w:sz w:val="22"/>
          <w:szCs w:val="22"/>
        </w:rPr>
        <w:t xml:space="preserve">an essential component of the TGA’s work to maintain </w:t>
      </w:r>
      <w:r w:rsidR="00587252">
        <w:rPr>
          <w:sz w:val="22"/>
          <w:szCs w:val="22"/>
        </w:rPr>
        <w:t xml:space="preserve">the </w:t>
      </w:r>
      <w:r w:rsidRPr="00D8089C">
        <w:rPr>
          <w:sz w:val="22"/>
          <w:szCs w:val="22"/>
        </w:rPr>
        <w:t xml:space="preserve">transparency </w:t>
      </w:r>
      <w:r w:rsidR="003975D6" w:rsidRPr="00D8089C">
        <w:rPr>
          <w:sz w:val="22"/>
          <w:szCs w:val="22"/>
        </w:rPr>
        <w:t>of adverse</w:t>
      </w:r>
      <w:r w:rsidRPr="00D8089C">
        <w:rPr>
          <w:sz w:val="22"/>
          <w:szCs w:val="22"/>
        </w:rPr>
        <w:t xml:space="preserve"> event </w:t>
      </w:r>
      <w:r w:rsidR="001F6F5D">
        <w:rPr>
          <w:sz w:val="22"/>
          <w:szCs w:val="22"/>
        </w:rPr>
        <w:t>and defect</w:t>
      </w:r>
      <w:r w:rsidR="005517E1">
        <w:rPr>
          <w:sz w:val="22"/>
          <w:szCs w:val="22"/>
        </w:rPr>
        <w:t xml:space="preserve"> </w:t>
      </w:r>
      <w:r w:rsidRPr="00D8089C">
        <w:rPr>
          <w:sz w:val="22"/>
          <w:szCs w:val="22"/>
        </w:rPr>
        <w:t>information</w:t>
      </w:r>
      <w:r w:rsidR="00587252">
        <w:rPr>
          <w:sz w:val="22"/>
          <w:szCs w:val="22"/>
        </w:rPr>
        <w:t xml:space="preserve"> relating to the </w:t>
      </w:r>
      <w:r w:rsidR="00711A0E">
        <w:rPr>
          <w:sz w:val="22"/>
          <w:szCs w:val="22"/>
        </w:rPr>
        <w:t xml:space="preserve">administration or </w:t>
      </w:r>
      <w:r w:rsidR="00587252">
        <w:rPr>
          <w:sz w:val="22"/>
          <w:szCs w:val="22"/>
        </w:rPr>
        <w:t xml:space="preserve">use of </w:t>
      </w:r>
      <w:r w:rsidR="00711A0E">
        <w:rPr>
          <w:sz w:val="22"/>
          <w:szCs w:val="22"/>
        </w:rPr>
        <w:t>therapeutic goods</w:t>
      </w:r>
      <w:r w:rsidR="005517E1">
        <w:rPr>
          <w:sz w:val="22"/>
          <w:szCs w:val="22"/>
        </w:rPr>
        <w:t xml:space="preserve"> </w:t>
      </w:r>
      <w:r w:rsidR="00587252">
        <w:rPr>
          <w:sz w:val="22"/>
          <w:szCs w:val="22"/>
        </w:rPr>
        <w:t>in Australia</w:t>
      </w:r>
      <w:r w:rsidR="00B42E25">
        <w:rPr>
          <w:sz w:val="22"/>
          <w:szCs w:val="22"/>
        </w:rPr>
        <w:t xml:space="preserve">. </w:t>
      </w:r>
      <w:r w:rsidR="00711A0E">
        <w:rPr>
          <w:sz w:val="22"/>
          <w:szCs w:val="22"/>
        </w:rPr>
        <w:t>These databases are accessed daily by the public</w:t>
      </w:r>
      <w:r w:rsidR="00887424">
        <w:rPr>
          <w:sz w:val="22"/>
          <w:szCs w:val="22"/>
        </w:rPr>
        <w:t xml:space="preserve"> and there is a high level of community interest and focus on adverse event information, and importance in ensuring public access to it</w:t>
      </w:r>
      <w:r w:rsidR="00711A0E">
        <w:rPr>
          <w:sz w:val="22"/>
          <w:szCs w:val="22"/>
        </w:rPr>
        <w:t>.</w:t>
      </w:r>
      <w:r w:rsidR="00887424">
        <w:rPr>
          <w:sz w:val="22"/>
          <w:szCs w:val="22"/>
        </w:rPr>
        <w:t xml:space="preserve"> These databases also support research and analysis relating to therapeutic goods adverse events, which may in turn inform and provide insights to improve future regulation to prevent and better </w:t>
      </w:r>
      <w:r w:rsidR="00887424" w:rsidRPr="00E56351">
        <w:rPr>
          <w:sz w:val="22"/>
          <w:szCs w:val="22"/>
        </w:rPr>
        <w:t>address such events.</w:t>
      </w:r>
    </w:p>
    <w:p w14:paraId="69207B67" w14:textId="77777777" w:rsidR="00B42E25" w:rsidRPr="00E56351" w:rsidRDefault="00B42E25" w:rsidP="0061288B">
      <w:pPr>
        <w:spacing w:before="0" w:after="0"/>
        <w:rPr>
          <w:sz w:val="22"/>
          <w:szCs w:val="22"/>
        </w:rPr>
      </w:pPr>
    </w:p>
    <w:p w14:paraId="649A5597" w14:textId="7B84BF00" w:rsidR="005517E1" w:rsidRDefault="005517E1" w:rsidP="0061288B">
      <w:pPr>
        <w:spacing w:before="0" w:after="0"/>
        <w:rPr>
          <w:sz w:val="22"/>
          <w:szCs w:val="22"/>
        </w:rPr>
      </w:pPr>
      <w:r>
        <w:rPr>
          <w:sz w:val="22"/>
          <w:szCs w:val="22"/>
        </w:rPr>
        <w:t>Members of the public including</w:t>
      </w:r>
      <w:proofErr w:type="gramStart"/>
      <w:r>
        <w:rPr>
          <w:sz w:val="22"/>
          <w:szCs w:val="22"/>
        </w:rPr>
        <w:t>, in particular, c</w:t>
      </w:r>
      <w:r w:rsidR="004A3F46" w:rsidRPr="004A3F46">
        <w:rPr>
          <w:sz w:val="22"/>
          <w:szCs w:val="22"/>
        </w:rPr>
        <w:t>onsumers</w:t>
      </w:r>
      <w:proofErr w:type="gramEnd"/>
      <w:r w:rsidR="004A3F46" w:rsidRPr="004A3F46">
        <w:rPr>
          <w:sz w:val="22"/>
          <w:szCs w:val="22"/>
        </w:rPr>
        <w:t>, health pr</w:t>
      </w:r>
      <w:r w:rsidR="00587252">
        <w:rPr>
          <w:sz w:val="22"/>
          <w:szCs w:val="22"/>
        </w:rPr>
        <w:t>actitioners,</w:t>
      </w:r>
      <w:r w:rsidR="004A3F46" w:rsidRPr="004A3F46">
        <w:rPr>
          <w:sz w:val="22"/>
          <w:szCs w:val="22"/>
        </w:rPr>
        <w:t xml:space="preserve"> </w:t>
      </w:r>
      <w:r w:rsidR="00587252">
        <w:rPr>
          <w:sz w:val="22"/>
          <w:szCs w:val="22"/>
        </w:rPr>
        <w:t>sponsors and manufacturers</w:t>
      </w:r>
      <w:r w:rsidR="004A3F46" w:rsidRPr="004A3F46">
        <w:rPr>
          <w:sz w:val="22"/>
          <w:szCs w:val="22"/>
        </w:rPr>
        <w:t xml:space="preserve"> can search </w:t>
      </w:r>
      <w:r w:rsidR="00AA0E3B">
        <w:rPr>
          <w:sz w:val="22"/>
          <w:szCs w:val="22"/>
        </w:rPr>
        <w:t>the</w:t>
      </w:r>
      <w:r w:rsidR="00587252">
        <w:rPr>
          <w:sz w:val="22"/>
          <w:szCs w:val="22"/>
        </w:rPr>
        <w:t xml:space="preserve"> DAEN</w:t>
      </w:r>
      <w:r w:rsidR="008E70B5">
        <w:rPr>
          <w:sz w:val="22"/>
          <w:szCs w:val="22"/>
          <w:shd w:val="clear" w:color="auto" w:fill="FFFFFF"/>
        </w:rPr>
        <w:t xml:space="preserve"> – </w:t>
      </w:r>
      <w:r>
        <w:rPr>
          <w:sz w:val="22"/>
          <w:szCs w:val="22"/>
        </w:rPr>
        <w:t>Medicines</w:t>
      </w:r>
      <w:r w:rsidR="00587252" w:rsidRPr="00370499">
        <w:rPr>
          <w:sz w:val="22"/>
          <w:szCs w:val="22"/>
        </w:rPr>
        <w:t xml:space="preserve"> </w:t>
      </w:r>
      <w:r w:rsidR="004A3F46" w:rsidRPr="004A3F46">
        <w:rPr>
          <w:sz w:val="22"/>
          <w:szCs w:val="22"/>
        </w:rPr>
        <w:t>and view data about adverse event reports</w:t>
      </w:r>
      <w:r w:rsidR="00B42E25">
        <w:rPr>
          <w:sz w:val="22"/>
          <w:szCs w:val="22"/>
        </w:rPr>
        <w:t xml:space="preserve"> relating to medicines and biologicals</w:t>
      </w:r>
      <w:r w:rsidR="00CD488E">
        <w:rPr>
          <w:sz w:val="22"/>
          <w:szCs w:val="22"/>
        </w:rPr>
        <w:t>.</w:t>
      </w:r>
      <w:r w:rsidR="004A3F46" w:rsidRPr="004A3F46">
        <w:rPr>
          <w:sz w:val="22"/>
          <w:szCs w:val="22"/>
        </w:rPr>
        <w:t xml:space="preserve"> </w:t>
      </w:r>
      <w:r w:rsidR="00CD488E">
        <w:rPr>
          <w:sz w:val="22"/>
          <w:szCs w:val="22"/>
        </w:rPr>
        <w:t xml:space="preserve">This </w:t>
      </w:r>
      <w:r w:rsidR="004A3F46" w:rsidRPr="004A3F46">
        <w:rPr>
          <w:sz w:val="22"/>
          <w:szCs w:val="22"/>
        </w:rPr>
        <w:t>includ</w:t>
      </w:r>
      <w:r w:rsidR="00CD488E">
        <w:rPr>
          <w:sz w:val="22"/>
          <w:szCs w:val="22"/>
        </w:rPr>
        <w:t>es, for example,</w:t>
      </w:r>
      <w:r w:rsidR="004A3F46" w:rsidRPr="004A3F46">
        <w:rPr>
          <w:sz w:val="22"/>
          <w:szCs w:val="22"/>
        </w:rPr>
        <w:t xml:space="preserve"> the name of the medicine</w:t>
      </w:r>
      <w:r w:rsidR="00587252">
        <w:rPr>
          <w:sz w:val="22"/>
          <w:szCs w:val="22"/>
        </w:rPr>
        <w:t xml:space="preserve"> or biological</w:t>
      </w:r>
      <w:r w:rsidR="002714A8">
        <w:rPr>
          <w:sz w:val="22"/>
          <w:szCs w:val="22"/>
        </w:rPr>
        <w:t xml:space="preserve">, </w:t>
      </w:r>
      <w:r w:rsidR="004A3F46" w:rsidRPr="004A3F46">
        <w:rPr>
          <w:sz w:val="22"/>
          <w:szCs w:val="22"/>
        </w:rPr>
        <w:t>de-identified patient details (age and gender) and scientific terms that describe the event. The search results also include summaries of the total number of cases in relation to a medicine</w:t>
      </w:r>
      <w:r w:rsidR="00587252">
        <w:rPr>
          <w:sz w:val="22"/>
          <w:szCs w:val="22"/>
        </w:rPr>
        <w:t xml:space="preserve"> or biological</w:t>
      </w:r>
      <w:r w:rsidR="004A3F46" w:rsidRPr="004A3F46">
        <w:rPr>
          <w:sz w:val="22"/>
          <w:szCs w:val="22"/>
        </w:rPr>
        <w:t xml:space="preserve">, </w:t>
      </w:r>
      <w:r w:rsidR="00587252">
        <w:rPr>
          <w:sz w:val="22"/>
          <w:szCs w:val="22"/>
        </w:rPr>
        <w:t xml:space="preserve">the </w:t>
      </w:r>
      <w:r w:rsidR="004A3F46" w:rsidRPr="004A3F46">
        <w:rPr>
          <w:sz w:val="22"/>
          <w:szCs w:val="22"/>
        </w:rPr>
        <w:t>number of cases where death was a reported outcome</w:t>
      </w:r>
      <w:r w:rsidR="00882689">
        <w:rPr>
          <w:sz w:val="22"/>
          <w:szCs w:val="22"/>
        </w:rPr>
        <w:t>,</w:t>
      </w:r>
      <w:r w:rsidR="004A3F46" w:rsidRPr="004A3F46">
        <w:rPr>
          <w:sz w:val="22"/>
          <w:szCs w:val="22"/>
        </w:rPr>
        <w:t xml:space="preserve"> and </w:t>
      </w:r>
      <w:r w:rsidR="00587252">
        <w:rPr>
          <w:sz w:val="22"/>
          <w:szCs w:val="22"/>
        </w:rPr>
        <w:t xml:space="preserve">the </w:t>
      </w:r>
      <w:r w:rsidR="004A3F46" w:rsidRPr="004A3F46">
        <w:rPr>
          <w:sz w:val="22"/>
          <w:szCs w:val="22"/>
        </w:rPr>
        <w:t>number of cases w</w:t>
      </w:r>
      <w:r w:rsidR="004A3F46">
        <w:rPr>
          <w:sz w:val="22"/>
          <w:szCs w:val="22"/>
        </w:rPr>
        <w:t>h</w:t>
      </w:r>
      <w:r w:rsidR="004A3F46" w:rsidRPr="004A3F46">
        <w:rPr>
          <w:sz w:val="22"/>
          <w:szCs w:val="22"/>
        </w:rPr>
        <w:t xml:space="preserve">ere the medicine </w:t>
      </w:r>
      <w:r w:rsidR="00587252">
        <w:rPr>
          <w:sz w:val="22"/>
          <w:szCs w:val="22"/>
        </w:rPr>
        <w:t xml:space="preserve">or biological </w:t>
      </w:r>
      <w:r w:rsidR="004A3F46" w:rsidRPr="004A3F46">
        <w:rPr>
          <w:sz w:val="22"/>
          <w:szCs w:val="22"/>
        </w:rPr>
        <w:t xml:space="preserve">was the </w:t>
      </w:r>
      <w:r w:rsidR="00587252">
        <w:rPr>
          <w:sz w:val="22"/>
          <w:szCs w:val="22"/>
        </w:rPr>
        <w:t>only therapeutic good</w:t>
      </w:r>
      <w:r w:rsidR="004A3F46">
        <w:rPr>
          <w:sz w:val="22"/>
          <w:szCs w:val="22"/>
        </w:rPr>
        <w:t xml:space="preserve"> suspected of being related to the adverse event</w:t>
      </w:r>
      <w:r w:rsidR="004A3F46" w:rsidRPr="004A3F46">
        <w:rPr>
          <w:sz w:val="22"/>
          <w:szCs w:val="22"/>
        </w:rPr>
        <w:t>.</w:t>
      </w:r>
    </w:p>
    <w:p w14:paraId="6B66F18A" w14:textId="3977D3CB" w:rsidR="00ED2D12" w:rsidRDefault="00ED2D12" w:rsidP="0061288B">
      <w:pPr>
        <w:spacing w:before="0" w:after="0"/>
        <w:rPr>
          <w:sz w:val="22"/>
          <w:szCs w:val="22"/>
        </w:rPr>
      </w:pPr>
    </w:p>
    <w:p w14:paraId="4504F6B3" w14:textId="5900E9EA" w:rsidR="00B42E25" w:rsidRDefault="005517E1" w:rsidP="0061288B">
      <w:pPr>
        <w:spacing w:before="0" w:after="0"/>
        <w:rPr>
          <w:sz w:val="22"/>
          <w:szCs w:val="22"/>
        </w:rPr>
      </w:pPr>
      <w:r>
        <w:rPr>
          <w:sz w:val="22"/>
          <w:szCs w:val="22"/>
        </w:rPr>
        <w:t xml:space="preserve">Similarly, members of the public can search the </w:t>
      </w:r>
      <w:r w:rsidR="008E70B5">
        <w:rPr>
          <w:sz w:val="22"/>
          <w:szCs w:val="22"/>
        </w:rPr>
        <w:t>DAEN</w:t>
      </w:r>
      <w:r w:rsidR="008E70B5">
        <w:rPr>
          <w:sz w:val="22"/>
          <w:szCs w:val="22"/>
          <w:shd w:val="clear" w:color="auto" w:fill="FFFFFF"/>
        </w:rPr>
        <w:t xml:space="preserve"> – </w:t>
      </w:r>
      <w:r w:rsidR="008E70B5">
        <w:rPr>
          <w:sz w:val="22"/>
          <w:szCs w:val="22"/>
        </w:rPr>
        <w:t xml:space="preserve">Medical Devices </w:t>
      </w:r>
      <w:r>
        <w:rPr>
          <w:sz w:val="22"/>
          <w:szCs w:val="22"/>
        </w:rPr>
        <w:t>to view information about</w:t>
      </w:r>
      <w:r w:rsidR="00B42E25">
        <w:rPr>
          <w:sz w:val="22"/>
          <w:szCs w:val="22"/>
        </w:rPr>
        <w:t xml:space="preserve"> adverse </w:t>
      </w:r>
      <w:r w:rsidR="00E47F76">
        <w:rPr>
          <w:sz w:val="22"/>
          <w:szCs w:val="22"/>
        </w:rPr>
        <w:t xml:space="preserve">events </w:t>
      </w:r>
      <w:r w:rsidR="00B42E25">
        <w:rPr>
          <w:sz w:val="22"/>
          <w:szCs w:val="22"/>
        </w:rPr>
        <w:t xml:space="preserve">and </w:t>
      </w:r>
      <w:r w:rsidR="00C21485">
        <w:rPr>
          <w:sz w:val="22"/>
          <w:szCs w:val="22"/>
        </w:rPr>
        <w:t>defects</w:t>
      </w:r>
      <w:r w:rsidR="00B42E25">
        <w:rPr>
          <w:sz w:val="22"/>
          <w:szCs w:val="22"/>
        </w:rPr>
        <w:t xml:space="preserve"> </w:t>
      </w:r>
      <w:r>
        <w:rPr>
          <w:sz w:val="22"/>
          <w:szCs w:val="22"/>
        </w:rPr>
        <w:t>relating to medical devices and OTGs</w:t>
      </w:r>
      <w:r w:rsidR="00CD488E">
        <w:rPr>
          <w:sz w:val="22"/>
          <w:szCs w:val="22"/>
        </w:rPr>
        <w:t>. This</w:t>
      </w:r>
      <w:r>
        <w:rPr>
          <w:sz w:val="22"/>
          <w:szCs w:val="22"/>
        </w:rPr>
        <w:t xml:space="preserve"> </w:t>
      </w:r>
      <w:r w:rsidR="00B42E25">
        <w:rPr>
          <w:sz w:val="22"/>
          <w:szCs w:val="22"/>
        </w:rPr>
        <w:t>includ</w:t>
      </w:r>
      <w:r w:rsidR="00CD488E">
        <w:rPr>
          <w:sz w:val="22"/>
          <w:szCs w:val="22"/>
        </w:rPr>
        <w:t>es</w:t>
      </w:r>
      <w:r w:rsidR="00B42E25">
        <w:rPr>
          <w:sz w:val="22"/>
          <w:szCs w:val="22"/>
        </w:rPr>
        <w:t xml:space="preserve"> </w:t>
      </w:r>
      <w:r>
        <w:rPr>
          <w:sz w:val="22"/>
          <w:szCs w:val="22"/>
        </w:rPr>
        <w:t>details about the device or OTG</w:t>
      </w:r>
      <w:r w:rsidR="00C335D6">
        <w:rPr>
          <w:sz w:val="22"/>
          <w:szCs w:val="22"/>
        </w:rPr>
        <w:t xml:space="preserve"> </w:t>
      </w:r>
      <w:r w:rsidR="00752EFB">
        <w:rPr>
          <w:sz w:val="22"/>
          <w:szCs w:val="22"/>
        </w:rPr>
        <w:t xml:space="preserve">such as </w:t>
      </w:r>
      <w:r w:rsidR="00C102B5">
        <w:rPr>
          <w:sz w:val="22"/>
          <w:szCs w:val="22"/>
        </w:rPr>
        <w:t xml:space="preserve">the </w:t>
      </w:r>
      <w:r w:rsidR="00C335D6">
        <w:rPr>
          <w:sz w:val="22"/>
          <w:szCs w:val="22"/>
        </w:rPr>
        <w:t>trade name, ARTG number, GMDN term, device classification,</w:t>
      </w:r>
      <w:r w:rsidR="00752EFB">
        <w:rPr>
          <w:sz w:val="22"/>
          <w:szCs w:val="22"/>
        </w:rPr>
        <w:t xml:space="preserve"> </w:t>
      </w:r>
      <w:r w:rsidR="00C102B5">
        <w:rPr>
          <w:sz w:val="22"/>
          <w:szCs w:val="22"/>
        </w:rPr>
        <w:t xml:space="preserve">model number, software version, </w:t>
      </w:r>
      <w:r w:rsidR="00752EFB">
        <w:rPr>
          <w:sz w:val="22"/>
          <w:szCs w:val="22"/>
        </w:rPr>
        <w:t>whether the device or OTG is supplied in a sterile state</w:t>
      </w:r>
      <w:r w:rsidR="00CD488E">
        <w:rPr>
          <w:sz w:val="22"/>
          <w:szCs w:val="22"/>
        </w:rPr>
        <w:t>,</w:t>
      </w:r>
      <w:r w:rsidR="00C102B5">
        <w:rPr>
          <w:sz w:val="22"/>
          <w:szCs w:val="22"/>
        </w:rPr>
        <w:t xml:space="preserve"> and</w:t>
      </w:r>
      <w:r w:rsidR="00752EFB">
        <w:rPr>
          <w:sz w:val="22"/>
          <w:szCs w:val="22"/>
        </w:rPr>
        <w:t xml:space="preserve"> whether the device or OTG is single use.</w:t>
      </w:r>
      <w:r w:rsidR="00C102B5">
        <w:rPr>
          <w:sz w:val="22"/>
          <w:szCs w:val="22"/>
        </w:rPr>
        <w:t xml:space="preserve"> In addition, details of</w:t>
      </w:r>
      <w:r>
        <w:rPr>
          <w:sz w:val="22"/>
          <w:szCs w:val="22"/>
        </w:rPr>
        <w:t xml:space="preserve"> </w:t>
      </w:r>
      <w:r w:rsidR="00B42E25">
        <w:rPr>
          <w:sz w:val="22"/>
          <w:szCs w:val="22"/>
        </w:rPr>
        <w:t>the name</w:t>
      </w:r>
      <w:r>
        <w:rPr>
          <w:sz w:val="22"/>
          <w:szCs w:val="22"/>
        </w:rPr>
        <w:t xml:space="preserve"> of the sponsor or</w:t>
      </w:r>
      <w:r w:rsidR="00B42E25">
        <w:rPr>
          <w:sz w:val="22"/>
          <w:szCs w:val="22"/>
        </w:rPr>
        <w:t xml:space="preserve"> manufacturer, a description of the event and the outcome,</w:t>
      </w:r>
      <w:r w:rsidR="002F0CA4">
        <w:rPr>
          <w:sz w:val="22"/>
          <w:szCs w:val="22"/>
        </w:rPr>
        <w:t xml:space="preserve"> </w:t>
      </w:r>
      <w:r w:rsidR="00711A0E">
        <w:rPr>
          <w:sz w:val="22"/>
          <w:szCs w:val="22"/>
        </w:rPr>
        <w:t>the category of reporter</w:t>
      </w:r>
      <w:r w:rsidR="002F0CA4">
        <w:rPr>
          <w:sz w:val="22"/>
          <w:szCs w:val="22"/>
        </w:rPr>
        <w:t xml:space="preserve"> (</w:t>
      </w:r>
      <w:proofErr w:type="gramStart"/>
      <w:r w:rsidR="002F0CA4">
        <w:rPr>
          <w:sz w:val="22"/>
          <w:szCs w:val="22"/>
        </w:rPr>
        <w:t>e.g.</w:t>
      </w:r>
      <w:proofErr w:type="gramEnd"/>
      <w:r w:rsidR="002F0CA4">
        <w:rPr>
          <w:sz w:val="22"/>
          <w:szCs w:val="22"/>
        </w:rPr>
        <w:t xml:space="preserve"> consumer, health professional, etc.) and details of any other medical devices </w:t>
      </w:r>
      <w:r>
        <w:rPr>
          <w:sz w:val="22"/>
          <w:szCs w:val="22"/>
        </w:rPr>
        <w:t xml:space="preserve">or OTGs </w:t>
      </w:r>
      <w:r w:rsidR="002F0CA4">
        <w:rPr>
          <w:sz w:val="22"/>
          <w:szCs w:val="22"/>
        </w:rPr>
        <w:t>involved</w:t>
      </w:r>
      <w:r>
        <w:rPr>
          <w:sz w:val="22"/>
          <w:szCs w:val="22"/>
        </w:rPr>
        <w:t xml:space="preserve"> in the event</w:t>
      </w:r>
      <w:r w:rsidR="00C102B5">
        <w:rPr>
          <w:sz w:val="22"/>
          <w:szCs w:val="22"/>
        </w:rPr>
        <w:t xml:space="preserve"> are also reported in the DAEN – Medical Devices</w:t>
      </w:r>
      <w:r w:rsidR="002F0CA4">
        <w:rPr>
          <w:sz w:val="22"/>
          <w:szCs w:val="22"/>
        </w:rPr>
        <w:t>.</w:t>
      </w:r>
    </w:p>
    <w:p w14:paraId="7FF4014B" w14:textId="4012ACAA" w:rsidR="00A473AB" w:rsidRPr="00241846" w:rsidRDefault="00A473AB" w:rsidP="0061288B">
      <w:pPr>
        <w:spacing w:before="0" w:after="0"/>
        <w:rPr>
          <w:i/>
          <w:iCs/>
          <w:sz w:val="22"/>
          <w:szCs w:val="22"/>
        </w:rPr>
      </w:pPr>
      <w:r w:rsidRPr="00241846">
        <w:rPr>
          <w:i/>
          <w:iCs/>
          <w:sz w:val="22"/>
          <w:szCs w:val="22"/>
        </w:rPr>
        <w:lastRenderedPageBreak/>
        <w:t>The former Specifications</w:t>
      </w:r>
    </w:p>
    <w:p w14:paraId="5230657A" w14:textId="42D098A6" w:rsidR="002F0CA4" w:rsidRDefault="002F0CA4" w:rsidP="0061288B">
      <w:pPr>
        <w:spacing w:before="0" w:after="0"/>
        <w:rPr>
          <w:sz w:val="22"/>
          <w:szCs w:val="22"/>
        </w:rPr>
      </w:pPr>
    </w:p>
    <w:p w14:paraId="6EAE40B8" w14:textId="77777777" w:rsidR="00A473AB" w:rsidRDefault="00A473AB" w:rsidP="00A473AB">
      <w:pPr>
        <w:spacing w:before="0" w:after="0"/>
        <w:rPr>
          <w:sz w:val="22"/>
          <w:szCs w:val="22"/>
        </w:rPr>
      </w:pPr>
      <w:r>
        <w:rPr>
          <w:sz w:val="22"/>
          <w:szCs w:val="22"/>
        </w:rPr>
        <w:t>The former DAEN</w:t>
      </w:r>
      <w:r>
        <w:rPr>
          <w:sz w:val="22"/>
          <w:szCs w:val="22"/>
          <w:shd w:val="clear" w:color="auto" w:fill="FFFFFF"/>
        </w:rPr>
        <w:t xml:space="preserve"> – </w:t>
      </w:r>
      <w:r>
        <w:rPr>
          <w:sz w:val="22"/>
          <w:szCs w:val="22"/>
        </w:rPr>
        <w:t>Medicines Specification came into force in 2022 and specified,</w:t>
      </w:r>
      <w:r w:rsidRPr="00D92AE5">
        <w:rPr>
          <w:sz w:val="22"/>
          <w:szCs w:val="22"/>
        </w:rPr>
        <w:t xml:space="preserve"> under subsection</w:t>
      </w:r>
      <w:r>
        <w:rPr>
          <w:sz w:val="22"/>
          <w:szCs w:val="22"/>
        </w:rPr>
        <w:t> </w:t>
      </w:r>
      <w:r w:rsidRPr="00D92AE5">
        <w:rPr>
          <w:sz w:val="22"/>
          <w:szCs w:val="22"/>
        </w:rPr>
        <w:t xml:space="preserve">61(5D) of the Act, kinds of adverse event information relating to </w:t>
      </w:r>
      <w:r>
        <w:rPr>
          <w:sz w:val="22"/>
          <w:szCs w:val="22"/>
        </w:rPr>
        <w:t>both medicines and biologicals contained in the DAEN</w:t>
      </w:r>
      <w:r>
        <w:rPr>
          <w:sz w:val="22"/>
          <w:szCs w:val="22"/>
          <w:shd w:val="clear" w:color="auto" w:fill="FFFFFF"/>
        </w:rPr>
        <w:t xml:space="preserve"> – </w:t>
      </w:r>
      <w:r>
        <w:rPr>
          <w:sz w:val="22"/>
          <w:szCs w:val="22"/>
        </w:rPr>
        <w:t>Medicines. That information</w:t>
      </w:r>
      <w:r w:rsidRPr="00D92AE5">
        <w:rPr>
          <w:sz w:val="22"/>
          <w:szCs w:val="22"/>
        </w:rPr>
        <w:t xml:space="preserve"> </w:t>
      </w:r>
      <w:r>
        <w:rPr>
          <w:sz w:val="22"/>
          <w:szCs w:val="22"/>
        </w:rPr>
        <w:t>could</w:t>
      </w:r>
      <w:r w:rsidRPr="00D92AE5">
        <w:rPr>
          <w:sz w:val="22"/>
          <w:szCs w:val="22"/>
        </w:rPr>
        <w:t xml:space="preserve"> </w:t>
      </w:r>
      <w:r>
        <w:rPr>
          <w:sz w:val="22"/>
          <w:szCs w:val="22"/>
        </w:rPr>
        <w:t>be released by the Secretary to the public</w:t>
      </w:r>
      <w:r w:rsidRPr="00D92AE5">
        <w:rPr>
          <w:sz w:val="22"/>
          <w:szCs w:val="22"/>
        </w:rPr>
        <w:t xml:space="preserve"> under subsection</w:t>
      </w:r>
      <w:r>
        <w:rPr>
          <w:sz w:val="22"/>
          <w:szCs w:val="22"/>
        </w:rPr>
        <w:t> </w:t>
      </w:r>
      <w:r w:rsidRPr="00D92AE5">
        <w:rPr>
          <w:sz w:val="22"/>
          <w:szCs w:val="22"/>
        </w:rPr>
        <w:t xml:space="preserve">61(5C) of the Act. </w:t>
      </w:r>
      <w:r>
        <w:rPr>
          <w:sz w:val="22"/>
          <w:szCs w:val="22"/>
        </w:rPr>
        <w:t>The former DAEN</w:t>
      </w:r>
      <w:r>
        <w:rPr>
          <w:sz w:val="22"/>
          <w:szCs w:val="22"/>
          <w:shd w:val="clear" w:color="auto" w:fill="FFFFFF"/>
        </w:rPr>
        <w:t xml:space="preserve"> – </w:t>
      </w:r>
      <w:r>
        <w:rPr>
          <w:sz w:val="22"/>
          <w:szCs w:val="22"/>
        </w:rPr>
        <w:t>Medicines Specification enabled</w:t>
      </w:r>
      <w:r w:rsidRPr="00BB1CB9">
        <w:rPr>
          <w:sz w:val="22"/>
          <w:szCs w:val="22"/>
        </w:rPr>
        <w:t xml:space="preserve"> the TGA to publicly display </w:t>
      </w:r>
      <w:r>
        <w:rPr>
          <w:sz w:val="22"/>
          <w:szCs w:val="22"/>
        </w:rPr>
        <w:t>de-identified data</w:t>
      </w:r>
      <w:r w:rsidRPr="00BB1CB9">
        <w:rPr>
          <w:sz w:val="22"/>
          <w:szCs w:val="22"/>
        </w:rPr>
        <w:t xml:space="preserve"> about reports</w:t>
      </w:r>
      <w:r>
        <w:rPr>
          <w:sz w:val="22"/>
          <w:szCs w:val="22"/>
        </w:rPr>
        <w:t xml:space="preserve"> of adver</w:t>
      </w:r>
      <w:r w:rsidRPr="00BB1CB9">
        <w:rPr>
          <w:sz w:val="22"/>
          <w:szCs w:val="22"/>
        </w:rPr>
        <w:t>se event</w:t>
      </w:r>
      <w:r>
        <w:rPr>
          <w:sz w:val="22"/>
          <w:szCs w:val="22"/>
        </w:rPr>
        <w:t>s</w:t>
      </w:r>
      <w:r w:rsidRPr="00BB1CB9">
        <w:rPr>
          <w:sz w:val="22"/>
          <w:szCs w:val="22"/>
        </w:rPr>
        <w:t xml:space="preserve"> </w:t>
      </w:r>
      <w:r>
        <w:rPr>
          <w:sz w:val="22"/>
          <w:szCs w:val="22"/>
        </w:rPr>
        <w:t>that the TGA</w:t>
      </w:r>
      <w:r w:rsidRPr="00BB1CB9">
        <w:rPr>
          <w:sz w:val="22"/>
          <w:szCs w:val="22"/>
        </w:rPr>
        <w:t xml:space="preserve"> </w:t>
      </w:r>
      <w:r>
        <w:rPr>
          <w:sz w:val="22"/>
          <w:szCs w:val="22"/>
        </w:rPr>
        <w:t>had received in relation to medicines, including vaccines, and biologicals in Australia.</w:t>
      </w:r>
    </w:p>
    <w:p w14:paraId="2DF5CD94" w14:textId="77777777" w:rsidR="00A473AB" w:rsidRDefault="00A473AB" w:rsidP="00A473AB">
      <w:pPr>
        <w:spacing w:before="0" w:after="0"/>
        <w:rPr>
          <w:sz w:val="22"/>
          <w:szCs w:val="22"/>
        </w:rPr>
      </w:pPr>
    </w:p>
    <w:p w14:paraId="577CDDFD" w14:textId="30B27E10" w:rsidR="00A473AB" w:rsidRDefault="00A473AB" w:rsidP="0061288B">
      <w:pPr>
        <w:spacing w:before="0" w:after="0"/>
        <w:rPr>
          <w:sz w:val="22"/>
          <w:szCs w:val="22"/>
        </w:rPr>
      </w:pPr>
      <w:r>
        <w:rPr>
          <w:sz w:val="22"/>
          <w:szCs w:val="22"/>
        </w:rPr>
        <w:t>The former DAEN</w:t>
      </w:r>
      <w:r>
        <w:rPr>
          <w:sz w:val="22"/>
          <w:szCs w:val="22"/>
          <w:shd w:val="clear" w:color="auto" w:fill="FFFFFF"/>
        </w:rPr>
        <w:t xml:space="preserve"> – </w:t>
      </w:r>
      <w:r>
        <w:rPr>
          <w:sz w:val="22"/>
          <w:szCs w:val="22"/>
        </w:rPr>
        <w:t xml:space="preserve">Medical Devices Specification came into force in 2013 and specified, </w:t>
      </w:r>
      <w:r w:rsidRPr="00D92AE5">
        <w:rPr>
          <w:sz w:val="22"/>
          <w:szCs w:val="22"/>
        </w:rPr>
        <w:t xml:space="preserve">under subsection 61(5D) of the Act, kinds of adverse event </w:t>
      </w:r>
      <w:r>
        <w:rPr>
          <w:sz w:val="22"/>
          <w:szCs w:val="22"/>
        </w:rPr>
        <w:t xml:space="preserve">and near adverse event </w:t>
      </w:r>
      <w:r w:rsidRPr="00D92AE5">
        <w:rPr>
          <w:sz w:val="22"/>
          <w:szCs w:val="22"/>
        </w:rPr>
        <w:t>information relating to</w:t>
      </w:r>
      <w:r>
        <w:rPr>
          <w:sz w:val="22"/>
          <w:szCs w:val="22"/>
        </w:rPr>
        <w:t xml:space="preserve"> medical devices contained in the DAEN</w:t>
      </w:r>
      <w:r>
        <w:rPr>
          <w:sz w:val="22"/>
          <w:szCs w:val="22"/>
          <w:shd w:val="clear" w:color="auto" w:fill="FFFFFF"/>
        </w:rPr>
        <w:t xml:space="preserve"> – </w:t>
      </w:r>
      <w:r>
        <w:rPr>
          <w:sz w:val="22"/>
          <w:szCs w:val="22"/>
        </w:rPr>
        <w:t xml:space="preserve">Medical Devices. That information could be released by the Secretary to the public under subsection 61(5C) of the Act. </w:t>
      </w:r>
      <w:r w:rsidR="0061305E">
        <w:rPr>
          <w:sz w:val="22"/>
          <w:szCs w:val="22"/>
        </w:rPr>
        <w:t>The former DAEN</w:t>
      </w:r>
      <w:r w:rsidR="0061305E">
        <w:rPr>
          <w:sz w:val="22"/>
          <w:szCs w:val="22"/>
          <w:shd w:val="clear" w:color="auto" w:fill="FFFFFF"/>
        </w:rPr>
        <w:t xml:space="preserve"> – </w:t>
      </w:r>
      <w:r w:rsidR="0061305E">
        <w:rPr>
          <w:sz w:val="22"/>
          <w:szCs w:val="22"/>
        </w:rPr>
        <w:t xml:space="preserve">Medical Devices Specification also specified information relating to adverse events, or near adverse events, in New Zealand. This was for the purpose of supporting a single, publicly accessible database of adverse event notifications in Australia and New Zealand </w:t>
      </w:r>
      <w:r w:rsidR="008A53B5">
        <w:rPr>
          <w:sz w:val="22"/>
          <w:szCs w:val="22"/>
        </w:rPr>
        <w:t xml:space="preserve">that was </w:t>
      </w:r>
      <w:r w:rsidR="0061305E">
        <w:rPr>
          <w:sz w:val="22"/>
          <w:szCs w:val="22"/>
        </w:rPr>
        <w:t>to be administered by the joint regulatory agency that was proposed at the time. The joint regulatory agency did not proceed and the DAEN – Medical Devices does not contain any information relating to adverse events in New Zealand.</w:t>
      </w:r>
    </w:p>
    <w:p w14:paraId="7E3BEC4D" w14:textId="77777777" w:rsidR="00A473AB" w:rsidRDefault="00A473AB" w:rsidP="0061288B">
      <w:pPr>
        <w:spacing w:before="0" w:after="0"/>
        <w:rPr>
          <w:sz w:val="22"/>
          <w:szCs w:val="22"/>
        </w:rPr>
      </w:pPr>
    </w:p>
    <w:p w14:paraId="535C68E4" w14:textId="5BE1EFB8" w:rsidR="00887424" w:rsidRPr="00241846" w:rsidRDefault="00A473AB" w:rsidP="00887424">
      <w:pPr>
        <w:spacing w:before="0" w:after="0"/>
        <w:rPr>
          <w:b/>
          <w:bCs/>
          <w:sz w:val="22"/>
          <w:szCs w:val="22"/>
        </w:rPr>
      </w:pPr>
      <w:r w:rsidRPr="00241846">
        <w:rPr>
          <w:b/>
          <w:bCs/>
          <w:sz w:val="22"/>
          <w:szCs w:val="22"/>
        </w:rPr>
        <w:t>Purpose</w:t>
      </w:r>
    </w:p>
    <w:p w14:paraId="1B30CB2C" w14:textId="77777777" w:rsidR="00887424" w:rsidRPr="002B7D09" w:rsidRDefault="00887424" w:rsidP="00887424">
      <w:pPr>
        <w:spacing w:before="0" w:after="0"/>
        <w:rPr>
          <w:i/>
          <w:iCs/>
          <w:sz w:val="22"/>
          <w:szCs w:val="22"/>
        </w:rPr>
      </w:pPr>
    </w:p>
    <w:p w14:paraId="162D601D" w14:textId="727D6E07" w:rsidR="00A473AB" w:rsidRDefault="00A473AB" w:rsidP="00887424">
      <w:pPr>
        <w:spacing w:before="0" w:after="0"/>
        <w:rPr>
          <w:sz w:val="22"/>
          <w:szCs w:val="22"/>
        </w:rPr>
      </w:pPr>
      <w:r>
        <w:rPr>
          <w:sz w:val="22"/>
          <w:szCs w:val="22"/>
        </w:rPr>
        <w:t xml:space="preserve">The </w:t>
      </w:r>
      <w:r w:rsidR="00EE70EA">
        <w:rPr>
          <w:color w:val="000000"/>
          <w:sz w:val="22"/>
          <w:szCs w:val="22"/>
          <w:shd w:val="clear" w:color="auto" w:fill="FFFFFF"/>
        </w:rPr>
        <w:t xml:space="preserve">Instrument </w:t>
      </w:r>
      <w:proofErr w:type="spellStart"/>
      <w:r>
        <w:rPr>
          <w:sz w:val="22"/>
          <w:szCs w:val="22"/>
        </w:rPr>
        <w:t>authori</w:t>
      </w:r>
      <w:r w:rsidR="00241846">
        <w:rPr>
          <w:sz w:val="22"/>
          <w:szCs w:val="22"/>
        </w:rPr>
        <w:t>s</w:t>
      </w:r>
      <w:r>
        <w:rPr>
          <w:sz w:val="22"/>
          <w:szCs w:val="22"/>
        </w:rPr>
        <w:t>es</w:t>
      </w:r>
      <w:proofErr w:type="spellEnd"/>
      <w:r>
        <w:rPr>
          <w:sz w:val="22"/>
          <w:szCs w:val="22"/>
        </w:rPr>
        <w:t xml:space="preserve"> the release of information about adverse events in relation to therapeutic goods and provides a legal basis under the Act to support the release of this information to the public in the DAEN – Medicines and DAEN – Medical Devices.</w:t>
      </w:r>
    </w:p>
    <w:p w14:paraId="1DFA2A2B" w14:textId="77777777" w:rsidR="00887424" w:rsidRDefault="00887424" w:rsidP="00887424">
      <w:pPr>
        <w:spacing w:before="0" w:after="0"/>
        <w:rPr>
          <w:sz w:val="22"/>
          <w:szCs w:val="22"/>
        </w:rPr>
      </w:pPr>
    </w:p>
    <w:p w14:paraId="7B6D6F83" w14:textId="21445DB8" w:rsidR="00125CF9" w:rsidRDefault="00887424" w:rsidP="00887424">
      <w:pPr>
        <w:spacing w:before="0" w:after="0"/>
        <w:rPr>
          <w:color w:val="000000"/>
          <w:sz w:val="22"/>
          <w:szCs w:val="22"/>
          <w:shd w:val="clear" w:color="auto" w:fill="FFFFFF"/>
        </w:rPr>
      </w:pPr>
      <w:r>
        <w:rPr>
          <w:color w:val="000000"/>
          <w:sz w:val="22"/>
          <w:szCs w:val="22"/>
          <w:shd w:val="clear" w:color="auto" w:fill="FFFFFF"/>
        </w:rPr>
        <w:t xml:space="preserve">The </w:t>
      </w:r>
      <w:r w:rsidR="00EE70EA">
        <w:rPr>
          <w:color w:val="000000"/>
          <w:sz w:val="22"/>
          <w:szCs w:val="22"/>
          <w:shd w:val="clear" w:color="auto" w:fill="FFFFFF"/>
        </w:rPr>
        <w:t xml:space="preserve">Instrument </w:t>
      </w:r>
      <w:r>
        <w:rPr>
          <w:color w:val="000000"/>
          <w:sz w:val="22"/>
          <w:szCs w:val="22"/>
          <w:shd w:val="clear" w:color="auto" w:fill="FFFFFF"/>
        </w:rPr>
        <w:t>repeals and replaces the former DAEN</w:t>
      </w:r>
      <w:r>
        <w:rPr>
          <w:sz w:val="22"/>
          <w:szCs w:val="22"/>
          <w:shd w:val="clear" w:color="auto" w:fill="FFFFFF"/>
        </w:rPr>
        <w:t xml:space="preserve"> – </w:t>
      </w:r>
      <w:r>
        <w:rPr>
          <w:color w:val="000000"/>
          <w:sz w:val="22"/>
          <w:szCs w:val="22"/>
          <w:shd w:val="clear" w:color="auto" w:fill="FFFFFF"/>
        </w:rPr>
        <w:t>Medical Devices Specification,</w:t>
      </w:r>
      <w:r w:rsidRPr="00931A89">
        <w:rPr>
          <w:color w:val="000000"/>
          <w:sz w:val="22"/>
          <w:szCs w:val="22"/>
          <w:shd w:val="clear" w:color="auto" w:fill="FFFFFF"/>
        </w:rPr>
        <w:t xml:space="preserve"> </w:t>
      </w:r>
      <w:r>
        <w:rPr>
          <w:color w:val="000000"/>
          <w:sz w:val="22"/>
          <w:szCs w:val="22"/>
          <w:shd w:val="clear" w:color="auto" w:fill="FFFFFF"/>
        </w:rPr>
        <w:t xml:space="preserve">which would </w:t>
      </w:r>
      <w:proofErr w:type="gramStart"/>
      <w:r>
        <w:rPr>
          <w:color w:val="000000"/>
          <w:sz w:val="22"/>
          <w:szCs w:val="22"/>
          <w:shd w:val="clear" w:color="auto" w:fill="FFFFFF"/>
        </w:rPr>
        <w:t>otherwise</w:t>
      </w:r>
      <w:proofErr w:type="gramEnd"/>
      <w:r>
        <w:rPr>
          <w:color w:val="000000"/>
          <w:sz w:val="22"/>
          <w:szCs w:val="22"/>
          <w:shd w:val="clear" w:color="auto" w:fill="FFFFFF"/>
        </w:rPr>
        <w:t xml:space="preserve"> sunset on 1 October 2023, to ensure the continued release of information from the DAEN</w:t>
      </w:r>
      <w:r w:rsidR="00CD488E">
        <w:rPr>
          <w:sz w:val="22"/>
          <w:szCs w:val="22"/>
          <w:shd w:val="clear" w:color="auto" w:fill="FFFFFF"/>
        </w:rPr>
        <w:t> </w:t>
      </w:r>
      <w:r>
        <w:rPr>
          <w:sz w:val="22"/>
          <w:szCs w:val="22"/>
          <w:shd w:val="clear" w:color="auto" w:fill="FFFFFF"/>
        </w:rPr>
        <w:t>–</w:t>
      </w:r>
      <w:r w:rsidR="00CD488E">
        <w:rPr>
          <w:sz w:val="22"/>
          <w:szCs w:val="22"/>
          <w:shd w:val="clear" w:color="auto" w:fill="FFFFFF"/>
        </w:rPr>
        <w:t> </w:t>
      </w:r>
      <w:r>
        <w:rPr>
          <w:color w:val="000000"/>
          <w:sz w:val="22"/>
          <w:szCs w:val="22"/>
          <w:shd w:val="clear" w:color="auto" w:fill="FFFFFF"/>
        </w:rPr>
        <w:t xml:space="preserve">Medical Devices beyond that date. </w:t>
      </w:r>
      <w:r w:rsidR="00125CF9">
        <w:rPr>
          <w:color w:val="000000"/>
          <w:sz w:val="22"/>
          <w:szCs w:val="22"/>
          <w:shd w:val="clear" w:color="auto" w:fill="FFFFFF"/>
        </w:rPr>
        <w:t xml:space="preserve">The </w:t>
      </w:r>
      <w:r w:rsidR="00EE70EA">
        <w:rPr>
          <w:color w:val="000000"/>
          <w:sz w:val="22"/>
          <w:szCs w:val="22"/>
          <w:shd w:val="clear" w:color="auto" w:fill="FFFFFF"/>
        </w:rPr>
        <w:t xml:space="preserve">Instrument </w:t>
      </w:r>
      <w:r w:rsidR="00125CF9">
        <w:rPr>
          <w:color w:val="000000"/>
          <w:sz w:val="22"/>
          <w:szCs w:val="22"/>
          <w:shd w:val="clear" w:color="auto" w:fill="FFFFFF"/>
        </w:rPr>
        <w:t>replaces the former DAEN</w:t>
      </w:r>
      <w:r w:rsidR="00125CF9">
        <w:rPr>
          <w:sz w:val="22"/>
          <w:szCs w:val="22"/>
          <w:shd w:val="clear" w:color="auto" w:fill="FFFFFF"/>
        </w:rPr>
        <w:t xml:space="preserve"> – </w:t>
      </w:r>
      <w:r w:rsidR="00125CF9">
        <w:rPr>
          <w:color w:val="000000"/>
          <w:sz w:val="22"/>
          <w:szCs w:val="22"/>
          <w:shd w:val="clear" w:color="auto" w:fill="FFFFFF"/>
        </w:rPr>
        <w:t xml:space="preserve">Medical Devices Specification without changing its effect, other than to </w:t>
      </w:r>
      <w:r w:rsidR="008A53B5">
        <w:rPr>
          <w:color w:val="000000"/>
          <w:sz w:val="22"/>
          <w:szCs w:val="22"/>
          <w:shd w:val="clear" w:color="auto" w:fill="FFFFFF"/>
        </w:rPr>
        <w:t>omit</w:t>
      </w:r>
      <w:r w:rsidR="00125CF9">
        <w:rPr>
          <w:color w:val="000000"/>
          <w:sz w:val="22"/>
          <w:szCs w:val="22"/>
          <w:shd w:val="clear" w:color="auto" w:fill="FFFFFF"/>
        </w:rPr>
        <w:t xml:space="preserve"> the content dealing with adverse events in New Zealand as the DAEN – Medical Devices </w:t>
      </w:r>
      <w:r w:rsidR="0061305E">
        <w:rPr>
          <w:color w:val="000000"/>
          <w:sz w:val="22"/>
          <w:szCs w:val="22"/>
          <w:shd w:val="clear" w:color="auto" w:fill="FFFFFF"/>
        </w:rPr>
        <w:t>is no longer proposed to</w:t>
      </w:r>
      <w:r w:rsidR="00125CF9">
        <w:rPr>
          <w:color w:val="000000"/>
          <w:sz w:val="22"/>
          <w:szCs w:val="22"/>
          <w:shd w:val="clear" w:color="auto" w:fill="FFFFFF"/>
        </w:rPr>
        <w:t xml:space="preserve"> include New</w:t>
      </w:r>
      <w:r w:rsidR="008A53B5">
        <w:rPr>
          <w:color w:val="000000"/>
          <w:sz w:val="22"/>
          <w:szCs w:val="22"/>
          <w:shd w:val="clear" w:color="auto" w:fill="FFFFFF"/>
        </w:rPr>
        <w:t> </w:t>
      </w:r>
      <w:r w:rsidR="00125CF9">
        <w:rPr>
          <w:color w:val="000000"/>
          <w:sz w:val="22"/>
          <w:szCs w:val="22"/>
          <w:shd w:val="clear" w:color="auto" w:fill="FFFFFF"/>
        </w:rPr>
        <w:t xml:space="preserve">Zealand adverse event </w:t>
      </w:r>
      <w:r w:rsidR="008A53B5">
        <w:rPr>
          <w:color w:val="000000"/>
          <w:sz w:val="22"/>
          <w:szCs w:val="22"/>
          <w:shd w:val="clear" w:color="auto" w:fill="FFFFFF"/>
        </w:rPr>
        <w:t>notifications</w:t>
      </w:r>
      <w:r w:rsidR="00125CF9">
        <w:rPr>
          <w:color w:val="000000"/>
          <w:sz w:val="22"/>
          <w:szCs w:val="22"/>
          <w:shd w:val="clear" w:color="auto" w:fill="FFFFFF"/>
        </w:rPr>
        <w:t>.</w:t>
      </w:r>
    </w:p>
    <w:p w14:paraId="02105A13" w14:textId="77777777" w:rsidR="00125CF9" w:rsidRDefault="00125CF9" w:rsidP="00887424">
      <w:pPr>
        <w:spacing w:before="0" w:after="0"/>
        <w:rPr>
          <w:color w:val="000000"/>
          <w:sz w:val="22"/>
          <w:szCs w:val="22"/>
          <w:shd w:val="clear" w:color="auto" w:fill="FFFFFF"/>
        </w:rPr>
      </w:pPr>
    </w:p>
    <w:p w14:paraId="068889FB" w14:textId="776EC769" w:rsidR="00887424" w:rsidRDefault="00887424" w:rsidP="00887424">
      <w:pPr>
        <w:spacing w:before="0" w:after="0"/>
        <w:rPr>
          <w:color w:val="000000"/>
          <w:sz w:val="22"/>
          <w:szCs w:val="22"/>
          <w:shd w:val="clear" w:color="auto" w:fill="FFFFFF"/>
        </w:rPr>
      </w:pPr>
      <w:r>
        <w:rPr>
          <w:color w:val="000000"/>
          <w:sz w:val="22"/>
          <w:szCs w:val="22"/>
          <w:shd w:val="clear" w:color="auto" w:fill="FFFFFF"/>
        </w:rPr>
        <w:t xml:space="preserve">The </w:t>
      </w:r>
      <w:r w:rsidR="00EE70EA">
        <w:rPr>
          <w:color w:val="000000"/>
          <w:sz w:val="22"/>
          <w:szCs w:val="22"/>
          <w:shd w:val="clear" w:color="auto" w:fill="FFFFFF"/>
        </w:rPr>
        <w:t xml:space="preserve">Instrument </w:t>
      </w:r>
      <w:r>
        <w:rPr>
          <w:color w:val="000000"/>
          <w:sz w:val="22"/>
          <w:szCs w:val="22"/>
          <w:shd w:val="clear" w:color="auto" w:fill="FFFFFF"/>
        </w:rPr>
        <w:t>also repeals and replaces the DAEN</w:t>
      </w:r>
      <w:r>
        <w:rPr>
          <w:sz w:val="22"/>
          <w:szCs w:val="22"/>
          <w:shd w:val="clear" w:color="auto" w:fill="FFFFFF"/>
        </w:rPr>
        <w:t xml:space="preserve"> – </w:t>
      </w:r>
      <w:r>
        <w:rPr>
          <w:color w:val="000000"/>
          <w:sz w:val="22"/>
          <w:szCs w:val="22"/>
          <w:shd w:val="clear" w:color="auto" w:fill="FFFFFF"/>
        </w:rPr>
        <w:t xml:space="preserve">Medicines Specification, without substantive change, for the principal purpose </w:t>
      </w:r>
      <w:r w:rsidRPr="005517E1">
        <w:rPr>
          <w:color w:val="000000"/>
          <w:sz w:val="22"/>
          <w:szCs w:val="22"/>
          <w:shd w:val="clear" w:color="auto" w:fill="FFFFFF"/>
        </w:rPr>
        <w:t>of consolidating the</w:t>
      </w:r>
      <w:r>
        <w:rPr>
          <w:color w:val="000000"/>
          <w:sz w:val="22"/>
          <w:szCs w:val="22"/>
          <w:shd w:val="clear" w:color="auto" w:fill="FFFFFF"/>
        </w:rPr>
        <w:t xml:space="preserve"> two former Specifications into a single legislative instrument.</w:t>
      </w:r>
    </w:p>
    <w:p w14:paraId="03A2AF92" w14:textId="3E5FAC14" w:rsidR="00A473AB" w:rsidRDefault="00A473AB" w:rsidP="00887424">
      <w:pPr>
        <w:spacing w:before="0" w:after="0"/>
        <w:rPr>
          <w:color w:val="000000"/>
          <w:sz w:val="22"/>
          <w:szCs w:val="22"/>
          <w:shd w:val="clear" w:color="auto" w:fill="FFFFFF"/>
        </w:rPr>
      </w:pPr>
    </w:p>
    <w:p w14:paraId="2516AD8F" w14:textId="52329D21" w:rsidR="00A473AB" w:rsidRDefault="00A473AB" w:rsidP="00A473AB">
      <w:pPr>
        <w:spacing w:before="0" w:after="0"/>
        <w:rPr>
          <w:sz w:val="22"/>
          <w:szCs w:val="22"/>
        </w:rPr>
      </w:pPr>
      <w:r>
        <w:rPr>
          <w:sz w:val="22"/>
          <w:szCs w:val="22"/>
        </w:rPr>
        <w:t xml:space="preserve">Schedule 1 to the </w:t>
      </w:r>
      <w:r w:rsidR="00EE70EA">
        <w:rPr>
          <w:color w:val="000000"/>
          <w:sz w:val="22"/>
          <w:szCs w:val="22"/>
          <w:shd w:val="clear" w:color="auto" w:fill="FFFFFF"/>
        </w:rPr>
        <w:t xml:space="preserve">Instrument </w:t>
      </w:r>
      <w:r>
        <w:rPr>
          <w:sz w:val="22"/>
          <w:szCs w:val="22"/>
        </w:rPr>
        <w:t>sets out in detail the kinds of therapeutic goods information that the Secretary may release through the DAEN</w:t>
      </w:r>
      <w:r>
        <w:rPr>
          <w:sz w:val="22"/>
          <w:szCs w:val="22"/>
          <w:shd w:val="clear" w:color="auto" w:fill="FFFFFF"/>
        </w:rPr>
        <w:t xml:space="preserve"> – </w:t>
      </w:r>
      <w:r>
        <w:rPr>
          <w:sz w:val="22"/>
          <w:szCs w:val="22"/>
        </w:rPr>
        <w:t xml:space="preserve">Medical Devices </w:t>
      </w:r>
      <w:r w:rsidR="00125CF9">
        <w:rPr>
          <w:sz w:val="22"/>
          <w:szCs w:val="22"/>
        </w:rPr>
        <w:t>and the</w:t>
      </w:r>
      <w:r>
        <w:rPr>
          <w:sz w:val="22"/>
          <w:szCs w:val="22"/>
        </w:rPr>
        <w:t xml:space="preserve"> DAEN</w:t>
      </w:r>
      <w:r>
        <w:rPr>
          <w:sz w:val="22"/>
          <w:szCs w:val="22"/>
          <w:shd w:val="clear" w:color="auto" w:fill="FFFFFF"/>
        </w:rPr>
        <w:t xml:space="preserve"> – </w:t>
      </w:r>
      <w:r>
        <w:rPr>
          <w:sz w:val="22"/>
          <w:szCs w:val="22"/>
        </w:rPr>
        <w:t>Medicines. The information that is specified in Schedule 1 is the same as the information specified in the former Specifications.</w:t>
      </w:r>
    </w:p>
    <w:p w14:paraId="3F222685" w14:textId="4CEE8C3B" w:rsidR="00887424" w:rsidRDefault="00887424" w:rsidP="00887424">
      <w:pPr>
        <w:spacing w:before="0" w:after="0"/>
        <w:rPr>
          <w:sz w:val="22"/>
          <w:szCs w:val="22"/>
        </w:rPr>
      </w:pPr>
    </w:p>
    <w:p w14:paraId="2E98E132" w14:textId="77777777" w:rsidR="00887424" w:rsidRPr="00D26499" w:rsidRDefault="00887424" w:rsidP="00887424">
      <w:pPr>
        <w:keepNext/>
        <w:autoSpaceDE w:val="0"/>
        <w:autoSpaceDN w:val="0"/>
        <w:adjustRightInd w:val="0"/>
        <w:spacing w:before="0" w:after="0"/>
        <w:rPr>
          <w:b/>
          <w:sz w:val="22"/>
          <w:szCs w:val="22"/>
          <w:lang w:eastAsia="en-AU"/>
        </w:rPr>
      </w:pPr>
      <w:r w:rsidRPr="00D26499">
        <w:rPr>
          <w:b/>
          <w:sz w:val="22"/>
          <w:szCs w:val="22"/>
          <w:lang w:eastAsia="en-AU"/>
        </w:rPr>
        <w:t>Incorporation by reference</w:t>
      </w:r>
    </w:p>
    <w:p w14:paraId="3A041634" w14:textId="70AFCB05" w:rsidR="00887424" w:rsidRDefault="00887424" w:rsidP="00887424">
      <w:pPr>
        <w:keepNext/>
        <w:autoSpaceDE w:val="0"/>
        <w:autoSpaceDN w:val="0"/>
        <w:adjustRightInd w:val="0"/>
        <w:spacing w:before="0" w:after="0"/>
        <w:rPr>
          <w:sz w:val="22"/>
          <w:szCs w:val="22"/>
          <w:lang w:eastAsia="en-AU"/>
        </w:rPr>
      </w:pPr>
    </w:p>
    <w:p w14:paraId="230C6D7D" w14:textId="2ACEFC47" w:rsidR="000E2AFA" w:rsidRDefault="000E2AFA" w:rsidP="00887424">
      <w:pPr>
        <w:keepNext/>
        <w:autoSpaceDE w:val="0"/>
        <w:autoSpaceDN w:val="0"/>
        <w:adjustRightInd w:val="0"/>
        <w:spacing w:before="0" w:after="0"/>
        <w:rPr>
          <w:sz w:val="22"/>
          <w:szCs w:val="22"/>
          <w:lang w:eastAsia="en-AU"/>
        </w:rPr>
      </w:pPr>
      <w:r>
        <w:rPr>
          <w:sz w:val="22"/>
          <w:szCs w:val="22"/>
          <w:lang w:eastAsia="en-AU"/>
        </w:rPr>
        <w:t xml:space="preserve">Subsection 61(9) of the Act relevantly provides that, despite subsection 14(2) of the </w:t>
      </w:r>
      <w:r w:rsidRPr="00D26499">
        <w:rPr>
          <w:i/>
          <w:iCs/>
          <w:sz w:val="22"/>
          <w:szCs w:val="22"/>
          <w:lang w:eastAsia="en-AU"/>
        </w:rPr>
        <w:t>Legislation Act 2003</w:t>
      </w:r>
      <w:r w:rsidRPr="00D26499">
        <w:rPr>
          <w:sz w:val="22"/>
          <w:szCs w:val="22"/>
          <w:lang w:eastAsia="en-AU"/>
        </w:rPr>
        <w:t xml:space="preserve"> (“Legislation Act”)</w:t>
      </w:r>
      <w:r>
        <w:rPr>
          <w:sz w:val="22"/>
          <w:szCs w:val="22"/>
          <w:lang w:eastAsia="en-AU"/>
        </w:rPr>
        <w:t xml:space="preserve">, an instrument under subsection (5D) may make provision in relation to a matter by applying, </w:t>
      </w:r>
      <w:proofErr w:type="gramStart"/>
      <w:r>
        <w:rPr>
          <w:sz w:val="22"/>
          <w:szCs w:val="22"/>
          <w:lang w:eastAsia="en-AU"/>
        </w:rPr>
        <w:t>adopting</w:t>
      </w:r>
      <w:proofErr w:type="gramEnd"/>
      <w:r>
        <w:rPr>
          <w:sz w:val="22"/>
          <w:szCs w:val="22"/>
          <w:lang w:eastAsia="en-AU"/>
        </w:rPr>
        <w:t xml:space="preserve"> or incorporating, with or without modification, any matter contained in an instrument or other writing as in force or existing from time to time.</w:t>
      </w:r>
    </w:p>
    <w:p w14:paraId="60A4A7B2" w14:textId="77777777" w:rsidR="000E2AFA" w:rsidRDefault="000E2AFA" w:rsidP="00887424">
      <w:pPr>
        <w:keepNext/>
        <w:autoSpaceDE w:val="0"/>
        <w:autoSpaceDN w:val="0"/>
        <w:adjustRightInd w:val="0"/>
        <w:spacing w:before="0" w:after="0"/>
        <w:rPr>
          <w:sz w:val="22"/>
          <w:szCs w:val="22"/>
          <w:lang w:eastAsia="en-AU"/>
        </w:rPr>
      </w:pPr>
    </w:p>
    <w:p w14:paraId="49D496F7" w14:textId="77777777" w:rsidR="00887424" w:rsidRPr="00DE73FA" w:rsidRDefault="00887424" w:rsidP="00887424">
      <w:pPr>
        <w:keepNext/>
        <w:autoSpaceDE w:val="0"/>
        <w:autoSpaceDN w:val="0"/>
        <w:adjustRightInd w:val="0"/>
        <w:spacing w:before="0" w:after="0"/>
        <w:rPr>
          <w:i/>
          <w:iCs/>
          <w:sz w:val="22"/>
          <w:szCs w:val="22"/>
          <w:lang w:eastAsia="en-AU"/>
        </w:rPr>
      </w:pPr>
      <w:r w:rsidRPr="00DE73FA">
        <w:rPr>
          <w:i/>
          <w:iCs/>
          <w:sz w:val="22"/>
          <w:szCs w:val="22"/>
          <w:lang w:eastAsia="en-AU"/>
        </w:rPr>
        <w:t>The MedDRA</w:t>
      </w:r>
    </w:p>
    <w:p w14:paraId="7BB065E8" w14:textId="77777777" w:rsidR="00887424" w:rsidRPr="00D26499" w:rsidRDefault="00887424" w:rsidP="00887424">
      <w:pPr>
        <w:keepNext/>
        <w:autoSpaceDE w:val="0"/>
        <w:autoSpaceDN w:val="0"/>
        <w:adjustRightInd w:val="0"/>
        <w:spacing w:before="0" w:after="0"/>
        <w:rPr>
          <w:sz w:val="22"/>
          <w:szCs w:val="22"/>
          <w:lang w:eastAsia="en-AU"/>
        </w:rPr>
      </w:pPr>
    </w:p>
    <w:p w14:paraId="39426FDD" w14:textId="706677F4" w:rsidR="00887424" w:rsidRPr="00D26499" w:rsidRDefault="00887424" w:rsidP="00887424">
      <w:pPr>
        <w:autoSpaceDE w:val="0"/>
        <w:autoSpaceDN w:val="0"/>
        <w:adjustRightInd w:val="0"/>
        <w:spacing w:before="0" w:after="0"/>
        <w:rPr>
          <w:sz w:val="22"/>
          <w:szCs w:val="22"/>
          <w:lang w:eastAsia="en-AU"/>
        </w:rPr>
      </w:pPr>
      <w:r w:rsidRPr="00D26499">
        <w:rPr>
          <w:sz w:val="22"/>
          <w:szCs w:val="22"/>
          <w:lang w:eastAsia="en-AU"/>
        </w:rPr>
        <w:t xml:space="preserve">The </w:t>
      </w:r>
      <w:r w:rsidR="00EE70EA">
        <w:rPr>
          <w:color w:val="000000"/>
          <w:sz w:val="22"/>
          <w:szCs w:val="22"/>
          <w:shd w:val="clear" w:color="auto" w:fill="FFFFFF"/>
        </w:rPr>
        <w:t xml:space="preserve">Instrument </w:t>
      </w:r>
      <w:r w:rsidRPr="00D26499">
        <w:rPr>
          <w:sz w:val="22"/>
          <w:szCs w:val="22"/>
          <w:lang w:eastAsia="en-AU"/>
        </w:rPr>
        <w:t xml:space="preserve">incorporates by reference the </w:t>
      </w:r>
      <w:r w:rsidRPr="00D26499">
        <w:rPr>
          <w:i/>
          <w:iCs/>
          <w:sz w:val="22"/>
          <w:szCs w:val="22"/>
          <w:lang w:eastAsia="en-AU"/>
        </w:rPr>
        <w:t>Medical Dictionary for Regulatory Activities</w:t>
      </w:r>
      <w:r w:rsidRPr="00D26499">
        <w:rPr>
          <w:sz w:val="22"/>
          <w:szCs w:val="22"/>
          <w:lang w:eastAsia="en-AU"/>
        </w:rPr>
        <w:t xml:space="preserve"> (“the</w:t>
      </w:r>
      <w:r w:rsidR="00914667">
        <w:rPr>
          <w:sz w:val="22"/>
          <w:szCs w:val="22"/>
          <w:lang w:eastAsia="en-AU"/>
        </w:rPr>
        <w:t> </w:t>
      </w:r>
      <w:r w:rsidRPr="00D26499">
        <w:rPr>
          <w:sz w:val="22"/>
          <w:szCs w:val="22"/>
          <w:lang w:eastAsia="en-AU"/>
        </w:rPr>
        <w:t xml:space="preserve">MedDRA”), which </w:t>
      </w:r>
      <w:r w:rsidR="00914667">
        <w:rPr>
          <w:sz w:val="22"/>
          <w:szCs w:val="22"/>
          <w:lang w:eastAsia="en-AU"/>
        </w:rPr>
        <w:t>contains</w:t>
      </w:r>
      <w:r w:rsidRPr="00D26499">
        <w:rPr>
          <w:sz w:val="22"/>
          <w:szCs w:val="22"/>
          <w:lang w:eastAsia="en-AU"/>
        </w:rPr>
        <w:t xml:space="preserve"> internationally </w:t>
      </w:r>
      <w:proofErr w:type="spellStart"/>
      <w:r w:rsidRPr="00D26499">
        <w:rPr>
          <w:sz w:val="22"/>
          <w:szCs w:val="22"/>
          <w:lang w:eastAsia="en-AU"/>
        </w:rPr>
        <w:t>recognised</w:t>
      </w:r>
      <w:proofErr w:type="spellEnd"/>
      <w:r w:rsidR="00914667">
        <w:rPr>
          <w:sz w:val="22"/>
          <w:szCs w:val="22"/>
          <w:lang w:eastAsia="en-AU"/>
        </w:rPr>
        <w:t>,</w:t>
      </w:r>
      <w:r w:rsidRPr="00D26499">
        <w:rPr>
          <w:sz w:val="22"/>
          <w:szCs w:val="22"/>
          <w:lang w:eastAsia="en-AU"/>
        </w:rPr>
        <w:t xml:space="preserve"> </w:t>
      </w:r>
      <w:proofErr w:type="spellStart"/>
      <w:r w:rsidRPr="00D26499">
        <w:rPr>
          <w:sz w:val="22"/>
          <w:szCs w:val="22"/>
          <w:lang w:eastAsia="en-AU"/>
        </w:rPr>
        <w:t>standardised</w:t>
      </w:r>
      <w:proofErr w:type="spellEnd"/>
      <w:r w:rsidRPr="00D26499">
        <w:rPr>
          <w:sz w:val="22"/>
          <w:szCs w:val="22"/>
          <w:lang w:eastAsia="en-AU"/>
        </w:rPr>
        <w:t xml:space="preserve"> medical terminology developed by the International Council for </w:t>
      </w:r>
      <w:proofErr w:type="spellStart"/>
      <w:r w:rsidRPr="00D26499">
        <w:rPr>
          <w:sz w:val="22"/>
          <w:szCs w:val="22"/>
          <w:lang w:eastAsia="en-AU"/>
        </w:rPr>
        <w:t>Harmonisation</w:t>
      </w:r>
      <w:proofErr w:type="spellEnd"/>
      <w:r w:rsidRPr="00D26499">
        <w:rPr>
          <w:sz w:val="22"/>
          <w:szCs w:val="22"/>
          <w:lang w:eastAsia="en-AU"/>
        </w:rPr>
        <w:t xml:space="preserve"> of Technical Requirements for Pharmaceuticals for Human Use (“ICH”), and which relates to such matters as medical conditions, </w:t>
      </w:r>
      <w:r w:rsidRPr="00D26499">
        <w:rPr>
          <w:sz w:val="22"/>
          <w:szCs w:val="22"/>
          <w:lang w:eastAsia="en-AU"/>
        </w:rPr>
        <w:lastRenderedPageBreak/>
        <w:t xml:space="preserve">medicines, </w:t>
      </w:r>
      <w:proofErr w:type="gramStart"/>
      <w:r w:rsidRPr="00D26499">
        <w:rPr>
          <w:sz w:val="22"/>
          <w:szCs w:val="22"/>
          <w:lang w:eastAsia="en-AU"/>
        </w:rPr>
        <w:t>biologicals</w:t>
      </w:r>
      <w:proofErr w:type="gramEnd"/>
      <w:r w:rsidRPr="00D26499">
        <w:rPr>
          <w:sz w:val="22"/>
          <w:szCs w:val="22"/>
          <w:lang w:eastAsia="en-AU"/>
        </w:rPr>
        <w:t xml:space="preserve"> and medical devices. The MedDRA is maintained and distributed by the MedDRA Maintenance and Support Services Organization (“MSSO”).</w:t>
      </w:r>
    </w:p>
    <w:p w14:paraId="44CA516B" w14:textId="77777777" w:rsidR="00887424" w:rsidRPr="00D26499" w:rsidRDefault="00887424" w:rsidP="00887424">
      <w:pPr>
        <w:autoSpaceDE w:val="0"/>
        <w:autoSpaceDN w:val="0"/>
        <w:adjustRightInd w:val="0"/>
        <w:spacing w:before="0" w:after="0"/>
        <w:rPr>
          <w:sz w:val="22"/>
          <w:szCs w:val="22"/>
          <w:lang w:eastAsia="en-AU"/>
        </w:rPr>
      </w:pPr>
    </w:p>
    <w:p w14:paraId="393C0442" w14:textId="47F3AB04" w:rsidR="00887424" w:rsidRPr="00D26499" w:rsidRDefault="00887424" w:rsidP="00887424">
      <w:pPr>
        <w:autoSpaceDE w:val="0"/>
        <w:autoSpaceDN w:val="0"/>
        <w:adjustRightInd w:val="0"/>
        <w:spacing w:before="0" w:after="0"/>
        <w:rPr>
          <w:sz w:val="22"/>
          <w:szCs w:val="22"/>
          <w:lang w:eastAsia="en-AU"/>
        </w:rPr>
      </w:pPr>
      <w:r w:rsidRPr="00D26499">
        <w:rPr>
          <w:sz w:val="22"/>
          <w:szCs w:val="22"/>
          <w:lang w:eastAsia="en-AU"/>
        </w:rPr>
        <w:t xml:space="preserve">The MedDRA is used by regulators, industry, </w:t>
      </w:r>
      <w:proofErr w:type="gramStart"/>
      <w:r w:rsidRPr="00D26499">
        <w:rPr>
          <w:sz w:val="22"/>
          <w:szCs w:val="22"/>
          <w:lang w:eastAsia="en-AU"/>
        </w:rPr>
        <w:t>academics</w:t>
      </w:r>
      <w:proofErr w:type="gramEnd"/>
      <w:r w:rsidRPr="00D26499">
        <w:rPr>
          <w:sz w:val="22"/>
          <w:szCs w:val="22"/>
          <w:lang w:eastAsia="en-AU"/>
        </w:rPr>
        <w:t xml:space="preserve"> and health professionals, and facilitates the sharing of information internationally. The MedDRA is a subscription-based product and may be accessed from the ICH MedDRA website </w:t>
      </w:r>
      <w:r w:rsidR="00A473AB">
        <w:rPr>
          <w:sz w:val="22"/>
          <w:szCs w:val="22"/>
          <w:lang w:eastAsia="en-AU"/>
        </w:rPr>
        <w:t>(</w:t>
      </w:r>
      <w:r w:rsidRPr="00D26499">
        <w:rPr>
          <w:sz w:val="22"/>
          <w:szCs w:val="22"/>
          <w:lang w:eastAsia="en-AU"/>
        </w:rPr>
        <w:t>www.meddra.org</w:t>
      </w:r>
      <w:r w:rsidR="00A473AB">
        <w:rPr>
          <w:sz w:val="22"/>
          <w:szCs w:val="22"/>
          <w:lang w:eastAsia="en-AU"/>
        </w:rPr>
        <w:t>)</w:t>
      </w:r>
      <w:r w:rsidRPr="00D26499">
        <w:rPr>
          <w:sz w:val="22"/>
          <w:szCs w:val="22"/>
          <w:lang w:eastAsia="en-AU"/>
        </w:rPr>
        <w:t>. While the MedDRA is not available for free, it is anticipated that sponsors and manufacturers of medicines and biologicals would have access to it, through an annual paid subscription for commercial users. Health practitioners and academics are also able to access the MedDRA at no cost from the MSSO.</w:t>
      </w:r>
      <w:r w:rsidR="00A473AB">
        <w:rPr>
          <w:sz w:val="22"/>
          <w:szCs w:val="22"/>
          <w:lang w:eastAsia="en-AU"/>
        </w:rPr>
        <w:t xml:space="preserve"> </w:t>
      </w:r>
      <w:r w:rsidRPr="00D26499">
        <w:rPr>
          <w:sz w:val="22"/>
          <w:szCs w:val="22"/>
          <w:lang w:eastAsia="en-AU"/>
        </w:rPr>
        <w:t xml:space="preserve">By prior written arrangement with the TGA, members of the public may also request to view </w:t>
      </w:r>
      <w:r>
        <w:rPr>
          <w:sz w:val="22"/>
          <w:szCs w:val="22"/>
          <w:lang w:eastAsia="en-AU"/>
        </w:rPr>
        <w:t xml:space="preserve">the </w:t>
      </w:r>
      <w:r w:rsidRPr="00D26499">
        <w:rPr>
          <w:sz w:val="22"/>
          <w:szCs w:val="22"/>
          <w:lang w:eastAsia="en-AU"/>
        </w:rPr>
        <w:t>MedDRA without charge at the TGA office in Fairbairn, ACT.</w:t>
      </w:r>
    </w:p>
    <w:p w14:paraId="4E7C2ED1" w14:textId="77777777" w:rsidR="00887424" w:rsidRPr="00D26499" w:rsidRDefault="00887424" w:rsidP="00887424">
      <w:pPr>
        <w:autoSpaceDE w:val="0"/>
        <w:autoSpaceDN w:val="0"/>
        <w:adjustRightInd w:val="0"/>
        <w:spacing w:before="0" w:after="0"/>
        <w:rPr>
          <w:sz w:val="22"/>
          <w:szCs w:val="22"/>
          <w:lang w:eastAsia="en-AU"/>
        </w:rPr>
      </w:pPr>
    </w:p>
    <w:p w14:paraId="0D1CF5C6" w14:textId="00C0B8FB" w:rsidR="00887424" w:rsidRPr="00D26499" w:rsidRDefault="000E2AFA" w:rsidP="00887424">
      <w:pPr>
        <w:autoSpaceDE w:val="0"/>
        <w:autoSpaceDN w:val="0"/>
        <w:adjustRightInd w:val="0"/>
        <w:spacing w:before="0" w:after="0"/>
        <w:rPr>
          <w:sz w:val="22"/>
          <w:szCs w:val="22"/>
          <w:lang w:eastAsia="en-AU"/>
        </w:rPr>
      </w:pPr>
      <w:r>
        <w:rPr>
          <w:sz w:val="22"/>
          <w:szCs w:val="22"/>
          <w:lang w:eastAsia="en-AU"/>
        </w:rPr>
        <w:t>Pursuant to subsection 61(9) of the Act, t</w:t>
      </w:r>
      <w:r w:rsidR="00887424" w:rsidRPr="00D26499">
        <w:rPr>
          <w:sz w:val="22"/>
          <w:szCs w:val="22"/>
          <w:lang w:eastAsia="en-AU"/>
        </w:rPr>
        <w:t xml:space="preserve">he MedDRA is incorporated as in force or existing </w:t>
      </w:r>
      <w:r w:rsidR="00887424">
        <w:rPr>
          <w:sz w:val="22"/>
          <w:szCs w:val="22"/>
          <w:lang w:eastAsia="en-AU"/>
        </w:rPr>
        <w:t>from time to time</w:t>
      </w:r>
      <w:r w:rsidR="00887424" w:rsidRPr="00D26499">
        <w:rPr>
          <w:sz w:val="22"/>
          <w:szCs w:val="22"/>
          <w:lang w:eastAsia="en-AU"/>
        </w:rPr>
        <w:t>.</w:t>
      </w:r>
    </w:p>
    <w:p w14:paraId="2B0D6B59" w14:textId="77777777" w:rsidR="00887424" w:rsidRDefault="00887424" w:rsidP="00887424">
      <w:pPr>
        <w:autoSpaceDE w:val="0"/>
        <w:autoSpaceDN w:val="0"/>
        <w:adjustRightInd w:val="0"/>
        <w:spacing w:before="0" w:after="0"/>
        <w:rPr>
          <w:sz w:val="22"/>
          <w:szCs w:val="22"/>
          <w:lang w:eastAsia="en-AU"/>
        </w:rPr>
      </w:pPr>
    </w:p>
    <w:p w14:paraId="3CDBF492" w14:textId="77777777" w:rsidR="00887424" w:rsidRDefault="00887424" w:rsidP="00887424">
      <w:pPr>
        <w:autoSpaceDE w:val="0"/>
        <w:autoSpaceDN w:val="0"/>
        <w:adjustRightInd w:val="0"/>
        <w:spacing w:before="0" w:after="0"/>
        <w:rPr>
          <w:i/>
          <w:iCs/>
          <w:sz w:val="22"/>
          <w:szCs w:val="22"/>
          <w:lang w:eastAsia="en-AU"/>
        </w:rPr>
      </w:pPr>
      <w:r>
        <w:rPr>
          <w:i/>
          <w:iCs/>
          <w:sz w:val="22"/>
          <w:szCs w:val="22"/>
          <w:lang w:eastAsia="en-AU"/>
        </w:rPr>
        <w:t>The IMDRF Terminology Document</w:t>
      </w:r>
    </w:p>
    <w:p w14:paraId="5D426A91" w14:textId="77777777" w:rsidR="00887424" w:rsidRDefault="00887424" w:rsidP="00887424">
      <w:pPr>
        <w:autoSpaceDE w:val="0"/>
        <w:autoSpaceDN w:val="0"/>
        <w:adjustRightInd w:val="0"/>
        <w:spacing w:before="0" w:after="0"/>
        <w:rPr>
          <w:i/>
          <w:iCs/>
          <w:sz w:val="22"/>
          <w:szCs w:val="22"/>
          <w:lang w:eastAsia="en-AU"/>
        </w:rPr>
      </w:pPr>
    </w:p>
    <w:p w14:paraId="57FF1B3C" w14:textId="21867141" w:rsidR="00887424" w:rsidRPr="00502B47" w:rsidRDefault="00887424" w:rsidP="00887424">
      <w:pPr>
        <w:autoSpaceDE w:val="0"/>
        <w:autoSpaceDN w:val="0"/>
        <w:adjustRightInd w:val="0"/>
        <w:spacing w:before="0" w:after="0"/>
        <w:rPr>
          <w:sz w:val="22"/>
          <w:szCs w:val="22"/>
        </w:rPr>
      </w:pPr>
      <w:r>
        <w:rPr>
          <w:sz w:val="22"/>
          <w:szCs w:val="22"/>
          <w:lang w:eastAsia="en-AU"/>
        </w:rPr>
        <w:t xml:space="preserve">The </w:t>
      </w:r>
      <w:r w:rsidR="00EE70EA">
        <w:rPr>
          <w:color w:val="000000"/>
          <w:sz w:val="22"/>
          <w:szCs w:val="22"/>
          <w:shd w:val="clear" w:color="auto" w:fill="FFFFFF"/>
        </w:rPr>
        <w:t xml:space="preserve">Instrument </w:t>
      </w:r>
      <w:r w:rsidRPr="00DE73FA">
        <w:rPr>
          <w:sz w:val="22"/>
          <w:szCs w:val="22"/>
          <w:lang w:eastAsia="en-AU"/>
        </w:rPr>
        <w:t xml:space="preserve">also incorporates by reference the </w:t>
      </w:r>
      <w:r w:rsidRPr="00DE73FA">
        <w:rPr>
          <w:i/>
          <w:iCs/>
          <w:sz w:val="22"/>
          <w:szCs w:val="22"/>
        </w:rPr>
        <w:t xml:space="preserve">Terminologies for Categorized Adverse Event Reporting (AER): terms, </w:t>
      </w:r>
      <w:proofErr w:type="gramStart"/>
      <w:r w:rsidRPr="00DE73FA">
        <w:rPr>
          <w:i/>
          <w:iCs/>
          <w:sz w:val="22"/>
          <w:szCs w:val="22"/>
        </w:rPr>
        <w:t>terminology</w:t>
      </w:r>
      <w:proofErr w:type="gramEnd"/>
      <w:r w:rsidRPr="00DE73FA">
        <w:rPr>
          <w:i/>
          <w:iCs/>
          <w:sz w:val="22"/>
          <w:szCs w:val="22"/>
        </w:rPr>
        <w:t xml:space="preserve"> and codes</w:t>
      </w:r>
      <w:r>
        <w:rPr>
          <w:i/>
          <w:iCs/>
          <w:sz w:val="22"/>
          <w:szCs w:val="22"/>
        </w:rPr>
        <w:t xml:space="preserve"> </w:t>
      </w:r>
      <w:r>
        <w:rPr>
          <w:sz w:val="22"/>
          <w:szCs w:val="22"/>
        </w:rPr>
        <w:t xml:space="preserve">(“the IMDRF Terminology Document”), which is an international guidance document </w:t>
      </w:r>
      <w:r w:rsidRPr="00C85236">
        <w:rPr>
          <w:sz w:val="22"/>
          <w:szCs w:val="22"/>
        </w:rPr>
        <w:t>published by the International Medical Device Regulators Forum (“IMDRF”).</w:t>
      </w:r>
      <w:r>
        <w:rPr>
          <w:sz w:val="22"/>
          <w:szCs w:val="22"/>
        </w:rPr>
        <w:t xml:space="preserve"> </w:t>
      </w:r>
      <w:r w:rsidRPr="00C85236">
        <w:rPr>
          <w:sz w:val="22"/>
          <w:szCs w:val="22"/>
        </w:rPr>
        <w:t xml:space="preserve">The IMDRF Terminology </w:t>
      </w:r>
      <w:r w:rsidRPr="00502B47">
        <w:rPr>
          <w:sz w:val="22"/>
          <w:szCs w:val="22"/>
        </w:rPr>
        <w:t xml:space="preserve">Document was prepared by the IMDRF Adverse Event Working Group, </w:t>
      </w:r>
      <w:r>
        <w:rPr>
          <w:sz w:val="22"/>
          <w:szCs w:val="22"/>
        </w:rPr>
        <w:t xml:space="preserve">being a group within the IMDRF </w:t>
      </w:r>
      <w:r w:rsidRPr="00502B47">
        <w:rPr>
          <w:sz w:val="22"/>
          <w:szCs w:val="22"/>
        </w:rPr>
        <w:t>charged with developing harmonized terminology for reporting adverse events related to medical devices including in-vitro diagnostics (IVDs).</w:t>
      </w:r>
    </w:p>
    <w:p w14:paraId="70C4AF7A" w14:textId="457C4327" w:rsidR="00887424" w:rsidRDefault="00887424" w:rsidP="00887424">
      <w:pPr>
        <w:autoSpaceDE w:val="0"/>
        <w:autoSpaceDN w:val="0"/>
        <w:adjustRightInd w:val="0"/>
        <w:spacing w:before="0" w:after="0"/>
        <w:rPr>
          <w:sz w:val="22"/>
          <w:szCs w:val="22"/>
        </w:rPr>
      </w:pPr>
    </w:p>
    <w:p w14:paraId="6D0507D9" w14:textId="68E821A7" w:rsidR="000E2AFA" w:rsidRPr="00502B47" w:rsidRDefault="000E2AFA" w:rsidP="000E2AFA">
      <w:pPr>
        <w:autoSpaceDE w:val="0"/>
        <w:autoSpaceDN w:val="0"/>
        <w:adjustRightInd w:val="0"/>
        <w:spacing w:before="0" w:after="0"/>
        <w:rPr>
          <w:sz w:val="22"/>
          <w:szCs w:val="22"/>
        </w:rPr>
      </w:pPr>
      <w:r>
        <w:rPr>
          <w:sz w:val="22"/>
          <w:szCs w:val="22"/>
        </w:rPr>
        <w:t xml:space="preserve">The IMDRF Terminology Document is </w:t>
      </w:r>
      <w:r w:rsidRPr="00502B47">
        <w:rPr>
          <w:sz w:val="22"/>
          <w:szCs w:val="22"/>
        </w:rPr>
        <w:t>freely available from the IMDRF website (</w:t>
      </w:r>
      <w:r w:rsidRPr="00F777C5">
        <w:rPr>
          <w:sz w:val="22"/>
          <w:szCs w:val="22"/>
        </w:rPr>
        <w:t>www.imdrf.org/</w:t>
      </w:r>
      <w:r w:rsidRPr="00502B47">
        <w:rPr>
          <w:sz w:val="22"/>
          <w:szCs w:val="22"/>
        </w:rPr>
        <w:t>)</w:t>
      </w:r>
      <w:r>
        <w:rPr>
          <w:sz w:val="22"/>
          <w:szCs w:val="22"/>
        </w:rPr>
        <w:t>.</w:t>
      </w:r>
    </w:p>
    <w:p w14:paraId="60B25E72" w14:textId="77777777" w:rsidR="000E2AFA" w:rsidRPr="00502B47" w:rsidRDefault="000E2AFA" w:rsidP="00887424">
      <w:pPr>
        <w:autoSpaceDE w:val="0"/>
        <w:autoSpaceDN w:val="0"/>
        <w:adjustRightInd w:val="0"/>
        <w:spacing w:before="0" w:after="0"/>
        <w:rPr>
          <w:sz w:val="22"/>
          <w:szCs w:val="22"/>
        </w:rPr>
      </w:pPr>
    </w:p>
    <w:p w14:paraId="448CBDA0" w14:textId="69A5E928" w:rsidR="00887424" w:rsidRPr="00502B47" w:rsidRDefault="000E2AFA" w:rsidP="00887424">
      <w:pPr>
        <w:autoSpaceDE w:val="0"/>
        <w:autoSpaceDN w:val="0"/>
        <w:adjustRightInd w:val="0"/>
        <w:spacing w:before="0" w:after="0"/>
        <w:rPr>
          <w:sz w:val="22"/>
          <w:szCs w:val="22"/>
        </w:rPr>
      </w:pPr>
      <w:r>
        <w:rPr>
          <w:sz w:val="22"/>
          <w:szCs w:val="22"/>
        </w:rPr>
        <w:t>Pursuant to subsection 61(9), t</w:t>
      </w:r>
      <w:r w:rsidR="00887424" w:rsidRPr="00502B47">
        <w:rPr>
          <w:sz w:val="22"/>
          <w:szCs w:val="22"/>
        </w:rPr>
        <w:t xml:space="preserve">he IMDRF Terminology Document is incorporated </w:t>
      </w:r>
      <w:r w:rsidR="00887424" w:rsidRPr="00502B47">
        <w:rPr>
          <w:bCs/>
          <w:iCs/>
          <w:sz w:val="22"/>
          <w:szCs w:val="22"/>
        </w:rPr>
        <w:t>as in force or existing from time to time</w:t>
      </w:r>
      <w:r>
        <w:rPr>
          <w:bCs/>
          <w:iCs/>
          <w:sz w:val="22"/>
          <w:szCs w:val="22"/>
        </w:rPr>
        <w:t>.</w:t>
      </w:r>
    </w:p>
    <w:bookmarkEnd w:id="1"/>
    <w:p w14:paraId="4E8FF5D9" w14:textId="77777777" w:rsidR="00DC4F82" w:rsidRDefault="00DC4F82" w:rsidP="0061288B">
      <w:pPr>
        <w:spacing w:before="0" w:after="0"/>
        <w:rPr>
          <w:sz w:val="22"/>
          <w:szCs w:val="22"/>
        </w:rPr>
      </w:pPr>
    </w:p>
    <w:bookmarkEnd w:id="2"/>
    <w:p w14:paraId="7E928F1D" w14:textId="3A338364" w:rsidR="00807647" w:rsidRPr="0043098B" w:rsidRDefault="003C5297" w:rsidP="0043098B">
      <w:pPr>
        <w:autoSpaceDE w:val="0"/>
        <w:autoSpaceDN w:val="0"/>
        <w:adjustRightInd w:val="0"/>
        <w:spacing w:before="0" w:after="0"/>
        <w:rPr>
          <w:b/>
          <w:sz w:val="22"/>
          <w:szCs w:val="22"/>
          <w:highlight w:val="yellow"/>
          <w:lang w:eastAsia="en-AU"/>
        </w:rPr>
      </w:pPr>
      <w:r w:rsidRPr="009C7E13">
        <w:rPr>
          <w:b/>
          <w:sz w:val="22"/>
          <w:szCs w:val="22"/>
          <w:lang w:eastAsia="en-AU"/>
        </w:rPr>
        <w:t>Consultation</w:t>
      </w:r>
    </w:p>
    <w:p w14:paraId="5FB11E0E" w14:textId="77777777" w:rsidR="00807647" w:rsidRDefault="00807647" w:rsidP="00C91A0C">
      <w:pPr>
        <w:spacing w:before="0" w:after="0"/>
        <w:rPr>
          <w:sz w:val="22"/>
          <w:szCs w:val="22"/>
        </w:rPr>
      </w:pPr>
    </w:p>
    <w:p w14:paraId="1D7C1944" w14:textId="45186CDB" w:rsidR="00C91A0C" w:rsidRDefault="00807647" w:rsidP="00C91A0C">
      <w:pPr>
        <w:spacing w:before="0" w:after="0"/>
        <w:rPr>
          <w:sz w:val="22"/>
          <w:szCs w:val="22"/>
        </w:rPr>
      </w:pPr>
      <w:r>
        <w:rPr>
          <w:sz w:val="22"/>
          <w:szCs w:val="22"/>
        </w:rPr>
        <w:t>On 11 May 2023</w:t>
      </w:r>
      <w:r w:rsidR="00C91A0C" w:rsidRPr="00C91A0C">
        <w:rPr>
          <w:sz w:val="22"/>
          <w:szCs w:val="22"/>
        </w:rPr>
        <w:t>, the TGA consulted with industry members through a</w:t>
      </w:r>
      <w:r w:rsidR="002F6A03">
        <w:rPr>
          <w:sz w:val="22"/>
          <w:szCs w:val="22"/>
        </w:rPr>
        <w:t>n</w:t>
      </w:r>
      <w:r w:rsidR="00C91A0C" w:rsidRPr="00C91A0C">
        <w:rPr>
          <w:sz w:val="22"/>
          <w:szCs w:val="22"/>
        </w:rPr>
        <w:t xml:space="preserve"> out of session update</w:t>
      </w:r>
      <w:r w:rsidR="002F6A03">
        <w:rPr>
          <w:sz w:val="22"/>
          <w:szCs w:val="22"/>
        </w:rPr>
        <w:t xml:space="preserve"> with the</w:t>
      </w:r>
      <w:r>
        <w:rPr>
          <w:sz w:val="22"/>
          <w:szCs w:val="22"/>
        </w:rPr>
        <w:t xml:space="preserve"> </w:t>
      </w:r>
      <w:r w:rsidR="002F6A03" w:rsidRPr="002F6A03">
        <w:rPr>
          <w:sz w:val="22"/>
          <w:szCs w:val="22"/>
        </w:rPr>
        <w:t>Regulatory and Technical Consultative Forum for medical devices (</w:t>
      </w:r>
      <w:r w:rsidR="002F6A03">
        <w:rPr>
          <w:sz w:val="22"/>
          <w:szCs w:val="22"/>
        </w:rPr>
        <w:t>“</w:t>
      </w:r>
      <w:r w:rsidR="002F6A03" w:rsidRPr="002F6A03">
        <w:rPr>
          <w:sz w:val="22"/>
          <w:szCs w:val="22"/>
        </w:rPr>
        <w:t>RegTech</w:t>
      </w:r>
      <w:r w:rsidR="002F6A03">
        <w:rPr>
          <w:sz w:val="22"/>
          <w:szCs w:val="22"/>
        </w:rPr>
        <w:t>”</w:t>
      </w:r>
      <w:r w:rsidR="002F6A03" w:rsidRPr="002F6A03">
        <w:rPr>
          <w:sz w:val="22"/>
          <w:szCs w:val="22"/>
        </w:rPr>
        <w:t xml:space="preserve">) </w:t>
      </w:r>
      <w:r>
        <w:rPr>
          <w:sz w:val="22"/>
          <w:szCs w:val="22"/>
        </w:rPr>
        <w:t>on the proposal to remake the former DAEN – Medical Devices Specification without significant change.</w:t>
      </w:r>
      <w:r w:rsidR="00DC6C0B" w:rsidRPr="00DC6C0B">
        <w:rPr>
          <w:sz w:val="22"/>
          <w:szCs w:val="22"/>
        </w:rPr>
        <w:t xml:space="preserve"> </w:t>
      </w:r>
      <w:r w:rsidR="00DC6C0B">
        <w:rPr>
          <w:sz w:val="22"/>
          <w:szCs w:val="22"/>
        </w:rPr>
        <w:t>RegTech is a forum of key industry bodies and associations that facilitates consultation between the TGA and the medical device industry.</w:t>
      </w:r>
      <w:r>
        <w:rPr>
          <w:sz w:val="22"/>
          <w:szCs w:val="22"/>
        </w:rPr>
        <w:t xml:space="preserve"> RegTech was supportive of the proposal and did not raise any concerns.</w:t>
      </w:r>
    </w:p>
    <w:p w14:paraId="41BAF441" w14:textId="2A55EE27" w:rsidR="00807647" w:rsidRDefault="00807647" w:rsidP="00C91A0C">
      <w:pPr>
        <w:spacing w:before="0" w:after="0"/>
        <w:rPr>
          <w:sz w:val="22"/>
          <w:szCs w:val="22"/>
        </w:rPr>
      </w:pPr>
    </w:p>
    <w:p w14:paraId="3D9E26F5" w14:textId="3C11D045" w:rsidR="00807647" w:rsidRPr="00C91A0C" w:rsidRDefault="00807647" w:rsidP="00C91A0C">
      <w:pPr>
        <w:spacing w:before="0" w:after="0"/>
        <w:rPr>
          <w:sz w:val="22"/>
          <w:szCs w:val="22"/>
        </w:rPr>
      </w:pPr>
      <w:r>
        <w:rPr>
          <w:sz w:val="22"/>
          <w:szCs w:val="22"/>
        </w:rPr>
        <w:t xml:space="preserve">Consultation was not undertaken in relation to the DAEN – Medicines because consultation was undertaken in 2022 </w:t>
      </w:r>
      <w:r w:rsidR="00C85A9C">
        <w:rPr>
          <w:sz w:val="22"/>
          <w:szCs w:val="22"/>
        </w:rPr>
        <w:t>when the former DAEN – Medicines Specification was made, and no substantive changes have been made to the content of the former DAEN – Medicines Specification.</w:t>
      </w:r>
    </w:p>
    <w:p w14:paraId="50606505" w14:textId="77777777" w:rsidR="00C91A0C" w:rsidRPr="00C91A0C" w:rsidRDefault="00C91A0C" w:rsidP="00C91A0C">
      <w:pPr>
        <w:spacing w:before="0" w:after="0"/>
        <w:rPr>
          <w:sz w:val="22"/>
          <w:szCs w:val="22"/>
        </w:rPr>
      </w:pPr>
    </w:p>
    <w:p w14:paraId="7AEA348B" w14:textId="1382A965" w:rsidR="00CC341C" w:rsidRPr="00D178C1" w:rsidRDefault="000F3D7B" w:rsidP="003C5297">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T</w:t>
      </w:r>
      <w:r w:rsidR="00D178C1" w:rsidRPr="00D178C1">
        <w:rPr>
          <w:rFonts w:eastAsiaTheme="minorHAnsi"/>
          <w:color w:val="000000"/>
          <w:sz w:val="22"/>
          <w:szCs w:val="22"/>
          <w:lang w:val="en-AU"/>
        </w:rPr>
        <w:t xml:space="preserve">he </w:t>
      </w:r>
      <w:r w:rsidR="00B2093E">
        <w:rPr>
          <w:rFonts w:eastAsiaTheme="minorHAnsi"/>
          <w:color w:val="000000"/>
          <w:sz w:val="22"/>
          <w:szCs w:val="22"/>
          <w:lang w:val="en-AU"/>
        </w:rPr>
        <w:t>O</w:t>
      </w:r>
      <w:r>
        <w:rPr>
          <w:rFonts w:eastAsiaTheme="minorHAnsi"/>
          <w:color w:val="000000"/>
          <w:sz w:val="22"/>
          <w:szCs w:val="22"/>
          <w:lang w:val="en-AU"/>
        </w:rPr>
        <w:t xml:space="preserve">ffice of </w:t>
      </w:r>
      <w:r w:rsidR="00B2093E">
        <w:rPr>
          <w:rFonts w:eastAsiaTheme="minorHAnsi"/>
          <w:color w:val="000000"/>
          <w:sz w:val="22"/>
          <w:szCs w:val="22"/>
          <w:lang w:val="en-AU"/>
        </w:rPr>
        <w:t>I</w:t>
      </w:r>
      <w:r>
        <w:rPr>
          <w:rFonts w:eastAsiaTheme="minorHAnsi"/>
          <w:color w:val="000000"/>
          <w:sz w:val="22"/>
          <w:szCs w:val="22"/>
          <w:lang w:val="en-AU"/>
        </w:rPr>
        <w:t xml:space="preserve">mpact </w:t>
      </w:r>
      <w:r w:rsidR="00B2093E">
        <w:rPr>
          <w:rFonts w:eastAsiaTheme="minorHAnsi"/>
          <w:color w:val="000000"/>
          <w:sz w:val="22"/>
          <w:szCs w:val="22"/>
          <w:lang w:val="en-AU"/>
        </w:rPr>
        <w:t>A</w:t>
      </w:r>
      <w:r>
        <w:rPr>
          <w:rFonts w:eastAsiaTheme="minorHAnsi"/>
          <w:color w:val="000000"/>
          <w:sz w:val="22"/>
          <w:szCs w:val="22"/>
          <w:lang w:val="en-AU"/>
        </w:rPr>
        <w:t>nalysis (OIA)</w:t>
      </w:r>
      <w:r w:rsidR="004402A7" w:rsidRPr="00D178C1">
        <w:rPr>
          <w:rFonts w:eastAsiaTheme="minorHAnsi"/>
          <w:color w:val="000000"/>
          <w:sz w:val="22"/>
          <w:szCs w:val="22"/>
          <w:lang w:val="en-AU"/>
        </w:rPr>
        <w:t xml:space="preserve"> advised that </w:t>
      </w:r>
      <w:r>
        <w:rPr>
          <w:rFonts w:eastAsiaTheme="minorHAnsi"/>
          <w:color w:val="000000"/>
          <w:sz w:val="22"/>
          <w:szCs w:val="22"/>
          <w:lang w:val="en-AU"/>
        </w:rPr>
        <w:t xml:space="preserve">the making of the </w:t>
      </w:r>
      <w:r w:rsidR="00EE70EA">
        <w:rPr>
          <w:color w:val="000000"/>
          <w:sz w:val="22"/>
          <w:szCs w:val="22"/>
          <w:shd w:val="clear" w:color="auto" w:fill="FFFFFF"/>
        </w:rPr>
        <w:t xml:space="preserve">Instrument </w:t>
      </w:r>
      <w:r>
        <w:rPr>
          <w:rFonts w:eastAsiaTheme="minorHAnsi"/>
          <w:color w:val="000000"/>
          <w:sz w:val="22"/>
          <w:szCs w:val="22"/>
          <w:lang w:val="en-AU"/>
        </w:rPr>
        <w:t xml:space="preserve">is unlikely to have more than a minor regulatory impact, therefore the preparation of </w:t>
      </w:r>
      <w:r w:rsidR="004402A7" w:rsidRPr="00D178C1">
        <w:rPr>
          <w:rFonts w:eastAsiaTheme="minorHAnsi"/>
          <w:color w:val="000000"/>
          <w:sz w:val="22"/>
          <w:szCs w:val="22"/>
          <w:lang w:val="en-AU"/>
        </w:rPr>
        <w:t>a</w:t>
      </w:r>
      <w:r w:rsidR="00D178C1" w:rsidRPr="00D178C1">
        <w:rPr>
          <w:rFonts w:eastAsiaTheme="minorHAnsi"/>
          <w:color w:val="000000"/>
          <w:sz w:val="22"/>
          <w:szCs w:val="22"/>
          <w:lang w:val="en-AU"/>
        </w:rPr>
        <w:t>n Impact Analysis is</w:t>
      </w:r>
      <w:r w:rsidR="004402A7" w:rsidRPr="00D178C1">
        <w:rPr>
          <w:rFonts w:eastAsiaTheme="minorHAnsi"/>
          <w:color w:val="000000"/>
          <w:sz w:val="22"/>
          <w:szCs w:val="22"/>
          <w:lang w:val="en-AU"/>
        </w:rPr>
        <w:t xml:space="preserve"> not required </w:t>
      </w:r>
      <w:r w:rsidR="00C802F4" w:rsidRPr="00D178C1">
        <w:rPr>
          <w:rFonts w:eastAsiaTheme="minorHAnsi"/>
          <w:color w:val="000000"/>
          <w:sz w:val="22"/>
          <w:szCs w:val="22"/>
          <w:lang w:val="en-AU"/>
        </w:rPr>
        <w:t>(</w:t>
      </w:r>
      <w:r w:rsidR="00D178C1" w:rsidRPr="00D178C1">
        <w:rPr>
          <w:rFonts w:eastAsiaTheme="minorHAnsi"/>
          <w:color w:val="000000"/>
          <w:sz w:val="22"/>
          <w:szCs w:val="22"/>
          <w:lang w:val="en-AU"/>
        </w:rPr>
        <w:t>OIA23-04525</w:t>
      </w:r>
      <w:r w:rsidR="00C802F4" w:rsidRPr="00D178C1">
        <w:rPr>
          <w:rFonts w:eastAsiaTheme="minorHAnsi"/>
          <w:color w:val="000000"/>
          <w:sz w:val="22"/>
          <w:szCs w:val="22"/>
          <w:lang w:val="en-AU"/>
        </w:rPr>
        <w:t>)</w:t>
      </w:r>
      <w:r w:rsidR="004402A7" w:rsidRPr="00D178C1">
        <w:rPr>
          <w:rFonts w:eastAsiaTheme="minorHAnsi"/>
          <w:color w:val="000000"/>
          <w:sz w:val="22"/>
          <w:szCs w:val="22"/>
          <w:lang w:val="en-AU"/>
        </w:rPr>
        <w:t>.</w:t>
      </w:r>
    </w:p>
    <w:p w14:paraId="3E244052" w14:textId="77777777" w:rsidR="00DE73FA" w:rsidRPr="00502B47" w:rsidRDefault="00DE73FA" w:rsidP="003C5297">
      <w:pPr>
        <w:autoSpaceDE w:val="0"/>
        <w:autoSpaceDN w:val="0"/>
        <w:adjustRightInd w:val="0"/>
        <w:spacing w:before="0" w:after="0"/>
        <w:rPr>
          <w:sz w:val="22"/>
          <w:szCs w:val="22"/>
          <w:lang w:eastAsia="en-AU"/>
        </w:rPr>
      </w:pPr>
    </w:p>
    <w:p w14:paraId="478F5A67" w14:textId="095E8853" w:rsidR="003C5297" w:rsidRPr="00502B47" w:rsidRDefault="003C5297" w:rsidP="003C5297">
      <w:pPr>
        <w:autoSpaceDE w:val="0"/>
        <w:autoSpaceDN w:val="0"/>
        <w:adjustRightInd w:val="0"/>
        <w:spacing w:before="0" w:after="0"/>
        <w:rPr>
          <w:sz w:val="22"/>
          <w:szCs w:val="22"/>
          <w:lang w:eastAsia="en-AU"/>
        </w:rPr>
      </w:pPr>
      <w:r w:rsidRPr="00502B47">
        <w:rPr>
          <w:sz w:val="22"/>
          <w:szCs w:val="22"/>
          <w:lang w:eastAsia="en-AU"/>
        </w:rPr>
        <w:t xml:space="preserve">Details of the </w:t>
      </w:r>
      <w:r w:rsidR="00EE70EA">
        <w:rPr>
          <w:color w:val="000000"/>
          <w:sz w:val="22"/>
          <w:szCs w:val="22"/>
          <w:shd w:val="clear" w:color="auto" w:fill="FFFFFF"/>
        </w:rPr>
        <w:t xml:space="preserve">Instrument </w:t>
      </w:r>
      <w:r w:rsidRPr="00502B47">
        <w:rPr>
          <w:sz w:val="22"/>
          <w:szCs w:val="22"/>
          <w:lang w:eastAsia="en-AU"/>
        </w:rPr>
        <w:t xml:space="preserve">are set out in </w:t>
      </w:r>
      <w:r w:rsidRPr="00502B47">
        <w:rPr>
          <w:b/>
          <w:sz w:val="22"/>
          <w:szCs w:val="22"/>
          <w:lang w:eastAsia="en-AU"/>
        </w:rPr>
        <w:t>Attachment A</w:t>
      </w:r>
      <w:r w:rsidRPr="00502B47">
        <w:rPr>
          <w:sz w:val="22"/>
          <w:szCs w:val="22"/>
          <w:lang w:eastAsia="en-AU"/>
        </w:rPr>
        <w:t>.</w:t>
      </w:r>
    </w:p>
    <w:p w14:paraId="618C0F43" w14:textId="77777777" w:rsidR="003C5297" w:rsidRPr="00B2546F" w:rsidRDefault="003C5297" w:rsidP="003C5297">
      <w:pPr>
        <w:autoSpaceDE w:val="0"/>
        <w:autoSpaceDN w:val="0"/>
        <w:adjustRightInd w:val="0"/>
        <w:spacing w:before="0" w:after="0"/>
        <w:rPr>
          <w:sz w:val="22"/>
          <w:szCs w:val="22"/>
          <w:lang w:eastAsia="en-AU"/>
        </w:rPr>
      </w:pPr>
    </w:p>
    <w:p w14:paraId="5532621E" w14:textId="6E1A6A2A" w:rsidR="003C5297" w:rsidRPr="00B2546F" w:rsidRDefault="003C5297" w:rsidP="003C5297">
      <w:pPr>
        <w:autoSpaceDE w:val="0"/>
        <w:autoSpaceDN w:val="0"/>
        <w:adjustRightInd w:val="0"/>
        <w:spacing w:before="0" w:after="0"/>
        <w:rPr>
          <w:sz w:val="22"/>
          <w:szCs w:val="22"/>
          <w:lang w:eastAsia="en-AU"/>
        </w:rPr>
      </w:pPr>
      <w:r w:rsidRPr="00B2546F">
        <w:rPr>
          <w:sz w:val="22"/>
          <w:szCs w:val="22"/>
          <w:lang w:eastAsia="en-AU"/>
        </w:rPr>
        <w:t xml:space="preserve">The </w:t>
      </w:r>
      <w:r w:rsidR="00EE70EA">
        <w:rPr>
          <w:color w:val="000000"/>
          <w:sz w:val="22"/>
          <w:szCs w:val="22"/>
          <w:shd w:val="clear" w:color="auto" w:fill="FFFFFF"/>
        </w:rPr>
        <w:t xml:space="preserve">Instrument </w:t>
      </w:r>
      <w:r w:rsidRPr="00B2546F">
        <w:rPr>
          <w:sz w:val="22"/>
          <w:szCs w:val="22"/>
          <w:lang w:eastAsia="en-AU"/>
        </w:rPr>
        <w:t xml:space="preserve">is compatible with the human rights and freedoms </w:t>
      </w:r>
      <w:proofErr w:type="spellStart"/>
      <w:r w:rsidRPr="00B2546F">
        <w:rPr>
          <w:sz w:val="22"/>
          <w:szCs w:val="22"/>
          <w:lang w:eastAsia="en-AU"/>
        </w:rPr>
        <w:t>recognised</w:t>
      </w:r>
      <w:proofErr w:type="spellEnd"/>
      <w:r w:rsidRPr="00B2546F">
        <w:rPr>
          <w:sz w:val="22"/>
          <w:szCs w:val="22"/>
          <w:lang w:eastAsia="en-AU"/>
        </w:rPr>
        <w:t xml:space="preserve"> or declared under section 3 of the </w:t>
      </w:r>
      <w:r w:rsidRPr="00B2546F">
        <w:rPr>
          <w:i/>
          <w:sz w:val="22"/>
          <w:szCs w:val="22"/>
          <w:lang w:eastAsia="en-AU"/>
        </w:rPr>
        <w:t>Human Rights (Parliamentary Scrutiny) Act 2011</w:t>
      </w:r>
      <w:r w:rsidRPr="00B2546F">
        <w:rPr>
          <w:sz w:val="22"/>
          <w:szCs w:val="22"/>
          <w:lang w:eastAsia="en-AU"/>
        </w:rPr>
        <w:t xml:space="preserve">. A full statement of compatibility is set out in </w:t>
      </w:r>
      <w:r w:rsidRPr="00B2546F">
        <w:rPr>
          <w:b/>
          <w:sz w:val="22"/>
          <w:szCs w:val="22"/>
          <w:lang w:eastAsia="en-AU"/>
        </w:rPr>
        <w:t>Attachment B</w:t>
      </w:r>
      <w:r w:rsidRPr="00B2546F">
        <w:rPr>
          <w:sz w:val="22"/>
          <w:szCs w:val="22"/>
          <w:lang w:eastAsia="en-AU"/>
        </w:rPr>
        <w:t>.</w:t>
      </w:r>
    </w:p>
    <w:p w14:paraId="08EAFE81" w14:textId="77777777" w:rsidR="003C5297" w:rsidRPr="00B2546F" w:rsidRDefault="003C5297" w:rsidP="003C5297">
      <w:pPr>
        <w:autoSpaceDE w:val="0"/>
        <w:autoSpaceDN w:val="0"/>
        <w:adjustRightInd w:val="0"/>
        <w:spacing w:before="0" w:after="0"/>
        <w:rPr>
          <w:sz w:val="22"/>
          <w:szCs w:val="22"/>
          <w:lang w:eastAsia="en-AU"/>
        </w:rPr>
      </w:pPr>
    </w:p>
    <w:p w14:paraId="513F1C95" w14:textId="55A749C4" w:rsidR="00141FA8" w:rsidRPr="00B2546F" w:rsidRDefault="00516B5A" w:rsidP="00241846">
      <w:pPr>
        <w:autoSpaceDE w:val="0"/>
        <w:autoSpaceDN w:val="0"/>
        <w:adjustRightInd w:val="0"/>
        <w:spacing w:before="0" w:after="0"/>
        <w:rPr>
          <w:sz w:val="22"/>
          <w:szCs w:val="22"/>
          <w:lang w:eastAsia="en-AU"/>
        </w:rPr>
      </w:pPr>
      <w:r w:rsidRPr="00B2546F">
        <w:rPr>
          <w:sz w:val="22"/>
          <w:szCs w:val="22"/>
          <w:lang w:eastAsia="en-AU"/>
        </w:rPr>
        <w:t xml:space="preserve">The </w:t>
      </w:r>
      <w:r w:rsidR="00EE70EA">
        <w:rPr>
          <w:color w:val="000000"/>
          <w:sz w:val="22"/>
          <w:szCs w:val="22"/>
          <w:shd w:val="clear" w:color="auto" w:fill="FFFFFF"/>
        </w:rPr>
        <w:t xml:space="preserve">Instrument </w:t>
      </w:r>
      <w:r w:rsidRPr="00B2546F">
        <w:rPr>
          <w:sz w:val="22"/>
          <w:szCs w:val="22"/>
          <w:lang w:eastAsia="en-AU"/>
        </w:rPr>
        <w:t xml:space="preserve">is a disallowable legislative instrument for the purposes of </w:t>
      </w:r>
      <w:r w:rsidRPr="004114AC">
        <w:rPr>
          <w:sz w:val="22"/>
          <w:szCs w:val="22"/>
          <w:lang w:eastAsia="en-AU"/>
        </w:rPr>
        <w:t>the</w:t>
      </w:r>
      <w:r w:rsidRPr="004114AC">
        <w:rPr>
          <w:i/>
          <w:iCs/>
          <w:sz w:val="22"/>
          <w:szCs w:val="22"/>
          <w:lang w:eastAsia="en-AU"/>
        </w:rPr>
        <w:t xml:space="preserve"> </w:t>
      </w:r>
      <w:r w:rsidRPr="00342F46">
        <w:rPr>
          <w:sz w:val="22"/>
          <w:szCs w:val="22"/>
          <w:lang w:eastAsia="en-AU"/>
        </w:rPr>
        <w:t>Legislation Act</w:t>
      </w:r>
      <w:r w:rsidR="004114AC" w:rsidRPr="004114AC">
        <w:rPr>
          <w:i/>
          <w:iCs/>
          <w:sz w:val="22"/>
          <w:szCs w:val="22"/>
          <w:lang w:eastAsia="en-AU"/>
        </w:rPr>
        <w:t xml:space="preserve"> </w:t>
      </w:r>
      <w:r w:rsidRPr="00B2546F">
        <w:rPr>
          <w:iCs/>
          <w:sz w:val="22"/>
          <w:szCs w:val="22"/>
          <w:lang w:eastAsia="en-AU"/>
        </w:rPr>
        <w:t xml:space="preserve">and commences </w:t>
      </w:r>
      <w:r w:rsidR="00B17F0A">
        <w:rPr>
          <w:sz w:val="22"/>
          <w:szCs w:val="22"/>
          <w:lang w:eastAsia="en-AU"/>
        </w:rPr>
        <w:t xml:space="preserve">on </w:t>
      </w:r>
      <w:r w:rsidR="00143D60">
        <w:rPr>
          <w:sz w:val="22"/>
          <w:szCs w:val="22"/>
          <w:lang w:eastAsia="en-AU"/>
        </w:rPr>
        <w:t>30 September 2023</w:t>
      </w:r>
      <w:r w:rsidR="004114AC">
        <w:rPr>
          <w:iCs/>
          <w:sz w:val="22"/>
          <w:szCs w:val="22"/>
          <w:lang w:eastAsia="en-AU"/>
        </w:rPr>
        <w:t>.</w:t>
      </w:r>
      <w:r w:rsidR="00141FA8" w:rsidRPr="00B2546F">
        <w:rPr>
          <w:sz w:val="22"/>
          <w:szCs w:val="22"/>
          <w:lang w:eastAsia="en-AU"/>
        </w:rPr>
        <w:br w:type="page"/>
      </w:r>
    </w:p>
    <w:p w14:paraId="5876270B" w14:textId="77777777" w:rsidR="00141FA8" w:rsidRPr="00B2546F" w:rsidRDefault="00141FA8" w:rsidP="00141FA8">
      <w:pPr>
        <w:spacing w:before="0" w:after="0"/>
        <w:jc w:val="right"/>
        <w:rPr>
          <w:b/>
          <w:bCs/>
          <w:sz w:val="22"/>
          <w:szCs w:val="22"/>
          <w:lang w:eastAsia="en-AU"/>
        </w:rPr>
      </w:pPr>
      <w:r w:rsidRPr="00B2546F">
        <w:rPr>
          <w:b/>
          <w:bCs/>
          <w:sz w:val="22"/>
          <w:szCs w:val="22"/>
          <w:lang w:eastAsia="en-AU"/>
        </w:rPr>
        <w:lastRenderedPageBreak/>
        <w:t>Attachment A</w:t>
      </w:r>
    </w:p>
    <w:p w14:paraId="47C4C37D" w14:textId="77777777" w:rsidR="00141FA8" w:rsidRPr="00B2546F" w:rsidRDefault="00141FA8" w:rsidP="00141FA8">
      <w:pPr>
        <w:spacing w:before="0" w:after="0"/>
        <w:rPr>
          <w:b/>
          <w:bCs/>
          <w:sz w:val="22"/>
          <w:szCs w:val="22"/>
          <w:lang w:eastAsia="en-AU"/>
        </w:rPr>
      </w:pPr>
      <w:bookmarkStart w:id="4" w:name="_Toc199566624"/>
    </w:p>
    <w:p w14:paraId="1989F085" w14:textId="6F287FDC" w:rsidR="00141FA8" w:rsidRPr="006C1C91" w:rsidRDefault="00141FA8" w:rsidP="00141FA8">
      <w:pPr>
        <w:spacing w:before="0" w:after="0"/>
        <w:rPr>
          <w:sz w:val="22"/>
          <w:szCs w:val="22"/>
          <w:lang w:eastAsia="en-AU"/>
        </w:rPr>
      </w:pPr>
      <w:r w:rsidRPr="00B2546F">
        <w:rPr>
          <w:b/>
          <w:bCs/>
          <w:sz w:val="22"/>
          <w:szCs w:val="22"/>
          <w:lang w:eastAsia="en-AU"/>
        </w:rPr>
        <w:t>Details of</w:t>
      </w:r>
      <w:r w:rsidRPr="00B2546F">
        <w:rPr>
          <w:b/>
          <w:sz w:val="22"/>
          <w:szCs w:val="22"/>
          <w:lang w:eastAsia="en-AU"/>
        </w:rPr>
        <w:t> </w:t>
      </w:r>
      <w:bookmarkEnd w:id="4"/>
      <w:r w:rsidRPr="00B2546F">
        <w:rPr>
          <w:b/>
          <w:sz w:val="22"/>
          <w:szCs w:val="22"/>
          <w:lang w:eastAsia="en-AU"/>
        </w:rPr>
        <w:t>the</w:t>
      </w:r>
      <w:r w:rsidRPr="00B2546F">
        <w:rPr>
          <w:sz w:val="22"/>
          <w:szCs w:val="22"/>
          <w:lang w:eastAsia="en-AU"/>
        </w:rPr>
        <w:t xml:space="preserve"> </w:t>
      </w:r>
      <w:r w:rsidR="00D563E3" w:rsidRPr="006C1C91">
        <w:rPr>
          <w:b/>
          <w:bCs/>
          <w:i/>
          <w:iCs/>
          <w:sz w:val="22"/>
          <w:szCs w:val="22"/>
          <w:lang w:eastAsia="en-AU"/>
        </w:rPr>
        <w:t>Therapeutic Goods (</w:t>
      </w:r>
      <w:r w:rsidR="009C7E13" w:rsidRPr="009C7E13">
        <w:rPr>
          <w:b/>
          <w:bCs/>
          <w:i/>
          <w:sz w:val="22"/>
          <w:szCs w:val="22"/>
        </w:rPr>
        <w:t>Information Specification</w:t>
      </w:r>
      <w:r w:rsidR="009C7E13" w:rsidRPr="009C7E13">
        <w:rPr>
          <w:b/>
          <w:bCs/>
          <w:i/>
          <w:iCs/>
        </w:rPr>
        <w:t>—</w:t>
      </w:r>
      <w:r w:rsidR="00D563E3" w:rsidRPr="00534D16">
        <w:rPr>
          <w:b/>
          <w:bCs/>
          <w:i/>
          <w:iCs/>
          <w:sz w:val="22"/>
          <w:szCs w:val="22"/>
          <w:lang w:eastAsia="en-AU"/>
        </w:rPr>
        <w:t>Database of Adverse Event Notifications</w:t>
      </w:r>
      <w:r w:rsidR="009C7E13">
        <w:rPr>
          <w:b/>
          <w:bCs/>
          <w:i/>
          <w:sz w:val="22"/>
          <w:szCs w:val="22"/>
        </w:rPr>
        <w:t>) Instrument</w:t>
      </w:r>
      <w:r w:rsidR="00D563E3" w:rsidRPr="00593278">
        <w:rPr>
          <w:b/>
          <w:bCs/>
          <w:i/>
          <w:iCs/>
          <w:sz w:val="22"/>
          <w:szCs w:val="22"/>
          <w:lang w:eastAsia="en-AU"/>
        </w:rPr>
        <w:t xml:space="preserve"> 2</w:t>
      </w:r>
      <w:r w:rsidR="00D563E3" w:rsidRPr="006C1C91">
        <w:rPr>
          <w:b/>
          <w:bCs/>
          <w:i/>
          <w:iCs/>
          <w:sz w:val="22"/>
          <w:szCs w:val="22"/>
          <w:lang w:eastAsia="en-AU"/>
        </w:rPr>
        <w:t>02</w:t>
      </w:r>
      <w:r w:rsidR="00A309AB">
        <w:rPr>
          <w:b/>
          <w:bCs/>
          <w:i/>
          <w:iCs/>
          <w:sz w:val="22"/>
          <w:szCs w:val="22"/>
          <w:lang w:eastAsia="en-AU"/>
        </w:rPr>
        <w:t>3</w:t>
      </w:r>
    </w:p>
    <w:p w14:paraId="3D86C2ED" w14:textId="5BDCE187" w:rsidR="00141FA8" w:rsidRPr="00B2546F" w:rsidRDefault="00141FA8" w:rsidP="00141FA8">
      <w:pPr>
        <w:spacing w:before="0" w:after="0"/>
        <w:rPr>
          <w:sz w:val="22"/>
          <w:szCs w:val="22"/>
          <w:lang w:eastAsia="en-AU"/>
        </w:rPr>
      </w:pPr>
    </w:p>
    <w:p w14:paraId="75F0D47D" w14:textId="77777777" w:rsidR="00141FA8" w:rsidRPr="00B2546F" w:rsidRDefault="00141FA8" w:rsidP="00141FA8">
      <w:pPr>
        <w:spacing w:before="0" w:after="0"/>
        <w:rPr>
          <w:b/>
          <w:bCs/>
          <w:sz w:val="22"/>
          <w:szCs w:val="22"/>
          <w:lang w:eastAsia="en-AU"/>
        </w:rPr>
      </w:pPr>
      <w:r w:rsidRPr="00B2546F">
        <w:rPr>
          <w:b/>
          <w:bCs/>
          <w:sz w:val="22"/>
          <w:szCs w:val="22"/>
          <w:lang w:eastAsia="en-AU"/>
        </w:rPr>
        <w:t>Section 1 – Name</w:t>
      </w:r>
    </w:p>
    <w:p w14:paraId="3314A9CF" w14:textId="77777777" w:rsidR="00141FA8" w:rsidRPr="00B2546F" w:rsidRDefault="00141FA8" w:rsidP="00141FA8">
      <w:pPr>
        <w:spacing w:before="0" w:after="0"/>
        <w:rPr>
          <w:sz w:val="22"/>
          <w:szCs w:val="22"/>
          <w:lang w:eastAsia="en-AU"/>
        </w:rPr>
      </w:pPr>
    </w:p>
    <w:p w14:paraId="3AC34157" w14:textId="581AFE7E" w:rsidR="00141FA8" w:rsidRPr="00A11704" w:rsidRDefault="00141FA8" w:rsidP="00A11704">
      <w:pPr>
        <w:spacing w:before="0" w:after="0"/>
        <w:rPr>
          <w:i/>
          <w:sz w:val="22"/>
          <w:szCs w:val="22"/>
          <w:lang w:val="en-AU" w:eastAsia="en-AU"/>
        </w:rPr>
      </w:pPr>
      <w:r w:rsidRPr="00B2546F">
        <w:rPr>
          <w:sz w:val="22"/>
          <w:szCs w:val="22"/>
          <w:lang w:eastAsia="en-AU"/>
        </w:rPr>
        <w:t xml:space="preserve">This section provides that the name of the instrument is the </w:t>
      </w:r>
      <w:r w:rsidR="00D563E3" w:rsidRPr="006C1C91">
        <w:rPr>
          <w:i/>
          <w:iCs/>
          <w:sz w:val="22"/>
          <w:szCs w:val="22"/>
          <w:lang w:eastAsia="en-AU"/>
        </w:rPr>
        <w:t>Therapeutic Goods (</w:t>
      </w:r>
      <w:r w:rsidR="009C7E13">
        <w:rPr>
          <w:i/>
          <w:sz w:val="22"/>
          <w:szCs w:val="22"/>
        </w:rPr>
        <w:t>Information Specification</w:t>
      </w:r>
      <w:r w:rsidR="009C7E13" w:rsidRPr="00591DA8">
        <w:rPr>
          <w:i/>
          <w:iCs/>
        </w:rPr>
        <w:t>—</w:t>
      </w:r>
      <w:r w:rsidR="00D563E3" w:rsidRPr="006C1C91">
        <w:rPr>
          <w:i/>
          <w:iCs/>
          <w:sz w:val="22"/>
          <w:szCs w:val="22"/>
          <w:lang w:eastAsia="en-AU"/>
        </w:rPr>
        <w:t>Database of Adverse Event Notifications</w:t>
      </w:r>
      <w:r w:rsidR="00BA3B7F" w:rsidRPr="009535EF">
        <w:rPr>
          <w:i/>
          <w:sz w:val="22"/>
          <w:szCs w:val="22"/>
        </w:rPr>
        <w:t xml:space="preserve">) </w:t>
      </w:r>
      <w:r w:rsidR="009C7E13">
        <w:rPr>
          <w:i/>
          <w:iCs/>
          <w:sz w:val="22"/>
          <w:szCs w:val="22"/>
          <w:lang w:eastAsia="en-AU"/>
        </w:rPr>
        <w:t xml:space="preserve">Instrument </w:t>
      </w:r>
      <w:r w:rsidR="00D563E3" w:rsidRPr="006C1C91">
        <w:rPr>
          <w:i/>
          <w:iCs/>
          <w:sz w:val="22"/>
          <w:szCs w:val="22"/>
          <w:lang w:eastAsia="en-AU"/>
        </w:rPr>
        <w:t>202</w:t>
      </w:r>
      <w:r w:rsidR="00A309AB">
        <w:rPr>
          <w:i/>
          <w:iCs/>
          <w:sz w:val="22"/>
          <w:szCs w:val="22"/>
          <w:lang w:eastAsia="en-AU"/>
        </w:rPr>
        <w:t xml:space="preserve">3 </w:t>
      </w:r>
      <w:r w:rsidR="00A11704" w:rsidRPr="00A11704">
        <w:rPr>
          <w:iCs/>
          <w:sz w:val="22"/>
          <w:szCs w:val="22"/>
          <w:lang w:val="en-AU" w:eastAsia="en-AU"/>
        </w:rPr>
        <w:t xml:space="preserve">(“the </w:t>
      </w:r>
      <w:r w:rsidR="00EE70EA">
        <w:rPr>
          <w:color w:val="000000"/>
          <w:sz w:val="22"/>
          <w:szCs w:val="22"/>
          <w:shd w:val="clear" w:color="auto" w:fill="FFFFFF"/>
        </w:rPr>
        <w:t>Instrument</w:t>
      </w:r>
      <w:r w:rsidR="00A11704" w:rsidRPr="00A11704">
        <w:rPr>
          <w:iCs/>
          <w:sz w:val="22"/>
          <w:szCs w:val="22"/>
          <w:lang w:val="en-AU" w:eastAsia="en-AU"/>
        </w:rPr>
        <w:t>”)</w:t>
      </w:r>
      <w:r w:rsidR="00A11704">
        <w:rPr>
          <w:iCs/>
          <w:sz w:val="22"/>
          <w:szCs w:val="22"/>
          <w:lang w:val="en-AU" w:eastAsia="en-AU"/>
        </w:rPr>
        <w:t>.</w:t>
      </w:r>
    </w:p>
    <w:p w14:paraId="15EF76AA" w14:textId="77777777" w:rsidR="00141FA8" w:rsidRPr="00B2546F" w:rsidRDefault="00141FA8" w:rsidP="00141FA8">
      <w:pPr>
        <w:spacing w:before="0" w:after="0"/>
        <w:rPr>
          <w:sz w:val="22"/>
          <w:szCs w:val="22"/>
          <w:lang w:eastAsia="en-AU"/>
        </w:rPr>
      </w:pPr>
    </w:p>
    <w:p w14:paraId="1EA81893" w14:textId="77777777" w:rsidR="00141FA8" w:rsidRPr="00B2546F" w:rsidRDefault="00141FA8" w:rsidP="00141FA8">
      <w:pPr>
        <w:spacing w:before="0" w:after="0"/>
        <w:rPr>
          <w:b/>
          <w:bCs/>
          <w:sz w:val="22"/>
          <w:szCs w:val="22"/>
          <w:lang w:eastAsia="en-AU"/>
        </w:rPr>
      </w:pPr>
      <w:r w:rsidRPr="00B2546F">
        <w:rPr>
          <w:b/>
          <w:bCs/>
          <w:sz w:val="22"/>
          <w:szCs w:val="22"/>
          <w:lang w:eastAsia="en-AU"/>
        </w:rPr>
        <w:t>Section 2 – Commencement</w:t>
      </w:r>
    </w:p>
    <w:p w14:paraId="31C37773" w14:textId="77777777" w:rsidR="00141FA8" w:rsidRPr="00B2546F" w:rsidRDefault="00141FA8" w:rsidP="00141FA8">
      <w:pPr>
        <w:spacing w:before="0" w:after="0"/>
        <w:rPr>
          <w:sz w:val="22"/>
          <w:szCs w:val="22"/>
          <w:lang w:eastAsia="en-AU"/>
        </w:rPr>
      </w:pPr>
    </w:p>
    <w:p w14:paraId="32CA4B86" w14:textId="11765350" w:rsidR="00141FA8" w:rsidRPr="00B2546F" w:rsidRDefault="00141FA8" w:rsidP="00141FA8">
      <w:pPr>
        <w:spacing w:before="0" w:after="0"/>
        <w:rPr>
          <w:sz w:val="22"/>
          <w:szCs w:val="22"/>
          <w:lang w:eastAsia="en-AU"/>
        </w:rPr>
      </w:pPr>
      <w:r w:rsidRPr="00B2546F">
        <w:rPr>
          <w:sz w:val="22"/>
          <w:szCs w:val="22"/>
          <w:lang w:eastAsia="en-AU"/>
        </w:rPr>
        <w:t xml:space="preserve">This section provides that the </w:t>
      </w:r>
      <w:r w:rsidR="00EE70EA">
        <w:rPr>
          <w:color w:val="000000"/>
          <w:sz w:val="22"/>
          <w:szCs w:val="22"/>
          <w:shd w:val="clear" w:color="auto" w:fill="FFFFFF"/>
        </w:rPr>
        <w:t xml:space="preserve">Instrument </w:t>
      </w:r>
      <w:r w:rsidRPr="00B2546F">
        <w:rPr>
          <w:sz w:val="22"/>
          <w:szCs w:val="22"/>
          <w:lang w:eastAsia="en-AU"/>
        </w:rPr>
        <w:t>commences</w:t>
      </w:r>
      <w:r w:rsidR="00751B23">
        <w:rPr>
          <w:sz w:val="22"/>
          <w:szCs w:val="22"/>
          <w:lang w:eastAsia="en-AU"/>
        </w:rPr>
        <w:t xml:space="preserve"> </w:t>
      </w:r>
      <w:r w:rsidR="00A309AB">
        <w:rPr>
          <w:sz w:val="22"/>
          <w:szCs w:val="22"/>
          <w:lang w:eastAsia="en-AU"/>
        </w:rPr>
        <w:t xml:space="preserve">on </w:t>
      </w:r>
      <w:r w:rsidR="00143D60">
        <w:rPr>
          <w:sz w:val="22"/>
          <w:szCs w:val="22"/>
          <w:lang w:eastAsia="en-AU"/>
        </w:rPr>
        <w:t>30 September 2023</w:t>
      </w:r>
      <w:r w:rsidR="00A11704">
        <w:rPr>
          <w:sz w:val="22"/>
          <w:szCs w:val="22"/>
          <w:lang w:eastAsia="en-AU"/>
        </w:rPr>
        <w:t>.</w:t>
      </w:r>
    </w:p>
    <w:p w14:paraId="15C017DE" w14:textId="77777777" w:rsidR="00141FA8" w:rsidRPr="00B2546F" w:rsidRDefault="00141FA8" w:rsidP="00141FA8">
      <w:pPr>
        <w:spacing w:before="0" w:after="0"/>
        <w:rPr>
          <w:sz w:val="22"/>
          <w:szCs w:val="22"/>
          <w:lang w:eastAsia="en-AU"/>
        </w:rPr>
      </w:pPr>
    </w:p>
    <w:p w14:paraId="05605E5E" w14:textId="77777777" w:rsidR="00141FA8" w:rsidRPr="00B2546F" w:rsidRDefault="00141FA8" w:rsidP="00141FA8">
      <w:pPr>
        <w:spacing w:before="0" w:after="0"/>
        <w:rPr>
          <w:b/>
          <w:bCs/>
          <w:sz w:val="22"/>
          <w:szCs w:val="22"/>
          <w:lang w:eastAsia="en-AU"/>
        </w:rPr>
      </w:pPr>
      <w:r w:rsidRPr="00B2546F">
        <w:rPr>
          <w:b/>
          <w:bCs/>
          <w:sz w:val="22"/>
          <w:szCs w:val="22"/>
          <w:lang w:eastAsia="en-AU"/>
        </w:rPr>
        <w:t>Section 3 – Authority</w:t>
      </w:r>
    </w:p>
    <w:p w14:paraId="5D10F0E6" w14:textId="77777777" w:rsidR="00141FA8" w:rsidRPr="00B2546F" w:rsidRDefault="00141FA8" w:rsidP="00141FA8">
      <w:pPr>
        <w:spacing w:before="0" w:after="0"/>
        <w:rPr>
          <w:sz w:val="22"/>
          <w:szCs w:val="22"/>
          <w:lang w:eastAsia="en-AU"/>
        </w:rPr>
      </w:pPr>
    </w:p>
    <w:p w14:paraId="77E57303" w14:textId="344E942C" w:rsidR="00133FB9" w:rsidRPr="00B2546F" w:rsidRDefault="00141FA8" w:rsidP="00141FA8">
      <w:pPr>
        <w:spacing w:before="0" w:after="0"/>
        <w:rPr>
          <w:sz w:val="22"/>
          <w:szCs w:val="22"/>
          <w:lang w:eastAsia="en-AU"/>
        </w:rPr>
      </w:pPr>
      <w:r w:rsidRPr="00B2546F">
        <w:rPr>
          <w:sz w:val="22"/>
          <w:szCs w:val="22"/>
          <w:lang w:eastAsia="en-AU"/>
        </w:rPr>
        <w:t xml:space="preserve">This section provides that the legislative authority for making the </w:t>
      </w:r>
      <w:r w:rsidR="00EE70EA">
        <w:rPr>
          <w:color w:val="000000"/>
          <w:sz w:val="22"/>
          <w:szCs w:val="22"/>
          <w:shd w:val="clear" w:color="auto" w:fill="FFFFFF"/>
        </w:rPr>
        <w:t xml:space="preserve">Instrument </w:t>
      </w:r>
      <w:r w:rsidRPr="00B2546F">
        <w:rPr>
          <w:sz w:val="22"/>
          <w:szCs w:val="22"/>
          <w:lang w:eastAsia="en-AU"/>
        </w:rPr>
        <w:t xml:space="preserve">is </w:t>
      </w:r>
      <w:r w:rsidR="00A11704">
        <w:rPr>
          <w:sz w:val="22"/>
          <w:szCs w:val="22"/>
          <w:lang w:eastAsia="en-AU"/>
        </w:rPr>
        <w:t>subsection 61(5D)</w:t>
      </w:r>
      <w:r w:rsidRPr="00B2546F">
        <w:rPr>
          <w:sz w:val="22"/>
          <w:szCs w:val="22"/>
          <w:lang w:eastAsia="en-AU"/>
        </w:rPr>
        <w:t xml:space="preserve"> of the </w:t>
      </w:r>
      <w:r w:rsidRPr="00B2546F">
        <w:rPr>
          <w:i/>
          <w:sz w:val="22"/>
          <w:szCs w:val="22"/>
          <w:lang w:eastAsia="en-AU"/>
        </w:rPr>
        <w:t>Therapeutic Goods Act 1989</w:t>
      </w:r>
      <w:r w:rsidRPr="00B2546F">
        <w:rPr>
          <w:sz w:val="22"/>
          <w:szCs w:val="22"/>
          <w:lang w:eastAsia="en-AU"/>
        </w:rPr>
        <w:t xml:space="preserve"> (“the Act”).</w:t>
      </w:r>
    </w:p>
    <w:p w14:paraId="20455D57" w14:textId="77777777" w:rsidR="00141FA8" w:rsidRPr="00B2546F" w:rsidRDefault="00141FA8" w:rsidP="00141FA8">
      <w:pPr>
        <w:spacing w:before="0" w:after="0"/>
        <w:rPr>
          <w:sz w:val="22"/>
          <w:szCs w:val="22"/>
          <w:lang w:eastAsia="en-AU"/>
        </w:rPr>
      </w:pPr>
    </w:p>
    <w:p w14:paraId="201A9153" w14:textId="20C4C5E6" w:rsidR="00141FA8" w:rsidRPr="00B2546F" w:rsidRDefault="00141FA8" w:rsidP="00141FA8">
      <w:pPr>
        <w:spacing w:before="0" w:after="0"/>
        <w:rPr>
          <w:b/>
          <w:bCs/>
          <w:sz w:val="22"/>
          <w:szCs w:val="22"/>
          <w:lang w:eastAsia="en-AU"/>
        </w:rPr>
      </w:pPr>
      <w:r w:rsidRPr="00B2546F">
        <w:rPr>
          <w:b/>
          <w:bCs/>
          <w:sz w:val="22"/>
          <w:szCs w:val="22"/>
          <w:lang w:eastAsia="en-AU"/>
        </w:rPr>
        <w:t xml:space="preserve">Section 4 – </w:t>
      </w:r>
      <w:r w:rsidR="00096D4A" w:rsidRPr="00B2546F">
        <w:rPr>
          <w:b/>
          <w:bCs/>
          <w:sz w:val="22"/>
          <w:szCs w:val="22"/>
          <w:lang w:eastAsia="en-AU"/>
        </w:rPr>
        <w:t>Definitions</w:t>
      </w:r>
    </w:p>
    <w:p w14:paraId="3645D1E7" w14:textId="77777777" w:rsidR="00141FA8" w:rsidRPr="00B2546F" w:rsidRDefault="00141FA8" w:rsidP="00141FA8">
      <w:pPr>
        <w:spacing w:before="0" w:after="0"/>
        <w:rPr>
          <w:b/>
          <w:bCs/>
          <w:sz w:val="22"/>
          <w:szCs w:val="22"/>
          <w:lang w:eastAsia="en-AU"/>
        </w:rPr>
      </w:pPr>
    </w:p>
    <w:p w14:paraId="2F925FF7" w14:textId="749383B5" w:rsidR="00141FA8" w:rsidRDefault="00096D4A" w:rsidP="00141FA8">
      <w:pPr>
        <w:spacing w:before="0" w:after="0"/>
        <w:rPr>
          <w:sz w:val="22"/>
          <w:szCs w:val="22"/>
        </w:rPr>
      </w:pPr>
      <w:r w:rsidRPr="00B2546F">
        <w:rPr>
          <w:sz w:val="22"/>
          <w:szCs w:val="22"/>
          <w:lang w:eastAsia="en-AU"/>
        </w:rPr>
        <w:t>This section provides the definition</w:t>
      </w:r>
      <w:r w:rsidR="009C45C1" w:rsidRPr="00B2546F">
        <w:rPr>
          <w:sz w:val="22"/>
          <w:szCs w:val="22"/>
          <w:lang w:eastAsia="en-AU"/>
        </w:rPr>
        <w:t>s</w:t>
      </w:r>
      <w:r w:rsidRPr="00B2546F">
        <w:rPr>
          <w:sz w:val="22"/>
          <w:szCs w:val="22"/>
          <w:lang w:eastAsia="en-AU"/>
        </w:rPr>
        <w:t xml:space="preserve"> of </w:t>
      </w:r>
      <w:r w:rsidR="009C45C1" w:rsidRPr="00B2546F">
        <w:rPr>
          <w:sz w:val="22"/>
          <w:szCs w:val="22"/>
          <w:lang w:eastAsia="en-AU"/>
        </w:rPr>
        <w:t xml:space="preserve">key </w:t>
      </w:r>
      <w:r w:rsidRPr="00B2546F">
        <w:rPr>
          <w:sz w:val="22"/>
          <w:szCs w:val="22"/>
          <w:lang w:eastAsia="en-AU"/>
        </w:rPr>
        <w:t xml:space="preserve">terms used in the </w:t>
      </w:r>
      <w:r w:rsidR="00EE70EA">
        <w:rPr>
          <w:color w:val="000000"/>
          <w:sz w:val="22"/>
          <w:szCs w:val="22"/>
          <w:shd w:val="clear" w:color="auto" w:fill="FFFFFF"/>
        </w:rPr>
        <w:t>Instrument</w:t>
      </w:r>
      <w:r w:rsidR="009C45C1" w:rsidRPr="00B2546F">
        <w:rPr>
          <w:sz w:val="22"/>
          <w:szCs w:val="22"/>
          <w:lang w:eastAsia="en-AU"/>
        </w:rPr>
        <w:t xml:space="preserve">, </w:t>
      </w:r>
      <w:r w:rsidR="00751B23">
        <w:rPr>
          <w:sz w:val="22"/>
          <w:szCs w:val="22"/>
          <w:lang w:eastAsia="en-AU"/>
        </w:rPr>
        <w:t>including</w:t>
      </w:r>
      <w:r w:rsidR="00A11704">
        <w:rPr>
          <w:sz w:val="22"/>
          <w:szCs w:val="22"/>
          <w:lang w:eastAsia="en-AU"/>
        </w:rPr>
        <w:t xml:space="preserve"> ‘adverse event’</w:t>
      </w:r>
      <w:r w:rsidR="00751B23">
        <w:rPr>
          <w:sz w:val="22"/>
          <w:szCs w:val="22"/>
          <w:lang w:eastAsia="en-AU"/>
        </w:rPr>
        <w:t>,</w:t>
      </w:r>
      <w:r w:rsidR="00A309AB">
        <w:rPr>
          <w:sz w:val="22"/>
          <w:szCs w:val="22"/>
          <w:lang w:eastAsia="en-AU"/>
        </w:rPr>
        <w:t xml:space="preserve"> ‘DAEN</w:t>
      </w:r>
      <w:r w:rsidR="00143D60">
        <w:rPr>
          <w:sz w:val="22"/>
          <w:szCs w:val="22"/>
          <w:lang w:eastAsia="en-AU"/>
        </w:rPr>
        <w:t xml:space="preserve"> – Medical Devices</w:t>
      </w:r>
      <w:r w:rsidR="00A309AB">
        <w:rPr>
          <w:sz w:val="22"/>
          <w:szCs w:val="22"/>
          <w:lang w:eastAsia="en-AU"/>
        </w:rPr>
        <w:t>’</w:t>
      </w:r>
      <w:r w:rsidR="00143D60">
        <w:rPr>
          <w:sz w:val="22"/>
          <w:szCs w:val="22"/>
          <w:lang w:eastAsia="en-AU"/>
        </w:rPr>
        <w:t>, ‘DAEN – Medicines’</w:t>
      </w:r>
      <w:r w:rsidR="00A309AB">
        <w:rPr>
          <w:sz w:val="22"/>
          <w:szCs w:val="22"/>
          <w:lang w:eastAsia="en-AU"/>
        </w:rPr>
        <w:t xml:space="preserve">, </w:t>
      </w:r>
      <w:r w:rsidR="00F777C5">
        <w:rPr>
          <w:sz w:val="22"/>
          <w:szCs w:val="22"/>
          <w:lang w:eastAsia="en-AU"/>
        </w:rPr>
        <w:t xml:space="preserve">‘defect’, ‘IMDRF Terminology Document’, </w:t>
      </w:r>
      <w:r w:rsidR="00143D60">
        <w:rPr>
          <w:sz w:val="22"/>
          <w:szCs w:val="22"/>
          <w:lang w:eastAsia="en-AU"/>
        </w:rPr>
        <w:t xml:space="preserve">‘MedDRA’ </w:t>
      </w:r>
      <w:r w:rsidR="00A11704">
        <w:rPr>
          <w:sz w:val="22"/>
          <w:szCs w:val="22"/>
          <w:lang w:eastAsia="en-AU"/>
        </w:rPr>
        <w:t xml:space="preserve">and </w:t>
      </w:r>
      <w:r w:rsidR="00143D60">
        <w:rPr>
          <w:sz w:val="22"/>
          <w:szCs w:val="22"/>
          <w:lang w:eastAsia="en-AU"/>
        </w:rPr>
        <w:t>‘therapeutic goods information’</w:t>
      </w:r>
      <w:r w:rsidR="009C45C1" w:rsidRPr="00B2546F">
        <w:rPr>
          <w:sz w:val="22"/>
          <w:szCs w:val="22"/>
          <w:lang w:eastAsia="en-AU"/>
        </w:rPr>
        <w:t xml:space="preserve">. </w:t>
      </w:r>
      <w:r w:rsidR="00224D33" w:rsidRPr="00B2546F">
        <w:rPr>
          <w:sz w:val="22"/>
          <w:szCs w:val="22"/>
        </w:rPr>
        <w:t>Th</w:t>
      </w:r>
      <w:r w:rsidR="009C45C1" w:rsidRPr="00B2546F">
        <w:rPr>
          <w:sz w:val="22"/>
          <w:szCs w:val="22"/>
        </w:rPr>
        <w:t>is</w:t>
      </w:r>
      <w:r w:rsidR="00224D33" w:rsidRPr="00B2546F">
        <w:rPr>
          <w:sz w:val="22"/>
          <w:szCs w:val="22"/>
        </w:rPr>
        <w:t xml:space="preserve"> section</w:t>
      </w:r>
      <w:r w:rsidR="009C45C1" w:rsidRPr="00B2546F">
        <w:rPr>
          <w:sz w:val="22"/>
          <w:szCs w:val="22"/>
        </w:rPr>
        <w:t xml:space="preserve"> also</w:t>
      </w:r>
      <w:r w:rsidR="00224D33" w:rsidRPr="00B2546F">
        <w:rPr>
          <w:sz w:val="22"/>
          <w:szCs w:val="22"/>
        </w:rPr>
        <w:t xml:space="preserve"> notes that </w:t>
      </w:r>
      <w:proofErr w:type="gramStart"/>
      <w:r w:rsidR="00A11704">
        <w:rPr>
          <w:sz w:val="22"/>
          <w:szCs w:val="22"/>
        </w:rPr>
        <w:t>a number of</w:t>
      </w:r>
      <w:proofErr w:type="gramEnd"/>
      <w:r w:rsidR="00A11704">
        <w:rPr>
          <w:sz w:val="22"/>
          <w:szCs w:val="22"/>
        </w:rPr>
        <w:t xml:space="preserve"> terms </w:t>
      </w:r>
      <w:r w:rsidR="00B0261F">
        <w:rPr>
          <w:sz w:val="22"/>
          <w:szCs w:val="22"/>
        </w:rPr>
        <w:t xml:space="preserve">used in the </w:t>
      </w:r>
      <w:r w:rsidR="00EE70EA">
        <w:rPr>
          <w:color w:val="000000"/>
          <w:sz w:val="22"/>
          <w:szCs w:val="22"/>
          <w:shd w:val="clear" w:color="auto" w:fill="FFFFFF"/>
        </w:rPr>
        <w:t xml:space="preserve">Instrument </w:t>
      </w:r>
      <w:r w:rsidR="00A11704">
        <w:rPr>
          <w:sz w:val="22"/>
          <w:szCs w:val="22"/>
        </w:rPr>
        <w:t xml:space="preserve">have the meaning given in subsection 3(1) of the Act, including </w:t>
      </w:r>
      <w:r w:rsidR="00B0261F">
        <w:rPr>
          <w:sz w:val="22"/>
          <w:szCs w:val="22"/>
        </w:rPr>
        <w:t xml:space="preserve">for instance </w:t>
      </w:r>
      <w:r w:rsidR="00A309AB">
        <w:rPr>
          <w:sz w:val="22"/>
          <w:szCs w:val="22"/>
        </w:rPr>
        <w:t>‘</w:t>
      </w:r>
      <w:r w:rsidR="00751B23">
        <w:rPr>
          <w:sz w:val="22"/>
          <w:szCs w:val="22"/>
        </w:rPr>
        <w:t>biological</w:t>
      </w:r>
      <w:r w:rsidR="00A309AB">
        <w:rPr>
          <w:sz w:val="22"/>
          <w:szCs w:val="22"/>
        </w:rPr>
        <w:t>’,</w:t>
      </w:r>
      <w:r w:rsidR="00143D60" w:rsidRPr="00143D60">
        <w:rPr>
          <w:sz w:val="22"/>
          <w:szCs w:val="22"/>
        </w:rPr>
        <w:t xml:space="preserve"> </w:t>
      </w:r>
      <w:r w:rsidR="00143D60">
        <w:rPr>
          <w:sz w:val="22"/>
          <w:szCs w:val="22"/>
        </w:rPr>
        <w:t>‘medical device’,</w:t>
      </w:r>
      <w:r w:rsidR="00A309AB">
        <w:rPr>
          <w:sz w:val="22"/>
          <w:szCs w:val="22"/>
        </w:rPr>
        <w:t xml:space="preserve"> </w:t>
      </w:r>
      <w:r w:rsidR="00143D60">
        <w:rPr>
          <w:sz w:val="22"/>
          <w:szCs w:val="22"/>
        </w:rPr>
        <w:t xml:space="preserve">and </w:t>
      </w:r>
      <w:r w:rsidR="00751B23">
        <w:rPr>
          <w:sz w:val="22"/>
          <w:szCs w:val="22"/>
        </w:rPr>
        <w:t>‘medicine’</w:t>
      </w:r>
      <w:r w:rsidR="00A309AB">
        <w:rPr>
          <w:sz w:val="22"/>
          <w:szCs w:val="22"/>
        </w:rPr>
        <w:t>.</w:t>
      </w:r>
    </w:p>
    <w:p w14:paraId="5ED743FF" w14:textId="1C791100" w:rsidR="00381853" w:rsidRDefault="00381853" w:rsidP="00141FA8">
      <w:pPr>
        <w:spacing w:before="0" w:after="0"/>
        <w:rPr>
          <w:sz w:val="22"/>
          <w:szCs w:val="22"/>
        </w:rPr>
      </w:pPr>
    </w:p>
    <w:p w14:paraId="56FE0DF3" w14:textId="2D2455D2" w:rsidR="0061305E" w:rsidRDefault="00381853" w:rsidP="00381853">
      <w:pPr>
        <w:spacing w:before="0" w:after="0"/>
        <w:rPr>
          <w:sz w:val="22"/>
          <w:szCs w:val="22"/>
        </w:rPr>
      </w:pPr>
      <w:r>
        <w:rPr>
          <w:sz w:val="22"/>
          <w:szCs w:val="22"/>
        </w:rPr>
        <w:t xml:space="preserve">Importantly, the </w:t>
      </w:r>
      <w:r w:rsidR="00EE70EA">
        <w:rPr>
          <w:color w:val="000000"/>
          <w:sz w:val="22"/>
          <w:szCs w:val="22"/>
          <w:shd w:val="clear" w:color="auto" w:fill="FFFFFF"/>
        </w:rPr>
        <w:t xml:space="preserve">Instrument </w:t>
      </w:r>
      <w:r>
        <w:rPr>
          <w:sz w:val="22"/>
          <w:szCs w:val="22"/>
        </w:rPr>
        <w:t xml:space="preserve">combines the definitions of ‘near adverse event’ and ‘adverse event’, which </w:t>
      </w:r>
      <w:r w:rsidR="00F57692">
        <w:rPr>
          <w:sz w:val="22"/>
          <w:szCs w:val="22"/>
        </w:rPr>
        <w:t>were</w:t>
      </w:r>
      <w:r>
        <w:rPr>
          <w:sz w:val="22"/>
          <w:szCs w:val="22"/>
        </w:rPr>
        <w:t xml:space="preserve"> both defined in the</w:t>
      </w:r>
      <w:r w:rsidR="00F57692">
        <w:rPr>
          <w:sz w:val="22"/>
          <w:szCs w:val="22"/>
        </w:rPr>
        <w:t xml:space="preserve"> former</w:t>
      </w:r>
      <w:r>
        <w:rPr>
          <w:sz w:val="22"/>
          <w:szCs w:val="22"/>
        </w:rPr>
        <w:t xml:space="preserve"> DAEN</w:t>
      </w:r>
      <w:r>
        <w:rPr>
          <w:sz w:val="22"/>
          <w:szCs w:val="22"/>
          <w:shd w:val="clear" w:color="auto" w:fill="FFFFFF"/>
        </w:rPr>
        <w:t xml:space="preserve"> – </w:t>
      </w:r>
      <w:r>
        <w:rPr>
          <w:sz w:val="22"/>
          <w:szCs w:val="22"/>
        </w:rPr>
        <w:t xml:space="preserve">Medical Devices Specification, </w:t>
      </w:r>
      <w:r w:rsidR="00F57692">
        <w:rPr>
          <w:sz w:val="22"/>
          <w:szCs w:val="22"/>
        </w:rPr>
        <w:t>into</w:t>
      </w:r>
      <w:r>
        <w:rPr>
          <w:sz w:val="22"/>
          <w:szCs w:val="22"/>
        </w:rPr>
        <w:t xml:space="preserve"> a single definition for ‘adverse event’.</w:t>
      </w:r>
      <w:r w:rsidR="00F57692">
        <w:rPr>
          <w:sz w:val="22"/>
          <w:szCs w:val="22"/>
        </w:rPr>
        <w:t xml:space="preserve"> </w:t>
      </w:r>
      <w:r w:rsidR="0061305E">
        <w:rPr>
          <w:sz w:val="22"/>
          <w:szCs w:val="22"/>
        </w:rPr>
        <w:t xml:space="preserve">Under the </w:t>
      </w:r>
      <w:r w:rsidR="00241846">
        <w:rPr>
          <w:sz w:val="22"/>
          <w:szCs w:val="22"/>
        </w:rPr>
        <w:t xml:space="preserve">former </w:t>
      </w:r>
      <w:r w:rsidR="0061305E">
        <w:rPr>
          <w:sz w:val="22"/>
          <w:szCs w:val="22"/>
        </w:rPr>
        <w:t>DAEN</w:t>
      </w:r>
      <w:r w:rsidR="0061305E">
        <w:rPr>
          <w:sz w:val="22"/>
          <w:szCs w:val="22"/>
          <w:shd w:val="clear" w:color="auto" w:fill="FFFFFF"/>
        </w:rPr>
        <w:t xml:space="preserve"> – </w:t>
      </w:r>
      <w:r w:rsidR="0061305E">
        <w:rPr>
          <w:sz w:val="22"/>
          <w:szCs w:val="22"/>
        </w:rPr>
        <w:t>Medical Devices Specification, a separate definition for ‘near adverse event’ was included to distinguish between events that led to the death of, or to a serious injury or serious deterioration to, a person (</w:t>
      </w:r>
      <w:proofErr w:type="gramStart"/>
      <w:r w:rsidR="0061305E">
        <w:rPr>
          <w:sz w:val="22"/>
          <w:szCs w:val="22"/>
        </w:rPr>
        <w:t>i.e.</w:t>
      </w:r>
      <w:proofErr w:type="gramEnd"/>
      <w:r w:rsidR="0061305E">
        <w:rPr>
          <w:sz w:val="22"/>
          <w:szCs w:val="22"/>
        </w:rPr>
        <w:t xml:space="preserve"> an ‘adverse event’), and those that </w:t>
      </w:r>
      <w:r w:rsidR="0061305E">
        <w:rPr>
          <w:i/>
          <w:iCs/>
          <w:sz w:val="22"/>
          <w:szCs w:val="22"/>
        </w:rPr>
        <w:t xml:space="preserve">might </w:t>
      </w:r>
      <w:r w:rsidR="0061305E">
        <w:rPr>
          <w:sz w:val="22"/>
          <w:szCs w:val="22"/>
        </w:rPr>
        <w:t>have led to these outcomes (i.e. a ‘near adverse event’).</w:t>
      </w:r>
    </w:p>
    <w:p w14:paraId="61B7A85A" w14:textId="77777777" w:rsidR="0061305E" w:rsidRDefault="0061305E" w:rsidP="00381853">
      <w:pPr>
        <w:spacing w:before="0" w:after="0"/>
        <w:rPr>
          <w:sz w:val="22"/>
          <w:szCs w:val="22"/>
        </w:rPr>
      </w:pPr>
    </w:p>
    <w:p w14:paraId="4F5FBAE9" w14:textId="7CB25761" w:rsidR="00711A0E" w:rsidRDefault="00711A0E" w:rsidP="00711A0E">
      <w:pPr>
        <w:spacing w:before="0" w:after="0"/>
        <w:rPr>
          <w:sz w:val="22"/>
          <w:szCs w:val="22"/>
        </w:rPr>
      </w:pPr>
      <w:r>
        <w:rPr>
          <w:sz w:val="22"/>
          <w:szCs w:val="22"/>
        </w:rPr>
        <w:t xml:space="preserve">The </w:t>
      </w:r>
      <w:r w:rsidR="00EE70EA">
        <w:rPr>
          <w:color w:val="000000"/>
          <w:sz w:val="22"/>
          <w:szCs w:val="22"/>
          <w:shd w:val="clear" w:color="auto" w:fill="FFFFFF"/>
        </w:rPr>
        <w:t xml:space="preserve">Instrument </w:t>
      </w:r>
      <w:r w:rsidR="00F57692">
        <w:rPr>
          <w:sz w:val="22"/>
          <w:szCs w:val="22"/>
        </w:rPr>
        <w:t xml:space="preserve">also introduces a new definition for ‘defect’ </w:t>
      </w:r>
      <w:r>
        <w:rPr>
          <w:sz w:val="22"/>
          <w:szCs w:val="22"/>
        </w:rPr>
        <w:t xml:space="preserve">to </w:t>
      </w:r>
      <w:r w:rsidR="00125CF9">
        <w:rPr>
          <w:sz w:val="22"/>
          <w:szCs w:val="22"/>
        </w:rPr>
        <w:t>more clearly include</w:t>
      </w:r>
      <w:r>
        <w:rPr>
          <w:sz w:val="22"/>
          <w:szCs w:val="22"/>
        </w:rPr>
        <w:t xml:space="preserve"> reports that the TGA receives and publishes in the DAEN – Medical Devices</w:t>
      </w:r>
      <w:r w:rsidR="00F57692">
        <w:rPr>
          <w:sz w:val="22"/>
          <w:szCs w:val="22"/>
        </w:rPr>
        <w:t xml:space="preserve"> about problems with devices, such as a malfunction or issue with the design or instructions for use</w:t>
      </w:r>
      <w:r>
        <w:rPr>
          <w:sz w:val="22"/>
          <w:szCs w:val="22"/>
        </w:rPr>
        <w:t>.</w:t>
      </w:r>
    </w:p>
    <w:p w14:paraId="4E10DD10" w14:textId="77FD874D" w:rsidR="00096D4A" w:rsidRPr="00B2546F" w:rsidRDefault="00096D4A" w:rsidP="00141FA8">
      <w:pPr>
        <w:spacing w:before="0" w:after="0"/>
        <w:rPr>
          <w:sz w:val="22"/>
          <w:szCs w:val="22"/>
          <w:lang w:eastAsia="en-AU"/>
        </w:rPr>
      </w:pPr>
    </w:p>
    <w:p w14:paraId="543C82AB" w14:textId="5C9B6A54" w:rsidR="00096D4A" w:rsidRPr="00B2546F" w:rsidRDefault="00096D4A" w:rsidP="00141FA8">
      <w:pPr>
        <w:spacing w:before="0" w:after="0"/>
        <w:rPr>
          <w:b/>
          <w:bCs/>
          <w:sz w:val="22"/>
          <w:szCs w:val="22"/>
          <w:lang w:eastAsia="en-AU"/>
        </w:rPr>
      </w:pPr>
      <w:r w:rsidRPr="00B2546F">
        <w:rPr>
          <w:b/>
          <w:bCs/>
          <w:sz w:val="22"/>
          <w:szCs w:val="22"/>
          <w:lang w:eastAsia="en-AU"/>
        </w:rPr>
        <w:t xml:space="preserve">Section 5 – </w:t>
      </w:r>
      <w:r w:rsidR="00751B23">
        <w:rPr>
          <w:b/>
          <w:bCs/>
          <w:sz w:val="22"/>
          <w:szCs w:val="22"/>
          <w:lang w:eastAsia="en-AU"/>
        </w:rPr>
        <w:t>Release of therapeutic goods information</w:t>
      </w:r>
    </w:p>
    <w:p w14:paraId="38384FEC" w14:textId="77777777" w:rsidR="00096D4A" w:rsidRPr="00B2546F" w:rsidRDefault="00096D4A" w:rsidP="00141FA8">
      <w:pPr>
        <w:spacing w:before="0" w:after="0"/>
        <w:rPr>
          <w:b/>
          <w:bCs/>
          <w:sz w:val="22"/>
          <w:szCs w:val="22"/>
          <w:lang w:eastAsia="en-AU"/>
        </w:rPr>
      </w:pPr>
    </w:p>
    <w:p w14:paraId="1D78406D" w14:textId="66969C52" w:rsidR="00141FA8" w:rsidRDefault="00A11704" w:rsidP="00141FA8">
      <w:pPr>
        <w:spacing w:before="0" w:after="0"/>
        <w:rPr>
          <w:sz w:val="22"/>
          <w:szCs w:val="22"/>
          <w:lang w:eastAsia="en-AU"/>
        </w:rPr>
      </w:pPr>
      <w:r w:rsidRPr="00A11704">
        <w:rPr>
          <w:sz w:val="22"/>
          <w:szCs w:val="22"/>
          <w:lang w:eastAsia="en-AU"/>
        </w:rPr>
        <w:t>This section provides that the kinds of therapeutic goods information set out in</w:t>
      </w:r>
      <w:r w:rsidR="00143D60">
        <w:rPr>
          <w:sz w:val="22"/>
          <w:szCs w:val="22"/>
          <w:lang w:eastAsia="en-AU"/>
        </w:rPr>
        <w:t xml:space="preserve"> an item in </w:t>
      </w:r>
      <w:r w:rsidR="00125CF9">
        <w:rPr>
          <w:sz w:val="22"/>
          <w:szCs w:val="22"/>
          <w:lang w:eastAsia="en-AU"/>
        </w:rPr>
        <w:t>the</w:t>
      </w:r>
      <w:r w:rsidRPr="00A11704">
        <w:rPr>
          <w:sz w:val="22"/>
          <w:szCs w:val="22"/>
          <w:lang w:eastAsia="en-AU"/>
        </w:rPr>
        <w:t xml:space="preserve"> table</w:t>
      </w:r>
      <w:r w:rsidR="00125CF9">
        <w:rPr>
          <w:sz w:val="22"/>
          <w:szCs w:val="22"/>
          <w:lang w:eastAsia="en-AU"/>
        </w:rPr>
        <w:t>s</w:t>
      </w:r>
      <w:r w:rsidRPr="00A11704">
        <w:rPr>
          <w:sz w:val="22"/>
          <w:szCs w:val="22"/>
          <w:lang w:eastAsia="en-AU"/>
        </w:rPr>
        <w:t xml:space="preserve"> in </w:t>
      </w:r>
      <w:r w:rsidR="00143D60">
        <w:rPr>
          <w:sz w:val="22"/>
          <w:szCs w:val="22"/>
          <w:lang w:eastAsia="en-AU"/>
        </w:rPr>
        <w:t xml:space="preserve">Parts 1 and 2 </w:t>
      </w:r>
      <w:r w:rsidR="00125CF9">
        <w:rPr>
          <w:sz w:val="22"/>
          <w:szCs w:val="22"/>
          <w:lang w:eastAsia="en-AU"/>
        </w:rPr>
        <w:t xml:space="preserve">of </w:t>
      </w:r>
      <w:r w:rsidRPr="00A11704">
        <w:rPr>
          <w:sz w:val="22"/>
          <w:szCs w:val="22"/>
          <w:lang w:eastAsia="en-AU"/>
        </w:rPr>
        <w:t xml:space="preserve">Schedule 1 are specified for the purpose of subsection 61(5C) of the Act. The effect of this section is to enable the Secretary to release to the public therapeutic goods information of the kind set out in Schedule 1 to the </w:t>
      </w:r>
      <w:r w:rsidR="00EE70EA">
        <w:rPr>
          <w:color w:val="000000"/>
          <w:sz w:val="22"/>
          <w:szCs w:val="22"/>
          <w:shd w:val="clear" w:color="auto" w:fill="FFFFFF"/>
        </w:rPr>
        <w:t>Instrument</w:t>
      </w:r>
      <w:r w:rsidRPr="00A11704">
        <w:rPr>
          <w:sz w:val="22"/>
          <w:szCs w:val="22"/>
          <w:lang w:eastAsia="en-AU"/>
        </w:rPr>
        <w:t>.</w:t>
      </w:r>
    </w:p>
    <w:p w14:paraId="08D90175" w14:textId="079D117D" w:rsidR="00A11704" w:rsidRDefault="00A11704" w:rsidP="00141FA8">
      <w:pPr>
        <w:spacing w:before="0" w:after="0"/>
        <w:rPr>
          <w:sz w:val="22"/>
          <w:szCs w:val="22"/>
          <w:lang w:eastAsia="en-AU"/>
        </w:rPr>
      </w:pPr>
    </w:p>
    <w:p w14:paraId="1452CDA3" w14:textId="7392106C" w:rsidR="00887424" w:rsidRDefault="00887424" w:rsidP="00887424">
      <w:pPr>
        <w:spacing w:before="0" w:after="0"/>
        <w:rPr>
          <w:sz w:val="22"/>
          <w:szCs w:val="22"/>
        </w:rPr>
      </w:pPr>
      <w:r>
        <w:rPr>
          <w:sz w:val="22"/>
          <w:szCs w:val="22"/>
        </w:rPr>
        <w:t xml:space="preserve">Schedule 1 to the </w:t>
      </w:r>
      <w:r w:rsidR="00EE70EA">
        <w:rPr>
          <w:color w:val="000000"/>
          <w:sz w:val="22"/>
          <w:szCs w:val="22"/>
          <w:shd w:val="clear" w:color="auto" w:fill="FFFFFF"/>
        </w:rPr>
        <w:t xml:space="preserve">Instrument </w:t>
      </w:r>
      <w:r>
        <w:rPr>
          <w:sz w:val="22"/>
          <w:szCs w:val="22"/>
        </w:rPr>
        <w:t>sets out in detail the kinds of therapeutic goods information that the Secretary may release through the DAEN</w:t>
      </w:r>
      <w:r>
        <w:rPr>
          <w:sz w:val="22"/>
          <w:szCs w:val="22"/>
          <w:shd w:val="clear" w:color="auto" w:fill="FFFFFF"/>
        </w:rPr>
        <w:t xml:space="preserve"> – </w:t>
      </w:r>
      <w:r>
        <w:rPr>
          <w:sz w:val="22"/>
          <w:szCs w:val="22"/>
        </w:rPr>
        <w:t xml:space="preserve">Medical Devices </w:t>
      </w:r>
      <w:r w:rsidR="00125CF9">
        <w:rPr>
          <w:sz w:val="22"/>
          <w:szCs w:val="22"/>
        </w:rPr>
        <w:t>and</w:t>
      </w:r>
      <w:r>
        <w:rPr>
          <w:sz w:val="22"/>
          <w:szCs w:val="22"/>
        </w:rPr>
        <w:t xml:space="preserve"> DAEN</w:t>
      </w:r>
      <w:r>
        <w:rPr>
          <w:sz w:val="22"/>
          <w:szCs w:val="22"/>
          <w:shd w:val="clear" w:color="auto" w:fill="FFFFFF"/>
        </w:rPr>
        <w:t xml:space="preserve"> – </w:t>
      </w:r>
      <w:r>
        <w:rPr>
          <w:sz w:val="22"/>
          <w:szCs w:val="22"/>
        </w:rPr>
        <w:t>Medicines.</w:t>
      </w:r>
    </w:p>
    <w:p w14:paraId="396131FA" w14:textId="77777777" w:rsidR="00887424" w:rsidRPr="00B2546F" w:rsidRDefault="00887424" w:rsidP="00141FA8">
      <w:pPr>
        <w:spacing w:before="0" w:after="0"/>
        <w:rPr>
          <w:sz w:val="22"/>
          <w:szCs w:val="22"/>
          <w:lang w:eastAsia="en-AU"/>
        </w:rPr>
      </w:pPr>
    </w:p>
    <w:p w14:paraId="4C0EF2ED" w14:textId="22BF3A48" w:rsidR="00096D4A" w:rsidRPr="00B2546F" w:rsidRDefault="00096D4A" w:rsidP="00141FA8">
      <w:pPr>
        <w:spacing w:before="0" w:after="0"/>
        <w:rPr>
          <w:b/>
          <w:bCs/>
          <w:sz w:val="22"/>
          <w:szCs w:val="22"/>
          <w:lang w:eastAsia="en-AU"/>
        </w:rPr>
      </w:pPr>
      <w:r w:rsidRPr="00B2546F">
        <w:rPr>
          <w:b/>
          <w:bCs/>
          <w:sz w:val="22"/>
          <w:szCs w:val="22"/>
          <w:lang w:eastAsia="en-AU"/>
        </w:rPr>
        <w:t xml:space="preserve">Section 6 – </w:t>
      </w:r>
      <w:r w:rsidR="00A11704">
        <w:rPr>
          <w:b/>
          <w:bCs/>
          <w:sz w:val="22"/>
          <w:szCs w:val="22"/>
          <w:lang w:eastAsia="en-AU"/>
        </w:rPr>
        <w:t>Repeals</w:t>
      </w:r>
    </w:p>
    <w:p w14:paraId="232B3C1C" w14:textId="4CADD1A4" w:rsidR="00096D4A" w:rsidRPr="00B2546F" w:rsidRDefault="00096D4A" w:rsidP="00141FA8">
      <w:pPr>
        <w:spacing w:before="0" w:after="0"/>
        <w:rPr>
          <w:b/>
          <w:bCs/>
          <w:sz w:val="22"/>
          <w:szCs w:val="22"/>
          <w:lang w:eastAsia="en-AU"/>
        </w:rPr>
      </w:pPr>
    </w:p>
    <w:p w14:paraId="435067C1" w14:textId="45876290" w:rsidR="00096D4A" w:rsidRDefault="00096D4A" w:rsidP="00141FA8">
      <w:pPr>
        <w:spacing w:before="0" w:after="0"/>
        <w:rPr>
          <w:sz w:val="22"/>
          <w:szCs w:val="22"/>
          <w:lang w:eastAsia="en-AU"/>
        </w:rPr>
      </w:pPr>
      <w:r w:rsidRPr="00B2546F">
        <w:rPr>
          <w:sz w:val="22"/>
          <w:szCs w:val="22"/>
          <w:lang w:eastAsia="en-AU"/>
        </w:rPr>
        <w:t>This section provides that each instrument in Schedule</w:t>
      </w:r>
      <w:r w:rsidR="0029457E" w:rsidRPr="00B2546F">
        <w:rPr>
          <w:sz w:val="22"/>
          <w:szCs w:val="22"/>
          <w:lang w:eastAsia="en-AU"/>
        </w:rPr>
        <w:t xml:space="preserve"> </w:t>
      </w:r>
      <w:r w:rsidR="00A11704">
        <w:rPr>
          <w:sz w:val="22"/>
          <w:szCs w:val="22"/>
          <w:lang w:eastAsia="en-AU"/>
        </w:rPr>
        <w:t>2</w:t>
      </w:r>
      <w:r w:rsidRPr="00B2546F">
        <w:rPr>
          <w:sz w:val="22"/>
          <w:szCs w:val="22"/>
          <w:lang w:eastAsia="en-AU"/>
        </w:rPr>
        <w:t xml:space="preserve"> to th</w:t>
      </w:r>
      <w:r w:rsidR="008B5319" w:rsidRPr="00B2546F">
        <w:rPr>
          <w:sz w:val="22"/>
          <w:szCs w:val="22"/>
          <w:lang w:eastAsia="en-AU"/>
        </w:rPr>
        <w:t>e</w:t>
      </w:r>
      <w:r w:rsidRPr="00B2546F">
        <w:rPr>
          <w:sz w:val="22"/>
          <w:szCs w:val="22"/>
          <w:lang w:eastAsia="en-AU"/>
        </w:rPr>
        <w:t xml:space="preserve"> </w:t>
      </w:r>
      <w:r w:rsidR="00EE70EA">
        <w:rPr>
          <w:color w:val="000000"/>
          <w:sz w:val="22"/>
          <w:szCs w:val="22"/>
          <w:shd w:val="clear" w:color="auto" w:fill="FFFFFF"/>
        </w:rPr>
        <w:t xml:space="preserve">Instrument </w:t>
      </w:r>
      <w:r w:rsidRPr="00B2546F">
        <w:rPr>
          <w:sz w:val="22"/>
          <w:szCs w:val="22"/>
          <w:lang w:eastAsia="en-AU"/>
        </w:rPr>
        <w:t>is repealed as set out in the applicable items in th</w:t>
      </w:r>
      <w:r w:rsidR="0029457E" w:rsidRPr="00B2546F">
        <w:rPr>
          <w:sz w:val="22"/>
          <w:szCs w:val="22"/>
          <w:lang w:eastAsia="en-AU"/>
        </w:rPr>
        <w:t>at</w:t>
      </w:r>
      <w:r w:rsidRPr="00B2546F">
        <w:rPr>
          <w:sz w:val="22"/>
          <w:szCs w:val="22"/>
          <w:lang w:eastAsia="en-AU"/>
        </w:rPr>
        <w:t xml:space="preserve"> Schedule.</w:t>
      </w:r>
    </w:p>
    <w:p w14:paraId="48D4F3D6" w14:textId="77777777" w:rsidR="0061305E" w:rsidRDefault="0061305E" w:rsidP="00141FA8">
      <w:pPr>
        <w:spacing w:before="0" w:after="0"/>
        <w:rPr>
          <w:sz w:val="22"/>
          <w:szCs w:val="22"/>
          <w:lang w:eastAsia="en-AU"/>
        </w:rPr>
      </w:pPr>
    </w:p>
    <w:p w14:paraId="0AFED50B" w14:textId="75182E63" w:rsidR="00A11704" w:rsidRPr="00B2546F" w:rsidRDefault="00A11704" w:rsidP="009751E3">
      <w:pPr>
        <w:keepNext/>
        <w:keepLines/>
        <w:spacing w:before="0" w:after="0"/>
        <w:rPr>
          <w:b/>
          <w:bCs/>
          <w:sz w:val="22"/>
          <w:szCs w:val="22"/>
          <w:lang w:eastAsia="en-AU"/>
        </w:rPr>
      </w:pPr>
      <w:r w:rsidRPr="00B2546F">
        <w:rPr>
          <w:b/>
          <w:bCs/>
          <w:sz w:val="22"/>
          <w:szCs w:val="22"/>
          <w:lang w:eastAsia="en-AU"/>
        </w:rPr>
        <w:lastRenderedPageBreak/>
        <w:t xml:space="preserve">Schedule </w:t>
      </w:r>
      <w:r>
        <w:rPr>
          <w:b/>
          <w:bCs/>
          <w:sz w:val="22"/>
          <w:szCs w:val="22"/>
          <w:lang w:eastAsia="en-AU"/>
        </w:rPr>
        <w:t>1</w:t>
      </w:r>
      <w:r w:rsidRPr="00B2546F">
        <w:rPr>
          <w:b/>
          <w:bCs/>
          <w:sz w:val="22"/>
          <w:szCs w:val="22"/>
          <w:lang w:eastAsia="en-AU"/>
        </w:rPr>
        <w:t xml:space="preserve"> –</w:t>
      </w:r>
      <w:r>
        <w:rPr>
          <w:b/>
          <w:bCs/>
          <w:sz w:val="22"/>
          <w:szCs w:val="22"/>
          <w:lang w:eastAsia="en-AU"/>
        </w:rPr>
        <w:t xml:space="preserve"> </w:t>
      </w:r>
      <w:r w:rsidR="00683BAA">
        <w:rPr>
          <w:b/>
          <w:bCs/>
          <w:sz w:val="22"/>
          <w:szCs w:val="22"/>
          <w:lang w:eastAsia="en-AU"/>
        </w:rPr>
        <w:t>T</w:t>
      </w:r>
      <w:r w:rsidRPr="00A11704">
        <w:rPr>
          <w:b/>
          <w:bCs/>
          <w:sz w:val="22"/>
          <w:szCs w:val="22"/>
          <w:lang w:eastAsia="en-AU"/>
        </w:rPr>
        <w:t>herapeutic goods information</w:t>
      </w:r>
    </w:p>
    <w:p w14:paraId="4DB09988" w14:textId="77777777" w:rsidR="00A11704" w:rsidRPr="00B2546F" w:rsidRDefault="00A11704" w:rsidP="009751E3">
      <w:pPr>
        <w:keepNext/>
        <w:keepLines/>
        <w:spacing w:before="0" w:after="0"/>
        <w:rPr>
          <w:sz w:val="22"/>
          <w:szCs w:val="22"/>
          <w:lang w:eastAsia="en-AU"/>
        </w:rPr>
      </w:pPr>
    </w:p>
    <w:p w14:paraId="080E7E0F" w14:textId="2B547F36" w:rsidR="006674AE" w:rsidRPr="006674AE" w:rsidRDefault="006674AE" w:rsidP="009751E3">
      <w:pPr>
        <w:keepNext/>
        <w:keepLines/>
        <w:spacing w:before="0" w:after="0"/>
        <w:rPr>
          <w:sz w:val="22"/>
          <w:szCs w:val="22"/>
          <w:lang w:eastAsia="en-AU"/>
        </w:rPr>
      </w:pPr>
      <w:r w:rsidRPr="006674AE">
        <w:rPr>
          <w:sz w:val="22"/>
          <w:szCs w:val="22"/>
          <w:lang w:eastAsia="en-AU"/>
        </w:rPr>
        <w:t>This Schedule specifies</w:t>
      </w:r>
      <w:r w:rsidR="00B0261F">
        <w:rPr>
          <w:sz w:val="22"/>
          <w:szCs w:val="22"/>
          <w:lang w:eastAsia="en-AU"/>
        </w:rPr>
        <w:t xml:space="preserve">, for the purposes of section 5 of the </w:t>
      </w:r>
      <w:r w:rsidR="00EE70EA">
        <w:rPr>
          <w:color w:val="000000"/>
          <w:sz w:val="22"/>
          <w:szCs w:val="22"/>
          <w:shd w:val="clear" w:color="auto" w:fill="FFFFFF"/>
        </w:rPr>
        <w:t>Instrument</w:t>
      </w:r>
      <w:r w:rsidR="00B0261F">
        <w:rPr>
          <w:sz w:val="22"/>
          <w:szCs w:val="22"/>
          <w:lang w:eastAsia="en-AU"/>
        </w:rPr>
        <w:t>,</w:t>
      </w:r>
      <w:r w:rsidRPr="006674AE">
        <w:rPr>
          <w:sz w:val="22"/>
          <w:szCs w:val="22"/>
          <w:lang w:eastAsia="en-AU"/>
        </w:rPr>
        <w:t xml:space="preserve"> the kinds of therapeutic goods information which </w:t>
      </w:r>
      <w:r w:rsidR="00B0261F">
        <w:rPr>
          <w:sz w:val="22"/>
          <w:szCs w:val="22"/>
          <w:lang w:eastAsia="en-AU"/>
        </w:rPr>
        <w:t xml:space="preserve">the Secretary </w:t>
      </w:r>
      <w:r w:rsidRPr="006674AE">
        <w:rPr>
          <w:sz w:val="22"/>
          <w:szCs w:val="22"/>
          <w:lang w:eastAsia="en-AU"/>
        </w:rPr>
        <w:t>may release to the public under subsection 61(5C) of the Act.</w:t>
      </w:r>
    </w:p>
    <w:p w14:paraId="2F06B16F" w14:textId="694A59AF" w:rsidR="006674AE" w:rsidRDefault="006674AE" w:rsidP="006674AE">
      <w:pPr>
        <w:spacing w:before="0" w:after="0"/>
        <w:rPr>
          <w:sz w:val="22"/>
          <w:szCs w:val="22"/>
          <w:lang w:eastAsia="en-AU"/>
        </w:rPr>
      </w:pPr>
    </w:p>
    <w:p w14:paraId="5B8BF485" w14:textId="1BA4E87A" w:rsidR="00143D60" w:rsidRDefault="00143D60" w:rsidP="00143D60">
      <w:pPr>
        <w:spacing w:before="0" w:after="0"/>
        <w:rPr>
          <w:sz w:val="22"/>
          <w:szCs w:val="22"/>
          <w:lang w:eastAsia="en-AU"/>
        </w:rPr>
      </w:pPr>
      <w:r>
        <w:rPr>
          <w:sz w:val="22"/>
          <w:szCs w:val="22"/>
          <w:lang w:eastAsia="en-AU"/>
        </w:rPr>
        <w:t>The</w:t>
      </w:r>
      <w:r w:rsidRPr="004B2A06">
        <w:rPr>
          <w:sz w:val="22"/>
          <w:szCs w:val="22"/>
          <w:lang w:eastAsia="en-AU"/>
        </w:rPr>
        <w:t xml:space="preserve"> kinds of therapeutic goods information specified in </w:t>
      </w:r>
      <w:r w:rsidR="00F777C5">
        <w:rPr>
          <w:sz w:val="22"/>
          <w:szCs w:val="22"/>
          <w:lang w:eastAsia="en-AU"/>
        </w:rPr>
        <w:t xml:space="preserve">column 2 </w:t>
      </w:r>
      <w:r w:rsidRPr="004B2A06">
        <w:rPr>
          <w:sz w:val="22"/>
          <w:szCs w:val="22"/>
          <w:lang w:eastAsia="en-AU"/>
        </w:rPr>
        <w:t xml:space="preserve">of </w:t>
      </w:r>
      <w:r>
        <w:rPr>
          <w:sz w:val="22"/>
          <w:szCs w:val="22"/>
          <w:lang w:eastAsia="en-AU"/>
        </w:rPr>
        <w:t>the</w:t>
      </w:r>
      <w:r w:rsidRPr="004B2A06">
        <w:rPr>
          <w:sz w:val="22"/>
          <w:szCs w:val="22"/>
          <w:lang w:eastAsia="en-AU"/>
        </w:rPr>
        <w:t xml:space="preserve"> table</w:t>
      </w:r>
      <w:r>
        <w:rPr>
          <w:sz w:val="22"/>
          <w:szCs w:val="22"/>
          <w:lang w:eastAsia="en-AU"/>
        </w:rPr>
        <w:t xml:space="preserve"> in Part 1 to this Schedule</w:t>
      </w:r>
      <w:r w:rsidRPr="004B2A06">
        <w:rPr>
          <w:sz w:val="22"/>
          <w:szCs w:val="22"/>
          <w:lang w:eastAsia="en-AU"/>
        </w:rPr>
        <w:t xml:space="preserve"> relates to </w:t>
      </w:r>
      <w:r>
        <w:rPr>
          <w:sz w:val="22"/>
          <w:szCs w:val="22"/>
          <w:lang w:eastAsia="en-AU"/>
        </w:rPr>
        <w:t>an adverse event involving a medical device or other therapeutic good</w:t>
      </w:r>
      <w:r w:rsidR="00F777C5">
        <w:rPr>
          <w:sz w:val="22"/>
          <w:szCs w:val="22"/>
          <w:lang w:eastAsia="en-AU"/>
        </w:rPr>
        <w:t xml:space="preserve"> (“OTG”)</w:t>
      </w:r>
      <w:r>
        <w:rPr>
          <w:sz w:val="22"/>
          <w:szCs w:val="22"/>
          <w:lang w:eastAsia="en-AU"/>
        </w:rPr>
        <w:t xml:space="preserve"> that has been reported to the Therapeutic Goods Administration (“the TGA”). This includes details of the medical device or </w:t>
      </w:r>
      <w:r w:rsidR="00F777C5">
        <w:rPr>
          <w:sz w:val="22"/>
          <w:szCs w:val="22"/>
          <w:lang w:eastAsia="en-AU"/>
        </w:rPr>
        <w:t>OTG</w:t>
      </w:r>
      <w:r w:rsidR="0061305E" w:rsidRPr="00D476E9">
        <w:rPr>
          <w:sz w:val="22"/>
          <w:szCs w:val="22"/>
          <w:lang w:eastAsia="en-AU"/>
        </w:rPr>
        <w:t xml:space="preserve">, such as </w:t>
      </w:r>
      <w:r w:rsidR="0061305E" w:rsidRPr="00D476E9">
        <w:rPr>
          <w:sz w:val="22"/>
          <w:szCs w:val="22"/>
        </w:rPr>
        <w:t>the trade name, ARTG number, GMDN term, device classification, model number, software version, whether the device or OTG is supplied in a sterile state and whether the device or OTG is single use. In addition,</w:t>
      </w:r>
      <w:r w:rsidR="0061305E" w:rsidRPr="00497061">
        <w:rPr>
          <w:sz w:val="22"/>
          <w:szCs w:val="22"/>
        </w:rPr>
        <w:t xml:space="preserve"> this includes</w:t>
      </w:r>
      <w:r w:rsidR="0061305E" w:rsidRPr="00D476E9">
        <w:rPr>
          <w:sz w:val="22"/>
          <w:szCs w:val="22"/>
        </w:rPr>
        <w:t xml:space="preserve"> details of the name of the sponsor or manufacturer, a description of the event</w:t>
      </w:r>
      <w:r w:rsidR="0061305E" w:rsidRPr="00497061">
        <w:rPr>
          <w:sz w:val="22"/>
          <w:szCs w:val="22"/>
        </w:rPr>
        <w:t>, event type</w:t>
      </w:r>
      <w:r w:rsidR="0061305E" w:rsidRPr="00D476E9">
        <w:rPr>
          <w:sz w:val="22"/>
          <w:szCs w:val="22"/>
        </w:rPr>
        <w:t xml:space="preserve"> and outcome, the category of reporter (</w:t>
      </w:r>
      <w:proofErr w:type="gramStart"/>
      <w:r w:rsidR="0061305E" w:rsidRPr="00D476E9">
        <w:rPr>
          <w:sz w:val="22"/>
          <w:szCs w:val="22"/>
        </w:rPr>
        <w:t>e.g.</w:t>
      </w:r>
      <w:proofErr w:type="gramEnd"/>
      <w:r w:rsidR="0061305E" w:rsidRPr="00D476E9">
        <w:rPr>
          <w:sz w:val="22"/>
          <w:szCs w:val="22"/>
        </w:rPr>
        <w:t xml:space="preserve"> consumer, health professional, etc.) and details of any other medical devices or OTGs involved in the event are also reported in the DAEN – Medical Devices.</w:t>
      </w:r>
    </w:p>
    <w:p w14:paraId="62AF1D49" w14:textId="77777777" w:rsidR="00143D60" w:rsidRPr="006674AE" w:rsidRDefault="00143D60" w:rsidP="006674AE">
      <w:pPr>
        <w:spacing w:before="0" w:after="0"/>
        <w:rPr>
          <w:sz w:val="22"/>
          <w:szCs w:val="22"/>
          <w:lang w:eastAsia="en-AU"/>
        </w:rPr>
      </w:pPr>
    </w:p>
    <w:p w14:paraId="3B492613" w14:textId="6609D6B8" w:rsidR="00F302F7" w:rsidRDefault="00143D60" w:rsidP="006674AE">
      <w:pPr>
        <w:spacing w:before="0" w:after="0"/>
        <w:rPr>
          <w:sz w:val="22"/>
          <w:szCs w:val="22"/>
          <w:lang w:eastAsia="en-AU"/>
        </w:rPr>
      </w:pPr>
      <w:r>
        <w:rPr>
          <w:sz w:val="22"/>
          <w:szCs w:val="22"/>
          <w:lang w:eastAsia="en-AU"/>
        </w:rPr>
        <w:t>T</w:t>
      </w:r>
      <w:r w:rsidR="006674AE" w:rsidRPr="006674AE">
        <w:rPr>
          <w:sz w:val="22"/>
          <w:szCs w:val="22"/>
          <w:lang w:eastAsia="en-AU"/>
        </w:rPr>
        <w:t xml:space="preserve">he kinds of </w:t>
      </w:r>
      <w:r w:rsidR="00B0261F">
        <w:rPr>
          <w:sz w:val="22"/>
          <w:szCs w:val="22"/>
          <w:lang w:eastAsia="en-AU"/>
        </w:rPr>
        <w:t xml:space="preserve">therapeutic goods </w:t>
      </w:r>
      <w:r w:rsidR="006674AE" w:rsidRPr="006674AE">
        <w:rPr>
          <w:sz w:val="22"/>
          <w:szCs w:val="22"/>
          <w:lang w:eastAsia="en-AU"/>
        </w:rPr>
        <w:t xml:space="preserve">information specified </w:t>
      </w:r>
      <w:r w:rsidR="00F302F7">
        <w:rPr>
          <w:sz w:val="22"/>
          <w:szCs w:val="22"/>
          <w:lang w:eastAsia="en-AU"/>
        </w:rPr>
        <w:t xml:space="preserve">in item 1 of </w:t>
      </w:r>
      <w:r>
        <w:rPr>
          <w:sz w:val="22"/>
          <w:szCs w:val="22"/>
          <w:lang w:eastAsia="en-AU"/>
        </w:rPr>
        <w:t xml:space="preserve">the </w:t>
      </w:r>
      <w:r w:rsidR="00F302F7">
        <w:rPr>
          <w:sz w:val="22"/>
          <w:szCs w:val="22"/>
          <w:lang w:eastAsia="en-AU"/>
        </w:rPr>
        <w:t>table</w:t>
      </w:r>
      <w:r>
        <w:rPr>
          <w:sz w:val="22"/>
          <w:szCs w:val="22"/>
          <w:lang w:eastAsia="en-AU"/>
        </w:rPr>
        <w:t xml:space="preserve"> in Part 2 to this Schedule</w:t>
      </w:r>
      <w:r w:rsidR="00F302F7">
        <w:rPr>
          <w:sz w:val="22"/>
          <w:szCs w:val="22"/>
          <w:lang w:eastAsia="en-AU"/>
        </w:rPr>
        <w:t xml:space="preserve"> </w:t>
      </w:r>
      <w:r w:rsidR="003975D6">
        <w:t>relate</w:t>
      </w:r>
      <w:r w:rsidR="003656BC">
        <w:t>s</w:t>
      </w:r>
      <w:r w:rsidR="00F302F7" w:rsidRPr="00F302F7">
        <w:rPr>
          <w:sz w:val="22"/>
          <w:szCs w:val="22"/>
          <w:lang w:eastAsia="en-AU"/>
        </w:rPr>
        <w:t xml:space="preserve"> to an adverse event </w:t>
      </w:r>
      <w:r w:rsidR="00115FA2">
        <w:rPr>
          <w:sz w:val="22"/>
          <w:szCs w:val="22"/>
          <w:lang w:eastAsia="en-AU"/>
        </w:rPr>
        <w:t xml:space="preserve">involving a medicine or biological </w:t>
      </w:r>
      <w:r w:rsidR="00F302F7" w:rsidRPr="00F302F7">
        <w:rPr>
          <w:sz w:val="22"/>
          <w:szCs w:val="22"/>
          <w:lang w:eastAsia="en-AU"/>
        </w:rPr>
        <w:t>that has been reported to the TGA</w:t>
      </w:r>
      <w:r w:rsidR="004C07D3">
        <w:rPr>
          <w:sz w:val="22"/>
          <w:szCs w:val="22"/>
          <w:lang w:eastAsia="en-AU"/>
        </w:rPr>
        <w:t>. This</w:t>
      </w:r>
      <w:r w:rsidR="00F302F7">
        <w:rPr>
          <w:sz w:val="22"/>
          <w:szCs w:val="22"/>
          <w:lang w:eastAsia="en-AU"/>
        </w:rPr>
        <w:t xml:space="preserve"> includ</w:t>
      </w:r>
      <w:r w:rsidR="004C07D3">
        <w:rPr>
          <w:sz w:val="22"/>
          <w:szCs w:val="22"/>
          <w:lang w:eastAsia="en-AU"/>
        </w:rPr>
        <w:t>es,</w:t>
      </w:r>
      <w:r w:rsidR="00F302F7">
        <w:rPr>
          <w:sz w:val="22"/>
          <w:szCs w:val="22"/>
          <w:lang w:eastAsia="en-AU"/>
        </w:rPr>
        <w:t xml:space="preserve"> </w:t>
      </w:r>
      <w:r w:rsidR="00115FA2">
        <w:rPr>
          <w:sz w:val="22"/>
          <w:szCs w:val="22"/>
          <w:lang w:eastAsia="en-AU"/>
        </w:rPr>
        <w:t>for instance</w:t>
      </w:r>
      <w:r w:rsidR="004C07D3">
        <w:rPr>
          <w:sz w:val="22"/>
          <w:szCs w:val="22"/>
          <w:lang w:eastAsia="en-AU"/>
        </w:rPr>
        <w:t>,</w:t>
      </w:r>
      <w:r w:rsidR="00115FA2">
        <w:rPr>
          <w:sz w:val="22"/>
          <w:szCs w:val="22"/>
          <w:lang w:eastAsia="en-AU"/>
        </w:rPr>
        <w:t xml:space="preserve"> </w:t>
      </w:r>
      <w:r w:rsidR="00F302F7">
        <w:rPr>
          <w:sz w:val="22"/>
          <w:szCs w:val="22"/>
          <w:lang w:eastAsia="en-AU"/>
        </w:rPr>
        <w:t xml:space="preserve">details of the relevant medicine or biological, details of any </w:t>
      </w:r>
      <w:r w:rsidR="00B1296F">
        <w:rPr>
          <w:sz w:val="22"/>
          <w:szCs w:val="22"/>
          <w:lang w:eastAsia="en-AU"/>
        </w:rPr>
        <w:t>OTGs</w:t>
      </w:r>
      <w:r w:rsidR="00F302F7">
        <w:rPr>
          <w:sz w:val="22"/>
          <w:szCs w:val="22"/>
          <w:lang w:eastAsia="en-AU"/>
        </w:rPr>
        <w:t xml:space="preserve"> administered</w:t>
      </w:r>
      <w:r w:rsidR="00115FA2">
        <w:rPr>
          <w:sz w:val="22"/>
          <w:szCs w:val="22"/>
          <w:lang w:eastAsia="en-AU"/>
        </w:rPr>
        <w:t xml:space="preserve"> to the person who is reported to have suffered the adverse event</w:t>
      </w:r>
      <w:r w:rsidR="00F302F7">
        <w:rPr>
          <w:sz w:val="22"/>
          <w:szCs w:val="22"/>
          <w:lang w:eastAsia="en-AU"/>
        </w:rPr>
        <w:t xml:space="preserve"> and the age and gender of the </w:t>
      </w:r>
      <w:r w:rsidR="00115FA2">
        <w:rPr>
          <w:sz w:val="22"/>
          <w:szCs w:val="22"/>
          <w:lang w:eastAsia="en-AU"/>
        </w:rPr>
        <w:t xml:space="preserve">relevant </w:t>
      </w:r>
      <w:r w:rsidR="00F302F7">
        <w:rPr>
          <w:sz w:val="22"/>
          <w:szCs w:val="22"/>
          <w:lang w:eastAsia="en-AU"/>
        </w:rPr>
        <w:t>person.</w:t>
      </w:r>
    </w:p>
    <w:p w14:paraId="29338850" w14:textId="77777777" w:rsidR="00F302F7" w:rsidRDefault="00F302F7" w:rsidP="006674AE">
      <w:pPr>
        <w:spacing w:before="0" w:after="0"/>
        <w:rPr>
          <w:sz w:val="22"/>
          <w:szCs w:val="22"/>
          <w:lang w:eastAsia="en-AU"/>
        </w:rPr>
      </w:pPr>
    </w:p>
    <w:p w14:paraId="4260FC2B" w14:textId="2CE94182" w:rsidR="00F302F7" w:rsidRDefault="00F302F7" w:rsidP="006674AE">
      <w:pPr>
        <w:spacing w:before="0" w:after="0"/>
        <w:rPr>
          <w:sz w:val="22"/>
          <w:szCs w:val="22"/>
          <w:lang w:eastAsia="en-AU"/>
        </w:rPr>
      </w:pPr>
      <w:r>
        <w:rPr>
          <w:sz w:val="22"/>
          <w:szCs w:val="22"/>
          <w:lang w:eastAsia="en-AU"/>
        </w:rPr>
        <w:t xml:space="preserve">The kinds of </w:t>
      </w:r>
      <w:r w:rsidR="00115FA2">
        <w:rPr>
          <w:sz w:val="22"/>
          <w:szCs w:val="22"/>
          <w:lang w:eastAsia="en-AU"/>
        </w:rPr>
        <w:t xml:space="preserve">therapeutic goods </w:t>
      </w:r>
      <w:r>
        <w:rPr>
          <w:sz w:val="22"/>
          <w:szCs w:val="22"/>
          <w:lang w:eastAsia="en-AU"/>
        </w:rPr>
        <w:t>information specified in item 2 of the</w:t>
      </w:r>
      <w:r w:rsidR="003656BC">
        <w:rPr>
          <w:sz w:val="22"/>
          <w:szCs w:val="22"/>
          <w:lang w:eastAsia="en-AU"/>
        </w:rPr>
        <w:t xml:space="preserve"> </w:t>
      </w:r>
      <w:r>
        <w:rPr>
          <w:sz w:val="22"/>
          <w:szCs w:val="22"/>
          <w:lang w:eastAsia="en-AU"/>
        </w:rPr>
        <w:t xml:space="preserve">table </w:t>
      </w:r>
      <w:r w:rsidR="00143D60">
        <w:rPr>
          <w:sz w:val="22"/>
          <w:szCs w:val="22"/>
          <w:lang w:eastAsia="en-AU"/>
        </w:rPr>
        <w:t xml:space="preserve">in Part 2 to this Schedule </w:t>
      </w:r>
      <w:r w:rsidRPr="00F302F7">
        <w:rPr>
          <w:sz w:val="22"/>
          <w:szCs w:val="22"/>
          <w:lang w:eastAsia="en-AU"/>
        </w:rPr>
        <w:t>is collated by the TGA from adverse events that have been reported to the TGA in relation to the medicine or biological and recorded in the DAEN</w:t>
      </w:r>
      <w:r w:rsidR="008E70B5">
        <w:rPr>
          <w:sz w:val="22"/>
          <w:szCs w:val="22"/>
          <w:shd w:val="clear" w:color="auto" w:fill="FFFFFF"/>
        </w:rPr>
        <w:t xml:space="preserve"> – Medicines</w:t>
      </w:r>
      <w:r w:rsidR="00115FA2">
        <w:rPr>
          <w:sz w:val="22"/>
          <w:szCs w:val="22"/>
          <w:lang w:eastAsia="en-AU"/>
        </w:rPr>
        <w:t>,</w:t>
      </w:r>
      <w:r>
        <w:rPr>
          <w:sz w:val="22"/>
          <w:szCs w:val="22"/>
          <w:lang w:eastAsia="en-AU"/>
        </w:rPr>
        <w:t xml:space="preserve"> includ</w:t>
      </w:r>
      <w:r w:rsidR="00115FA2">
        <w:rPr>
          <w:sz w:val="22"/>
          <w:szCs w:val="22"/>
          <w:lang w:eastAsia="en-AU"/>
        </w:rPr>
        <w:t>ing</w:t>
      </w:r>
      <w:r w:rsidR="003656BC">
        <w:rPr>
          <w:sz w:val="22"/>
          <w:szCs w:val="22"/>
          <w:lang w:eastAsia="en-AU"/>
        </w:rPr>
        <w:t xml:space="preserve">, </w:t>
      </w:r>
      <w:r w:rsidR="00115FA2">
        <w:rPr>
          <w:sz w:val="22"/>
          <w:szCs w:val="22"/>
          <w:lang w:eastAsia="en-AU"/>
        </w:rPr>
        <w:t>for instance</w:t>
      </w:r>
      <w:r w:rsidR="003656BC">
        <w:rPr>
          <w:sz w:val="22"/>
          <w:szCs w:val="22"/>
          <w:lang w:eastAsia="en-AU"/>
        </w:rPr>
        <w:t xml:space="preserve"> </w:t>
      </w:r>
      <w:r w:rsidR="00115FA2">
        <w:rPr>
          <w:sz w:val="22"/>
          <w:szCs w:val="22"/>
          <w:lang w:eastAsia="en-AU"/>
        </w:rPr>
        <w:t>(for a medicine or biological</w:t>
      </w:r>
      <w:r w:rsidR="003656BC">
        <w:rPr>
          <w:sz w:val="22"/>
          <w:szCs w:val="22"/>
          <w:lang w:eastAsia="en-AU"/>
        </w:rPr>
        <w:t xml:space="preserve">), </w:t>
      </w:r>
      <w:r>
        <w:rPr>
          <w:sz w:val="22"/>
          <w:szCs w:val="22"/>
          <w:lang w:eastAsia="en-AU"/>
        </w:rPr>
        <w:t>the number of relevant cases</w:t>
      </w:r>
      <w:r w:rsidR="00115FA2">
        <w:rPr>
          <w:sz w:val="22"/>
          <w:szCs w:val="22"/>
          <w:lang w:eastAsia="en-AU"/>
        </w:rPr>
        <w:t xml:space="preserve"> and</w:t>
      </w:r>
      <w:r>
        <w:rPr>
          <w:sz w:val="22"/>
          <w:szCs w:val="22"/>
          <w:lang w:eastAsia="en-AU"/>
        </w:rPr>
        <w:t xml:space="preserve"> the number of relevant cases that have resulted in death.</w:t>
      </w:r>
    </w:p>
    <w:p w14:paraId="0B82D153" w14:textId="578FC720" w:rsidR="001B53C4" w:rsidRDefault="001B53C4" w:rsidP="006674AE">
      <w:pPr>
        <w:spacing w:before="0" w:after="0"/>
        <w:rPr>
          <w:sz w:val="22"/>
          <w:szCs w:val="22"/>
          <w:lang w:eastAsia="en-AU"/>
        </w:rPr>
      </w:pPr>
    </w:p>
    <w:p w14:paraId="411DD649" w14:textId="77777777" w:rsidR="00775810" w:rsidRDefault="001B53C4" w:rsidP="001B53C4">
      <w:pPr>
        <w:shd w:val="clear" w:color="auto" w:fill="FFFFFF"/>
        <w:spacing w:before="0" w:after="0"/>
        <w:rPr>
          <w:color w:val="000000"/>
          <w:sz w:val="22"/>
          <w:szCs w:val="22"/>
        </w:rPr>
      </w:pPr>
      <w:r>
        <w:rPr>
          <w:color w:val="000000"/>
          <w:sz w:val="22"/>
          <w:szCs w:val="22"/>
        </w:rPr>
        <w:t xml:space="preserve">The information </w:t>
      </w:r>
      <w:r w:rsidR="00775810">
        <w:rPr>
          <w:color w:val="000000"/>
          <w:sz w:val="22"/>
          <w:szCs w:val="22"/>
        </w:rPr>
        <w:t>specified in the Instrument</w:t>
      </w:r>
      <w:r>
        <w:rPr>
          <w:color w:val="000000"/>
          <w:sz w:val="22"/>
          <w:szCs w:val="22"/>
        </w:rPr>
        <w:t xml:space="preserve"> that may contain personal information would possibly include</w:t>
      </w:r>
      <w:r w:rsidR="00775810">
        <w:rPr>
          <w:color w:val="000000"/>
          <w:sz w:val="22"/>
          <w:szCs w:val="22"/>
        </w:rPr>
        <w:t>:</w:t>
      </w:r>
    </w:p>
    <w:p w14:paraId="631B1B03" w14:textId="06C287AF" w:rsidR="00775810" w:rsidRDefault="001B53C4" w:rsidP="00775810">
      <w:pPr>
        <w:pStyle w:val="ListParagraph"/>
        <w:numPr>
          <w:ilvl w:val="0"/>
          <w:numId w:val="9"/>
        </w:numPr>
        <w:shd w:val="clear" w:color="auto" w:fill="FFFFFF"/>
        <w:spacing w:before="0" w:after="0"/>
        <w:rPr>
          <w:color w:val="000000"/>
          <w:sz w:val="22"/>
          <w:szCs w:val="22"/>
        </w:rPr>
      </w:pPr>
      <w:r w:rsidRPr="009751E3">
        <w:rPr>
          <w:color w:val="000000"/>
          <w:sz w:val="22"/>
          <w:szCs w:val="22"/>
        </w:rPr>
        <w:t xml:space="preserve">the name of the sponsor of a therapeutic good, which is the person who imports the goods into Australia, exports the goods from Australia, or manufactures the goods in </w:t>
      </w:r>
      <w:proofErr w:type="gramStart"/>
      <w:r w:rsidRPr="009751E3">
        <w:rPr>
          <w:color w:val="000000"/>
          <w:sz w:val="22"/>
          <w:szCs w:val="22"/>
        </w:rPr>
        <w:t>Australia</w:t>
      </w:r>
      <w:r w:rsidR="00775810">
        <w:rPr>
          <w:color w:val="000000"/>
          <w:sz w:val="22"/>
          <w:szCs w:val="22"/>
        </w:rPr>
        <w:t>;</w:t>
      </w:r>
      <w:proofErr w:type="gramEnd"/>
    </w:p>
    <w:p w14:paraId="659E3606" w14:textId="57A233EA" w:rsidR="00775810" w:rsidRDefault="001B53C4" w:rsidP="00775810">
      <w:pPr>
        <w:pStyle w:val="ListParagraph"/>
        <w:numPr>
          <w:ilvl w:val="0"/>
          <w:numId w:val="9"/>
        </w:numPr>
        <w:shd w:val="clear" w:color="auto" w:fill="FFFFFF"/>
        <w:spacing w:before="0" w:after="0"/>
        <w:rPr>
          <w:color w:val="000000"/>
          <w:sz w:val="22"/>
          <w:szCs w:val="22"/>
        </w:rPr>
      </w:pPr>
      <w:r w:rsidRPr="009751E3">
        <w:rPr>
          <w:color w:val="000000"/>
          <w:sz w:val="22"/>
          <w:szCs w:val="22"/>
        </w:rPr>
        <w:t>the name of the manufacturer of the therapeutic good</w:t>
      </w:r>
      <w:r w:rsidR="00775810">
        <w:rPr>
          <w:color w:val="000000"/>
          <w:sz w:val="22"/>
          <w:szCs w:val="22"/>
        </w:rPr>
        <w:t xml:space="preserve">, </w:t>
      </w:r>
      <w:r w:rsidRPr="009751E3">
        <w:rPr>
          <w:color w:val="000000"/>
          <w:sz w:val="22"/>
          <w:szCs w:val="22"/>
        </w:rPr>
        <w:t>if different to the sponsor</w:t>
      </w:r>
      <w:r w:rsidR="00775810">
        <w:rPr>
          <w:color w:val="000000"/>
          <w:sz w:val="22"/>
          <w:szCs w:val="22"/>
        </w:rPr>
        <w:t>; or</w:t>
      </w:r>
    </w:p>
    <w:p w14:paraId="65C3E600" w14:textId="6341D7CA" w:rsidR="00775810" w:rsidRDefault="00775810" w:rsidP="00775810">
      <w:pPr>
        <w:pStyle w:val="ListParagraph"/>
        <w:numPr>
          <w:ilvl w:val="0"/>
          <w:numId w:val="9"/>
        </w:numPr>
        <w:shd w:val="clear" w:color="auto" w:fill="FFFFFF"/>
        <w:spacing w:before="0" w:after="0"/>
        <w:rPr>
          <w:color w:val="000000"/>
          <w:sz w:val="22"/>
          <w:szCs w:val="22"/>
        </w:rPr>
      </w:pPr>
      <w:r>
        <w:rPr>
          <w:color w:val="000000"/>
          <w:sz w:val="22"/>
          <w:szCs w:val="22"/>
        </w:rPr>
        <w:t>the trade name of a medicine or biological, as t</w:t>
      </w:r>
      <w:r w:rsidR="001B53C4" w:rsidRPr="009751E3">
        <w:rPr>
          <w:color w:val="000000"/>
          <w:sz w:val="22"/>
          <w:szCs w:val="22"/>
        </w:rPr>
        <w:t>he name of the sponsor or manufacturer may also be part of the trade name of the medicine or biological.</w:t>
      </w:r>
    </w:p>
    <w:p w14:paraId="25159236" w14:textId="77777777" w:rsidR="00914667" w:rsidRDefault="00914667" w:rsidP="009751E3">
      <w:pPr>
        <w:pStyle w:val="ListParagraph"/>
        <w:shd w:val="clear" w:color="auto" w:fill="FFFFFF"/>
        <w:spacing w:before="0" w:after="0"/>
        <w:rPr>
          <w:color w:val="000000"/>
          <w:sz w:val="22"/>
          <w:szCs w:val="22"/>
        </w:rPr>
      </w:pPr>
    </w:p>
    <w:p w14:paraId="7AE086B6" w14:textId="6CB0F57C" w:rsidR="001B53C4" w:rsidRPr="009751E3" w:rsidRDefault="001B53C4" w:rsidP="00775810">
      <w:pPr>
        <w:shd w:val="clear" w:color="auto" w:fill="FFFFFF"/>
        <w:spacing w:before="0" w:after="0"/>
        <w:rPr>
          <w:color w:val="000000"/>
          <w:sz w:val="22"/>
          <w:szCs w:val="22"/>
        </w:rPr>
      </w:pPr>
      <w:r w:rsidRPr="009751E3">
        <w:rPr>
          <w:color w:val="000000"/>
          <w:sz w:val="22"/>
          <w:szCs w:val="22"/>
        </w:rPr>
        <w:t xml:space="preserve">Although the sponsor or manufacturer is most often a company, </w:t>
      </w:r>
      <w:r w:rsidR="00775810">
        <w:rPr>
          <w:color w:val="000000"/>
          <w:sz w:val="22"/>
          <w:szCs w:val="22"/>
        </w:rPr>
        <w:t xml:space="preserve">the sponsor or manufacturer may be an individual, so </w:t>
      </w:r>
      <w:r w:rsidRPr="009751E3">
        <w:rPr>
          <w:color w:val="000000"/>
          <w:sz w:val="22"/>
          <w:szCs w:val="22"/>
        </w:rPr>
        <w:t>it may be possible to identify an individual from that information published in the DAEN – Medicines or DAEN – Medical Devices</w:t>
      </w:r>
      <w:r w:rsidR="00775810">
        <w:rPr>
          <w:color w:val="000000"/>
          <w:sz w:val="22"/>
          <w:szCs w:val="22"/>
        </w:rPr>
        <w:t xml:space="preserve">. </w:t>
      </w:r>
      <w:r w:rsidRPr="009751E3">
        <w:rPr>
          <w:color w:val="000000"/>
          <w:sz w:val="22"/>
          <w:szCs w:val="22"/>
        </w:rPr>
        <w:t>However, the name of the sponsor for, and the trade name of, a medicine or biological that is in the Australian Register of Therapeutic Goods (</w:t>
      </w:r>
      <w:r w:rsidR="00914667">
        <w:rPr>
          <w:color w:val="000000"/>
          <w:sz w:val="22"/>
          <w:szCs w:val="22"/>
        </w:rPr>
        <w:t>“the </w:t>
      </w:r>
      <w:r w:rsidRPr="009751E3">
        <w:rPr>
          <w:color w:val="000000"/>
          <w:sz w:val="22"/>
          <w:szCs w:val="22"/>
        </w:rPr>
        <w:t>Register</w:t>
      </w:r>
      <w:r w:rsidR="00914667">
        <w:rPr>
          <w:color w:val="000000"/>
          <w:sz w:val="22"/>
          <w:szCs w:val="22"/>
        </w:rPr>
        <w:t>”</w:t>
      </w:r>
      <w:r w:rsidRPr="009751E3">
        <w:rPr>
          <w:color w:val="000000"/>
          <w:sz w:val="22"/>
          <w:szCs w:val="22"/>
        </w:rPr>
        <w:t>) would already be publicly available in the Register.</w:t>
      </w:r>
    </w:p>
    <w:p w14:paraId="09AC2A98" w14:textId="77777777" w:rsidR="001B53C4" w:rsidRDefault="001B53C4" w:rsidP="001B53C4">
      <w:pPr>
        <w:shd w:val="clear" w:color="auto" w:fill="FFFFFF"/>
        <w:spacing w:before="0" w:after="0"/>
        <w:rPr>
          <w:rFonts w:ascii="Tms Rmn" w:hAnsi="Tms Rmn"/>
          <w:color w:val="000000"/>
        </w:rPr>
      </w:pPr>
    </w:p>
    <w:p w14:paraId="41D6F329" w14:textId="3948B782" w:rsidR="001B53C4" w:rsidRDefault="001B53C4">
      <w:pPr>
        <w:shd w:val="clear" w:color="auto" w:fill="FFFFFF"/>
        <w:spacing w:before="0" w:after="0"/>
        <w:rPr>
          <w:color w:val="000000"/>
          <w:sz w:val="22"/>
          <w:szCs w:val="22"/>
        </w:rPr>
      </w:pPr>
      <w:r>
        <w:rPr>
          <w:color w:val="000000"/>
          <w:sz w:val="22"/>
          <w:szCs w:val="22"/>
        </w:rPr>
        <w:t>The TGA, as part of the Australian Government Department of Health and Aged Care, is an APP</w:t>
      </w:r>
      <w:r w:rsidR="00F01428">
        <w:rPr>
          <w:color w:val="000000"/>
          <w:sz w:val="22"/>
          <w:szCs w:val="22"/>
        </w:rPr>
        <w:t> </w:t>
      </w:r>
      <w:r>
        <w:rPr>
          <w:color w:val="000000"/>
          <w:sz w:val="22"/>
          <w:szCs w:val="22"/>
        </w:rPr>
        <w:t xml:space="preserve">entity for the purposes of the </w:t>
      </w:r>
      <w:r>
        <w:rPr>
          <w:i/>
          <w:iCs/>
          <w:color w:val="000000"/>
          <w:sz w:val="22"/>
          <w:szCs w:val="22"/>
        </w:rPr>
        <w:t xml:space="preserve">Privacy Act 1988 </w:t>
      </w:r>
      <w:r>
        <w:rPr>
          <w:color w:val="000000"/>
          <w:sz w:val="22"/>
          <w:szCs w:val="22"/>
        </w:rPr>
        <w:t xml:space="preserve">(“the Privacy Act”). </w:t>
      </w:r>
      <w:r>
        <w:rPr>
          <w:bCs/>
          <w:color w:val="000000"/>
          <w:sz w:val="22"/>
          <w:szCs w:val="22"/>
        </w:rPr>
        <w:t xml:space="preserve">Any use or disclosure of personal information would be consistent with the </w:t>
      </w:r>
      <w:r w:rsidRPr="00096860">
        <w:rPr>
          <w:bCs/>
          <w:color w:val="000000"/>
          <w:sz w:val="22"/>
          <w:szCs w:val="22"/>
        </w:rPr>
        <w:t>Privacy Act</w:t>
      </w:r>
      <w:r>
        <w:rPr>
          <w:bCs/>
          <w:color w:val="000000"/>
          <w:sz w:val="22"/>
          <w:szCs w:val="22"/>
        </w:rPr>
        <w:t xml:space="preserve">. </w:t>
      </w:r>
      <w:r>
        <w:rPr>
          <w:color w:val="000000"/>
          <w:sz w:val="22"/>
          <w:szCs w:val="22"/>
        </w:rPr>
        <w:t xml:space="preserve">The collection and use of the information specified in the Instrument by the TGA, and its disclosure, is critically important to promote transparency and the safety of patients, </w:t>
      </w:r>
      <w:proofErr w:type="gramStart"/>
      <w:r>
        <w:rPr>
          <w:color w:val="000000"/>
          <w:sz w:val="22"/>
          <w:szCs w:val="22"/>
        </w:rPr>
        <w:t>users</w:t>
      </w:r>
      <w:proofErr w:type="gramEnd"/>
      <w:r>
        <w:rPr>
          <w:color w:val="000000"/>
          <w:sz w:val="22"/>
          <w:szCs w:val="22"/>
        </w:rPr>
        <w:t xml:space="preserve"> and the public. It is important that the public knows the sponsor or manufacturer that supplied the goods in Australia, even if it is an individual</w:t>
      </w:r>
      <w:r w:rsidR="004D47F9">
        <w:rPr>
          <w:color w:val="000000"/>
          <w:sz w:val="22"/>
          <w:szCs w:val="22"/>
        </w:rPr>
        <w:t>.</w:t>
      </w:r>
    </w:p>
    <w:p w14:paraId="10A41588" w14:textId="18F6D731" w:rsidR="004D47F9" w:rsidRDefault="004D47F9">
      <w:pPr>
        <w:shd w:val="clear" w:color="auto" w:fill="FFFFFF"/>
        <w:spacing w:before="0" w:after="0"/>
        <w:rPr>
          <w:color w:val="000000"/>
          <w:sz w:val="22"/>
          <w:szCs w:val="22"/>
        </w:rPr>
      </w:pPr>
    </w:p>
    <w:p w14:paraId="50AA2394" w14:textId="1A40812E" w:rsidR="004D47F9" w:rsidRPr="009751E3" w:rsidRDefault="004D47F9" w:rsidP="009751E3">
      <w:pPr>
        <w:shd w:val="clear" w:color="auto" w:fill="FFFFFF"/>
        <w:spacing w:before="0" w:after="0"/>
        <w:rPr>
          <w:color w:val="000000"/>
          <w:sz w:val="22"/>
          <w:szCs w:val="22"/>
        </w:rPr>
      </w:pPr>
      <w:r>
        <w:rPr>
          <w:color w:val="000000"/>
          <w:sz w:val="22"/>
          <w:szCs w:val="22"/>
        </w:rPr>
        <w:t xml:space="preserve">Other information released in the DAEN – Medicines and DAEN – Medical Devices is de-identified and is not considered sufficient to identify an individual. It may </w:t>
      </w:r>
      <w:r w:rsidR="00537949">
        <w:rPr>
          <w:color w:val="000000"/>
          <w:sz w:val="22"/>
          <w:szCs w:val="22"/>
        </w:rPr>
        <w:t xml:space="preserve">only </w:t>
      </w:r>
      <w:r>
        <w:rPr>
          <w:color w:val="000000"/>
          <w:sz w:val="22"/>
          <w:szCs w:val="22"/>
        </w:rPr>
        <w:t xml:space="preserve">be possible to identify an individual where </w:t>
      </w:r>
      <w:r w:rsidR="00537949">
        <w:rPr>
          <w:color w:val="000000"/>
          <w:sz w:val="22"/>
          <w:szCs w:val="22"/>
        </w:rPr>
        <w:t xml:space="preserve">that individual chooses to release </w:t>
      </w:r>
      <w:r>
        <w:rPr>
          <w:color w:val="000000"/>
          <w:sz w:val="22"/>
          <w:szCs w:val="22"/>
        </w:rPr>
        <w:t xml:space="preserve">additional, personal information </w:t>
      </w:r>
      <w:r w:rsidR="00537949">
        <w:rPr>
          <w:color w:val="000000"/>
          <w:sz w:val="22"/>
          <w:szCs w:val="22"/>
        </w:rPr>
        <w:t xml:space="preserve">publicly or to the media which </w:t>
      </w:r>
      <w:r>
        <w:rPr>
          <w:color w:val="000000"/>
          <w:sz w:val="22"/>
          <w:szCs w:val="22"/>
        </w:rPr>
        <w:t xml:space="preserve">specifically identifies that individual. </w:t>
      </w:r>
      <w:r w:rsidR="00537949">
        <w:rPr>
          <w:color w:val="000000"/>
          <w:sz w:val="22"/>
          <w:szCs w:val="22"/>
        </w:rPr>
        <w:t>For example, where an individual is interviewed by the media about an adverse event associated with a vaccine. In this case, the details of the individual would already be public.</w:t>
      </w:r>
    </w:p>
    <w:p w14:paraId="294C6A32" w14:textId="792E6796" w:rsidR="00141FA8" w:rsidRPr="00B2546F" w:rsidRDefault="009C45C1" w:rsidP="00141FA8">
      <w:pPr>
        <w:spacing w:before="0" w:after="0"/>
        <w:rPr>
          <w:b/>
          <w:bCs/>
          <w:sz w:val="22"/>
          <w:szCs w:val="22"/>
          <w:lang w:eastAsia="en-AU"/>
        </w:rPr>
      </w:pPr>
      <w:r w:rsidRPr="00B2546F">
        <w:rPr>
          <w:b/>
          <w:bCs/>
          <w:sz w:val="22"/>
          <w:szCs w:val="22"/>
          <w:lang w:eastAsia="en-AU"/>
        </w:rPr>
        <w:lastRenderedPageBreak/>
        <w:t xml:space="preserve">Schedule </w:t>
      </w:r>
      <w:r w:rsidR="00A11704">
        <w:rPr>
          <w:b/>
          <w:bCs/>
          <w:sz w:val="22"/>
          <w:szCs w:val="22"/>
          <w:lang w:eastAsia="en-AU"/>
        </w:rPr>
        <w:t>2</w:t>
      </w:r>
      <w:r w:rsidR="00141FA8" w:rsidRPr="00B2546F">
        <w:rPr>
          <w:b/>
          <w:bCs/>
          <w:sz w:val="22"/>
          <w:szCs w:val="22"/>
          <w:lang w:eastAsia="en-AU"/>
        </w:rPr>
        <w:t xml:space="preserve"> – </w:t>
      </w:r>
      <w:r w:rsidRPr="00B2546F">
        <w:rPr>
          <w:b/>
          <w:bCs/>
          <w:sz w:val="22"/>
          <w:szCs w:val="22"/>
          <w:lang w:eastAsia="en-AU"/>
        </w:rPr>
        <w:t>Repeals</w:t>
      </w:r>
    </w:p>
    <w:p w14:paraId="7392B669" w14:textId="77777777" w:rsidR="00141FA8" w:rsidRPr="00B2546F" w:rsidRDefault="00141FA8" w:rsidP="00141FA8">
      <w:pPr>
        <w:spacing w:before="0" w:after="0"/>
        <w:rPr>
          <w:b/>
          <w:bCs/>
          <w:sz w:val="22"/>
          <w:szCs w:val="22"/>
          <w:lang w:eastAsia="en-AU"/>
        </w:rPr>
      </w:pPr>
    </w:p>
    <w:p w14:paraId="541D3917" w14:textId="245EEDB7" w:rsidR="00752023" w:rsidRDefault="00141FA8" w:rsidP="003D354B">
      <w:pPr>
        <w:spacing w:before="0" w:after="0"/>
        <w:rPr>
          <w:sz w:val="22"/>
          <w:szCs w:val="22"/>
          <w:lang w:eastAsia="en-AU"/>
        </w:rPr>
      </w:pPr>
      <w:r w:rsidRPr="00B2546F">
        <w:rPr>
          <w:sz w:val="22"/>
          <w:szCs w:val="22"/>
          <w:lang w:eastAsia="en-AU"/>
        </w:rPr>
        <w:t xml:space="preserve">This Schedule provides that the </w:t>
      </w:r>
      <w:r w:rsidR="001F0E2B">
        <w:rPr>
          <w:bCs/>
          <w:i/>
          <w:iCs/>
          <w:sz w:val="22"/>
          <w:szCs w:val="22"/>
          <w:lang w:val="en-AU" w:eastAsia="en-AU"/>
        </w:rPr>
        <w:t xml:space="preserve">Therapeutic Goods (Database of Adverse Event Notifications) </w:t>
      </w:r>
      <w:r w:rsidR="00F0479A">
        <w:rPr>
          <w:bCs/>
          <w:i/>
          <w:iCs/>
          <w:sz w:val="22"/>
          <w:szCs w:val="22"/>
          <w:lang w:val="en-AU" w:eastAsia="en-AU"/>
        </w:rPr>
        <w:t xml:space="preserve">(Information) </w:t>
      </w:r>
      <w:r w:rsidR="001F0E2B">
        <w:rPr>
          <w:bCs/>
          <w:i/>
          <w:iCs/>
          <w:sz w:val="22"/>
          <w:szCs w:val="22"/>
          <w:lang w:val="en-AU" w:eastAsia="en-AU"/>
        </w:rPr>
        <w:t>Specification 20</w:t>
      </w:r>
      <w:r w:rsidR="00F0479A">
        <w:rPr>
          <w:bCs/>
          <w:i/>
          <w:iCs/>
          <w:sz w:val="22"/>
          <w:szCs w:val="22"/>
          <w:lang w:val="en-AU" w:eastAsia="en-AU"/>
        </w:rPr>
        <w:t>2</w:t>
      </w:r>
      <w:r w:rsidR="001F0E2B">
        <w:rPr>
          <w:bCs/>
          <w:i/>
          <w:iCs/>
          <w:sz w:val="22"/>
          <w:szCs w:val="22"/>
          <w:lang w:val="en-AU" w:eastAsia="en-AU"/>
        </w:rPr>
        <w:t>2</w:t>
      </w:r>
      <w:r w:rsidR="00B1296F">
        <w:rPr>
          <w:bCs/>
          <w:i/>
          <w:iCs/>
          <w:sz w:val="22"/>
          <w:szCs w:val="22"/>
          <w:lang w:val="en-AU" w:eastAsia="en-AU"/>
        </w:rPr>
        <w:t xml:space="preserve">, </w:t>
      </w:r>
      <w:r w:rsidR="00F0479A">
        <w:rPr>
          <w:sz w:val="22"/>
          <w:szCs w:val="22"/>
          <w:lang w:eastAsia="en-AU"/>
        </w:rPr>
        <w:t xml:space="preserve">the </w:t>
      </w:r>
      <w:r w:rsidR="00F0479A">
        <w:rPr>
          <w:bCs/>
          <w:i/>
          <w:iCs/>
          <w:sz w:val="22"/>
          <w:szCs w:val="22"/>
          <w:lang w:val="en-AU" w:eastAsia="en-AU"/>
        </w:rPr>
        <w:t>Therapeutic Goods Information (Adverse Event Notifications – Medical Devices) Specification 2013</w:t>
      </w:r>
      <w:r w:rsidR="00B1296F">
        <w:rPr>
          <w:bCs/>
          <w:i/>
          <w:iCs/>
          <w:sz w:val="22"/>
          <w:szCs w:val="22"/>
          <w:lang w:val="en-AU" w:eastAsia="en-AU"/>
        </w:rPr>
        <w:t xml:space="preserve"> </w:t>
      </w:r>
      <w:r w:rsidR="00B1296F">
        <w:rPr>
          <w:bCs/>
          <w:sz w:val="22"/>
          <w:szCs w:val="22"/>
          <w:lang w:val="en-AU" w:eastAsia="en-AU"/>
        </w:rPr>
        <w:t xml:space="preserve">and the </w:t>
      </w:r>
      <w:r w:rsidR="00B1296F">
        <w:rPr>
          <w:bCs/>
          <w:i/>
          <w:iCs/>
          <w:sz w:val="22"/>
          <w:szCs w:val="22"/>
          <w:lang w:val="en-AU" w:eastAsia="en-AU"/>
        </w:rPr>
        <w:t>Therapeutic Goods Information (Joint Recalls Portal) Specification 2013</w:t>
      </w:r>
      <w:r w:rsidR="00F0479A">
        <w:rPr>
          <w:sz w:val="22"/>
          <w:szCs w:val="22"/>
          <w:lang w:eastAsia="en-AU"/>
        </w:rPr>
        <w:t xml:space="preserve"> are</w:t>
      </w:r>
      <w:r w:rsidRPr="00B2546F">
        <w:rPr>
          <w:sz w:val="22"/>
          <w:szCs w:val="22"/>
          <w:lang w:eastAsia="en-AU"/>
        </w:rPr>
        <w:t xml:space="preserve"> repealed.</w:t>
      </w:r>
    </w:p>
    <w:p w14:paraId="7432B2CA" w14:textId="57A535D4" w:rsidR="00192B7D" w:rsidRDefault="00192B7D" w:rsidP="003D354B">
      <w:pPr>
        <w:spacing w:before="0" w:after="0"/>
        <w:rPr>
          <w:sz w:val="22"/>
          <w:szCs w:val="22"/>
          <w:lang w:eastAsia="en-AU"/>
        </w:rPr>
      </w:pPr>
    </w:p>
    <w:p w14:paraId="780EFCEC" w14:textId="6B924651" w:rsidR="00192B7D" w:rsidRDefault="00D636E8" w:rsidP="003D354B">
      <w:pPr>
        <w:spacing w:before="0" w:after="0"/>
        <w:rPr>
          <w:bCs/>
          <w:sz w:val="22"/>
          <w:szCs w:val="22"/>
          <w:lang w:val="en-AU" w:eastAsia="en-AU"/>
        </w:rPr>
      </w:pPr>
      <w:r>
        <w:rPr>
          <w:sz w:val="22"/>
          <w:szCs w:val="22"/>
          <w:lang w:eastAsia="en-AU"/>
        </w:rPr>
        <w:t xml:space="preserve">The </w:t>
      </w:r>
      <w:r w:rsidR="00EE70EA">
        <w:rPr>
          <w:color w:val="000000"/>
          <w:sz w:val="22"/>
          <w:szCs w:val="22"/>
          <w:shd w:val="clear" w:color="auto" w:fill="FFFFFF"/>
        </w:rPr>
        <w:t xml:space="preserve">Instrument </w:t>
      </w:r>
      <w:r>
        <w:rPr>
          <w:sz w:val="22"/>
          <w:szCs w:val="22"/>
          <w:lang w:eastAsia="en-AU"/>
        </w:rPr>
        <w:t xml:space="preserve">replaces the </w:t>
      </w:r>
      <w:r>
        <w:rPr>
          <w:bCs/>
          <w:i/>
          <w:iCs/>
          <w:sz w:val="22"/>
          <w:szCs w:val="22"/>
          <w:lang w:val="en-AU" w:eastAsia="en-AU"/>
        </w:rPr>
        <w:t xml:space="preserve">Therapeutic Goods (Database of Adverse Event Notifications) (Information) Specification 2022 </w:t>
      </w:r>
      <w:r w:rsidRPr="00497061">
        <w:rPr>
          <w:bCs/>
          <w:sz w:val="22"/>
          <w:szCs w:val="22"/>
          <w:lang w:val="en-AU" w:eastAsia="en-AU"/>
        </w:rPr>
        <w:t>and</w:t>
      </w:r>
      <w:r>
        <w:rPr>
          <w:bCs/>
          <w:i/>
          <w:iCs/>
          <w:sz w:val="22"/>
          <w:szCs w:val="22"/>
          <w:lang w:val="en-AU" w:eastAsia="en-AU"/>
        </w:rPr>
        <w:t xml:space="preserve"> </w:t>
      </w:r>
      <w:r>
        <w:rPr>
          <w:sz w:val="22"/>
          <w:szCs w:val="22"/>
          <w:lang w:eastAsia="en-AU"/>
        </w:rPr>
        <w:t xml:space="preserve">the </w:t>
      </w:r>
      <w:r>
        <w:rPr>
          <w:bCs/>
          <w:i/>
          <w:iCs/>
          <w:sz w:val="22"/>
          <w:szCs w:val="22"/>
          <w:lang w:val="en-AU" w:eastAsia="en-AU"/>
        </w:rPr>
        <w:t>Therapeutic Goods Information (Adverse Event Notifications – Medical Devices) Specification 2013</w:t>
      </w:r>
      <w:r>
        <w:rPr>
          <w:bCs/>
          <w:sz w:val="22"/>
          <w:szCs w:val="22"/>
          <w:lang w:val="en-AU" w:eastAsia="en-AU"/>
        </w:rPr>
        <w:t xml:space="preserve">, </w:t>
      </w:r>
      <w:r w:rsidR="00497061">
        <w:rPr>
          <w:bCs/>
          <w:sz w:val="22"/>
          <w:szCs w:val="22"/>
          <w:lang w:val="en-AU" w:eastAsia="en-AU"/>
        </w:rPr>
        <w:t xml:space="preserve">combining them </w:t>
      </w:r>
      <w:r>
        <w:rPr>
          <w:bCs/>
          <w:sz w:val="22"/>
          <w:szCs w:val="22"/>
          <w:lang w:val="en-AU" w:eastAsia="en-AU"/>
        </w:rPr>
        <w:t>into one consolidated instrument.</w:t>
      </w:r>
    </w:p>
    <w:p w14:paraId="3943C524" w14:textId="7D45A675" w:rsidR="00D636E8" w:rsidRDefault="00D636E8" w:rsidP="003D354B">
      <w:pPr>
        <w:spacing w:before="0" w:after="0"/>
        <w:rPr>
          <w:bCs/>
          <w:sz w:val="22"/>
          <w:szCs w:val="22"/>
          <w:lang w:val="en-AU" w:eastAsia="en-AU"/>
        </w:rPr>
      </w:pPr>
    </w:p>
    <w:p w14:paraId="740FC4CC" w14:textId="5514F209" w:rsidR="00D636E8" w:rsidRPr="00D636E8" w:rsidRDefault="00D636E8" w:rsidP="003D354B">
      <w:pPr>
        <w:spacing w:before="0" w:after="0"/>
        <w:rPr>
          <w:sz w:val="22"/>
          <w:szCs w:val="22"/>
          <w:lang w:eastAsia="en-AU"/>
        </w:rPr>
      </w:pPr>
      <w:r>
        <w:rPr>
          <w:bCs/>
          <w:sz w:val="22"/>
          <w:szCs w:val="22"/>
          <w:lang w:val="en-AU" w:eastAsia="en-AU"/>
        </w:rPr>
        <w:t xml:space="preserve">The </w:t>
      </w:r>
      <w:r w:rsidR="00EE70EA">
        <w:rPr>
          <w:color w:val="000000"/>
          <w:sz w:val="22"/>
          <w:szCs w:val="22"/>
          <w:shd w:val="clear" w:color="auto" w:fill="FFFFFF"/>
        </w:rPr>
        <w:t xml:space="preserve">Instrument </w:t>
      </w:r>
      <w:r w:rsidR="00AC42C5">
        <w:rPr>
          <w:bCs/>
          <w:sz w:val="22"/>
          <w:szCs w:val="22"/>
          <w:lang w:val="en-AU" w:eastAsia="en-AU"/>
        </w:rPr>
        <w:t xml:space="preserve">repeals </w:t>
      </w:r>
      <w:r>
        <w:rPr>
          <w:bCs/>
          <w:sz w:val="22"/>
          <w:szCs w:val="22"/>
          <w:lang w:val="en-AU" w:eastAsia="en-AU"/>
        </w:rPr>
        <w:t xml:space="preserve">the </w:t>
      </w:r>
      <w:r>
        <w:rPr>
          <w:bCs/>
          <w:i/>
          <w:iCs/>
          <w:sz w:val="22"/>
          <w:szCs w:val="22"/>
          <w:lang w:val="en-AU" w:eastAsia="en-AU"/>
        </w:rPr>
        <w:t>Therapeutic Goods Information (Joint Recalls Portal) Specification 2013</w:t>
      </w:r>
      <w:r>
        <w:rPr>
          <w:bCs/>
          <w:sz w:val="22"/>
          <w:szCs w:val="22"/>
          <w:lang w:val="en-AU" w:eastAsia="en-AU"/>
        </w:rPr>
        <w:t xml:space="preserve">, which is due to sunset on 1 October 2023, as that instrument is no longer required. It was made to support the establishment of a </w:t>
      </w:r>
      <w:r>
        <w:rPr>
          <w:sz w:val="22"/>
          <w:szCs w:val="22"/>
        </w:rPr>
        <w:t>single</w:t>
      </w:r>
      <w:r w:rsidR="00585DBF">
        <w:rPr>
          <w:sz w:val="22"/>
          <w:szCs w:val="22"/>
        </w:rPr>
        <w:t xml:space="preserve"> portal containing </w:t>
      </w:r>
      <w:r>
        <w:rPr>
          <w:sz w:val="22"/>
          <w:szCs w:val="22"/>
        </w:rPr>
        <w:t>information relating to recalls in Australia and New Zealand, to be administered by the joint regulatory agency that was proposed at the time. The joint regulatory agency did not proceed</w:t>
      </w:r>
      <w:r w:rsidR="00914667">
        <w:rPr>
          <w:sz w:val="22"/>
          <w:szCs w:val="22"/>
        </w:rPr>
        <w:t>,</w:t>
      </w:r>
      <w:r>
        <w:rPr>
          <w:sz w:val="22"/>
          <w:szCs w:val="22"/>
        </w:rPr>
        <w:t xml:space="preserve"> and the joint recalls portal was </w:t>
      </w:r>
      <w:r w:rsidR="00585DBF">
        <w:rPr>
          <w:sz w:val="22"/>
          <w:szCs w:val="22"/>
        </w:rPr>
        <w:t>never</w:t>
      </w:r>
      <w:r>
        <w:rPr>
          <w:sz w:val="22"/>
          <w:szCs w:val="22"/>
        </w:rPr>
        <w:t xml:space="preserve"> established.</w:t>
      </w:r>
    </w:p>
    <w:p w14:paraId="0E2CFAAC" w14:textId="3188471F" w:rsidR="00141FA8" w:rsidRPr="00B2546F" w:rsidRDefault="00141FA8" w:rsidP="003D354B">
      <w:pPr>
        <w:spacing w:before="0" w:after="0"/>
        <w:rPr>
          <w:sz w:val="22"/>
          <w:szCs w:val="22"/>
          <w:lang w:eastAsia="en-AU"/>
        </w:rPr>
      </w:pPr>
      <w:r w:rsidRPr="00B2546F">
        <w:rPr>
          <w:sz w:val="22"/>
          <w:szCs w:val="22"/>
          <w:lang w:eastAsia="en-AU"/>
        </w:rPr>
        <w:br w:type="page"/>
      </w:r>
    </w:p>
    <w:p w14:paraId="6E99552C" w14:textId="77777777" w:rsidR="00141FA8" w:rsidRPr="00B2546F" w:rsidRDefault="00141FA8" w:rsidP="00141FA8">
      <w:pPr>
        <w:spacing w:before="0" w:after="0"/>
        <w:jc w:val="right"/>
        <w:rPr>
          <w:b/>
        </w:rPr>
      </w:pPr>
      <w:r w:rsidRPr="00B2546F">
        <w:rPr>
          <w:b/>
        </w:rPr>
        <w:lastRenderedPageBreak/>
        <w:t>Attachment B</w:t>
      </w:r>
    </w:p>
    <w:p w14:paraId="0B657E23" w14:textId="77777777" w:rsidR="00141FA8" w:rsidRPr="00B2546F" w:rsidRDefault="00141FA8" w:rsidP="00141FA8">
      <w:pPr>
        <w:spacing w:before="0" w:after="0"/>
        <w:jc w:val="center"/>
        <w:rPr>
          <w:b/>
        </w:rPr>
      </w:pPr>
    </w:p>
    <w:p w14:paraId="4FA4AFA6" w14:textId="77777777" w:rsidR="00141FA8" w:rsidRPr="00B2546F" w:rsidRDefault="00141FA8" w:rsidP="00141FA8">
      <w:pPr>
        <w:spacing w:before="0" w:after="0"/>
        <w:jc w:val="center"/>
        <w:rPr>
          <w:b/>
        </w:rPr>
      </w:pPr>
      <w:r w:rsidRPr="00B2546F">
        <w:rPr>
          <w:b/>
        </w:rPr>
        <w:t>Statement of Compatibility with Human Rights</w:t>
      </w:r>
    </w:p>
    <w:p w14:paraId="7BF35036" w14:textId="77777777" w:rsidR="00141FA8" w:rsidRPr="00B2546F" w:rsidRDefault="00141FA8" w:rsidP="00141FA8">
      <w:pPr>
        <w:spacing w:before="0" w:after="0"/>
        <w:rPr>
          <w:sz w:val="22"/>
          <w:szCs w:val="22"/>
        </w:rPr>
      </w:pPr>
    </w:p>
    <w:p w14:paraId="405930D0" w14:textId="77777777" w:rsidR="00141FA8" w:rsidRPr="00B2546F" w:rsidRDefault="00141FA8" w:rsidP="00141FA8">
      <w:pPr>
        <w:spacing w:before="0" w:after="0"/>
        <w:jc w:val="center"/>
        <w:rPr>
          <w:sz w:val="22"/>
          <w:szCs w:val="22"/>
        </w:rPr>
      </w:pPr>
      <w:r w:rsidRPr="00B2546F">
        <w:rPr>
          <w:sz w:val="22"/>
          <w:szCs w:val="22"/>
        </w:rPr>
        <w:t xml:space="preserve">Prepared in accordance with Part 3 of the </w:t>
      </w:r>
      <w:r w:rsidRPr="00B2546F">
        <w:rPr>
          <w:i/>
          <w:sz w:val="22"/>
          <w:szCs w:val="22"/>
        </w:rPr>
        <w:t>Human Rights (Parliamentary Scrutiny) Act 2011</w:t>
      </w:r>
    </w:p>
    <w:p w14:paraId="38B26584" w14:textId="77777777" w:rsidR="00141FA8" w:rsidRPr="00B2546F" w:rsidRDefault="00141FA8" w:rsidP="00141FA8">
      <w:pPr>
        <w:spacing w:before="0" w:after="0"/>
        <w:jc w:val="center"/>
        <w:rPr>
          <w:b/>
          <w:sz w:val="22"/>
          <w:szCs w:val="22"/>
        </w:rPr>
      </w:pPr>
    </w:p>
    <w:p w14:paraId="6BD5BEBA" w14:textId="59E4DA06" w:rsidR="00A11704" w:rsidRPr="00A11704" w:rsidRDefault="00D563E3" w:rsidP="00A11704">
      <w:pPr>
        <w:spacing w:before="0" w:after="0"/>
        <w:jc w:val="center"/>
        <w:rPr>
          <w:b/>
          <w:bCs/>
          <w:sz w:val="22"/>
          <w:szCs w:val="22"/>
        </w:rPr>
      </w:pPr>
      <w:r w:rsidRPr="00D563E3">
        <w:rPr>
          <w:b/>
          <w:bCs/>
          <w:i/>
          <w:sz w:val="22"/>
          <w:szCs w:val="22"/>
          <w:lang w:val="en-AU"/>
        </w:rPr>
        <w:t>Therapeutic Goods (</w:t>
      </w:r>
      <w:r w:rsidR="008E70B5" w:rsidRPr="008E70B5">
        <w:rPr>
          <w:b/>
          <w:bCs/>
          <w:i/>
          <w:sz w:val="22"/>
          <w:szCs w:val="22"/>
        </w:rPr>
        <w:t>Information Specification</w:t>
      </w:r>
      <w:r w:rsidR="008E70B5" w:rsidRPr="008E70B5">
        <w:rPr>
          <w:b/>
          <w:bCs/>
          <w:i/>
          <w:iCs/>
        </w:rPr>
        <w:t>—</w:t>
      </w:r>
      <w:r w:rsidRPr="008E70B5">
        <w:rPr>
          <w:b/>
          <w:bCs/>
          <w:i/>
          <w:sz w:val="22"/>
          <w:szCs w:val="22"/>
          <w:lang w:val="en-AU"/>
        </w:rPr>
        <w:t>Database of</w:t>
      </w:r>
      <w:r w:rsidRPr="00D563E3">
        <w:rPr>
          <w:b/>
          <w:bCs/>
          <w:i/>
          <w:sz w:val="22"/>
          <w:szCs w:val="22"/>
          <w:lang w:val="en-AU"/>
        </w:rPr>
        <w:t xml:space="preserve"> </w:t>
      </w:r>
      <w:r w:rsidRPr="00534D16">
        <w:rPr>
          <w:b/>
          <w:bCs/>
          <w:i/>
          <w:sz w:val="22"/>
          <w:szCs w:val="22"/>
          <w:lang w:val="en-AU"/>
        </w:rPr>
        <w:t>Adverse Event Notifications</w:t>
      </w:r>
      <w:r w:rsidR="009B04E5" w:rsidRPr="00593278">
        <w:rPr>
          <w:b/>
          <w:bCs/>
          <w:i/>
          <w:sz w:val="22"/>
          <w:szCs w:val="22"/>
        </w:rPr>
        <w:t>)</w:t>
      </w:r>
      <w:r w:rsidRPr="00D563E3">
        <w:rPr>
          <w:b/>
          <w:bCs/>
          <w:i/>
          <w:sz w:val="22"/>
          <w:szCs w:val="22"/>
          <w:lang w:val="en-AU"/>
        </w:rPr>
        <w:t xml:space="preserve"> </w:t>
      </w:r>
      <w:r w:rsidR="008E70B5">
        <w:rPr>
          <w:b/>
          <w:bCs/>
          <w:i/>
          <w:sz w:val="22"/>
          <w:szCs w:val="22"/>
          <w:lang w:val="en-AU"/>
        </w:rPr>
        <w:t>Instrument</w:t>
      </w:r>
      <w:r w:rsidRPr="00D563E3">
        <w:rPr>
          <w:b/>
          <w:bCs/>
          <w:i/>
          <w:sz w:val="22"/>
          <w:szCs w:val="22"/>
          <w:lang w:val="en-AU"/>
        </w:rPr>
        <w:t xml:space="preserve"> 202</w:t>
      </w:r>
      <w:r w:rsidR="009B04E5">
        <w:rPr>
          <w:b/>
          <w:bCs/>
          <w:i/>
          <w:sz w:val="22"/>
          <w:szCs w:val="22"/>
          <w:lang w:val="en-AU"/>
        </w:rPr>
        <w:t>3</w:t>
      </w:r>
    </w:p>
    <w:p w14:paraId="632914EC" w14:textId="77777777" w:rsidR="00141FA8" w:rsidRPr="00B2546F" w:rsidRDefault="00141FA8" w:rsidP="00141FA8">
      <w:pPr>
        <w:spacing w:before="0" w:after="0"/>
        <w:rPr>
          <w:sz w:val="22"/>
          <w:szCs w:val="22"/>
        </w:rPr>
      </w:pPr>
    </w:p>
    <w:p w14:paraId="3A1493A0" w14:textId="77777777" w:rsidR="00141FA8" w:rsidRPr="00B2546F" w:rsidRDefault="00141FA8" w:rsidP="00141FA8">
      <w:pPr>
        <w:spacing w:before="0" w:after="0"/>
        <w:rPr>
          <w:b/>
          <w:sz w:val="22"/>
          <w:szCs w:val="22"/>
        </w:rPr>
      </w:pPr>
      <w:r w:rsidRPr="00B2546F">
        <w:rPr>
          <w:sz w:val="22"/>
          <w:szCs w:val="22"/>
        </w:rPr>
        <w:t>This disallowable legislative instrument</w:t>
      </w:r>
      <w:r w:rsidRPr="00B2546F">
        <w:rPr>
          <w:i/>
          <w:sz w:val="22"/>
          <w:szCs w:val="22"/>
        </w:rPr>
        <w:t xml:space="preserve"> </w:t>
      </w:r>
      <w:r w:rsidRPr="00B2546F">
        <w:rPr>
          <w:sz w:val="22"/>
          <w:szCs w:val="22"/>
        </w:rPr>
        <w:t xml:space="preserve">is compatible with the human rights and freedoms </w:t>
      </w:r>
      <w:proofErr w:type="spellStart"/>
      <w:r w:rsidRPr="00B2546F">
        <w:rPr>
          <w:sz w:val="22"/>
          <w:szCs w:val="22"/>
        </w:rPr>
        <w:t>recognised</w:t>
      </w:r>
      <w:proofErr w:type="spellEnd"/>
      <w:r w:rsidRPr="00B2546F">
        <w:rPr>
          <w:sz w:val="22"/>
          <w:szCs w:val="22"/>
        </w:rPr>
        <w:t xml:space="preserve"> or declared in the international instruments listed in section 3 of the </w:t>
      </w:r>
      <w:r w:rsidRPr="00B2546F">
        <w:rPr>
          <w:i/>
          <w:sz w:val="22"/>
          <w:szCs w:val="22"/>
        </w:rPr>
        <w:t>Human Rights (Parliamentary Scrutiny) Act 2011</w:t>
      </w:r>
      <w:r w:rsidRPr="00B2546F">
        <w:rPr>
          <w:sz w:val="22"/>
          <w:szCs w:val="22"/>
        </w:rPr>
        <w:t>.</w:t>
      </w:r>
    </w:p>
    <w:p w14:paraId="42703E90" w14:textId="77777777" w:rsidR="00141FA8" w:rsidRPr="00B2546F" w:rsidRDefault="00141FA8" w:rsidP="00141FA8">
      <w:pPr>
        <w:spacing w:before="0" w:after="0"/>
        <w:rPr>
          <w:sz w:val="22"/>
          <w:szCs w:val="22"/>
        </w:rPr>
      </w:pPr>
    </w:p>
    <w:p w14:paraId="671CE131" w14:textId="77777777" w:rsidR="00141FA8" w:rsidRPr="00B2546F" w:rsidRDefault="00141FA8" w:rsidP="00141FA8">
      <w:pPr>
        <w:spacing w:before="0" w:after="0"/>
        <w:rPr>
          <w:b/>
          <w:sz w:val="22"/>
          <w:szCs w:val="22"/>
        </w:rPr>
      </w:pPr>
      <w:r w:rsidRPr="00B2546F">
        <w:rPr>
          <w:b/>
          <w:sz w:val="22"/>
          <w:szCs w:val="22"/>
        </w:rPr>
        <w:t>Overview of legislative instrument</w:t>
      </w:r>
    </w:p>
    <w:p w14:paraId="59F80E8F" w14:textId="32E0E086" w:rsidR="00141FA8" w:rsidRDefault="00141FA8" w:rsidP="00141FA8">
      <w:pPr>
        <w:autoSpaceDE w:val="0"/>
        <w:autoSpaceDN w:val="0"/>
        <w:adjustRightInd w:val="0"/>
        <w:spacing w:before="0" w:after="0"/>
        <w:rPr>
          <w:rFonts w:eastAsiaTheme="minorHAnsi"/>
          <w:color w:val="000000"/>
          <w:sz w:val="22"/>
          <w:szCs w:val="22"/>
          <w:lang w:val="en-AU"/>
        </w:rPr>
      </w:pPr>
    </w:p>
    <w:p w14:paraId="071AB953" w14:textId="79552E1C" w:rsidR="00EA52E2" w:rsidRDefault="00EA52E2" w:rsidP="00CF55EF">
      <w:pPr>
        <w:spacing w:before="0" w:after="0"/>
        <w:rPr>
          <w:sz w:val="22"/>
          <w:szCs w:val="22"/>
        </w:rPr>
      </w:pPr>
      <w:r>
        <w:rPr>
          <w:color w:val="000000"/>
          <w:sz w:val="22"/>
          <w:szCs w:val="22"/>
          <w:shd w:val="clear" w:color="auto" w:fill="FFFFFF"/>
        </w:rPr>
        <w:t>The </w:t>
      </w:r>
      <w:r>
        <w:rPr>
          <w:i/>
          <w:iCs/>
          <w:color w:val="000000"/>
          <w:sz w:val="22"/>
          <w:szCs w:val="22"/>
          <w:shd w:val="clear" w:color="auto" w:fill="FFFFFF"/>
        </w:rPr>
        <w:t>Therapeutic Goods Act 1989</w:t>
      </w:r>
      <w:r>
        <w:rPr>
          <w:color w:val="000000"/>
          <w:sz w:val="22"/>
          <w:szCs w:val="22"/>
          <w:shd w:val="clear" w:color="auto" w:fill="FFFFFF"/>
        </w:rPr>
        <w:t> (“the Act”) provides for the establishment and maintenance of a national system of controls for the quality, safety, efficacy</w:t>
      </w:r>
      <w:r w:rsidR="00AF4639">
        <w:rPr>
          <w:color w:val="000000"/>
          <w:sz w:val="22"/>
          <w:szCs w:val="22"/>
          <w:shd w:val="clear" w:color="auto" w:fill="FFFFFF"/>
        </w:rPr>
        <w:t xml:space="preserve"> or</w:t>
      </w:r>
      <w:r w:rsidR="00254E86">
        <w:rPr>
          <w:color w:val="000000"/>
          <w:sz w:val="22"/>
          <w:szCs w:val="22"/>
          <w:shd w:val="clear" w:color="auto" w:fill="FFFFFF"/>
        </w:rPr>
        <w:t xml:space="preserve"> performance</w:t>
      </w:r>
      <w:r w:rsidR="00AF4639">
        <w:rPr>
          <w:color w:val="000000"/>
          <w:sz w:val="22"/>
          <w:szCs w:val="22"/>
          <w:shd w:val="clear" w:color="auto" w:fill="FFFFFF"/>
        </w:rPr>
        <w:t>,</w:t>
      </w:r>
      <w:r>
        <w:rPr>
          <w:color w:val="000000"/>
          <w:sz w:val="22"/>
          <w:szCs w:val="22"/>
          <w:shd w:val="clear" w:color="auto" w:fill="FFFFFF"/>
        </w:rPr>
        <w:t xml:space="preserve"> and timely availability of therapeutic goods that are used in, or exported from, Australia. The Act is administered by the Therapeutic Goods Administration (“the TGA”) within the Australian Government Department of Health </w:t>
      </w:r>
      <w:r w:rsidR="009520A5">
        <w:rPr>
          <w:color w:val="000000"/>
          <w:sz w:val="22"/>
          <w:szCs w:val="22"/>
          <w:shd w:val="clear" w:color="auto" w:fill="FFFFFF"/>
        </w:rPr>
        <w:t xml:space="preserve">and Aged Care </w:t>
      </w:r>
      <w:r>
        <w:rPr>
          <w:color w:val="000000"/>
          <w:sz w:val="22"/>
          <w:szCs w:val="22"/>
          <w:shd w:val="clear" w:color="auto" w:fill="FFFFFF"/>
        </w:rPr>
        <w:t>(“the Department”).</w:t>
      </w:r>
    </w:p>
    <w:p w14:paraId="79222132" w14:textId="0F17632C" w:rsidR="00D04A85" w:rsidRDefault="00D04A85" w:rsidP="00D04A85">
      <w:pPr>
        <w:spacing w:before="0" w:after="0"/>
        <w:rPr>
          <w:rFonts w:eastAsiaTheme="minorHAnsi"/>
          <w:color w:val="000000"/>
          <w:sz w:val="22"/>
          <w:szCs w:val="22"/>
          <w:lang w:val="en-AU"/>
        </w:rPr>
      </w:pPr>
    </w:p>
    <w:p w14:paraId="06E9D358" w14:textId="747DA48C" w:rsidR="00A34BB1" w:rsidRDefault="009B04E5" w:rsidP="00A34BB1">
      <w:pPr>
        <w:spacing w:before="0" w:after="0"/>
        <w:rPr>
          <w:color w:val="000000"/>
          <w:sz w:val="22"/>
          <w:szCs w:val="22"/>
          <w:shd w:val="clear" w:color="auto" w:fill="FFFFFF"/>
        </w:rPr>
      </w:pPr>
      <w:r w:rsidRPr="00B2546F">
        <w:rPr>
          <w:sz w:val="22"/>
          <w:szCs w:val="22"/>
        </w:rPr>
        <w:t xml:space="preserve">The </w:t>
      </w:r>
      <w:r w:rsidRPr="009535EF">
        <w:rPr>
          <w:i/>
          <w:sz w:val="22"/>
          <w:szCs w:val="22"/>
        </w:rPr>
        <w:t>Therapeutic Goods (</w:t>
      </w:r>
      <w:r w:rsidR="009C7E13">
        <w:rPr>
          <w:i/>
          <w:sz w:val="22"/>
          <w:szCs w:val="22"/>
        </w:rPr>
        <w:t>Information Specification</w:t>
      </w:r>
      <w:r w:rsidR="009C7E13" w:rsidRPr="00591DA8">
        <w:rPr>
          <w:i/>
          <w:iCs/>
        </w:rPr>
        <w:t>—</w:t>
      </w:r>
      <w:r w:rsidRPr="009535EF">
        <w:rPr>
          <w:i/>
          <w:sz w:val="22"/>
          <w:szCs w:val="22"/>
        </w:rPr>
        <w:t>Database of Adverse Event Notifications</w:t>
      </w:r>
      <w:r w:rsidR="009C7E13">
        <w:rPr>
          <w:i/>
          <w:sz w:val="22"/>
          <w:szCs w:val="22"/>
        </w:rPr>
        <w:t xml:space="preserve">) Instrument </w:t>
      </w:r>
      <w:r w:rsidRPr="009535EF">
        <w:rPr>
          <w:i/>
          <w:sz w:val="22"/>
          <w:szCs w:val="22"/>
        </w:rPr>
        <w:t>2023</w:t>
      </w:r>
      <w:r w:rsidRPr="009535EF">
        <w:rPr>
          <w:i/>
        </w:rPr>
        <w:t xml:space="preserve"> </w:t>
      </w:r>
      <w:r w:rsidRPr="009535EF">
        <w:rPr>
          <w:sz w:val="22"/>
          <w:szCs w:val="22"/>
        </w:rPr>
        <w:t xml:space="preserve">(“the </w:t>
      </w:r>
      <w:r w:rsidR="00EE70EA">
        <w:rPr>
          <w:color w:val="000000"/>
          <w:sz w:val="22"/>
          <w:szCs w:val="22"/>
          <w:shd w:val="clear" w:color="auto" w:fill="FFFFFF"/>
        </w:rPr>
        <w:t>Instrument</w:t>
      </w:r>
      <w:r w:rsidRPr="00B2546F">
        <w:rPr>
          <w:sz w:val="22"/>
          <w:szCs w:val="22"/>
        </w:rPr>
        <w:t xml:space="preserve">”) </w:t>
      </w:r>
      <w:r>
        <w:rPr>
          <w:color w:val="000000"/>
          <w:sz w:val="22"/>
          <w:szCs w:val="22"/>
          <w:shd w:val="clear" w:color="auto" w:fill="FFFFFF"/>
        </w:rPr>
        <w:t>is made under subsection 61(5D) of the Act for the purpose of specifying kinds of therapeutic goods information that the Secretary may release to the public under subsection 61(5C) of the Act.</w:t>
      </w:r>
      <w:r w:rsidR="00E4028D">
        <w:rPr>
          <w:color w:val="000000"/>
          <w:sz w:val="22"/>
          <w:szCs w:val="22"/>
          <w:shd w:val="clear" w:color="auto" w:fill="FFFFFF"/>
        </w:rPr>
        <w:t xml:space="preserve"> </w:t>
      </w:r>
      <w:r w:rsidR="00497061">
        <w:rPr>
          <w:color w:val="000000"/>
          <w:sz w:val="22"/>
          <w:szCs w:val="22"/>
          <w:shd w:val="clear" w:color="auto" w:fill="FFFFFF"/>
        </w:rPr>
        <w:t xml:space="preserve">The </w:t>
      </w:r>
      <w:r w:rsidR="00EE70EA">
        <w:rPr>
          <w:color w:val="000000"/>
          <w:sz w:val="22"/>
          <w:szCs w:val="22"/>
          <w:shd w:val="clear" w:color="auto" w:fill="FFFFFF"/>
        </w:rPr>
        <w:t xml:space="preserve">Instrument </w:t>
      </w:r>
      <w:proofErr w:type="spellStart"/>
      <w:r w:rsidR="00497061">
        <w:rPr>
          <w:color w:val="000000"/>
          <w:sz w:val="22"/>
          <w:szCs w:val="22"/>
          <w:shd w:val="clear" w:color="auto" w:fill="FFFFFF"/>
        </w:rPr>
        <w:t>authorises</w:t>
      </w:r>
      <w:proofErr w:type="spellEnd"/>
      <w:r w:rsidR="00497061">
        <w:rPr>
          <w:color w:val="000000"/>
          <w:sz w:val="22"/>
          <w:szCs w:val="22"/>
          <w:shd w:val="clear" w:color="auto" w:fill="FFFFFF"/>
        </w:rPr>
        <w:t xml:space="preserve"> the release of sp</w:t>
      </w:r>
      <w:r w:rsidR="00497061" w:rsidRPr="00954FDB">
        <w:rPr>
          <w:sz w:val="22"/>
          <w:szCs w:val="22"/>
          <w:shd w:val="clear" w:color="auto" w:fill="FFFFFF"/>
        </w:rPr>
        <w:t>ecified kinds of therapeutic goods information</w:t>
      </w:r>
      <w:r w:rsidR="00497061">
        <w:rPr>
          <w:sz w:val="22"/>
          <w:szCs w:val="22"/>
          <w:shd w:val="clear" w:color="auto" w:fill="FFFFFF"/>
        </w:rPr>
        <w:t>,</w:t>
      </w:r>
      <w:r w:rsidR="00497061" w:rsidRPr="00954FDB">
        <w:rPr>
          <w:sz w:val="22"/>
          <w:szCs w:val="22"/>
          <w:shd w:val="clear" w:color="auto" w:fill="FFFFFF"/>
        </w:rPr>
        <w:t xml:space="preserve"> relating to adverse events involving medicines</w:t>
      </w:r>
      <w:r w:rsidR="00497061">
        <w:rPr>
          <w:sz w:val="22"/>
          <w:szCs w:val="22"/>
          <w:shd w:val="clear" w:color="auto" w:fill="FFFFFF"/>
        </w:rPr>
        <w:t xml:space="preserve"> and</w:t>
      </w:r>
      <w:r w:rsidR="00497061" w:rsidRPr="00954FDB">
        <w:rPr>
          <w:sz w:val="22"/>
          <w:szCs w:val="22"/>
          <w:shd w:val="clear" w:color="auto" w:fill="FFFFFF"/>
        </w:rPr>
        <w:t xml:space="preserve"> biologicals,</w:t>
      </w:r>
      <w:r w:rsidR="00497061">
        <w:rPr>
          <w:sz w:val="22"/>
          <w:szCs w:val="22"/>
          <w:shd w:val="clear" w:color="auto" w:fill="FFFFFF"/>
        </w:rPr>
        <w:t xml:space="preserve"> from the Database of Adverse Event Notifications – Medicines (“DAEN – Medicines”). The </w:t>
      </w:r>
      <w:r w:rsidR="00EE70EA">
        <w:rPr>
          <w:color w:val="000000"/>
          <w:sz w:val="22"/>
          <w:szCs w:val="22"/>
          <w:shd w:val="clear" w:color="auto" w:fill="FFFFFF"/>
        </w:rPr>
        <w:t xml:space="preserve">Instrument </w:t>
      </w:r>
      <w:r w:rsidR="00497061">
        <w:rPr>
          <w:sz w:val="22"/>
          <w:szCs w:val="22"/>
          <w:shd w:val="clear" w:color="auto" w:fill="FFFFFF"/>
        </w:rPr>
        <w:t xml:space="preserve">also </w:t>
      </w:r>
      <w:proofErr w:type="spellStart"/>
      <w:r w:rsidR="00497061">
        <w:rPr>
          <w:sz w:val="22"/>
          <w:szCs w:val="22"/>
          <w:shd w:val="clear" w:color="auto" w:fill="FFFFFF"/>
        </w:rPr>
        <w:t>authorises</w:t>
      </w:r>
      <w:proofErr w:type="spellEnd"/>
      <w:r w:rsidR="00497061">
        <w:rPr>
          <w:sz w:val="22"/>
          <w:szCs w:val="22"/>
          <w:shd w:val="clear" w:color="auto" w:fill="FFFFFF"/>
        </w:rPr>
        <w:t xml:space="preserve"> the release of specified kinds of therapeutic goods information, relating to adverse events involving, and defects of, </w:t>
      </w:r>
      <w:r w:rsidR="00497061" w:rsidRPr="00954FDB">
        <w:rPr>
          <w:sz w:val="22"/>
          <w:szCs w:val="22"/>
          <w:shd w:val="clear" w:color="auto" w:fill="FFFFFF"/>
        </w:rPr>
        <w:t>medical devices and other therapeutic goods</w:t>
      </w:r>
      <w:r w:rsidR="00497061">
        <w:rPr>
          <w:sz w:val="22"/>
          <w:szCs w:val="22"/>
          <w:shd w:val="clear" w:color="auto" w:fill="FFFFFF"/>
        </w:rPr>
        <w:t xml:space="preserve"> (“OTGs”)</w:t>
      </w:r>
      <w:r w:rsidR="00497061" w:rsidRPr="00954FDB">
        <w:rPr>
          <w:sz w:val="22"/>
          <w:szCs w:val="22"/>
          <w:shd w:val="clear" w:color="auto" w:fill="FFFFFF"/>
        </w:rPr>
        <w:t xml:space="preserve">, </w:t>
      </w:r>
      <w:r w:rsidR="00497061">
        <w:rPr>
          <w:color w:val="000000"/>
          <w:sz w:val="22"/>
          <w:szCs w:val="22"/>
          <w:shd w:val="clear" w:color="auto" w:fill="FFFFFF"/>
        </w:rPr>
        <w:t>from the Database of Adverse Event Notifications</w:t>
      </w:r>
      <w:r w:rsidR="00497061">
        <w:rPr>
          <w:sz w:val="22"/>
          <w:szCs w:val="22"/>
          <w:shd w:val="clear" w:color="auto" w:fill="FFFFFF"/>
        </w:rPr>
        <w:t xml:space="preserve"> – </w:t>
      </w:r>
      <w:r w:rsidR="00497061">
        <w:rPr>
          <w:color w:val="000000"/>
          <w:sz w:val="22"/>
          <w:szCs w:val="22"/>
          <w:shd w:val="clear" w:color="auto" w:fill="FFFFFF"/>
        </w:rPr>
        <w:t>Medical Devices (“DAEN</w:t>
      </w:r>
      <w:r w:rsidR="00497061">
        <w:rPr>
          <w:sz w:val="22"/>
          <w:szCs w:val="22"/>
          <w:shd w:val="clear" w:color="auto" w:fill="FFFFFF"/>
        </w:rPr>
        <w:t xml:space="preserve"> – </w:t>
      </w:r>
      <w:r w:rsidR="00497061">
        <w:rPr>
          <w:color w:val="000000"/>
          <w:sz w:val="22"/>
          <w:szCs w:val="22"/>
          <w:shd w:val="clear" w:color="auto" w:fill="FFFFFF"/>
        </w:rPr>
        <w:t xml:space="preserve">Medical Devices”). </w:t>
      </w:r>
      <w:r w:rsidR="00A34BB1">
        <w:rPr>
          <w:color w:val="000000"/>
          <w:sz w:val="22"/>
          <w:szCs w:val="22"/>
          <w:shd w:val="clear" w:color="auto" w:fill="FFFFFF"/>
        </w:rPr>
        <w:t>The DAEN</w:t>
      </w:r>
      <w:r w:rsidR="00A34BB1">
        <w:rPr>
          <w:sz w:val="22"/>
          <w:szCs w:val="22"/>
          <w:shd w:val="clear" w:color="auto" w:fill="FFFFFF"/>
        </w:rPr>
        <w:t xml:space="preserve"> – </w:t>
      </w:r>
      <w:r w:rsidR="00A34BB1">
        <w:rPr>
          <w:color w:val="000000"/>
          <w:sz w:val="22"/>
          <w:szCs w:val="22"/>
          <w:shd w:val="clear" w:color="auto" w:fill="FFFFFF"/>
        </w:rPr>
        <w:t>Medicines and DAEN</w:t>
      </w:r>
      <w:r w:rsidR="00A34BB1">
        <w:rPr>
          <w:sz w:val="22"/>
          <w:szCs w:val="22"/>
          <w:shd w:val="clear" w:color="auto" w:fill="FFFFFF"/>
        </w:rPr>
        <w:t xml:space="preserve"> – </w:t>
      </w:r>
      <w:r w:rsidR="00A34BB1">
        <w:rPr>
          <w:color w:val="000000"/>
          <w:sz w:val="22"/>
          <w:szCs w:val="22"/>
          <w:shd w:val="clear" w:color="auto" w:fill="FFFFFF"/>
        </w:rPr>
        <w:t>Medical Devices are publicly available databases, maintained by the TGA.</w:t>
      </w:r>
    </w:p>
    <w:p w14:paraId="5BAFA4A2" w14:textId="1648CC0F" w:rsidR="00A34BB1" w:rsidRDefault="00A34BB1" w:rsidP="00A34BB1">
      <w:pPr>
        <w:spacing w:before="0" w:after="0"/>
        <w:rPr>
          <w:sz w:val="22"/>
          <w:szCs w:val="22"/>
          <w:shd w:val="clear" w:color="auto" w:fill="FFFFFF"/>
        </w:rPr>
      </w:pPr>
    </w:p>
    <w:p w14:paraId="1ADB19ED" w14:textId="2D7B9CFB" w:rsidR="00497061" w:rsidRDefault="00497061" w:rsidP="00497061">
      <w:pPr>
        <w:spacing w:before="0" w:after="0"/>
        <w:rPr>
          <w:color w:val="000000"/>
          <w:sz w:val="22"/>
          <w:szCs w:val="22"/>
          <w:shd w:val="clear" w:color="auto" w:fill="FFFFFF"/>
        </w:rPr>
      </w:pPr>
      <w:r>
        <w:rPr>
          <w:color w:val="000000"/>
          <w:sz w:val="22"/>
          <w:szCs w:val="22"/>
          <w:shd w:val="clear" w:color="auto" w:fill="FFFFFF"/>
        </w:rPr>
        <w:t xml:space="preserve">The </w:t>
      </w:r>
      <w:r w:rsidR="00EE70EA">
        <w:rPr>
          <w:color w:val="000000"/>
          <w:sz w:val="22"/>
          <w:szCs w:val="22"/>
          <w:shd w:val="clear" w:color="auto" w:fill="FFFFFF"/>
        </w:rPr>
        <w:t xml:space="preserve">Instrument </w:t>
      </w:r>
      <w:r>
        <w:rPr>
          <w:color w:val="000000"/>
          <w:sz w:val="22"/>
          <w:szCs w:val="22"/>
          <w:shd w:val="clear" w:color="auto" w:fill="FFFFFF"/>
        </w:rPr>
        <w:t>repeals the following two instruments (</w:t>
      </w:r>
      <w:r w:rsidRPr="00591DA8">
        <w:rPr>
          <w:color w:val="000000"/>
          <w:sz w:val="22"/>
          <w:szCs w:val="22"/>
          <w:shd w:val="clear" w:color="auto" w:fill="FFFFFF"/>
        </w:rPr>
        <w:t>collectively known as “the former Specifications”)</w:t>
      </w:r>
      <w:r>
        <w:rPr>
          <w:color w:val="000000"/>
          <w:sz w:val="22"/>
          <w:szCs w:val="22"/>
          <w:shd w:val="clear" w:color="auto" w:fill="FFFFFF"/>
        </w:rPr>
        <w:t xml:space="preserve"> and replaces them with a single instrument dealing with adverse event notifications for all therapeutic goods:</w:t>
      </w:r>
    </w:p>
    <w:p w14:paraId="627E52DE" w14:textId="77777777" w:rsidR="00497061" w:rsidRPr="00983AA4" w:rsidRDefault="00497061" w:rsidP="00497061">
      <w:pPr>
        <w:pStyle w:val="ListParagraph"/>
        <w:numPr>
          <w:ilvl w:val="0"/>
          <w:numId w:val="8"/>
        </w:numPr>
        <w:spacing w:before="0" w:after="0"/>
        <w:rPr>
          <w:color w:val="000000"/>
          <w:sz w:val="22"/>
          <w:szCs w:val="22"/>
          <w:shd w:val="clear" w:color="auto" w:fill="FFFFFF"/>
        </w:rPr>
      </w:pPr>
      <w:r w:rsidRPr="00591DA8">
        <w:rPr>
          <w:color w:val="000000"/>
          <w:sz w:val="22"/>
          <w:szCs w:val="22"/>
          <w:shd w:val="clear" w:color="auto" w:fill="FFFFFF"/>
        </w:rPr>
        <w:t xml:space="preserve">the </w:t>
      </w:r>
      <w:r w:rsidRPr="00591DA8">
        <w:rPr>
          <w:i/>
          <w:iCs/>
          <w:color w:val="000000"/>
          <w:sz w:val="22"/>
          <w:szCs w:val="22"/>
          <w:shd w:val="clear" w:color="auto" w:fill="FFFFFF"/>
        </w:rPr>
        <w:t>Therapeutic Goods Information (Adverse Event Notifications</w:t>
      </w:r>
      <w:r>
        <w:rPr>
          <w:i/>
          <w:iCs/>
          <w:color w:val="000000"/>
          <w:sz w:val="22"/>
          <w:szCs w:val="22"/>
          <w:shd w:val="clear" w:color="auto" w:fill="FFFFFF"/>
        </w:rPr>
        <w:t xml:space="preserve"> – </w:t>
      </w:r>
      <w:r w:rsidRPr="00591DA8">
        <w:rPr>
          <w:i/>
          <w:iCs/>
          <w:color w:val="000000"/>
          <w:sz w:val="22"/>
          <w:szCs w:val="22"/>
          <w:shd w:val="clear" w:color="auto" w:fill="FFFFFF"/>
        </w:rPr>
        <w:t>Medical Devices) Specification 2013</w:t>
      </w:r>
      <w:r w:rsidRPr="00591DA8">
        <w:rPr>
          <w:color w:val="000000"/>
          <w:sz w:val="22"/>
          <w:szCs w:val="22"/>
          <w:shd w:val="clear" w:color="auto" w:fill="FFFFFF"/>
        </w:rPr>
        <w:t> (“the</w:t>
      </w:r>
      <w:r>
        <w:rPr>
          <w:color w:val="000000"/>
          <w:sz w:val="22"/>
          <w:szCs w:val="22"/>
          <w:shd w:val="clear" w:color="auto" w:fill="FFFFFF"/>
        </w:rPr>
        <w:t xml:space="preserve"> former </w:t>
      </w:r>
      <w:r w:rsidRPr="00591DA8">
        <w:rPr>
          <w:color w:val="000000"/>
          <w:sz w:val="22"/>
          <w:szCs w:val="22"/>
          <w:shd w:val="clear" w:color="auto" w:fill="FFFFFF"/>
        </w:rPr>
        <w:t>DAEN</w:t>
      </w:r>
      <w:r>
        <w:rPr>
          <w:sz w:val="22"/>
          <w:szCs w:val="22"/>
          <w:shd w:val="clear" w:color="auto" w:fill="FFFFFF"/>
        </w:rPr>
        <w:t xml:space="preserve"> – </w:t>
      </w:r>
      <w:r w:rsidRPr="00591DA8">
        <w:rPr>
          <w:color w:val="000000"/>
          <w:sz w:val="22"/>
          <w:szCs w:val="22"/>
          <w:shd w:val="clear" w:color="auto" w:fill="FFFFFF"/>
        </w:rPr>
        <w:t>Medical Devices Specification”)</w:t>
      </w:r>
      <w:r>
        <w:rPr>
          <w:color w:val="000000"/>
          <w:sz w:val="22"/>
          <w:szCs w:val="22"/>
          <w:shd w:val="clear" w:color="auto" w:fill="FFFFFF"/>
        </w:rPr>
        <w:t xml:space="preserve">, which would </w:t>
      </w:r>
      <w:proofErr w:type="gramStart"/>
      <w:r>
        <w:rPr>
          <w:color w:val="000000"/>
          <w:sz w:val="22"/>
          <w:szCs w:val="22"/>
          <w:shd w:val="clear" w:color="auto" w:fill="FFFFFF"/>
        </w:rPr>
        <w:t>otherwise</w:t>
      </w:r>
      <w:proofErr w:type="gramEnd"/>
      <w:r>
        <w:rPr>
          <w:color w:val="000000"/>
          <w:sz w:val="22"/>
          <w:szCs w:val="22"/>
          <w:shd w:val="clear" w:color="auto" w:fill="FFFFFF"/>
        </w:rPr>
        <w:t xml:space="preserve"> sunset on 1 October 2023</w:t>
      </w:r>
      <w:r w:rsidRPr="00591DA8">
        <w:rPr>
          <w:color w:val="000000"/>
          <w:sz w:val="22"/>
          <w:szCs w:val="22"/>
          <w:shd w:val="clear" w:color="auto" w:fill="FFFFFF"/>
        </w:rPr>
        <w:t>; and</w:t>
      </w:r>
    </w:p>
    <w:p w14:paraId="233E0137" w14:textId="77777777" w:rsidR="00497061" w:rsidRDefault="00497061" w:rsidP="00497061">
      <w:pPr>
        <w:pStyle w:val="ListParagraph"/>
        <w:numPr>
          <w:ilvl w:val="0"/>
          <w:numId w:val="8"/>
        </w:numPr>
        <w:spacing w:before="0" w:after="0"/>
        <w:rPr>
          <w:color w:val="000000"/>
          <w:sz w:val="22"/>
          <w:szCs w:val="22"/>
          <w:shd w:val="clear" w:color="auto" w:fill="FFFFFF"/>
        </w:rPr>
      </w:pPr>
      <w:r w:rsidRPr="007111A5">
        <w:rPr>
          <w:sz w:val="22"/>
          <w:szCs w:val="22"/>
        </w:rPr>
        <w:t xml:space="preserve">the </w:t>
      </w:r>
      <w:r w:rsidRPr="007111A5">
        <w:rPr>
          <w:i/>
          <w:iCs/>
          <w:sz w:val="22"/>
          <w:szCs w:val="22"/>
        </w:rPr>
        <w:t xml:space="preserve">Therapeutic Goods (Database of Adverse Event Notifications) (Information) Specification 2022 </w:t>
      </w:r>
      <w:r w:rsidRPr="007111A5">
        <w:rPr>
          <w:color w:val="000000"/>
          <w:sz w:val="22"/>
          <w:szCs w:val="22"/>
          <w:shd w:val="clear" w:color="auto" w:fill="FFFFFF"/>
        </w:rPr>
        <w:t xml:space="preserve">(“the </w:t>
      </w:r>
      <w:r>
        <w:rPr>
          <w:color w:val="000000"/>
          <w:sz w:val="22"/>
          <w:szCs w:val="22"/>
          <w:shd w:val="clear" w:color="auto" w:fill="FFFFFF"/>
        </w:rPr>
        <w:t xml:space="preserve">former </w:t>
      </w:r>
      <w:r w:rsidRPr="007111A5">
        <w:rPr>
          <w:color w:val="000000"/>
          <w:sz w:val="22"/>
          <w:szCs w:val="22"/>
          <w:shd w:val="clear" w:color="auto" w:fill="FFFFFF"/>
        </w:rPr>
        <w:t>DAEN</w:t>
      </w:r>
      <w:r w:rsidRPr="007111A5">
        <w:rPr>
          <w:sz w:val="22"/>
          <w:szCs w:val="22"/>
          <w:shd w:val="clear" w:color="auto" w:fill="FFFFFF"/>
        </w:rPr>
        <w:t xml:space="preserve"> – </w:t>
      </w:r>
      <w:r w:rsidRPr="007111A5">
        <w:rPr>
          <w:color w:val="000000"/>
          <w:sz w:val="22"/>
          <w:szCs w:val="22"/>
          <w:shd w:val="clear" w:color="auto" w:fill="FFFFFF"/>
        </w:rPr>
        <w:t>Medicines Specification”)</w:t>
      </w:r>
      <w:r>
        <w:rPr>
          <w:color w:val="000000"/>
          <w:sz w:val="22"/>
          <w:szCs w:val="22"/>
          <w:shd w:val="clear" w:color="auto" w:fill="FFFFFF"/>
        </w:rPr>
        <w:t>.</w:t>
      </w:r>
    </w:p>
    <w:p w14:paraId="6BB1C4A9" w14:textId="77777777" w:rsidR="00A34BB1" w:rsidRDefault="00A34BB1" w:rsidP="00A34BB1">
      <w:pPr>
        <w:spacing w:before="0" w:after="0"/>
        <w:rPr>
          <w:color w:val="000000"/>
          <w:sz w:val="22"/>
          <w:szCs w:val="22"/>
          <w:shd w:val="clear" w:color="auto" w:fill="FFFFFF"/>
        </w:rPr>
      </w:pPr>
    </w:p>
    <w:p w14:paraId="460AA035" w14:textId="77777777" w:rsidR="00497061" w:rsidRPr="00B2546F" w:rsidRDefault="00497061" w:rsidP="00497061">
      <w:pPr>
        <w:spacing w:before="0" w:after="0"/>
        <w:rPr>
          <w:b/>
          <w:bCs/>
          <w:sz w:val="22"/>
          <w:szCs w:val="22"/>
        </w:rPr>
      </w:pPr>
      <w:r w:rsidRPr="00B2546F">
        <w:rPr>
          <w:b/>
          <w:bCs/>
          <w:sz w:val="22"/>
          <w:szCs w:val="22"/>
        </w:rPr>
        <w:t>Background</w:t>
      </w:r>
    </w:p>
    <w:p w14:paraId="20B0FCB4" w14:textId="77777777" w:rsidR="00497061" w:rsidRDefault="00497061" w:rsidP="00497061">
      <w:pPr>
        <w:spacing w:before="0" w:after="0"/>
        <w:rPr>
          <w:sz w:val="22"/>
          <w:szCs w:val="22"/>
        </w:rPr>
      </w:pPr>
    </w:p>
    <w:p w14:paraId="40DB4B00" w14:textId="77777777" w:rsidR="00497061" w:rsidRDefault="00497061" w:rsidP="00497061">
      <w:pPr>
        <w:spacing w:before="0" w:after="0"/>
        <w:rPr>
          <w:i/>
          <w:iCs/>
          <w:sz w:val="22"/>
          <w:szCs w:val="22"/>
        </w:rPr>
      </w:pPr>
      <w:r>
        <w:rPr>
          <w:i/>
          <w:iCs/>
          <w:sz w:val="22"/>
          <w:szCs w:val="22"/>
        </w:rPr>
        <w:t>Adverse events</w:t>
      </w:r>
    </w:p>
    <w:p w14:paraId="37D90F06" w14:textId="77777777" w:rsidR="00497061" w:rsidRPr="002B7D09" w:rsidRDefault="00497061" w:rsidP="00497061">
      <w:pPr>
        <w:spacing w:before="0" w:after="0"/>
        <w:rPr>
          <w:i/>
          <w:iCs/>
          <w:sz w:val="22"/>
          <w:szCs w:val="22"/>
        </w:rPr>
      </w:pPr>
    </w:p>
    <w:p w14:paraId="1D2232B9" w14:textId="77777777" w:rsidR="00497061" w:rsidRDefault="00497061" w:rsidP="00497061">
      <w:pPr>
        <w:spacing w:before="0" w:after="0"/>
        <w:rPr>
          <w:sz w:val="22"/>
          <w:szCs w:val="22"/>
        </w:rPr>
      </w:pPr>
      <w:r w:rsidRPr="0079329E">
        <w:rPr>
          <w:sz w:val="22"/>
          <w:szCs w:val="22"/>
        </w:rPr>
        <w:t>Adverse events</w:t>
      </w:r>
      <w:r>
        <w:rPr>
          <w:sz w:val="22"/>
          <w:szCs w:val="22"/>
        </w:rPr>
        <w:t xml:space="preserve"> </w:t>
      </w:r>
      <w:r w:rsidRPr="0079329E">
        <w:rPr>
          <w:sz w:val="22"/>
          <w:szCs w:val="22"/>
        </w:rPr>
        <w:t>are</w:t>
      </w:r>
      <w:r>
        <w:rPr>
          <w:sz w:val="22"/>
          <w:szCs w:val="22"/>
        </w:rPr>
        <w:t>, in practice, principally</w:t>
      </w:r>
      <w:r w:rsidRPr="0079329E">
        <w:rPr>
          <w:sz w:val="22"/>
          <w:szCs w:val="22"/>
        </w:rPr>
        <w:t xml:space="preserve"> unintended and sometimes harmful occurrences associated with the </w:t>
      </w:r>
      <w:r>
        <w:rPr>
          <w:sz w:val="22"/>
          <w:szCs w:val="22"/>
        </w:rPr>
        <w:t>administration</w:t>
      </w:r>
      <w:r w:rsidRPr="0079329E">
        <w:rPr>
          <w:sz w:val="22"/>
          <w:szCs w:val="22"/>
        </w:rPr>
        <w:t xml:space="preserve"> </w:t>
      </w:r>
      <w:r>
        <w:rPr>
          <w:sz w:val="22"/>
          <w:szCs w:val="22"/>
        </w:rPr>
        <w:t xml:space="preserve">or use </w:t>
      </w:r>
      <w:r w:rsidRPr="0079329E">
        <w:rPr>
          <w:sz w:val="22"/>
          <w:szCs w:val="22"/>
        </w:rPr>
        <w:t xml:space="preserve">of </w:t>
      </w:r>
      <w:r>
        <w:rPr>
          <w:sz w:val="22"/>
          <w:szCs w:val="22"/>
        </w:rPr>
        <w:t>therapeutic goods</w:t>
      </w:r>
      <w:r w:rsidRPr="0079329E">
        <w:rPr>
          <w:sz w:val="22"/>
          <w:szCs w:val="22"/>
        </w:rPr>
        <w:t xml:space="preserve">. </w:t>
      </w:r>
      <w:r>
        <w:rPr>
          <w:sz w:val="22"/>
          <w:szCs w:val="22"/>
        </w:rPr>
        <w:t>In some instances, t</w:t>
      </w:r>
      <w:r w:rsidRPr="0079329E">
        <w:rPr>
          <w:sz w:val="22"/>
          <w:szCs w:val="22"/>
        </w:rPr>
        <w:t xml:space="preserve">he therapeutic good may have caused the event, </w:t>
      </w:r>
      <w:r>
        <w:rPr>
          <w:sz w:val="22"/>
          <w:szCs w:val="22"/>
        </w:rPr>
        <w:t>and</w:t>
      </w:r>
      <w:r w:rsidRPr="0079329E">
        <w:rPr>
          <w:sz w:val="22"/>
          <w:szCs w:val="22"/>
        </w:rPr>
        <w:t xml:space="preserve"> </w:t>
      </w:r>
      <w:r>
        <w:rPr>
          <w:sz w:val="22"/>
          <w:szCs w:val="22"/>
        </w:rPr>
        <w:t xml:space="preserve">there may be other instances where the use of the therapeutic good </w:t>
      </w:r>
      <w:r w:rsidRPr="0079329E">
        <w:rPr>
          <w:sz w:val="22"/>
          <w:szCs w:val="22"/>
        </w:rPr>
        <w:t xml:space="preserve">may </w:t>
      </w:r>
      <w:r>
        <w:rPr>
          <w:sz w:val="22"/>
          <w:szCs w:val="22"/>
        </w:rPr>
        <w:t xml:space="preserve">have </w:t>
      </w:r>
      <w:r w:rsidRPr="0079329E">
        <w:rPr>
          <w:sz w:val="22"/>
          <w:szCs w:val="22"/>
        </w:rPr>
        <w:t>be</w:t>
      </w:r>
      <w:r>
        <w:rPr>
          <w:sz w:val="22"/>
          <w:szCs w:val="22"/>
        </w:rPr>
        <w:t>en</w:t>
      </w:r>
      <w:r w:rsidRPr="0079329E">
        <w:rPr>
          <w:sz w:val="22"/>
          <w:szCs w:val="22"/>
        </w:rPr>
        <w:t xml:space="preserve"> a coincidence </w:t>
      </w:r>
      <w:r>
        <w:rPr>
          <w:sz w:val="22"/>
          <w:szCs w:val="22"/>
        </w:rPr>
        <w:t>rather than a cause of</w:t>
      </w:r>
      <w:r w:rsidRPr="0079329E">
        <w:rPr>
          <w:sz w:val="22"/>
          <w:szCs w:val="22"/>
        </w:rPr>
        <w:t xml:space="preserve"> the </w:t>
      </w:r>
      <w:r>
        <w:rPr>
          <w:sz w:val="22"/>
          <w:szCs w:val="22"/>
        </w:rPr>
        <w:t xml:space="preserve">adverse </w:t>
      </w:r>
      <w:r w:rsidRPr="0079329E">
        <w:rPr>
          <w:sz w:val="22"/>
          <w:szCs w:val="22"/>
        </w:rPr>
        <w:t>event.</w:t>
      </w:r>
      <w:r>
        <w:rPr>
          <w:sz w:val="22"/>
          <w:szCs w:val="22"/>
        </w:rPr>
        <w:t xml:space="preserve"> </w:t>
      </w:r>
      <w:r w:rsidRPr="0079329E">
        <w:rPr>
          <w:sz w:val="22"/>
          <w:szCs w:val="22"/>
        </w:rPr>
        <w:t xml:space="preserve">Adverse events </w:t>
      </w:r>
      <w:r>
        <w:rPr>
          <w:sz w:val="22"/>
          <w:szCs w:val="22"/>
        </w:rPr>
        <w:t>in this context may</w:t>
      </w:r>
      <w:r w:rsidRPr="0079329E">
        <w:rPr>
          <w:sz w:val="22"/>
          <w:szCs w:val="22"/>
        </w:rPr>
        <w:t xml:space="preserve"> range in severity from mild, expected reactions </w:t>
      </w:r>
      <w:r>
        <w:rPr>
          <w:sz w:val="22"/>
          <w:szCs w:val="22"/>
        </w:rPr>
        <w:t>(</w:t>
      </w:r>
      <w:r w:rsidRPr="0079329E">
        <w:rPr>
          <w:sz w:val="22"/>
          <w:szCs w:val="22"/>
        </w:rPr>
        <w:t xml:space="preserve">such as headache, </w:t>
      </w:r>
      <w:proofErr w:type="gramStart"/>
      <w:r w:rsidRPr="0079329E">
        <w:rPr>
          <w:sz w:val="22"/>
          <w:szCs w:val="22"/>
        </w:rPr>
        <w:t>nausea</w:t>
      </w:r>
      <w:proofErr w:type="gramEnd"/>
      <w:r w:rsidRPr="0079329E">
        <w:rPr>
          <w:sz w:val="22"/>
          <w:szCs w:val="22"/>
        </w:rPr>
        <w:t xml:space="preserve"> and body aches</w:t>
      </w:r>
      <w:r>
        <w:rPr>
          <w:sz w:val="22"/>
          <w:szCs w:val="22"/>
        </w:rPr>
        <w:t>)</w:t>
      </w:r>
      <w:r w:rsidRPr="0079329E">
        <w:rPr>
          <w:sz w:val="22"/>
          <w:szCs w:val="22"/>
        </w:rPr>
        <w:t xml:space="preserve"> to more severe events</w:t>
      </w:r>
      <w:r>
        <w:rPr>
          <w:sz w:val="22"/>
          <w:szCs w:val="22"/>
        </w:rPr>
        <w:t>,</w:t>
      </w:r>
      <w:r w:rsidRPr="0079329E">
        <w:rPr>
          <w:sz w:val="22"/>
          <w:szCs w:val="22"/>
        </w:rPr>
        <w:t xml:space="preserve"> </w:t>
      </w:r>
      <w:r>
        <w:rPr>
          <w:sz w:val="22"/>
          <w:szCs w:val="22"/>
        </w:rPr>
        <w:t>including</w:t>
      </w:r>
      <w:r w:rsidRPr="0079329E">
        <w:rPr>
          <w:sz w:val="22"/>
          <w:szCs w:val="22"/>
        </w:rPr>
        <w:t xml:space="preserve"> </w:t>
      </w:r>
      <w:r>
        <w:rPr>
          <w:sz w:val="22"/>
          <w:szCs w:val="22"/>
        </w:rPr>
        <w:t xml:space="preserve">death. </w:t>
      </w:r>
      <w:r w:rsidRPr="00D6228C">
        <w:rPr>
          <w:sz w:val="22"/>
          <w:szCs w:val="22"/>
        </w:rPr>
        <w:t>The TGA uses reports of adverse events to monitor the safety of</w:t>
      </w:r>
      <w:r>
        <w:rPr>
          <w:sz w:val="22"/>
          <w:szCs w:val="22"/>
        </w:rPr>
        <w:t xml:space="preserve"> therapeutic goods and, where possible, to identify safety signals that may be investigated and used to alert patients, health practitioners and the public about </w:t>
      </w:r>
      <w:proofErr w:type="gramStart"/>
      <w:r>
        <w:rPr>
          <w:sz w:val="22"/>
          <w:szCs w:val="22"/>
        </w:rPr>
        <w:t>particular risks</w:t>
      </w:r>
      <w:proofErr w:type="gramEnd"/>
      <w:r>
        <w:rPr>
          <w:sz w:val="22"/>
          <w:szCs w:val="22"/>
        </w:rPr>
        <w:t>.</w:t>
      </w:r>
    </w:p>
    <w:p w14:paraId="44009901" w14:textId="77777777" w:rsidR="00497061" w:rsidRDefault="00497061" w:rsidP="00497061">
      <w:pPr>
        <w:spacing w:before="0" w:after="0"/>
        <w:rPr>
          <w:sz w:val="22"/>
          <w:szCs w:val="22"/>
        </w:rPr>
      </w:pPr>
    </w:p>
    <w:p w14:paraId="65FAA53C" w14:textId="26F78A45" w:rsidR="00497061" w:rsidRDefault="00497061" w:rsidP="00497061">
      <w:pPr>
        <w:spacing w:before="0" w:after="0"/>
        <w:rPr>
          <w:sz w:val="22"/>
          <w:szCs w:val="22"/>
        </w:rPr>
      </w:pPr>
      <w:r>
        <w:rPr>
          <w:sz w:val="22"/>
          <w:szCs w:val="22"/>
        </w:rPr>
        <w:lastRenderedPageBreak/>
        <w:t xml:space="preserve">An adverse event in the context of a medical device or OTG is an event that has led, or might have led, to the death of, serious injury to, or serious deterioration in the health of, a person, following the use of a medical device or OTG. This may include a life-threatening illness or injury, permanent impairment of a body function, permanent damage to a body structure or a </w:t>
      </w:r>
      <w:r w:rsidRPr="00ED2E61">
        <w:rPr>
          <w:sz w:val="22"/>
          <w:szCs w:val="22"/>
        </w:rPr>
        <w:t>condition necessitating medical or surgical intervention to prevent permanent impairment of a body function or permanent damage to a body structure</w:t>
      </w:r>
      <w:r>
        <w:rPr>
          <w:sz w:val="22"/>
          <w:szCs w:val="22"/>
        </w:rPr>
        <w:t>.</w:t>
      </w:r>
    </w:p>
    <w:p w14:paraId="5BA1E1E3" w14:textId="77777777" w:rsidR="00497061" w:rsidRDefault="00497061" w:rsidP="00497061">
      <w:pPr>
        <w:spacing w:before="0" w:after="0"/>
        <w:rPr>
          <w:sz w:val="22"/>
          <w:szCs w:val="22"/>
        </w:rPr>
      </w:pPr>
    </w:p>
    <w:p w14:paraId="6C639B4D" w14:textId="44C3FAF1" w:rsidR="00497061" w:rsidRDefault="00497061" w:rsidP="00497061">
      <w:pPr>
        <w:spacing w:before="0" w:after="0"/>
        <w:rPr>
          <w:sz w:val="22"/>
          <w:szCs w:val="22"/>
        </w:rPr>
      </w:pPr>
      <w:r>
        <w:rPr>
          <w:sz w:val="22"/>
          <w:szCs w:val="22"/>
        </w:rPr>
        <w:t xml:space="preserve">In relation to adverse events that might have led to death, serious injury or serious deterioration in the health of a person, it may be that, due to the timely intervention of a healthcare practitioner, none of these outcomes eventuated. </w:t>
      </w:r>
      <w:r w:rsidRPr="00983AA4">
        <w:rPr>
          <w:sz w:val="22"/>
          <w:szCs w:val="22"/>
        </w:rPr>
        <w:t>In addition</w:t>
      </w:r>
      <w:r>
        <w:rPr>
          <w:sz w:val="22"/>
          <w:szCs w:val="22"/>
        </w:rPr>
        <w:t>, a defect in a medical device or OTG might have led to death, serious injury or serious deterioration in the health of a person. A defect is any malfunction or deterioration in the characteristics or performance of the medical device or OTG, or any inadequacy in the design, production, labelling, instructions for use or advertising materials of the medical device or OTG, that might lead, or might have led, to the death of, a serious injury to, or serious deterioration in, the health of a person.</w:t>
      </w:r>
    </w:p>
    <w:p w14:paraId="4449D102" w14:textId="77777777" w:rsidR="00497061" w:rsidRPr="001F6F5D" w:rsidRDefault="00497061" w:rsidP="00497061">
      <w:pPr>
        <w:spacing w:before="0" w:after="0"/>
        <w:rPr>
          <w:sz w:val="22"/>
          <w:szCs w:val="22"/>
        </w:rPr>
      </w:pPr>
    </w:p>
    <w:p w14:paraId="5EE41344" w14:textId="77777777" w:rsidR="00497061" w:rsidRPr="009C7E13" w:rsidRDefault="00497061" w:rsidP="00497061">
      <w:pPr>
        <w:spacing w:before="0" w:after="0"/>
        <w:rPr>
          <w:i/>
          <w:iCs/>
          <w:sz w:val="22"/>
          <w:szCs w:val="22"/>
        </w:rPr>
      </w:pPr>
      <w:r w:rsidRPr="009C7E13">
        <w:rPr>
          <w:i/>
          <w:iCs/>
          <w:sz w:val="22"/>
          <w:szCs w:val="22"/>
        </w:rPr>
        <w:t>The DAEN</w:t>
      </w:r>
      <w:r w:rsidRPr="009C7E13">
        <w:rPr>
          <w:i/>
          <w:iCs/>
          <w:sz w:val="22"/>
          <w:szCs w:val="22"/>
          <w:shd w:val="clear" w:color="auto" w:fill="FFFFFF"/>
        </w:rPr>
        <w:t xml:space="preserve"> – </w:t>
      </w:r>
      <w:r w:rsidRPr="009C7E13">
        <w:rPr>
          <w:i/>
          <w:iCs/>
          <w:sz w:val="22"/>
          <w:szCs w:val="22"/>
        </w:rPr>
        <w:t>Medical Devices and DAEN</w:t>
      </w:r>
      <w:r w:rsidRPr="009C7E13">
        <w:rPr>
          <w:i/>
          <w:iCs/>
          <w:sz w:val="22"/>
          <w:szCs w:val="22"/>
          <w:shd w:val="clear" w:color="auto" w:fill="FFFFFF"/>
        </w:rPr>
        <w:t xml:space="preserve"> – </w:t>
      </w:r>
      <w:r w:rsidRPr="009C7E13">
        <w:rPr>
          <w:i/>
          <w:iCs/>
          <w:sz w:val="22"/>
          <w:szCs w:val="22"/>
        </w:rPr>
        <w:t>Medicines</w:t>
      </w:r>
    </w:p>
    <w:p w14:paraId="6EC3F3DD" w14:textId="77777777" w:rsidR="00497061" w:rsidRPr="002B7D09" w:rsidRDefault="00497061" w:rsidP="00497061">
      <w:pPr>
        <w:spacing w:before="0" w:after="0"/>
        <w:rPr>
          <w:i/>
          <w:iCs/>
          <w:sz w:val="22"/>
          <w:szCs w:val="22"/>
        </w:rPr>
      </w:pPr>
    </w:p>
    <w:p w14:paraId="6E6F4F28" w14:textId="0905AAAB" w:rsidR="00497061" w:rsidRPr="009751E3" w:rsidRDefault="00497061" w:rsidP="00497061">
      <w:pPr>
        <w:spacing w:before="0" w:after="0"/>
        <w:rPr>
          <w:sz w:val="22"/>
          <w:szCs w:val="22"/>
        </w:rPr>
      </w:pPr>
      <w:r w:rsidRPr="00D8089C">
        <w:rPr>
          <w:sz w:val="22"/>
          <w:szCs w:val="22"/>
        </w:rPr>
        <w:t>Th</w:t>
      </w:r>
      <w:r>
        <w:rPr>
          <w:sz w:val="22"/>
          <w:szCs w:val="22"/>
        </w:rPr>
        <w:t>e DAEN – Medicines and DAEN</w:t>
      </w:r>
      <w:r>
        <w:rPr>
          <w:sz w:val="22"/>
          <w:szCs w:val="22"/>
          <w:shd w:val="clear" w:color="auto" w:fill="FFFFFF"/>
        </w:rPr>
        <w:t xml:space="preserve"> – </w:t>
      </w:r>
      <w:r>
        <w:rPr>
          <w:sz w:val="22"/>
          <w:szCs w:val="22"/>
        </w:rPr>
        <w:t>Medical Devices are</w:t>
      </w:r>
      <w:r w:rsidRPr="00D8089C">
        <w:rPr>
          <w:sz w:val="22"/>
          <w:szCs w:val="22"/>
        </w:rPr>
        <w:t xml:space="preserve"> an essential component of the TGA’s work to maintain </w:t>
      </w:r>
      <w:r>
        <w:rPr>
          <w:sz w:val="22"/>
          <w:szCs w:val="22"/>
        </w:rPr>
        <w:t xml:space="preserve">the </w:t>
      </w:r>
      <w:r w:rsidRPr="00D8089C">
        <w:rPr>
          <w:sz w:val="22"/>
          <w:szCs w:val="22"/>
        </w:rPr>
        <w:t xml:space="preserve">transparency of adverse event </w:t>
      </w:r>
      <w:r>
        <w:rPr>
          <w:sz w:val="22"/>
          <w:szCs w:val="22"/>
        </w:rPr>
        <w:t xml:space="preserve">and defect </w:t>
      </w:r>
      <w:r w:rsidRPr="00D8089C">
        <w:rPr>
          <w:sz w:val="22"/>
          <w:szCs w:val="22"/>
        </w:rPr>
        <w:t>information</w:t>
      </w:r>
      <w:r>
        <w:rPr>
          <w:sz w:val="22"/>
          <w:szCs w:val="22"/>
        </w:rPr>
        <w:t xml:space="preserve"> relating to the administration or use of therapeutic goods in Australia. These databases are accessed daily by the public and there is a high level of community interest and focus on adverse event information, and importance in ensuring public access to it. These databases also support research and analysis relating to therapeutic goods adverse events, which may in turn inform and provide insights to improve future regulation to prevent and better address such </w:t>
      </w:r>
      <w:r w:rsidRPr="00E56351">
        <w:rPr>
          <w:sz w:val="22"/>
          <w:szCs w:val="22"/>
        </w:rPr>
        <w:t>events.</w:t>
      </w:r>
    </w:p>
    <w:p w14:paraId="3F3CA4B2" w14:textId="77777777" w:rsidR="00497061" w:rsidRPr="00E56351" w:rsidRDefault="00497061" w:rsidP="00497061">
      <w:pPr>
        <w:spacing w:before="0" w:after="0"/>
        <w:rPr>
          <w:sz w:val="22"/>
          <w:szCs w:val="22"/>
        </w:rPr>
      </w:pPr>
    </w:p>
    <w:p w14:paraId="1487218D" w14:textId="7ADCF3C8" w:rsidR="00497061" w:rsidRDefault="00497061" w:rsidP="00497061">
      <w:pPr>
        <w:spacing w:before="0" w:after="0"/>
        <w:rPr>
          <w:sz w:val="22"/>
          <w:szCs w:val="22"/>
        </w:rPr>
      </w:pPr>
      <w:r w:rsidRPr="00E56351">
        <w:rPr>
          <w:sz w:val="22"/>
          <w:szCs w:val="22"/>
        </w:rPr>
        <w:t>Members of the public including</w:t>
      </w:r>
      <w:proofErr w:type="gramStart"/>
      <w:r w:rsidRPr="00E56351">
        <w:rPr>
          <w:sz w:val="22"/>
          <w:szCs w:val="22"/>
        </w:rPr>
        <w:t>, in particular, consumers</w:t>
      </w:r>
      <w:proofErr w:type="gramEnd"/>
      <w:r w:rsidRPr="004A3F46">
        <w:rPr>
          <w:sz w:val="22"/>
          <w:szCs w:val="22"/>
        </w:rPr>
        <w:t>, health pr</w:t>
      </w:r>
      <w:r>
        <w:rPr>
          <w:sz w:val="22"/>
          <w:szCs w:val="22"/>
        </w:rPr>
        <w:t>actitioners,</w:t>
      </w:r>
      <w:r w:rsidRPr="004A3F46">
        <w:rPr>
          <w:sz w:val="22"/>
          <w:szCs w:val="22"/>
        </w:rPr>
        <w:t xml:space="preserve"> </w:t>
      </w:r>
      <w:r>
        <w:rPr>
          <w:sz w:val="22"/>
          <w:szCs w:val="22"/>
        </w:rPr>
        <w:t>sponsors and manufacturers</w:t>
      </w:r>
      <w:r w:rsidRPr="004A3F46">
        <w:rPr>
          <w:sz w:val="22"/>
          <w:szCs w:val="22"/>
        </w:rPr>
        <w:t xml:space="preserve"> can search </w:t>
      </w:r>
      <w:r>
        <w:rPr>
          <w:sz w:val="22"/>
          <w:szCs w:val="22"/>
        </w:rPr>
        <w:t>the DAEN</w:t>
      </w:r>
      <w:r>
        <w:rPr>
          <w:sz w:val="22"/>
          <w:szCs w:val="22"/>
          <w:shd w:val="clear" w:color="auto" w:fill="FFFFFF"/>
        </w:rPr>
        <w:t xml:space="preserve"> – </w:t>
      </w:r>
      <w:r>
        <w:rPr>
          <w:sz w:val="22"/>
          <w:szCs w:val="22"/>
        </w:rPr>
        <w:t>Medicines</w:t>
      </w:r>
      <w:r w:rsidRPr="00370499">
        <w:rPr>
          <w:sz w:val="22"/>
          <w:szCs w:val="22"/>
        </w:rPr>
        <w:t xml:space="preserve"> </w:t>
      </w:r>
      <w:r w:rsidRPr="004A3F46">
        <w:rPr>
          <w:sz w:val="22"/>
          <w:szCs w:val="22"/>
        </w:rPr>
        <w:t>and view data about adverse event reports</w:t>
      </w:r>
      <w:r>
        <w:rPr>
          <w:sz w:val="22"/>
          <w:szCs w:val="22"/>
        </w:rPr>
        <w:t xml:space="preserve"> relating to medicines and biologicals</w:t>
      </w:r>
      <w:r w:rsidR="00992FF7">
        <w:rPr>
          <w:sz w:val="22"/>
          <w:szCs w:val="22"/>
        </w:rPr>
        <w:t>. This</w:t>
      </w:r>
      <w:r w:rsidRPr="004A3F46">
        <w:rPr>
          <w:sz w:val="22"/>
          <w:szCs w:val="22"/>
        </w:rPr>
        <w:t xml:space="preserve"> includ</w:t>
      </w:r>
      <w:r w:rsidR="00992FF7">
        <w:rPr>
          <w:sz w:val="22"/>
          <w:szCs w:val="22"/>
        </w:rPr>
        <w:t>es, for example,</w:t>
      </w:r>
      <w:r w:rsidRPr="004A3F46">
        <w:rPr>
          <w:sz w:val="22"/>
          <w:szCs w:val="22"/>
        </w:rPr>
        <w:t xml:space="preserve"> the name of the medicine</w:t>
      </w:r>
      <w:r>
        <w:rPr>
          <w:sz w:val="22"/>
          <w:szCs w:val="22"/>
        </w:rPr>
        <w:t xml:space="preserve"> or biological, </w:t>
      </w:r>
      <w:r w:rsidRPr="004A3F46">
        <w:rPr>
          <w:sz w:val="22"/>
          <w:szCs w:val="22"/>
        </w:rPr>
        <w:t>de-identified patient details (age and gender) and scientific terms that describe the event. The search results also include summaries of the total number of cases in relation to a medicine</w:t>
      </w:r>
      <w:r>
        <w:rPr>
          <w:sz w:val="22"/>
          <w:szCs w:val="22"/>
        </w:rPr>
        <w:t xml:space="preserve"> or biological</w:t>
      </w:r>
      <w:r w:rsidRPr="004A3F46">
        <w:rPr>
          <w:sz w:val="22"/>
          <w:szCs w:val="22"/>
        </w:rPr>
        <w:t xml:space="preserve">, </w:t>
      </w:r>
      <w:r>
        <w:rPr>
          <w:sz w:val="22"/>
          <w:szCs w:val="22"/>
        </w:rPr>
        <w:t xml:space="preserve">the </w:t>
      </w:r>
      <w:r w:rsidRPr="004A3F46">
        <w:rPr>
          <w:sz w:val="22"/>
          <w:szCs w:val="22"/>
        </w:rPr>
        <w:t>number of cases where death was a reported outcome</w:t>
      </w:r>
      <w:r>
        <w:rPr>
          <w:sz w:val="22"/>
          <w:szCs w:val="22"/>
        </w:rPr>
        <w:t>,</w:t>
      </w:r>
      <w:r w:rsidRPr="004A3F46">
        <w:rPr>
          <w:sz w:val="22"/>
          <w:szCs w:val="22"/>
        </w:rPr>
        <w:t xml:space="preserve"> and </w:t>
      </w:r>
      <w:r>
        <w:rPr>
          <w:sz w:val="22"/>
          <w:szCs w:val="22"/>
        </w:rPr>
        <w:t xml:space="preserve">the </w:t>
      </w:r>
      <w:r w:rsidRPr="004A3F46">
        <w:rPr>
          <w:sz w:val="22"/>
          <w:szCs w:val="22"/>
        </w:rPr>
        <w:t>number of cases w</w:t>
      </w:r>
      <w:r>
        <w:rPr>
          <w:sz w:val="22"/>
          <w:szCs w:val="22"/>
        </w:rPr>
        <w:t>h</w:t>
      </w:r>
      <w:r w:rsidRPr="004A3F46">
        <w:rPr>
          <w:sz w:val="22"/>
          <w:szCs w:val="22"/>
        </w:rPr>
        <w:t xml:space="preserve">ere the medicine </w:t>
      </w:r>
      <w:r>
        <w:rPr>
          <w:sz w:val="22"/>
          <w:szCs w:val="22"/>
        </w:rPr>
        <w:t xml:space="preserve">or biological </w:t>
      </w:r>
      <w:r w:rsidRPr="004A3F46">
        <w:rPr>
          <w:sz w:val="22"/>
          <w:szCs w:val="22"/>
        </w:rPr>
        <w:t xml:space="preserve">was the </w:t>
      </w:r>
      <w:r>
        <w:rPr>
          <w:sz w:val="22"/>
          <w:szCs w:val="22"/>
        </w:rPr>
        <w:t>only therapeutic good suspected of being related to the adverse event</w:t>
      </w:r>
      <w:r w:rsidRPr="004A3F46">
        <w:rPr>
          <w:sz w:val="22"/>
          <w:szCs w:val="22"/>
        </w:rPr>
        <w:t>.</w:t>
      </w:r>
    </w:p>
    <w:p w14:paraId="1F1ECC61" w14:textId="77777777" w:rsidR="00497061" w:rsidRDefault="00497061" w:rsidP="00497061">
      <w:pPr>
        <w:spacing w:before="0" w:after="0"/>
        <w:rPr>
          <w:sz w:val="22"/>
          <w:szCs w:val="22"/>
        </w:rPr>
      </w:pPr>
    </w:p>
    <w:p w14:paraId="7B937AE1" w14:textId="7283099B" w:rsidR="00497061" w:rsidRDefault="00497061" w:rsidP="00497061">
      <w:pPr>
        <w:spacing w:before="0" w:after="0"/>
        <w:rPr>
          <w:sz w:val="22"/>
          <w:szCs w:val="22"/>
        </w:rPr>
      </w:pPr>
      <w:r>
        <w:rPr>
          <w:sz w:val="22"/>
          <w:szCs w:val="22"/>
        </w:rPr>
        <w:t>Similarly, members of the public can search the DAEN</w:t>
      </w:r>
      <w:r>
        <w:rPr>
          <w:sz w:val="22"/>
          <w:szCs w:val="22"/>
          <w:shd w:val="clear" w:color="auto" w:fill="FFFFFF"/>
        </w:rPr>
        <w:t xml:space="preserve"> – </w:t>
      </w:r>
      <w:r>
        <w:rPr>
          <w:sz w:val="22"/>
          <w:szCs w:val="22"/>
        </w:rPr>
        <w:t>Medical Devices to view information about adverse events and defects relating to medical devices and OTGs</w:t>
      </w:r>
      <w:r w:rsidR="00992FF7">
        <w:rPr>
          <w:sz w:val="22"/>
          <w:szCs w:val="22"/>
        </w:rPr>
        <w:t>. This</w:t>
      </w:r>
      <w:r>
        <w:rPr>
          <w:sz w:val="22"/>
          <w:szCs w:val="22"/>
        </w:rPr>
        <w:t xml:space="preserve"> includ</w:t>
      </w:r>
      <w:r w:rsidR="00992FF7">
        <w:rPr>
          <w:sz w:val="22"/>
          <w:szCs w:val="22"/>
        </w:rPr>
        <w:t>es</w:t>
      </w:r>
      <w:r>
        <w:rPr>
          <w:sz w:val="22"/>
          <w:szCs w:val="22"/>
        </w:rPr>
        <w:t xml:space="preserve"> details about the device or OTG such as the trade name, ARTG number, GMDN term, device classification, model number, software version, whether the device or OTG is supplied in a sterile state and whether the device or OTG is single use. In addition, details of the name of the sponsor or manufacturer, a description of the event and the outcome, the category of reporter (</w:t>
      </w:r>
      <w:proofErr w:type="gramStart"/>
      <w:r>
        <w:rPr>
          <w:sz w:val="22"/>
          <w:szCs w:val="22"/>
        </w:rPr>
        <w:t>e.g.</w:t>
      </w:r>
      <w:proofErr w:type="gramEnd"/>
      <w:r>
        <w:rPr>
          <w:sz w:val="22"/>
          <w:szCs w:val="22"/>
        </w:rPr>
        <w:t xml:space="preserve"> consumer, health professional, etc.) and details of any other medical devices or OTGs involved in the event are also reported in the DAEN – Medical Devices.</w:t>
      </w:r>
    </w:p>
    <w:p w14:paraId="63DDFB2E" w14:textId="77777777" w:rsidR="00497061" w:rsidRDefault="00497061" w:rsidP="00497061">
      <w:pPr>
        <w:spacing w:before="0" w:after="0"/>
        <w:rPr>
          <w:sz w:val="22"/>
          <w:szCs w:val="22"/>
        </w:rPr>
      </w:pPr>
    </w:p>
    <w:p w14:paraId="55F9EDD9" w14:textId="77777777" w:rsidR="00497061" w:rsidRPr="00241846" w:rsidRDefault="00497061" w:rsidP="00497061">
      <w:pPr>
        <w:spacing w:before="0" w:after="0"/>
        <w:rPr>
          <w:i/>
          <w:iCs/>
          <w:sz w:val="22"/>
          <w:szCs w:val="22"/>
        </w:rPr>
      </w:pPr>
      <w:r w:rsidRPr="00241846">
        <w:rPr>
          <w:i/>
          <w:iCs/>
          <w:sz w:val="22"/>
          <w:szCs w:val="22"/>
        </w:rPr>
        <w:t>The former Specifications</w:t>
      </w:r>
    </w:p>
    <w:p w14:paraId="70268B60" w14:textId="77777777" w:rsidR="00497061" w:rsidRDefault="00497061" w:rsidP="00497061">
      <w:pPr>
        <w:spacing w:before="0" w:after="0"/>
        <w:rPr>
          <w:sz w:val="22"/>
          <w:szCs w:val="22"/>
        </w:rPr>
      </w:pPr>
    </w:p>
    <w:p w14:paraId="11BDD126" w14:textId="77777777" w:rsidR="00497061" w:rsidRDefault="00497061" w:rsidP="00497061">
      <w:pPr>
        <w:spacing w:before="0" w:after="0"/>
        <w:rPr>
          <w:sz w:val="22"/>
          <w:szCs w:val="22"/>
        </w:rPr>
      </w:pPr>
      <w:r>
        <w:rPr>
          <w:sz w:val="22"/>
          <w:szCs w:val="22"/>
        </w:rPr>
        <w:t>The former DAEN</w:t>
      </w:r>
      <w:r>
        <w:rPr>
          <w:sz w:val="22"/>
          <w:szCs w:val="22"/>
          <w:shd w:val="clear" w:color="auto" w:fill="FFFFFF"/>
        </w:rPr>
        <w:t xml:space="preserve"> – </w:t>
      </w:r>
      <w:r>
        <w:rPr>
          <w:sz w:val="22"/>
          <w:szCs w:val="22"/>
        </w:rPr>
        <w:t>Medicines Specification came into force in 2022 and specified,</w:t>
      </w:r>
      <w:r w:rsidRPr="00D92AE5">
        <w:rPr>
          <w:sz w:val="22"/>
          <w:szCs w:val="22"/>
        </w:rPr>
        <w:t xml:space="preserve"> under subsection</w:t>
      </w:r>
      <w:r>
        <w:rPr>
          <w:sz w:val="22"/>
          <w:szCs w:val="22"/>
        </w:rPr>
        <w:t> </w:t>
      </w:r>
      <w:r w:rsidRPr="00D92AE5">
        <w:rPr>
          <w:sz w:val="22"/>
          <w:szCs w:val="22"/>
        </w:rPr>
        <w:t xml:space="preserve">61(5D) of the Act, kinds of adverse event information relating to </w:t>
      </w:r>
      <w:r>
        <w:rPr>
          <w:sz w:val="22"/>
          <w:szCs w:val="22"/>
        </w:rPr>
        <w:t>both medicines and biologicals contained in the DAEN</w:t>
      </w:r>
      <w:r>
        <w:rPr>
          <w:sz w:val="22"/>
          <w:szCs w:val="22"/>
          <w:shd w:val="clear" w:color="auto" w:fill="FFFFFF"/>
        </w:rPr>
        <w:t xml:space="preserve"> – </w:t>
      </w:r>
      <w:r>
        <w:rPr>
          <w:sz w:val="22"/>
          <w:szCs w:val="22"/>
        </w:rPr>
        <w:t>Medicines. That information</w:t>
      </w:r>
      <w:r w:rsidRPr="00D92AE5">
        <w:rPr>
          <w:sz w:val="22"/>
          <w:szCs w:val="22"/>
        </w:rPr>
        <w:t xml:space="preserve"> </w:t>
      </w:r>
      <w:r>
        <w:rPr>
          <w:sz w:val="22"/>
          <w:szCs w:val="22"/>
        </w:rPr>
        <w:t>could</w:t>
      </w:r>
      <w:r w:rsidRPr="00D92AE5">
        <w:rPr>
          <w:sz w:val="22"/>
          <w:szCs w:val="22"/>
        </w:rPr>
        <w:t xml:space="preserve"> </w:t>
      </w:r>
      <w:r>
        <w:rPr>
          <w:sz w:val="22"/>
          <w:szCs w:val="22"/>
        </w:rPr>
        <w:t>be released by the Secretary to the public</w:t>
      </w:r>
      <w:r w:rsidRPr="00D92AE5">
        <w:rPr>
          <w:sz w:val="22"/>
          <w:szCs w:val="22"/>
        </w:rPr>
        <w:t xml:space="preserve"> under subsection</w:t>
      </w:r>
      <w:r>
        <w:rPr>
          <w:sz w:val="22"/>
          <w:szCs w:val="22"/>
        </w:rPr>
        <w:t> </w:t>
      </w:r>
      <w:r w:rsidRPr="00D92AE5">
        <w:rPr>
          <w:sz w:val="22"/>
          <w:szCs w:val="22"/>
        </w:rPr>
        <w:t xml:space="preserve">61(5C) of the Act. </w:t>
      </w:r>
      <w:r>
        <w:rPr>
          <w:sz w:val="22"/>
          <w:szCs w:val="22"/>
        </w:rPr>
        <w:t>The former DAEN</w:t>
      </w:r>
      <w:r>
        <w:rPr>
          <w:sz w:val="22"/>
          <w:szCs w:val="22"/>
          <w:shd w:val="clear" w:color="auto" w:fill="FFFFFF"/>
        </w:rPr>
        <w:t xml:space="preserve"> – </w:t>
      </w:r>
      <w:r>
        <w:rPr>
          <w:sz w:val="22"/>
          <w:szCs w:val="22"/>
        </w:rPr>
        <w:t>Medicines Specification enabled</w:t>
      </w:r>
      <w:r w:rsidRPr="00BB1CB9">
        <w:rPr>
          <w:sz w:val="22"/>
          <w:szCs w:val="22"/>
        </w:rPr>
        <w:t xml:space="preserve"> the TGA to publicly display </w:t>
      </w:r>
      <w:r>
        <w:rPr>
          <w:sz w:val="22"/>
          <w:szCs w:val="22"/>
        </w:rPr>
        <w:t>de-identified data</w:t>
      </w:r>
      <w:r w:rsidRPr="00BB1CB9">
        <w:rPr>
          <w:sz w:val="22"/>
          <w:szCs w:val="22"/>
        </w:rPr>
        <w:t xml:space="preserve"> about reports</w:t>
      </w:r>
      <w:r>
        <w:rPr>
          <w:sz w:val="22"/>
          <w:szCs w:val="22"/>
        </w:rPr>
        <w:t xml:space="preserve"> of adver</w:t>
      </w:r>
      <w:r w:rsidRPr="00BB1CB9">
        <w:rPr>
          <w:sz w:val="22"/>
          <w:szCs w:val="22"/>
        </w:rPr>
        <w:t>se event</w:t>
      </w:r>
      <w:r>
        <w:rPr>
          <w:sz w:val="22"/>
          <w:szCs w:val="22"/>
        </w:rPr>
        <w:t>s</w:t>
      </w:r>
      <w:r w:rsidRPr="00BB1CB9">
        <w:rPr>
          <w:sz w:val="22"/>
          <w:szCs w:val="22"/>
        </w:rPr>
        <w:t xml:space="preserve"> </w:t>
      </w:r>
      <w:r>
        <w:rPr>
          <w:sz w:val="22"/>
          <w:szCs w:val="22"/>
        </w:rPr>
        <w:t>that the TGA</w:t>
      </w:r>
      <w:r w:rsidRPr="00BB1CB9">
        <w:rPr>
          <w:sz w:val="22"/>
          <w:szCs w:val="22"/>
        </w:rPr>
        <w:t xml:space="preserve"> </w:t>
      </w:r>
      <w:r>
        <w:rPr>
          <w:sz w:val="22"/>
          <w:szCs w:val="22"/>
        </w:rPr>
        <w:t>had received in relation to medicines, including vaccines, and biologicals in Australia.</w:t>
      </w:r>
    </w:p>
    <w:p w14:paraId="3A0D483E" w14:textId="77777777" w:rsidR="00497061" w:rsidRDefault="00497061" w:rsidP="00497061">
      <w:pPr>
        <w:spacing w:before="0" w:after="0"/>
        <w:rPr>
          <w:sz w:val="22"/>
          <w:szCs w:val="22"/>
        </w:rPr>
      </w:pPr>
    </w:p>
    <w:p w14:paraId="2A993729" w14:textId="77777777" w:rsidR="00497061" w:rsidRDefault="00497061" w:rsidP="00497061">
      <w:pPr>
        <w:spacing w:before="0" w:after="0"/>
        <w:rPr>
          <w:sz w:val="22"/>
          <w:szCs w:val="22"/>
        </w:rPr>
      </w:pPr>
      <w:r>
        <w:rPr>
          <w:sz w:val="22"/>
          <w:szCs w:val="22"/>
        </w:rPr>
        <w:t>The former DAEN</w:t>
      </w:r>
      <w:r>
        <w:rPr>
          <w:sz w:val="22"/>
          <w:szCs w:val="22"/>
          <w:shd w:val="clear" w:color="auto" w:fill="FFFFFF"/>
        </w:rPr>
        <w:t xml:space="preserve"> – </w:t>
      </w:r>
      <w:r>
        <w:rPr>
          <w:sz w:val="22"/>
          <w:szCs w:val="22"/>
        </w:rPr>
        <w:t xml:space="preserve">Medical Devices Specification came into force in 2013 and specified, </w:t>
      </w:r>
      <w:r w:rsidRPr="00D92AE5">
        <w:rPr>
          <w:sz w:val="22"/>
          <w:szCs w:val="22"/>
        </w:rPr>
        <w:t xml:space="preserve">under subsection 61(5D) of the Act, kinds of adverse event </w:t>
      </w:r>
      <w:r>
        <w:rPr>
          <w:sz w:val="22"/>
          <w:szCs w:val="22"/>
        </w:rPr>
        <w:t xml:space="preserve">and near adverse event </w:t>
      </w:r>
      <w:r w:rsidRPr="00D92AE5">
        <w:rPr>
          <w:sz w:val="22"/>
          <w:szCs w:val="22"/>
        </w:rPr>
        <w:t>information relating to</w:t>
      </w:r>
      <w:r>
        <w:rPr>
          <w:sz w:val="22"/>
          <w:szCs w:val="22"/>
        </w:rPr>
        <w:t xml:space="preserve"> medical devices contained in the DAEN</w:t>
      </w:r>
      <w:r>
        <w:rPr>
          <w:sz w:val="22"/>
          <w:szCs w:val="22"/>
          <w:shd w:val="clear" w:color="auto" w:fill="FFFFFF"/>
        </w:rPr>
        <w:t xml:space="preserve"> – </w:t>
      </w:r>
      <w:r>
        <w:rPr>
          <w:sz w:val="22"/>
          <w:szCs w:val="22"/>
        </w:rPr>
        <w:t xml:space="preserve">Medical Devices. That information could be released by </w:t>
      </w:r>
      <w:r>
        <w:rPr>
          <w:sz w:val="22"/>
          <w:szCs w:val="22"/>
        </w:rPr>
        <w:lastRenderedPageBreak/>
        <w:t>the Secretary to the public under subsection 61(5C) of the Act. The former DAEN</w:t>
      </w:r>
      <w:r>
        <w:rPr>
          <w:sz w:val="22"/>
          <w:szCs w:val="22"/>
          <w:shd w:val="clear" w:color="auto" w:fill="FFFFFF"/>
        </w:rPr>
        <w:t xml:space="preserve"> – </w:t>
      </w:r>
      <w:r>
        <w:rPr>
          <w:sz w:val="22"/>
          <w:szCs w:val="22"/>
        </w:rPr>
        <w:t>Medical Devices Specification also specified information relating to adverse events, or near adverse events, in New Zealand. This was for the purpose of supporting a single, publicly accessible database of adverse event notifications in Australia and New Zealand that was to be administered by the joint regulatory agency that was proposed at the time. The joint regulatory agency did not proceed and the DAEN – Medical Devices does not contain any information relating to adverse events in New Zealand.</w:t>
      </w:r>
    </w:p>
    <w:p w14:paraId="0B999251" w14:textId="77777777" w:rsidR="00C01A2C" w:rsidRDefault="00C01A2C" w:rsidP="005F0EF6">
      <w:pPr>
        <w:pStyle w:val="ListParagraph"/>
        <w:spacing w:before="0" w:after="0"/>
        <w:ind w:left="0"/>
        <w:rPr>
          <w:color w:val="000000"/>
          <w:sz w:val="22"/>
          <w:szCs w:val="22"/>
          <w:shd w:val="clear" w:color="auto" w:fill="FFFFFF"/>
        </w:rPr>
      </w:pPr>
    </w:p>
    <w:p w14:paraId="289E7B2F" w14:textId="767311F9" w:rsidR="00141FA8" w:rsidRPr="00B2546F" w:rsidRDefault="00141FA8" w:rsidP="009C7E13">
      <w:pPr>
        <w:keepNext/>
        <w:keepLines/>
        <w:spacing w:before="0" w:after="0"/>
        <w:rPr>
          <w:b/>
          <w:sz w:val="22"/>
          <w:szCs w:val="22"/>
        </w:rPr>
      </w:pPr>
      <w:r w:rsidRPr="00B2546F">
        <w:rPr>
          <w:b/>
          <w:sz w:val="22"/>
          <w:szCs w:val="22"/>
        </w:rPr>
        <w:t>Human rights implications</w:t>
      </w:r>
    </w:p>
    <w:p w14:paraId="705CD50C" w14:textId="77777777" w:rsidR="00B729AB" w:rsidRDefault="00B729AB" w:rsidP="009C7E13">
      <w:pPr>
        <w:keepNext/>
        <w:keepLines/>
        <w:spacing w:before="0" w:after="0"/>
        <w:rPr>
          <w:sz w:val="22"/>
          <w:szCs w:val="22"/>
        </w:rPr>
      </w:pPr>
    </w:p>
    <w:p w14:paraId="16F1C45B" w14:textId="37F79415" w:rsidR="00EB5613" w:rsidRDefault="00141FA8" w:rsidP="009C7E13">
      <w:pPr>
        <w:keepNext/>
        <w:keepLines/>
        <w:spacing w:before="0" w:after="0"/>
        <w:rPr>
          <w:sz w:val="22"/>
          <w:szCs w:val="22"/>
        </w:rPr>
      </w:pPr>
      <w:r w:rsidRPr="00B2546F">
        <w:rPr>
          <w:sz w:val="22"/>
          <w:szCs w:val="22"/>
        </w:rPr>
        <w:t xml:space="preserve">The </w:t>
      </w:r>
      <w:r w:rsidR="00EE70EA">
        <w:rPr>
          <w:color w:val="000000"/>
          <w:sz w:val="22"/>
          <w:szCs w:val="22"/>
          <w:shd w:val="clear" w:color="auto" w:fill="FFFFFF"/>
        </w:rPr>
        <w:t xml:space="preserve">Instrument </w:t>
      </w:r>
      <w:r w:rsidRPr="00B2546F">
        <w:rPr>
          <w:sz w:val="22"/>
          <w:szCs w:val="22"/>
        </w:rPr>
        <w:t>engages the right to health in Article 12 of the International Covenant on Economic, Social and Cultural Rights (“the ICESCR”)</w:t>
      </w:r>
      <w:r w:rsidR="00EB5613" w:rsidRPr="00EB5613">
        <w:rPr>
          <w:sz w:val="22"/>
          <w:szCs w:val="22"/>
        </w:rPr>
        <w:t xml:space="preserve"> </w:t>
      </w:r>
      <w:r w:rsidR="00EB5613">
        <w:rPr>
          <w:sz w:val="22"/>
          <w:szCs w:val="22"/>
        </w:rPr>
        <w:t>and the right to protection against arbitrary and unlawful interferences with privacy in Article 17 of the International Covenant on Civil and Political Rights (“the ICCPR”)</w:t>
      </w:r>
      <w:r w:rsidRPr="00B2546F">
        <w:rPr>
          <w:sz w:val="22"/>
          <w:szCs w:val="22"/>
        </w:rPr>
        <w:t>.</w:t>
      </w:r>
    </w:p>
    <w:p w14:paraId="1A455836" w14:textId="77777777" w:rsidR="00EB5613" w:rsidRDefault="00EB5613" w:rsidP="00141FA8">
      <w:pPr>
        <w:spacing w:before="0" w:after="0"/>
        <w:rPr>
          <w:sz w:val="22"/>
          <w:szCs w:val="22"/>
        </w:rPr>
      </w:pPr>
    </w:p>
    <w:p w14:paraId="4A608E3A" w14:textId="77777777" w:rsidR="00EB5613" w:rsidRPr="00EB5613" w:rsidRDefault="00EB5613" w:rsidP="00EB5613">
      <w:pPr>
        <w:spacing w:before="0" w:after="0"/>
        <w:rPr>
          <w:i/>
          <w:iCs/>
          <w:sz w:val="22"/>
          <w:szCs w:val="22"/>
        </w:rPr>
      </w:pPr>
      <w:r w:rsidRPr="00EB5613">
        <w:rPr>
          <w:i/>
          <w:iCs/>
          <w:sz w:val="22"/>
          <w:szCs w:val="22"/>
        </w:rPr>
        <w:t xml:space="preserve">Right to Health </w:t>
      </w:r>
    </w:p>
    <w:p w14:paraId="753D26D3" w14:textId="77777777" w:rsidR="00EB5613" w:rsidRDefault="00EB5613" w:rsidP="00EB5613">
      <w:pPr>
        <w:spacing w:before="0" w:after="0"/>
        <w:rPr>
          <w:sz w:val="22"/>
          <w:szCs w:val="22"/>
        </w:rPr>
      </w:pPr>
    </w:p>
    <w:p w14:paraId="46077219" w14:textId="77777777" w:rsidR="00EB5613" w:rsidRDefault="00EB5613" w:rsidP="00EB5613">
      <w:pPr>
        <w:spacing w:before="0" w:after="0"/>
        <w:rPr>
          <w:sz w:val="22"/>
          <w:szCs w:val="22"/>
        </w:rPr>
      </w:pPr>
      <w:r>
        <w:rPr>
          <w:sz w:val="22"/>
          <w:szCs w:val="22"/>
        </w:rPr>
        <w:t>Article 12 of the ICESCR promotes the right of all individuals to enjoy the highest attainable standards of physical and mental health.</w:t>
      </w:r>
    </w:p>
    <w:p w14:paraId="26B11641" w14:textId="77777777" w:rsidR="00EB5613" w:rsidRDefault="00EB5613" w:rsidP="00EB5613">
      <w:pPr>
        <w:spacing w:before="0" w:after="0"/>
        <w:rPr>
          <w:sz w:val="22"/>
          <w:szCs w:val="22"/>
        </w:rPr>
      </w:pPr>
    </w:p>
    <w:p w14:paraId="72AF880A" w14:textId="77777777" w:rsidR="00EB5613" w:rsidRDefault="00EB5613" w:rsidP="00EB5613">
      <w:pPr>
        <w:spacing w:before="0" w:after="0"/>
        <w:rPr>
          <w:sz w:val="22"/>
          <w:szCs w:val="22"/>
        </w:rPr>
      </w:pPr>
      <w:r>
        <w:rPr>
          <w:sz w:val="22"/>
          <w:szCs w:val="22"/>
        </w:rPr>
        <w:t xml:space="preserve">In </w:t>
      </w:r>
      <w:r w:rsidRPr="00EB5613">
        <w:rPr>
          <w:i/>
          <w:iCs/>
          <w:sz w:val="22"/>
          <w:szCs w:val="22"/>
        </w:rPr>
        <w:t xml:space="preserve">General Comment No. 14: The Right to the Highest Attainable Standard of Health </w:t>
      </w:r>
      <w:r>
        <w:rPr>
          <w:sz w:val="22"/>
          <w:szCs w:val="22"/>
        </w:rPr>
        <w:t>(Art.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1EC9F71" w14:textId="59ED58D2" w:rsidR="00141FA8" w:rsidRPr="00B2546F" w:rsidRDefault="00141FA8" w:rsidP="00141FA8">
      <w:pPr>
        <w:spacing w:before="0" w:after="0"/>
        <w:rPr>
          <w:sz w:val="22"/>
          <w:szCs w:val="22"/>
        </w:rPr>
      </w:pPr>
    </w:p>
    <w:p w14:paraId="7A5D92F7" w14:textId="1FF18B68" w:rsidR="00143D60" w:rsidRDefault="00355DCF" w:rsidP="00143D60">
      <w:pPr>
        <w:spacing w:before="0" w:after="0"/>
        <w:rPr>
          <w:sz w:val="22"/>
          <w:szCs w:val="22"/>
        </w:rPr>
      </w:pPr>
      <w:r w:rsidRPr="007559F7">
        <w:rPr>
          <w:sz w:val="22"/>
          <w:szCs w:val="22"/>
        </w:rPr>
        <w:t xml:space="preserve">The </w:t>
      </w:r>
      <w:r w:rsidR="00EE70EA">
        <w:rPr>
          <w:color w:val="000000"/>
          <w:sz w:val="22"/>
          <w:szCs w:val="22"/>
          <w:shd w:val="clear" w:color="auto" w:fill="FFFFFF"/>
        </w:rPr>
        <w:t xml:space="preserve">Instrument </w:t>
      </w:r>
      <w:r w:rsidRPr="007559F7">
        <w:rPr>
          <w:sz w:val="22"/>
          <w:szCs w:val="22"/>
        </w:rPr>
        <w:t xml:space="preserve">takes positive steps to promote the right to health by </w:t>
      </w:r>
      <w:r w:rsidR="00143D60">
        <w:rPr>
          <w:sz w:val="22"/>
          <w:szCs w:val="22"/>
        </w:rPr>
        <w:t xml:space="preserve">facilitating the public release of therapeutic goods information </w:t>
      </w:r>
      <w:r w:rsidR="00B447B6">
        <w:rPr>
          <w:sz w:val="22"/>
          <w:szCs w:val="22"/>
        </w:rPr>
        <w:t xml:space="preserve">relating to adverse events </w:t>
      </w:r>
      <w:r w:rsidR="00143D60">
        <w:rPr>
          <w:sz w:val="22"/>
          <w:szCs w:val="22"/>
        </w:rPr>
        <w:t xml:space="preserve">involving </w:t>
      </w:r>
      <w:r w:rsidR="00A72D8E">
        <w:rPr>
          <w:sz w:val="22"/>
          <w:szCs w:val="22"/>
        </w:rPr>
        <w:t>therapeutic goods</w:t>
      </w:r>
      <w:r w:rsidR="00B447B6" w:rsidRPr="00C01A2C">
        <w:rPr>
          <w:sz w:val="22"/>
          <w:szCs w:val="22"/>
          <w:shd w:val="clear" w:color="auto" w:fill="FFFFFF"/>
        </w:rPr>
        <w:t xml:space="preserve">, as well as </w:t>
      </w:r>
      <w:r w:rsidR="00A34BB1">
        <w:rPr>
          <w:sz w:val="22"/>
          <w:szCs w:val="22"/>
          <w:shd w:val="clear" w:color="auto" w:fill="FFFFFF"/>
        </w:rPr>
        <w:t>defects</w:t>
      </w:r>
      <w:r w:rsidR="00B447B6" w:rsidRPr="00C01A2C">
        <w:rPr>
          <w:sz w:val="22"/>
          <w:szCs w:val="22"/>
          <w:shd w:val="clear" w:color="auto" w:fill="FFFFFF"/>
        </w:rPr>
        <w:t xml:space="preserve"> concerning medical devices</w:t>
      </w:r>
      <w:r w:rsidR="00A34BB1">
        <w:rPr>
          <w:sz w:val="22"/>
          <w:szCs w:val="22"/>
          <w:shd w:val="clear" w:color="auto" w:fill="FFFFFF"/>
        </w:rPr>
        <w:t xml:space="preserve"> and OTGs</w:t>
      </w:r>
      <w:r w:rsidR="00B447B6" w:rsidRPr="00C01A2C">
        <w:rPr>
          <w:sz w:val="22"/>
          <w:szCs w:val="22"/>
        </w:rPr>
        <w:t>.</w:t>
      </w:r>
      <w:r w:rsidR="00143D60" w:rsidRPr="00143D60">
        <w:rPr>
          <w:sz w:val="22"/>
          <w:szCs w:val="22"/>
        </w:rPr>
        <w:t xml:space="preserve"> </w:t>
      </w:r>
      <w:r w:rsidR="00A72D8E">
        <w:rPr>
          <w:sz w:val="22"/>
          <w:szCs w:val="22"/>
        </w:rPr>
        <w:t xml:space="preserve">The </w:t>
      </w:r>
      <w:r w:rsidR="00EE70EA">
        <w:rPr>
          <w:color w:val="000000"/>
          <w:sz w:val="22"/>
          <w:szCs w:val="22"/>
          <w:shd w:val="clear" w:color="auto" w:fill="FFFFFF"/>
        </w:rPr>
        <w:t xml:space="preserve">Instrument </w:t>
      </w:r>
      <w:r w:rsidR="00A72D8E">
        <w:rPr>
          <w:sz w:val="22"/>
          <w:szCs w:val="22"/>
        </w:rPr>
        <w:t>promotes transparency and public awareness of therapeutic goods adverse events reported to the TGA.</w:t>
      </w:r>
      <w:r w:rsidR="00AF1572">
        <w:rPr>
          <w:sz w:val="22"/>
          <w:szCs w:val="22"/>
        </w:rPr>
        <w:t xml:space="preserve"> </w:t>
      </w:r>
      <w:r w:rsidR="00143D60" w:rsidRPr="007559F7">
        <w:rPr>
          <w:sz w:val="22"/>
          <w:szCs w:val="22"/>
        </w:rPr>
        <w:t xml:space="preserve">The publication of </w:t>
      </w:r>
      <w:r w:rsidR="00143D60">
        <w:rPr>
          <w:sz w:val="22"/>
          <w:szCs w:val="22"/>
        </w:rPr>
        <w:t>this</w:t>
      </w:r>
      <w:r w:rsidR="00143D60" w:rsidRPr="007559F7">
        <w:rPr>
          <w:sz w:val="22"/>
          <w:szCs w:val="22"/>
        </w:rPr>
        <w:t xml:space="preserve"> information enables the Australian public to be better informed about the safety of </w:t>
      </w:r>
      <w:r w:rsidR="00A72D8E">
        <w:rPr>
          <w:sz w:val="22"/>
          <w:szCs w:val="22"/>
        </w:rPr>
        <w:t>therapeutic goods</w:t>
      </w:r>
      <w:r w:rsidR="00143D60">
        <w:rPr>
          <w:sz w:val="22"/>
          <w:szCs w:val="22"/>
        </w:rPr>
        <w:t>,</w:t>
      </w:r>
      <w:r w:rsidR="00143D60" w:rsidRPr="007559F7">
        <w:rPr>
          <w:sz w:val="22"/>
          <w:szCs w:val="22"/>
        </w:rPr>
        <w:t xml:space="preserve"> as well as supporting research and analysis relating to therapeutic goods adverse </w:t>
      </w:r>
      <w:r w:rsidR="00143D60" w:rsidRPr="00C01A2C">
        <w:rPr>
          <w:sz w:val="22"/>
          <w:szCs w:val="22"/>
        </w:rPr>
        <w:t xml:space="preserve">events and </w:t>
      </w:r>
      <w:r w:rsidR="00143D60" w:rsidRPr="007559F7">
        <w:rPr>
          <w:sz w:val="22"/>
          <w:szCs w:val="22"/>
        </w:rPr>
        <w:t xml:space="preserve">the insights that such research and analysis may generate to help improve the safety of </w:t>
      </w:r>
      <w:r w:rsidR="00A72D8E">
        <w:rPr>
          <w:sz w:val="22"/>
          <w:szCs w:val="22"/>
        </w:rPr>
        <w:t>therapeutic goods</w:t>
      </w:r>
      <w:r w:rsidR="00143D60" w:rsidRPr="007559F7">
        <w:rPr>
          <w:sz w:val="22"/>
          <w:szCs w:val="22"/>
        </w:rPr>
        <w:t xml:space="preserve"> for Australians.</w:t>
      </w:r>
    </w:p>
    <w:p w14:paraId="44E34ADD" w14:textId="77777777" w:rsidR="0043098B" w:rsidRPr="007559F7" w:rsidRDefault="0043098B" w:rsidP="00143D60">
      <w:pPr>
        <w:spacing w:before="0" w:after="0"/>
        <w:rPr>
          <w:sz w:val="22"/>
          <w:szCs w:val="22"/>
        </w:rPr>
      </w:pPr>
    </w:p>
    <w:p w14:paraId="181A007C" w14:textId="77777777" w:rsidR="00EB5613" w:rsidRDefault="00EB5613" w:rsidP="00EB5613">
      <w:pPr>
        <w:shd w:val="clear" w:color="auto" w:fill="FFFFFF"/>
        <w:spacing w:before="0" w:after="0"/>
        <w:rPr>
          <w:color w:val="000000"/>
          <w:lang w:val="en-AU"/>
        </w:rPr>
      </w:pPr>
      <w:r>
        <w:rPr>
          <w:i/>
          <w:iCs/>
          <w:color w:val="000000"/>
          <w:sz w:val="22"/>
          <w:szCs w:val="22"/>
        </w:rPr>
        <w:t>Right to protection against arbitrary and unlawful interferences with privacy</w:t>
      </w:r>
    </w:p>
    <w:p w14:paraId="38915D94" w14:textId="77777777" w:rsidR="00EB5613" w:rsidRDefault="00EB5613" w:rsidP="00EB5613">
      <w:pPr>
        <w:shd w:val="clear" w:color="auto" w:fill="FFFFFF"/>
        <w:spacing w:before="0" w:after="0"/>
        <w:rPr>
          <w:color w:val="000000"/>
        </w:rPr>
      </w:pPr>
    </w:p>
    <w:p w14:paraId="3BBFCA03" w14:textId="77777777" w:rsidR="00EB5613" w:rsidRPr="004B5E9F" w:rsidRDefault="00EB5613" w:rsidP="00EB5613">
      <w:pPr>
        <w:shd w:val="clear" w:color="auto" w:fill="FFFFFF"/>
        <w:spacing w:before="0" w:after="0"/>
        <w:rPr>
          <w:color w:val="000000"/>
          <w:sz w:val="22"/>
          <w:szCs w:val="22"/>
        </w:rPr>
      </w:pPr>
      <w:r>
        <w:rPr>
          <w:color w:val="000000"/>
          <w:sz w:val="22"/>
          <w:szCs w:val="22"/>
        </w:rPr>
        <w:t xml:space="preserve">Article 17 of the ICCPR provides for the right of every person not to be subjected to arbitrary or unlawful interference with privacy. The prohibition on interference with privacy prohibits unlawful or arbitrary interferences with a person’s privacy, family, </w:t>
      </w:r>
      <w:proofErr w:type="gramStart"/>
      <w:r>
        <w:rPr>
          <w:color w:val="000000"/>
          <w:sz w:val="22"/>
          <w:szCs w:val="22"/>
        </w:rPr>
        <w:t>home</w:t>
      </w:r>
      <w:proofErr w:type="gramEnd"/>
      <w:r>
        <w:rPr>
          <w:color w:val="000000"/>
          <w:sz w:val="22"/>
          <w:szCs w:val="22"/>
        </w:rPr>
        <w:t xml:space="preserve"> and correspondence. It also prohibits unlawful attacks on a person’s reputation. Limitations on the right to privacy must be according to law and not arbitrary, </w:t>
      </w:r>
      <w:proofErr w:type="gramStart"/>
      <w:r>
        <w:rPr>
          <w:color w:val="000000"/>
          <w:sz w:val="22"/>
          <w:szCs w:val="22"/>
        </w:rPr>
        <w:t>i.e.</w:t>
      </w:r>
      <w:proofErr w:type="gramEnd"/>
      <w:r>
        <w:rPr>
          <w:color w:val="000000"/>
          <w:sz w:val="22"/>
          <w:szCs w:val="22"/>
        </w:rPr>
        <w:t xml:space="preserve"> limitations must be reasonable and necessary in the particular circumstances, as well as proportionate to the objectives the limitations seek to achieve.</w:t>
      </w:r>
    </w:p>
    <w:p w14:paraId="47B5A75C" w14:textId="77777777" w:rsidR="00EB5613" w:rsidRPr="004B5E9F" w:rsidRDefault="00EB5613" w:rsidP="00EB5613">
      <w:pPr>
        <w:shd w:val="clear" w:color="auto" w:fill="FFFFFF"/>
        <w:spacing w:before="0" w:after="0"/>
        <w:rPr>
          <w:color w:val="000000"/>
          <w:sz w:val="22"/>
          <w:szCs w:val="22"/>
        </w:rPr>
      </w:pPr>
    </w:p>
    <w:p w14:paraId="0B6059B3" w14:textId="77777777" w:rsidR="00537949" w:rsidRDefault="00537949" w:rsidP="00537949">
      <w:pPr>
        <w:shd w:val="clear" w:color="auto" w:fill="FFFFFF"/>
        <w:spacing w:before="0" w:after="0"/>
        <w:rPr>
          <w:color w:val="000000"/>
          <w:sz w:val="22"/>
          <w:szCs w:val="22"/>
        </w:rPr>
      </w:pPr>
      <w:r>
        <w:rPr>
          <w:color w:val="000000"/>
          <w:sz w:val="22"/>
          <w:szCs w:val="22"/>
        </w:rPr>
        <w:t>The information specified in the Instrument that may contain personal information would possibly include:</w:t>
      </w:r>
    </w:p>
    <w:p w14:paraId="0A5DDA4F" w14:textId="0DF22762" w:rsidR="00537949" w:rsidRDefault="00537949" w:rsidP="00537949">
      <w:pPr>
        <w:pStyle w:val="ListParagraph"/>
        <w:numPr>
          <w:ilvl w:val="0"/>
          <w:numId w:val="10"/>
        </w:numPr>
        <w:shd w:val="clear" w:color="auto" w:fill="FFFFFF"/>
        <w:spacing w:before="0" w:after="0"/>
        <w:rPr>
          <w:color w:val="000000"/>
          <w:sz w:val="22"/>
          <w:szCs w:val="22"/>
        </w:rPr>
      </w:pPr>
      <w:r w:rsidRPr="00B946EC">
        <w:rPr>
          <w:color w:val="000000"/>
          <w:sz w:val="22"/>
          <w:szCs w:val="22"/>
        </w:rPr>
        <w:t xml:space="preserve">the name of the sponsor of a therapeutic good, which is the person who imports the goods into Australia, exports the goods from Australia, or manufactures the goods in </w:t>
      </w:r>
      <w:proofErr w:type="gramStart"/>
      <w:r w:rsidRPr="00B946EC">
        <w:rPr>
          <w:color w:val="000000"/>
          <w:sz w:val="22"/>
          <w:szCs w:val="22"/>
        </w:rPr>
        <w:t>Australia</w:t>
      </w:r>
      <w:r>
        <w:rPr>
          <w:color w:val="000000"/>
          <w:sz w:val="22"/>
          <w:szCs w:val="22"/>
        </w:rPr>
        <w:t>;</w:t>
      </w:r>
      <w:proofErr w:type="gramEnd"/>
    </w:p>
    <w:p w14:paraId="4D8CB79B" w14:textId="6F3111D1" w:rsidR="00537949" w:rsidRDefault="00537949" w:rsidP="00537949">
      <w:pPr>
        <w:pStyle w:val="ListParagraph"/>
        <w:numPr>
          <w:ilvl w:val="0"/>
          <w:numId w:val="10"/>
        </w:numPr>
        <w:shd w:val="clear" w:color="auto" w:fill="FFFFFF"/>
        <w:spacing w:before="0" w:after="0"/>
        <w:rPr>
          <w:color w:val="000000"/>
          <w:sz w:val="22"/>
          <w:szCs w:val="22"/>
        </w:rPr>
      </w:pPr>
      <w:r w:rsidRPr="00B946EC">
        <w:rPr>
          <w:color w:val="000000"/>
          <w:sz w:val="22"/>
          <w:szCs w:val="22"/>
        </w:rPr>
        <w:t>the name of the manufacturer of the therapeutic good</w:t>
      </w:r>
      <w:r>
        <w:rPr>
          <w:color w:val="000000"/>
          <w:sz w:val="22"/>
          <w:szCs w:val="22"/>
        </w:rPr>
        <w:t xml:space="preserve">, </w:t>
      </w:r>
      <w:r w:rsidRPr="00B946EC">
        <w:rPr>
          <w:color w:val="000000"/>
          <w:sz w:val="22"/>
          <w:szCs w:val="22"/>
        </w:rPr>
        <w:t>if different to the sponsor</w:t>
      </w:r>
      <w:r>
        <w:rPr>
          <w:color w:val="000000"/>
          <w:sz w:val="22"/>
          <w:szCs w:val="22"/>
        </w:rPr>
        <w:t>; or</w:t>
      </w:r>
    </w:p>
    <w:p w14:paraId="2A6C83E9" w14:textId="17192DFD" w:rsidR="00537949" w:rsidRDefault="00537949" w:rsidP="00537949">
      <w:pPr>
        <w:pStyle w:val="ListParagraph"/>
        <w:numPr>
          <w:ilvl w:val="0"/>
          <w:numId w:val="10"/>
        </w:numPr>
        <w:shd w:val="clear" w:color="auto" w:fill="FFFFFF"/>
        <w:spacing w:before="0" w:after="0"/>
        <w:rPr>
          <w:color w:val="000000"/>
          <w:sz w:val="22"/>
          <w:szCs w:val="22"/>
        </w:rPr>
      </w:pPr>
      <w:r>
        <w:rPr>
          <w:color w:val="000000"/>
          <w:sz w:val="22"/>
          <w:szCs w:val="22"/>
        </w:rPr>
        <w:t>the trade name of a medicine or biological, as t</w:t>
      </w:r>
      <w:r w:rsidRPr="00B946EC">
        <w:rPr>
          <w:color w:val="000000"/>
          <w:sz w:val="22"/>
          <w:szCs w:val="22"/>
        </w:rPr>
        <w:t>he name of the sponsor or manufacturer may also be part of the trade name of the medicine or biological.</w:t>
      </w:r>
    </w:p>
    <w:p w14:paraId="5C5BFB5D" w14:textId="77777777" w:rsidR="00914667" w:rsidRDefault="00914667" w:rsidP="009751E3">
      <w:pPr>
        <w:pStyle w:val="ListParagraph"/>
        <w:shd w:val="clear" w:color="auto" w:fill="FFFFFF"/>
        <w:spacing w:before="0" w:after="0"/>
        <w:rPr>
          <w:color w:val="000000"/>
          <w:sz w:val="22"/>
          <w:szCs w:val="22"/>
        </w:rPr>
      </w:pPr>
    </w:p>
    <w:p w14:paraId="200D49E1" w14:textId="30AF4243" w:rsidR="00537949" w:rsidRPr="00B946EC" w:rsidRDefault="00537949" w:rsidP="00537949">
      <w:pPr>
        <w:shd w:val="clear" w:color="auto" w:fill="FFFFFF"/>
        <w:spacing w:before="0" w:after="0"/>
        <w:rPr>
          <w:color w:val="000000"/>
          <w:sz w:val="22"/>
          <w:szCs w:val="22"/>
        </w:rPr>
      </w:pPr>
      <w:r w:rsidRPr="00B946EC">
        <w:rPr>
          <w:color w:val="000000"/>
          <w:sz w:val="22"/>
          <w:szCs w:val="22"/>
        </w:rPr>
        <w:t xml:space="preserve">Although the sponsor or manufacturer is most often a company, </w:t>
      </w:r>
      <w:r>
        <w:rPr>
          <w:color w:val="000000"/>
          <w:sz w:val="22"/>
          <w:szCs w:val="22"/>
        </w:rPr>
        <w:t xml:space="preserve">the sponsor or manufacturer may be an individual, so </w:t>
      </w:r>
      <w:r w:rsidRPr="00B946EC">
        <w:rPr>
          <w:color w:val="000000"/>
          <w:sz w:val="22"/>
          <w:szCs w:val="22"/>
        </w:rPr>
        <w:t>it may be possible to identify an individual from that information published in the DAEN – Medicines or DAEN – Medical Devices</w:t>
      </w:r>
      <w:r>
        <w:rPr>
          <w:color w:val="000000"/>
          <w:sz w:val="22"/>
          <w:szCs w:val="22"/>
        </w:rPr>
        <w:t xml:space="preserve">. </w:t>
      </w:r>
      <w:r w:rsidRPr="00B946EC">
        <w:rPr>
          <w:color w:val="000000"/>
          <w:sz w:val="22"/>
          <w:szCs w:val="22"/>
        </w:rPr>
        <w:t xml:space="preserve">However, the name of the sponsor for, and the </w:t>
      </w:r>
      <w:r w:rsidRPr="00B946EC">
        <w:rPr>
          <w:color w:val="000000"/>
          <w:sz w:val="22"/>
          <w:szCs w:val="22"/>
        </w:rPr>
        <w:lastRenderedPageBreak/>
        <w:t>trade name of, a medicine or biological that is in the Australian Register of Therapeutic Goods (</w:t>
      </w:r>
      <w:r w:rsidR="00914667">
        <w:rPr>
          <w:color w:val="000000"/>
          <w:sz w:val="22"/>
          <w:szCs w:val="22"/>
        </w:rPr>
        <w:t>“the </w:t>
      </w:r>
      <w:r w:rsidRPr="00B946EC">
        <w:rPr>
          <w:color w:val="000000"/>
          <w:sz w:val="22"/>
          <w:szCs w:val="22"/>
        </w:rPr>
        <w:t>Register</w:t>
      </w:r>
      <w:r w:rsidR="00914667">
        <w:rPr>
          <w:color w:val="000000"/>
          <w:sz w:val="22"/>
          <w:szCs w:val="22"/>
        </w:rPr>
        <w:t>”</w:t>
      </w:r>
      <w:r w:rsidRPr="00B946EC">
        <w:rPr>
          <w:color w:val="000000"/>
          <w:sz w:val="22"/>
          <w:szCs w:val="22"/>
        </w:rPr>
        <w:t>) would already be publicly available in the Register.</w:t>
      </w:r>
    </w:p>
    <w:p w14:paraId="38D7F41C" w14:textId="77777777" w:rsidR="00537949" w:rsidRDefault="00537949" w:rsidP="00537949">
      <w:pPr>
        <w:shd w:val="clear" w:color="auto" w:fill="FFFFFF"/>
        <w:spacing w:before="0" w:after="0"/>
        <w:rPr>
          <w:rFonts w:ascii="Tms Rmn" w:hAnsi="Tms Rmn"/>
          <w:color w:val="000000"/>
        </w:rPr>
      </w:pPr>
    </w:p>
    <w:p w14:paraId="4FBCB8ED" w14:textId="4D9082BE" w:rsidR="00537949" w:rsidRDefault="00537949" w:rsidP="00537949">
      <w:pPr>
        <w:shd w:val="clear" w:color="auto" w:fill="FFFFFF"/>
        <w:spacing w:before="0" w:after="0"/>
        <w:rPr>
          <w:color w:val="000000"/>
          <w:sz w:val="22"/>
          <w:szCs w:val="22"/>
        </w:rPr>
      </w:pPr>
      <w:r>
        <w:rPr>
          <w:color w:val="000000"/>
          <w:sz w:val="22"/>
          <w:szCs w:val="22"/>
        </w:rPr>
        <w:t>The TGA, as part of the Australian Government Department of Health and Aged Care, is an APP</w:t>
      </w:r>
      <w:r w:rsidR="00992FF7">
        <w:rPr>
          <w:color w:val="000000"/>
          <w:sz w:val="22"/>
          <w:szCs w:val="22"/>
        </w:rPr>
        <w:t> </w:t>
      </w:r>
      <w:r>
        <w:rPr>
          <w:color w:val="000000"/>
          <w:sz w:val="22"/>
          <w:szCs w:val="22"/>
        </w:rPr>
        <w:t xml:space="preserve">entity for the purposes of the </w:t>
      </w:r>
      <w:r>
        <w:rPr>
          <w:i/>
          <w:iCs/>
          <w:color w:val="000000"/>
          <w:sz w:val="22"/>
          <w:szCs w:val="22"/>
        </w:rPr>
        <w:t xml:space="preserve">Privacy Act 1988 </w:t>
      </w:r>
      <w:r>
        <w:rPr>
          <w:color w:val="000000"/>
          <w:sz w:val="22"/>
          <w:szCs w:val="22"/>
        </w:rPr>
        <w:t xml:space="preserve">(“the Privacy Act”). </w:t>
      </w:r>
      <w:r>
        <w:rPr>
          <w:bCs/>
          <w:color w:val="000000"/>
          <w:sz w:val="22"/>
          <w:szCs w:val="22"/>
        </w:rPr>
        <w:t xml:space="preserve">Any use or disclosure of personal information would be consistent with the </w:t>
      </w:r>
      <w:r w:rsidRPr="00096860">
        <w:rPr>
          <w:bCs/>
          <w:color w:val="000000"/>
          <w:sz w:val="22"/>
          <w:szCs w:val="22"/>
        </w:rPr>
        <w:t>Privacy Act</w:t>
      </w:r>
      <w:r>
        <w:rPr>
          <w:bCs/>
          <w:color w:val="000000"/>
          <w:sz w:val="22"/>
          <w:szCs w:val="22"/>
        </w:rPr>
        <w:t xml:space="preserve">. </w:t>
      </w:r>
      <w:r>
        <w:rPr>
          <w:color w:val="000000"/>
          <w:sz w:val="22"/>
          <w:szCs w:val="22"/>
        </w:rPr>
        <w:t xml:space="preserve">The collection and use of the information specified in the Instrument by the TGA, and its disclosure, is critically important to promote transparency and the safety of patients, </w:t>
      </w:r>
      <w:proofErr w:type="gramStart"/>
      <w:r>
        <w:rPr>
          <w:color w:val="000000"/>
          <w:sz w:val="22"/>
          <w:szCs w:val="22"/>
        </w:rPr>
        <w:t>users</w:t>
      </w:r>
      <w:proofErr w:type="gramEnd"/>
      <w:r>
        <w:rPr>
          <w:color w:val="000000"/>
          <w:sz w:val="22"/>
          <w:szCs w:val="22"/>
        </w:rPr>
        <w:t xml:space="preserve"> and the public. It is important that the public knows the sponsor or manufacturer that supplied the goods in Australia, even if it is an individual.</w:t>
      </w:r>
    </w:p>
    <w:p w14:paraId="160F4560" w14:textId="77777777" w:rsidR="00537949" w:rsidRDefault="00537949" w:rsidP="00537949">
      <w:pPr>
        <w:shd w:val="clear" w:color="auto" w:fill="FFFFFF"/>
        <w:spacing w:before="0" w:after="0"/>
        <w:rPr>
          <w:color w:val="000000"/>
          <w:sz w:val="22"/>
          <w:szCs w:val="22"/>
        </w:rPr>
      </w:pPr>
    </w:p>
    <w:p w14:paraId="62E52F37" w14:textId="4E8DDA35" w:rsidR="00537949" w:rsidRPr="00B946EC" w:rsidRDefault="00537949" w:rsidP="00537949">
      <w:pPr>
        <w:shd w:val="clear" w:color="auto" w:fill="FFFFFF"/>
        <w:spacing w:before="0" w:after="0"/>
        <w:rPr>
          <w:color w:val="000000"/>
          <w:sz w:val="22"/>
          <w:szCs w:val="22"/>
        </w:rPr>
      </w:pPr>
      <w:r>
        <w:rPr>
          <w:color w:val="000000"/>
          <w:sz w:val="22"/>
          <w:szCs w:val="22"/>
        </w:rPr>
        <w:t>Other information released in the DAEN – Medicines and DAEN – Medical Devices is de-identified and is not considered sufficient to identify an individual. It may only be possible to identify an individual where that individual chooses to release additional, personal information publicly or to the media which specifically identifies that individual. For example, where an individual is interviewed by the media about an adverse event associated with a vaccine. In this case, the details of the individual would already be public.</w:t>
      </w:r>
    </w:p>
    <w:p w14:paraId="5FA1A5C3" w14:textId="77777777" w:rsidR="00EB5613" w:rsidRDefault="00EB5613" w:rsidP="00EB5613">
      <w:pPr>
        <w:shd w:val="clear" w:color="auto" w:fill="FFFFFF"/>
        <w:spacing w:before="0" w:after="0"/>
        <w:rPr>
          <w:color w:val="000000"/>
        </w:rPr>
      </w:pPr>
    </w:p>
    <w:p w14:paraId="57610FAB" w14:textId="52485112" w:rsidR="00EB5613" w:rsidRDefault="00EB5613" w:rsidP="00EB5613">
      <w:pPr>
        <w:shd w:val="clear" w:color="auto" w:fill="FFFFFF"/>
        <w:spacing w:before="0" w:after="0"/>
        <w:rPr>
          <w:color w:val="000000"/>
        </w:rPr>
      </w:pPr>
      <w:r>
        <w:rPr>
          <w:color w:val="000000"/>
          <w:sz w:val="22"/>
          <w:szCs w:val="22"/>
        </w:rPr>
        <w:t xml:space="preserve">As such, the disclosure of the information would not be an arbitrary or unlawful interference with a person’s privacy under Article 17 of the ICCPR, as the disclosure would be reasonable given it is appropriate and justified for the public to know who the </w:t>
      </w:r>
      <w:r w:rsidR="00AB52AA">
        <w:rPr>
          <w:color w:val="000000"/>
          <w:sz w:val="22"/>
          <w:szCs w:val="22"/>
        </w:rPr>
        <w:t>sponsor or manufacturer</w:t>
      </w:r>
      <w:r>
        <w:rPr>
          <w:color w:val="000000"/>
          <w:sz w:val="22"/>
          <w:szCs w:val="22"/>
        </w:rPr>
        <w:t xml:space="preserve"> is (even if it is an individual), and the disclosure would be necessary and proportionate to the objective of </w:t>
      </w:r>
      <w:r w:rsidR="00227012">
        <w:rPr>
          <w:color w:val="000000"/>
          <w:sz w:val="22"/>
          <w:szCs w:val="22"/>
        </w:rPr>
        <w:t xml:space="preserve">promoting </w:t>
      </w:r>
      <w:r>
        <w:rPr>
          <w:color w:val="000000"/>
          <w:sz w:val="22"/>
          <w:szCs w:val="22"/>
        </w:rPr>
        <w:t>the safety of therapeutic goods in Australia.</w:t>
      </w:r>
    </w:p>
    <w:p w14:paraId="3F824684" w14:textId="77777777" w:rsidR="00EB5613" w:rsidRPr="007559F7" w:rsidRDefault="00EB5613" w:rsidP="00141FA8">
      <w:pPr>
        <w:spacing w:before="0" w:after="0"/>
        <w:rPr>
          <w:sz w:val="22"/>
          <w:szCs w:val="22"/>
        </w:rPr>
      </w:pPr>
    </w:p>
    <w:p w14:paraId="43ABF4B8" w14:textId="77777777" w:rsidR="00141FA8" w:rsidRPr="00B2546F" w:rsidRDefault="00141FA8" w:rsidP="00FE3301">
      <w:pPr>
        <w:keepNext/>
        <w:spacing w:before="0" w:after="0"/>
        <w:rPr>
          <w:b/>
          <w:sz w:val="22"/>
          <w:szCs w:val="22"/>
        </w:rPr>
      </w:pPr>
      <w:r w:rsidRPr="00B2546F">
        <w:rPr>
          <w:b/>
          <w:sz w:val="22"/>
          <w:szCs w:val="22"/>
        </w:rPr>
        <w:t>Conclusion</w:t>
      </w:r>
    </w:p>
    <w:p w14:paraId="36D80E36" w14:textId="77777777" w:rsidR="00141FA8" w:rsidRPr="00B2546F" w:rsidRDefault="00141FA8" w:rsidP="00FE3301">
      <w:pPr>
        <w:keepNext/>
        <w:spacing w:before="0" w:after="0"/>
        <w:rPr>
          <w:sz w:val="22"/>
          <w:szCs w:val="22"/>
        </w:rPr>
      </w:pPr>
    </w:p>
    <w:p w14:paraId="0E42480D" w14:textId="54A25693" w:rsidR="003C5297" w:rsidRPr="0061288B" w:rsidRDefault="00141FA8" w:rsidP="00FE3301">
      <w:pPr>
        <w:keepNext/>
        <w:spacing w:before="0" w:after="0"/>
        <w:rPr>
          <w:sz w:val="22"/>
          <w:szCs w:val="22"/>
        </w:rPr>
      </w:pPr>
      <w:r w:rsidRPr="00B2546F">
        <w:rPr>
          <w:sz w:val="22"/>
          <w:szCs w:val="22"/>
        </w:rPr>
        <w:t xml:space="preserve">The </w:t>
      </w:r>
      <w:r w:rsidR="00EE70EA">
        <w:rPr>
          <w:color w:val="000000"/>
          <w:sz w:val="22"/>
          <w:szCs w:val="22"/>
          <w:shd w:val="clear" w:color="auto" w:fill="FFFFFF"/>
        </w:rPr>
        <w:t xml:space="preserve">Instrument </w:t>
      </w:r>
      <w:r w:rsidRPr="00B2546F">
        <w:rPr>
          <w:sz w:val="22"/>
          <w:szCs w:val="22"/>
        </w:rPr>
        <w:t xml:space="preserve">is compatible with human rights because it </w:t>
      </w:r>
      <w:r w:rsidR="00143D60">
        <w:rPr>
          <w:sz w:val="22"/>
          <w:szCs w:val="22"/>
        </w:rPr>
        <w:t>promotes</w:t>
      </w:r>
      <w:r w:rsidR="00143D60" w:rsidRPr="00B2546F">
        <w:rPr>
          <w:sz w:val="22"/>
          <w:szCs w:val="22"/>
        </w:rPr>
        <w:t xml:space="preserve"> </w:t>
      </w:r>
      <w:r w:rsidRPr="00B2546F">
        <w:rPr>
          <w:sz w:val="22"/>
          <w:szCs w:val="22"/>
        </w:rPr>
        <w:t xml:space="preserve">the right to health in Article 12 of the ICESCR </w:t>
      </w:r>
      <w:r w:rsidR="00E63B21">
        <w:rPr>
          <w:sz w:val="22"/>
          <w:szCs w:val="22"/>
        </w:rPr>
        <w:t xml:space="preserve">and any engagement with the right to privacy in Article 17 of ICCPR is reasonable, </w:t>
      </w:r>
      <w:proofErr w:type="gramStart"/>
      <w:r w:rsidR="00E63B21">
        <w:rPr>
          <w:sz w:val="22"/>
          <w:szCs w:val="22"/>
        </w:rPr>
        <w:t>necessary</w:t>
      </w:r>
      <w:proofErr w:type="gramEnd"/>
      <w:r w:rsidR="00E63B21">
        <w:rPr>
          <w:sz w:val="22"/>
          <w:szCs w:val="22"/>
        </w:rPr>
        <w:t xml:space="preserve"> and proportionate</w:t>
      </w:r>
      <w:r w:rsidRPr="00D46D62">
        <w:rPr>
          <w:sz w:val="22"/>
          <w:szCs w:val="22"/>
        </w:rPr>
        <w:t>.</w:t>
      </w:r>
    </w:p>
    <w:sectPr w:rsidR="003C5297" w:rsidRPr="0061288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22FF" w14:textId="77777777" w:rsidR="00753EC1" w:rsidRDefault="00753EC1" w:rsidP="00D46D62">
      <w:pPr>
        <w:spacing w:before="0" w:after="0"/>
      </w:pPr>
      <w:r>
        <w:separator/>
      </w:r>
    </w:p>
  </w:endnote>
  <w:endnote w:type="continuationSeparator" w:id="0">
    <w:p w14:paraId="1BDF3881" w14:textId="77777777" w:rsidR="00753EC1" w:rsidRDefault="00753EC1" w:rsidP="00D46D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58160"/>
      <w:docPartObj>
        <w:docPartGallery w:val="Page Numbers (Bottom of Page)"/>
        <w:docPartUnique/>
      </w:docPartObj>
    </w:sdtPr>
    <w:sdtEndPr>
      <w:rPr>
        <w:rFonts w:eastAsiaTheme="minorHAnsi"/>
        <w:noProof/>
        <w:sz w:val="22"/>
        <w:szCs w:val="22"/>
        <w:lang w:val="en-AU"/>
      </w:rPr>
    </w:sdtEndPr>
    <w:sdtContent>
      <w:p w14:paraId="2D498B59" w14:textId="633CBD60" w:rsidR="00D46D62" w:rsidRPr="00D46D62" w:rsidRDefault="00D46D62">
        <w:pPr>
          <w:pStyle w:val="Footer"/>
          <w:jc w:val="right"/>
          <w:rPr>
            <w:rFonts w:eastAsiaTheme="minorHAnsi"/>
            <w:noProof/>
            <w:sz w:val="22"/>
            <w:szCs w:val="22"/>
            <w:lang w:val="en-AU"/>
          </w:rPr>
        </w:pPr>
        <w:r w:rsidRPr="00D46D62">
          <w:rPr>
            <w:rFonts w:eastAsiaTheme="minorHAnsi"/>
            <w:noProof/>
            <w:sz w:val="22"/>
            <w:szCs w:val="22"/>
            <w:lang w:val="en-AU"/>
          </w:rPr>
          <w:fldChar w:fldCharType="begin"/>
        </w:r>
        <w:r w:rsidRPr="00D46D62">
          <w:rPr>
            <w:rFonts w:eastAsiaTheme="minorHAnsi"/>
            <w:noProof/>
            <w:sz w:val="22"/>
            <w:szCs w:val="22"/>
            <w:lang w:val="en-AU"/>
          </w:rPr>
          <w:instrText xml:space="preserve"> PAGE   \* MERGEFORMAT </w:instrText>
        </w:r>
        <w:r w:rsidRPr="00D46D62">
          <w:rPr>
            <w:rFonts w:eastAsiaTheme="minorHAnsi"/>
            <w:noProof/>
            <w:sz w:val="22"/>
            <w:szCs w:val="22"/>
            <w:lang w:val="en-AU"/>
          </w:rPr>
          <w:fldChar w:fldCharType="separate"/>
        </w:r>
        <w:r w:rsidRPr="00D46D62">
          <w:rPr>
            <w:rFonts w:eastAsiaTheme="minorHAnsi"/>
            <w:noProof/>
            <w:sz w:val="22"/>
            <w:szCs w:val="22"/>
            <w:lang w:val="en-AU"/>
          </w:rPr>
          <w:t>2</w:t>
        </w:r>
        <w:r w:rsidRPr="00D46D62">
          <w:rPr>
            <w:rFonts w:eastAsiaTheme="minorHAnsi"/>
            <w:noProof/>
            <w:sz w:val="22"/>
            <w:szCs w:val="22"/>
            <w:lang w:val="en-AU"/>
          </w:rPr>
          <w:fldChar w:fldCharType="end"/>
        </w:r>
      </w:p>
    </w:sdtContent>
  </w:sdt>
  <w:p w14:paraId="46EAE454" w14:textId="77777777" w:rsidR="00D46D62" w:rsidRDefault="00D4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0E2A" w14:textId="77777777" w:rsidR="00753EC1" w:rsidRDefault="00753EC1" w:rsidP="00D46D62">
      <w:pPr>
        <w:spacing w:before="0" w:after="0"/>
      </w:pPr>
      <w:r>
        <w:separator/>
      </w:r>
    </w:p>
  </w:footnote>
  <w:footnote w:type="continuationSeparator" w:id="0">
    <w:p w14:paraId="1F6C1AB6" w14:textId="77777777" w:rsidR="00753EC1" w:rsidRDefault="00753EC1" w:rsidP="00D46D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13A"/>
    <w:multiLevelType w:val="hybridMultilevel"/>
    <w:tmpl w:val="10FE1F58"/>
    <w:lvl w:ilvl="0" w:tplc="39D6405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867E9D"/>
    <w:multiLevelType w:val="hybridMultilevel"/>
    <w:tmpl w:val="48684E6E"/>
    <w:lvl w:ilvl="0" w:tplc="1CDC87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5C3BF8"/>
    <w:multiLevelType w:val="hybridMultilevel"/>
    <w:tmpl w:val="D55A9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801982"/>
    <w:multiLevelType w:val="hybridMultilevel"/>
    <w:tmpl w:val="10C25306"/>
    <w:lvl w:ilvl="0" w:tplc="32FEB5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3E208B"/>
    <w:multiLevelType w:val="hybridMultilevel"/>
    <w:tmpl w:val="10C25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3A6C84"/>
    <w:multiLevelType w:val="hybridMultilevel"/>
    <w:tmpl w:val="A2540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130544"/>
    <w:multiLevelType w:val="hybridMultilevel"/>
    <w:tmpl w:val="75047E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4B5CB5"/>
    <w:multiLevelType w:val="hybridMultilevel"/>
    <w:tmpl w:val="CE60CA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7DE3532E"/>
    <w:multiLevelType w:val="hybridMultilevel"/>
    <w:tmpl w:val="C396D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9149909">
    <w:abstractNumId w:val="5"/>
  </w:num>
  <w:num w:numId="2" w16cid:durableId="452215062">
    <w:abstractNumId w:val="2"/>
  </w:num>
  <w:num w:numId="3" w16cid:durableId="367535672">
    <w:abstractNumId w:val="6"/>
  </w:num>
  <w:num w:numId="4" w16cid:durableId="1379861373">
    <w:abstractNumId w:val="0"/>
  </w:num>
  <w:num w:numId="5" w16cid:durableId="1245535276">
    <w:abstractNumId w:val="1"/>
  </w:num>
  <w:num w:numId="6" w16cid:durableId="875100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955859">
    <w:abstractNumId w:val="7"/>
  </w:num>
  <w:num w:numId="8" w16cid:durableId="368453781">
    <w:abstractNumId w:val="8"/>
  </w:num>
  <w:num w:numId="9" w16cid:durableId="1647855464">
    <w:abstractNumId w:val="3"/>
  </w:num>
  <w:num w:numId="10" w16cid:durableId="555553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90"/>
    <w:rsid w:val="00000DAE"/>
    <w:rsid w:val="00011677"/>
    <w:rsid w:val="00014E39"/>
    <w:rsid w:val="00021418"/>
    <w:rsid w:val="00022EE3"/>
    <w:rsid w:val="00034C53"/>
    <w:rsid w:val="00035224"/>
    <w:rsid w:val="00042E50"/>
    <w:rsid w:val="00044779"/>
    <w:rsid w:val="00054466"/>
    <w:rsid w:val="00060BD2"/>
    <w:rsid w:val="00080AB3"/>
    <w:rsid w:val="00082DCA"/>
    <w:rsid w:val="0008735D"/>
    <w:rsid w:val="000912D2"/>
    <w:rsid w:val="00091801"/>
    <w:rsid w:val="00096860"/>
    <w:rsid w:val="00096D4A"/>
    <w:rsid w:val="000A4CEA"/>
    <w:rsid w:val="000C022B"/>
    <w:rsid w:val="000C06A6"/>
    <w:rsid w:val="000C482A"/>
    <w:rsid w:val="000D7B02"/>
    <w:rsid w:val="000E0C31"/>
    <w:rsid w:val="000E2AFA"/>
    <w:rsid w:val="000F048A"/>
    <w:rsid w:val="000F1154"/>
    <w:rsid w:val="000F3D7B"/>
    <w:rsid w:val="00101A05"/>
    <w:rsid w:val="00115FA2"/>
    <w:rsid w:val="001242C7"/>
    <w:rsid w:val="00125CF9"/>
    <w:rsid w:val="00133FB9"/>
    <w:rsid w:val="00134500"/>
    <w:rsid w:val="00141FA8"/>
    <w:rsid w:val="00143D60"/>
    <w:rsid w:val="00145DFA"/>
    <w:rsid w:val="00160EA7"/>
    <w:rsid w:val="00165974"/>
    <w:rsid w:val="001761EB"/>
    <w:rsid w:val="00182601"/>
    <w:rsid w:val="00183096"/>
    <w:rsid w:val="00184032"/>
    <w:rsid w:val="00186D09"/>
    <w:rsid w:val="00192B7D"/>
    <w:rsid w:val="001A3294"/>
    <w:rsid w:val="001B53C4"/>
    <w:rsid w:val="001C28D7"/>
    <w:rsid w:val="001C33ED"/>
    <w:rsid w:val="001E3E53"/>
    <w:rsid w:val="001E7D97"/>
    <w:rsid w:val="001F0E2B"/>
    <w:rsid w:val="001F6F5D"/>
    <w:rsid w:val="00200657"/>
    <w:rsid w:val="00224D33"/>
    <w:rsid w:val="00227012"/>
    <w:rsid w:val="00241846"/>
    <w:rsid w:val="00250198"/>
    <w:rsid w:val="00253BEA"/>
    <w:rsid w:val="00254E86"/>
    <w:rsid w:val="0026230C"/>
    <w:rsid w:val="002714A8"/>
    <w:rsid w:val="00276CEB"/>
    <w:rsid w:val="00280050"/>
    <w:rsid w:val="00292F4B"/>
    <w:rsid w:val="00294469"/>
    <w:rsid w:val="0029457E"/>
    <w:rsid w:val="0029754E"/>
    <w:rsid w:val="002A1C83"/>
    <w:rsid w:val="002A28D7"/>
    <w:rsid w:val="002A5638"/>
    <w:rsid w:val="002B5C64"/>
    <w:rsid w:val="002B7D09"/>
    <w:rsid w:val="002C1C84"/>
    <w:rsid w:val="002E5F5E"/>
    <w:rsid w:val="002E626A"/>
    <w:rsid w:val="002E7074"/>
    <w:rsid w:val="002F0CA4"/>
    <w:rsid w:val="002F65CA"/>
    <w:rsid w:val="002F6A03"/>
    <w:rsid w:val="002F6EE9"/>
    <w:rsid w:val="003029F1"/>
    <w:rsid w:val="003314B7"/>
    <w:rsid w:val="00340E8C"/>
    <w:rsid w:val="00342F46"/>
    <w:rsid w:val="00355DCF"/>
    <w:rsid w:val="00356721"/>
    <w:rsid w:val="0036239A"/>
    <w:rsid w:val="00362B68"/>
    <w:rsid w:val="003656BC"/>
    <w:rsid w:val="00370499"/>
    <w:rsid w:val="00375D79"/>
    <w:rsid w:val="0038146B"/>
    <w:rsid w:val="00381853"/>
    <w:rsid w:val="00383E07"/>
    <w:rsid w:val="003871A1"/>
    <w:rsid w:val="0039179F"/>
    <w:rsid w:val="00395B31"/>
    <w:rsid w:val="003964FA"/>
    <w:rsid w:val="003975D6"/>
    <w:rsid w:val="003A2B47"/>
    <w:rsid w:val="003A3E3F"/>
    <w:rsid w:val="003B5673"/>
    <w:rsid w:val="003C4329"/>
    <w:rsid w:val="003C5297"/>
    <w:rsid w:val="003D0B54"/>
    <w:rsid w:val="003D14C0"/>
    <w:rsid w:val="003D354B"/>
    <w:rsid w:val="003D673D"/>
    <w:rsid w:val="003D7602"/>
    <w:rsid w:val="003E0F8A"/>
    <w:rsid w:val="003E1C9B"/>
    <w:rsid w:val="003E3BF7"/>
    <w:rsid w:val="004114AC"/>
    <w:rsid w:val="00416BFF"/>
    <w:rsid w:val="004212A3"/>
    <w:rsid w:val="0043098B"/>
    <w:rsid w:val="00431B97"/>
    <w:rsid w:val="004402A7"/>
    <w:rsid w:val="0044355C"/>
    <w:rsid w:val="004463E0"/>
    <w:rsid w:val="00457994"/>
    <w:rsid w:val="0046202F"/>
    <w:rsid w:val="00470529"/>
    <w:rsid w:val="00477519"/>
    <w:rsid w:val="004847FE"/>
    <w:rsid w:val="00486B1A"/>
    <w:rsid w:val="0049211C"/>
    <w:rsid w:val="00494876"/>
    <w:rsid w:val="00497061"/>
    <w:rsid w:val="004A0132"/>
    <w:rsid w:val="004A16A3"/>
    <w:rsid w:val="004A3F46"/>
    <w:rsid w:val="004B0F12"/>
    <w:rsid w:val="004B2A06"/>
    <w:rsid w:val="004B2F20"/>
    <w:rsid w:val="004B5E9F"/>
    <w:rsid w:val="004C07D3"/>
    <w:rsid w:val="004D47F9"/>
    <w:rsid w:val="004D7331"/>
    <w:rsid w:val="004E3E10"/>
    <w:rsid w:val="004E4C95"/>
    <w:rsid w:val="004E4DC3"/>
    <w:rsid w:val="004F01D8"/>
    <w:rsid w:val="004F7F0F"/>
    <w:rsid w:val="00502B47"/>
    <w:rsid w:val="00516B5A"/>
    <w:rsid w:val="005238BE"/>
    <w:rsid w:val="00525E58"/>
    <w:rsid w:val="005333AD"/>
    <w:rsid w:val="00534D16"/>
    <w:rsid w:val="00537949"/>
    <w:rsid w:val="005517E1"/>
    <w:rsid w:val="00552F31"/>
    <w:rsid w:val="005611FE"/>
    <w:rsid w:val="00573003"/>
    <w:rsid w:val="0057779B"/>
    <w:rsid w:val="00585DBF"/>
    <w:rsid w:val="005861CE"/>
    <w:rsid w:val="00587252"/>
    <w:rsid w:val="00591DA8"/>
    <w:rsid w:val="00593278"/>
    <w:rsid w:val="00593EA5"/>
    <w:rsid w:val="00594475"/>
    <w:rsid w:val="005962DF"/>
    <w:rsid w:val="005A55A7"/>
    <w:rsid w:val="005C11C0"/>
    <w:rsid w:val="005C3F34"/>
    <w:rsid w:val="005C7A88"/>
    <w:rsid w:val="005D375A"/>
    <w:rsid w:val="005E7F55"/>
    <w:rsid w:val="005F0EF6"/>
    <w:rsid w:val="005F274C"/>
    <w:rsid w:val="005F5C1E"/>
    <w:rsid w:val="006004FC"/>
    <w:rsid w:val="00611293"/>
    <w:rsid w:val="0061288B"/>
    <w:rsid w:val="0061305E"/>
    <w:rsid w:val="00614665"/>
    <w:rsid w:val="00614763"/>
    <w:rsid w:val="0062745A"/>
    <w:rsid w:val="0063063B"/>
    <w:rsid w:val="006410C2"/>
    <w:rsid w:val="00647B43"/>
    <w:rsid w:val="00650D56"/>
    <w:rsid w:val="00653489"/>
    <w:rsid w:val="006674AE"/>
    <w:rsid w:val="00672868"/>
    <w:rsid w:val="00683BAA"/>
    <w:rsid w:val="0068549C"/>
    <w:rsid w:val="00687A0D"/>
    <w:rsid w:val="0069009E"/>
    <w:rsid w:val="006B2734"/>
    <w:rsid w:val="006B54C3"/>
    <w:rsid w:val="006C1C91"/>
    <w:rsid w:val="006E4D88"/>
    <w:rsid w:val="007111A5"/>
    <w:rsid w:val="00711A0E"/>
    <w:rsid w:val="007267E9"/>
    <w:rsid w:val="00737B2A"/>
    <w:rsid w:val="007407F6"/>
    <w:rsid w:val="00751B23"/>
    <w:rsid w:val="00752023"/>
    <w:rsid w:val="00752EFB"/>
    <w:rsid w:val="00753EC1"/>
    <w:rsid w:val="007555E2"/>
    <w:rsid w:val="007559F7"/>
    <w:rsid w:val="00771795"/>
    <w:rsid w:val="00775810"/>
    <w:rsid w:val="007837B8"/>
    <w:rsid w:val="00786CDC"/>
    <w:rsid w:val="0079329E"/>
    <w:rsid w:val="00795FAC"/>
    <w:rsid w:val="007A2EFF"/>
    <w:rsid w:val="007A429D"/>
    <w:rsid w:val="007C2734"/>
    <w:rsid w:val="007C6894"/>
    <w:rsid w:val="007E2F72"/>
    <w:rsid w:val="007F36A5"/>
    <w:rsid w:val="007F4FED"/>
    <w:rsid w:val="00805AA9"/>
    <w:rsid w:val="00807647"/>
    <w:rsid w:val="00827999"/>
    <w:rsid w:val="00842846"/>
    <w:rsid w:val="00861228"/>
    <w:rsid w:val="008626B7"/>
    <w:rsid w:val="00862A90"/>
    <w:rsid w:val="00870192"/>
    <w:rsid w:val="008709CD"/>
    <w:rsid w:val="0087122E"/>
    <w:rsid w:val="00882689"/>
    <w:rsid w:val="00883880"/>
    <w:rsid w:val="00887424"/>
    <w:rsid w:val="0089706D"/>
    <w:rsid w:val="008A53B5"/>
    <w:rsid w:val="008A7743"/>
    <w:rsid w:val="008B2742"/>
    <w:rsid w:val="008B5319"/>
    <w:rsid w:val="008C6997"/>
    <w:rsid w:val="008C7676"/>
    <w:rsid w:val="008E4070"/>
    <w:rsid w:val="008E4FB6"/>
    <w:rsid w:val="008E70B5"/>
    <w:rsid w:val="008F1BB5"/>
    <w:rsid w:val="008F7756"/>
    <w:rsid w:val="0090236F"/>
    <w:rsid w:val="00903377"/>
    <w:rsid w:val="00914667"/>
    <w:rsid w:val="00921844"/>
    <w:rsid w:val="00931A89"/>
    <w:rsid w:val="009520A5"/>
    <w:rsid w:val="009535EF"/>
    <w:rsid w:val="00954FDB"/>
    <w:rsid w:val="00965114"/>
    <w:rsid w:val="0097083A"/>
    <w:rsid w:val="00970CBF"/>
    <w:rsid w:val="00970D59"/>
    <w:rsid w:val="0097368F"/>
    <w:rsid w:val="009751E3"/>
    <w:rsid w:val="00983AA4"/>
    <w:rsid w:val="00984849"/>
    <w:rsid w:val="00992FF7"/>
    <w:rsid w:val="009A4797"/>
    <w:rsid w:val="009B04E5"/>
    <w:rsid w:val="009C0184"/>
    <w:rsid w:val="009C0CB7"/>
    <w:rsid w:val="009C45C1"/>
    <w:rsid w:val="009C64E6"/>
    <w:rsid w:val="009C7E13"/>
    <w:rsid w:val="009D2D8B"/>
    <w:rsid w:val="009D3779"/>
    <w:rsid w:val="009F062E"/>
    <w:rsid w:val="00A0133F"/>
    <w:rsid w:val="00A029EA"/>
    <w:rsid w:val="00A11704"/>
    <w:rsid w:val="00A12F7E"/>
    <w:rsid w:val="00A1565F"/>
    <w:rsid w:val="00A2114C"/>
    <w:rsid w:val="00A25D87"/>
    <w:rsid w:val="00A309AB"/>
    <w:rsid w:val="00A31F5F"/>
    <w:rsid w:val="00A34BB1"/>
    <w:rsid w:val="00A37655"/>
    <w:rsid w:val="00A447C8"/>
    <w:rsid w:val="00A44E07"/>
    <w:rsid w:val="00A473AB"/>
    <w:rsid w:val="00A524CF"/>
    <w:rsid w:val="00A64984"/>
    <w:rsid w:val="00A72D8E"/>
    <w:rsid w:val="00A825E6"/>
    <w:rsid w:val="00A84CC1"/>
    <w:rsid w:val="00A96396"/>
    <w:rsid w:val="00AA0E3B"/>
    <w:rsid w:val="00AA26D3"/>
    <w:rsid w:val="00AB52AA"/>
    <w:rsid w:val="00AC0921"/>
    <w:rsid w:val="00AC0F7E"/>
    <w:rsid w:val="00AC42C5"/>
    <w:rsid w:val="00AD2F5F"/>
    <w:rsid w:val="00AF1572"/>
    <w:rsid w:val="00AF294E"/>
    <w:rsid w:val="00AF4639"/>
    <w:rsid w:val="00AF54CA"/>
    <w:rsid w:val="00AF745E"/>
    <w:rsid w:val="00B0261F"/>
    <w:rsid w:val="00B10A2E"/>
    <w:rsid w:val="00B1296F"/>
    <w:rsid w:val="00B147A8"/>
    <w:rsid w:val="00B16894"/>
    <w:rsid w:val="00B17F0A"/>
    <w:rsid w:val="00B2093E"/>
    <w:rsid w:val="00B20B65"/>
    <w:rsid w:val="00B22794"/>
    <w:rsid w:val="00B22E58"/>
    <w:rsid w:val="00B2546F"/>
    <w:rsid w:val="00B3514D"/>
    <w:rsid w:val="00B41B30"/>
    <w:rsid w:val="00B42E25"/>
    <w:rsid w:val="00B447B6"/>
    <w:rsid w:val="00B45669"/>
    <w:rsid w:val="00B47D6F"/>
    <w:rsid w:val="00B52AEE"/>
    <w:rsid w:val="00B6029E"/>
    <w:rsid w:val="00B61633"/>
    <w:rsid w:val="00B65D77"/>
    <w:rsid w:val="00B729AB"/>
    <w:rsid w:val="00B7500D"/>
    <w:rsid w:val="00B82565"/>
    <w:rsid w:val="00B906AC"/>
    <w:rsid w:val="00B92F56"/>
    <w:rsid w:val="00B947CD"/>
    <w:rsid w:val="00B94FB3"/>
    <w:rsid w:val="00BA0B1E"/>
    <w:rsid w:val="00BA2807"/>
    <w:rsid w:val="00BA3B7F"/>
    <w:rsid w:val="00BB1CB9"/>
    <w:rsid w:val="00BC087D"/>
    <w:rsid w:val="00BE0ED1"/>
    <w:rsid w:val="00BE5068"/>
    <w:rsid w:val="00C01A2C"/>
    <w:rsid w:val="00C05038"/>
    <w:rsid w:val="00C102B5"/>
    <w:rsid w:val="00C132CE"/>
    <w:rsid w:val="00C21485"/>
    <w:rsid w:val="00C24BB5"/>
    <w:rsid w:val="00C335D6"/>
    <w:rsid w:val="00C4451A"/>
    <w:rsid w:val="00C4605B"/>
    <w:rsid w:val="00C73CD6"/>
    <w:rsid w:val="00C749F1"/>
    <w:rsid w:val="00C802F4"/>
    <w:rsid w:val="00C81E0A"/>
    <w:rsid w:val="00C85236"/>
    <w:rsid w:val="00C85A9C"/>
    <w:rsid w:val="00C91A0C"/>
    <w:rsid w:val="00C96880"/>
    <w:rsid w:val="00CA11CE"/>
    <w:rsid w:val="00CB5EB5"/>
    <w:rsid w:val="00CC341C"/>
    <w:rsid w:val="00CD3017"/>
    <w:rsid w:val="00CD488E"/>
    <w:rsid w:val="00CE6E28"/>
    <w:rsid w:val="00CE726F"/>
    <w:rsid w:val="00CF55EF"/>
    <w:rsid w:val="00D02BC8"/>
    <w:rsid w:val="00D04A85"/>
    <w:rsid w:val="00D0601F"/>
    <w:rsid w:val="00D07DCE"/>
    <w:rsid w:val="00D121ED"/>
    <w:rsid w:val="00D178C1"/>
    <w:rsid w:val="00D178F9"/>
    <w:rsid w:val="00D22B7F"/>
    <w:rsid w:val="00D26499"/>
    <w:rsid w:val="00D32741"/>
    <w:rsid w:val="00D415EE"/>
    <w:rsid w:val="00D42A80"/>
    <w:rsid w:val="00D46D62"/>
    <w:rsid w:val="00D476E9"/>
    <w:rsid w:val="00D52EFF"/>
    <w:rsid w:val="00D563E3"/>
    <w:rsid w:val="00D565BB"/>
    <w:rsid w:val="00D6001F"/>
    <w:rsid w:val="00D6228C"/>
    <w:rsid w:val="00D636E8"/>
    <w:rsid w:val="00D73C7D"/>
    <w:rsid w:val="00D8089C"/>
    <w:rsid w:val="00D80F90"/>
    <w:rsid w:val="00D86FAD"/>
    <w:rsid w:val="00D9193E"/>
    <w:rsid w:val="00D92662"/>
    <w:rsid w:val="00D92AE5"/>
    <w:rsid w:val="00D96C32"/>
    <w:rsid w:val="00D97823"/>
    <w:rsid w:val="00DA54CC"/>
    <w:rsid w:val="00DA5B1F"/>
    <w:rsid w:val="00DC4486"/>
    <w:rsid w:val="00DC4F82"/>
    <w:rsid w:val="00DC6C0B"/>
    <w:rsid w:val="00DD2C74"/>
    <w:rsid w:val="00DD39E0"/>
    <w:rsid w:val="00DD3D9D"/>
    <w:rsid w:val="00DE0FF9"/>
    <w:rsid w:val="00DE2DCC"/>
    <w:rsid w:val="00DE6151"/>
    <w:rsid w:val="00DE73FA"/>
    <w:rsid w:val="00DF1B4E"/>
    <w:rsid w:val="00DF58A5"/>
    <w:rsid w:val="00E06342"/>
    <w:rsid w:val="00E074FF"/>
    <w:rsid w:val="00E2105A"/>
    <w:rsid w:val="00E4028D"/>
    <w:rsid w:val="00E47F76"/>
    <w:rsid w:val="00E5388A"/>
    <w:rsid w:val="00E56351"/>
    <w:rsid w:val="00E63B21"/>
    <w:rsid w:val="00E76802"/>
    <w:rsid w:val="00E772BB"/>
    <w:rsid w:val="00E77ACB"/>
    <w:rsid w:val="00E935AB"/>
    <w:rsid w:val="00E939D1"/>
    <w:rsid w:val="00EA0D4C"/>
    <w:rsid w:val="00EA3C3D"/>
    <w:rsid w:val="00EA52E2"/>
    <w:rsid w:val="00EB5613"/>
    <w:rsid w:val="00ED1627"/>
    <w:rsid w:val="00ED2601"/>
    <w:rsid w:val="00ED2D12"/>
    <w:rsid w:val="00EE1791"/>
    <w:rsid w:val="00EE6226"/>
    <w:rsid w:val="00EE70EA"/>
    <w:rsid w:val="00F01428"/>
    <w:rsid w:val="00F0479A"/>
    <w:rsid w:val="00F14D6C"/>
    <w:rsid w:val="00F20666"/>
    <w:rsid w:val="00F26708"/>
    <w:rsid w:val="00F26BDD"/>
    <w:rsid w:val="00F302F7"/>
    <w:rsid w:val="00F4241D"/>
    <w:rsid w:val="00F528E0"/>
    <w:rsid w:val="00F57692"/>
    <w:rsid w:val="00F777C5"/>
    <w:rsid w:val="00F80E89"/>
    <w:rsid w:val="00F83222"/>
    <w:rsid w:val="00F96AC9"/>
    <w:rsid w:val="00FA7E50"/>
    <w:rsid w:val="00FB100B"/>
    <w:rsid w:val="00FD0F24"/>
    <w:rsid w:val="00FD53A4"/>
    <w:rsid w:val="00FD755B"/>
    <w:rsid w:val="00FE3301"/>
    <w:rsid w:val="00FF2E9F"/>
    <w:rsid w:val="00FF3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13B5"/>
  <w15:chartTrackingRefBased/>
  <w15:docId w15:val="{9156F278-24BF-4033-ADF1-77F3C458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A8"/>
    <w:pPr>
      <w:spacing w:before="180" w:after="120" w:line="240" w:lineRule="auto"/>
    </w:pPr>
    <w:rPr>
      <w:rFonts w:eastAsia="Times New Roman"/>
      <w:lang w:val="en-US"/>
    </w:rPr>
  </w:style>
  <w:style w:type="paragraph" w:styleId="Heading1">
    <w:name w:val="heading 1"/>
    <w:basedOn w:val="Normal"/>
    <w:next w:val="Normal"/>
    <w:link w:val="Heading1Char"/>
    <w:uiPriority w:val="9"/>
    <w:qFormat/>
    <w:rsid w:val="00A447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B5E9F"/>
    <w:pPr>
      <w:spacing w:before="100" w:beforeAutospacing="1" w:after="100" w:afterAutospacing="1"/>
      <w:outlineLvl w:val="1"/>
    </w:pPr>
    <w:rPr>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8B"/>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41FA8"/>
    <w:rPr>
      <w:sz w:val="16"/>
      <w:szCs w:val="16"/>
    </w:rPr>
  </w:style>
  <w:style w:type="paragraph" w:styleId="CommentText">
    <w:name w:val="annotation text"/>
    <w:basedOn w:val="Normal"/>
    <w:link w:val="CommentTextChar"/>
    <w:uiPriority w:val="99"/>
    <w:unhideWhenUsed/>
    <w:rsid w:val="00141FA8"/>
    <w:rPr>
      <w:sz w:val="20"/>
      <w:szCs w:val="20"/>
    </w:rPr>
  </w:style>
  <w:style w:type="character" w:customStyle="1" w:styleId="CommentTextChar">
    <w:name w:val="Comment Text Char"/>
    <w:basedOn w:val="DefaultParagraphFont"/>
    <w:link w:val="CommentText"/>
    <w:uiPriority w:val="99"/>
    <w:rsid w:val="00141FA8"/>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292F4B"/>
    <w:rPr>
      <w:b/>
      <w:bCs/>
    </w:rPr>
  </w:style>
  <w:style w:type="character" w:customStyle="1" w:styleId="CommentSubjectChar">
    <w:name w:val="Comment Subject Char"/>
    <w:basedOn w:val="CommentTextChar"/>
    <w:link w:val="CommentSubject"/>
    <w:uiPriority w:val="99"/>
    <w:semiHidden/>
    <w:rsid w:val="00292F4B"/>
    <w:rPr>
      <w:rFonts w:eastAsia="Times New Roman"/>
      <w:b/>
      <w:bCs/>
      <w:sz w:val="20"/>
      <w:szCs w:val="20"/>
      <w:lang w:val="en-US"/>
    </w:rPr>
  </w:style>
  <w:style w:type="character" w:styleId="Hyperlink">
    <w:name w:val="Hyperlink"/>
    <w:basedOn w:val="DefaultParagraphFont"/>
    <w:uiPriority w:val="99"/>
    <w:unhideWhenUsed/>
    <w:rsid w:val="0068549C"/>
    <w:rPr>
      <w:color w:val="0000FF"/>
      <w:u w:val="single"/>
    </w:rPr>
  </w:style>
  <w:style w:type="character" w:styleId="UnresolvedMention">
    <w:name w:val="Unresolved Mention"/>
    <w:basedOn w:val="DefaultParagraphFont"/>
    <w:uiPriority w:val="99"/>
    <w:semiHidden/>
    <w:unhideWhenUsed/>
    <w:rsid w:val="0068549C"/>
    <w:rPr>
      <w:color w:val="605E5C"/>
      <w:shd w:val="clear" w:color="auto" w:fill="E1DFDD"/>
    </w:rPr>
  </w:style>
  <w:style w:type="paragraph" w:styleId="ListParagraph">
    <w:name w:val="List Paragraph"/>
    <w:basedOn w:val="Normal"/>
    <w:uiPriority w:val="34"/>
    <w:qFormat/>
    <w:rsid w:val="00AC0921"/>
    <w:pPr>
      <w:ind w:left="720"/>
      <w:contextualSpacing/>
    </w:pPr>
  </w:style>
  <w:style w:type="paragraph" w:styleId="Header">
    <w:name w:val="header"/>
    <w:basedOn w:val="Normal"/>
    <w:link w:val="HeaderChar"/>
    <w:uiPriority w:val="99"/>
    <w:unhideWhenUsed/>
    <w:rsid w:val="00D46D62"/>
    <w:pPr>
      <w:tabs>
        <w:tab w:val="center" w:pos="4513"/>
        <w:tab w:val="right" w:pos="9026"/>
      </w:tabs>
      <w:spacing w:before="0" w:after="0"/>
    </w:pPr>
  </w:style>
  <w:style w:type="character" w:customStyle="1" w:styleId="HeaderChar">
    <w:name w:val="Header Char"/>
    <w:basedOn w:val="DefaultParagraphFont"/>
    <w:link w:val="Header"/>
    <w:uiPriority w:val="99"/>
    <w:rsid w:val="00D46D62"/>
    <w:rPr>
      <w:rFonts w:eastAsia="Times New Roman"/>
      <w:lang w:val="en-US"/>
    </w:rPr>
  </w:style>
  <w:style w:type="paragraph" w:styleId="Footer">
    <w:name w:val="footer"/>
    <w:basedOn w:val="Normal"/>
    <w:link w:val="FooterChar"/>
    <w:uiPriority w:val="99"/>
    <w:unhideWhenUsed/>
    <w:rsid w:val="00D46D62"/>
    <w:pPr>
      <w:tabs>
        <w:tab w:val="center" w:pos="4513"/>
        <w:tab w:val="right" w:pos="9026"/>
      </w:tabs>
      <w:spacing w:before="0" w:after="0"/>
    </w:pPr>
  </w:style>
  <w:style w:type="character" w:customStyle="1" w:styleId="FooterChar">
    <w:name w:val="Footer Char"/>
    <w:basedOn w:val="DefaultParagraphFont"/>
    <w:link w:val="Footer"/>
    <w:uiPriority w:val="99"/>
    <w:rsid w:val="00D46D62"/>
    <w:rPr>
      <w:rFonts w:eastAsia="Times New Roman"/>
      <w:lang w:val="en-US"/>
    </w:rPr>
  </w:style>
  <w:style w:type="paragraph" w:customStyle="1" w:styleId="Definition">
    <w:name w:val="Definition"/>
    <w:aliases w:val="dd"/>
    <w:basedOn w:val="Normal"/>
    <w:rsid w:val="00B52AEE"/>
    <w:pPr>
      <w:spacing w:after="0"/>
      <w:ind w:left="1134"/>
    </w:pPr>
    <w:rPr>
      <w:sz w:val="22"/>
      <w:szCs w:val="20"/>
      <w:lang w:val="en-AU" w:eastAsia="en-AU"/>
    </w:rPr>
  </w:style>
  <w:style w:type="paragraph" w:customStyle="1" w:styleId="definition0">
    <w:name w:val="definition"/>
    <w:basedOn w:val="Normal"/>
    <w:rsid w:val="00B52AEE"/>
    <w:pPr>
      <w:spacing w:before="80" w:after="0" w:line="260" w:lineRule="exact"/>
      <w:ind w:left="964"/>
      <w:jc w:val="both"/>
    </w:pPr>
    <w:rPr>
      <w:lang w:val="en-AU" w:eastAsia="en-AU"/>
    </w:rPr>
  </w:style>
  <w:style w:type="character" w:customStyle="1" w:styleId="Heading2Char">
    <w:name w:val="Heading 2 Char"/>
    <w:basedOn w:val="DefaultParagraphFont"/>
    <w:link w:val="Heading2"/>
    <w:uiPriority w:val="9"/>
    <w:rsid w:val="004B5E9F"/>
    <w:rPr>
      <w:rFonts w:eastAsia="Times New Roman"/>
      <w:b/>
      <w:bCs/>
      <w:sz w:val="36"/>
      <w:szCs w:val="36"/>
      <w:lang w:eastAsia="en-AU"/>
    </w:rPr>
  </w:style>
  <w:style w:type="character" w:customStyle="1" w:styleId="Heading1Char">
    <w:name w:val="Heading 1 Char"/>
    <w:basedOn w:val="DefaultParagraphFont"/>
    <w:link w:val="Heading1"/>
    <w:uiPriority w:val="9"/>
    <w:rsid w:val="00A447C8"/>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591DA8"/>
    <w:pPr>
      <w:spacing w:after="0" w:line="240" w:lineRule="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275">
      <w:bodyDiv w:val="1"/>
      <w:marLeft w:val="0"/>
      <w:marRight w:val="0"/>
      <w:marTop w:val="0"/>
      <w:marBottom w:val="0"/>
      <w:divBdr>
        <w:top w:val="none" w:sz="0" w:space="0" w:color="auto"/>
        <w:left w:val="none" w:sz="0" w:space="0" w:color="auto"/>
        <w:bottom w:val="none" w:sz="0" w:space="0" w:color="auto"/>
        <w:right w:val="none" w:sz="0" w:space="0" w:color="auto"/>
      </w:divBdr>
    </w:div>
    <w:div w:id="79644562">
      <w:bodyDiv w:val="1"/>
      <w:marLeft w:val="0"/>
      <w:marRight w:val="0"/>
      <w:marTop w:val="0"/>
      <w:marBottom w:val="0"/>
      <w:divBdr>
        <w:top w:val="none" w:sz="0" w:space="0" w:color="auto"/>
        <w:left w:val="none" w:sz="0" w:space="0" w:color="auto"/>
        <w:bottom w:val="none" w:sz="0" w:space="0" w:color="auto"/>
        <w:right w:val="none" w:sz="0" w:space="0" w:color="auto"/>
      </w:divBdr>
    </w:div>
    <w:div w:id="123891371">
      <w:bodyDiv w:val="1"/>
      <w:marLeft w:val="0"/>
      <w:marRight w:val="0"/>
      <w:marTop w:val="0"/>
      <w:marBottom w:val="0"/>
      <w:divBdr>
        <w:top w:val="none" w:sz="0" w:space="0" w:color="auto"/>
        <w:left w:val="none" w:sz="0" w:space="0" w:color="auto"/>
        <w:bottom w:val="none" w:sz="0" w:space="0" w:color="auto"/>
        <w:right w:val="none" w:sz="0" w:space="0" w:color="auto"/>
      </w:divBdr>
    </w:div>
    <w:div w:id="187566835">
      <w:bodyDiv w:val="1"/>
      <w:marLeft w:val="0"/>
      <w:marRight w:val="0"/>
      <w:marTop w:val="0"/>
      <w:marBottom w:val="0"/>
      <w:divBdr>
        <w:top w:val="none" w:sz="0" w:space="0" w:color="auto"/>
        <w:left w:val="none" w:sz="0" w:space="0" w:color="auto"/>
        <w:bottom w:val="none" w:sz="0" w:space="0" w:color="auto"/>
        <w:right w:val="none" w:sz="0" w:space="0" w:color="auto"/>
      </w:divBdr>
    </w:div>
    <w:div w:id="252519857">
      <w:bodyDiv w:val="1"/>
      <w:marLeft w:val="0"/>
      <w:marRight w:val="0"/>
      <w:marTop w:val="0"/>
      <w:marBottom w:val="0"/>
      <w:divBdr>
        <w:top w:val="none" w:sz="0" w:space="0" w:color="auto"/>
        <w:left w:val="none" w:sz="0" w:space="0" w:color="auto"/>
        <w:bottom w:val="none" w:sz="0" w:space="0" w:color="auto"/>
        <w:right w:val="none" w:sz="0" w:space="0" w:color="auto"/>
      </w:divBdr>
    </w:div>
    <w:div w:id="454296431">
      <w:bodyDiv w:val="1"/>
      <w:marLeft w:val="0"/>
      <w:marRight w:val="0"/>
      <w:marTop w:val="0"/>
      <w:marBottom w:val="0"/>
      <w:divBdr>
        <w:top w:val="none" w:sz="0" w:space="0" w:color="auto"/>
        <w:left w:val="none" w:sz="0" w:space="0" w:color="auto"/>
        <w:bottom w:val="none" w:sz="0" w:space="0" w:color="auto"/>
        <w:right w:val="none" w:sz="0" w:space="0" w:color="auto"/>
      </w:divBdr>
    </w:div>
    <w:div w:id="667946232">
      <w:bodyDiv w:val="1"/>
      <w:marLeft w:val="0"/>
      <w:marRight w:val="0"/>
      <w:marTop w:val="0"/>
      <w:marBottom w:val="0"/>
      <w:divBdr>
        <w:top w:val="none" w:sz="0" w:space="0" w:color="auto"/>
        <w:left w:val="none" w:sz="0" w:space="0" w:color="auto"/>
        <w:bottom w:val="none" w:sz="0" w:space="0" w:color="auto"/>
        <w:right w:val="none" w:sz="0" w:space="0" w:color="auto"/>
      </w:divBdr>
    </w:div>
    <w:div w:id="694843705">
      <w:bodyDiv w:val="1"/>
      <w:marLeft w:val="0"/>
      <w:marRight w:val="0"/>
      <w:marTop w:val="0"/>
      <w:marBottom w:val="0"/>
      <w:divBdr>
        <w:top w:val="none" w:sz="0" w:space="0" w:color="auto"/>
        <w:left w:val="none" w:sz="0" w:space="0" w:color="auto"/>
        <w:bottom w:val="none" w:sz="0" w:space="0" w:color="auto"/>
        <w:right w:val="none" w:sz="0" w:space="0" w:color="auto"/>
      </w:divBdr>
    </w:div>
    <w:div w:id="727917483">
      <w:bodyDiv w:val="1"/>
      <w:marLeft w:val="0"/>
      <w:marRight w:val="0"/>
      <w:marTop w:val="0"/>
      <w:marBottom w:val="0"/>
      <w:divBdr>
        <w:top w:val="none" w:sz="0" w:space="0" w:color="auto"/>
        <w:left w:val="none" w:sz="0" w:space="0" w:color="auto"/>
        <w:bottom w:val="none" w:sz="0" w:space="0" w:color="auto"/>
        <w:right w:val="none" w:sz="0" w:space="0" w:color="auto"/>
      </w:divBdr>
    </w:div>
    <w:div w:id="876429178">
      <w:bodyDiv w:val="1"/>
      <w:marLeft w:val="0"/>
      <w:marRight w:val="0"/>
      <w:marTop w:val="0"/>
      <w:marBottom w:val="0"/>
      <w:divBdr>
        <w:top w:val="none" w:sz="0" w:space="0" w:color="auto"/>
        <w:left w:val="none" w:sz="0" w:space="0" w:color="auto"/>
        <w:bottom w:val="none" w:sz="0" w:space="0" w:color="auto"/>
        <w:right w:val="none" w:sz="0" w:space="0" w:color="auto"/>
      </w:divBdr>
    </w:div>
    <w:div w:id="973172739">
      <w:bodyDiv w:val="1"/>
      <w:marLeft w:val="0"/>
      <w:marRight w:val="0"/>
      <w:marTop w:val="0"/>
      <w:marBottom w:val="0"/>
      <w:divBdr>
        <w:top w:val="none" w:sz="0" w:space="0" w:color="auto"/>
        <w:left w:val="none" w:sz="0" w:space="0" w:color="auto"/>
        <w:bottom w:val="none" w:sz="0" w:space="0" w:color="auto"/>
        <w:right w:val="none" w:sz="0" w:space="0" w:color="auto"/>
      </w:divBdr>
    </w:div>
    <w:div w:id="979460342">
      <w:bodyDiv w:val="1"/>
      <w:marLeft w:val="0"/>
      <w:marRight w:val="0"/>
      <w:marTop w:val="0"/>
      <w:marBottom w:val="0"/>
      <w:divBdr>
        <w:top w:val="none" w:sz="0" w:space="0" w:color="auto"/>
        <w:left w:val="none" w:sz="0" w:space="0" w:color="auto"/>
        <w:bottom w:val="none" w:sz="0" w:space="0" w:color="auto"/>
        <w:right w:val="none" w:sz="0" w:space="0" w:color="auto"/>
      </w:divBdr>
    </w:div>
    <w:div w:id="1077095623">
      <w:bodyDiv w:val="1"/>
      <w:marLeft w:val="0"/>
      <w:marRight w:val="0"/>
      <w:marTop w:val="0"/>
      <w:marBottom w:val="0"/>
      <w:divBdr>
        <w:top w:val="none" w:sz="0" w:space="0" w:color="auto"/>
        <w:left w:val="none" w:sz="0" w:space="0" w:color="auto"/>
        <w:bottom w:val="none" w:sz="0" w:space="0" w:color="auto"/>
        <w:right w:val="none" w:sz="0" w:space="0" w:color="auto"/>
      </w:divBdr>
    </w:div>
    <w:div w:id="1238637153">
      <w:bodyDiv w:val="1"/>
      <w:marLeft w:val="0"/>
      <w:marRight w:val="0"/>
      <w:marTop w:val="0"/>
      <w:marBottom w:val="0"/>
      <w:divBdr>
        <w:top w:val="none" w:sz="0" w:space="0" w:color="auto"/>
        <w:left w:val="none" w:sz="0" w:space="0" w:color="auto"/>
        <w:bottom w:val="none" w:sz="0" w:space="0" w:color="auto"/>
        <w:right w:val="none" w:sz="0" w:space="0" w:color="auto"/>
      </w:divBdr>
    </w:div>
    <w:div w:id="1416631960">
      <w:bodyDiv w:val="1"/>
      <w:marLeft w:val="0"/>
      <w:marRight w:val="0"/>
      <w:marTop w:val="0"/>
      <w:marBottom w:val="0"/>
      <w:divBdr>
        <w:top w:val="none" w:sz="0" w:space="0" w:color="auto"/>
        <w:left w:val="none" w:sz="0" w:space="0" w:color="auto"/>
        <w:bottom w:val="none" w:sz="0" w:space="0" w:color="auto"/>
        <w:right w:val="none" w:sz="0" w:space="0" w:color="auto"/>
      </w:divBdr>
    </w:div>
    <w:div w:id="1467353088">
      <w:bodyDiv w:val="1"/>
      <w:marLeft w:val="0"/>
      <w:marRight w:val="0"/>
      <w:marTop w:val="0"/>
      <w:marBottom w:val="0"/>
      <w:divBdr>
        <w:top w:val="none" w:sz="0" w:space="0" w:color="auto"/>
        <w:left w:val="none" w:sz="0" w:space="0" w:color="auto"/>
        <w:bottom w:val="none" w:sz="0" w:space="0" w:color="auto"/>
        <w:right w:val="none" w:sz="0" w:space="0" w:color="auto"/>
      </w:divBdr>
    </w:div>
    <w:div w:id="1857845572">
      <w:bodyDiv w:val="1"/>
      <w:marLeft w:val="0"/>
      <w:marRight w:val="0"/>
      <w:marTop w:val="0"/>
      <w:marBottom w:val="0"/>
      <w:divBdr>
        <w:top w:val="none" w:sz="0" w:space="0" w:color="auto"/>
        <w:left w:val="none" w:sz="0" w:space="0" w:color="auto"/>
        <w:bottom w:val="none" w:sz="0" w:space="0" w:color="auto"/>
        <w:right w:val="none" w:sz="0" w:space="0" w:color="auto"/>
      </w:divBdr>
    </w:div>
    <w:div w:id="1952202907">
      <w:bodyDiv w:val="1"/>
      <w:marLeft w:val="0"/>
      <w:marRight w:val="0"/>
      <w:marTop w:val="0"/>
      <w:marBottom w:val="0"/>
      <w:divBdr>
        <w:top w:val="none" w:sz="0" w:space="0" w:color="auto"/>
        <w:left w:val="none" w:sz="0" w:space="0" w:color="auto"/>
        <w:bottom w:val="none" w:sz="0" w:space="0" w:color="auto"/>
        <w:right w:val="none" w:sz="0" w:space="0" w:color="auto"/>
      </w:divBdr>
    </w:div>
    <w:div w:id="20560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1D174-53F2-4A73-AB09-81F4059C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5239</Words>
  <Characters>29866</Characters>
  <Application>Microsoft Office Word</Application>
  <DocSecurity>4</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Callum</dc:creator>
  <cp:keywords/>
  <dc:description/>
  <cp:lastModifiedBy>SINNATHAMBY, Priya</cp:lastModifiedBy>
  <cp:revision>2</cp:revision>
  <dcterms:created xsi:type="dcterms:W3CDTF">2023-09-19T01:49:00Z</dcterms:created>
  <dcterms:modified xsi:type="dcterms:W3CDTF">2023-09-19T01:49:00Z</dcterms:modified>
</cp:coreProperties>
</file>