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82AA" w14:textId="2A997226" w:rsidR="00331886" w:rsidRDefault="003E4922" w:rsidP="00E30E8E">
      <w:pPr>
        <w:spacing w:before="240" w:after="1200"/>
        <w:rPr>
          <w:sz w:val="28"/>
        </w:rPr>
      </w:pPr>
      <w:r>
        <w:rPr>
          <w:noProof/>
        </w:rPr>
        <w:drawing>
          <wp:inline distT="0" distB="0" distL="0" distR="0" wp14:anchorId="50C3BB93" wp14:editId="7FFFD602">
            <wp:extent cx="3542030" cy="756285"/>
            <wp:effectExtent l="0" t="0" r="1270" b="5715"/>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wealth Coat of Arms and ASIC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2030" cy="756285"/>
                    </a:xfrm>
                    <a:prstGeom prst="rect">
                      <a:avLst/>
                    </a:prstGeom>
                    <a:noFill/>
                  </pic:spPr>
                </pic:pic>
              </a:graphicData>
            </a:graphic>
          </wp:inline>
        </w:drawing>
      </w:r>
    </w:p>
    <w:p w14:paraId="022CD691" w14:textId="1126B0B6" w:rsidR="008436B5" w:rsidRPr="00243EC0" w:rsidRDefault="008436B5" w:rsidP="00124396">
      <w:pPr>
        <w:pStyle w:val="LI-Title"/>
        <w:pBdr>
          <w:top w:val="none" w:sz="0" w:space="0" w:color="auto"/>
        </w:pBdr>
        <w:spacing w:after="480"/>
      </w:pPr>
      <w:bookmarkStart w:id="0" w:name="_Hlk146726770"/>
      <w:r w:rsidRPr="00F61B09">
        <w:t>A</w:t>
      </w:r>
      <w:r>
        <w:t xml:space="preserve">SIC </w:t>
      </w:r>
      <w:r w:rsidRPr="005D3D41">
        <w:t>Corporations (</w:t>
      </w:r>
      <w:r w:rsidR="007F40AF" w:rsidRPr="007F40AF">
        <w:t>Reporting by Stapled Entities</w:t>
      </w:r>
      <w:r>
        <w:t xml:space="preserve">) Instrument </w:t>
      </w:r>
      <w:r w:rsidR="00431008">
        <w:t>2023</w:t>
      </w:r>
      <w:r>
        <w:t>/</w:t>
      </w:r>
      <w:r w:rsidR="00431008">
        <w:t>673</w:t>
      </w:r>
    </w:p>
    <w:bookmarkEnd w:id="0"/>
    <w:p w14:paraId="43371A29" w14:textId="65C796C3" w:rsidR="00331886" w:rsidRPr="00C74359" w:rsidRDefault="00331886" w:rsidP="00C155FF">
      <w:pPr>
        <w:pStyle w:val="LI-Fronttext"/>
        <w:spacing w:after="960"/>
        <w:rPr>
          <w:i/>
          <w:iCs/>
        </w:rPr>
      </w:pPr>
      <w:r w:rsidRPr="00FE3E0A">
        <w:t xml:space="preserve">made under </w:t>
      </w:r>
      <w:r w:rsidR="00C74359">
        <w:t xml:space="preserve">subsection 341(1) </w:t>
      </w:r>
      <w:r w:rsidRPr="00FE3E0A">
        <w:t>of the</w:t>
      </w:r>
      <w:r w:rsidR="00C64D92" w:rsidRPr="00FE3E0A">
        <w:br/>
      </w:r>
      <w:r w:rsidR="00C74359">
        <w:rPr>
          <w:i/>
          <w:iCs/>
        </w:rPr>
        <w:t>Corporations Act 2001</w:t>
      </w:r>
    </w:p>
    <w:p w14:paraId="33F36E56" w14:textId="798CA90A" w:rsidR="00331886" w:rsidRPr="00FE3E0A" w:rsidRDefault="00331886" w:rsidP="00FE3E0A">
      <w:pPr>
        <w:pStyle w:val="LI-Fronttext"/>
        <w:ind w:left="3260" w:hanging="3260"/>
        <w:rPr>
          <w:i/>
          <w:iCs/>
        </w:rPr>
      </w:pPr>
      <w:r w:rsidRPr="002F20EC">
        <w:rPr>
          <w:b/>
          <w:sz w:val="32"/>
          <w:szCs w:val="32"/>
        </w:rPr>
        <w:t>Compilation No. </w:t>
      </w:r>
      <w:r w:rsidR="009A2145">
        <w:rPr>
          <w:b/>
          <w:sz w:val="32"/>
          <w:szCs w:val="32"/>
        </w:rPr>
        <w:t>1</w:t>
      </w:r>
      <w:r w:rsidR="00F93664">
        <w:rPr>
          <w:b/>
          <w:sz w:val="32"/>
          <w:szCs w:val="32"/>
        </w:rPr>
        <w:tab/>
      </w:r>
    </w:p>
    <w:p w14:paraId="1CDCB21C" w14:textId="50448EE8" w:rsidR="00331886" w:rsidRPr="00BF6E78" w:rsidRDefault="00331886" w:rsidP="00B45D66">
      <w:pPr>
        <w:pStyle w:val="LI-Fronttext"/>
        <w:ind w:left="3260" w:hanging="3260"/>
      </w:pPr>
      <w:r w:rsidRPr="002F20EC">
        <w:rPr>
          <w:b/>
        </w:rPr>
        <w:t>Compilation date:</w:t>
      </w:r>
      <w:r w:rsidRPr="002F20EC">
        <w:tab/>
      </w:r>
      <w:r w:rsidR="005B12E9">
        <w:rPr>
          <w:b/>
          <w:bCs/>
        </w:rPr>
        <w:t>01/04/2025</w:t>
      </w:r>
      <w:r w:rsidR="009518A4" w:rsidRPr="00BF6E78">
        <w:t xml:space="preserve"> </w:t>
      </w:r>
    </w:p>
    <w:p w14:paraId="59A99FFB" w14:textId="1DB7A83E" w:rsidR="00331886" w:rsidRPr="0030751C" w:rsidRDefault="00331886" w:rsidP="00B45D66">
      <w:pPr>
        <w:pStyle w:val="LI-Fronttext"/>
        <w:ind w:left="3260" w:hanging="3260"/>
      </w:pPr>
      <w:r w:rsidRPr="002F20EC">
        <w:rPr>
          <w:b/>
        </w:rPr>
        <w:t>Includes amendments up to:</w:t>
      </w:r>
      <w:r w:rsidRPr="002F20EC">
        <w:tab/>
      </w:r>
      <w:r w:rsidR="00591186" w:rsidRPr="008E6565">
        <w:rPr>
          <w:b/>
          <w:bCs/>
        </w:rPr>
        <w:t>F2025L00421</w:t>
      </w:r>
      <w:r w:rsidR="00690D3E">
        <w:rPr>
          <w:b/>
          <w:bCs/>
          <w:i/>
          <w:iCs/>
        </w:rPr>
        <w:t xml:space="preserve"> </w:t>
      </w:r>
    </w:p>
    <w:p w14:paraId="3AACF624" w14:textId="77777777" w:rsidR="007E1BFD" w:rsidRDefault="007E1BFD" w:rsidP="00FE3E0A">
      <w:pPr>
        <w:pStyle w:val="LI-Fronttext"/>
        <w:sectPr w:rsidR="007E1BFD" w:rsidSect="00F05B89">
          <w:headerReference w:type="default" r:id="rId14"/>
          <w:footerReference w:type="even" r:id="rId15"/>
          <w:footerReference w:type="default" r:id="rId16"/>
          <w:footerReference w:type="first" r:id="rId17"/>
          <w:type w:val="continuous"/>
          <w:pgSz w:w="11907" w:h="16839" w:code="9"/>
          <w:pgMar w:top="1440" w:right="1797" w:bottom="1440" w:left="1797" w:header="720" w:footer="709" w:gutter="0"/>
          <w:cols w:space="708"/>
          <w:titlePg/>
          <w:docGrid w:linePitch="360"/>
        </w:sectPr>
      </w:pPr>
    </w:p>
    <w:p w14:paraId="0B85060D" w14:textId="77777777" w:rsidR="00331886" w:rsidRPr="00124396" w:rsidRDefault="00331886" w:rsidP="00D14EEC">
      <w:pPr>
        <w:pStyle w:val="LI-Fronttextheading1"/>
        <w:outlineLvl w:val="9"/>
      </w:pPr>
      <w:r w:rsidRPr="00124396">
        <w:lastRenderedPageBreak/>
        <w:t>About this compilation</w:t>
      </w:r>
    </w:p>
    <w:p w14:paraId="0945C5AA" w14:textId="77777777" w:rsidR="00331886" w:rsidRPr="008D6E8D" w:rsidRDefault="00331886" w:rsidP="00D14EEC">
      <w:pPr>
        <w:pStyle w:val="LI-Fronttextheading2"/>
        <w:outlineLvl w:val="9"/>
      </w:pPr>
      <w:r w:rsidRPr="008D6E8D">
        <w:t xml:space="preserve">This </w:t>
      </w:r>
      <w:r w:rsidRPr="002E0D2E">
        <w:t>compilation</w:t>
      </w:r>
    </w:p>
    <w:p w14:paraId="54BCD34A" w14:textId="769E8FC7" w:rsidR="00331886" w:rsidRPr="00042EA7" w:rsidRDefault="00331886" w:rsidP="00FE3E0A">
      <w:pPr>
        <w:pStyle w:val="LI-Fronttext"/>
      </w:pPr>
      <w:r w:rsidRPr="00042EA7">
        <w:t>This is a compilation of the</w:t>
      </w:r>
      <w:r w:rsidR="00987577">
        <w:t xml:space="preserve"> </w:t>
      </w:r>
      <w:r w:rsidR="00305EF0" w:rsidRPr="00305EF0">
        <w:rPr>
          <w:i/>
          <w:iCs/>
        </w:rPr>
        <w:t>ASIC Corporations (Reporting by Stapled Entities) Instrument 2023/673</w:t>
      </w:r>
      <w:r w:rsidR="00761E0D" w:rsidRPr="00E71C9C">
        <w:rPr>
          <w:i/>
          <w:iCs/>
        </w:rPr>
        <w:t xml:space="preserve"> </w:t>
      </w:r>
      <w:r w:rsidRPr="00042EA7">
        <w:t xml:space="preserve">that shows the text of the law as amended and in force on </w:t>
      </w:r>
      <w:r w:rsidR="00305EF0">
        <w:t>01/04/2025</w:t>
      </w:r>
      <w:r w:rsidRPr="00042EA7">
        <w:t xml:space="preserve"> (the </w:t>
      </w:r>
      <w:r w:rsidRPr="00E71C9C">
        <w:rPr>
          <w:b/>
          <w:i/>
          <w:iCs/>
        </w:rPr>
        <w:t>compilation date</w:t>
      </w:r>
      <w:r w:rsidRPr="00E71C9C">
        <w:t>).</w:t>
      </w:r>
    </w:p>
    <w:p w14:paraId="6B029120" w14:textId="77777777" w:rsidR="00331886" w:rsidRPr="00042EA7" w:rsidRDefault="00331886" w:rsidP="00FE3E0A">
      <w:pPr>
        <w:pStyle w:val="LI-Fronttext"/>
      </w:pPr>
      <w:r w:rsidRPr="00042EA7">
        <w:t xml:space="preserve">The notes at the end of this compilation (the </w:t>
      </w:r>
      <w:r w:rsidRPr="00D74BE7">
        <w:rPr>
          <w:b/>
          <w:bCs/>
          <w:i/>
        </w:rPr>
        <w:t>endnotes</w:t>
      </w:r>
      <w:r w:rsidRPr="00042EA7">
        <w:t>) include information about amending laws and the amendment history of provisions of the compiled law.</w:t>
      </w:r>
    </w:p>
    <w:p w14:paraId="5C867142" w14:textId="77777777" w:rsidR="00331886" w:rsidRPr="002E0D2E" w:rsidRDefault="00331886" w:rsidP="00D14EEC">
      <w:pPr>
        <w:pStyle w:val="LI-Fronttextheading2"/>
        <w:outlineLvl w:val="9"/>
      </w:pPr>
      <w:r w:rsidRPr="008D6E8D">
        <w:t>Uncommenced amendments</w:t>
      </w:r>
    </w:p>
    <w:p w14:paraId="2CB3DBE7" w14:textId="77777777" w:rsidR="00331886" w:rsidRPr="00042EA7" w:rsidRDefault="00331886" w:rsidP="00FE3E0A">
      <w:pPr>
        <w:pStyle w:val="LI-Fronttext"/>
      </w:pPr>
      <w:r w:rsidRPr="00042EA7">
        <w:t xml:space="preserve">The effect of uncommenced amendments is not shown in the text of the compiled law. Any uncommenced amendments affecting the law are accessible on </w:t>
      </w:r>
      <w:r>
        <w:t>the Register</w:t>
      </w:r>
      <w:r w:rsidRPr="00042EA7">
        <w:t xml:space="preserve"> (www.</w:t>
      </w:r>
      <w:r>
        <w:t>legislation</w:t>
      </w:r>
      <w:r w:rsidRPr="00042EA7">
        <w:t xml:space="preserve">.gov.au). The details of amendments made up to, but not commenced at, the compilation date are underlined in the endnotes. For more information on any uncommenced amendments, see the </w:t>
      </w:r>
      <w:r>
        <w:t>Register</w:t>
      </w:r>
      <w:r w:rsidRPr="00042EA7">
        <w:t xml:space="preserve"> for the compiled law.</w:t>
      </w:r>
    </w:p>
    <w:p w14:paraId="0B07E81D" w14:textId="77777777" w:rsidR="00331886" w:rsidRPr="008B4058" w:rsidRDefault="00331886" w:rsidP="00D14EEC">
      <w:pPr>
        <w:pStyle w:val="LI-Fronttextheading2"/>
        <w:outlineLvl w:val="9"/>
      </w:pPr>
      <w:r w:rsidRPr="008D6E8D">
        <w:t>Application, saving and transitional provisions for provisions and amendments</w:t>
      </w:r>
    </w:p>
    <w:p w14:paraId="4960670B" w14:textId="77777777" w:rsidR="00331886" w:rsidRPr="00042EA7" w:rsidRDefault="00331886" w:rsidP="00FE3E0A">
      <w:pPr>
        <w:pStyle w:val="LI-Fronttext"/>
      </w:pPr>
      <w:r w:rsidRPr="00042EA7">
        <w:t>If the operation of a provision or amendment of the compiled law is affected by an application, saving or transitional provision that is not included in this compilation, details are included in the endnotes.</w:t>
      </w:r>
    </w:p>
    <w:p w14:paraId="125DE7EB" w14:textId="77777777" w:rsidR="00331886" w:rsidRPr="008B4058" w:rsidRDefault="00331886" w:rsidP="00D14EEC">
      <w:pPr>
        <w:pStyle w:val="LI-Fronttextheading2"/>
        <w:outlineLvl w:val="9"/>
      </w:pPr>
      <w:r w:rsidRPr="008D6E8D">
        <w:t>Modifications</w:t>
      </w:r>
    </w:p>
    <w:p w14:paraId="3796CA75" w14:textId="77777777" w:rsidR="00331886" w:rsidRPr="00042EA7" w:rsidRDefault="00331886" w:rsidP="00FE3E0A">
      <w:pPr>
        <w:pStyle w:val="LI-Fronttext"/>
      </w:pPr>
      <w:r w:rsidRPr="00042EA7">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w:t>
      </w:r>
      <w:r>
        <w:t>Register</w:t>
      </w:r>
      <w:r w:rsidRPr="00042EA7">
        <w:t xml:space="preserve"> for the compiled law.</w:t>
      </w:r>
    </w:p>
    <w:p w14:paraId="2EE1CB2A" w14:textId="77777777" w:rsidR="00331886" w:rsidRPr="008B30F4" w:rsidRDefault="00331886" w:rsidP="00D14EEC">
      <w:pPr>
        <w:pStyle w:val="LI-Fronttextheading2"/>
        <w:outlineLvl w:val="9"/>
      </w:pPr>
      <w:r w:rsidRPr="008D6E8D">
        <w:t>Self</w:t>
      </w:r>
      <w:r w:rsidRPr="008D6E8D">
        <w:noBreakHyphen/>
        <w:t>repealing provisions</w:t>
      </w:r>
    </w:p>
    <w:p w14:paraId="118DDD9B" w14:textId="77777777" w:rsidR="00D766AF" w:rsidRDefault="00331886" w:rsidP="00FE3E0A">
      <w:pPr>
        <w:pStyle w:val="LI-Fronttext"/>
      </w:pPr>
      <w:r w:rsidRPr="00042EA7">
        <w:t>If a provision of the compiled law has been repealed in accordance with a provision of the law, details are included in the endnotes.</w:t>
      </w:r>
      <w:bookmarkStart w:id="1" w:name="BKCheck15B_2"/>
      <w:bookmarkEnd w:id="1"/>
    </w:p>
    <w:p w14:paraId="4B54F372" w14:textId="5224202C" w:rsidR="003511EA" w:rsidRPr="00A91876" w:rsidRDefault="003511EA" w:rsidP="009F26E8">
      <w:pPr>
        <w:pStyle w:val="LI-Contentsheading"/>
      </w:pPr>
      <w:r w:rsidRPr="00A91876">
        <w:lastRenderedPageBreak/>
        <w:t>Contents</w:t>
      </w:r>
    </w:p>
    <w:p w14:paraId="74D671F5" w14:textId="7711FDFB" w:rsidR="00C60C52" w:rsidRDefault="00A82C77">
      <w:pPr>
        <w:pStyle w:val="TOC1"/>
        <w:tabs>
          <w:tab w:val="right" w:leader="dot" w:pos="8303"/>
        </w:tabs>
        <w:rPr>
          <w:rFonts w:asciiTheme="minorHAnsi" w:eastAsiaTheme="minorEastAsia" w:hAnsiTheme="minorHAnsi" w:cstheme="minorBidi"/>
          <w:b w:val="0"/>
          <w:noProof/>
          <w:kern w:val="2"/>
          <w:szCs w:val="24"/>
          <w14:ligatures w14:val="standardContextual"/>
        </w:rPr>
      </w:pPr>
      <w:r>
        <w:rPr>
          <w:sz w:val="28"/>
        </w:rPr>
        <w:fldChar w:fldCharType="begin"/>
      </w:r>
      <w:r>
        <w:rPr>
          <w:sz w:val="28"/>
        </w:rPr>
        <w:instrText xml:space="preserve"> TOC \o "1-2" \h \z \u </w:instrText>
      </w:r>
      <w:r>
        <w:rPr>
          <w:sz w:val="28"/>
        </w:rPr>
        <w:fldChar w:fldCharType="separate"/>
      </w:r>
      <w:hyperlink w:anchor="_Toc194417970" w:history="1">
        <w:r w:rsidR="00C60C52" w:rsidRPr="00886996">
          <w:rPr>
            <w:rStyle w:val="Hyperlink"/>
            <w:noProof/>
          </w:rPr>
          <w:t>Part 1—Preliminary</w:t>
        </w:r>
        <w:r w:rsidR="00C60C52">
          <w:rPr>
            <w:noProof/>
            <w:webHidden/>
          </w:rPr>
          <w:tab/>
        </w:r>
        <w:r w:rsidR="00C60C52">
          <w:rPr>
            <w:noProof/>
            <w:webHidden/>
          </w:rPr>
          <w:fldChar w:fldCharType="begin"/>
        </w:r>
        <w:r w:rsidR="00C60C52">
          <w:rPr>
            <w:noProof/>
            <w:webHidden/>
          </w:rPr>
          <w:instrText xml:space="preserve"> PAGEREF _Toc194417970 \h </w:instrText>
        </w:r>
        <w:r w:rsidR="00C60C52">
          <w:rPr>
            <w:noProof/>
            <w:webHidden/>
          </w:rPr>
        </w:r>
        <w:r w:rsidR="00C60C52">
          <w:rPr>
            <w:noProof/>
            <w:webHidden/>
          </w:rPr>
          <w:fldChar w:fldCharType="separate"/>
        </w:r>
        <w:r w:rsidR="00C60C52">
          <w:rPr>
            <w:noProof/>
            <w:webHidden/>
          </w:rPr>
          <w:t>4</w:t>
        </w:r>
        <w:r w:rsidR="00C60C52">
          <w:rPr>
            <w:noProof/>
            <w:webHidden/>
          </w:rPr>
          <w:fldChar w:fldCharType="end"/>
        </w:r>
      </w:hyperlink>
    </w:p>
    <w:p w14:paraId="61DEB285" w14:textId="0EE9A1F0" w:rsidR="00C60C52" w:rsidRDefault="00C60C52">
      <w:pPr>
        <w:pStyle w:val="TOC2"/>
        <w:tabs>
          <w:tab w:val="left" w:pos="720"/>
        </w:tabs>
        <w:rPr>
          <w:rFonts w:asciiTheme="minorHAnsi" w:eastAsiaTheme="minorEastAsia" w:hAnsiTheme="minorHAnsi" w:cstheme="minorBidi"/>
          <w:kern w:val="2"/>
          <w:szCs w:val="24"/>
          <w14:ligatures w14:val="standardContextual"/>
        </w:rPr>
      </w:pPr>
      <w:hyperlink w:anchor="_Toc194417971" w:history="1">
        <w:r w:rsidRPr="00886996">
          <w:rPr>
            <w:rStyle w:val="Hyperlink"/>
            <w:b/>
            <w:kern w:val="28"/>
          </w:rPr>
          <w:t>1</w:t>
        </w:r>
        <w:r>
          <w:rPr>
            <w:rFonts w:asciiTheme="minorHAnsi" w:eastAsiaTheme="minorEastAsia" w:hAnsiTheme="minorHAnsi" w:cstheme="minorBidi"/>
            <w:kern w:val="2"/>
            <w:szCs w:val="24"/>
            <w14:ligatures w14:val="standardContextual"/>
          </w:rPr>
          <w:tab/>
        </w:r>
        <w:r w:rsidRPr="00886996">
          <w:rPr>
            <w:rStyle w:val="Hyperlink"/>
            <w:b/>
            <w:kern w:val="28"/>
          </w:rPr>
          <w:t>Name of legislative instrument</w:t>
        </w:r>
        <w:r>
          <w:rPr>
            <w:webHidden/>
          </w:rPr>
          <w:tab/>
        </w:r>
        <w:r>
          <w:rPr>
            <w:webHidden/>
          </w:rPr>
          <w:fldChar w:fldCharType="begin"/>
        </w:r>
        <w:r>
          <w:rPr>
            <w:webHidden/>
          </w:rPr>
          <w:instrText xml:space="preserve"> PAGEREF _Toc194417971 \h </w:instrText>
        </w:r>
        <w:r>
          <w:rPr>
            <w:webHidden/>
          </w:rPr>
        </w:r>
        <w:r>
          <w:rPr>
            <w:webHidden/>
          </w:rPr>
          <w:fldChar w:fldCharType="separate"/>
        </w:r>
        <w:r>
          <w:rPr>
            <w:webHidden/>
          </w:rPr>
          <w:t>4</w:t>
        </w:r>
        <w:r>
          <w:rPr>
            <w:webHidden/>
          </w:rPr>
          <w:fldChar w:fldCharType="end"/>
        </w:r>
      </w:hyperlink>
    </w:p>
    <w:p w14:paraId="37739586" w14:textId="3F202EAB" w:rsidR="00C60C52" w:rsidRDefault="00C60C52">
      <w:pPr>
        <w:pStyle w:val="TOC2"/>
        <w:tabs>
          <w:tab w:val="left" w:pos="720"/>
        </w:tabs>
        <w:rPr>
          <w:rFonts w:asciiTheme="minorHAnsi" w:eastAsiaTheme="minorEastAsia" w:hAnsiTheme="minorHAnsi" w:cstheme="minorBidi"/>
          <w:kern w:val="2"/>
          <w:szCs w:val="24"/>
          <w14:ligatures w14:val="standardContextual"/>
        </w:rPr>
      </w:pPr>
      <w:hyperlink w:anchor="_Toc194417972" w:history="1">
        <w:r w:rsidRPr="00886996">
          <w:rPr>
            <w:rStyle w:val="Hyperlink"/>
            <w:b/>
            <w:kern w:val="28"/>
          </w:rPr>
          <w:t>3</w:t>
        </w:r>
        <w:r>
          <w:rPr>
            <w:rFonts w:asciiTheme="minorHAnsi" w:eastAsiaTheme="minorEastAsia" w:hAnsiTheme="minorHAnsi" w:cstheme="minorBidi"/>
            <w:kern w:val="2"/>
            <w:szCs w:val="24"/>
            <w14:ligatures w14:val="standardContextual"/>
          </w:rPr>
          <w:tab/>
        </w:r>
        <w:r w:rsidRPr="00886996">
          <w:rPr>
            <w:rStyle w:val="Hyperlink"/>
            <w:b/>
            <w:kern w:val="28"/>
          </w:rPr>
          <w:t>Authority</w:t>
        </w:r>
        <w:r>
          <w:rPr>
            <w:webHidden/>
          </w:rPr>
          <w:tab/>
        </w:r>
        <w:r>
          <w:rPr>
            <w:webHidden/>
          </w:rPr>
          <w:fldChar w:fldCharType="begin"/>
        </w:r>
        <w:r>
          <w:rPr>
            <w:webHidden/>
          </w:rPr>
          <w:instrText xml:space="preserve"> PAGEREF _Toc194417972 \h </w:instrText>
        </w:r>
        <w:r>
          <w:rPr>
            <w:webHidden/>
          </w:rPr>
        </w:r>
        <w:r>
          <w:rPr>
            <w:webHidden/>
          </w:rPr>
          <w:fldChar w:fldCharType="separate"/>
        </w:r>
        <w:r>
          <w:rPr>
            <w:webHidden/>
          </w:rPr>
          <w:t>4</w:t>
        </w:r>
        <w:r>
          <w:rPr>
            <w:webHidden/>
          </w:rPr>
          <w:fldChar w:fldCharType="end"/>
        </w:r>
      </w:hyperlink>
    </w:p>
    <w:p w14:paraId="683BFD29" w14:textId="2B41D689" w:rsidR="00C60C52" w:rsidRDefault="00C60C52">
      <w:pPr>
        <w:pStyle w:val="TOC2"/>
        <w:tabs>
          <w:tab w:val="left" w:pos="720"/>
        </w:tabs>
        <w:rPr>
          <w:rFonts w:asciiTheme="minorHAnsi" w:eastAsiaTheme="minorEastAsia" w:hAnsiTheme="minorHAnsi" w:cstheme="minorBidi"/>
          <w:kern w:val="2"/>
          <w:szCs w:val="24"/>
          <w14:ligatures w14:val="standardContextual"/>
        </w:rPr>
      </w:pPr>
      <w:hyperlink w:anchor="_Toc194417973" w:history="1">
        <w:r w:rsidRPr="00886996">
          <w:rPr>
            <w:rStyle w:val="Hyperlink"/>
            <w:b/>
            <w:kern w:val="28"/>
          </w:rPr>
          <w:t>4</w:t>
        </w:r>
        <w:r>
          <w:rPr>
            <w:rFonts w:asciiTheme="minorHAnsi" w:eastAsiaTheme="minorEastAsia" w:hAnsiTheme="minorHAnsi" w:cstheme="minorBidi"/>
            <w:kern w:val="2"/>
            <w:szCs w:val="24"/>
            <w14:ligatures w14:val="standardContextual"/>
          </w:rPr>
          <w:tab/>
        </w:r>
        <w:r w:rsidRPr="00886996">
          <w:rPr>
            <w:rStyle w:val="Hyperlink"/>
            <w:b/>
            <w:kern w:val="28"/>
          </w:rPr>
          <w:t>Definitions</w:t>
        </w:r>
        <w:r>
          <w:rPr>
            <w:webHidden/>
          </w:rPr>
          <w:tab/>
        </w:r>
        <w:r>
          <w:rPr>
            <w:webHidden/>
          </w:rPr>
          <w:fldChar w:fldCharType="begin"/>
        </w:r>
        <w:r>
          <w:rPr>
            <w:webHidden/>
          </w:rPr>
          <w:instrText xml:space="preserve"> PAGEREF _Toc194417973 \h </w:instrText>
        </w:r>
        <w:r>
          <w:rPr>
            <w:webHidden/>
          </w:rPr>
        </w:r>
        <w:r>
          <w:rPr>
            <w:webHidden/>
          </w:rPr>
          <w:fldChar w:fldCharType="separate"/>
        </w:r>
        <w:r>
          <w:rPr>
            <w:webHidden/>
          </w:rPr>
          <w:t>4</w:t>
        </w:r>
        <w:r>
          <w:rPr>
            <w:webHidden/>
          </w:rPr>
          <w:fldChar w:fldCharType="end"/>
        </w:r>
      </w:hyperlink>
    </w:p>
    <w:p w14:paraId="606BF2AC" w14:textId="378346E3" w:rsidR="00C60C52" w:rsidRDefault="00C60C52">
      <w:pPr>
        <w:pStyle w:val="TOC1"/>
        <w:tabs>
          <w:tab w:val="right" w:leader="dot" w:pos="8303"/>
        </w:tabs>
        <w:rPr>
          <w:rFonts w:asciiTheme="minorHAnsi" w:eastAsiaTheme="minorEastAsia" w:hAnsiTheme="minorHAnsi" w:cstheme="minorBidi"/>
          <w:b w:val="0"/>
          <w:noProof/>
          <w:kern w:val="2"/>
          <w:szCs w:val="24"/>
          <w14:ligatures w14:val="standardContextual"/>
        </w:rPr>
      </w:pPr>
      <w:hyperlink w:anchor="_Toc194417974" w:history="1">
        <w:r w:rsidRPr="00886996">
          <w:rPr>
            <w:rStyle w:val="Hyperlink"/>
            <w:noProof/>
            <w:kern w:val="28"/>
          </w:rPr>
          <w:t>Part 2—Order</w:t>
        </w:r>
        <w:r>
          <w:rPr>
            <w:noProof/>
            <w:webHidden/>
          </w:rPr>
          <w:tab/>
        </w:r>
        <w:r>
          <w:rPr>
            <w:noProof/>
            <w:webHidden/>
          </w:rPr>
          <w:fldChar w:fldCharType="begin"/>
        </w:r>
        <w:r>
          <w:rPr>
            <w:noProof/>
            <w:webHidden/>
          </w:rPr>
          <w:instrText xml:space="preserve"> PAGEREF _Toc194417974 \h </w:instrText>
        </w:r>
        <w:r>
          <w:rPr>
            <w:noProof/>
            <w:webHidden/>
          </w:rPr>
        </w:r>
        <w:r>
          <w:rPr>
            <w:noProof/>
            <w:webHidden/>
          </w:rPr>
          <w:fldChar w:fldCharType="separate"/>
        </w:r>
        <w:r>
          <w:rPr>
            <w:noProof/>
            <w:webHidden/>
          </w:rPr>
          <w:t>5</w:t>
        </w:r>
        <w:r>
          <w:rPr>
            <w:noProof/>
            <w:webHidden/>
          </w:rPr>
          <w:fldChar w:fldCharType="end"/>
        </w:r>
      </w:hyperlink>
    </w:p>
    <w:p w14:paraId="28499617" w14:textId="491F65B9" w:rsidR="00C60C52" w:rsidRDefault="00C60C52">
      <w:pPr>
        <w:pStyle w:val="TOC2"/>
        <w:tabs>
          <w:tab w:val="left" w:pos="720"/>
        </w:tabs>
        <w:rPr>
          <w:rFonts w:asciiTheme="minorHAnsi" w:eastAsiaTheme="minorEastAsia" w:hAnsiTheme="minorHAnsi" w:cstheme="minorBidi"/>
          <w:kern w:val="2"/>
          <w:szCs w:val="24"/>
          <w14:ligatures w14:val="standardContextual"/>
        </w:rPr>
      </w:pPr>
      <w:hyperlink w:anchor="_Toc194417975" w:history="1">
        <w:r w:rsidRPr="00886996">
          <w:rPr>
            <w:rStyle w:val="Hyperlink"/>
            <w:b/>
            <w:kern w:val="28"/>
          </w:rPr>
          <w:t>5</w:t>
        </w:r>
        <w:r>
          <w:rPr>
            <w:rFonts w:asciiTheme="minorHAnsi" w:eastAsiaTheme="minorEastAsia" w:hAnsiTheme="minorHAnsi" w:cstheme="minorBidi"/>
            <w:kern w:val="2"/>
            <w:szCs w:val="24"/>
            <w14:ligatures w14:val="standardContextual"/>
          </w:rPr>
          <w:tab/>
        </w:r>
        <w:r w:rsidRPr="00886996">
          <w:rPr>
            <w:rStyle w:val="Hyperlink"/>
            <w:b/>
            <w:kern w:val="28"/>
          </w:rPr>
          <w:t>Relief to enable combination or consolidation of stapled entities</w:t>
        </w:r>
        <w:r>
          <w:rPr>
            <w:webHidden/>
          </w:rPr>
          <w:tab/>
        </w:r>
        <w:r>
          <w:rPr>
            <w:webHidden/>
          </w:rPr>
          <w:fldChar w:fldCharType="begin"/>
        </w:r>
        <w:r>
          <w:rPr>
            <w:webHidden/>
          </w:rPr>
          <w:instrText xml:space="preserve"> PAGEREF _Toc194417975 \h </w:instrText>
        </w:r>
        <w:r>
          <w:rPr>
            <w:webHidden/>
          </w:rPr>
        </w:r>
        <w:r>
          <w:rPr>
            <w:webHidden/>
          </w:rPr>
          <w:fldChar w:fldCharType="separate"/>
        </w:r>
        <w:r>
          <w:rPr>
            <w:webHidden/>
          </w:rPr>
          <w:t>5</w:t>
        </w:r>
        <w:r>
          <w:rPr>
            <w:webHidden/>
          </w:rPr>
          <w:fldChar w:fldCharType="end"/>
        </w:r>
      </w:hyperlink>
    </w:p>
    <w:p w14:paraId="2A0FAF86" w14:textId="7788414D" w:rsidR="00C60C52" w:rsidRDefault="00C60C52">
      <w:pPr>
        <w:pStyle w:val="TOC2"/>
        <w:tabs>
          <w:tab w:val="left" w:pos="720"/>
        </w:tabs>
        <w:rPr>
          <w:rFonts w:asciiTheme="minorHAnsi" w:eastAsiaTheme="minorEastAsia" w:hAnsiTheme="minorHAnsi" w:cstheme="minorBidi"/>
          <w:kern w:val="2"/>
          <w:szCs w:val="24"/>
          <w14:ligatures w14:val="standardContextual"/>
        </w:rPr>
      </w:pPr>
      <w:hyperlink w:anchor="_Toc194417976" w:history="1">
        <w:r w:rsidRPr="00886996">
          <w:rPr>
            <w:rStyle w:val="Hyperlink"/>
            <w:b/>
            <w:iCs/>
            <w:kern w:val="28"/>
          </w:rPr>
          <w:t>6</w:t>
        </w:r>
        <w:r>
          <w:rPr>
            <w:rFonts w:asciiTheme="minorHAnsi" w:eastAsiaTheme="minorEastAsia" w:hAnsiTheme="minorHAnsi" w:cstheme="minorBidi"/>
            <w:kern w:val="2"/>
            <w:szCs w:val="24"/>
            <w14:ligatures w14:val="standardContextual"/>
          </w:rPr>
          <w:tab/>
        </w:r>
        <w:r w:rsidRPr="00886996">
          <w:rPr>
            <w:rStyle w:val="Hyperlink"/>
            <w:b/>
            <w:iCs/>
            <w:kern w:val="28"/>
          </w:rPr>
          <w:t>Relief for presentation of reports of stapled entities</w:t>
        </w:r>
        <w:r>
          <w:rPr>
            <w:webHidden/>
          </w:rPr>
          <w:tab/>
        </w:r>
        <w:r>
          <w:rPr>
            <w:webHidden/>
          </w:rPr>
          <w:fldChar w:fldCharType="begin"/>
        </w:r>
        <w:r>
          <w:rPr>
            <w:webHidden/>
          </w:rPr>
          <w:instrText xml:space="preserve"> PAGEREF _Toc194417976 \h </w:instrText>
        </w:r>
        <w:r>
          <w:rPr>
            <w:webHidden/>
          </w:rPr>
        </w:r>
        <w:r>
          <w:rPr>
            <w:webHidden/>
          </w:rPr>
          <w:fldChar w:fldCharType="separate"/>
        </w:r>
        <w:r>
          <w:rPr>
            <w:webHidden/>
          </w:rPr>
          <w:t>6</w:t>
        </w:r>
        <w:r>
          <w:rPr>
            <w:webHidden/>
          </w:rPr>
          <w:fldChar w:fldCharType="end"/>
        </w:r>
      </w:hyperlink>
    </w:p>
    <w:p w14:paraId="36CD5FE0" w14:textId="262D3BEA" w:rsidR="00C60C52" w:rsidRDefault="00C60C52">
      <w:pPr>
        <w:pStyle w:val="TOC2"/>
        <w:tabs>
          <w:tab w:val="left" w:pos="958"/>
        </w:tabs>
        <w:rPr>
          <w:rFonts w:asciiTheme="minorHAnsi" w:eastAsiaTheme="minorEastAsia" w:hAnsiTheme="minorHAnsi" w:cstheme="minorBidi"/>
          <w:kern w:val="2"/>
          <w:szCs w:val="24"/>
          <w14:ligatures w14:val="standardContextual"/>
        </w:rPr>
      </w:pPr>
      <w:hyperlink w:anchor="_Toc194417977" w:history="1">
        <w:r w:rsidRPr="00886996">
          <w:rPr>
            <w:rStyle w:val="Hyperlink"/>
            <w:b/>
            <w:iCs/>
            <w:kern w:val="28"/>
          </w:rPr>
          <w:t>6A</w:t>
        </w:r>
        <w:r>
          <w:rPr>
            <w:rFonts w:asciiTheme="minorHAnsi" w:eastAsiaTheme="minorEastAsia" w:hAnsiTheme="minorHAnsi" w:cstheme="minorBidi"/>
            <w:kern w:val="2"/>
            <w:szCs w:val="24"/>
            <w14:ligatures w14:val="standardContextual"/>
          </w:rPr>
          <w:tab/>
        </w:r>
        <w:r w:rsidRPr="00886996">
          <w:rPr>
            <w:rStyle w:val="Hyperlink"/>
            <w:b/>
            <w:iCs/>
            <w:kern w:val="28"/>
          </w:rPr>
          <w:t>Relief to enable stapled entity sustainability report to include other group members</w:t>
        </w:r>
        <w:r>
          <w:rPr>
            <w:webHidden/>
          </w:rPr>
          <w:tab/>
        </w:r>
        <w:r>
          <w:rPr>
            <w:webHidden/>
          </w:rPr>
          <w:fldChar w:fldCharType="begin"/>
        </w:r>
        <w:r>
          <w:rPr>
            <w:webHidden/>
          </w:rPr>
          <w:instrText xml:space="preserve"> PAGEREF _Toc194417977 \h </w:instrText>
        </w:r>
        <w:r>
          <w:rPr>
            <w:webHidden/>
          </w:rPr>
        </w:r>
        <w:r>
          <w:rPr>
            <w:webHidden/>
          </w:rPr>
          <w:fldChar w:fldCharType="separate"/>
        </w:r>
        <w:r>
          <w:rPr>
            <w:webHidden/>
          </w:rPr>
          <w:t>8</w:t>
        </w:r>
        <w:r>
          <w:rPr>
            <w:webHidden/>
          </w:rPr>
          <w:fldChar w:fldCharType="end"/>
        </w:r>
      </w:hyperlink>
    </w:p>
    <w:p w14:paraId="7FE3F70D" w14:textId="55CD236E" w:rsidR="00C60C52" w:rsidRDefault="00C60C52">
      <w:pPr>
        <w:pStyle w:val="TOC1"/>
        <w:tabs>
          <w:tab w:val="right" w:leader="dot" w:pos="8303"/>
        </w:tabs>
        <w:rPr>
          <w:rFonts w:asciiTheme="minorHAnsi" w:eastAsiaTheme="minorEastAsia" w:hAnsiTheme="minorHAnsi" w:cstheme="minorBidi"/>
          <w:b w:val="0"/>
          <w:noProof/>
          <w:kern w:val="2"/>
          <w:szCs w:val="24"/>
          <w14:ligatures w14:val="standardContextual"/>
        </w:rPr>
      </w:pPr>
      <w:hyperlink w:anchor="_Toc194417978" w:history="1">
        <w:r w:rsidRPr="00886996">
          <w:rPr>
            <w:rStyle w:val="Hyperlink"/>
            <w:noProof/>
            <w:kern w:val="28"/>
          </w:rPr>
          <w:t>Part 3—Repeal</w:t>
        </w:r>
        <w:r>
          <w:rPr>
            <w:noProof/>
            <w:webHidden/>
          </w:rPr>
          <w:tab/>
        </w:r>
        <w:r>
          <w:rPr>
            <w:noProof/>
            <w:webHidden/>
          </w:rPr>
          <w:fldChar w:fldCharType="begin"/>
        </w:r>
        <w:r>
          <w:rPr>
            <w:noProof/>
            <w:webHidden/>
          </w:rPr>
          <w:instrText xml:space="preserve"> PAGEREF _Toc194417978 \h </w:instrText>
        </w:r>
        <w:r>
          <w:rPr>
            <w:noProof/>
            <w:webHidden/>
          </w:rPr>
        </w:r>
        <w:r>
          <w:rPr>
            <w:noProof/>
            <w:webHidden/>
          </w:rPr>
          <w:fldChar w:fldCharType="separate"/>
        </w:r>
        <w:r>
          <w:rPr>
            <w:noProof/>
            <w:webHidden/>
          </w:rPr>
          <w:t>8</w:t>
        </w:r>
        <w:r>
          <w:rPr>
            <w:noProof/>
            <w:webHidden/>
          </w:rPr>
          <w:fldChar w:fldCharType="end"/>
        </w:r>
      </w:hyperlink>
    </w:p>
    <w:p w14:paraId="6789B664" w14:textId="730EC69C" w:rsidR="00C60C52" w:rsidRDefault="00C60C52">
      <w:pPr>
        <w:pStyle w:val="TOC2"/>
        <w:tabs>
          <w:tab w:val="left" w:pos="720"/>
        </w:tabs>
        <w:rPr>
          <w:rFonts w:asciiTheme="minorHAnsi" w:eastAsiaTheme="minorEastAsia" w:hAnsiTheme="minorHAnsi" w:cstheme="minorBidi"/>
          <w:kern w:val="2"/>
          <w:szCs w:val="24"/>
          <w14:ligatures w14:val="standardContextual"/>
        </w:rPr>
      </w:pPr>
      <w:hyperlink w:anchor="_Toc194417979" w:history="1">
        <w:r w:rsidRPr="00886996">
          <w:rPr>
            <w:rStyle w:val="Hyperlink"/>
            <w:b/>
            <w:kern w:val="28"/>
          </w:rPr>
          <w:t>7</w:t>
        </w:r>
        <w:r>
          <w:rPr>
            <w:rFonts w:asciiTheme="minorHAnsi" w:eastAsiaTheme="minorEastAsia" w:hAnsiTheme="minorHAnsi" w:cstheme="minorBidi"/>
            <w:kern w:val="2"/>
            <w:szCs w:val="24"/>
            <w14:ligatures w14:val="standardContextual"/>
          </w:rPr>
          <w:tab/>
        </w:r>
        <w:r w:rsidRPr="00886996">
          <w:rPr>
            <w:rStyle w:val="Hyperlink"/>
            <w:b/>
            <w:kern w:val="28"/>
          </w:rPr>
          <w:t>Repeal</w:t>
        </w:r>
        <w:r>
          <w:rPr>
            <w:webHidden/>
          </w:rPr>
          <w:tab/>
        </w:r>
        <w:r>
          <w:rPr>
            <w:webHidden/>
          </w:rPr>
          <w:fldChar w:fldCharType="begin"/>
        </w:r>
        <w:r>
          <w:rPr>
            <w:webHidden/>
          </w:rPr>
          <w:instrText xml:space="preserve"> PAGEREF _Toc194417979 \h </w:instrText>
        </w:r>
        <w:r>
          <w:rPr>
            <w:webHidden/>
          </w:rPr>
        </w:r>
        <w:r>
          <w:rPr>
            <w:webHidden/>
          </w:rPr>
          <w:fldChar w:fldCharType="separate"/>
        </w:r>
        <w:r>
          <w:rPr>
            <w:webHidden/>
          </w:rPr>
          <w:t>8</w:t>
        </w:r>
        <w:r>
          <w:rPr>
            <w:webHidden/>
          </w:rPr>
          <w:fldChar w:fldCharType="end"/>
        </w:r>
      </w:hyperlink>
    </w:p>
    <w:p w14:paraId="29270028" w14:textId="2E27A058" w:rsidR="00C60C52" w:rsidRDefault="00C60C52">
      <w:pPr>
        <w:pStyle w:val="TOC1"/>
        <w:tabs>
          <w:tab w:val="right" w:leader="dot" w:pos="8303"/>
        </w:tabs>
        <w:rPr>
          <w:rFonts w:asciiTheme="minorHAnsi" w:eastAsiaTheme="minorEastAsia" w:hAnsiTheme="minorHAnsi" w:cstheme="minorBidi"/>
          <w:b w:val="0"/>
          <w:noProof/>
          <w:kern w:val="2"/>
          <w:szCs w:val="24"/>
          <w14:ligatures w14:val="standardContextual"/>
        </w:rPr>
      </w:pPr>
      <w:hyperlink w:anchor="_Toc194417980" w:history="1">
        <w:r w:rsidRPr="00886996">
          <w:rPr>
            <w:rStyle w:val="Hyperlink"/>
            <w:noProof/>
          </w:rPr>
          <w:t>Endnotes</w:t>
        </w:r>
        <w:r>
          <w:rPr>
            <w:noProof/>
            <w:webHidden/>
          </w:rPr>
          <w:tab/>
        </w:r>
        <w:r>
          <w:rPr>
            <w:noProof/>
            <w:webHidden/>
          </w:rPr>
          <w:fldChar w:fldCharType="begin"/>
        </w:r>
        <w:r>
          <w:rPr>
            <w:noProof/>
            <w:webHidden/>
          </w:rPr>
          <w:instrText xml:space="preserve"> PAGEREF _Toc194417980 \h </w:instrText>
        </w:r>
        <w:r>
          <w:rPr>
            <w:noProof/>
            <w:webHidden/>
          </w:rPr>
        </w:r>
        <w:r>
          <w:rPr>
            <w:noProof/>
            <w:webHidden/>
          </w:rPr>
          <w:fldChar w:fldCharType="separate"/>
        </w:r>
        <w:r>
          <w:rPr>
            <w:noProof/>
            <w:webHidden/>
          </w:rPr>
          <w:t>9</w:t>
        </w:r>
        <w:r>
          <w:rPr>
            <w:noProof/>
            <w:webHidden/>
          </w:rPr>
          <w:fldChar w:fldCharType="end"/>
        </w:r>
      </w:hyperlink>
    </w:p>
    <w:p w14:paraId="583DD29A" w14:textId="141543B0" w:rsidR="00C60C52" w:rsidRDefault="00C60C52">
      <w:pPr>
        <w:pStyle w:val="TOC2"/>
        <w:rPr>
          <w:rFonts w:asciiTheme="minorHAnsi" w:eastAsiaTheme="minorEastAsia" w:hAnsiTheme="minorHAnsi" w:cstheme="minorBidi"/>
          <w:kern w:val="2"/>
          <w:szCs w:val="24"/>
          <w14:ligatures w14:val="standardContextual"/>
        </w:rPr>
      </w:pPr>
      <w:hyperlink w:anchor="_Toc194417981" w:history="1">
        <w:r w:rsidRPr="00886996">
          <w:rPr>
            <w:rStyle w:val="Hyperlink"/>
          </w:rPr>
          <w:t>Endnote 1—About the endnotes</w:t>
        </w:r>
        <w:r>
          <w:rPr>
            <w:webHidden/>
          </w:rPr>
          <w:tab/>
        </w:r>
        <w:r>
          <w:rPr>
            <w:webHidden/>
          </w:rPr>
          <w:fldChar w:fldCharType="begin"/>
        </w:r>
        <w:r>
          <w:rPr>
            <w:webHidden/>
          </w:rPr>
          <w:instrText xml:space="preserve"> PAGEREF _Toc194417981 \h </w:instrText>
        </w:r>
        <w:r>
          <w:rPr>
            <w:webHidden/>
          </w:rPr>
        </w:r>
        <w:r>
          <w:rPr>
            <w:webHidden/>
          </w:rPr>
          <w:fldChar w:fldCharType="separate"/>
        </w:r>
        <w:r>
          <w:rPr>
            <w:webHidden/>
          </w:rPr>
          <w:t>9</w:t>
        </w:r>
        <w:r>
          <w:rPr>
            <w:webHidden/>
          </w:rPr>
          <w:fldChar w:fldCharType="end"/>
        </w:r>
      </w:hyperlink>
    </w:p>
    <w:p w14:paraId="56C53024" w14:textId="3ED09076" w:rsidR="00C60C52" w:rsidRDefault="00C60C52">
      <w:pPr>
        <w:pStyle w:val="TOC2"/>
        <w:rPr>
          <w:rFonts w:asciiTheme="minorHAnsi" w:eastAsiaTheme="minorEastAsia" w:hAnsiTheme="minorHAnsi" w:cstheme="minorBidi"/>
          <w:kern w:val="2"/>
          <w:szCs w:val="24"/>
          <w14:ligatures w14:val="standardContextual"/>
        </w:rPr>
      </w:pPr>
      <w:hyperlink w:anchor="_Toc194417982" w:history="1">
        <w:r w:rsidRPr="00886996">
          <w:rPr>
            <w:rStyle w:val="Hyperlink"/>
          </w:rPr>
          <w:t>Endnote 2—Abbreviation key</w:t>
        </w:r>
        <w:r>
          <w:rPr>
            <w:webHidden/>
          </w:rPr>
          <w:tab/>
        </w:r>
        <w:r>
          <w:rPr>
            <w:webHidden/>
          </w:rPr>
          <w:fldChar w:fldCharType="begin"/>
        </w:r>
        <w:r>
          <w:rPr>
            <w:webHidden/>
          </w:rPr>
          <w:instrText xml:space="preserve"> PAGEREF _Toc194417982 \h </w:instrText>
        </w:r>
        <w:r>
          <w:rPr>
            <w:webHidden/>
          </w:rPr>
        </w:r>
        <w:r>
          <w:rPr>
            <w:webHidden/>
          </w:rPr>
          <w:fldChar w:fldCharType="separate"/>
        </w:r>
        <w:r>
          <w:rPr>
            <w:webHidden/>
          </w:rPr>
          <w:t>10</w:t>
        </w:r>
        <w:r>
          <w:rPr>
            <w:webHidden/>
          </w:rPr>
          <w:fldChar w:fldCharType="end"/>
        </w:r>
      </w:hyperlink>
    </w:p>
    <w:p w14:paraId="65D4B8E1" w14:textId="18583CBD" w:rsidR="00C60C52" w:rsidRDefault="00C60C52">
      <w:pPr>
        <w:pStyle w:val="TOC2"/>
        <w:rPr>
          <w:rFonts w:asciiTheme="minorHAnsi" w:eastAsiaTheme="minorEastAsia" w:hAnsiTheme="minorHAnsi" w:cstheme="minorBidi"/>
          <w:kern w:val="2"/>
          <w:szCs w:val="24"/>
          <w14:ligatures w14:val="standardContextual"/>
        </w:rPr>
      </w:pPr>
      <w:hyperlink w:anchor="_Toc194417983" w:history="1">
        <w:r w:rsidRPr="00886996">
          <w:rPr>
            <w:rStyle w:val="Hyperlink"/>
          </w:rPr>
          <w:t>Endnote 3—Legislation history</w:t>
        </w:r>
        <w:r>
          <w:rPr>
            <w:webHidden/>
          </w:rPr>
          <w:tab/>
        </w:r>
        <w:r>
          <w:rPr>
            <w:webHidden/>
          </w:rPr>
          <w:fldChar w:fldCharType="begin"/>
        </w:r>
        <w:r>
          <w:rPr>
            <w:webHidden/>
          </w:rPr>
          <w:instrText xml:space="preserve"> PAGEREF _Toc194417983 \h </w:instrText>
        </w:r>
        <w:r>
          <w:rPr>
            <w:webHidden/>
          </w:rPr>
        </w:r>
        <w:r>
          <w:rPr>
            <w:webHidden/>
          </w:rPr>
          <w:fldChar w:fldCharType="separate"/>
        </w:r>
        <w:r>
          <w:rPr>
            <w:webHidden/>
          </w:rPr>
          <w:t>11</w:t>
        </w:r>
        <w:r>
          <w:rPr>
            <w:webHidden/>
          </w:rPr>
          <w:fldChar w:fldCharType="end"/>
        </w:r>
      </w:hyperlink>
    </w:p>
    <w:p w14:paraId="2CC58DD8" w14:textId="0C74980F" w:rsidR="00C60C52" w:rsidRDefault="00C60C52">
      <w:pPr>
        <w:pStyle w:val="TOC2"/>
        <w:rPr>
          <w:rFonts w:asciiTheme="minorHAnsi" w:eastAsiaTheme="minorEastAsia" w:hAnsiTheme="minorHAnsi" w:cstheme="minorBidi"/>
          <w:kern w:val="2"/>
          <w:szCs w:val="24"/>
          <w14:ligatures w14:val="standardContextual"/>
        </w:rPr>
      </w:pPr>
      <w:hyperlink w:anchor="_Toc194417984" w:history="1">
        <w:r w:rsidRPr="00886996">
          <w:rPr>
            <w:rStyle w:val="Hyperlink"/>
          </w:rPr>
          <w:t>Endnote 4—Amendment history</w:t>
        </w:r>
        <w:r>
          <w:rPr>
            <w:webHidden/>
          </w:rPr>
          <w:tab/>
        </w:r>
        <w:r>
          <w:rPr>
            <w:webHidden/>
          </w:rPr>
          <w:fldChar w:fldCharType="begin"/>
        </w:r>
        <w:r>
          <w:rPr>
            <w:webHidden/>
          </w:rPr>
          <w:instrText xml:space="preserve"> PAGEREF _Toc194417984 \h </w:instrText>
        </w:r>
        <w:r>
          <w:rPr>
            <w:webHidden/>
          </w:rPr>
        </w:r>
        <w:r>
          <w:rPr>
            <w:webHidden/>
          </w:rPr>
          <w:fldChar w:fldCharType="separate"/>
        </w:r>
        <w:r>
          <w:rPr>
            <w:webHidden/>
          </w:rPr>
          <w:t>12</w:t>
        </w:r>
        <w:r>
          <w:rPr>
            <w:webHidden/>
          </w:rPr>
          <w:fldChar w:fldCharType="end"/>
        </w:r>
      </w:hyperlink>
    </w:p>
    <w:p w14:paraId="5F8AD20E" w14:textId="31DF65D8" w:rsidR="007E1BFD" w:rsidRDefault="00A82C77" w:rsidP="007E1BFD">
      <w:pPr>
        <w:pStyle w:val="TOC2"/>
        <w:rPr>
          <w:sz w:val="28"/>
        </w:rPr>
      </w:pPr>
      <w:r>
        <w:rPr>
          <w:sz w:val="28"/>
        </w:rPr>
        <w:fldChar w:fldCharType="end"/>
      </w:r>
      <w:bookmarkStart w:id="2" w:name="_Toc420481751"/>
      <w:bookmarkStart w:id="3" w:name="_Toc448147619"/>
      <w:bookmarkStart w:id="4" w:name="_Toc148009483"/>
      <w:bookmarkStart w:id="5" w:name="_Toc420481756"/>
    </w:p>
    <w:p w14:paraId="569A57F2" w14:textId="28AC9FD6" w:rsidR="00561820" w:rsidRPr="00561820" w:rsidRDefault="00561820" w:rsidP="00561820">
      <w:pPr>
        <w:pStyle w:val="LI-Heading1"/>
      </w:pPr>
      <w:bookmarkStart w:id="6" w:name="_Toc146207685"/>
      <w:bookmarkStart w:id="7" w:name="_Toc194417970"/>
      <w:bookmarkEnd w:id="2"/>
      <w:bookmarkEnd w:id="3"/>
      <w:bookmarkEnd w:id="4"/>
      <w:bookmarkEnd w:id="5"/>
      <w:r w:rsidRPr="00561820">
        <w:lastRenderedPageBreak/>
        <w:t>Part 1—Preliminary</w:t>
      </w:r>
      <w:bookmarkEnd w:id="6"/>
      <w:bookmarkEnd w:id="7"/>
    </w:p>
    <w:p w14:paraId="7A2CC1BE" w14:textId="77777777" w:rsidR="00561820" w:rsidRPr="00561820" w:rsidRDefault="00561820" w:rsidP="00561820">
      <w:pPr>
        <w:keepNext/>
        <w:keepLines/>
        <w:spacing w:before="360" w:line="240" w:lineRule="auto"/>
        <w:ind w:left="567" w:hanging="567"/>
        <w:outlineLvl w:val="1"/>
        <w:rPr>
          <w:rFonts w:eastAsia="Times New Roman" w:cs="Times New Roman"/>
          <w:b/>
          <w:kern w:val="28"/>
          <w:sz w:val="24"/>
          <w:szCs w:val="24"/>
          <w:lang w:eastAsia="en-AU"/>
        </w:rPr>
      </w:pPr>
      <w:bookmarkStart w:id="8" w:name="_Toc146207686"/>
      <w:bookmarkStart w:id="9" w:name="_Toc194417971"/>
      <w:r w:rsidRPr="00561820">
        <w:rPr>
          <w:rFonts w:eastAsia="Times New Roman" w:cs="Times New Roman"/>
          <w:b/>
          <w:kern w:val="28"/>
          <w:sz w:val="24"/>
          <w:szCs w:val="24"/>
          <w:lang w:eastAsia="en-AU"/>
        </w:rPr>
        <w:t>1</w:t>
      </w:r>
      <w:r w:rsidRPr="00561820">
        <w:rPr>
          <w:rFonts w:eastAsia="Times New Roman" w:cs="Times New Roman"/>
          <w:b/>
          <w:kern w:val="28"/>
          <w:sz w:val="24"/>
          <w:szCs w:val="24"/>
          <w:lang w:eastAsia="en-AU"/>
        </w:rPr>
        <w:tab/>
        <w:t>Name of legislative instrument</w:t>
      </w:r>
      <w:bookmarkEnd w:id="8"/>
      <w:bookmarkEnd w:id="9"/>
    </w:p>
    <w:p w14:paraId="65BE9353" w14:textId="50407EC5" w:rsidR="00561820" w:rsidRPr="00561820" w:rsidRDefault="00561820" w:rsidP="00484FBA">
      <w:pPr>
        <w:spacing w:before="240" w:line="240" w:lineRule="auto"/>
        <w:ind w:left="1134"/>
        <w:rPr>
          <w:rFonts w:eastAsia="Times New Roman" w:cs="Times New Roman"/>
          <w:sz w:val="24"/>
          <w:szCs w:val="24"/>
          <w:lang w:eastAsia="en-AU"/>
        </w:rPr>
      </w:pPr>
      <w:r w:rsidRPr="00561820">
        <w:rPr>
          <w:rFonts w:eastAsia="Times New Roman" w:cs="Times New Roman"/>
          <w:sz w:val="24"/>
          <w:szCs w:val="24"/>
          <w:lang w:eastAsia="en-AU"/>
        </w:rPr>
        <w:t xml:space="preserve">This is the </w:t>
      </w:r>
      <w:r w:rsidRPr="00561820">
        <w:rPr>
          <w:rFonts w:eastAsia="Times New Roman" w:cs="Times New Roman"/>
          <w:i/>
          <w:sz w:val="24"/>
          <w:szCs w:val="24"/>
          <w:lang w:eastAsia="en-AU"/>
        </w:rPr>
        <w:t>ASIC Corporations (Reporting by Stapled Entities) Instrument 2023/673</w:t>
      </w:r>
      <w:r w:rsidRPr="00561820">
        <w:rPr>
          <w:rFonts w:eastAsia="Times New Roman" w:cs="Times New Roman"/>
          <w:sz w:val="24"/>
          <w:szCs w:val="24"/>
          <w:lang w:eastAsia="en-AU"/>
        </w:rPr>
        <w:t>.</w:t>
      </w:r>
    </w:p>
    <w:p w14:paraId="5B26B8DC" w14:textId="77777777" w:rsidR="00561820" w:rsidRPr="00561820" w:rsidRDefault="00561820" w:rsidP="00561820">
      <w:pPr>
        <w:keepNext/>
        <w:keepLines/>
        <w:spacing w:before="240" w:line="240" w:lineRule="auto"/>
        <w:ind w:left="567" w:hanging="567"/>
        <w:outlineLvl w:val="1"/>
        <w:rPr>
          <w:rFonts w:eastAsia="Times New Roman" w:cs="Times New Roman"/>
          <w:b/>
          <w:kern w:val="28"/>
          <w:sz w:val="24"/>
          <w:szCs w:val="24"/>
          <w:lang w:eastAsia="en-AU"/>
        </w:rPr>
      </w:pPr>
      <w:bookmarkStart w:id="10" w:name="_Toc146207688"/>
      <w:bookmarkStart w:id="11" w:name="_Toc194417972"/>
      <w:r w:rsidRPr="00561820">
        <w:rPr>
          <w:rFonts w:eastAsia="Times New Roman" w:cs="Times New Roman"/>
          <w:b/>
          <w:kern w:val="28"/>
          <w:sz w:val="24"/>
          <w:szCs w:val="24"/>
          <w:lang w:eastAsia="en-AU"/>
        </w:rPr>
        <w:t>3</w:t>
      </w:r>
      <w:r w:rsidRPr="00561820">
        <w:rPr>
          <w:rFonts w:eastAsia="Times New Roman" w:cs="Times New Roman"/>
          <w:b/>
          <w:kern w:val="28"/>
          <w:sz w:val="24"/>
          <w:szCs w:val="24"/>
          <w:lang w:eastAsia="en-AU"/>
        </w:rPr>
        <w:tab/>
        <w:t>Authority</w:t>
      </w:r>
      <w:bookmarkEnd w:id="10"/>
      <w:bookmarkEnd w:id="11"/>
    </w:p>
    <w:p w14:paraId="778EA45D" w14:textId="77777777" w:rsidR="00561820" w:rsidRPr="00561820" w:rsidRDefault="00561820" w:rsidP="00561820">
      <w:pPr>
        <w:spacing w:before="240" w:line="240" w:lineRule="auto"/>
        <w:ind w:left="1134"/>
        <w:rPr>
          <w:rFonts w:eastAsia="Times New Roman" w:cs="Times New Roman"/>
          <w:sz w:val="24"/>
          <w:szCs w:val="24"/>
          <w:lang w:eastAsia="en-AU"/>
        </w:rPr>
      </w:pPr>
      <w:r w:rsidRPr="00561820">
        <w:rPr>
          <w:rFonts w:eastAsia="Times New Roman" w:cs="Times New Roman"/>
          <w:sz w:val="24"/>
          <w:szCs w:val="24"/>
          <w:lang w:eastAsia="en-AU"/>
        </w:rPr>
        <w:t xml:space="preserve">This instrument is made under subsection 341(1) of the </w:t>
      </w:r>
      <w:r w:rsidRPr="00561820">
        <w:rPr>
          <w:rFonts w:eastAsia="Times New Roman" w:cs="Times New Roman"/>
          <w:i/>
          <w:iCs/>
          <w:sz w:val="24"/>
          <w:szCs w:val="24"/>
          <w:lang w:eastAsia="en-AU"/>
        </w:rPr>
        <w:t>Corporations Act 2001</w:t>
      </w:r>
      <w:r w:rsidRPr="00561820">
        <w:rPr>
          <w:rFonts w:eastAsia="Times New Roman" w:cs="Times New Roman"/>
          <w:sz w:val="24"/>
          <w:szCs w:val="24"/>
          <w:lang w:eastAsia="en-AU"/>
        </w:rPr>
        <w:t>.</w:t>
      </w:r>
    </w:p>
    <w:p w14:paraId="364478D3" w14:textId="77777777" w:rsidR="00561820" w:rsidRPr="00561820" w:rsidRDefault="00561820" w:rsidP="00561820">
      <w:pPr>
        <w:keepNext/>
        <w:keepLines/>
        <w:spacing w:before="240" w:line="240" w:lineRule="auto"/>
        <w:ind w:left="567" w:hanging="567"/>
        <w:outlineLvl w:val="1"/>
        <w:rPr>
          <w:rFonts w:eastAsia="Times New Roman" w:cs="Times New Roman"/>
          <w:b/>
          <w:kern w:val="28"/>
          <w:sz w:val="24"/>
          <w:szCs w:val="24"/>
          <w:lang w:eastAsia="en-AU"/>
        </w:rPr>
      </w:pPr>
      <w:bookmarkStart w:id="12" w:name="_Toc146207689"/>
      <w:bookmarkStart w:id="13" w:name="_Toc194417973"/>
      <w:r w:rsidRPr="00561820">
        <w:rPr>
          <w:rFonts w:eastAsia="Times New Roman" w:cs="Times New Roman"/>
          <w:b/>
          <w:kern w:val="28"/>
          <w:sz w:val="24"/>
          <w:szCs w:val="24"/>
          <w:lang w:eastAsia="en-AU"/>
        </w:rPr>
        <w:t>4</w:t>
      </w:r>
      <w:r w:rsidRPr="00561820">
        <w:rPr>
          <w:rFonts w:eastAsia="Times New Roman" w:cs="Times New Roman"/>
          <w:b/>
          <w:kern w:val="28"/>
          <w:sz w:val="24"/>
          <w:szCs w:val="24"/>
          <w:lang w:eastAsia="en-AU"/>
        </w:rPr>
        <w:tab/>
        <w:t>Definitions</w:t>
      </w:r>
      <w:bookmarkEnd w:id="12"/>
      <w:bookmarkEnd w:id="13"/>
    </w:p>
    <w:p w14:paraId="7BDC0600" w14:textId="77777777" w:rsidR="00561820" w:rsidRPr="00561820" w:rsidRDefault="00561820" w:rsidP="00561820">
      <w:pPr>
        <w:spacing w:before="240" w:line="240" w:lineRule="auto"/>
        <w:ind w:left="1134"/>
        <w:rPr>
          <w:rFonts w:eastAsia="Times New Roman" w:cs="Times New Roman"/>
          <w:sz w:val="24"/>
          <w:lang w:eastAsia="en-AU"/>
        </w:rPr>
      </w:pPr>
      <w:r w:rsidRPr="00561820">
        <w:rPr>
          <w:rFonts w:eastAsia="Times New Roman" w:cs="Times New Roman"/>
          <w:sz w:val="24"/>
          <w:lang w:eastAsia="en-AU"/>
        </w:rPr>
        <w:t>In this instrument:</w:t>
      </w:r>
    </w:p>
    <w:p w14:paraId="42DF158D" w14:textId="77777777" w:rsidR="00561820" w:rsidRPr="00561820" w:rsidRDefault="00561820" w:rsidP="00561820">
      <w:pPr>
        <w:spacing w:before="240" w:line="240" w:lineRule="auto"/>
        <w:ind w:left="1134"/>
        <w:rPr>
          <w:rFonts w:eastAsia="Times New Roman" w:cs="Times New Roman"/>
          <w:b/>
          <w:bCs/>
          <w:i/>
          <w:iCs/>
          <w:sz w:val="24"/>
          <w:lang w:eastAsia="en-AU"/>
        </w:rPr>
      </w:pPr>
      <w:r w:rsidRPr="00561820">
        <w:rPr>
          <w:rFonts w:eastAsia="Times New Roman" w:cs="Times New Roman"/>
          <w:b/>
          <w:bCs/>
          <w:i/>
          <w:iCs/>
          <w:sz w:val="24"/>
          <w:lang w:eastAsia="en-AU"/>
        </w:rPr>
        <w:t xml:space="preserve">Act </w:t>
      </w:r>
      <w:r w:rsidRPr="00561820">
        <w:rPr>
          <w:rFonts w:eastAsia="Times New Roman" w:cs="Times New Roman"/>
          <w:sz w:val="24"/>
          <w:lang w:eastAsia="en-AU"/>
        </w:rPr>
        <w:t xml:space="preserve">means the </w:t>
      </w:r>
      <w:r w:rsidRPr="00561820">
        <w:rPr>
          <w:rFonts w:eastAsia="Times New Roman" w:cs="Times New Roman"/>
          <w:i/>
          <w:iCs/>
          <w:sz w:val="24"/>
          <w:lang w:eastAsia="en-AU"/>
        </w:rPr>
        <w:t>Corporations Act 2001</w:t>
      </w:r>
      <w:r w:rsidRPr="00561820">
        <w:rPr>
          <w:rFonts w:eastAsia="Times New Roman" w:cs="Times New Roman"/>
          <w:sz w:val="24"/>
          <w:lang w:eastAsia="en-AU"/>
        </w:rPr>
        <w:t>.</w:t>
      </w:r>
    </w:p>
    <w:p w14:paraId="034A9D44" w14:textId="77777777" w:rsidR="00561820" w:rsidRPr="00561820" w:rsidRDefault="00561820" w:rsidP="00561820">
      <w:pPr>
        <w:spacing w:before="240" w:line="240" w:lineRule="auto"/>
        <w:ind w:left="1134"/>
        <w:rPr>
          <w:rFonts w:eastAsia="Times New Roman" w:cs="Times New Roman"/>
          <w:sz w:val="24"/>
          <w:lang w:eastAsia="en-AU"/>
        </w:rPr>
      </w:pPr>
      <w:r w:rsidRPr="00561820">
        <w:rPr>
          <w:rFonts w:eastAsia="Times New Roman" w:cs="Times New Roman"/>
          <w:b/>
          <w:bCs/>
          <w:i/>
          <w:iCs/>
          <w:sz w:val="24"/>
          <w:lang w:eastAsia="en-AU"/>
        </w:rPr>
        <w:t>combine</w:t>
      </w:r>
      <w:r w:rsidRPr="00561820">
        <w:rPr>
          <w:rFonts w:eastAsia="Times New Roman" w:cs="Times New Roman"/>
          <w:sz w:val="24"/>
          <w:lang w:eastAsia="en-AU"/>
        </w:rPr>
        <w:t xml:space="preserve"> means the method to prepare combined financial statements.</w:t>
      </w:r>
    </w:p>
    <w:p w14:paraId="607FE16A" w14:textId="77777777" w:rsidR="00561820" w:rsidRPr="00561820" w:rsidRDefault="00561820" w:rsidP="00561820">
      <w:pPr>
        <w:spacing w:before="240" w:line="240" w:lineRule="auto"/>
        <w:ind w:left="1134"/>
        <w:rPr>
          <w:rFonts w:eastAsia="Times New Roman" w:cs="Times New Roman"/>
          <w:sz w:val="24"/>
          <w:lang w:eastAsia="en-AU"/>
        </w:rPr>
      </w:pPr>
      <w:r w:rsidRPr="00561820">
        <w:rPr>
          <w:rFonts w:eastAsia="Times New Roman" w:cs="Times New Roman"/>
          <w:b/>
          <w:bCs/>
          <w:i/>
          <w:iCs/>
          <w:sz w:val="24"/>
          <w:lang w:eastAsia="en-AU"/>
        </w:rPr>
        <w:t>combined financial statements</w:t>
      </w:r>
      <w:r w:rsidRPr="00561820">
        <w:rPr>
          <w:rFonts w:eastAsia="Times New Roman" w:cs="Times New Roman"/>
          <w:sz w:val="24"/>
          <w:lang w:eastAsia="en-AU"/>
        </w:rPr>
        <w:t xml:space="preserve"> means, in relation to a stapled group, financial statements that aggregate two or more entities that are members of the group, eliminating inter-entity transactions and balances, but without:</w:t>
      </w:r>
    </w:p>
    <w:p w14:paraId="24F783B1" w14:textId="77777777" w:rsidR="00561820" w:rsidRPr="00561820" w:rsidRDefault="00561820" w:rsidP="00561820">
      <w:pPr>
        <w:spacing w:before="240" w:line="240" w:lineRule="auto"/>
        <w:ind w:left="1701" w:hanging="567"/>
        <w:rPr>
          <w:rFonts w:eastAsia="Times New Roman" w:cs="Times New Roman"/>
          <w:sz w:val="24"/>
          <w:szCs w:val="24"/>
        </w:rPr>
      </w:pPr>
      <w:r w:rsidRPr="00561820">
        <w:rPr>
          <w:rFonts w:eastAsia="Times New Roman" w:cs="Times New Roman"/>
          <w:sz w:val="24"/>
        </w:rPr>
        <w:t>(</w:t>
      </w:r>
      <w:r w:rsidRPr="00561820">
        <w:rPr>
          <w:rFonts w:eastAsia="Times New Roman" w:cs="Times New Roman"/>
          <w:sz w:val="24"/>
          <w:szCs w:val="24"/>
        </w:rPr>
        <w:t>a)</w:t>
      </w:r>
      <w:r w:rsidRPr="00561820">
        <w:rPr>
          <w:rFonts w:eastAsia="Times New Roman" w:cs="Times New Roman"/>
          <w:sz w:val="24"/>
          <w:szCs w:val="24"/>
        </w:rPr>
        <w:tab/>
        <w:t>identifying an acquirer or one or more acquirees; and</w:t>
      </w:r>
    </w:p>
    <w:p w14:paraId="4683E229" w14:textId="77777777" w:rsidR="00561820" w:rsidRPr="00561820" w:rsidRDefault="00561820" w:rsidP="00561820">
      <w:pPr>
        <w:spacing w:before="240" w:line="240" w:lineRule="auto"/>
        <w:ind w:left="1701" w:hanging="567"/>
        <w:rPr>
          <w:rFonts w:eastAsia="Times New Roman" w:cs="Times New Roman"/>
          <w:sz w:val="24"/>
          <w:szCs w:val="24"/>
        </w:rPr>
      </w:pPr>
      <w:r w:rsidRPr="00561820">
        <w:rPr>
          <w:rFonts w:eastAsia="Times New Roman" w:cs="Times New Roman"/>
          <w:sz w:val="24"/>
          <w:szCs w:val="24"/>
        </w:rPr>
        <w:t>(b)</w:t>
      </w:r>
      <w:r w:rsidRPr="00561820">
        <w:rPr>
          <w:rFonts w:eastAsia="Times New Roman" w:cs="Times New Roman"/>
          <w:sz w:val="24"/>
          <w:szCs w:val="24"/>
        </w:rPr>
        <w:tab/>
        <w:t>eliminating equity or reserves of the acquirees that existed when the terms on which the securities of the entities were traded on a prescribed financial market first required the securities to be transferred together.</w:t>
      </w:r>
    </w:p>
    <w:p w14:paraId="4C8815F6" w14:textId="77777777" w:rsidR="00561820" w:rsidRPr="00561820" w:rsidRDefault="00561820" w:rsidP="00561820">
      <w:pPr>
        <w:spacing w:before="240" w:line="240" w:lineRule="auto"/>
        <w:ind w:left="1134"/>
        <w:rPr>
          <w:rFonts w:eastAsia="Times New Roman" w:cs="Times New Roman"/>
          <w:sz w:val="24"/>
          <w:lang w:eastAsia="en-AU"/>
        </w:rPr>
      </w:pPr>
      <w:r w:rsidRPr="00561820">
        <w:rPr>
          <w:rFonts w:eastAsia="Times New Roman" w:cs="Times New Roman"/>
          <w:b/>
          <w:bCs/>
          <w:i/>
          <w:iCs/>
          <w:sz w:val="24"/>
          <w:lang w:eastAsia="en-AU"/>
        </w:rPr>
        <w:t>control</w:t>
      </w:r>
      <w:r w:rsidRPr="00561820">
        <w:rPr>
          <w:rFonts w:eastAsia="Times New Roman" w:cs="Times New Roman"/>
          <w:sz w:val="24"/>
          <w:lang w:eastAsia="en-AU"/>
        </w:rPr>
        <w:t xml:space="preserve"> has the same meaning as in accounting standard AASB 10 </w:t>
      </w:r>
      <w:r w:rsidRPr="00561820">
        <w:rPr>
          <w:rFonts w:eastAsia="Times New Roman" w:cs="Times New Roman"/>
          <w:i/>
          <w:iCs/>
          <w:sz w:val="24"/>
          <w:lang w:eastAsia="en-AU"/>
        </w:rPr>
        <w:t>Consolidated Financial Statements</w:t>
      </w:r>
      <w:r w:rsidRPr="00561820">
        <w:rPr>
          <w:rFonts w:eastAsia="Times New Roman" w:cs="Times New Roman"/>
          <w:sz w:val="24"/>
          <w:lang w:eastAsia="en-AU"/>
        </w:rPr>
        <w:t xml:space="preserve">. </w:t>
      </w:r>
    </w:p>
    <w:p w14:paraId="1BBF5AC2" w14:textId="77777777" w:rsidR="00561820" w:rsidRDefault="00561820" w:rsidP="00561820">
      <w:pPr>
        <w:spacing w:before="240" w:line="240" w:lineRule="auto"/>
        <w:ind w:left="1134"/>
        <w:rPr>
          <w:rFonts w:eastAsia="Times New Roman" w:cs="Times New Roman"/>
          <w:sz w:val="24"/>
          <w:lang w:eastAsia="en-AU"/>
        </w:rPr>
      </w:pPr>
      <w:r w:rsidRPr="00561820">
        <w:rPr>
          <w:rFonts w:eastAsia="Times New Roman" w:cs="Times New Roman"/>
          <w:b/>
          <w:bCs/>
          <w:i/>
          <w:iCs/>
          <w:sz w:val="24"/>
          <w:lang w:eastAsia="en-AU"/>
        </w:rPr>
        <w:t>non-controlling interest</w:t>
      </w:r>
      <w:r w:rsidRPr="00561820">
        <w:rPr>
          <w:rFonts w:eastAsia="Times New Roman" w:cs="Times New Roman"/>
          <w:sz w:val="24"/>
          <w:lang w:eastAsia="en-AU"/>
        </w:rPr>
        <w:t xml:space="preserve"> has the same meaning as in accounting standard AASB 10 </w:t>
      </w:r>
      <w:r w:rsidRPr="00561820">
        <w:rPr>
          <w:rFonts w:eastAsia="Times New Roman" w:cs="Times New Roman"/>
          <w:i/>
          <w:iCs/>
          <w:sz w:val="24"/>
          <w:lang w:eastAsia="en-AU"/>
        </w:rPr>
        <w:t>Consolidated Financial Statements</w:t>
      </w:r>
      <w:r w:rsidRPr="00561820">
        <w:rPr>
          <w:rFonts w:eastAsia="Times New Roman" w:cs="Times New Roman"/>
          <w:sz w:val="24"/>
          <w:lang w:eastAsia="en-AU"/>
        </w:rPr>
        <w:t>.</w:t>
      </w:r>
    </w:p>
    <w:p w14:paraId="121326EA" w14:textId="5CEC9AB1" w:rsidR="00481837" w:rsidRPr="00561820" w:rsidRDefault="00481837" w:rsidP="002968DB">
      <w:pPr>
        <w:spacing w:before="240" w:line="240" w:lineRule="auto"/>
        <w:ind w:left="1134"/>
        <w:rPr>
          <w:rFonts w:eastAsia="Times New Roman" w:cs="Times New Roman"/>
          <w:b/>
          <w:iCs/>
          <w:sz w:val="24"/>
          <w:szCs w:val="24"/>
          <w:lang w:eastAsia="en-AU"/>
        </w:rPr>
      </w:pPr>
      <w:r w:rsidRPr="00481837">
        <w:rPr>
          <w:rFonts w:eastAsia="Times New Roman" w:cs="Times New Roman"/>
          <w:b/>
          <w:i/>
          <w:sz w:val="24"/>
          <w:szCs w:val="24"/>
          <w:lang w:eastAsia="en-AU"/>
        </w:rPr>
        <w:t>other group members</w:t>
      </w:r>
      <w:r w:rsidRPr="00481837">
        <w:rPr>
          <w:rFonts w:eastAsia="Times New Roman" w:cs="Times New Roman"/>
          <w:bCs/>
          <w:iCs/>
          <w:sz w:val="24"/>
          <w:szCs w:val="24"/>
          <w:lang w:eastAsia="en-AU"/>
        </w:rPr>
        <w:t>:</w:t>
      </w:r>
      <w:r w:rsidRPr="00481837">
        <w:rPr>
          <w:rFonts w:eastAsia="Times New Roman" w:cs="Times New Roman"/>
          <w:b/>
          <w:i/>
          <w:sz w:val="24"/>
          <w:szCs w:val="24"/>
          <w:lang w:eastAsia="en-AU"/>
        </w:rPr>
        <w:t xml:space="preserve"> </w:t>
      </w:r>
      <w:r w:rsidRPr="00481837">
        <w:rPr>
          <w:rFonts w:eastAsia="Times New Roman" w:cs="Times New Roman"/>
          <w:bCs/>
          <w:iCs/>
          <w:sz w:val="24"/>
          <w:szCs w:val="24"/>
          <w:lang w:eastAsia="en-AU"/>
        </w:rPr>
        <w:t xml:space="preserve">see paragraph 5(1)(c).  </w:t>
      </w:r>
      <w:r w:rsidRPr="00481837">
        <w:rPr>
          <w:rFonts w:eastAsia="Times New Roman" w:cs="Times New Roman"/>
          <w:b/>
          <w:iCs/>
          <w:sz w:val="24"/>
          <w:szCs w:val="24"/>
          <w:lang w:eastAsia="en-AU"/>
        </w:rPr>
        <w:t xml:space="preserve"> </w:t>
      </w:r>
    </w:p>
    <w:p w14:paraId="17097688" w14:textId="77777777" w:rsidR="00561820" w:rsidRPr="00561820" w:rsidRDefault="00561820" w:rsidP="00561820">
      <w:pPr>
        <w:spacing w:before="240" w:line="240" w:lineRule="auto"/>
        <w:ind w:left="1134"/>
        <w:rPr>
          <w:rFonts w:eastAsia="Times New Roman" w:cs="Times New Roman"/>
          <w:sz w:val="24"/>
          <w:lang w:eastAsia="en-AU"/>
        </w:rPr>
      </w:pPr>
      <w:r w:rsidRPr="00561820">
        <w:rPr>
          <w:rFonts w:eastAsia="Times New Roman" w:cs="Times New Roman"/>
          <w:b/>
          <w:bCs/>
          <w:i/>
          <w:iCs/>
          <w:sz w:val="24"/>
          <w:lang w:eastAsia="en-AU"/>
        </w:rPr>
        <w:t>previous reporting period</w:t>
      </w:r>
      <w:r w:rsidRPr="00561820">
        <w:rPr>
          <w:rFonts w:eastAsia="Times New Roman" w:cs="Times New Roman"/>
          <w:sz w:val="24"/>
          <w:lang w:eastAsia="en-AU"/>
        </w:rPr>
        <w:t xml:space="preserve"> means:</w:t>
      </w:r>
    </w:p>
    <w:p w14:paraId="6114FFC5" w14:textId="77777777" w:rsidR="00561820" w:rsidRPr="00561820" w:rsidRDefault="00561820" w:rsidP="00561820">
      <w:pPr>
        <w:spacing w:before="240" w:line="240" w:lineRule="auto"/>
        <w:ind w:left="1701" w:hanging="567"/>
        <w:rPr>
          <w:rFonts w:eastAsia="Times New Roman" w:cs="Times New Roman"/>
          <w:sz w:val="24"/>
          <w:szCs w:val="24"/>
        </w:rPr>
      </w:pPr>
      <w:r w:rsidRPr="00561820">
        <w:rPr>
          <w:rFonts w:eastAsia="Times New Roman" w:cs="Times New Roman"/>
          <w:sz w:val="24"/>
          <w:szCs w:val="24"/>
        </w:rPr>
        <w:t>(a)</w:t>
      </w:r>
      <w:r w:rsidRPr="00561820">
        <w:rPr>
          <w:rFonts w:eastAsia="Times New Roman" w:cs="Times New Roman"/>
          <w:sz w:val="24"/>
          <w:szCs w:val="24"/>
        </w:rPr>
        <w:tab/>
        <w:t>in relation to a relevant year, the half-year forming part of the relevant year; and</w:t>
      </w:r>
    </w:p>
    <w:p w14:paraId="7DA50387" w14:textId="77777777" w:rsidR="00561820" w:rsidRDefault="00561820" w:rsidP="00561820">
      <w:pPr>
        <w:spacing w:before="240" w:line="240" w:lineRule="auto"/>
        <w:ind w:left="1701" w:hanging="567"/>
        <w:rPr>
          <w:rFonts w:eastAsia="Times New Roman" w:cs="Times New Roman"/>
          <w:sz w:val="24"/>
          <w:szCs w:val="24"/>
        </w:rPr>
      </w:pPr>
      <w:r w:rsidRPr="00561820">
        <w:rPr>
          <w:rFonts w:eastAsia="Times New Roman" w:cs="Times New Roman"/>
          <w:sz w:val="24"/>
          <w:szCs w:val="24"/>
        </w:rPr>
        <w:t>(b)</w:t>
      </w:r>
      <w:r w:rsidRPr="00561820">
        <w:rPr>
          <w:rFonts w:eastAsia="Times New Roman" w:cs="Times New Roman"/>
          <w:sz w:val="24"/>
          <w:szCs w:val="24"/>
        </w:rPr>
        <w:tab/>
        <w:t>in relation to a relevant half-year, the financial year ending immediately before the relevant half-year.</w:t>
      </w:r>
    </w:p>
    <w:p w14:paraId="08DAF390" w14:textId="01448B9E" w:rsidR="002968DB" w:rsidRPr="00561820" w:rsidRDefault="002968DB" w:rsidP="002968DB">
      <w:pPr>
        <w:spacing w:before="240" w:line="240" w:lineRule="auto"/>
        <w:ind w:left="1134"/>
        <w:rPr>
          <w:rFonts w:eastAsia="Times New Roman" w:cs="Times New Roman"/>
          <w:bCs/>
          <w:iCs/>
          <w:sz w:val="24"/>
          <w:szCs w:val="24"/>
          <w:lang w:eastAsia="en-AU"/>
        </w:rPr>
      </w:pPr>
      <w:r w:rsidRPr="002968DB">
        <w:rPr>
          <w:rFonts w:eastAsia="Times New Roman" w:cs="Times New Roman"/>
          <w:b/>
          <w:i/>
          <w:sz w:val="24"/>
          <w:szCs w:val="24"/>
          <w:lang w:eastAsia="en-AU"/>
        </w:rPr>
        <w:t>relevant entity</w:t>
      </w:r>
      <w:r w:rsidRPr="002968DB">
        <w:rPr>
          <w:rFonts w:eastAsia="Times New Roman" w:cs="Times New Roman"/>
          <w:bCs/>
          <w:iCs/>
          <w:sz w:val="24"/>
          <w:szCs w:val="24"/>
          <w:lang w:eastAsia="en-AU"/>
        </w:rPr>
        <w:t>: see subsection 5(1).</w:t>
      </w:r>
    </w:p>
    <w:p w14:paraId="3E853F83" w14:textId="77777777" w:rsidR="00561820" w:rsidRPr="00561820" w:rsidRDefault="00561820" w:rsidP="00561820">
      <w:pPr>
        <w:spacing w:before="240" w:line="240" w:lineRule="auto"/>
        <w:ind w:left="1134"/>
        <w:rPr>
          <w:rFonts w:eastAsia="Times New Roman" w:cs="Times New Roman"/>
          <w:b/>
          <w:bCs/>
          <w:i/>
          <w:iCs/>
          <w:sz w:val="24"/>
          <w:lang w:eastAsia="en-AU"/>
        </w:rPr>
      </w:pPr>
      <w:r w:rsidRPr="00561820">
        <w:rPr>
          <w:rFonts w:eastAsia="Times New Roman" w:cs="Times New Roman"/>
          <w:b/>
          <w:bCs/>
          <w:i/>
          <w:iCs/>
          <w:sz w:val="24"/>
          <w:lang w:eastAsia="en-AU"/>
        </w:rPr>
        <w:t xml:space="preserve">single entity financial statements </w:t>
      </w:r>
      <w:r w:rsidRPr="00561820">
        <w:rPr>
          <w:rFonts w:eastAsia="Times New Roman" w:cs="Times New Roman"/>
          <w:sz w:val="24"/>
          <w:lang w:eastAsia="en-AU"/>
        </w:rPr>
        <w:t>means financial statements referred to in paragraph 295(2)(a) or 303(2)(a) of the Act.</w:t>
      </w:r>
    </w:p>
    <w:p w14:paraId="18E26CF8" w14:textId="77777777" w:rsidR="00561820" w:rsidRPr="00561820" w:rsidRDefault="00561820" w:rsidP="00561820">
      <w:pPr>
        <w:spacing w:before="240" w:line="240" w:lineRule="auto"/>
        <w:ind w:left="1134"/>
        <w:rPr>
          <w:rFonts w:eastAsia="Times New Roman" w:cs="Times New Roman"/>
          <w:sz w:val="24"/>
          <w:lang w:eastAsia="en-AU"/>
        </w:rPr>
      </w:pPr>
      <w:r w:rsidRPr="00561820">
        <w:rPr>
          <w:rFonts w:eastAsia="Times New Roman" w:cs="Times New Roman"/>
          <w:b/>
          <w:bCs/>
          <w:i/>
          <w:iCs/>
          <w:sz w:val="24"/>
          <w:lang w:eastAsia="en-AU"/>
        </w:rPr>
        <w:lastRenderedPageBreak/>
        <w:t>stapled group</w:t>
      </w:r>
      <w:r w:rsidRPr="00561820">
        <w:rPr>
          <w:rFonts w:eastAsia="Times New Roman" w:cs="Times New Roman"/>
          <w:sz w:val="24"/>
          <w:lang w:eastAsia="en-AU"/>
        </w:rPr>
        <w:t xml:space="preserve"> means the group of entities consisting of:</w:t>
      </w:r>
    </w:p>
    <w:p w14:paraId="417B1A8B" w14:textId="77777777" w:rsidR="00561820" w:rsidRPr="00561820" w:rsidRDefault="00561820" w:rsidP="00561820">
      <w:pPr>
        <w:spacing w:before="240" w:line="240" w:lineRule="auto"/>
        <w:ind w:left="1701" w:hanging="567"/>
        <w:rPr>
          <w:rFonts w:eastAsia="Times New Roman" w:cs="Times New Roman"/>
          <w:sz w:val="24"/>
          <w:szCs w:val="24"/>
        </w:rPr>
      </w:pPr>
      <w:r w:rsidRPr="00561820">
        <w:rPr>
          <w:rFonts w:eastAsia="Times New Roman" w:cs="Times New Roman"/>
          <w:sz w:val="24"/>
          <w:szCs w:val="24"/>
        </w:rPr>
        <w:t xml:space="preserve">(a) </w:t>
      </w:r>
      <w:r w:rsidRPr="00561820">
        <w:rPr>
          <w:rFonts w:eastAsia="Times New Roman" w:cs="Times New Roman"/>
          <w:sz w:val="24"/>
          <w:szCs w:val="24"/>
        </w:rPr>
        <w:tab/>
        <w:t>a stapled issuer and each other stapled issuer a security of which under the terms on which it is traded on a prescribed financial market must be transferred with a security of the first-mentioned stapled issuer; and</w:t>
      </w:r>
    </w:p>
    <w:p w14:paraId="2AB62608" w14:textId="77777777" w:rsidR="00561820" w:rsidRPr="00561820" w:rsidRDefault="00561820" w:rsidP="00561820">
      <w:pPr>
        <w:spacing w:before="240" w:line="240" w:lineRule="auto"/>
        <w:ind w:left="1701" w:hanging="567"/>
        <w:rPr>
          <w:rFonts w:eastAsia="Times New Roman" w:cs="Times New Roman"/>
          <w:sz w:val="24"/>
          <w:szCs w:val="24"/>
        </w:rPr>
      </w:pPr>
      <w:r w:rsidRPr="00561820">
        <w:rPr>
          <w:rFonts w:eastAsia="Times New Roman" w:cs="Times New Roman"/>
          <w:sz w:val="24"/>
          <w:szCs w:val="24"/>
        </w:rPr>
        <w:t>(b)</w:t>
      </w:r>
      <w:r w:rsidRPr="00561820">
        <w:rPr>
          <w:rFonts w:eastAsia="Times New Roman" w:cs="Times New Roman"/>
          <w:sz w:val="24"/>
          <w:szCs w:val="24"/>
        </w:rPr>
        <w:tab/>
        <w:t>all other entities controlled by the stapled issuers referred to in paragraph (a).</w:t>
      </w:r>
    </w:p>
    <w:p w14:paraId="28DDCB16" w14:textId="77777777" w:rsidR="00561820" w:rsidRPr="00561820" w:rsidRDefault="00561820" w:rsidP="00561820">
      <w:pPr>
        <w:spacing w:before="240" w:line="240" w:lineRule="auto"/>
        <w:ind w:left="1134"/>
        <w:rPr>
          <w:rFonts w:eastAsia="Times New Roman" w:cs="Times New Roman"/>
          <w:sz w:val="24"/>
          <w:lang w:eastAsia="en-AU"/>
        </w:rPr>
      </w:pPr>
      <w:r w:rsidRPr="00561820">
        <w:rPr>
          <w:rFonts w:eastAsia="Times New Roman" w:cs="Times New Roman"/>
          <w:b/>
          <w:bCs/>
          <w:i/>
          <w:iCs/>
          <w:sz w:val="24"/>
          <w:lang w:eastAsia="en-AU"/>
        </w:rPr>
        <w:t>stapled issuer</w:t>
      </w:r>
      <w:r w:rsidRPr="00561820">
        <w:rPr>
          <w:rFonts w:eastAsia="Times New Roman" w:cs="Times New Roman"/>
          <w:sz w:val="24"/>
          <w:lang w:eastAsia="en-AU"/>
        </w:rPr>
        <w:t xml:space="preserve"> means an entity a security of which under the terms on which it is traded on a prescribed financial market, must be transferred together with a security of one or more other entities.</w:t>
      </w:r>
    </w:p>
    <w:p w14:paraId="5FC4DE16" w14:textId="77777777" w:rsidR="00561820" w:rsidRPr="00561820" w:rsidRDefault="00561820" w:rsidP="00561820">
      <w:pPr>
        <w:spacing w:before="240" w:line="240" w:lineRule="auto"/>
        <w:ind w:left="1134"/>
        <w:rPr>
          <w:rFonts w:eastAsia="Times New Roman" w:cs="Times New Roman"/>
          <w:sz w:val="24"/>
          <w:lang w:eastAsia="en-AU"/>
        </w:rPr>
      </w:pPr>
      <w:r w:rsidRPr="00561820">
        <w:rPr>
          <w:rFonts w:eastAsia="Times New Roman" w:cs="Times New Roman"/>
          <w:b/>
          <w:bCs/>
          <w:i/>
          <w:iCs/>
          <w:sz w:val="24"/>
          <w:lang w:eastAsia="en-AU"/>
        </w:rPr>
        <w:t>stapled security</w:t>
      </w:r>
      <w:r w:rsidRPr="00561820">
        <w:rPr>
          <w:rFonts w:eastAsia="Times New Roman" w:cs="Times New Roman"/>
          <w:sz w:val="24"/>
          <w:lang w:eastAsia="en-AU"/>
        </w:rPr>
        <w:t xml:space="preserve"> means a security of a stapled issuer which under the terms on which it is traded on a prescribed financial market, must be transferred together with a security of one or more other entities.</w:t>
      </w:r>
    </w:p>
    <w:p w14:paraId="1E88DCB1" w14:textId="77777777" w:rsidR="00561820" w:rsidRPr="00561820" w:rsidRDefault="00561820" w:rsidP="00561820">
      <w:pPr>
        <w:spacing w:before="240" w:line="240" w:lineRule="auto"/>
        <w:ind w:left="1134"/>
        <w:rPr>
          <w:rFonts w:eastAsia="Times New Roman" w:cs="Times New Roman"/>
          <w:b/>
          <w:i/>
          <w:sz w:val="24"/>
          <w:lang w:eastAsia="en-AU"/>
        </w:rPr>
      </w:pPr>
    </w:p>
    <w:p w14:paraId="03873EF5" w14:textId="77777777" w:rsidR="00561820" w:rsidRPr="00561820" w:rsidRDefault="00561820" w:rsidP="00561820">
      <w:pPr>
        <w:keepNext/>
        <w:keepLines/>
        <w:spacing w:before="280" w:line="240" w:lineRule="auto"/>
        <w:ind w:left="1138" w:hanging="1138"/>
        <w:outlineLvl w:val="0"/>
        <w:rPr>
          <w:rFonts w:eastAsia="Times New Roman" w:cs="Times New Roman"/>
          <w:b/>
          <w:kern w:val="28"/>
          <w:sz w:val="32"/>
          <w:lang w:eastAsia="en-AU"/>
        </w:rPr>
      </w:pPr>
      <w:bookmarkStart w:id="14" w:name="_Toc146207690"/>
      <w:bookmarkStart w:id="15" w:name="_Toc194417974"/>
      <w:r w:rsidRPr="00561820">
        <w:rPr>
          <w:rFonts w:eastAsia="Times New Roman" w:cs="Times New Roman"/>
          <w:b/>
          <w:kern w:val="28"/>
          <w:sz w:val="32"/>
          <w:lang w:eastAsia="en-AU"/>
        </w:rPr>
        <w:t>Part 2—Order</w:t>
      </w:r>
      <w:bookmarkEnd w:id="14"/>
      <w:bookmarkEnd w:id="15"/>
    </w:p>
    <w:p w14:paraId="7686E982" w14:textId="77777777" w:rsidR="00561820" w:rsidRPr="00561820" w:rsidRDefault="00561820" w:rsidP="00561820">
      <w:pPr>
        <w:keepNext/>
        <w:keepLines/>
        <w:spacing w:before="360" w:line="240" w:lineRule="auto"/>
        <w:ind w:left="567" w:hanging="567"/>
        <w:outlineLvl w:val="1"/>
        <w:rPr>
          <w:rFonts w:eastAsia="Times New Roman" w:cs="Times New Roman"/>
          <w:b/>
          <w:kern w:val="28"/>
          <w:sz w:val="24"/>
          <w:lang w:eastAsia="en-AU"/>
        </w:rPr>
      </w:pPr>
      <w:bookmarkStart w:id="16" w:name="_Toc146207691"/>
      <w:bookmarkStart w:id="17" w:name="_Toc194417975"/>
      <w:r w:rsidRPr="00561820">
        <w:rPr>
          <w:rFonts w:eastAsia="Times New Roman" w:cs="Times New Roman"/>
          <w:b/>
          <w:kern w:val="28"/>
          <w:sz w:val="24"/>
          <w:lang w:eastAsia="en-AU"/>
        </w:rPr>
        <w:t>5</w:t>
      </w:r>
      <w:r w:rsidRPr="00561820">
        <w:rPr>
          <w:rFonts w:eastAsia="Times New Roman" w:cs="Times New Roman"/>
          <w:b/>
          <w:kern w:val="28"/>
          <w:sz w:val="24"/>
          <w:lang w:eastAsia="en-AU"/>
        </w:rPr>
        <w:tab/>
        <w:t>Relief to enable combination or consolidation of stapled entities</w:t>
      </w:r>
      <w:bookmarkEnd w:id="16"/>
      <w:bookmarkEnd w:id="17"/>
    </w:p>
    <w:p w14:paraId="30B91C62" w14:textId="77777777" w:rsidR="00561820" w:rsidRPr="00561820" w:rsidRDefault="00561820" w:rsidP="00561820">
      <w:pPr>
        <w:numPr>
          <w:ilvl w:val="0"/>
          <w:numId w:val="14"/>
        </w:numPr>
        <w:spacing w:before="240" w:line="240" w:lineRule="auto"/>
        <w:rPr>
          <w:rFonts w:eastAsia="Times New Roman" w:cs="Times New Roman"/>
          <w:sz w:val="24"/>
          <w:szCs w:val="24"/>
        </w:rPr>
      </w:pPr>
      <w:bookmarkStart w:id="18" w:name="_Ref143095314"/>
      <w:r w:rsidRPr="00561820">
        <w:rPr>
          <w:rFonts w:eastAsia="Times New Roman" w:cs="Times New Roman"/>
          <w:sz w:val="24"/>
          <w:szCs w:val="24"/>
        </w:rPr>
        <w:t xml:space="preserve">A company (the </w:t>
      </w:r>
      <w:r w:rsidRPr="00561820">
        <w:rPr>
          <w:rFonts w:eastAsia="Times New Roman" w:cs="Times New Roman"/>
          <w:b/>
          <w:bCs/>
          <w:i/>
          <w:iCs/>
          <w:sz w:val="24"/>
          <w:szCs w:val="24"/>
        </w:rPr>
        <w:t>relevant entity</w:t>
      </w:r>
      <w:r w:rsidRPr="00561820">
        <w:rPr>
          <w:rFonts w:eastAsia="Times New Roman" w:cs="Times New Roman"/>
          <w:sz w:val="24"/>
          <w:szCs w:val="24"/>
        </w:rPr>
        <w:t xml:space="preserve">), registered scheme (the </w:t>
      </w:r>
      <w:r w:rsidRPr="00561820">
        <w:rPr>
          <w:rFonts w:eastAsia="Times New Roman" w:cs="Times New Roman"/>
          <w:b/>
          <w:bCs/>
          <w:i/>
          <w:iCs/>
          <w:sz w:val="24"/>
          <w:szCs w:val="24"/>
        </w:rPr>
        <w:t>relevant entity</w:t>
      </w:r>
      <w:r w:rsidRPr="00561820">
        <w:rPr>
          <w:rFonts w:eastAsia="Times New Roman" w:cs="Times New Roman"/>
          <w:sz w:val="24"/>
          <w:szCs w:val="24"/>
        </w:rPr>
        <w:t xml:space="preserve">) or disclosing entity (the </w:t>
      </w:r>
      <w:r w:rsidRPr="00561820">
        <w:rPr>
          <w:rFonts w:eastAsia="Times New Roman" w:cs="Times New Roman"/>
          <w:b/>
          <w:bCs/>
          <w:i/>
          <w:iCs/>
          <w:sz w:val="24"/>
          <w:szCs w:val="24"/>
        </w:rPr>
        <w:t>relevant entity</w:t>
      </w:r>
      <w:r w:rsidRPr="00561820">
        <w:rPr>
          <w:rFonts w:eastAsia="Times New Roman" w:cs="Times New Roman"/>
          <w:sz w:val="24"/>
          <w:szCs w:val="24"/>
        </w:rPr>
        <w:t>) which is a stapled issuer does not have to comply with:</w:t>
      </w:r>
      <w:bookmarkEnd w:id="18"/>
    </w:p>
    <w:p w14:paraId="4882B4B1" w14:textId="77777777" w:rsidR="00561820" w:rsidRPr="00561820" w:rsidRDefault="00561820" w:rsidP="00561820">
      <w:pPr>
        <w:spacing w:before="240" w:line="240" w:lineRule="auto"/>
        <w:ind w:left="1701" w:hanging="567"/>
        <w:rPr>
          <w:rFonts w:eastAsia="Times New Roman" w:cs="Times New Roman"/>
          <w:sz w:val="24"/>
        </w:rPr>
      </w:pPr>
      <w:r w:rsidRPr="00561820">
        <w:rPr>
          <w:rFonts w:eastAsia="Times New Roman" w:cs="Times New Roman"/>
          <w:sz w:val="24"/>
        </w:rPr>
        <w:t>(a)</w:t>
      </w:r>
      <w:r w:rsidRPr="00561820">
        <w:rPr>
          <w:rFonts w:eastAsia="Times New Roman" w:cs="Times New Roman"/>
          <w:sz w:val="24"/>
        </w:rPr>
        <w:tab/>
      </w:r>
      <w:r w:rsidRPr="00561820">
        <w:rPr>
          <w:rFonts w:eastAsia="Times New Roman" w:cs="Times New Roman"/>
          <w:sz w:val="24"/>
          <w:szCs w:val="24"/>
        </w:rPr>
        <w:t>subsection</w:t>
      </w:r>
      <w:r w:rsidRPr="00561820">
        <w:rPr>
          <w:rFonts w:eastAsia="Times New Roman" w:cs="Times New Roman"/>
          <w:sz w:val="24"/>
        </w:rPr>
        <w:t xml:space="preserve"> 292(1) and subsection 314(1) of the Act in relation to a financial year (the </w:t>
      </w:r>
      <w:r w:rsidRPr="00561820">
        <w:rPr>
          <w:rFonts w:eastAsia="Times New Roman" w:cs="Times New Roman"/>
          <w:b/>
          <w:i/>
          <w:sz w:val="24"/>
        </w:rPr>
        <w:t>relevant year</w:t>
      </w:r>
      <w:r w:rsidRPr="00561820">
        <w:rPr>
          <w:rFonts w:eastAsia="Times New Roman" w:cs="Times New Roman"/>
          <w:sz w:val="24"/>
        </w:rPr>
        <w:t>); and</w:t>
      </w:r>
    </w:p>
    <w:p w14:paraId="595AC304" w14:textId="77777777" w:rsidR="00561820" w:rsidRPr="00561820" w:rsidRDefault="00561820" w:rsidP="00561820">
      <w:pPr>
        <w:spacing w:before="240" w:line="240" w:lineRule="auto"/>
        <w:ind w:left="1701" w:hanging="567"/>
        <w:rPr>
          <w:rFonts w:eastAsia="Times New Roman" w:cs="Times New Roman"/>
          <w:sz w:val="24"/>
        </w:rPr>
      </w:pPr>
      <w:r w:rsidRPr="00561820">
        <w:rPr>
          <w:rFonts w:eastAsia="Times New Roman" w:cs="Times New Roman"/>
          <w:sz w:val="24"/>
        </w:rPr>
        <w:t>(b)</w:t>
      </w:r>
      <w:r w:rsidRPr="00561820">
        <w:rPr>
          <w:rFonts w:eastAsia="Times New Roman" w:cs="Times New Roman"/>
          <w:sz w:val="24"/>
        </w:rPr>
        <w:tab/>
        <w:t xml:space="preserve">section 302 of the Act in relation to a half-year (the </w:t>
      </w:r>
      <w:r w:rsidRPr="00561820">
        <w:rPr>
          <w:rFonts w:eastAsia="Times New Roman" w:cs="Times New Roman"/>
          <w:b/>
          <w:i/>
          <w:sz w:val="24"/>
        </w:rPr>
        <w:t>relevant half-year</w:t>
      </w:r>
      <w:r w:rsidRPr="00561820">
        <w:rPr>
          <w:rFonts w:eastAsia="Times New Roman" w:cs="Times New Roman"/>
          <w:sz w:val="24"/>
        </w:rPr>
        <w:t>);</w:t>
      </w:r>
    </w:p>
    <w:p w14:paraId="09F84CB2" w14:textId="77777777" w:rsidR="00561820" w:rsidRPr="00561820" w:rsidRDefault="00561820" w:rsidP="00561820">
      <w:pPr>
        <w:spacing w:before="240" w:line="240" w:lineRule="auto"/>
        <w:ind w:left="1137"/>
        <w:rPr>
          <w:rFonts w:eastAsia="Times New Roman" w:cs="Times New Roman"/>
          <w:sz w:val="24"/>
          <w:lang w:val="en-US"/>
        </w:rPr>
      </w:pPr>
      <w:r w:rsidRPr="00561820">
        <w:rPr>
          <w:rFonts w:eastAsia="Times New Roman" w:cs="Times New Roman"/>
          <w:sz w:val="24"/>
        </w:rPr>
        <w:t xml:space="preserve">to </w:t>
      </w:r>
      <w:r w:rsidRPr="00561820">
        <w:rPr>
          <w:rFonts w:eastAsia="Times New Roman" w:cs="Times New Roman"/>
          <w:sz w:val="24"/>
          <w:szCs w:val="24"/>
        </w:rPr>
        <w:t>the</w:t>
      </w:r>
      <w:r w:rsidRPr="00561820">
        <w:rPr>
          <w:rFonts w:eastAsia="Times New Roman" w:cs="Times New Roman"/>
          <w:sz w:val="24"/>
        </w:rPr>
        <w:t xml:space="preserve"> extent that:</w:t>
      </w:r>
    </w:p>
    <w:p w14:paraId="15A2ECC8" w14:textId="77777777" w:rsidR="00561820" w:rsidRPr="00561820" w:rsidRDefault="00561820" w:rsidP="00561820">
      <w:pPr>
        <w:spacing w:before="240" w:line="240" w:lineRule="auto"/>
        <w:ind w:left="1701" w:hanging="567"/>
        <w:rPr>
          <w:rFonts w:eastAsia="Times New Roman" w:cs="Times New Roman"/>
          <w:sz w:val="24"/>
        </w:rPr>
      </w:pPr>
      <w:r w:rsidRPr="00561820">
        <w:rPr>
          <w:rFonts w:eastAsia="Times New Roman" w:cs="Times New Roman"/>
          <w:sz w:val="24"/>
        </w:rPr>
        <w:t>(c)</w:t>
      </w:r>
      <w:r w:rsidRPr="00561820">
        <w:rPr>
          <w:rFonts w:eastAsia="Times New Roman" w:cs="Times New Roman"/>
          <w:sz w:val="24"/>
        </w:rPr>
        <w:tab/>
      </w:r>
      <w:r w:rsidRPr="00561820">
        <w:rPr>
          <w:rFonts w:eastAsia="Times New Roman" w:cs="Times New Roman"/>
          <w:sz w:val="24"/>
          <w:szCs w:val="24"/>
        </w:rPr>
        <w:t>subsection</w:t>
      </w:r>
      <w:r w:rsidRPr="00561820">
        <w:rPr>
          <w:rFonts w:eastAsia="Times New Roman" w:cs="Times New Roman"/>
          <w:sz w:val="24"/>
        </w:rPr>
        <w:t xml:space="preserve"> 295(2) or 303(2) or paragraph 314(2)(a) of the Act prevents the inclusion in the financial report (the </w:t>
      </w:r>
      <w:r w:rsidRPr="00561820">
        <w:rPr>
          <w:rFonts w:eastAsia="Times New Roman" w:cs="Times New Roman"/>
          <w:b/>
          <w:i/>
          <w:sz w:val="24"/>
        </w:rPr>
        <w:t>relevant entity report</w:t>
      </w:r>
      <w:r w:rsidRPr="00561820">
        <w:rPr>
          <w:rFonts w:eastAsia="Times New Roman" w:cs="Times New Roman"/>
          <w:sz w:val="24"/>
        </w:rPr>
        <w:t xml:space="preserve">) or concise report (the </w:t>
      </w:r>
      <w:r w:rsidRPr="00561820">
        <w:rPr>
          <w:rFonts w:eastAsia="Times New Roman" w:cs="Times New Roman"/>
          <w:b/>
          <w:i/>
          <w:sz w:val="24"/>
        </w:rPr>
        <w:t>relevant entity report</w:t>
      </w:r>
      <w:r w:rsidRPr="00561820">
        <w:rPr>
          <w:rFonts w:eastAsia="Times New Roman" w:cs="Times New Roman"/>
          <w:sz w:val="24"/>
        </w:rPr>
        <w:t xml:space="preserve">) of the relevant entity for the relevant half-year or relevant year of consolidated financial statements or combined financial statements that include the other entities (the </w:t>
      </w:r>
      <w:r w:rsidRPr="00561820">
        <w:rPr>
          <w:rFonts w:eastAsia="Times New Roman" w:cs="Times New Roman"/>
          <w:b/>
          <w:i/>
          <w:sz w:val="24"/>
        </w:rPr>
        <w:t>other group members</w:t>
      </w:r>
      <w:r w:rsidRPr="00561820">
        <w:rPr>
          <w:rFonts w:eastAsia="Times New Roman" w:cs="Times New Roman"/>
          <w:sz w:val="24"/>
        </w:rPr>
        <w:t>) that are stapled issuers in the same stapled group as the relevant entity; and</w:t>
      </w:r>
    </w:p>
    <w:p w14:paraId="26627D43" w14:textId="77777777" w:rsidR="00561820" w:rsidRPr="00561820" w:rsidRDefault="00561820" w:rsidP="00561820">
      <w:pPr>
        <w:spacing w:before="240" w:line="240" w:lineRule="auto"/>
        <w:ind w:left="1701" w:hanging="567"/>
        <w:rPr>
          <w:rFonts w:eastAsia="Times New Roman" w:cs="Times New Roman"/>
          <w:sz w:val="24"/>
        </w:rPr>
      </w:pPr>
      <w:r w:rsidRPr="00561820">
        <w:rPr>
          <w:rFonts w:eastAsia="Times New Roman" w:cs="Times New Roman"/>
          <w:sz w:val="24"/>
        </w:rPr>
        <w:t>(d)</w:t>
      </w:r>
      <w:r w:rsidRPr="00561820">
        <w:rPr>
          <w:rFonts w:eastAsia="Times New Roman" w:cs="Times New Roman"/>
          <w:sz w:val="24"/>
        </w:rPr>
        <w:tab/>
      </w:r>
      <w:r w:rsidRPr="00561820">
        <w:rPr>
          <w:rFonts w:eastAsia="Times New Roman" w:cs="Times New Roman"/>
          <w:sz w:val="24"/>
          <w:szCs w:val="24"/>
        </w:rPr>
        <w:t>subsection</w:t>
      </w:r>
      <w:r w:rsidRPr="00561820">
        <w:rPr>
          <w:rFonts w:eastAsia="Times New Roman" w:cs="Times New Roman"/>
          <w:sz w:val="24"/>
        </w:rPr>
        <w:t xml:space="preserve"> 296(1) or section 304 of the Act requires the relevant entity to present consolidated financial statements that do not include the other group members.</w:t>
      </w:r>
    </w:p>
    <w:p w14:paraId="2B6C4D8E" w14:textId="77777777" w:rsidR="00561820" w:rsidRPr="00561820" w:rsidRDefault="00561820" w:rsidP="00561820">
      <w:pPr>
        <w:numPr>
          <w:ilvl w:val="0"/>
          <w:numId w:val="14"/>
        </w:numPr>
        <w:spacing w:before="240" w:line="240" w:lineRule="auto"/>
        <w:rPr>
          <w:rFonts w:eastAsia="Times New Roman" w:cs="Times New Roman"/>
          <w:sz w:val="24"/>
        </w:rPr>
      </w:pPr>
      <w:r w:rsidRPr="00561820">
        <w:rPr>
          <w:rFonts w:eastAsia="Times New Roman" w:cs="Times New Roman"/>
          <w:sz w:val="24"/>
        </w:rPr>
        <w:t xml:space="preserve">The </w:t>
      </w:r>
      <w:r w:rsidRPr="00561820">
        <w:rPr>
          <w:rFonts w:eastAsia="Times New Roman" w:cs="Times New Roman"/>
          <w:sz w:val="24"/>
          <w:szCs w:val="24"/>
        </w:rPr>
        <w:t>relief</w:t>
      </w:r>
      <w:r w:rsidRPr="00561820">
        <w:rPr>
          <w:rFonts w:eastAsia="Times New Roman" w:cs="Times New Roman"/>
          <w:sz w:val="24"/>
        </w:rPr>
        <w:t xml:space="preserve"> in subsection 5(1) is available only where all of the following apply:</w:t>
      </w:r>
    </w:p>
    <w:p w14:paraId="74E80EBC" w14:textId="77777777" w:rsidR="00561820" w:rsidRPr="00561820" w:rsidRDefault="00561820" w:rsidP="00561820">
      <w:pPr>
        <w:spacing w:before="240" w:line="240" w:lineRule="auto"/>
        <w:ind w:left="1701" w:hanging="567"/>
        <w:rPr>
          <w:rFonts w:eastAsia="Times New Roman" w:cs="Times New Roman"/>
          <w:sz w:val="24"/>
        </w:rPr>
      </w:pPr>
      <w:r w:rsidRPr="00561820">
        <w:rPr>
          <w:rFonts w:eastAsia="Times New Roman" w:cs="Times New Roman"/>
          <w:sz w:val="24"/>
        </w:rPr>
        <w:lastRenderedPageBreak/>
        <w:t>(a)</w:t>
      </w:r>
      <w:r w:rsidRPr="00561820">
        <w:rPr>
          <w:rFonts w:eastAsia="Times New Roman" w:cs="Times New Roman"/>
          <w:sz w:val="24"/>
        </w:rPr>
        <w:tab/>
        <w:t xml:space="preserve">one of </w:t>
      </w:r>
      <w:r w:rsidRPr="00561820">
        <w:rPr>
          <w:rFonts w:eastAsia="Times New Roman" w:cs="Times New Roman"/>
          <w:sz w:val="24"/>
          <w:szCs w:val="24"/>
        </w:rPr>
        <w:t>the</w:t>
      </w:r>
      <w:r w:rsidRPr="00561820">
        <w:rPr>
          <w:rFonts w:eastAsia="Times New Roman" w:cs="Times New Roman"/>
          <w:sz w:val="24"/>
        </w:rPr>
        <w:t xml:space="preserve"> following applies:</w:t>
      </w:r>
    </w:p>
    <w:p w14:paraId="058A2D73" w14:textId="77777777" w:rsidR="00561820" w:rsidRPr="00561820" w:rsidRDefault="00561820" w:rsidP="00561820">
      <w:pPr>
        <w:spacing w:before="240" w:line="240" w:lineRule="auto"/>
        <w:ind w:left="2268" w:hanging="567"/>
        <w:rPr>
          <w:rFonts w:eastAsia="Times New Roman" w:cs="Times New Roman"/>
          <w:sz w:val="24"/>
          <w:szCs w:val="24"/>
          <w:lang w:val="en-US"/>
        </w:rPr>
      </w:pPr>
      <w:r w:rsidRPr="00561820">
        <w:rPr>
          <w:rFonts w:eastAsia="Times New Roman" w:cs="Times New Roman"/>
          <w:sz w:val="24"/>
          <w:szCs w:val="24"/>
          <w:lang w:val="en-US"/>
        </w:rPr>
        <w:t>(i)</w:t>
      </w:r>
      <w:r w:rsidRPr="00561820">
        <w:rPr>
          <w:rFonts w:eastAsia="Times New Roman" w:cs="Times New Roman"/>
          <w:sz w:val="24"/>
          <w:szCs w:val="24"/>
          <w:lang w:val="en-US"/>
        </w:rPr>
        <w:tab/>
        <w:t xml:space="preserve">the </w:t>
      </w:r>
      <w:r w:rsidRPr="00561820">
        <w:rPr>
          <w:rFonts w:eastAsia="Times New Roman" w:cs="Times New Roman"/>
          <w:sz w:val="24"/>
          <w:szCs w:val="24"/>
        </w:rPr>
        <w:t>relevant</w:t>
      </w:r>
      <w:r w:rsidRPr="00561820">
        <w:rPr>
          <w:rFonts w:eastAsia="Times New Roman" w:cs="Times New Roman"/>
          <w:sz w:val="24"/>
          <w:szCs w:val="24"/>
          <w:lang w:val="en-US"/>
        </w:rPr>
        <w:t xml:space="preserve"> entity prepared a financial report under Chapter 2M of the Act for the previous reporting period that contained consolidated financial statements or combined financial statements that included the other group members;</w:t>
      </w:r>
    </w:p>
    <w:p w14:paraId="20FE3EAA" w14:textId="77777777" w:rsidR="00561820" w:rsidRPr="00561820" w:rsidRDefault="00561820" w:rsidP="00561820">
      <w:pPr>
        <w:spacing w:before="240" w:line="240" w:lineRule="auto"/>
        <w:ind w:left="2268" w:hanging="567"/>
        <w:rPr>
          <w:rFonts w:eastAsia="Times New Roman" w:cs="Times New Roman"/>
          <w:sz w:val="24"/>
          <w:szCs w:val="24"/>
          <w:lang w:val="en-US"/>
        </w:rPr>
      </w:pPr>
      <w:r w:rsidRPr="00561820">
        <w:rPr>
          <w:rFonts w:eastAsia="Times New Roman" w:cs="Times New Roman"/>
          <w:sz w:val="24"/>
          <w:szCs w:val="24"/>
          <w:lang w:val="en-US"/>
        </w:rPr>
        <w:t xml:space="preserve">(ii) </w:t>
      </w:r>
      <w:r w:rsidRPr="00561820">
        <w:rPr>
          <w:rFonts w:eastAsia="Times New Roman" w:cs="Times New Roman"/>
          <w:sz w:val="24"/>
          <w:szCs w:val="24"/>
          <w:lang w:val="en-US"/>
        </w:rPr>
        <w:tab/>
        <w:t xml:space="preserve">since the </w:t>
      </w:r>
      <w:r w:rsidRPr="00561820">
        <w:rPr>
          <w:rFonts w:eastAsia="Times New Roman" w:cs="Times New Roman"/>
          <w:sz w:val="24"/>
          <w:szCs w:val="24"/>
        </w:rPr>
        <w:t>time</w:t>
      </w:r>
      <w:r w:rsidRPr="00561820">
        <w:rPr>
          <w:rFonts w:eastAsia="Times New Roman" w:cs="Times New Roman"/>
          <w:sz w:val="24"/>
          <w:szCs w:val="24"/>
          <w:lang w:val="en-US"/>
        </w:rPr>
        <w:t xml:space="preserve"> that the stapled group included the relevant entity and the other group members, the relevant entity has not prepared a financial report under Chapter 2M of the Act other than the relevant entity report;</w:t>
      </w:r>
    </w:p>
    <w:p w14:paraId="54B6C7D7" w14:textId="77777777" w:rsidR="00561820" w:rsidRPr="00561820" w:rsidRDefault="00561820" w:rsidP="00561820">
      <w:pPr>
        <w:spacing w:before="240" w:line="240" w:lineRule="auto"/>
        <w:ind w:left="1701" w:hanging="567"/>
        <w:rPr>
          <w:rFonts w:eastAsia="Times New Roman" w:cs="Times New Roman"/>
          <w:sz w:val="24"/>
          <w:lang w:val="en-US"/>
        </w:rPr>
      </w:pPr>
      <w:r w:rsidRPr="00561820">
        <w:rPr>
          <w:rFonts w:eastAsia="Times New Roman" w:cs="Times New Roman"/>
          <w:sz w:val="24"/>
          <w:lang w:val="en-US"/>
        </w:rPr>
        <w:t>(b)</w:t>
      </w:r>
      <w:r w:rsidRPr="00561820">
        <w:rPr>
          <w:rFonts w:eastAsia="Times New Roman" w:cs="Times New Roman"/>
          <w:sz w:val="24"/>
          <w:lang w:val="en-US"/>
        </w:rPr>
        <w:tab/>
        <w:t xml:space="preserve">the </w:t>
      </w:r>
      <w:r w:rsidRPr="00561820">
        <w:rPr>
          <w:rFonts w:eastAsia="Times New Roman" w:cs="Times New Roman"/>
          <w:sz w:val="24"/>
        </w:rPr>
        <w:t>relevant</w:t>
      </w:r>
      <w:r w:rsidRPr="00561820">
        <w:rPr>
          <w:rFonts w:eastAsia="Times New Roman" w:cs="Times New Roman"/>
          <w:sz w:val="24"/>
          <w:lang w:val="en-US"/>
        </w:rPr>
        <w:t xml:space="preserve"> entity report includes consolidated financial statements or combined financial statements (whichever was presented for the previous reporting period if subparagraph 5(2)(a)(i) applies or consolidated financial statements if subparagraph 5(2)(a)(ii) applies) that:</w:t>
      </w:r>
    </w:p>
    <w:p w14:paraId="031D52E8" w14:textId="77777777" w:rsidR="00561820" w:rsidRPr="00561820" w:rsidRDefault="00561820" w:rsidP="00561820">
      <w:pPr>
        <w:spacing w:before="240" w:line="240" w:lineRule="auto"/>
        <w:ind w:left="2268" w:hanging="567"/>
        <w:rPr>
          <w:rFonts w:eastAsia="Times New Roman" w:cs="Times New Roman"/>
          <w:sz w:val="24"/>
          <w:szCs w:val="24"/>
          <w:lang w:val="en-US"/>
        </w:rPr>
      </w:pPr>
      <w:r w:rsidRPr="00561820">
        <w:rPr>
          <w:rFonts w:eastAsia="Times New Roman" w:cs="Times New Roman"/>
          <w:sz w:val="24"/>
          <w:szCs w:val="24"/>
          <w:lang w:val="en-US"/>
        </w:rPr>
        <w:t>(i)</w:t>
      </w:r>
      <w:r w:rsidRPr="00561820">
        <w:rPr>
          <w:rFonts w:eastAsia="Times New Roman" w:cs="Times New Roman"/>
          <w:sz w:val="24"/>
          <w:szCs w:val="24"/>
          <w:lang w:val="en-US"/>
        </w:rPr>
        <w:tab/>
        <w:t xml:space="preserve">consolidate any entities controlled by the relevant entity in accordance with accounting standard AASB 10 </w:t>
      </w:r>
      <w:r w:rsidRPr="00561820">
        <w:rPr>
          <w:rFonts w:eastAsia="Times New Roman" w:cs="Times New Roman"/>
          <w:i/>
          <w:sz w:val="24"/>
          <w:szCs w:val="24"/>
          <w:lang w:val="en-US"/>
        </w:rPr>
        <w:t>Consolidated Financial Statements</w:t>
      </w:r>
      <w:r w:rsidRPr="00561820">
        <w:rPr>
          <w:rFonts w:eastAsia="Times New Roman" w:cs="Times New Roman"/>
          <w:sz w:val="24"/>
          <w:szCs w:val="24"/>
          <w:lang w:val="en-US"/>
        </w:rPr>
        <w:t xml:space="preserve"> other than the other group members; and</w:t>
      </w:r>
    </w:p>
    <w:p w14:paraId="170252EB" w14:textId="77777777" w:rsidR="00561820" w:rsidRPr="00561820" w:rsidRDefault="00561820" w:rsidP="00561820">
      <w:pPr>
        <w:spacing w:before="240" w:line="240" w:lineRule="auto"/>
        <w:ind w:left="2268" w:hanging="567"/>
        <w:rPr>
          <w:rFonts w:eastAsia="Times New Roman" w:cs="Times New Roman"/>
          <w:sz w:val="24"/>
          <w:szCs w:val="24"/>
          <w:lang w:val="en-US"/>
        </w:rPr>
      </w:pPr>
      <w:r w:rsidRPr="00561820">
        <w:rPr>
          <w:rFonts w:eastAsia="Times New Roman" w:cs="Times New Roman"/>
          <w:sz w:val="24"/>
          <w:szCs w:val="24"/>
          <w:lang w:val="en-US"/>
        </w:rPr>
        <w:t>(ii)</w:t>
      </w:r>
      <w:r w:rsidRPr="00561820">
        <w:rPr>
          <w:rFonts w:eastAsia="Times New Roman" w:cs="Times New Roman"/>
          <w:sz w:val="24"/>
          <w:szCs w:val="24"/>
          <w:lang w:val="en-US"/>
        </w:rPr>
        <w:tab/>
        <w:t>consolidate the other group members if consolidated financial statements are included; and</w:t>
      </w:r>
    </w:p>
    <w:p w14:paraId="4F33C389" w14:textId="77777777" w:rsidR="00561820" w:rsidRPr="00561820" w:rsidRDefault="00561820" w:rsidP="00561820">
      <w:pPr>
        <w:spacing w:before="240" w:line="240" w:lineRule="auto"/>
        <w:ind w:left="2268" w:hanging="567"/>
        <w:rPr>
          <w:rFonts w:eastAsia="Times New Roman" w:cs="Times New Roman"/>
          <w:sz w:val="24"/>
          <w:szCs w:val="24"/>
          <w:lang w:val="en-US"/>
        </w:rPr>
      </w:pPr>
      <w:r w:rsidRPr="00561820">
        <w:rPr>
          <w:rFonts w:eastAsia="Times New Roman" w:cs="Times New Roman"/>
          <w:sz w:val="24"/>
          <w:szCs w:val="24"/>
          <w:lang w:val="en-US"/>
        </w:rPr>
        <w:t>(iii)</w:t>
      </w:r>
      <w:r w:rsidRPr="00561820">
        <w:rPr>
          <w:rFonts w:eastAsia="Times New Roman" w:cs="Times New Roman"/>
          <w:sz w:val="24"/>
          <w:szCs w:val="24"/>
          <w:lang w:val="en-US"/>
        </w:rPr>
        <w:tab/>
        <w:t>combine the other group members if combined financial statements are included;</w:t>
      </w:r>
    </w:p>
    <w:p w14:paraId="0FE1382A" w14:textId="77777777" w:rsidR="00561820" w:rsidRPr="00561820" w:rsidRDefault="00561820" w:rsidP="00561820">
      <w:pPr>
        <w:spacing w:before="240" w:line="240" w:lineRule="auto"/>
        <w:ind w:left="1701" w:hanging="567"/>
        <w:rPr>
          <w:rFonts w:eastAsia="Times New Roman" w:cs="Times New Roman"/>
          <w:sz w:val="24"/>
          <w:lang w:val="en-US"/>
        </w:rPr>
      </w:pPr>
      <w:r w:rsidRPr="00561820">
        <w:rPr>
          <w:rFonts w:eastAsia="Times New Roman" w:cs="Times New Roman"/>
          <w:sz w:val="24"/>
          <w:lang w:val="en-US"/>
        </w:rPr>
        <w:t>(c)</w:t>
      </w:r>
      <w:r w:rsidRPr="00561820">
        <w:rPr>
          <w:rFonts w:eastAsia="Times New Roman" w:cs="Times New Roman"/>
          <w:sz w:val="24"/>
          <w:lang w:val="en-US"/>
        </w:rPr>
        <w:tab/>
        <w:t xml:space="preserve">the consolidated or combined financial statements referred to in paragraph 5(1)(c) comply with Chapter 2M of the Act other than by including the other group members; </w:t>
      </w:r>
    </w:p>
    <w:p w14:paraId="4E344B1E" w14:textId="77777777" w:rsidR="00561820" w:rsidRPr="00561820" w:rsidRDefault="00561820" w:rsidP="00561820">
      <w:pPr>
        <w:spacing w:before="240" w:line="240" w:lineRule="auto"/>
        <w:ind w:left="1701" w:hanging="567"/>
        <w:rPr>
          <w:rFonts w:eastAsia="Times New Roman" w:cs="Times New Roman"/>
          <w:sz w:val="24"/>
          <w:lang w:val="en-US"/>
        </w:rPr>
      </w:pPr>
      <w:r w:rsidRPr="00561820">
        <w:rPr>
          <w:rFonts w:eastAsia="Times New Roman" w:cs="Times New Roman"/>
          <w:sz w:val="24"/>
          <w:lang w:val="en-US"/>
        </w:rPr>
        <w:t>(d)</w:t>
      </w:r>
      <w:r w:rsidRPr="00561820">
        <w:rPr>
          <w:rFonts w:eastAsia="Times New Roman" w:cs="Times New Roman"/>
          <w:sz w:val="24"/>
          <w:lang w:val="en-US"/>
        </w:rPr>
        <w:tab/>
        <w:t>each of the other group members are required to prepare financial reports for the relevant half-year or relevant year in accordance with Chapter 2M of the Act;</w:t>
      </w:r>
    </w:p>
    <w:p w14:paraId="4732B004" w14:textId="77777777" w:rsidR="00561820" w:rsidRPr="00561820" w:rsidRDefault="00561820" w:rsidP="00561820">
      <w:pPr>
        <w:spacing w:before="240" w:line="240" w:lineRule="auto"/>
        <w:ind w:left="1701" w:hanging="567"/>
        <w:rPr>
          <w:rFonts w:eastAsia="Times New Roman" w:cs="Times New Roman"/>
          <w:sz w:val="24"/>
        </w:rPr>
      </w:pPr>
      <w:r w:rsidRPr="00561820">
        <w:rPr>
          <w:rFonts w:eastAsia="Times New Roman" w:cs="Times New Roman"/>
          <w:sz w:val="24"/>
        </w:rPr>
        <w:t xml:space="preserve">(e) </w:t>
      </w:r>
      <w:r w:rsidRPr="00561820">
        <w:rPr>
          <w:rFonts w:eastAsia="Times New Roman" w:cs="Times New Roman"/>
          <w:sz w:val="24"/>
        </w:rPr>
        <w:tab/>
        <w:t xml:space="preserve">the relevant entity report discloses whether the financial statements presented in accordance with this instrument are consolidated financial statements or combined financial statements; </w:t>
      </w:r>
    </w:p>
    <w:p w14:paraId="7E97556D" w14:textId="77777777" w:rsidR="00561820" w:rsidRPr="00561820" w:rsidRDefault="00561820" w:rsidP="00561820">
      <w:pPr>
        <w:spacing w:before="240" w:line="240" w:lineRule="auto"/>
        <w:ind w:left="1701" w:hanging="567"/>
        <w:rPr>
          <w:rFonts w:eastAsia="Times New Roman" w:cs="Times New Roman"/>
          <w:sz w:val="24"/>
        </w:rPr>
      </w:pPr>
      <w:r w:rsidRPr="00561820">
        <w:rPr>
          <w:rFonts w:eastAsia="Times New Roman" w:cs="Times New Roman"/>
          <w:sz w:val="24"/>
        </w:rPr>
        <w:t>(f)</w:t>
      </w:r>
      <w:r w:rsidRPr="00561820">
        <w:rPr>
          <w:rFonts w:eastAsia="Times New Roman" w:cs="Times New Roman"/>
          <w:sz w:val="24"/>
        </w:rPr>
        <w:tab/>
        <w:t>the relevant entity report discloses the amounts attributed to non-controlling interests which are attributable to the holders of stapled securities.</w:t>
      </w:r>
    </w:p>
    <w:p w14:paraId="0EB53DD9" w14:textId="77777777" w:rsidR="00561820" w:rsidRPr="00561820" w:rsidRDefault="00561820" w:rsidP="00561820">
      <w:pPr>
        <w:keepNext/>
        <w:keepLines/>
        <w:spacing w:before="360" w:line="240" w:lineRule="auto"/>
        <w:ind w:left="567" w:hanging="567"/>
        <w:outlineLvl w:val="1"/>
        <w:rPr>
          <w:rFonts w:eastAsia="Times New Roman" w:cs="Times New Roman"/>
          <w:iCs/>
          <w:color w:val="000000"/>
          <w:kern w:val="28"/>
          <w:sz w:val="24"/>
          <w:lang w:eastAsia="en-AU"/>
        </w:rPr>
      </w:pPr>
      <w:bookmarkStart w:id="19" w:name="_Toc146207692"/>
      <w:bookmarkStart w:id="20" w:name="_Toc194417976"/>
      <w:r w:rsidRPr="00561820">
        <w:rPr>
          <w:rFonts w:eastAsia="Times New Roman" w:cs="Times New Roman"/>
          <w:b/>
          <w:iCs/>
          <w:color w:val="000000"/>
          <w:kern w:val="28"/>
          <w:sz w:val="24"/>
          <w:lang w:eastAsia="en-AU"/>
        </w:rPr>
        <w:t>6</w:t>
      </w:r>
      <w:r w:rsidRPr="00561820">
        <w:rPr>
          <w:rFonts w:eastAsia="Times New Roman" w:cs="Times New Roman"/>
          <w:b/>
          <w:iCs/>
          <w:color w:val="000000"/>
          <w:kern w:val="28"/>
          <w:sz w:val="24"/>
          <w:lang w:eastAsia="en-AU"/>
        </w:rPr>
        <w:tab/>
        <w:t xml:space="preserve">Relief for </w:t>
      </w:r>
      <w:r w:rsidRPr="00561820">
        <w:rPr>
          <w:rFonts w:eastAsia="Times New Roman" w:cs="Times New Roman"/>
          <w:b/>
          <w:iCs/>
          <w:kern w:val="28"/>
          <w:sz w:val="24"/>
          <w:lang w:eastAsia="en-AU"/>
        </w:rPr>
        <w:t>presentation</w:t>
      </w:r>
      <w:r w:rsidRPr="00561820">
        <w:rPr>
          <w:rFonts w:eastAsia="Times New Roman" w:cs="Times New Roman"/>
          <w:b/>
          <w:iCs/>
          <w:color w:val="000000"/>
          <w:kern w:val="28"/>
          <w:sz w:val="24"/>
          <w:lang w:eastAsia="en-AU"/>
        </w:rPr>
        <w:t xml:space="preserve"> of reports of stapled entities</w:t>
      </w:r>
      <w:bookmarkEnd w:id="19"/>
      <w:bookmarkEnd w:id="20"/>
    </w:p>
    <w:p w14:paraId="5A125C10" w14:textId="77777777" w:rsidR="00561820" w:rsidRPr="00561820" w:rsidRDefault="00561820" w:rsidP="00561820">
      <w:pPr>
        <w:numPr>
          <w:ilvl w:val="0"/>
          <w:numId w:val="15"/>
        </w:numPr>
        <w:spacing w:before="240" w:line="240" w:lineRule="auto"/>
        <w:rPr>
          <w:rFonts w:eastAsia="Times New Roman" w:cs="Times New Roman"/>
          <w:sz w:val="24"/>
        </w:rPr>
      </w:pPr>
      <w:r w:rsidRPr="00561820">
        <w:rPr>
          <w:rFonts w:eastAsia="Times New Roman" w:cs="Times New Roman"/>
          <w:sz w:val="24"/>
        </w:rPr>
        <w:t xml:space="preserve">A </w:t>
      </w:r>
      <w:r w:rsidRPr="00561820">
        <w:rPr>
          <w:rFonts w:eastAsia="Times New Roman" w:cs="Times New Roman"/>
          <w:sz w:val="24"/>
          <w:szCs w:val="24"/>
        </w:rPr>
        <w:t>relevant</w:t>
      </w:r>
      <w:r w:rsidRPr="00561820">
        <w:rPr>
          <w:rFonts w:eastAsia="Times New Roman" w:cs="Times New Roman"/>
          <w:sz w:val="24"/>
        </w:rPr>
        <w:t xml:space="preserve"> entity does not have to comply with subsection 292(1), section 302 and subsection 314(1) of the Act in relation to the relevant half-year or relevant year to the extent that subsections 295(2), 303(2) or 314(2) of the Act prevent the inclusion in the relevant entity report of the single </w:t>
      </w:r>
      <w:r w:rsidRPr="00561820">
        <w:rPr>
          <w:rFonts w:eastAsia="Times New Roman" w:cs="Times New Roman"/>
          <w:sz w:val="24"/>
        </w:rPr>
        <w:lastRenderedPageBreak/>
        <w:t>entity or consolidated financial statements and directors’ declaration of other group members.</w:t>
      </w:r>
    </w:p>
    <w:p w14:paraId="0D62AE6D" w14:textId="77777777" w:rsidR="00561820" w:rsidRPr="00561820" w:rsidRDefault="00561820" w:rsidP="00561820">
      <w:pPr>
        <w:numPr>
          <w:ilvl w:val="0"/>
          <w:numId w:val="15"/>
        </w:numPr>
        <w:spacing w:before="240" w:line="240" w:lineRule="auto"/>
        <w:rPr>
          <w:rFonts w:eastAsia="Times New Roman" w:cs="Times New Roman"/>
          <w:sz w:val="24"/>
        </w:rPr>
      </w:pPr>
      <w:r w:rsidRPr="00561820">
        <w:rPr>
          <w:rFonts w:eastAsia="Times New Roman" w:cs="Times New Roman"/>
          <w:sz w:val="24"/>
        </w:rPr>
        <w:t xml:space="preserve">The relief in </w:t>
      </w:r>
      <w:r w:rsidRPr="00561820">
        <w:rPr>
          <w:rFonts w:eastAsia="Times New Roman" w:cs="Times New Roman"/>
          <w:sz w:val="24"/>
          <w:szCs w:val="24"/>
        </w:rPr>
        <w:t>subsection</w:t>
      </w:r>
      <w:r w:rsidRPr="00561820">
        <w:rPr>
          <w:rFonts w:eastAsia="Times New Roman" w:cs="Times New Roman"/>
          <w:sz w:val="24"/>
        </w:rPr>
        <w:t xml:space="preserve"> 6</w:t>
      </w:r>
      <w:r w:rsidRPr="00561820">
        <w:rPr>
          <w:rFonts w:eastAsia="Times New Roman" w:cs="Times New Roman"/>
          <w:sz w:val="24"/>
          <w:szCs w:val="24"/>
        </w:rPr>
        <w:t>(1)</w:t>
      </w:r>
      <w:r w:rsidRPr="00561820">
        <w:rPr>
          <w:rFonts w:eastAsia="Times New Roman" w:cs="Times New Roman"/>
          <w:sz w:val="24"/>
        </w:rPr>
        <w:t xml:space="preserve"> is available only where all of the following apply:</w:t>
      </w:r>
    </w:p>
    <w:p w14:paraId="1DCA528F" w14:textId="77777777" w:rsidR="00561820" w:rsidRPr="00561820" w:rsidRDefault="00561820" w:rsidP="00561820">
      <w:pPr>
        <w:spacing w:before="240" w:line="240" w:lineRule="auto"/>
        <w:ind w:left="1701" w:hanging="567"/>
        <w:rPr>
          <w:rFonts w:eastAsia="Times New Roman" w:cs="Times New Roman"/>
          <w:sz w:val="24"/>
        </w:rPr>
      </w:pPr>
      <w:r w:rsidRPr="00561820">
        <w:rPr>
          <w:rFonts w:eastAsia="Times New Roman" w:cs="Times New Roman"/>
          <w:sz w:val="24"/>
        </w:rPr>
        <w:t>(a)</w:t>
      </w:r>
      <w:r w:rsidRPr="00561820">
        <w:rPr>
          <w:rFonts w:eastAsia="Times New Roman" w:cs="Times New Roman"/>
          <w:sz w:val="24"/>
        </w:rPr>
        <w:tab/>
        <w:t>the relevant entity or one of the other group members relies on the relief in subsection 5(1);</w:t>
      </w:r>
    </w:p>
    <w:p w14:paraId="75CDEBF2" w14:textId="77777777" w:rsidR="00561820" w:rsidRPr="00561820" w:rsidRDefault="00561820" w:rsidP="00561820">
      <w:pPr>
        <w:spacing w:before="240" w:line="240" w:lineRule="auto"/>
        <w:ind w:left="1701" w:hanging="567"/>
        <w:rPr>
          <w:rFonts w:eastAsia="Times New Roman" w:cs="Times New Roman"/>
          <w:sz w:val="24"/>
        </w:rPr>
      </w:pPr>
      <w:r w:rsidRPr="00561820">
        <w:rPr>
          <w:rFonts w:eastAsia="Times New Roman" w:cs="Times New Roman"/>
          <w:sz w:val="24"/>
        </w:rPr>
        <w:t>(b)</w:t>
      </w:r>
      <w:r w:rsidRPr="00561820">
        <w:rPr>
          <w:rFonts w:eastAsia="Times New Roman" w:cs="Times New Roman"/>
          <w:sz w:val="24"/>
        </w:rPr>
        <w:tab/>
        <w:t>all of the other group members are required to prepare financial reports for the relevant half-year or relevant year in accordance with Chapter 2M of the Act;</w:t>
      </w:r>
    </w:p>
    <w:p w14:paraId="77E1A55C" w14:textId="77777777" w:rsidR="00561820" w:rsidRPr="00561820" w:rsidRDefault="00561820" w:rsidP="00561820">
      <w:pPr>
        <w:spacing w:before="240" w:line="240" w:lineRule="auto"/>
        <w:ind w:left="1701" w:hanging="567"/>
        <w:rPr>
          <w:rFonts w:eastAsia="Times New Roman" w:cs="Times New Roman"/>
          <w:sz w:val="24"/>
        </w:rPr>
      </w:pPr>
      <w:r w:rsidRPr="00561820">
        <w:rPr>
          <w:rFonts w:eastAsia="Times New Roman" w:cs="Times New Roman"/>
          <w:sz w:val="24"/>
        </w:rPr>
        <w:t>(c)</w:t>
      </w:r>
      <w:r w:rsidRPr="00561820">
        <w:rPr>
          <w:rFonts w:eastAsia="Times New Roman" w:cs="Times New Roman"/>
          <w:sz w:val="24"/>
        </w:rPr>
        <w:tab/>
        <w:t xml:space="preserve">all of the other group members rely on the relief in subsection 6(1) for the relevant half-year or relevant year;  </w:t>
      </w:r>
    </w:p>
    <w:p w14:paraId="2691C3C4" w14:textId="77777777" w:rsidR="00561820" w:rsidRPr="00561820" w:rsidRDefault="00561820" w:rsidP="00561820">
      <w:pPr>
        <w:spacing w:before="240" w:line="240" w:lineRule="auto"/>
        <w:ind w:left="1701" w:hanging="567"/>
        <w:rPr>
          <w:rFonts w:eastAsia="Times New Roman" w:cs="Times New Roman"/>
          <w:sz w:val="24"/>
        </w:rPr>
      </w:pPr>
      <w:r w:rsidRPr="00561820">
        <w:rPr>
          <w:rFonts w:eastAsia="Times New Roman" w:cs="Times New Roman"/>
          <w:sz w:val="24"/>
        </w:rPr>
        <w:t>(d)</w:t>
      </w:r>
      <w:r w:rsidRPr="00561820">
        <w:rPr>
          <w:rFonts w:eastAsia="Times New Roman" w:cs="Times New Roman"/>
          <w:sz w:val="24"/>
        </w:rPr>
        <w:tab/>
        <w:t>one of the following applies:</w:t>
      </w:r>
    </w:p>
    <w:p w14:paraId="41100E18" w14:textId="77777777" w:rsidR="00561820" w:rsidRPr="00561820" w:rsidRDefault="00561820" w:rsidP="00561820">
      <w:pPr>
        <w:spacing w:before="240" w:line="240" w:lineRule="auto"/>
        <w:ind w:left="2268" w:hanging="567"/>
        <w:rPr>
          <w:rFonts w:eastAsia="Times New Roman" w:cs="Times New Roman"/>
          <w:sz w:val="24"/>
          <w:szCs w:val="24"/>
          <w:lang w:val="en-US"/>
        </w:rPr>
      </w:pPr>
      <w:r w:rsidRPr="00561820">
        <w:rPr>
          <w:rFonts w:eastAsia="Times New Roman" w:cs="Times New Roman"/>
          <w:sz w:val="24"/>
          <w:szCs w:val="24"/>
          <w:lang w:val="en-US"/>
        </w:rPr>
        <w:t>(i)</w:t>
      </w:r>
      <w:r w:rsidRPr="00561820">
        <w:rPr>
          <w:rFonts w:eastAsia="Times New Roman" w:cs="Times New Roman"/>
          <w:sz w:val="24"/>
          <w:szCs w:val="24"/>
          <w:lang w:val="en-US"/>
        </w:rPr>
        <w:tab/>
        <w:t xml:space="preserve">such financial statements of the relevant entity and all other group members (including any single entity financial statements presented where </w:t>
      </w:r>
      <w:bookmarkStart w:id="21" w:name="_Hlk68853609"/>
      <w:r w:rsidRPr="00561820">
        <w:rPr>
          <w:rFonts w:eastAsia="Times New Roman" w:cs="Times New Roman"/>
          <w:i/>
          <w:iCs/>
          <w:sz w:val="24"/>
          <w:szCs w:val="24"/>
          <w:lang w:val="en-US"/>
        </w:rPr>
        <w:t>ASIC Corporations (Parent Entity Financial Statements) Instrument 2021/195</w:t>
      </w:r>
      <w:bookmarkEnd w:id="21"/>
      <w:r w:rsidRPr="00561820">
        <w:rPr>
          <w:rFonts w:eastAsia="Times New Roman" w:cs="Times New Roman"/>
          <w:sz w:val="24"/>
          <w:szCs w:val="24"/>
          <w:lang w:val="en-US"/>
        </w:rPr>
        <w:t xml:space="preserve"> is relied on) are presented in adjacent columns in the relevant report; </w:t>
      </w:r>
    </w:p>
    <w:p w14:paraId="1FF98B08" w14:textId="77777777" w:rsidR="00561820" w:rsidRPr="00561820" w:rsidRDefault="00561820" w:rsidP="00561820">
      <w:pPr>
        <w:spacing w:before="240" w:line="240" w:lineRule="auto"/>
        <w:ind w:left="2268" w:hanging="567"/>
        <w:rPr>
          <w:rFonts w:eastAsia="Times New Roman" w:cs="Times New Roman"/>
          <w:sz w:val="24"/>
          <w:szCs w:val="24"/>
          <w:lang w:val="en-US"/>
        </w:rPr>
      </w:pPr>
      <w:r w:rsidRPr="00561820">
        <w:rPr>
          <w:rFonts w:eastAsia="Times New Roman" w:cs="Times New Roman"/>
          <w:sz w:val="24"/>
          <w:szCs w:val="24"/>
          <w:lang w:val="en-US"/>
        </w:rPr>
        <w:t>(ii)</w:t>
      </w:r>
      <w:r w:rsidRPr="00561820">
        <w:rPr>
          <w:rFonts w:eastAsia="Times New Roman" w:cs="Times New Roman"/>
          <w:sz w:val="24"/>
          <w:szCs w:val="24"/>
          <w:lang w:val="en-US"/>
        </w:rPr>
        <w:tab/>
        <w:t>financial statements are presented as follows in separate sections of the relevant report:</w:t>
      </w:r>
    </w:p>
    <w:p w14:paraId="4357835A" w14:textId="77777777" w:rsidR="00561820" w:rsidRPr="00561820" w:rsidRDefault="00561820" w:rsidP="00561820">
      <w:pPr>
        <w:spacing w:before="240" w:line="240" w:lineRule="auto"/>
        <w:ind w:left="2835" w:hanging="567"/>
        <w:rPr>
          <w:rFonts w:eastAsia="Times New Roman" w:cs="Times New Roman"/>
          <w:sz w:val="24"/>
          <w:szCs w:val="24"/>
          <w:lang w:val="en-US"/>
        </w:rPr>
      </w:pPr>
      <w:r w:rsidRPr="00561820">
        <w:rPr>
          <w:rFonts w:eastAsia="Times New Roman" w:cs="Times New Roman"/>
          <w:sz w:val="24"/>
          <w:szCs w:val="24"/>
          <w:lang w:val="en-US"/>
        </w:rPr>
        <w:t>(A)</w:t>
      </w:r>
      <w:r w:rsidRPr="00561820">
        <w:rPr>
          <w:rFonts w:eastAsia="Times New Roman" w:cs="Times New Roman"/>
          <w:sz w:val="24"/>
          <w:szCs w:val="24"/>
          <w:lang w:val="en-US"/>
        </w:rPr>
        <w:tab/>
        <w:t xml:space="preserve">in the first </w:t>
      </w:r>
      <w:r w:rsidRPr="00561820">
        <w:rPr>
          <w:rFonts w:eastAsia="Times New Roman" w:cs="Times New Roman"/>
          <w:sz w:val="24"/>
          <w:szCs w:val="24"/>
        </w:rPr>
        <w:t>section</w:t>
      </w:r>
      <w:r w:rsidRPr="00561820">
        <w:rPr>
          <w:rFonts w:eastAsia="Times New Roman" w:cs="Times New Roman"/>
          <w:sz w:val="24"/>
          <w:szCs w:val="24"/>
          <w:lang w:val="en-US"/>
        </w:rPr>
        <w:t xml:space="preserve">—the consolidated financial statements or combined financial statements prepared in accordance with subsection 5(1) and, where </w:t>
      </w:r>
      <w:r w:rsidRPr="00561820">
        <w:rPr>
          <w:rFonts w:eastAsia="Times New Roman" w:cs="Times New Roman"/>
          <w:i/>
          <w:iCs/>
          <w:sz w:val="24"/>
          <w:szCs w:val="24"/>
          <w:lang w:val="en-US"/>
        </w:rPr>
        <w:t>ASIC Corporations (Parent Entity Financial Statements) Instrument 2021/195</w:t>
      </w:r>
      <w:r w:rsidRPr="00561820">
        <w:rPr>
          <w:rFonts w:eastAsia="Times New Roman" w:cs="Times New Roman"/>
          <w:sz w:val="24"/>
          <w:szCs w:val="24"/>
          <w:lang w:val="en-US"/>
        </w:rPr>
        <w:t xml:space="preserve"> is relied on, the single entity financial statements of the relevant entity; and</w:t>
      </w:r>
    </w:p>
    <w:p w14:paraId="0F56FE8C" w14:textId="77777777" w:rsidR="00561820" w:rsidRPr="00561820" w:rsidRDefault="00561820" w:rsidP="00561820">
      <w:pPr>
        <w:spacing w:before="240" w:line="240" w:lineRule="auto"/>
        <w:ind w:left="2835" w:hanging="567"/>
        <w:rPr>
          <w:rFonts w:eastAsia="Times New Roman" w:cs="Times New Roman"/>
          <w:sz w:val="24"/>
          <w:szCs w:val="24"/>
          <w:lang w:val="en-US"/>
        </w:rPr>
      </w:pPr>
      <w:r w:rsidRPr="00561820">
        <w:rPr>
          <w:rFonts w:eastAsia="Times New Roman" w:cs="Times New Roman"/>
          <w:sz w:val="24"/>
          <w:szCs w:val="24"/>
          <w:lang w:val="en-US"/>
        </w:rPr>
        <w:t>(B)</w:t>
      </w:r>
      <w:r w:rsidRPr="00561820">
        <w:rPr>
          <w:rFonts w:eastAsia="Times New Roman" w:cs="Times New Roman"/>
          <w:sz w:val="24"/>
          <w:szCs w:val="24"/>
          <w:lang w:val="en-US"/>
        </w:rPr>
        <w:tab/>
        <w:t xml:space="preserve">in the second section in adjacent columns—all other consolidated financial </w:t>
      </w:r>
      <w:r w:rsidRPr="00561820">
        <w:rPr>
          <w:rFonts w:eastAsia="Times New Roman" w:cs="Times New Roman"/>
          <w:sz w:val="24"/>
          <w:szCs w:val="24"/>
        </w:rPr>
        <w:t>statements</w:t>
      </w:r>
      <w:r w:rsidRPr="00561820">
        <w:rPr>
          <w:rFonts w:eastAsia="Times New Roman" w:cs="Times New Roman"/>
          <w:sz w:val="24"/>
          <w:szCs w:val="24"/>
          <w:lang w:val="en-US"/>
        </w:rPr>
        <w:t xml:space="preserve"> of the relevant entity and all other group members and any single entity financial statements (including those presented where </w:t>
      </w:r>
      <w:r w:rsidRPr="00561820">
        <w:rPr>
          <w:rFonts w:eastAsia="Times New Roman" w:cs="Times New Roman"/>
          <w:i/>
          <w:iCs/>
          <w:sz w:val="24"/>
          <w:szCs w:val="24"/>
          <w:lang w:val="en-US"/>
        </w:rPr>
        <w:t>ASIC Corporations (Parent Entity Financial Statements) Instrument 2021/195</w:t>
      </w:r>
      <w:r w:rsidRPr="00561820">
        <w:rPr>
          <w:rFonts w:eastAsia="Times New Roman" w:cs="Times New Roman"/>
          <w:sz w:val="24"/>
          <w:szCs w:val="24"/>
          <w:lang w:val="en-US"/>
        </w:rPr>
        <w:t xml:space="preserve"> is relied on); or</w:t>
      </w:r>
    </w:p>
    <w:p w14:paraId="03DF8C34" w14:textId="374DDA98" w:rsidR="002968DB" w:rsidRDefault="00561820" w:rsidP="0091127A">
      <w:pPr>
        <w:spacing w:before="240" w:line="240" w:lineRule="auto"/>
        <w:ind w:left="2268" w:hanging="567"/>
        <w:rPr>
          <w:rFonts w:eastAsia="Times New Roman" w:cs="Times New Roman"/>
          <w:sz w:val="24"/>
          <w:szCs w:val="24"/>
          <w:lang w:val="en-US"/>
        </w:rPr>
      </w:pPr>
      <w:r w:rsidRPr="00561820">
        <w:rPr>
          <w:rFonts w:eastAsia="Times New Roman" w:cs="Times New Roman"/>
          <w:sz w:val="24"/>
          <w:szCs w:val="24"/>
          <w:lang w:val="en-US"/>
        </w:rPr>
        <w:t>(iii)</w:t>
      </w:r>
      <w:r w:rsidRPr="00561820">
        <w:rPr>
          <w:rFonts w:eastAsia="Times New Roman" w:cs="Times New Roman"/>
          <w:sz w:val="24"/>
          <w:szCs w:val="24"/>
          <w:lang w:val="en-US"/>
        </w:rPr>
        <w:tab/>
      </w:r>
      <w:r w:rsidRPr="00561820">
        <w:rPr>
          <w:rFonts w:eastAsia="Times New Roman" w:cs="Times New Roman"/>
          <w:sz w:val="24"/>
          <w:szCs w:val="24"/>
        </w:rPr>
        <w:t xml:space="preserve">in the case of a financial </w:t>
      </w:r>
      <w:r w:rsidRPr="00561820">
        <w:rPr>
          <w:rFonts w:eastAsia="Times New Roman" w:cs="Times New Roman"/>
          <w:sz w:val="24"/>
          <w:szCs w:val="24"/>
          <w:lang w:val="en-US"/>
        </w:rPr>
        <w:t>report</w:t>
      </w:r>
      <w:r w:rsidRPr="00561820">
        <w:rPr>
          <w:rFonts w:eastAsia="Times New Roman" w:cs="Times New Roman"/>
          <w:sz w:val="24"/>
          <w:szCs w:val="24"/>
        </w:rPr>
        <w:t xml:space="preserve"> for a half-year or a concise report—</w:t>
      </w:r>
      <w:r w:rsidRPr="00561820">
        <w:rPr>
          <w:rFonts w:eastAsia="Times New Roman" w:cs="Times New Roman"/>
          <w:sz w:val="24"/>
          <w:szCs w:val="24"/>
          <w:lang w:val="en-US"/>
        </w:rPr>
        <w:t>one of the sets of financial statements permitted under subparagraphs (i) or (ii) (excluding any single entity financial statement that is not required under the Act and the accounting standard applicable to the report) is presented in adjacent columns in the relevant report where, if the set includes consolidated financial statements covering all of the entities in the stapled group, those financial statements are presented first.</w:t>
      </w:r>
    </w:p>
    <w:p w14:paraId="1A8EA091" w14:textId="77777777" w:rsidR="00215D67" w:rsidRPr="00215D67" w:rsidRDefault="00215D67" w:rsidP="009B3208">
      <w:pPr>
        <w:keepNext/>
        <w:keepLines/>
        <w:spacing w:before="360" w:line="240" w:lineRule="auto"/>
        <w:ind w:left="567" w:hanging="567"/>
        <w:outlineLvl w:val="1"/>
        <w:rPr>
          <w:rFonts w:eastAsia="Times New Roman" w:cs="Times New Roman"/>
          <w:b/>
          <w:iCs/>
          <w:color w:val="000000"/>
          <w:kern w:val="28"/>
          <w:sz w:val="24"/>
          <w:lang w:eastAsia="en-AU"/>
        </w:rPr>
      </w:pPr>
      <w:bookmarkStart w:id="22" w:name="_Toc194417977"/>
      <w:r w:rsidRPr="00215D67">
        <w:rPr>
          <w:rFonts w:eastAsia="Times New Roman" w:cs="Times New Roman"/>
          <w:b/>
          <w:iCs/>
          <w:color w:val="000000"/>
          <w:kern w:val="28"/>
          <w:sz w:val="24"/>
          <w:lang w:eastAsia="en-AU"/>
        </w:rPr>
        <w:lastRenderedPageBreak/>
        <w:t>6A</w:t>
      </w:r>
      <w:r w:rsidRPr="00215D67">
        <w:rPr>
          <w:rFonts w:eastAsia="Times New Roman" w:cs="Times New Roman"/>
          <w:b/>
          <w:iCs/>
          <w:color w:val="000000"/>
          <w:kern w:val="28"/>
          <w:sz w:val="24"/>
          <w:lang w:eastAsia="en-AU"/>
        </w:rPr>
        <w:tab/>
        <w:t>Relief to enable stapled entity sustainability report to include other group members</w:t>
      </w:r>
      <w:bookmarkEnd w:id="22"/>
    </w:p>
    <w:p w14:paraId="6CB28F93" w14:textId="77777777" w:rsidR="00215D67" w:rsidRPr="00215D67" w:rsidRDefault="00215D67" w:rsidP="00215D67">
      <w:pPr>
        <w:spacing w:before="240" w:line="240" w:lineRule="auto"/>
        <w:ind w:left="1134" w:hanging="567"/>
        <w:rPr>
          <w:rFonts w:eastAsia="Times New Roman" w:cs="Times New Roman"/>
          <w:sz w:val="24"/>
          <w:szCs w:val="24"/>
          <w:lang w:eastAsia="en-AU"/>
        </w:rPr>
      </w:pPr>
      <w:r w:rsidRPr="00215D67">
        <w:rPr>
          <w:rFonts w:eastAsia="Times New Roman" w:cs="Times New Roman"/>
          <w:sz w:val="24"/>
          <w:szCs w:val="24"/>
          <w:lang w:eastAsia="en-AU"/>
        </w:rPr>
        <w:t>(1)</w:t>
      </w:r>
      <w:r w:rsidRPr="00215D67">
        <w:rPr>
          <w:rFonts w:eastAsia="Times New Roman" w:cs="Times New Roman"/>
          <w:sz w:val="24"/>
          <w:szCs w:val="24"/>
          <w:lang w:eastAsia="en-AU"/>
        </w:rPr>
        <w:tab/>
        <w:t>A relevant entity does not have to comply with section 292A of the Act in relation to a financial year to the extent that any of sections 292A, 296A, 296B, 296C and 296D of the Act prevents the relevant entity from preparing a sustainability report:</w:t>
      </w:r>
    </w:p>
    <w:p w14:paraId="193ADD63" w14:textId="77777777" w:rsidR="00215D67" w:rsidRPr="00215D67" w:rsidRDefault="00215D67" w:rsidP="00215D67">
      <w:pPr>
        <w:spacing w:before="240" w:line="240" w:lineRule="auto"/>
        <w:ind w:left="1701" w:hanging="567"/>
        <w:rPr>
          <w:rFonts w:eastAsia="Times New Roman" w:cs="Times New Roman"/>
          <w:sz w:val="24"/>
          <w:szCs w:val="24"/>
          <w:lang w:eastAsia="en-AU"/>
        </w:rPr>
      </w:pPr>
      <w:r w:rsidRPr="00215D67">
        <w:rPr>
          <w:rFonts w:eastAsia="Times New Roman" w:cs="Times New Roman"/>
          <w:sz w:val="24"/>
          <w:szCs w:val="24"/>
          <w:lang w:eastAsia="en-AU"/>
        </w:rPr>
        <w:t xml:space="preserve">(a) </w:t>
      </w:r>
      <w:r w:rsidRPr="00215D67">
        <w:rPr>
          <w:rFonts w:eastAsia="Times New Roman" w:cs="Times New Roman"/>
          <w:sz w:val="24"/>
          <w:szCs w:val="24"/>
          <w:lang w:eastAsia="en-AU"/>
        </w:rPr>
        <w:tab/>
        <w:t>in relation to the relevant entity and all the other members of the stapled group as if they were a single entity; and</w:t>
      </w:r>
    </w:p>
    <w:p w14:paraId="024BD07F" w14:textId="77777777" w:rsidR="00215D67" w:rsidRPr="00215D67" w:rsidRDefault="00215D67" w:rsidP="00215D67">
      <w:pPr>
        <w:spacing w:before="240" w:line="240" w:lineRule="auto"/>
        <w:ind w:left="1701" w:hanging="567"/>
        <w:rPr>
          <w:rFonts w:eastAsia="Times New Roman" w:cs="Times New Roman"/>
          <w:sz w:val="24"/>
          <w:szCs w:val="24"/>
          <w:lang w:eastAsia="en-AU"/>
        </w:rPr>
      </w:pPr>
      <w:r w:rsidRPr="00215D67">
        <w:rPr>
          <w:rFonts w:eastAsia="Times New Roman" w:cs="Times New Roman"/>
          <w:sz w:val="24"/>
          <w:szCs w:val="24"/>
          <w:lang w:eastAsia="en-AU"/>
        </w:rPr>
        <w:t xml:space="preserve">(b) </w:t>
      </w:r>
      <w:r w:rsidRPr="00215D67">
        <w:rPr>
          <w:rFonts w:eastAsia="Times New Roman" w:cs="Times New Roman"/>
          <w:sz w:val="24"/>
          <w:szCs w:val="24"/>
          <w:lang w:eastAsia="en-AU"/>
        </w:rPr>
        <w:tab/>
        <w:t>that otherwise complies with Chapter 2M of the Act.</w:t>
      </w:r>
    </w:p>
    <w:p w14:paraId="318A4E16" w14:textId="77777777" w:rsidR="00215D67" w:rsidRPr="00215D67" w:rsidRDefault="00215D67" w:rsidP="00215D67">
      <w:pPr>
        <w:spacing w:before="240" w:line="240" w:lineRule="auto"/>
        <w:ind w:left="1134" w:hanging="567"/>
        <w:rPr>
          <w:rFonts w:eastAsia="Times New Roman" w:cs="Times New Roman"/>
          <w:sz w:val="24"/>
          <w:lang w:eastAsia="en-AU"/>
        </w:rPr>
      </w:pPr>
      <w:r w:rsidRPr="00215D67">
        <w:rPr>
          <w:rFonts w:eastAsia="Times New Roman" w:cs="Times New Roman"/>
          <w:sz w:val="24"/>
          <w:lang w:eastAsia="en-AU"/>
        </w:rPr>
        <w:t>(2)</w:t>
      </w:r>
      <w:r w:rsidRPr="00215D67">
        <w:rPr>
          <w:rFonts w:eastAsia="Times New Roman" w:cs="Times New Roman"/>
          <w:sz w:val="24"/>
          <w:lang w:eastAsia="en-AU"/>
        </w:rPr>
        <w:tab/>
        <w:t>The relief in subsection (1) is available where both the following apply:</w:t>
      </w:r>
    </w:p>
    <w:p w14:paraId="21E27372" w14:textId="77777777" w:rsidR="00215D67" w:rsidRPr="00215D67" w:rsidRDefault="00215D67" w:rsidP="00215D67">
      <w:pPr>
        <w:spacing w:before="240" w:line="240" w:lineRule="auto"/>
        <w:ind w:left="1701" w:hanging="567"/>
        <w:rPr>
          <w:rFonts w:eastAsia="Times New Roman" w:cs="Times New Roman"/>
          <w:sz w:val="24"/>
          <w:szCs w:val="24"/>
          <w:lang w:eastAsia="en-AU"/>
        </w:rPr>
      </w:pPr>
      <w:r w:rsidRPr="00215D67">
        <w:rPr>
          <w:rFonts w:eastAsia="Times New Roman" w:cs="Times New Roman"/>
          <w:sz w:val="24"/>
          <w:szCs w:val="24"/>
          <w:lang w:eastAsia="en-AU"/>
        </w:rPr>
        <w:t xml:space="preserve">(a) </w:t>
      </w:r>
      <w:r w:rsidRPr="00215D67">
        <w:rPr>
          <w:rFonts w:eastAsia="Times New Roman" w:cs="Times New Roman"/>
          <w:sz w:val="24"/>
          <w:szCs w:val="24"/>
          <w:lang w:eastAsia="en-AU"/>
        </w:rPr>
        <w:tab/>
        <w:t>the relevant entity or one of the other group members relies on the relief in subsection 5(1) in relation to the financial year;</w:t>
      </w:r>
    </w:p>
    <w:p w14:paraId="0773918B" w14:textId="77777777" w:rsidR="00215D67" w:rsidRPr="00215D67" w:rsidRDefault="00215D67" w:rsidP="00215D67">
      <w:pPr>
        <w:spacing w:before="240" w:line="240" w:lineRule="auto"/>
        <w:ind w:left="1701" w:hanging="567"/>
        <w:rPr>
          <w:rFonts w:eastAsia="Times New Roman" w:cs="Times New Roman"/>
          <w:sz w:val="24"/>
          <w:szCs w:val="24"/>
          <w:lang w:eastAsia="en-AU"/>
        </w:rPr>
      </w:pPr>
      <w:bookmarkStart w:id="23" w:name="_Hlk163398284"/>
      <w:r w:rsidRPr="00215D67">
        <w:rPr>
          <w:rFonts w:eastAsia="Times New Roman" w:cs="Times New Roman"/>
          <w:sz w:val="24"/>
          <w:szCs w:val="24"/>
          <w:lang w:eastAsia="en-AU"/>
        </w:rPr>
        <w:t>(b)</w:t>
      </w:r>
      <w:r w:rsidRPr="00215D67">
        <w:rPr>
          <w:rFonts w:eastAsia="Times New Roman" w:cs="Times New Roman"/>
          <w:sz w:val="24"/>
          <w:szCs w:val="24"/>
          <w:lang w:eastAsia="en-AU"/>
        </w:rPr>
        <w:tab/>
        <w:t>the sustainability report discloses that it was prepared in reliance on relief under this instrument.</w:t>
      </w:r>
    </w:p>
    <w:p w14:paraId="77A32CA7" w14:textId="77777777" w:rsidR="00215D67" w:rsidRPr="00215D67" w:rsidRDefault="00215D67" w:rsidP="00215D67">
      <w:pPr>
        <w:spacing w:before="240" w:line="240" w:lineRule="auto"/>
        <w:ind w:left="1134" w:hanging="567"/>
        <w:rPr>
          <w:rFonts w:eastAsia="Times New Roman" w:cs="Times New Roman"/>
          <w:sz w:val="24"/>
          <w:szCs w:val="24"/>
          <w:lang w:eastAsia="en-AU"/>
        </w:rPr>
      </w:pPr>
      <w:r w:rsidRPr="00215D67">
        <w:rPr>
          <w:rFonts w:eastAsia="Times New Roman" w:cs="Times New Roman"/>
          <w:sz w:val="24"/>
          <w:szCs w:val="24"/>
          <w:lang w:eastAsia="en-AU"/>
        </w:rPr>
        <w:t>(3)</w:t>
      </w:r>
      <w:r w:rsidRPr="00215D67">
        <w:rPr>
          <w:rFonts w:eastAsia="Times New Roman" w:cs="Times New Roman"/>
          <w:sz w:val="24"/>
          <w:szCs w:val="24"/>
          <w:lang w:eastAsia="en-AU"/>
        </w:rPr>
        <w:tab/>
        <w:t>A member of a stapled group does not have to comply with section 292A of the Act in relation to a financial year if another member of the stapled group has prepared a sustainability report in reliance on the relief in subsection (1).</w:t>
      </w:r>
      <w:bookmarkEnd w:id="23"/>
    </w:p>
    <w:p w14:paraId="098EFCE5" w14:textId="77777777" w:rsidR="00215D67" w:rsidRPr="00561820" w:rsidRDefault="00215D67" w:rsidP="00215D67">
      <w:pPr>
        <w:spacing w:before="240" w:line="240" w:lineRule="auto"/>
        <w:rPr>
          <w:rFonts w:eastAsia="Times New Roman" w:cs="Times New Roman"/>
          <w:sz w:val="24"/>
          <w:szCs w:val="24"/>
          <w:lang w:val="en-US"/>
        </w:rPr>
      </w:pPr>
    </w:p>
    <w:p w14:paraId="3D1A179F" w14:textId="77777777" w:rsidR="00561820" w:rsidRPr="00561820" w:rsidRDefault="00561820" w:rsidP="00561820">
      <w:pPr>
        <w:keepNext/>
        <w:keepLines/>
        <w:spacing w:before="280" w:line="240" w:lineRule="auto"/>
        <w:ind w:left="1134" w:hanging="1134"/>
        <w:outlineLvl w:val="0"/>
        <w:rPr>
          <w:rFonts w:eastAsia="Times New Roman" w:cs="Times New Roman"/>
          <w:b/>
          <w:kern w:val="28"/>
          <w:sz w:val="32"/>
          <w:lang w:eastAsia="en-AU"/>
        </w:rPr>
      </w:pPr>
      <w:bookmarkStart w:id="24" w:name="_Toc146207693"/>
      <w:bookmarkStart w:id="25" w:name="_Toc194417978"/>
      <w:r w:rsidRPr="00561820">
        <w:rPr>
          <w:rFonts w:eastAsia="Times New Roman" w:cs="Times New Roman"/>
          <w:b/>
          <w:kern w:val="28"/>
          <w:sz w:val="32"/>
          <w:lang w:eastAsia="en-AU"/>
        </w:rPr>
        <w:t>Part 3—Repeal</w:t>
      </w:r>
      <w:bookmarkEnd w:id="24"/>
      <w:bookmarkEnd w:id="25"/>
    </w:p>
    <w:p w14:paraId="2D09054E" w14:textId="77777777" w:rsidR="00561820" w:rsidRPr="00561820" w:rsidRDefault="00561820" w:rsidP="00561820">
      <w:pPr>
        <w:keepNext/>
        <w:keepLines/>
        <w:spacing w:before="360" w:line="240" w:lineRule="auto"/>
        <w:ind w:left="567" w:hanging="567"/>
        <w:outlineLvl w:val="1"/>
        <w:rPr>
          <w:rFonts w:eastAsia="Times New Roman" w:cs="Times New Roman"/>
          <w:b/>
          <w:kern w:val="28"/>
          <w:sz w:val="24"/>
          <w:lang w:eastAsia="en-AU"/>
        </w:rPr>
      </w:pPr>
      <w:bookmarkStart w:id="26" w:name="_Toc146207694"/>
      <w:bookmarkStart w:id="27" w:name="_Toc194417979"/>
      <w:r w:rsidRPr="00561820">
        <w:rPr>
          <w:rFonts w:eastAsia="Times New Roman" w:cs="Times New Roman"/>
          <w:b/>
          <w:kern w:val="28"/>
          <w:sz w:val="24"/>
          <w:lang w:eastAsia="en-AU"/>
        </w:rPr>
        <w:t>7</w:t>
      </w:r>
      <w:r w:rsidRPr="00561820">
        <w:rPr>
          <w:rFonts w:eastAsia="Times New Roman" w:cs="Times New Roman"/>
          <w:b/>
          <w:kern w:val="28"/>
          <w:sz w:val="24"/>
          <w:lang w:eastAsia="en-AU"/>
        </w:rPr>
        <w:tab/>
        <w:t>Repeal</w:t>
      </w:r>
      <w:bookmarkEnd w:id="26"/>
      <w:bookmarkEnd w:id="27"/>
    </w:p>
    <w:p w14:paraId="135BB7E2" w14:textId="73ADCF55" w:rsidR="003E4922" w:rsidRDefault="00561820" w:rsidP="00561820">
      <w:pPr>
        <w:spacing w:before="240" w:line="240" w:lineRule="auto"/>
        <w:ind w:left="1134"/>
      </w:pPr>
      <w:r w:rsidRPr="00561820">
        <w:rPr>
          <w:rFonts w:eastAsia="Times New Roman" w:cs="Times New Roman"/>
          <w:sz w:val="24"/>
          <w:szCs w:val="24"/>
          <w:shd w:val="clear" w:color="auto" w:fill="FFFFFF"/>
        </w:rPr>
        <w:t xml:space="preserve">This instrument is </w:t>
      </w:r>
      <w:r w:rsidRPr="00561820">
        <w:rPr>
          <w:rFonts w:eastAsia="Times New Roman" w:cs="Times New Roman"/>
          <w:sz w:val="24"/>
          <w:szCs w:val="24"/>
        </w:rPr>
        <w:t>repealed</w:t>
      </w:r>
      <w:r w:rsidRPr="00561820">
        <w:rPr>
          <w:rFonts w:eastAsia="Times New Roman" w:cs="Times New Roman"/>
          <w:sz w:val="24"/>
          <w:szCs w:val="24"/>
          <w:shd w:val="clear" w:color="auto" w:fill="FFFFFF"/>
        </w:rPr>
        <w:t xml:space="preserve"> at the start of 1 October 2028.</w:t>
      </w:r>
    </w:p>
    <w:p w14:paraId="2AEE51FF" w14:textId="77777777" w:rsidR="00391B35" w:rsidRPr="001778F8" w:rsidRDefault="00391B35" w:rsidP="00F15840">
      <w:pPr>
        <w:pStyle w:val="LI-Heading1"/>
      </w:pPr>
      <w:bookmarkStart w:id="28" w:name="_Toc194417980"/>
      <w:r w:rsidRPr="00D678F8">
        <w:lastRenderedPageBreak/>
        <w:t>Endnotes</w:t>
      </w:r>
      <w:bookmarkEnd w:id="28"/>
    </w:p>
    <w:p w14:paraId="19C63DA5" w14:textId="77777777" w:rsidR="00331886" w:rsidRPr="00BC57F4" w:rsidRDefault="00331886" w:rsidP="00611862">
      <w:pPr>
        <w:pStyle w:val="LI-Heading2"/>
      </w:pPr>
      <w:bookmarkStart w:id="29" w:name="_Toc194417981"/>
      <w:r w:rsidRPr="00BC57F4">
        <w:t>Endnote 1—About the endnotes</w:t>
      </w:r>
      <w:bookmarkEnd w:id="29"/>
    </w:p>
    <w:p w14:paraId="6537B2BD" w14:textId="0CC72F49" w:rsidR="00331886" w:rsidRPr="00042EA7" w:rsidRDefault="00331886" w:rsidP="00A07EB6">
      <w:pPr>
        <w:pStyle w:val="LI-Endnotetext"/>
      </w:pPr>
      <w:r w:rsidRPr="00042EA7">
        <w:t xml:space="preserve">The endnotes provide </w:t>
      </w:r>
      <w:r w:rsidRPr="00A07EB6">
        <w:t>information</w:t>
      </w:r>
      <w:r w:rsidRPr="00042EA7">
        <w:t xml:space="preserve"> about this compilation and the compiled law.</w:t>
      </w:r>
    </w:p>
    <w:p w14:paraId="24D0E7A9" w14:textId="77777777" w:rsidR="00331886" w:rsidRPr="00042EA7" w:rsidRDefault="00331886" w:rsidP="00A07EB6">
      <w:pPr>
        <w:pStyle w:val="LI-Endnotetext"/>
      </w:pPr>
      <w:r w:rsidRPr="00042EA7">
        <w:t>The following endnotes are included in every compilation:</w:t>
      </w:r>
    </w:p>
    <w:p w14:paraId="7D54008E" w14:textId="77777777" w:rsidR="00331886" w:rsidRPr="00042EA7" w:rsidRDefault="00331886" w:rsidP="00A31D53">
      <w:pPr>
        <w:pStyle w:val="LI-Endnotetext"/>
        <w:spacing w:before="0"/>
        <w:ind w:firstLine="720"/>
      </w:pPr>
      <w:r w:rsidRPr="00042EA7">
        <w:t>Endnote 1—About the endnotes</w:t>
      </w:r>
    </w:p>
    <w:p w14:paraId="1AA63057" w14:textId="77777777" w:rsidR="00331886" w:rsidRPr="00042EA7" w:rsidRDefault="00331886" w:rsidP="00A31D53">
      <w:pPr>
        <w:pStyle w:val="LI-Endnotetext"/>
        <w:spacing w:before="0"/>
        <w:ind w:firstLine="720"/>
      </w:pPr>
      <w:r w:rsidRPr="00042EA7">
        <w:t>Endnote 2—Abbreviation key</w:t>
      </w:r>
    </w:p>
    <w:p w14:paraId="74992AAE" w14:textId="77777777" w:rsidR="00331886" w:rsidRPr="00042EA7" w:rsidRDefault="00331886" w:rsidP="00A31D53">
      <w:pPr>
        <w:pStyle w:val="LI-Endnotetext"/>
        <w:spacing w:before="0"/>
        <w:ind w:firstLine="720"/>
      </w:pPr>
      <w:r w:rsidRPr="00042EA7">
        <w:t>Endnote 3—Legislation history</w:t>
      </w:r>
    </w:p>
    <w:p w14:paraId="33075471" w14:textId="77777777" w:rsidR="00331886" w:rsidRPr="00042EA7" w:rsidRDefault="00331886" w:rsidP="00A31D53">
      <w:pPr>
        <w:pStyle w:val="LI-Endnotetext"/>
        <w:spacing w:before="0"/>
        <w:ind w:firstLine="720"/>
      </w:pPr>
      <w:r w:rsidRPr="00042EA7">
        <w:t>Endnote 4—Amendment history</w:t>
      </w:r>
    </w:p>
    <w:p w14:paraId="3B3F3703" w14:textId="77777777" w:rsidR="00331886" w:rsidRPr="00D51D44" w:rsidRDefault="00331886" w:rsidP="00D51D44">
      <w:pPr>
        <w:pStyle w:val="LI-Endnotetext"/>
        <w:rPr>
          <w:b/>
          <w:bCs/>
        </w:rPr>
      </w:pPr>
      <w:r w:rsidRPr="00D51D44">
        <w:rPr>
          <w:b/>
          <w:bCs/>
        </w:rPr>
        <w:t>Abbreviation key—Endnote 2</w:t>
      </w:r>
    </w:p>
    <w:p w14:paraId="032E3E44" w14:textId="77777777" w:rsidR="00331886" w:rsidRPr="00042EA7" w:rsidRDefault="00331886" w:rsidP="00A31D53">
      <w:pPr>
        <w:pStyle w:val="LI-Endnotetext"/>
        <w:spacing w:before="0" w:after="220"/>
      </w:pPr>
      <w:r w:rsidRPr="00042EA7">
        <w:t>The abbreviation key sets out abbreviations that may be used in the endnotes.</w:t>
      </w:r>
    </w:p>
    <w:p w14:paraId="201777D1" w14:textId="77777777" w:rsidR="00331886" w:rsidRPr="00D51D44" w:rsidRDefault="00331886" w:rsidP="00D51D44">
      <w:pPr>
        <w:pStyle w:val="LI-Endnotetext"/>
        <w:rPr>
          <w:b/>
          <w:bCs/>
        </w:rPr>
      </w:pPr>
      <w:r w:rsidRPr="00D51D44">
        <w:rPr>
          <w:b/>
          <w:bCs/>
        </w:rPr>
        <w:t>Legislation history and amendment history—Endnotes 3 and 4</w:t>
      </w:r>
    </w:p>
    <w:p w14:paraId="3F5C60D9" w14:textId="77777777" w:rsidR="00331886" w:rsidRPr="00042EA7" w:rsidRDefault="00331886" w:rsidP="00A31D53">
      <w:pPr>
        <w:pStyle w:val="LI-Endnotetext"/>
        <w:spacing w:before="0" w:after="220"/>
      </w:pPr>
      <w:r w:rsidRPr="00042EA7">
        <w:t>Amending laws are annotated in the legislation history and amendment history.</w:t>
      </w:r>
    </w:p>
    <w:p w14:paraId="55FC4018" w14:textId="77777777" w:rsidR="00331886" w:rsidRPr="00042EA7" w:rsidRDefault="00331886" w:rsidP="00A31D53">
      <w:pPr>
        <w:pStyle w:val="LI-Endnotetext"/>
        <w:spacing w:before="0" w:after="2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4933BBB3" w14:textId="77777777" w:rsidR="00331886" w:rsidRPr="00042EA7" w:rsidRDefault="00331886" w:rsidP="00A31D53">
      <w:pPr>
        <w:pStyle w:val="LI-Endnotetext"/>
        <w:spacing w:before="0" w:after="2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60B499D7" w14:textId="77777777" w:rsidR="00331886" w:rsidRPr="00D51D44" w:rsidRDefault="00331886" w:rsidP="00D51D44">
      <w:pPr>
        <w:pStyle w:val="LI-Endnotetext"/>
        <w:rPr>
          <w:b/>
          <w:bCs/>
        </w:rPr>
      </w:pPr>
      <w:r w:rsidRPr="00D51D44">
        <w:rPr>
          <w:b/>
          <w:bCs/>
        </w:rPr>
        <w:t>Misdescribed amendments</w:t>
      </w:r>
    </w:p>
    <w:p w14:paraId="0B7EC8D1" w14:textId="77777777" w:rsidR="00331886" w:rsidRPr="00042EA7" w:rsidRDefault="008C6FDD" w:rsidP="00A31D53">
      <w:pPr>
        <w:pStyle w:val="LI-Endnotetext"/>
        <w:spacing w:before="0" w:after="2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A31D53">
        <w:rPr>
          <w:i/>
          <w:iCs/>
        </w:rPr>
        <w:t>Legislation Act 2003</w:t>
      </w:r>
      <w:r>
        <w:t>.</w:t>
      </w:r>
    </w:p>
    <w:p w14:paraId="5A674176" w14:textId="35D977A8" w:rsidR="00331886" w:rsidRPr="00164D8F" w:rsidRDefault="008C6FDD" w:rsidP="00A31D53">
      <w:pPr>
        <w:pStyle w:val="LI-Endnotetext"/>
        <w:spacing w:before="0" w:after="220"/>
      </w:pPr>
      <w:r>
        <w:t>If a misdescribed amendment cannot be given effect as intended, the amendment is not incorporated and “(md not incorp)” is added to the amendment history.</w:t>
      </w:r>
    </w:p>
    <w:p w14:paraId="464729FA" w14:textId="77777777" w:rsidR="00331886" w:rsidRPr="00611862" w:rsidRDefault="00331886" w:rsidP="00611862">
      <w:pPr>
        <w:pStyle w:val="LI-Heading2"/>
        <w:pageBreakBefore/>
        <w:spacing w:after="480"/>
      </w:pPr>
      <w:bookmarkStart w:id="30" w:name="_Toc194417982"/>
      <w:r w:rsidRPr="00611862">
        <w:lastRenderedPageBreak/>
        <w:t>Endnote 2—Abbreviation key</w:t>
      </w:r>
      <w:bookmarkEnd w:id="30"/>
    </w:p>
    <w:tbl>
      <w:tblPr>
        <w:tblW w:w="5000" w:type="pct"/>
        <w:tblLook w:val="0000" w:firstRow="0" w:lastRow="0" w:firstColumn="0" w:lastColumn="0" w:noHBand="0" w:noVBand="0"/>
      </w:tblPr>
      <w:tblGrid>
        <w:gridCol w:w="4454"/>
        <w:gridCol w:w="3859"/>
      </w:tblGrid>
      <w:tr w:rsidR="00331886" w:rsidRPr="00164D8F" w14:paraId="2385DE81" w14:textId="77777777" w:rsidTr="00A305CF">
        <w:tc>
          <w:tcPr>
            <w:tcW w:w="2679" w:type="pct"/>
            <w:shd w:val="clear" w:color="auto" w:fill="auto"/>
          </w:tcPr>
          <w:p w14:paraId="43405CC1" w14:textId="77777777" w:rsidR="00331886" w:rsidRPr="00C67852" w:rsidRDefault="00331886" w:rsidP="00781665">
            <w:pPr>
              <w:pStyle w:val="LI-Tabletext"/>
            </w:pPr>
            <w:r w:rsidRPr="00C67852">
              <w:t>ad = added or inserted</w:t>
            </w:r>
          </w:p>
        </w:tc>
        <w:tc>
          <w:tcPr>
            <w:tcW w:w="2321" w:type="pct"/>
            <w:shd w:val="clear" w:color="auto" w:fill="auto"/>
          </w:tcPr>
          <w:p w14:paraId="17333BB2" w14:textId="77777777" w:rsidR="00331886" w:rsidRPr="00C67852" w:rsidRDefault="00D56161" w:rsidP="00781665">
            <w:pPr>
              <w:pStyle w:val="LI-Tabletext"/>
            </w:pPr>
            <w:r w:rsidRPr="00C67852">
              <w:t>orig = original</w:t>
            </w:r>
          </w:p>
        </w:tc>
      </w:tr>
      <w:tr w:rsidR="00331886" w:rsidRPr="00164D8F" w14:paraId="2066A0DF" w14:textId="77777777" w:rsidTr="00A305CF">
        <w:tc>
          <w:tcPr>
            <w:tcW w:w="2679" w:type="pct"/>
            <w:shd w:val="clear" w:color="auto" w:fill="auto"/>
          </w:tcPr>
          <w:p w14:paraId="61B5AF3D" w14:textId="77777777" w:rsidR="00331886" w:rsidRPr="00C67852" w:rsidRDefault="00331886" w:rsidP="00781665">
            <w:pPr>
              <w:pStyle w:val="LI-Tabletext"/>
            </w:pPr>
            <w:r w:rsidRPr="00C67852">
              <w:t>am = amended</w:t>
            </w:r>
          </w:p>
        </w:tc>
        <w:tc>
          <w:tcPr>
            <w:tcW w:w="2321" w:type="pct"/>
            <w:shd w:val="clear" w:color="auto" w:fill="auto"/>
          </w:tcPr>
          <w:p w14:paraId="12108FBB" w14:textId="77777777" w:rsidR="00331886" w:rsidRPr="00C67852" w:rsidRDefault="00D56161" w:rsidP="00781665">
            <w:pPr>
              <w:pStyle w:val="LI-Tabletext"/>
            </w:pPr>
            <w:r w:rsidRPr="00C67852">
              <w:t>par = paragraph(s)/subparagraph(s)</w:t>
            </w:r>
          </w:p>
        </w:tc>
      </w:tr>
      <w:tr w:rsidR="00331886" w:rsidRPr="00164D8F" w14:paraId="3983626D" w14:textId="77777777" w:rsidTr="00A305CF">
        <w:tc>
          <w:tcPr>
            <w:tcW w:w="2679" w:type="pct"/>
            <w:shd w:val="clear" w:color="auto" w:fill="auto"/>
          </w:tcPr>
          <w:p w14:paraId="1C365DBC" w14:textId="77777777" w:rsidR="00331886" w:rsidRPr="00C67852" w:rsidRDefault="00331886" w:rsidP="00781665">
            <w:pPr>
              <w:pStyle w:val="LI-Tabletext"/>
            </w:pPr>
            <w:r w:rsidRPr="00C67852">
              <w:t>amdt = amendment</w:t>
            </w:r>
          </w:p>
        </w:tc>
        <w:tc>
          <w:tcPr>
            <w:tcW w:w="2321" w:type="pct"/>
            <w:shd w:val="clear" w:color="auto" w:fill="auto"/>
          </w:tcPr>
          <w:p w14:paraId="6CB6BD27" w14:textId="77777777" w:rsidR="00331886" w:rsidRPr="00C67852" w:rsidRDefault="00D56161" w:rsidP="00781665">
            <w:pPr>
              <w:pStyle w:val="LI-Tabletext"/>
            </w:pPr>
            <w:r w:rsidRPr="00C67852">
              <w:t>/sub</w:t>
            </w:r>
            <w:r w:rsidRPr="00C67852">
              <w:noBreakHyphen/>
              <w:t>subparagraph(s)</w:t>
            </w:r>
          </w:p>
        </w:tc>
      </w:tr>
      <w:tr w:rsidR="00331886" w:rsidRPr="00164D8F" w14:paraId="528D6A7F" w14:textId="77777777" w:rsidTr="00A305CF">
        <w:tc>
          <w:tcPr>
            <w:tcW w:w="2679" w:type="pct"/>
            <w:shd w:val="clear" w:color="auto" w:fill="auto"/>
          </w:tcPr>
          <w:p w14:paraId="0063C0C0" w14:textId="77777777" w:rsidR="00331886" w:rsidRPr="00C67852" w:rsidRDefault="00331886" w:rsidP="00781665">
            <w:pPr>
              <w:pStyle w:val="LI-Tabletext"/>
            </w:pPr>
            <w:r w:rsidRPr="00C67852">
              <w:t>c = clause(s)</w:t>
            </w:r>
          </w:p>
        </w:tc>
        <w:tc>
          <w:tcPr>
            <w:tcW w:w="2321" w:type="pct"/>
            <w:shd w:val="clear" w:color="auto" w:fill="auto"/>
          </w:tcPr>
          <w:p w14:paraId="0DE62E5D" w14:textId="77777777" w:rsidR="00331886" w:rsidRPr="00C67852" w:rsidRDefault="00D56161" w:rsidP="00781665">
            <w:pPr>
              <w:pStyle w:val="LI-Tabletext"/>
            </w:pPr>
            <w:r w:rsidRPr="00C67852">
              <w:t>pres = present</w:t>
            </w:r>
          </w:p>
        </w:tc>
      </w:tr>
      <w:tr w:rsidR="00331886" w:rsidRPr="00164D8F" w14:paraId="26B3E90D" w14:textId="77777777" w:rsidTr="00A305CF">
        <w:tc>
          <w:tcPr>
            <w:tcW w:w="2679" w:type="pct"/>
            <w:shd w:val="clear" w:color="auto" w:fill="auto"/>
          </w:tcPr>
          <w:p w14:paraId="163B61A3" w14:textId="77777777" w:rsidR="00331886" w:rsidRPr="00C67852" w:rsidRDefault="00331886" w:rsidP="00781665">
            <w:pPr>
              <w:pStyle w:val="LI-Tabletext"/>
            </w:pPr>
            <w:r w:rsidRPr="00C67852">
              <w:t>C[x] = Compilation No. x</w:t>
            </w:r>
          </w:p>
        </w:tc>
        <w:tc>
          <w:tcPr>
            <w:tcW w:w="2321" w:type="pct"/>
            <w:shd w:val="clear" w:color="auto" w:fill="auto"/>
          </w:tcPr>
          <w:p w14:paraId="7F1D6B8C" w14:textId="77777777" w:rsidR="00331886" w:rsidRPr="00C67852" w:rsidRDefault="00D56161" w:rsidP="00781665">
            <w:pPr>
              <w:pStyle w:val="LI-Tabletext"/>
            </w:pPr>
            <w:r w:rsidRPr="00C67852">
              <w:t>prev = previous</w:t>
            </w:r>
          </w:p>
        </w:tc>
      </w:tr>
      <w:tr w:rsidR="00331886" w:rsidRPr="00164D8F" w14:paraId="1722105C" w14:textId="77777777" w:rsidTr="00A305CF">
        <w:tc>
          <w:tcPr>
            <w:tcW w:w="2679" w:type="pct"/>
            <w:shd w:val="clear" w:color="auto" w:fill="auto"/>
          </w:tcPr>
          <w:p w14:paraId="5F004FB1" w14:textId="77777777" w:rsidR="00331886" w:rsidRPr="00C67852" w:rsidRDefault="00331886" w:rsidP="00781665">
            <w:pPr>
              <w:pStyle w:val="LI-Tabletext"/>
            </w:pPr>
            <w:r w:rsidRPr="00C67852">
              <w:t>Ch = Chapter(s)</w:t>
            </w:r>
          </w:p>
        </w:tc>
        <w:tc>
          <w:tcPr>
            <w:tcW w:w="2321" w:type="pct"/>
            <w:shd w:val="clear" w:color="auto" w:fill="auto"/>
          </w:tcPr>
          <w:p w14:paraId="29FE2D71" w14:textId="77777777" w:rsidR="00331886" w:rsidRPr="00C67852" w:rsidRDefault="00D56161" w:rsidP="00781665">
            <w:pPr>
              <w:pStyle w:val="LI-Tabletext"/>
            </w:pPr>
            <w:r w:rsidRPr="00C67852">
              <w:t>(prev…) = previously</w:t>
            </w:r>
          </w:p>
        </w:tc>
      </w:tr>
      <w:tr w:rsidR="00331886" w:rsidRPr="00164D8F" w14:paraId="0F7CB59C" w14:textId="77777777" w:rsidTr="00A305CF">
        <w:tc>
          <w:tcPr>
            <w:tcW w:w="2679" w:type="pct"/>
            <w:shd w:val="clear" w:color="auto" w:fill="auto"/>
          </w:tcPr>
          <w:p w14:paraId="10DA57C4" w14:textId="77777777" w:rsidR="00331886" w:rsidRPr="00C67852" w:rsidRDefault="00331886" w:rsidP="00781665">
            <w:pPr>
              <w:pStyle w:val="LI-Tabletext"/>
            </w:pPr>
            <w:r w:rsidRPr="00C67852">
              <w:t>def = definition(s)</w:t>
            </w:r>
          </w:p>
        </w:tc>
        <w:tc>
          <w:tcPr>
            <w:tcW w:w="2321" w:type="pct"/>
            <w:shd w:val="clear" w:color="auto" w:fill="auto"/>
          </w:tcPr>
          <w:p w14:paraId="2365B27A" w14:textId="77777777" w:rsidR="00331886" w:rsidRPr="00C67852" w:rsidRDefault="00D56161" w:rsidP="00781665">
            <w:pPr>
              <w:pStyle w:val="LI-Tabletext"/>
            </w:pPr>
            <w:r w:rsidRPr="00C67852">
              <w:t>Pt = Part(s)</w:t>
            </w:r>
          </w:p>
        </w:tc>
      </w:tr>
      <w:tr w:rsidR="00331886" w:rsidRPr="00164D8F" w14:paraId="742DF35E" w14:textId="77777777" w:rsidTr="00A305CF">
        <w:tc>
          <w:tcPr>
            <w:tcW w:w="2679" w:type="pct"/>
            <w:shd w:val="clear" w:color="auto" w:fill="auto"/>
          </w:tcPr>
          <w:p w14:paraId="3E4FD97E" w14:textId="77777777" w:rsidR="00331886" w:rsidRPr="00C67852" w:rsidRDefault="00331886" w:rsidP="00781665">
            <w:pPr>
              <w:pStyle w:val="LI-Tabletext"/>
            </w:pPr>
            <w:r w:rsidRPr="00C67852">
              <w:t>Dict = Dictionary</w:t>
            </w:r>
          </w:p>
        </w:tc>
        <w:tc>
          <w:tcPr>
            <w:tcW w:w="2321" w:type="pct"/>
            <w:shd w:val="clear" w:color="auto" w:fill="auto"/>
          </w:tcPr>
          <w:p w14:paraId="18579CFA" w14:textId="77777777" w:rsidR="00331886" w:rsidRPr="00C67852" w:rsidRDefault="00D56161" w:rsidP="00781665">
            <w:pPr>
              <w:pStyle w:val="LI-Tabletext"/>
            </w:pPr>
            <w:r w:rsidRPr="00C67852">
              <w:t>r = regulation(s)/rule(s)</w:t>
            </w:r>
          </w:p>
        </w:tc>
      </w:tr>
      <w:tr w:rsidR="00331886" w:rsidRPr="00164D8F" w14:paraId="1AD11980" w14:textId="77777777" w:rsidTr="00A305CF">
        <w:tc>
          <w:tcPr>
            <w:tcW w:w="2679" w:type="pct"/>
            <w:shd w:val="clear" w:color="auto" w:fill="auto"/>
          </w:tcPr>
          <w:p w14:paraId="21DE411B" w14:textId="77777777" w:rsidR="00331886" w:rsidRPr="00C67852" w:rsidRDefault="00331886" w:rsidP="00781665">
            <w:pPr>
              <w:pStyle w:val="LI-Tabletext"/>
            </w:pPr>
            <w:r w:rsidRPr="00C67852">
              <w:t>disallowed = disallowed by Parliament</w:t>
            </w:r>
          </w:p>
        </w:tc>
        <w:tc>
          <w:tcPr>
            <w:tcW w:w="2321" w:type="pct"/>
            <w:shd w:val="clear" w:color="auto" w:fill="auto"/>
          </w:tcPr>
          <w:p w14:paraId="66746845" w14:textId="77777777" w:rsidR="00331886" w:rsidRPr="00C67852" w:rsidRDefault="00D56161" w:rsidP="00781665">
            <w:pPr>
              <w:pStyle w:val="LI-Tabletext"/>
            </w:pPr>
            <w:r w:rsidRPr="00C67852">
              <w:t>reloc = relocated</w:t>
            </w:r>
          </w:p>
        </w:tc>
      </w:tr>
      <w:tr w:rsidR="00331886" w:rsidRPr="00164D8F" w14:paraId="409BA056" w14:textId="77777777" w:rsidTr="00A305CF">
        <w:tc>
          <w:tcPr>
            <w:tcW w:w="2679" w:type="pct"/>
            <w:shd w:val="clear" w:color="auto" w:fill="auto"/>
          </w:tcPr>
          <w:p w14:paraId="62CC15B2" w14:textId="77777777" w:rsidR="00331886" w:rsidRPr="00C67852" w:rsidRDefault="00331886" w:rsidP="00781665">
            <w:pPr>
              <w:pStyle w:val="LI-Tabletext"/>
            </w:pPr>
            <w:r w:rsidRPr="00C67852">
              <w:t>Div = Division(s)</w:t>
            </w:r>
          </w:p>
        </w:tc>
        <w:tc>
          <w:tcPr>
            <w:tcW w:w="2321" w:type="pct"/>
            <w:shd w:val="clear" w:color="auto" w:fill="auto"/>
          </w:tcPr>
          <w:p w14:paraId="4A693178" w14:textId="77777777" w:rsidR="00331886" w:rsidRPr="00C67852" w:rsidRDefault="00D56161" w:rsidP="00781665">
            <w:pPr>
              <w:pStyle w:val="LI-Tabletext"/>
            </w:pPr>
            <w:r w:rsidRPr="00C67852">
              <w:t>renum = renumbered</w:t>
            </w:r>
          </w:p>
        </w:tc>
      </w:tr>
      <w:tr w:rsidR="00331886" w:rsidRPr="00164D8F" w14:paraId="69425A17" w14:textId="77777777" w:rsidTr="00A305CF">
        <w:tc>
          <w:tcPr>
            <w:tcW w:w="2679" w:type="pct"/>
            <w:shd w:val="clear" w:color="auto" w:fill="auto"/>
          </w:tcPr>
          <w:p w14:paraId="2D62D19E" w14:textId="77777777" w:rsidR="00331886" w:rsidRPr="00C67852" w:rsidRDefault="00331886" w:rsidP="00781665">
            <w:pPr>
              <w:pStyle w:val="LI-Tabletext"/>
            </w:pPr>
            <w:r w:rsidRPr="00C67852">
              <w:t>exp = expires/expired or ceases/ceased to have</w:t>
            </w:r>
          </w:p>
        </w:tc>
        <w:tc>
          <w:tcPr>
            <w:tcW w:w="2321" w:type="pct"/>
            <w:shd w:val="clear" w:color="auto" w:fill="auto"/>
          </w:tcPr>
          <w:p w14:paraId="43107416" w14:textId="77777777" w:rsidR="00331886" w:rsidRPr="00C67852" w:rsidRDefault="00D56161" w:rsidP="00781665">
            <w:pPr>
              <w:pStyle w:val="LI-Tabletext"/>
            </w:pPr>
            <w:r w:rsidRPr="00C67852">
              <w:t>rep = repealed</w:t>
            </w:r>
          </w:p>
        </w:tc>
      </w:tr>
      <w:tr w:rsidR="00331886" w:rsidRPr="00164D8F" w14:paraId="506610C3" w14:textId="77777777" w:rsidTr="00A305CF">
        <w:tc>
          <w:tcPr>
            <w:tcW w:w="2679" w:type="pct"/>
            <w:shd w:val="clear" w:color="auto" w:fill="auto"/>
          </w:tcPr>
          <w:p w14:paraId="318705FD" w14:textId="7F9EAC2E" w:rsidR="00331886" w:rsidRPr="00C67852" w:rsidRDefault="00A31D53" w:rsidP="00781665">
            <w:pPr>
              <w:pStyle w:val="LI-Tabletext"/>
            </w:pPr>
            <w:r w:rsidRPr="00C67852">
              <w:t>E</w:t>
            </w:r>
            <w:r w:rsidR="00331886" w:rsidRPr="00C67852">
              <w:t>ffect</w:t>
            </w:r>
          </w:p>
        </w:tc>
        <w:tc>
          <w:tcPr>
            <w:tcW w:w="2321" w:type="pct"/>
            <w:shd w:val="clear" w:color="auto" w:fill="auto"/>
          </w:tcPr>
          <w:p w14:paraId="23FD8863" w14:textId="77777777" w:rsidR="00331886" w:rsidRPr="00C67852" w:rsidRDefault="00D56161" w:rsidP="00781665">
            <w:pPr>
              <w:pStyle w:val="LI-Tabletext"/>
            </w:pPr>
            <w:r w:rsidRPr="00C67852">
              <w:t>rs = repealed and substituted</w:t>
            </w:r>
          </w:p>
        </w:tc>
      </w:tr>
      <w:tr w:rsidR="00331886" w:rsidRPr="00164D8F" w14:paraId="3B892FA4" w14:textId="77777777" w:rsidTr="00A305CF">
        <w:tc>
          <w:tcPr>
            <w:tcW w:w="2679" w:type="pct"/>
            <w:shd w:val="clear" w:color="auto" w:fill="auto"/>
          </w:tcPr>
          <w:p w14:paraId="769DD7A9" w14:textId="77777777" w:rsidR="00331886" w:rsidRPr="00C67852" w:rsidRDefault="00331886" w:rsidP="00781665">
            <w:pPr>
              <w:pStyle w:val="LI-Tabletext"/>
            </w:pPr>
            <w:r w:rsidRPr="00C67852">
              <w:t>F = Federal Register of Legislation</w:t>
            </w:r>
          </w:p>
        </w:tc>
        <w:tc>
          <w:tcPr>
            <w:tcW w:w="2321" w:type="pct"/>
            <w:shd w:val="clear" w:color="auto" w:fill="auto"/>
          </w:tcPr>
          <w:p w14:paraId="206771E5" w14:textId="77777777" w:rsidR="00331886" w:rsidRPr="00C67852" w:rsidRDefault="00D56161" w:rsidP="00781665">
            <w:pPr>
              <w:pStyle w:val="LI-Tabletext"/>
            </w:pPr>
            <w:r w:rsidRPr="00C67852">
              <w:t>s = section(s)/subsection(s)</w:t>
            </w:r>
          </w:p>
        </w:tc>
      </w:tr>
      <w:tr w:rsidR="00331886" w:rsidRPr="00164D8F" w14:paraId="50D67D0C" w14:textId="77777777" w:rsidTr="00A305CF">
        <w:tc>
          <w:tcPr>
            <w:tcW w:w="2679" w:type="pct"/>
            <w:shd w:val="clear" w:color="auto" w:fill="auto"/>
          </w:tcPr>
          <w:p w14:paraId="18F56B11" w14:textId="77777777" w:rsidR="00331886" w:rsidRPr="00C67852" w:rsidRDefault="00331886" w:rsidP="00781665">
            <w:pPr>
              <w:pStyle w:val="LI-Tabletext"/>
            </w:pPr>
            <w:r w:rsidRPr="00C67852">
              <w:t>gaz = gazette</w:t>
            </w:r>
          </w:p>
        </w:tc>
        <w:tc>
          <w:tcPr>
            <w:tcW w:w="2321" w:type="pct"/>
            <w:shd w:val="clear" w:color="auto" w:fill="auto"/>
          </w:tcPr>
          <w:p w14:paraId="1A191F67" w14:textId="77777777" w:rsidR="00331886" w:rsidRPr="00C67852" w:rsidRDefault="00D56161" w:rsidP="00781665">
            <w:pPr>
              <w:pStyle w:val="LI-Tabletext"/>
            </w:pPr>
            <w:r w:rsidRPr="00C67852">
              <w:t>Sch = Schedule(s)</w:t>
            </w:r>
          </w:p>
        </w:tc>
      </w:tr>
      <w:tr w:rsidR="00331886" w:rsidRPr="00164D8F" w14:paraId="1CD3EFBB" w14:textId="77777777" w:rsidTr="00A305CF">
        <w:tc>
          <w:tcPr>
            <w:tcW w:w="2679" w:type="pct"/>
            <w:shd w:val="clear" w:color="auto" w:fill="auto"/>
          </w:tcPr>
          <w:p w14:paraId="4F880BE7" w14:textId="77777777" w:rsidR="00331886" w:rsidRPr="00C67852" w:rsidRDefault="00331886" w:rsidP="00781665">
            <w:pPr>
              <w:pStyle w:val="LI-Tabletext"/>
            </w:pPr>
            <w:r w:rsidRPr="00C67852">
              <w:t xml:space="preserve">LA = </w:t>
            </w:r>
            <w:r w:rsidRPr="00336D47">
              <w:t>Legislation Act 2003</w:t>
            </w:r>
          </w:p>
        </w:tc>
        <w:tc>
          <w:tcPr>
            <w:tcW w:w="2321" w:type="pct"/>
            <w:shd w:val="clear" w:color="auto" w:fill="auto"/>
          </w:tcPr>
          <w:p w14:paraId="313D6EE4" w14:textId="77777777" w:rsidR="00331886" w:rsidRPr="00C67852" w:rsidRDefault="00D56161" w:rsidP="00781665">
            <w:pPr>
              <w:pStyle w:val="LI-Tabletext"/>
            </w:pPr>
            <w:r w:rsidRPr="00C67852">
              <w:t>Sdiv = Subdivision(s)</w:t>
            </w:r>
          </w:p>
        </w:tc>
      </w:tr>
      <w:tr w:rsidR="00331886" w:rsidRPr="00164D8F" w14:paraId="3F91FB56" w14:textId="77777777" w:rsidTr="00A305CF">
        <w:tc>
          <w:tcPr>
            <w:tcW w:w="2679" w:type="pct"/>
            <w:shd w:val="clear" w:color="auto" w:fill="auto"/>
          </w:tcPr>
          <w:p w14:paraId="09A096AE" w14:textId="77777777" w:rsidR="00331886" w:rsidRPr="00C67852" w:rsidRDefault="00331886" w:rsidP="00781665">
            <w:pPr>
              <w:pStyle w:val="LI-Tabletext"/>
            </w:pPr>
            <w:r w:rsidRPr="00C67852">
              <w:t xml:space="preserve">LIA = </w:t>
            </w:r>
            <w:r w:rsidRPr="00336D47">
              <w:t>Legislative Instruments Act 2003</w:t>
            </w:r>
          </w:p>
        </w:tc>
        <w:tc>
          <w:tcPr>
            <w:tcW w:w="2321" w:type="pct"/>
            <w:shd w:val="clear" w:color="auto" w:fill="auto"/>
          </w:tcPr>
          <w:p w14:paraId="70C13819" w14:textId="77777777" w:rsidR="00331886" w:rsidRPr="00C67852" w:rsidRDefault="00D56161" w:rsidP="00781665">
            <w:pPr>
              <w:pStyle w:val="LI-Tabletext"/>
            </w:pPr>
            <w:r w:rsidRPr="00C67852">
              <w:t>SLI = Select Legislative Instrument</w:t>
            </w:r>
          </w:p>
        </w:tc>
      </w:tr>
      <w:tr w:rsidR="00331886" w:rsidRPr="00164D8F" w14:paraId="61BFB02C" w14:textId="77777777" w:rsidTr="00A305CF">
        <w:tc>
          <w:tcPr>
            <w:tcW w:w="2679" w:type="pct"/>
            <w:shd w:val="clear" w:color="auto" w:fill="auto"/>
          </w:tcPr>
          <w:p w14:paraId="5E63ED94" w14:textId="77777777" w:rsidR="00331886" w:rsidRPr="00C67852" w:rsidRDefault="00D56161" w:rsidP="00781665">
            <w:pPr>
              <w:pStyle w:val="LI-Tabletext"/>
            </w:pPr>
            <w:r w:rsidRPr="00C67852">
              <w:t>(md not incorp) = misdescribed amendment</w:t>
            </w:r>
          </w:p>
        </w:tc>
        <w:tc>
          <w:tcPr>
            <w:tcW w:w="2321" w:type="pct"/>
            <w:shd w:val="clear" w:color="auto" w:fill="auto"/>
          </w:tcPr>
          <w:p w14:paraId="3A9E30B7" w14:textId="77777777" w:rsidR="00331886" w:rsidRPr="00C67852" w:rsidRDefault="00D56161" w:rsidP="00781665">
            <w:pPr>
              <w:pStyle w:val="LI-Tabletext"/>
            </w:pPr>
            <w:r w:rsidRPr="00C67852">
              <w:t>SR = Statutory Rules</w:t>
            </w:r>
          </w:p>
        </w:tc>
      </w:tr>
      <w:tr w:rsidR="00331886" w:rsidRPr="00164D8F" w14:paraId="14802A94" w14:textId="77777777" w:rsidTr="00A305CF">
        <w:tc>
          <w:tcPr>
            <w:tcW w:w="2679" w:type="pct"/>
            <w:shd w:val="clear" w:color="auto" w:fill="auto"/>
          </w:tcPr>
          <w:p w14:paraId="11D68412" w14:textId="77777777" w:rsidR="00331886" w:rsidRPr="00C67852" w:rsidRDefault="00D56161" w:rsidP="00781665">
            <w:pPr>
              <w:pStyle w:val="LI-Tabletext"/>
            </w:pPr>
            <w:r w:rsidRPr="00C67852">
              <w:t>cannot be given effect</w:t>
            </w:r>
          </w:p>
        </w:tc>
        <w:tc>
          <w:tcPr>
            <w:tcW w:w="2321" w:type="pct"/>
            <w:shd w:val="clear" w:color="auto" w:fill="auto"/>
          </w:tcPr>
          <w:p w14:paraId="6D955238" w14:textId="77777777" w:rsidR="00331886" w:rsidRPr="00C67852" w:rsidRDefault="00D56161" w:rsidP="00781665">
            <w:pPr>
              <w:pStyle w:val="LI-Tabletext"/>
            </w:pPr>
            <w:r w:rsidRPr="00C67852">
              <w:t>Sub</w:t>
            </w:r>
            <w:r w:rsidRPr="00C67852">
              <w:noBreakHyphen/>
              <w:t>Ch = Sub</w:t>
            </w:r>
            <w:r w:rsidRPr="00C67852">
              <w:noBreakHyphen/>
              <w:t>Chapter(s)</w:t>
            </w:r>
          </w:p>
        </w:tc>
      </w:tr>
      <w:tr w:rsidR="00331886" w:rsidRPr="00164D8F" w14:paraId="7C2FBD5E" w14:textId="77777777" w:rsidTr="00A305CF">
        <w:tc>
          <w:tcPr>
            <w:tcW w:w="2679" w:type="pct"/>
            <w:shd w:val="clear" w:color="auto" w:fill="auto"/>
          </w:tcPr>
          <w:p w14:paraId="13EE298A" w14:textId="77777777" w:rsidR="00331886" w:rsidRPr="00C67852" w:rsidRDefault="00D56161" w:rsidP="00781665">
            <w:pPr>
              <w:pStyle w:val="LI-Tabletext"/>
            </w:pPr>
            <w:r w:rsidRPr="00C67852">
              <w:t>mod = modified/modification</w:t>
            </w:r>
          </w:p>
        </w:tc>
        <w:tc>
          <w:tcPr>
            <w:tcW w:w="2321" w:type="pct"/>
            <w:shd w:val="clear" w:color="auto" w:fill="auto"/>
          </w:tcPr>
          <w:p w14:paraId="32BC4855" w14:textId="77777777" w:rsidR="00331886" w:rsidRPr="00C67852" w:rsidRDefault="00D56161" w:rsidP="00781665">
            <w:pPr>
              <w:pStyle w:val="LI-Tabletext"/>
            </w:pPr>
            <w:r w:rsidRPr="00C67852">
              <w:t>SubPt = Subpart(s)</w:t>
            </w:r>
          </w:p>
        </w:tc>
      </w:tr>
      <w:tr w:rsidR="00331886" w:rsidRPr="00164D8F" w14:paraId="2666118C" w14:textId="77777777" w:rsidTr="00A305CF">
        <w:tc>
          <w:tcPr>
            <w:tcW w:w="2679" w:type="pct"/>
            <w:shd w:val="clear" w:color="auto" w:fill="auto"/>
          </w:tcPr>
          <w:p w14:paraId="4E80ACD8" w14:textId="77777777" w:rsidR="00331886" w:rsidRPr="00C67852" w:rsidRDefault="00D56161" w:rsidP="00781665">
            <w:pPr>
              <w:pStyle w:val="LI-Tabletext"/>
            </w:pPr>
            <w:r w:rsidRPr="00C67852">
              <w:t>No. = Number(s)</w:t>
            </w:r>
          </w:p>
        </w:tc>
        <w:tc>
          <w:tcPr>
            <w:tcW w:w="2321" w:type="pct"/>
            <w:shd w:val="clear" w:color="auto" w:fill="auto"/>
          </w:tcPr>
          <w:p w14:paraId="3973B150" w14:textId="77777777" w:rsidR="00331886" w:rsidRPr="00C67852" w:rsidRDefault="00D56161" w:rsidP="00781665">
            <w:pPr>
              <w:pStyle w:val="LI-Tabletext"/>
            </w:pPr>
            <w:r w:rsidRPr="00C67852">
              <w:t>underlining = whole or part not</w:t>
            </w:r>
          </w:p>
        </w:tc>
      </w:tr>
      <w:tr w:rsidR="00331886" w:rsidRPr="00164D8F" w14:paraId="2594A570" w14:textId="77777777" w:rsidTr="00A305CF">
        <w:tc>
          <w:tcPr>
            <w:tcW w:w="2679" w:type="pct"/>
            <w:shd w:val="clear" w:color="auto" w:fill="auto"/>
          </w:tcPr>
          <w:p w14:paraId="34BBE647" w14:textId="77777777" w:rsidR="00331886" w:rsidRPr="00C67852" w:rsidRDefault="00D56161" w:rsidP="00781665">
            <w:pPr>
              <w:pStyle w:val="LI-Tabletext"/>
            </w:pPr>
            <w:r w:rsidRPr="00C67852">
              <w:t>o = order(s)</w:t>
            </w:r>
          </w:p>
        </w:tc>
        <w:tc>
          <w:tcPr>
            <w:tcW w:w="2321" w:type="pct"/>
            <w:shd w:val="clear" w:color="auto" w:fill="auto"/>
          </w:tcPr>
          <w:p w14:paraId="277DF109" w14:textId="77777777" w:rsidR="00331886" w:rsidRPr="00C67852" w:rsidRDefault="00D56161" w:rsidP="00781665">
            <w:pPr>
              <w:pStyle w:val="LI-Tabletext"/>
            </w:pPr>
            <w:r w:rsidRPr="00C67852">
              <w:t>commenced or to be commenced</w:t>
            </w:r>
          </w:p>
        </w:tc>
      </w:tr>
      <w:tr w:rsidR="00331886" w:rsidRPr="00164D8F" w14:paraId="591F53F6" w14:textId="77777777" w:rsidTr="00A305CF">
        <w:tc>
          <w:tcPr>
            <w:tcW w:w="2679" w:type="pct"/>
            <w:shd w:val="clear" w:color="auto" w:fill="auto"/>
          </w:tcPr>
          <w:p w14:paraId="529B71E2" w14:textId="77777777" w:rsidR="00331886" w:rsidRPr="00C67852" w:rsidRDefault="00D56161" w:rsidP="00781665">
            <w:pPr>
              <w:pStyle w:val="LI-Tabletext"/>
            </w:pPr>
            <w:r w:rsidRPr="00C67852">
              <w:t>Ord = Ordinance</w:t>
            </w:r>
          </w:p>
        </w:tc>
        <w:tc>
          <w:tcPr>
            <w:tcW w:w="2321" w:type="pct"/>
            <w:shd w:val="clear" w:color="auto" w:fill="auto"/>
          </w:tcPr>
          <w:p w14:paraId="306CCDC9" w14:textId="77777777" w:rsidR="00331886" w:rsidRPr="00C67852" w:rsidRDefault="00331886" w:rsidP="00781665">
            <w:pPr>
              <w:pStyle w:val="LI-Tabletext"/>
            </w:pPr>
          </w:p>
        </w:tc>
      </w:tr>
    </w:tbl>
    <w:p w14:paraId="21E4EA32" w14:textId="77777777" w:rsidR="00331886" w:rsidRPr="00BC57F4" w:rsidRDefault="00331886" w:rsidP="00331886">
      <w:pPr>
        <w:pStyle w:val="Tabletext"/>
      </w:pPr>
    </w:p>
    <w:p w14:paraId="292153FF" w14:textId="268AAFFA" w:rsidR="00331886" w:rsidRPr="00611862" w:rsidRDefault="00331886" w:rsidP="00611862">
      <w:pPr>
        <w:pStyle w:val="LI-Heading2"/>
        <w:pageBreakBefore/>
        <w:spacing w:after="480"/>
      </w:pPr>
      <w:bookmarkStart w:id="31" w:name="_Toc194417983"/>
      <w:r w:rsidRPr="00611862">
        <w:lastRenderedPageBreak/>
        <w:t>Endnote 3—Legislation history</w:t>
      </w:r>
      <w:bookmarkEnd w:id="31"/>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05"/>
        <w:gridCol w:w="1985"/>
        <w:gridCol w:w="1984"/>
        <w:gridCol w:w="1985"/>
      </w:tblGrid>
      <w:tr w:rsidR="00331886" w:rsidRPr="0098546F" w14:paraId="31DB4058" w14:textId="77777777" w:rsidTr="00A305CF">
        <w:trPr>
          <w:cantSplit/>
          <w:tblHeader/>
        </w:trPr>
        <w:tc>
          <w:tcPr>
            <w:tcW w:w="2405" w:type="dxa"/>
            <w:tcBorders>
              <w:top w:val="single" w:sz="12" w:space="0" w:color="auto"/>
              <w:bottom w:val="single" w:sz="12" w:space="0" w:color="auto"/>
            </w:tcBorders>
            <w:shd w:val="clear" w:color="auto" w:fill="auto"/>
          </w:tcPr>
          <w:p w14:paraId="7EA01B13" w14:textId="77777777" w:rsidR="00331886" w:rsidRPr="00E117A3" w:rsidRDefault="00331886" w:rsidP="00F668A8">
            <w:pPr>
              <w:pStyle w:val="LI-Tableheadingrow"/>
            </w:pPr>
            <w:r>
              <w:t>Name</w:t>
            </w:r>
          </w:p>
        </w:tc>
        <w:tc>
          <w:tcPr>
            <w:tcW w:w="1985" w:type="dxa"/>
            <w:tcBorders>
              <w:top w:val="single" w:sz="12" w:space="0" w:color="auto"/>
              <w:bottom w:val="single" w:sz="12" w:space="0" w:color="auto"/>
            </w:tcBorders>
            <w:shd w:val="clear" w:color="auto" w:fill="auto"/>
          </w:tcPr>
          <w:p w14:paraId="5F3BA601" w14:textId="77777777" w:rsidR="00331886" w:rsidRPr="00E117A3" w:rsidRDefault="00331886" w:rsidP="00F668A8">
            <w:pPr>
              <w:pStyle w:val="LI-Tableheadingrow"/>
            </w:pPr>
            <w:r>
              <w:t>Registration</w:t>
            </w:r>
          </w:p>
        </w:tc>
        <w:tc>
          <w:tcPr>
            <w:tcW w:w="1984" w:type="dxa"/>
            <w:tcBorders>
              <w:top w:val="single" w:sz="12" w:space="0" w:color="auto"/>
              <w:bottom w:val="single" w:sz="12" w:space="0" w:color="auto"/>
            </w:tcBorders>
            <w:shd w:val="clear" w:color="auto" w:fill="auto"/>
          </w:tcPr>
          <w:p w14:paraId="0E5C692E" w14:textId="77777777" w:rsidR="00331886" w:rsidRPr="00E117A3" w:rsidRDefault="00331886" w:rsidP="00F668A8">
            <w:pPr>
              <w:pStyle w:val="LI-Tableheadingrow"/>
            </w:pPr>
            <w:r>
              <w:t>Commencement</w:t>
            </w:r>
          </w:p>
        </w:tc>
        <w:tc>
          <w:tcPr>
            <w:tcW w:w="1985" w:type="dxa"/>
            <w:tcBorders>
              <w:top w:val="single" w:sz="12" w:space="0" w:color="auto"/>
              <w:bottom w:val="single" w:sz="12" w:space="0" w:color="auto"/>
            </w:tcBorders>
            <w:shd w:val="clear" w:color="auto" w:fill="auto"/>
          </w:tcPr>
          <w:p w14:paraId="0A3BC402" w14:textId="77777777" w:rsidR="00331886" w:rsidRPr="00E117A3" w:rsidRDefault="00331886" w:rsidP="00F668A8">
            <w:pPr>
              <w:pStyle w:val="LI-Tableheadingrow"/>
            </w:pPr>
            <w:r w:rsidRPr="00E117A3">
              <w:t>Application, saving and transitional provisions</w:t>
            </w:r>
          </w:p>
        </w:tc>
      </w:tr>
      <w:tr w:rsidR="00331886" w:rsidRPr="00E117A3" w14:paraId="7FAFCFFC" w14:textId="77777777" w:rsidTr="00A305CF">
        <w:trPr>
          <w:cantSplit/>
        </w:trPr>
        <w:tc>
          <w:tcPr>
            <w:tcW w:w="2405" w:type="dxa"/>
            <w:tcBorders>
              <w:top w:val="single" w:sz="12" w:space="0" w:color="auto"/>
              <w:bottom w:val="single" w:sz="4" w:space="0" w:color="auto"/>
            </w:tcBorders>
            <w:shd w:val="clear" w:color="auto" w:fill="auto"/>
          </w:tcPr>
          <w:p w14:paraId="43402B9D" w14:textId="318121D7" w:rsidR="00331886" w:rsidRPr="00781665" w:rsidRDefault="006D549A" w:rsidP="00781665">
            <w:pPr>
              <w:pStyle w:val="LI-Tabletext"/>
            </w:pPr>
            <w:r w:rsidRPr="006D549A">
              <w:t>ASIC Corporations (Financial Reporting by Stapled Entities) Instrument 2023/673</w:t>
            </w:r>
          </w:p>
        </w:tc>
        <w:tc>
          <w:tcPr>
            <w:tcW w:w="1985" w:type="dxa"/>
            <w:tcBorders>
              <w:top w:val="single" w:sz="12" w:space="0" w:color="auto"/>
              <w:bottom w:val="single" w:sz="4" w:space="0" w:color="auto"/>
            </w:tcBorders>
            <w:shd w:val="clear" w:color="auto" w:fill="auto"/>
          </w:tcPr>
          <w:p w14:paraId="0FD5EFFE" w14:textId="51458254" w:rsidR="00331886" w:rsidRPr="00E117A3" w:rsidRDefault="009B5143" w:rsidP="00781665">
            <w:pPr>
              <w:pStyle w:val="LI-Tabletext"/>
            </w:pPr>
            <w:r w:rsidRPr="009B5143">
              <w:t>22 September 2023</w:t>
            </w:r>
            <w:r>
              <w:t xml:space="preserve"> (see </w:t>
            </w:r>
            <w:r w:rsidRPr="009B5143">
              <w:t>F2023L01277</w:t>
            </w:r>
            <w:r>
              <w:t>)</w:t>
            </w:r>
          </w:p>
        </w:tc>
        <w:tc>
          <w:tcPr>
            <w:tcW w:w="1984" w:type="dxa"/>
            <w:tcBorders>
              <w:top w:val="single" w:sz="12" w:space="0" w:color="auto"/>
              <w:bottom w:val="single" w:sz="4" w:space="0" w:color="auto"/>
            </w:tcBorders>
            <w:shd w:val="clear" w:color="auto" w:fill="auto"/>
          </w:tcPr>
          <w:p w14:paraId="1D64A177" w14:textId="5D1DD0BA" w:rsidR="00331886" w:rsidRPr="00E117A3" w:rsidRDefault="00B72244" w:rsidP="00781665">
            <w:pPr>
              <w:pStyle w:val="LI-Tabletext"/>
            </w:pPr>
            <w:r>
              <w:t>23 September 2023</w:t>
            </w:r>
          </w:p>
        </w:tc>
        <w:tc>
          <w:tcPr>
            <w:tcW w:w="1985" w:type="dxa"/>
            <w:tcBorders>
              <w:top w:val="single" w:sz="12" w:space="0" w:color="auto"/>
              <w:bottom w:val="single" w:sz="4" w:space="0" w:color="auto"/>
            </w:tcBorders>
            <w:shd w:val="clear" w:color="auto" w:fill="auto"/>
          </w:tcPr>
          <w:p w14:paraId="389322EE" w14:textId="77777777" w:rsidR="00331886" w:rsidRPr="00E117A3" w:rsidRDefault="00331886" w:rsidP="00781665">
            <w:pPr>
              <w:pStyle w:val="LI-Tabletext"/>
            </w:pPr>
          </w:p>
        </w:tc>
      </w:tr>
      <w:tr w:rsidR="00331886" w14:paraId="5EC3B35C" w14:textId="77777777" w:rsidTr="00A305CF">
        <w:trPr>
          <w:cantSplit/>
        </w:trPr>
        <w:tc>
          <w:tcPr>
            <w:tcW w:w="2405" w:type="dxa"/>
            <w:tcBorders>
              <w:bottom w:val="single" w:sz="12" w:space="0" w:color="auto"/>
            </w:tcBorders>
            <w:shd w:val="clear" w:color="auto" w:fill="auto"/>
          </w:tcPr>
          <w:p w14:paraId="16CAFA59" w14:textId="65FB42D9" w:rsidR="00331886" w:rsidRPr="00E117A3" w:rsidRDefault="00725AA8" w:rsidP="00781665">
            <w:pPr>
              <w:pStyle w:val="LI-Tabletext"/>
            </w:pPr>
            <w:r w:rsidRPr="002E5A79">
              <w:t>ASIC Corporations (Amendment) Instrument 2025/164</w:t>
            </w:r>
          </w:p>
        </w:tc>
        <w:tc>
          <w:tcPr>
            <w:tcW w:w="1985" w:type="dxa"/>
            <w:tcBorders>
              <w:bottom w:val="single" w:sz="12" w:space="0" w:color="auto"/>
            </w:tcBorders>
            <w:shd w:val="clear" w:color="auto" w:fill="auto"/>
          </w:tcPr>
          <w:p w14:paraId="03F2EF4B" w14:textId="51C3CFE0" w:rsidR="00331886" w:rsidRPr="00E117A3" w:rsidRDefault="00E44955" w:rsidP="00781665">
            <w:pPr>
              <w:pStyle w:val="LI-Tabletext"/>
            </w:pPr>
            <w:r w:rsidRPr="008D00C9">
              <w:t>31 March 2025</w:t>
            </w:r>
            <w:r>
              <w:t xml:space="preserve"> (see </w:t>
            </w:r>
            <w:r w:rsidRPr="0022337F">
              <w:t>F2025L00421</w:t>
            </w:r>
            <w:r>
              <w:t>)</w:t>
            </w:r>
          </w:p>
        </w:tc>
        <w:tc>
          <w:tcPr>
            <w:tcW w:w="1984" w:type="dxa"/>
            <w:tcBorders>
              <w:bottom w:val="single" w:sz="12" w:space="0" w:color="auto"/>
            </w:tcBorders>
            <w:shd w:val="clear" w:color="auto" w:fill="auto"/>
          </w:tcPr>
          <w:p w14:paraId="19D2C440" w14:textId="0925D443" w:rsidR="00331886" w:rsidRPr="00E117A3" w:rsidRDefault="005048CB" w:rsidP="00781665">
            <w:pPr>
              <w:pStyle w:val="LI-Tabletext"/>
            </w:pPr>
            <w:r>
              <w:t>1 April 2025</w:t>
            </w:r>
          </w:p>
        </w:tc>
        <w:tc>
          <w:tcPr>
            <w:tcW w:w="1985" w:type="dxa"/>
            <w:tcBorders>
              <w:bottom w:val="single" w:sz="12" w:space="0" w:color="auto"/>
            </w:tcBorders>
            <w:shd w:val="clear" w:color="auto" w:fill="auto"/>
          </w:tcPr>
          <w:p w14:paraId="45BF80F9" w14:textId="77777777" w:rsidR="00331886" w:rsidRPr="00E117A3" w:rsidRDefault="00331886" w:rsidP="00781665">
            <w:pPr>
              <w:pStyle w:val="LI-Tabletext"/>
            </w:pPr>
          </w:p>
        </w:tc>
      </w:tr>
    </w:tbl>
    <w:p w14:paraId="14C4C7A3" w14:textId="77777777" w:rsidR="00331886" w:rsidRDefault="00331886" w:rsidP="00331886">
      <w:pPr>
        <w:pStyle w:val="Tabletext"/>
      </w:pPr>
    </w:p>
    <w:p w14:paraId="5C2B6B51" w14:textId="77777777" w:rsidR="00331886" w:rsidRPr="00611862" w:rsidRDefault="00331886" w:rsidP="00611862">
      <w:pPr>
        <w:pStyle w:val="LI-Heading2"/>
        <w:pageBreakBefore/>
        <w:spacing w:after="480"/>
      </w:pPr>
      <w:bookmarkStart w:id="32" w:name="_Toc194417984"/>
      <w:r w:rsidRPr="00611862">
        <w:lastRenderedPageBreak/>
        <w:t>Endnote 4—Amendment history</w:t>
      </w:r>
      <w:bookmarkEnd w:id="32"/>
    </w:p>
    <w:tbl>
      <w:tblPr>
        <w:tblW w:w="8359" w:type="dxa"/>
        <w:tblInd w:w="113" w:type="dxa"/>
        <w:tblLayout w:type="fixed"/>
        <w:tblLook w:val="0000" w:firstRow="0" w:lastRow="0" w:firstColumn="0" w:lastColumn="0" w:noHBand="0" w:noVBand="0"/>
      </w:tblPr>
      <w:tblGrid>
        <w:gridCol w:w="2405"/>
        <w:gridCol w:w="5954"/>
      </w:tblGrid>
      <w:tr w:rsidR="00331886" w:rsidRPr="0098546F" w14:paraId="1D973C5C" w14:textId="77777777" w:rsidTr="00A305CF">
        <w:trPr>
          <w:cantSplit/>
          <w:tblHeader/>
        </w:trPr>
        <w:tc>
          <w:tcPr>
            <w:tcW w:w="2405" w:type="dxa"/>
            <w:tcBorders>
              <w:top w:val="single" w:sz="12" w:space="0" w:color="auto"/>
              <w:bottom w:val="single" w:sz="12" w:space="0" w:color="auto"/>
            </w:tcBorders>
            <w:shd w:val="clear" w:color="auto" w:fill="auto"/>
          </w:tcPr>
          <w:p w14:paraId="691CB664" w14:textId="77777777" w:rsidR="00331886" w:rsidRPr="00E117A3" w:rsidRDefault="00331886" w:rsidP="00F668A8">
            <w:pPr>
              <w:pStyle w:val="LI-Tableheadingrow"/>
            </w:pPr>
            <w:r w:rsidRPr="00E117A3">
              <w:t>Provision affected</w:t>
            </w:r>
          </w:p>
        </w:tc>
        <w:tc>
          <w:tcPr>
            <w:tcW w:w="5954" w:type="dxa"/>
            <w:tcBorders>
              <w:top w:val="single" w:sz="12" w:space="0" w:color="auto"/>
              <w:bottom w:val="single" w:sz="12" w:space="0" w:color="auto"/>
            </w:tcBorders>
            <w:shd w:val="clear" w:color="auto" w:fill="auto"/>
          </w:tcPr>
          <w:p w14:paraId="0D8E0D0C" w14:textId="77777777" w:rsidR="00331886" w:rsidRPr="00E117A3" w:rsidRDefault="00331886" w:rsidP="00F668A8">
            <w:pPr>
              <w:pStyle w:val="LI-Tableheadingrow"/>
            </w:pPr>
            <w:r w:rsidRPr="00E117A3">
              <w:t>How affected</w:t>
            </w:r>
          </w:p>
        </w:tc>
      </w:tr>
      <w:tr w:rsidR="00331886" w:rsidRPr="00143B0F" w14:paraId="09ED4150" w14:textId="77777777" w:rsidTr="00A305CF">
        <w:trPr>
          <w:cantSplit/>
        </w:trPr>
        <w:tc>
          <w:tcPr>
            <w:tcW w:w="2405" w:type="dxa"/>
            <w:tcBorders>
              <w:top w:val="single" w:sz="12" w:space="0" w:color="auto"/>
            </w:tcBorders>
            <w:shd w:val="clear" w:color="auto" w:fill="auto"/>
          </w:tcPr>
          <w:p w14:paraId="4DF35556" w14:textId="1DBFBF4E" w:rsidR="00331886" w:rsidRPr="00AC5587" w:rsidRDefault="00AC5587" w:rsidP="00781665">
            <w:pPr>
              <w:pStyle w:val="LI-Tabletext"/>
              <w:rPr>
                <w:szCs w:val="18"/>
              </w:rPr>
            </w:pPr>
            <w:r w:rsidRPr="00AC5587">
              <w:t>Section 1</w:t>
            </w:r>
          </w:p>
        </w:tc>
        <w:tc>
          <w:tcPr>
            <w:tcW w:w="5954" w:type="dxa"/>
            <w:tcBorders>
              <w:top w:val="single" w:sz="12" w:space="0" w:color="auto"/>
            </w:tcBorders>
            <w:shd w:val="clear" w:color="auto" w:fill="auto"/>
          </w:tcPr>
          <w:p w14:paraId="0B1D9BC3" w14:textId="7874EAC2" w:rsidR="00331886" w:rsidRPr="00AC5587" w:rsidRDefault="00982C79" w:rsidP="00781665">
            <w:pPr>
              <w:pStyle w:val="LI-Tabletext"/>
            </w:pPr>
            <w:r>
              <w:t>a</w:t>
            </w:r>
            <w:r w:rsidR="00383BE5">
              <w:t>m. 2025/164</w:t>
            </w:r>
          </w:p>
        </w:tc>
      </w:tr>
      <w:tr w:rsidR="00514FE2" w14:paraId="3F0BACC6" w14:textId="77777777" w:rsidTr="00A305CF">
        <w:trPr>
          <w:cantSplit/>
        </w:trPr>
        <w:tc>
          <w:tcPr>
            <w:tcW w:w="2405" w:type="dxa"/>
            <w:shd w:val="clear" w:color="auto" w:fill="auto"/>
          </w:tcPr>
          <w:p w14:paraId="58989265" w14:textId="4ADAF1E6" w:rsidR="00514FE2" w:rsidRDefault="00514FE2" w:rsidP="00781665">
            <w:pPr>
              <w:pStyle w:val="LI-Tabletext"/>
            </w:pPr>
            <w:r>
              <w:t>Section 2</w:t>
            </w:r>
          </w:p>
        </w:tc>
        <w:tc>
          <w:tcPr>
            <w:tcW w:w="5954" w:type="dxa"/>
            <w:shd w:val="clear" w:color="auto" w:fill="auto"/>
          </w:tcPr>
          <w:p w14:paraId="7035124B" w14:textId="1D32E549" w:rsidR="00514FE2" w:rsidRDefault="00514FE2" w:rsidP="00781665">
            <w:pPr>
              <w:pStyle w:val="LI-Tabletext"/>
            </w:pPr>
            <w:r>
              <w:t>rep. s48D LA</w:t>
            </w:r>
          </w:p>
        </w:tc>
      </w:tr>
      <w:tr w:rsidR="00331886" w14:paraId="15C2BC7B" w14:textId="77777777" w:rsidTr="00A305CF">
        <w:trPr>
          <w:cantSplit/>
        </w:trPr>
        <w:tc>
          <w:tcPr>
            <w:tcW w:w="2405" w:type="dxa"/>
            <w:shd w:val="clear" w:color="auto" w:fill="auto"/>
          </w:tcPr>
          <w:p w14:paraId="6DEF59C0" w14:textId="14DF5212" w:rsidR="00331886" w:rsidRPr="00143B0F" w:rsidRDefault="00274870" w:rsidP="00781665">
            <w:pPr>
              <w:pStyle w:val="LI-Tabletext"/>
            </w:pPr>
            <w:r>
              <w:t>Section 4</w:t>
            </w:r>
          </w:p>
        </w:tc>
        <w:tc>
          <w:tcPr>
            <w:tcW w:w="5954" w:type="dxa"/>
            <w:shd w:val="clear" w:color="auto" w:fill="auto"/>
          </w:tcPr>
          <w:p w14:paraId="125303BA" w14:textId="160BEBEC" w:rsidR="00331886" w:rsidRPr="00E117A3" w:rsidRDefault="00982C79" w:rsidP="00781665">
            <w:pPr>
              <w:pStyle w:val="LI-Tabletext"/>
            </w:pPr>
            <w:r>
              <w:t>a</w:t>
            </w:r>
            <w:r w:rsidR="00274870">
              <w:t>m. 2025/164</w:t>
            </w:r>
          </w:p>
        </w:tc>
      </w:tr>
      <w:tr w:rsidR="00331886" w14:paraId="3B0CFFCA" w14:textId="77777777" w:rsidTr="00A305CF">
        <w:trPr>
          <w:cantSplit/>
        </w:trPr>
        <w:tc>
          <w:tcPr>
            <w:tcW w:w="2405" w:type="dxa"/>
            <w:tcBorders>
              <w:bottom w:val="single" w:sz="12" w:space="0" w:color="auto"/>
            </w:tcBorders>
            <w:shd w:val="clear" w:color="auto" w:fill="auto"/>
          </w:tcPr>
          <w:p w14:paraId="6AC58037" w14:textId="6607F698" w:rsidR="00331886" w:rsidRPr="00E117A3" w:rsidRDefault="00982C79" w:rsidP="00781665">
            <w:pPr>
              <w:pStyle w:val="LI-Tabletext"/>
            </w:pPr>
            <w:r>
              <w:t>Section 6A</w:t>
            </w:r>
          </w:p>
        </w:tc>
        <w:tc>
          <w:tcPr>
            <w:tcW w:w="5954" w:type="dxa"/>
            <w:tcBorders>
              <w:bottom w:val="single" w:sz="12" w:space="0" w:color="auto"/>
            </w:tcBorders>
            <w:shd w:val="clear" w:color="auto" w:fill="auto"/>
          </w:tcPr>
          <w:p w14:paraId="35D4AD66" w14:textId="2E439D39" w:rsidR="00331886" w:rsidRPr="00E117A3" w:rsidRDefault="00982C79" w:rsidP="00781665">
            <w:pPr>
              <w:pStyle w:val="LI-Tabletext"/>
            </w:pPr>
            <w:r>
              <w:t>ad. 2025/164</w:t>
            </w:r>
          </w:p>
        </w:tc>
      </w:tr>
    </w:tbl>
    <w:p w14:paraId="1060D407" w14:textId="77777777" w:rsidR="00BF409D" w:rsidRPr="00152412" w:rsidRDefault="00BF409D" w:rsidP="007E1BFD"/>
    <w:sectPr w:rsidR="00BF409D" w:rsidRPr="00152412" w:rsidSect="007E1BFD">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B5D67" w14:textId="77777777" w:rsidR="00DD6869" w:rsidRDefault="00DD6869" w:rsidP="008E17F3">
      <w:pPr>
        <w:spacing w:line="240" w:lineRule="auto"/>
      </w:pPr>
      <w:r>
        <w:separator/>
      </w:r>
    </w:p>
  </w:endnote>
  <w:endnote w:type="continuationSeparator" w:id="0">
    <w:p w14:paraId="249F8F7C" w14:textId="77777777" w:rsidR="00DD6869" w:rsidRDefault="00DD6869" w:rsidP="008E17F3">
      <w:pPr>
        <w:spacing w:line="240" w:lineRule="auto"/>
      </w:pPr>
      <w:r>
        <w:continuationSeparator/>
      </w:r>
    </w:p>
  </w:endnote>
  <w:endnote w:type="continuationNotice" w:id="1">
    <w:p w14:paraId="5C41503C" w14:textId="77777777" w:rsidR="00DD6869" w:rsidRDefault="00DD68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3791" w14:textId="77777777"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16127C">
      <w:rPr>
        <w:rStyle w:val="PageNumber"/>
        <w:noProof/>
      </w:rPr>
      <w:t>2</w:t>
    </w:r>
    <w:r>
      <w:rPr>
        <w:rStyle w:val="PageNumber"/>
      </w:rPr>
      <w:fldChar w:fldCharType="end"/>
    </w:r>
  </w:p>
  <w:p w14:paraId="35117657" w14:textId="77777777" w:rsidR="008E17F3"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3324"/>
      <w:gridCol w:w="316"/>
      <w:gridCol w:w="761"/>
      <w:gridCol w:w="1420"/>
    </w:tblGrid>
    <w:tr w:rsidR="002C186A" w:rsidRPr="007B3B51" w14:paraId="0CA159F5" w14:textId="77777777" w:rsidTr="00A305CF">
      <w:trPr>
        <w:gridAfter w:val="1"/>
        <w:wAfter w:w="1420" w:type="dxa"/>
      </w:trPr>
      <w:tc>
        <w:tcPr>
          <w:tcW w:w="3688" w:type="pct"/>
          <w:gridSpan w:val="3"/>
        </w:tcPr>
        <w:p w14:paraId="7D8051B1" w14:textId="66A61C0B" w:rsidR="002C186A" w:rsidRPr="00775263" w:rsidRDefault="002C186A" w:rsidP="002C186A">
          <w:pPr>
            <w:jc w:val="center"/>
            <w:rPr>
              <w:i/>
              <w:iCs/>
              <w:sz w:val="16"/>
              <w:szCs w:val="16"/>
            </w:rPr>
          </w:pPr>
          <w:r w:rsidRPr="00775263">
            <w:rPr>
              <w:i/>
              <w:iCs/>
              <w:sz w:val="16"/>
              <w:szCs w:val="16"/>
            </w:rPr>
            <w:fldChar w:fldCharType="begin"/>
          </w:r>
          <w:r w:rsidRPr="00775263">
            <w:rPr>
              <w:i/>
              <w:iCs/>
              <w:sz w:val="16"/>
              <w:szCs w:val="16"/>
            </w:rPr>
            <w:instrText xml:space="preserve"> STYLEREF  "LI - Title"  \* MERGEFORMAT </w:instrText>
          </w:r>
          <w:r w:rsidRPr="00775263">
            <w:rPr>
              <w:i/>
              <w:iCs/>
              <w:sz w:val="16"/>
              <w:szCs w:val="16"/>
            </w:rPr>
            <w:fldChar w:fldCharType="separate"/>
          </w:r>
          <w:r w:rsidR="00B90D27">
            <w:rPr>
              <w:i/>
              <w:iCs/>
              <w:noProof/>
              <w:sz w:val="16"/>
              <w:szCs w:val="16"/>
            </w:rPr>
            <w:t>ASIC Corporations (Reporting by Stapled Entities) Instrument 2023/673</w:t>
          </w:r>
          <w:r w:rsidRPr="00775263">
            <w:rPr>
              <w:i/>
              <w:iCs/>
              <w:noProof/>
              <w:sz w:val="16"/>
              <w:szCs w:val="16"/>
            </w:rPr>
            <w:fldChar w:fldCharType="end"/>
          </w:r>
          <w:r w:rsidRPr="00775263">
            <w:rPr>
              <w:i/>
              <w:iCs/>
              <w:noProof/>
              <w:sz w:val="16"/>
              <w:szCs w:val="16"/>
            </w:rPr>
            <w:t xml:space="preserve"> </w:t>
          </w:r>
        </w:p>
      </w:tc>
      <w:tc>
        <w:tcPr>
          <w:tcW w:w="458" w:type="pct"/>
        </w:tcPr>
        <w:p w14:paraId="3ECAFEE5" w14:textId="77777777" w:rsidR="002C186A" w:rsidRPr="00775263" w:rsidRDefault="002C186A" w:rsidP="002C186A">
          <w:pPr>
            <w:jc w:val="right"/>
            <w:rPr>
              <w:b/>
              <w:bCs/>
              <w:sz w:val="16"/>
              <w:szCs w:val="16"/>
            </w:rPr>
          </w:pPr>
          <w:r w:rsidRPr="00775263">
            <w:rPr>
              <w:b/>
              <w:bCs/>
              <w:i/>
              <w:sz w:val="16"/>
              <w:szCs w:val="16"/>
            </w:rPr>
            <w:fldChar w:fldCharType="begin"/>
          </w:r>
          <w:r w:rsidRPr="00775263">
            <w:rPr>
              <w:b/>
              <w:bCs/>
              <w:i/>
              <w:sz w:val="16"/>
              <w:szCs w:val="16"/>
            </w:rPr>
            <w:instrText xml:space="preserve"> PAGE </w:instrText>
          </w:r>
          <w:r w:rsidRPr="00775263">
            <w:rPr>
              <w:b/>
              <w:bCs/>
              <w:i/>
              <w:sz w:val="16"/>
              <w:szCs w:val="16"/>
            </w:rPr>
            <w:fldChar w:fldCharType="separate"/>
          </w:r>
          <w:r w:rsidRPr="00775263">
            <w:rPr>
              <w:b/>
              <w:bCs/>
              <w:i/>
              <w:noProof/>
              <w:sz w:val="16"/>
              <w:szCs w:val="16"/>
            </w:rPr>
            <w:t>4</w:t>
          </w:r>
          <w:r w:rsidRPr="00775263">
            <w:rPr>
              <w:b/>
              <w:bCs/>
              <w:i/>
              <w:sz w:val="16"/>
              <w:szCs w:val="16"/>
            </w:rPr>
            <w:fldChar w:fldCharType="end"/>
          </w:r>
        </w:p>
      </w:tc>
    </w:tr>
    <w:tr w:rsidR="002C186A" w:rsidRPr="00130F37" w14:paraId="5018B094" w14:textId="77777777" w:rsidTr="00A305CF">
      <w:tc>
        <w:tcPr>
          <w:tcW w:w="1499" w:type="pct"/>
        </w:tcPr>
        <w:p w14:paraId="2504B96A" w14:textId="375EC0BA" w:rsidR="002C186A" w:rsidRPr="00130F37" w:rsidRDefault="002C186A" w:rsidP="002C186A">
          <w:pPr>
            <w:spacing w:before="120"/>
            <w:rPr>
              <w:sz w:val="16"/>
              <w:szCs w:val="16"/>
            </w:rPr>
          </w:pPr>
          <w:r w:rsidRPr="00130F37">
            <w:rPr>
              <w:sz w:val="16"/>
              <w:szCs w:val="16"/>
            </w:rPr>
            <w:t xml:space="preserve">Compilation No. </w:t>
          </w:r>
          <w:r w:rsidR="004E7C7D">
            <w:rPr>
              <w:sz w:val="16"/>
              <w:szCs w:val="16"/>
            </w:rPr>
            <w:t>1</w:t>
          </w:r>
        </w:p>
      </w:tc>
      <w:tc>
        <w:tcPr>
          <w:tcW w:w="1999" w:type="pct"/>
        </w:tcPr>
        <w:p w14:paraId="4149CDD5" w14:textId="77777777" w:rsidR="002C186A" w:rsidRPr="00130F37" w:rsidRDefault="002C186A" w:rsidP="002C186A">
          <w:pPr>
            <w:spacing w:before="120"/>
            <w:jc w:val="center"/>
            <w:rPr>
              <w:sz w:val="16"/>
              <w:szCs w:val="16"/>
            </w:rPr>
          </w:pPr>
        </w:p>
      </w:tc>
      <w:tc>
        <w:tcPr>
          <w:tcW w:w="1502" w:type="pct"/>
          <w:gridSpan w:val="3"/>
        </w:tcPr>
        <w:p w14:paraId="476A324E" w14:textId="7BB00F2D" w:rsidR="002C186A" w:rsidRPr="00130F37" w:rsidRDefault="002C186A" w:rsidP="002C186A">
          <w:pPr>
            <w:spacing w:before="120"/>
            <w:jc w:val="right"/>
            <w:rPr>
              <w:sz w:val="16"/>
              <w:szCs w:val="16"/>
            </w:rPr>
          </w:pPr>
          <w:r w:rsidRPr="0055472E">
            <w:rPr>
              <w:sz w:val="16"/>
              <w:szCs w:val="16"/>
            </w:rPr>
            <w:t xml:space="preserve">Compilation date: </w:t>
          </w:r>
          <w:r w:rsidR="00827C49">
            <w:rPr>
              <w:sz w:val="16"/>
              <w:szCs w:val="16"/>
            </w:rPr>
            <w:t>01/04/2025</w:t>
          </w:r>
        </w:p>
      </w:tc>
    </w:tr>
  </w:tbl>
  <w:p w14:paraId="62A3B440" w14:textId="105524C4" w:rsidR="008E17F3" w:rsidRPr="00971010" w:rsidRDefault="008E17F3" w:rsidP="008E17F3">
    <w:pPr>
      <w:pStyle w:val="Footer"/>
      <w:tabs>
        <w:tab w:val="clear" w:pos="4153"/>
        <w:tab w:val="clear" w:pos="8306"/>
        <w:tab w:val="left" w:pos="7680"/>
      </w:tabs>
      <w:ind w:right="27"/>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5065" w14:textId="03BC3D83" w:rsidR="005F7F04" w:rsidRDefault="005F7F04">
    <w:pPr>
      <w:pStyle w:val="Footer"/>
    </w:pPr>
    <w:r>
      <w:t>Prepared by the Australian Securities and Investments Commission (ASIC)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C010F" w14:textId="77777777" w:rsidR="00DD6869" w:rsidRDefault="00DD6869" w:rsidP="008E17F3">
      <w:pPr>
        <w:spacing w:line="240" w:lineRule="auto"/>
      </w:pPr>
      <w:r>
        <w:separator/>
      </w:r>
    </w:p>
  </w:footnote>
  <w:footnote w:type="continuationSeparator" w:id="0">
    <w:p w14:paraId="5F59C69C" w14:textId="77777777" w:rsidR="00DD6869" w:rsidRDefault="00DD6869" w:rsidP="008E17F3">
      <w:pPr>
        <w:spacing w:line="240" w:lineRule="auto"/>
      </w:pPr>
      <w:r>
        <w:continuationSeparator/>
      </w:r>
    </w:p>
  </w:footnote>
  <w:footnote w:type="continuationNotice" w:id="1">
    <w:p w14:paraId="392DBD21" w14:textId="77777777" w:rsidR="00DD6869" w:rsidRDefault="00DD68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DE5" w14:textId="77777777" w:rsidR="001E6FA4" w:rsidRDefault="001E6FA4" w:rsidP="001E6FA4">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F216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C097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86A9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B2B7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786E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4658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627D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D65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AED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C217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F53E41"/>
    <w:multiLevelType w:val="hybridMultilevel"/>
    <w:tmpl w:val="603086B2"/>
    <w:lvl w:ilvl="0" w:tplc="FFFFFFFF">
      <w:start w:val="1"/>
      <w:numFmt w:val="decimal"/>
      <w:lvlText w:val="(%1)"/>
      <w:lvlJc w:val="left"/>
      <w:pPr>
        <w:ind w:left="1137" w:hanging="57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C8F25F8"/>
    <w:multiLevelType w:val="hybridMultilevel"/>
    <w:tmpl w:val="603086B2"/>
    <w:lvl w:ilvl="0" w:tplc="91A29C5E">
      <w:start w:val="1"/>
      <w:numFmt w:val="decimal"/>
      <w:lvlText w:val="(%1)"/>
      <w:lvlJc w:val="left"/>
      <w:pPr>
        <w:ind w:left="1137" w:hanging="57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1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50207929">
    <w:abstractNumId w:val="9"/>
  </w:num>
  <w:num w:numId="2" w16cid:durableId="1756170305">
    <w:abstractNumId w:val="7"/>
  </w:num>
  <w:num w:numId="3" w16cid:durableId="957028709">
    <w:abstractNumId w:val="6"/>
  </w:num>
  <w:num w:numId="4" w16cid:durableId="332414382">
    <w:abstractNumId w:val="5"/>
  </w:num>
  <w:num w:numId="5" w16cid:durableId="1690718494">
    <w:abstractNumId w:val="4"/>
  </w:num>
  <w:num w:numId="6" w16cid:durableId="158545399">
    <w:abstractNumId w:val="8"/>
  </w:num>
  <w:num w:numId="7" w16cid:durableId="1870608637">
    <w:abstractNumId w:val="3"/>
  </w:num>
  <w:num w:numId="8" w16cid:durableId="724959682">
    <w:abstractNumId w:val="2"/>
  </w:num>
  <w:num w:numId="9" w16cid:durableId="1536043194">
    <w:abstractNumId w:val="1"/>
  </w:num>
  <w:num w:numId="10" w16cid:durableId="1950090453">
    <w:abstractNumId w:val="0"/>
  </w:num>
  <w:num w:numId="11" w16cid:durableId="659231629">
    <w:abstractNumId w:val="12"/>
  </w:num>
  <w:num w:numId="12" w16cid:durableId="494928251">
    <w:abstractNumId w:val="14"/>
  </w:num>
  <w:num w:numId="13" w16cid:durableId="2008556598">
    <w:abstractNumId w:val="11"/>
  </w:num>
  <w:num w:numId="14" w16cid:durableId="12740933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9458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68"/>
    <w:rsid w:val="00000424"/>
    <w:rsid w:val="00000C60"/>
    <w:rsid w:val="000136AF"/>
    <w:rsid w:val="00022B7E"/>
    <w:rsid w:val="00036B0B"/>
    <w:rsid w:val="00051142"/>
    <w:rsid w:val="00056743"/>
    <w:rsid w:val="000614BF"/>
    <w:rsid w:val="00095D53"/>
    <w:rsid w:val="000A4288"/>
    <w:rsid w:val="000C56B6"/>
    <w:rsid w:val="000C5B3E"/>
    <w:rsid w:val="000C604C"/>
    <w:rsid w:val="000C7A70"/>
    <w:rsid w:val="000D05EF"/>
    <w:rsid w:val="000D2D82"/>
    <w:rsid w:val="000D7E8C"/>
    <w:rsid w:val="000E425B"/>
    <w:rsid w:val="000F0932"/>
    <w:rsid w:val="000F4766"/>
    <w:rsid w:val="000F5286"/>
    <w:rsid w:val="0010745C"/>
    <w:rsid w:val="00121165"/>
    <w:rsid w:val="00124396"/>
    <w:rsid w:val="00141774"/>
    <w:rsid w:val="00142ABB"/>
    <w:rsid w:val="0016127C"/>
    <w:rsid w:val="00166C2F"/>
    <w:rsid w:val="001939E1"/>
    <w:rsid w:val="00195382"/>
    <w:rsid w:val="0019732F"/>
    <w:rsid w:val="001A7D62"/>
    <w:rsid w:val="001C5D0C"/>
    <w:rsid w:val="001C63B8"/>
    <w:rsid w:val="001C69C4"/>
    <w:rsid w:val="001E0138"/>
    <w:rsid w:val="001E17C8"/>
    <w:rsid w:val="001E3590"/>
    <w:rsid w:val="001E6FA4"/>
    <w:rsid w:val="001E7407"/>
    <w:rsid w:val="001F7B6F"/>
    <w:rsid w:val="002003AE"/>
    <w:rsid w:val="0020490F"/>
    <w:rsid w:val="00214071"/>
    <w:rsid w:val="00215D67"/>
    <w:rsid w:val="00245A07"/>
    <w:rsid w:val="00253D1B"/>
    <w:rsid w:val="00255B55"/>
    <w:rsid w:val="00274870"/>
    <w:rsid w:val="00295FBA"/>
    <w:rsid w:val="002968DB"/>
    <w:rsid w:val="002970D7"/>
    <w:rsid w:val="00297ECB"/>
    <w:rsid w:val="002A0500"/>
    <w:rsid w:val="002A7FCE"/>
    <w:rsid w:val="002B2AE0"/>
    <w:rsid w:val="002C186A"/>
    <w:rsid w:val="002C3DEB"/>
    <w:rsid w:val="002C7668"/>
    <w:rsid w:val="002C7C8F"/>
    <w:rsid w:val="002D043A"/>
    <w:rsid w:val="002D6A8E"/>
    <w:rsid w:val="002D767E"/>
    <w:rsid w:val="002E0D2E"/>
    <w:rsid w:val="002F180C"/>
    <w:rsid w:val="002F20EC"/>
    <w:rsid w:val="002F2654"/>
    <w:rsid w:val="002F5146"/>
    <w:rsid w:val="00302E19"/>
    <w:rsid w:val="00305EF0"/>
    <w:rsid w:val="00307068"/>
    <w:rsid w:val="0030751C"/>
    <w:rsid w:val="00311448"/>
    <w:rsid w:val="00314B79"/>
    <w:rsid w:val="0032019C"/>
    <w:rsid w:val="0032779F"/>
    <w:rsid w:val="00331886"/>
    <w:rsid w:val="00336D47"/>
    <w:rsid w:val="003511EA"/>
    <w:rsid w:val="00352B0F"/>
    <w:rsid w:val="00357A28"/>
    <w:rsid w:val="00357C45"/>
    <w:rsid w:val="00360F36"/>
    <w:rsid w:val="00360F6B"/>
    <w:rsid w:val="00360FB0"/>
    <w:rsid w:val="003658C1"/>
    <w:rsid w:val="00383BE5"/>
    <w:rsid w:val="00384049"/>
    <w:rsid w:val="003914CC"/>
    <w:rsid w:val="00391B35"/>
    <w:rsid w:val="003A449F"/>
    <w:rsid w:val="003B5735"/>
    <w:rsid w:val="003D0BFE"/>
    <w:rsid w:val="003D5700"/>
    <w:rsid w:val="003D6F8A"/>
    <w:rsid w:val="003E4160"/>
    <w:rsid w:val="003E4922"/>
    <w:rsid w:val="003F586D"/>
    <w:rsid w:val="00402DEE"/>
    <w:rsid w:val="00403D14"/>
    <w:rsid w:val="00405529"/>
    <w:rsid w:val="004116CD"/>
    <w:rsid w:val="00421AB1"/>
    <w:rsid w:val="00422E7B"/>
    <w:rsid w:val="00424CA9"/>
    <w:rsid w:val="00430068"/>
    <w:rsid w:val="00431008"/>
    <w:rsid w:val="00436157"/>
    <w:rsid w:val="0044291A"/>
    <w:rsid w:val="004521FF"/>
    <w:rsid w:val="004560FB"/>
    <w:rsid w:val="004653F8"/>
    <w:rsid w:val="00466140"/>
    <w:rsid w:val="00481837"/>
    <w:rsid w:val="00484FBA"/>
    <w:rsid w:val="00496F97"/>
    <w:rsid w:val="004A1357"/>
    <w:rsid w:val="004A5F72"/>
    <w:rsid w:val="004A6D52"/>
    <w:rsid w:val="004B6D14"/>
    <w:rsid w:val="004C55B5"/>
    <w:rsid w:val="004E38F0"/>
    <w:rsid w:val="004E7C7D"/>
    <w:rsid w:val="004F2745"/>
    <w:rsid w:val="004F3757"/>
    <w:rsid w:val="004F577F"/>
    <w:rsid w:val="00500013"/>
    <w:rsid w:val="00501046"/>
    <w:rsid w:val="005048CB"/>
    <w:rsid w:val="00511F60"/>
    <w:rsid w:val="00514FE2"/>
    <w:rsid w:val="00516B8D"/>
    <w:rsid w:val="005327A0"/>
    <w:rsid w:val="00537FBC"/>
    <w:rsid w:val="00556EA6"/>
    <w:rsid w:val="00561820"/>
    <w:rsid w:val="00570EE8"/>
    <w:rsid w:val="005768CB"/>
    <w:rsid w:val="00580733"/>
    <w:rsid w:val="00584811"/>
    <w:rsid w:val="00591186"/>
    <w:rsid w:val="00594161"/>
    <w:rsid w:val="00594749"/>
    <w:rsid w:val="005B12E9"/>
    <w:rsid w:val="005B5B23"/>
    <w:rsid w:val="005C2C49"/>
    <w:rsid w:val="005C5464"/>
    <w:rsid w:val="005D25C9"/>
    <w:rsid w:val="005E52E1"/>
    <w:rsid w:val="005F0ADA"/>
    <w:rsid w:val="005F7F04"/>
    <w:rsid w:val="00600219"/>
    <w:rsid w:val="00601BC7"/>
    <w:rsid w:val="00605743"/>
    <w:rsid w:val="00611862"/>
    <w:rsid w:val="00613A55"/>
    <w:rsid w:val="006207A3"/>
    <w:rsid w:val="006222C7"/>
    <w:rsid w:val="006279B8"/>
    <w:rsid w:val="00627CA8"/>
    <w:rsid w:val="00627CCA"/>
    <w:rsid w:val="00647AAB"/>
    <w:rsid w:val="00656621"/>
    <w:rsid w:val="00656E66"/>
    <w:rsid w:val="00672968"/>
    <w:rsid w:val="0067731B"/>
    <w:rsid w:val="00677CC2"/>
    <w:rsid w:val="00680F77"/>
    <w:rsid w:val="00690D3E"/>
    <w:rsid w:val="0069207B"/>
    <w:rsid w:val="006A09F1"/>
    <w:rsid w:val="006B40D8"/>
    <w:rsid w:val="006B491D"/>
    <w:rsid w:val="006C7F8C"/>
    <w:rsid w:val="006D35AC"/>
    <w:rsid w:val="006D549A"/>
    <w:rsid w:val="006D77BA"/>
    <w:rsid w:val="006E18F0"/>
    <w:rsid w:val="006E2E9F"/>
    <w:rsid w:val="00704A73"/>
    <w:rsid w:val="007069A0"/>
    <w:rsid w:val="00713FC4"/>
    <w:rsid w:val="007212C4"/>
    <w:rsid w:val="00725AA8"/>
    <w:rsid w:val="0072705C"/>
    <w:rsid w:val="007276BC"/>
    <w:rsid w:val="00731E00"/>
    <w:rsid w:val="00731FFC"/>
    <w:rsid w:val="00733990"/>
    <w:rsid w:val="00746A7B"/>
    <w:rsid w:val="0075094A"/>
    <w:rsid w:val="00750CEC"/>
    <w:rsid w:val="00756296"/>
    <w:rsid w:val="00761E0D"/>
    <w:rsid w:val="00765CA3"/>
    <w:rsid w:val="00766393"/>
    <w:rsid w:val="007672AB"/>
    <w:rsid w:val="00770FAA"/>
    <w:rsid w:val="007715C9"/>
    <w:rsid w:val="00772DD5"/>
    <w:rsid w:val="00774EDD"/>
    <w:rsid w:val="00775263"/>
    <w:rsid w:val="00775577"/>
    <w:rsid w:val="007757EC"/>
    <w:rsid w:val="00781665"/>
    <w:rsid w:val="0078406A"/>
    <w:rsid w:val="00784BB5"/>
    <w:rsid w:val="007921E0"/>
    <w:rsid w:val="00792C18"/>
    <w:rsid w:val="007A1831"/>
    <w:rsid w:val="007B0EDE"/>
    <w:rsid w:val="007C01A7"/>
    <w:rsid w:val="007D0EC3"/>
    <w:rsid w:val="007E0E9F"/>
    <w:rsid w:val="007E1BFD"/>
    <w:rsid w:val="007F40AF"/>
    <w:rsid w:val="008006B2"/>
    <w:rsid w:val="00804685"/>
    <w:rsid w:val="008276C8"/>
    <w:rsid w:val="00827C49"/>
    <w:rsid w:val="008318FD"/>
    <w:rsid w:val="008436B5"/>
    <w:rsid w:val="00856A31"/>
    <w:rsid w:val="00857623"/>
    <w:rsid w:val="00874511"/>
    <w:rsid w:val="0087460D"/>
    <w:rsid w:val="008754D0"/>
    <w:rsid w:val="00880EAC"/>
    <w:rsid w:val="00893A33"/>
    <w:rsid w:val="00893ACE"/>
    <w:rsid w:val="008A59EF"/>
    <w:rsid w:val="008A77CB"/>
    <w:rsid w:val="008B30F4"/>
    <w:rsid w:val="008B4058"/>
    <w:rsid w:val="008B759A"/>
    <w:rsid w:val="008C0984"/>
    <w:rsid w:val="008C6FDD"/>
    <w:rsid w:val="008D6E8D"/>
    <w:rsid w:val="008E17F3"/>
    <w:rsid w:val="008E1E43"/>
    <w:rsid w:val="008E3B8C"/>
    <w:rsid w:val="008E4F16"/>
    <w:rsid w:val="008E6565"/>
    <w:rsid w:val="008F09F2"/>
    <w:rsid w:val="008F0FC0"/>
    <w:rsid w:val="008F611F"/>
    <w:rsid w:val="00904164"/>
    <w:rsid w:val="009053A1"/>
    <w:rsid w:val="009104FF"/>
    <w:rsid w:val="00910501"/>
    <w:rsid w:val="0091127A"/>
    <w:rsid w:val="009236FF"/>
    <w:rsid w:val="009318C6"/>
    <w:rsid w:val="0094622F"/>
    <w:rsid w:val="00947E47"/>
    <w:rsid w:val="00947E75"/>
    <w:rsid w:val="009518A4"/>
    <w:rsid w:val="009608E8"/>
    <w:rsid w:val="00962116"/>
    <w:rsid w:val="00971010"/>
    <w:rsid w:val="00982C79"/>
    <w:rsid w:val="0098638B"/>
    <w:rsid w:val="00987577"/>
    <w:rsid w:val="009921C9"/>
    <w:rsid w:val="0099271F"/>
    <w:rsid w:val="009934F6"/>
    <w:rsid w:val="009A2145"/>
    <w:rsid w:val="009A4EE8"/>
    <w:rsid w:val="009A5973"/>
    <w:rsid w:val="009A71E7"/>
    <w:rsid w:val="009B19AD"/>
    <w:rsid w:val="009B3208"/>
    <w:rsid w:val="009B5143"/>
    <w:rsid w:val="009B53CF"/>
    <w:rsid w:val="009E37A4"/>
    <w:rsid w:val="009F04BF"/>
    <w:rsid w:val="009F26E8"/>
    <w:rsid w:val="00A028BC"/>
    <w:rsid w:val="00A07EB6"/>
    <w:rsid w:val="00A1226A"/>
    <w:rsid w:val="00A16CA2"/>
    <w:rsid w:val="00A207A8"/>
    <w:rsid w:val="00A231E2"/>
    <w:rsid w:val="00A305CF"/>
    <w:rsid w:val="00A31D53"/>
    <w:rsid w:val="00A339BB"/>
    <w:rsid w:val="00A46C9A"/>
    <w:rsid w:val="00A54FB8"/>
    <w:rsid w:val="00A64912"/>
    <w:rsid w:val="00A64EFE"/>
    <w:rsid w:val="00A70A74"/>
    <w:rsid w:val="00A82C77"/>
    <w:rsid w:val="00A84531"/>
    <w:rsid w:val="00A903CC"/>
    <w:rsid w:val="00A91876"/>
    <w:rsid w:val="00A91B5C"/>
    <w:rsid w:val="00A94D4B"/>
    <w:rsid w:val="00AB0481"/>
    <w:rsid w:val="00AB5E6F"/>
    <w:rsid w:val="00AC07B0"/>
    <w:rsid w:val="00AC4D9C"/>
    <w:rsid w:val="00AC5587"/>
    <w:rsid w:val="00AD2B46"/>
    <w:rsid w:val="00AD3B9B"/>
    <w:rsid w:val="00AD5641"/>
    <w:rsid w:val="00AF14A0"/>
    <w:rsid w:val="00B019EC"/>
    <w:rsid w:val="00B11401"/>
    <w:rsid w:val="00B1391E"/>
    <w:rsid w:val="00B24021"/>
    <w:rsid w:val="00B27BB8"/>
    <w:rsid w:val="00B31F84"/>
    <w:rsid w:val="00B3226C"/>
    <w:rsid w:val="00B335BF"/>
    <w:rsid w:val="00B339E2"/>
    <w:rsid w:val="00B33B3C"/>
    <w:rsid w:val="00B40D50"/>
    <w:rsid w:val="00B45D66"/>
    <w:rsid w:val="00B530DA"/>
    <w:rsid w:val="00B71E55"/>
    <w:rsid w:val="00B72244"/>
    <w:rsid w:val="00B90D27"/>
    <w:rsid w:val="00B9522D"/>
    <w:rsid w:val="00BA111D"/>
    <w:rsid w:val="00BB2487"/>
    <w:rsid w:val="00BC332C"/>
    <w:rsid w:val="00BC4779"/>
    <w:rsid w:val="00BD69F5"/>
    <w:rsid w:val="00BE3717"/>
    <w:rsid w:val="00BE719A"/>
    <w:rsid w:val="00BE720A"/>
    <w:rsid w:val="00BF14A6"/>
    <w:rsid w:val="00BF409D"/>
    <w:rsid w:val="00BF6E78"/>
    <w:rsid w:val="00C019D0"/>
    <w:rsid w:val="00C02426"/>
    <w:rsid w:val="00C07A7B"/>
    <w:rsid w:val="00C155FF"/>
    <w:rsid w:val="00C165D0"/>
    <w:rsid w:val="00C306F0"/>
    <w:rsid w:val="00C37401"/>
    <w:rsid w:val="00C403B5"/>
    <w:rsid w:val="00C42BF8"/>
    <w:rsid w:val="00C46E05"/>
    <w:rsid w:val="00C50043"/>
    <w:rsid w:val="00C51D01"/>
    <w:rsid w:val="00C52FD5"/>
    <w:rsid w:val="00C544DF"/>
    <w:rsid w:val="00C60298"/>
    <w:rsid w:val="00C60C52"/>
    <w:rsid w:val="00C61CDD"/>
    <w:rsid w:val="00C64D92"/>
    <w:rsid w:val="00C67852"/>
    <w:rsid w:val="00C74359"/>
    <w:rsid w:val="00C7573B"/>
    <w:rsid w:val="00C76EC6"/>
    <w:rsid w:val="00C77BF8"/>
    <w:rsid w:val="00C80D6E"/>
    <w:rsid w:val="00C83868"/>
    <w:rsid w:val="00C865F9"/>
    <w:rsid w:val="00C9376F"/>
    <w:rsid w:val="00CA1FCF"/>
    <w:rsid w:val="00CB3D6B"/>
    <w:rsid w:val="00CB48D8"/>
    <w:rsid w:val="00CB5DB4"/>
    <w:rsid w:val="00CB6B57"/>
    <w:rsid w:val="00CD0200"/>
    <w:rsid w:val="00CD0854"/>
    <w:rsid w:val="00CD2BED"/>
    <w:rsid w:val="00CF0BB2"/>
    <w:rsid w:val="00CF51C9"/>
    <w:rsid w:val="00CF7620"/>
    <w:rsid w:val="00D039C5"/>
    <w:rsid w:val="00D13441"/>
    <w:rsid w:val="00D138A1"/>
    <w:rsid w:val="00D14EEC"/>
    <w:rsid w:val="00D24A96"/>
    <w:rsid w:val="00D25686"/>
    <w:rsid w:val="00D508D1"/>
    <w:rsid w:val="00D51D44"/>
    <w:rsid w:val="00D56161"/>
    <w:rsid w:val="00D64A61"/>
    <w:rsid w:val="00D678F8"/>
    <w:rsid w:val="00D70DFB"/>
    <w:rsid w:val="00D74BE7"/>
    <w:rsid w:val="00D766AF"/>
    <w:rsid w:val="00D766DF"/>
    <w:rsid w:val="00D866F9"/>
    <w:rsid w:val="00D8783B"/>
    <w:rsid w:val="00D95400"/>
    <w:rsid w:val="00D95807"/>
    <w:rsid w:val="00DB1E7E"/>
    <w:rsid w:val="00DB3CFE"/>
    <w:rsid w:val="00DB6E60"/>
    <w:rsid w:val="00DC6816"/>
    <w:rsid w:val="00DC7B41"/>
    <w:rsid w:val="00DD2FDE"/>
    <w:rsid w:val="00DD6869"/>
    <w:rsid w:val="00DE5F7F"/>
    <w:rsid w:val="00DE7073"/>
    <w:rsid w:val="00DF1CF5"/>
    <w:rsid w:val="00DF56FF"/>
    <w:rsid w:val="00DF6D7F"/>
    <w:rsid w:val="00E051E5"/>
    <w:rsid w:val="00E115AB"/>
    <w:rsid w:val="00E20CDD"/>
    <w:rsid w:val="00E24F5C"/>
    <w:rsid w:val="00E30E8E"/>
    <w:rsid w:val="00E31069"/>
    <w:rsid w:val="00E40423"/>
    <w:rsid w:val="00E44955"/>
    <w:rsid w:val="00E60242"/>
    <w:rsid w:val="00E71C9C"/>
    <w:rsid w:val="00E73C96"/>
    <w:rsid w:val="00E74DC7"/>
    <w:rsid w:val="00E75DEC"/>
    <w:rsid w:val="00E76A98"/>
    <w:rsid w:val="00E961DA"/>
    <w:rsid w:val="00E968DE"/>
    <w:rsid w:val="00ED0C49"/>
    <w:rsid w:val="00EE0816"/>
    <w:rsid w:val="00EE0FED"/>
    <w:rsid w:val="00EF2E3A"/>
    <w:rsid w:val="00F01619"/>
    <w:rsid w:val="00F04811"/>
    <w:rsid w:val="00F05B89"/>
    <w:rsid w:val="00F078DC"/>
    <w:rsid w:val="00F12337"/>
    <w:rsid w:val="00F135D8"/>
    <w:rsid w:val="00F15840"/>
    <w:rsid w:val="00F23E5F"/>
    <w:rsid w:val="00F37B0B"/>
    <w:rsid w:val="00F51269"/>
    <w:rsid w:val="00F54735"/>
    <w:rsid w:val="00F55BD3"/>
    <w:rsid w:val="00F668A8"/>
    <w:rsid w:val="00F72BDB"/>
    <w:rsid w:val="00F77017"/>
    <w:rsid w:val="00F77C5A"/>
    <w:rsid w:val="00F803B5"/>
    <w:rsid w:val="00F85C9A"/>
    <w:rsid w:val="00F93664"/>
    <w:rsid w:val="00FA25AC"/>
    <w:rsid w:val="00FA5804"/>
    <w:rsid w:val="00FA76BF"/>
    <w:rsid w:val="00FB0507"/>
    <w:rsid w:val="00FB13B4"/>
    <w:rsid w:val="00FB4546"/>
    <w:rsid w:val="00FC03ED"/>
    <w:rsid w:val="00FC76AD"/>
    <w:rsid w:val="00FD5591"/>
    <w:rsid w:val="00FE3E0A"/>
    <w:rsid w:val="00FE495E"/>
    <w:rsid w:val="00FF18A8"/>
    <w:rsid w:val="00FF596B"/>
    <w:rsid w:val="1C3C50AC"/>
    <w:rsid w:val="64CF5D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9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21FF"/>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82C77"/>
    <w:pPr>
      <w:spacing w:before="120" w:line="240" w:lineRule="auto"/>
    </w:pPr>
    <w:rPr>
      <w:b/>
      <w:sz w:val="24"/>
    </w:rPr>
  </w:style>
  <w:style w:type="paragraph" w:styleId="TOC2">
    <w:name w:val="toc 2"/>
    <w:basedOn w:val="OPCParaBase"/>
    <w:next w:val="Normal"/>
    <w:uiPriority w:val="39"/>
    <w:unhideWhenUsed/>
    <w:rsid w:val="00A82C77"/>
    <w:pPr>
      <w:tabs>
        <w:tab w:val="right" w:leader="dot" w:pos="9017"/>
      </w:tabs>
      <w:spacing w:before="120" w:line="240" w:lineRule="auto"/>
      <w:ind w:left="238"/>
    </w:pPr>
    <w:rPr>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CompiledMadeUnder">
    <w:name w:val="LI - 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LI-Endnotetext">
    <w:name w:val="LI - Endnote text"/>
    <w:basedOn w:val="OPCParaBase"/>
    <w:next w:val="LI-CompiledMadeUnder"/>
    <w:rsid w:val="00A07EB6"/>
    <w:pPr>
      <w:spacing w:before="220"/>
    </w:pPr>
    <w:rPr>
      <w:szCs w:val="24"/>
    </w:rPr>
  </w:style>
  <w:style w:type="character" w:customStyle="1" w:styleId="subsectionChar">
    <w:name w:val="subsection Char"/>
    <w:aliases w:val="ss Char"/>
    <w:basedOn w:val="DefaultParagraphFont"/>
    <w:link w:val="subsection"/>
    <w:locked/>
    <w:rsid w:val="00AF14A0"/>
    <w:rPr>
      <w:rFonts w:eastAsia="Times New Roman" w:cs="Times New Roman"/>
      <w:sz w:val="22"/>
      <w:lang w:eastAsia="en-AU"/>
    </w:rPr>
  </w:style>
  <w:style w:type="paragraph" w:customStyle="1" w:styleId="SOText">
    <w:name w:val="SO Text"/>
    <w:aliases w:val="sot"/>
    <w:link w:val="SOTextChar"/>
    <w:rsid w:val="00AF14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F14A0"/>
    <w:rPr>
      <w:sz w:val="22"/>
    </w:rPr>
  </w:style>
  <w:style w:type="character" w:customStyle="1" w:styleId="paragraphChar">
    <w:name w:val="paragraph Char"/>
    <w:aliases w:val="a Char"/>
    <w:basedOn w:val="DefaultParagraphFont"/>
    <w:link w:val="paragraph"/>
    <w:rsid w:val="00AF14A0"/>
    <w:rPr>
      <w:rFonts w:eastAsia="Times New Roman" w:cs="Times New Roman"/>
      <w:sz w:val="22"/>
      <w:lang w:eastAsia="en-AU"/>
    </w:rPr>
  </w:style>
  <w:style w:type="character" w:customStyle="1" w:styleId="notetextChar">
    <w:name w:val="note(text) Char"/>
    <w:aliases w:val="n Char"/>
    <w:basedOn w:val="DefaultParagraphFont"/>
    <w:link w:val="notetext"/>
    <w:rsid w:val="00AF14A0"/>
    <w:rPr>
      <w:rFonts w:eastAsia="Times New Roman" w:cs="Times New Roman"/>
      <w:sz w:val="18"/>
      <w:lang w:eastAsia="en-AU"/>
    </w:rPr>
  </w:style>
  <w:style w:type="character" w:customStyle="1" w:styleId="ActHead5Char">
    <w:name w:val="ActHead 5 Char"/>
    <w:aliases w:val="s Char"/>
    <w:basedOn w:val="DefaultParagraphFont"/>
    <w:link w:val="ActHead5"/>
    <w:rsid w:val="00AF14A0"/>
    <w:rPr>
      <w:rFonts w:eastAsia="Times New Roman" w:cs="Times New Roman"/>
      <w:b/>
      <w:kern w:val="28"/>
      <w:sz w:val="24"/>
      <w:lang w:eastAsia="en-AU"/>
    </w:rPr>
  </w:style>
  <w:style w:type="character" w:styleId="Hyperlink">
    <w:name w:val="Hyperlink"/>
    <w:basedOn w:val="DefaultParagraphFont"/>
    <w:uiPriority w:val="99"/>
    <w:unhideWhenUsed/>
    <w:rsid w:val="008C6FDD"/>
    <w:rPr>
      <w:color w:val="0000FF"/>
      <w:u w:val="single"/>
    </w:rPr>
  </w:style>
  <w:style w:type="paragraph" w:customStyle="1" w:styleId="LI-Heading1">
    <w:name w:val="LI - Heading 1"/>
    <w:basedOn w:val="OPCParaBase"/>
    <w:next w:val="ActHead3"/>
    <w:qFormat/>
    <w:rsid w:val="00F15840"/>
    <w:pPr>
      <w:keepNext/>
      <w:keepLines/>
      <w:pageBreakBefore/>
      <w:spacing w:before="280" w:line="240" w:lineRule="auto"/>
      <w:ind w:left="1134" w:hanging="1134"/>
      <w:outlineLvl w:val="0"/>
    </w:pPr>
    <w:rPr>
      <w:b/>
      <w:kern w:val="28"/>
      <w:sz w:val="32"/>
    </w:rPr>
  </w:style>
  <w:style w:type="paragraph" w:customStyle="1" w:styleId="LI-Heading2">
    <w:name w:val="LI - Heading 2"/>
    <w:basedOn w:val="OPCParaBase"/>
    <w:next w:val="Normal"/>
    <w:qFormat/>
    <w:rsid w:val="002E0D2E"/>
    <w:pPr>
      <w:keepNext/>
      <w:keepLines/>
      <w:spacing w:before="360" w:after="60" w:line="240" w:lineRule="auto"/>
      <w:ind w:left="567" w:hanging="567"/>
      <w:outlineLvl w:val="1"/>
    </w:pPr>
    <w:rPr>
      <w:b/>
      <w:kern w:val="28"/>
      <w:sz w:val="24"/>
    </w:rPr>
  </w:style>
  <w:style w:type="paragraph" w:customStyle="1" w:styleId="LI-BodyTextParaa">
    <w:name w:val="LI - Body Text Para (a)"/>
    <w:basedOn w:val="OPCParaBase"/>
    <w:link w:val="LI-BodyTextParaaChar"/>
    <w:rsid w:val="003E4922"/>
    <w:pPr>
      <w:spacing w:before="240" w:line="240" w:lineRule="auto"/>
      <w:ind w:left="1701" w:hanging="567"/>
    </w:pPr>
    <w:rPr>
      <w:sz w:val="24"/>
      <w:szCs w:val="24"/>
    </w:rPr>
  </w:style>
  <w:style w:type="paragraph" w:customStyle="1" w:styleId="LI-Heading3">
    <w:name w:val="LI - Heading 3"/>
    <w:basedOn w:val="OPCParaBase"/>
    <w:next w:val="Normal"/>
    <w:rsid w:val="003E4922"/>
    <w:pPr>
      <w:keepNext/>
      <w:keepLines/>
      <w:spacing w:before="240" w:line="240" w:lineRule="auto"/>
      <w:ind w:left="567"/>
      <w:outlineLvl w:val="2"/>
    </w:pPr>
    <w:rPr>
      <w:i/>
    </w:rPr>
  </w:style>
  <w:style w:type="paragraph" w:customStyle="1" w:styleId="LI-BodyTextNote">
    <w:name w:val="LI - Body Text Note"/>
    <w:basedOn w:val="OPCParaBase"/>
    <w:link w:val="LI-BodyTextNoteChar"/>
    <w:rsid w:val="003E4922"/>
    <w:pPr>
      <w:spacing w:before="200" w:line="240" w:lineRule="auto"/>
      <w:ind w:left="1701" w:hanging="567"/>
    </w:pPr>
    <w:rPr>
      <w:sz w:val="18"/>
    </w:rPr>
  </w:style>
  <w:style w:type="paragraph" w:customStyle="1" w:styleId="LI-BodyTextSubparai">
    <w:name w:val="LI - Body Text Subpara (i)"/>
    <w:basedOn w:val="LI-BodyTextParaa"/>
    <w:link w:val="LI-BodyTextSubparaiChar"/>
    <w:qFormat/>
    <w:rsid w:val="003E4922"/>
    <w:pPr>
      <w:ind w:left="2268"/>
    </w:pPr>
  </w:style>
  <w:style w:type="paragraph" w:customStyle="1" w:styleId="LI-BodyTextSubsubparaA">
    <w:name w:val="LI - Body Text Subsubpara (A)"/>
    <w:basedOn w:val="LI-BodyTextParaa"/>
    <w:link w:val="LI-BodyTextSubsubparaAChar"/>
    <w:qFormat/>
    <w:rsid w:val="003E4922"/>
    <w:pPr>
      <w:ind w:left="2835"/>
    </w:pPr>
  </w:style>
  <w:style w:type="character" w:customStyle="1" w:styleId="LI-BodyTextParaaChar">
    <w:name w:val="LI - Body Text Para (a) Char"/>
    <w:link w:val="LI-BodyTextParaa"/>
    <w:rsid w:val="003E4922"/>
    <w:rPr>
      <w:rFonts w:eastAsia="Times New Roman" w:cs="Times New Roman"/>
      <w:sz w:val="24"/>
      <w:szCs w:val="24"/>
      <w:lang w:eastAsia="en-AU"/>
    </w:rPr>
  </w:style>
  <w:style w:type="character" w:customStyle="1" w:styleId="LI-BodyTextSubparaiChar">
    <w:name w:val="LI - Body Text Subpara (i) Char"/>
    <w:basedOn w:val="LI-BodyTextParaaChar"/>
    <w:link w:val="LI-BodyTextSubparai"/>
    <w:rsid w:val="003E4922"/>
    <w:rPr>
      <w:rFonts w:eastAsia="Times New Roman" w:cs="Times New Roman"/>
      <w:sz w:val="24"/>
      <w:szCs w:val="24"/>
      <w:lang w:eastAsia="en-AU"/>
    </w:rPr>
  </w:style>
  <w:style w:type="paragraph" w:customStyle="1" w:styleId="LI-BodyTextNumbered">
    <w:name w:val="LI - Body Text Numbered"/>
    <w:basedOn w:val="Normal"/>
    <w:link w:val="LI-BodyTextNumberedChar"/>
    <w:qFormat/>
    <w:rsid w:val="003E4922"/>
    <w:pPr>
      <w:spacing w:before="240" w:line="240" w:lineRule="auto"/>
      <w:ind w:left="1134" w:hanging="567"/>
    </w:pPr>
    <w:rPr>
      <w:rFonts w:eastAsia="Times New Roman" w:cs="Times New Roman"/>
      <w:sz w:val="24"/>
      <w:szCs w:val="24"/>
      <w:lang w:eastAsia="en-AU"/>
    </w:rPr>
  </w:style>
  <w:style w:type="character" w:customStyle="1" w:styleId="LI-BodyTextSubsubparaAChar">
    <w:name w:val="LI - Body Text Subsubpara (A) Char"/>
    <w:basedOn w:val="LI-BodyTextParaaChar"/>
    <w:link w:val="LI-BodyTextSubsubparaA"/>
    <w:rsid w:val="003E4922"/>
    <w:rPr>
      <w:rFonts w:eastAsia="Times New Roman" w:cs="Times New Roman"/>
      <w:sz w:val="24"/>
      <w:szCs w:val="24"/>
      <w:lang w:eastAsia="en-AU"/>
    </w:rPr>
  </w:style>
  <w:style w:type="character" w:customStyle="1" w:styleId="LI-BodyTextNumberedChar">
    <w:name w:val="LI - Body Text Numbered Char"/>
    <w:link w:val="LI-BodyTextNumbered"/>
    <w:rsid w:val="003E4922"/>
    <w:rPr>
      <w:rFonts w:eastAsia="Times New Roman" w:cs="Times New Roman"/>
      <w:sz w:val="24"/>
      <w:szCs w:val="24"/>
      <w:lang w:eastAsia="en-AU"/>
    </w:rPr>
  </w:style>
  <w:style w:type="character" w:customStyle="1" w:styleId="LI-BodyTextNoteChar">
    <w:name w:val="LI - Body Text Note Char"/>
    <w:link w:val="LI-BodyTextNote"/>
    <w:rsid w:val="003E4922"/>
    <w:rPr>
      <w:rFonts w:eastAsia="Times New Roman" w:cs="Times New Roman"/>
      <w:sz w:val="18"/>
      <w:lang w:eastAsia="en-AU"/>
    </w:rPr>
  </w:style>
  <w:style w:type="paragraph" w:customStyle="1" w:styleId="LI-Header">
    <w:name w:val="LI - Header"/>
    <w:basedOn w:val="Normal"/>
    <w:link w:val="LI-HeaderChar"/>
    <w:qFormat/>
    <w:rsid w:val="003E4922"/>
    <w:pPr>
      <w:pBdr>
        <w:bottom w:val="single" w:sz="4" w:space="1" w:color="auto"/>
      </w:pBdr>
      <w:tabs>
        <w:tab w:val="right" w:pos="8313"/>
      </w:tabs>
      <w:spacing w:before="120" w:line="0" w:lineRule="atLeast"/>
      <w:jc w:val="right"/>
    </w:pPr>
    <w:rPr>
      <w:rFonts w:eastAsia="Calibri" w:cs="Times New Roman"/>
      <w:i/>
      <w:sz w:val="18"/>
    </w:rPr>
  </w:style>
  <w:style w:type="character" w:customStyle="1" w:styleId="LI-HeaderChar">
    <w:name w:val="LI - Header Char"/>
    <w:basedOn w:val="DefaultParagraphFont"/>
    <w:link w:val="LI-Header"/>
    <w:rsid w:val="003E4922"/>
    <w:rPr>
      <w:rFonts w:eastAsia="Calibri" w:cs="Times New Roman"/>
      <w:i/>
      <w:sz w:val="18"/>
    </w:rPr>
  </w:style>
  <w:style w:type="paragraph" w:customStyle="1" w:styleId="LI-SectionHeading">
    <w:name w:val="LI - Section Heading"/>
    <w:basedOn w:val="Normal"/>
    <w:link w:val="LI-SectionHeadingChar"/>
    <w:qFormat/>
    <w:rsid w:val="003E4922"/>
    <w:pPr>
      <w:spacing w:before="240" w:line="240" w:lineRule="auto"/>
      <w:ind w:left="2268" w:hanging="567"/>
    </w:pPr>
    <w:rPr>
      <w:rFonts w:eastAsia="Times New Roman" w:cs="Times New Roman"/>
      <w:b/>
      <w:sz w:val="24"/>
      <w:szCs w:val="24"/>
      <w:lang w:eastAsia="en-AU"/>
    </w:rPr>
  </w:style>
  <w:style w:type="paragraph" w:customStyle="1" w:styleId="LI-SectionSubsectionText">
    <w:name w:val="LI - Section Subsection Text"/>
    <w:basedOn w:val="Normal"/>
    <w:link w:val="LI-SectionSubsectionTextChar"/>
    <w:qFormat/>
    <w:rsid w:val="003E4922"/>
    <w:pPr>
      <w:spacing w:before="240" w:line="240" w:lineRule="auto"/>
      <w:ind w:left="2268" w:hanging="567"/>
    </w:pPr>
    <w:rPr>
      <w:rFonts w:eastAsia="Times New Roman" w:cs="Times New Roman"/>
      <w:sz w:val="24"/>
      <w:szCs w:val="24"/>
      <w:lang w:eastAsia="en-AU"/>
    </w:rPr>
  </w:style>
  <w:style w:type="character" w:customStyle="1" w:styleId="LI-SectionHeadingChar">
    <w:name w:val="LI - Section Heading Char"/>
    <w:link w:val="LI-SectionHeading"/>
    <w:rsid w:val="003E4922"/>
    <w:rPr>
      <w:rFonts w:eastAsia="Times New Roman" w:cs="Times New Roman"/>
      <w:b/>
      <w:sz w:val="24"/>
      <w:szCs w:val="24"/>
      <w:lang w:eastAsia="en-AU"/>
    </w:rPr>
  </w:style>
  <w:style w:type="paragraph" w:customStyle="1" w:styleId="LI-SectionNote">
    <w:name w:val="LI - Section Note"/>
    <w:basedOn w:val="LI-BodyTextNote"/>
    <w:link w:val="LI-SectionNoteChar"/>
    <w:qFormat/>
    <w:rsid w:val="003E4922"/>
    <w:pPr>
      <w:spacing w:before="240"/>
      <w:ind w:left="2835"/>
    </w:pPr>
  </w:style>
  <w:style w:type="character" w:customStyle="1" w:styleId="LI-SectionSubsectionTextChar">
    <w:name w:val="LI - Section Subsection Text Char"/>
    <w:link w:val="LI-SectionSubsectionText"/>
    <w:rsid w:val="003E4922"/>
    <w:rPr>
      <w:rFonts w:eastAsia="Times New Roman" w:cs="Times New Roman"/>
      <w:sz w:val="24"/>
      <w:szCs w:val="24"/>
      <w:lang w:eastAsia="en-AU"/>
    </w:rPr>
  </w:style>
  <w:style w:type="paragraph" w:customStyle="1" w:styleId="LI-Sectionparaa">
    <w:name w:val="LI - Section para (a)"/>
    <w:basedOn w:val="Normal"/>
    <w:link w:val="LI-SectionparaaChar"/>
    <w:qFormat/>
    <w:rsid w:val="003E4922"/>
    <w:pPr>
      <w:spacing w:before="240" w:line="240" w:lineRule="auto"/>
      <w:ind w:left="2835" w:hanging="567"/>
    </w:pPr>
    <w:rPr>
      <w:rFonts w:eastAsia="Times New Roman" w:cs="Times New Roman"/>
      <w:sz w:val="24"/>
      <w:szCs w:val="24"/>
      <w:lang w:eastAsia="en-AU"/>
    </w:rPr>
  </w:style>
  <w:style w:type="character" w:customStyle="1" w:styleId="LI-SectionNoteChar">
    <w:name w:val="LI - Section Note Char"/>
    <w:basedOn w:val="LI-BodyTextNoteChar"/>
    <w:link w:val="LI-SectionNote"/>
    <w:rsid w:val="003E4922"/>
    <w:rPr>
      <w:rFonts w:eastAsia="Times New Roman" w:cs="Times New Roman"/>
      <w:sz w:val="18"/>
      <w:lang w:eastAsia="en-AU"/>
    </w:rPr>
  </w:style>
  <w:style w:type="paragraph" w:customStyle="1" w:styleId="LI-Sectionsubparai">
    <w:name w:val="LI - Section subpara (i)"/>
    <w:basedOn w:val="Normal"/>
    <w:link w:val="LI-SectionsubparaiChar"/>
    <w:qFormat/>
    <w:rsid w:val="003E4922"/>
    <w:pPr>
      <w:spacing w:before="240" w:line="240" w:lineRule="auto"/>
      <w:ind w:left="3402" w:hanging="567"/>
    </w:pPr>
    <w:rPr>
      <w:rFonts w:eastAsia="Times New Roman" w:cs="Times New Roman"/>
      <w:sz w:val="24"/>
      <w:szCs w:val="24"/>
      <w:lang w:eastAsia="en-AU"/>
    </w:rPr>
  </w:style>
  <w:style w:type="character" w:customStyle="1" w:styleId="LI-SectionparaaChar">
    <w:name w:val="LI - Section para (a) Char"/>
    <w:link w:val="LI-Sectionparaa"/>
    <w:rsid w:val="003E4922"/>
    <w:rPr>
      <w:rFonts w:eastAsia="Times New Roman" w:cs="Times New Roman"/>
      <w:sz w:val="24"/>
      <w:szCs w:val="24"/>
      <w:lang w:eastAsia="en-AU"/>
    </w:rPr>
  </w:style>
  <w:style w:type="paragraph" w:customStyle="1" w:styleId="LI-SectionsubsubparaA">
    <w:name w:val="LI - Section subsubpara (A)"/>
    <w:basedOn w:val="Normal"/>
    <w:link w:val="LI-SectionsubsubparaAChar"/>
    <w:qFormat/>
    <w:rsid w:val="003E4922"/>
    <w:pPr>
      <w:spacing w:before="240" w:line="240" w:lineRule="auto"/>
      <w:ind w:left="3969" w:hanging="567"/>
    </w:pPr>
    <w:rPr>
      <w:rFonts w:eastAsia="Times New Roman" w:cs="Times New Roman"/>
      <w:sz w:val="24"/>
      <w:szCs w:val="24"/>
      <w:lang w:eastAsia="en-AU"/>
    </w:rPr>
  </w:style>
  <w:style w:type="character" w:customStyle="1" w:styleId="LI-SectionsubparaiChar">
    <w:name w:val="LI - Section subpara (i) Char"/>
    <w:link w:val="LI-Sectionsubparai"/>
    <w:rsid w:val="003E4922"/>
    <w:rPr>
      <w:rFonts w:eastAsia="Times New Roman" w:cs="Times New Roman"/>
      <w:sz w:val="24"/>
      <w:szCs w:val="24"/>
      <w:lang w:eastAsia="en-AU"/>
    </w:rPr>
  </w:style>
  <w:style w:type="character" w:customStyle="1" w:styleId="LI-SectionsubsubparaAChar">
    <w:name w:val="LI - Section subsubpara (A) Char"/>
    <w:link w:val="LI-SectionsubsubparaA"/>
    <w:rsid w:val="003E4922"/>
    <w:rPr>
      <w:rFonts w:eastAsia="Times New Roman" w:cs="Times New Roman"/>
      <w:sz w:val="24"/>
      <w:szCs w:val="24"/>
      <w:lang w:eastAsia="en-AU"/>
    </w:rPr>
  </w:style>
  <w:style w:type="paragraph" w:customStyle="1" w:styleId="LI-BodyTextUnnumbered">
    <w:name w:val="LI - Body Text Unnumbered"/>
    <w:basedOn w:val="OPCParaBase"/>
    <w:link w:val="LI-BodyTextUnnumberedChar"/>
    <w:rsid w:val="007C01A7"/>
    <w:pPr>
      <w:spacing w:before="240" w:line="240" w:lineRule="auto"/>
      <w:ind w:left="1134"/>
    </w:pPr>
    <w:rPr>
      <w:sz w:val="24"/>
    </w:rPr>
  </w:style>
  <w:style w:type="character" w:customStyle="1" w:styleId="LI-BodyTextUnnumberedChar">
    <w:name w:val="LI - Body Text Unnumbered Char"/>
    <w:link w:val="LI-BodyTextUnnumbered"/>
    <w:rsid w:val="007C01A7"/>
    <w:rPr>
      <w:rFonts w:eastAsia="Times New Roman" w:cs="Times New Roman"/>
      <w:sz w:val="24"/>
      <w:lang w:eastAsia="en-AU"/>
    </w:rPr>
  </w:style>
  <w:style w:type="paragraph" w:customStyle="1" w:styleId="LI-Title">
    <w:name w:val="LI - Title"/>
    <w:basedOn w:val="OPCParaBase"/>
    <w:next w:val="Normal"/>
    <w:qFormat/>
    <w:rsid w:val="008436B5"/>
    <w:pPr>
      <w:pBdr>
        <w:top w:val="single" w:sz="4" w:space="1" w:color="auto"/>
      </w:pBdr>
      <w:spacing w:line="240" w:lineRule="auto"/>
    </w:pPr>
    <w:rPr>
      <w:b/>
      <w:sz w:val="40"/>
    </w:rPr>
  </w:style>
  <w:style w:type="paragraph" w:customStyle="1" w:styleId="LI-Fronttext">
    <w:name w:val="LI - Front text"/>
    <w:basedOn w:val="OPCParaBase"/>
    <w:next w:val="Normal"/>
    <w:rsid w:val="002E0D2E"/>
    <w:pPr>
      <w:spacing w:after="200"/>
      <w:ind w:right="397"/>
    </w:pPr>
    <w:rPr>
      <w:sz w:val="24"/>
      <w:szCs w:val="24"/>
    </w:rPr>
  </w:style>
  <w:style w:type="paragraph" w:customStyle="1" w:styleId="LI-Footer">
    <w:name w:val="LI - Footer"/>
    <w:basedOn w:val="Normal"/>
    <w:link w:val="LI-FooterChar"/>
    <w:qFormat/>
    <w:rsid w:val="007A1831"/>
    <w:pPr>
      <w:pBdr>
        <w:top w:val="single" w:sz="6" w:space="1" w:color="auto"/>
      </w:pBdr>
      <w:tabs>
        <w:tab w:val="right" w:pos="8313"/>
      </w:tabs>
      <w:spacing w:before="120" w:line="0" w:lineRule="atLeast"/>
    </w:pPr>
    <w:rPr>
      <w:rFonts w:eastAsia="Calibri" w:cs="Times New Roman"/>
      <w:i/>
      <w:sz w:val="18"/>
    </w:rPr>
  </w:style>
  <w:style w:type="character" w:customStyle="1" w:styleId="LI-FooterChar">
    <w:name w:val="LI - Footer Char"/>
    <w:link w:val="LI-Footer"/>
    <w:rsid w:val="007A1831"/>
    <w:rPr>
      <w:rFonts w:eastAsia="Calibri" w:cs="Times New Roman"/>
      <w:i/>
      <w:sz w:val="18"/>
    </w:rPr>
  </w:style>
  <w:style w:type="paragraph" w:customStyle="1" w:styleId="LI-Contentsheading">
    <w:name w:val="LI - Contents heading"/>
    <w:basedOn w:val="LI-Fronttext"/>
    <w:rsid w:val="009F26E8"/>
    <w:pPr>
      <w:pageBreakBefore/>
    </w:pPr>
    <w:rPr>
      <w:b/>
      <w:bCs/>
      <w:sz w:val="32"/>
      <w:szCs w:val="32"/>
    </w:rPr>
  </w:style>
  <w:style w:type="paragraph" w:customStyle="1" w:styleId="LI-Fronttextheading1">
    <w:name w:val="LI - Front text heading 1"/>
    <w:basedOn w:val="LI-Heading1"/>
    <w:rsid w:val="008B4058"/>
  </w:style>
  <w:style w:type="paragraph" w:customStyle="1" w:styleId="LI-Fronttextheading2">
    <w:name w:val="LI - Front text heading 2"/>
    <w:basedOn w:val="LI-Heading2"/>
    <w:rsid w:val="008B4058"/>
  </w:style>
  <w:style w:type="paragraph" w:customStyle="1" w:styleId="LI-Tabletext">
    <w:name w:val="LI - Table text"/>
    <w:basedOn w:val="Normal"/>
    <w:rsid w:val="00781665"/>
    <w:pPr>
      <w:spacing w:before="60"/>
      <w:ind w:left="34"/>
    </w:pPr>
    <w:rPr>
      <w:sz w:val="16"/>
      <w:szCs w:val="16"/>
    </w:rPr>
  </w:style>
  <w:style w:type="paragraph" w:customStyle="1" w:styleId="LI-Tableheadingrow">
    <w:name w:val="LI - Table heading row"/>
    <w:basedOn w:val="ENoteTableHeading"/>
    <w:rsid w:val="00F668A8"/>
    <w:p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3675">
      <w:bodyDiv w:val="1"/>
      <w:marLeft w:val="0"/>
      <w:marRight w:val="0"/>
      <w:marTop w:val="0"/>
      <w:marBottom w:val="0"/>
      <w:divBdr>
        <w:top w:val="none" w:sz="0" w:space="0" w:color="auto"/>
        <w:left w:val="none" w:sz="0" w:space="0" w:color="auto"/>
        <w:bottom w:val="none" w:sz="0" w:space="0" w:color="auto"/>
        <w:right w:val="none" w:sz="0" w:space="0" w:color="auto"/>
      </w:divBdr>
    </w:div>
    <w:div w:id="810513222">
      <w:bodyDiv w:val="1"/>
      <w:marLeft w:val="0"/>
      <w:marRight w:val="0"/>
      <w:marTop w:val="0"/>
      <w:marBottom w:val="0"/>
      <w:divBdr>
        <w:top w:val="none" w:sz="0" w:space="0" w:color="auto"/>
        <w:left w:val="none" w:sz="0" w:space="0" w:color="auto"/>
        <w:bottom w:val="none" w:sz="0" w:space="0" w:color="auto"/>
        <w:right w:val="none" w:sz="0" w:space="0" w:color="auto"/>
      </w:divBdr>
    </w:div>
    <w:div w:id="21300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10\Templates\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6977DBA71855364C80503752860FCC46" ma:contentTypeVersion="25" ma:contentTypeDescription="Create a new document." ma:contentTypeScope="" ma:versionID="6dbc05e1df61faaaa99c592930c2c591">
  <xsd:schema xmlns:xsd="http://www.w3.org/2001/XMLSchema" xmlns:xs="http://www.w3.org/2001/XMLSchema" xmlns:p="http://schemas.microsoft.com/office/2006/metadata/properties" xmlns:ns2="db2b92ca-6ed0-4085-802d-4c686a2e8c3f" xmlns:ns3="6d01ba57-bcb9-4c1f-9f73-80759da4b854" targetNamespace="http://schemas.microsoft.com/office/2006/metadata/properties" ma:root="true" ma:fieldsID="e16c524076ad0c65a69563821fb64933" ns2:_="" ns3:_="">
    <xsd:import namespace="db2b92ca-6ed0-4085-802d-4c686a2e8c3f"/>
    <xsd:import namespace="6d01ba57-bcb9-4c1f-9f73-80759da4b854"/>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5da22b1-9180-4a81-8ed3-1b22e6fc70b0}" ma:internalName="TaxCatchAll" ma:showField="CatchAllData"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5da22b1-9180-4a81-8ed3-1b22e6fc70b0}" ma:internalName="TaxCatchAllLabel" ma:readOnly="true" ma:showField="CatchAllDataLabel"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01ba57-bcb9-4c1f-9f73-80759da4b85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af302855-5de3-48f9-83c2-fc1acc0f760b" ContentTypeId="0x010100B5F685A1365F544391EF8C813B164F3A"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cffd3088-7a74-4edb-8c9e-fbf79371a422</TermId>
        </TermInfo>
      </Terms>
    </p1abb5e704a84578aa4b8ef0390c3b25>
    <DocumentNotes xmlns="db2b92ca-6ed0-4085-802d-4c686a2e8c3f" xsi:nil="true"/>
    <NAPReason xmlns="db2b92ca-6ed0-4085-802d-4c686a2e8c3f" xsi:nil="true"/>
    <_dlc_DocId xmlns="6d01ba57-bcb9-4c1f-9f73-80759da4b854">010950-583531425-691</_dlc_DocId>
    <_dlc_DocIdUrl xmlns="6d01ba57-bcb9-4c1f-9f73-80759da4b854">
      <Url>https://asiclink.sharepoint.com/teams/010950/_layouts/15/DocIdRedir.aspx?ID=010950-583531425-691</Url>
      <Description>010950-583531425-691</Description>
    </_dlc_DocIdUrl>
    <TaxCatchAll xmlns="db2b92ca-6ed0-4085-802d-4c686a2e8c3f">
      <Value>3</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D03EF-ECBE-4D56-AB75-2E6B3E37A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6d01ba57-bcb9-4c1f-9f73-80759da4b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1848B-86FE-4C56-8C9E-D7C49412A964}">
  <ds:schemaRefs>
    <ds:schemaRef ds:uri="http://schemas.microsoft.com/sharepoint/events"/>
  </ds:schemaRefs>
</ds:datastoreItem>
</file>

<file path=customXml/itemProps3.xml><?xml version="1.0" encoding="utf-8"?>
<ds:datastoreItem xmlns:ds="http://schemas.openxmlformats.org/officeDocument/2006/customXml" ds:itemID="{91DC4DE4-BF2C-4DD6-994C-102D660360D7}">
  <ds:schemaRefs>
    <ds:schemaRef ds:uri="Microsoft.SharePoint.Taxonomy.ContentTypeSync"/>
  </ds:schemaRefs>
</ds:datastoreItem>
</file>

<file path=customXml/itemProps4.xml><?xml version="1.0" encoding="utf-8"?>
<ds:datastoreItem xmlns:ds="http://schemas.openxmlformats.org/officeDocument/2006/customXml" ds:itemID="{083BA01F-ACD1-4027-AB84-C463B2F3F0C9}">
  <ds:schemaRefs>
    <ds:schemaRef ds:uri="http://schemas.openxmlformats.org/officeDocument/2006/bibliography"/>
  </ds:schemaRefs>
</ds:datastoreItem>
</file>

<file path=customXml/itemProps5.xml><?xml version="1.0" encoding="utf-8"?>
<ds:datastoreItem xmlns:ds="http://schemas.openxmlformats.org/officeDocument/2006/customXml" ds:itemID="{DA535D99-4F84-4CC8-8CCF-E0B2C699E22D}">
  <ds:schemaRefs>
    <ds:schemaRef ds:uri="http://schemas.microsoft.com/office/2006/documentManagement/types"/>
    <ds:schemaRef ds:uri="http://schemas.microsoft.com/office/infopath/2007/PartnerControls"/>
    <ds:schemaRef ds:uri="6d01ba57-bcb9-4c1f-9f73-80759da4b854"/>
    <ds:schemaRef ds:uri="http://purl.org/dc/elements/1.1/"/>
    <ds:schemaRef ds:uri="http://schemas.microsoft.com/office/2006/metadata/properties"/>
    <ds:schemaRef ds:uri="http://purl.org/dc/terms/"/>
    <ds:schemaRef ds:uri="http://schemas.openxmlformats.org/package/2006/metadata/core-properties"/>
    <ds:schemaRef ds:uri="db2b92ca-6ed0-4085-802d-4c686a2e8c3f"/>
    <ds:schemaRef ds:uri="http://www.w3.org/XML/1998/namespace"/>
    <ds:schemaRef ds:uri="http://purl.org/dc/dcmitype/"/>
  </ds:schemaRefs>
</ds:datastoreItem>
</file>

<file path=customXml/itemProps6.xml><?xml version="1.0" encoding="utf-8"?>
<ds:datastoreItem xmlns:ds="http://schemas.openxmlformats.org/officeDocument/2006/customXml" ds:itemID="{DF5D16C9-5587-4A11-8DC6-15480187D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SUNDRY</Template>
  <TotalTime>0</TotalTime>
  <Pages>12</Pages>
  <Words>2287</Words>
  <Characters>13036</Characters>
  <Application>Microsoft Office Word</Application>
  <DocSecurity>0</DocSecurity>
  <PresentationFormat/>
  <Lines>108</Lines>
  <Paragraphs>30</Paragraphs>
  <ScaleCrop>false</ScaleCrop>
  <Manager/>
  <Company/>
  <LinksUpToDate>false</LinksUpToDate>
  <CharactersWithSpaces>15293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subject/>
  <dc:creator/>
  <cp:keywords/>
  <dc:description/>
  <cp:lastModifiedBy/>
  <cp:revision>1</cp:revision>
  <cp:lastPrinted>2020-03-04T17:17:00Z</cp:lastPrinted>
  <dcterms:created xsi:type="dcterms:W3CDTF">2025-03-26T05:41:00Z</dcterms:created>
  <dcterms:modified xsi:type="dcterms:W3CDTF">2025-04-01T05:40:00Z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CompilationNumber">
    <vt:lpwstr>000</vt:lpwstr>
  </property>
  <property fmtid="{D5CDD505-2E9C-101B-9397-08002B2CF9AE}" pid="5" name="StartDate">
    <vt:lpwstr/>
  </property>
  <property fmtid="{D5CDD505-2E9C-101B-9397-08002B2CF9AE}" pid="6" name="IncludesUpTo">
    <vt:lpwstr/>
  </property>
  <property fmtid="{D5CDD505-2E9C-101B-9397-08002B2CF9AE}" pid="7" name="RegisteredDate">
    <vt:lpwstr/>
  </property>
  <property fmtid="{D5CDD505-2E9C-101B-9397-08002B2CF9AE}" pid="8" name="DoNotAsk">
    <vt:lpwstr>0</vt:lpwstr>
  </property>
  <property fmtid="{D5CDD505-2E9C-101B-9397-08002B2CF9AE}" pid="9" name="ChangedTitle">
    <vt:lpwstr/>
  </property>
  <property fmtid="{D5CDD505-2E9C-101B-9397-08002B2CF9AE}" pid="10" name="ContentTypeId">
    <vt:lpwstr>0x010100B5F685A1365F544391EF8C813B164F3A006977DBA71855364C80503752860FCC46</vt:lpwstr>
  </property>
  <property fmtid="{D5CDD505-2E9C-101B-9397-08002B2CF9AE}" pid="11" name="MSIP_Label_a6aead41-07f8-4767-ac8e-ef1c9c793766_Enabled">
    <vt:lpwstr>true</vt:lpwstr>
  </property>
  <property fmtid="{D5CDD505-2E9C-101B-9397-08002B2CF9AE}" pid="12" name="MSIP_Label_a6aead41-07f8-4767-ac8e-ef1c9c793766_SetDate">
    <vt:lpwstr>2024-03-21T23:53:52Z</vt:lpwstr>
  </property>
  <property fmtid="{D5CDD505-2E9C-101B-9397-08002B2CF9AE}" pid="13" name="MSIP_Label_a6aead41-07f8-4767-ac8e-ef1c9c793766_Method">
    <vt:lpwstr>Standard</vt:lpwstr>
  </property>
  <property fmtid="{D5CDD505-2E9C-101B-9397-08002B2CF9AE}" pid="14" name="MSIP_Label_a6aead41-07f8-4767-ac8e-ef1c9c793766_Name">
    <vt:lpwstr>OFFICIAL</vt:lpwstr>
  </property>
  <property fmtid="{D5CDD505-2E9C-101B-9397-08002B2CF9AE}" pid="15" name="MSIP_Label_a6aead41-07f8-4767-ac8e-ef1c9c793766_SiteId">
    <vt:lpwstr>5f1de7c6-55cd-4bb2-902d-514c78cf10f4</vt:lpwstr>
  </property>
  <property fmtid="{D5CDD505-2E9C-101B-9397-08002B2CF9AE}" pid="16" name="MSIP_Label_a6aead41-07f8-4767-ac8e-ef1c9c793766_ActionId">
    <vt:lpwstr>723a96c9-813b-4145-8797-e8901f4578ce</vt:lpwstr>
  </property>
  <property fmtid="{D5CDD505-2E9C-101B-9397-08002B2CF9AE}" pid="17" name="MSIP_Label_a6aead41-07f8-4767-ac8e-ef1c9c793766_ContentBits">
    <vt:lpwstr>0</vt:lpwstr>
  </property>
  <property fmtid="{D5CDD505-2E9C-101B-9397-08002B2CF9AE}" pid="18" name="_dlc_DocIdItemGuid">
    <vt:lpwstr>0375cb7c-46cf-4887-b8bc-0d434a581d13</vt:lpwstr>
  </property>
  <property fmtid="{D5CDD505-2E9C-101B-9397-08002B2CF9AE}" pid="19" name="SecurityClassification">
    <vt:lpwstr>3;#OFFICIAL|cffd3088-7a74-4edb-8c9e-fbf79371a422</vt:lpwstr>
  </property>
</Properties>
</file>