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BB01" w14:textId="77777777" w:rsidR="00FB640B" w:rsidRPr="008B24C8" w:rsidRDefault="0057002B" w:rsidP="008E6BFA">
      <w:pPr>
        <w:pStyle w:val="Heading1"/>
        <w:spacing w:line="360" w:lineRule="auto"/>
      </w:pPr>
      <w:bookmarkStart w:id="0" w:name="_GoBack"/>
      <w:bookmarkEnd w:id="0"/>
      <w:r w:rsidRPr="008B24C8">
        <w:t>EXPLANATORY STATEMENT</w:t>
      </w:r>
    </w:p>
    <w:p w14:paraId="0313C6F8" w14:textId="0C3791D0" w:rsidR="0057002B" w:rsidRDefault="0057002B" w:rsidP="008E6BFA">
      <w:pPr>
        <w:pStyle w:val="ESTitleDecisionMaker"/>
        <w:spacing w:before="240"/>
      </w:pPr>
      <w:r w:rsidRPr="008B24C8">
        <w:t xml:space="preserve">Issued by authority of the </w:t>
      </w:r>
      <w:r w:rsidR="001E42D6" w:rsidRPr="001E42D6">
        <w:t>Minister for Immigration, Citizenship and Multicultural Affairs</w:t>
      </w:r>
    </w:p>
    <w:p w14:paraId="4AE19926" w14:textId="77777777" w:rsidR="00BE4DDA" w:rsidRPr="008B24C8" w:rsidRDefault="00BE4DDA" w:rsidP="008E6BFA">
      <w:pPr>
        <w:spacing w:after="0" w:line="240" w:lineRule="auto"/>
        <w:ind w:right="-188"/>
        <w:jc w:val="center"/>
      </w:pPr>
    </w:p>
    <w:p w14:paraId="28C4D503" w14:textId="4BBD36AC" w:rsidR="0057002B" w:rsidRDefault="001E42D6" w:rsidP="00BB0CF2">
      <w:pPr>
        <w:pStyle w:val="ESTitleEnablingLegislation"/>
      </w:pPr>
      <w:r w:rsidRPr="001E42D6">
        <w:t>Migration Regulations 1994</w:t>
      </w:r>
    </w:p>
    <w:p w14:paraId="34E74598" w14:textId="77777777" w:rsidR="00BE4DDA" w:rsidRPr="001E42D6" w:rsidRDefault="00BE4DDA" w:rsidP="008E6BFA">
      <w:pPr>
        <w:spacing w:after="0" w:line="240" w:lineRule="auto"/>
        <w:ind w:right="-188"/>
        <w:jc w:val="center"/>
      </w:pPr>
    </w:p>
    <w:p w14:paraId="222CA16C" w14:textId="2D93E796" w:rsidR="001E42D6" w:rsidRPr="008E6BFA" w:rsidRDefault="00264984" w:rsidP="008E6BFA">
      <w:pPr>
        <w:spacing w:after="0" w:line="240" w:lineRule="auto"/>
        <w:ind w:right="-188"/>
        <w:jc w:val="center"/>
        <w:rPr>
          <w:rFonts w:eastAsia="Times New Roman"/>
          <w:b/>
          <w:i/>
          <w:sz w:val="24"/>
          <w:szCs w:val="24"/>
          <w:lang w:eastAsia="en-AU"/>
        </w:rPr>
      </w:pPr>
      <w:r w:rsidRPr="00264984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Migration (Purposes of Managed Fund Investments) Instrument (LIN 23/056) 2023</w:t>
      </w:r>
    </w:p>
    <w:p w14:paraId="253961BC" w14:textId="77777777" w:rsidR="001E42D6" w:rsidRDefault="001E42D6" w:rsidP="00BB0CF2">
      <w:pPr>
        <w:pStyle w:val="ESParagraph"/>
        <w:rPr>
          <w:b/>
          <w:i/>
        </w:rPr>
      </w:pPr>
    </w:p>
    <w:p w14:paraId="2567374D" w14:textId="7FAC489A" w:rsidR="0057002B" w:rsidRPr="00A0712C" w:rsidRDefault="0057002B" w:rsidP="008E6BFA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>The instrume</w:t>
      </w:r>
      <w:r w:rsidR="001E42D6" w:rsidRPr="00A0712C">
        <w:rPr>
          <w:sz w:val="24"/>
          <w:szCs w:val="24"/>
        </w:rPr>
        <w:t>nt, D</w:t>
      </w:r>
      <w:r w:rsidR="002D6A5F" w:rsidRPr="00A0712C">
        <w:rPr>
          <w:sz w:val="24"/>
          <w:szCs w:val="24"/>
        </w:rPr>
        <w:t>epartmental reference LIN 23/056</w:t>
      </w:r>
      <w:r w:rsidR="001E42D6" w:rsidRPr="00A0712C">
        <w:rPr>
          <w:sz w:val="24"/>
          <w:szCs w:val="24"/>
        </w:rPr>
        <w:t>, is made</w:t>
      </w:r>
      <w:r w:rsidR="002D6A5F" w:rsidRPr="00A0712C">
        <w:rPr>
          <w:sz w:val="24"/>
          <w:szCs w:val="24"/>
        </w:rPr>
        <w:t xml:space="preserve"> by the Minister for Immigration, Citizenship and Multicultural Affairs</w:t>
      </w:r>
      <w:r w:rsidR="001E42D6" w:rsidRPr="00A0712C">
        <w:rPr>
          <w:sz w:val="24"/>
          <w:szCs w:val="24"/>
        </w:rPr>
        <w:t xml:space="preserve"> under </w:t>
      </w:r>
      <w:r w:rsidR="00343219" w:rsidRPr="00A0712C">
        <w:rPr>
          <w:sz w:val="24"/>
          <w:szCs w:val="24"/>
        </w:rPr>
        <w:t xml:space="preserve">paragraph </w:t>
      </w:r>
      <w:proofErr w:type="gramStart"/>
      <w:r w:rsidR="00343219" w:rsidRPr="00A0712C">
        <w:rPr>
          <w:sz w:val="24"/>
          <w:szCs w:val="24"/>
        </w:rPr>
        <w:t>5.19B(</w:t>
      </w:r>
      <w:proofErr w:type="gramEnd"/>
      <w:r w:rsidR="00343219" w:rsidRPr="00A0712C">
        <w:rPr>
          <w:sz w:val="24"/>
          <w:szCs w:val="24"/>
        </w:rPr>
        <w:t>2)(c) of</w:t>
      </w:r>
      <w:r w:rsidR="002D6A5F" w:rsidRPr="00A0712C">
        <w:rPr>
          <w:sz w:val="24"/>
          <w:szCs w:val="24"/>
        </w:rPr>
        <w:t xml:space="preserve"> </w:t>
      </w:r>
      <w:r w:rsidRPr="00A0712C">
        <w:rPr>
          <w:sz w:val="24"/>
          <w:szCs w:val="24"/>
        </w:rPr>
        <w:t xml:space="preserve">the </w:t>
      </w:r>
      <w:r w:rsidRPr="00A0712C">
        <w:rPr>
          <w:i/>
          <w:sz w:val="24"/>
          <w:szCs w:val="24"/>
        </w:rPr>
        <w:t>Migration Regulations 1994</w:t>
      </w:r>
      <w:r w:rsidR="00343219" w:rsidRPr="00A0712C">
        <w:rPr>
          <w:sz w:val="24"/>
          <w:szCs w:val="24"/>
        </w:rPr>
        <w:t xml:space="preserve"> (the</w:t>
      </w:r>
      <w:r w:rsidR="001E42D6" w:rsidRPr="00A0712C">
        <w:rPr>
          <w:sz w:val="24"/>
          <w:szCs w:val="24"/>
        </w:rPr>
        <w:t xml:space="preserve"> Regulations)</w:t>
      </w:r>
      <w:r w:rsidRPr="00A0712C">
        <w:rPr>
          <w:sz w:val="24"/>
          <w:szCs w:val="24"/>
        </w:rPr>
        <w:t xml:space="preserve">.  </w:t>
      </w:r>
    </w:p>
    <w:p w14:paraId="03C13BD3" w14:textId="0F751BF8" w:rsidR="00EA12C9" w:rsidRPr="00A0712C" w:rsidRDefault="00EA12C9" w:rsidP="008E6BFA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 xml:space="preserve">The instrument </w:t>
      </w:r>
      <w:r w:rsidR="00184956" w:rsidRPr="00A0712C">
        <w:rPr>
          <w:sz w:val="24"/>
          <w:szCs w:val="24"/>
        </w:rPr>
        <w:t>repeals</w:t>
      </w:r>
      <w:r w:rsidR="001E42D6" w:rsidRPr="00A0712C">
        <w:rPr>
          <w:sz w:val="24"/>
          <w:szCs w:val="24"/>
        </w:rPr>
        <w:t xml:space="preserve"> </w:t>
      </w:r>
      <w:r w:rsidR="00E57396">
        <w:rPr>
          <w:i/>
          <w:sz w:val="24"/>
          <w:szCs w:val="24"/>
        </w:rPr>
        <w:t xml:space="preserve">Migration Regulations 1994 – </w:t>
      </w:r>
      <w:r w:rsidR="00082CF4" w:rsidRPr="00082CF4">
        <w:rPr>
          <w:i/>
          <w:sz w:val="24"/>
          <w:szCs w:val="24"/>
        </w:rPr>
        <w:t xml:space="preserve">Specification of Eligible Managed Fund Investments - IMMI 13/092 </w:t>
      </w:r>
      <w:r w:rsidR="00082CF4" w:rsidRPr="00082CF4">
        <w:rPr>
          <w:sz w:val="24"/>
          <w:szCs w:val="24"/>
        </w:rPr>
        <w:t>(F2013L01571</w:t>
      </w:r>
      <w:r w:rsidR="00686AEB">
        <w:rPr>
          <w:sz w:val="24"/>
          <w:szCs w:val="24"/>
        </w:rPr>
        <w:t>, IMMI 13/092</w:t>
      </w:r>
      <w:r w:rsidR="00082CF4" w:rsidRPr="00082CF4">
        <w:rPr>
          <w:sz w:val="24"/>
          <w:szCs w:val="24"/>
        </w:rPr>
        <w:t>)</w:t>
      </w:r>
      <w:r w:rsidR="00D5591E">
        <w:rPr>
          <w:sz w:val="24"/>
          <w:szCs w:val="24"/>
        </w:rPr>
        <w:t>.</w:t>
      </w:r>
      <w:r w:rsidR="00B75478" w:rsidRPr="00A0712C">
        <w:rPr>
          <w:sz w:val="24"/>
          <w:szCs w:val="24"/>
        </w:rPr>
        <w:t xml:space="preserve"> </w:t>
      </w:r>
      <w:r w:rsidR="00D5591E">
        <w:rPr>
          <w:sz w:val="24"/>
          <w:szCs w:val="24"/>
        </w:rPr>
        <w:t>S</w:t>
      </w:r>
      <w:r w:rsidRPr="00A0712C">
        <w:rPr>
          <w:sz w:val="24"/>
          <w:szCs w:val="24"/>
        </w:rPr>
        <w:t xml:space="preserve">ubsection 33(3) of the </w:t>
      </w:r>
      <w:r w:rsidRPr="00A0712C">
        <w:rPr>
          <w:i/>
          <w:sz w:val="24"/>
          <w:szCs w:val="24"/>
        </w:rPr>
        <w:t>Acts Interpretation Act 1901</w:t>
      </w:r>
      <w:r w:rsidRPr="00A0712C">
        <w:rPr>
          <w:sz w:val="24"/>
          <w:szCs w:val="24"/>
        </w:rPr>
        <w:t xml:space="preserve"> provides that </w:t>
      </w:r>
      <w:r w:rsidR="00100DFC" w:rsidRPr="00A0712C">
        <w:rPr>
          <w:sz w:val="24"/>
          <w:szCs w:val="24"/>
        </w:rPr>
        <w:t>a power to make a legislative instrument includes a power to amend or repeal that instrument in the same manner, and subject to the same conditions, as the power to make the instrument</w:t>
      </w:r>
      <w:r w:rsidR="00BD598E" w:rsidRPr="00A0712C">
        <w:rPr>
          <w:sz w:val="24"/>
          <w:szCs w:val="24"/>
        </w:rPr>
        <w:t xml:space="preserve">.  </w:t>
      </w:r>
    </w:p>
    <w:p w14:paraId="2720BFA2" w14:textId="7526DD3D" w:rsidR="00BD598E" w:rsidRPr="00A0712C" w:rsidRDefault="00AA4557" w:rsidP="008E6BFA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>The instrument</w:t>
      </w:r>
      <w:r w:rsidR="00472AB7">
        <w:rPr>
          <w:sz w:val="24"/>
          <w:szCs w:val="24"/>
        </w:rPr>
        <w:t xml:space="preserve"> IMMI 23/056</w:t>
      </w:r>
      <w:r w:rsidRPr="00A0712C">
        <w:rPr>
          <w:sz w:val="24"/>
          <w:szCs w:val="24"/>
        </w:rPr>
        <w:t xml:space="preserve"> commences </w:t>
      </w:r>
      <w:r w:rsidR="00264984" w:rsidRPr="00264984">
        <w:rPr>
          <w:sz w:val="24"/>
          <w:szCs w:val="24"/>
        </w:rPr>
        <w:t>on the day after it is registered on the Federal Register of Legislation</w:t>
      </w:r>
      <w:r w:rsidR="00472AB7">
        <w:rPr>
          <w:sz w:val="24"/>
          <w:szCs w:val="24"/>
        </w:rPr>
        <w:t xml:space="preserve">. It is </w:t>
      </w:r>
      <w:r w:rsidR="00BD598E" w:rsidRPr="00A0712C">
        <w:rPr>
          <w:sz w:val="24"/>
          <w:szCs w:val="24"/>
        </w:rPr>
        <w:t xml:space="preserve">a </w:t>
      </w:r>
      <w:r w:rsidRPr="00A0712C">
        <w:rPr>
          <w:sz w:val="24"/>
          <w:szCs w:val="24"/>
        </w:rPr>
        <w:t>legislative</w:t>
      </w:r>
      <w:r w:rsidR="00BD598E" w:rsidRPr="00A0712C">
        <w:rPr>
          <w:sz w:val="24"/>
          <w:szCs w:val="24"/>
        </w:rPr>
        <w:t xml:space="preserve"> instrument for </w:t>
      </w:r>
      <w:r w:rsidR="00B75478" w:rsidRPr="00A0712C">
        <w:rPr>
          <w:sz w:val="24"/>
          <w:szCs w:val="24"/>
        </w:rPr>
        <w:t xml:space="preserve">the </w:t>
      </w:r>
      <w:r w:rsidR="00343219" w:rsidRPr="00A0712C">
        <w:rPr>
          <w:sz w:val="24"/>
          <w:szCs w:val="24"/>
        </w:rPr>
        <w:t>purpose of</w:t>
      </w:r>
      <w:r w:rsidR="00B406E6" w:rsidRPr="00A0712C">
        <w:rPr>
          <w:sz w:val="24"/>
          <w:szCs w:val="24"/>
        </w:rPr>
        <w:t xml:space="preserve"> the</w:t>
      </w:r>
      <w:r w:rsidR="00343219" w:rsidRPr="00A0712C">
        <w:rPr>
          <w:sz w:val="24"/>
          <w:szCs w:val="24"/>
        </w:rPr>
        <w:t xml:space="preserve"> </w:t>
      </w:r>
      <w:r w:rsidR="00264984">
        <w:rPr>
          <w:i/>
          <w:sz w:val="24"/>
          <w:szCs w:val="24"/>
        </w:rPr>
        <w:t>Legislation Act </w:t>
      </w:r>
      <w:r w:rsidR="00100DFC" w:rsidRPr="00A0712C">
        <w:rPr>
          <w:i/>
          <w:sz w:val="24"/>
          <w:szCs w:val="24"/>
        </w:rPr>
        <w:t>2003</w:t>
      </w:r>
      <w:r w:rsidR="00B41C6A">
        <w:rPr>
          <w:i/>
          <w:sz w:val="24"/>
          <w:szCs w:val="24"/>
        </w:rPr>
        <w:t xml:space="preserve"> </w:t>
      </w:r>
      <w:r w:rsidR="00B41C6A" w:rsidRPr="006124F1">
        <w:rPr>
          <w:sz w:val="24"/>
        </w:rPr>
        <w:t>(</w:t>
      </w:r>
      <w:r w:rsidR="00B41C6A">
        <w:rPr>
          <w:sz w:val="24"/>
        </w:rPr>
        <w:t xml:space="preserve">the </w:t>
      </w:r>
      <w:r w:rsidR="00B41C6A" w:rsidRPr="006124F1">
        <w:rPr>
          <w:sz w:val="24"/>
        </w:rPr>
        <w:t>Legislation Act)</w:t>
      </w:r>
      <w:r w:rsidR="00343219" w:rsidRPr="00A0712C">
        <w:rPr>
          <w:sz w:val="24"/>
          <w:szCs w:val="24"/>
        </w:rPr>
        <w:t>.</w:t>
      </w:r>
      <w:r w:rsidR="00BD598E" w:rsidRPr="00A0712C">
        <w:rPr>
          <w:sz w:val="24"/>
          <w:szCs w:val="24"/>
        </w:rPr>
        <w:t xml:space="preserve"> </w:t>
      </w:r>
    </w:p>
    <w:p w14:paraId="2E64633F" w14:textId="77777777" w:rsidR="00EA12C9" w:rsidRPr="00A0712C" w:rsidRDefault="00BD598E" w:rsidP="00082CF4">
      <w:pPr>
        <w:pStyle w:val="ESHeading"/>
        <w:rPr>
          <w:color w:val="FF0000"/>
          <w:sz w:val="24"/>
          <w:szCs w:val="24"/>
        </w:rPr>
      </w:pPr>
      <w:r w:rsidRPr="00A0712C">
        <w:rPr>
          <w:sz w:val="24"/>
          <w:szCs w:val="24"/>
        </w:rPr>
        <w:t>Purpose</w:t>
      </w:r>
      <w:r w:rsidR="00BB0CF2" w:rsidRPr="00A0712C">
        <w:rPr>
          <w:sz w:val="24"/>
          <w:szCs w:val="24"/>
        </w:rPr>
        <w:t xml:space="preserve"> </w:t>
      </w:r>
    </w:p>
    <w:p w14:paraId="1B591377" w14:textId="0E4C45BB" w:rsidR="00B8267C" w:rsidRPr="00D878E8" w:rsidRDefault="00FB523E" w:rsidP="00E57396">
      <w:pPr>
        <w:pStyle w:val="ESSubparaHeader"/>
        <w:rPr>
          <w:sz w:val="24"/>
          <w:szCs w:val="24"/>
        </w:rPr>
      </w:pPr>
      <w:r w:rsidRPr="00D878E8">
        <w:rPr>
          <w:sz w:val="24"/>
          <w:szCs w:val="24"/>
        </w:rPr>
        <w:t>T</w:t>
      </w:r>
      <w:r w:rsidR="00B8267C" w:rsidRPr="00D878E8">
        <w:rPr>
          <w:sz w:val="24"/>
          <w:szCs w:val="24"/>
        </w:rPr>
        <w:t xml:space="preserve">he primary criteria for the grant of a Subclass 188 </w:t>
      </w:r>
      <w:r w:rsidR="00E57396">
        <w:rPr>
          <w:sz w:val="24"/>
          <w:szCs w:val="24"/>
        </w:rPr>
        <w:t>(</w:t>
      </w:r>
      <w:r w:rsidR="00B8267C" w:rsidRPr="00D878E8">
        <w:rPr>
          <w:sz w:val="24"/>
          <w:szCs w:val="24"/>
        </w:rPr>
        <w:t>Business Innovation and Investment (Provisional)</w:t>
      </w:r>
      <w:r w:rsidR="00E57396">
        <w:rPr>
          <w:sz w:val="24"/>
          <w:szCs w:val="24"/>
        </w:rPr>
        <w:t>)</w:t>
      </w:r>
      <w:r w:rsidR="00B8267C" w:rsidRPr="00D878E8">
        <w:rPr>
          <w:b/>
          <w:sz w:val="24"/>
          <w:szCs w:val="24"/>
        </w:rPr>
        <w:t xml:space="preserve"> </w:t>
      </w:r>
      <w:r w:rsidR="00B8267C" w:rsidRPr="00D878E8">
        <w:rPr>
          <w:sz w:val="24"/>
          <w:szCs w:val="24"/>
        </w:rPr>
        <w:t xml:space="preserve">visa (Subclass 188 visa) in the Significant Investor Extension stream and a Subclass 888 </w:t>
      </w:r>
      <w:r w:rsidR="00E57396">
        <w:rPr>
          <w:sz w:val="24"/>
          <w:szCs w:val="24"/>
        </w:rPr>
        <w:t>(</w:t>
      </w:r>
      <w:r w:rsidR="00B8267C" w:rsidRPr="00D878E8">
        <w:rPr>
          <w:sz w:val="24"/>
          <w:szCs w:val="24"/>
        </w:rPr>
        <w:t>Business Innovation and Investment (Permanent)</w:t>
      </w:r>
      <w:r w:rsidR="00E57396">
        <w:rPr>
          <w:sz w:val="24"/>
          <w:szCs w:val="24"/>
        </w:rPr>
        <w:t>)</w:t>
      </w:r>
      <w:r w:rsidR="00B8267C" w:rsidRPr="00D878E8">
        <w:rPr>
          <w:b/>
          <w:sz w:val="24"/>
          <w:szCs w:val="24"/>
        </w:rPr>
        <w:t xml:space="preserve"> </w:t>
      </w:r>
      <w:r w:rsidR="00B8267C" w:rsidRPr="00D878E8">
        <w:rPr>
          <w:sz w:val="24"/>
          <w:szCs w:val="24"/>
        </w:rPr>
        <w:t xml:space="preserve">visa (Subclass 888 visa) in </w:t>
      </w:r>
      <w:proofErr w:type="gramStart"/>
      <w:r w:rsidR="00B8267C" w:rsidRPr="00D878E8">
        <w:rPr>
          <w:sz w:val="24"/>
          <w:szCs w:val="24"/>
        </w:rPr>
        <w:t>the</w:t>
      </w:r>
      <w:proofErr w:type="gramEnd"/>
      <w:r w:rsidR="00B8267C" w:rsidRPr="00D878E8">
        <w:rPr>
          <w:sz w:val="24"/>
          <w:szCs w:val="24"/>
        </w:rPr>
        <w:t xml:space="preserve"> Significant Investor stream</w:t>
      </w:r>
      <w:r w:rsidR="00E37D84" w:rsidRPr="00D878E8">
        <w:rPr>
          <w:sz w:val="24"/>
          <w:szCs w:val="24"/>
        </w:rPr>
        <w:t xml:space="preserve"> </w:t>
      </w:r>
      <w:r w:rsidR="00B8267C" w:rsidRPr="00D878E8">
        <w:rPr>
          <w:sz w:val="24"/>
          <w:szCs w:val="24"/>
        </w:rPr>
        <w:t xml:space="preserve">are set out in </w:t>
      </w:r>
      <w:r w:rsidR="00E57396">
        <w:rPr>
          <w:sz w:val="24"/>
          <w:szCs w:val="24"/>
        </w:rPr>
        <w:t>Divisions</w:t>
      </w:r>
      <w:r w:rsidR="00E57396" w:rsidRPr="00D878E8">
        <w:rPr>
          <w:sz w:val="24"/>
          <w:szCs w:val="24"/>
        </w:rPr>
        <w:t xml:space="preserve"> </w:t>
      </w:r>
      <w:r w:rsidR="00B8267C" w:rsidRPr="00D878E8">
        <w:rPr>
          <w:sz w:val="24"/>
          <w:szCs w:val="24"/>
        </w:rPr>
        <w:t>188.2 and 888.2</w:t>
      </w:r>
      <w:r w:rsidRPr="00D878E8">
        <w:rPr>
          <w:sz w:val="24"/>
          <w:szCs w:val="24"/>
        </w:rPr>
        <w:t xml:space="preserve"> </w:t>
      </w:r>
      <w:r w:rsidR="00B8267C" w:rsidRPr="00D878E8">
        <w:rPr>
          <w:sz w:val="24"/>
          <w:szCs w:val="24"/>
        </w:rPr>
        <w:t>of Schedule 2 to the Regulations, respectively.</w:t>
      </w:r>
    </w:p>
    <w:p w14:paraId="434C8BE1" w14:textId="437D8D83" w:rsidR="00B8267C" w:rsidRDefault="00B8267C" w:rsidP="00B8267C">
      <w:pPr>
        <w:pStyle w:val="ESSubparaHeader"/>
        <w:keepNext w:val="0"/>
        <w:rPr>
          <w:sz w:val="24"/>
          <w:szCs w:val="24"/>
        </w:rPr>
      </w:pPr>
      <w:r>
        <w:rPr>
          <w:sz w:val="24"/>
          <w:szCs w:val="24"/>
        </w:rPr>
        <w:t>S</w:t>
      </w:r>
      <w:r w:rsidRPr="00304B95">
        <w:rPr>
          <w:sz w:val="24"/>
          <w:szCs w:val="24"/>
        </w:rPr>
        <w:t>ubcla</w:t>
      </w:r>
      <w:r w:rsidRPr="001A49DB">
        <w:rPr>
          <w:sz w:val="24"/>
          <w:szCs w:val="24"/>
        </w:rPr>
        <w:t>use</w:t>
      </w:r>
      <w:r>
        <w:rPr>
          <w:sz w:val="24"/>
          <w:szCs w:val="24"/>
        </w:rPr>
        <w:t>s</w:t>
      </w:r>
      <w:r w:rsidRPr="001A49DB">
        <w:rPr>
          <w:sz w:val="24"/>
          <w:szCs w:val="24"/>
        </w:rPr>
        <w:t xml:space="preserve"> 188.261(1A) </w:t>
      </w:r>
      <w:r>
        <w:rPr>
          <w:sz w:val="24"/>
          <w:szCs w:val="24"/>
        </w:rPr>
        <w:t xml:space="preserve">and </w:t>
      </w:r>
      <w:r w:rsidRPr="000F626E">
        <w:rPr>
          <w:sz w:val="24"/>
          <w:szCs w:val="24"/>
        </w:rPr>
        <w:t>888.241(2A)</w:t>
      </w:r>
      <w:r>
        <w:rPr>
          <w:sz w:val="24"/>
          <w:szCs w:val="24"/>
        </w:rPr>
        <w:t xml:space="preserve"> </w:t>
      </w:r>
      <w:r w:rsidRPr="000F626E">
        <w:rPr>
          <w:sz w:val="24"/>
          <w:szCs w:val="24"/>
        </w:rPr>
        <w:t>of Schedule 2 to the Regulations</w:t>
      </w:r>
      <w:r w:rsidRPr="001A49DB">
        <w:rPr>
          <w:sz w:val="24"/>
          <w:szCs w:val="24"/>
        </w:rPr>
        <w:t xml:space="preserve"> </w:t>
      </w:r>
      <w:r>
        <w:rPr>
          <w:sz w:val="24"/>
          <w:szCs w:val="24"/>
        </w:rPr>
        <w:t>provide that if an applicant’s</w:t>
      </w:r>
      <w:r w:rsidRPr="000F626E">
        <w:rPr>
          <w:sz w:val="24"/>
          <w:szCs w:val="24"/>
        </w:rPr>
        <w:t xml:space="preserve"> </w:t>
      </w:r>
      <w:r w:rsidR="00501D24">
        <w:rPr>
          <w:sz w:val="24"/>
          <w:szCs w:val="24"/>
        </w:rPr>
        <w:t>most recently held</w:t>
      </w:r>
      <w:r w:rsidR="00501D24" w:rsidRPr="000F626E">
        <w:rPr>
          <w:sz w:val="24"/>
          <w:szCs w:val="24"/>
        </w:rPr>
        <w:t xml:space="preserve"> </w:t>
      </w:r>
      <w:r w:rsidRPr="000F626E">
        <w:rPr>
          <w:sz w:val="24"/>
          <w:szCs w:val="24"/>
        </w:rPr>
        <w:t>Subclass 188 visa</w:t>
      </w:r>
      <w:r>
        <w:rPr>
          <w:sz w:val="24"/>
          <w:szCs w:val="24"/>
        </w:rPr>
        <w:t xml:space="preserve"> in the </w:t>
      </w:r>
      <w:r w:rsidRPr="000F626E">
        <w:rPr>
          <w:bCs/>
          <w:sz w:val="24"/>
          <w:szCs w:val="24"/>
        </w:rPr>
        <w:t>Significant Investor stream</w:t>
      </w:r>
      <w:r>
        <w:rPr>
          <w:sz w:val="24"/>
          <w:szCs w:val="24"/>
        </w:rPr>
        <w:t xml:space="preserve"> was applied for before 1 July </w:t>
      </w:r>
      <w:r w:rsidRPr="000F626E">
        <w:rPr>
          <w:sz w:val="24"/>
          <w:szCs w:val="24"/>
        </w:rPr>
        <w:t xml:space="preserve">2015, then the </w:t>
      </w:r>
      <w:r>
        <w:rPr>
          <w:sz w:val="24"/>
          <w:szCs w:val="24"/>
        </w:rPr>
        <w:t xml:space="preserve">applicant’s </w:t>
      </w:r>
      <w:r w:rsidRPr="004312D3">
        <w:rPr>
          <w:sz w:val="24"/>
          <w:szCs w:val="24"/>
        </w:rPr>
        <w:t xml:space="preserve">subsequent </w:t>
      </w:r>
      <w:r w:rsidR="00501D24">
        <w:rPr>
          <w:sz w:val="24"/>
          <w:szCs w:val="24"/>
        </w:rPr>
        <w:t>Significant Investor E</w:t>
      </w:r>
      <w:r w:rsidRPr="004312D3">
        <w:rPr>
          <w:sz w:val="24"/>
          <w:szCs w:val="24"/>
        </w:rPr>
        <w:t>xtension</w:t>
      </w:r>
      <w:r w:rsidR="00501D24">
        <w:rPr>
          <w:sz w:val="24"/>
          <w:szCs w:val="24"/>
        </w:rPr>
        <w:t xml:space="preserve"> stream (for the provisional visa)</w:t>
      </w:r>
      <w:r w:rsidRPr="004312D3">
        <w:rPr>
          <w:sz w:val="24"/>
          <w:szCs w:val="24"/>
        </w:rPr>
        <w:t xml:space="preserve"> and </w:t>
      </w:r>
      <w:r w:rsidR="00501D24">
        <w:rPr>
          <w:sz w:val="24"/>
          <w:szCs w:val="24"/>
        </w:rPr>
        <w:t xml:space="preserve">Significant Investor stream (for the </w:t>
      </w:r>
      <w:r w:rsidRPr="004312D3">
        <w:rPr>
          <w:sz w:val="24"/>
          <w:szCs w:val="24"/>
        </w:rPr>
        <w:t>permanent visa</w:t>
      </w:r>
      <w:r w:rsidR="00501D24">
        <w:rPr>
          <w:sz w:val="24"/>
          <w:szCs w:val="24"/>
        </w:rPr>
        <w:t>)</w:t>
      </w:r>
      <w:r w:rsidRPr="004312D3">
        <w:rPr>
          <w:sz w:val="24"/>
          <w:szCs w:val="24"/>
        </w:rPr>
        <w:t xml:space="preserve"> applications</w:t>
      </w:r>
      <w:r w:rsidRPr="000F626E">
        <w:rPr>
          <w:sz w:val="24"/>
          <w:szCs w:val="24"/>
        </w:rPr>
        <w:t xml:space="preserve"> will be assessed </w:t>
      </w:r>
      <w:r w:rsidR="00501D24">
        <w:rPr>
          <w:sz w:val="24"/>
          <w:szCs w:val="24"/>
        </w:rPr>
        <w:t>by reference to whether the applicant held a complying investment (within the meaning of</w:t>
      </w:r>
      <w:r w:rsidRPr="000F626E">
        <w:rPr>
          <w:sz w:val="24"/>
          <w:szCs w:val="24"/>
        </w:rPr>
        <w:t xml:space="preserve"> regulation 5.19B of the Regulations as in force at the time of the initial Subclass 188 </w:t>
      </w:r>
      <w:r>
        <w:rPr>
          <w:sz w:val="24"/>
          <w:szCs w:val="24"/>
        </w:rPr>
        <w:t xml:space="preserve">visa </w:t>
      </w:r>
      <w:r w:rsidRPr="000F626E">
        <w:rPr>
          <w:sz w:val="24"/>
          <w:szCs w:val="24"/>
        </w:rPr>
        <w:t>application</w:t>
      </w:r>
      <w:r w:rsidR="00501D24">
        <w:rPr>
          <w:sz w:val="24"/>
          <w:szCs w:val="24"/>
        </w:rPr>
        <w:t>) throughout the period in which the Subclass 188 visa was held</w:t>
      </w:r>
      <w:r>
        <w:rPr>
          <w:sz w:val="24"/>
          <w:szCs w:val="24"/>
        </w:rPr>
        <w:t>.</w:t>
      </w:r>
    </w:p>
    <w:p w14:paraId="6C3BE6B6" w14:textId="77777777" w:rsidR="00B8267C" w:rsidRDefault="00B8267C" w:rsidP="008E6BFA">
      <w:pPr>
        <w:pStyle w:val="ESSubparaHeader"/>
        <w:keepNext w:val="0"/>
        <w:rPr>
          <w:sz w:val="24"/>
          <w:szCs w:val="24"/>
        </w:rPr>
      </w:pPr>
      <w:r w:rsidRPr="00F11CEB">
        <w:rPr>
          <w:sz w:val="24"/>
          <w:szCs w:val="24"/>
        </w:rPr>
        <w:t xml:space="preserve">Regulation 5.19B of the Regulations sets out the requirements that an investment by a person </w:t>
      </w:r>
      <w:r w:rsidRPr="003010C7">
        <w:rPr>
          <w:sz w:val="24"/>
          <w:szCs w:val="24"/>
        </w:rPr>
        <w:t xml:space="preserve">(the investor) </w:t>
      </w:r>
      <w:r w:rsidRPr="00F11CEB">
        <w:rPr>
          <w:sz w:val="24"/>
          <w:szCs w:val="24"/>
        </w:rPr>
        <w:t xml:space="preserve">must meet to be a ‘complying investment’. Paragraph 5.19B(2)(c) of the Regulations requires </w:t>
      </w:r>
      <w:r>
        <w:rPr>
          <w:sz w:val="24"/>
          <w:szCs w:val="24"/>
        </w:rPr>
        <w:t>that the</w:t>
      </w:r>
      <w:r w:rsidRPr="00F11CEB">
        <w:rPr>
          <w:sz w:val="24"/>
          <w:szCs w:val="24"/>
        </w:rPr>
        <w:t xml:space="preserve"> investment </w:t>
      </w:r>
      <w:r>
        <w:rPr>
          <w:sz w:val="24"/>
          <w:szCs w:val="24"/>
        </w:rPr>
        <w:t xml:space="preserve">must be one that is </w:t>
      </w:r>
      <w:r w:rsidRPr="00F11CEB">
        <w:rPr>
          <w:sz w:val="24"/>
          <w:szCs w:val="24"/>
        </w:rPr>
        <w:t>in a managed fund (directly or through an investor directed portfolio service) for a purpose specified by the Minis</w:t>
      </w:r>
      <w:r w:rsidRPr="00975035">
        <w:rPr>
          <w:sz w:val="24"/>
          <w:szCs w:val="24"/>
        </w:rPr>
        <w:t>ter in an instrument in writing</w:t>
      </w:r>
      <w:r>
        <w:rPr>
          <w:sz w:val="24"/>
          <w:szCs w:val="24"/>
        </w:rPr>
        <w:t>.</w:t>
      </w:r>
    </w:p>
    <w:p w14:paraId="6B96A2AA" w14:textId="147E94C8" w:rsidR="001D019C" w:rsidRDefault="00184956" w:rsidP="008E6BFA">
      <w:pPr>
        <w:pStyle w:val="ESSubparaHeader"/>
        <w:keepNext w:val="0"/>
        <w:rPr>
          <w:sz w:val="24"/>
          <w:szCs w:val="24"/>
        </w:rPr>
      </w:pPr>
      <w:r w:rsidRPr="008E6BFA">
        <w:rPr>
          <w:sz w:val="24"/>
          <w:szCs w:val="24"/>
        </w:rPr>
        <w:lastRenderedPageBreak/>
        <w:t>The purpose of th</w:t>
      </w:r>
      <w:r w:rsidR="00006103" w:rsidRPr="008E6BFA">
        <w:rPr>
          <w:sz w:val="24"/>
          <w:szCs w:val="24"/>
        </w:rPr>
        <w:t>e</w:t>
      </w:r>
      <w:r w:rsidRPr="008E6BFA">
        <w:rPr>
          <w:sz w:val="24"/>
          <w:szCs w:val="24"/>
        </w:rPr>
        <w:t xml:space="preserve"> instrument is to specify</w:t>
      </w:r>
      <w:r w:rsidR="00B8267C">
        <w:rPr>
          <w:sz w:val="24"/>
          <w:szCs w:val="24"/>
        </w:rPr>
        <w:t xml:space="preserve"> the purpose of</w:t>
      </w:r>
      <w:r w:rsidRPr="008E6BFA">
        <w:rPr>
          <w:sz w:val="24"/>
          <w:szCs w:val="24"/>
        </w:rPr>
        <w:t xml:space="preserve"> </w:t>
      </w:r>
      <w:r w:rsidR="00B8267C">
        <w:rPr>
          <w:sz w:val="24"/>
          <w:szCs w:val="24"/>
        </w:rPr>
        <w:t>an investment</w:t>
      </w:r>
      <w:r w:rsidR="00006103" w:rsidRPr="008E6BFA">
        <w:rPr>
          <w:sz w:val="24"/>
          <w:szCs w:val="24"/>
        </w:rPr>
        <w:t xml:space="preserve"> in </w:t>
      </w:r>
      <w:r w:rsidR="00B8267C">
        <w:rPr>
          <w:sz w:val="24"/>
          <w:szCs w:val="24"/>
        </w:rPr>
        <w:t>a managed fund</w:t>
      </w:r>
      <w:r w:rsidR="00006103" w:rsidRPr="008E6BFA">
        <w:rPr>
          <w:sz w:val="24"/>
          <w:szCs w:val="24"/>
        </w:rPr>
        <w:t xml:space="preserve"> </w:t>
      </w:r>
      <w:r w:rsidR="00EC3A34">
        <w:rPr>
          <w:sz w:val="24"/>
          <w:szCs w:val="24"/>
        </w:rPr>
        <w:t>for</w:t>
      </w:r>
      <w:r w:rsidR="00EC3A34" w:rsidRPr="008E6BFA">
        <w:rPr>
          <w:sz w:val="24"/>
          <w:szCs w:val="24"/>
        </w:rPr>
        <w:t xml:space="preserve"> </w:t>
      </w:r>
      <w:r w:rsidR="00343219" w:rsidRPr="008E6BFA">
        <w:rPr>
          <w:sz w:val="24"/>
          <w:szCs w:val="24"/>
        </w:rPr>
        <w:t>paragraph</w:t>
      </w:r>
      <w:r w:rsidR="00006103" w:rsidRPr="008E6BFA">
        <w:rPr>
          <w:sz w:val="24"/>
          <w:szCs w:val="24"/>
        </w:rPr>
        <w:t> </w:t>
      </w:r>
      <w:proofErr w:type="gramStart"/>
      <w:r w:rsidRPr="008E6BFA">
        <w:rPr>
          <w:sz w:val="24"/>
          <w:szCs w:val="24"/>
        </w:rPr>
        <w:t>5.19B(</w:t>
      </w:r>
      <w:proofErr w:type="gramEnd"/>
      <w:r w:rsidRPr="008E6BFA">
        <w:rPr>
          <w:sz w:val="24"/>
          <w:szCs w:val="24"/>
        </w:rPr>
        <w:t>2)(c) of the Regulations</w:t>
      </w:r>
      <w:r w:rsidR="00B8267C">
        <w:rPr>
          <w:sz w:val="24"/>
          <w:szCs w:val="24"/>
        </w:rPr>
        <w:t>.</w:t>
      </w:r>
    </w:p>
    <w:p w14:paraId="42D29BCC" w14:textId="4199EDAA" w:rsidR="008A3679" w:rsidRPr="008A3679" w:rsidRDefault="008A3679" w:rsidP="00F11CEB">
      <w:pPr>
        <w:pStyle w:val="ESSubparaHeader"/>
        <w:keepNext w:val="0"/>
        <w:rPr>
          <w:sz w:val="24"/>
          <w:szCs w:val="24"/>
        </w:rPr>
      </w:pPr>
      <w:r w:rsidRPr="004312D3">
        <w:rPr>
          <w:sz w:val="24"/>
          <w:szCs w:val="24"/>
        </w:rPr>
        <w:t xml:space="preserve">The previous instrument </w:t>
      </w:r>
      <w:r w:rsidR="004B3FFF">
        <w:rPr>
          <w:sz w:val="24"/>
          <w:szCs w:val="24"/>
        </w:rPr>
        <w:t>listing</w:t>
      </w:r>
      <w:r w:rsidRPr="008A3679">
        <w:rPr>
          <w:sz w:val="24"/>
          <w:szCs w:val="24"/>
        </w:rPr>
        <w:t xml:space="preserve"> managed fund</w:t>
      </w:r>
      <w:r w:rsidR="004B3FFF" w:rsidRPr="004B3FFF">
        <w:rPr>
          <w:sz w:val="24"/>
          <w:szCs w:val="24"/>
        </w:rPr>
        <w:t xml:space="preserve"> </w:t>
      </w:r>
      <w:r w:rsidR="004B3FFF" w:rsidRPr="008A3679">
        <w:rPr>
          <w:sz w:val="24"/>
          <w:szCs w:val="24"/>
        </w:rPr>
        <w:t>investments</w:t>
      </w:r>
      <w:r w:rsidRPr="008A3679">
        <w:rPr>
          <w:sz w:val="24"/>
          <w:szCs w:val="24"/>
        </w:rPr>
        <w:t xml:space="preserve"> under paragraph </w:t>
      </w:r>
      <w:proofErr w:type="gramStart"/>
      <w:r w:rsidRPr="008A3679">
        <w:rPr>
          <w:sz w:val="24"/>
          <w:szCs w:val="24"/>
        </w:rPr>
        <w:t>5.19B(</w:t>
      </w:r>
      <w:proofErr w:type="gramEnd"/>
      <w:r w:rsidRPr="008A3679">
        <w:rPr>
          <w:sz w:val="24"/>
          <w:szCs w:val="24"/>
        </w:rPr>
        <w:t xml:space="preserve">2)(c) of the Regulations was IMMI 13/092, which commenced on </w:t>
      </w:r>
      <w:r>
        <w:rPr>
          <w:sz w:val="24"/>
          <w:szCs w:val="24"/>
        </w:rPr>
        <w:t>23 </w:t>
      </w:r>
      <w:r w:rsidRPr="004312D3">
        <w:rPr>
          <w:sz w:val="24"/>
          <w:szCs w:val="24"/>
        </w:rPr>
        <w:t>November 2013</w:t>
      </w:r>
      <w:r w:rsidRPr="008A3679">
        <w:rPr>
          <w:sz w:val="24"/>
          <w:szCs w:val="24"/>
        </w:rPr>
        <w:t>.</w:t>
      </w:r>
    </w:p>
    <w:p w14:paraId="7BDAF62D" w14:textId="2E444541" w:rsidR="00457712" w:rsidRPr="005624BD" w:rsidRDefault="008A3679" w:rsidP="005624BD">
      <w:pPr>
        <w:pStyle w:val="ESSubparaHeader"/>
        <w:keepNext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3F2487" w:rsidRPr="00A0712C">
        <w:rPr>
          <w:sz w:val="24"/>
          <w:szCs w:val="24"/>
        </w:rPr>
        <w:t xml:space="preserve">he instrument operates to </w:t>
      </w:r>
      <w:r w:rsidR="00C32EE5">
        <w:rPr>
          <w:sz w:val="24"/>
          <w:szCs w:val="24"/>
        </w:rPr>
        <w:t>repeal IMMI 13/092</w:t>
      </w:r>
      <w:r>
        <w:rPr>
          <w:sz w:val="24"/>
          <w:szCs w:val="24"/>
        </w:rPr>
        <w:t xml:space="preserve"> and enable visa holders </w:t>
      </w:r>
      <w:r w:rsidR="002C62D8">
        <w:rPr>
          <w:sz w:val="24"/>
          <w:szCs w:val="24"/>
        </w:rPr>
        <w:t xml:space="preserve">who held </w:t>
      </w:r>
      <w:r w:rsidR="00084463">
        <w:rPr>
          <w:sz w:val="24"/>
          <w:szCs w:val="24"/>
        </w:rPr>
        <w:t xml:space="preserve">a </w:t>
      </w:r>
      <w:r w:rsidR="002C62D8" w:rsidRPr="008A3679">
        <w:rPr>
          <w:sz w:val="24"/>
          <w:szCs w:val="24"/>
        </w:rPr>
        <w:t>valid Subclass 188 visa</w:t>
      </w:r>
      <w:r w:rsidR="00084463" w:rsidRPr="00084463">
        <w:rPr>
          <w:rFonts w:asciiTheme="minorHAnsi" w:eastAsia="Times New Roman" w:hAnsiTheme="minorHAnsi" w:cstheme="minorHAnsi"/>
          <w:sz w:val="24"/>
          <w:szCs w:val="24"/>
          <w:lang w:eastAsia="en-AU"/>
        </w:rPr>
        <w:t xml:space="preserve"> </w:t>
      </w:r>
      <w:r w:rsidR="00084463" w:rsidRPr="00084463">
        <w:rPr>
          <w:sz w:val="24"/>
          <w:szCs w:val="24"/>
        </w:rPr>
        <w:t>in the Significant Investor stream that was granted on t</w:t>
      </w:r>
      <w:r w:rsidR="00084463">
        <w:rPr>
          <w:sz w:val="24"/>
          <w:szCs w:val="24"/>
        </w:rPr>
        <w:t xml:space="preserve">he basis of an application made </w:t>
      </w:r>
      <w:r w:rsidR="002C62D8" w:rsidRPr="008A3679">
        <w:rPr>
          <w:sz w:val="24"/>
          <w:szCs w:val="24"/>
        </w:rPr>
        <w:t>between 23 November 2013 and 30 June 2015</w:t>
      </w:r>
      <w:r w:rsidR="002C62D8">
        <w:rPr>
          <w:sz w:val="24"/>
          <w:szCs w:val="24"/>
        </w:rPr>
        <w:t xml:space="preserve"> </w:t>
      </w:r>
      <w:r w:rsidRPr="008A3679">
        <w:rPr>
          <w:sz w:val="24"/>
          <w:szCs w:val="24"/>
        </w:rPr>
        <w:t xml:space="preserve">to </w:t>
      </w:r>
      <w:r w:rsidR="00072426">
        <w:rPr>
          <w:sz w:val="24"/>
          <w:szCs w:val="24"/>
        </w:rPr>
        <w:t>meet the criteria for the Significant Investor Extension stream of the Subclass 188 visa or the Significant Investor stream of the Subclass 888 visa</w:t>
      </w:r>
      <w:r w:rsidR="002C62D8">
        <w:rPr>
          <w:sz w:val="24"/>
          <w:szCs w:val="24"/>
        </w:rPr>
        <w:t>.</w:t>
      </w:r>
      <w:r w:rsidR="005624BD">
        <w:rPr>
          <w:sz w:val="24"/>
          <w:szCs w:val="24"/>
        </w:rPr>
        <w:t xml:space="preserve"> </w:t>
      </w:r>
      <w:r w:rsidR="00457712" w:rsidRPr="005624BD">
        <w:rPr>
          <w:sz w:val="24"/>
          <w:szCs w:val="24"/>
        </w:rPr>
        <w:t xml:space="preserve">The instrument does not make changes to the </w:t>
      </w:r>
      <w:r w:rsidR="00844FF0">
        <w:rPr>
          <w:sz w:val="24"/>
          <w:szCs w:val="24"/>
        </w:rPr>
        <w:t>purposes</w:t>
      </w:r>
      <w:r w:rsidR="00844FF0" w:rsidRPr="005624BD">
        <w:rPr>
          <w:sz w:val="24"/>
          <w:szCs w:val="24"/>
        </w:rPr>
        <w:t xml:space="preserve"> </w:t>
      </w:r>
      <w:r w:rsidR="00D5734D" w:rsidRPr="005624BD">
        <w:rPr>
          <w:sz w:val="24"/>
          <w:szCs w:val="24"/>
        </w:rPr>
        <w:t xml:space="preserve">of </w:t>
      </w:r>
      <w:r w:rsidR="004834D3" w:rsidRPr="005624BD">
        <w:rPr>
          <w:sz w:val="24"/>
          <w:szCs w:val="24"/>
        </w:rPr>
        <w:t xml:space="preserve">investments in managed funds </w:t>
      </w:r>
      <w:r w:rsidR="00457712" w:rsidRPr="005624BD">
        <w:rPr>
          <w:sz w:val="24"/>
          <w:szCs w:val="24"/>
        </w:rPr>
        <w:t>specified in IMMI 13/092.</w:t>
      </w:r>
    </w:p>
    <w:p w14:paraId="1CC94599" w14:textId="77777777" w:rsidR="0081307F" w:rsidRPr="00A0712C" w:rsidRDefault="0081307F" w:rsidP="00F11CEB">
      <w:pPr>
        <w:pStyle w:val="ESPara"/>
        <w:keepNext/>
        <w:numPr>
          <w:ilvl w:val="0"/>
          <w:numId w:val="0"/>
        </w:numPr>
        <w:rPr>
          <w:b/>
          <w:i/>
          <w:sz w:val="24"/>
          <w:szCs w:val="24"/>
        </w:rPr>
      </w:pPr>
      <w:r w:rsidRPr="00F11CEB">
        <w:rPr>
          <w:b/>
          <w:i/>
          <w:sz w:val="24"/>
          <w:szCs w:val="24"/>
        </w:rPr>
        <w:t>Consultation</w:t>
      </w:r>
    </w:p>
    <w:p w14:paraId="602023C2" w14:textId="193DDA52" w:rsidR="00736170" w:rsidRDefault="00736170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 xml:space="preserve">The Office of Impact Analysis (OIA) was consulted and considered </w:t>
      </w:r>
      <w:r w:rsidR="00AD1507">
        <w:rPr>
          <w:sz w:val="24"/>
          <w:szCs w:val="24"/>
        </w:rPr>
        <w:t>that the instrument dealt with matters of a minor nature</w:t>
      </w:r>
      <w:r w:rsidRPr="00A0712C">
        <w:rPr>
          <w:sz w:val="24"/>
          <w:szCs w:val="24"/>
        </w:rPr>
        <w:t xml:space="preserve"> and no regulatory impact statement was required. The OIA reference number is </w:t>
      </w:r>
      <w:r w:rsidR="00AD1507" w:rsidRPr="00AD1507">
        <w:rPr>
          <w:sz w:val="24"/>
          <w:szCs w:val="24"/>
        </w:rPr>
        <w:t>OIA23-05340</w:t>
      </w:r>
      <w:r w:rsidR="00AD1507">
        <w:rPr>
          <w:sz w:val="24"/>
          <w:szCs w:val="24"/>
        </w:rPr>
        <w:t>.</w:t>
      </w:r>
    </w:p>
    <w:p w14:paraId="74ED40CC" w14:textId="3C83E3E6" w:rsidR="00D02102" w:rsidRPr="00D02102" w:rsidRDefault="00D02102" w:rsidP="00D02102">
      <w:pPr>
        <w:pStyle w:val="ESSubparaHeader"/>
        <w:keepNext w:val="0"/>
        <w:rPr>
          <w:sz w:val="24"/>
          <w:szCs w:val="24"/>
        </w:rPr>
      </w:pPr>
      <w:r w:rsidRPr="00D02102">
        <w:rPr>
          <w:sz w:val="24"/>
          <w:szCs w:val="24"/>
        </w:rPr>
        <w:t>No further consultation was undertaken as the instrument does not substantially alter existing arrangements and the current requirements are still necessary and appropriate.</w:t>
      </w:r>
    </w:p>
    <w:p w14:paraId="18B59B8E" w14:textId="3A40DB47" w:rsidR="001D0567" w:rsidRPr="00A0712C" w:rsidRDefault="001D0567" w:rsidP="00F11CEB">
      <w:pPr>
        <w:pStyle w:val="ESPara"/>
        <w:keepNext/>
        <w:numPr>
          <w:ilvl w:val="0"/>
          <w:numId w:val="0"/>
        </w:numPr>
        <w:rPr>
          <w:sz w:val="24"/>
          <w:szCs w:val="24"/>
        </w:rPr>
      </w:pPr>
      <w:r w:rsidRPr="00A0712C">
        <w:rPr>
          <w:b/>
          <w:i/>
          <w:sz w:val="24"/>
          <w:szCs w:val="24"/>
        </w:rPr>
        <w:t>Details of the instrument</w:t>
      </w:r>
    </w:p>
    <w:p w14:paraId="34E8A78B" w14:textId="4346FA1F" w:rsidR="001D0567" w:rsidRPr="00A0712C" w:rsidRDefault="001D0567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>Section 1 sets out the name of the instrument</w:t>
      </w:r>
      <w:r w:rsidR="00B43A26" w:rsidRPr="00A0712C">
        <w:rPr>
          <w:sz w:val="24"/>
          <w:szCs w:val="24"/>
        </w:rPr>
        <w:t>.</w:t>
      </w:r>
    </w:p>
    <w:p w14:paraId="58595445" w14:textId="6E62959D" w:rsidR="001D0567" w:rsidRPr="00A0712C" w:rsidRDefault="001D0567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>Section 2 provides for the commencement of the instrument</w:t>
      </w:r>
      <w:r w:rsidR="009A3D36" w:rsidRPr="009A3D36">
        <w:rPr>
          <w:sz w:val="24"/>
          <w:szCs w:val="24"/>
        </w:rPr>
        <w:t xml:space="preserve"> </w:t>
      </w:r>
      <w:r w:rsidR="009A3D36" w:rsidRPr="00264984">
        <w:rPr>
          <w:sz w:val="24"/>
          <w:szCs w:val="24"/>
        </w:rPr>
        <w:t>on the day after it is registered on the Federal Register of Legislation</w:t>
      </w:r>
      <w:r w:rsidR="00B43A26" w:rsidRPr="00A0712C">
        <w:rPr>
          <w:sz w:val="24"/>
          <w:szCs w:val="24"/>
        </w:rPr>
        <w:t>.</w:t>
      </w:r>
    </w:p>
    <w:p w14:paraId="7D531567" w14:textId="272DC018" w:rsidR="001D0567" w:rsidRPr="00A0712C" w:rsidRDefault="00343219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 xml:space="preserve">Section </w:t>
      </w:r>
      <w:r w:rsidR="009A3D36">
        <w:rPr>
          <w:sz w:val="24"/>
          <w:szCs w:val="24"/>
        </w:rPr>
        <w:t>3</w:t>
      </w:r>
      <w:r w:rsidRPr="00A0712C">
        <w:rPr>
          <w:sz w:val="24"/>
          <w:szCs w:val="24"/>
        </w:rPr>
        <w:t xml:space="preserve"> provide</w:t>
      </w:r>
      <w:r w:rsidR="00082CF4">
        <w:rPr>
          <w:sz w:val="24"/>
          <w:szCs w:val="24"/>
        </w:rPr>
        <w:t>s</w:t>
      </w:r>
      <w:r w:rsidRPr="00A0712C">
        <w:rPr>
          <w:sz w:val="24"/>
          <w:szCs w:val="24"/>
        </w:rPr>
        <w:t xml:space="preserve"> that </w:t>
      </w:r>
      <w:r w:rsidR="00844FF0">
        <w:rPr>
          <w:i/>
          <w:sz w:val="24"/>
          <w:szCs w:val="24"/>
        </w:rPr>
        <w:t xml:space="preserve">Migration Regulations 1994 – </w:t>
      </w:r>
      <w:r w:rsidR="00082CF4" w:rsidRPr="00082CF4">
        <w:rPr>
          <w:i/>
          <w:sz w:val="24"/>
          <w:szCs w:val="24"/>
        </w:rPr>
        <w:t xml:space="preserve">Specification of Eligible Managed Fund Investments - IMMI 13/092 </w:t>
      </w:r>
      <w:r w:rsidR="00082CF4" w:rsidRPr="00082CF4">
        <w:rPr>
          <w:sz w:val="24"/>
          <w:szCs w:val="24"/>
        </w:rPr>
        <w:t>(F2013L01571)</w:t>
      </w:r>
      <w:r w:rsidRPr="00A0712C">
        <w:rPr>
          <w:sz w:val="24"/>
          <w:szCs w:val="24"/>
        </w:rPr>
        <w:t xml:space="preserve"> is repealed.</w:t>
      </w:r>
    </w:p>
    <w:p w14:paraId="35B7E6C2" w14:textId="539BC079" w:rsidR="00A1657A" w:rsidRDefault="00394E48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 xml:space="preserve">Section </w:t>
      </w:r>
      <w:r w:rsidR="009A3D36">
        <w:rPr>
          <w:sz w:val="24"/>
          <w:szCs w:val="24"/>
        </w:rPr>
        <w:t>4</w:t>
      </w:r>
      <w:r w:rsidRPr="00A0712C">
        <w:rPr>
          <w:sz w:val="24"/>
          <w:szCs w:val="24"/>
        </w:rPr>
        <w:t xml:space="preserve"> </w:t>
      </w:r>
      <w:r w:rsidR="00082CF4">
        <w:rPr>
          <w:sz w:val="24"/>
          <w:szCs w:val="24"/>
        </w:rPr>
        <w:t>specifies</w:t>
      </w:r>
      <w:r w:rsidR="0093019A" w:rsidRPr="0093019A">
        <w:rPr>
          <w:sz w:val="24"/>
          <w:szCs w:val="24"/>
        </w:rPr>
        <w:t xml:space="preserve"> </w:t>
      </w:r>
      <w:r w:rsidR="0093019A">
        <w:rPr>
          <w:sz w:val="24"/>
          <w:szCs w:val="24"/>
        </w:rPr>
        <w:t>the purposes of</w:t>
      </w:r>
      <w:r w:rsidR="0093019A" w:rsidRPr="008E6BFA">
        <w:rPr>
          <w:sz w:val="24"/>
          <w:szCs w:val="24"/>
        </w:rPr>
        <w:t xml:space="preserve"> </w:t>
      </w:r>
      <w:r w:rsidR="0093019A">
        <w:rPr>
          <w:sz w:val="24"/>
          <w:szCs w:val="24"/>
        </w:rPr>
        <w:t>an investment</w:t>
      </w:r>
      <w:r w:rsidR="0093019A" w:rsidRPr="008E6BFA">
        <w:rPr>
          <w:sz w:val="24"/>
          <w:szCs w:val="24"/>
        </w:rPr>
        <w:t xml:space="preserve"> in </w:t>
      </w:r>
      <w:r w:rsidR="0093019A">
        <w:rPr>
          <w:sz w:val="24"/>
          <w:szCs w:val="24"/>
        </w:rPr>
        <w:t>a managed fund</w:t>
      </w:r>
      <w:r w:rsidR="0093019A" w:rsidRPr="008E6BFA">
        <w:rPr>
          <w:sz w:val="24"/>
          <w:szCs w:val="24"/>
        </w:rPr>
        <w:t xml:space="preserve"> under paragraph </w:t>
      </w:r>
      <w:proofErr w:type="gramStart"/>
      <w:r w:rsidR="0093019A" w:rsidRPr="008E6BFA">
        <w:rPr>
          <w:sz w:val="24"/>
          <w:szCs w:val="24"/>
        </w:rPr>
        <w:t>5.19B(</w:t>
      </w:r>
      <w:proofErr w:type="gramEnd"/>
      <w:r w:rsidR="0093019A" w:rsidRPr="008E6BFA">
        <w:rPr>
          <w:sz w:val="24"/>
          <w:szCs w:val="24"/>
        </w:rPr>
        <w:t>2)(c) of the Regulations</w:t>
      </w:r>
      <w:r w:rsidR="00082CF4">
        <w:rPr>
          <w:sz w:val="24"/>
          <w:szCs w:val="24"/>
        </w:rPr>
        <w:t>.</w:t>
      </w:r>
    </w:p>
    <w:p w14:paraId="6285170F" w14:textId="1B61535A" w:rsidR="00796244" w:rsidRPr="00A0712C" w:rsidRDefault="00A1657A">
      <w:pPr>
        <w:pStyle w:val="ESSubparaHeader"/>
      </w:pPr>
      <w:r>
        <w:rPr>
          <w:sz w:val="24"/>
          <w:szCs w:val="24"/>
        </w:rPr>
        <w:t xml:space="preserve">Section </w:t>
      </w:r>
      <w:r w:rsidR="009A3D3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84FE4">
        <w:rPr>
          <w:sz w:val="24"/>
          <w:szCs w:val="24"/>
        </w:rPr>
        <w:t xml:space="preserve">provides that the instrument </w:t>
      </w:r>
      <w:r w:rsidR="00211E2B">
        <w:rPr>
          <w:sz w:val="24"/>
          <w:szCs w:val="24"/>
        </w:rPr>
        <w:t xml:space="preserve">applies </w:t>
      </w:r>
      <w:r w:rsidR="002C56D9">
        <w:rPr>
          <w:sz w:val="24"/>
          <w:szCs w:val="24"/>
        </w:rPr>
        <w:t xml:space="preserve">in relation </w:t>
      </w:r>
      <w:r w:rsidR="00211E2B">
        <w:rPr>
          <w:sz w:val="24"/>
          <w:szCs w:val="24"/>
        </w:rPr>
        <w:t>to</w:t>
      </w:r>
      <w:r w:rsidR="002C56D9">
        <w:rPr>
          <w:sz w:val="24"/>
          <w:szCs w:val="24"/>
        </w:rPr>
        <w:t xml:space="preserve"> an application made by</w:t>
      </w:r>
      <w:r w:rsidR="008A3679" w:rsidRPr="008A3679">
        <w:rPr>
          <w:sz w:val="24"/>
          <w:szCs w:val="24"/>
        </w:rPr>
        <w:t xml:space="preserve"> a person </w:t>
      </w:r>
      <w:r w:rsidR="002C56D9">
        <w:rPr>
          <w:sz w:val="24"/>
          <w:szCs w:val="24"/>
        </w:rPr>
        <w:t xml:space="preserve">on or after the commencement date </w:t>
      </w:r>
      <w:r w:rsidR="008A3679" w:rsidRPr="008A3679">
        <w:rPr>
          <w:sz w:val="24"/>
          <w:szCs w:val="24"/>
        </w:rPr>
        <w:t>who</w:t>
      </w:r>
      <w:r w:rsidR="002C56D9">
        <w:rPr>
          <w:sz w:val="24"/>
          <w:szCs w:val="24"/>
        </w:rPr>
        <w:t>se most recently</w:t>
      </w:r>
      <w:r w:rsidR="008A3679" w:rsidRPr="008A3679">
        <w:rPr>
          <w:sz w:val="24"/>
          <w:szCs w:val="24"/>
        </w:rPr>
        <w:t xml:space="preserve"> held Subclass 188 </w:t>
      </w:r>
      <w:r w:rsidR="001731F7">
        <w:rPr>
          <w:sz w:val="24"/>
          <w:szCs w:val="24"/>
        </w:rPr>
        <w:t>(</w:t>
      </w:r>
      <w:r w:rsidR="008A3679" w:rsidRPr="008A3679">
        <w:rPr>
          <w:bCs/>
          <w:sz w:val="24"/>
          <w:szCs w:val="24"/>
        </w:rPr>
        <w:t>Business Innovation and Investment (Provisional)</w:t>
      </w:r>
      <w:r w:rsidR="001731F7">
        <w:rPr>
          <w:bCs/>
          <w:sz w:val="24"/>
          <w:szCs w:val="24"/>
        </w:rPr>
        <w:t>)</w:t>
      </w:r>
      <w:r w:rsidR="008A3679" w:rsidRPr="008A3679">
        <w:rPr>
          <w:b/>
          <w:bCs/>
          <w:sz w:val="24"/>
          <w:szCs w:val="24"/>
        </w:rPr>
        <w:t xml:space="preserve"> </w:t>
      </w:r>
      <w:r w:rsidR="008A3679" w:rsidRPr="008A3679">
        <w:rPr>
          <w:sz w:val="24"/>
          <w:szCs w:val="24"/>
        </w:rPr>
        <w:t xml:space="preserve">visa </w:t>
      </w:r>
      <w:r w:rsidR="00D02102">
        <w:rPr>
          <w:sz w:val="24"/>
          <w:szCs w:val="24"/>
        </w:rPr>
        <w:t xml:space="preserve">in the </w:t>
      </w:r>
      <w:r w:rsidR="00D02102" w:rsidRPr="00D878E8">
        <w:rPr>
          <w:sz w:val="24"/>
          <w:szCs w:val="24"/>
        </w:rPr>
        <w:t>Significant Investor</w:t>
      </w:r>
      <w:r w:rsidR="00D02102">
        <w:rPr>
          <w:sz w:val="24"/>
          <w:szCs w:val="24"/>
        </w:rPr>
        <w:t xml:space="preserve"> stream </w:t>
      </w:r>
      <w:r w:rsidR="002C56D9">
        <w:rPr>
          <w:sz w:val="24"/>
          <w:szCs w:val="24"/>
        </w:rPr>
        <w:t xml:space="preserve">was granted on the basis of an application made </w:t>
      </w:r>
      <w:r w:rsidR="008A3679" w:rsidRPr="008A3679">
        <w:rPr>
          <w:sz w:val="24"/>
          <w:szCs w:val="24"/>
        </w:rPr>
        <w:t>between 23 November 2013 and 30 June 2015</w:t>
      </w:r>
      <w:r w:rsidR="008A3679">
        <w:rPr>
          <w:sz w:val="24"/>
          <w:szCs w:val="24"/>
        </w:rPr>
        <w:t>.</w:t>
      </w:r>
    </w:p>
    <w:p w14:paraId="46E09278" w14:textId="63033627" w:rsidR="00CB5F93" w:rsidRPr="00A0712C" w:rsidRDefault="00CB5F93" w:rsidP="00F11CEB">
      <w:pPr>
        <w:pStyle w:val="ESSubparaList"/>
        <w:keepNext/>
        <w:numPr>
          <w:ilvl w:val="0"/>
          <w:numId w:val="0"/>
        </w:numPr>
        <w:rPr>
          <w:sz w:val="24"/>
          <w:szCs w:val="24"/>
        </w:rPr>
      </w:pPr>
      <w:r w:rsidRPr="00A0712C">
        <w:rPr>
          <w:b/>
          <w:i/>
          <w:sz w:val="24"/>
          <w:szCs w:val="24"/>
        </w:rPr>
        <w:t>Parliamentary scrutiny etc</w:t>
      </w:r>
      <w:r w:rsidRPr="00A0712C">
        <w:rPr>
          <w:sz w:val="24"/>
          <w:szCs w:val="24"/>
        </w:rPr>
        <w:t xml:space="preserve">.  </w:t>
      </w:r>
    </w:p>
    <w:p w14:paraId="7A64FE63" w14:textId="55C00E07" w:rsidR="00DD57D2" w:rsidRPr="00A0712C" w:rsidRDefault="00CB5F93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>The instrument is exempt from disallowance under section 42 of the Leg</w:t>
      </w:r>
      <w:r w:rsidR="00152FC3" w:rsidRPr="00A0712C">
        <w:rPr>
          <w:sz w:val="24"/>
          <w:szCs w:val="24"/>
        </w:rPr>
        <w:t>islation Act. This is because a legislative</w:t>
      </w:r>
      <w:r w:rsidRPr="00A0712C">
        <w:rPr>
          <w:sz w:val="24"/>
          <w:szCs w:val="24"/>
        </w:rPr>
        <w:t xml:space="preserve"> </w:t>
      </w:r>
      <w:r w:rsidR="006D10EA" w:rsidRPr="00A0712C">
        <w:rPr>
          <w:sz w:val="24"/>
          <w:szCs w:val="24"/>
        </w:rPr>
        <w:t>instrument made under Part 5</w:t>
      </w:r>
      <w:r w:rsidRPr="00A0712C">
        <w:rPr>
          <w:sz w:val="24"/>
          <w:szCs w:val="24"/>
        </w:rPr>
        <w:t xml:space="preserve"> of the Regulations is </w:t>
      </w:r>
      <w:r w:rsidR="00F84FE4" w:rsidRPr="00F84FE4">
        <w:rPr>
          <w:sz w:val="24"/>
          <w:szCs w:val="24"/>
        </w:rPr>
        <w:t xml:space="preserve">prescribed under section 10, item 20(b), of the </w:t>
      </w:r>
      <w:r w:rsidR="00F84FE4" w:rsidRPr="00F84FE4">
        <w:rPr>
          <w:i/>
          <w:sz w:val="24"/>
          <w:szCs w:val="24"/>
        </w:rPr>
        <w:t>Legislation (Exemptions and Other Matters) Regulation 2015</w:t>
      </w:r>
      <w:r w:rsidR="00F84FE4" w:rsidRPr="00F84FE4">
        <w:rPr>
          <w:sz w:val="24"/>
          <w:szCs w:val="24"/>
        </w:rPr>
        <w:t xml:space="preserve"> as an instrument not subject to disallowance</w:t>
      </w:r>
      <w:r w:rsidRPr="00A0712C">
        <w:rPr>
          <w:sz w:val="24"/>
          <w:szCs w:val="24"/>
        </w:rPr>
        <w:t>.</w:t>
      </w:r>
    </w:p>
    <w:p w14:paraId="681284C1" w14:textId="0E34DC38" w:rsidR="00152FC3" w:rsidRPr="00A0712C" w:rsidRDefault="00152FC3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lastRenderedPageBreak/>
        <w:t>As the instrument is exempt from disallowance, a Statement of Compatibility with Human Rights is not required.</w:t>
      </w:r>
    </w:p>
    <w:p w14:paraId="1B569666" w14:textId="0E2B1BC3" w:rsidR="00CB5F93" w:rsidRPr="00A0712C" w:rsidRDefault="00CB5F93" w:rsidP="00F11CEB">
      <w:pPr>
        <w:pStyle w:val="ESSubparaHeader"/>
        <w:keepNext w:val="0"/>
        <w:rPr>
          <w:sz w:val="24"/>
          <w:szCs w:val="24"/>
        </w:rPr>
      </w:pPr>
      <w:r w:rsidRPr="00A0712C">
        <w:rPr>
          <w:sz w:val="24"/>
          <w:szCs w:val="24"/>
        </w:rPr>
        <w:t xml:space="preserve">The instrument </w:t>
      </w:r>
      <w:r w:rsidR="00F84FE4">
        <w:rPr>
          <w:sz w:val="24"/>
          <w:szCs w:val="24"/>
        </w:rPr>
        <w:t>i</w:t>
      </w:r>
      <w:r w:rsidRPr="00A0712C">
        <w:rPr>
          <w:sz w:val="24"/>
          <w:szCs w:val="24"/>
        </w:rPr>
        <w:t>s made by the Minister</w:t>
      </w:r>
      <w:r w:rsidR="00F84FE4" w:rsidRPr="00F84FE4">
        <w:rPr>
          <w:rFonts w:eastAsia="Times New Roman"/>
          <w:sz w:val="20"/>
          <w:szCs w:val="20"/>
          <w:lang w:eastAsia="en-AU"/>
        </w:rPr>
        <w:t xml:space="preserve"> </w:t>
      </w:r>
      <w:r w:rsidR="00F84FE4" w:rsidRPr="00F84FE4">
        <w:rPr>
          <w:sz w:val="24"/>
          <w:szCs w:val="24"/>
        </w:rPr>
        <w:t>for Immigration, Citizenship and Multicultural Affairs</w:t>
      </w:r>
      <w:r w:rsidR="00F84FE4">
        <w:rPr>
          <w:sz w:val="24"/>
          <w:szCs w:val="24"/>
        </w:rPr>
        <w:t>,</w:t>
      </w:r>
      <w:r w:rsidRPr="00A0712C">
        <w:rPr>
          <w:sz w:val="24"/>
          <w:szCs w:val="24"/>
        </w:rPr>
        <w:t xml:space="preserve"> in accordance with </w:t>
      </w:r>
      <w:r w:rsidR="00112BE7" w:rsidRPr="00A0712C">
        <w:rPr>
          <w:sz w:val="24"/>
          <w:szCs w:val="24"/>
        </w:rPr>
        <w:t>paragraph</w:t>
      </w:r>
      <w:r w:rsidRPr="00A0712C">
        <w:rPr>
          <w:sz w:val="24"/>
          <w:szCs w:val="24"/>
        </w:rPr>
        <w:t xml:space="preserve"> </w:t>
      </w:r>
      <w:proofErr w:type="gramStart"/>
      <w:r w:rsidR="00736170" w:rsidRPr="00A0712C">
        <w:rPr>
          <w:sz w:val="24"/>
          <w:szCs w:val="24"/>
        </w:rPr>
        <w:t>5.19B(</w:t>
      </w:r>
      <w:proofErr w:type="gramEnd"/>
      <w:r w:rsidR="00736170" w:rsidRPr="00A0712C">
        <w:rPr>
          <w:sz w:val="24"/>
          <w:szCs w:val="24"/>
        </w:rPr>
        <w:t>2)(c)</w:t>
      </w:r>
      <w:r w:rsidRPr="00A0712C">
        <w:rPr>
          <w:sz w:val="24"/>
          <w:szCs w:val="24"/>
        </w:rPr>
        <w:t xml:space="preserve"> of the Regulations.</w:t>
      </w:r>
    </w:p>
    <w:sectPr w:rsidR="00CB5F93" w:rsidRPr="00A0712C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9080" w14:textId="77777777" w:rsidR="00760A9D" w:rsidRDefault="00760A9D" w:rsidP="00152FC3">
      <w:pPr>
        <w:spacing w:after="0" w:line="240" w:lineRule="auto"/>
      </w:pPr>
      <w:r>
        <w:separator/>
      </w:r>
    </w:p>
  </w:endnote>
  <w:endnote w:type="continuationSeparator" w:id="0">
    <w:p w14:paraId="36554B68" w14:textId="77777777" w:rsidR="00760A9D" w:rsidRDefault="00760A9D" w:rsidP="0015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F3AF" w14:textId="77777777" w:rsidR="007E1DFC" w:rsidRDefault="007E1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96D2" w14:textId="1E4F63E3" w:rsidR="00273F4C" w:rsidRPr="00273F4C" w:rsidRDefault="00071218" w:rsidP="00273F4C">
    <w:pPr>
      <w:pStyle w:val="Footer"/>
      <w:pBdr>
        <w:top w:val="single" w:sz="4" w:space="1" w:color="auto"/>
      </w:pBdr>
      <w:tabs>
        <w:tab w:val="left" w:pos="7035"/>
        <w:tab w:val="right" w:pos="9746"/>
      </w:tabs>
      <w:rPr>
        <w:sz w:val="16"/>
        <w:szCs w:val="16"/>
      </w:rPr>
    </w:pPr>
    <w:r w:rsidRPr="00897A67">
      <w:rPr>
        <w:rFonts w:ascii="Times New Roman" w:hAnsi="Times New Roman" w:cs="Times New Roman"/>
        <w:bCs/>
        <w:i/>
        <w:sz w:val="18"/>
        <w:szCs w:val="18"/>
      </w:rPr>
      <w:t>Migration (Purposes of Managed Fund Investments) Instrument (LIN 23/056) 2023</w:t>
    </w:r>
    <w:r w:rsidR="00273F4C" w:rsidRPr="00411FEA">
      <w:rPr>
        <w:sz w:val="16"/>
        <w:szCs w:val="16"/>
      </w:rPr>
      <w:tab/>
    </w:r>
    <w:r w:rsidR="00273F4C">
      <w:rPr>
        <w:sz w:val="16"/>
        <w:szCs w:val="16"/>
      </w:rPr>
      <w:tab/>
    </w:r>
    <w:r w:rsidR="00273F4C">
      <w:rPr>
        <w:sz w:val="16"/>
        <w:szCs w:val="16"/>
      </w:rPr>
      <w:tab/>
    </w:r>
    <w:r w:rsidR="00273F4C" w:rsidRPr="00411FEA">
      <w:rPr>
        <w:rStyle w:val="PageNumber"/>
        <w:sz w:val="16"/>
        <w:szCs w:val="16"/>
      </w:rPr>
      <w:fldChar w:fldCharType="begin"/>
    </w:r>
    <w:r w:rsidR="00273F4C" w:rsidRPr="00411FEA">
      <w:rPr>
        <w:rStyle w:val="PageNumber"/>
        <w:sz w:val="16"/>
        <w:szCs w:val="16"/>
      </w:rPr>
      <w:instrText xml:space="preserve"> PAGE </w:instrText>
    </w:r>
    <w:r w:rsidR="00273F4C" w:rsidRPr="00411FEA">
      <w:rPr>
        <w:rStyle w:val="PageNumber"/>
        <w:sz w:val="16"/>
        <w:szCs w:val="16"/>
      </w:rPr>
      <w:fldChar w:fldCharType="separate"/>
    </w:r>
    <w:r w:rsidR="007E1DFC">
      <w:rPr>
        <w:rStyle w:val="PageNumber"/>
        <w:noProof/>
        <w:sz w:val="16"/>
        <w:szCs w:val="16"/>
      </w:rPr>
      <w:t>2</w:t>
    </w:r>
    <w:r w:rsidR="00273F4C" w:rsidRPr="00411FEA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6341" w14:textId="77777777" w:rsidR="007E1DFC" w:rsidRDefault="007E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5840" w14:textId="77777777" w:rsidR="00760A9D" w:rsidRDefault="00760A9D" w:rsidP="00152FC3">
      <w:pPr>
        <w:spacing w:after="0" w:line="240" w:lineRule="auto"/>
      </w:pPr>
      <w:r>
        <w:separator/>
      </w:r>
    </w:p>
  </w:footnote>
  <w:footnote w:type="continuationSeparator" w:id="0">
    <w:p w14:paraId="55BD0AC4" w14:textId="77777777" w:rsidR="00760A9D" w:rsidRDefault="00760A9D" w:rsidP="0015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6DBE" w14:textId="77777777" w:rsidR="007E1DFC" w:rsidRDefault="007E1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ABDD" w14:textId="54850B5C" w:rsidR="00152FC3" w:rsidRPr="003413C8" w:rsidRDefault="00152FC3">
    <w:pPr>
      <w:pStyle w:val="Header"/>
      <w:rPr>
        <w:rFonts w:ascii="Times New Roman" w:hAnsi="Times New Roman" w:cs="Times New Roman"/>
        <w:i/>
        <w:sz w:val="18"/>
        <w:szCs w:val="18"/>
      </w:rPr>
    </w:pPr>
    <w:r w:rsidRPr="003413C8">
      <w:rPr>
        <w:rFonts w:ascii="Times New Roman" w:hAnsi="Times New Roman" w:cs="Times New Roman"/>
        <w:i/>
        <w:sz w:val="18"/>
        <w:szCs w:val="18"/>
      </w:rPr>
      <w:t>LIN 23/056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8554" w14:textId="77777777" w:rsidR="007E1DFC" w:rsidRDefault="007E1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F4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81FFC"/>
    <w:multiLevelType w:val="hybridMultilevel"/>
    <w:tmpl w:val="788E77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532A9"/>
    <w:multiLevelType w:val="hybridMultilevel"/>
    <w:tmpl w:val="7526A68A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D6"/>
    <w:rsid w:val="00006103"/>
    <w:rsid w:val="00026DC2"/>
    <w:rsid w:val="00034220"/>
    <w:rsid w:val="00042453"/>
    <w:rsid w:val="00071218"/>
    <w:rsid w:val="00071AE6"/>
    <w:rsid w:val="00072426"/>
    <w:rsid w:val="00082CF4"/>
    <w:rsid w:val="00084463"/>
    <w:rsid w:val="000D014F"/>
    <w:rsid w:val="000E3392"/>
    <w:rsid w:val="00100DFC"/>
    <w:rsid w:val="00112BE7"/>
    <w:rsid w:val="00152FC3"/>
    <w:rsid w:val="00161D58"/>
    <w:rsid w:val="001731F7"/>
    <w:rsid w:val="00184956"/>
    <w:rsid w:val="0019164E"/>
    <w:rsid w:val="00194CDD"/>
    <w:rsid w:val="001A49DB"/>
    <w:rsid w:val="001C3AFF"/>
    <w:rsid w:val="001C3E6C"/>
    <w:rsid w:val="001C4624"/>
    <w:rsid w:val="001D019C"/>
    <w:rsid w:val="001D0567"/>
    <w:rsid w:val="001D2180"/>
    <w:rsid w:val="001E116F"/>
    <w:rsid w:val="001E42D6"/>
    <w:rsid w:val="001E77D7"/>
    <w:rsid w:val="001F4078"/>
    <w:rsid w:val="001F4635"/>
    <w:rsid w:val="001F68AB"/>
    <w:rsid w:val="00204F87"/>
    <w:rsid w:val="00211E2B"/>
    <w:rsid w:val="00231C89"/>
    <w:rsid w:val="00233794"/>
    <w:rsid w:val="002402E0"/>
    <w:rsid w:val="002511ED"/>
    <w:rsid w:val="00264984"/>
    <w:rsid w:val="00273F4C"/>
    <w:rsid w:val="002939B3"/>
    <w:rsid w:val="00296C87"/>
    <w:rsid w:val="002A0A72"/>
    <w:rsid w:val="002A29C3"/>
    <w:rsid w:val="002C56D9"/>
    <w:rsid w:val="002C62D8"/>
    <w:rsid w:val="002D167E"/>
    <w:rsid w:val="002D42A9"/>
    <w:rsid w:val="002D6A5F"/>
    <w:rsid w:val="003010C7"/>
    <w:rsid w:val="00304B95"/>
    <w:rsid w:val="00327642"/>
    <w:rsid w:val="003413C8"/>
    <w:rsid w:val="00343219"/>
    <w:rsid w:val="00381042"/>
    <w:rsid w:val="003854F4"/>
    <w:rsid w:val="00394E48"/>
    <w:rsid w:val="003C2851"/>
    <w:rsid w:val="003F2487"/>
    <w:rsid w:val="004312D3"/>
    <w:rsid w:val="00457712"/>
    <w:rsid w:val="00457D4A"/>
    <w:rsid w:val="00464080"/>
    <w:rsid w:val="00472AB7"/>
    <w:rsid w:val="00482012"/>
    <w:rsid w:val="004834D3"/>
    <w:rsid w:val="004B2A59"/>
    <w:rsid w:val="004B3FFF"/>
    <w:rsid w:val="004C074E"/>
    <w:rsid w:val="004E7E8C"/>
    <w:rsid w:val="004F5CE4"/>
    <w:rsid w:val="00501D24"/>
    <w:rsid w:val="00505DEB"/>
    <w:rsid w:val="00520AA0"/>
    <w:rsid w:val="005275FF"/>
    <w:rsid w:val="00560658"/>
    <w:rsid w:val="00560B24"/>
    <w:rsid w:val="00560CEC"/>
    <w:rsid w:val="005624BD"/>
    <w:rsid w:val="005647D2"/>
    <w:rsid w:val="00564C5F"/>
    <w:rsid w:val="0057002B"/>
    <w:rsid w:val="00575FB9"/>
    <w:rsid w:val="00584A0E"/>
    <w:rsid w:val="00594862"/>
    <w:rsid w:val="005A3733"/>
    <w:rsid w:val="006009DB"/>
    <w:rsid w:val="00604E06"/>
    <w:rsid w:val="00604E2B"/>
    <w:rsid w:val="00653BC5"/>
    <w:rsid w:val="0065631F"/>
    <w:rsid w:val="0065687F"/>
    <w:rsid w:val="00686AEB"/>
    <w:rsid w:val="006B6623"/>
    <w:rsid w:val="006D10EA"/>
    <w:rsid w:val="006D2B7E"/>
    <w:rsid w:val="006D72EC"/>
    <w:rsid w:val="006E5CAF"/>
    <w:rsid w:val="006F6A00"/>
    <w:rsid w:val="007239CC"/>
    <w:rsid w:val="00736170"/>
    <w:rsid w:val="00736AED"/>
    <w:rsid w:val="00737352"/>
    <w:rsid w:val="007576AA"/>
    <w:rsid w:val="00760A9D"/>
    <w:rsid w:val="00763B0E"/>
    <w:rsid w:val="00764C66"/>
    <w:rsid w:val="007757C3"/>
    <w:rsid w:val="00796244"/>
    <w:rsid w:val="007C7286"/>
    <w:rsid w:val="007E1DFC"/>
    <w:rsid w:val="007E4691"/>
    <w:rsid w:val="007E46E4"/>
    <w:rsid w:val="007F3D31"/>
    <w:rsid w:val="0081307F"/>
    <w:rsid w:val="00844FF0"/>
    <w:rsid w:val="00864C0B"/>
    <w:rsid w:val="008726CE"/>
    <w:rsid w:val="0088407D"/>
    <w:rsid w:val="00897A67"/>
    <w:rsid w:val="008A3679"/>
    <w:rsid w:val="008A78F8"/>
    <w:rsid w:val="008B24C8"/>
    <w:rsid w:val="008C7F03"/>
    <w:rsid w:val="008E30A8"/>
    <w:rsid w:val="008E6BFA"/>
    <w:rsid w:val="009010FD"/>
    <w:rsid w:val="00915032"/>
    <w:rsid w:val="0093019A"/>
    <w:rsid w:val="009549D3"/>
    <w:rsid w:val="00970A32"/>
    <w:rsid w:val="0097234A"/>
    <w:rsid w:val="00975035"/>
    <w:rsid w:val="009773F9"/>
    <w:rsid w:val="00977C84"/>
    <w:rsid w:val="009A1D8D"/>
    <w:rsid w:val="009A3D36"/>
    <w:rsid w:val="009C4BEF"/>
    <w:rsid w:val="009C56C9"/>
    <w:rsid w:val="009D58A6"/>
    <w:rsid w:val="00A03E1A"/>
    <w:rsid w:val="00A0712C"/>
    <w:rsid w:val="00A075C5"/>
    <w:rsid w:val="00A1657A"/>
    <w:rsid w:val="00A37E76"/>
    <w:rsid w:val="00AA1D06"/>
    <w:rsid w:val="00AA4557"/>
    <w:rsid w:val="00AA4F77"/>
    <w:rsid w:val="00AB167C"/>
    <w:rsid w:val="00AD1507"/>
    <w:rsid w:val="00AD390B"/>
    <w:rsid w:val="00AD6682"/>
    <w:rsid w:val="00AE0EE6"/>
    <w:rsid w:val="00B021D4"/>
    <w:rsid w:val="00B406E6"/>
    <w:rsid w:val="00B40BB8"/>
    <w:rsid w:val="00B41C6A"/>
    <w:rsid w:val="00B43A26"/>
    <w:rsid w:val="00B445D9"/>
    <w:rsid w:val="00B46307"/>
    <w:rsid w:val="00B65A06"/>
    <w:rsid w:val="00B67175"/>
    <w:rsid w:val="00B75478"/>
    <w:rsid w:val="00B8267C"/>
    <w:rsid w:val="00B8386C"/>
    <w:rsid w:val="00B97AB3"/>
    <w:rsid w:val="00BB0CF2"/>
    <w:rsid w:val="00BC066E"/>
    <w:rsid w:val="00BD598E"/>
    <w:rsid w:val="00BD71AB"/>
    <w:rsid w:val="00BE3E7F"/>
    <w:rsid w:val="00BE4DDA"/>
    <w:rsid w:val="00BF5F11"/>
    <w:rsid w:val="00C172A9"/>
    <w:rsid w:val="00C32EE5"/>
    <w:rsid w:val="00C758B7"/>
    <w:rsid w:val="00C7780B"/>
    <w:rsid w:val="00C81A5E"/>
    <w:rsid w:val="00C930F2"/>
    <w:rsid w:val="00C948DD"/>
    <w:rsid w:val="00CA5778"/>
    <w:rsid w:val="00CA6F45"/>
    <w:rsid w:val="00CA7121"/>
    <w:rsid w:val="00CB13AF"/>
    <w:rsid w:val="00CB5F93"/>
    <w:rsid w:val="00CD7871"/>
    <w:rsid w:val="00D02102"/>
    <w:rsid w:val="00D031EB"/>
    <w:rsid w:val="00D33C0A"/>
    <w:rsid w:val="00D40E1E"/>
    <w:rsid w:val="00D5591E"/>
    <w:rsid w:val="00D5734D"/>
    <w:rsid w:val="00D878E8"/>
    <w:rsid w:val="00D933E0"/>
    <w:rsid w:val="00D94227"/>
    <w:rsid w:val="00DA11A6"/>
    <w:rsid w:val="00DD57D2"/>
    <w:rsid w:val="00E03DCC"/>
    <w:rsid w:val="00E31FD5"/>
    <w:rsid w:val="00E37D84"/>
    <w:rsid w:val="00E45FE2"/>
    <w:rsid w:val="00E57396"/>
    <w:rsid w:val="00E82E2D"/>
    <w:rsid w:val="00E863F6"/>
    <w:rsid w:val="00EA12C9"/>
    <w:rsid w:val="00EB710E"/>
    <w:rsid w:val="00EC3A34"/>
    <w:rsid w:val="00EF69AA"/>
    <w:rsid w:val="00F11CEB"/>
    <w:rsid w:val="00F7378A"/>
    <w:rsid w:val="00F84FE4"/>
    <w:rsid w:val="00FB523E"/>
    <w:rsid w:val="00FC4DDC"/>
    <w:rsid w:val="00FD147F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27E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4D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customStyle="1" w:styleId="acthead5">
    <w:name w:val="acthead5"/>
    <w:basedOn w:val="Normal"/>
    <w:rsid w:val="0065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65631F"/>
  </w:style>
  <w:style w:type="paragraph" w:customStyle="1" w:styleId="subsection">
    <w:name w:val="subsection"/>
    <w:basedOn w:val="Normal"/>
    <w:rsid w:val="0065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65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65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563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1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D57D2"/>
    <w:pPr>
      <w:spacing w:after="0" w:line="240" w:lineRule="auto"/>
      <w:ind w:hanging="22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DD57D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5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FC3"/>
  </w:style>
  <w:style w:type="paragraph" w:styleId="Footer">
    <w:name w:val="footer"/>
    <w:basedOn w:val="Normal"/>
    <w:link w:val="FooterChar"/>
    <w:unhideWhenUsed/>
    <w:rsid w:val="0015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C3"/>
  </w:style>
  <w:style w:type="character" w:customStyle="1" w:styleId="Heading1Char">
    <w:name w:val="Heading 1 Char"/>
    <w:basedOn w:val="DefaultParagraphFont"/>
    <w:link w:val="Heading1"/>
    <w:rsid w:val="00BE4DDA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rsid w:val="00273F4C"/>
  </w:style>
  <w:style w:type="character" w:customStyle="1" w:styleId="ui-provider">
    <w:name w:val="ui-provider"/>
    <w:basedOn w:val="DefaultParagraphFont"/>
    <w:rsid w:val="0019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4509-A299-4C00-A490-4FB6E401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2023-09-19T00:02:00Z</dcterms:created>
  <dcterms:modified xsi:type="dcterms:W3CDTF">2023-09-19T00:02:00Z</dcterms:modified>
</cp:coreProperties>
</file>