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A2BDB" w14:textId="083CC1E9" w:rsidR="00565087" w:rsidRPr="005F1388" w:rsidRDefault="00565087" w:rsidP="00565087">
      <w:pPr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A9B4E90" wp14:editId="6223889C">
            <wp:simplePos x="1143000" y="141732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DB3">
        <w:rPr>
          <w:sz w:val="28"/>
        </w:rPr>
        <w:br w:type="textWrapping" w:clear="all"/>
      </w:r>
      <w:bookmarkStart w:id="0" w:name="_GoBack"/>
      <w:bookmarkEnd w:id="0"/>
    </w:p>
    <w:p w14:paraId="70115F73" w14:textId="77777777" w:rsidR="00565087" w:rsidRPr="00E500D4" w:rsidRDefault="00565087" w:rsidP="00565087">
      <w:pPr>
        <w:rPr>
          <w:sz w:val="19"/>
        </w:rPr>
      </w:pPr>
    </w:p>
    <w:p w14:paraId="6587B862" w14:textId="77777777" w:rsidR="00565087" w:rsidRPr="00E500D4" w:rsidRDefault="00565087" w:rsidP="00565087">
      <w:pPr>
        <w:pStyle w:val="ShortT"/>
      </w:pPr>
      <w:r w:rsidRPr="004D1D7E">
        <w:t>Telecommunications (Carrier Licence Exemption) (</w:t>
      </w:r>
      <w:r>
        <w:t>ICON, DDTS, Electricity and Water Distribution) (Use for specified purposes</w:t>
      </w:r>
      <w:r w:rsidRPr="004D1D7E">
        <w:t xml:space="preserve">) Determination 2023 </w:t>
      </w:r>
    </w:p>
    <w:p w14:paraId="22B98050" w14:textId="77777777" w:rsidR="00565087" w:rsidRPr="00DA182D" w:rsidRDefault="00565087" w:rsidP="00565087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Michelle Rowland</w:t>
      </w:r>
      <w:r w:rsidRPr="00DA182D">
        <w:rPr>
          <w:szCs w:val="22"/>
        </w:rPr>
        <w:t xml:space="preserve">, </w:t>
      </w:r>
      <w:r>
        <w:rPr>
          <w:szCs w:val="22"/>
        </w:rPr>
        <w:t>Minister for Communications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417C4871" w14:textId="24667B4E" w:rsidR="00565087" w:rsidRDefault="00565087" w:rsidP="0056508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348A8">
        <w:rPr>
          <w:szCs w:val="22"/>
        </w:rPr>
        <w:t>14</w:t>
      </w:r>
      <w:r w:rsidR="005348A8" w:rsidRPr="005348A8">
        <w:rPr>
          <w:szCs w:val="22"/>
          <w:vertAlign w:val="superscript"/>
        </w:rPr>
        <w:t>th</w:t>
      </w:r>
      <w:r w:rsidR="005348A8">
        <w:rPr>
          <w:szCs w:val="22"/>
        </w:rPr>
        <w:t xml:space="preserve"> September 2023</w:t>
      </w:r>
    </w:p>
    <w:p w14:paraId="57F3E68C" w14:textId="1CD596C1" w:rsidR="00565087" w:rsidRPr="00F65117" w:rsidRDefault="00565087" w:rsidP="00565087">
      <w:pPr>
        <w:keepNext/>
        <w:spacing w:before="300" w:line="240" w:lineRule="atLeast"/>
        <w:ind w:right="397"/>
        <w:jc w:val="both"/>
        <w:rPr>
          <w:rFonts w:ascii="Arial Narrow" w:hAnsi="Arial Narrow"/>
          <w:b/>
          <w:i/>
          <w:color w:val="002060"/>
          <w:szCs w:val="22"/>
        </w:rPr>
      </w:pPr>
    </w:p>
    <w:p w14:paraId="42E07E59" w14:textId="21235276" w:rsidR="00565087" w:rsidRDefault="00565087" w:rsidP="0056508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D4C93">
        <w:rPr>
          <w:szCs w:val="22"/>
        </w:rPr>
        <w:t>Michelle Rowland</w:t>
      </w:r>
    </w:p>
    <w:p w14:paraId="395BEEFB" w14:textId="77777777" w:rsidR="00565087" w:rsidRPr="00E65247" w:rsidRDefault="00565087" w:rsidP="00565087">
      <w:pPr>
        <w:pStyle w:val="SignCoverPageEnd"/>
        <w:ind w:right="91"/>
        <w:rPr>
          <w:caps/>
          <w:sz w:val="22"/>
        </w:rPr>
      </w:pPr>
      <w:r w:rsidRPr="00E65247">
        <w:rPr>
          <w:caps/>
          <w:sz w:val="22"/>
        </w:rPr>
        <w:t>Minister for Communications</w:t>
      </w:r>
    </w:p>
    <w:p w14:paraId="16EBD413" w14:textId="77777777" w:rsidR="00565087" w:rsidRPr="00ED79B6" w:rsidRDefault="00565087" w:rsidP="00565087">
      <w:r>
        <w:br w:type="column"/>
      </w:r>
    </w:p>
    <w:p w14:paraId="70339BEA" w14:textId="77777777" w:rsidR="00565087" w:rsidRDefault="00565087" w:rsidP="00565087"/>
    <w:p w14:paraId="06F156FF" w14:textId="77777777" w:rsidR="00565087" w:rsidRDefault="00565087" w:rsidP="00565087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4156899D" w14:textId="7C5EBAAA" w:rsidR="006D7B21" w:rsidRDefault="0056508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D7B21">
        <w:rPr>
          <w:noProof/>
        </w:rPr>
        <w:t>Part 1—Preliminary</w:t>
      </w:r>
      <w:r w:rsidR="006D7B21">
        <w:rPr>
          <w:noProof/>
        </w:rPr>
        <w:tab/>
      </w:r>
      <w:r w:rsidR="006D7B21">
        <w:rPr>
          <w:noProof/>
        </w:rPr>
        <w:fldChar w:fldCharType="begin"/>
      </w:r>
      <w:r w:rsidR="006D7B21">
        <w:rPr>
          <w:noProof/>
        </w:rPr>
        <w:instrText xml:space="preserve"> PAGEREF _Toc145327713 \h </w:instrText>
      </w:r>
      <w:r w:rsidR="006D7B21">
        <w:rPr>
          <w:noProof/>
        </w:rPr>
      </w:r>
      <w:r w:rsidR="006D7B21">
        <w:rPr>
          <w:noProof/>
        </w:rPr>
        <w:fldChar w:fldCharType="separate"/>
      </w:r>
      <w:r w:rsidR="006D7B21">
        <w:rPr>
          <w:noProof/>
        </w:rPr>
        <w:t>3</w:t>
      </w:r>
      <w:r w:rsidR="006D7B21">
        <w:rPr>
          <w:noProof/>
        </w:rPr>
        <w:fldChar w:fldCharType="end"/>
      </w:r>
    </w:p>
    <w:p w14:paraId="2FEA2C3F" w14:textId="364BB4B5" w:rsidR="006D7B21" w:rsidRDefault="006D7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B0290E" w14:textId="09BDC140" w:rsidR="006D7B21" w:rsidRDefault="006D7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23D275" w14:textId="51AD7B04" w:rsidR="006D7B21" w:rsidRDefault="006D7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4D9A37" w14:textId="248B2342" w:rsidR="006D7B21" w:rsidRDefault="006D7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321DCF0" w14:textId="5FFCB16B" w:rsidR="006D7B21" w:rsidRDefault="006D7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525BC6E" w14:textId="3DC17100" w:rsidR="006D7B21" w:rsidRDefault="006D7B2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2—Exemptions and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3BA9F41" w14:textId="753F2ABB" w:rsidR="006D7B21" w:rsidRDefault="006D7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Designated ICON Communications Infrastructure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97C4B8B" w14:textId="246E3668" w:rsidR="006D7B21" w:rsidRDefault="006D7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Designated DDTS Communications Infrastructure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06ADF8C" w14:textId="5ADEE09C" w:rsidR="006D7B21" w:rsidRDefault="006D7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Designated ActewAGL Corporation Communications Infrastructure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F0EE5B5" w14:textId="1A5F741D" w:rsidR="006D7B21" w:rsidRDefault="006D7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Designated Water Corporation Communications Infrastructure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98F4784" w14:textId="7363EE0F" w:rsidR="006D7B21" w:rsidRDefault="006D7B2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747C0">
        <w:rPr>
          <w:bCs/>
          <w:noProof/>
          <w:color w:val="000000"/>
        </w:rPr>
        <w:t>Schedule 1—</w:t>
      </w:r>
      <w:r>
        <w:rPr>
          <w:noProof/>
        </w:rPr>
        <w:t>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_Toc145327724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925F801" w14:textId="1611BB99" w:rsidR="00565087" w:rsidRDefault="00565087" w:rsidP="00565087">
      <w:pPr>
        <w:outlineLvl w:val="0"/>
      </w:pPr>
      <w:r>
        <w:fldChar w:fldCharType="end"/>
      </w:r>
    </w:p>
    <w:p w14:paraId="10A7F0DE" w14:textId="77777777" w:rsidR="00565087" w:rsidRPr="00F65117" w:rsidRDefault="00565087" w:rsidP="00565087">
      <w:pPr>
        <w:outlineLvl w:val="0"/>
        <w:rPr>
          <w:rFonts w:ascii="Arial Narrow" w:hAnsi="Arial Narrow"/>
          <w:b/>
          <w:i/>
          <w:color w:val="002060"/>
          <w:sz w:val="20"/>
        </w:rPr>
      </w:pPr>
    </w:p>
    <w:p w14:paraId="15D03876" w14:textId="4ACEF83B" w:rsidR="00565087" w:rsidRPr="00E85B2E" w:rsidRDefault="00E85B2E" w:rsidP="00565087">
      <w:pPr>
        <w:pStyle w:val="ActHead2"/>
      </w:pPr>
      <w:bookmarkStart w:id="1" w:name="_Toc141356284"/>
      <w:r>
        <w:rPr>
          <w:rStyle w:val="CharPartNo"/>
          <w:rFonts w:ascii="Arial" w:hAnsi="Arial" w:cs="Arial"/>
        </w:rPr>
        <w:br w:type="column"/>
      </w:r>
      <w:bookmarkStart w:id="2" w:name="_Toc145327713"/>
      <w:r w:rsidR="00565087" w:rsidRPr="00E85B2E">
        <w:rPr>
          <w:rStyle w:val="CharPartNo"/>
        </w:rPr>
        <w:lastRenderedPageBreak/>
        <w:t>Part 1</w:t>
      </w:r>
      <w:r w:rsidR="00565087" w:rsidRPr="00E85B2E">
        <w:t>—</w:t>
      </w:r>
      <w:r w:rsidR="00565087" w:rsidRPr="00E85B2E">
        <w:rPr>
          <w:rStyle w:val="CharPartText"/>
        </w:rPr>
        <w:t>Preliminary</w:t>
      </w:r>
      <w:bookmarkEnd w:id="1"/>
      <w:bookmarkEnd w:id="2"/>
      <w:r w:rsidR="00565087" w:rsidRPr="00E85B2E">
        <w:rPr>
          <w:rStyle w:val="CharDivText"/>
        </w:rPr>
        <w:t xml:space="preserve"> </w:t>
      </w:r>
    </w:p>
    <w:p w14:paraId="7012C91A" w14:textId="77777777" w:rsidR="00565087" w:rsidRPr="00554826" w:rsidRDefault="00565087" w:rsidP="00565087">
      <w:pPr>
        <w:pStyle w:val="ActHead5"/>
      </w:pPr>
      <w:bookmarkStart w:id="3" w:name="_Toc145327714"/>
      <w:proofErr w:type="gramStart"/>
      <w:r w:rsidRPr="00554826">
        <w:t>1  Name</w:t>
      </w:r>
      <w:bookmarkEnd w:id="3"/>
      <w:proofErr w:type="gramEnd"/>
    </w:p>
    <w:p w14:paraId="1BB9DA2A" w14:textId="77777777" w:rsidR="00565087" w:rsidRDefault="00565087" w:rsidP="00565087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Pr="00ED5147">
        <w:rPr>
          <w:i/>
        </w:rPr>
        <w:t xml:space="preserve">Telecommunications (Carrier Licence </w:t>
      </w:r>
      <w:proofErr w:type="gramStart"/>
      <w:r w:rsidRPr="00ED5147">
        <w:rPr>
          <w:i/>
        </w:rPr>
        <w:t xml:space="preserve">Exemption) </w:t>
      </w:r>
      <w:r>
        <w:rPr>
          <w:i/>
        </w:rPr>
        <w:t xml:space="preserve">  </w:t>
      </w:r>
      <w:proofErr w:type="gramEnd"/>
      <w:r>
        <w:rPr>
          <w:i/>
        </w:rPr>
        <w:t xml:space="preserve">                 </w:t>
      </w:r>
      <w:r w:rsidRPr="00ED5147">
        <w:rPr>
          <w:i/>
        </w:rPr>
        <w:t>(</w:t>
      </w:r>
      <w:r w:rsidRPr="004B1575">
        <w:rPr>
          <w:i/>
        </w:rPr>
        <w:t xml:space="preserve">ICON, DDTS, Electricity and </w:t>
      </w:r>
      <w:r>
        <w:rPr>
          <w:i/>
        </w:rPr>
        <w:t>Water Distribution</w:t>
      </w:r>
      <w:r w:rsidRPr="00ED5147">
        <w:rPr>
          <w:i/>
        </w:rPr>
        <w:t>) (Use for specified purposes) Determination 2023</w:t>
      </w:r>
      <w:r w:rsidRPr="009C2562">
        <w:t>.</w:t>
      </w:r>
    </w:p>
    <w:p w14:paraId="43F35081" w14:textId="77777777" w:rsidR="00565087" w:rsidRPr="00554826" w:rsidRDefault="00565087" w:rsidP="00565087">
      <w:pPr>
        <w:pStyle w:val="ActHead5"/>
      </w:pPr>
      <w:bookmarkStart w:id="5" w:name="_Toc145327715"/>
      <w:proofErr w:type="gramStart"/>
      <w:r w:rsidRPr="00554826">
        <w:t>2  Commencement</w:t>
      </w:r>
      <w:bookmarkEnd w:id="5"/>
      <w:proofErr w:type="gramEnd"/>
    </w:p>
    <w:p w14:paraId="68643722" w14:textId="77777777" w:rsidR="00565087" w:rsidRDefault="00565087" w:rsidP="00565087">
      <w:pPr>
        <w:pStyle w:val="subsection"/>
      </w:pPr>
      <w:r>
        <w:tab/>
      </w:r>
      <w:r>
        <w:tab/>
        <w:t xml:space="preserve">This instrument commences on the day after it is registered. </w:t>
      </w:r>
    </w:p>
    <w:p w14:paraId="67A3FE1F" w14:textId="77777777" w:rsidR="00565087" w:rsidRPr="009C2562" w:rsidRDefault="00565087" w:rsidP="00565087">
      <w:pPr>
        <w:pStyle w:val="ActHead5"/>
      </w:pPr>
      <w:bookmarkStart w:id="6" w:name="_Toc131165442"/>
      <w:bookmarkStart w:id="7" w:name="_Toc14532771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  <w:proofErr w:type="gramEnd"/>
    </w:p>
    <w:p w14:paraId="1958E53F" w14:textId="77777777" w:rsidR="00565087" w:rsidRDefault="00565087" w:rsidP="00565087">
      <w:pPr>
        <w:pStyle w:val="subsection"/>
      </w:pPr>
      <w:r>
        <w:tab/>
      </w:r>
      <w:r>
        <w:tab/>
      </w:r>
      <w:r w:rsidRPr="00006317">
        <w:t xml:space="preserve">This instrument is made under paragraph 51(1)(c) of the </w:t>
      </w:r>
      <w:r w:rsidRPr="00006317">
        <w:rPr>
          <w:i/>
        </w:rPr>
        <w:t>Telecommunications Act 1997</w:t>
      </w:r>
      <w:r w:rsidRPr="00006317">
        <w:t>.</w:t>
      </w:r>
    </w:p>
    <w:p w14:paraId="025F70A4" w14:textId="118A7A2D" w:rsidR="00565087" w:rsidRPr="00554826" w:rsidRDefault="00565087" w:rsidP="00565087">
      <w:pPr>
        <w:pStyle w:val="ActHead5"/>
      </w:pPr>
      <w:bookmarkStart w:id="8" w:name="_Toc145327717"/>
      <w:bookmarkStart w:id="9" w:name="_Toc131165443"/>
      <w:proofErr w:type="gramStart"/>
      <w:r w:rsidRPr="00554826">
        <w:t>4  Definitions</w:t>
      </w:r>
      <w:bookmarkEnd w:id="8"/>
      <w:proofErr w:type="gramEnd"/>
    </w:p>
    <w:p w14:paraId="2270F362" w14:textId="77777777" w:rsidR="00565087" w:rsidRPr="009C2562" w:rsidRDefault="00565087" w:rsidP="00565087">
      <w:pPr>
        <w:pStyle w:val="notetext"/>
      </w:pPr>
      <w:r w:rsidRPr="009C2562">
        <w:t>Note</w:t>
      </w:r>
      <w:r>
        <w:t xml:space="preserve"> 1</w:t>
      </w:r>
      <w:r w:rsidRPr="009C2562">
        <w:t>:</w:t>
      </w:r>
      <w:r w:rsidRPr="009C2562">
        <w:tab/>
        <w:t xml:space="preserve">A number of expressions used in this instrument are defined in </w:t>
      </w:r>
      <w:r>
        <w:t>section 7 of the Act</w:t>
      </w:r>
      <w:r w:rsidRPr="009C2562">
        <w:t>, including the following:</w:t>
      </w:r>
    </w:p>
    <w:p w14:paraId="6235CC18" w14:textId="77777777" w:rsidR="00565087" w:rsidRPr="009C2562" w:rsidRDefault="00565087" w:rsidP="00565087">
      <w:pPr>
        <w:pStyle w:val="notepara"/>
      </w:pPr>
      <w:r w:rsidRPr="009C2562">
        <w:t>(a)</w:t>
      </w:r>
      <w:r w:rsidRPr="009C2562">
        <w:tab/>
      </w:r>
      <w:r>
        <w:t>ACMA</w:t>
      </w:r>
      <w:r w:rsidRPr="009C2562">
        <w:t>;</w:t>
      </w:r>
      <w:r>
        <w:t xml:space="preserve"> and </w:t>
      </w:r>
    </w:p>
    <w:p w14:paraId="44E3AF3A" w14:textId="77777777" w:rsidR="00565087" w:rsidRPr="009C2562" w:rsidRDefault="00565087" w:rsidP="00565087">
      <w:pPr>
        <w:pStyle w:val="notepara"/>
      </w:pPr>
      <w:r w:rsidRPr="009C2562">
        <w:t>(b)</w:t>
      </w:r>
      <w:r w:rsidRPr="009C2562">
        <w:tab/>
      </w:r>
      <w:r>
        <w:t>carriage service.</w:t>
      </w:r>
    </w:p>
    <w:p w14:paraId="6DC61D3C" w14:textId="77777777" w:rsidR="00565087" w:rsidRPr="00205D9D" w:rsidRDefault="00565087" w:rsidP="00565087">
      <w:pPr>
        <w:pStyle w:val="notetext"/>
      </w:pPr>
      <w:r w:rsidRPr="00205D9D">
        <w:t xml:space="preserve">Note 2: </w:t>
      </w:r>
      <w:r w:rsidRPr="00205D9D">
        <w:tab/>
        <w:t xml:space="preserve">The expression ‘core function’ used in this </w:t>
      </w:r>
      <w:r>
        <w:t xml:space="preserve">instrument </w:t>
      </w:r>
      <w:r w:rsidRPr="00205D9D">
        <w:t>has the meaning given by subsection 23(11) of the Act</w:t>
      </w:r>
      <w:r>
        <w:t>.</w:t>
      </w:r>
    </w:p>
    <w:p w14:paraId="645C667A" w14:textId="77777777" w:rsidR="00565087" w:rsidRPr="009C2562" w:rsidRDefault="00565087" w:rsidP="00565087">
      <w:pPr>
        <w:pStyle w:val="subsection"/>
      </w:pPr>
      <w:r w:rsidRPr="009C2562">
        <w:tab/>
      </w:r>
      <w:r w:rsidRPr="009C2562">
        <w:tab/>
        <w:t>In this instrument:</w:t>
      </w:r>
    </w:p>
    <w:p w14:paraId="47D454E0" w14:textId="77777777" w:rsidR="00565087" w:rsidRPr="009C2562" w:rsidRDefault="00565087" w:rsidP="00565087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Pr="00963861">
        <w:rPr>
          <w:i/>
        </w:rPr>
        <w:t>Telecommunications Act 1997</w:t>
      </w:r>
      <w:r w:rsidRPr="000E7B0C">
        <w:t>.</w:t>
      </w:r>
    </w:p>
    <w:p w14:paraId="37C8E733" w14:textId="77777777" w:rsidR="00565087" w:rsidRPr="00205D9D" w:rsidRDefault="00565087" w:rsidP="00565087">
      <w:pPr>
        <w:pStyle w:val="Definition"/>
        <w:rPr>
          <w:b/>
          <w:i/>
        </w:rPr>
      </w:pPr>
      <w:proofErr w:type="spellStart"/>
      <w:r w:rsidRPr="00205D9D">
        <w:rPr>
          <w:b/>
          <w:i/>
        </w:rPr>
        <w:t>ActewAGL</w:t>
      </w:r>
      <w:proofErr w:type="spellEnd"/>
      <w:r w:rsidRPr="00205D9D">
        <w:rPr>
          <w:b/>
          <w:i/>
        </w:rPr>
        <w:t xml:space="preserve"> </w:t>
      </w:r>
      <w:r>
        <w:rPr>
          <w:b/>
          <w:i/>
        </w:rPr>
        <w:t xml:space="preserve">Corporation </w:t>
      </w:r>
      <w:r w:rsidRPr="00205D9D">
        <w:t>means any one or more of the following entities:</w:t>
      </w:r>
      <w:r w:rsidRPr="00205D9D">
        <w:rPr>
          <w:b/>
          <w:i/>
        </w:rPr>
        <w:t xml:space="preserve"> </w:t>
      </w:r>
    </w:p>
    <w:p w14:paraId="315A507E" w14:textId="77777777" w:rsidR="00565087" w:rsidRDefault="00565087" w:rsidP="00565087">
      <w:pPr>
        <w:pStyle w:val="Definition"/>
        <w:numPr>
          <w:ilvl w:val="0"/>
          <w:numId w:val="8"/>
        </w:numPr>
      </w:pPr>
      <w:r w:rsidRPr="00205D9D">
        <w:t xml:space="preserve">the partnership between </w:t>
      </w:r>
      <w:r>
        <w:t xml:space="preserve">Icon Investments Limited </w:t>
      </w:r>
      <w:r w:rsidRPr="00205D9D">
        <w:t xml:space="preserve">(ACN 073 025 224) and Jemena Networks (ACT) Pty Ltd (ACN 008 552 663), trading </w:t>
      </w:r>
      <w:r>
        <w:t xml:space="preserve">principally as </w:t>
      </w:r>
      <w:proofErr w:type="spellStart"/>
      <w:r>
        <w:t>Evoenergy</w:t>
      </w:r>
      <w:proofErr w:type="spellEnd"/>
      <w:r>
        <w:t xml:space="preserve"> </w:t>
      </w:r>
      <w:r w:rsidRPr="00205D9D">
        <w:t>(ABN 76 670 568 688); or</w:t>
      </w:r>
    </w:p>
    <w:p w14:paraId="70CEB7C1" w14:textId="77777777" w:rsidR="00565087" w:rsidRDefault="00565087" w:rsidP="00565087">
      <w:pPr>
        <w:pStyle w:val="Definition"/>
        <w:numPr>
          <w:ilvl w:val="0"/>
          <w:numId w:val="8"/>
        </w:numPr>
      </w:pPr>
      <w:proofErr w:type="spellStart"/>
      <w:r w:rsidRPr="00205D9D">
        <w:t>Actew</w:t>
      </w:r>
      <w:proofErr w:type="spellEnd"/>
      <w:r>
        <w:t xml:space="preserve"> Retail Investments </w:t>
      </w:r>
      <w:r w:rsidRPr="00205D9D">
        <w:t>Pty Ltd (ACN 157 684 994); or</w:t>
      </w:r>
    </w:p>
    <w:p w14:paraId="456C59FA" w14:textId="77777777" w:rsidR="00565087" w:rsidRPr="00205D9D" w:rsidRDefault="00565087" w:rsidP="00565087">
      <w:pPr>
        <w:pStyle w:val="Definition"/>
        <w:numPr>
          <w:ilvl w:val="0"/>
          <w:numId w:val="8"/>
        </w:numPr>
      </w:pPr>
      <w:r w:rsidRPr="00205D9D">
        <w:t>a related body corporate of an entity referred to in paragraph (a) or (b) above.</w:t>
      </w:r>
    </w:p>
    <w:p w14:paraId="455ECA1D" w14:textId="359D8AF0" w:rsidR="00E85B2E" w:rsidRPr="00947570" w:rsidRDefault="00E85B2E" w:rsidP="00E85B2E">
      <w:pPr>
        <w:pStyle w:val="Definition"/>
      </w:pPr>
      <w:r w:rsidRPr="00E85B2E">
        <w:rPr>
          <w:b/>
          <w:i/>
        </w:rPr>
        <w:t xml:space="preserve">Designated </w:t>
      </w:r>
      <w:proofErr w:type="spellStart"/>
      <w:r w:rsidR="00E3016C" w:rsidRPr="00E3016C">
        <w:rPr>
          <w:b/>
          <w:i/>
        </w:rPr>
        <w:t>ActewAGL</w:t>
      </w:r>
      <w:proofErr w:type="spellEnd"/>
      <w:r w:rsidR="00E3016C" w:rsidRPr="00483E6B">
        <w:t xml:space="preserve"> </w:t>
      </w:r>
      <w:r w:rsidRPr="00E85B2E">
        <w:rPr>
          <w:b/>
          <w:i/>
        </w:rPr>
        <w:t>Corporation Communications Infrastructure</w:t>
      </w:r>
      <w:r>
        <w:rPr>
          <w:b/>
          <w:i/>
        </w:rPr>
        <w:t xml:space="preserve"> </w:t>
      </w:r>
      <w:r w:rsidRPr="00947570">
        <w:t>means the telecommunications infrastructure comprising line links that are:</w:t>
      </w:r>
    </w:p>
    <w:p w14:paraId="607C9E30" w14:textId="06DB5703" w:rsidR="00E85B2E" w:rsidRPr="00947570" w:rsidRDefault="00E85B2E" w:rsidP="00E85B2E">
      <w:pPr>
        <w:pStyle w:val="Definition"/>
      </w:pPr>
      <w:r w:rsidRPr="00947570">
        <w:t>(a)</w:t>
      </w:r>
      <w:r w:rsidRPr="00947570">
        <w:tab/>
        <w:t xml:space="preserve">owned by an </w:t>
      </w:r>
      <w:proofErr w:type="spellStart"/>
      <w:r w:rsidRPr="00947570">
        <w:t>ActewAGL</w:t>
      </w:r>
      <w:proofErr w:type="spellEnd"/>
      <w:r w:rsidRPr="00947570">
        <w:t xml:space="preserve"> Corporation; and</w:t>
      </w:r>
    </w:p>
    <w:p w14:paraId="0843A006" w14:textId="27CD879B" w:rsidR="00E85B2E" w:rsidRPr="00947570" w:rsidRDefault="00E85B2E" w:rsidP="00E85B2E">
      <w:pPr>
        <w:pStyle w:val="Definition"/>
      </w:pPr>
      <w:r w:rsidRPr="00947570">
        <w:t>(b)</w:t>
      </w:r>
      <w:r w:rsidRPr="00947570">
        <w:tab/>
        <w:t>located within the Australian Capital Territory.</w:t>
      </w:r>
    </w:p>
    <w:p w14:paraId="5DB4B7CD" w14:textId="1236B315" w:rsidR="00565087" w:rsidRDefault="00565087" w:rsidP="00565087">
      <w:pPr>
        <w:pStyle w:val="Definition"/>
      </w:pPr>
      <w:r w:rsidRPr="00ED5147">
        <w:rPr>
          <w:b/>
          <w:i/>
        </w:rPr>
        <w:t xml:space="preserve">Designated ICON Communications Infrastructure </w:t>
      </w:r>
      <w:r w:rsidRPr="00ED5147">
        <w:t>means the</w:t>
      </w:r>
      <w:r>
        <w:t xml:space="preserve"> Intra Government Communications</w:t>
      </w:r>
      <w:r w:rsidRPr="00ED5147">
        <w:t xml:space="preserve"> </w:t>
      </w:r>
      <w:r w:rsidR="002E345F">
        <w:t xml:space="preserve">Network </w:t>
      </w:r>
      <w:r w:rsidRPr="00ED5147">
        <w:t xml:space="preserve">telecommunications infrastructure owned by the Commonwealth </w:t>
      </w:r>
      <w:r>
        <w:t xml:space="preserve">and located </w:t>
      </w:r>
      <w:r w:rsidRPr="00ED5147">
        <w:t>in the Australian Capital Territory.</w:t>
      </w:r>
    </w:p>
    <w:p w14:paraId="7D7CCF58" w14:textId="4D947C54" w:rsidR="00565087" w:rsidRDefault="00565087" w:rsidP="00565087">
      <w:pPr>
        <w:pStyle w:val="Definition"/>
      </w:pPr>
      <w:bookmarkStart w:id="10" w:name="_Hlk142390274"/>
      <w:r w:rsidRPr="008A5A65">
        <w:rPr>
          <w:b/>
          <w:i/>
        </w:rPr>
        <w:lastRenderedPageBreak/>
        <w:t xml:space="preserve">Designated </w:t>
      </w:r>
      <w:r>
        <w:rPr>
          <w:b/>
          <w:i/>
        </w:rPr>
        <w:t xml:space="preserve">DDTS </w:t>
      </w:r>
      <w:r w:rsidRPr="008A5A65">
        <w:rPr>
          <w:b/>
          <w:i/>
        </w:rPr>
        <w:t xml:space="preserve">Communications Infrastructure </w:t>
      </w:r>
      <w:bookmarkEnd w:id="10"/>
      <w:r w:rsidRPr="008A5A65">
        <w:t>means the</w:t>
      </w:r>
      <w:r>
        <w:t xml:space="preserve"> </w:t>
      </w:r>
      <w:r w:rsidRPr="008A5A65">
        <w:t>telecommunications infrastructure comprising line links that are</w:t>
      </w:r>
      <w:r>
        <w:t>:</w:t>
      </w:r>
    </w:p>
    <w:p w14:paraId="382B692B" w14:textId="77777777" w:rsidR="00565087" w:rsidRPr="001C6F5B" w:rsidRDefault="00565087" w:rsidP="00565087">
      <w:pPr>
        <w:pStyle w:val="Definition"/>
        <w:numPr>
          <w:ilvl w:val="0"/>
          <w:numId w:val="7"/>
        </w:numPr>
      </w:pPr>
      <w:r w:rsidRPr="001C6F5B">
        <w:t xml:space="preserve">owned by the Crown in right of the Australian Capital Territory; and </w:t>
      </w:r>
    </w:p>
    <w:p w14:paraId="746E5662" w14:textId="77777777" w:rsidR="00565087" w:rsidRPr="001C6F5B" w:rsidRDefault="00565087" w:rsidP="00565087">
      <w:pPr>
        <w:pStyle w:val="Definition"/>
        <w:numPr>
          <w:ilvl w:val="0"/>
          <w:numId w:val="7"/>
        </w:numPr>
      </w:pPr>
      <w:r w:rsidRPr="001C6F5B">
        <w:t>located within the Australian Capital Territory.</w:t>
      </w:r>
    </w:p>
    <w:p w14:paraId="47F4DD8B" w14:textId="77777777" w:rsidR="00565087" w:rsidRDefault="00565087" w:rsidP="00565087">
      <w:pPr>
        <w:pStyle w:val="Definition"/>
      </w:pPr>
      <w:r>
        <w:rPr>
          <w:b/>
          <w:i/>
        </w:rPr>
        <w:t>DDTS</w:t>
      </w:r>
      <w:r w:rsidRPr="00BE21A5">
        <w:rPr>
          <w:b/>
          <w:i/>
        </w:rPr>
        <w:t xml:space="preserve"> </w:t>
      </w:r>
      <w:r>
        <w:rPr>
          <w:b/>
          <w:i/>
        </w:rPr>
        <w:t>Government Group</w:t>
      </w:r>
      <w:r>
        <w:t xml:space="preserve"> means the </w:t>
      </w:r>
      <w:bookmarkStart w:id="11" w:name="_Hlk141899993"/>
      <w:r>
        <w:t xml:space="preserve">Australian Capital Territory Government’s </w:t>
      </w:r>
      <w:bookmarkEnd w:id="11"/>
      <w:r>
        <w:t>Digital Data and Technology Solutions Group</w:t>
      </w:r>
      <w:r w:rsidRPr="00BE21A5">
        <w:t xml:space="preserve"> or </w:t>
      </w:r>
      <w:r>
        <w:t xml:space="preserve">any </w:t>
      </w:r>
      <w:r w:rsidRPr="00BE21A5">
        <w:t xml:space="preserve">other </w:t>
      </w:r>
      <w:r>
        <w:t xml:space="preserve">replacement group or </w:t>
      </w:r>
      <w:r w:rsidRPr="00BE21A5">
        <w:t xml:space="preserve">agency responsible for the Territory's administration of the Designated </w:t>
      </w:r>
      <w:r>
        <w:t>DDTS</w:t>
      </w:r>
      <w:r w:rsidRPr="00BE21A5">
        <w:t xml:space="preserve"> Communications Infrastructure</w:t>
      </w:r>
      <w:r>
        <w:t xml:space="preserve"> from time to time. </w:t>
      </w:r>
    </w:p>
    <w:p w14:paraId="17E405B9" w14:textId="77777777" w:rsidR="00565087" w:rsidRPr="008A5A65" w:rsidRDefault="00565087" w:rsidP="00565087">
      <w:pPr>
        <w:pStyle w:val="Definition"/>
      </w:pPr>
      <w:r w:rsidRPr="008A5A65">
        <w:rPr>
          <w:b/>
          <w:i/>
        </w:rPr>
        <w:t xml:space="preserve">Designated </w:t>
      </w:r>
      <w:r>
        <w:rPr>
          <w:b/>
          <w:i/>
        </w:rPr>
        <w:t xml:space="preserve">Water Corporation </w:t>
      </w:r>
      <w:r w:rsidRPr="008A5A65">
        <w:rPr>
          <w:b/>
          <w:i/>
        </w:rPr>
        <w:t xml:space="preserve">Communications Infrastructure </w:t>
      </w:r>
      <w:r w:rsidRPr="008A5A65">
        <w:t>means the</w:t>
      </w:r>
      <w:r>
        <w:t xml:space="preserve"> </w:t>
      </w:r>
      <w:r w:rsidRPr="008A5A65">
        <w:t>telecommunications infrastructure comprising the line links that are:</w:t>
      </w:r>
    </w:p>
    <w:p w14:paraId="21BC5716" w14:textId="77777777" w:rsidR="00565087" w:rsidRDefault="00565087" w:rsidP="00565087">
      <w:pPr>
        <w:pStyle w:val="Definition"/>
        <w:numPr>
          <w:ilvl w:val="0"/>
          <w:numId w:val="13"/>
        </w:numPr>
      </w:pPr>
      <w:r>
        <w:t>owned by a Water Corporation; and</w:t>
      </w:r>
    </w:p>
    <w:p w14:paraId="5165A867" w14:textId="77777777" w:rsidR="00565087" w:rsidRDefault="00565087" w:rsidP="00565087">
      <w:pPr>
        <w:pStyle w:val="Definition"/>
        <w:numPr>
          <w:ilvl w:val="0"/>
          <w:numId w:val="13"/>
        </w:numPr>
      </w:pPr>
      <w:r>
        <w:t xml:space="preserve">located within </w:t>
      </w:r>
      <w:r w:rsidRPr="008A5A65">
        <w:t>the Australian Capital Territory.</w:t>
      </w:r>
    </w:p>
    <w:p w14:paraId="243145A9" w14:textId="77777777" w:rsidR="00565087" w:rsidRDefault="00565087" w:rsidP="00565087">
      <w:pPr>
        <w:pStyle w:val="Definition"/>
        <w:rPr>
          <w:b/>
        </w:rPr>
      </w:pPr>
      <w:r>
        <w:rPr>
          <w:b/>
          <w:i/>
        </w:rPr>
        <w:t xml:space="preserve">ICON Department </w:t>
      </w:r>
      <w:r w:rsidRPr="004829FE">
        <w:t>means the Commonwealth Department of Finance or other replacement Commonwealth body or agency responsible for the Commonwealth’s administration of the Designated ICON Communications Infrastructure</w:t>
      </w:r>
      <w:r>
        <w:t xml:space="preserve"> from time to time</w:t>
      </w:r>
      <w:r>
        <w:rPr>
          <w:b/>
        </w:rPr>
        <w:t>.</w:t>
      </w:r>
    </w:p>
    <w:p w14:paraId="65BE7270" w14:textId="77777777" w:rsidR="00565087" w:rsidRDefault="00565087" w:rsidP="00565087">
      <w:pPr>
        <w:pStyle w:val="Definition"/>
        <w:rPr>
          <w:b/>
        </w:rPr>
      </w:pPr>
      <w:r>
        <w:rPr>
          <w:b/>
          <w:i/>
        </w:rPr>
        <w:t xml:space="preserve">ICON </w:t>
      </w:r>
      <w:r w:rsidRPr="004829FE">
        <w:rPr>
          <w:b/>
          <w:i/>
        </w:rPr>
        <w:t xml:space="preserve">Secretary </w:t>
      </w:r>
      <w:r w:rsidRPr="004829FE">
        <w:t xml:space="preserve">means the </w:t>
      </w:r>
      <w:r>
        <w:t xml:space="preserve">agency head </w:t>
      </w:r>
      <w:r w:rsidRPr="004829FE">
        <w:t xml:space="preserve">of the </w:t>
      </w:r>
      <w:r>
        <w:t>ICON Department</w:t>
      </w:r>
      <w:r>
        <w:rPr>
          <w:b/>
        </w:rPr>
        <w:t>.</w:t>
      </w:r>
    </w:p>
    <w:p w14:paraId="56390E79" w14:textId="77777777" w:rsidR="00565087" w:rsidRDefault="00565087" w:rsidP="00F97300">
      <w:pPr>
        <w:pStyle w:val="Definition"/>
      </w:pPr>
      <w:r w:rsidRPr="00ED5147">
        <w:rPr>
          <w:b/>
          <w:i/>
        </w:rPr>
        <w:t xml:space="preserve">Permitted </w:t>
      </w:r>
      <w:r>
        <w:rPr>
          <w:b/>
          <w:i/>
        </w:rPr>
        <w:t xml:space="preserve">Electricity </w:t>
      </w:r>
      <w:r w:rsidRPr="00ED5147">
        <w:rPr>
          <w:b/>
          <w:i/>
        </w:rPr>
        <w:t>Service</w:t>
      </w:r>
      <w:r>
        <w:rPr>
          <w:b/>
          <w:i/>
        </w:rPr>
        <w:t>s</w:t>
      </w:r>
      <w:r w:rsidRPr="00ED5147">
        <w:rPr>
          <w:b/>
          <w:i/>
        </w:rPr>
        <w:t xml:space="preserve"> </w:t>
      </w:r>
      <w:r w:rsidRPr="00ED5147">
        <w:t xml:space="preserve">means any carriage service that is </w:t>
      </w:r>
      <w:r>
        <w:t>necessary or desirable for managing the generation, transmission, distribution or supply of electricity.</w:t>
      </w:r>
    </w:p>
    <w:p w14:paraId="65ED255A" w14:textId="77777777" w:rsidR="00565087" w:rsidRDefault="00565087" w:rsidP="00565087">
      <w:pPr>
        <w:pStyle w:val="Definition"/>
      </w:pPr>
      <w:r w:rsidRPr="00ED5147">
        <w:rPr>
          <w:b/>
          <w:i/>
        </w:rPr>
        <w:t xml:space="preserve">Permitted </w:t>
      </w:r>
      <w:r>
        <w:rPr>
          <w:b/>
          <w:i/>
        </w:rPr>
        <w:t xml:space="preserve">Gas </w:t>
      </w:r>
      <w:r w:rsidRPr="00ED5147">
        <w:rPr>
          <w:b/>
          <w:i/>
        </w:rPr>
        <w:t>Service</w:t>
      </w:r>
      <w:r>
        <w:rPr>
          <w:b/>
          <w:i/>
        </w:rPr>
        <w:t>s</w:t>
      </w:r>
      <w:r w:rsidRPr="00ED5147">
        <w:rPr>
          <w:b/>
          <w:i/>
        </w:rPr>
        <w:t xml:space="preserve"> </w:t>
      </w:r>
      <w:r w:rsidRPr="00ED5147">
        <w:t xml:space="preserve">means any carriage service that is </w:t>
      </w:r>
      <w:r>
        <w:t>necessary or desirable for managing the transmission, distribution or supply of natural gas in a pipeline.</w:t>
      </w:r>
    </w:p>
    <w:p w14:paraId="55BECF07" w14:textId="77777777" w:rsidR="00565087" w:rsidRDefault="00565087" w:rsidP="00565087">
      <w:pPr>
        <w:pStyle w:val="Definition"/>
      </w:pPr>
      <w:r>
        <w:rPr>
          <w:b/>
          <w:i/>
        </w:rPr>
        <w:t xml:space="preserve">Permitted Water Services </w:t>
      </w:r>
      <w:r w:rsidRPr="00ED5147">
        <w:t xml:space="preserve">means any carriage service that is </w:t>
      </w:r>
      <w:r>
        <w:t xml:space="preserve">necessary or desirable for: </w:t>
      </w:r>
    </w:p>
    <w:p w14:paraId="14191783" w14:textId="77777777" w:rsidR="00565087" w:rsidRDefault="00565087" w:rsidP="00565087">
      <w:pPr>
        <w:pStyle w:val="Definition"/>
        <w:numPr>
          <w:ilvl w:val="0"/>
          <w:numId w:val="15"/>
        </w:numPr>
      </w:pPr>
      <w:r>
        <w:t>managing the distribution of water;</w:t>
      </w:r>
    </w:p>
    <w:p w14:paraId="21A7B982" w14:textId="77777777" w:rsidR="00565087" w:rsidRDefault="00565087" w:rsidP="00565087">
      <w:pPr>
        <w:pStyle w:val="Definition"/>
        <w:numPr>
          <w:ilvl w:val="0"/>
          <w:numId w:val="15"/>
        </w:numPr>
      </w:pPr>
      <w:r>
        <w:t>managing the supply of sewerage services;</w:t>
      </w:r>
    </w:p>
    <w:p w14:paraId="3A847D8E" w14:textId="77777777" w:rsidR="00565087" w:rsidRDefault="00565087" w:rsidP="00565087">
      <w:pPr>
        <w:pStyle w:val="Definition"/>
        <w:numPr>
          <w:ilvl w:val="0"/>
          <w:numId w:val="15"/>
        </w:numPr>
      </w:pPr>
      <w:r>
        <w:t>managing the supply of storm water drainage services.</w:t>
      </w:r>
    </w:p>
    <w:p w14:paraId="07D17573" w14:textId="77777777" w:rsidR="00565087" w:rsidRPr="00963861" w:rsidRDefault="00565087" w:rsidP="00565087">
      <w:pPr>
        <w:pStyle w:val="Definition"/>
      </w:pPr>
      <w:r>
        <w:rPr>
          <w:b/>
          <w:i/>
        </w:rPr>
        <w:t xml:space="preserve">related body corporate </w:t>
      </w:r>
      <w:r>
        <w:t xml:space="preserve">has the same meaning given to it by the </w:t>
      </w:r>
      <w:r w:rsidRPr="00963861">
        <w:rPr>
          <w:i/>
        </w:rPr>
        <w:t>Corporations Act 2001</w:t>
      </w:r>
      <w:r>
        <w:t>.</w:t>
      </w:r>
    </w:p>
    <w:p w14:paraId="09936D7C" w14:textId="77777777" w:rsidR="00565087" w:rsidRDefault="00565087" w:rsidP="00565087">
      <w:pPr>
        <w:pStyle w:val="Definition"/>
      </w:pPr>
      <w:r>
        <w:rPr>
          <w:b/>
          <w:i/>
        </w:rPr>
        <w:t xml:space="preserve">Water </w:t>
      </w:r>
      <w:r w:rsidRPr="00205D9D">
        <w:rPr>
          <w:b/>
          <w:i/>
        </w:rPr>
        <w:t xml:space="preserve">Corporation </w:t>
      </w:r>
      <w:r w:rsidRPr="00205D9D">
        <w:t>means</w:t>
      </w:r>
      <w:r>
        <w:t>:</w:t>
      </w:r>
    </w:p>
    <w:p w14:paraId="77DBE411" w14:textId="77777777" w:rsidR="00565087" w:rsidRDefault="00565087" w:rsidP="00565087">
      <w:pPr>
        <w:pStyle w:val="Definition"/>
        <w:numPr>
          <w:ilvl w:val="0"/>
          <w:numId w:val="14"/>
        </w:numPr>
      </w:pPr>
      <w:r w:rsidRPr="00963861">
        <w:t>Icon Water Limited, trading as Icon Water (ACN 069 381 960) and wholly owned by the Crown in right of the Australian Capital Territory</w:t>
      </w:r>
      <w:r>
        <w:t xml:space="preserve">; and </w:t>
      </w:r>
    </w:p>
    <w:p w14:paraId="49C95EF4" w14:textId="0C27D44C" w:rsidR="00565087" w:rsidRPr="00205D9D" w:rsidRDefault="00565087" w:rsidP="00565087">
      <w:pPr>
        <w:pStyle w:val="Definition"/>
        <w:numPr>
          <w:ilvl w:val="0"/>
          <w:numId w:val="14"/>
        </w:numPr>
      </w:pPr>
      <w:r w:rsidRPr="00205D9D">
        <w:t xml:space="preserve">a related body corporate of </w:t>
      </w:r>
      <w:r>
        <w:t xml:space="preserve">the </w:t>
      </w:r>
      <w:r w:rsidRPr="00205D9D">
        <w:t>entity referred to in paragraph (a) above.</w:t>
      </w:r>
    </w:p>
    <w:p w14:paraId="0F3DFA1D" w14:textId="77777777" w:rsidR="00565087" w:rsidRPr="00554826" w:rsidRDefault="00565087" w:rsidP="00565087">
      <w:pPr>
        <w:pStyle w:val="ActHead5"/>
      </w:pPr>
      <w:bookmarkStart w:id="12" w:name="_Toc454781205"/>
      <w:bookmarkStart w:id="13" w:name="_Toc145327718"/>
      <w:bookmarkEnd w:id="9"/>
      <w:proofErr w:type="gramStart"/>
      <w:r w:rsidRPr="00554826">
        <w:lastRenderedPageBreak/>
        <w:t>5  Schedules</w:t>
      </w:r>
      <w:bookmarkEnd w:id="12"/>
      <w:bookmarkEnd w:id="13"/>
      <w:proofErr w:type="gramEnd"/>
    </w:p>
    <w:p w14:paraId="57B0F1A4" w14:textId="77777777" w:rsidR="00565087" w:rsidRDefault="00565087" w:rsidP="00565087">
      <w:pPr>
        <w:pStyle w:val="subsection"/>
      </w:pPr>
      <w:r w:rsidRPr="006065DA">
        <w:tab/>
      </w:r>
      <w:r w:rsidRPr="006065DA">
        <w:tab/>
        <w:t xml:space="preserve">Each instrument that is specified in Schedule </w:t>
      </w:r>
      <w:r>
        <w:t xml:space="preserve">1 </w:t>
      </w:r>
      <w:r w:rsidRPr="006065DA">
        <w:t xml:space="preserve">to this instrument is repealed as set out in the Schedule </w:t>
      </w:r>
      <w:r>
        <w:t>1</w:t>
      </w:r>
      <w:r w:rsidRPr="006065DA">
        <w:t>, and any other item in a Schedule to this instrument has effect according to its terms.</w:t>
      </w:r>
    </w:p>
    <w:p w14:paraId="3A3308E1" w14:textId="77777777" w:rsidR="00565087" w:rsidRPr="00E85B2E" w:rsidRDefault="00565087" w:rsidP="00565087">
      <w:pPr>
        <w:pStyle w:val="ActHead2"/>
        <w:rPr>
          <w:rStyle w:val="CharPartNo"/>
        </w:rPr>
      </w:pPr>
      <w:bookmarkStart w:id="14" w:name="_Toc136343510"/>
      <w:bookmarkStart w:id="15" w:name="_Toc141356289"/>
      <w:r>
        <w:rPr>
          <w:rStyle w:val="charamschno"/>
          <w:rFonts w:ascii="Arial" w:hAnsi="Arial" w:cs="Arial"/>
          <w:b w:val="0"/>
          <w:bCs/>
          <w:color w:val="000000"/>
          <w:szCs w:val="32"/>
        </w:rPr>
        <w:br w:type="column"/>
      </w:r>
      <w:bookmarkStart w:id="16" w:name="_Toc145327719"/>
      <w:bookmarkEnd w:id="14"/>
      <w:r w:rsidRPr="00E85B2E">
        <w:rPr>
          <w:rStyle w:val="CharPartNo"/>
        </w:rPr>
        <w:lastRenderedPageBreak/>
        <w:t>Part 2—Exemptions and conditions</w:t>
      </w:r>
      <w:bookmarkEnd w:id="15"/>
      <w:bookmarkEnd w:id="16"/>
    </w:p>
    <w:p w14:paraId="52E87395" w14:textId="77777777" w:rsidR="00565087" w:rsidRPr="006A154F" w:rsidRDefault="00565087" w:rsidP="00565087">
      <w:pPr>
        <w:pStyle w:val="ActHead5"/>
        <w:rPr>
          <w:highlight w:val="yellow"/>
        </w:rPr>
      </w:pPr>
      <w:bookmarkStart w:id="17" w:name="_Toc141945372"/>
      <w:bookmarkStart w:id="18" w:name="_Toc145327720"/>
      <w:proofErr w:type="gramStart"/>
      <w:r w:rsidRPr="00ED5147">
        <w:t>6  Designated</w:t>
      </w:r>
      <w:proofErr w:type="gramEnd"/>
      <w:r w:rsidRPr="00ED5147">
        <w:t xml:space="preserve"> ICON Communications Infrastructure</w:t>
      </w:r>
      <w:bookmarkEnd w:id="17"/>
      <w:bookmarkEnd w:id="18"/>
      <w:r>
        <w:rPr>
          <w:highlight w:val="yellow"/>
        </w:rPr>
        <w:t xml:space="preserve"> </w:t>
      </w:r>
    </w:p>
    <w:p w14:paraId="3AA6FEC9" w14:textId="77777777" w:rsidR="00565087" w:rsidRPr="00F11835" w:rsidRDefault="00565087" w:rsidP="00565087">
      <w:pPr>
        <w:pStyle w:val="subsection"/>
        <w:rPr>
          <w:i/>
        </w:rPr>
      </w:pPr>
      <w:r w:rsidRPr="00F11835">
        <w:rPr>
          <w:i/>
        </w:rPr>
        <w:t>Exemption</w:t>
      </w:r>
    </w:p>
    <w:p w14:paraId="33892ED3" w14:textId="77777777" w:rsidR="00565087" w:rsidRDefault="00565087" w:rsidP="00565087">
      <w:pPr>
        <w:pStyle w:val="subsection"/>
        <w:numPr>
          <w:ilvl w:val="0"/>
          <w:numId w:val="1"/>
        </w:numPr>
      </w:pPr>
      <w:r w:rsidRPr="006704B0">
        <w:t xml:space="preserve">Subject to the condition </w:t>
      </w:r>
      <w:r>
        <w:t xml:space="preserve">set out in </w:t>
      </w:r>
      <w:r w:rsidRPr="00565087">
        <w:t>subsection 6(2)</w:t>
      </w:r>
      <w:r>
        <w:t xml:space="preserve"> of this instrument, section 42 of the Act does not apply in relation to the use of Designated ICON Communications Infrastructure, where the use is</w:t>
      </w:r>
      <w:r w:rsidR="003D70A4">
        <w:t xml:space="preserve"> by</w:t>
      </w:r>
      <w:r>
        <w:t>:</w:t>
      </w:r>
    </w:p>
    <w:p w14:paraId="30D62B45" w14:textId="77777777" w:rsidR="00565087" w:rsidRDefault="00565087" w:rsidP="00565087">
      <w:pPr>
        <w:pStyle w:val="subsection"/>
        <w:numPr>
          <w:ilvl w:val="1"/>
          <w:numId w:val="2"/>
        </w:numPr>
      </w:pPr>
      <w:r>
        <w:t xml:space="preserve">the Crown in right of the Australian Capital Territory or an authority </w:t>
      </w:r>
      <w:r w:rsidRPr="00822913">
        <w:t>for any of the following purposes</w:t>
      </w:r>
      <w:r>
        <w:t>:</w:t>
      </w:r>
    </w:p>
    <w:p w14:paraId="2346CF02" w14:textId="77777777" w:rsidR="00565087" w:rsidRDefault="00565087" w:rsidP="00565087">
      <w:pPr>
        <w:pStyle w:val="subsection"/>
        <w:numPr>
          <w:ilvl w:val="0"/>
          <w:numId w:val="12"/>
        </w:numPr>
      </w:pPr>
      <w:r>
        <w:t>principally for the exercise or performance of a public function or duty; or</w:t>
      </w:r>
    </w:p>
    <w:p w14:paraId="6E804A81" w14:textId="77777777" w:rsidR="00565087" w:rsidRDefault="00565087" w:rsidP="00565087">
      <w:pPr>
        <w:pStyle w:val="subsection"/>
        <w:numPr>
          <w:ilvl w:val="0"/>
          <w:numId w:val="12"/>
        </w:numPr>
      </w:pPr>
      <w:r w:rsidRPr="00F11835">
        <w:t xml:space="preserve">in connection with the preparation for, response to or recovery from, an emergency specified in a national emergency declaration (within the meaning of the </w:t>
      </w:r>
      <w:r w:rsidRPr="00D849B9">
        <w:rPr>
          <w:i/>
        </w:rPr>
        <w:t>National Emergency Declaration Act 2020</w:t>
      </w:r>
      <w:r w:rsidRPr="00F11835">
        <w:t>)</w:t>
      </w:r>
      <w:r>
        <w:t xml:space="preserve">. </w:t>
      </w:r>
    </w:p>
    <w:p w14:paraId="4AB71B58" w14:textId="77777777" w:rsidR="00565087" w:rsidRPr="00827DE8" w:rsidRDefault="00565087" w:rsidP="00565087">
      <w:pPr>
        <w:pStyle w:val="subsection"/>
        <w:numPr>
          <w:ilvl w:val="1"/>
          <w:numId w:val="2"/>
        </w:numPr>
      </w:pPr>
      <w:r>
        <w:t>an authority or institution of the Australian Capital Territory (other than an authority or institution that carries on a business as a core function) for any of the following purposes</w:t>
      </w:r>
      <w:r w:rsidRPr="00827DE8">
        <w:t xml:space="preserve">: </w:t>
      </w:r>
    </w:p>
    <w:p w14:paraId="6DA0C8C5" w14:textId="77777777" w:rsidR="00565087" w:rsidRDefault="00565087" w:rsidP="00565087">
      <w:pPr>
        <w:pStyle w:val="subsection"/>
        <w:numPr>
          <w:ilvl w:val="0"/>
          <w:numId w:val="17"/>
        </w:numPr>
      </w:pPr>
      <w:r>
        <w:t>principally for the exercise or performance of a public function or duty; or</w:t>
      </w:r>
    </w:p>
    <w:p w14:paraId="4C432A8C" w14:textId="77777777" w:rsidR="00565087" w:rsidRDefault="00565087" w:rsidP="00565087">
      <w:pPr>
        <w:pStyle w:val="subsection"/>
        <w:numPr>
          <w:ilvl w:val="0"/>
          <w:numId w:val="17"/>
        </w:numPr>
      </w:pPr>
      <w:r w:rsidRPr="00F11835">
        <w:t xml:space="preserve">in connection with the preparation for, response to or recovery from, an emergency specified in a national emergency declaration (within the meaning of the </w:t>
      </w:r>
      <w:r w:rsidRPr="00D849B9">
        <w:rPr>
          <w:i/>
        </w:rPr>
        <w:t>National Emergency Declaration Act 2020</w:t>
      </w:r>
      <w:r w:rsidRPr="00F11835">
        <w:t>)</w:t>
      </w:r>
      <w:r>
        <w:t xml:space="preserve">. </w:t>
      </w:r>
    </w:p>
    <w:p w14:paraId="47C415CD" w14:textId="77777777" w:rsidR="00565087" w:rsidRDefault="00565087" w:rsidP="00565087">
      <w:pPr>
        <w:pStyle w:val="subsection"/>
        <w:numPr>
          <w:ilvl w:val="1"/>
          <w:numId w:val="2"/>
        </w:numPr>
      </w:pPr>
      <w:bookmarkStart w:id="19" w:name="_Hlk144901149"/>
      <w:r>
        <w:t xml:space="preserve">an </w:t>
      </w:r>
      <w:proofErr w:type="spellStart"/>
      <w:r w:rsidRPr="001C6F5B">
        <w:t>ActewAGL</w:t>
      </w:r>
      <w:proofErr w:type="spellEnd"/>
      <w:r>
        <w:t xml:space="preserve"> Corporation</w:t>
      </w:r>
      <w:r w:rsidRPr="001C6F5B">
        <w:t xml:space="preserve"> for the supply of Permitted Gas Services </w:t>
      </w:r>
      <w:bookmarkStart w:id="20" w:name="_Hlk141892961"/>
      <w:r w:rsidRPr="001C6F5B">
        <w:t>or Permitted</w:t>
      </w:r>
      <w:r>
        <w:t xml:space="preserve"> Electricity Services</w:t>
      </w:r>
      <w:bookmarkEnd w:id="20"/>
      <w:bookmarkEnd w:id="19"/>
      <w:r>
        <w:t>; or</w:t>
      </w:r>
    </w:p>
    <w:p w14:paraId="48852440" w14:textId="77777777" w:rsidR="00565087" w:rsidRDefault="00565087" w:rsidP="00565087">
      <w:pPr>
        <w:pStyle w:val="subsection"/>
        <w:numPr>
          <w:ilvl w:val="1"/>
          <w:numId w:val="2"/>
        </w:numPr>
      </w:pPr>
      <w:r>
        <w:t xml:space="preserve">a Water </w:t>
      </w:r>
      <w:r w:rsidRPr="006704B0">
        <w:t>Corporation</w:t>
      </w:r>
      <w:r>
        <w:t xml:space="preserve"> for the supply of Permitted Water Services.</w:t>
      </w:r>
    </w:p>
    <w:p w14:paraId="36CC8FBB" w14:textId="77777777" w:rsidR="00565087" w:rsidRDefault="00565087" w:rsidP="00565087">
      <w:pPr>
        <w:pStyle w:val="subsection"/>
        <w:rPr>
          <w:i/>
        </w:rPr>
      </w:pPr>
      <w:r w:rsidRPr="00F11835">
        <w:rPr>
          <w:i/>
        </w:rPr>
        <w:t>Cond</w:t>
      </w:r>
      <w:r>
        <w:rPr>
          <w:i/>
        </w:rPr>
        <w:t xml:space="preserve">itions </w:t>
      </w:r>
    </w:p>
    <w:p w14:paraId="60B2C2A9" w14:textId="77777777" w:rsidR="00565087" w:rsidRDefault="00565087" w:rsidP="00565087">
      <w:pPr>
        <w:pStyle w:val="subsection"/>
        <w:numPr>
          <w:ilvl w:val="0"/>
          <w:numId w:val="1"/>
        </w:numPr>
      </w:pPr>
      <w:r>
        <w:t>For the purposes of subsection 6(1), the following conditions are specified:</w:t>
      </w:r>
    </w:p>
    <w:p w14:paraId="44E2C368" w14:textId="1A5CD515" w:rsidR="00565087" w:rsidRDefault="00565087" w:rsidP="00565087">
      <w:pPr>
        <w:pStyle w:val="subsection"/>
        <w:numPr>
          <w:ilvl w:val="0"/>
          <w:numId w:val="5"/>
        </w:numPr>
        <w:ind w:left="1488"/>
      </w:pPr>
      <w:r>
        <w:t>the ICON Secretary (or an authorised representative of the ICON Secretary)</w:t>
      </w:r>
      <w:r w:rsidDel="00F61DB2">
        <w:rPr>
          <w:rStyle w:val="CommentReference"/>
          <w:rFonts w:eastAsiaTheme="minorHAnsi" w:cstheme="minorBidi"/>
          <w:lang w:eastAsia="en-US"/>
        </w:rPr>
        <w:t xml:space="preserve"> </w:t>
      </w:r>
      <w:r>
        <w:t>must provide a report to the ACMA by 3</w:t>
      </w:r>
      <w:r w:rsidR="00F06262">
        <w:t>0</w:t>
      </w:r>
      <w:r>
        <w:t xml:space="preserve"> September of each year during which this instrument is in force, setting out the following:</w:t>
      </w:r>
    </w:p>
    <w:p w14:paraId="4A6F49D8" w14:textId="77777777" w:rsidR="00565087" w:rsidRDefault="00565087" w:rsidP="004551E3">
      <w:pPr>
        <w:pStyle w:val="ListParagraph"/>
        <w:numPr>
          <w:ilvl w:val="0"/>
          <w:numId w:val="9"/>
        </w:numPr>
        <w:spacing w:after="180"/>
        <w:rPr>
          <w:rFonts w:eastAsia="Times New Roman" w:cs="Times New Roman"/>
          <w:lang w:eastAsia="en-AU"/>
        </w:rPr>
      </w:pPr>
      <w:r w:rsidRPr="002B0D6E">
        <w:rPr>
          <w:rFonts w:eastAsia="Times New Roman" w:cs="Times New Roman"/>
          <w:lang w:eastAsia="en-AU"/>
        </w:rPr>
        <w:t xml:space="preserve">for the Designated </w:t>
      </w:r>
      <w:r>
        <w:t xml:space="preserve">ICON Communications Infrastructure </w:t>
      </w:r>
      <w:r w:rsidRPr="002B0D6E">
        <w:rPr>
          <w:rFonts w:eastAsia="Times New Roman" w:cs="Times New Roman"/>
          <w:lang w:eastAsia="en-AU"/>
        </w:rPr>
        <w:t xml:space="preserve">used in the reporting period (as permitted </w:t>
      </w:r>
      <w:r>
        <w:rPr>
          <w:rFonts w:eastAsia="Times New Roman" w:cs="Times New Roman"/>
          <w:lang w:eastAsia="en-AU"/>
        </w:rPr>
        <w:t>under subsection 6</w:t>
      </w:r>
      <w:r w:rsidRPr="002B0D6E">
        <w:rPr>
          <w:rFonts w:eastAsia="Times New Roman" w:cs="Times New Roman"/>
          <w:lang w:eastAsia="en-AU"/>
        </w:rPr>
        <w:t>(1)):</w:t>
      </w:r>
    </w:p>
    <w:p w14:paraId="2A70ADE0" w14:textId="77777777" w:rsidR="00565087" w:rsidRDefault="00565087" w:rsidP="004551E3">
      <w:pPr>
        <w:spacing w:after="180"/>
        <w:ind w:left="2880" w:hanging="672"/>
      </w:pPr>
      <w:r>
        <w:t>A.</w:t>
      </w:r>
      <w:r>
        <w:tab/>
        <w:t xml:space="preserve">the locations (at suburb level or where outside of a </w:t>
      </w:r>
      <w:proofErr w:type="gramStart"/>
      <w:r>
        <w:t>built-up areas</w:t>
      </w:r>
      <w:proofErr w:type="gramEnd"/>
      <w:r>
        <w:t>, the adjacent suburb) of the infrastructure as at the applicable report date; and</w:t>
      </w:r>
    </w:p>
    <w:p w14:paraId="3FCB2C03" w14:textId="766751EE" w:rsidR="00565087" w:rsidRPr="006267D0" w:rsidRDefault="00565087" w:rsidP="004551E3">
      <w:pPr>
        <w:spacing w:after="180"/>
        <w:ind w:left="2880" w:hanging="672"/>
      </w:pPr>
      <w:r>
        <w:t>B.</w:t>
      </w:r>
      <w:r>
        <w:tab/>
      </w:r>
      <w:r w:rsidR="004551E3">
        <w:t xml:space="preserve">if </w:t>
      </w:r>
      <w:r>
        <w:t>the Designated ICON Communications Infrastructure relates to infrastructure comprised of line links, the capacity of those links;</w:t>
      </w:r>
    </w:p>
    <w:p w14:paraId="70644D6C" w14:textId="74BF065A" w:rsidR="00565087" w:rsidRPr="00DC7724" w:rsidRDefault="00565087" w:rsidP="00565087">
      <w:pPr>
        <w:pStyle w:val="ListParagraph"/>
        <w:numPr>
          <w:ilvl w:val="0"/>
          <w:numId w:val="9"/>
        </w:numPr>
      </w:pPr>
      <w:bookmarkStart w:id="21" w:name="_Hlk142390180"/>
      <w:r w:rsidRPr="00DC7724">
        <w:rPr>
          <w:rFonts w:eastAsia="Times New Roman" w:cs="Times New Roman"/>
          <w:lang w:eastAsia="en-AU"/>
        </w:rPr>
        <w:lastRenderedPageBreak/>
        <w:t xml:space="preserve">the legal name and associated identifier (such as an ABN or ACN) of each user </w:t>
      </w:r>
      <w:r>
        <w:rPr>
          <w:rFonts w:eastAsia="Times New Roman" w:cs="Times New Roman"/>
          <w:lang w:eastAsia="en-AU"/>
        </w:rPr>
        <w:t>(</w:t>
      </w:r>
      <w:r w:rsidRPr="002B0D6E">
        <w:rPr>
          <w:rFonts w:eastAsia="Times New Roman" w:cs="Times New Roman"/>
          <w:lang w:eastAsia="en-AU"/>
        </w:rPr>
        <w:t xml:space="preserve">as permitted </w:t>
      </w:r>
      <w:r>
        <w:rPr>
          <w:rFonts w:eastAsia="Times New Roman" w:cs="Times New Roman"/>
          <w:lang w:eastAsia="en-AU"/>
        </w:rPr>
        <w:t>under subsection 6</w:t>
      </w:r>
      <w:r w:rsidRPr="002B0D6E">
        <w:rPr>
          <w:rFonts w:eastAsia="Times New Roman" w:cs="Times New Roman"/>
          <w:lang w:eastAsia="en-AU"/>
        </w:rPr>
        <w:t>(1</w:t>
      </w:r>
      <w:r>
        <w:rPr>
          <w:rFonts w:eastAsia="Times New Roman" w:cs="Times New Roman"/>
          <w:lang w:eastAsia="en-AU"/>
        </w:rPr>
        <w:t xml:space="preserve">)) </w:t>
      </w:r>
      <w:r w:rsidRPr="00DC7724">
        <w:rPr>
          <w:rFonts w:eastAsia="Times New Roman" w:cs="Times New Roman"/>
          <w:lang w:eastAsia="en-AU"/>
        </w:rPr>
        <w:t>of the Designated ICON Communications Infrastructure as at the applicable report date; and</w:t>
      </w:r>
    </w:p>
    <w:bookmarkEnd w:id="21"/>
    <w:p w14:paraId="52FB1C5F" w14:textId="77777777" w:rsidR="00565087" w:rsidRDefault="00565087" w:rsidP="00565087">
      <w:pPr>
        <w:pStyle w:val="subsection"/>
        <w:numPr>
          <w:ilvl w:val="0"/>
          <w:numId w:val="5"/>
        </w:numPr>
      </w:pPr>
      <w:r>
        <w:t xml:space="preserve">the uses of the Designated ICON Communications Infrastructure </w:t>
      </w:r>
      <w:r w:rsidR="004E1313">
        <w:t xml:space="preserve">are </w:t>
      </w:r>
      <w:r>
        <w:t>authorised in writing:</w:t>
      </w:r>
    </w:p>
    <w:p w14:paraId="067C5756" w14:textId="77777777" w:rsidR="00565087" w:rsidRDefault="00565087" w:rsidP="00565087">
      <w:pPr>
        <w:pStyle w:val="subsection"/>
        <w:numPr>
          <w:ilvl w:val="1"/>
          <w:numId w:val="5"/>
        </w:numPr>
      </w:pPr>
      <w:r>
        <w:t>in respect of each permitted use described in subsection 6(1) above</w:t>
      </w:r>
      <w:r w:rsidRPr="00A17803">
        <w:rPr>
          <w:rStyle w:val="CharPartNo"/>
        </w:rPr>
        <w:t>—</w:t>
      </w:r>
      <w:r>
        <w:t>the ICON Secretary or an authorised representative of the ICON Secretary; and</w:t>
      </w:r>
    </w:p>
    <w:p w14:paraId="6B2F2427" w14:textId="6CC41FF3" w:rsidR="00565087" w:rsidRDefault="00565087" w:rsidP="00565087">
      <w:pPr>
        <w:pStyle w:val="subsection"/>
        <w:numPr>
          <w:ilvl w:val="1"/>
          <w:numId w:val="5"/>
        </w:numPr>
      </w:pPr>
      <w:r>
        <w:t>in respect of the permitted use described in paragraph 6(1)(a) above</w:t>
      </w:r>
      <w:r>
        <w:rPr>
          <w:noProof/>
        </w:rPr>
        <w:t>—</w:t>
      </w:r>
      <w:r>
        <w:t>an authorised representative of the ACT Government.</w:t>
      </w:r>
    </w:p>
    <w:p w14:paraId="0A8AE8ED" w14:textId="4ED9E9FE" w:rsidR="00565087" w:rsidRDefault="00565087" w:rsidP="00565087">
      <w:pPr>
        <w:pStyle w:val="subsection"/>
        <w:numPr>
          <w:ilvl w:val="1"/>
          <w:numId w:val="5"/>
        </w:numPr>
      </w:pPr>
      <w:r>
        <w:t>in respect of the permitted use described in paragraph 6(1)(b) and (b) above</w:t>
      </w:r>
      <w:r>
        <w:rPr>
          <w:noProof/>
        </w:rPr>
        <w:t>—</w:t>
      </w:r>
      <w:r>
        <w:t xml:space="preserve">an authorised representative of the </w:t>
      </w:r>
      <w:r w:rsidR="004551E3">
        <w:t xml:space="preserve">relevant </w:t>
      </w:r>
      <w:r>
        <w:t xml:space="preserve">authority </w:t>
      </w:r>
      <w:r w:rsidR="004551E3">
        <w:t>o</w:t>
      </w:r>
      <w:r>
        <w:t>r institution.</w:t>
      </w:r>
    </w:p>
    <w:p w14:paraId="0E169036" w14:textId="67570E51" w:rsidR="00565087" w:rsidRDefault="00565087" w:rsidP="00565087">
      <w:pPr>
        <w:pStyle w:val="subsection"/>
        <w:numPr>
          <w:ilvl w:val="1"/>
          <w:numId w:val="5"/>
        </w:numPr>
      </w:pPr>
      <w:r>
        <w:t>in respect of the permitted use described in paragraph 6(1)(c) above</w:t>
      </w:r>
      <w:r>
        <w:rPr>
          <w:noProof/>
        </w:rPr>
        <w:t>—</w:t>
      </w:r>
      <w:r w:rsidR="00B16AAA">
        <w:rPr>
          <w:noProof/>
        </w:rPr>
        <w:t xml:space="preserve">an authorised representative of </w:t>
      </w:r>
      <w:r>
        <w:rPr>
          <w:noProof/>
        </w:rPr>
        <w:t xml:space="preserve">the relevant </w:t>
      </w:r>
      <w:proofErr w:type="spellStart"/>
      <w:r w:rsidRPr="006704B0">
        <w:t>ActewAGL</w:t>
      </w:r>
      <w:proofErr w:type="spellEnd"/>
      <w:r>
        <w:t xml:space="preserve"> Corporation;</w:t>
      </w:r>
    </w:p>
    <w:p w14:paraId="12A71F5E" w14:textId="19F6B553" w:rsidR="00565087" w:rsidRDefault="00565087" w:rsidP="00565087">
      <w:pPr>
        <w:pStyle w:val="subsection"/>
        <w:numPr>
          <w:ilvl w:val="1"/>
          <w:numId w:val="5"/>
        </w:numPr>
      </w:pPr>
      <w:r>
        <w:t>in respect of the permitted use described in paragraph 6(1)(d) above</w:t>
      </w:r>
      <w:r>
        <w:rPr>
          <w:noProof/>
        </w:rPr>
        <w:t>—</w:t>
      </w:r>
      <w:r w:rsidR="00B16AAA">
        <w:rPr>
          <w:noProof/>
        </w:rPr>
        <w:t xml:space="preserve">an authorised representative of </w:t>
      </w:r>
      <w:r>
        <w:rPr>
          <w:noProof/>
        </w:rPr>
        <w:t xml:space="preserve">the relevant </w:t>
      </w:r>
      <w:r>
        <w:t xml:space="preserve">Water </w:t>
      </w:r>
      <w:r w:rsidRPr="006704B0">
        <w:t>Corporation</w:t>
      </w:r>
      <w:r>
        <w:t>.</w:t>
      </w:r>
    </w:p>
    <w:p w14:paraId="306B1205" w14:textId="77777777" w:rsidR="00565087" w:rsidRPr="006A154F" w:rsidRDefault="00565087" w:rsidP="00565087">
      <w:pPr>
        <w:pStyle w:val="ActHead5"/>
        <w:rPr>
          <w:highlight w:val="yellow"/>
        </w:rPr>
      </w:pPr>
      <w:bookmarkStart w:id="22" w:name="_Toc141945374"/>
      <w:bookmarkStart w:id="23" w:name="_Toc145327721"/>
      <w:proofErr w:type="gramStart"/>
      <w:r>
        <w:t>7</w:t>
      </w:r>
      <w:r w:rsidRPr="00ED5147">
        <w:t xml:space="preserve">  Designated</w:t>
      </w:r>
      <w:proofErr w:type="gramEnd"/>
      <w:r w:rsidRPr="00ED5147">
        <w:t xml:space="preserve"> </w:t>
      </w:r>
      <w:r>
        <w:t xml:space="preserve">DDTS </w:t>
      </w:r>
      <w:r w:rsidRPr="00ED5147">
        <w:t>Communications Infrastructure</w:t>
      </w:r>
      <w:bookmarkEnd w:id="22"/>
      <w:bookmarkEnd w:id="23"/>
      <w:r>
        <w:rPr>
          <w:highlight w:val="yellow"/>
        </w:rPr>
        <w:t xml:space="preserve"> </w:t>
      </w:r>
    </w:p>
    <w:p w14:paraId="169F1E7D" w14:textId="77777777" w:rsidR="00565087" w:rsidRPr="00F11835" w:rsidRDefault="00565087" w:rsidP="00565087">
      <w:pPr>
        <w:pStyle w:val="subsection"/>
        <w:ind w:left="1128" w:firstLine="0"/>
        <w:rPr>
          <w:i/>
        </w:rPr>
      </w:pPr>
      <w:r w:rsidRPr="00F11835">
        <w:rPr>
          <w:i/>
        </w:rPr>
        <w:t>Exemption</w:t>
      </w:r>
    </w:p>
    <w:p w14:paraId="71615EA0" w14:textId="77777777" w:rsidR="00565087" w:rsidRDefault="00565087" w:rsidP="00612E2D">
      <w:pPr>
        <w:pStyle w:val="subsection"/>
        <w:numPr>
          <w:ilvl w:val="0"/>
          <w:numId w:val="26"/>
        </w:numPr>
      </w:pPr>
      <w:r w:rsidRPr="006704B0">
        <w:t xml:space="preserve">Subject to the condition </w:t>
      </w:r>
      <w:r>
        <w:t xml:space="preserve">set out in subsection </w:t>
      </w:r>
      <w:r w:rsidRPr="003F4A99">
        <w:t>7(2)</w:t>
      </w:r>
      <w:r>
        <w:t xml:space="preserve"> of this instrument, section 42 of the Act does not apply in relation to the use of Designated DDTS Communications Infrastructure where the use is:</w:t>
      </w:r>
    </w:p>
    <w:p w14:paraId="3F780953" w14:textId="77777777" w:rsidR="00565087" w:rsidRPr="00827DE8" w:rsidRDefault="00565087" w:rsidP="00612E2D">
      <w:pPr>
        <w:pStyle w:val="subsection"/>
        <w:numPr>
          <w:ilvl w:val="1"/>
          <w:numId w:val="26"/>
        </w:numPr>
      </w:pPr>
      <w:r>
        <w:t>by the Commonwealth for any of the following purposes</w:t>
      </w:r>
      <w:r w:rsidRPr="00827DE8">
        <w:t xml:space="preserve">: </w:t>
      </w:r>
    </w:p>
    <w:p w14:paraId="7B0A8FE3" w14:textId="77777777" w:rsidR="00565087" w:rsidRDefault="00565087" w:rsidP="00565087">
      <w:pPr>
        <w:pStyle w:val="subsection"/>
        <w:numPr>
          <w:ilvl w:val="0"/>
          <w:numId w:val="21"/>
        </w:numPr>
      </w:pPr>
      <w:r>
        <w:t>principally for the exercise or performance of a public function or duty; or</w:t>
      </w:r>
    </w:p>
    <w:p w14:paraId="5F3EF664" w14:textId="77777777" w:rsidR="00565087" w:rsidRDefault="00565087" w:rsidP="00565087">
      <w:pPr>
        <w:pStyle w:val="subsection"/>
        <w:numPr>
          <w:ilvl w:val="0"/>
          <w:numId w:val="21"/>
        </w:numPr>
      </w:pPr>
      <w:r w:rsidRPr="00F11835">
        <w:t xml:space="preserve">in connection with the preparation for, response to or recovery from, an emergency specified in a national emergency declaration (within the meaning of the </w:t>
      </w:r>
      <w:r w:rsidRPr="004551E3">
        <w:rPr>
          <w:i/>
        </w:rPr>
        <w:t>National Emergency Declaration Act 2020</w:t>
      </w:r>
      <w:r w:rsidRPr="00F11835">
        <w:t>)</w:t>
      </w:r>
      <w:r>
        <w:t>.</w:t>
      </w:r>
    </w:p>
    <w:p w14:paraId="0D7F4F25" w14:textId="77777777" w:rsidR="00565087" w:rsidRPr="00F11835" w:rsidRDefault="00565087" w:rsidP="00565087">
      <w:pPr>
        <w:pStyle w:val="subsection"/>
        <w:ind w:left="1128" w:firstLine="0"/>
        <w:rPr>
          <w:i/>
        </w:rPr>
      </w:pPr>
      <w:r>
        <w:rPr>
          <w:i/>
        </w:rPr>
        <w:t>Conditions</w:t>
      </w:r>
    </w:p>
    <w:p w14:paraId="680BF8BC" w14:textId="77777777" w:rsidR="00565087" w:rsidRDefault="00565087" w:rsidP="00612E2D">
      <w:pPr>
        <w:pStyle w:val="subsection"/>
        <w:numPr>
          <w:ilvl w:val="0"/>
          <w:numId w:val="26"/>
        </w:numPr>
      </w:pPr>
      <w:r>
        <w:t>For the purposes of subsection 7(1), the following conditions are specified:</w:t>
      </w:r>
    </w:p>
    <w:p w14:paraId="2E522A47" w14:textId="3637A634" w:rsidR="00565087" w:rsidRDefault="00565087" w:rsidP="00565087">
      <w:pPr>
        <w:pStyle w:val="subsection"/>
        <w:numPr>
          <w:ilvl w:val="0"/>
          <w:numId w:val="3"/>
        </w:numPr>
      </w:pPr>
      <w:r>
        <w:t xml:space="preserve">an authorised representative of the DDTS Government </w:t>
      </w:r>
      <w:r w:rsidR="00FC0F67">
        <w:t>Group</w:t>
      </w:r>
      <w:r>
        <w:t xml:space="preserve"> must provide a report to the ACMA by 3</w:t>
      </w:r>
      <w:r w:rsidR="00F06262">
        <w:t>0</w:t>
      </w:r>
      <w:r>
        <w:t xml:space="preserve"> September of each year during which this instrument is in force, setting out the following:</w:t>
      </w:r>
    </w:p>
    <w:p w14:paraId="212CA170" w14:textId="77777777" w:rsidR="00565087" w:rsidRDefault="00565087" w:rsidP="00565087">
      <w:pPr>
        <w:pStyle w:val="subsection"/>
        <w:numPr>
          <w:ilvl w:val="1"/>
          <w:numId w:val="3"/>
        </w:numPr>
      </w:pPr>
      <w:r>
        <w:lastRenderedPageBreak/>
        <w:t>for each line link comprising Designated DDTS Communications Infrastructure used in the reporting period (as permitted by subsection 7(1)):</w:t>
      </w:r>
    </w:p>
    <w:p w14:paraId="483A0FA4" w14:textId="77777777" w:rsidR="00565087" w:rsidRDefault="00565087" w:rsidP="00565087">
      <w:pPr>
        <w:pStyle w:val="subsection"/>
        <w:numPr>
          <w:ilvl w:val="2"/>
          <w:numId w:val="3"/>
        </w:numPr>
      </w:pPr>
      <w:r>
        <w:t xml:space="preserve">the geographic locations (at suburb level or where outside of a </w:t>
      </w:r>
      <w:proofErr w:type="gramStart"/>
      <w:r>
        <w:t>built-up areas</w:t>
      </w:r>
      <w:proofErr w:type="gramEnd"/>
      <w:r>
        <w:t>, the adjacent suburb);</w:t>
      </w:r>
    </w:p>
    <w:p w14:paraId="7676EB21" w14:textId="77777777" w:rsidR="00565087" w:rsidRDefault="00565087" w:rsidP="00565087">
      <w:pPr>
        <w:pStyle w:val="subsection"/>
        <w:numPr>
          <w:ilvl w:val="2"/>
          <w:numId w:val="3"/>
        </w:numPr>
      </w:pPr>
      <w:r>
        <w:t>the capacity of those links;</w:t>
      </w:r>
    </w:p>
    <w:p w14:paraId="4B27480D" w14:textId="77777777" w:rsidR="00565087" w:rsidRDefault="00565087" w:rsidP="00565087">
      <w:pPr>
        <w:pStyle w:val="subsection"/>
        <w:numPr>
          <w:ilvl w:val="1"/>
          <w:numId w:val="3"/>
        </w:numPr>
      </w:pPr>
      <w:r>
        <w:t xml:space="preserve">the legal name and associated identifier (such as an ABN or ACN) of each (as permitted by subsection 7(1)) user of the </w:t>
      </w:r>
      <w:r w:rsidRPr="00765935">
        <w:t>Designated DDTS Communications Infrastructure</w:t>
      </w:r>
      <w:r>
        <w:t xml:space="preserve"> as at the applicable report date; and</w:t>
      </w:r>
    </w:p>
    <w:p w14:paraId="3D03E653" w14:textId="77777777" w:rsidR="00565087" w:rsidRDefault="00565087" w:rsidP="00565087">
      <w:pPr>
        <w:pStyle w:val="subsection"/>
        <w:numPr>
          <w:ilvl w:val="0"/>
          <w:numId w:val="3"/>
        </w:numPr>
      </w:pPr>
      <w:r>
        <w:t>the uses of the Designated DDTS Communications Infrastructure (as permitted by subsection 7(1) above) are authorised in writing by:</w:t>
      </w:r>
    </w:p>
    <w:p w14:paraId="59A7E28E" w14:textId="77777777" w:rsidR="00565087" w:rsidRDefault="00565087" w:rsidP="00565087">
      <w:pPr>
        <w:pStyle w:val="subsection"/>
        <w:numPr>
          <w:ilvl w:val="1"/>
          <w:numId w:val="3"/>
        </w:numPr>
      </w:pPr>
      <w:r>
        <w:t>in respect of each permitted use described in subsection 7(1) above</w:t>
      </w:r>
      <w:r w:rsidRPr="00A17803">
        <w:rPr>
          <w:rStyle w:val="CharPartNo"/>
        </w:rPr>
        <w:t>—</w:t>
      </w:r>
      <w:r>
        <w:t>an authorised representative of the ACT Government; and</w:t>
      </w:r>
    </w:p>
    <w:p w14:paraId="18AB4AB7" w14:textId="77777777" w:rsidR="00565087" w:rsidRDefault="00565087" w:rsidP="00565087">
      <w:pPr>
        <w:pStyle w:val="subsection"/>
        <w:numPr>
          <w:ilvl w:val="1"/>
          <w:numId w:val="3"/>
        </w:numPr>
      </w:pPr>
      <w:r>
        <w:t>in respect of each permitted use described in subsection 7(1) above</w:t>
      </w:r>
      <w:r w:rsidRPr="00A17803">
        <w:rPr>
          <w:rStyle w:val="CharPartNo"/>
        </w:rPr>
        <w:t>—</w:t>
      </w:r>
      <w:r>
        <w:t>the ICON Secretary or an authorised representative of the ICON Secretary.</w:t>
      </w:r>
    </w:p>
    <w:p w14:paraId="7E5DFBE2" w14:textId="2B4CCE06" w:rsidR="00565087" w:rsidRPr="006A154F" w:rsidRDefault="00565087" w:rsidP="00565087">
      <w:pPr>
        <w:pStyle w:val="ActHead5"/>
        <w:rPr>
          <w:highlight w:val="yellow"/>
        </w:rPr>
      </w:pPr>
      <w:bookmarkStart w:id="24" w:name="_Toc141945376"/>
      <w:bookmarkStart w:id="25" w:name="_Toc145327722"/>
      <w:proofErr w:type="gramStart"/>
      <w:r>
        <w:t>8</w:t>
      </w:r>
      <w:r w:rsidRPr="00ED5147">
        <w:t xml:space="preserve">  Designated</w:t>
      </w:r>
      <w:proofErr w:type="gramEnd"/>
      <w:r>
        <w:t xml:space="preserve"> </w:t>
      </w:r>
      <w:proofErr w:type="spellStart"/>
      <w:r w:rsidR="00E3016C" w:rsidRPr="00483E6B">
        <w:t>ActewAGL</w:t>
      </w:r>
      <w:proofErr w:type="spellEnd"/>
      <w:r w:rsidR="00E3016C" w:rsidRPr="00483E6B">
        <w:t xml:space="preserve"> </w:t>
      </w:r>
      <w:r>
        <w:t xml:space="preserve">Corporation </w:t>
      </w:r>
      <w:r w:rsidRPr="00ED5147">
        <w:t>Communications Infrastructure</w:t>
      </w:r>
      <w:bookmarkEnd w:id="24"/>
      <w:bookmarkEnd w:id="25"/>
      <w:r>
        <w:rPr>
          <w:highlight w:val="yellow"/>
        </w:rPr>
        <w:t xml:space="preserve"> </w:t>
      </w:r>
    </w:p>
    <w:p w14:paraId="4F99762B" w14:textId="77777777" w:rsidR="00565087" w:rsidRPr="00F11835" w:rsidRDefault="00565087" w:rsidP="00565087">
      <w:pPr>
        <w:pStyle w:val="subsection"/>
        <w:rPr>
          <w:i/>
        </w:rPr>
      </w:pPr>
      <w:r>
        <w:rPr>
          <w:i/>
        </w:rPr>
        <w:t xml:space="preserve">Exemption </w:t>
      </w:r>
    </w:p>
    <w:p w14:paraId="4D572CE8" w14:textId="5D9BD6A3" w:rsidR="00565087" w:rsidRDefault="00565087" w:rsidP="00565087">
      <w:pPr>
        <w:pStyle w:val="subsection"/>
        <w:numPr>
          <w:ilvl w:val="0"/>
          <w:numId w:val="4"/>
        </w:numPr>
      </w:pPr>
      <w:r w:rsidRPr="006704B0">
        <w:t>Subject to the condition</w:t>
      </w:r>
      <w:r>
        <w:t>s</w:t>
      </w:r>
      <w:r w:rsidRPr="006704B0">
        <w:t xml:space="preserve"> </w:t>
      </w:r>
      <w:r>
        <w:t xml:space="preserve">set out in subsection </w:t>
      </w:r>
      <w:r w:rsidRPr="00E53791">
        <w:t xml:space="preserve">8(2) </w:t>
      </w:r>
      <w:r>
        <w:t xml:space="preserve">of this instrument, section 42 of the Act does not apply in relation to the use of Designated </w:t>
      </w:r>
      <w:proofErr w:type="spellStart"/>
      <w:r w:rsidR="00E3016C" w:rsidRPr="00483E6B">
        <w:t>ActewAGL</w:t>
      </w:r>
      <w:proofErr w:type="spellEnd"/>
      <w:r>
        <w:t xml:space="preserve"> Communications Infrastructure, where the use is by:</w:t>
      </w:r>
    </w:p>
    <w:p w14:paraId="24629F98" w14:textId="77777777" w:rsidR="00565087" w:rsidRDefault="00565087" w:rsidP="00612E2D">
      <w:pPr>
        <w:pStyle w:val="subsection"/>
        <w:numPr>
          <w:ilvl w:val="1"/>
          <w:numId w:val="26"/>
        </w:numPr>
      </w:pPr>
      <w:r>
        <w:t xml:space="preserve">the Crown in right of the Australian Capital Territory or an authority </w:t>
      </w:r>
      <w:r w:rsidRPr="00822913">
        <w:t>for any of the following purposes</w:t>
      </w:r>
      <w:r>
        <w:t>:</w:t>
      </w:r>
    </w:p>
    <w:p w14:paraId="76913F7D" w14:textId="77777777" w:rsidR="00565087" w:rsidRDefault="00565087" w:rsidP="00565087">
      <w:pPr>
        <w:pStyle w:val="subsection"/>
        <w:numPr>
          <w:ilvl w:val="0"/>
          <w:numId w:val="22"/>
        </w:numPr>
      </w:pPr>
      <w:r>
        <w:t>principally for the exercise or performance of a public function or duty; or</w:t>
      </w:r>
    </w:p>
    <w:p w14:paraId="3D3DA43C" w14:textId="77777777" w:rsidR="00565087" w:rsidRDefault="00565087" w:rsidP="00565087">
      <w:pPr>
        <w:pStyle w:val="subsection"/>
        <w:numPr>
          <w:ilvl w:val="0"/>
          <w:numId w:val="22"/>
        </w:numPr>
      </w:pPr>
      <w:r w:rsidRPr="00F11835">
        <w:t xml:space="preserve">in connection with the preparation for, response to or recovery from, an emergency specified in a national emergency declaration (within the meaning of the </w:t>
      </w:r>
      <w:r w:rsidRPr="00D849B9">
        <w:rPr>
          <w:i/>
        </w:rPr>
        <w:t>National Emergency Declaration Act 2020</w:t>
      </w:r>
      <w:r w:rsidRPr="00F11835">
        <w:t>)</w:t>
      </w:r>
      <w:r>
        <w:t xml:space="preserve">. </w:t>
      </w:r>
    </w:p>
    <w:p w14:paraId="00D25529" w14:textId="77777777" w:rsidR="00565087" w:rsidRPr="00827DE8" w:rsidRDefault="00565087" w:rsidP="00612E2D">
      <w:pPr>
        <w:pStyle w:val="subsection"/>
        <w:numPr>
          <w:ilvl w:val="1"/>
          <w:numId w:val="26"/>
        </w:numPr>
      </w:pPr>
      <w:r>
        <w:t>an authority or institution of the Australian Capital Territory (other than an authority or institution that carries on a business as a core function) for any of the following purposes</w:t>
      </w:r>
      <w:r w:rsidRPr="00827DE8">
        <w:t xml:space="preserve">: </w:t>
      </w:r>
    </w:p>
    <w:p w14:paraId="2019C4B0" w14:textId="77777777" w:rsidR="00565087" w:rsidRDefault="00565087" w:rsidP="00565087">
      <w:pPr>
        <w:pStyle w:val="subsection"/>
        <w:numPr>
          <w:ilvl w:val="0"/>
          <w:numId w:val="23"/>
        </w:numPr>
      </w:pPr>
      <w:r>
        <w:t>principally for the exercise or performance of a public function or duty; or</w:t>
      </w:r>
    </w:p>
    <w:p w14:paraId="12C74337" w14:textId="77777777" w:rsidR="003247E2" w:rsidRDefault="00565087" w:rsidP="003247E2">
      <w:pPr>
        <w:pStyle w:val="subsection"/>
        <w:numPr>
          <w:ilvl w:val="0"/>
          <w:numId w:val="23"/>
        </w:numPr>
      </w:pPr>
      <w:r w:rsidRPr="00F11835">
        <w:t xml:space="preserve">in connection with the preparation for, response to or recovery from, an emergency specified in a national emergency declaration (within the meaning of the </w:t>
      </w:r>
      <w:r w:rsidRPr="00D849B9">
        <w:rPr>
          <w:i/>
        </w:rPr>
        <w:t>National Emergency Declaration Act 2020</w:t>
      </w:r>
      <w:r w:rsidRPr="00F11835">
        <w:t>)</w:t>
      </w:r>
      <w:r>
        <w:t>.</w:t>
      </w:r>
    </w:p>
    <w:p w14:paraId="7F01BC3C" w14:textId="6FBF23A4" w:rsidR="003247E2" w:rsidRDefault="003247E2" w:rsidP="003247E2">
      <w:pPr>
        <w:pStyle w:val="subsection"/>
        <w:numPr>
          <w:ilvl w:val="1"/>
          <w:numId w:val="26"/>
        </w:numPr>
      </w:pPr>
      <w:r>
        <w:t>a Water Corporation for the supply of Permitted Water Services.</w:t>
      </w:r>
    </w:p>
    <w:p w14:paraId="4840C76C" w14:textId="77777777" w:rsidR="000E0557" w:rsidRDefault="000E0557" w:rsidP="00565087">
      <w:pPr>
        <w:pStyle w:val="subsection"/>
        <w:ind w:left="1128" w:firstLine="0"/>
        <w:rPr>
          <w:i/>
        </w:rPr>
      </w:pPr>
    </w:p>
    <w:p w14:paraId="3C4BBC75" w14:textId="50EA5161" w:rsidR="00565087" w:rsidRPr="00F11835" w:rsidRDefault="00565087" w:rsidP="00565087">
      <w:pPr>
        <w:pStyle w:val="subsection"/>
        <w:ind w:left="1128" w:firstLine="0"/>
        <w:rPr>
          <w:i/>
        </w:rPr>
      </w:pPr>
      <w:r>
        <w:rPr>
          <w:i/>
        </w:rPr>
        <w:t>Conditions</w:t>
      </w:r>
    </w:p>
    <w:p w14:paraId="40899D39" w14:textId="77777777" w:rsidR="00565087" w:rsidRDefault="00565087" w:rsidP="00565087">
      <w:pPr>
        <w:pStyle w:val="subsection"/>
        <w:numPr>
          <w:ilvl w:val="0"/>
          <w:numId w:val="4"/>
        </w:numPr>
      </w:pPr>
      <w:r>
        <w:t>For the purposes of subsection 8(1), the following conditions are specified:</w:t>
      </w:r>
    </w:p>
    <w:p w14:paraId="7A61653A" w14:textId="38EE7616" w:rsidR="00565087" w:rsidRDefault="00565087" w:rsidP="00565087">
      <w:pPr>
        <w:pStyle w:val="subsection"/>
        <w:numPr>
          <w:ilvl w:val="0"/>
          <w:numId w:val="6"/>
        </w:numPr>
        <w:ind w:left="1440" w:hanging="312"/>
      </w:pPr>
      <w:r>
        <w:t xml:space="preserve">each </w:t>
      </w:r>
      <w:proofErr w:type="spellStart"/>
      <w:r w:rsidR="00E3016C" w:rsidRPr="00483E6B">
        <w:t>ActewAGL</w:t>
      </w:r>
      <w:proofErr w:type="spellEnd"/>
      <w:r w:rsidR="00E3016C" w:rsidRPr="00483E6B">
        <w:t xml:space="preserve"> </w:t>
      </w:r>
      <w:r>
        <w:t>Corporation must provide a report to the ACMA by 3</w:t>
      </w:r>
      <w:r w:rsidR="00F06262">
        <w:t>0</w:t>
      </w:r>
      <w:r>
        <w:t> September of each year during which this instrument is in force, setting out the following information:</w:t>
      </w:r>
    </w:p>
    <w:p w14:paraId="057553E4" w14:textId="02CC0701" w:rsidR="00565087" w:rsidRDefault="00565087" w:rsidP="00565087">
      <w:pPr>
        <w:pStyle w:val="subsection"/>
        <w:numPr>
          <w:ilvl w:val="1"/>
          <w:numId w:val="6"/>
        </w:numPr>
      </w:pPr>
      <w:r>
        <w:t xml:space="preserve">for each line link comprising Designated </w:t>
      </w:r>
      <w:proofErr w:type="spellStart"/>
      <w:r w:rsidR="00E3016C" w:rsidRPr="00483E6B">
        <w:t>ActewAGL</w:t>
      </w:r>
      <w:proofErr w:type="spellEnd"/>
      <w:r w:rsidR="00E3016C" w:rsidRPr="00483E6B">
        <w:t xml:space="preserve"> </w:t>
      </w:r>
      <w:r>
        <w:t>Corporation Communications Infrastructure that it owns and used in the reporting period (as permitted by subsection 8</w:t>
      </w:r>
      <w:r w:rsidRPr="003F68D1">
        <w:t>(1)</w:t>
      </w:r>
      <w:r>
        <w:t>):</w:t>
      </w:r>
    </w:p>
    <w:p w14:paraId="01200203" w14:textId="77777777" w:rsidR="00565087" w:rsidRDefault="00565087" w:rsidP="00565087">
      <w:pPr>
        <w:pStyle w:val="subsection"/>
        <w:numPr>
          <w:ilvl w:val="2"/>
          <w:numId w:val="6"/>
        </w:numPr>
      </w:pPr>
      <w:r>
        <w:t xml:space="preserve">the geographic locations (at suburb level or where outside of a </w:t>
      </w:r>
      <w:proofErr w:type="gramStart"/>
      <w:r>
        <w:t>built-up areas</w:t>
      </w:r>
      <w:proofErr w:type="gramEnd"/>
      <w:r>
        <w:t>, the adjacent suburb);</w:t>
      </w:r>
    </w:p>
    <w:p w14:paraId="43F9D8B3" w14:textId="77777777" w:rsidR="00565087" w:rsidRDefault="00565087" w:rsidP="00565087">
      <w:pPr>
        <w:pStyle w:val="subsection"/>
        <w:numPr>
          <w:ilvl w:val="2"/>
          <w:numId w:val="6"/>
        </w:numPr>
      </w:pPr>
      <w:r>
        <w:t>the capacity of those links;</w:t>
      </w:r>
    </w:p>
    <w:p w14:paraId="62FB19ED" w14:textId="213BA1DD" w:rsidR="00565087" w:rsidRDefault="00565087" w:rsidP="00565087">
      <w:pPr>
        <w:pStyle w:val="subsection"/>
        <w:numPr>
          <w:ilvl w:val="1"/>
          <w:numId w:val="6"/>
        </w:numPr>
      </w:pPr>
      <w:r>
        <w:t>the legal name and associated identifier (such as an ABN or ACN) of each user (as permitted by subsection 8(1</w:t>
      </w:r>
      <w:proofErr w:type="gramStart"/>
      <w:r>
        <w:t>))  of</w:t>
      </w:r>
      <w:proofErr w:type="gramEnd"/>
      <w:r>
        <w:t xml:space="preserve"> the </w:t>
      </w:r>
      <w:r w:rsidRPr="00765935">
        <w:t xml:space="preserve">Designated </w:t>
      </w:r>
      <w:proofErr w:type="spellStart"/>
      <w:r w:rsidR="00E3016C" w:rsidRPr="00483E6B">
        <w:t>ActewAGL</w:t>
      </w:r>
      <w:proofErr w:type="spellEnd"/>
      <w:r w:rsidR="00E3016C" w:rsidRPr="00483E6B">
        <w:t xml:space="preserve"> </w:t>
      </w:r>
      <w:r>
        <w:t>Corporation</w:t>
      </w:r>
      <w:r w:rsidRPr="00765935">
        <w:t xml:space="preserve"> Communications Infrastructure</w:t>
      </w:r>
      <w:r>
        <w:t xml:space="preserve"> during the reporting period; and</w:t>
      </w:r>
    </w:p>
    <w:p w14:paraId="561E88AA" w14:textId="7D37B9EE" w:rsidR="00565087" w:rsidRDefault="00565087" w:rsidP="00565087">
      <w:pPr>
        <w:pStyle w:val="subsection"/>
        <w:numPr>
          <w:ilvl w:val="0"/>
          <w:numId w:val="6"/>
        </w:numPr>
      </w:pPr>
      <w:r>
        <w:t xml:space="preserve">the uses of the Designated </w:t>
      </w:r>
      <w:proofErr w:type="spellStart"/>
      <w:r w:rsidR="00E3016C" w:rsidRPr="00483E6B">
        <w:t>ActewAGL</w:t>
      </w:r>
      <w:proofErr w:type="spellEnd"/>
      <w:r w:rsidR="00E3016C" w:rsidRPr="00483E6B">
        <w:t xml:space="preserve"> </w:t>
      </w:r>
      <w:r>
        <w:t>Corporation Communications Infrastructure (as permitted by subsection 8(1) above) are authorised in writing by:</w:t>
      </w:r>
    </w:p>
    <w:p w14:paraId="6C6DCD5A" w14:textId="47E2E12F" w:rsidR="00565087" w:rsidRDefault="00565087" w:rsidP="00565087">
      <w:pPr>
        <w:pStyle w:val="subsection"/>
        <w:numPr>
          <w:ilvl w:val="1"/>
          <w:numId w:val="6"/>
        </w:numPr>
      </w:pPr>
      <w:r>
        <w:t>in respect of the permitted use described in paragraph 8(1)(a)</w:t>
      </w:r>
      <w:r>
        <w:rPr>
          <w:noProof/>
        </w:rPr>
        <w:t>—</w:t>
      </w:r>
      <w:r>
        <w:t>an authorised representative of the ACT Government.</w:t>
      </w:r>
    </w:p>
    <w:p w14:paraId="4B6BEF9A" w14:textId="050A5EB3" w:rsidR="00565087" w:rsidRDefault="00565087" w:rsidP="00565087">
      <w:pPr>
        <w:pStyle w:val="subsection"/>
        <w:numPr>
          <w:ilvl w:val="1"/>
          <w:numId w:val="6"/>
        </w:numPr>
      </w:pPr>
      <w:r>
        <w:t>in respect of the permitted use described in paragraph 8(1)(b)</w:t>
      </w:r>
      <w:r>
        <w:rPr>
          <w:noProof/>
        </w:rPr>
        <w:t>—</w:t>
      </w:r>
      <w:r>
        <w:t>an authorised representative of the relevant authority or institution.</w:t>
      </w:r>
    </w:p>
    <w:p w14:paraId="79DF99B1" w14:textId="784ABABF" w:rsidR="00CC1E0F" w:rsidRDefault="00CC1E0F" w:rsidP="00CC1E0F">
      <w:pPr>
        <w:pStyle w:val="subsection"/>
        <w:numPr>
          <w:ilvl w:val="1"/>
          <w:numId w:val="6"/>
        </w:numPr>
      </w:pPr>
      <w:r w:rsidRPr="002F4C22">
        <w:t>in respect of the permitted use described in paragraph 8(1)(</w:t>
      </w:r>
      <w:r>
        <w:t>c</w:t>
      </w:r>
      <w:r w:rsidRPr="002F4C22">
        <w:t>)</w:t>
      </w:r>
      <w:r>
        <w:rPr>
          <w:noProof/>
        </w:rPr>
        <w:t>—</w:t>
      </w:r>
      <w:r w:rsidR="001F0972">
        <w:t>an authorised representative of</w:t>
      </w:r>
      <w:r>
        <w:t xml:space="preserve"> the relevant </w:t>
      </w:r>
      <w:r w:rsidRPr="002F4C22">
        <w:t>Water Corporation</w:t>
      </w:r>
      <w:r>
        <w:t>.</w:t>
      </w:r>
    </w:p>
    <w:p w14:paraId="07A58D85" w14:textId="77777777" w:rsidR="00565087" w:rsidRDefault="00565087" w:rsidP="00565087">
      <w:pPr>
        <w:pStyle w:val="ActHead5"/>
        <w:rPr>
          <w:highlight w:val="yellow"/>
        </w:rPr>
      </w:pPr>
      <w:bookmarkStart w:id="26" w:name="_Toc145327723"/>
      <w:bookmarkStart w:id="27" w:name="_Hlk144901169"/>
      <w:proofErr w:type="gramStart"/>
      <w:r>
        <w:t>9</w:t>
      </w:r>
      <w:r w:rsidRPr="00ED5147">
        <w:t xml:space="preserve">  Designated</w:t>
      </w:r>
      <w:proofErr w:type="gramEnd"/>
      <w:r>
        <w:t xml:space="preserve"> Water Corporation </w:t>
      </w:r>
      <w:r w:rsidRPr="00ED5147">
        <w:t>Communications Infrastructure</w:t>
      </w:r>
      <w:bookmarkEnd w:id="26"/>
      <w:r>
        <w:rPr>
          <w:highlight w:val="yellow"/>
        </w:rPr>
        <w:t xml:space="preserve"> </w:t>
      </w:r>
    </w:p>
    <w:p w14:paraId="7532D1F3" w14:textId="77777777" w:rsidR="00565087" w:rsidRPr="00F11835" w:rsidRDefault="00565087" w:rsidP="00565087">
      <w:pPr>
        <w:pStyle w:val="subsection"/>
        <w:rPr>
          <w:i/>
        </w:rPr>
      </w:pPr>
      <w:r>
        <w:rPr>
          <w:i/>
        </w:rPr>
        <w:t xml:space="preserve">Exemption </w:t>
      </w:r>
    </w:p>
    <w:p w14:paraId="39AD3EAE" w14:textId="77777777" w:rsidR="00565087" w:rsidRDefault="00565087" w:rsidP="00565087">
      <w:pPr>
        <w:pStyle w:val="subsection"/>
        <w:numPr>
          <w:ilvl w:val="0"/>
          <w:numId w:val="10"/>
        </w:numPr>
      </w:pPr>
      <w:r w:rsidRPr="006704B0">
        <w:t>Subject to the condition</w:t>
      </w:r>
      <w:r>
        <w:t>s</w:t>
      </w:r>
      <w:r w:rsidRPr="006704B0">
        <w:t xml:space="preserve"> </w:t>
      </w:r>
      <w:r>
        <w:t xml:space="preserve">set out in subsection </w:t>
      </w:r>
      <w:r w:rsidRPr="003F68D1">
        <w:t>9(2)</w:t>
      </w:r>
      <w:r>
        <w:t xml:space="preserve"> of this instrument, section 42 of the Act does not apply in relation to the use of Designated Water Corporation Communications Infrastructure, where the use is by:</w:t>
      </w:r>
    </w:p>
    <w:p w14:paraId="464A662A" w14:textId="77777777" w:rsidR="00565087" w:rsidRDefault="00565087" w:rsidP="00565087">
      <w:pPr>
        <w:pStyle w:val="subsection"/>
        <w:numPr>
          <w:ilvl w:val="0"/>
          <w:numId w:val="18"/>
        </w:numPr>
      </w:pPr>
      <w:r>
        <w:t xml:space="preserve">the Crown in right of the Australian Capital Territory or an authority </w:t>
      </w:r>
      <w:r w:rsidRPr="00822913">
        <w:t>for any of the following purposes</w:t>
      </w:r>
      <w:r>
        <w:t>:</w:t>
      </w:r>
    </w:p>
    <w:p w14:paraId="2F3E21A4" w14:textId="77777777" w:rsidR="00565087" w:rsidRDefault="00565087" w:rsidP="00565087">
      <w:pPr>
        <w:pStyle w:val="subsection"/>
        <w:numPr>
          <w:ilvl w:val="0"/>
          <w:numId w:val="20"/>
        </w:numPr>
      </w:pPr>
      <w:r>
        <w:t>principally for the exercise or performance of a public function or duty; or</w:t>
      </w:r>
    </w:p>
    <w:p w14:paraId="7D9D55E2" w14:textId="75F6A40E" w:rsidR="00565087" w:rsidRDefault="00565087" w:rsidP="00565087">
      <w:pPr>
        <w:pStyle w:val="subsection"/>
        <w:numPr>
          <w:ilvl w:val="0"/>
          <w:numId w:val="20"/>
        </w:numPr>
      </w:pPr>
      <w:r w:rsidRPr="00F11835">
        <w:t xml:space="preserve">in connection with the preparation for, response to or recovery from, an emergency specified in a national emergency declaration (within the meaning of the </w:t>
      </w:r>
      <w:r w:rsidRPr="00D849B9">
        <w:rPr>
          <w:i/>
        </w:rPr>
        <w:t>National Emergency Declaration Act 2020</w:t>
      </w:r>
      <w:r w:rsidRPr="00F11835">
        <w:t>)</w:t>
      </w:r>
      <w:r w:rsidR="00CC1E0F">
        <w:t>; and</w:t>
      </w:r>
      <w:r>
        <w:t xml:space="preserve"> </w:t>
      </w:r>
    </w:p>
    <w:p w14:paraId="17F4BFFB" w14:textId="77777777" w:rsidR="00565087" w:rsidRPr="00827DE8" w:rsidRDefault="00565087" w:rsidP="00565087">
      <w:pPr>
        <w:pStyle w:val="subsection"/>
        <w:numPr>
          <w:ilvl w:val="0"/>
          <w:numId w:val="18"/>
        </w:numPr>
      </w:pPr>
      <w:r>
        <w:lastRenderedPageBreak/>
        <w:t>an authority or institution of the Australian Capital Territory (other than an authority or institution that carries on a business as a core function) for any of the following purposes</w:t>
      </w:r>
      <w:r w:rsidRPr="00827DE8">
        <w:t xml:space="preserve">: </w:t>
      </w:r>
    </w:p>
    <w:p w14:paraId="2375C3D9" w14:textId="77777777" w:rsidR="00565087" w:rsidRDefault="00565087" w:rsidP="00565087">
      <w:pPr>
        <w:pStyle w:val="subsection"/>
        <w:numPr>
          <w:ilvl w:val="0"/>
          <w:numId w:val="19"/>
        </w:numPr>
      </w:pPr>
      <w:r>
        <w:t>principally for the exercise or performance of a public function or duty; or</w:t>
      </w:r>
    </w:p>
    <w:p w14:paraId="77E71021" w14:textId="77777777" w:rsidR="00565087" w:rsidRDefault="00565087" w:rsidP="00565087">
      <w:pPr>
        <w:pStyle w:val="subsection"/>
        <w:numPr>
          <w:ilvl w:val="0"/>
          <w:numId w:val="19"/>
        </w:numPr>
      </w:pPr>
      <w:r w:rsidRPr="00F11835">
        <w:t xml:space="preserve">in connection with the preparation for, response to or recovery from, an emergency specified in a national emergency declaration (within the meaning of the </w:t>
      </w:r>
      <w:r w:rsidRPr="00D849B9">
        <w:rPr>
          <w:i/>
        </w:rPr>
        <w:t>National Emergency Declaration Act 2020</w:t>
      </w:r>
      <w:r w:rsidRPr="00F11835">
        <w:t>)</w:t>
      </w:r>
      <w:r>
        <w:t xml:space="preserve">. </w:t>
      </w:r>
    </w:p>
    <w:bookmarkEnd w:id="27"/>
    <w:p w14:paraId="448471C6" w14:textId="77777777" w:rsidR="00565087" w:rsidRPr="00F11835" w:rsidRDefault="00565087" w:rsidP="00565087">
      <w:pPr>
        <w:pStyle w:val="subsection"/>
        <w:ind w:left="1128" w:firstLine="0"/>
        <w:rPr>
          <w:i/>
        </w:rPr>
      </w:pPr>
      <w:r>
        <w:rPr>
          <w:i/>
        </w:rPr>
        <w:t>Conditions</w:t>
      </w:r>
    </w:p>
    <w:p w14:paraId="280D9252" w14:textId="77777777" w:rsidR="00565087" w:rsidRDefault="00565087" w:rsidP="00565087">
      <w:pPr>
        <w:pStyle w:val="subsection"/>
        <w:numPr>
          <w:ilvl w:val="0"/>
          <w:numId w:val="10"/>
        </w:numPr>
      </w:pPr>
      <w:r>
        <w:t>For the purposes of subsection 9(1), the following conditions are specified:</w:t>
      </w:r>
    </w:p>
    <w:p w14:paraId="2BB32204" w14:textId="022BDC69" w:rsidR="00565087" w:rsidRDefault="00565087" w:rsidP="00565087">
      <w:pPr>
        <w:pStyle w:val="subsection"/>
        <w:numPr>
          <w:ilvl w:val="0"/>
          <w:numId w:val="11"/>
        </w:numPr>
      </w:pPr>
      <w:r>
        <w:t>each Water Corporation must provide a report to the ACMA</w:t>
      </w:r>
      <w:r w:rsidRPr="00807136">
        <w:t xml:space="preserve"> </w:t>
      </w:r>
      <w:r>
        <w:t>by 3</w:t>
      </w:r>
      <w:r w:rsidR="00F06262">
        <w:t>0</w:t>
      </w:r>
      <w:r>
        <w:t> September of each year during which this instrument is in force, setting out the following information:</w:t>
      </w:r>
    </w:p>
    <w:p w14:paraId="122CBF35" w14:textId="77777777" w:rsidR="00565087" w:rsidRDefault="00565087" w:rsidP="00565087">
      <w:pPr>
        <w:pStyle w:val="subsection"/>
        <w:numPr>
          <w:ilvl w:val="1"/>
          <w:numId w:val="11"/>
        </w:numPr>
      </w:pPr>
      <w:r>
        <w:t xml:space="preserve">for each line link comprising the </w:t>
      </w:r>
      <w:r w:rsidRPr="00ED5147">
        <w:t>Designated</w:t>
      </w:r>
      <w:r>
        <w:t xml:space="preserve"> Water Corporation </w:t>
      </w:r>
      <w:r w:rsidRPr="00ED5147">
        <w:t>Communications Infrastructure</w:t>
      </w:r>
      <w:r>
        <w:t xml:space="preserve"> that it owns and was used in the reporting period (as permitted by subsection 9</w:t>
      </w:r>
      <w:r w:rsidRPr="003F68D1">
        <w:t>(1)</w:t>
      </w:r>
      <w:r>
        <w:t>):</w:t>
      </w:r>
    </w:p>
    <w:p w14:paraId="59B0203B" w14:textId="77777777" w:rsidR="00565087" w:rsidRDefault="00565087" w:rsidP="00565087">
      <w:pPr>
        <w:pStyle w:val="subsection"/>
        <w:numPr>
          <w:ilvl w:val="2"/>
          <w:numId w:val="11"/>
        </w:numPr>
      </w:pPr>
      <w:r>
        <w:t xml:space="preserve">the geographic locations (at suburb level or where outside of a </w:t>
      </w:r>
      <w:proofErr w:type="gramStart"/>
      <w:r>
        <w:t>built-up areas</w:t>
      </w:r>
      <w:proofErr w:type="gramEnd"/>
      <w:r>
        <w:t xml:space="preserve">, the adjacent suburb); and </w:t>
      </w:r>
    </w:p>
    <w:p w14:paraId="54D15851" w14:textId="77777777" w:rsidR="00565087" w:rsidRDefault="00565087" w:rsidP="00565087">
      <w:pPr>
        <w:pStyle w:val="subsection"/>
        <w:numPr>
          <w:ilvl w:val="2"/>
          <w:numId w:val="11"/>
        </w:numPr>
      </w:pPr>
      <w:r>
        <w:t>the capacity of those links;</w:t>
      </w:r>
    </w:p>
    <w:p w14:paraId="7E35EFF1" w14:textId="77777777" w:rsidR="00565087" w:rsidRDefault="00565087" w:rsidP="00565087">
      <w:pPr>
        <w:pStyle w:val="subsection"/>
        <w:numPr>
          <w:ilvl w:val="1"/>
          <w:numId w:val="11"/>
        </w:numPr>
      </w:pPr>
      <w:r>
        <w:t xml:space="preserve">the legal name and associated identifier (such as an ABN or ACN) of each user (as permitted by subsection 9(1)) of the </w:t>
      </w:r>
      <w:r w:rsidRPr="00ED5147">
        <w:t>Designated</w:t>
      </w:r>
      <w:r>
        <w:t xml:space="preserve"> Water Corporation </w:t>
      </w:r>
      <w:r w:rsidRPr="00ED5147">
        <w:t>Communications Infrastructur</w:t>
      </w:r>
      <w:r w:rsidRPr="00D15021">
        <w:t>e</w:t>
      </w:r>
      <w:r w:rsidRPr="003F4A99">
        <w:t xml:space="preserve"> </w:t>
      </w:r>
      <w:r>
        <w:t>during the reporting period; and</w:t>
      </w:r>
    </w:p>
    <w:p w14:paraId="7642EC8E" w14:textId="77777777" w:rsidR="00565087" w:rsidRDefault="00565087" w:rsidP="00565087">
      <w:pPr>
        <w:pStyle w:val="subsection"/>
        <w:numPr>
          <w:ilvl w:val="0"/>
          <w:numId w:val="11"/>
        </w:numPr>
        <w:ind w:left="1440" w:hanging="312"/>
      </w:pPr>
      <w:r>
        <w:t>the uses of the Designated Water Corporation Communications Infrastructure (as permitted by subsection 9(1) above) are authorised in writing by:</w:t>
      </w:r>
    </w:p>
    <w:p w14:paraId="0079F51B" w14:textId="3676DF28" w:rsidR="00565087" w:rsidRDefault="00565087" w:rsidP="00565087">
      <w:pPr>
        <w:pStyle w:val="subsection"/>
        <w:numPr>
          <w:ilvl w:val="1"/>
          <w:numId w:val="11"/>
        </w:numPr>
      </w:pPr>
      <w:r>
        <w:t>in respect of each permitted use described in subsection 9(1) above</w:t>
      </w:r>
      <w:r w:rsidRPr="00A17803">
        <w:rPr>
          <w:rStyle w:val="CharPartNo"/>
        </w:rPr>
        <w:t>—</w:t>
      </w:r>
      <w:r w:rsidR="00BC2388">
        <w:rPr>
          <w:rStyle w:val="CharPartNo"/>
        </w:rPr>
        <w:t xml:space="preserve">an authorised representative of </w:t>
      </w:r>
      <w:r>
        <w:t xml:space="preserve">the relevant Water Corporation; </w:t>
      </w:r>
    </w:p>
    <w:p w14:paraId="61BCC77A" w14:textId="77777777" w:rsidR="00565087" w:rsidRDefault="00565087" w:rsidP="00565087">
      <w:pPr>
        <w:pStyle w:val="subsection"/>
        <w:numPr>
          <w:ilvl w:val="1"/>
          <w:numId w:val="11"/>
        </w:numPr>
      </w:pPr>
      <w:r>
        <w:t>in respect of the permitted use described in paragraph 9(1)(a)</w:t>
      </w:r>
      <w:r>
        <w:rPr>
          <w:noProof/>
        </w:rPr>
        <w:t>—</w:t>
      </w:r>
      <w:r>
        <w:t xml:space="preserve">an authorised representative of the ACT Government; and </w:t>
      </w:r>
    </w:p>
    <w:p w14:paraId="223D75C8" w14:textId="77777777" w:rsidR="00565087" w:rsidRDefault="00565087" w:rsidP="00565087">
      <w:pPr>
        <w:pStyle w:val="subsection"/>
        <w:numPr>
          <w:ilvl w:val="1"/>
          <w:numId w:val="11"/>
        </w:numPr>
      </w:pPr>
      <w:r>
        <w:t>in respect of the permitted use described in paragraph 9(1)(b)</w:t>
      </w:r>
      <w:r>
        <w:rPr>
          <w:noProof/>
        </w:rPr>
        <w:t>—</w:t>
      </w:r>
      <w:r>
        <w:t>an authorised representative of the relevant authority or institution.</w:t>
      </w:r>
    </w:p>
    <w:p w14:paraId="2ADC2C29" w14:textId="77777777" w:rsidR="00565087" w:rsidRDefault="00565087" w:rsidP="00565087">
      <w:pPr>
        <w:pStyle w:val="subsection"/>
        <w:ind w:left="1848"/>
      </w:pPr>
    </w:p>
    <w:p w14:paraId="5B96E4B4" w14:textId="77777777" w:rsidR="00565087" w:rsidRPr="0021423D" w:rsidRDefault="00565087" w:rsidP="00565087">
      <w:pPr>
        <w:pStyle w:val="ActHead2"/>
        <w:rPr>
          <w:bCs/>
          <w:color w:val="000000"/>
          <w:szCs w:val="32"/>
        </w:rPr>
      </w:pPr>
      <w:r>
        <w:rPr>
          <w:rStyle w:val="charamschno"/>
          <w:rFonts w:ascii="Arial" w:hAnsi="Arial" w:cs="Arial"/>
          <w:bCs/>
          <w:color w:val="000000"/>
          <w:szCs w:val="32"/>
        </w:rPr>
        <w:br w:type="column"/>
      </w:r>
      <w:bookmarkStart w:id="28" w:name="_Toc145327724"/>
      <w:r w:rsidRPr="0021423D">
        <w:rPr>
          <w:rStyle w:val="charamschno"/>
          <w:bCs/>
          <w:color w:val="000000"/>
          <w:szCs w:val="32"/>
        </w:rPr>
        <w:lastRenderedPageBreak/>
        <w:t>Schedule 1</w:t>
      </w:r>
      <w:r w:rsidRPr="0021423D">
        <w:rPr>
          <w:bCs/>
          <w:color w:val="000000"/>
          <w:szCs w:val="32"/>
        </w:rPr>
        <w:t>—</w:t>
      </w:r>
      <w:r w:rsidRPr="0021423D">
        <w:rPr>
          <w:rStyle w:val="CharPartNo"/>
        </w:rPr>
        <w:t>Repeals</w:t>
      </w:r>
      <w:bookmarkEnd w:id="28"/>
      <w:r w:rsidRPr="0021423D">
        <w:rPr>
          <w:bCs/>
          <w:color w:val="000000"/>
          <w:szCs w:val="32"/>
        </w:rPr>
        <w:t xml:space="preserve"> </w:t>
      </w:r>
    </w:p>
    <w:p w14:paraId="46D0B5FE" w14:textId="77777777" w:rsidR="00565087" w:rsidRDefault="00565087" w:rsidP="00FC0F67">
      <w:pPr>
        <w:pStyle w:val="acthead9"/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bookmarkStart w:id="29" w:name="_Toc136343511"/>
      <w:r w:rsidRPr="00205D9D">
        <w:rPr>
          <w:b/>
          <w:bCs/>
          <w:i/>
          <w:iCs/>
          <w:color w:val="000000"/>
          <w:sz w:val="28"/>
          <w:szCs w:val="28"/>
        </w:rPr>
        <w:t>Telecommunications (Carrier Licence Exemption — ICON, SSICT and ACTEW Networks) Determination 2013 (No. 1</w:t>
      </w:r>
      <w:bookmarkEnd w:id="29"/>
      <w:r>
        <w:rPr>
          <w:b/>
          <w:bCs/>
          <w:i/>
          <w:iCs/>
          <w:color w:val="000000"/>
          <w:sz w:val="28"/>
          <w:szCs w:val="28"/>
        </w:rPr>
        <w:t>)</w:t>
      </w:r>
    </w:p>
    <w:p w14:paraId="4FE29AA1" w14:textId="77777777" w:rsidR="00565087" w:rsidRDefault="00565087" w:rsidP="00565087">
      <w:pPr>
        <w:pStyle w:val="ItemHead"/>
      </w:pPr>
      <w:proofErr w:type="gramStart"/>
      <w:r>
        <w:t>1  The</w:t>
      </w:r>
      <w:proofErr w:type="gramEnd"/>
      <w:r>
        <w:t xml:space="preserve"> whole of the instrument</w:t>
      </w:r>
    </w:p>
    <w:p w14:paraId="4352E5A9" w14:textId="77777777" w:rsidR="00565087" w:rsidRDefault="00565087" w:rsidP="00565087">
      <w:pPr>
        <w:pStyle w:val="NormalWeb"/>
        <w:ind w:firstLine="709"/>
      </w:pPr>
      <w:r w:rsidRPr="00C0411E">
        <w:rPr>
          <w:color w:val="000000"/>
        </w:rPr>
        <w:t>Repeal the instrument</w:t>
      </w:r>
      <w:r>
        <w:rPr>
          <w:color w:val="000000"/>
        </w:rPr>
        <w:t>.</w:t>
      </w:r>
    </w:p>
    <w:p w14:paraId="5E414FB2" w14:textId="77777777" w:rsidR="00565087" w:rsidRDefault="00565087"/>
    <w:sectPr w:rsidR="00565087" w:rsidSect="00253EBF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0BD54" w14:textId="77777777" w:rsidR="00464A92" w:rsidRDefault="00464A92">
      <w:pPr>
        <w:spacing w:line="240" w:lineRule="auto"/>
      </w:pPr>
      <w:r>
        <w:separator/>
      </w:r>
    </w:p>
  </w:endnote>
  <w:endnote w:type="continuationSeparator" w:id="0">
    <w:p w14:paraId="469D770D" w14:textId="77777777" w:rsidR="00464A92" w:rsidRDefault="00464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D552F" w14:textId="77777777" w:rsidR="004035D0" w:rsidRPr="002B0EA5" w:rsidRDefault="004035D0" w:rsidP="00253E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035D0" w14:paraId="4186C18F" w14:textId="77777777" w:rsidTr="00253EBF">
      <w:tc>
        <w:tcPr>
          <w:tcW w:w="365" w:type="pct"/>
        </w:tcPr>
        <w:p w14:paraId="1E49E0AA" w14:textId="77777777" w:rsidR="004035D0" w:rsidRDefault="004035D0" w:rsidP="00253E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3CA583" w14:textId="4A170218" w:rsidR="004035D0" w:rsidRDefault="004035D0" w:rsidP="00253EB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7B21">
            <w:rPr>
              <w:i/>
              <w:noProof/>
              <w:sz w:val="18"/>
            </w:rPr>
            <w:t>Telecommunications (Carrier Licence Exemption) (ICON, DDTS, Electricity and Water Distribution) (Use for specified purposes) Determination 2023</w:t>
          </w:r>
          <w:r w:rsidRPr="004E1307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    </w:t>
          </w:r>
        </w:p>
      </w:tc>
      <w:tc>
        <w:tcPr>
          <w:tcW w:w="947" w:type="pct"/>
        </w:tcPr>
        <w:p w14:paraId="18A65E92" w14:textId="77777777" w:rsidR="004035D0" w:rsidRDefault="004035D0" w:rsidP="00253EBF">
          <w:pPr>
            <w:spacing w:line="0" w:lineRule="atLeast"/>
            <w:jc w:val="right"/>
            <w:rPr>
              <w:sz w:val="18"/>
            </w:rPr>
          </w:pPr>
        </w:p>
      </w:tc>
    </w:tr>
    <w:tr w:rsidR="004035D0" w14:paraId="7AA7543C" w14:textId="77777777" w:rsidTr="00253EBF">
      <w:tc>
        <w:tcPr>
          <w:tcW w:w="5000" w:type="pct"/>
          <w:gridSpan w:val="3"/>
        </w:tcPr>
        <w:p w14:paraId="69BC5F77" w14:textId="77777777" w:rsidR="004035D0" w:rsidRDefault="004035D0" w:rsidP="00253EBF">
          <w:pPr>
            <w:jc w:val="right"/>
            <w:rPr>
              <w:sz w:val="18"/>
            </w:rPr>
          </w:pPr>
        </w:p>
      </w:tc>
    </w:tr>
  </w:tbl>
  <w:p w14:paraId="0057733E" w14:textId="77777777" w:rsidR="004035D0" w:rsidRPr="00ED79B6" w:rsidRDefault="004035D0" w:rsidP="00253EBF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E228" w14:textId="77777777" w:rsidR="004035D0" w:rsidRPr="002B0EA5" w:rsidRDefault="004035D0" w:rsidP="00253E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035D0" w14:paraId="2B0F8890" w14:textId="77777777" w:rsidTr="00253EBF">
      <w:tc>
        <w:tcPr>
          <w:tcW w:w="947" w:type="pct"/>
        </w:tcPr>
        <w:p w14:paraId="2E45EFD3" w14:textId="77777777" w:rsidR="004035D0" w:rsidRDefault="004035D0" w:rsidP="00253E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C0E3C95" w14:textId="123F46B9" w:rsidR="004035D0" w:rsidRDefault="004035D0" w:rsidP="00253EB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348A8">
            <w:rPr>
              <w:i/>
              <w:noProof/>
              <w:sz w:val="18"/>
            </w:rPr>
            <w:t>Telecommunications (Carrier Licence Exemption) (ICON, DDTS, Electricity and Water Distribution) (Use for specified purposes)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936EC2E" w14:textId="77777777" w:rsidR="004035D0" w:rsidRDefault="004035D0" w:rsidP="00253E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035D0" w14:paraId="50183822" w14:textId="77777777" w:rsidTr="00253EBF">
      <w:tc>
        <w:tcPr>
          <w:tcW w:w="5000" w:type="pct"/>
          <w:gridSpan w:val="3"/>
        </w:tcPr>
        <w:p w14:paraId="0DF6CCB7" w14:textId="77777777" w:rsidR="004035D0" w:rsidRDefault="004035D0" w:rsidP="00253EBF">
          <w:pPr>
            <w:rPr>
              <w:sz w:val="18"/>
            </w:rPr>
          </w:pPr>
        </w:p>
      </w:tc>
    </w:tr>
  </w:tbl>
  <w:p w14:paraId="4C2E5E45" w14:textId="77777777" w:rsidR="004035D0" w:rsidRPr="00ED79B6" w:rsidRDefault="004035D0" w:rsidP="00253EB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EA5D2" w14:textId="77777777" w:rsidR="00464A92" w:rsidRDefault="00464A92">
      <w:pPr>
        <w:spacing w:line="240" w:lineRule="auto"/>
      </w:pPr>
      <w:r>
        <w:separator/>
      </w:r>
    </w:p>
  </w:footnote>
  <w:footnote w:type="continuationSeparator" w:id="0">
    <w:p w14:paraId="273E92D9" w14:textId="77777777" w:rsidR="00464A92" w:rsidRDefault="00464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097E" w14:textId="58988AAF" w:rsidR="004035D0" w:rsidRDefault="004035D0" w:rsidP="00253EBF">
    <w:pPr>
      <w:rPr>
        <w:sz w:val="20"/>
      </w:rPr>
    </w:pPr>
  </w:p>
  <w:p w14:paraId="377C2541" w14:textId="77777777" w:rsidR="004035D0" w:rsidRDefault="004035D0" w:rsidP="00253EBF">
    <w:pPr>
      <w:rPr>
        <w:sz w:val="20"/>
      </w:rPr>
    </w:pPr>
  </w:p>
  <w:p w14:paraId="30ADF978" w14:textId="77777777" w:rsidR="004035D0" w:rsidRPr="007A1328" w:rsidRDefault="004035D0" w:rsidP="00253EBF">
    <w:pPr>
      <w:rPr>
        <w:sz w:val="20"/>
      </w:rPr>
    </w:pPr>
  </w:p>
  <w:p w14:paraId="1D4835AE" w14:textId="77777777" w:rsidR="004035D0" w:rsidRPr="007A1328" w:rsidRDefault="004035D0" w:rsidP="00253EBF">
    <w:pPr>
      <w:rPr>
        <w:b/>
        <w:sz w:val="24"/>
      </w:rPr>
    </w:pPr>
  </w:p>
  <w:p w14:paraId="764019D1" w14:textId="77777777" w:rsidR="004035D0" w:rsidRPr="007A1328" w:rsidRDefault="004035D0" w:rsidP="00253EBF">
    <w:pPr>
      <w:pBdr>
        <w:bottom w:val="single" w:sz="6" w:space="1" w:color="auto"/>
      </w:pBdr>
      <w:spacing w:after="120"/>
      <w:rPr>
        <w:sz w:val="2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351ECE6" wp14:editId="58FA0E97">
              <wp:simplePos x="0" y="0"/>
              <wp:positionH relativeFrom="margin">
                <wp:posOffset>438785</wp:posOffset>
              </wp:positionH>
              <wp:positionV relativeFrom="margin">
                <wp:posOffset>3644900</wp:posOffset>
              </wp:positionV>
              <wp:extent cx="5315585" cy="2125980"/>
              <wp:effectExtent l="0" t="1444625" r="0" b="11633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5585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A69D1" w14:textId="77777777" w:rsidR="004035D0" w:rsidRDefault="004035D0" w:rsidP="005650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1EC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.55pt;margin-top:287pt;width:418.55pt;height:167.4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14:paraId="688A69D1" w14:textId="77777777" w:rsidR="004035D0" w:rsidRDefault="004035D0" w:rsidP="005650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B31B" w14:textId="41AABD91" w:rsidR="004035D0" w:rsidRPr="007A1328" w:rsidRDefault="004035D0" w:rsidP="00253EBF">
    <w:pPr>
      <w:jc w:val="right"/>
      <w:rPr>
        <w:sz w:val="20"/>
      </w:rPr>
    </w:pPr>
  </w:p>
  <w:p w14:paraId="7FBDFCAE" w14:textId="77777777" w:rsidR="004035D0" w:rsidRPr="007A1328" w:rsidRDefault="004035D0" w:rsidP="00253EBF">
    <w:pPr>
      <w:jc w:val="right"/>
      <w:rPr>
        <w:sz w:val="20"/>
      </w:rPr>
    </w:pPr>
  </w:p>
  <w:p w14:paraId="3693924D" w14:textId="77777777" w:rsidR="004035D0" w:rsidRPr="007A1328" w:rsidRDefault="004035D0" w:rsidP="00253EBF">
    <w:pPr>
      <w:jc w:val="right"/>
      <w:rPr>
        <w:b/>
        <w:sz w:val="24"/>
      </w:rPr>
    </w:pPr>
  </w:p>
  <w:p w14:paraId="56606DD0" w14:textId="77777777" w:rsidR="004035D0" w:rsidRPr="007A1328" w:rsidRDefault="004035D0" w:rsidP="00253EB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C0EAB4C" wp14:editId="29CE406D">
              <wp:simplePos x="0" y="0"/>
              <wp:positionH relativeFrom="margin">
                <wp:posOffset>286385</wp:posOffset>
              </wp:positionH>
              <wp:positionV relativeFrom="margin">
                <wp:posOffset>3492500</wp:posOffset>
              </wp:positionV>
              <wp:extent cx="5315585" cy="2125980"/>
              <wp:effectExtent l="0" t="1444625" r="0" b="1163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5585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AB603" w14:textId="77777777" w:rsidR="004035D0" w:rsidRDefault="004035D0" w:rsidP="005650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EA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2.55pt;margin-top:275pt;width:418.55pt;height:167.4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14:paraId="24BAB603" w14:textId="77777777" w:rsidR="004035D0" w:rsidRDefault="004035D0" w:rsidP="005650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58F"/>
    <w:multiLevelType w:val="hybridMultilevel"/>
    <w:tmpl w:val="A3AA4838"/>
    <w:lvl w:ilvl="0" w:tplc="2B3C167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6AC3236">
      <w:start w:val="1"/>
      <w:numFmt w:val="lowerLetter"/>
      <w:lvlText w:val="(%2)"/>
      <w:lvlJc w:val="left"/>
      <w:pPr>
        <w:ind w:left="184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3FB5C43"/>
    <w:multiLevelType w:val="hybridMultilevel"/>
    <w:tmpl w:val="A64AD10A"/>
    <w:lvl w:ilvl="0" w:tplc="4BBAA37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6BEC"/>
    <w:multiLevelType w:val="hybridMultilevel"/>
    <w:tmpl w:val="FFEEF346"/>
    <w:lvl w:ilvl="0" w:tplc="6C509506">
      <w:start w:val="1"/>
      <w:numFmt w:val="lowerRoman"/>
      <w:lvlText w:val="(%1)"/>
      <w:lvlJc w:val="left"/>
      <w:pPr>
        <w:ind w:left="22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63045"/>
    <w:multiLevelType w:val="hybridMultilevel"/>
    <w:tmpl w:val="193A413E"/>
    <w:lvl w:ilvl="0" w:tplc="EC90F5C0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6C509506">
      <w:start w:val="1"/>
      <w:numFmt w:val="lowerRoman"/>
      <w:lvlText w:val="(%2)"/>
      <w:lvlJc w:val="left"/>
      <w:pPr>
        <w:ind w:left="2208" w:hanging="360"/>
      </w:pPr>
      <w:rPr>
        <w:rFonts w:ascii="Times New Roman" w:eastAsia="Times New Roman" w:hAnsi="Times New Roman" w:cs="Times New Roman"/>
      </w:rPr>
    </w:lvl>
    <w:lvl w:ilvl="2" w:tplc="FB06BF38">
      <w:start w:val="1"/>
      <w:numFmt w:val="upperLetter"/>
      <w:lvlText w:val="%3."/>
      <w:lvlJc w:val="right"/>
      <w:pPr>
        <w:ind w:left="2928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28B844A8"/>
    <w:multiLevelType w:val="hybridMultilevel"/>
    <w:tmpl w:val="405A1856"/>
    <w:lvl w:ilvl="0" w:tplc="06AC3236">
      <w:start w:val="1"/>
      <w:numFmt w:val="lowerLetter"/>
      <w:lvlText w:val="(%1)"/>
      <w:lvlJc w:val="left"/>
      <w:pPr>
        <w:ind w:left="184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E4A1C"/>
    <w:multiLevelType w:val="hybridMultilevel"/>
    <w:tmpl w:val="A3AA4838"/>
    <w:lvl w:ilvl="0" w:tplc="2B3C167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6AC3236">
      <w:start w:val="1"/>
      <w:numFmt w:val="lowerLetter"/>
      <w:lvlText w:val="(%2)"/>
      <w:lvlJc w:val="left"/>
      <w:pPr>
        <w:ind w:left="184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B063460"/>
    <w:multiLevelType w:val="hybridMultilevel"/>
    <w:tmpl w:val="896690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A1EC8"/>
    <w:multiLevelType w:val="hybridMultilevel"/>
    <w:tmpl w:val="26AE4134"/>
    <w:lvl w:ilvl="0" w:tplc="EC90F5C0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6C509506">
      <w:start w:val="1"/>
      <w:numFmt w:val="lowerRoman"/>
      <w:lvlText w:val="(%2)"/>
      <w:lvlJc w:val="left"/>
      <w:pPr>
        <w:ind w:left="2208" w:hanging="360"/>
      </w:pPr>
      <w:rPr>
        <w:rFonts w:ascii="Times New Roman" w:eastAsia="Times New Roman" w:hAnsi="Times New Roman" w:cs="Times New Roman"/>
      </w:rPr>
    </w:lvl>
    <w:lvl w:ilvl="2" w:tplc="D0BA008E">
      <w:start w:val="1"/>
      <w:numFmt w:val="upperLetter"/>
      <w:lvlText w:val="%3."/>
      <w:lvlJc w:val="right"/>
      <w:pPr>
        <w:ind w:left="2928" w:hanging="180"/>
      </w:pPr>
      <w:rPr>
        <w:rFonts w:ascii="Times New Roman" w:eastAsia="Times New Roman" w:hAnsi="Times New Roman" w:cs="Times New Roman"/>
      </w:rPr>
    </w:lvl>
    <w:lvl w:ilvl="3" w:tplc="C0FAB26A">
      <w:start w:val="1"/>
      <w:numFmt w:val="upperLetter"/>
      <w:lvlText w:val="%4."/>
      <w:lvlJc w:val="left"/>
      <w:pPr>
        <w:ind w:left="3648" w:hanging="360"/>
      </w:pPr>
      <w:rPr>
        <w:rFonts w:eastAsiaTheme="minorHAnsi" w:cstheme="minorBidi" w:hint="default"/>
      </w:r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32A81084"/>
    <w:multiLevelType w:val="hybridMultilevel"/>
    <w:tmpl w:val="FFEEF346"/>
    <w:lvl w:ilvl="0" w:tplc="6C509506">
      <w:start w:val="1"/>
      <w:numFmt w:val="lowerRoman"/>
      <w:lvlText w:val="(%1)"/>
      <w:lvlJc w:val="left"/>
      <w:pPr>
        <w:ind w:left="22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7603F"/>
    <w:multiLevelType w:val="hybridMultilevel"/>
    <w:tmpl w:val="BED6AD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A383C"/>
    <w:multiLevelType w:val="hybridMultilevel"/>
    <w:tmpl w:val="A6DE2F24"/>
    <w:lvl w:ilvl="0" w:tplc="2B3C167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3AB311E3"/>
    <w:multiLevelType w:val="hybridMultilevel"/>
    <w:tmpl w:val="F76A3326"/>
    <w:lvl w:ilvl="0" w:tplc="2B3C167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3F282682"/>
    <w:multiLevelType w:val="hybridMultilevel"/>
    <w:tmpl w:val="E8B884C2"/>
    <w:lvl w:ilvl="0" w:tplc="78944750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BF0DAE"/>
    <w:multiLevelType w:val="hybridMultilevel"/>
    <w:tmpl w:val="DB12ED5C"/>
    <w:lvl w:ilvl="0" w:tplc="6C509506">
      <w:start w:val="1"/>
      <w:numFmt w:val="lowerRoman"/>
      <w:lvlText w:val="(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4448F"/>
    <w:multiLevelType w:val="hybridMultilevel"/>
    <w:tmpl w:val="390629BA"/>
    <w:lvl w:ilvl="0" w:tplc="6C509506">
      <w:start w:val="1"/>
      <w:numFmt w:val="lowerRoman"/>
      <w:lvlText w:val="(%1)"/>
      <w:lvlJc w:val="left"/>
      <w:pPr>
        <w:ind w:left="22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189D"/>
    <w:multiLevelType w:val="hybridMultilevel"/>
    <w:tmpl w:val="FFEEF346"/>
    <w:lvl w:ilvl="0" w:tplc="6C509506">
      <w:start w:val="1"/>
      <w:numFmt w:val="lowerRoman"/>
      <w:lvlText w:val="(%1)"/>
      <w:lvlJc w:val="left"/>
      <w:pPr>
        <w:ind w:left="22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C6BCC"/>
    <w:multiLevelType w:val="hybridMultilevel"/>
    <w:tmpl w:val="C9E83BF4"/>
    <w:lvl w:ilvl="0" w:tplc="EC90F5C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6C509506">
      <w:start w:val="1"/>
      <w:numFmt w:val="lowerRoman"/>
      <w:lvlText w:val="(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4F6282"/>
    <w:multiLevelType w:val="hybridMultilevel"/>
    <w:tmpl w:val="E8B884C2"/>
    <w:lvl w:ilvl="0" w:tplc="78944750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151502"/>
    <w:multiLevelType w:val="hybridMultilevel"/>
    <w:tmpl w:val="A6DE2F24"/>
    <w:lvl w:ilvl="0" w:tplc="2B3C167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55D21631"/>
    <w:multiLevelType w:val="hybridMultilevel"/>
    <w:tmpl w:val="25B8854E"/>
    <w:lvl w:ilvl="0" w:tplc="6C509506">
      <w:start w:val="1"/>
      <w:numFmt w:val="lowerRoman"/>
      <w:lvlText w:val="(%1)"/>
      <w:lvlJc w:val="left"/>
      <w:pPr>
        <w:ind w:left="220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C66AE"/>
    <w:multiLevelType w:val="hybridMultilevel"/>
    <w:tmpl w:val="B776AA98"/>
    <w:lvl w:ilvl="0" w:tplc="8228C58A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32ED5"/>
    <w:multiLevelType w:val="hybridMultilevel"/>
    <w:tmpl w:val="00726EAC"/>
    <w:lvl w:ilvl="0" w:tplc="EC90F5C0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6C509506">
      <w:start w:val="1"/>
      <w:numFmt w:val="lowerRoman"/>
      <w:lvlText w:val="(%2)"/>
      <w:lvlJc w:val="left"/>
      <w:pPr>
        <w:ind w:left="2208" w:hanging="360"/>
      </w:pPr>
      <w:rPr>
        <w:rFonts w:ascii="Times New Roman" w:eastAsia="Times New Roman" w:hAnsi="Times New Roman" w:cs="Times New Roman"/>
      </w:rPr>
    </w:lvl>
    <w:lvl w:ilvl="2" w:tplc="567C2C38">
      <w:start w:val="1"/>
      <w:numFmt w:val="upperLetter"/>
      <w:lvlText w:val="%3."/>
      <w:lvlJc w:val="right"/>
      <w:pPr>
        <w:ind w:left="2928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67FC044E"/>
    <w:multiLevelType w:val="hybridMultilevel"/>
    <w:tmpl w:val="E8B884C2"/>
    <w:lvl w:ilvl="0" w:tplc="78944750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E031F1"/>
    <w:multiLevelType w:val="hybridMultilevel"/>
    <w:tmpl w:val="E8B884C2"/>
    <w:lvl w:ilvl="0" w:tplc="78944750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61705B"/>
    <w:multiLevelType w:val="hybridMultilevel"/>
    <w:tmpl w:val="FFEEF346"/>
    <w:lvl w:ilvl="0" w:tplc="6C509506">
      <w:start w:val="1"/>
      <w:numFmt w:val="lowerRoman"/>
      <w:lvlText w:val="(%1)"/>
      <w:lvlJc w:val="left"/>
      <w:pPr>
        <w:ind w:left="22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4269"/>
    <w:multiLevelType w:val="hybridMultilevel"/>
    <w:tmpl w:val="FFEEF346"/>
    <w:lvl w:ilvl="0" w:tplc="6C509506">
      <w:start w:val="1"/>
      <w:numFmt w:val="lowerRoman"/>
      <w:lvlText w:val="(%1)"/>
      <w:lvlJc w:val="left"/>
      <w:pPr>
        <w:ind w:left="220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8"/>
  </w:num>
  <w:num w:numId="5">
    <w:abstractNumId w:val="16"/>
  </w:num>
  <w:num w:numId="6">
    <w:abstractNumId w:val="3"/>
  </w:num>
  <w:num w:numId="7">
    <w:abstractNumId w:val="17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8"/>
  </w:num>
  <w:num w:numId="13">
    <w:abstractNumId w:val="23"/>
  </w:num>
  <w:num w:numId="14">
    <w:abstractNumId w:val="22"/>
  </w:num>
  <w:num w:numId="15">
    <w:abstractNumId w:val="20"/>
  </w:num>
  <w:num w:numId="16">
    <w:abstractNumId w:val="1"/>
  </w:num>
  <w:num w:numId="17">
    <w:abstractNumId w:val="24"/>
  </w:num>
  <w:num w:numId="18">
    <w:abstractNumId w:val="4"/>
  </w:num>
  <w:num w:numId="19">
    <w:abstractNumId w:val="25"/>
  </w:num>
  <w:num w:numId="20">
    <w:abstractNumId w:val="19"/>
  </w:num>
  <w:num w:numId="21">
    <w:abstractNumId w:val="13"/>
  </w:num>
  <w:num w:numId="22">
    <w:abstractNumId w:val="2"/>
  </w:num>
  <w:num w:numId="23">
    <w:abstractNumId w:val="15"/>
  </w:num>
  <w:num w:numId="24">
    <w:abstractNumId w:val="6"/>
  </w:num>
  <w:num w:numId="25">
    <w:abstractNumId w:val="9"/>
  </w:num>
  <w:num w:numId="26">
    <w:abstractNumId w:val="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87"/>
    <w:rsid w:val="000E0557"/>
    <w:rsid w:val="00183DE9"/>
    <w:rsid w:val="001B49CB"/>
    <w:rsid w:val="001F0972"/>
    <w:rsid w:val="0021423D"/>
    <w:rsid w:val="00217628"/>
    <w:rsid w:val="0023311C"/>
    <w:rsid w:val="00253EBF"/>
    <w:rsid w:val="00281855"/>
    <w:rsid w:val="002E345F"/>
    <w:rsid w:val="003247E2"/>
    <w:rsid w:val="00362DB3"/>
    <w:rsid w:val="003705C2"/>
    <w:rsid w:val="003D70A4"/>
    <w:rsid w:val="004035D0"/>
    <w:rsid w:val="004350B8"/>
    <w:rsid w:val="004551E3"/>
    <w:rsid w:val="00464A92"/>
    <w:rsid w:val="004E1313"/>
    <w:rsid w:val="004F2157"/>
    <w:rsid w:val="005348A8"/>
    <w:rsid w:val="00565087"/>
    <w:rsid w:val="005B187A"/>
    <w:rsid w:val="00612E2D"/>
    <w:rsid w:val="006212B6"/>
    <w:rsid w:val="006C73B5"/>
    <w:rsid w:val="006D7B21"/>
    <w:rsid w:val="007826F2"/>
    <w:rsid w:val="007A1B6E"/>
    <w:rsid w:val="008249F5"/>
    <w:rsid w:val="00862ACF"/>
    <w:rsid w:val="008D5E5B"/>
    <w:rsid w:val="00947570"/>
    <w:rsid w:val="009B199F"/>
    <w:rsid w:val="00A40C9E"/>
    <w:rsid w:val="00A74C79"/>
    <w:rsid w:val="00A77C01"/>
    <w:rsid w:val="00A8265F"/>
    <w:rsid w:val="00A91523"/>
    <w:rsid w:val="00B16AAA"/>
    <w:rsid w:val="00B45E8B"/>
    <w:rsid w:val="00B52C50"/>
    <w:rsid w:val="00BC2388"/>
    <w:rsid w:val="00BE24C2"/>
    <w:rsid w:val="00C00AEA"/>
    <w:rsid w:val="00C13ECF"/>
    <w:rsid w:val="00C14903"/>
    <w:rsid w:val="00C23181"/>
    <w:rsid w:val="00CC1E0F"/>
    <w:rsid w:val="00D127D6"/>
    <w:rsid w:val="00D229DF"/>
    <w:rsid w:val="00D800AE"/>
    <w:rsid w:val="00D9261B"/>
    <w:rsid w:val="00DA2336"/>
    <w:rsid w:val="00DF0D14"/>
    <w:rsid w:val="00E3016C"/>
    <w:rsid w:val="00E85B2E"/>
    <w:rsid w:val="00E96DDE"/>
    <w:rsid w:val="00EC503B"/>
    <w:rsid w:val="00F027EC"/>
    <w:rsid w:val="00F06262"/>
    <w:rsid w:val="00F63B2E"/>
    <w:rsid w:val="00F95FB9"/>
    <w:rsid w:val="00F97300"/>
    <w:rsid w:val="00FB42C7"/>
    <w:rsid w:val="00FB77FC"/>
    <w:rsid w:val="00FC0F67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55032A"/>
  <w15:chartTrackingRefBased/>
  <w15:docId w15:val="{22C38165-2C38-4301-8660-81830276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65087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565087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565087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65087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DivText">
    <w:name w:val="CharDivText"/>
    <w:basedOn w:val="DefaultParagraphFont"/>
    <w:qFormat/>
    <w:rsid w:val="00565087"/>
  </w:style>
  <w:style w:type="character" w:customStyle="1" w:styleId="CharPartNo">
    <w:name w:val="CharPartNo"/>
    <w:basedOn w:val="DefaultParagraphFont"/>
    <w:qFormat/>
    <w:rsid w:val="00565087"/>
  </w:style>
  <w:style w:type="character" w:customStyle="1" w:styleId="CharPartText">
    <w:name w:val="CharPartText"/>
    <w:basedOn w:val="DefaultParagraphFont"/>
    <w:qFormat/>
    <w:rsid w:val="00565087"/>
  </w:style>
  <w:style w:type="character" w:customStyle="1" w:styleId="CharSectno">
    <w:name w:val="CharSectno"/>
    <w:basedOn w:val="DefaultParagraphFont"/>
    <w:qFormat/>
    <w:rsid w:val="00565087"/>
  </w:style>
  <w:style w:type="paragraph" w:customStyle="1" w:styleId="subsection">
    <w:name w:val="subsection"/>
    <w:aliases w:val="ss,Subsection"/>
    <w:basedOn w:val="Normal"/>
    <w:link w:val="subsectionChar"/>
    <w:rsid w:val="00565087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565087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56508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56508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565087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565087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565087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50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508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customStyle="1" w:styleId="notepara">
    <w:name w:val="note(para)"/>
    <w:aliases w:val="na"/>
    <w:basedOn w:val="Normal"/>
    <w:rsid w:val="00565087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56508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56508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565087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508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508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charamschno">
    <w:name w:val="charamschno"/>
    <w:basedOn w:val="DefaultParagraphFont"/>
    <w:rsid w:val="00565087"/>
  </w:style>
  <w:style w:type="paragraph" w:customStyle="1" w:styleId="acthead9">
    <w:name w:val="acthead9"/>
    <w:basedOn w:val="Normal"/>
    <w:rsid w:val="005650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5650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6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08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087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650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5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0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8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2B6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26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1B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1AA5-3A98-4279-BD9E-251BD7C3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2186</Words>
  <Characters>12466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</dc:creator>
  <cp:keywords/>
  <dc:description/>
  <cp:lastModifiedBy>Thomas OCKENFELS</cp:lastModifiedBy>
  <cp:revision>2</cp:revision>
  <cp:lastPrinted>2023-09-11T02:28:00Z</cp:lastPrinted>
  <dcterms:created xsi:type="dcterms:W3CDTF">2023-09-15T01:31:00Z</dcterms:created>
  <dcterms:modified xsi:type="dcterms:W3CDTF">2023-09-15T01:31:00Z</dcterms:modified>
</cp:coreProperties>
</file>