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FEFE8" w14:textId="77777777" w:rsidR="00F109D4" w:rsidRPr="00731FEA" w:rsidRDefault="00F109D4" w:rsidP="00647BB7">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73E35971" w14:textId="1D697B36"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placeholder>
            <w:docPart w:val="EE0E439F0A21486BBBAA66BF96AE1679"/>
          </w:placeholder>
          <w:dropDownList>
            <w:listItem w:value="Choose an item."/>
            <w:listItem w:displayText="Treasurer" w:value="Treasurer"/>
            <w:listItem w:displayText="Assistant Treasurer, Minister for Housing and Minister for Homelessness, Social and Community Housing" w:value="Assistant Treasurer, Minister for Housing and Minister for Homelessness, Social and Community Housing"/>
            <w:listItem w:displayText="Minister for Superannuation, Financial Services and the Digital Economy" w:value="Minister for Superannuation, Financial Services and the Digital Economy"/>
            <w:listItem w:displayText="Assistant Treasurer" w:value="Assistant Treasurer"/>
          </w:dropDownList>
        </w:sdtPr>
        <w:sdtEndPr/>
        <w:sdtContent>
          <w:r w:rsidR="00F7365B">
            <w:rPr>
              <w:sz w:val="24"/>
              <w:szCs w:val="24"/>
            </w:rPr>
            <w:t>Assistant Treasurer</w:t>
          </w:r>
        </w:sdtContent>
      </w:sdt>
    </w:p>
    <w:p w14:paraId="73EB2CCC" w14:textId="0AC6EF9C" w:rsidR="00F109D4" w:rsidRDefault="00B43705" w:rsidP="003C7907">
      <w:pPr>
        <w:spacing w:before="240" w:after="240"/>
        <w:jc w:val="center"/>
        <w:rPr>
          <w:i/>
        </w:rPr>
      </w:pPr>
      <w:r w:rsidRPr="002A4B83">
        <w:rPr>
          <w:i/>
        </w:rPr>
        <w:t>National Consumer Credit Protection Act 2009</w:t>
      </w:r>
    </w:p>
    <w:p w14:paraId="20228BEB" w14:textId="793CF602" w:rsidR="00F109D4" w:rsidRPr="00503E44" w:rsidRDefault="00B43705" w:rsidP="002A4B83">
      <w:pPr>
        <w:spacing w:before="240" w:after="240"/>
        <w:jc w:val="center"/>
        <w:rPr>
          <w:i/>
        </w:rPr>
      </w:pPr>
      <w:r w:rsidRPr="004178A6">
        <w:rPr>
          <w:i/>
        </w:rPr>
        <w:t>National Consumer Credit Protection (Large ADI) Determination 202</w:t>
      </w:r>
      <w:r w:rsidR="00794628">
        <w:rPr>
          <w:i/>
        </w:rPr>
        <w:t>3</w:t>
      </w:r>
    </w:p>
    <w:p w14:paraId="685E68F2" w14:textId="7852D98A" w:rsidR="00F109D4" w:rsidRDefault="00C55D29" w:rsidP="00647BB7">
      <w:pPr>
        <w:spacing w:before="240"/>
      </w:pPr>
      <w:r w:rsidRPr="00503E44">
        <w:t>S</w:t>
      </w:r>
      <w:r w:rsidR="00471F86">
        <w:t>ubs</w:t>
      </w:r>
      <w:r w:rsidRPr="00503E44">
        <w:t xml:space="preserve">ection </w:t>
      </w:r>
      <w:r w:rsidR="0017187B">
        <w:t>5(1A)</w:t>
      </w:r>
      <w:r w:rsidR="005E4BAC">
        <w:t xml:space="preserve"> </w:t>
      </w:r>
      <w:r w:rsidR="00F109D4" w:rsidRPr="00503E44">
        <w:t xml:space="preserve">of the </w:t>
      </w:r>
      <w:bookmarkStart w:id="0" w:name="_Hlk96700386"/>
      <w:r w:rsidR="0017187B" w:rsidRPr="0017187B">
        <w:rPr>
          <w:i/>
          <w:iCs/>
        </w:rPr>
        <w:t>National Consumer Credit Protection Act 2009</w:t>
      </w:r>
      <w:r w:rsidR="00F109D4" w:rsidRPr="00503E44">
        <w:t xml:space="preserve"> </w:t>
      </w:r>
      <w:bookmarkEnd w:id="0"/>
      <w:r w:rsidR="00F109D4" w:rsidRPr="00503E44">
        <w:t xml:space="preserve">(the Act) </w:t>
      </w:r>
      <w:r w:rsidR="008C0DCD">
        <w:t xml:space="preserve">provides that </w:t>
      </w:r>
      <w:r w:rsidR="00F109D4" w:rsidRPr="00503E44">
        <w:t>the</w:t>
      </w:r>
      <w:r w:rsidR="00032BF4" w:rsidRPr="00032BF4">
        <w:t xml:space="preserve"> Minister may, by legislative instrument, determine the kinds of ADIs </w:t>
      </w:r>
      <w:r w:rsidR="00155A59" w:rsidRPr="00155A59">
        <w:t>(that is</w:t>
      </w:r>
      <w:r w:rsidR="00155A59">
        <w:t>,</w:t>
      </w:r>
      <w:r w:rsidR="00155A59" w:rsidRPr="00155A59">
        <w:t xml:space="preserve"> </w:t>
      </w:r>
      <w:r w:rsidR="003D5399">
        <w:t>a</w:t>
      </w:r>
      <w:r w:rsidR="00155A59" w:rsidRPr="00155A59">
        <w:t xml:space="preserve">uthorised </w:t>
      </w:r>
      <w:r w:rsidR="003D5399">
        <w:t>d</w:t>
      </w:r>
      <w:r w:rsidR="00155A59" w:rsidRPr="00155A59">
        <w:t xml:space="preserve">eposit-taking </w:t>
      </w:r>
      <w:r w:rsidR="003D5399">
        <w:t>i</w:t>
      </w:r>
      <w:r w:rsidR="00155A59" w:rsidRPr="00155A59">
        <w:t>nstitution</w:t>
      </w:r>
      <w:r w:rsidR="00155A59">
        <w:t>s</w:t>
      </w:r>
      <w:r w:rsidR="00155A59" w:rsidRPr="00155A59">
        <w:t xml:space="preserve">) </w:t>
      </w:r>
      <w:r w:rsidR="00155A59">
        <w:t xml:space="preserve">that </w:t>
      </w:r>
      <w:r w:rsidR="00032BF4" w:rsidRPr="00032BF4">
        <w:t>are large ADIs</w:t>
      </w:r>
      <w:r w:rsidR="00F109D4" w:rsidRPr="00503E44">
        <w:t>.</w:t>
      </w:r>
    </w:p>
    <w:p w14:paraId="28CA7878" w14:textId="32B699FF" w:rsidR="00416994" w:rsidRDefault="00416994" w:rsidP="00471F86">
      <w:pPr>
        <w:spacing w:before="240"/>
      </w:pPr>
      <w:r>
        <w:t xml:space="preserve">The </w:t>
      </w:r>
      <w:r w:rsidRPr="00416994">
        <w:rPr>
          <w:i/>
          <w:iCs/>
        </w:rPr>
        <w:t>National Consumer Credit Protection (Large ADI) Determination 202</w:t>
      </w:r>
      <w:r w:rsidR="00794628">
        <w:rPr>
          <w:i/>
          <w:iCs/>
        </w:rPr>
        <w:t>3</w:t>
      </w:r>
      <w:r>
        <w:rPr>
          <w:i/>
          <w:iCs/>
        </w:rPr>
        <w:t xml:space="preserve"> </w:t>
      </w:r>
      <w:r w:rsidRPr="00416994">
        <w:t>(the Determination</w:t>
      </w:r>
      <w:r w:rsidR="001129E2">
        <w:t>)</w:t>
      </w:r>
      <w:r w:rsidR="001129E2" w:rsidRPr="001129E2">
        <w:t xml:space="preserve"> set</w:t>
      </w:r>
      <w:r w:rsidR="00DE59C1">
        <w:t>s</w:t>
      </w:r>
      <w:r w:rsidR="001129E2" w:rsidRPr="001129E2">
        <w:t xml:space="preserve"> out the methodology to determine </w:t>
      </w:r>
      <w:r w:rsidR="001129E2">
        <w:t xml:space="preserve">whether an ADI is a large ADI for the purpose of the Act. It </w:t>
      </w:r>
      <w:r w:rsidR="00CB0F78">
        <w:t>replaces</w:t>
      </w:r>
      <w:r>
        <w:rPr>
          <w:i/>
          <w:iCs/>
        </w:rPr>
        <w:t xml:space="preserve"> </w:t>
      </w:r>
      <w:r>
        <w:t>the</w:t>
      </w:r>
      <w:r>
        <w:rPr>
          <w:i/>
          <w:iCs/>
        </w:rPr>
        <w:t xml:space="preserve"> </w:t>
      </w:r>
      <w:r w:rsidRPr="00416994">
        <w:rPr>
          <w:i/>
          <w:iCs/>
        </w:rPr>
        <w:t>Banking Executive Accountability Regime (Size of an Authorised Deposit-taking Institution) Determination 2021</w:t>
      </w:r>
      <w:r w:rsidR="00886AFF">
        <w:rPr>
          <w:i/>
          <w:iCs/>
        </w:rPr>
        <w:t xml:space="preserve"> </w:t>
      </w:r>
      <w:r w:rsidR="0089759C" w:rsidRPr="00886AFF">
        <w:t>(</w:t>
      </w:r>
      <w:r w:rsidR="0089759C">
        <w:t xml:space="preserve">BEAR Determination) </w:t>
      </w:r>
      <w:r w:rsidR="00CB0F78">
        <w:t xml:space="preserve">to ensure continuity in the </w:t>
      </w:r>
      <w:r w:rsidR="008C0DCD">
        <w:t>meaning</w:t>
      </w:r>
      <w:r w:rsidR="00CB0F78">
        <w:t xml:space="preserve"> of large ADI,</w:t>
      </w:r>
      <w:r w:rsidR="00CB0F78" w:rsidRPr="00CB0F78">
        <w:t xml:space="preserve"> consequential</w:t>
      </w:r>
      <w:r w:rsidR="00CB0F78">
        <w:t xml:space="preserve"> to the establishment of the Financial Accountability Regime.</w:t>
      </w:r>
      <w:r w:rsidR="001129E2" w:rsidRPr="001129E2">
        <w:t xml:space="preserve"> The key change from the </w:t>
      </w:r>
      <w:r w:rsidR="0077124A">
        <w:t xml:space="preserve">BEAR </w:t>
      </w:r>
      <w:r w:rsidR="001129E2" w:rsidRPr="001129E2">
        <w:t>Determination</w:t>
      </w:r>
      <w:r w:rsidR="001129E2">
        <w:t xml:space="preserve"> is t</w:t>
      </w:r>
      <w:r w:rsidR="0077124A">
        <w:t>he</w:t>
      </w:r>
      <w:r w:rsidR="001129E2">
        <w:t xml:space="preserve"> </w:t>
      </w:r>
      <w:r w:rsidR="001129E2" w:rsidRPr="001129E2">
        <w:t xml:space="preserve">rebase </w:t>
      </w:r>
      <w:r w:rsidR="0077124A">
        <w:t>of</w:t>
      </w:r>
      <w:r w:rsidR="001129E2" w:rsidRPr="001129E2">
        <w:t xml:space="preserve"> indexation </w:t>
      </w:r>
      <w:r w:rsidR="001129E2">
        <w:t xml:space="preserve">calculations. </w:t>
      </w:r>
    </w:p>
    <w:p w14:paraId="57995972" w14:textId="428E83C8" w:rsidR="0089759C" w:rsidRDefault="00471F86" w:rsidP="0089759C">
      <w:pPr>
        <w:spacing w:before="240"/>
      </w:pPr>
      <w:r>
        <w:t xml:space="preserve">On 4 February 2019, </w:t>
      </w:r>
      <w:r w:rsidR="00515088" w:rsidRPr="00515088">
        <w:t xml:space="preserve">the Financial Services Royal Commission released its Final Report on Misconduct in the Banking, Superannuation and Financial Services Industry. </w:t>
      </w:r>
      <w:r w:rsidR="00057CA9">
        <w:t xml:space="preserve">This </w:t>
      </w:r>
      <w:r w:rsidR="00515088" w:rsidRPr="00515088">
        <w:t>included</w:t>
      </w:r>
      <w:r w:rsidR="00F465FA">
        <w:t xml:space="preserve"> </w:t>
      </w:r>
      <w:r w:rsidR="00515088" w:rsidRPr="00515088">
        <w:t>recommendations to extend the Banking Executive Accountability Regime to other Australian Prudential Regulation Authority (APRA) regulated industries.</w:t>
      </w:r>
      <w:r w:rsidR="0089759C">
        <w:t xml:space="preserve"> </w:t>
      </w:r>
    </w:p>
    <w:p w14:paraId="559F6528" w14:textId="223E9B70" w:rsidR="00515088" w:rsidRDefault="00515088" w:rsidP="000B10FD">
      <w:pPr>
        <w:spacing w:before="240"/>
      </w:pPr>
      <w:r w:rsidRPr="00515088">
        <w:t xml:space="preserve">The </w:t>
      </w:r>
      <w:r w:rsidRPr="002E07A0">
        <w:rPr>
          <w:i/>
          <w:iCs/>
        </w:rPr>
        <w:t>Financial Accountability Regime Act 202</w:t>
      </w:r>
      <w:r w:rsidR="00977686">
        <w:rPr>
          <w:i/>
          <w:iCs/>
        </w:rPr>
        <w:t>3</w:t>
      </w:r>
      <w:r w:rsidRPr="00515088">
        <w:t xml:space="preserve"> implements </w:t>
      </w:r>
      <w:r w:rsidR="00057CA9">
        <w:t>relevant</w:t>
      </w:r>
      <w:r w:rsidRPr="00515088">
        <w:t xml:space="preserve"> recommendations of the Financial Services Royal Commission by establishing the Financial Accountability Regime, which introduces a new accountability regime for institutions and their senior executives in the banking, insurance, and superannuation sectors. </w:t>
      </w:r>
    </w:p>
    <w:p w14:paraId="5561B43B" w14:textId="2DE9BC77" w:rsidR="00B321E5" w:rsidRDefault="00336F82" w:rsidP="000B10FD">
      <w:pPr>
        <w:spacing w:before="240"/>
      </w:pPr>
      <w:r>
        <w:t xml:space="preserve">The </w:t>
      </w:r>
      <w:r w:rsidR="00F54D79">
        <w:rPr>
          <w:i/>
          <w:iCs/>
        </w:rPr>
        <w:t xml:space="preserve">Financial </w:t>
      </w:r>
      <w:r w:rsidR="005867E7">
        <w:rPr>
          <w:i/>
          <w:iCs/>
        </w:rPr>
        <w:t>Accountability Regime</w:t>
      </w:r>
      <w:r w:rsidR="00F54D79">
        <w:rPr>
          <w:i/>
          <w:iCs/>
        </w:rPr>
        <w:t xml:space="preserve"> </w:t>
      </w:r>
      <w:r w:rsidR="00F01A8C">
        <w:rPr>
          <w:i/>
          <w:iCs/>
        </w:rPr>
        <w:t xml:space="preserve">(Consequential Amendments) </w:t>
      </w:r>
      <w:r w:rsidR="00967A79">
        <w:rPr>
          <w:i/>
          <w:iCs/>
        </w:rPr>
        <w:t>Act</w:t>
      </w:r>
      <w:r w:rsidR="00F54D79">
        <w:rPr>
          <w:i/>
          <w:iCs/>
        </w:rPr>
        <w:t xml:space="preserve"> 202</w:t>
      </w:r>
      <w:r w:rsidR="00CC415D">
        <w:rPr>
          <w:i/>
          <w:iCs/>
        </w:rPr>
        <w:t>3</w:t>
      </w:r>
      <w:r w:rsidR="00252C54">
        <w:rPr>
          <w:i/>
          <w:iCs/>
        </w:rPr>
        <w:t xml:space="preserve"> </w:t>
      </w:r>
      <w:r>
        <w:t>make</w:t>
      </w:r>
      <w:r w:rsidR="000149AA">
        <w:t>s</w:t>
      </w:r>
      <w:r>
        <w:t xml:space="preserve"> </w:t>
      </w:r>
      <w:r w:rsidRPr="00336F82">
        <w:t xml:space="preserve">consequential amendments to relevant </w:t>
      </w:r>
      <w:r w:rsidR="00AB6076">
        <w:t xml:space="preserve">legislation </w:t>
      </w:r>
      <w:r w:rsidRPr="00336F82">
        <w:t xml:space="preserve">to support the </w:t>
      </w:r>
      <w:r w:rsidR="00B25A20">
        <w:t xml:space="preserve">implementation of the </w:t>
      </w:r>
      <w:r w:rsidRPr="00336F82">
        <w:t xml:space="preserve">Financial Accountability Regime. </w:t>
      </w:r>
      <w:r>
        <w:t>This includes</w:t>
      </w:r>
      <w:r w:rsidR="00B321E5">
        <w:t>:</w:t>
      </w:r>
      <w:r>
        <w:t xml:space="preserve"> </w:t>
      </w:r>
    </w:p>
    <w:p w14:paraId="7ABB67A8" w14:textId="7AEFE2B7" w:rsidR="00336F82" w:rsidRDefault="00336F82" w:rsidP="000B10FD">
      <w:pPr>
        <w:pStyle w:val="Dotpoint"/>
        <w:spacing w:before="240"/>
      </w:pPr>
      <w:r>
        <w:t xml:space="preserve">the repeal of </w:t>
      </w:r>
      <w:r w:rsidR="00761795">
        <w:t xml:space="preserve">the Banking Executive Accountability Regime under the </w:t>
      </w:r>
      <w:r w:rsidR="00761795" w:rsidRPr="00471F86">
        <w:rPr>
          <w:i/>
          <w:iCs/>
        </w:rPr>
        <w:t>Banking</w:t>
      </w:r>
      <w:r w:rsidR="00344E73">
        <w:rPr>
          <w:i/>
          <w:iCs/>
        </w:rPr>
        <w:t> </w:t>
      </w:r>
      <w:r w:rsidR="00761795" w:rsidRPr="00471F86">
        <w:rPr>
          <w:i/>
          <w:iCs/>
        </w:rPr>
        <w:t>Act</w:t>
      </w:r>
      <w:r w:rsidR="00344E73">
        <w:rPr>
          <w:i/>
          <w:iCs/>
        </w:rPr>
        <w:t> </w:t>
      </w:r>
      <w:r w:rsidR="00761795" w:rsidRPr="00471F86">
        <w:rPr>
          <w:i/>
          <w:iCs/>
        </w:rPr>
        <w:t>1959</w:t>
      </w:r>
      <w:r w:rsidR="003268BF">
        <w:rPr>
          <w:i/>
          <w:iCs/>
        </w:rPr>
        <w:t xml:space="preserve"> </w:t>
      </w:r>
      <w:r w:rsidR="003268BF" w:rsidRPr="002E07A0">
        <w:t>six months after the commencement of the</w:t>
      </w:r>
      <w:r w:rsidR="003268BF">
        <w:rPr>
          <w:i/>
          <w:iCs/>
        </w:rPr>
        <w:t xml:space="preserve"> Financial Accountability </w:t>
      </w:r>
      <w:r w:rsidR="00BC0FF7">
        <w:rPr>
          <w:i/>
          <w:iCs/>
        </w:rPr>
        <w:t xml:space="preserve">Regime </w:t>
      </w:r>
      <w:r w:rsidR="003268BF">
        <w:rPr>
          <w:i/>
          <w:iCs/>
        </w:rPr>
        <w:t>Act 202</w:t>
      </w:r>
      <w:r w:rsidR="00CC415D">
        <w:rPr>
          <w:i/>
          <w:iCs/>
        </w:rPr>
        <w:t>3</w:t>
      </w:r>
      <w:r w:rsidR="003268BF">
        <w:rPr>
          <w:i/>
          <w:iCs/>
        </w:rPr>
        <w:t>,</w:t>
      </w:r>
      <w:r w:rsidR="00E23996">
        <w:t xml:space="preserve"> </w:t>
      </w:r>
      <w:r w:rsidR="00B321E5">
        <w:t>including</w:t>
      </w:r>
      <w:r w:rsidR="00152545" w:rsidRPr="00152545">
        <w:t xml:space="preserve"> the</w:t>
      </w:r>
      <w:r w:rsidR="000027F9">
        <w:t xml:space="preserve"> repeal of the</w:t>
      </w:r>
      <w:r w:rsidR="00A74A3D" w:rsidRPr="00A74A3D">
        <w:t xml:space="preserve"> provision conferring power </w:t>
      </w:r>
      <w:r w:rsidR="004769AA">
        <w:t xml:space="preserve">on the Minister </w:t>
      </w:r>
      <w:r w:rsidR="00A74A3D" w:rsidRPr="00A74A3D">
        <w:t xml:space="preserve">to make </w:t>
      </w:r>
      <w:r w:rsidR="00A74A3D">
        <w:t xml:space="preserve">the </w:t>
      </w:r>
      <w:r w:rsidR="00152545" w:rsidRPr="00152545">
        <w:t>BEAR Determination</w:t>
      </w:r>
      <w:r w:rsidR="002206B2">
        <w:t>;</w:t>
      </w:r>
    </w:p>
    <w:p w14:paraId="707C4451" w14:textId="0B1459B5" w:rsidR="00941B37" w:rsidRDefault="00A74A3D" w:rsidP="00D15C2B">
      <w:pPr>
        <w:pStyle w:val="Dotpoint"/>
        <w:spacing w:before="240"/>
      </w:pPr>
      <w:r>
        <w:t>th</w:t>
      </w:r>
      <w:r w:rsidR="00761795">
        <w:t xml:space="preserve">e </w:t>
      </w:r>
      <w:r w:rsidR="00B321E5">
        <w:t xml:space="preserve">replacement of the </w:t>
      </w:r>
      <w:r w:rsidR="008C0DCD">
        <w:t xml:space="preserve">definition of </w:t>
      </w:r>
      <w:r>
        <w:t>‘</w:t>
      </w:r>
      <w:r w:rsidR="008C0DCD">
        <w:t>large ADI</w:t>
      </w:r>
      <w:r>
        <w:t>’</w:t>
      </w:r>
      <w:r w:rsidRPr="00A74A3D">
        <w:t xml:space="preserve"> </w:t>
      </w:r>
      <w:r w:rsidR="00B321E5">
        <w:t xml:space="preserve">in </w:t>
      </w:r>
      <w:r w:rsidR="001F60DD">
        <w:t xml:space="preserve">section 5 of </w:t>
      </w:r>
      <w:r w:rsidR="00B321E5">
        <w:t xml:space="preserve">the Act. </w:t>
      </w:r>
      <w:r w:rsidR="008511CC">
        <w:t>Prior to being amended</w:t>
      </w:r>
      <w:r w:rsidR="00852564">
        <w:t>,</w:t>
      </w:r>
      <w:r w:rsidR="00553A4F">
        <w:t xml:space="preserve"> the Act</w:t>
      </w:r>
      <w:r w:rsidR="00B321E5">
        <w:t xml:space="preserve"> provided that </w:t>
      </w:r>
      <w:r w:rsidR="000D5701">
        <w:t>‘</w:t>
      </w:r>
      <w:r w:rsidR="00B321E5">
        <w:t>large ADI</w:t>
      </w:r>
      <w:r w:rsidR="000D5701">
        <w:t>’</w:t>
      </w:r>
      <w:r w:rsidR="00B321E5">
        <w:t xml:space="preserve"> had</w:t>
      </w:r>
      <w:r w:rsidRPr="00A74A3D">
        <w:t xml:space="preserve"> the same meaning as the </w:t>
      </w:r>
      <w:r w:rsidRPr="00B321E5">
        <w:rPr>
          <w:i/>
          <w:iCs/>
        </w:rPr>
        <w:t>Banking</w:t>
      </w:r>
      <w:r w:rsidR="00344E73">
        <w:rPr>
          <w:i/>
          <w:iCs/>
        </w:rPr>
        <w:t> </w:t>
      </w:r>
      <w:r w:rsidRPr="00B321E5">
        <w:rPr>
          <w:i/>
          <w:iCs/>
        </w:rPr>
        <w:t>Act 1959</w:t>
      </w:r>
      <w:r w:rsidR="006E5BB1">
        <w:t xml:space="preserve">. The BEAR </w:t>
      </w:r>
      <w:r w:rsidR="00AE0E56">
        <w:t>Determin</w:t>
      </w:r>
      <w:r w:rsidR="006E5BB1">
        <w:t xml:space="preserve">ation sets out the </w:t>
      </w:r>
      <w:r w:rsidR="006E5BB1" w:rsidRPr="006E5BB1">
        <w:t xml:space="preserve">kinds of ADIs that are large ADIs for the purpose of the </w:t>
      </w:r>
      <w:r w:rsidR="006E5BB1" w:rsidRPr="00D15C2B">
        <w:rPr>
          <w:i/>
          <w:iCs/>
        </w:rPr>
        <w:t>Banking Act 1959</w:t>
      </w:r>
      <w:r w:rsidR="00D935F4" w:rsidRPr="006E5BB1">
        <w:t>.</w:t>
      </w:r>
      <w:r w:rsidR="00D935F4">
        <w:t xml:space="preserve"> </w:t>
      </w:r>
      <w:r w:rsidR="00114B0A">
        <w:t>T</w:t>
      </w:r>
      <w:r w:rsidR="008B4A47">
        <w:t>he</w:t>
      </w:r>
      <w:r w:rsidR="004769AA">
        <w:t xml:space="preserve"> Act </w:t>
      </w:r>
      <w:r w:rsidR="00D60A4B">
        <w:t xml:space="preserve">now provides that a </w:t>
      </w:r>
      <w:r w:rsidR="00934590">
        <w:t xml:space="preserve">‘large ADI’ </w:t>
      </w:r>
      <w:r w:rsidR="00D60A4B" w:rsidRPr="00D60A4B">
        <w:t xml:space="preserve">means an ADI of a kind determined under subsection </w:t>
      </w:r>
      <w:r w:rsidR="00D60A4B">
        <w:t>5</w:t>
      </w:r>
      <w:r w:rsidR="00D60A4B" w:rsidRPr="00D60A4B">
        <w:t>(1A</w:t>
      </w:r>
      <w:r w:rsidR="00D60A4B">
        <w:t>)</w:t>
      </w:r>
      <w:r w:rsidR="00941B37">
        <w:t xml:space="preserve"> of the Act</w:t>
      </w:r>
      <w:r w:rsidR="00114B0A">
        <w:t>;</w:t>
      </w:r>
      <w:r w:rsidR="00AC0AF8">
        <w:t xml:space="preserve"> and</w:t>
      </w:r>
      <w:r w:rsidR="00D60A4B">
        <w:t xml:space="preserve"> </w:t>
      </w:r>
    </w:p>
    <w:p w14:paraId="1B577B20" w14:textId="3B9CEA4E" w:rsidR="00B321E5" w:rsidRDefault="00941B37" w:rsidP="000B10FD">
      <w:pPr>
        <w:pStyle w:val="Dotpoint"/>
        <w:spacing w:before="240"/>
      </w:pPr>
      <w:r>
        <w:t xml:space="preserve">the conferral of power on the Minister to determine the kinds of ADIs that are large ADIs </w:t>
      </w:r>
      <w:r w:rsidR="002206B2">
        <w:t xml:space="preserve">for the purposes of </w:t>
      </w:r>
      <w:r>
        <w:t xml:space="preserve">the Act. </w:t>
      </w:r>
      <w:r w:rsidR="00D60A4B">
        <w:t>S</w:t>
      </w:r>
      <w:r w:rsidR="00745DCB">
        <w:t>ubs</w:t>
      </w:r>
      <w:r w:rsidR="00D60A4B">
        <w:t xml:space="preserve">ection 5(1A) of the Act provides that </w:t>
      </w:r>
      <w:r w:rsidR="00D60A4B">
        <w:lastRenderedPageBreak/>
        <w:t>th</w:t>
      </w:r>
      <w:r w:rsidR="00D60A4B" w:rsidRPr="00D60A4B">
        <w:t>e Minister may, by legislative instrument, determine the kinds of ADIs that are large ADIs</w:t>
      </w:r>
      <w:r w:rsidR="00D60A4B">
        <w:t>.</w:t>
      </w:r>
      <w:r>
        <w:t xml:space="preserve"> </w:t>
      </w:r>
    </w:p>
    <w:p w14:paraId="7596142C" w14:textId="237F2423" w:rsidR="007C719C" w:rsidRDefault="007C719C" w:rsidP="000B10FD">
      <w:pPr>
        <w:pStyle w:val="Dotpoint"/>
        <w:numPr>
          <w:ilvl w:val="0"/>
          <w:numId w:val="0"/>
        </w:numPr>
        <w:spacing w:before="240"/>
      </w:pPr>
      <w:r>
        <w:t xml:space="preserve">The mandatory comprehensive credit reporting regime under the Act applies to ‘eligible licensees’. Eligible licensees include large ADIs. Large ADIs must provide comprehensive credit information on consumer credit accounts to certain credit reporting bodies.  </w:t>
      </w:r>
    </w:p>
    <w:p w14:paraId="412B391B" w14:textId="2EB2540B" w:rsidR="00F5429E" w:rsidRPr="008942FB" w:rsidRDefault="00F5429E" w:rsidP="00F5429E">
      <w:pPr>
        <w:spacing w:before="240"/>
      </w:pPr>
      <w:r>
        <w:t>The Determination sets out the methodology to determine whether an ADI is a large ADI. The methodology for determin</w:t>
      </w:r>
      <w:r w:rsidR="0072041B">
        <w:t>ing</w:t>
      </w:r>
      <w:r>
        <w:t xml:space="preserve"> the size of an ADI is based on total assets reported to APRA in earlier financial years.</w:t>
      </w:r>
      <w:r w:rsidRPr="00F5429E">
        <w:t xml:space="preserve"> An ADI will need to monitor its size every financial year to know </w:t>
      </w:r>
      <w:r>
        <w:t>whether</w:t>
      </w:r>
      <w:r w:rsidRPr="00F5429E">
        <w:t xml:space="preserve"> </w:t>
      </w:r>
      <w:r w:rsidR="003B7EF6">
        <w:t xml:space="preserve">it is a large ADI and </w:t>
      </w:r>
      <w:r w:rsidRPr="00F5429E">
        <w:t xml:space="preserve">the </w:t>
      </w:r>
      <w:r w:rsidR="00F64CE5">
        <w:t xml:space="preserve">mandatory </w:t>
      </w:r>
      <w:r w:rsidR="00F64CE5" w:rsidRPr="008942FB">
        <w:t xml:space="preserve">comprehensive credit reporting regime </w:t>
      </w:r>
      <w:r w:rsidR="007C719C" w:rsidRPr="008942FB">
        <w:t>appl</w:t>
      </w:r>
      <w:r w:rsidR="003B7EF6" w:rsidRPr="008942FB">
        <w:t>ies</w:t>
      </w:r>
      <w:r w:rsidR="002206B2" w:rsidRPr="008942FB">
        <w:t xml:space="preserve"> to it</w:t>
      </w:r>
      <w:r w:rsidR="00F64CE5" w:rsidRPr="008942FB">
        <w:t>.</w:t>
      </w:r>
    </w:p>
    <w:p w14:paraId="37CFAC96" w14:textId="5FD97D3D" w:rsidR="0088467C" w:rsidRPr="008942FB" w:rsidRDefault="00032D73" w:rsidP="00647BB7">
      <w:pPr>
        <w:spacing w:before="240"/>
      </w:pPr>
      <w:r w:rsidRPr="008942FB">
        <w:t>No consultation was conducted because th</w:t>
      </w:r>
      <w:r w:rsidR="00462643" w:rsidRPr="008942FB">
        <w:t xml:space="preserve">e </w:t>
      </w:r>
      <w:r w:rsidR="00FA276C" w:rsidRPr="008942FB">
        <w:t>Determination will</w:t>
      </w:r>
      <w:r w:rsidR="00402160" w:rsidRPr="008942FB">
        <w:t xml:space="preserve"> continue</w:t>
      </w:r>
      <w:r w:rsidRPr="008942FB">
        <w:t xml:space="preserve"> the</w:t>
      </w:r>
      <w:r w:rsidR="00402160" w:rsidRPr="008942FB">
        <w:t xml:space="preserve"> definition </w:t>
      </w:r>
      <w:r w:rsidR="002C12DF" w:rsidRPr="008942FB">
        <w:t>of large ADI under the</w:t>
      </w:r>
      <w:r w:rsidRPr="008942FB">
        <w:t xml:space="preserve"> B</w:t>
      </w:r>
      <w:r w:rsidR="00462643" w:rsidRPr="008942FB">
        <w:t xml:space="preserve">EAR </w:t>
      </w:r>
      <w:r w:rsidRPr="008942FB">
        <w:t>Determination. Any changes from the B</w:t>
      </w:r>
      <w:r w:rsidR="00462643" w:rsidRPr="008942FB">
        <w:t>EAR</w:t>
      </w:r>
      <w:r w:rsidRPr="008942FB">
        <w:t xml:space="preserve"> Determination</w:t>
      </w:r>
      <w:r w:rsidR="007C719C" w:rsidRPr="008942FB">
        <w:t>, such as the rebase of indexation calculations,</w:t>
      </w:r>
      <w:r w:rsidRPr="008942FB">
        <w:t xml:space="preserve"> are minor in nature. </w:t>
      </w:r>
    </w:p>
    <w:p w14:paraId="0931E298" w14:textId="3167101C" w:rsidR="00876769" w:rsidRPr="008942FB" w:rsidRDefault="00876769" w:rsidP="002C226C">
      <w:pPr>
        <w:spacing w:before="240"/>
      </w:pPr>
      <w:r w:rsidRPr="008942FB">
        <w:t xml:space="preserve">The Final Report </w:t>
      </w:r>
      <w:r w:rsidR="004B7A13" w:rsidRPr="008942FB">
        <w:t xml:space="preserve">on Misconduct in the Banking, Superannuation and Financial Services Industry </w:t>
      </w:r>
      <w:r w:rsidRPr="008942FB">
        <w:t>has been certified as being informed by a process and analysis equivalent to a Regulation Impact Statement for the purposes of the Government decision to implement this reform</w:t>
      </w:r>
      <w:r w:rsidR="00C40850" w:rsidRPr="008942FB">
        <w:t xml:space="preserve"> </w:t>
      </w:r>
      <w:r w:rsidR="008942FB">
        <w:t>(</w:t>
      </w:r>
      <w:r w:rsidR="00C40850" w:rsidRPr="008942FB">
        <w:t>includ</w:t>
      </w:r>
      <w:r w:rsidR="008942FB">
        <w:t>ing</w:t>
      </w:r>
      <w:r w:rsidR="00C40850" w:rsidRPr="008942FB">
        <w:t xml:space="preserve"> the Determination</w:t>
      </w:r>
      <w:r w:rsidR="008942FB">
        <w:t>)</w:t>
      </w:r>
      <w:r w:rsidR="00C40850" w:rsidRPr="008942FB">
        <w:t xml:space="preserve">. </w:t>
      </w:r>
      <w:r w:rsidRPr="008942FB">
        <w:t>The Financial Services Royal Commission Final Report can be accessed through the Australian Parliament House website.</w:t>
      </w:r>
      <w:r w:rsidR="004B7A13" w:rsidRPr="008942FB">
        <w:rPr>
          <w:rStyle w:val="FootnoteReference"/>
        </w:rPr>
        <w:footnoteReference w:id="2"/>
      </w:r>
    </w:p>
    <w:p w14:paraId="5FC9B204" w14:textId="70084AFE" w:rsidR="002C226C" w:rsidRPr="008942FB" w:rsidRDefault="002C226C" w:rsidP="002C226C">
      <w:pPr>
        <w:spacing w:before="240"/>
      </w:pPr>
      <w:r w:rsidRPr="008942FB">
        <w:t xml:space="preserve">Details of the </w:t>
      </w:r>
      <w:r w:rsidR="005279CD" w:rsidRPr="008942FB">
        <w:t>Determination</w:t>
      </w:r>
      <w:r w:rsidR="00EB2AEF" w:rsidRPr="008942FB">
        <w:t xml:space="preserve"> are set out in</w:t>
      </w:r>
      <w:r w:rsidRPr="008942FB">
        <w:t xml:space="preserve"> </w:t>
      </w:r>
      <w:r w:rsidRPr="008942FB">
        <w:rPr>
          <w:u w:val="single"/>
        </w:rPr>
        <w:t>Attachment</w:t>
      </w:r>
      <w:r w:rsidR="00EB2AEF" w:rsidRPr="008942FB">
        <w:rPr>
          <w:u w:val="single"/>
        </w:rPr>
        <w:t xml:space="preserve"> </w:t>
      </w:r>
      <w:r w:rsidR="005279CD" w:rsidRPr="008942FB">
        <w:rPr>
          <w:u w:val="single"/>
        </w:rPr>
        <w:t>A.</w:t>
      </w:r>
    </w:p>
    <w:p w14:paraId="57BF2131" w14:textId="7CDB0F72" w:rsidR="002C226C" w:rsidRDefault="002C226C" w:rsidP="00647BB7">
      <w:pPr>
        <w:spacing w:before="240"/>
      </w:pPr>
      <w:r w:rsidRPr="008942FB">
        <w:t xml:space="preserve">The </w:t>
      </w:r>
      <w:r w:rsidR="005279CD" w:rsidRPr="008942FB">
        <w:t>Determination is</w:t>
      </w:r>
      <w:r w:rsidRPr="008942FB">
        <w:t xml:space="preserve"> a legislative instrument</w:t>
      </w:r>
      <w:r w:rsidRPr="00D3322F">
        <w:t xml:space="preserve"> for the purposes of the</w:t>
      </w:r>
      <w:r w:rsidRPr="00322524">
        <w:t xml:space="preserve"> </w:t>
      </w:r>
      <w:r w:rsidRPr="00D3322F">
        <w:rPr>
          <w:i/>
        </w:rPr>
        <w:t>Legislation</w:t>
      </w:r>
      <w:r w:rsidR="00344E73">
        <w:rPr>
          <w:i/>
        </w:rPr>
        <w:t> </w:t>
      </w:r>
      <w:r w:rsidRPr="00D3322F">
        <w:rPr>
          <w:i/>
        </w:rPr>
        <w:t>Act</w:t>
      </w:r>
      <w:r w:rsidR="00344E73">
        <w:rPr>
          <w:i/>
        </w:rPr>
        <w:t> </w:t>
      </w:r>
      <w:r w:rsidRPr="00D3322F">
        <w:rPr>
          <w:i/>
        </w:rPr>
        <w:t>2003</w:t>
      </w:r>
      <w:r w:rsidRPr="00D3322F">
        <w:t>.</w:t>
      </w:r>
    </w:p>
    <w:p w14:paraId="60DC732E" w14:textId="6F40DF99" w:rsidR="002C12DF" w:rsidRDefault="002C12DF" w:rsidP="00647BB7">
      <w:pPr>
        <w:spacing w:before="240"/>
      </w:pPr>
      <w:r w:rsidRPr="002C12DF">
        <w:t>The Act does not specify any conditions that need to be met before the power to make the Determination may be exercised.</w:t>
      </w:r>
    </w:p>
    <w:p w14:paraId="706E1C34" w14:textId="68057490" w:rsidR="003B6E4F" w:rsidRDefault="00F109D4" w:rsidP="003B6E4F">
      <w:pPr>
        <w:spacing w:before="240"/>
      </w:pPr>
      <w:r w:rsidRPr="00503E44">
        <w:t xml:space="preserve">The </w:t>
      </w:r>
      <w:r w:rsidR="00F670A5" w:rsidRPr="008C0DCD">
        <w:t>Determination</w:t>
      </w:r>
      <w:r w:rsidRPr="008C0DCD">
        <w:t xml:space="preserve"> commenced on </w:t>
      </w:r>
      <w:r w:rsidR="004A211C">
        <w:t>the</w:t>
      </w:r>
      <w:r w:rsidR="008C0DCD" w:rsidRPr="008C0DCD">
        <w:t xml:space="preserve"> </w:t>
      </w:r>
      <w:r w:rsidR="00F670A5" w:rsidRPr="008C0DCD">
        <w:t xml:space="preserve">day after the instrument </w:t>
      </w:r>
      <w:r w:rsidR="003B6E4F">
        <w:t>wa</w:t>
      </w:r>
      <w:r w:rsidR="00F670A5" w:rsidRPr="008C0DCD">
        <w:t>s registered.</w:t>
      </w:r>
      <w:r w:rsidR="00F670A5">
        <w:t xml:space="preserve"> </w:t>
      </w:r>
    </w:p>
    <w:p w14:paraId="5A692832" w14:textId="032FCCAE" w:rsidR="009143A0" w:rsidRPr="003B6E4F" w:rsidRDefault="003B6E4F" w:rsidP="00647BB7">
      <w:pPr>
        <w:spacing w:before="240"/>
      </w:pPr>
      <w:r>
        <w:t xml:space="preserve">The Determination was made after the enactment, but before the commencement, of </w:t>
      </w:r>
      <w:r w:rsidR="00790AD7">
        <w:t xml:space="preserve">Part </w:t>
      </w:r>
      <w:r w:rsidR="005867E7">
        <w:t>2</w:t>
      </w:r>
      <w:r w:rsidR="00790AD7">
        <w:t xml:space="preserve"> of Schedule 1 to </w:t>
      </w:r>
      <w:r>
        <w:t>the</w:t>
      </w:r>
      <w:r w:rsidRPr="00601032">
        <w:t xml:space="preserve"> </w:t>
      </w:r>
      <w:r w:rsidR="00F54D79" w:rsidRPr="00967A79">
        <w:rPr>
          <w:i/>
          <w:iCs/>
        </w:rPr>
        <w:t xml:space="preserve">Financial </w:t>
      </w:r>
      <w:r w:rsidR="005867E7">
        <w:rPr>
          <w:i/>
          <w:iCs/>
        </w:rPr>
        <w:t>Accountability Regime (Consequential Amendments</w:t>
      </w:r>
      <w:r w:rsidR="00574D75">
        <w:rPr>
          <w:i/>
          <w:iCs/>
        </w:rPr>
        <w:t xml:space="preserve">) </w:t>
      </w:r>
      <w:r w:rsidR="00967A79" w:rsidRPr="002E07A0">
        <w:rPr>
          <w:i/>
          <w:iCs/>
        </w:rPr>
        <w:t>Act</w:t>
      </w:r>
      <w:r w:rsidR="00F54D79" w:rsidRPr="00967A79">
        <w:rPr>
          <w:i/>
          <w:iCs/>
        </w:rPr>
        <w:t xml:space="preserve"> 202</w:t>
      </w:r>
      <w:r w:rsidR="00D978ED">
        <w:rPr>
          <w:i/>
          <w:iCs/>
        </w:rPr>
        <w:t>3</w:t>
      </w:r>
      <w:r w:rsidR="00252C54" w:rsidRPr="002E07A0">
        <w:t xml:space="preserve"> </w:t>
      </w:r>
      <w:r>
        <w:t>in accordance with s</w:t>
      </w:r>
      <w:r w:rsidR="004D23AB">
        <w:t>ubs</w:t>
      </w:r>
      <w:r>
        <w:t xml:space="preserve">ection 4(2) of the </w:t>
      </w:r>
      <w:r w:rsidRPr="00601032">
        <w:rPr>
          <w:i/>
          <w:iCs/>
        </w:rPr>
        <w:t>Acts Interpretation Act 1901</w:t>
      </w:r>
      <w:r>
        <w:t>. It does</w:t>
      </w:r>
      <w:r w:rsidR="004D24F0">
        <w:t xml:space="preserve"> not</w:t>
      </w:r>
      <w:r>
        <w:t xml:space="preserve"> confer a power or right or impose an obligation on a person before the commencement of the </w:t>
      </w:r>
      <w:r w:rsidR="00B647CE" w:rsidRPr="00967A79">
        <w:rPr>
          <w:i/>
          <w:iCs/>
        </w:rPr>
        <w:t xml:space="preserve">Financial </w:t>
      </w:r>
      <w:r w:rsidR="00574D75">
        <w:rPr>
          <w:i/>
          <w:iCs/>
        </w:rPr>
        <w:t>Accountability Regime (Consequential Amendments)</w:t>
      </w:r>
      <w:r w:rsidR="00574D75" w:rsidRPr="00967A79">
        <w:rPr>
          <w:i/>
          <w:iCs/>
        </w:rPr>
        <w:t xml:space="preserve"> </w:t>
      </w:r>
      <w:r w:rsidR="00967A79" w:rsidRPr="002E07A0">
        <w:rPr>
          <w:i/>
          <w:iCs/>
        </w:rPr>
        <w:t xml:space="preserve">Act </w:t>
      </w:r>
      <w:r w:rsidR="00B647CE" w:rsidRPr="00967A79">
        <w:rPr>
          <w:i/>
          <w:iCs/>
        </w:rPr>
        <w:t>202</w:t>
      </w:r>
      <w:r w:rsidR="00D978ED">
        <w:rPr>
          <w:i/>
          <w:iCs/>
        </w:rPr>
        <w:t>3</w:t>
      </w:r>
      <w:r>
        <w:t>, except so far as is necessary or convenient for the purpose of bringing the instrument into effect.</w:t>
      </w:r>
    </w:p>
    <w:p w14:paraId="2F03D536" w14:textId="58EEE91C" w:rsidR="00EB2AEF" w:rsidRPr="00013390" w:rsidRDefault="00EB2AEF" w:rsidP="00647BB7">
      <w:pPr>
        <w:spacing w:before="240"/>
      </w:pPr>
      <w:r>
        <w:t xml:space="preserve">A </w:t>
      </w:r>
      <w:r w:rsidR="00B529AF">
        <w:t>S</w:t>
      </w:r>
      <w:r>
        <w:t xml:space="preserve">tatement of Compatibility with Human Rights is at </w:t>
      </w:r>
      <w:r w:rsidRPr="000B39A1">
        <w:rPr>
          <w:u w:val="single"/>
        </w:rPr>
        <w:t xml:space="preserve">Attachment </w:t>
      </w:r>
      <w:r w:rsidR="005279CD">
        <w:rPr>
          <w:u w:val="single"/>
        </w:rPr>
        <w:t>B</w:t>
      </w:r>
      <w:r w:rsidR="005279CD">
        <w:t>.</w:t>
      </w:r>
    </w:p>
    <w:p w14:paraId="41175694" w14:textId="064AE110" w:rsidR="00EA4DD8" w:rsidRDefault="00EA4DD8" w:rsidP="00EA4DD8">
      <w:pPr>
        <w:pageBreakBefore/>
        <w:spacing w:before="240"/>
        <w:jc w:val="right"/>
        <w:rPr>
          <w:b/>
          <w:u w:val="single"/>
        </w:rPr>
      </w:pPr>
      <w:r w:rsidRPr="007B335E">
        <w:rPr>
          <w:b/>
          <w:u w:val="single"/>
        </w:rPr>
        <w:lastRenderedPageBreak/>
        <w:t xml:space="preserve">ATTACHMENT </w:t>
      </w:r>
      <w:r w:rsidR="00914575">
        <w:rPr>
          <w:b/>
          <w:u w:val="single"/>
        </w:rPr>
        <w:t>A</w:t>
      </w:r>
    </w:p>
    <w:p w14:paraId="37613D10" w14:textId="15D85236" w:rsidR="00EA4DD8" w:rsidRDefault="00EA4DD8" w:rsidP="00EA4DD8">
      <w:pPr>
        <w:spacing w:before="240"/>
        <w:ind w:right="91"/>
        <w:rPr>
          <w:b/>
          <w:bCs/>
          <w:szCs w:val="24"/>
          <w:u w:val="single"/>
        </w:rPr>
      </w:pPr>
      <w:r>
        <w:rPr>
          <w:b/>
          <w:bCs/>
          <w:u w:val="single"/>
        </w:rPr>
        <w:t xml:space="preserve">Details of the </w:t>
      </w:r>
      <w:r w:rsidR="00914575" w:rsidRPr="00914575">
        <w:rPr>
          <w:b/>
          <w:i/>
          <w:u w:val="single"/>
        </w:rPr>
        <w:t>National Consumer Credit Protection (Large ADI) Determination 202</w:t>
      </w:r>
      <w:r w:rsidR="00B80958">
        <w:rPr>
          <w:b/>
          <w:i/>
          <w:u w:val="single"/>
        </w:rPr>
        <w:t>3</w:t>
      </w:r>
      <w:r>
        <w:rPr>
          <w:b/>
          <w:bCs/>
          <w:u w:val="single"/>
        </w:rPr>
        <w:t xml:space="preserve"> </w:t>
      </w:r>
    </w:p>
    <w:p w14:paraId="4B44B54C" w14:textId="199BE0BF" w:rsidR="005C1406" w:rsidRPr="00795A4E" w:rsidRDefault="005C1406" w:rsidP="00795A4E">
      <w:pPr>
        <w:shd w:val="clear" w:color="auto" w:fill="FFFFFF"/>
        <w:spacing w:line="293" w:lineRule="atLeast"/>
        <w:outlineLvl w:val="3"/>
        <w:rPr>
          <w:b/>
          <w:bCs/>
          <w:color w:val="000000"/>
          <w:szCs w:val="24"/>
        </w:rPr>
      </w:pPr>
      <w:r w:rsidRPr="00795A4E">
        <w:rPr>
          <w:b/>
          <w:bCs/>
          <w:color w:val="000000"/>
          <w:szCs w:val="24"/>
        </w:rPr>
        <w:t>Part 1</w:t>
      </w:r>
      <w:r w:rsidR="00237B13">
        <w:rPr>
          <w:b/>
          <w:bCs/>
          <w:color w:val="000000"/>
          <w:szCs w:val="24"/>
        </w:rPr>
        <w:t xml:space="preserve"> </w:t>
      </w:r>
      <w:r w:rsidR="009757E1" w:rsidRPr="00795A4E">
        <w:rPr>
          <w:b/>
          <w:bCs/>
          <w:color w:val="000000"/>
          <w:szCs w:val="24"/>
        </w:rPr>
        <w:t>—</w:t>
      </w:r>
      <w:r w:rsidR="00237B13">
        <w:rPr>
          <w:b/>
          <w:bCs/>
          <w:color w:val="000000"/>
          <w:szCs w:val="24"/>
        </w:rPr>
        <w:t xml:space="preserve"> </w:t>
      </w:r>
      <w:r w:rsidR="009757E1" w:rsidRPr="00795A4E">
        <w:rPr>
          <w:b/>
          <w:bCs/>
          <w:color w:val="000000"/>
          <w:szCs w:val="24"/>
        </w:rPr>
        <w:t>Preliminary</w:t>
      </w:r>
    </w:p>
    <w:p w14:paraId="28706BBA" w14:textId="5782AD71" w:rsidR="00EA4DD8" w:rsidRPr="005A49FA" w:rsidRDefault="00EA4DD8" w:rsidP="005A49FA">
      <w:pPr>
        <w:shd w:val="clear" w:color="auto" w:fill="FFFFFF"/>
        <w:spacing w:line="293" w:lineRule="atLeast"/>
        <w:outlineLvl w:val="3"/>
        <w:rPr>
          <w:color w:val="000000"/>
          <w:szCs w:val="24"/>
          <w:u w:val="single"/>
        </w:rPr>
      </w:pPr>
      <w:r w:rsidRPr="005A49FA">
        <w:rPr>
          <w:color w:val="000000"/>
          <w:szCs w:val="24"/>
          <w:u w:val="single"/>
        </w:rPr>
        <w:t xml:space="preserve">Section 1 – Name </w:t>
      </w:r>
    </w:p>
    <w:p w14:paraId="7BE17B09" w14:textId="26D6A667" w:rsidR="00EA4DD8" w:rsidRDefault="00EA4DD8" w:rsidP="00EA4DD8">
      <w:pPr>
        <w:spacing w:before="240"/>
      </w:pPr>
      <w:r>
        <w:t xml:space="preserve">This section provides that the name of the </w:t>
      </w:r>
      <w:r w:rsidR="00DB0C39">
        <w:t>instrument</w:t>
      </w:r>
      <w:r>
        <w:t xml:space="preserve"> is the </w:t>
      </w:r>
      <w:r w:rsidR="00DB0C39" w:rsidRPr="00DB0C39">
        <w:rPr>
          <w:i/>
        </w:rPr>
        <w:t>National Consumer Credit Protection (Large ADI) Determination 202</w:t>
      </w:r>
      <w:r w:rsidR="00B80958">
        <w:rPr>
          <w:i/>
        </w:rPr>
        <w:t>3</w:t>
      </w:r>
      <w:r>
        <w:t xml:space="preserve"> (the </w:t>
      </w:r>
      <w:r w:rsidR="00DB0C39">
        <w:t>Determination</w:t>
      </w:r>
      <w:r>
        <w:t>).</w:t>
      </w:r>
    </w:p>
    <w:p w14:paraId="1439F884" w14:textId="77777777" w:rsidR="00EA4DD8" w:rsidRPr="005A49FA" w:rsidRDefault="00EA4DD8" w:rsidP="005A49FA">
      <w:pPr>
        <w:shd w:val="clear" w:color="auto" w:fill="FFFFFF"/>
        <w:spacing w:line="293" w:lineRule="atLeast"/>
        <w:outlineLvl w:val="3"/>
        <w:rPr>
          <w:color w:val="000000"/>
          <w:szCs w:val="24"/>
          <w:u w:val="single"/>
        </w:rPr>
      </w:pPr>
      <w:r w:rsidRPr="005A49FA">
        <w:rPr>
          <w:color w:val="000000"/>
          <w:szCs w:val="24"/>
          <w:u w:val="single"/>
        </w:rPr>
        <w:t>Section 2 – Commencement</w:t>
      </w:r>
    </w:p>
    <w:p w14:paraId="3630DE6C" w14:textId="6C9BE208" w:rsidR="00301215" w:rsidRPr="001F6B5A" w:rsidRDefault="00DB0C39" w:rsidP="0050641F">
      <w:pPr>
        <w:pStyle w:val="Dotpoint"/>
        <w:numPr>
          <w:ilvl w:val="0"/>
          <w:numId w:val="0"/>
        </w:numPr>
      </w:pPr>
      <w:r>
        <w:t xml:space="preserve">This </w:t>
      </w:r>
      <w:r w:rsidR="006C2D25">
        <w:t>s</w:t>
      </w:r>
      <w:r>
        <w:t>ection provides that the instrument</w:t>
      </w:r>
      <w:r w:rsidR="00EA4DD8">
        <w:t xml:space="preserve"> commence</w:t>
      </w:r>
      <w:r>
        <w:t>s</w:t>
      </w:r>
      <w:r w:rsidR="00EA4DD8">
        <w:t xml:space="preserve"> on </w:t>
      </w:r>
      <w:r w:rsidR="0050641F">
        <w:t xml:space="preserve">the </w:t>
      </w:r>
      <w:r w:rsidR="0050641F" w:rsidRPr="00DB0C39">
        <w:t xml:space="preserve">day after the </w:t>
      </w:r>
      <w:r w:rsidR="0050641F" w:rsidRPr="001F6B5A">
        <w:t>instrument is registered on the Federal Register of Legislation</w:t>
      </w:r>
      <w:r w:rsidR="007C5ECB">
        <w:t>.</w:t>
      </w:r>
      <w:r w:rsidR="00006589">
        <w:t xml:space="preserve"> </w:t>
      </w:r>
    </w:p>
    <w:p w14:paraId="7E5D2DE8" w14:textId="77777777" w:rsidR="00EA4DD8" w:rsidRPr="005A49FA" w:rsidRDefault="00EA4DD8" w:rsidP="005A49FA">
      <w:pPr>
        <w:shd w:val="clear" w:color="auto" w:fill="FFFFFF"/>
        <w:spacing w:line="293" w:lineRule="atLeast"/>
        <w:outlineLvl w:val="3"/>
        <w:rPr>
          <w:color w:val="000000"/>
          <w:szCs w:val="24"/>
          <w:u w:val="single"/>
        </w:rPr>
      </w:pPr>
      <w:r w:rsidRPr="005A49FA">
        <w:rPr>
          <w:color w:val="000000"/>
          <w:szCs w:val="24"/>
          <w:u w:val="single"/>
        </w:rPr>
        <w:t>Section 3 – Authority</w:t>
      </w:r>
    </w:p>
    <w:p w14:paraId="57B7068E" w14:textId="7093AA10" w:rsidR="00EA4DD8" w:rsidRDefault="006C2D25" w:rsidP="00EA4DD8">
      <w:pPr>
        <w:spacing w:before="240"/>
        <w:ind w:right="91"/>
      </w:pPr>
      <w:r w:rsidRPr="001F6B5A">
        <w:t>This section provides that the instrument is</w:t>
      </w:r>
      <w:r w:rsidR="00EA4DD8" w:rsidRPr="001F6B5A">
        <w:t xml:space="preserve"> made</w:t>
      </w:r>
      <w:r w:rsidR="00EA4DD8">
        <w:t xml:space="preserve"> under </w:t>
      </w:r>
      <w:r>
        <w:t xml:space="preserve">subsection 5(1A) of </w:t>
      </w:r>
      <w:r w:rsidR="00EA4DD8">
        <w:t xml:space="preserve">the </w:t>
      </w:r>
      <w:bookmarkStart w:id="1" w:name="_Hlk115778421"/>
      <w:r w:rsidR="00E63022" w:rsidRPr="00E63022">
        <w:rPr>
          <w:i/>
          <w:iCs/>
        </w:rPr>
        <w:t>National Consumer Credit Protection Act 2009</w:t>
      </w:r>
      <w:r w:rsidR="00E63022">
        <w:t xml:space="preserve"> </w:t>
      </w:r>
      <w:bookmarkEnd w:id="1"/>
      <w:r w:rsidR="00E63022">
        <w:t xml:space="preserve">(the </w:t>
      </w:r>
      <w:r w:rsidR="00EA4DD8">
        <w:t>Act</w:t>
      </w:r>
      <w:r w:rsidR="00E63022">
        <w:t>)</w:t>
      </w:r>
      <w:r w:rsidR="00EA4DD8">
        <w:t>.</w:t>
      </w:r>
      <w:r w:rsidR="00006589">
        <w:t xml:space="preserve"> </w:t>
      </w:r>
    </w:p>
    <w:p w14:paraId="2E20A258" w14:textId="3E3FC035" w:rsidR="00572897" w:rsidRPr="00572897" w:rsidRDefault="00572897" w:rsidP="00342EC1">
      <w:pPr>
        <w:shd w:val="clear" w:color="auto" w:fill="FFFFFF"/>
        <w:spacing w:line="293" w:lineRule="atLeast"/>
        <w:outlineLvl w:val="3"/>
        <w:rPr>
          <w:color w:val="000000"/>
          <w:szCs w:val="24"/>
          <w:u w:val="single"/>
        </w:rPr>
      </w:pPr>
      <w:r w:rsidRPr="00572897">
        <w:rPr>
          <w:color w:val="000000"/>
          <w:szCs w:val="24"/>
          <w:u w:val="single"/>
        </w:rPr>
        <w:t xml:space="preserve">Section </w:t>
      </w:r>
      <w:r w:rsidR="0050641F">
        <w:rPr>
          <w:color w:val="000000"/>
          <w:szCs w:val="24"/>
          <w:u w:val="single"/>
        </w:rPr>
        <w:t>4</w:t>
      </w:r>
      <w:r w:rsidRPr="00572897">
        <w:rPr>
          <w:color w:val="000000"/>
          <w:szCs w:val="24"/>
          <w:u w:val="single"/>
        </w:rPr>
        <w:t xml:space="preserve"> – Definitions</w:t>
      </w:r>
    </w:p>
    <w:p w14:paraId="7936FE2A" w14:textId="2EBD7BBC" w:rsidR="00572897" w:rsidRPr="00572897" w:rsidRDefault="00342EC1" w:rsidP="000B10FD">
      <w:pPr>
        <w:shd w:val="clear" w:color="auto" w:fill="FFFFFF"/>
        <w:spacing w:before="240"/>
        <w:rPr>
          <w:color w:val="000000"/>
          <w:szCs w:val="24"/>
        </w:rPr>
      </w:pPr>
      <w:r>
        <w:rPr>
          <w:color w:val="000000"/>
          <w:szCs w:val="24"/>
        </w:rPr>
        <w:t>This section</w:t>
      </w:r>
      <w:r w:rsidR="00572897" w:rsidRPr="00572897">
        <w:rPr>
          <w:color w:val="000000"/>
          <w:szCs w:val="24"/>
        </w:rPr>
        <w:t xml:space="preserve"> sets out the definitions that are used in the </w:t>
      </w:r>
      <w:r>
        <w:rPr>
          <w:color w:val="000000"/>
          <w:szCs w:val="24"/>
        </w:rPr>
        <w:t>Determination.</w:t>
      </w:r>
      <w:r w:rsidR="0050641F">
        <w:rPr>
          <w:color w:val="000000"/>
          <w:szCs w:val="24"/>
        </w:rPr>
        <w:t xml:space="preserve"> </w:t>
      </w:r>
      <w:r w:rsidR="00572897" w:rsidRPr="00572897">
        <w:rPr>
          <w:color w:val="000000"/>
          <w:szCs w:val="24"/>
        </w:rPr>
        <w:t xml:space="preserve">A brief explanation </w:t>
      </w:r>
      <w:r w:rsidR="0050641F">
        <w:rPr>
          <w:color w:val="000000"/>
          <w:szCs w:val="24"/>
        </w:rPr>
        <w:t xml:space="preserve">of </w:t>
      </w:r>
      <w:r w:rsidR="00572897" w:rsidRPr="00572897">
        <w:rPr>
          <w:color w:val="000000"/>
          <w:szCs w:val="24"/>
        </w:rPr>
        <w:t xml:space="preserve">the </w:t>
      </w:r>
      <w:r w:rsidR="0050641F">
        <w:rPr>
          <w:color w:val="000000"/>
          <w:szCs w:val="24"/>
        </w:rPr>
        <w:t xml:space="preserve">key </w:t>
      </w:r>
      <w:r w:rsidR="00572897" w:rsidRPr="00572897">
        <w:rPr>
          <w:color w:val="000000"/>
          <w:szCs w:val="24"/>
        </w:rPr>
        <w:t xml:space="preserve">definitions </w:t>
      </w:r>
      <w:r w:rsidR="0050641F">
        <w:rPr>
          <w:color w:val="000000"/>
          <w:szCs w:val="24"/>
        </w:rPr>
        <w:t>is</w:t>
      </w:r>
      <w:r w:rsidR="00572897" w:rsidRPr="00572897">
        <w:rPr>
          <w:color w:val="000000"/>
          <w:szCs w:val="24"/>
        </w:rPr>
        <w:t xml:space="preserve"> set out below. </w:t>
      </w:r>
    </w:p>
    <w:p w14:paraId="7D9D266B" w14:textId="1A4022AF" w:rsidR="000A58A0" w:rsidRDefault="00572897" w:rsidP="00044892">
      <w:pPr>
        <w:pStyle w:val="Bullet"/>
        <w:numPr>
          <w:ilvl w:val="0"/>
          <w:numId w:val="0"/>
        </w:numPr>
        <w:rPr>
          <w:color w:val="000000"/>
          <w:szCs w:val="24"/>
        </w:rPr>
      </w:pPr>
      <w:r w:rsidRPr="00572897">
        <w:rPr>
          <w:b/>
          <w:bCs/>
          <w:i/>
          <w:iCs/>
          <w:color w:val="000000"/>
          <w:szCs w:val="24"/>
        </w:rPr>
        <w:t>final report</w:t>
      </w:r>
      <w:r w:rsidRPr="00572897">
        <w:rPr>
          <w:color w:val="000000"/>
          <w:szCs w:val="24"/>
        </w:rPr>
        <w:t xml:space="preserve"> means a report submitted by an ADI to APRA </w:t>
      </w:r>
      <w:r w:rsidR="002D36A3" w:rsidRPr="00572897">
        <w:t xml:space="preserve">in relation to the final reporting period for the </w:t>
      </w:r>
      <w:proofErr w:type="spellStart"/>
      <w:r w:rsidR="002D36A3" w:rsidRPr="00572897">
        <w:t>ADI</w:t>
      </w:r>
      <w:r w:rsidR="002D36A3">
        <w:t>’s</w:t>
      </w:r>
      <w:proofErr w:type="spellEnd"/>
      <w:r w:rsidR="002D36A3" w:rsidRPr="00572897">
        <w:t xml:space="preserve"> financial year</w:t>
      </w:r>
      <w:r w:rsidR="002D36A3">
        <w:t xml:space="preserve">, </w:t>
      </w:r>
      <w:r w:rsidRPr="00572897">
        <w:rPr>
          <w:color w:val="000000"/>
          <w:szCs w:val="24"/>
        </w:rPr>
        <w:t>under</w:t>
      </w:r>
      <w:r w:rsidR="00230F52">
        <w:rPr>
          <w:color w:val="000000"/>
          <w:szCs w:val="24"/>
        </w:rPr>
        <w:t>:</w:t>
      </w:r>
    </w:p>
    <w:p w14:paraId="6EFC8844" w14:textId="39E504C8" w:rsidR="000A58A0" w:rsidRDefault="00572897" w:rsidP="002175DC">
      <w:pPr>
        <w:pStyle w:val="Dotpoint"/>
        <w:spacing w:before="240"/>
      </w:pPr>
      <w:r w:rsidRPr="00572897">
        <w:t>Reporting Standard ARS 323.0</w:t>
      </w:r>
      <w:r w:rsidR="000A58A0">
        <w:t>, as set out in the Schedule to the</w:t>
      </w:r>
      <w:r w:rsidRPr="00572897">
        <w:t xml:space="preserve"> </w:t>
      </w:r>
      <w:r w:rsidR="000A58A0" w:rsidRPr="00230F52">
        <w:rPr>
          <w:i/>
          <w:iCs/>
        </w:rPr>
        <w:t>Financial Sector (Collection of Data) (reporting standard) determination No. 25 of 2021</w:t>
      </w:r>
      <w:r w:rsidR="002D36A3">
        <w:t xml:space="preserve">; </w:t>
      </w:r>
      <w:r w:rsidRPr="00572897">
        <w:t xml:space="preserve">or </w:t>
      </w:r>
    </w:p>
    <w:p w14:paraId="4DC17822" w14:textId="4B4B13B7" w:rsidR="00572897" w:rsidRPr="00230F52" w:rsidRDefault="00572897" w:rsidP="00230F52">
      <w:pPr>
        <w:pStyle w:val="Dotpoint"/>
        <w:spacing w:before="240"/>
      </w:pPr>
      <w:r w:rsidRPr="00572897">
        <w:t>Reporting Standard ARS 720.0</w:t>
      </w:r>
      <w:r w:rsidR="000A58A0">
        <w:t>,</w:t>
      </w:r>
      <w:r w:rsidRPr="00572897">
        <w:t xml:space="preserve"> </w:t>
      </w:r>
      <w:r w:rsidR="000A58A0">
        <w:t>as</w:t>
      </w:r>
      <w:r w:rsidR="000A58A0" w:rsidRPr="000A58A0">
        <w:t xml:space="preserve"> set out in the Schedule to the </w:t>
      </w:r>
      <w:r w:rsidR="000A58A0" w:rsidRPr="00230F52">
        <w:rPr>
          <w:i/>
          <w:iCs/>
        </w:rPr>
        <w:t>Financial Sector (Collection of Data) (reporting standard) determination No. 14 of 2018</w:t>
      </w:r>
      <w:r w:rsidR="000A58A0" w:rsidRPr="000A58A0">
        <w:t xml:space="preserve"> (as in force before 11 February 2020)</w:t>
      </w:r>
      <w:r w:rsidR="002D36A3">
        <w:t>.</w:t>
      </w:r>
    </w:p>
    <w:p w14:paraId="122A9954" w14:textId="1C6C308F" w:rsidR="00572897" w:rsidRPr="00572897" w:rsidRDefault="00572897" w:rsidP="000B10FD">
      <w:pPr>
        <w:shd w:val="clear" w:color="auto" w:fill="FFFFFF"/>
        <w:spacing w:before="240"/>
        <w:rPr>
          <w:color w:val="000000"/>
          <w:sz w:val="22"/>
          <w:szCs w:val="22"/>
        </w:rPr>
      </w:pPr>
      <w:r w:rsidRPr="00572897">
        <w:rPr>
          <w:b/>
          <w:bCs/>
          <w:i/>
          <w:iCs/>
          <w:color w:val="000000"/>
          <w:szCs w:val="24"/>
        </w:rPr>
        <w:t>financial year</w:t>
      </w:r>
      <w:r w:rsidRPr="00572897">
        <w:rPr>
          <w:color w:val="000000"/>
          <w:szCs w:val="24"/>
        </w:rPr>
        <w:t xml:space="preserve">, in relation to an ADI, means the </w:t>
      </w:r>
      <w:proofErr w:type="spellStart"/>
      <w:r w:rsidRPr="00572897">
        <w:rPr>
          <w:color w:val="000000"/>
          <w:szCs w:val="24"/>
        </w:rPr>
        <w:t>ADI</w:t>
      </w:r>
      <w:r w:rsidR="00D82496">
        <w:rPr>
          <w:color w:val="000000"/>
          <w:szCs w:val="24"/>
        </w:rPr>
        <w:t>’</w:t>
      </w:r>
      <w:r w:rsidRPr="00572897">
        <w:rPr>
          <w:color w:val="000000"/>
          <w:szCs w:val="24"/>
        </w:rPr>
        <w:t>s</w:t>
      </w:r>
      <w:proofErr w:type="spellEnd"/>
      <w:r w:rsidRPr="00572897">
        <w:rPr>
          <w:color w:val="000000"/>
          <w:szCs w:val="24"/>
        </w:rPr>
        <w:t xml:space="preserve"> financial year (see section 323D of the </w:t>
      </w:r>
      <w:r w:rsidRPr="00572897">
        <w:rPr>
          <w:i/>
          <w:iCs/>
          <w:color w:val="000000"/>
          <w:szCs w:val="24"/>
        </w:rPr>
        <w:t>Corporations Act 2001</w:t>
      </w:r>
      <w:r w:rsidRPr="00572897">
        <w:rPr>
          <w:color w:val="000000"/>
          <w:szCs w:val="24"/>
        </w:rPr>
        <w:t>) and includes financial years that begin before the commencement of this instrument.</w:t>
      </w:r>
      <w:r w:rsidRPr="00572897">
        <w:rPr>
          <w:b/>
          <w:bCs/>
          <w:i/>
          <w:iCs/>
          <w:color w:val="000000"/>
          <w:szCs w:val="24"/>
        </w:rPr>
        <w:t> </w:t>
      </w:r>
      <w:r w:rsidRPr="00572897">
        <w:rPr>
          <w:color w:val="000000"/>
          <w:szCs w:val="24"/>
        </w:rPr>
        <w:t>In most circumstances a financial year for an ADI will be a period of 12 consecutive months, with its first financial year commencing on the day the ADI is registered or incorporated.</w:t>
      </w:r>
    </w:p>
    <w:p w14:paraId="0EAE8BE2" w14:textId="479A88D1" w:rsidR="00210494" w:rsidRPr="002D2105" w:rsidRDefault="00210494" w:rsidP="000B10FD">
      <w:pPr>
        <w:shd w:val="clear" w:color="auto" w:fill="FFFFFF"/>
        <w:spacing w:before="240"/>
        <w:rPr>
          <w:b/>
          <w:bCs/>
          <w:color w:val="000000"/>
          <w:szCs w:val="24"/>
        </w:rPr>
      </w:pPr>
      <w:r>
        <w:rPr>
          <w:b/>
          <w:bCs/>
          <w:i/>
          <w:iCs/>
          <w:color w:val="000000"/>
          <w:szCs w:val="24"/>
        </w:rPr>
        <w:t>large ADI</w:t>
      </w:r>
      <w:r w:rsidRPr="002D2105">
        <w:rPr>
          <w:i/>
          <w:iCs/>
          <w:color w:val="000000"/>
          <w:szCs w:val="24"/>
        </w:rPr>
        <w:t xml:space="preserve"> </w:t>
      </w:r>
      <w:r w:rsidRPr="002D2105">
        <w:rPr>
          <w:color w:val="000000"/>
          <w:szCs w:val="24"/>
        </w:rPr>
        <w:t xml:space="preserve">is an ADI </w:t>
      </w:r>
      <w:r w:rsidR="00184719">
        <w:rPr>
          <w:color w:val="000000"/>
          <w:szCs w:val="24"/>
        </w:rPr>
        <w:t xml:space="preserve">that has a </w:t>
      </w:r>
      <w:r w:rsidRPr="002D2105">
        <w:rPr>
          <w:color w:val="000000"/>
          <w:szCs w:val="24"/>
        </w:rPr>
        <w:t>total asset size above a certain threshold</w:t>
      </w:r>
      <w:r>
        <w:rPr>
          <w:color w:val="000000"/>
          <w:szCs w:val="24"/>
        </w:rPr>
        <w:t xml:space="preserve"> at the start of the financial year.</w:t>
      </w:r>
      <w:r w:rsidRPr="002D2105">
        <w:rPr>
          <w:color w:val="000000"/>
          <w:szCs w:val="24"/>
        </w:rPr>
        <w:t xml:space="preserve"> Section 5 sets out the </w:t>
      </w:r>
      <w:r>
        <w:rPr>
          <w:color w:val="000000"/>
          <w:szCs w:val="24"/>
        </w:rPr>
        <w:t>threshold for</w:t>
      </w:r>
      <w:r w:rsidRPr="002D2105">
        <w:rPr>
          <w:color w:val="000000"/>
          <w:szCs w:val="24"/>
        </w:rPr>
        <w:t xml:space="preserve"> a large ADI. </w:t>
      </w:r>
      <w:r w:rsidRPr="002D2105">
        <w:rPr>
          <w:b/>
          <w:bCs/>
          <w:color w:val="000000"/>
          <w:szCs w:val="24"/>
        </w:rPr>
        <w:t xml:space="preserve"> </w:t>
      </w:r>
    </w:p>
    <w:p w14:paraId="0A7AB2C4" w14:textId="51215F5D" w:rsidR="000A58A0" w:rsidRPr="000A58A0" w:rsidRDefault="00572897" w:rsidP="000B10FD">
      <w:pPr>
        <w:shd w:val="clear" w:color="auto" w:fill="FFFFFF"/>
        <w:spacing w:before="240"/>
        <w:rPr>
          <w:color w:val="000000"/>
          <w:szCs w:val="24"/>
        </w:rPr>
      </w:pPr>
      <w:r w:rsidRPr="00572897">
        <w:rPr>
          <w:b/>
          <w:bCs/>
          <w:i/>
          <w:iCs/>
          <w:color w:val="000000"/>
          <w:szCs w:val="24"/>
        </w:rPr>
        <w:t>Reporting Standard </w:t>
      </w:r>
      <w:r w:rsidRPr="00572897">
        <w:rPr>
          <w:color w:val="000000"/>
          <w:szCs w:val="24"/>
        </w:rPr>
        <w:t xml:space="preserve">refers to a </w:t>
      </w:r>
      <w:r w:rsidR="001C376B">
        <w:rPr>
          <w:color w:val="000000"/>
          <w:szCs w:val="24"/>
        </w:rPr>
        <w:t xml:space="preserve">relevant </w:t>
      </w:r>
      <w:r w:rsidRPr="00572897">
        <w:rPr>
          <w:color w:val="000000"/>
          <w:szCs w:val="24"/>
        </w:rPr>
        <w:t>Reporting Standard determined under section 13 of the </w:t>
      </w:r>
      <w:r w:rsidRPr="00572897">
        <w:rPr>
          <w:i/>
          <w:iCs/>
          <w:color w:val="000000"/>
          <w:szCs w:val="24"/>
        </w:rPr>
        <w:t>Financial Sector (Collection of Data) Act 2001</w:t>
      </w:r>
      <w:r w:rsidRPr="00572897">
        <w:rPr>
          <w:color w:val="000000"/>
          <w:szCs w:val="24"/>
        </w:rPr>
        <w:t xml:space="preserve">. Section </w:t>
      </w:r>
      <w:r w:rsidR="0050641F">
        <w:rPr>
          <w:color w:val="000000"/>
          <w:szCs w:val="24"/>
        </w:rPr>
        <w:t>7</w:t>
      </w:r>
      <w:r w:rsidRPr="00572897">
        <w:rPr>
          <w:color w:val="000000"/>
          <w:szCs w:val="24"/>
        </w:rPr>
        <w:t xml:space="preserve"> sets out what happens when a Reporting Standard with a particular identifier is replaced by a Reporting Standard with a different identifier.</w:t>
      </w:r>
    </w:p>
    <w:p w14:paraId="145FC843" w14:textId="13CFC34C" w:rsidR="00572897" w:rsidRPr="00572897" w:rsidRDefault="00572897" w:rsidP="000B10FD">
      <w:pPr>
        <w:shd w:val="clear" w:color="auto" w:fill="FFFFFF"/>
        <w:spacing w:before="240"/>
        <w:rPr>
          <w:color w:val="000000"/>
          <w:sz w:val="22"/>
          <w:szCs w:val="22"/>
        </w:rPr>
      </w:pPr>
      <w:r w:rsidRPr="00572897">
        <w:rPr>
          <w:b/>
          <w:bCs/>
          <w:i/>
          <w:iCs/>
          <w:color w:val="000000"/>
          <w:szCs w:val="24"/>
        </w:rPr>
        <w:t>total asset size </w:t>
      </w:r>
      <w:r w:rsidRPr="00572897">
        <w:rPr>
          <w:color w:val="000000"/>
          <w:szCs w:val="24"/>
        </w:rPr>
        <w:t xml:space="preserve">is the amount used to determine the size of an </w:t>
      </w:r>
      <w:r w:rsidR="005C1406" w:rsidRPr="00572897">
        <w:rPr>
          <w:color w:val="000000"/>
          <w:szCs w:val="24"/>
        </w:rPr>
        <w:t>ADI</w:t>
      </w:r>
      <w:r w:rsidR="005C1406">
        <w:rPr>
          <w:color w:val="000000"/>
          <w:szCs w:val="24"/>
        </w:rPr>
        <w:t>.</w:t>
      </w:r>
      <w:r w:rsidR="005C1406" w:rsidRPr="00572897">
        <w:rPr>
          <w:color w:val="000000"/>
          <w:szCs w:val="24"/>
        </w:rPr>
        <w:t xml:space="preserve"> </w:t>
      </w:r>
      <w:r w:rsidR="005C1406">
        <w:rPr>
          <w:color w:val="000000"/>
          <w:szCs w:val="24"/>
        </w:rPr>
        <w:t xml:space="preserve">The amount </w:t>
      </w:r>
      <w:r w:rsidR="009B5A9B">
        <w:rPr>
          <w:color w:val="000000"/>
          <w:szCs w:val="24"/>
        </w:rPr>
        <w:t>is</w:t>
      </w:r>
      <w:r w:rsidR="009B5A9B" w:rsidRPr="00572897">
        <w:rPr>
          <w:color w:val="000000"/>
          <w:szCs w:val="24"/>
        </w:rPr>
        <w:t xml:space="preserve"> </w:t>
      </w:r>
      <w:r w:rsidR="00C243CE">
        <w:rPr>
          <w:color w:val="000000"/>
          <w:szCs w:val="24"/>
        </w:rPr>
        <w:t xml:space="preserve">the </w:t>
      </w:r>
      <w:r w:rsidRPr="00572897">
        <w:rPr>
          <w:color w:val="000000"/>
          <w:szCs w:val="24"/>
        </w:rPr>
        <w:t xml:space="preserve">total </w:t>
      </w:r>
      <w:r w:rsidR="009B5A9B">
        <w:rPr>
          <w:color w:val="000000"/>
          <w:szCs w:val="24"/>
        </w:rPr>
        <w:t xml:space="preserve">resident </w:t>
      </w:r>
      <w:r w:rsidRPr="00572897">
        <w:rPr>
          <w:color w:val="000000"/>
          <w:szCs w:val="24"/>
        </w:rPr>
        <w:t xml:space="preserve">assets </w:t>
      </w:r>
      <w:r w:rsidR="009B5A9B">
        <w:rPr>
          <w:color w:val="000000"/>
          <w:szCs w:val="24"/>
        </w:rPr>
        <w:t xml:space="preserve">value </w:t>
      </w:r>
      <w:r w:rsidRPr="00572897">
        <w:rPr>
          <w:color w:val="000000"/>
          <w:szCs w:val="24"/>
        </w:rPr>
        <w:t xml:space="preserve">reported </w:t>
      </w:r>
      <w:r w:rsidR="00C243CE">
        <w:rPr>
          <w:color w:val="000000"/>
          <w:szCs w:val="24"/>
        </w:rPr>
        <w:t>to APRA</w:t>
      </w:r>
      <w:r w:rsidR="00990F89">
        <w:rPr>
          <w:color w:val="000000"/>
          <w:szCs w:val="24"/>
        </w:rPr>
        <w:t xml:space="preserve"> over one financial year</w:t>
      </w:r>
      <w:r w:rsidR="00C243CE">
        <w:rPr>
          <w:color w:val="000000"/>
          <w:szCs w:val="24"/>
        </w:rPr>
        <w:t xml:space="preserve">, or the average </w:t>
      </w:r>
      <w:r w:rsidR="00C243CE">
        <w:rPr>
          <w:color w:val="000000"/>
          <w:szCs w:val="24"/>
        </w:rPr>
        <w:lastRenderedPageBreak/>
        <w:t xml:space="preserve">total resident assets value reported to APRA </w:t>
      </w:r>
      <w:r w:rsidRPr="00572897">
        <w:rPr>
          <w:color w:val="000000"/>
          <w:szCs w:val="24"/>
        </w:rPr>
        <w:t xml:space="preserve">over </w:t>
      </w:r>
      <w:r w:rsidR="00C243CE">
        <w:rPr>
          <w:color w:val="000000"/>
          <w:szCs w:val="24"/>
        </w:rPr>
        <w:t>two</w:t>
      </w:r>
      <w:r w:rsidR="009B5A9B">
        <w:rPr>
          <w:color w:val="000000"/>
          <w:szCs w:val="24"/>
        </w:rPr>
        <w:t xml:space="preserve"> to</w:t>
      </w:r>
      <w:r w:rsidRPr="00572897">
        <w:rPr>
          <w:color w:val="000000"/>
          <w:szCs w:val="24"/>
        </w:rPr>
        <w:t xml:space="preserve"> three </w:t>
      </w:r>
      <w:r w:rsidR="009B5A9B">
        <w:rPr>
          <w:color w:val="000000"/>
          <w:szCs w:val="24"/>
        </w:rPr>
        <w:t xml:space="preserve">financial </w:t>
      </w:r>
      <w:r w:rsidRPr="00572897">
        <w:rPr>
          <w:color w:val="000000"/>
          <w:szCs w:val="24"/>
        </w:rPr>
        <w:t xml:space="preserve">years. Section </w:t>
      </w:r>
      <w:r w:rsidR="0050641F">
        <w:rPr>
          <w:color w:val="000000"/>
          <w:szCs w:val="24"/>
        </w:rPr>
        <w:t>5</w:t>
      </w:r>
      <w:r w:rsidRPr="00572897">
        <w:rPr>
          <w:color w:val="000000"/>
          <w:szCs w:val="24"/>
        </w:rPr>
        <w:t xml:space="preserve"> describes how this amount is determined.</w:t>
      </w:r>
    </w:p>
    <w:p w14:paraId="39927F84" w14:textId="64E68448" w:rsidR="00572897" w:rsidRPr="00572897" w:rsidRDefault="00572897" w:rsidP="000B10FD">
      <w:pPr>
        <w:shd w:val="clear" w:color="auto" w:fill="FFFFFF"/>
        <w:spacing w:before="240"/>
        <w:rPr>
          <w:color w:val="000000"/>
          <w:sz w:val="22"/>
          <w:szCs w:val="22"/>
        </w:rPr>
      </w:pPr>
      <w:r w:rsidRPr="00572897">
        <w:rPr>
          <w:b/>
          <w:bCs/>
          <w:i/>
          <w:iCs/>
          <w:color w:val="000000"/>
          <w:szCs w:val="24"/>
        </w:rPr>
        <w:t>total resident assets value </w:t>
      </w:r>
      <w:r w:rsidRPr="00572897">
        <w:rPr>
          <w:color w:val="000000"/>
          <w:szCs w:val="24"/>
        </w:rPr>
        <w:t>is the amount of total assets as reported to APRA in a final report.</w:t>
      </w:r>
      <w:r w:rsidR="009B5A9B">
        <w:rPr>
          <w:color w:val="000000"/>
          <w:szCs w:val="24"/>
        </w:rPr>
        <w:t xml:space="preserve"> The amount is used to determine total asset size.</w:t>
      </w:r>
      <w:r w:rsidRPr="00572897">
        <w:rPr>
          <w:color w:val="000000"/>
          <w:szCs w:val="24"/>
        </w:rPr>
        <w:t xml:space="preserve"> Section </w:t>
      </w:r>
      <w:r w:rsidR="0050641F">
        <w:rPr>
          <w:color w:val="000000"/>
          <w:szCs w:val="24"/>
        </w:rPr>
        <w:t>6</w:t>
      </w:r>
      <w:r w:rsidRPr="00572897">
        <w:rPr>
          <w:color w:val="000000"/>
          <w:szCs w:val="24"/>
        </w:rPr>
        <w:t xml:space="preserve"> describes how this amount is identified.  </w:t>
      </w:r>
    </w:p>
    <w:p w14:paraId="10074976" w14:textId="125A36F4" w:rsidR="005C1406" w:rsidRPr="009757E1" w:rsidRDefault="005C1406" w:rsidP="005C1406">
      <w:pPr>
        <w:shd w:val="clear" w:color="auto" w:fill="FFFFFF"/>
        <w:spacing w:line="293" w:lineRule="atLeast"/>
        <w:outlineLvl w:val="3"/>
        <w:rPr>
          <w:b/>
          <w:bCs/>
          <w:color w:val="000000"/>
          <w:szCs w:val="24"/>
        </w:rPr>
      </w:pPr>
      <w:r w:rsidRPr="009757E1">
        <w:rPr>
          <w:b/>
          <w:bCs/>
          <w:color w:val="000000"/>
          <w:szCs w:val="24"/>
        </w:rPr>
        <w:t>Part 2</w:t>
      </w:r>
      <w:r w:rsidR="00237B13">
        <w:rPr>
          <w:b/>
          <w:bCs/>
          <w:color w:val="000000"/>
          <w:szCs w:val="24"/>
        </w:rPr>
        <w:t xml:space="preserve"> </w:t>
      </w:r>
      <w:r w:rsidR="009757E1" w:rsidRPr="009757E1">
        <w:rPr>
          <w:b/>
          <w:bCs/>
          <w:color w:val="000000"/>
          <w:szCs w:val="24"/>
        </w:rPr>
        <w:t>—</w:t>
      </w:r>
      <w:r w:rsidR="00237B13">
        <w:rPr>
          <w:b/>
          <w:bCs/>
          <w:color w:val="000000"/>
          <w:szCs w:val="24"/>
        </w:rPr>
        <w:t xml:space="preserve"> </w:t>
      </w:r>
      <w:r w:rsidR="000901A6" w:rsidRPr="009757E1">
        <w:rPr>
          <w:b/>
          <w:bCs/>
          <w:color w:val="000000"/>
          <w:szCs w:val="24"/>
        </w:rPr>
        <w:t xml:space="preserve">Determining </w:t>
      </w:r>
      <w:r w:rsidR="00045F26">
        <w:rPr>
          <w:b/>
          <w:bCs/>
          <w:color w:val="000000"/>
          <w:szCs w:val="24"/>
        </w:rPr>
        <w:t>the kinds of ADIs that are large ADIs</w:t>
      </w:r>
    </w:p>
    <w:p w14:paraId="27A3E4A9" w14:textId="27263A8D" w:rsidR="005C1406" w:rsidRDefault="00572897" w:rsidP="005C1406">
      <w:pPr>
        <w:shd w:val="clear" w:color="auto" w:fill="FFFFFF"/>
        <w:spacing w:line="293" w:lineRule="atLeast"/>
        <w:outlineLvl w:val="3"/>
        <w:rPr>
          <w:color w:val="000000"/>
          <w:szCs w:val="24"/>
          <w:u w:val="single"/>
        </w:rPr>
      </w:pPr>
      <w:r w:rsidRPr="00572897">
        <w:rPr>
          <w:color w:val="000000"/>
          <w:szCs w:val="24"/>
          <w:u w:val="single"/>
        </w:rPr>
        <w:t xml:space="preserve">Section </w:t>
      </w:r>
      <w:r w:rsidR="005C1406">
        <w:rPr>
          <w:color w:val="000000"/>
          <w:szCs w:val="24"/>
          <w:u w:val="single"/>
        </w:rPr>
        <w:t>5</w:t>
      </w:r>
      <w:r w:rsidRPr="00572897">
        <w:rPr>
          <w:color w:val="000000"/>
          <w:szCs w:val="24"/>
          <w:u w:val="single"/>
        </w:rPr>
        <w:t xml:space="preserve"> – </w:t>
      </w:r>
      <w:r w:rsidR="000901A6">
        <w:rPr>
          <w:color w:val="000000"/>
          <w:szCs w:val="24"/>
          <w:u w:val="single"/>
        </w:rPr>
        <w:t>Size of an ADI</w:t>
      </w:r>
    </w:p>
    <w:p w14:paraId="6B38AB77" w14:textId="7326444D" w:rsidR="00572897" w:rsidRPr="00572897" w:rsidRDefault="00FD302B" w:rsidP="000B10FD">
      <w:pPr>
        <w:shd w:val="clear" w:color="auto" w:fill="FFFFFF"/>
        <w:spacing w:before="240" w:line="293" w:lineRule="atLeast"/>
        <w:outlineLvl w:val="3"/>
        <w:rPr>
          <w:color w:val="000000"/>
          <w:szCs w:val="24"/>
        </w:rPr>
      </w:pPr>
      <w:r>
        <w:rPr>
          <w:color w:val="000000"/>
          <w:szCs w:val="24"/>
        </w:rPr>
        <w:t>This section</w:t>
      </w:r>
      <w:r w:rsidR="00572897" w:rsidRPr="00572897">
        <w:rPr>
          <w:color w:val="000000"/>
          <w:szCs w:val="24"/>
        </w:rPr>
        <w:t xml:space="preserve"> introduces the term </w:t>
      </w:r>
      <w:r w:rsidR="00572897" w:rsidRPr="005F1AEA">
        <w:rPr>
          <w:b/>
          <w:bCs/>
          <w:i/>
          <w:iCs/>
          <w:color w:val="000000"/>
          <w:szCs w:val="24"/>
        </w:rPr>
        <w:t>total asset size</w:t>
      </w:r>
      <w:r w:rsidR="00572897" w:rsidRPr="00572897">
        <w:rPr>
          <w:color w:val="000000"/>
          <w:szCs w:val="24"/>
        </w:rPr>
        <w:t xml:space="preserve">, which is used to determine </w:t>
      </w:r>
      <w:r w:rsidR="00633B23">
        <w:rPr>
          <w:color w:val="000000"/>
          <w:szCs w:val="24"/>
        </w:rPr>
        <w:t xml:space="preserve">whether an ADI is a </w:t>
      </w:r>
      <w:r w:rsidR="00633B23" w:rsidRPr="00633B23">
        <w:rPr>
          <w:b/>
          <w:bCs/>
          <w:i/>
          <w:iCs/>
          <w:color w:val="000000"/>
          <w:szCs w:val="24"/>
        </w:rPr>
        <w:t>large</w:t>
      </w:r>
      <w:r w:rsidR="00572897" w:rsidRPr="00633B23">
        <w:rPr>
          <w:b/>
          <w:bCs/>
          <w:i/>
          <w:iCs/>
          <w:color w:val="000000"/>
          <w:szCs w:val="24"/>
        </w:rPr>
        <w:t xml:space="preserve"> ADI</w:t>
      </w:r>
      <w:r w:rsidR="00572897" w:rsidRPr="00572897">
        <w:rPr>
          <w:color w:val="000000"/>
          <w:szCs w:val="24"/>
        </w:rPr>
        <w:t xml:space="preserve">. The total asset size is in turn determined by reference to the </w:t>
      </w:r>
      <w:r w:rsidR="00572897" w:rsidRPr="005F1AEA">
        <w:rPr>
          <w:b/>
          <w:bCs/>
          <w:i/>
          <w:iCs/>
          <w:color w:val="000000"/>
          <w:szCs w:val="24"/>
        </w:rPr>
        <w:t>total resident assets value</w:t>
      </w:r>
      <w:r w:rsidR="00572897" w:rsidRPr="00572897">
        <w:rPr>
          <w:color w:val="000000"/>
          <w:szCs w:val="24"/>
        </w:rPr>
        <w:t xml:space="preserve"> in a final report (explained in section </w:t>
      </w:r>
      <w:r w:rsidR="005C1406">
        <w:rPr>
          <w:color w:val="000000"/>
          <w:szCs w:val="24"/>
        </w:rPr>
        <w:t>6</w:t>
      </w:r>
      <w:r w:rsidR="00572897" w:rsidRPr="00572897">
        <w:rPr>
          <w:color w:val="000000"/>
          <w:szCs w:val="24"/>
        </w:rPr>
        <w:t xml:space="preserve">), or </w:t>
      </w:r>
      <w:r w:rsidR="000F070B">
        <w:rPr>
          <w:color w:val="000000"/>
          <w:szCs w:val="24"/>
        </w:rPr>
        <w:t xml:space="preserve">the average total resident asset value </w:t>
      </w:r>
      <w:r w:rsidR="009178B4">
        <w:rPr>
          <w:color w:val="000000"/>
          <w:szCs w:val="24"/>
        </w:rPr>
        <w:t>across</w:t>
      </w:r>
      <w:r w:rsidR="000F070B">
        <w:rPr>
          <w:color w:val="000000"/>
          <w:szCs w:val="24"/>
        </w:rPr>
        <w:t xml:space="preserve"> </w:t>
      </w:r>
      <w:r w:rsidR="00572897" w:rsidRPr="00572897">
        <w:rPr>
          <w:color w:val="000000"/>
          <w:szCs w:val="24"/>
        </w:rPr>
        <w:t>several final reports an ADI has submitted to APRA.</w:t>
      </w:r>
    </w:p>
    <w:p w14:paraId="7816F63A" w14:textId="77777777" w:rsidR="00572897" w:rsidRPr="00572897" w:rsidRDefault="00572897" w:rsidP="000B10FD">
      <w:pPr>
        <w:shd w:val="clear" w:color="auto" w:fill="FFFFFF"/>
        <w:spacing w:before="240"/>
        <w:rPr>
          <w:color w:val="000000"/>
          <w:szCs w:val="24"/>
        </w:rPr>
      </w:pPr>
      <w:r w:rsidRPr="00572897">
        <w:rPr>
          <w:color w:val="000000"/>
          <w:szCs w:val="24"/>
        </w:rPr>
        <w:t>If an ADI has submitted:</w:t>
      </w:r>
    </w:p>
    <w:p w14:paraId="23F114F8" w14:textId="57B33497" w:rsidR="00572897" w:rsidRPr="00572897" w:rsidRDefault="00572897" w:rsidP="000B10FD">
      <w:pPr>
        <w:pStyle w:val="Dotpoint"/>
        <w:spacing w:before="240"/>
      </w:pPr>
      <w:r w:rsidRPr="00572897">
        <w:t>a final report for only one financial year, its total asset size is the total resident assets value reported in that final report</w:t>
      </w:r>
      <w:r w:rsidR="00FD302B">
        <w:t>;</w:t>
      </w:r>
    </w:p>
    <w:p w14:paraId="72BE3858" w14:textId="11B4BBAC" w:rsidR="00572897" w:rsidRPr="00572897" w:rsidRDefault="00572897" w:rsidP="000B10FD">
      <w:pPr>
        <w:pStyle w:val="Dotpoint"/>
        <w:spacing w:before="240"/>
      </w:pPr>
      <w:r w:rsidRPr="00572897">
        <w:t>final reports for only two financial years, its total asset size is the average of the total resident assets value reported in those two final reports</w:t>
      </w:r>
      <w:r w:rsidR="00114B0A">
        <w:t>;</w:t>
      </w:r>
      <w:r w:rsidR="00FA137E">
        <w:t xml:space="preserve"> and</w:t>
      </w:r>
    </w:p>
    <w:p w14:paraId="0C18F0D6" w14:textId="025C7071" w:rsidR="00572897" w:rsidRDefault="00572897" w:rsidP="000B10FD">
      <w:pPr>
        <w:pStyle w:val="Dotpoint"/>
        <w:spacing w:before="240"/>
      </w:pPr>
      <w:r w:rsidRPr="00572897">
        <w:t>final reports for three or more financial years, its total asset size is the average of the total resident assets value in the three most recent reports in three financial years.</w:t>
      </w:r>
    </w:p>
    <w:p w14:paraId="7419F47C" w14:textId="10FAE958" w:rsidR="00B557F5" w:rsidRDefault="00C172A1" w:rsidP="000B10FD">
      <w:pPr>
        <w:shd w:val="clear" w:color="auto" w:fill="FFFFFF"/>
        <w:spacing w:before="240"/>
        <w:rPr>
          <w:color w:val="000000"/>
          <w:szCs w:val="24"/>
        </w:rPr>
      </w:pPr>
      <w:r>
        <w:rPr>
          <w:color w:val="000000"/>
          <w:szCs w:val="24"/>
        </w:rPr>
        <w:t xml:space="preserve">An ADI is </w:t>
      </w:r>
      <w:r w:rsidRPr="005F1AEA">
        <w:rPr>
          <w:color w:val="000000"/>
          <w:szCs w:val="24"/>
        </w:rPr>
        <w:t>a large ADI</w:t>
      </w:r>
      <w:r>
        <w:rPr>
          <w:color w:val="000000"/>
          <w:szCs w:val="24"/>
        </w:rPr>
        <w:t xml:space="preserve"> </w:t>
      </w:r>
      <w:r w:rsidR="003A22DC">
        <w:rPr>
          <w:color w:val="000000"/>
          <w:szCs w:val="24"/>
        </w:rPr>
        <w:t xml:space="preserve">at a time during a financial year, </w:t>
      </w:r>
      <w:r>
        <w:rPr>
          <w:color w:val="000000"/>
          <w:szCs w:val="24"/>
        </w:rPr>
        <w:t>if its total asset size</w:t>
      </w:r>
      <w:r w:rsidR="003A22DC">
        <w:rPr>
          <w:color w:val="000000"/>
          <w:szCs w:val="24"/>
        </w:rPr>
        <w:t xml:space="preserve"> at the start of that financial year</w:t>
      </w:r>
      <w:r>
        <w:rPr>
          <w:color w:val="000000"/>
          <w:szCs w:val="24"/>
        </w:rPr>
        <w:t xml:space="preserve"> is greater than or equal to a certain threshold</w:t>
      </w:r>
      <w:r w:rsidR="00B557F5">
        <w:rPr>
          <w:color w:val="000000"/>
          <w:szCs w:val="24"/>
        </w:rPr>
        <w:t xml:space="preserve">. </w:t>
      </w:r>
    </w:p>
    <w:p w14:paraId="0D1B36E9" w14:textId="4BADEE7F" w:rsidR="00B557F5" w:rsidRDefault="00C172A1" w:rsidP="000B10FD">
      <w:pPr>
        <w:shd w:val="clear" w:color="auto" w:fill="FFFFFF"/>
        <w:spacing w:before="240"/>
      </w:pPr>
      <w:r>
        <w:t xml:space="preserve">If the start of </w:t>
      </w:r>
      <w:r w:rsidR="009178B4">
        <w:t>an</w:t>
      </w:r>
      <w:r>
        <w:t xml:space="preserve"> </w:t>
      </w:r>
      <w:proofErr w:type="spellStart"/>
      <w:r>
        <w:t>ADI</w:t>
      </w:r>
      <w:r w:rsidR="003A22DC">
        <w:t>’</w:t>
      </w:r>
      <w:r>
        <w:t>s</w:t>
      </w:r>
      <w:proofErr w:type="spellEnd"/>
      <w:r>
        <w:t xml:space="preserve"> financial year occurs </w:t>
      </w:r>
      <w:r w:rsidR="00B557F5">
        <w:t>before 1 January 202</w:t>
      </w:r>
      <w:r w:rsidR="004734F0">
        <w:t>4</w:t>
      </w:r>
      <w:r>
        <w:t>, the</w:t>
      </w:r>
      <w:r w:rsidR="00FA235F">
        <w:t xml:space="preserve"> </w:t>
      </w:r>
      <w:r>
        <w:t xml:space="preserve">threshold </w:t>
      </w:r>
      <w:r w:rsidR="004833EB">
        <w:t xml:space="preserve">for a large ADI </w:t>
      </w:r>
      <w:r>
        <w:t>is $1</w:t>
      </w:r>
      <w:r w:rsidR="0090041A">
        <w:t>24</w:t>
      </w:r>
      <w:r>
        <w:t xml:space="preserve"> billion.</w:t>
      </w:r>
      <w:r w:rsidR="00D34CE2">
        <w:t xml:space="preserve"> </w:t>
      </w:r>
      <w:r w:rsidR="00D34CE2" w:rsidRPr="00FA235F">
        <w:rPr>
          <w:color w:val="000000"/>
          <w:szCs w:val="24"/>
        </w:rPr>
        <w:t>The reason $1</w:t>
      </w:r>
      <w:r w:rsidR="0090041A">
        <w:rPr>
          <w:color w:val="000000"/>
          <w:szCs w:val="24"/>
        </w:rPr>
        <w:t>24</w:t>
      </w:r>
      <w:r w:rsidR="00D34CE2" w:rsidRPr="00FA235F">
        <w:rPr>
          <w:color w:val="000000"/>
          <w:szCs w:val="24"/>
        </w:rPr>
        <w:t xml:space="preserve"> billion is used as </w:t>
      </w:r>
      <w:r w:rsidR="00D34CE2">
        <w:rPr>
          <w:color w:val="000000"/>
          <w:szCs w:val="24"/>
        </w:rPr>
        <w:t>the</w:t>
      </w:r>
      <w:r w:rsidR="00D34CE2" w:rsidRPr="00FA235F">
        <w:rPr>
          <w:color w:val="000000"/>
          <w:szCs w:val="24"/>
        </w:rPr>
        <w:t xml:space="preserve"> </w:t>
      </w:r>
      <w:r w:rsidR="00D34CE2">
        <w:rPr>
          <w:color w:val="000000"/>
          <w:szCs w:val="24"/>
        </w:rPr>
        <w:t>base amount</w:t>
      </w:r>
      <w:r w:rsidR="00D34CE2" w:rsidRPr="00FA235F">
        <w:rPr>
          <w:color w:val="000000"/>
          <w:szCs w:val="24"/>
        </w:rPr>
        <w:t xml:space="preserve"> in t</w:t>
      </w:r>
      <w:r w:rsidR="00D34CE2">
        <w:rPr>
          <w:color w:val="000000"/>
          <w:szCs w:val="24"/>
        </w:rPr>
        <w:t>he</w:t>
      </w:r>
      <w:r w:rsidR="00D34CE2" w:rsidRPr="00FA235F">
        <w:rPr>
          <w:color w:val="000000"/>
          <w:szCs w:val="24"/>
        </w:rPr>
        <w:t xml:space="preserve"> Determination is because under the BEAR Determination, the threshold </w:t>
      </w:r>
      <w:r w:rsidR="00D34CE2">
        <w:rPr>
          <w:color w:val="000000"/>
          <w:szCs w:val="24"/>
        </w:rPr>
        <w:t xml:space="preserve">for a large ADI </w:t>
      </w:r>
      <w:r w:rsidR="00D34CE2" w:rsidRPr="00FA235F">
        <w:rPr>
          <w:color w:val="000000"/>
          <w:szCs w:val="24"/>
        </w:rPr>
        <w:t>is $107 billion, subject to the indexation provision in that instrument</w:t>
      </w:r>
      <w:r w:rsidR="00637F23">
        <w:rPr>
          <w:color w:val="000000"/>
          <w:szCs w:val="24"/>
        </w:rPr>
        <w:t xml:space="preserve">. </w:t>
      </w:r>
      <w:r w:rsidR="00D34CE2" w:rsidRPr="00FA235F">
        <w:rPr>
          <w:color w:val="000000"/>
          <w:szCs w:val="24"/>
        </w:rPr>
        <w:t xml:space="preserve">The $107 billion </w:t>
      </w:r>
      <w:r w:rsidR="00903071">
        <w:rPr>
          <w:color w:val="000000"/>
          <w:szCs w:val="24"/>
        </w:rPr>
        <w:t xml:space="preserve">threshold </w:t>
      </w:r>
      <w:r w:rsidR="00D34CE2">
        <w:rPr>
          <w:color w:val="000000"/>
          <w:szCs w:val="24"/>
        </w:rPr>
        <w:t>was</w:t>
      </w:r>
      <w:r w:rsidR="00D34CE2" w:rsidRPr="00FA235F">
        <w:rPr>
          <w:color w:val="000000"/>
          <w:szCs w:val="24"/>
        </w:rPr>
        <w:t xml:space="preserve"> </w:t>
      </w:r>
      <w:r w:rsidR="00637F23">
        <w:rPr>
          <w:color w:val="000000"/>
          <w:szCs w:val="24"/>
        </w:rPr>
        <w:t xml:space="preserve">first </w:t>
      </w:r>
      <w:r w:rsidR="00D34CE2" w:rsidRPr="00FA235F">
        <w:rPr>
          <w:color w:val="000000"/>
          <w:szCs w:val="24"/>
        </w:rPr>
        <w:t xml:space="preserve">indexed </w:t>
      </w:r>
      <w:r w:rsidR="00D34CE2">
        <w:rPr>
          <w:color w:val="000000"/>
          <w:szCs w:val="24"/>
        </w:rPr>
        <w:t xml:space="preserve">under the BEAR Determination </w:t>
      </w:r>
      <w:r w:rsidR="00D34CE2" w:rsidRPr="00FA235F">
        <w:rPr>
          <w:color w:val="000000"/>
          <w:szCs w:val="24"/>
        </w:rPr>
        <w:t>on 1 January 2022, raising it to $111 billion</w:t>
      </w:r>
      <w:r w:rsidR="00637F23">
        <w:rPr>
          <w:color w:val="000000"/>
          <w:szCs w:val="24"/>
        </w:rPr>
        <w:t xml:space="preserve">, </w:t>
      </w:r>
      <w:r w:rsidR="006E4428">
        <w:rPr>
          <w:color w:val="000000"/>
          <w:szCs w:val="24"/>
        </w:rPr>
        <w:t>before being</w:t>
      </w:r>
      <w:r w:rsidR="00637F23">
        <w:rPr>
          <w:color w:val="000000"/>
          <w:szCs w:val="24"/>
        </w:rPr>
        <w:t xml:space="preserve"> indexed again on 1 January 2023, raising it to $124 </w:t>
      </w:r>
      <w:r w:rsidR="00D546BD">
        <w:rPr>
          <w:color w:val="000000"/>
          <w:szCs w:val="24"/>
        </w:rPr>
        <w:t>billion.</w:t>
      </w:r>
      <w:r w:rsidR="00D546BD" w:rsidRPr="00FA235F">
        <w:rPr>
          <w:color w:val="000000"/>
          <w:szCs w:val="24"/>
        </w:rPr>
        <w:t xml:space="preserve"> The</w:t>
      </w:r>
      <w:r w:rsidR="00D34CE2">
        <w:rPr>
          <w:color w:val="000000"/>
          <w:szCs w:val="24"/>
        </w:rPr>
        <w:t xml:space="preserve"> </w:t>
      </w:r>
      <w:r w:rsidR="00D34CE2" w:rsidRPr="00FA235F">
        <w:rPr>
          <w:color w:val="000000"/>
          <w:szCs w:val="24"/>
        </w:rPr>
        <w:t xml:space="preserve">Determination </w:t>
      </w:r>
      <w:r w:rsidR="00491A36">
        <w:rPr>
          <w:color w:val="000000"/>
          <w:szCs w:val="24"/>
        </w:rPr>
        <w:t>makes the latest</w:t>
      </w:r>
      <w:r w:rsidR="00491A36" w:rsidRPr="00FA235F">
        <w:rPr>
          <w:color w:val="000000"/>
          <w:szCs w:val="24"/>
        </w:rPr>
        <w:t xml:space="preserve"> </w:t>
      </w:r>
      <w:r w:rsidR="00D34CE2" w:rsidRPr="00FA235F">
        <w:rPr>
          <w:color w:val="000000"/>
          <w:szCs w:val="24"/>
        </w:rPr>
        <w:t xml:space="preserve">threshold </w:t>
      </w:r>
      <w:r w:rsidR="00491A36">
        <w:rPr>
          <w:color w:val="000000"/>
          <w:szCs w:val="24"/>
        </w:rPr>
        <w:t>of</w:t>
      </w:r>
      <w:r w:rsidR="00D34CE2" w:rsidRPr="00FA235F">
        <w:rPr>
          <w:color w:val="000000"/>
          <w:szCs w:val="24"/>
        </w:rPr>
        <w:t xml:space="preserve"> $1</w:t>
      </w:r>
      <w:r w:rsidR="00D546BD">
        <w:rPr>
          <w:color w:val="000000"/>
          <w:szCs w:val="24"/>
        </w:rPr>
        <w:t>24</w:t>
      </w:r>
      <w:r w:rsidR="00D34CE2" w:rsidRPr="00FA235F">
        <w:rPr>
          <w:color w:val="000000"/>
          <w:szCs w:val="24"/>
        </w:rPr>
        <w:t xml:space="preserve"> billion the new base</w:t>
      </w:r>
      <w:r w:rsidR="00D34CE2">
        <w:rPr>
          <w:color w:val="000000"/>
          <w:szCs w:val="24"/>
        </w:rPr>
        <w:t xml:space="preserve"> amount </w:t>
      </w:r>
      <w:r w:rsidR="00D34CE2" w:rsidRPr="00FA235F">
        <w:rPr>
          <w:color w:val="000000"/>
          <w:szCs w:val="24"/>
        </w:rPr>
        <w:t>from which indexation is calculated.</w:t>
      </w:r>
      <w:r w:rsidR="00D34CE2">
        <w:rPr>
          <w:color w:val="000000"/>
          <w:szCs w:val="24"/>
        </w:rPr>
        <w:t xml:space="preserve"> </w:t>
      </w:r>
    </w:p>
    <w:p w14:paraId="3BC965AB" w14:textId="69F0D6E0" w:rsidR="00C172A1" w:rsidRPr="00FA235F" w:rsidRDefault="00C172A1" w:rsidP="000B10FD">
      <w:pPr>
        <w:spacing w:before="240"/>
      </w:pPr>
      <w:r>
        <w:t xml:space="preserve">If the start of </w:t>
      </w:r>
      <w:r w:rsidR="009178B4">
        <w:t>an</w:t>
      </w:r>
      <w:r>
        <w:t xml:space="preserve"> </w:t>
      </w:r>
      <w:proofErr w:type="spellStart"/>
      <w:r w:rsidR="009178B4">
        <w:t>ADI</w:t>
      </w:r>
      <w:r w:rsidR="003A22DC">
        <w:t>’</w:t>
      </w:r>
      <w:r w:rsidR="009178B4">
        <w:t>s</w:t>
      </w:r>
      <w:proofErr w:type="spellEnd"/>
      <w:r w:rsidR="009178B4">
        <w:t xml:space="preserve"> </w:t>
      </w:r>
      <w:r>
        <w:t xml:space="preserve">financial year occurs on or </w:t>
      </w:r>
      <w:r w:rsidR="00FA235F">
        <w:t>after 1 January 202</w:t>
      </w:r>
      <w:r w:rsidR="00483571">
        <w:t>4</w:t>
      </w:r>
      <w:r w:rsidR="00FA235F">
        <w:t xml:space="preserve">, the threshold is </w:t>
      </w:r>
      <w:r w:rsidR="001A381D">
        <w:t xml:space="preserve">the </w:t>
      </w:r>
      <w:r w:rsidR="00374E51">
        <w:t xml:space="preserve">amount </w:t>
      </w:r>
      <w:r w:rsidR="00094469">
        <w:t xml:space="preserve">resulting from the </w:t>
      </w:r>
      <w:r w:rsidR="001A381D">
        <w:t xml:space="preserve">base amount of </w:t>
      </w:r>
      <w:r w:rsidR="00FA235F">
        <w:t>$1</w:t>
      </w:r>
      <w:r w:rsidR="00483571">
        <w:t>24</w:t>
      </w:r>
      <w:r w:rsidR="00FA235F">
        <w:t xml:space="preserve"> billion</w:t>
      </w:r>
      <w:r w:rsidR="00F220F4">
        <w:t xml:space="preserve"> being</w:t>
      </w:r>
      <w:r w:rsidR="00FA235F">
        <w:t xml:space="preserve"> indexed in accordance with section 8. </w:t>
      </w:r>
      <w:r w:rsidR="007A11EC">
        <w:t xml:space="preserve">Indexation will occur </w:t>
      </w:r>
      <w:r w:rsidR="00A21E6F">
        <w:t xml:space="preserve">on 1 January </w:t>
      </w:r>
      <w:r w:rsidR="007A11EC" w:rsidRPr="00FA235F">
        <w:t>each calendar ye</w:t>
      </w:r>
      <w:r w:rsidR="007A11EC">
        <w:t>ar, commencing 1 January 202</w:t>
      </w:r>
      <w:r w:rsidR="00483571">
        <w:t>4</w:t>
      </w:r>
      <w:r w:rsidR="007A11EC" w:rsidRPr="00FA235F">
        <w:t xml:space="preserve">. </w:t>
      </w:r>
      <w:r w:rsidR="00FA235F">
        <w:t xml:space="preserve">Section 8 </w:t>
      </w:r>
      <w:r w:rsidR="00FD302B">
        <w:t>sets out the methodology for</w:t>
      </w:r>
      <w:r w:rsidR="00633B23">
        <w:t xml:space="preserve"> </w:t>
      </w:r>
      <w:r w:rsidR="00FA235F" w:rsidRPr="00FA235F">
        <w:t xml:space="preserve">the </w:t>
      </w:r>
      <w:r w:rsidR="00506D5D">
        <w:t xml:space="preserve">indexation of the </w:t>
      </w:r>
      <w:r w:rsidR="009178B4">
        <w:t>base</w:t>
      </w:r>
      <w:r w:rsidR="00B557F5">
        <w:t xml:space="preserve"> amount of $1</w:t>
      </w:r>
      <w:r w:rsidR="00483571">
        <w:t>24</w:t>
      </w:r>
      <w:r w:rsidR="00B557F5">
        <w:t xml:space="preserve"> billion</w:t>
      </w:r>
      <w:r w:rsidR="00506D5D">
        <w:t xml:space="preserve">. </w:t>
      </w:r>
    </w:p>
    <w:p w14:paraId="4E4EDAD1" w14:textId="0460A577" w:rsidR="00572897" w:rsidRDefault="00572897" w:rsidP="000B10FD">
      <w:pPr>
        <w:shd w:val="clear" w:color="auto" w:fill="FFFFFF"/>
        <w:spacing w:before="240"/>
        <w:rPr>
          <w:color w:val="000000"/>
          <w:szCs w:val="24"/>
        </w:rPr>
      </w:pPr>
      <w:r w:rsidRPr="00572897">
        <w:rPr>
          <w:color w:val="000000"/>
          <w:szCs w:val="24"/>
        </w:rPr>
        <w:t>The size of an ADI is calculated on the first day of each financial year</w:t>
      </w:r>
      <w:r w:rsidR="00633B23">
        <w:rPr>
          <w:color w:val="000000"/>
          <w:szCs w:val="24"/>
        </w:rPr>
        <w:t xml:space="preserve"> for that ADI</w:t>
      </w:r>
      <w:r w:rsidRPr="00572897">
        <w:rPr>
          <w:color w:val="000000"/>
          <w:szCs w:val="24"/>
        </w:rPr>
        <w:t xml:space="preserve">. </w:t>
      </w:r>
      <w:r w:rsidR="00633B23">
        <w:rPr>
          <w:color w:val="000000"/>
          <w:szCs w:val="24"/>
        </w:rPr>
        <w:t xml:space="preserve">If an ADI is a large ADI, that designation </w:t>
      </w:r>
      <w:r w:rsidRPr="00572897">
        <w:rPr>
          <w:color w:val="000000"/>
          <w:szCs w:val="24"/>
        </w:rPr>
        <w:t>appl</w:t>
      </w:r>
      <w:r w:rsidR="00633B23">
        <w:rPr>
          <w:color w:val="000000"/>
          <w:szCs w:val="24"/>
        </w:rPr>
        <w:t>ies</w:t>
      </w:r>
      <w:r w:rsidRPr="00572897">
        <w:rPr>
          <w:color w:val="000000"/>
          <w:szCs w:val="24"/>
        </w:rPr>
        <w:t xml:space="preserve"> for the duration of that financial year. Due to the fact that a final report is lodged in the year following the year to which the report relates, there is a lag between the financial year that a final report covers, and the financial year to which a designation of size</w:t>
      </w:r>
      <w:r w:rsidR="00F76250" w:rsidRPr="00F76250">
        <w:rPr>
          <w:color w:val="000000"/>
          <w:szCs w:val="24"/>
        </w:rPr>
        <w:t xml:space="preserve"> </w:t>
      </w:r>
      <w:r w:rsidR="00F76250" w:rsidRPr="00572897">
        <w:rPr>
          <w:color w:val="000000"/>
          <w:szCs w:val="24"/>
        </w:rPr>
        <w:t>applies</w:t>
      </w:r>
      <w:r w:rsidRPr="00572897">
        <w:rPr>
          <w:color w:val="000000"/>
          <w:szCs w:val="24"/>
        </w:rPr>
        <w:t xml:space="preserve"> based on that final report and any previous final reports.</w:t>
      </w:r>
    </w:p>
    <w:p w14:paraId="64CB9355" w14:textId="06EF5D61" w:rsidR="00572897" w:rsidRPr="00572897" w:rsidRDefault="00572897" w:rsidP="000B10FD">
      <w:pPr>
        <w:shd w:val="clear" w:color="auto" w:fill="FFFFFF"/>
        <w:spacing w:before="240"/>
        <w:rPr>
          <w:color w:val="000000"/>
          <w:szCs w:val="24"/>
        </w:rPr>
      </w:pPr>
      <w:r w:rsidRPr="00572897">
        <w:rPr>
          <w:color w:val="000000"/>
          <w:szCs w:val="24"/>
        </w:rPr>
        <w:lastRenderedPageBreak/>
        <w:t>Some ADIs have submitted, or currently submit, reports to APRA under Reporting Standard ARS 720.0 and Reporting Standard ARS 323.0 in the same financial year.</w:t>
      </w:r>
    </w:p>
    <w:p w14:paraId="70E0232E" w14:textId="54611E13" w:rsidR="00572897" w:rsidRPr="00572897" w:rsidRDefault="00572897" w:rsidP="000B10FD">
      <w:pPr>
        <w:shd w:val="clear" w:color="auto" w:fill="FFFFFF"/>
        <w:spacing w:before="240"/>
        <w:rPr>
          <w:color w:val="000000"/>
          <w:szCs w:val="24"/>
        </w:rPr>
      </w:pPr>
      <w:r w:rsidRPr="00572897">
        <w:rPr>
          <w:color w:val="000000"/>
          <w:szCs w:val="24"/>
        </w:rPr>
        <w:t>If an ADI has submitted final reports for a financial year under both Reporting Standard ARS 720.0 and Reporting Standard ARS 323.0, the total resident assets value reported under Reporting Standard 720.0 is used. For ADIs that only report under Reporting Standard ARS 323.0, the total resident assets value reported under that Reporting Standard is used.</w:t>
      </w:r>
    </w:p>
    <w:p w14:paraId="19D26BD4" w14:textId="77777777" w:rsidR="00572897" w:rsidRPr="0055200C" w:rsidRDefault="00572897" w:rsidP="000B10FD">
      <w:pPr>
        <w:shd w:val="clear" w:color="auto" w:fill="FFFFFF"/>
        <w:spacing w:before="240"/>
        <w:rPr>
          <w:color w:val="000000"/>
          <w:szCs w:val="24"/>
        </w:rPr>
      </w:pPr>
      <w:r w:rsidRPr="00572897">
        <w:rPr>
          <w:color w:val="000000"/>
          <w:szCs w:val="24"/>
        </w:rPr>
        <w:t>The methodology takes into account the fact that an ADI can have its own financial year under the </w:t>
      </w:r>
      <w:r w:rsidRPr="00572897">
        <w:rPr>
          <w:i/>
          <w:iCs/>
          <w:color w:val="000000"/>
          <w:szCs w:val="24"/>
        </w:rPr>
        <w:t>Corporations Act 2001 </w:t>
      </w:r>
      <w:r w:rsidRPr="00572897">
        <w:rPr>
          <w:color w:val="000000"/>
          <w:szCs w:val="24"/>
        </w:rPr>
        <w:t xml:space="preserve">(section 323D), and this could differ from the standard financial year. Being able to use its own financial year minimises the regulatory burden on an ADI and ties in with its existing reporting obligations to </w:t>
      </w:r>
      <w:r w:rsidRPr="0055200C">
        <w:rPr>
          <w:color w:val="000000"/>
          <w:szCs w:val="24"/>
        </w:rPr>
        <w:t>APRA.</w:t>
      </w:r>
    </w:p>
    <w:p w14:paraId="387F5552" w14:textId="77777777" w:rsidR="00572897" w:rsidRPr="0055200C" w:rsidRDefault="00572897" w:rsidP="000B10FD">
      <w:pPr>
        <w:shd w:val="clear" w:color="auto" w:fill="FFFFFF"/>
        <w:spacing w:before="240"/>
        <w:rPr>
          <w:rFonts w:ascii="Times" w:hAnsi="Times" w:cs="Times"/>
          <w:b/>
          <w:bCs/>
          <w:color w:val="000000"/>
          <w:sz w:val="22"/>
          <w:szCs w:val="22"/>
        </w:rPr>
      </w:pPr>
      <w:r w:rsidRPr="0055200C">
        <w:rPr>
          <w:b/>
          <w:bCs/>
          <w:color w:val="000000"/>
          <w:szCs w:val="24"/>
        </w:rPr>
        <w:t>Example 1 – two-year average</w:t>
      </w:r>
    </w:p>
    <w:p w14:paraId="07F8F233" w14:textId="4E622645" w:rsidR="00572897" w:rsidRPr="0055200C" w:rsidRDefault="00572897" w:rsidP="000B10FD">
      <w:pPr>
        <w:shd w:val="clear" w:color="auto" w:fill="FFFFFF"/>
        <w:spacing w:before="240"/>
        <w:rPr>
          <w:rFonts w:ascii="Times" w:hAnsi="Times" w:cs="Times"/>
          <w:b/>
          <w:bCs/>
          <w:color w:val="000000"/>
          <w:sz w:val="22"/>
          <w:szCs w:val="22"/>
        </w:rPr>
      </w:pPr>
      <w:r w:rsidRPr="0055200C">
        <w:rPr>
          <w:color w:val="000000"/>
          <w:szCs w:val="24"/>
        </w:rPr>
        <w:t>It is currently financial year 20</w:t>
      </w:r>
      <w:r w:rsidR="001F6B5A" w:rsidRPr="0055200C">
        <w:rPr>
          <w:color w:val="000000"/>
          <w:szCs w:val="24"/>
        </w:rPr>
        <w:t>2</w:t>
      </w:r>
      <w:r w:rsidR="00E945C6">
        <w:rPr>
          <w:color w:val="000000"/>
          <w:szCs w:val="24"/>
        </w:rPr>
        <w:t>3</w:t>
      </w:r>
      <w:r w:rsidRPr="0055200C">
        <w:rPr>
          <w:color w:val="000000"/>
          <w:szCs w:val="24"/>
        </w:rPr>
        <w:t>–2</w:t>
      </w:r>
      <w:r w:rsidR="00A04DC7">
        <w:rPr>
          <w:color w:val="000000"/>
          <w:szCs w:val="24"/>
        </w:rPr>
        <w:t>4</w:t>
      </w:r>
      <w:r w:rsidRPr="0055200C">
        <w:rPr>
          <w:color w:val="000000"/>
          <w:szCs w:val="24"/>
        </w:rPr>
        <w:t xml:space="preserve"> for an ADI</w:t>
      </w:r>
      <w:r w:rsidR="00BD166E" w:rsidRPr="0055200C">
        <w:rPr>
          <w:color w:val="000000"/>
          <w:szCs w:val="24"/>
        </w:rPr>
        <w:t xml:space="preserve">. </w:t>
      </w:r>
    </w:p>
    <w:p w14:paraId="747045F9" w14:textId="177CE877" w:rsidR="00572897" w:rsidRPr="0055200C" w:rsidRDefault="00572897" w:rsidP="000B10FD">
      <w:pPr>
        <w:shd w:val="clear" w:color="auto" w:fill="FFFFFF"/>
        <w:spacing w:before="240"/>
        <w:rPr>
          <w:rFonts w:ascii="Times" w:hAnsi="Times" w:cs="Times"/>
          <w:b/>
          <w:bCs/>
          <w:color w:val="000000"/>
          <w:sz w:val="22"/>
          <w:szCs w:val="22"/>
        </w:rPr>
      </w:pPr>
      <w:r w:rsidRPr="0055200C">
        <w:rPr>
          <w:color w:val="000000"/>
          <w:szCs w:val="24"/>
        </w:rPr>
        <w:t>This ADI has submitted a final report for financial year 20</w:t>
      </w:r>
      <w:r w:rsidR="00BD166E" w:rsidRPr="0055200C">
        <w:rPr>
          <w:color w:val="000000"/>
          <w:szCs w:val="24"/>
        </w:rPr>
        <w:t>2</w:t>
      </w:r>
      <w:r w:rsidR="00A04DC7">
        <w:rPr>
          <w:color w:val="000000"/>
          <w:szCs w:val="24"/>
        </w:rPr>
        <w:t>1</w:t>
      </w:r>
      <w:r w:rsidRPr="0055200C">
        <w:rPr>
          <w:color w:val="000000"/>
          <w:szCs w:val="24"/>
        </w:rPr>
        <w:t>–</w:t>
      </w:r>
      <w:r w:rsidR="001F6B5A" w:rsidRPr="0055200C">
        <w:rPr>
          <w:color w:val="000000"/>
          <w:szCs w:val="24"/>
        </w:rPr>
        <w:t>2</w:t>
      </w:r>
      <w:r w:rsidR="00A04DC7">
        <w:rPr>
          <w:color w:val="000000"/>
          <w:szCs w:val="24"/>
        </w:rPr>
        <w:t>2</w:t>
      </w:r>
      <w:r w:rsidRPr="0055200C">
        <w:rPr>
          <w:color w:val="000000"/>
          <w:szCs w:val="24"/>
        </w:rPr>
        <w:t>, and a final report for financial year 20</w:t>
      </w:r>
      <w:r w:rsidR="00A04DC7">
        <w:rPr>
          <w:color w:val="000000"/>
          <w:szCs w:val="24"/>
        </w:rPr>
        <w:t>20</w:t>
      </w:r>
      <w:r w:rsidRPr="0055200C">
        <w:rPr>
          <w:color w:val="000000"/>
          <w:szCs w:val="24"/>
        </w:rPr>
        <w:t>–</w:t>
      </w:r>
      <w:r w:rsidR="00BD166E" w:rsidRPr="0055200C">
        <w:rPr>
          <w:color w:val="000000"/>
          <w:szCs w:val="24"/>
        </w:rPr>
        <w:t>2</w:t>
      </w:r>
      <w:r w:rsidR="00A04DC7">
        <w:rPr>
          <w:color w:val="000000"/>
          <w:szCs w:val="24"/>
        </w:rPr>
        <w:t>1</w:t>
      </w:r>
      <w:r w:rsidRPr="0055200C">
        <w:rPr>
          <w:color w:val="000000"/>
          <w:szCs w:val="24"/>
        </w:rPr>
        <w:t>.</w:t>
      </w:r>
    </w:p>
    <w:p w14:paraId="12394B2F" w14:textId="19E2D0B8" w:rsidR="00572897" w:rsidRPr="0055200C" w:rsidRDefault="00572897" w:rsidP="000B10FD">
      <w:pPr>
        <w:shd w:val="clear" w:color="auto" w:fill="FFFFFF"/>
        <w:spacing w:before="240"/>
        <w:rPr>
          <w:rFonts w:ascii="Times" w:hAnsi="Times" w:cs="Times"/>
          <w:b/>
          <w:bCs/>
          <w:color w:val="000000"/>
          <w:sz w:val="22"/>
          <w:szCs w:val="22"/>
        </w:rPr>
      </w:pPr>
      <w:r w:rsidRPr="0055200C">
        <w:rPr>
          <w:color w:val="000000"/>
          <w:szCs w:val="24"/>
        </w:rPr>
        <w:t>In the final report for financial year 20</w:t>
      </w:r>
      <w:r w:rsidR="00BD166E" w:rsidRPr="0055200C">
        <w:rPr>
          <w:color w:val="000000"/>
          <w:szCs w:val="24"/>
        </w:rPr>
        <w:t>2</w:t>
      </w:r>
      <w:r w:rsidR="00A04DC7">
        <w:rPr>
          <w:color w:val="000000"/>
          <w:szCs w:val="24"/>
        </w:rPr>
        <w:t>1</w:t>
      </w:r>
      <w:r w:rsidRPr="0055200C">
        <w:rPr>
          <w:color w:val="000000"/>
          <w:szCs w:val="24"/>
        </w:rPr>
        <w:t>–</w:t>
      </w:r>
      <w:r w:rsidR="001F6B5A" w:rsidRPr="0055200C">
        <w:rPr>
          <w:color w:val="000000"/>
          <w:szCs w:val="24"/>
        </w:rPr>
        <w:t>2</w:t>
      </w:r>
      <w:r w:rsidR="00A04DC7">
        <w:rPr>
          <w:color w:val="000000"/>
          <w:szCs w:val="24"/>
        </w:rPr>
        <w:t>2</w:t>
      </w:r>
      <w:r w:rsidRPr="0055200C">
        <w:rPr>
          <w:color w:val="000000"/>
          <w:szCs w:val="24"/>
        </w:rPr>
        <w:t>, the total resident assets value reported is $</w:t>
      </w:r>
      <w:r w:rsidR="001F6B5A" w:rsidRPr="0055200C">
        <w:rPr>
          <w:color w:val="000000"/>
          <w:szCs w:val="24"/>
        </w:rPr>
        <w:t>1</w:t>
      </w:r>
      <w:r w:rsidR="003F6467">
        <w:rPr>
          <w:color w:val="000000"/>
          <w:szCs w:val="24"/>
        </w:rPr>
        <w:t>20</w:t>
      </w:r>
      <w:r w:rsidRPr="0055200C">
        <w:rPr>
          <w:color w:val="000000"/>
          <w:szCs w:val="24"/>
        </w:rPr>
        <w:t xml:space="preserve"> billion, while in the final report for financial year 20</w:t>
      </w:r>
      <w:r w:rsidR="00C61587">
        <w:rPr>
          <w:color w:val="000000"/>
          <w:szCs w:val="24"/>
        </w:rPr>
        <w:t>20</w:t>
      </w:r>
      <w:r w:rsidRPr="0055200C">
        <w:rPr>
          <w:color w:val="000000"/>
          <w:szCs w:val="24"/>
        </w:rPr>
        <w:t>–</w:t>
      </w:r>
      <w:r w:rsidR="00BD166E" w:rsidRPr="0055200C">
        <w:rPr>
          <w:color w:val="000000"/>
          <w:szCs w:val="24"/>
        </w:rPr>
        <w:t>2</w:t>
      </w:r>
      <w:r w:rsidR="00C61587">
        <w:rPr>
          <w:color w:val="000000"/>
          <w:szCs w:val="24"/>
        </w:rPr>
        <w:t>1</w:t>
      </w:r>
      <w:r w:rsidRPr="0055200C">
        <w:rPr>
          <w:color w:val="000000"/>
          <w:szCs w:val="24"/>
        </w:rPr>
        <w:t>, the total resident assets value reported is $</w:t>
      </w:r>
      <w:r w:rsidR="001F6B5A" w:rsidRPr="0055200C">
        <w:rPr>
          <w:color w:val="000000"/>
          <w:szCs w:val="24"/>
        </w:rPr>
        <w:t>1</w:t>
      </w:r>
      <w:r w:rsidR="00C61587">
        <w:rPr>
          <w:color w:val="000000"/>
          <w:szCs w:val="24"/>
        </w:rPr>
        <w:t>3</w:t>
      </w:r>
      <w:r w:rsidR="001F6B5A" w:rsidRPr="0055200C">
        <w:rPr>
          <w:color w:val="000000"/>
          <w:szCs w:val="24"/>
        </w:rPr>
        <w:t>0</w:t>
      </w:r>
      <w:r w:rsidRPr="0055200C">
        <w:rPr>
          <w:color w:val="000000"/>
          <w:szCs w:val="24"/>
        </w:rPr>
        <w:t xml:space="preserve"> billion.</w:t>
      </w:r>
    </w:p>
    <w:p w14:paraId="3B0608F1" w14:textId="2D6DD5B9" w:rsidR="00572897" w:rsidRPr="0055200C" w:rsidRDefault="00572897" w:rsidP="000B10FD">
      <w:pPr>
        <w:shd w:val="clear" w:color="auto" w:fill="FFFFFF"/>
        <w:spacing w:before="240"/>
        <w:rPr>
          <w:rFonts w:ascii="Times" w:hAnsi="Times" w:cs="Times"/>
          <w:b/>
          <w:bCs/>
          <w:color w:val="000000"/>
          <w:sz w:val="22"/>
          <w:szCs w:val="22"/>
        </w:rPr>
      </w:pPr>
      <w:r w:rsidRPr="0055200C">
        <w:rPr>
          <w:color w:val="000000"/>
          <w:szCs w:val="24"/>
        </w:rPr>
        <w:t xml:space="preserve">This </w:t>
      </w:r>
      <w:proofErr w:type="spellStart"/>
      <w:r w:rsidRPr="0055200C">
        <w:rPr>
          <w:color w:val="000000"/>
          <w:szCs w:val="24"/>
        </w:rPr>
        <w:t>ADI</w:t>
      </w:r>
      <w:r w:rsidR="0088560A">
        <w:rPr>
          <w:color w:val="000000"/>
          <w:szCs w:val="24"/>
        </w:rPr>
        <w:t>’</w:t>
      </w:r>
      <w:r w:rsidRPr="0055200C">
        <w:rPr>
          <w:color w:val="000000"/>
          <w:szCs w:val="24"/>
        </w:rPr>
        <w:t>s</w:t>
      </w:r>
      <w:proofErr w:type="spellEnd"/>
      <w:r w:rsidRPr="0055200C">
        <w:rPr>
          <w:color w:val="000000"/>
          <w:szCs w:val="24"/>
        </w:rPr>
        <w:t xml:space="preserve"> total asset size is $</w:t>
      </w:r>
      <w:r w:rsidR="00F315F1">
        <w:rPr>
          <w:color w:val="000000"/>
          <w:szCs w:val="24"/>
        </w:rPr>
        <w:t>1</w:t>
      </w:r>
      <w:r w:rsidR="003F6467">
        <w:rPr>
          <w:color w:val="000000"/>
          <w:szCs w:val="24"/>
        </w:rPr>
        <w:t>25</w:t>
      </w:r>
      <w:r w:rsidRPr="0055200C">
        <w:rPr>
          <w:color w:val="000000"/>
          <w:szCs w:val="24"/>
        </w:rPr>
        <w:t xml:space="preserve"> billion, the average of these two amounts:</w:t>
      </w:r>
    </w:p>
    <w:p w14:paraId="7191C83C" w14:textId="4FF97FBE" w:rsidR="00572897" w:rsidRPr="0055200C" w:rsidRDefault="00BD166E" w:rsidP="000B10FD">
      <w:pPr>
        <w:shd w:val="clear" w:color="auto" w:fill="FFFFFF"/>
        <w:spacing w:before="240"/>
        <w:ind w:left="1134" w:hanging="567"/>
        <w:rPr>
          <w:rFonts w:ascii="Cambria Math" w:hAnsi="Cambria Math"/>
          <w:color w:val="000000"/>
          <w:szCs w:val="24"/>
        </w:rPr>
      </w:pPr>
      <w:r w:rsidRPr="0055200C">
        <w:rPr>
          <w:rFonts w:ascii="Cambria Math" w:hAnsi="Cambria Math"/>
          <w:color w:val="000000"/>
          <w:szCs w:val="24"/>
        </w:rPr>
        <w:t>($1</w:t>
      </w:r>
      <w:r w:rsidR="003F6467">
        <w:rPr>
          <w:rFonts w:ascii="Cambria Math" w:hAnsi="Cambria Math"/>
          <w:color w:val="000000"/>
          <w:szCs w:val="24"/>
        </w:rPr>
        <w:t>20</w:t>
      </w:r>
      <w:r w:rsidRPr="0055200C">
        <w:rPr>
          <w:rFonts w:ascii="Cambria Math" w:hAnsi="Cambria Math"/>
          <w:color w:val="000000"/>
          <w:szCs w:val="24"/>
        </w:rPr>
        <w:t xml:space="preserve"> billion + $1</w:t>
      </w:r>
      <w:r w:rsidR="00C61587">
        <w:rPr>
          <w:rFonts w:ascii="Cambria Math" w:hAnsi="Cambria Math"/>
          <w:color w:val="000000"/>
          <w:szCs w:val="24"/>
        </w:rPr>
        <w:t>3</w:t>
      </w:r>
      <w:r w:rsidRPr="0055200C">
        <w:rPr>
          <w:rFonts w:ascii="Cambria Math" w:hAnsi="Cambria Math"/>
          <w:color w:val="000000"/>
          <w:szCs w:val="24"/>
        </w:rPr>
        <w:t>0 billion)/ 2</w:t>
      </w:r>
      <w:r w:rsidR="00572897" w:rsidRPr="0055200C">
        <w:rPr>
          <w:rFonts w:ascii="Cambria Math" w:hAnsi="Cambria Math"/>
          <w:color w:val="000000"/>
          <w:szCs w:val="24"/>
        </w:rPr>
        <w:t> = $</w:t>
      </w:r>
      <w:r w:rsidRPr="0055200C">
        <w:rPr>
          <w:rFonts w:ascii="Cambria Math" w:hAnsi="Cambria Math"/>
          <w:color w:val="000000"/>
          <w:szCs w:val="24"/>
        </w:rPr>
        <w:t>1</w:t>
      </w:r>
      <w:r w:rsidR="003F6467">
        <w:rPr>
          <w:rFonts w:ascii="Cambria Math" w:hAnsi="Cambria Math"/>
          <w:color w:val="000000"/>
          <w:szCs w:val="24"/>
        </w:rPr>
        <w:t>25</w:t>
      </w:r>
      <w:r w:rsidR="00572897" w:rsidRPr="0055200C">
        <w:rPr>
          <w:rFonts w:ascii="Cambria Math" w:hAnsi="Cambria Math"/>
          <w:color w:val="000000"/>
          <w:szCs w:val="24"/>
        </w:rPr>
        <w:t xml:space="preserve"> billion</w:t>
      </w:r>
    </w:p>
    <w:p w14:paraId="00BB98F7" w14:textId="59DF12A3" w:rsidR="00572897" w:rsidRPr="0055200C" w:rsidRDefault="00572897" w:rsidP="000B10FD">
      <w:pPr>
        <w:shd w:val="clear" w:color="auto" w:fill="FFFFFF"/>
        <w:spacing w:before="240"/>
        <w:rPr>
          <w:color w:val="000000"/>
          <w:sz w:val="22"/>
          <w:szCs w:val="22"/>
        </w:rPr>
      </w:pPr>
      <w:r w:rsidRPr="0055200C">
        <w:rPr>
          <w:color w:val="000000"/>
          <w:szCs w:val="24"/>
        </w:rPr>
        <w:t xml:space="preserve">This ADI is therefore a </w:t>
      </w:r>
      <w:r w:rsidR="001F6B5A" w:rsidRPr="0055200C">
        <w:rPr>
          <w:color w:val="000000"/>
          <w:szCs w:val="24"/>
        </w:rPr>
        <w:t>large</w:t>
      </w:r>
      <w:r w:rsidRPr="0055200C">
        <w:rPr>
          <w:color w:val="000000"/>
          <w:szCs w:val="24"/>
        </w:rPr>
        <w:t xml:space="preserve"> ADI for the duration of financial year 202</w:t>
      </w:r>
      <w:r w:rsidR="00750B22">
        <w:rPr>
          <w:color w:val="000000"/>
          <w:szCs w:val="24"/>
        </w:rPr>
        <w:t>3</w:t>
      </w:r>
      <w:r w:rsidRPr="0055200C">
        <w:rPr>
          <w:color w:val="000000"/>
          <w:szCs w:val="24"/>
        </w:rPr>
        <w:t>–2</w:t>
      </w:r>
      <w:r w:rsidR="00750B22">
        <w:rPr>
          <w:color w:val="000000"/>
          <w:szCs w:val="24"/>
        </w:rPr>
        <w:t>4</w:t>
      </w:r>
      <w:r w:rsidRPr="0055200C">
        <w:rPr>
          <w:color w:val="000000"/>
          <w:szCs w:val="24"/>
        </w:rPr>
        <w:t>.</w:t>
      </w:r>
    </w:p>
    <w:p w14:paraId="37E7F640" w14:textId="6A55122A" w:rsidR="00572897" w:rsidRPr="007175F9" w:rsidRDefault="00572897" w:rsidP="000B10FD">
      <w:pPr>
        <w:shd w:val="clear" w:color="auto" w:fill="FFFFFF"/>
        <w:spacing w:before="240"/>
        <w:rPr>
          <w:color w:val="000000"/>
          <w:sz w:val="22"/>
          <w:szCs w:val="22"/>
        </w:rPr>
      </w:pPr>
      <w:r w:rsidRPr="0055200C">
        <w:rPr>
          <w:color w:val="000000"/>
          <w:szCs w:val="24"/>
        </w:rPr>
        <w:t>Once this ADI has submitted a final report for financial year 20</w:t>
      </w:r>
      <w:r w:rsidR="00BD166E" w:rsidRPr="0055200C">
        <w:rPr>
          <w:color w:val="000000"/>
          <w:szCs w:val="24"/>
        </w:rPr>
        <w:t>2</w:t>
      </w:r>
      <w:r w:rsidR="003F6467">
        <w:rPr>
          <w:color w:val="000000"/>
          <w:szCs w:val="24"/>
        </w:rPr>
        <w:t>2</w:t>
      </w:r>
      <w:r w:rsidRPr="0055200C">
        <w:rPr>
          <w:color w:val="000000"/>
          <w:szCs w:val="24"/>
        </w:rPr>
        <w:t>–2</w:t>
      </w:r>
      <w:r w:rsidR="003F6467">
        <w:rPr>
          <w:color w:val="000000"/>
          <w:szCs w:val="24"/>
        </w:rPr>
        <w:t>3</w:t>
      </w:r>
      <w:r w:rsidRPr="0055200C">
        <w:rPr>
          <w:color w:val="000000"/>
          <w:szCs w:val="24"/>
        </w:rPr>
        <w:t xml:space="preserve">, it would be </w:t>
      </w:r>
      <w:r w:rsidRPr="007175F9">
        <w:rPr>
          <w:color w:val="000000"/>
          <w:szCs w:val="24"/>
        </w:rPr>
        <w:t>able to recalculate its total asset size by taking the average of the three reported amounts for financial years 20</w:t>
      </w:r>
      <w:r w:rsidR="0055200C" w:rsidRPr="007175F9">
        <w:rPr>
          <w:color w:val="000000"/>
          <w:szCs w:val="24"/>
        </w:rPr>
        <w:t>2</w:t>
      </w:r>
      <w:r w:rsidR="003F6467">
        <w:rPr>
          <w:color w:val="000000"/>
          <w:szCs w:val="24"/>
        </w:rPr>
        <w:t>2</w:t>
      </w:r>
      <w:r w:rsidRPr="007175F9">
        <w:rPr>
          <w:color w:val="000000"/>
          <w:szCs w:val="24"/>
        </w:rPr>
        <w:t>–2</w:t>
      </w:r>
      <w:r w:rsidR="003F6467">
        <w:rPr>
          <w:color w:val="000000"/>
          <w:szCs w:val="24"/>
        </w:rPr>
        <w:t>3</w:t>
      </w:r>
      <w:r w:rsidRPr="007175F9">
        <w:rPr>
          <w:color w:val="000000"/>
          <w:szCs w:val="24"/>
        </w:rPr>
        <w:t>, 20</w:t>
      </w:r>
      <w:r w:rsidR="0055200C" w:rsidRPr="007175F9">
        <w:rPr>
          <w:color w:val="000000"/>
          <w:szCs w:val="24"/>
        </w:rPr>
        <w:t>2</w:t>
      </w:r>
      <w:r w:rsidR="003F6467">
        <w:rPr>
          <w:color w:val="000000"/>
          <w:szCs w:val="24"/>
        </w:rPr>
        <w:t>1</w:t>
      </w:r>
      <w:r w:rsidRPr="007175F9">
        <w:rPr>
          <w:color w:val="000000"/>
          <w:szCs w:val="24"/>
        </w:rPr>
        <w:t>–</w:t>
      </w:r>
      <w:r w:rsidR="0055200C" w:rsidRPr="007175F9">
        <w:rPr>
          <w:color w:val="000000"/>
          <w:szCs w:val="24"/>
        </w:rPr>
        <w:t>2</w:t>
      </w:r>
      <w:r w:rsidR="003F6467">
        <w:rPr>
          <w:color w:val="000000"/>
          <w:szCs w:val="24"/>
        </w:rPr>
        <w:t>2</w:t>
      </w:r>
      <w:r w:rsidRPr="007175F9">
        <w:rPr>
          <w:color w:val="000000"/>
          <w:szCs w:val="24"/>
        </w:rPr>
        <w:t xml:space="preserve"> and 20</w:t>
      </w:r>
      <w:r w:rsidR="003F6467">
        <w:rPr>
          <w:color w:val="000000"/>
          <w:szCs w:val="24"/>
        </w:rPr>
        <w:t>20</w:t>
      </w:r>
      <w:r w:rsidRPr="007175F9">
        <w:rPr>
          <w:color w:val="000000"/>
          <w:szCs w:val="24"/>
        </w:rPr>
        <w:t>–</w:t>
      </w:r>
      <w:r w:rsidR="0055200C" w:rsidRPr="007175F9">
        <w:rPr>
          <w:color w:val="000000"/>
          <w:szCs w:val="24"/>
        </w:rPr>
        <w:t>2</w:t>
      </w:r>
      <w:r w:rsidR="003F6467">
        <w:rPr>
          <w:color w:val="000000"/>
          <w:szCs w:val="24"/>
        </w:rPr>
        <w:t>1</w:t>
      </w:r>
      <w:r w:rsidRPr="007175F9">
        <w:rPr>
          <w:color w:val="000000"/>
          <w:szCs w:val="24"/>
        </w:rPr>
        <w:t>. This average amount will determine the size of this ADI for financial year 202</w:t>
      </w:r>
      <w:r w:rsidR="009E6707">
        <w:rPr>
          <w:color w:val="000000"/>
          <w:szCs w:val="24"/>
        </w:rPr>
        <w:t>4</w:t>
      </w:r>
      <w:r w:rsidRPr="007175F9">
        <w:rPr>
          <w:color w:val="000000"/>
          <w:szCs w:val="24"/>
        </w:rPr>
        <w:t>–2</w:t>
      </w:r>
      <w:r w:rsidR="009E6707">
        <w:rPr>
          <w:color w:val="000000"/>
          <w:szCs w:val="24"/>
        </w:rPr>
        <w:t>5</w:t>
      </w:r>
      <w:r w:rsidRPr="007175F9">
        <w:rPr>
          <w:color w:val="000000"/>
          <w:szCs w:val="24"/>
        </w:rPr>
        <w:t>.</w:t>
      </w:r>
    </w:p>
    <w:p w14:paraId="58DEC9C5" w14:textId="77777777" w:rsidR="00572897" w:rsidRPr="007175F9" w:rsidRDefault="00572897" w:rsidP="000B10FD">
      <w:pPr>
        <w:shd w:val="clear" w:color="auto" w:fill="FFFFFF"/>
        <w:spacing w:before="240"/>
        <w:rPr>
          <w:rFonts w:ascii="Times" w:hAnsi="Times" w:cs="Times"/>
          <w:b/>
          <w:bCs/>
          <w:color w:val="000000"/>
          <w:sz w:val="22"/>
          <w:szCs w:val="22"/>
        </w:rPr>
      </w:pPr>
      <w:r w:rsidRPr="007175F9">
        <w:rPr>
          <w:b/>
          <w:bCs/>
          <w:color w:val="000000"/>
          <w:szCs w:val="24"/>
        </w:rPr>
        <w:t>Example 2 – three-year average</w:t>
      </w:r>
    </w:p>
    <w:p w14:paraId="75EF6BAC" w14:textId="3FCBA749" w:rsidR="00572897" w:rsidRPr="007175F9" w:rsidRDefault="00572897" w:rsidP="000B10FD">
      <w:pPr>
        <w:shd w:val="clear" w:color="auto" w:fill="FFFFFF"/>
        <w:spacing w:before="240"/>
        <w:rPr>
          <w:rFonts w:ascii="Times" w:hAnsi="Times" w:cs="Times"/>
          <w:b/>
          <w:bCs/>
          <w:color w:val="000000"/>
          <w:sz w:val="22"/>
          <w:szCs w:val="22"/>
        </w:rPr>
      </w:pPr>
      <w:r w:rsidRPr="007175F9">
        <w:rPr>
          <w:color w:val="000000"/>
          <w:szCs w:val="24"/>
        </w:rPr>
        <w:t>It is currently financial year 202</w:t>
      </w:r>
      <w:r w:rsidR="00CB137B">
        <w:rPr>
          <w:color w:val="000000"/>
          <w:szCs w:val="24"/>
        </w:rPr>
        <w:t>3</w:t>
      </w:r>
      <w:r w:rsidRPr="007175F9">
        <w:rPr>
          <w:color w:val="000000"/>
          <w:szCs w:val="24"/>
        </w:rPr>
        <w:t>–202</w:t>
      </w:r>
      <w:r w:rsidR="00CB137B">
        <w:rPr>
          <w:color w:val="000000"/>
          <w:szCs w:val="24"/>
        </w:rPr>
        <w:t>4</w:t>
      </w:r>
      <w:r w:rsidRPr="007175F9">
        <w:rPr>
          <w:color w:val="000000"/>
          <w:szCs w:val="24"/>
        </w:rPr>
        <w:t xml:space="preserve"> for an ADI</w:t>
      </w:r>
      <w:r w:rsidR="006009C1" w:rsidRPr="007175F9">
        <w:rPr>
          <w:color w:val="000000"/>
          <w:szCs w:val="24"/>
        </w:rPr>
        <w:t>.</w:t>
      </w:r>
    </w:p>
    <w:p w14:paraId="7D028EE8" w14:textId="2262483B" w:rsidR="00572897" w:rsidRPr="007175F9" w:rsidRDefault="00572897" w:rsidP="000B10FD">
      <w:pPr>
        <w:shd w:val="clear" w:color="auto" w:fill="FFFFFF"/>
        <w:spacing w:before="240"/>
        <w:rPr>
          <w:rFonts w:ascii="Times" w:hAnsi="Times" w:cs="Times"/>
          <w:b/>
          <w:bCs/>
          <w:color w:val="000000"/>
          <w:sz w:val="22"/>
          <w:szCs w:val="22"/>
        </w:rPr>
      </w:pPr>
      <w:r w:rsidRPr="007175F9">
        <w:rPr>
          <w:color w:val="000000"/>
          <w:szCs w:val="24"/>
        </w:rPr>
        <w:t>This ADI has submitted a final report for</w:t>
      </w:r>
      <w:r w:rsidR="001E2321">
        <w:rPr>
          <w:color w:val="000000"/>
          <w:szCs w:val="24"/>
        </w:rPr>
        <w:t xml:space="preserve"> </w:t>
      </w:r>
      <w:r w:rsidRPr="007175F9">
        <w:rPr>
          <w:color w:val="000000"/>
          <w:szCs w:val="24"/>
        </w:rPr>
        <w:t>financial year 20</w:t>
      </w:r>
      <w:r w:rsidR="0055200C" w:rsidRPr="007175F9">
        <w:rPr>
          <w:color w:val="000000"/>
          <w:szCs w:val="24"/>
        </w:rPr>
        <w:t>2</w:t>
      </w:r>
      <w:r w:rsidR="00CB137B">
        <w:rPr>
          <w:color w:val="000000"/>
          <w:szCs w:val="24"/>
        </w:rPr>
        <w:t>1</w:t>
      </w:r>
      <w:r w:rsidRPr="007175F9">
        <w:rPr>
          <w:color w:val="000000"/>
          <w:szCs w:val="24"/>
        </w:rPr>
        <w:t>–</w:t>
      </w:r>
      <w:r w:rsidR="006009C1" w:rsidRPr="007175F9">
        <w:rPr>
          <w:color w:val="000000"/>
          <w:szCs w:val="24"/>
        </w:rPr>
        <w:t>2</w:t>
      </w:r>
      <w:r w:rsidR="00CB137B">
        <w:rPr>
          <w:color w:val="000000"/>
          <w:szCs w:val="24"/>
        </w:rPr>
        <w:t>2</w:t>
      </w:r>
      <w:r w:rsidRPr="007175F9">
        <w:rPr>
          <w:color w:val="000000"/>
          <w:szCs w:val="24"/>
        </w:rPr>
        <w:t>, a final report for financial year 20</w:t>
      </w:r>
      <w:r w:rsidR="00CB137B">
        <w:rPr>
          <w:color w:val="000000"/>
          <w:szCs w:val="24"/>
        </w:rPr>
        <w:t>20</w:t>
      </w:r>
      <w:r w:rsidRPr="007175F9">
        <w:rPr>
          <w:color w:val="000000"/>
          <w:szCs w:val="24"/>
        </w:rPr>
        <w:t>–</w:t>
      </w:r>
      <w:r w:rsidR="006009C1" w:rsidRPr="007175F9">
        <w:rPr>
          <w:color w:val="000000"/>
          <w:szCs w:val="24"/>
        </w:rPr>
        <w:t>2</w:t>
      </w:r>
      <w:r w:rsidR="00CB137B">
        <w:rPr>
          <w:color w:val="000000"/>
          <w:szCs w:val="24"/>
        </w:rPr>
        <w:t>1</w:t>
      </w:r>
      <w:r w:rsidRPr="007175F9">
        <w:rPr>
          <w:color w:val="000000"/>
          <w:szCs w:val="24"/>
        </w:rPr>
        <w:t xml:space="preserve"> and a final report for financial year 201</w:t>
      </w:r>
      <w:r w:rsidR="00CB137B">
        <w:rPr>
          <w:color w:val="000000"/>
          <w:szCs w:val="24"/>
        </w:rPr>
        <w:t>9</w:t>
      </w:r>
      <w:r w:rsidRPr="007175F9">
        <w:rPr>
          <w:color w:val="000000"/>
          <w:szCs w:val="24"/>
        </w:rPr>
        <w:t>–</w:t>
      </w:r>
      <w:r w:rsidR="00CB137B">
        <w:rPr>
          <w:color w:val="000000"/>
          <w:szCs w:val="24"/>
        </w:rPr>
        <w:t>20</w:t>
      </w:r>
      <w:r w:rsidRPr="007175F9">
        <w:rPr>
          <w:color w:val="000000"/>
          <w:szCs w:val="24"/>
        </w:rPr>
        <w:t>.</w:t>
      </w:r>
    </w:p>
    <w:p w14:paraId="663149FF" w14:textId="508DAED1" w:rsidR="00572897" w:rsidRPr="007175F9" w:rsidRDefault="00572897" w:rsidP="000B10FD">
      <w:pPr>
        <w:shd w:val="clear" w:color="auto" w:fill="FFFFFF"/>
        <w:spacing w:before="240"/>
        <w:rPr>
          <w:rFonts w:ascii="Times" w:hAnsi="Times" w:cs="Times"/>
          <w:b/>
          <w:bCs/>
          <w:color w:val="000000"/>
          <w:sz w:val="22"/>
          <w:szCs w:val="22"/>
        </w:rPr>
      </w:pPr>
      <w:r w:rsidRPr="007175F9">
        <w:rPr>
          <w:color w:val="000000"/>
          <w:szCs w:val="24"/>
        </w:rPr>
        <w:t>In the final report for financial year 20</w:t>
      </w:r>
      <w:r w:rsidR="006009C1" w:rsidRPr="007175F9">
        <w:rPr>
          <w:color w:val="000000"/>
          <w:szCs w:val="24"/>
        </w:rPr>
        <w:t>2</w:t>
      </w:r>
      <w:r w:rsidR="0022569D">
        <w:rPr>
          <w:color w:val="000000"/>
          <w:szCs w:val="24"/>
        </w:rPr>
        <w:t>1</w:t>
      </w:r>
      <w:r w:rsidRPr="007175F9">
        <w:rPr>
          <w:color w:val="000000"/>
          <w:szCs w:val="24"/>
        </w:rPr>
        <w:t>–</w:t>
      </w:r>
      <w:r w:rsidR="006009C1" w:rsidRPr="007175F9">
        <w:rPr>
          <w:color w:val="000000"/>
          <w:szCs w:val="24"/>
        </w:rPr>
        <w:t>2</w:t>
      </w:r>
      <w:r w:rsidR="0022569D">
        <w:rPr>
          <w:color w:val="000000"/>
          <w:szCs w:val="24"/>
        </w:rPr>
        <w:t>2</w:t>
      </w:r>
      <w:r w:rsidRPr="007175F9">
        <w:rPr>
          <w:color w:val="000000"/>
          <w:szCs w:val="24"/>
        </w:rPr>
        <w:t>, the total resident assets value reported is $</w:t>
      </w:r>
      <w:r w:rsidR="006009C1" w:rsidRPr="007175F9">
        <w:rPr>
          <w:color w:val="000000"/>
          <w:szCs w:val="24"/>
        </w:rPr>
        <w:t>1</w:t>
      </w:r>
      <w:r w:rsidR="005C3D52">
        <w:rPr>
          <w:color w:val="000000"/>
          <w:szCs w:val="24"/>
        </w:rPr>
        <w:t>25</w:t>
      </w:r>
      <w:r w:rsidRPr="007175F9">
        <w:rPr>
          <w:color w:val="000000"/>
          <w:szCs w:val="24"/>
        </w:rPr>
        <w:t xml:space="preserve"> billion, in the final report for financial year 20</w:t>
      </w:r>
      <w:r w:rsidR="0022569D">
        <w:rPr>
          <w:color w:val="000000"/>
          <w:szCs w:val="24"/>
        </w:rPr>
        <w:t>20</w:t>
      </w:r>
      <w:r w:rsidRPr="007175F9">
        <w:rPr>
          <w:color w:val="000000"/>
          <w:szCs w:val="24"/>
        </w:rPr>
        <w:t>–</w:t>
      </w:r>
      <w:r w:rsidR="006009C1" w:rsidRPr="007175F9">
        <w:rPr>
          <w:color w:val="000000"/>
          <w:szCs w:val="24"/>
        </w:rPr>
        <w:t>2</w:t>
      </w:r>
      <w:r w:rsidR="0022569D">
        <w:rPr>
          <w:color w:val="000000"/>
          <w:szCs w:val="24"/>
        </w:rPr>
        <w:t>1</w:t>
      </w:r>
      <w:r w:rsidRPr="007175F9">
        <w:rPr>
          <w:color w:val="000000"/>
          <w:szCs w:val="24"/>
        </w:rPr>
        <w:t>, the total resident assets value reported is $</w:t>
      </w:r>
      <w:r w:rsidR="006009C1" w:rsidRPr="007175F9">
        <w:rPr>
          <w:color w:val="000000"/>
          <w:szCs w:val="24"/>
        </w:rPr>
        <w:t>1</w:t>
      </w:r>
      <w:r w:rsidR="005C3D52">
        <w:rPr>
          <w:color w:val="000000"/>
          <w:szCs w:val="24"/>
        </w:rPr>
        <w:t>20</w:t>
      </w:r>
      <w:r w:rsidRPr="007175F9">
        <w:rPr>
          <w:color w:val="000000"/>
          <w:szCs w:val="24"/>
        </w:rPr>
        <w:t xml:space="preserve"> billion, and in the final report for financial year 201</w:t>
      </w:r>
      <w:r w:rsidR="005C3F72">
        <w:rPr>
          <w:color w:val="000000"/>
          <w:szCs w:val="24"/>
        </w:rPr>
        <w:t>9</w:t>
      </w:r>
      <w:r w:rsidRPr="007175F9">
        <w:rPr>
          <w:color w:val="000000"/>
          <w:szCs w:val="24"/>
        </w:rPr>
        <w:t>–</w:t>
      </w:r>
      <w:r w:rsidR="005C3F72">
        <w:rPr>
          <w:color w:val="000000"/>
          <w:szCs w:val="24"/>
        </w:rPr>
        <w:t>20</w:t>
      </w:r>
      <w:r w:rsidRPr="007175F9">
        <w:rPr>
          <w:color w:val="000000"/>
          <w:szCs w:val="24"/>
        </w:rPr>
        <w:t>, the total resident assets value reported is $</w:t>
      </w:r>
      <w:r w:rsidR="006009C1" w:rsidRPr="007175F9">
        <w:rPr>
          <w:color w:val="000000"/>
          <w:szCs w:val="24"/>
        </w:rPr>
        <w:t>1</w:t>
      </w:r>
      <w:r w:rsidR="005C3D52">
        <w:rPr>
          <w:color w:val="000000"/>
          <w:szCs w:val="24"/>
        </w:rPr>
        <w:t>4</w:t>
      </w:r>
      <w:r w:rsidR="00233D70">
        <w:rPr>
          <w:color w:val="000000"/>
          <w:szCs w:val="24"/>
        </w:rPr>
        <w:t>5</w:t>
      </w:r>
      <w:r w:rsidRPr="007175F9">
        <w:rPr>
          <w:color w:val="000000"/>
          <w:szCs w:val="24"/>
        </w:rPr>
        <w:t xml:space="preserve"> billion.</w:t>
      </w:r>
    </w:p>
    <w:p w14:paraId="0BF0B540" w14:textId="3453E1FA" w:rsidR="00572897" w:rsidRPr="00A3122E" w:rsidRDefault="00572897" w:rsidP="000B10FD">
      <w:pPr>
        <w:shd w:val="clear" w:color="auto" w:fill="FFFFFF"/>
        <w:spacing w:before="240"/>
        <w:rPr>
          <w:color w:val="000000"/>
          <w:szCs w:val="24"/>
        </w:rPr>
      </w:pPr>
      <w:r w:rsidRPr="007175F9">
        <w:rPr>
          <w:color w:val="000000"/>
          <w:szCs w:val="24"/>
        </w:rPr>
        <w:t xml:space="preserve">This </w:t>
      </w:r>
      <w:proofErr w:type="spellStart"/>
      <w:r w:rsidRPr="007175F9">
        <w:rPr>
          <w:color w:val="000000"/>
          <w:szCs w:val="24"/>
        </w:rPr>
        <w:t>ADI</w:t>
      </w:r>
      <w:r w:rsidR="0088560A">
        <w:rPr>
          <w:color w:val="000000"/>
          <w:szCs w:val="24"/>
        </w:rPr>
        <w:t>’</w:t>
      </w:r>
      <w:r w:rsidRPr="007175F9">
        <w:rPr>
          <w:color w:val="000000"/>
          <w:szCs w:val="24"/>
        </w:rPr>
        <w:t>s</w:t>
      </w:r>
      <w:proofErr w:type="spellEnd"/>
      <w:r w:rsidRPr="007175F9">
        <w:rPr>
          <w:color w:val="000000"/>
          <w:szCs w:val="24"/>
        </w:rPr>
        <w:t xml:space="preserve"> total asset size is therefore $</w:t>
      </w:r>
      <w:r w:rsidR="00F315F1">
        <w:rPr>
          <w:color w:val="000000"/>
          <w:szCs w:val="24"/>
        </w:rPr>
        <w:t>1</w:t>
      </w:r>
      <w:r w:rsidR="00233D70">
        <w:rPr>
          <w:color w:val="000000"/>
          <w:szCs w:val="24"/>
        </w:rPr>
        <w:t>30</w:t>
      </w:r>
      <w:r w:rsidRPr="007175F9">
        <w:rPr>
          <w:color w:val="000000"/>
          <w:szCs w:val="24"/>
        </w:rPr>
        <w:t xml:space="preserve"> billion, the average of these three amounts:</w:t>
      </w:r>
    </w:p>
    <w:p w14:paraId="2C660429" w14:textId="279DD369" w:rsidR="00572897" w:rsidRPr="007175F9" w:rsidRDefault="006009C1" w:rsidP="000B10FD">
      <w:pPr>
        <w:shd w:val="clear" w:color="auto" w:fill="FFFFFF"/>
        <w:spacing w:before="240"/>
        <w:ind w:left="1134" w:hanging="567"/>
        <w:rPr>
          <w:rFonts w:ascii="Cambria Math" w:hAnsi="Cambria Math"/>
          <w:color w:val="000000"/>
          <w:szCs w:val="24"/>
        </w:rPr>
      </w:pPr>
      <w:r w:rsidRPr="007175F9">
        <w:rPr>
          <w:rFonts w:ascii="Cambria Math" w:hAnsi="Cambria Math"/>
          <w:color w:val="000000"/>
          <w:szCs w:val="24"/>
        </w:rPr>
        <w:lastRenderedPageBreak/>
        <w:t>($1</w:t>
      </w:r>
      <w:r w:rsidR="005C3F72">
        <w:rPr>
          <w:rFonts w:ascii="Cambria Math" w:hAnsi="Cambria Math"/>
          <w:color w:val="000000"/>
          <w:szCs w:val="24"/>
        </w:rPr>
        <w:t>25</w:t>
      </w:r>
      <w:r w:rsidRPr="007175F9">
        <w:rPr>
          <w:rFonts w:ascii="Cambria Math" w:hAnsi="Cambria Math"/>
          <w:color w:val="000000"/>
          <w:szCs w:val="24"/>
        </w:rPr>
        <w:t xml:space="preserve"> billion + $</w:t>
      </w:r>
      <w:r w:rsidR="007175F9" w:rsidRPr="007175F9">
        <w:rPr>
          <w:rFonts w:ascii="Cambria Math" w:hAnsi="Cambria Math"/>
          <w:color w:val="000000"/>
          <w:szCs w:val="24"/>
        </w:rPr>
        <w:t>1</w:t>
      </w:r>
      <w:r w:rsidR="005C3F72">
        <w:rPr>
          <w:rFonts w:ascii="Cambria Math" w:hAnsi="Cambria Math"/>
          <w:color w:val="000000"/>
          <w:szCs w:val="24"/>
        </w:rPr>
        <w:t>20</w:t>
      </w:r>
      <w:r w:rsidR="007175F9" w:rsidRPr="007175F9">
        <w:rPr>
          <w:rFonts w:ascii="Cambria Math" w:hAnsi="Cambria Math"/>
          <w:color w:val="000000"/>
          <w:szCs w:val="24"/>
        </w:rPr>
        <w:t xml:space="preserve"> billion + $1</w:t>
      </w:r>
      <w:r w:rsidR="005C3F72">
        <w:rPr>
          <w:rFonts w:ascii="Cambria Math" w:hAnsi="Cambria Math"/>
          <w:color w:val="000000"/>
          <w:szCs w:val="24"/>
        </w:rPr>
        <w:t>4</w:t>
      </w:r>
      <w:r w:rsidR="004E7BCF">
        <w:rPr>
          <w:rFonts w:ascii="Cambria Math" w:hAnsi="Cambria Math"/>
          <w:color w:val="000000"/>
          <w:szCs w:val="24"/>
        </w:rPr>
        <w:t>5</w:t>
      </w:r>
      <w:r w:rsidR="007175F9" w:rsidRPr="007175F9">
        <w:rPr>
          <w:rFonts w:ascii="Cambria Math" w:hAnsi="Cambria Math"/>
          <w:color w:val="000000"/>
          <w:szCs w:val="24"/>
        </w:rPr>
        <w:t xml:space="preserve"> billion)/ 3</w:t>
      </w:r>
      <w:r w:rsidR="00572897" w:rsidRPr="007175F9">
        <w:rPr>
          <w:rFonts w:ascii="Cambria Math" w:hAnsi="Cambria Math"/>
          <w:color w:val="000000"/>
          <w:szCs w:val="24"/>
        </w:rPr>
        <w:t> = $</w:t>
      </w:r>
      <w:r w:rsidR="007175F9" w:rsidRPr="007175F9">
        <w:rPr>
          <w:rFonts w:ascii="Cambria Math" w:hAnsi="Cambria Math"/>
          <w:color w:val="000000"/>
          <w:szCs w:val="24"/>
        </w:rPr>
        <w:t>1</w:t>
      </w:r>
      <w:r w:rsidR="004E7BCF">
        <w:rPr>
          <w:rFonts w:ascii="Cambria Math" w:hAnsi="Cambria Math"/>
          <w:color w:val="000000"/>
          <w:szCs w:val="24"/>
        </w:rPr>
        <w:t>30</w:t>
      </w:r>
      <w:r w:rsidR="00572897" w:rsidRPr="007175F9">
        <w:rPr>
          <w:rFonts w:ascii="Cambria Math" w:hAnsi="Cambria Math"/>
          <w:color w:val="000000"/>
          <w:szCs w:val="24"/>
        </w:rPr>
        <w:t xml:space="preserve"> billion</w:t>
      </w:r>
    </w:p>
    <w:p w14:paraId="60BA5D4D" w14:textId="3E5BED1E" w:rsidR="00572897" w:rsidRPr="007175F9" w:rsidRDefault="00572897" w:rsidP="000B10FD">
      <w:pPr>
        <w:shd w:val="clear" w:color="auto" w:fill="FFFFFF"/>
        <w:spacing w:before="240"/>
        <w:rPr>
          <w:color w:val="000000"/>
          <w:sz w:val="22"/>
          <w:szCs w:val="22"/>
        </w:rPr>
      </w:pPr>
      <w:r w:rsidRPr="007175F9">
        <w:rPr>
          <w:color w:val="000000"/>
          <w:szCs w:val="24"/>
        </w:rPr>
        <w:t xml:space="preserve">This ADI is therefore a </w:t>
      </w:r>
      <w:r w:rsidR="006009C1" w:rsidRPr="007175F9">
        <w:rPr>
          <w:color w:val="000000"/>
          <w:szCs w:val="24"/>
        </w:rPr>
        <w:t xml:space="preserve">large </w:t>
      </w:r>
      <w:r w:rsidRPr="007175F9">
        <w:rPr>
          <w:color w:val="000000"/>
          <w:szCs w:val="24"/>
        </w:rPr>
        <w:t>ADI for the duration of financial year 202</w:t>
      </w:r>
      <w:r w:rsidR="00C91655">
        <w:rPr>
          <w:color w:val="000000"/>
          <w:szCs w:val="24"/>
        </w:rPr>
        <w:t>3</w:t>
      </w:r>
      <w:r w:rsidRPr="007175F9">
        <w:rPr>
          <w:color w:val="000000"/>
          <w:szCs w:val="24"/>
        </w:rPr>
        <w:t>–2</w:t>
      </w:r>
      <w:r w:rsidR="00C91655">
        <w:rPr>
          <w:color w:val="000000"/>
          <w:szCs w:val="24"/>
        </w:rPr>
        <w:t>4</w:t>
      </w:r>
      <w:r w:rsidRPr="007175F9">
        <w:rPr>
          <w:color w:val="000000"/>
          <w:szCs w:val="24"/>
        </w:rPr>
        <w:t>.</w:t>
      </w:r>
    </w:p>
    <w:p w14:paraId="689A4CF4" w14:textId="4D70F7D5" w:rsidR="00572897" w:rsidRPr="007175F9" w:rsidRDefault="00572897" w:rsidP="000B10FD">
      <w:pPr>
        <w:shd w:val="clear" w:color="auto" w:fill="FFFFFF"/>
        <w:spacing w:before="240"/>
        <w:rPr>
          <w:color w:val="000000"/>
          <w:sz w:val="22"/>
          <w:szCs w:val="22"/>
        </w:rPr>
      </w:pPr>
      <w:r w:rsidRPr="007175F9">
        <w:rPr>
          <w:color w:val="000000"/>
          <w:szCs w:val="24"/>
        </w:rPr>
        <w:t>Once this ADI has submitted a final report for financial year 20</w:t>
      </w:r>
      <w:r w:rsidR="007175F9" w:rsidRPr="007175F9">
        <w:rPr>
          <w:color w:val="000000"/>
          <w:szCs w:val="24"/>
        </w:rPr>
        <w:t>2</w:t>
      </w:r>
      <w:r w:rsidR="00C91655">
        <w:rPr>
          <w:color w:val="000000"/>
          <w:szCs w:val="24"/>
        </w:rPr>
        <w:t>2</w:t>
      </w:r>
      <w:r w:rsidRPr="007175F9">
        <w:rPr>
          <w:color w:val="000000"/>
          <w:szCs w:val="24"/>
        </w:rPr>
        <w:t>–2</w:t>
      </w:r>
      <w:r w:rsidR="00C91655">
        <w:rPr>
          <w:color w:val="000000"/>
          <w:szCs w:val="24"/>
        </w:rPr>
        <w:t>3</w:t>
      </w:r>
      <w:r w:rsidRPr="007175F9">
        <w:rPr>
          <w:color w:val="000000"/>
          <w:szCs w:val="24"/>
        </w:rPr>
        <w:t>, it would be able to recalculate its total asset size by taking the average of the three most recently reported amounts from financial years 20</w:t>
      </w:r>
      <w:r w:rsidR="007175F9" w:rsidRPr="007175F9">
        <w:rPr>
          <w:color w:val="000000"/>
          <w:szCs w:val="24"/>
        </w:rPr>
        <w:t>2</w:t>
      </w:r>
      <w:r w:rsidR="00C91655">
        <w:rPr>
          <w:color w:val="000000"/>
          <w:szCs w:val="24"/>
        </w:rPr>
        <w:t>2</w:t>
      </w:r>
      <w:r w:rsidRPr="007175F9">
        <w:rPr>
          <w:color w:val="000000"/>
          <w:szCs w:val="24"/>
        </w:rPr>
        <w:t>–2</w:t>
      </w:r>
      <w:r w:rsidR="00C91655">
        <w:rPr>
          <w:color w:val="000000"/>
          <w:szCs w:val="24"/>
        </w:rPr>
        <w:t>3</w:t>
      </w:r>
      <w:r w:rsidRPr="007175F9">
        <w:rPr>
          <w:color w:val="000000"/>
          <w:szCs w:val="24"/>
        </w:rPr>
        <w:t>, 20</w:t>
      </w:r>
      <w:r w:rsidR="007175F9" w:rsidRPr="007175F9">
        <w:rPr>
          <w:color w:val="000000"/>
          <w:szCs w:val="24"/>
        </w:rPr>
        <w:t>2</w:t>
      </w:r>
      <w:r w:rsidR="00C91655">
        <w:rPr>
          <w:color w:val="000000"/>
          <w:szCs w:val="24"/>
        </w:rPr>
        <w:t>1</w:t>
      </w:r>
      <w:r w:rsidRPr="007175F9">
        <w:rPr>
          <w:color w:val="000000"/>
          <w:szCs w:val="24"/>
        </w:rPr>
        <w:t>–</w:t>
      </w:r>
      <w:r w:rsidR="007175F9" w:rsidRPr="007175F9">
        <w:rPr>
          <w:color w:val="000000"/>
          <w:szCs w:val="24"/>
        </w:rPr>
        <w:t>2</w:t>
      </w:r>
      <w:r w:rsidR="00C91655">
        <w:rPr>
          <w:color w:val="000000"/>
          <w:szCs w:val="24"/>
        </w:rPr>
        <w:t>2</w:t>
      </w:r>
      <w:r w:rsidRPr="007175F9">
        <w:rPr>
          <w:color w:val="000000"/>
          <w:szCs w:val="24"/>
        </w:rPr>
        <w:t xml:space="preserve"> and 20</w:t>
      </w:r>
      <w:r w:rsidR="00C91655">
        <w:rPr>
          <w:color w:val="000000"/>
          <w:szCs w:val="24"/>
        </w:rPr>
        <w:t>20</w:t>
      </w:r>
      <w:r w:rsidRPr="007175F9">
        <w:rPr>
          <w:color w:val="000000"/>
          <w:szCs w:val="24"/>
        </w:rPr>
        <w:t>–</w:t>
      </w:r>
      <w:r w:rsidR="007175F9" w:rsidRPr="007175F9">
        <w:rPr>
          <w:color w:val="000000"/>
          <w:szCs w:val="24"/>
        </w:rPr>
        <w:t>2</w:t>
      </w:r>
      <w:r w:rsidR="00C91655">
        <w:rPr>
          <w:color w:val="000000"/>
          <w:szCs w:val="24"/>
        </w:rPr>
        <w:t>1</w:t>
      </w:r>
      <w:r w:rsidRPr="007175F9">
        <w:rPr>
          <w:color w:val="000000"/>
          <w:szCs w:val="24"/>
        </w:rPr>
        <w:t>. This average amount will determine the size of this ADI for financial year 202</w:t>
      </w:r>
      <w:r w:rsidR="00C91655">
        <w:rPr>
          <w:color w:val="000000"/>
          <w:szCs w:val="24"/>
        </w:rPr>
        <w:t>4</w:t>
      </w:r>
      <w:r w:rsidRPr="007175F9">
        <w:rPr>
          <w:color w:val="000000"/>
          <w:szCs w:val="24"/>
        </w:rPr>
        <w:t>–2</w:t>
      </w:r>
      <w:r w:rsidR="00C91655">
        <w:rPr>
          <w:color w:val="000000"/>
          <w:szCs w:val="24"/>
        </w:rPr>
        <w:t>5</w:t>
      </w:r>
      <w:r w:rsidRPr="007175F9">
        <w:rPr>
          <w:color w:val="000000"/>
          <w:szCs w:val="24"/>
        </w:rPr>
        <w:t>.</w:t>
      </w:r>
    </w:p>
    <w:p w14:paraId="028721C2" w14:textId="77777777" w:rsidR="00572897" w:rsidRPr="007175F9" w:rsidRDefault="00572897" w:rsidP="000B10FD">
      <w:pPr>
        <w:shd w:val="clear" w:color="auto" w:fill="FFFFFF"/>
        <w:spacing w:before="240"/>
        <w:rPr>
          <w:color w:val="000000"/>
          <w:sz w:val="22"/>
          <w:szCs w:val="22"/>
        </w:rPr>
      </w:pPr>
      <w:r w:rsidRPr="007175F9">
        <w:rPr>
          <w:b/>
          <w:bCs/>
          <w:color w:val="000000"/>
          <w:szCs w:val="24"/>
        </w:rPr>
        <w:t>Example 3 – new ADI</w:t>
      </w:r>
    </w:p>
    <w:p w14:paraId="1526BF49" w14:textId="1F0ADA58" w:rsidR="00572897" w:rsidRPr="0055200C" w:rsidRDefault="00572897" w:rsidP="000B10FD">
      <w:pPr>
        <w:shd w:val="clear" w:color="auto" w:fill="FFFFFF"/>
        <w:spacing w:before="240"/>
        <w:rPr>
          <w:color w:val="000000"/>
          <w:sz w:val="22"/>
          <w:szCs w:val="22"/>
        </w:rPr>
      </w:pPr>
      <w:r w:rsidRPr="007175F9">
        <w:rPr>
          <w:color w:val="000000"/>
          <w:szCs w:val="24"/>
        </w:rPr>
        <w:t>It is currently financial year 202</w:t>
      </w:r>
      <w:r w:rsidR="009E6707">
        <w:rPr>
          <w:color w:val="000000"/>
          <w:szCs w:val="24"/>
        </w:rPr>
        <w:t>4</w:t>
      </w:r>
      <w:r w:rsidRPr="007175F9">
        <w:rPr>
          <w:color w:val="000000"/>
          <w:szCs w:val="24"/>
        </w:rPr>
        <w:t>–202</w:t>
      </w:r>
      <w:r w:rsidR="009E6707">
        <w:rPr>
          <w:color w:val="000000"/>
          <w:szCs w:val="24"/>
        </w:rPr>
        <w:t>5</w:t>
      </w:r>
      <w:r w:rsidRPr="007175F9">
        <w:rPr>
          <w:color w:val="000000"/>
          <w:szCs w:val="24"/>
        </w:rPr>
        <w:t xml:space="preserve"> for an ADI.</w:t>
      </w:r>
    </w:p>
    <w:p w14:paraId="0A8502A8" w14:textId="53AE9F17" w:rsidR="00572897" w:rsidRPr="00572897" w:rsidRDefault="00572897" w:rsidP="000B10FD">
      <w:pPr>
        <w:shd w:val="clear" w:color="auto" w:fill="FFFFFF"/>
        <w:spacing w:before="240"/>
        <w:rPr>
          <w:color w:val="000000"/>
          <w:sz w:val="22"/>
          <w:szCs w:val="22"/>
        </w:rPr>
      </w:pPr>
      <w:r w:rsidRPr="0055200C">
        <w:rPr>
          <w:color w:val="000000"/>
          <w:szCs w:val="24"/>
        </w:rPr>
        <w:t xml:space="preserve">This ADI has not yet submitted any final reports because it is a newly formed ADI. It is </w:t>
      </w:r>
      <w:r w:rsidR="0055200C" w:rsidRPr="0055200C">
        <w:rPr>
          <w:color w:val="000000"/>
          <w:szCs w:val="24"/>
        </w:rPr>
        <w:t xml:space="preserve">not taken to be a large ADI </w:t>
      </w:r>
      <w:r w:rsidRPr="0055200C">
        <w:rPr>
          <w:color w:val="000000"/>
          <w:szCs w:val="24"/>
        </w:rPr>
        <w:t>for the duration of financial year 202</w:t>
      </w:r>
      <w:r w:rsidR="009E6707">
        <w:rPr>
          <w:color w:val="000000"/>
          <w:szCs w:val="24"/>
        </w:rPr>
        <w:t>4</w:t>
      </w:r>
      <w:r w:rsidRPr="0055200C">
        <w:rPr>
          <w:color w:val="000000"/>
          <w:szCs w:val="24"/>
        </w:rPr>
        <w:t>–202</w:t>
      </w:r>
      <w:r w:rsidR="009E6707">
        <w:rPr>
          <w:color w:val="000000"/>
          <w:szCs w:val="24"/>
        </w:rPr>
        <w:t>5</w:t>
      </w:r>
      <w:r w:rsidRPr="0055200C">
        <w:rPr>
          <w:color w:val="000000"/>
          <w:szCs w:val="24"/>
        </w:rPr>
        <w:t>.</w:t>
      </w:r>
    </w:p>
    <w:p w14:paraId="2BC394D0" w14:textId="2B4BBA67" w:rsidR="00572897" w:rsidRPr="00572897" w:rsidRDefault="00572897" w:rsidP="000B10FD">
      <w:pPr>
        <w:shd w:val="clear" w:color="auto" w:fill="FFFFFF"/>
        <w:spacing w:before="240" w:line="293" w:lineRule="atLeast"/>
        <w:outlineLvl w:val="3"/>
        <w:rPr>
          <w:color w:val="000000"/>
          <w:szCs w:val="24"/>
          <w:u w:val="single"/>
        </w:rPr>
      </w:pPr>
      <w:r w:rsidRPr="00572897">
        <w:rPr>
          <w:color w:val="000000"/>
          <w:szCs w:val="24"/>
          <w:u w:val="single"/>
        </w:rPr>
        <w:t xml:space="preserve">Section </w:t>
      </w:r>
      <w:r w:rsidR="00B06F10" w:rsidRPr="00B06F10">
        <w:rPr>
          <w:color w:val="000000"/>
          <w:szCs w:val="24"/>
          <w:u w:val="single"/>
        </w:rPr>
        <w:t>6</w:t>
      </w:r>
      <w:r w:rsidRPr="00572897">
        <w:rPr>
          <w:color w:val="000000"/>
          <w:szCs w:val="24"/>
          <w:u w:val="single"/>
        </w:rPr>
        <w:t xml:space="preserve"> – Total resident assets value</w:t>
      </w:r>
    </w:p>
    <w:p w14:paraId="0930C8BB" w14:textId="7678B04F" w:rsidR="00572897" w:rsidRPr="00572897" w:rsidRDefault="00572897" w:rsidP="000B10FD">
      <w:pPr>
        <w:shd w:val="clear" w:color="auto" w:fill="FFFFFF"/>
        <w:spacing w:before="240"/>
        <w:rPr>
          <w:color w:val="000000"/>
          <w:szCs w:val="24"/>
        </w:rPr>
      </w:pPr>
      <w:r w:rsidRPr="00572897">
        <w:rPr>
          <w:color w:val="000000"/>
          <w:szCs w:val="24"/>
        </w:rPr>
        <w:t>Th</w:t>
      </w:r>
      <w:r w:rsidR="00F4615A">
        <w:rPr>
          <w:color w:val="000000"/>
          <w:szCs w:val="24"/>
        </w:rPr>
        <w:t xml:space="preserve">is section </w:t>
      </w:r>
      <w:r w:rsidR="005F1AEA">
        <w:rPr>
          <w:color w:val="000000"/>
          <w:szCs w:val="24"/>
        </w:rPr>
        <w:t>provides</w:t>
      </w:r>
      <w:r w:rsidR="00F4615A">
        <w:rPr>
          <w:color w:val="000000"/>
          <w:szCs w:val="24"/>
        </w:rPr>
        <w:t xml:space="preserve"> the methodology for determining </w:t>
      </w:r>
      <w:r w:rsidR="00F4615A" w:rsidRPr="004C221A">
        <w:rPr>
          <w:b/>
          <w:bCs/>
          <w:i/>
          <w:iCs/>
          <w:color w:val="000000"/>
          <w:szCs w:val="24"/>
        </w:rPr>
        <w:t>total resident assets value</w:t>
      </w:r>
      <w:r w:rsidR="00F4615A" w:rsidRPr="005F1AEA">
        <w:rPr>
          <w:color w:val="000000"/>
          <w:szCs w:val="24"/>
        </w:rPr>
        <w:t>. T</w:t>
      </w:r>
      <w:r w:rsidRPr="005F1AEA">
        <w:rPr>
          <w:color w:val="000000"/>
          <w:szCs w:val="24"/>
        </w:rPr>
        <w:t>otal resident assets value is the total assets amount in a final report submitted to APRA.</w:t>
      </w:r>
    </w:p>
    <w:p w14:paraId="2F916741" w14:textId="77777777" w:rsidR="00572897" w:rsidRPr="00572897" w:rsidRDefault="00572897" w:rsidP="000B10FD">
      <w:pPr>
        <w:shd w:val="clear" w:color="auto" w:fill="FFFFFF"/>
        <w:spacing w:before="240"/>
        <w:rPr>
          <w:color w:val="000000"/>
          <w:szCs w:val="24"/>
        </w:rPr>
      </w:pPr>
      <w:r w:rsidRPr="00572897">
        <w:rPr>
          <w:color w:val="000000"/>
          <w:szCs w:val="24"/>
        </w:rPr>
        <w:t>For ADIs that are required to give information using forms under Reporting Standard ARS 720.0:</w:t>
      </w:r>
    </w:p>
    <w:p w14:paraId="783300BA" w14:textId="0B3C52D5" w:rsidR="00572897" w:rsidRPr="004C221A" w:rsidRDefault="001C5446" w:rsidP="000B10FD">
      <w:pPr>
        <w:pStyle w:val="Dotpoint"/>
        <w:spacing w:before="240"/>
      </w:pPr>
      <w:r>
        <w:t>f</w:t>
      </w:r>
      <w:r w:rsidR="00572897" w:rsidRPr="004C221A">
        <w:t>or ADIs submitting Form ARF 720.0A, the total resident assets value is worked out by taking the amount reported in Section A, item 13 Total assets including intra-group assets, and then subtracting assets due from non</w:t>
      </w:r>
      <w:r>
        <w:noBreakHyphen/>
      </w:r>
      <w:r w:rsidR="00572897" w:rsidRPr="004C221A">
        <w:t>residents (items 11.1 and 12.1)</w:t>
      </w:r>
      <w:r w:rsidR="00114B0A">
        <w:t>;</w:t>
      </w:r>
      <w:r w:rsidR="00572897" w:rsidRPr="004C221A">
        <w:t xml:space="preserve"> and</w:t>
      </w:r>
    </w:p>
    <w:p w14:paraId="57AFD0C9" w14:textId="06B57924" w:rsidR="00572897" w:rsidRPr="004C221A" w:rsidRDefault="001C5446" w:rsidP="000B10FD">
      <w:pPr>
        <w:pStyle w:val="Dotpoint"/>
        <w:spacing w:before="240"/>
      </w:pPr>
      <w:r>
        <w:t>f</w:t>
      </w:r>
      <w:r w:rsidR="00572897" w:rsidRPr="004C221A">
        <w:t>or ADIs submitting Form ARF 720.0B, the total resident assets value is the amount reported in Section A, item 13 Total assets including intra-group assets.</w:t>
      </w:r>
    </w:p>
    <w:p w14:paraId="0EE99A8C" w14:textId="1A5B9322" w:rsidR="00572897" w:rsidRPr="00572897" w:rsidRDefault="00C532C7" w:rsidP="000B10FD">
      <w:pPr>
        <w:shd w:val="clear" w:color="auto" w:fill="FFFFFF"/>
        <w:spacing w:before="240"/>
        <w:rPr>
          <w:color w:val="000000"/>
          <w:szCs w:val="24"/>
        </w:rPr>
      </w:pPr>
      <w:r w:rsidRPr="009200EF">
        <w:rPr>
          <w:color w:val="000000"/>
          <w:szCs w:val="24"/>
        </w:rPr>
        <w:t>F</w:t>
      </w:r>
      <w:r w:rsidR="00572897" w:rsidRPr="00C532C7">
        <w:rPr>
          <w:color w:val="000000"/>
          <w:szCs w:val="24"/>
        </w:rPr>
        <w:t>or ADIs that are not required to report under Reporting Standard ARS 720.0, the total resident assets value is found in item 11 in Section A: Assets in Form ARF 323.0.</w:t>
      </w:r>
    </w:p>
    <w:p w14:paraId="466DB046" w14:textId="6840A4A2" w:rsidR="00D323C0" w:rsidRPr="00572897" w:rsidRDefault="00572897" w:rsidP="000B10FD">
      <w:pPr>
        <w:shd w:val="clear" w:color="auto" w:fill="FFFFFF"/>
        <w:spacing w:before="240"/>
        <w:rPr>
          <w:color w:val="000000"/>
          <w:szCs w:val="24"/>
        </w:rPr>
      </w:pPr>
      <w:r w:rsidRPr="00572897">
        <w:rPr>
          <w:color w:val="000000"/>
          <w:szCs w:val="24"/>
        </w:rPr>
        <w:t>The following table summarises how and when each type of form should be used:</w:t>
      </w:r>
    </w:p>
    <w:tbl>
      <w:tblPr>
        <w:tblW w:w="8212" w:type="dxa"/>
        <w:shd w:val="clear" w:color="auto" w:fill="FFFFFF"/>
        <w:tblCellMar>
          <w:left w:w="0" w:type="dxa"/>
          <w:right w:w="0" w:type="dxa"/>
        </w:tblCellMar>
        <w:tblLook w:val="04A0" w:firstRow="1" w:lastRow="0" w:firstColumn="1" w:lastColumn="0" w:noHBand="0" w:noVBand="1"/>
      </w:tblPr>
      <w:tblGrid>
        <w:gridCol w:w="983"/>
        <w:gridCol w:w="7229"/>
      </w:tblGrid>
      <w:tr w:rsidR="009200EF" w:rsidRPr="00572897" w14:paraId="41414A2F" w14:textId="77777777" w:rsidTr="00D323C0">
        <w:tc>
          <w:tcPr>
            <w:tcW w:w="98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B56B7C0" w14:textId="77777777" w:rsidR="009200EF" w:rsidRPr="00572897" w:rsidRDefault="009200EF" w:rsidP="000B10FD">
            <w:pPr>
              <w:spacing w:before="240"/>
              <w:rPr>
                <w:color w:val="000000"/>
                <w:szCs w:val="24"/>
              </w:rPr>
            </w:pPr>
            <w:r w:rsidRPr="00572897">
              <w:rPr>
                <w:b/>
                <w:bCs/>
                <w:color w:val="000000"/>
                <w:szCs w:val="24"/>
              </w:rPr>
              <w:t>Form</w:t>
            </w:r>
          </w:p>
        </w:tc>
        <w:tc>
          <w:tcPr>
            <w:tcW w:w="722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8D41965" w14:textId="77777777" w:rsidR="009200EF" w:rsidRPr="00572897" w:rsidRDefault="009200EF" w:rsidP="000B10FD">
            <w:pPr>
              <w:spacing w:before="240"/>
              <w:rPr>
                <w:color w:val="000000"/>
                <w:szCs w:val="24"/>
              </w:rPr>
            </w:pPr>
            <w:r w:rsidRPr="00572897">
              <w:rPr>
                <w:b/>
                <w:bCs/>
                <w:color w:val="000000"/>
                <w:szCs w:val="24"/>
              </w:rPr>
              <w:t>Total Resident Assets Value</w:t>
            </w:r>
          </w:p>
        </w:tc>
      </w:tr>
      <w:tr w:rsidR="009200EF" w:rsidRPr="00572897" w14:paraId="43425123" w14:textId="77777777" w:rsidTr="00D323C0">
        <w:tc>
          <w:tcPr>
            <w:tcW w:w="9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2C9622C" w14:textId="77777777" w:rsidR="009200EF" w:rsidRPr="00572897" w:rsidRDefault="009200EF" w:rsidP="000B10FD">
            <w:pPr>
              <w:spacing w:before="240"/>
              <w:rPr>
                <w:color w:val="000000"/>
                <w:szCs w:val="24"/>
              </w:rPr>
            </w:pPr>
            <w:r w:rsidRPr="00572897">
              <w:rPr>
                <w:color w:val="000000"/>
                <w:szCs w:val="24"/>
              </w:rPr>
              <w:t>ARF 323.0</w:t>
            </w:r>
          </w:p>
        </w:tc>
        <w:tc>
          <w:tcPr>
            <w:tcW w:w="7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C806CE" w14:textId="2A0B7601" w:rsidR="009200EF" w:rsidRPr="00572897" w:rsidRDefault="009200EF" w:rsidP="000B10FD">
            <w:pPr>
              <w:spacing w:before="240"/>
              <w:rPr>
                <w:color w:val="000000"/>
                <w:szCs w:val="24"/>
              </w:rPr>
            </w:pPr>
            <w:r w:rsidRPr="00572897">
              <w:rPr>
                <w:color w:val="000000"/>
                <w:szCs w:val="24"/>
              </w:rPr>
              <w:t xml:space="preserve">Section A: Assets: </w:t>
            </w:r>
            <w:r>
              <w:rPr>
                <w:color w:val="000000"/>
                <w:szCs w:val="24"/>
              </w:rPr>
              <w:t>i</w:t>
            </w:r>
            <w:r w:rsidRPr="00572897">
              <w:rPr>
                <w:color w:val="000000"/>
                <w:szCs w:val="24"/>
              </w:rPr>
              <w:t>tem 11 Total assets</w:t>
            </w:r>
          </w:p>
        </w:tc>
      </w:tr>
      <w:tr w:rsidR="009200EF" w:rsidRPr="00572897" w14:paraId="199BDEDA" w14:textId="77777777" w:rsidTr="00D323C0">
        <w:tc>
          <w:tcPr>
            <w:tcW w:w="983"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622F7D3C" w14:textId="77777777" w:rsidR="009200EF" w:rsidRPr="00572897" w:rsidRDefault="009200EF" w:rsidP="000B10FD">
            <w:pPr>
              <w:spacing w:before="240"/>
              <w:rPr>
                <w:color w:val="000000"/>
                <w:szCs w:val="24"/>
              </w:rPr>
            </w:pPr>
            <w:r w:rsidRPr="00572897">
              <w:rPr>
                <w:color w:val="000000"/>
                <w:szCs w:val="24"/>
              </w:rPr>
              <w:t>ARF 720.0A</w:t>
            </w:r>
          </w:p>
        </w:tc>
        <w:tc>
          <w:tcPr>
            <w:tcW w:w="7229"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14:paraId="52E4589D" w14:textId="14BAD5F7" w:rsidR="009200EF" w:rsidRPr="00572897" w:rsidRDefault="009200EF" w:rsidP="000B10FD">
            <w:pPr>
              <w:spacing w:before="240"/>
              <w:rPr>
                <w:color w:val="000000"/>
                <w:szCs w:val="24"/>
              </w:rPr>
            </w:pPr>
            <w:r w:rsidRPr="00572897">
              <w:rPr>
                <w:color w:val="000000"/>
                <w:szCs w:val="24"/>
              </w:rPr>
              <w:t xml:space="preserve">Section A: Assets: </w:t>
            </w:r>
            <w:r>
              <w:rPr>
                <w:color w:val="000000"/>
                <w:szCs w:val="24"/>
              </w:rPr>
              <w:t>i</w:t>
            </w:r>
            <w:r w:rsidRPr="00572897">
              <w:rPr>
                <w:color w:val="000000"/>
                <w:szCs w:val="24"/>
              </w:rPr>
              <w:t>tem 13 Total assets including intragroup assets, less:</w:t>
            </w:r>
          </w:p>
          <w:p w14:paraId="1D285581" w14:textId="77777777" w:rsidR="009200EF" w:rsidRPr="00572897" w:rsidRDefault="009200EF" w:rsidP="000B10FD">
            <w:pPr>
              <w:spacing w:before="240"/>
              <w:ind w:left="317" w:hanging="284"/>
              <w:rPr>
                <w:color w:val="000000"/>
                <w:szCs w:val="24"/>
              </w:rPr>
            </w:pPr>
            <w:r w:rsidRPr="00572897">
              <w:rPr>
                <w:rFonts w:ascii="Symbol" w:hAnsi="Symbol"/>
                <w:color w:val="000000"/>
                <w:szCs w:val="24"/>
              </w:rPr>
              <w:t>·</w:t>
            </w:r>
            <w:r w:rsidRPr="00572897">
              <w:rPr>
                <w:color w:val="000000"/>
                <w:sz w:val="14"/>
                <w:szCs w:val="14"/>
              </w:rPr>
              <w:t>      </w:t>
            </w:r>
            <w:r w:rsidRPr="00572897">
              <w:rPr>
                <w:color w:val="000000"/>
                <w:szCs w:val="24"/>
              </w:rPr>
              <w:t>item 11.1 Total assets excluding intra-group assets</w:t>
            </w:r>
            <w:r w:rsidRPr="00572897">
              <w:rPr>
                <w:i/>
                <w:iCs/>
                <w:color w:val="000000"/>
                <w:szCs w:val="24"/>
              </w:rPr>
              <w:t> of which: </w:t>
            </w:r>
            <w:r w:rsidRPr="00572897">
              <w:rPr>
                <w:color w:val="000000"/>
                <w:szCs w:val="24"/>
              </w:rPr>
              <w:t>Due from non-residents; and</w:t>
            </w:r>
          </w:p>
          <w:p w14:paraId="2F6500DE" w14:textId="2DB4AF63" w:rsidR="009200EF" w:rsidRPr="00572897" w:rsidRDefault="009200EF" w:rsidP="000B10FD">
            <w:pPr>
              <w:spacing w:before="240"/>
              <w:ind w:left="317" w:hanging="284"/>
              <w:rPr>
                <w:color w:val="000000"/>
                <w:szCs w:val="24"/>
              </w:rPr>
            </w:pPr>
            <w:r w:rsidRPr="00572897">
              <w:rPr>
                <w:rFonts w:ascii="Symbol" w:hAnsi="Symbol"/>
                <w:color w:val="000000"/>
                <w:szCs w:val="24"/>
              </w:rPr>
              <w:t>·</w:t>
            </w:r>
            <w:r w:rsidRPr="00572897">
              <w:rPr>
                <w:color w:val="000000"/>
                <w:sz w:val="14"/>
                <w:szCs w:val="14"/>
              </w:rPr>
              <w:t>      </w:t>
            </w:r>
            <w:r w:rsidRPr="00572897">
              <w:rPr>
                <w:color w:val="000000"/>
                <w:szCs w:val="24"/>
              </w:rPr>
              <w:t>item 12.1 Total intra-group assets </w:t>
            </w:r>
            <w:r w:rsidRPr="00572897">
              <w:rPr>
                <w:i/>
                <w:iCs/>
                <w:color w:val="000000"/>
                <w:szCs w:val="24"/>
              </w:rPr>
              <w:t>of which: </w:t>
            </w:r>
            <w:r w:rsidRPr="00572897">
              <w:rPr>
                <w:color w:val="000000"/>
                <w:szCs w:val="24"/>
              </w:rPr>
              <w:t>Due from non-residents</w:t>
            </w:r>
          </w:p>
        </w:tc>
      </w:tr>
      <w:tr w:rsidR="009200EF" w:rsidRPr="00572897" w14:paraId="4FEB323E" w14:textId="77777777" w:rsidTr="00D323C0">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BC121F9" w14:textId="77777777" w:rsidR="009200EF" w:rsidRPr="00572897" w:rsidRDefault="009200EF" w:rsidP="000B10FD">
            <w:pPr>
              <w:spacing w:before="240"/>
              <w:rPr>
                <w:color w:val="000000"/>
                <w:szCs w:val="24"/>
              </w:rPr>
            </w:pPr>
            <w:r w:rsidRPr="00572897">
              <w:rPr>
                <w:color w:val="000000"/>
                <w:szCs w:val="24"/>
              </w:rPr>
              <w:lastRenderedPageBreak/>
              <w:t>ARF 720.0B</w:t>
            </w:r>
          </w:p>
        </w:tc>
        <w:tc>
          <w:tcPr>
            <w:tcW w:w="72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B40F998" w14:textId="77777777" w:rsidR="009200EF" w:rsidRPr="00572897" w:rsidRDefault="009200EF" w:rsidP="000B10FD">
            <w:pPr>
              <w:spacing w:before="240"/>
              <w:rPr>
                <w:color w:val="000000"/>
                <w:szCs w:val="24"/>
              </w:rPr>
            </w:pPr>
            <w:r w:rsidRPr="00572897">
              <w:rPr>
                <w:color w:val="000000"/>
                <w:szCs w:val="24"/>
              </w:rPr>
              <w:t>Section A: Assets: item 13 Total assets including intragroup assets</w:t>
            </w:r>
          </w:p>
        </w:tc>
      </w:tr>
    </w:tbl>
    <w:p w14:paraId="0CF34467" w14:textId="5408A400" w:rsidR="00572897" w:rsidRPr="00572897" w:rsidRDefault="00572897" w:rsidP="000B10FD">
      <w:pPr>
        <w:shd w:val="clear" w:color="auto" w:fill="FFFFFF"/>
        <w:spacing w:before="240" w:line="293" w:lineRule="atLeast"/>
        <w:outlineLvl w:val="3"/>
        <w:rPr>
          <w:color w:val="000000"/>
          <w:szCs w:val="24"/>
          <w:u w:val="single"/>
        </w:rPr>
      </w:pPr>
      <w:r w:rsidRPr="00572897">
        <w:rPr>
          <w:color w:val="000000"/>
          <w:szCs w:val="24"/>
          <w:u w:val="single"/>
        </w:rPr>
        <w:t xml:space="preserve">Section </w:t>
      </w:r>
      <w:r w:rsidR="00B06F10">
        <w:rPr>
          <w:color w:val="000000"/>
          <w:szCs w:val="24"/>
          <w:u w:val="single"/>
        </w:rPr>
        <w:t>7</w:t>
      </w:r>
      <w:r w:rsidRPr="00572897">
        <w:rPr>
          <w:color w:val="000000"/>
          <w:szCs w:val="24"/>
          <w:u w:val="single"/>
        </w:rPr>
        <w:t xml:space="preserve"> – Reporting Standards</w:t>
      </w:r>
    </w:p>
    <w:p w14:paraId="50E876ED" w14:textId="132CCB14" w:rsidR="007175F9" w:rsidRDefault="00F4615A" w:rsidP="000B10FD">
      <w:pPr>
        <w:shd w:val="clear" w:color="auto" w:fill="FFFFFF"/>
        <w:spacing w:before="240"/>
        <w:rPr>
          <w:color w:val="000000"/>
          <w:szCs w:val="24"/>
        </w:rPr>
      </w:pPr>
      <w:r>
        <w:rPr>
          <w:color w:val="000000"/>
          <w:szCs w:val="24"/>
        </w:rPr>
        <w:t>This section</w:t>
      </w:r>
      <w:r w:rsidR="00572897" w:rsidRPr="00572897">
        <w:rPr>
          <w:color w:val="000000"/>
          <w:szCs w:val="24"/>
        </w:rPr>
        <w:t xml:space="preserve"> provides that where a provision of the Determination (sections </w:t>
      </w:r>
      <w:r w:rsidR="00B06F10" w:rsidRPr="00B06F10">
        <w:rPr>
          <w:color w:val="000000"/>
          <w:szCs w:val="24"/>
        </w:rPr>
        <w:t>4</w:t>
      </w:r>
      <w:r w:rsidR="00032CA3">
        <w:rPr>
          <w:color w:val="000000"/>
          <w:szCs w:val="24"/>
        </w:rPr>
        <w:t>, 5</w:t>
      </w:r>
      <w:r w:rsidR="00572897" w:rsidRPr="00572897">
        <w:rPr>
          <w:color w:val="000000"/>
          <w:szCs w:val="24"/>
        </w:rPr>
        <w:t xml:space="preserve"> and </w:t>
      </w:r>
      <w:r w:rsidR="00B06F10" w:rsidRPr="00B06F10">
        <w:rPr>
          <w:color w:val="000000"/>
          <w:szCs w:val="24"/>
        </w:rPr>
        <w:t>6</w:t>
      </w:r>
      <w:r w:rsidR="00572897" w:rsidRPr="00572897">
        <w:rPr>
          <w:color w:val="000000"/>
          <w:szCs w:val="24"/>
        </w:rPr>
        <w:t xml:space="preserve">) refers to a particular kind of Reporting Standard with a specific identifier in relation to an ADIs final reporting period in a financial year, that provision is known as a </w:t>
      </w:r>
      <w:r w:rsidR="00572897" w:rsidRPr="00AE0206">
        <w:rPr>
          <w:b/>
          <w:bCs/>
          <w:i/>
          <w:iCs/>
          <w:color w:val="000000"/>
          <w:szCs w:val="24"/>
        </w:rPr>
        <w:t>referring provision</w:t>
      </w:r>
      <w:r w:rsidR="00572897" w:rsidRPr="00572897">
        <w:rPr>
          <w:color w:val="000000"/>
          <w:szCs w:val="24"/>
        </w:rPr>
        <w:t xml:space="preserve">. </w:t>
      </w:r>
      <w:r w:rsidR="00AE0206">
        <w:rPr>
          <w:color w:val="000000"/>
          <w:szCs w:val="24"/>
        </w:rPr>
        <w:t xml:space="preserve">An </w:t>
      </w:r>
      <w:r w:rsidR="00AE0206" w:rsidRPr="00AE0206">
        <w:rPr>
          <w:b/>
          <w:bCs/>
          <w:i/>
          <w:iCs/>
          <w:color w:val="000000"/>
          <w:szCs w:val="24"/>
        </w:rPr>
        <w:t xml:space="preserve">identifier </w:t>
      </w:r>
      <w:r w:rsidR="00AE0206" w:rsidRPr="00AE0206">
        <w:rPr>
          <w:color w:val="000000"/>
          <w:szCs w:val="24"/>
        </w:rPr>
        <w:t>means a combination of letters and numbers (with or without punctuation marks, and whether or not followed by a title).</w:t>
      </w:r>
      <w:r w:rsidR="00AE0206">
        <w:rPr>
          <w:color w:val="000000"/>
          <w:szCs w:val="24"/>
        </w:rPr>
        <w:t xml:space="preserve"> </w:t>
      </w:r>
      <w:r w:rsidR="00572897" w:rsidRPr="00572897">
        <w:rPr>
          <w:color w:val="000000"/>
          <w:szCs w:val="24"/>
        </w:rPr>
        <w:t>The referring provision is taken to refer to the version of the Reporting Standard with that identifier that applied to that reporting period because of a determination made under section 13 of the </w:t>
      </w:r>
      <w:r w:rsidR="00572897" w:rsidRPr="00572897">
        <w:rPr>
          <w:i/>
          <w:iCs/>
          <w:color w:val="000000"/>
          <w:szCs w:val="24"/>
        </w:rPr>
        <w:t>Financial Sector (Collection of Data) Act 2001</w:t>
      </w:r>
      <w:r w:rsidR="00572897" w:rsidRPr="00572897">
        <w:rPr>
          <w:color w:val="000000"/>
          <w:szCs w:val="24"/>
        </w:rPr>
        <w:t xml:space="preserve">. </w:t>
      </w:r>
    </w:p>
    <w:p w14:paraId="6B93C8A8" w14:textId="1D293524" w:rsidR="00572897" w:rsidRPr="00572897" w:rsidRDefault="00572897" w:rsidP="000B10FD">
      <w:pPr>
        <w:shd w:val="clear" w:color="auto" w:fill="FFFFFF"/>
        <w:spacing w:before="240"/>
        <w:rPr>
          <w:color w:val="000000"/>
          <w:szCs w:val="24"/>
        </w:rPr>
      </w:pPr>
      <w:r w:rsidRPr="00572897">
        <w:rPr>
          <w:color w:val="000000"/>
          <w:szCs w:val="24"/>
        </w:rPr>
        <w:t>However, if no version of that Reporting Standard applies to the final reporting period in a financial year because it has been replaced by a different Reporting Standard (with a different identifier and included in a different determination), then a reference to the Reporting Standard that has been replaced is taken to be a reference to the new Reporting Standard. A reference to any material in the Reporting Standard that has been replaced, for example, the reporting form, is taken to be a reference to the corresponding material in the applicable version of the new Reporting Standard.</w:t>
      </w:r>
    </w:p>
    <w:p w14:paraId="1F85B970" w14:textId="362B466F" w:rsidR="00572897" w:rsidRPr="00572897" w:rsidRDefault="00572897" w:rsidP="000B10FD">
      <w:pPr>
        <w:shd w:val="clear" w:color="auto" w:fill="FFFFFF"/>
        <w:spacing w:before="240"/>
        <w:rPr>
          <w:color w:val="000000"/>
          <w:szCs w:val="24"/>
        </w:rPr>
      </w:pPr>
      <w:r w:rsidRPr="00572897">
        <w:rPr>
          <w:color w:val="000000"/>
          <w:szCs w:val="24"/>
        </w:rPr>
        <w:t>The intention of this section is to ‘future proof’ th</w:t>
      </w:r>
      <w:r w:rsidR="006A414E">
        <w:rPr>
          <w:color w:val="000000"/>
          <w:szCs w:val="24"/>
        </w:rPr>
        <w:t xml:space="preserve">e </w:t>
      </w:r>
      <w:r w:rsidRPr="00572897">
        <w:rPr>
          <w:color w:val="000000"/>
          <w:szCs w:val="24"/>
        </w:rPr>
        <w:t>Determination so that if a new Reporting Standard is determined under the </w:t>
      </w:r>
      <w:r w:rsidRPr="00572897">
        <w:rPr>
          <w:i/>
          <w:iCs/>
          <w:color w:val="000000"/>
          <w:szCs w:val="24"/>
        </w:rPr>
        <w:t>Financial Sector (Collection of Data) Act 2001</w:t>
      </w:r>
      <w:r w:rsidRPr="00572897">
        <w:rPr>
          <w:color w:val="000000"/>
          <w:szCs w:val="24"/>
        </w:rPr>
        <w:t>, and ADIs are required to report in accordance with that new Reporting Standard, the referring provisions in th</w:t>
      </w:r>
      <w:r w:rsidR="006A414E">
        <w:rPr>
          <w:color w:val="000000"/>
          <w:szCs w:val="24"/>
        </w:rPr>
        <w:t>e</w:t>
      </w:r>
      <w:r w:rsidRPr="00572897">
        <w:rPr>
          <w:color w:val="000000"/>
          <w:szCs w:val="24"/>
        </w:rPr>
        <w:t xml:space="preserve"> Determination operate to refer to the new Reporting Standard.</w:t>
      </w:r>
      <w:r w:rsidR="00285E18">
        <w:rPr>
          <w:color w:val="000000"/>
          <w:szCs w:val="24"/>
        </w:rPr>
        <w:t xml:space="preserve"> This </w:t>
      </w:r>
      <w:r w:rsidR="00230F52">
        <w:rPr>
          <w:color w:val="000000"/>
          <w:szCs w:val="24"/>
        </w:rPr>
        <w:t xml:space="preserve">section is intended to </w:t>
      </w:r>
      <w:r w:rsidR="00285E18">
        <w:rPr>
          <w:color w:val="000000"/>
          <w:szCs w:val="24"/>
        </w:rPr>
        <w:t>appl</w:t>
      </w:r>
      <w:r w:rsidR="00230F52">
        <w:rPr>
          <w:color w:val="000000"/>
          <w:szCs w:val="24"/>
        </w:rPr>
        <w:t>y</w:t>
      </w:r>
      <w:r w:rsidR="00285E18">
        <w:rPr>
          <w:color w:val="000000"/>
          <w:szCs w:val="24"/>
        </w:rPr>
        <w:t xml:space="preserve"> despite ARS 323.0 and ARS 720.0 being defined to mean the reporting standard set out in </w:t>
      </w:r>
      <w:r w:rsidR="00230F52">
        <w:rPr>
          <w:color w:val="000000"/>
          <w:szCs w:val="24"/>
        </w:rPr>
        <w:t xml:space="preserve">a </w:t>
      </w:r>
      <w:r w:rsidR="00285E18">
        <w:rPr>
          <w:color w:val="000000"/>
          <w:szCs w:val="24"/>
        </w:rPr>
        <w:t xml:space="preserve">specific determination under section 4. </w:t>
      </w:r>
    </w:p>
    <w:p w14:paraId="6827C072" w14:textId="256F19C3" w:rsidR="00572897" w:rsidRPr="00572897" w:rsidRDefault="00572897" w:rsidP="000B10FD">
      <w:pPr>
        <w:shd w:val="clear" w:color="auto" w:fill="FFFFFF"/>
        <w:spacing w:before="240" w:line="293" w:lineRule="atLeast"/>
        <w:outlineLvl w:val="3"/>
        <w:rPr>
          <w:color w:val="000000"/>
          <w:szCs w:val="24"/>
          <w:u w:val="single"/>
        </w:rPr>
      </w:pPr>
      <w:r w:rsidRPr="00572897">
        <w:rPr>
          <w:color w:val="000000"/>
          <w:szCs w:val="24"/>
          <w:u w:val="single"/>
        </w:rPr>
        <w:t xml:space="preserve">Section </w:t>
      </w:r>
      <w:r w:rsidR="00B06F10">
        <w:rPr>
          <w:color w:val="000000"/>
          <w:szCs w:val="24"/>
          <w:u w:val="single"/>
        </w:rPr>
        <w:t>8</w:t>
      </w:r>
      <w:r w:rsidRPr="00572897">
        <w:rPr>
          <w:color w:val="000000"/>
          <w:szCs w:val="24"/>
          <w:u w:val="single"/>
        </w:rPr>
        <w:t xml:space="preserve"> – Indexation of </w:t>
      </w:r>
      <w:r w:rsidR="00056094">
        <w:rPr>
          <w:color w:val="000000"/>
          <w:szCs w:val="24"/>
          <w:u w:val="single"/>
        </w:rPr>
        <w:t xml:space="preserve">large ADI </w:t>
      </w:r>
      <w:r w:rsidRPr="00572897">
        <w:rPr>
          <w:color w:val="000000"/>
          <w:szCs w:val="24"/>
          <w:u w:val="single"/>
        </w:rPr>
        <w:t>threshold</w:t>
      </w:r>
    </w:p>
    <w:p w14:paraId="580ECF8C" w14:textId="07D3B636" w:rsidR="00572897" w:rsidRPr="007175F9" w:rsidRDefault="007175F9" w:rsidP="000B10FD">
      <w:pPr>
        <w:shd w:val="clear" w:color="auto" w:fill="FFFFFF"/>
        <w:spacing w:before="240"/>
        <w:rPr>
          <w:color w:val="000000"/>
          <w:szCs w:val="24"/>
        </w:rPr>
      </w:pPr>
      <w:r w:rsidRPr="007175F9">
        <w:rPr>
          <w:color w:val="000000"/>
          <w:szCs w:val="24"/>
        </w:rPr>
        <w:t>This section</w:t>
      </w:r>
      <w:r w:rsidR="00572897" w:rsidRPr="007175F9">
        <w:rPr>
          <w:color w:val="000000"/>
          <w:szCs w:val="24"/>
        </w:rPr>
        <w:t xml:space="preserve"> provides for</w:t>
      </w:r>
      <w:r w:rsidR="00681DD9">
        <w:rPr>
          <w:color w:val="000000"/>
          <w:szCs w:val="24"/>
        </w:rPr>
        <w:t xml:space="preserve"> the</w:t>
      </w:r>
      <w:r w:rsidR="00572897" w:rsidRPr="007175F9">
        <w:rPr>
          <w:color w:val="000000"/>
          <w:szCs w:val="24"/>
        </w:rPr>
        <w:t xml:space="preserve"> indexation </w:t>
      </w:r>
      <w:r w:rsidRPr="007175F9">
        <w:rPr>
          <w:color w:val="000000"/>
          <w:szCs w:val="24"/>
        </w:rPr>
        <w:t xml:space="preserve">of the </w:t>
      </w:r>
      <w:r w:rsidR="008C20F2">
        <w:rPr>
          <w:color w:val="000000"/>
          <w:szCs w:val="24"/>
        </w:rPr>
        <w:t xml:space="preserve">threshold </w:t>
      </w:r>
      <w:r w:rsidR="006F0360">
        <w:rPr>
          <w:color w:val="000000"/>
          <w:szCs w:val="24"/>
        </w:rPr>
        <w:t xml:space="preserve">for a </w:t>
      </w:r>
      <w:r w:rsidR="00A22794">
        <w:rPr>
          <w:color w:val="000000"/>
          <w:szCs w:val="24"/>
        </w:rPr>
        <w:t xml:space="preserve">large ADI. The </w:t>
      </w:r>
      <w:r w:rsidRPr="00A21E6F">
        <w:rPr>
          <w:color w:val="000000"/>
          <w:szCs w:val="24"/>
        </w:rPr>
        <w:t>base</w:t>
      </w:r>
      <w:r w:rsidR="00C15444" w:rsidRPr="00A21E6F">
        <w:rPr>
          <w:color w:val="000000"/>
          <w:szCs w:val="24"/>
        </w:rPr>
        <w:t xml:space="preserve"> </w:t>
      </w:r>
      <w:r w:rsidR="008C20F2">
        <w:rPr>
          <w:color w:val="000000"/>
          <w:szCs w:val="24"/>
        </w:rPr>
        <w:t xml:space="preserve">threshold </w:t>
      </w:r>
      <w:r w:rsidRPr="007175F9">
        <w:rPr>
          <w:color w:val="000000"/>
          <w:szCs w:val="24"/>
        </w:rPr>
        <w:t>of $1</w:t>
      </w:r>
      <w:r w:rsidR="008853B1">
        <w:rPr>
          <w:color w:val="000000"/>
          <w:szCs w:val="24"/>
        </w:rPr>
        <w:t>24</w:t>
      </w:r>
      <w:r w:rsidRPr="007175F9">
        <w:rPr>
          <w:color w:val="000000"/>
          <w:szCs w:val="24"/>
        </w:rPr>
        <w:t xml:space="preserve"> billion</w:t>
      </w:r>
      <w:r w:rsidR="00A22794">
        <w:rPr>
          <w:color w:val="000000"/>
          <w:szCs w:val="24"/>
        </w:rPr>
        <w:t xml:space="preserve"> </w:t>
      </w:r>
      <w:r w:rsidR="00A21E6F">
        <w:rPr>
          <w:color w:val="000000"/>
          <w:szCs w:val="24"/>
        </w:rPr>
        <w:t xml:space="preserve">in subsection 5(2) </w:t>
      </w:r>
      <w:r w:rsidR="00A22794">
        <w:rPr>
          <w:color w:val="000000"/>
          <w:szCs w:val="24"/>
        </w:rPr>
        <w:t xml:space="preserve">is indexed </w:t>
      </w:r>
      <w:r w:rsidR="00A21E6F">
        <w:rPr>
          <w:color w:val="000000"/>
          <w:szCs w:val="24"/>
        </w:rPr>
        <w:t>on 1 January each calendar year</w:t>
      </w:r>
      <w:r w:rsidR="004D07BF">
        <w:rPr>
          <w:color w:val="000000"/>
          <w:szCs w:val="24"/>
        </w:rPr>
        <w:t>,</w:t>
      </w:r>
      <w:r w:rsidR="00C24680">
        <w:rPr>
          <w:color w:val="000000"/>
          <w:szCs w:val="24"/>
        </w:rPr>
        <w:t xml:space="preserve"> </w:t>
      </w:r>
      <w:r w:rsidR="006B7BB6">
        <w:rPr>
          <w:color w:val="000000"/>
          <w:szCs w:val="24"/>
        </w:rPr>
        <w:t xml:space="preserve">commencing on </w:t>
      </w:r>
      <w:r w:rsidR="00572897" w:rsidRPr="007175F9">
        <w:rPr>
          <w:color w:val="000000"/>
          <w:szCs w:val="24"/>
        </w:rPr>
        <w:t>1 January 202</w:t>
      </w:r>
      <w:r w:rsidR="008853B1">
        <w:rPr>
          <w:color w:val="000000"/>
          <w:szCs w:val="24"/>
        </w:rPr>
        <w:t>4</w:t>
      </w:r>
      <w:r w:rsidR="006B7BB6">
        <w:rPr>
          <w:color w:val="000000"/>
          <w:szCs w:val="24"/>
        </w:rPr>
        <w:t>.</w:t>
      </w:r>
      <w:r w:rsidR="00A3255D">
        <w:rPr>
          <w:color w:val="000000"/>
          <w:szCs w:val="24"/>
        </w:rPr>
        <w:t xml:space="preserve"> </w:t>
      </w:r>
    </w:p>
    <w:p w14:paraId="4B3D0A8C" w14:textId="6001F588" w:rsidR="00572897" w:rsidRPr="007175F9" w:rsidRDefault="00094B02" w:rsidP="000B10FD">
      <w:pPr>
        <w:shd w:val="clear" w:color="auto" w:fill="FFFFFF"/>
        <w:spacing w:before="240"/>
        <w:rPr>
          <w:color w:val="000000"/>
          <w:szCs w:val="24"/>
        </w:rPr>
      </w:pPr>
      <w:r>
        <w:rPr>
          <w:color w:val="000000"/>
          <w:szCs w:val="24"/>
        </w:rPr>
        <w:t>I</w:t>
      </w:r>
      <w:r w:rsidR="00572897" w:rsidRPr="007175F9">
        <w:rPr>
          <w:color w:val="000000"/>
          <w:szCs w:val="24"/>
        </w:rPr>
        <w:t>ndex</w:t>
      </w:r>
      <w:r>
        <w:rPr>
          <w:color w:val="000000"/>
          <w:szCs w:val="24"/>
        </w:rPr>
        <w:t>ation is calculated</w:t>
      </w:r>
      <w:r w:rsidR="00572897" w:rsidRPr="007175F9">
        <w:rPr>
          <w:color w:val="000000"/>
          <w:szCs w:val="24"/>
        </w:rPr>
        <w:t xml:space="preserve"> by multiplying the </w:t>
      </w:r>
      <w:r w:rsidR="006B7BB6">
        <w:rPr>
          <w:color w:val="000000"/>
          <w:szCs w:val="24"/>
        </w:rPr>
        <w:t xml:space="preserve">base </w:t>
      </w:r>
      <w:r w:rsidR="00572897" w:rsidRPr="007175F9">
        <w:rPr>
          <w:color w:val="000000"/>
          <w:szCs w:val="24"/>
        </w:rPr>
        <w:t xml:space="preserve">amount </w:t>
      </w:r>
      <w:r>
        <w:rPr>
          <w:color w:val="000000"/>
          <w:szCs w:val="24"/>
        </w:rPr>
        <w:t>of $1</w:t>
      </w:r>
      <w:r w:rsidR="008853B1">
        <w:rPr>
          <w:color w:val="000000"/>
          <w:szCs w:val="24"/>
        </w:rPr>
        <w:t>24</w:t>
      </w:r>
      <w:r>
        <w:rPr>
          <w:color w:val="000000"/>
          <w:szCs w:val="24"/>
        </w:rPr>
        <w:t xml:space="preserve"> billion </w:t>
      </w:r>
      <w:r w:rsidR="00572897" w:rsidRPr="007175F9">
        <w:rPr>
          <w:color w:val="000000"/>
          <w:szCs w:val="24"/>
        </w:rPr>
        <w:t xml:space="preserve">by an </w:t>
      </w:r>
      <w:r w:rsidR="00572897" w:rsidRPr="00A21E6F">
        <w:rPr>
          <w:color w:val="000000"/>
          <w:szCs w:val="24"/>
        </w:rPr>
        <w:t>indexation factor</w:t>
      </w:r>
      <w:r w:rsidR="00572897" w:rsidRPr="007175F9">
        <w:rPr>
          <w:color w:val="000000"/>
          <w:szCs w:val="24"/>
        </w:rPr>
        <w:t xml:space="preserve"> and rounding the result down to the nearest multiple of $1 billion.</w:t>
      </w:r>
    </w:p>
    <w:p w14:paraId="7FCA6AC8" w14:textId="3AFA3CE2" w:rsidR="00572897" w:rsidRPr="00572897" w:rsidRDefault="00572897" w:rsidP="000B10FD">
      <w:pPr>
        <w:shd w:val="clear" w:color="auto" w:fill="FFFFFF"/>
        <w:spacing w:before="240"/>
        <w:rPr>
          <w:color w:val="000000"/>
          <w:szCs w:val="24"/>
        </w:rPr>
      </w:pPr>
      <w:r w:rsidRPr="007175F9">
        <w:rPr>
          <w:color w:val="000000"/>
          <w:szCs w:val="24"/>
        </w:rPr>
        <w:t>The indexation factor is a fraction calculated by dividing the relevant GDP</w:t>
      </w:r>
      <w:r w:rsidRPr="00572897">
        <w:rPr>
          <w:color w:val="000000"/>
          <w:szCs w:val="24"/>
        </w:rPr>
        <w:t xml:space="preserve"> number by the base GDP number.</w:t>
      </w:r>
      <w:r w:rsidR="00106DE1" w:rsidRPr="00106DE1">
        <w:rPr>
          <w:color w:val="000000"/>
          <w:szCs w:val="24"/>
        </w:rPr>
        <w:t xml:space="preserve"> </w:t>
      </w:r>
      <w:r w:rsidR="00106DE1">
        <w:rPr>
          <w:color w:val="000000"/>
          <w:szCs w:val="24"/>
        </w:rPr>
        <w:t>It is</w:t>
      </w:r>
      <w:r w:rsidR="00106DE1" w:rsidRPr="00106DE1">
        <w:rPr>
          <w:color w:val="000000"/>
          <w:szCs w:val="24"/>
        </w:rPr>
        <w:t xml:space="preserve"> to be calculated to 3 decimal places (rounding up if the fourth decimal place is 5 or more).</w:t>
      </w:r>
    </w:p>
    <w:p w14:paraId="136F7744" w14:textId="02FBF292" w:rsidR="00572897" w:rsidRPr="00572897" w:rsidRDefault="00572897" w:rsidP="000B10FD">
      <w:pPr>
        <w:shd w:val="clear" w:color="auto" w:fill="FFFFFF"/>
        <w:spacing w:before="240"/>
        <w:rPr>
          <w:color w:val="000000"/>
          <w:szCs w:val="24"/>
        </w:rPr>
      </w:pPr>
      <w:r w:rsidRPr="00572897">
        <w:rPr>
          <w:color w:val="000000"/>
          <w:szCs w:val="24"/>
        </w:rPr>
        <w:t xml:space="preserve">The </w:t>
      </w:r>
      <w:r w:rsidRPr="006157CE">
        <w:rPr>
          <w:b/>
          <w:bCs/>
          <w:i/>
          <w:iCs/>
          <w:color w:val="000000"/>
          <w:szCs w:val="24"/>
        </w:rPr>
        <w:t>relevant GDP number</w:t>
      </w:r>
      <w:r w:rsidRPr="00572897">
        <w:rPr>
          <w:color w:val="000000"/>
          <w:szCs w:val="24"/>
        </w:rPr>
        <w:t xml:space="preserve"> is the first-published annual estimate of the Gross Domestic Product: Current Prices-Original series for the financial year that ends before the 1 January on which indexation occurs. This can be found in the Australian Bureau of Statistics’ 5204.0 series at</w:t>
      </w:r>
      <w:r w:rsidR="00B06F10">
        <w:rPr>
          <w:color w:val="000000"/>
          <w:szCs w:val="24"/>
        </w:rPr>
        <w:t xml:space="preserve"> </w:t>
      </w:r>
      <w:r w:rsidRPr="00572897">
        <w:rPr>
          <w:color w:val="000000"/>
          <w:szCs w:val="24"/>
        </w:rPr>
        <w:t>https://www.abs.gov.au/ausstats/abs@.nsf/mf/5204.0. For example, if indexation occurs on 1 January 202</w:t>
      </w:r>
      <w:r w:rsidR="00887E7A">
        <w:rPr>
          <w:color w:val="000000"/>
          <w:szCs w:val="24"/>
        </w:rPr>
        <w:t>4</w:t>
      </w:r>
      <w:r w:rsidRPr="00572897">
        <w:rPr>
          <w:color w:val="000000"/>
          <w:szCs w:val="24"/>
        </w:rPr>
        <w:t>, the relevant financial year is the one ending on 30 June 202</w:t>
      </w:r>
      <w:r w:rsidR="00887E7A">
        <w:rPr>
          <w:color w:val="000000"/>
          <w:szCs w:val="24"/>
        </w:rPr>
        <w:t>3</w:t>
      </w:r>
      <w:r w:rsidRPr="00572897">
        <w:rPr>
          <w:color w:val="000000"/>
          <w:szCs w:val="24"/>
        </w:rPr>
        <w:t>. For the purpose of this calculation, any revision of that estimate is disregarded.</w:t>
      </w:r>
    </w:p>
    <w:p w14:paraId="2F0374BA" w14:textId="16958ABB" w:rsidR="00572897" w:rsidRPr="00572897" w:rsidRDefault="00572897" w:rsidP="000B10FD">
      <w:pPr>
        <w:shd w:val="clear" w:color="auto" w:fill="FFFFFF"/>
        <w:spacing w:before="240"/>
        <w:rPr>
          <w:color w:val="000000"/>
          <w:szCs w:val="24"/>
        </w:rPr>
      </w:pPr>
      <w:r w:rsidRPr="00572897">
        <w:rPr>
          <w:color w:val="000000"/>
          <w:szCs w:val="24"/>
        </w:rPr>
        <w:lastRenderedPageBreak/>
        <w:t xml:space="preserve">The </w:t>
      </w:r>
      <w:r w:rsidRPr="006157CE">
        <w:rPr>
          <w:b/>
          <w:bCs/>
          <w:i/>
          <w:iCs/>
          <w:color w:val="000000"/>
          <w:szCs w:val="24"/>
        </w:rPr>
        <w:t>base GDP number</w:t>
      </w:r>
      <w:r w:rsidRPr="00572897">
        <w:rPr>
          <w:color w:val="000000"/>
          <w:szCs w:val="24"/>
        </w:rPr>
        <w:t xml:space="preserve"> is the annual estimate of the Gross Domestic Product: Current Prices-</w:t>
      </w:r>
      <w:r w:rsidRPr="0088560A">
        <w:rPr>
          <w:color w:val="000000"/>
          <w:szCs w:val="24"/>
        </w:rPr>
        <w:t xml:space="preserve">Original series most recently published </w:t>
      </w:r>
      <w:r w:rsidR="00F67A74" w:rsidRPr="00833F54">
        <w:rPr>
          <w:color w:val="000000"/>
          <w:szCs w:val="24"/>
        </w:rPr>
        <w:t xml:space="preserve">by the Australian Statistician </w:t>
      </w:r>
      <w:r w:rsidRPr="0009652A">
        <w:rPr>
          <w:color w:val="000000"/>
          <w:szCs w:val="24"/>
        </w:rPr>
        <w:t>for the financial year ending on 30 June 20</w:t>
      </w:r>
      <w:r w:rsidR="00F67A74" w:rsidRPr="0009652A">
        <w:rPr>
          <w:color w:val="000000"/>
          <w:szCs w:val="24"/>
        </w:rPr>
        <w:t>2</w:t>
      </w:r>
      <w:r w:rsidR="008853B1">
        <w:rPr>
          <w:color w:val="000000"/>
          <w:szCs w:val="24"/>
        </w:rPr>
        <w:t>2</w:t>
      </w:r>
      <w:r w:rsidR="00F67A74" w:rsidRPr="0009652A">
        <w:rPr>
          <w:color w:val="000000"/>
          <w:szCs w:val="24"/>
        </w:rPr>
        <w:t>.</w:t>
      </w:r>
    </w:p>
    <w:p w14:paraId="32A1E20E" w14:textId="118A28BF" w:rsidR="00572897" w:rsidRDefault="00572897" w:rsidP="000B10FD">
      <w:pPr>
        <w:shd w:val="clear" w:color="auto" w:fill="FFFFFF"/>
        <w:spacing w:before="240"/>
        <w:rPr>
          <w:color w:val="000000"/>
          <w:szCs w:val="24"/>
        </w:rPr>
      </w:pPr>
      <w:r w:rsidRPr="00572897">
        <w:rPr>
          <w:color w:val="000000"/>
          <w:szCs w:val="24"/>
        </w:rPr>
        <w:t xml:space="preserve">If the indexation factor calculated is less than 1, then the indexation factor is taken to be 1. This means that the threshold amount </w:t>
      </w:r>
      <w:r w:rsidR="00106DE1">
        <w:rPr>
          <w:color w:val="000000"/>
          <w:szCs w:val="24"/>
        </w:rPr>
        <w:t>would</w:t>
      </w:r>
      <w:r w:rsidRPr="00572897">
        <w:rPr>
          <w:color w:val="000000"/>
          <w:szCs w:val="24"/>
        </w:rPr>
        <w:t xml:space="preserve"> not change</w:t>
      </w:r>
      <w:r w:rsidR="00106DE1">
        <w:rPr>
          <w:color w:val="000000"/>
          <w:szCs w:val="24"/>
        </w:rPr>
        <w:t>.</w:t>
      </w:r>
      <w:r w:rsidR="00106DE1" w:rsidRPr="00106DE1">
        <w:t xml:space="preserve"> </w:t>
      </w:r>
    </w:p>
    <w:p w14:paraId="394FE235" w14:textId="60B98CAB" w:rsidR="000901A6" w:rsidRPr="009757E1" w:rsidRDefault="000901A6" w:rsidP="000B10FD">
      <w:pPr>
        <w:shd w:val="clear" w:color="auto" w:fill="FFFFFF"/>
        <w:spacing w:before="240" w:line="293" w:lineRule="atLeast"/>
        <w:outlineLvl w:val="3"/>
        <w:rPr>
          <w:b/>
          <w:bCs/>
          <w:color w:val="000000"/>
          <w:szCs w:val="24"/>
        </w:rPr>
      </w:pPr>
      <w:r w:rsidRPr="009757E1">
        <w:rPr>
          <w:b/>
          <w:bCs/>
          <w:color w:val="000000"/>
          <w:szCs w:val="24"/>
        </w:rPr>
        <w:t>Part 3</w:t>
      </w:r>
      <w:r w:rsidR="00237B13">
        <w:rPr>
          <w:b/>
          <w:bCs/>
          <w:color w:val="000000"/>
          <w:szCs w:val="24"/>
        </w:rPr>
        <w:t xml:space="preserve"> </w:t>
      </w:r>
      <w:r w:rsidR="009757E1" w:rsidRPr="009757E1">
        <w:rPr>
          <w:b/>
          <w:bCs/>
          <w:color w:val="000000"/>
          <w:szCs w:val="24"/>
        </w:rPr>
        <w:t>—</w:t>
      </w:r>
      <w:r w:rsidR="00237B13">
        <w:rPr>
          <w:b/>
          <w:bCs/>
          <w:color w:val="000000"/>
          <w:szCs w:val="24"/>
        </w:rPr>
        <w:t xml:space="preserve"> </w:t>
      </w:r>
      <w:r w:rsidRPr="009757E1">
        <w:rPr>
          <w:b/>
          <w:bCs/>
          <w:color w:val="000000"/>
          <w:szCs w:val="24"/>
        </w:rPr>
        <w:t>Transitional provisions</w:t>
      </w:r>
    </w:p>
    <w:p w14:paraId="50DC838F" w14:textId="000EE4F2" w:rsidR="000901A6" w:rsidRPr="00572897" w:rsidRDefault="000901A6" w:rsidP="000B10FD">
      <w:pPr>
        <w:shd w:val="clear" w:color="auto" w:fill="FFFFFF"/>
        <w:spacing w:before="240" w:line="293" w:lineRule="atLeast"/>
        <w:outlineLvl w:val="3"/>
        <w:rPr>
          <w:color w:val="000000"/>
          <w:szCs w:val="24"/>
          <w:u w:val="single"/>
        </w:rPr>
      </w:pPr>
      <w:r w:rsidRPr="00572897">
        <w:rPr>
          <w:color w:val="000000"/>
          <w:szCs w:val="24"/>
          <w:u w:val="single"/>
        </w:rPr>
        <w:t xml:space="preserve">Section </w:t>
      </w:r>
      <w:r>
        <w:rPr>
          <w:color w:val="000000"/>
          <w:szCs w:val="24"/>
          <w:u w:val="single"/>
        </w:rPr>
        <w:t>9</w:t>
      </w:r>
      <w:r w:rsidRPr="00572897">
        <w:rPr>
          <w:color w:val="000000"/>
          <w:szCs w:val="24"/>
          <w:u w:val="single"/>
        </w:rPr>
        <w:t xml:space="preserve"> –</w:t>
      </w:r>
      <w:r>
        <w:rPr>
          <w:color w:val="000000"/>
          <w:szCs w:val="24"/>
          <w:u w:val="single"/>
        </w:rPr>
        <w:t>Transitional provision for large ADIs</w:t>
      </w:r>
    </w:p>
    <w:p w14:paraId="6AEA07C7" w14:textId="7F6EF54B" w:rsidR="00100AEE" w:rsidRPr="002C357C" w:rsidRDefault="00336F82" w:rsidP="000B10FD">
      <w:pPr>
        <w:shd w:val="clear" w:color="auto" w:fill="FFFFFF"/>
        <w:spacing w:before="240"/>
        <w:rPr>
          <w:color w:val="000000"/>
          <w:szCs w:val="24"/>
        </w:rPr>
      </w:pPr>
      <w:r w:rsidRPr="002C357C">
        <w:rPr>
          <w:color w:val="000000"/>
          <w:szCs w:val="24"/>
        </w:rPr>
        <w:t>T</w:t>
      </w:r>
      <w:r w:rsidR="00EF6C23" w:rsidRPr="002C357C">
        <w:rPr>
          <w:color w:val="000000"/>
          <w:szCs w:val="24"/>
        </w:rPr>
        <w:t xml:space="preserve">his section </w:t>
      </w:r>
      <w:r w:rsidR="00100AEE" w:rsidRPr="002C357C">
        <w:rPr>
          <w:color w:val="000000"/>
          <w:szCs w:val="24"/>
        </w:rPr>
        <w:t>provides that</w:t>
      </w:r>
      <w:r w:rsidR="00EF6C23" w:rsidRPr="002C357C">
        <w:rPr>
          <w:color w:val="000000"/>
          <w:szCs w:val="24"/>
        </w:rPr>
        <w:t xml:space="preserve"> </w:t>
      </w:r>
      <w:r w:rsidR="00100AEE" w:rsidRPr="002C357C">
        <w:rPr>
          <w:color w:val="000000"/>
          <w:szCs w:val="24"/>
        </w:rPr>
        <w:t>an ADI that was a large ADI</w:t>
      </w:r>
      <w:r w:rsidR="00173380">
        <w:rPr>
          <w:color w:val="000000"/>
          <w:szCs w:val="24"/>
        </w:rPr>
        <w:t xml:space="preserve"> </w:t>
      </w:r>
      <w:r w:rsidR="00173380" w:rsidRPr="002C357C">
        <w:rPr>
          <w:color w:val="000000"/>
          <w:szCs w:val="24"/>
        </w:rPr>
        <w:t>under the</w:t>
      </w:r>
      <w:r w:rsidR="00173380" w:rsidRPr="002C357C">
        <w:t xml:space="preserve"> </w:t>
      </w:r>
      <w:r w:rsidR="00173380" w:rsidRPr="00755580">
        <w:rPr>
          <w:color w:val="000000"/>
          <w:szCs w:val="24"/>
        </w:rPr>
        <w:t>BEAR Determination (</w:t>
      </w:r>
      <w:r w:rsidR="00173380" w:rsidRPr="002C357C">
        <w:rPr>
          <w:color w:val="000000"/>
          <w:szCs w:val="24"/>
        </w:rPr>
        <w:t xml:space="preserve">the </w:t>
      </w:r>
      <w:r w:rsidR="00173380" w:rsidRPr="002C357C">
        <w:rPr>
          <w:b/>
          <w:bCs/>
          <w:i/>
          <w:iCs/>
          <w:color w:val="000000"/>
          <w:szCs w:val="24"/>
        </w:rPr>
        <w:t>old determination</w:t>
      </w:r>
      <w:r w:rsidR="00173380" w:rsidRPr="007409B9">
        <w:rPr>
          <w:color w:val="000000"/>
          <w:szCs w:val="24"/>
        </w:rPr>
        <w:t>)</w:t>
      </w:r>
      <w:r w:rsidR="00173380">
        <w:rPr>
          <w:b/>
          <w:bCs/>
          <w:i/>
          <w:iCs/>
          <w:color w:val="000000"/>
          <w:szCs w:val="24"/>
        </w:rPr>
        <w:t xml:space="preserve"> </w:t>
      </w:r>
      <w:r w:rsidR="00A07A16" w:rsidRPr="002C357C">
        <w:rPr>
          <w:color w:val="000000"/>
          <w:szCs w:val="24"/>
        </w:rPr>
        <w:t>immediately before commencement</w:t>
      </w:r>
      <w:r w:rsidR="00B23DAF" w:rsidRPr="002C357C">
        <w:rPr>
          <w:color w:val="000000"/>
          <w:szCs w:val="24"/>
        </w:rPr>
        <w:t xml:space="preserve"> of the Determination</w:t>
      </w:r>
      <w:r w:rsidR="00100AEE" w:rsidRPr="002C357C">
        <w:rPr>
          <w:color w:val="000000"/>
          <w:szCs w:val="24"/>
        </w:rPr>
        <w:t xml:space="preserve">, continues to be a large ADI for the </w:t>
      </w:r>
      <w:r w:rsidR="00CF2E71" w:rsidRPr="002C357C">
        <w:rPr>
          <w:color w:val="000000"/>
          <w:szCs w:val="24"/>
        </w:rPr>
        <w:t>remainder of the</w:t>
      </w:r>
      <w:r w:rsidR="00DD73F3">
        <w:rPr>
          <w:color w:val="000000"/>
          <w:szCs w:val="24"/>
        </w:rPr>
        <w:t xml:space="preserve"> </w:t>
      </w:r>
      <w:proofErr w:type="spellStart"/>
      <w:r w:rsidR="00DD73F3">
        <w:rPr>
          <w:color w:val="000000"/>
          <w:szCs w:val="24"/>
        </w:rPr>
        <w:t>ADI’s</w:t>
      </w:r>
      <w:proofErr w:type="spellEnd"/>
      <w:r w:rsidR="00CF2E71" w:rsidRPr="002C357C">
        <w:rPr>
          <w:color w:val="000000"/>
          <w:szCs w:val="24"/>
        </w:rPr>
        <w:t xml:space="preserve"> </w:t>
      </w:r>
      <w:r w:rsidR="00100AEE" w:rsidRPr="002C357C">
        <w:rPr>
          <w:color w:val="000000"/>
          <w:szCs w:val="24"/>
        </w:rPr>
        <w:t xml:space="preserve">financial year </w:t>
      </w:r>
      <w:r w:rsidR="00E62126">
        <w:rPr>
          <w:color w:val="000000"/>
          <w:szCs w:val="24"/>
        </w:rPr>
        <w:t xml:space="preserve">(that is, the </w:t>
      </w:r>
      <w:proofErr w:type="spellStart"/>
      <w:r w:rsidR="009A46D0">
        <w:rPr>
          <w:color w:val="000000"/>
          <w:szCs w:val="24"/>
        </w:rPr>
        <w:t>ADI’s</w:t>
      </w:r>
      <w:proofErr w:type="spellEnd"/>
      <w:r w:rsidR="009A46D0">
        <w:rPr>
          <w:color w:val="000000"/>
          <w:szCs w:val="24"/>
        </w:rPr>
        <w:t xml:space="preserve"> </w:t>
      </w:r>
      <w:r w:rsidR="00E62126">
        <w:rPr>
          <w:color w:val="000000"/>
          <w:szCs w:val="24"/>
        </w:rPr>
        <w:t xml:space="preserve">financial year in which the Determination commenced), </w:t>
      </w:r>
      <w:r w:rsidR="00100AEE" w:rsidRPr="002C357C">
        <w:rPr>
          <w:color w:val="000000"/>
          <w:szCs w:val="24"/>
        </w:rPr>
        <w:t xml:space="preserve">for the purpose of subsection 5(1A) of the Act. </w:t>
      </w:r>
    </w:p>
    <w:p w14:paraId="53C65B52" w14:textId="4E5FCF3A" w:rsidR="008B2C2F" w:rsidRPr="002C357C" w:rsidRDefault="00CD60B8" w:rsidP="000B10FD">
      <w:pPr>
        <w:shd w:val="clear" w:color="auto" w:fill="FFFFFF"/>
        <w:spacing w:before="240"/>
        <w:rPr>
          <w:color w:val="000000"/>
          <w:szCs w:val="24"/>
        </w:rPr>
      </w:pPr>
      <w:r w:rsidRPr="002C357C">
        <w:rPr>
          <w:color w:val="000000"/>
          <w:szCs w:val="24"/>
        </w:rPr>
        <w:t xml:space="preserve">The </w:t>
      </w:r>
      <w:r w:rsidR="00C4574B">
        <w:rPr>
          <w:i/>
          <w:iCs/>
          <w:color w:val="000000"/>
          <w:szCs w:val="24"/>
        </w:rPr>
        <w:t>Financial Accountability Regime (Consequential Amendments) Act 2023</w:t>
      </w:r>
      <w:r w:rsidRPr="002C357C">
        <w:rPr>
          <w:color w:val="000000"/>
          <w:szCs w:val="24"/>
        </w:rPr>
        <w:t xml:space="preserve"> amend</w:t>
      </w:r>
      <w:r w:rsidR="005C1866" w:rsidRPr="002C357C">
        <w:rPr>
          <w:color w:val="000000"/>
          <w:szCs w:val="24"/>
        </w:rPr>
        <w:t>ed</w:t>
      </w:r>
      <w:r w:rsidRPr="002C357C">
        <w:rPr>
          <w:color w:val="000000"/>
          <w:szCs w:val="24"/>
        </w:rPr>
        <w:t xml:space="preserve"> the Act </w:t>
      </w:r>
      <w:r w:rsidR="00C424A9" w:rsidRPr="002C357C">
        <w:rPr>
          <w:color w:val="000000"/>
          <w:szCs w:val="24"/>
        </w:rPr>
        <w:t>to confer power on the Minister to determine the kinds of ADIs that are large ADIs</w:t>
      </w:r>
      <w:r w:rsidR="004C221A" w:rsidRPr="002C357C">
        <w:rPr>
          <w:color w:val="000000"/>
          <w:szCs w:val="24"/>
        </w:rPr>
        <w:t>.</w:t>
      </w:r>
      <w:r w:rsidR="002C357C" w:rsidRPr="002C357C">
        <w:rPr>
          <w:color w:val="000000"/>
          <w:szCs w:val="24"/>
        </w:rPr>
        <w:t xml:space="preserve"> </w:t>
      </w:r>
      <w:r w:rsidR="0069101C" w:rsidRPr="002C357C">
        <w:rPr>
          <w:color w:val="000000"/>
          <w:szCs w:val="24"/>
        </w:rPr>
        <w:t>Prior to being amended</w:t>
      </w:r>
      <w:r w:rsidR="00755EE2" w:rsidRPr="002C357C">
        <w:rPr>
          <w:color w:val="000000"/>
          <w:szCs w:val="24"/>
        </w:rPr>
        <w:t>,</w:t>
      </w:r>
      <w:r w:rsidR="0069101C" w:rsidRPr="002C357C">
        <w:rPr>
          <w:color w:val="000000"/>
          <w:szCs w:val="24"/>
        </w:rPr>
        <w:t xml:space="preserve"> the Act relied on the definition of </w:t>
      </w:r>
      <w:r w:rsidR="005C1866" w:rsidRPr="002C357C">
        <w:rPr>
          <w:color w:val="000000"/>
          <w:szCs w:val="24"/>
        </w:rPr>
        <w:t>‘</w:t>
      </w:r>
      <w:r w:rsidR="0069101C" w:rsidRPr="002C357C">
        <w:rPr>
          <w:color w:val="000000"/>
          <w:szCs w:val="24"/>
        </w:rPr>
        <w:t>large ADI</w:t>
      </w:r>
      <w:r w:rsidR="005C1866" w:rsidRPr="002C357C">
        <w:rPr>
          <w:color w:val="000000"/>
          <w:szCs w:val="24"/>
        </w:rPr>
        <w:t>’</w:t>
      </w:r>
      <w:r w:rsidR="0069101C" w:rsidRPr="002C357C">
        <w:rPr>
          <w:color w:val="000000"/>
          <w:szCs w:val="24"/>
        </w:rPr>
        <w:t xml:space="preserve"> in the </w:t>
      </w:r>
      <w:r w:rsidR="005C1866" w:rsidRPr="002C357C">
        <w:rPr>
          <w:i/>
          <w:iCs/>
          <w:color w:val="000000"/>
          <w:szCs w:val="24"/>
        </w:rPr>
        <w:t>Banking Act 1959</w:t>
      </w:r>
      <w:r w:rsidR="005C1866" w:rsidRPr="002C357C">
        <w:rPr>
          <w:color w:val="000000"/>
          <w:szCs w:val="24"/>
        </w:rPr>
        <w:t xml:space="preserve">, </w:t>
      </w:r>
      <w:r w:rsidR="0069101C" w:rsidRPr="002C357C">
        <w:rPr>
          <w:color w:val="000000"/>
          <w:szCs w:val="24"/>
        </w:rPr>
        <w:t>and, in turn, the BEAR Determination.</w:t>
      </w:r>
      <w:r w:rsidR="00681DD9" w:rsidRPr="002C357C">
        <w:rPr>
          <w:color w:val="000000"/>
          <w:szCs w:val="24"/>
        </w:rPr>
        <w:t xml:space="preserve"> </w:t>
      </w:r>
      <w:r w:rsidR="0069101C" w:rsidRPr="002C357C">
        <w:rPr>
          <w:color w:val="000000"/>
          <w:szCs w:val="24"/>
        </w:rPr>
        <w:t xml:space="preserve">The </w:t>
      </w:r>
      <w:r w:rsidR="00C4574B">
        <w:rPr>
          <w:i/>
          <w:iCs/>
          <w:color w:val="000000"/>
          <w:szCs w:val="24"/>
        </w:rPr>
        <w:t>Financial Accountability Regime (Consequential Amendments) Act 2023</w:t>
      </w:r>
      <w:r w:rsidR="00252C54">
        <w:rPr>
          <w:i/>
          <w:iCs/>
          <w:color w:val="000000"/>
          <w:szCs w:val="24"/>
        </w:rPr>
        <w:t xml:space="preserve"> </w:t>
      </w:r>
      <w:r w:rsidR="00681DD9" w:rsidRPr="002C357C">
        <w:rPr>
          <w:color w:val="000000"/>
          <w:szCs w:val="24"/>
        </w:rPr>
        <w:t xml:space="preserve">will repeal the Banking Executive Accountability Regime under the </w:t>
      </w:r>
      <w:bookmarkStart w:id="2" w:name="_Hlk95341607"/>
      <w:r w:rsidR="00681DD9" w:rsidRPr="002C357C">
        <w:rPr>
          <w:i/>
          <w:iCs/>
          <w:color w:val="000000"/>
          <w:szCs w:val="24"/>
        </w:rPr>
        <w:t>Banking Act 1959</w:t>
      </w:r>
      <w:r w:rsidR="00600B49" w:rsidRPr="00600B49">
        <w:t xml:space="preserve"> </w:t>
      </w:r>
      <w:r w:rsidR="00600B49" w:rsidRPr="002E07A0">
        <w:rPr>
          <w:color w:val="000000"/>
          <w:szCs w:val="24"/>
        </w:rPr>
        <w:t>six months after the commencement of the</w:t>
      </w:r>
      <w:r w:rsidR="00600B49" w:rsidRPr="00600B49">
        <w:rPr>
          <w:i/>
          <w:iCs/>
          <w:color w:val="000000"/>
          <w:szCs w:val="24"/>
        </w:rPr>
        <w:t xml:space="preserve"> Financial Accountability</w:t>
      </w:r>
      <w:r w:rsidR="00BC0FF7">
        <w:rPr>
          <w:i/>
          <w:iCs/>
          <w:color w:val="000000"/>
          <w:szCs w:val="24"/>
        </w:rPr>
        <w:t xml:space="preserve"> Regime</w:t>
      </w:r>
      <w:r w:rsidR="00600B49" w:rsidRPr="00600B49">
        <w:rPr>
          <w:i/>
          <w:iCs/>
          <w:color w:val="000000"/>
          <w:szCs w:val="24"/>
        </w:rPr>
        <w:t xml:space="preserve"> Act 202</w:t>
      </w:r>
      <w:r w:rsidR="00C4574B">
        <w:rPr>
          <w:i/>
          <w:iCs/>
          <w:color w:val="000000"/>
          <w:szCs w:val="24"/>
        </w:rPr>
        <w:t>3</w:t>
      </w:r>
      <w:r w:rsidR="00681DD9" w:rsidRPr="002C357C">
        <w:rPr>
          <w:color w:val="000000"/>
          <w:szCs w:val="24"/>
        </w:rPr>
        <w:t xml:space="preserve">, </w:t>
      </w:r>
      <w:bookmarkEnd w:id="2"/>
      <w:r w:rsidR="00681DD9" w:rsidRPr="002C357C">
        <w:rPr>
          <w:color w:val="000000"/>
          <w:szCs w:val="24"/>
        </w:rPr>
        <w:t xml:space="preserve">including the provision conferring power on the Minister to make the BEAR Determination. </w:t>
      </w:r>
    </w:p>
    <w:p w14:paraId="2EFF8C67" w14:textId="545AF0EC" w:rsidR="00755EE2" w:rsidRDefault="008917D7" w:rsidP="000B10FD">
      <w:pPr>
        <w:shd w:val="clear" w:color="auto" w:fill="FFFFFF"/>
        <w:spacing w:before="240"/>
        <w:rPr>
          <w:color w:val="000000"/>
          <w:szCs w:val="24"/>
        </w:rPr>
      </w:pPr>
      <w:r w:rsidRPr="002C357C">
        <w:rPr>
          <w:color w:val="000000"/>
          <w:szCs w:val="24"/>
        </w:rPr>
        <w:t xml:space="preserve">This </w:t>
      </w:r>
      <w:r w:rsidR="00755580">
        <w:rPr>
          <w:color w:val="000000"/>
          <w:szCs w:val="24"/>
        </w:rPr>
        <w:t>section i</w:t>
      </w:r>
      <w:r w:rsidR="00E62126">
        <w:rPr>
          <w:color w:val="000000"/>
          <w:szCs w:val="24"/>
        </w:rPr>
        <w:t>s</w:t>
      </w:r>
      <w:r w:rsidR="00DD73F3">
        <w:rPr>
          <w:color w:val="000000"/>
          <w:szCs w:val="24"/>
        </w:rPr>
        <w:t xml:space="preserve"> </w:t>
      </w:r>
      <w:r w:rsidR="00755580">
        <w:rPr>
          <w:color w:val="000000"/>
          <w:szCs w:val="24"/>
        </w:rPr>
        <w:t>intended to</w:t>
      </w:r>
      <w:r w:rsidRPr="002C357C">
        <w:rPr>
          <w:color w:val="000000"/>
          <w:szCs w:val="24"/>
        </w:rPr>
        <w:t xml:space="preserve"> </w:t>
      </w:r>
      <w:r w:rsidR="004D07BF">
        <w:rPr>
          <w:color w:val="000000"/>
          <w:szCs w:val="24"/>
        </w:rPr>
        <w:t xml:space="preserve">facilitate a smooth transition from the BEAR Determination and ensure </w:t>
      </w:r>
      <w:r w:rsidRPr="002C357C">
        <w:rPr>
          <w:color w:val="000000"/>
          <w:szCs w:val="24"/>
        </w:rPr>
        <w:t xml:space="preserve">continuity in the definition of large ADI </w:t>
      </w:r>
      <w:r w:rsidR="00755580">
        <w:rPr>
          <w:color w:val="000000"/>
          <w:szCs w:val="24"/>
        </w:rPr>
        <w:t xml:space="preserve">under </w:t>
      </w:r>
      <w:r w:rsidRPr="002C357C">
        <w:rPr>
          <w:color w:val="000000"/>
          <w:szCs w:val="24"/>
        </w:rPr>
        <w:t>the Act</w:t>
      </w:r>
      <w:r w:rsidR="003B13E9">
        <w:t>.</w:t>
      </w:r>
      <w:r w:rsidR="00755EE2" w:rsidRPr="002C357C">
        <w:rPr>
          <w:color w:val="000000"/>
          <w:szCs w:val="24"/>
        </w:rPr>
        <w:t xml:space="preserve"> ADIs that were large ADIs under the BEAR Determination will continue to be large ADIs</w:t>
      </w:r>
      <w:r w:rsidR="00DD73F3">
        <w:rPr>
          <w:color w:val="000000"/>
          <w:szCs w:val="24"/>
        </w:rPr>
        <w:t xml:space="preserve"> under the Act </w:t>
      </w:r>
      <w:r w:rsidR="003B13E9" w:rsidRPr="003B13E9">
        <w:rPr>
          <w:color w:val="000000"/>
          <w:szCs w:val="24"/>
        </w:rPr>
        <w:t xml:space="preserve">and </w:t>
      </w:r>
      <w:r w:rsidR="003B13E9">
        <w:rPr>
          <w:color w:val="000000"/>
          <w:szCs w:val="24"/>
        </w:rPr>
        <w:t>subject to</w:t>
      </w:r>
      <w:r w:rsidR="003B13E9" w:rsidRPr="003B13E9">
        <w:rPr>
          <w:color w:val="000000"/>
          <w:szCs w:val="24"/>
        </w:rPr>
        <w:t xml:space="preserve"> the mandatory comprehensive credit reporting regime</w:t>
      </w:r>
      <w:r w:rsidR="003B13E9" w:rsidRPr="002C357C">
        <w:rPr>
          <w:color w:val="000000"/>
          <w:szCs w:val="24"/>
        </w:rPr>
        <w:t xml:space="preserve"> </w:t>
      </w:r>
      <w:r w:rsidR="00C60D35" w:rsidRPr="002C357C">
        <w:rPr>
          <w:color w:val="000000"/>
          <w:szCs w:val="24"/>
        </w:rPr>
        <w:t>for the</w:t>
      </w:r>
      <w:r w:rsidR="00755EE2" w:rsidRPr="002C357C">
        <w:rPr>
          <w:color w:val="000000"/>
          <w:szCs w:val="24"/>
        </w:rPr>
        <w:t xml:space="preserve"> remainder of </w:t>
      </w:r>
      <w:r w:rsidR="00660C26" w:rsidRPr="002C357C">
        <w:rPr>
          <w:color w:val="000000"/>
          <w:szCs w:val="24"/>
        </w:rPr>
        <w:t>the</w:t>
      </w:r>
      <w:r w:rsidR="004A211C" w:rsidRPr="002C357C">
        <w:rPr>
          <w:color w:val="000000"/>
          <w:szCs w:val="24"/>
        </w:rPr>
        <w:t xml:space="preserve"> </w:t>
      </w:r>
      <w:proofErr w:type="spellStart"/>
      <w:r w:rsidR="00755580">
        <w:rPr>
          <w:color w:val="000000"/>
          <w:szCs w:val="24"/>
        </w:rPr>
        <w:t>ADI’s</w:t>
      </w:r>
      <w:proofErr w:type="spellEnd"/>
      <w:r w:rsidR="00755580">
        <w:rPr>
          <w:color w:val="000000"/>
          <w:szCs w:val="24"/>
        </w:rPr>
        <w:t xml:space="preserve"> </w:t>
      </w:r>
      <w:r w:rsidR="00755EE2" w:rsidRPr="002C357C">
        <w:rPr>
          <w:color w:val="000000"/>
          <w:szCs w:val="24"/>
        </w:rPr>
        <w:t>financial year</w:t>
      </w:r>
      <w:r w:rsidR="003B13E9" w:rsidRPr="003B13E9">
        <w:rPr>
          <w:color w:val="000000"/>
          <w:szCs w:val="24"/>
        </w:rPr>
        <w:t>.</w:t>
      </w:r>
    </w:p>
    <w:p w14:paraId="527C3389" w14:textId="440F539E" w:rsidR="007A55A7" w:rsidRDefault="007A55A7" w:rsidP="00013390">
      <w:pPr>
        <w:pageBreakBefore/>
        <w:spacing w:before="240"/>
        <w:jc w:val="right"/>
        <w:rPr>
          <w:b/>
          <w:u w:val="single"/>
        </w:rPr>
      </w:pPr>
      <w:r w:rsidRPr="007B335E">
        <w:rPr>
          <w:b/>
          <w:u w:val="single"/>
        </w:rPr>
        <w:lastRenderedPageBreak/>
        <w:t xml:space="preserve">ATTACHMENT </w:t>
      </w:r>
      <w:r w:rsidR="00914575">
        <w:rPr>
          <w:b/>
          <w:u w:val="single"/>
        </w:rPr>
        <w:t>B</w:t>
      </w:r>
    </w:p>
    <w:p w14:paraId="01D1DD39" w14:textId="77777777" w:rsidR="00E4438C" w:rsidRPr="00462095" w:rsidRDefault="00E4438C" w:rsidP="003E1CE3">
      <w:pPr>
        <w:pStyle w:val="Heading3"/>
      </w:pPr>
      <w:r w:rsidRPr="00462095">
        <w:t>Statement of Compatibility with Human Rights</w:t>
      </w:r>
    </w:p>
    <w:p w14:paraId="6B208E00" w14:textId="77777777" w:rsidR="00E4438C" w:rsidRPr="00647BB7" w:rsidRDefault="00E4438C" w:rsidP="00AC1D15">
      <w:pPr>
        <w:spacing w:before="240"/>
        <w:jc w:val="center"/>
        <w:rPr>
          <w:i/>
        </w:rPr>
      </w:pPr>
      <w:r w:rsidRPr="00647BB7">
        <w:rPr>
          <w:i/>
        </w:rPr>
        <w:t>Prepared in accordance with Part 3 of the Human Rights (Parliamentary Scrutiny) Act 2011</w:t>
      </w:r>
    </w:p>
    <w:p w14:paraId="5AF47BFA" w14:textId="5778263E" w:rsidR="00E4438C" w:rsidRPr="00573882" w:rsidRDefault="00573882" w:rsidP="003E1CE3">
      <w:pPr>
        <w:pStyle w:val="Heading3"/>
        <w:jc w:val="center"/>
        <w:rPr>
          <w:i/>
          <w:iCs/>
        </w:rPr>
      </w:pPr>
      <w:r w:rsidRPr="00573882">
        <w:rPr>
          <w:i/>
          <w:iCs/>
        </w:rPr>
        <w:t>National Consumer Credit Protection (Large ADI) Determination 202</w:t>
      </w:r>
      <w:r w:rsidR="00887E7A">
        <w:rPr>
          <w:i/>
          <w:iCs/>
        </w:rPr>
        <w:t>3</w:t>
      </w:r>
    </w:p>
    <w:p w14:paraId="5D36AED6" w14:textId="4A9A7260" w:rsidR="00761400" w:rsidRPr="00647BB7" w:rsidRDefault="00E4438C" w:rsidP="00647BB7">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14:paraId="26BC9245" w14:textId="77777777" w:rsidR="00E4438C" w:rsidRPr="00647BB7" w:rsidRDefault="00E4438C" w:rsidP="003E1CE3">
      <w:pPr>
        <w:pStyle w:val="Heading3"/>
      </w:pPr>
      <w:r w:rsidRPr="00647BB7">
        <w:t>Overview of the Legislative Instrument</w:t>
      </w:r>
    </w:p>
    <w:p w14:paraId="45A8E01F" w14:textId="711A3437" w:rsidR="001C2A21" w:rsidRDefault="00761400" w:rsidP="000B10FD">
      <w:pPr>
        <w:pStyle w:val="Heading3"/>
      </w:pPr>
      <w:r>
        <w:rPr>
          <w:b w:val="0"/>
          <w:kern w:val="0"/>
        </w:rPr>
        <w:t>Th</w:t>
      </w:r>
      <w:r w:rsidR="001C2A21">
        <w:rPr>
          <w:b w:val="0"/>
          <w:kern w:val="0"/>
        </w:rPr>
        <w:t>is</w:t>
      </w:r>
      <w:r>
        <w:rPr>
          <w:b w:val="0"/>
          <w:kern w:val="0"/>
        </w:rPr>
        <w:t xml:space="preserve"> Legislative Instrument</w:t>
      </w:r>
      <w:r w:rsidRPr="00761400">
        <w:rPr>
          <w:b w:val="0"/>
          <w:kern w:val="0"/>
        </w:rPr>
        <w:t xml:space="preserve"> set</w:t>
      </w:r>
      <w:r>
        <w:rPr>
          <w:b w:val="0"/>
          <w:kern w:val="0"/>
        </w:rPr>
        <w:t>s</w:t>
      </w:r>
      <w:r w:rsidRPr="00761400">
        <w:rPr>
          <w:b w:val="0"/>
          <w:kern w:val="0"/>
        </w:rPr>
        <w:t xml:space="preserve"> out the methodology to determine whether an ADI </w:t>
      </w:r>
      <w:r>
        <w:rPr>
          <w:b w:val="0"/>
          <w:kern w:val="0"/>
        </w:rPr>
        <w:t xml:space="preserve">(that is, an </w:t>
      </w:r>
      <w:r w:rsidR="00BA0E82">
        <w:rPr>
          <w:b w:val="0"/>
          <w:kern w:val="0"/>
        </w:rPr>
        <w:t>a</w:t>
      </w:r>
      <w:r>
        <w:rPr>
          <w:b w:val="0"/>
          <w:kern w:val="0"/>
        </w:rPr>
        <w:t xml:space="preserve">uthorised </w:t>
      </w:r>
      <w:r w:rsidR="00BA0E82">
        <w:rPr>
          <w:b w:val="0"/>
          <w:kern w:val="0"/>
        </w:rPr>
        <w:t>d</w:t>
      </w:r>
      <w:r>
        <w:rPr>
          <w:b w:val="0"/>
          <w:kern w:val="0"/>
        </w:rPr>
        <w:t xml:space="preserve">eposit-taking </w:t>
      </w:r>
      <w:r w:rsidR="00BA0E82">
        <w:rPr>
          <w:b w:val="0"/>
          <w:kern w:val="0"/>
        </w:rPr>
        <w:t>i</w:t>
      </w:r>
      <w:r>
        <w:rPr>
          <w:b w:val="0"/>
          <w:kern w:val="0"/>
        </w:rPr>
        <w:t xml:space="preserve">nstitution) </w:t>
      </w:r>
      <w:r w:rsidRPr="00761400">
        <w:rPr>
          <w:b w:val="0"/>
          <w:kern w:val="0"/>
        </w:rPr>
        <w:t xml:space="preserve">is a large ADI for the purpose of the </w:t>
      </w:r>
      <w:r w:rsidRPr="00761400">
        <w:rPr>
          <w:b w:val="0"/>
          <w:i/>
          <w:iCs/>
          <w:kern w:val="0"/>
        </w:rPr>
        <w:t xml:space="preserve">National Consumer Credit Protection </w:t>
      </w:r>
      <w:r w:rsidR="000978C4">
        <w:rPr>
          <w:b w:val="0"/>
          <w:i/>
          <w:iCs/>
          <w:kern w:val="0"/>
        </w:rPr>
        <w:t>Act 2009</w:t>
      </w:r>
      <w:r w:rsidR="000978C4">
        <w:rPr>
          <w:b w:val="0"/>
          <w:kern w:val="0"/>
        </w:rPr>
        <w:t xml:space="preserve">. </w:t>
      </w:r>
      <w:r w:rsidR="001C2A21" w:rsidRPr="000978C4">
        <w:rPr>
          <w:b w:val="0"/>
          <w:bCs/>
        </w:rPr>
        <w:t xml:space="preserve">The </w:t>
      </w:r>
      <w:r w:rsidR="001C2A21" w:rsidRPr="001C2A21">
        <w:rPr>
          <w:b w:val="0"/>
          <w:bCs/>
        </w:rPr>
        <w:t xml:space="preserve">methodology is based on total assets reported to APRA in earlier financial years. </w:t>
      </w:r>
    </w:p>
    <w:p w14:paraId="41FBC21F" w14:textId="0B2FDE87" w:rsidR="001C2A21" w:rsidRDefault="001C2A21" w:rsidP="000B10FD">
      <w:pPr>
        <w:pStyle w:val="Dotpoint"/>
        <w:numPr>
          <w:ilvl w:val="0"/>
          <w:numId w:val="0"/>
        </w:numPr>
        <w:spacing w:before="240"/>
      </w:pPr>
      <w:r>
        <w:t xml:space="preserve">The mandatory comprehensive credit reporting regime under the </w:t>
      </w:r>
      <w:r w:rsidR="000978C4" w:rsidRPr="000978C4">
        <w:rPr>
          <w:i/>
          <w:iCs/>
        </w:rPr>
        <w:t>National Consumer</w:t>
      </w:r>
      <w:r w:rsidR="00DE3E74">
        <w:rPr>
          <w:i/>
          <w:iCs/>
        </w:rPr>
        <w:t xml:space="preserve"> </w:t>
      </w:r>
      <w:r w:rsidR="000978C4" w:rsidRPr="000978C4">
        <w:rPr>
          <w:i/>
          <w:iCs/>
        </w:rPr>
        <w:t>Credit Protection Act 2009</w:t>
      </w:r>
      <w:r w:rsidR="000978C4" w:rsidRPr="000978C4">
        <w:t xml:space="preserve"> </w:t>
      </w:r>
      <w:r>
        <w:t xml:space="preserve">applies to ‘eligible licensees’. Eligible licensees include large ADIs. Large ADIs must </w:t>
      </w:r>
      <w:r w:rsidR="00CF5116">
        <w:t xml:space="preserve">therefore </w:t>
      </w:r>
      <w:r>
        <w:t xml:space="preserve">provide comprehensive credit information on consumer credit accounts to certain credit reporting bodies.  </w:t>
      </w:r>
    </w:p>
    <w:p w14:paraId="0225FBDD" w14:textId="59D3FE6C" w:rsidR="00761400" w:rsidRDefault="001C2A21" w:rsidP="000B10FD">
      <w:pPr>
        <w:pStyle w:val="Heading3"/>
        <w:rPr>
          <w:b w:val="0"/>
          <w:kern w:val="0"/>
        </w:rPr>
      </w:pPr>
      <w:r>
        <w:rPr>
          <w:b w:val="0"/>
          <w:kern w:val="0"/>
        </w:rPr>
        <w:t>This Legislative Instrument</w:t>
      </w:r>
      <w:r w:rsidR="00761400" w:rsidRPr="00761400">
        <w:rPr>
          <w:b w:val="0"/>
          <w:kern w:val="0"/>
        </w:rPr>
        <w:t xml:space="preserve"> replaces the </w:t>
      </w:r>
      <w:r w:rsidR="00761400" w:rsidRPr="00761400">
        <w:rPr>
          <w:b w:val="0"/>
          <w:i/>
          <w:iCs/>
          <w:kern w:val="0"/>
        </w:rPr>
        <w:t>Banking Executive Accountability Regime (Size of an Authorised Deposit-taking Institution) Determination 2021</w:t>
      </w:r>
      <w:r w:rsidR="00761400" w:rsidRPr="00761400">
        <w:rPr>
          <w:b w:val="0"/>
          <w:kern w:val="0"/>
        </w:rPr>
        <w:t xml:space="preserve"> to ensure continuity in the </w:t>
      </w:r>
      <w:r w:rsidR="00DB2A3F">
        <w:rPr>
          <w:b w:val="0"/>
          <w:kern w:val="0"/>
        </w:rPr>
        <w:t>definition</w:t>
      </w:r>
      <w:r w:rsidR="00761400" w:rsidRPr="00761400">
        <w:rPr>
          <w:b w:val="0"/>
          <w:kern w:val="0"/>
        </w:rPr>
        <w:t xml:space="preserve"> of large ADI, consequential to the establishment of the Financial Accountability Regime. The key change from the </w:t>
      </w:r>
      <w:r w:rsidR="00CF5116" w:rsidRPr="00761400">
        <w:rPr>
          <w:b w:val="0"/>
          <w:i/>
          <w:iCs/>
          <w:kern w:val="0"/>
        </w:rPr>
        <w:t>Banking Executive Accountability Regime (Size of an Authorised Deposit-taking Institution)</w:t>
      </w:r>
      <w:r w:rsidR="00B664D6">
        <w:rPr>
          <w:b w:val="0"/>
          <w:i/>
          <w:iCs/>
          <w:kern w:val="0"/>
        </w:rPr>
        <w:t xml:space="preserve"> 2021</w:t>
      </w:r>
      <w:r w:rsidR="00CF5116" w:rsidRPr="00761400">
        <w:rPr>
          <w:b w:val="0"/>
          <w:i/>
          <w:iCs/>
          <w:kern w:val="0"/>
        </w:rPr>
        <w:t xml:space="preserve"> </w:t>
      </w:r>
      <w:r w:rsidR="00761400" w:rsidRPr="00761400">
        <w:rPr>
          <w:b w:val="0"/>
          <w:kern w:val="0"/>
        </w:rPr>
        <w:t xml:space="preserve">is the rebase of indexation calculations. </w:t>
      </w:r>
    </w:p>
    <w:p w14:paraId="6F9555FE" w14:textId="62E83AD5" w:rsidR="00E4438C" w:rsidRPr="00647BB7" w:rsidRDefault="00E4438C" w:rsidP="003E1CE3">
      <w:pPr>
        <w:pStyle w:val="Heading3"/>
      </w:pPr>
      <w:r w:rsidRPr="00647BB7">
        <w:t>Human rights implications</w:t>
      </w:r>
    </w:p>
    <w:p w14:paraId="4F10D3F4" w14:textId="77777777" w:rsidR="00E4438C" w:rsidRPr="00647BB7" w:rsidRDefault="00E4438C" w:rsidP="00647BB7">
      <w:pPr>
        <w:spacing w:before="240"/>
      </w:pPr>
      <w:r w:rsidRPr="00647BB7">
        <w:t>This Legislative Instrument does not engage any of the applicable rights or freedoms.</w:t>
      </w:r>
    </w:p>
    <w:p w14:paraId="53A01A05" w14:textId="77777777" w:rsidR="00E4438C" w:rsidRPr="00647BB7" w:rsidRDefault="00E4438C" w:rsidP="003E1CE3">
      <w:pPr>
        <w:pStyle w:val="Heading3"/>
      </w:pPr>
      <w:r w:rsidRPr="00647BB7">
        <w:t>Conclusion</w:t>
      </w:r>
    </w:p>
    <w:p w14:paraId="40131E9D" w14:textId="77777777" w:rsidR="00482B81" w:rsidRDefault="00E4438C" w:rsidP="00647BB7">
      <w:pPr>
        <w:spacing w:before="240"/>
      </w:pPr>
      <w:r w:rsidRPr="00647BB7">
        <w:t>This Legislative Instrument is compatible with human rights as it does not raise any human rights issues.</w:t>
      </w:r>
    </w:p>
    <w:p w14:paraId="388A3CFC" w14:textId="77777777" w:rsidR="00482B81" w:rsidRPr="00EA4DD8" w:rsidRDefault="00482B81" w:rsidP="00EA4DD8">
      <w:pPr>
        <w:spacing w:before="0" w:after="0"/>
      </w:pPr>
    </w:p>
    <w:sectPr w:rsidR="00482B81" w:rsidRPr="00EA4DD8" w:rsidSect="00392BBA">
      <w:footerReference w:type="default" r:id="rId11"/>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97F22" w14:textId="77777777" w:rsidR="00D13A6A" w:rsidRDefault="00D13A6A" w:rsidP="00954679">
      <w:pPr>
        <w:spacing w:before="0" w:after="0"/>
      </w:pPr>
      <w:r>
        <w:separator/>
      </w:r>
    </w:p>
  </w:endnote>
  <w:endnote w:type="continuationSeparator" w:id="0">
    <w:p w14:paraId="44799395" w14:textId="77777777" w:rsidR="00D13A6A" w:rsidRDefault="00D13A6A" w:rsidP="00954679">
      <w:pPr>
        <w:spacing w:before="0" w:after="0"/>
      </w:pPr>
      <w:r>
        <w:continuationSeparator/>
      </w:r>
    </w:p>
  </w:endnote>
  <w:endnote w:type="continuationNotice" w:id="1">
    <w:p w14:paraId="617D6172" w14:textId="77777777" w:rsidR="00D13A6A" w:rsidRDefault="00D13A6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6848EB2F" w14:textId="77777777" w:rsidR="008307FA" w:rsidRDefault="008307FA"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DE23F" w14:textId="77777777" w:rsidR="00D13A6A" w:rsidRDefault="00D13A6A" w:rsidP="00954679">
      <w:pPr>
        <w:spacing w:before="0" w:after="0"/>
      </w:pPr>
      <w:r>
        <w:separator/>
      </w:r>
    </w:p>
  </w:footnote>
  <w:footnote w:type="continuationSeparator" w:id="0">
    <w:p w14:paraId="6EC5BCA6" w14:textId="77777777" w:rsidR="00D13A6A" w:rsidRDefault="00D13A6A" w:rsidP="00954679">
      <w:pPr>
        <w:spacing w:before="0" w:after="0"/>
      </w:pPr>
      <w:r>
        <w:continuationSeparator/>
      </w:r>
    </w:p>
  </w:footnote>
  <w:footnote w:type="continuationNotice" w:id="1">
    <w:p w14:paraId="4CEACE88" w14:textId="77777777" w:rsidR="00D13A6A" w:rsidRDefault="00D13A6A">
      <w:pPr>
        <w:spacing w:before="0" w:after="0"/>
      </w:pPr>
    </w:p>
  </w:footnote>
  <w:footnote w:id="2">
    <w:p w14:paraId="68FCC9AE" w14:textId="244173A1" w:rsidR="004B7A13" w:rsidRDefault="004B7A13">
      <w:pPr>
        <w:pStyle w:val="FootnoteText"/>
      </w:pPr>
      <w:r>
        <w:rPr>
          <w:rStyle w:val="FootnoteReference"/>
        </w:rPr>
        <w:footnoteRef/>
      </w:r>
      <w:r w:rsidRPr="004B7A13">
        <w:t>https://parlinfo.aph.gov.au/parlInfo/search/display/display.w3p;query=Id%3A%22publications%2Ftabledpapers%2Fbc83795c-b7fa-4b42-a93b-fa012cffffc2%22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A2C2717C"/>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0266762">
    <w:abstractNumId w:val="1"/>
  </w:num>
  <w:num w:numId="2" w16cid:durableId="1196694793">
    <w:abstractNumId w:val="2"/>
  </w:num>
  <w:num w:numId="3" w16cid:durableId="275140383">
    <w:abstractNumId w:val="0"/>
  </w:num>
  <w:num w:numId="4" w16cid:durableId="421874215">
    <w:abstractNumId w:val="1"/>
  </w:num>
  <w:num w:numId="5" w16cid:durableId="838158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3905426-756A-457C-951E-0857BA1E848B}"/>
    <w:docVar w:name="dgnword-eventsink" w:val="701904104"/>
  </w:docVars>
  <w:rsids>
    <w:rsidRoot w:val="00E45AEA"/>
    <w:rsid w:val="00001BA3"/>
    <w:rsid w:val="000027F9"/>
    <w:rsid w:val="00004706"/>
    <w:rsid w:val="00006589"/>
    <w:rsid w:val="0000777D"/>
    <w:rsid w:val="00013390"/>
    <w:rsid w:val="000149AA"/>
    <w:rsid w:val="00016EA2"/>
    <w:rsid w:val="00021AFF"/>
    <w:rsid w:val="00032BF4"/>
    <w:rsid w:val="00032CA3"/>
    <w:rsid w:val="00032D73"/>
    <w:rsid w:val="0003353A"/>
    <w:rsid w:val="00036209"/>
    <w:rsid w:val="00044892"/>
    <w:rsid w:val="00045F26"/>
    <w:rsid w:val="00050AB5"/>
    <w:rsid w:val="00056094"/>
    <w:rsid w:val="00057CA9"/>
    <w:rsid w:val="00062B8F"/>
    <w:rsid w:val="00076178"/>
    <w:rsid w:val="000901A6"/>
    <w:rsid w:val="00094469"/>
    <w:rsid w:val="00094B02"/>
    <w:rsid w:val="00095211"/>
    <w:rsid w:val="0009652A"/>
    <w:rsid w:val="000978C4"/>
    <w:rsid w:val="000A58A0"/>
    <w:rsid w:val="000B10FD"/>
    <w:rsid w:val="000B39A1"/>
    <w:rsid w:val="000B4AB5"/>
    <w:rsid w:val="000B7C24"/>
    <w:rsid w:val="000C10DF"/>
    <w:rsid w:val="000C6935"/>
    <w:rsid w:val="000D1DDD"/>
    <w:rsid w:val="000D5701"/>
    <w:rsid w:val="000D5ADD"/>
    <w:rsid w:val="000E32E3"/>
    <w:rsid w:val="000F070B"/>
    <w:rsid w:val="000F3944"/>
    <w:rsid w:val="000F45D3"/>
    <w:rsid w:val="000F5F29"/>
    <w:rsid w:val="00100AEE"/>
    <w:rsid w:val="00104E44"/>
    <w:rsid w:val="0010564D"/>
    <w:rsid w:val="00106DE1"/>
    <w:rsid w:val="001129E2"/>
    <w:rsid w:val="00113B45"/>
    <w:rsid w:val="00114B0A"/>
    <w:rsid w:val="001335A5"/>
    <w:rsid w:val="00137595"/>
    <w:rsid w:val="001453A3"/>
    <w:rsid w:val="00147A70"/>
    <w:rsid w:val="00152545"/>
    <w:rsid w:val="00155889"/>
    <w:rsid w:val="00155A59"/>
    <w:rsid w:val="0015624C"/>
    <w:rsid w:val="0017187B"/>
    <w:rsid w:val="00173380"/>
    <w:rsid w:val="00175653"/>
    <w:rsid w:val="0018126D"/>
    <w:rsid w:val="00184719"/>
    <w:rsid w:val="00191D50"/>
    <w:rsid w:val="001A2D24"/>
    <w:rsid w:val="001A381D"/>
    <w:rsid w:val="001A52BB"/>
    <w:rsid w:val="001A7071"/>
    <w:rsid w:val="001B7535"/>
    <w:rsid w:val="001C0543"/>
    <w:rsid w:val="001C2A21"/>
    <w:rsid w:val="001C376B"/>
    <w:rsid w:val="001C4723"/>
    <w:rsid w:val="001C5446"/>
    <w:rsid w:val="001D1F25"/>
    <w:rsid w:val="001E2321"/>
    <w:rsid w:val="001E6A74"/>
    <w:rsid w:val="001E6CB5"/>
    <w:rsid w:val="001E717A"/>
    <w:rsid w:val="001F007B"/>
    <w:rsid w:val="001F107F"/>
    <w:rsid w:val="001F41D0"/>
    <w:rsid w:val="001F60DD"/>
    <w:rsid w:val="001F6B5A"/>
    <w:rsid w:val="002036A0"/>
    <w:rsid w:val="00205325"/>
    <w:rsid w:val="00210494"/>
    <w:rsid w:val="00211F2D"/>
    <w:rsid w:val="002147A2"/>
    <w:rsid w:val="00214921"/>
    <w:rsid w:val="002175DC"/>
    <w:rsid w:val="00217C85"/>
    <w:rsid w:val="002206B2"/>
    <w:rsid w:val="00220F16"/>
    <w:rsid w:val="0022569D"/>
    <w:rsid w:val="00230F52"/>
    <w:rsid w:val="00233D70"/>
    <w:rsid w:val="00237B13"/>
    <w:rsid w:val="00252C54"/>
    <w:rsid w:val="00254C5B"/>
    <w:rsid w:val="002749E9"/>
    <w:rsid w:val="0027731E"/>
    <w:rsid w:val="00283212"/>
    <w:rsid w:val="002846BA"/>
    <w:rsid w:val="00285E18"/>
    <w:rsid w:val="002A1577"/>
    <w:rsid w:val="002A4B83"/>
    <w:rsid w:val="002A6AC6"/>
    <w:rsid w:val="002A7E1F"/>
    <w:rsid w:val="002C12DF"/>
    <w:rsid w:val="002C1EF8"/>
    <w:rsid w:val="002C226C"/>
    <w:rsid w:val="002C357C"/>
    <w:rsid w:val="002C385E"/>
    <w:rsid w:val="002D2105"/>
    <w:rsid w:val="002D36A3"/>
    <w:rsid w:val="002E07A0"/>
    <w:rsid w:val="002E5B0D"/>
    <w:rsid w:val="00301215"/>
    <w:rsid w:val="003041FA"/>
    <w:rsid w:val="003120E0"/>
    <w:rsid w:val="003268BF"/>
    <w:rsid w:val="003342CD"/>
    <w:rsid w:val="00335042"/>
    <w:rsid w:val="00336F82"/>
    <w:rsid w:val="00337434"/>
    <w:rsid w:val="00342EC1"/>
    <w:rsid w:val="00344E73"/>
    <w:rsid w:val="00362B70"/>
    <w:rsid w:val="00366613"/>
    <w:rsid w:val="00374E51"/>
    <w:rsid w:val="00376519"/>
    <w:rsid w:val="00391D0A"/>
    <w:rsid w:val="00392BBA"/>
    <w:rsid w:val="0039424C"/>
    <w:rsid w:val="003954FD"/>
    <w:rsid w:val="003978C3"/>
    <w:rsid w:val="003A22DC"/>
    <w:rsid w:val="003A62E9"/>
    <w:rsid w:val="003B13E9"/>
    <w:rsid w:val="003B416D"/>
    <w:rsid w:val="003B50B2"/>
    <w:rsid w:val="003B6AED"/>
    <w:rsid w:val="003B6E4F"/>
    <w:rsid w:val="003B7EF6"/>
    <w:rsid w:val="003C158F"/>
    <w:rsid w:val="003C2009"/>
    <w:rsid w:val="003C474B"/>
    <w:rsid w:val="003C7907"/>
    <w:rsid w:val="003C7A7F"/>
    <w:rsid w:val="003D5399"/>
    <w:rsid w:val="003D60D7"/>
    <w:rsid w:val="003D6CE8"/>
    <w:rsid w:val="003E00DC"/>
    <w:rsid w:val="003E1CE3"/>
    <w:rsid w:val="003E33C0"/>
    <w:rsid w:val="003F6467"/>
    <w:rsid w:val="003F6CCD"/>
    <w:rsid w:val="004004D2"/>
    <w:rsid w:val="00402160"/>
    <w:rsid w:val="0040399B"/>
    <w:rsid w:val="00405815"/>
    <w:rsid w:val="00416994"/>
    <w:rsid w:val="00433A7A"/>
    <w:rsid w:val="0045524C"/>
    <w:rsid w:val="00462095"/>
    <w:rsid w:val="00462643"/>
    <w:rsid w:val="004655A4"/>
    <w:rsid w:val="00471F86"/>
    <w:rsid w:val="004734F0"/>
    <w:rsid w:val="004769AA"/>
    <w:rsid w:val="004776AF"/>
    <w:rsid w:val="00481271"/>
    <w:rsid w:val="00482B81"/>
    <w:rsid w:val="00482D4C"/>
    <w:rsid w:val="004833EB"/>
    <w:rsid w:val="00483571"/>
    <w:rsid w:val="00485B67"/>
    <w:rsid w:val="00491A36"/>
    <w:rsid w:val="004A211C"/>
    <w:rsid w:val="004B1453"/>
    <w:rsid w:val="004B333B"/>
    <w:rsid w:val="004B3C0F"/>
    <w:rsid w:val="004B468A"/>
    <w:rsid w:val="004B7A13"/>
    <w:rsid w:val="004B7D99"/>
    <w:rsid w:val="004C05E4"/>
    <w:rsid w:val="004C221A"/>
    <w:rsid w:val="004D07BF"/>
    <w:rsid w:val="004D23AB"/>
    <w:rsid w:val="004D24F0"/>
    <w:rsid w:val="004D49B1"/>
    <w:rsid w:val="004D4C7C"/>
    <w:rsid w:val="004E2A43"/>
    <w:rsid w:val="004E39E1"/>
    <w:rsid w:val="004E3D37"/>
    <w:rsid w:val="004E4BAF"/>
    <w:rsid w:val="004E7BCF"/>
    <w:rsid w:val="004F195C"/>
    <w:rsid w:val="004F56D0"/>
    <w:rsid w:val="004F775D"/>
    <w:rsid w:val="00503E44"/>
    <w:rsid w:val="0050641F"/>
    <w:rsid w:val="00506D5D"/>
    <w:rsid w:val="00511ED2"/>
    <w:rsid w:val="00515088"/>
    <w:rsid w:val="00515283"/>
    <w:rsid w:val="005165AC"/>
    <w:rsid w:val="005279CD"/>
    <w:rsid w:val="00533926"/>
    <w:rsid w:val="005378D7"/>
    <w:rsid w:val="00546274"/>
    <w:rsid w:val="0055200C"/>
    <w:rsid w:val="00553A4F"/>
    <w:rsid w:val="0055675D"/>
    <w:rsid w:val="00564F31"/>
    <w:rsid w:val="00566E8F"/>
    <w:rsid w:val="0056743B"/>
    <w:rsid w:val="00571216"/>
    <w:rsid w:val="00572897"/>
    <w:rsid w:val="00573882"/>
    <w:rsid w:val="0057422E"/>
    <w:rsid w:val="005743F7"/>
    <w:rsid w:val="00574D75"/>
    <w:rsid w:val="005833BE"/>
    <w:rsid w:val="005867E7"/>
    <w:rsid w:val="00593CEB"/>
    <w:rsid w:val="00595065"/>
    <w:rsid w:val="0059602C"/>
    <w:rsid w:val="005A02DA"/>
    <w:rsid w:val="005A49FA"/>
    <w:rsid w:val="005B4787"/>
    <w:rsid w:val="005C0017"/>
    <w:rsid w:val="005C1406"/>
    <w:rsid w:val="005C1866"/>
    <w:rsid w:val="005C3D52"/>
    <w:rsid w:val="005C3F72"/>
    <w:rsid w:val="005D7D5A"/>
    <w:rsid w:val="005E30EE"/>
    <w:rsid w:val="005E4BAC"/>
    <w:rsid w:val="005F1AE6"/>
    <w:rsid w:val="005F1AEA"/>
    <w:rsid w:val="006009C1"/>
    <w:rsid w:val="00600B49"/>
    <w:rsid w:val="00601032"/>
    <w:rsid w:val="0060130D"/>
    <w:rsid w:val="006157CE"/>
    <w:rsid w:val="00622E88"/>
    <w:rsid w:val="0063283D"/>
    <w:rsid w:val="006338BE"/>
    <w:rsid w:val="00633B23"/>
    <w:rsid w:val="00637F23"/>
    <w:rsid w:val="00640A15"/>
    <w:rsid w:val="0064129F"/>
    <w:rsid w:val="006473F9"/>
    <w:rsid w:val="00647BB7"/>
    <w:rsid w:val="00660C26"/>
    <w:rsid w:val="0067123A"/>
    <w:rsid w:val="006713CD"/>
    <w:rsid w:val="006727CF"/>
    <w:rsid w:val="00676A2A"/>
    <w:rsid w:val="00680297"/>
    <w:rsid w:val="00681DD9"/>
    <w:rsid w:val="006873CE"/>
    <w:rsid w:val="0069101C"/>
    <w:rsid w:val="006A0786"/>
    <w:rsid w:val="006A414E"/>
    <w:rsid w:val="006B6439"/>
    <w:rsid w:val="006B7BB6"/>
    <w:rsid w:val="006C2D25"/>
    <w:rsid w:val="006D5B35"/>
    <w:rsid w:val="006E1776"/>
    <w:rsid w:val="006E4428"/>
    <w:rsid w:val="006E5BB1"/>
    <w:rsid w:val="006E6A3B"/>
    <w:rsid w:val="006F0360"/>
    <w:rsid w:val="006F47FA"/>
    <w:rsid w:val="00710E94"/>
    <w:rsid w:val="007114DA"/>
    <w:rsid w:val="007175F9"/>
    <w:rsid w:val="0072041B"/>
    <w:rsid w:val="0072728B"/>
    <w:rsid w:val="00727D8A"/>
    <w:rsid w:val="00731FEA"/>
    <w:rsid w:val="00732F38"/>
    <w:rsid w:val="00736F61"/>
    <w:rsid w:val="007409B9"/>
    <w:rsid w:val="00742253"/>
    <w:rsid w:val="00745DCB"/>
    <w:rsid w:val="00750B22"/>
    <w:rsid w:val="00751DEF"/>
    <w:rsid w:val="00755580"/>
    <w:rsid w:val="00755AA5"/>
    <w:rsid w:val="00755EE2"/>
    <w:rsid w:val="00756C72"/>
    <w:rsid w:val="00761400"/>
    <w:rsid w:val="00761795"/>
    <w:rsid w:val="007662C7"/>
    <w:rsid w:val="0077124A"/>
    <w:rsid w:val="00773CBF"/>
    <w:rsid w:val="00776306"/>
    <w:rsid w:val="00781BA5"/>
    <w:rsid w:val="0078263D"/>
    <w:rsid w:val="00790AD7"/>
    <w:rsid w:val="00794628"/>
    <w:rsid w:val="00795A4E"/>
    <w:rsid w:val="007A11EC"/>
    <w:rsid w:val="007A55A7"/>
    <w:rsid w:val="007B0D18"/>
    <w:rsid w:val="007B1F10"/>
    <w:rsid w:val="007B224B"/>
    <w:rsid w:val="007B335E"/>
    <w:rsid w:val="007B61CD"/>
    <w:rsid w:val="007C5ECB"/>
    <w:rsid w:val="007C67B1"/>
    <w:rsid w:val="007C719C"/>
    <w:rsid w:val="007E018D"/>
    <w:rsid w:val="007F1B71"/>
    <w:rsid w:val="00807E7D"/>
    <w:rsid w:val="00810F75"/>
    <w:rsid w:val="00817577"/>
    <w:rsid w:val="00817ED4"/>
    <w:rsid w:val="008307FA"/>
    <w:rsid w:val="00831675"/>
    <w:rsid w:val="00831812"/>
    <w:rsid w:val="00833F54"/>
    <w:rsid w:val="0084213F"/>
    <w:rsid w:val="00842B3E"/>
    <w:rsid w:val="00850D82"/>
    <w:rsid w:val="008511CC"/>
    <w:rsid w:val="00852564"/>
    <w:rsid w:val="00854218"/>
    <w:rsid w:val="00856C65"/>
    <w:rsid w:val="0087358D"/>
    <w:rsid w:val="00876769"/>
    <w:rsid w:val="00882A8C"/>
    <w:rsid w:val="0088467C"/>
    <w:rsid w:val="008853B1"/>
    <w:rsid w:val="0088560A"/>
    <w:rsid w:val="0088583E"/>
    <w:rsid w:val="00886AFF"/>
    <w:rsid w:val="00887E7A"/>
    <w:rsid w:val="008917D7"/>
    <w:rsid w:val="008942FB"/>
    <w:rsid w:val="00894579"/>
    <w:rsid w:val="00896967"/>
    <w:rsid w:val="0089759C"/>
    <w:rsid w:val="008A5B67"/>
    <w:rsid w:val="008A6488"/>
    <w:rsid w:val="008B28B7"/>
    <w:rsid w:val="008B2C2F"/>
    <w:rsid w:val="008B3AC8"/>
    <w:rsid w:val="008B4A47"/>
    <w:rsid w:val="008C0DCD"/>
    <w:rsid w:val="008C20F2"/>
    <w:rsid w:val="008C323A"/>
    <w:rsid w:val="008D16F7"/>
    <w:rsid w:val="008E1427"/>
    <w:rsid w:val="008E32E8"/>
    <w:rsid w:val="008E50E4"/>
    <w:rsid w:val="008E68CF"/>
    <w:rsid w:val="0090041A"/>
    <w:rsid w:val="00901E2A"/>
    <w:rsid w:val="009024B7"/>
    <w:rsid w:val="00903071"/>
    <w:rsid w:val="00912CF8"/>
    <w:rsid w:val="009143A0"/>
    <w:rsid w:val="00914575"/>
    <w:rsid w:val="00914DE0"/>
    <w:rsid w:val="009178B4"/>
    <w:rsid w:val="009200EF"/>
    <w:rsid w:val="009317F8"/>
    <w:rsid w:val="00934590"/>
    <w:rsid w:val="00936902"/>
    <w:rsid w:val="00941B37"/>
    <w:rsid w:val="00943B42"/>
    <w:rsid w:val="00954679"/>
    <w:rsid w:val="00967A79"/>
    <w:rsid w:val="00970C95"/>
    <w:rsid w:val="009751C4"/>
    <w:rsid w:val="009757E1"/>
    <w:rsid w:val="00977686"/>
    <w:rsid w:val="0098173B"/>
    <w:rsid w:val="00984D0E"/>
    <w:rsid w:val="00990B70"/>
    <w:rsid w:val="00990F89"/>
    <w:rsid w:val="009A0D2E"/>
    <w:rsid w:val="009A46D0"/>
    <w:rsid w:val="009B5A9B"/>
    <w:rsid w:val="009C21AF"/>
    <w:rsid w:val="009C6A1E"/>
    <w:rsid w:val="009E2F86"/>
    <w:rsid w:val="009E6707"/>
    <w:rsid w:val="00A00A1F"/>
    <w:rsid w:val="00A020B9"/>
    <w:rsid w:val="00A04792"/>
    <w:rsid w:val="00A04DC7"/>
    <w:rsid w:val="00A07A16"/>
    <w:rsid w:val="00A12209"/>
    <w:rsid w:val="00A14709"/>
    <w:rsid w:val="00A21E6F"/>
    <w:rsid w:val="00A22794"/>
    <w:rsid w:val="00A3122E"/>
    <w:rsid w:val="00A3255D"/>
    <w:rsid w:val="00A36DF3"/>
    <w:rsid w:val="00A532DD"/>
    <w:rsid w:val="00A610F7"/>
    <w:rsid w:val="00A62DBE"/>
    <w:rsid w:val="00A63DA4"/>
    <w:rsid w:val="00A70DC8"/>
    <w:rsid w:val="00A73ABD"/>
    <w:rsid w:val="00A74A3D"/>
    <w:rsid w:val="00A80BCF"/>
    <w:rsid w:val="00A8369C"/>
    <w:rsid w:val="00A91C06"/>
    <w:rsid w:val="00A97EC3"/>
    <w:rsid w:val="00AA1689"/>
    <w:rsid w:val="00AA5770"/>
    <w:rsid w:val="00AA7DB8"/>
    <w:rsid w:val="00AB6076"/>
    <w:rsid w:val="00AC0AF8"/>
    <w:rsid w:val="00AC0FB0"/>
    <w:rsid w:val="00AC1D15"/>
    <w:rsid w:val="00AC35E0"/>
    <w:rsid w:val="00AE0206"/>
    <w:rsid w:val="00AE0E56"/>
    <w:rsid w:val="00AF0390"/>
    <w:rsid w:val="00B06F10"/>
    <w:rsid w:val="00B07B0C"/>
    <w:rsid w:val="00B23DAF"/>
    <w:rsid w:val="00B25563"/>
    <w:rsid w:val="00B25A20"/>
    <w:rsid w:val="00B26D48"/>
    <w:rsid w:val="00B26E37"/>
    <w:rsid w:val="00B321E5"/>
    <w:rsid w:val="00B343DC"/>
    <w:rsid w:val="00B34760"/>
    <w:rsid w:val="00B42EE1"/>
    <w:rsid w:val="00B43705"/>
    <w:rsid w:val="00B457B4"/>
    <w:rsid w:val="00B529AF"/>
    <w:rsid w:val="00B557F5"/>
    <w:rsid w:val="00B647CE"/>
    <w:rsid w:val="00B664D6"/>
    <w:rsid w:val="00B73CDD"/>
    <w:rsid w:val="00B7576E"/>
    <w:rsid w:val="00B80958"/>
    <w:rsid w:val="00B8293D"/>
    <w:rsid w:val="00B92478"/>
    <w:rsid w:val="00B964EB"/>
    <w:rsid w:val="00BA0E82"/>
    <w:rsid w:val="00BA6188"/>
    <w:rsid w:val="00BB4807"/>
    <w:rsid w:val="00BC0FF7"/>
    <w:rsid w:val="00BD166E"/>
    <w:rsid w:val="00BD61A2"/>
    <w:rsid w:val="00BE2471"/>
    <w:rsid w:val="00BE484D"/>
    <w:rsid w:val="00BF1E43"/>
    <w:rsid w:val="00BF478E"/>
    <w:rsid w:val="00C0102E"/>
    <w:rsid w:val="00C11FB4"/>
    <w:rsid w:val="00C15444"/>
    <w:rsid w:val="00C172A1"/>
    <w:rsid w:val="00C243CE"/>
    <w:rsid w:val="00C24680"/>
    <w:rsid w:val="00C37E05"/>
    <w:rsid w:val="00C40850"/>
    <w:rsid w:val="00C41BDD"/>
    <w:rsid w:val="00C424A9"/>
    <w:rsid w:val="00C4574B"/>
    <w:rsid w:val="00C532C7"/>
    <w:rsid w:val="00C55D29"/>
    <w:rsid w:val="00C57629"/>
    <w:rsid w:val="00C60D35"/>
    <w:rsid w:val="00C61587"/>
    <w:rsid w:val="00C62FD0"/>
    <w:rsid w:val="00C86084"/>
    <w:rsid w:val="00C860AB"/>
    <w:rsid w:val="00C8773D"/>
    <w:rsid w:val="00C91655"/>
    <w:rsid w:val="00C969D7"/>
    <w:rsid w:val="00CA0BE9"/>
    <w:rsid w:val="00CA138D"/>
    <w:rsid w:val="00CA5CF8"/>
    <w:rsid w:val="00CB0F78"/>
    <w:rsid w:val="00CB137B"/>
    <w:rsid w:val="00CC415D"/>
    <w:rsid w:val="00CC7641"/>
    <w:rsid w:val="00CD60B8"/>
    <w:rsid w:val="00CE4438"/>
    <w:rsid w:val="00CE648B"/>
    <w:rsid w:val="00CE68C8"/>
    <w:rsid w:val="00CF07E0"/>
    <w:rsid w:val="00CF2E71"/>
    <w:rsid w:val="00CF4289"/>
    <w:rsid w:val="00CF5116"/>
    <w:rsid w:val="00D13794"/>
    <w:rsid w:val="00D13A6A"/>
    <w:rsid w:val="00D15C2B"/>
    <w:rsid w:val="00D22C46"/>
    <w:rsid w:val="00D24052"/>
    <w:rsid w:val="00D24386"/>
    <w:rsid w:val="00D27001"/>
    <w:rsid w:val="00D31575"/>
    <w:rsid w:val="00D323C0"/>
    <w:rsid w:val="00D34626"/>
    <w:rsid w:val="00D34CE2"/>
    <w:rsid w:val="00D34FB4"/>
    <w:rsid w:val="00D4257A"/>
    <w:rsid w:val="00D52EDF"/>
    <w:rsid w:val="00D546BD"/>
    <w:rsid w:val="00D60A4B"/>
    <w:rsid w:val="00D6163A"/>
    <w:rsid w:val="00D61982"/>
    <w:rsid w:val="00D62665"/>
    <w:rsid w:val="00D63A4C"/>
    <w:rsid w:val="00D641BB"/>
    <w:rsid w:val="00D706B7"/>
    <w:rsid w:val="00D765ED"/>
    <w:rsid w:val="00D82496"/>
    <w:rsid w:val="00D82E47"/>
    <w:rsid w:val="00D85357"/>
    <w:rsid w:val="00D91673"/>
    <w:rsid w:val="00D91D0A"/>
    <w:rsid w:val="00D935F4"/>
    <w:rsid w:val="00D978ED"/>
    <w:rsid w:val="00DB0C39"/>
    <w:rsid w:val="00DB2A3F"/>
    <w:rsid w:val="00DB75AA"/>
    <w:rsid w:val="00DC0CDE"/>
    <w:rsid w:val="00DC26B5"/>
    <w:rsid w:val="00DC32B0"/>
    <w:rsid w:val="00DC4D72"/>
    <w:rsid w:val="00DD459B"/>
    <w:rsid w:val="00DD73F3"/>
    <w:rsid w:val="00DE3E74"/>
    <w:rsid w:val="00DE484A"/>
    <w:rsid w:val="00DE59C1"/>
    <w:rsid w:val="00DF789D"/>
    <w:rsid w:val="00E012F1"/>
    <w:rsid w:val="00E0624D"/>
    <w:rsid w:val="00E21FDC"/>
    <w:rsid w:val="00E23996"/>
    <w:rsid w:val="00E24C0B"/>
    <w:rsid w:val="00E27192"/>
    <w:rsid w:val="00E35E45"/>
    <w:rsid w:val="00E404DF"/>
    <w:rsid w:val="00E4438C"/>
    <w:rsid w:val="00E457F3"/>
    <w:rsid w:val="00E45AEA"/>
    <w:rsid w:val="00E46AD3"/>
    <w:rsid w:val="00E62126"/>
    <w:rsid w:val="00E63022"/>
    <w:rsid w:val="00E817FA"/>
    <w:rsid w:val="00E868A5"/>
    <w:rsid w:val="00E92579"/>
    <w:rsid w:val="00E945C6"/>
    <w:rsid w:val="00EA19E8"/>
    <w:rsid w:val="00EA4DD8"/>
    <w:rsid w:val="00EB2AEF"/>
    <w:rsid w:val="00EB7E71"/>
    <w:rsid w:val="00ED0A80"/>
    <w:rsid w:val="00ED17B0"/>
    <w:rsid w:val="00EE1A26"/>
    <w:rsid w:val="00EF2ECF"/>
    <w:rsid w:val="00EF6C23"/>
    <w:rsid w:val="00F01A8C"/>
    <w:rsid w:val="00F0353A"/>
    <w:rsid w:val="00F07A78"/>
    <w:rsid w:val="00F109D4"/>
    <w:rsid w:val="00F14173"/>
    <w:rsid w:val="00F15EE9"/>
    <w:rsid w:val="00F220F4"/>
    <w:rsid w:val="00F315F1"/>
    <w:rsid w:val="00F42F43"/>
    <w:rsid w:val="00F4615A"/>
    <w:rsid w:val="00F465FA"/>
    <w:rsid w:val="00F470EE"/>
    <w:rsid w:val="00F47585"/>
    <w:rsid w:val="00F5429E"/>
    <w:rsid w:val="00F5493C"/>
    <w:rsid w:val="00F54D79"/>
    <w:rsid w:val="00F55834"/>
    <w:rsid w:val="00F64CE5"/>
    <w:rsid w:val="00F64DF7"/>
    <w:rsid w:val="00F670A5"/>
    <w:rsid w:val="00F67A74"/>
    <w:rsid w:val="00F7365B"/>
    <w:rsid w:val="00F76250"/>
    <w:rsid w:val="00F8214D"/>
    <w:rsid w:val="00F85E6F"/>
    <w:rsid w:val="00F878E3"/>
    <w:rsid w:val="00F9264C"/>
    <w:rsid w:val="00FA0A70"/>
    <w:rsid w:val="00FA137E"/>
    <w:rsid w:val="00FA235F"/>
    <w:rsid w:val="00FA276C"/>
    <w:rsid w:val="00FA56A5"/>
    <w:rsid w:val="00FA5760"/>
    <w:rsid w:val="00FB2311"/>
    <w:rsid w:val="00FB4042"/>
    <w:rsid w:val="00FD302B"/>
    <w:rsid w:val="00FD4525"/>
    <w:rsid w:val="00FD6625"/>
    <w:rsid w:val="00FE04E4"/>
    <w:rsid w:val="00FE73F9"/>
    <w:rsid w:val="00FF1057"/>
    <w:rsid w:val="00FF3E25"/>
    <w:rsid w:val="00FF6A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55B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left" w:pos="851"/>
      </w:tabs>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styleId="FootnoteText">
    <w:name w:val="footnote text"/>
    <w:basedOn w:val="Normal"/>
    <w:link w:val="FootnoteTextChar"/>
    <w:uiPriority w:val="99"/>
    <w:semiHidden/>
    <w:unhideWhenUsed/>
    <w:rsid w:val="004B7A13"/>
    <w:pPr>
      <w:spacing w:before="0" w:after="0"/>
    </w:pPr>
    <w:rPr>
      <w:sz w:val="20"/>
    </w:rPr>
  </w:style>
  <w:style w:type="character" w:customStyle="1" w:styleId="FootnoteTextChar">
    <w:name w:val="Footnote Text Char"/>
    <w:basedOn w:val="DefaultParagraphFont"/>
    <w:link w:val="FootnoteText"/>
    <w:uiPriority w:val="99"/>
    <w:semiHidden/>
    <w:rsid w:val="004B7A13"/>
  </w:style>
  <w:style w:type="character" w:styleId="FootnoteReference">
    <w:name w:val="footnote reference"/>
    <w:basedOn w:val="DefaultParagraphFont"/>
    <w:uiPriority w:val="99"/>
    <w:semiHidden/>
    <w:unhideWhenUsed/>
    <w:rsid w:val="004B7A13"/>
    <w:rPr>
      <w:vertAlign w:val="superscript"/>
    </w:rPr>
  </w:style>
  <w:style w:type="character" w:styleId="UnresolvedMention">
    <w:name w:val="Unresolved Mention"/>
    <w:basedOn w:val="DefaultParagraphFont"/>
    <w:uiPriority w:val="99"/>
    <w:semiHidden/>
    <w:unhideWhenUsed/>
    <w:rsid w:val="004B7A13"/>
    <w:rPr>
      <w:color w:val="605E5C"/>
      <w:shd w:val="clear" w:color="auto" w:fill="E1DFDD"/>
    </w:rPr>
  </w:style>
  <w:style w:type="paragraph" w:styleId="Revision">
    <w:name w:val="Revision"/>
    <w:hidden/>
    <w:uiPriority w:val="99"/>
    <w:semiHidden/>
    <w:rsid w:val="004F775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546565">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0E439F0A21486BBBAA66BF96AE1679"/>
        <w:category>
          <w:name w:val="General"/>
          <w:gallery w:val="placeholder"/>
        </w:category>
        <w:types>
          <w:type w:val="bbPlcHdr"/>
        </w:types>
        <w:behaviors>
          <w:behavior w:val="content"/>
        </w:behaviors>
        <w:guid w:val="{DC1DEB9E-3D8C-43B6-8B96-945B292D716E}"/>
      </w:docPartPr>
      <w:docPartBody>
        <w:p w:rsidR="00643097" w:rsidRDefault="00643097">
          <w:pPr>
            <w:pStyle w:val="EE0E439F0A21486BBBAA66BF96AE1679"/>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097"/>
    <w:rsid w:val="001F7AAC"/>
    <w:rsid w:val="004314D2"/>
    <w:rsid w:val="00643097"/>
    <w:rsid w:val="0072658C"/>
    <w:rsid w:val="00841F73"/>
    <w:rsid w:val="008E770C"/>
    <w:rsid w:val="00954B32"/>
    <w:rsid w:val="00975D00"/>
    <w:rsid w:val="00B42AE1"/>
    <w:rsid w:val="00F272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E0E439F0A21486BBBAA66BF96AE1679">
    <w:name w:val="EE0E439F0A21486BBBAA66BF96AE16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2A9A4A265DA38478F4FD0F336720262" ma:contentTypeVersion="" ma:contentTypeDescription="PDMS Document Site Content Type" ma:contentTypeScope="" ma:versionID="f52b6ad4f794fa65046a5837ecdd1b11">
  <xsd:schema xmlns:xsd="http://www.w3.org/2001/XMLSchema" xmlns:xs="http://www.w3.org/2001/XMLSchema" xmlns:p="http://schemas.microsoft.com/office/2006/metadata/properties" xmlns:ns2="8EE10557-62B0-4874-AA05-935B0B48091C" targetNamespace="http://schemas.microsoft.com/office/2006/metadata/properties" ma:root="true" ma:fieldsID="a842439272347b795a056e763cd14ee8" ns2:_="">
    <xsd:import namespace="8EE10557-62B0-4874-AA05-935B0B48091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10557-62B0-4874-AA05-935B0B48091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8EE10557-62B0-4874-AA05-935B0B48091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8CE2C9-57F6-4C86-9081-B06BF743F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10557-62B0-4874-AA05-935B0B480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3.xml><?xml version="1.0" encoding="utf-8"?>
<ds:datastoreItem xmlns:ds="http://schemas.openxmlformats.org/officeDocument/2006/customXml" ds:itemID="{899E0D2A-085F-49FD-BD1D-8A0B9FF44C57}">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www.w3.org/XML/1998/namespace"/>
    <ds:schemaRef ds:uri="8EE10557-62B0-4874-AA05-935B0B48091C"/>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D853A6A6-0C00-455B-B6A1-0B610CD32E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3163</Words>
  <Characters>18034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220105_NCCPA Determination_ES_revised 2023_FINAL</dc:title>
  <dc:subject/>
  <dc:creator/>
  <cp:keywords/>
  <cp:lastModifiedBy/>
  <cp:revision>1</cp:revision>
  <dcterms:created xsi:type="dcterms:W3CDTF">2023-09-14T07:37:00Z</dcterms:created>
  <dcterms:modified xsi:type="dcterms:W3CDTF">2023-09-14T07:37:00Z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0x010100266966F133664895A6EE3632470D45F500D2A9A4A265DA38478F4FD0F336720262</vt:lpwstr>
  </property>
  <property fmtid="{D5CDD505-2E9C-101B-9397-08002B2CF9AE}" pid="3" name="TSYRecordClass">
    <vt:lpwstr>7;#TSY RA-9236 - Retain as national archives|c6a225b4-6b93-473e-bcbb-6bc6ab25b623</vt:lpwstr>
  </property>
  <property fmtid="{D5CDD505-2E9C-101B-9397-08002B2CF9AE}" pid="4" name="TSYTopic">
    <vt:lpwstr/>
  </property>
  <property fmtid="{D5CDD505-2E9C-101B-9397-08002B2CF9AE}" pid="5" name="_dlc_DocIdItemGuid">
    <vt:lpwstr>21640a18-4e08-4707-bd3b-0bb528d35139</vt:lpwstr>
  </property>
  <property fmtid="{D5CDD505-2E9C-101B-9397-08002B2CF9AE}" pid="6" name="eActivity">
    <vt:lpwstr>28;#Legislative measures|0d31ce10-0017-4a46-8d2d-ba60058cb6a2</vt:lpwstr>
  </property>
  <property fmtid="{D5CDD505-2E9C-101B-9397-08002B2CF9AE}" pid="7" name="k8424359e03846678cc4a99dd97e9705">
    <vt:lpwstr>Treasury Enterprise Terms|69519368-d55f-4403-adc0-7b3d464d5501</vt:lpwstr>
  </property>
  <property fmtid="{D5CDD505-2E9C-101B-9397-08002B2CF9AE}" pid="8" name="eTopic">
    <vt:lpwstr>93;#Banking|a80f1bf8-7f20-4745-be5a-677803385232;#83;#Insurance|b90cd62f-b048-4409-b585-751d11d9d856;#66;#Superannuation|8707c3d5-9bae-49be-8cb7-545caaf1b8a8;#82;#Regulator powers|297ee9ed-b49e-4075-8974-fd1c53affea2</vt:lpwstr>
  </property>
  <property fmtid="{D5CDD505-2E9C-101B-9397-08002B2CF9AE}" pid="9" name="eTheme">
    <vt:lpwstr>1;#Law Design|318dd2d2-18da-4b8e-a458-14db2c1af95f</vt:lpwstr>
  </property>
  <property fmtid="{D5CDD505-2E9C-101B-9397-08002B2CF9AE}" pid="10" name="TSYStatus">
    <vt:lpwstr/>
  </property>
  <property fmtid="{D5CDD505-2E9C-101B-9397-08002B2CF9AE}" pid="11" name="EmailAttachments">
    <vt:bool>false</vt:bool>
  </property>
  <property fmtid="{D5CDD505-2E9C-101B-9397-08002B2CF9AE}" pid="12" name="eDocumentType">
    <vt:lpwstr>153;#Explanatory Materials|ac61e78e-992e-40fd-ae93-2c9522960b05</vt:lpwstr>
  </property>
  <property fmtid="{D5CDD505-2E9C-101B-9397-08002B2CF9AE}" pid="13" name="LMDivision">
    <vt:lpwstr>3;#Treasury Enterprise Terms|69519368-d55f-4403-adc0-7b3d464d5501</vt:lpwstr>
  </property>
  <property fmtid="{D5CDD505-2E9C-101B-9397-08002B2CF9AE}" pid="14" name="Activity">
    <vt:lpwstr>35;#Legislation management|cb630f2f-9155-496b-ad0f-d960eb1bf90c</vt:lpwstr>
  </property>
  <property fmtid="{D5CDD505-2E9C-101B-9397-08002B2CF9AE}" pid="15" name="Topic">
    <vt:lpwstr>36;#Legislation Coordination|58c6712e-e847-48f4-81ab-b25e2bbd3986</vt:lpwstr>
  </property>
  <property fmtid="{D5CDD505-2E9C-101B-9397-08002B2CF9AE}" pid="16" name="Order">
    <vt:r8>27400</vt:r8>
  </property>
  <property fmtid="{D5CDD505-2E9C-101B-9397-08002B2CF9AE}" pid="17" name="Document Type">
    <vt:lpwstr>40;#Explanatory materials|45cbb05c-9508-47f1-902e-7b8414a82b21</vt:lpwstr>
  </property>
</Properties>
</file>