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CC83" w14:textId="022D3E32" w:rsidR="00976332" w:rsidRPr="00D9085C" w:rsidRDefault="00C848E8" w:rsidP="00211C6D">
      <w:pPr>
        <w:pStyle w:val="Heading"/>
        <w:spacing w:before="120"/>
        <w:jc w:val="center"/>
        <w:rPr>
          <w:rFonts w:ascii="Times New Roman" w:hAnsi="Times New Roman"/>
          <w:sz w:val="24"/>
          <w:szCs w:val="24"/>
        </w:rPr>
      </w:pPr>
      <w:r w:rsidRPr="00D9085C">
        <w:rPr>
          <w:rFonts w:ascii="Times New Roman" w:hAnsi="Times New Roman"/>
          <w:sz w:val="24"/>
          <w:szCs w:val="24"/>
        </w:rPr>
        <w:t xml:space="preserve">Banking, Insurance, Life Insurance, Health Insurance and Superannuation (prudential standard) </w:t>
      </w:r>
      <w:r w:rsidR="00976332" w:rsidRPr="00D9085C">
        <w:rPr>
          <w:rFonts w:ascii="Times New Roman" w:hAnsi="Times New Roman"/>
          <w:sz w:val="24"/>
          <w:szCs w:val="24"/>
        </w:rPr>
        <w:t xml:space="preserve">determination No. </w:t>
      </w:r>
      <w:r w:rsidR="00D502AE">
        <w:rPr>
          <w:rFonts w:ascii="Times New Roman" w:hAnsi="Times New Roman"/>
          <w:sz w:val="24"/>
          <w:szCs w:val="24"/>
        </w:rPr>
        <w:t>2</w:t>
      </w:r>
      <w:r w:rsidR="00976332" w:rsidRPr="00D9085C">
        <w:rPr>
          <w:rFonts w:ascii="Times New Roman" w:hAnsi="Times New Roman"/>
          <w:sz w:val="24"/>
          <w:szCs w:val="24"/>
        </w:rPr>
        <w:t xml:space="preserve"> of 202</w:t>
      </w:r>
      <w:r w:rsidR="00001370">
        <w:rPr>
          <w:rFonts w:ascii="Times New Roman" w:hAnsi="Times New Roman"/>
          <w:sz w:val="24"/>
          <w:szCs w:val="24"/>
        </w:rPr>
        <w:t>3</w:t>
      </w:r>
    </w:p>
    <w:p w14:paraId="4247969B" w14:textId="77777777" w:rsidR="00976332" w:rsidRPr="00D9085C" w:rsidRDefault="00976332">
      <w:pPr>
        <w:pStyle w:val="Heading"/>
        <w:tabs>
          <w:tab w:val="left" w:pos="360"/>
        </w:tabs>
        <w:spacing w:before="120"/>
        <w:jc w:val="center"/>
        <w:rPr>
          <w:rFonts w:ascii="Times New Roman" w:hAnsi="Times New Roman"/>
          <w:sz w:val="24"/>
          <w:szCs w:val="24"/>
          <w:u w:val="single"/>
        </w:rPr>
      </w:pPr>
      <w:bookmarkStart w:id="0" w:name="bkInstrumentSubTitle"/>
      <w:bookmarkStart w:id="1" w:name="_Hlk83890998"/>
      <w:bookmarkEnd w:id="0"/>
      <w:r w:rsidRPr="00D9085C">
        <w:rPr>
          <w:rFonts w:ascii="Times New Roman" w:hAnsi="Times New Roman"/>
          <w:sz w:val="24"/>
          <w:szCs w:val="24"/>
          <w:u w:val="single"/>
        </w:rPr>
        <w:t>EXPLANATORY STATEMENT</w:t>
      </w:r>
    </w:p>
    <w:bookmarkEnd w:id="1"/>
    <w:p w14:paraId="338D0C41" w14:textId="77777777" w:rsidR="005E06E9" w:rsidRPr="00D9085C" w:rsidRDefault="005E06E9">
      <w:pPr>
        <w:pStyle w:val="Heading"/>
        <w:spacing w:before="120"/>
        <w:jc w:val="center"/>
        <w:rPr>
          <w:rFonts w:ascii="Times New Roman" w:hAnsi="Times New Roman"/>
          <w:sz w:val="24"/>
          <w:szCs w:val="24"/>
        </w:rPr>
      </w:pPr>
      <w:r w:rsidRPr="00D9085C">
        <w:rPr>
          <w:rFonts w:ascii="Times New Roman" w:hAnsi="Times New Roman"/>
          <w:sz w:val="24"/>
          <w:szCs w:val="24"/>
        </w:rPr>
        <w:t>Prepared by the Australian Prudential Regulation Authority (APRA)</w:t>
      </w:r>
    </w:p>
    <w:p w14:paraId="5B51E694" w14:textId="77777777" w:rsidR="005E06E9" w:rsidRPr="00D9085C" w:rsidRDefault="005E06E9">
      <w:pPr>
        <w:pStyle w:val="Heading"/>
        <w:tabs>
          <w:tab w:val="left" w:pos="360"/>
        </w:tabs>
        <w:spacing w:before="120"/>
        <w:jc w:val="center"/>
        <w:rPr>
          <w:rFonts w:ascii="Times New Roman" w:hAnsi="Times New Roman"/>
          <w:b w:val="0"/>
          <w:i/>
          <w:sz w:val="24"/>
          <w:szCs w:val="24"/>
        </w:rPr>
      </w:pPr>
      <w:r w:rsidRPr="00D9085C">
        <w:rPr>
          <w:rFonts w:ascii="Times New Roman" w:hAnsi="Times New Roman"/>
          <w:b w:val="0"/>
          <w:i/>
          <w:sz w:val="24"/>
          <w:szCs w:val="24"/>
        </w:rPr>
        <w:t xml:space="preserve">Banking Act 1959, </w:t>
      </w:r>
      <w:r w:rsidRPr="00D9085C">
        <w:rPr>
          <w:rFonts w:ascii="Times New Roman" w:hAnsi="Times New Roman"/>
          <w:b w:val="0"/>
          <w:sz w:val="24"/>
          <w:szCs w:val="24"/>
        </w:rPr>
        <w:t>section 11AF</w:t>
      </w:r>
    </w:p>
    <w:p w14:paraId="72671A69" w14:textId="77777777" w:rsidR="005E06E9" w:rsidRPr="00D9085C" w:rsidRDefault="005E06E9">
      <w:pPr>
        <w:pStyle w:val="Heading"/>
        <w:tabs>
          <w:tab w:val="left" w:pos="360"/>
        </w:tabs>
        <w:spacing w:before="120"/>
        <w:jc w:val="center"/>
        <w:rPr>
          <w:rFonts w:ascii="Times New Roman" w:hAnsi="Times New Roman"/>
          <w:b w:val="0"/>
          <w:i/>
          <w:sz w:val="24"/>
          <w:szCs w:val="24"/>
        </w:rPr>
      </w:pPr>
      <w:r w:rsidRPr="00D9085C">
        <w:rPr>
          <w:rFonts w:ascii="Times New Roman" w:hAnsi="Times New Roman"/>
          <w:b w:val="0"/>
          <w:i/>
          <w:sz w:val="24"/>
          <w:szCs w:val="24"/>
        </w:rPr>
        <w:t xml:space="preserve">Insurance Act 1973, </w:t>
      </w:r>
      <w:r w:rsidRPr="00D9085C">
        <w:rPr>
          <w:rFonts w:ascii="Times New Roman" w:hAnsi="Times New Roman"/>
          <w:b w:val="0"/>
          <w:sz w:val="24"/>
          <w:szCs w:val="24"/>
        </w:rPr>
        <w:t>section 32</w:t>
      </w:r>
    </w:p>
    <w:p w14:paraId="3EE951E2" w14:textId="5F23C44F" w:rsidR="005E06E9" w:rsidRPr="00D9085C" w:rsidRDefault="005E06E9">
      <w:pPr>
        <w:pStyle w:val="Heading"/>
        <w:tabs>
          <w:tab w:val="left" w:pos="360"/>
        </w:tabs>
        <w:spacing w:before="120"/>
        <w:jc w:val="center"/>
      </w:pPr>
      <w:r w:rsidRPr="00D9085C">
        <w:rPr>
          <w:rFonts w:ascii="Times New Roman" w:hAnsi="Times New Roman"/>
          <w:b w:val="0"/>
          <w:i/>
          <w:sz w:val="24"/>
          <w:szCs w:val="24"/>
        </w:rPr>
        <w:t xml:space="preserve">Life Insurance Act 1995, </w:t>
      </w:r>
      <w:r w:rsidRPr="00D9085C">
        <w:rPr>
          <w:rFonts w:ascii="Times New Roman" w:hAnsi="Times New Roman"/>
          <w:b w:val="0"/>
          <w:sz w:val="24"/>
          <w:szCs w:val="24"/>
        </w:rPr>
        <w:t>section 230A</w:t>
      </w:r>
    </w:p>
    <w:p w14:paraId="0F869EDC" w14:textId="44AD141C" w:rsidR="005E06E9" w:rsidRPr="00D9085C" w:rsidRDefault="005E06E9">
      <w:pPr>
        <w:pStyle w:val="Heading"/>
        <w:tabs>
          <w:tab w:val="left" w:pos="360"/>
        </w:tabs>
        <w:spacing w:before="120"/>
        <w:jc w:val="center"/>
        <w:rPr>
          <w:rFonts w:ascii="Times New Roman" w:hAnsi="Times New Roman"/>
          <w:b w:val="0"/>
          <w:i/>
          <w:sz w:val="24"/>
          <w:szCs w:val="24"/>
        </w:rPr>
      </w:pPr>
      <w:r w:rsidRPr="00D9085C">
        <w:rPr>
          <w:rFonts w:ascii="Times New Roman" w:hAnsi="Times New Roman"/>
          <w:b w:val="0"/>
          <w:i/>
          <w:sz w:val="24"/>
          <w:szCs w:val="24"/>
        </w:rPr>
        <w:t xml:space="preserve">Private Health Insurance (Prudential Supervision) Act 2015, </w:t>
      </w:r>
      <w:r w:rsidRPr="00D9085C">
        <w:rPr>
          <w:rFonts w:ascii="Times New Roman" w:hAnsi="Times New Roman"/>
          <w:b w:val="0"/>
          <w:sz w:val="24"/>
          <w:szCs w:val="24"/>
        </w:rPr>
        <w:t>section 92</w:t>
      </w:r>
    </w:p>
    <w:p w14:paraId="797ECF87" w14:textId="77777777" w:rsidR="005E06E9" w:rsidRPr="00D9085C" w:rsidRDefault="005E06E9">
      <w:pPr>
        <w:pStyle w:val="Heading"/>
        <w:tabs>
          <w:tab w:val="left" w:pos="360"/>
        </w:tabs>
        <w:spacing w:before="120"/>
        <w:jc w:val="center"/>
        <w:rPr>
          <w:rFonts w:ascii="Times New Roman" w:hAnsi="Times New Roman"/>
          <w:b w:val="0"/>
          <w:i/>
          <w:sz w:val="24"/>
          <w:szCs w:val="24"/>
        </w:rPr>
      </w:pPr>
      <w:r w:rsidRPr="00D9085C">
        <w:rPr>
          <w:rFonts w:ascii="Times New Roman" w:hAnsi="Times New Roman"/>
          <w:b w:val="0"/>
          <w:i/>
          <w:sz w:val="24"/>
          <w:szCs w:val="24"/>
        </w:rPr>
        <w:t xml:space="preserve">Superannuation Industry (Supervision) Act 1993, </w:t>
      </w:r>
      <w:r w:rsidRPr="00D9085C">
        <w:rPr>
          <w:rFonts w:ascii="Times New Roman" w:hAnsi="Times New Roman"/>
          <w:b w:val="0"/>
          <w:sz w:val="24"/>
          <w:szCs w:val="24"/>
        </w:rPr>
        <w:t>section 34C</w:t>
      </w:r>
    </w:p>
    <w:p w14:paraId="60242B30" w14:textId="77777777" w:rsidR="005E06E9" w:rsidRPr="00D9085C" w:rsidRDefault="005E06E9" w:rsidP="00165C5D">
      <w:pPr>
        <w:jc w:val="both"/>
        <w:rPr>
          <w:rFonts w:ascii="Times New Roman" w:hAnsi="Times New Roman" w:cs="Times New Roman"/>
          <w:sz w:val="24"/>
          <w:szCs w:val="24"/>
        </w:rPr>
      </w:pPr>
    </w:p>
    <w:p w14:paraId="0FF6055F" w14:textId="050E9CA2" w:rsidR="008B0EB8" w:rsidRPr="00D9085C" w:rsidRDefault="008B0EB8" w:rsidP="00165C5D">
      <w:pPr>
        <w:jc w:val="both"/>
        <w:rPr>
          <w:rFonts w:ascii="Times New Roman" w:hAnsi="Times New Roman" w:cs="Times New Roman"/>
          <w:sz w:val="24"/>
          <w:szCs w:val="24"/>
        </w:rPr>
      </w:pPr>
      <w:r w:rsidRPr="00D9085C">
        <w:rPr>
          <w:rFonts w:ascii="Times New Roman" w:hAnsi="Times New Roman" w:cs="Times New Roman"/>
          <w:sz w:val="24"/>
          <w:szCs w:val="24"/>
        </w:rPr>
        <w:t>APRA may, in writing, determine a prudential standard that applies to an APRA-regulated entity under:</w:t>
      </w:r>
    </w:p>
    <w:p w14:paraId="58DA7560" w14:textId="1B6F2F83" w:rsidR="008B0EB8" w:rsidRPr="00D9085C" w:rsidRDefault="008B0EB8" w:rsidP="00777743">
      <w:pPr>
        <w:pStyle w:val="ListParagraph"/>
        <w:numPr>
          <w:ilvl w:val="0"/>
          <w:numId w:val="24"/>
        </w:numPr>
        <w:ind w:left="851" w:hanging="567"/>
        <w:contextualSpacing w:val="0"/>
        <w:jc w:val="both"/>
        <w:rPr>
          <w:rFonts w:ascii="Times New Roman" w:hAnsi="Times New Roman" w:cs="Times New Roman"/>
          <w:sz w:val="24"/>
          <w:szCs w:val="24"/>
        </w:rPr>
      </w:pPr>
      <w:r w:rsidRPr="00D9085C">
        <w:rPr>
          <w:rFonts w:ascii="Times New Roman" w:hAnsi="Times New Roman" w:cs="Times New Roman"/>
          <w:sz w:val="24"/>
          <w:szCs w:val="24"/>
        </w:rPr>
        <w:t>subsection 11</w:t>
      </w:r>
      <w:proofErr w:type="gramStart"/>
      <w:r w:rsidRPr="00D9085C">
        <w:rPr>
          <w:rFonts w:ascii="Times New Roman" w:hAnsi="Times New Roman" w:cs="Times New Roman"/>
          <w:sz w:val="24"/>
          <w:szCs w:val="24"/>
        </w:rPr>
        <w:t>AF(</w:t>
      </w:r>
      <w:proofErr w:type="gramEnd"/>
      <w:r w:rsidRPr="00D9085C">
        <w:rPr>
          <w:rFonts w:ascii="Times New Roman" w:hAnsi="Times New Roman" w:cs="Times New Roman"/>
          <w:sz w:val="24"/>
          <w:szCs w:val="24"/>
        </w:rPr>
        <w:t xml:space="preserve">1) of the </w:t>
      </w:r>
      <w:r w:rsidRPr="00D9085C">
        <w:rPr>
          <w:rFonts w:ascii="Times New Roman" w:hAnsi="Times New Roman" w:cs="Times New Roman"/>
          <w:i/>
          <w:sz w:val="24"/>
          <w:szCs w:val="24"/>
        </w:rPr>
        <w:t>Banking Act 1959</w:t>
      </w:r>
      <w:r w:rsidRPr="00D9085C">
        <w:rPr>
          <w:rFonts w:ascii="Times New Roman" w:hAnsi="Times New Roman" w:cs="Times New Roman"/>
          <w:sz w:val="24"/>
          <w:szCs w:val="24"/>
        </w:rPr>
        <w:t xml:space="preserve"> (Banking Act), </w:t>
      </w:r>
      <w:r w:rsidR="005242B6" w:rsidRPr="00D9085C">
        <w:rPr>
          <w:rFonts w:ascii="Times New Roman" w:hAnsi="Times New Roman" w:cs="Times New Roman"/>
          <w:sz w:val="24"/>
          <w:szCs w:val="24"/>
        </w:rPr>
        <w:t>which applies to all authorised deposit-taking institutions (ADIs)</w:t>
      </w:r>
      <w:r w:rsidR="00B637D6">
        <w:rPr>
          <w:rFonts w:ascii="Times New Roman" w:hAnsi="Times New Roman" w:cs="Times New Roman"/>
          <w:sz w:val="24"/>
          <w:szCs w:val="24"/>
        </w:rPr>
        <w:t>,</w:t>
      </w:r>
      <w:r w:rsidR="005242B6" w:rsidRPr="00D9085C">
        <w:rPr>
          <w:rFonts w:ascii="Times New Roman" w:hAnsi="Times New Roman" w:cs="Times New Roman"/>
          <w:sz w:val="24"/>
          <w:szCs w:val="24"/>
        </w:rPr>
        <w:t xml:space="preserve"> authorised banking non-operating holding companies (authorised banking NOHCs)</w:t>
      </w:r>
      <w:r w:rsidR="0076758F">
        <w:rPr>
          <w:rFonts w:ascii="Times New Roman" w:hAnsi="Times New Roman" w:cs="Times New Roman"/>
          <w:sz w:val="24"/>
          <w:szCs w:val="24"/>
        </w:rPr>
        <w:t xml:space="preserve"> and subsidiaries of A</w:t>
      </w:r>
      <w:r w:rsidR="00441CE4">
        <w:rPr>
          <w:rFonts w:ascii="Times New Roman" w:hAnsi="Times New Roman" w:cs="Times New Roman"/>
          <w:sz w:val="24"/>
          <w:szCs w:val="24"/>
        </w:rPr>
        <w:t>DI</w:t>
      </w:r>
      <w:r w:rsidR="0076758F">
        <w:rPr>
          <w:rFonts w:ascii="Times New Roman" w:hAnsi="Times New Roman" w:cs="Times New Roman"/>
          <w:sz w:val="24"/>
          <w:szCs w:val="24"/>
        </w:rPr>
        <w:t>s and authorised banking NOHCs</w:t>
      </w:r>
      <w:r w:rsidRPr="00D9085C">
        <w:rPr>
          <w:rFonts w:ascii="Times New Roman" w:hAnsi="Times New Roman" w:cs="Times New Roman"/>
          <w:sz w:val="24"/>
          <w:szCs w:val="24"/>
        </w:rPr>
        <w:t>;</w:t>
      </w:r>
    </w:p>
    <w:p w14:paraId="54EA7204" w14:textId="200EC421" w:rsidR="008B0EB8" w:rsidRPr="00D9085C" w:rsidRDefault="008B0EB8" w:rsidP="00777743">
      <w:pPr>
        <w:pStyle w:val="ListParagraph"/>
        <w:numPr>
          <w:ilvl w:val="0"/>
          <w:numId w:val="24"/>
        </w:numPr>
        <w:ind w:left="851" w:hanging="567"/>
        <w:contextualSpacing w:val="0"/>
        <w:jc w:val="both"/>
        <w:rPr>
          <w:rFonts w:ascii="Times New Roman" w:hAnsi="Times New Roman" w:cs="Times New Roman"/>
          <w:sz w:val="24"/>
          <w:szCs w:val="24"/>
        </w:rPr>
      </w:pPr>
      <w:r w:rsidRPr="00D9085C">
        <w:rPr>
          <w:rFonts w:ascii="Times New Roman" w:hAnsi="Times New Roman" w:cs="Times New Roman"/>
          <w:sz w:val="24"/>
          <w:szCs w:val="24"/>
        </w:rPr>
        <w:t xml:space="preserve">subsection 32(1) of the </w:t>
      </w:r>
      <w:r w:rsidRPr="00D9085C">
        <w:rPr>
          <w:rFonts w:ascii="Times New Roman" w:hAnsi="Times New Roman" w:cs="Times New Roman"/>
          <w:i/>
          <w:sz w:val="24"/>
          <w:szCs w:val="24"/>
        </w:rPr>
        <w:t>Insurance Act 1973</w:t>
      </w:r>
      <w:r w:rsidRPr="00D9085C">
        <w:rPr>
          <w:rFonts w:ascii="Times New Roman" w:hAnsi="Times New Roman" w:cs="Times New Roman"/>
          <w:sz w:val="24"/>
          <w:szCs w:val="24"/>
        </w:rPr>
        <w:t xml:space="preserve"> (Insurance Act), </w:t>
      </w:r>
      <w:r w:rsidR="005242B6" w:rsidRPr="00D9085C">
        <w:rPr>
          <w:rFonts w:ascii="Times New Roman" w:hAnsi="Times New Roman" w:cs="Times New Roman"/>
          <w:sz w:val="24"/>
          <w:szCs w:val="24"/>
        </w:rPr>
        <w:t xml:space="preserve">which applies to all general insurers and authorised non-operating holding companies (authorised </w:t>
      </w:r>
      <w:r w:rsidR="005F2300">
        <w:rPr>
          <w:rFonts w:ascii="Times New Roman" w:hAnsi="Times New Roman" w:cs="Times New Roman"/>
          <w:sz w:val="24"/>
          <w:szCs w:val="24"/>
        </w:rPr>
        <w:t xml:space="preserve">insurance </w:t>
      </w:r>
      <w:r w:rsidR="005242B6" w:rsidRPr="00D9085C">
        <w:rPr>
          <w:rFonts w:ascii="Times New Roman" w:hAnsi="Times New Roman" w:cs="Times New Roman"/>
          <w:sz w:val="24"/>
          <w:szCs w:val="24"/>
        </w:rPr>
        <w:t xml:space="preserve">NOHCs), and subsidiaries of general insurers </w:t>
      </w:r>
      <w:r w:rsidR="00532F0A">
        <w:rPr>
          <w:rFonts w:ascii="Times New Roman" w:hAnsi="Times New Roman" w:cs="Times New Roman"/>
          <w:sz w:val="24"/>
          <w:szCs w:val="24"/>
        </w:rPr>
        <w:t xml:space="preserve">and </w:t>
      </w:r>
      <w:r w:rsidR="005242B6" w:rsidRPr="00D9085C">
        <w:rPr>
          <w:rFonts w:ascii="Times New Roman" w:hAnsi="Times New Roman" w:cs="Times New Roman"/>
          <w:sz w:val="24"/>
          <w:szCs w:val="24"/>
        </w:rPr>
        <w:t xml:space="preserve">authorised insurance </w:t>
      </w:r>
      <w:proofErr w:type="gramStart"/>
      <w:r w:rsidR="005242B6" w:rsidRPr="00D9085C">
        <w:rPr>
          <w:rFonts w:ascii="Times New Roman" w:hAnsi="Times New Roman" w:cs="Times New Roman"/>
          <w:sz w:val="24"/>
          <w:szCs w:val="24"/>
        </w:rPr>
        <w:t>NOHCs</w:t>
      </w:r>
      <w:r w:rsidRPr="00D9085C">
        <w:rPr>
          <w:rFonts w:ascii="Times New Roman" w:hAnsi="Times New Roman" w:cs="Times New Roman"/>
          <w:sz w:val="24"/>
          <w:szCs w:val="24"/>
        </w:rPr>
        <w:t>;</w:t>
      </w:r>
      <w:proofErr w:type="gramEnd"/>
    </w:p>
    <w:p w14:paraId="3E5B9724" w14:textId="77662B88" w:rsidR="008B0EB8" w:rsidRPr="00D9085C" w:rsidRDefault="008B0EB8" w:rsidP="00777743">
      <w:pPr>
        <w:pStyle w:val="ListParagraph"/>
        <w:numPr>
          <w:ilvl w:val="0"/>
          <w:numId w:val="24"/>
        </w:numPr>
        <w:ind w:left="851" w:hanging="567"/>
        <w:contextualSpacing w:val="0"/>
        <w:jc w:val="both"/>
        <w:rPr>
          <w:rFonts w:ascii="Times New Roman" w:hAnsi="Times New Roman" w:cs="Times New Roman"/>
          <w:sz w:val="24"/>
          <w:szCs w:val="24"/>
        </w:rPr>
      </w:pPr>
      <w:r w:rsidRPr="00D9085C">
        <w:rPr>
          <w:rFonts w:ascii="Times New Roman" w:hAnsi="Times New Roman" w:cs="Times New Roman"/>
          <w:sz w:val="24"/>
          <w:szCs w:val="24"/>
        </w:rPr>
        <w:t>subsection 230</w:t>
      </w:r>
      <w:proofErr w:type="gramStart"/>
      <w:r w:rsidRPr="00D9085C">
        <w:rPr>
          <w:rFonts w:ascii="Times New Roman" w:hAnsi="Times New Roman" w:cs="Times New Roman"/>
          <w:sz w:val="24"/>
          <w:szCs w:val="24"/>
        </w:rPr>
        <w:t>A(</w:t>
      </w:r>
      <w:proofErr w:type="gramEnd"/>
      <w:r w:rsidRPr="00D9085C">
        <w:rPr>
          <w:rFonts w:ascii="Times New Roman" w:hAnsi="Times New Roman" w:cs="Times New Roman"/>
          <w:sz w:val="24"/>
          <w:szCs w:val="24"/>
        </w:rPr>
        <w:t xml:space="preserve">1) of the </w:t>
      </w:r>
      <w:r w:rsidRPr="00D9085C">
        <w:rPr>
          <w:rFonts w:ascii="Times New Roman" w:hAnsi="Times New Roman" w:cs="Times New Roman"/>
          <w:i/>
          <w:sz w:val="24"/>
          <w:szCs w:val="24"/>
        </w:rPr>
        <w:t>Life Insurance Act 1995</w:t>
      </w:r>
      <w:r w:rsidRPr="00D9085C">
        <w:rPr>
          <w:rFonts w:ascii="Times New Roman" w:hAnsi="Times New Roman" w:cs="Times New Roman"/>
          <w:sz w:val="24"/>
          <w:szCs w:val="24"/>
        </w:rPr>
        <w:t xml:space="preserve"> (Life Insurance Act), </w:t>
      </w:r>
      <w:r w:rsidR="005242B6" w:rsidRPr="00D9085C">
        <w:rPr>
          <w:rFonts w:ascii="Times New Roman" w:hAnsi="Times New Roman" w:cs="Times New Roman"/>
          <w:sz w:val="24"/>
          <w:szCs w:val="24"/>
        </w:rPr>
        <w:t>which applies to all life companies, including friendly societies and registered life non-operating holding companies (registered life NOHCs)</w:t>
      </w:r>
      <w:r w:rsidR="0076758F">
        <w:rPr>
          <w:rFonts w:ascii="Times New Roman" w:hAnsi="Times New Roman" w:cs="Times New Roman"/>
          <w:sz w:val="24"/>
          <w:szCs w:val="24"/>
        </w:rPr>
        <w:t>, and subsidiaries of life companies and registered life NOHCs</w:t>
      </w:r>
      <w:r w:rsidRPr="00D9085C">
        <w:rPr>
          <w:rFonts w:ascii="Times New Roman" w:hAnsi="Times New Roman" w:cs="Times New Roman"/>
          <w:sz w:val="24"/>
          <w:szCs w:val="24"/>
        </w:rPr>
        <w:t>;</w:t>
      </w:r>
    </w:p>
    <w:p w14:paraId="08504680" w14:textId="304A2641" w:rsidR="008B0EB8" w:rsidRPr="00D9085C" w:rsidRDefault="008B0EB8" w:rsidP="00777743">
      <w:pPr>
        <w:pStyle w:val="ListParagraph"/>
        <w:numPr>
          <w:ilvl w:val="0"/>
          <w:numId w:val="24"/>
        </w:numPr>
        <w:ind w:left="851" w:hanging="567"/>
        <w:contextualSpacing w:val="0"/>
        <w:jc w:val="both"/>
        <w:rPr>
          <w:rFonts w:ascii="Times New Roman" w:hAnsi="Times New Roman" w:cs="Times New Roman"/>
          <w:sz w:val="24"/>
          <w:szCs w:val="24"/>
        </w:rPr>
      </w:pPr>
      <w:r w:rsidRPr="00D9085C">
        <w:rPr>
          <w:rFonts w:ascii="Times New Roman" w:hAnsi="Times New Roman" w:cs="Times New Roman"/>
          <w:sz w:val="24"/>
          <w:szCs w:val="24"/>
        </w:rPr>
        <w:t xml:space="preserve">subsections 92(1) of the </w:t>
      </w:r>
      <w:r w:rsidRPr="00D9085C">
        <w:rPr>
          <w:rFonts w:ascii="Times New Roman" w:hAnsi="Times New Roman" w:cs="Times New Roman"/>
          <w:i/>
          <w:sz w:val="24"/>
          <w:szCs w:val="24"/>
        </w:rPr>
        <w:t>Private Health Insurance (Prudential Supervision) Act 2015</w:t>
      </w:r>
      <w:r w:rsidRPr="00D9085C">
        <w:rPr>
          <w:rFonts w:ascii="Times New Roman" w:hAnsi="Times New Roman" w:cs="Times New Roman"/>
          <w:sz w:val="24"/>
          <w:szCs w:val="24"/>
        </w:rPr>
        <w:t xml:space="preserve"> (PHIPS Act), </w:t>
      </w:r>
      <w:r w:rsidR="005242B6" w:rsidRPr="00D9085C">
        <w:rPr>
          <w:rFonts w:ascii="Times New Roman" w:hAnsi="Times New Roman" w:cs="Times New Roman"/>
          <w:sz w:val="24"/>
          <w:szCs w:val="24"/>
        </w:rPr>
        <w:t xml:space="preserve">which applies </w:t>
      </w:r>
      <w:r w:rsidRPr="00D9085C">
        <w:rPr>
          <w:rFonts w:ascii="Times New Roman" w:hAnsi="Times New Roman" w:cs="Times New Roman"/>
          <w:sz w:val="24"/>
          <w:szCs w:val="24"/>
        </w:rPr>
        <w:t xml:space="preserve">to </w:t>
      </w:r>
      <w:r w:rsidR="005242B6" w:rsidRPr="00D9085C">
        <w:rPr>
          <w:rFonts w:ascii="Times New Roman" w:hAnsi="Times New Roman" w:cs="Times New Roman"/>
          <w:sz w:val="24"/>
          <w:szCs w:val="24"/>
        </w:rPr>
        <w:t xml:space="preserve">all </w:t>
      </w:r>
      <w:r w:rsidRPr="00D9085C">
        <w:rPr>
          <w:rFonts w:ascii="Times New Roman" w:hAnsi="Times New Roman" w:cs="Times New Roman"/>
          <w:sz w:val="24"/>
          <w:szCs w:val="24"/>
        </w:rPr>
        <w:t>private health insurers; and</w:t>
      </w:r>
    </w:p>
    <w:p w14:paraId="5AC2271A" w14:textId="6F51A5C6" w:rsidR="008B0EB8" w:rsidRPr="00EE3BE2" w:rsidRDefault="008B0EB8" w:rsidP="00777743">
      <w:pPr>
        <w:pStyle w:val="ListParagraph"/>
        <w:numPr>
          <w:ilvl w:val="0"/>
          <w:numId w:val="24"/>
        </w:numPr>
        <w:ind w:left="851" w:hanging="567"/>
        <w:contextualSpacing w:val="0"/>
        <w:jc w:val="both"/>
        <w:rPr>
          <w:rFonts w:ascii="Times New Roman" w:hAnsi="Times New Roman" w:cs="Times New Roman"/>
          <w:sz w:val="24"/>
          <w:szCs w:val="24"/>
        </w:rPr>
      </w:pPr>
      <w:r w:rsidRPr="00EE3BE2">
        <w:rPr>
          <w:rFonts w:ascii="Times New Roman" w:hAnsi="Times New Roman" w:cs="Times New Roman"/>
          <w:sz w:val="24"/>
          <w:szCs w:val="24"/>
        </w:rPr>
        <w:t>subsection 34</w:t>
      </w:r>
      <w:proofErr w:type="gramStart"/>
      <w:r w:rsidRPr="00EE3BE2">
        <w:rPr>
          <w:rFonts w:ascii="Times New Roman" w:hAnsi="Times New Roman" w:cs="Times New Roman"/>
          <w:sz w:val="24"/>
          <w:szCs w:val="24"/>
        </w:rPr>
        <w:t>C(</w:t>
      </w:r>
      <w:proofErr w:type="gramEnd"/>
      <w:r w:rsidRPr="00EE3BE2">
        <w:rPr>
          <w:rFonts w:ascii="Times New Roman" w:hAnsi="Times New Roman" w:cs="Times New Roman"/>
          <w:sz w:val="24"/>
          <w:szCs w:val="24"/>
        </w:rPr>
        <w:t xml:space="preserve">1) of the </w:t>
      </w:r>
      <w:r w:rsidRPr="00EE3BE2">
        <w:rPr>
          <w:rFonts w:ascii="Times New Roman" w:hAnsi="Times New Roman" w:cs="Times New Roman"/>
          <w:i/>
          <w:sz w:val="24"/>
          <w:szCs w:val="24"/>
        </w:rPr>
        <w:t>Superannuation Industry (Supervision) Act 1993</w:t>
      </w:r>
      <w:r w:rsidRPr="00EE3BE2">
        <w:rPr>
          <w:rFonts w:ascii="Times New Roman" w:hAnsi="Times New Roman" w:cs="Times New Roman"/>
          <w:sz w:val="24"/>
          <w:szCs w:val="24"/>
        </w:rPr>
        <w:t xml:space="preserve"> (SIS Act), </w:t>
      </w:r>
      <w:r w:rsidR="005242B6" w:rsidRPr="00EE3BE2">
        <w:rPr>
          <w:rFonts w:ascii="Times New Roman" w:hAnsi="Times New Roman" w:cs="Times New Roman"/>
          <w:sz w:val="24"/>
          <w:szCs w:val="24"/>
        </w:rPr>
        <w:t xml:space="preserve">which applies </w:t>
      </w:r>
      <w:r w:rsidRPr="00EE3BE2">
        <w:rPr>
          <w:rFonts w:ascii="Times New Roman" w:hAnsi="Times New Roman" w:cs="Times New Roman"/>
          <w:sz w:val="24"/>
          <w:szCs w:val="24"/>
        </w:rPr>
        <w:t xml:space="preserve">to </w:t>
      </w:r>
      <w:r w:rsidR="005242B6" w:rsidRPr="00EE3BE2">
        <w:rPr>
          <w:rFonts w:ascii="Times New Roman" w:hAnsi="Times New Roman" w:cs="Times New Roman"/>
          <w:sz w:val="24"/>
          <w:szCs w:val="24"/>
        </w:rPr>
        <w:t xml:space="preserve">all </w:t>
      </w:r>
      <w:r w:rsidR="00CB5122" w:rsidRPr="00EE3BE2">
        <w:rPr>
          <w:rFonts w:ascii="Times New Roman" w:hAnsi="Times New Roman" w:cs="Times New Roman"/>
          <w:sz w:val="24"/>
          <w:szCs w:val="24"/>
        </w:rPr>
        <w:t>r</w:t>
      </w:r>
      <w:r w:rsidRPr="00EE3BE2">
        <w:rPr>
          <w:rFonts w:ascii="Times New Roman" w:hAnsi="Times New Roman" w:cs="Times New Roman"/>
          <w:sz w:val="24"/>
          <w:szCs w:val="24"/>
        </w:rPr>
        <w:t xml:space="preserve">egistered </w:t>
      </w:r>
      <w:r w:rsidR="00CB5122" w:rsidRPr="00EE3BE2">
        <w:rPr>
          <w:rFonts w:ascii="Times New Roman" w:hAnsi="Times New Roman" w:cs="Times New Roman"/>
          <w:sz w:val="24"/>
          <w:szCs w:val="24"/>
        </w:rPr>
        <w:t>s</w:t>
      </w:r>
      <w:r w:rsidRPr="00EE3BE2">
        <w:rPr>
          <w:rFonts w:ascii="Times New Roman" w:hAnsi="Times New Roman" w:cs="Times New Roman"/>
          <w:sz w:val="24"/>
          <w:szCs w:val="24"/>
        </w:rPr>
        <w:t xml:space="preserve">uperannuation </w:t>
      </w:r>
      <w:r w:rsidR="00CB5122" w:rsidRPr="00EE3BE2">
        <w:rPr>
          <w:rFonts w:ascii="Times New Roman" w:hAnsi="Times New Roman" w:cs="Times New Roman"/>
          <w:sz w:val="24"/>
          <w:szCs w:val="24"/>
        </w:rPr>
        <w:t>e</w:t>
      </w:r>
      <w:r w:rsidRPr="00EE3BE2">
        <w:rPr>
          <w:rFonts w:ascii="Times New Roman" w:hAnsi="Times New Roman" w:cs="Times New Roman"/>
          <w:sz w:val="24"/>
          <w:szCs w:val="24"/>
        </w:rPr>
        <w:t xml:space="preserve">ntity </w:t>
      </w:r>
      <w:r w:rsidR="00CB5122" w:rsidRPr="00EE3BE2">
        <w:rPr>
          <w:rFonts w:ascii="Times New Roman" w:hAnsi="Times New Roman" w:cs="Times New Roman"/>
          <w:sz w:val="24"/>
          <w:szCs w:val="24"/>
        </w:rPr>
        <w:t>l</w:t>
      </w:r>
      <w:r w:rsidRPr="00EE3BE2">
        <w:rPr>
          <w:rFonts w:ascii="Times New Roman" w:hAnsi="Times New Roman" w:cs="Times New Roman"/>
          <w:sz w:val="24"/>
          <w:szCs w:val="24"/>
        </w:rPr>
        <w:t>icensees (RSE</w:t>
      </w:r>
      <w:r w:rsidR="005242B6" w:rsidRPr="00EE3BE2">
        <w:rPr>
          <w:rFonts w:ascii="Times New Roman" w:hAnsi="Times New Roman" w:cs="Times New Roman"/>
          <w:sz w:val="24"/>
          <w:szCs w:val="24"/>
        </w:rPr>
        <w:t xml:space="preserve"> licensee</w:t>
      </w:r>
      <w:r w:rsidRPr="00EE3BE2">
        <w:rPr>
          <w:rFonts w:ascii="Times New Roman" w:hAnsi="Times New Roman" w:cs="Times New Roman"/>
          <w:sz w:val="24"/>
          <w:szCs w:val="24"/>
        </w:rPr>
        <w:t>s)</w:t>
      </w:r>
      <w:r w:rsidR="0076758F" w:rsidRPr="00EE3BE2">
        <w:rPr>
          <w:rFonts w:ascii="Times New Roman" w:hAnsi="Times New Roman" w:cs="Times New Roman"/>
          <w:sz w:val="24"/>
          <w:szCs w:val="24"/>
        </w:rPr>
        <w:t xml:space="preserve"> and connected entities of RSE licensees</w:t>
      </w:r>
      <w:r w:rsidRPr="00EE3BE2">
        <w:rPr>
          <w:rFonts w:ascii="Times New Roman" w:hAnsi="Times New Roman" w:cs="Times New Roman"/>
          <w:sz w:val="24"/>
          <w:szCs w:val="24"/>
        </w:rPr>
        <w:t>.</w:t>
      </w:r>
    </w:p>
    <w:p w14:paraId="2E23C9A8" w14:textId="7EB47AD2" w:rsidR="00EE1552" w:rsidRPr="00EE1552" w:rsidRDefault="00EE1552" w:rsidP="00EE1552">
      <w:pPr>
        <w:jc w:val="both"/>
        <w:rPr>
          <w:rFonts w:ascii="Times New Roman" w:hAnsi="Times New Roman" w:cs="Times New Roman"/>
          <w:sz w:val="24"/>
          <w:szCs w:val="24"/>
        </w:rPr>
      </w:pPr>
      <w:r w:rsidRPr="00EE1552">
        <w:rPr>
          <w:rFonts w:ascii="Times New Roman" w:hAnsi="Times New Roman" w:cs="Times New Roman"/>
          <w:sz w:val="24"/>
          <w:szCs w:val="24"/>
        </w:rPr>
        <w:t>APRA may, in writing, vary or revoke a prudential standard that applies to an APRA-regulated institution under:</w:t>
      </w:r>
    </w:p>
    <w:p w14:paraId="2DFBED27" w14:textId="70680B5D" w:rsidR="00EE1552" w:rsidRPr="00876ABE" w:rsidRDefault="00EE1552" w:rsidP="00876ABE">
      <w:pPr>
        <w:pStyle w:val="ListParagraph"/>
        <w:numPr>
          <w:ilvl w:val="0"/>
          <w:numId w:val="40"/>
        </w:numPr>
        <w:ind w:left="851" w:hanging="567"/>
        <w:contextualSpacing w:val="0"/>
        <w:jc w:val="both"/>
        <w:rPr>
          <w:rFonts w:ascii="Times New Roman" w:hAnsi="Times New Roman" w:cs="Times New Roman"/>
          <w:sz w:val="24"/>
          <w:szCs w:val="24"/>
        </w:rPr>
      </w:pPr>
      <w:r w:rsidRPr="00876ABE">
        <w:rPr>
          <w:rFonts w:ascii="Times New Roman" w:hAnsi="Times New Roman" w:cs="Times New Roman"/>
          <w:sz w:val="24"/>
          <w:szCs w:val="24"/>
        </w:rPr>
        <w:t>subsection 11</w:t>
      </w:r>
      <w:proofErr w:type="gramStart"/>
      <w:r w:rsidRPr="00876ABE">
        <w:rPr>
          <w:rFonts w:ascii="Times New Roman" w:hAnsi="Times New Roman" w:cs="Times New Roman"/>
          <w:sz w:val="24"/>
          <w:szCs w:val="24"/>
        </w:rPr>
        <w:t>AF(</w:t>
      </w:r>
      <w:proofErr w:type="gramEnd"/>
      <w:r w:rsidRPr="00876ABE">
        <w:rPr>
          <w:rFonts w:ascii="Times New Roman" w:hAnsi="Times New Roman" w:cs="Times New Roman"/>
          <w:sz w:val="24"/>
          <w:szCs w:val="24"/>
        </w:rPr>
        <w:t xml:space="preserve">3) of the Banking Act, </w:t>
      </w:r>
      <w:r w:rsidR="004A3350" w:rsidRPr="004A3350">
        <w:rPr>
          <w:rFonts w:ascii="Times New Roman" w:hAnsi="Times New Roman" w:cs="Times New Roman"/>
          <w:sz w:val="24"/>
          <w:szCs w:val="24"/>
        </w:rPr>
        <w:t>which applies to all ADIs, authorised banking NOHCs and subsidiaries of ADIs and authorised banking NOHCs</w:t>
      </w:r>
      <w:r w:rsidRPr="00876ABE">
        <w:rPr>
          <w:rFonts w:ascii="Times New Roman" w:hAnsi="Times New Roman" w:cs="Times New Roman"/>
          <w:sz w:val="24"/>
          <w:szCs w:val="24"/>
        </w:rPr>
        <w:t>;</w:t>
      </w:r>
    </w:p>
    <w:p w14:paraId="34C5B0B5" w14:textId="77777777" w:rsidR="00EE1552" w:rsidRPr="00EE1552" w:rsidRDefault="00EE1552" w:rsidP="00876ABE">
      <w:pPr>
        <w:jc w:val="both"/>
        <w:rPr>
          <w:rFonts w:ascii="Times New Roman" w:hAnsi="Times New Roman" w:cs="Times New Roman"/>
          <w:sz w:val="24"/>
          <w:szCs w:val="24"/>
        </w:rPr>
      </w:pPr>
    </w:p>
    <w:p w14:paraId="19F43BD3" w14:textId="359AFBA8" w:rsidR="00EE1552" w:rsidRPr="00876ABE" w:rsidRDefault="00EE1552" w:rsidP="00876ABE">
      <w:pPr>
        <w:pStyle w:val="ListParagraph"/>
        <w:numPr>
          <w:ilvl w:val="0"/>
          <w:numId w:val="40"/>
        </w:numPr>
        <w:ind w:left="851" w:hanging="567"/>
        <w:contextualSpacing w:val="0"/>
        <w:jc w:val="both"/>
        <w:rPr>
          <w:rFonts w:ascii="Times New Roman" w:hAnsi="Times New Roman" w:cs="Times New Roman"/>
          <w:sz w:val="24"/>
          <w:szCs w:val="24"/>
        </w:rPr>
      </w:pPr>
      <w:r w:rsidRPr="00EE1552">
        <w:rPr>
          <w:rFonts w:ascii="Times New Roman" w:hAnsi="Times New Roman" w:cs="Times New Roman"/>
          <w:sz w:val="24"/>
          <w:szCs w:val="24"/>
        </w:rPr>
        <w:lastRenderedPageBreak/>
        <w:t xml:space="preserve">subsection 32(4) of the Insurance Act, </w:t>
      </w:r>
      <w:r w:rsidR="00A35CC0" w:rsidRPr="00A35CC0">
        <w:rPr>
          <w:rFonts w:ascii="Times New Roman" w:hAnsi="Times New Roman" w:cs="Times New Roman"/>
          <w:sz w:val="24"/>
          <w:szCs w:val="24"/>
        </w:rPr>
        <w:t xml:space="preserve">which applies to all general insurers and authorised insurance NOHCs, and subsidiaries of general insurers and authorised insurance </w:t>
      </w:r>
      <w:proofErr w:type="gramStart"/>
      <w:r w:rsidR="00A35CC0" w:rsidRPr="00A35CC0">
        <w:rPr>
          <w:rFonts w:ascii="Times New Roman" w:hAnsi="Times New Roman" w:cs="Times New Roman"/>
          <w:sz w:val="24"/>
          <w:szCs w:val="24"/>
        </w:rPr>
        <w:t>NOHCs</w:t>
      </w:r>
      <w:r w:rsidRPr="00EE1552">
        <w:rPr>
          <w:rFonts w:ascii="Times New Roman" w:hAnsi="Times New Roman" w:cs="Times New Roman"/>
          <w:sz w:val="24"/>
          <w:szCs w:val="24"/>
        </w:rPr>
        <w:t>;</w:t>
      </w:r>
      <w:proofErr w:type="gramEnd"/>
    </w:p>
    <w:p w14:paraId="6E7CF6FF" w14:textId="4B3577E8" w:rsidR="009A6476" w:rsidRDefault="00EE1552" w:rsidP="00876ABE">
      <w:pPr>
        <w:pStyle w:val="ListParagraph"/>
        <w:numPr>
          <w:ilvl w:val="0"/>
          <w:numId w:val="40"/>
        </w:numPr>
        <w:ind w:left="851" w:hanging="567"/>
        <w:contextualSpacing w:val="0"/>
        <w:jc w:val="both"/>
        <w:rPr>
          <w:rFonts w:ascii="Times New Roman" w:hAnsi="Times New Roman" w:cs="Times New Roman"/>
          <w:sz w:val="24"/>
          <w:szCs w:val="24"/>
        </w:rPr>
      </w:pPr>
      <w:r w:rsidRPr="00EE1552">
        <w:rPr>
          <w:rFonts w:ascii="Times New Roman" w:hAnsi="Times New Roman" w:cs="Times New Roman"/>
          <w:sz w:val="24"/>
          <w:szCs w:val="24"/>
        </w:rPr>
        <w:t>subsection 230</w:t>
      </w:r>
      <w:proofErr w:type="gramStart"/>
      <w:r w:rsidRPr="00EE1552">
        <w:rPr>
          <w:rFonts w:ascii="Times New Roman" w:hAnsi="Times New Roman" w:cs="Times New Roman"/>
          <w:sz w:val="24"/>
          <w:szCs w:val="24"/>
        </w:rPr>
        <w:t>A(</w:t>
      </w:r>
      <w:proofErr w:type="gramEnd"/>
      <w:r w:rsidRPr="00EE1552">
        <w:rPr>
          <w:rFonts w:ascii="Times New Roman" w:hAnsi="Times New Roman" w:cs="Times New Roman"/>
          <w:sz w:val="24"/>
          <w:szCs w:val="24"/>
        </w:rPr>
        <w:t xml:space="preserve">5) of the Life Insurance Act, </w:t>
      </w:r>
      <w:r w:rsidR="00B47932" w:rsidRPr="00D9085C">
        <w:rPr>
          <w:rFonts w:ascii="Times New Roman" w:hAnsi="Times New Roman" w:cs="Times New Roman"/>
          <w:sz w:val="24"/>
          <w:szCs w:val="24"/>
        </w:rPr>
        <w:t>which applies to all life companies, including friendly societies and registered life NOHCs</w:t>
      </w:r>
      <w:r w:rsidR="00B47932">
        <w:rPr>
          <w:rFonts w:ascii="Times New Roman" w:hAnsi="Times New Roman" w:cs="Times New Roman"/>
          <w:sz w:val="24"/>
          <w:szCs w:val="24"/>
        </w:rPr>
        <w:t>, and subsidiaries of life companies and registered life NOHCs;</w:t>
      </w:r>
    </w:p>
    <w:p w14:paraId="45358ED0" w14:textId="124BB030" w:rsidR="00EE1552" w:rsidRPr="00876ABE" w:rsidRDefault="009A6476" w:rsidP="00876ABE">
      <w:pPr>
        <w:pStyle w:val="ListParagraph"/>
        <w:numPr>
          <w:ilvl w:val="0"/>
          <w:numId w:val="40"/>
        </w:numPr>
        <w:ind w:left="851" w:hanging="567"/>
        <w:contextualSpacing w:val="0"/>
        <w:jc w:val="both"/>
        <w:rPr>
          <w:rFonts w:ascii="Times New Roman" w:hAnsi="Times New Roman" w:cs="Times New Roman"/>
          <w:sz w:val="24"/>
          <w:szCs w:val="24"/>
        </w:rPr>
      </w:pPr>
      <w:r w:rsidRPr="009A6476">
        <w:rPr>
          <w:rFonts w:ascii="Times New Roman" w:hAnsi="Times New Roman" w:cs="Times New Roman"/>
          <w:sz w:val="24"/>
          <w:szCs w:val="24"/>
        </w:rPr>
        <w:t>under subsection 92(5) of the PHIPS Act</w:t>
      </w:r>
      <w:r w:rsidR="000B75F7">
        <w:rPr>
          <w:rFonts w:ascii="Times New Roman" w:hAnsi="Times New Roman" w:cs="Times New Roman"/>
          <w:sz w:val="24"/>
          <w:szCs w:val="24"/>
        </w:rPr>
        <w:t xml:space="preserve">, </w:t>
      </w:r>
      <w:r w:rsidR="000B75F7" w:rsidRPr="00D9085C">
        <w:rPr>
          <w:rFonts w:ascii="Times New Roman" w:hAnsi="Times New Roman" w:cs="Times New Roman"/>
          <w:sz w:val="24"/>
          <w:szCs w:val="24"/>
        </w:rPr>
        <w:t>which applies to all private health insurers</w:t>
      </w:r>
      <w:r w:rsidR="00EE1552" w:rsidRPr="00876ABE">
        <w:rPr>
          <w:rFonts w:ascii="Times New Roman" w:hAnsi="Times New Roman" w:cs="Times New Roman"/>
          <w:sz w:val="24"/>
          <w:szCs w:val="24"/>
        </w:rPr>
        <w:t>; and</w:t>
      </w:r>
    </w:p>
    <w:p w14:paraId="482CBF63" w14:textId="135643F0" w:rsidR="00EE1552" w:rsidRDefault="00EE1552" w:rsidP="00876ABE">
      <w:pPr>
        <w:pStyle w:val="ListParagraph"/>
        <w:numPr>
          <w:ilvl w:val="0"/>
          <w:numId w:val="40"/>
        </w:numPr>
        <w:ind w:left="851" w:hanging="567"/>
        <w:contextualSpacing w:val="0"/>
        <w:jc w:val="both"/>
        <w:rPr>
          <w:rFonts w:ascii="Times New Roman" w:hAnsi="Times New Roman" w:cs="Times New Roman"/>
          <w:sz w:val="24"/>
          <w:szCs w:val="24"/>
        </w:rPr>
      </w:pPr>
      <w:r w:rsidRPr="00EE1552">
        <w:rPr>
          <w:rFonts w:ascii="Times New Roman" w:hAnsi="Times New Roman" w:cs="Times New Roman"/>
          <w:sz w:val="24"/>
          <w:szCs w:val="24"/>
        </w:rPr>
        <w:t>subsection 34</w:t>
      </w:r>
      <w:proofErr w:type="gramStart"/>
      <w:r w:rsidRPr="00EE1552">
        <w:rPr>
          <w:rFonts w:ascii="Times New Roman" w:hAnsi="Times New Roman" w:cs="Times New Roman"/>
          <w:sz w:val="24"/>
          <w:szCs w:val="24"/>
        </w:rPr>
        <w:t>C(</w:t>
      </w:r>
      <w:proofErr w:type="gramEnd"/>
      <w:r w:rsidRPr="00EE1552">
        <w:rPr>
          <w:rFonts w:ascii="Times New Roman" w:hAnsi="Times New Roman" w:cs="Times New Roman"/>
          <w:sz w:val="24"/>
          <w:szCs w:val="24"/>
        </w:rPr>
        <w:t xml:space="preserve">6) of the SIS Act, </w:t>
      </w:r>
      <w:r w:rsidR="000B75F7" w:rsidRPr="00EE3BE2">
        <w:rPr>
          <w:rFonts w:ascii="Times New Roman" w:hAnsi="Times New Roman" w:cs="Times New Roman"/>
          <w:sz w:val="24"/>
          <w:szCs w:val="24"/>
        </w:rPr>
        <w:t>which applies to all</w:t>
      </w:r>
      <w:r w:rsidR="000B75F7">
        <w:rPr>
          <w:rFonts w:ascii="Times New Roman" w:hAnsi="Times New Roman" w:cs="Times New Roman"/>
          <w:sz w:val="24"/>
          <w:szCs w:val="24"/>
        </w:rPr>
        <w:t xml:space="preserve"> </w:t>
      </w:r>
      <w:r w:rsidR="000B75F7" w:rsidRPr="00EE3BE2">
        <w:rPr>
          <w:rFonts w:ascii="Times New Roman" w:hAnsi="Times New Roman" w:cs="Times New Roman"/>
          <w:sz w:val="24"/>
          <w:szCs w:val="24"/>
        </w:rPr>
        <w:t>RSE licensees and connected entities of RSE licensees</w:t>
      </w:r>
      <w:r w:rsidRPr="00EE1552">
        <w:rPr>
          <w:rFonts w:ascii="Times New Roman" w:hAnsi="Times New Roman" w:cs="Times New Roman"/>
          <w:sz w:val="24"/>
          <w:szCs w:val="24"/>
        </w:rPr>
        <w:t>.</w:t>
      </w:r>
    </w:p>
    <w:p w14:paraId="65BCD5A3" w14:textId="71193212" w:rsidR="00BC3F37" w:rsidRDefault="008B0EB8" w:rsidP="00777743">
      <w:pPr>
        <w:jc w:val="both"/>
        <w:rPr>
          <w:rFonts w:ascii="Times New Roman" w:hAnsi="Times New Roman" w:cs="Times New Roman"/>
          <w:sz w:val="24"/>
          <w:szCs w:val="24"/>
        </w:rPr>
      </w:pPr>
      <w:proofErr w:type="gramStart"/>
      <w:r w:rsidRPr="00D9085C">
        <w:rPr>
          <w:rFonts w:ascii="Times New Roman" w:hAnsi="Times New Roman" w:cs="Times New Roman"/>
          <w:sz w:val="24"/>
          <w:szCs w:val="24"/>
        </w:rPr>
        <w:t xml:space="preserve">On </w:t>
      </w:r>
      <w:r w:rsidR="00001370" w:rsidRPr="002448E0">
        <w:rPr>
          <w:rFonts w:ascii="Times New Roman" w:hAnsi="Times New Roman" w:cs="Times New Roman"/>
          <w:sz w:val="24"/>
          <w:szCs w:val="24"/>
        </w:rPr>
        <w:t xml:space="preserve"> </w:t>
      </w:r>
      <w:r w:rsidR="002448E0">
        <w:rPr>
          <w:rFonts w:ascii="Times New Roman" w:hAnsi="Times New Roman" w:cs="Times New Roman"/>
          <w:sz w:val="24"/>
          <w:szCs w:val="24"/>
        </w:rPr>
        <w:t>11</w:t>
      </w:r>
      <w:proofErr w:type="gramEnd"/>
      <w:r w:rsidR="002448E0">
        <w:rPr>
          <w:rFonts w:ascii="Times New Roman" w:hAnsi="Times New Roman" w:cs="Times New Roman"/>
          <w:sz w:val="24"/>
          <w:szCs w:val="24"/>
        </w:rPr>
        <w:t xml:space="preserve"> </w:t>
      </w:r>
      <w:r w:rsidR="007F4870" w:rsidRPr="002448E0">
        <w:rPr>
          <w:rFonts w:ascii="Times New Roman" w:hAnsi="Times New Roman" w:cs="Times New Roman"/>
          <w:sz w:val="24"/>
          <w:szCs w:val="24"/>
        </w:rPr>
        <w:t>S</w:t>
      </w:r>
      <w:r w:rsidR="007F4870">
        <w:rPr>
          <w:rFonts w:ascii="Times New Roman" w:hAnsi="Times New Roman" w:cs="Times New Roman"/>
          <w:sz w:val="24"/>
          <w:szCs w:val="24"/>
        </w:rPr>
        <w:t>eptember</w:t>
      </w:r>
      <w:r w:rsidR="007F4870" w:rsidRPr="00D9085C">
        <w:rPr>
          <w:rFonts w:ascii="Times New Roman" w:hAnsi="Times New Roman" w:cs="Times New Roman"/>
          <w:sz w:val="24"/>
          <w:szCs w:val="24"/>
        </w:rPr>
        <w:t xml:space="preserve"> </w:t>
      </w:r>
      <w:r w:rsidRPr="00D9085C">
        <w:rPr>
          <w:rFonts w:ascii="Times New Roman" w:hAnsi="Times New Roman" w:cs="Times New Roman"/>
          <w:sz w:val="24"/>
          <w:szCs w:val="24"/>
        </w:rPr>
        <w:t>202</w:t>
      </w:r>
      <w:r w:rsidR="00001370">
        <w:rPr>
          <w:rFonts w:ascii="Times New Roman" w:hAnsi="Times New Roman" w:cs="Times New Roman"/>
          <w:sz w:val="24"/>
          <w:szCs w:val="24"/>
        </w:rPr>
        <w:t>3</w:t>
      </w:r>
      <w:r w:rsidRPr="00D9085C">
        <w:rPr>
          <w:rFonts w:ascii="Times New Roman" w:hAnsi="Times New Roman" w:cs="Times New Roman"/>
          <w:sz w:val="24"/>
          <w:szCs w:val="24"/>
        </w:rPr>
        <w:t>, APRA made Banking, Insurance, Life Insurance</w:t>
      </w:r>
      <w:r w:rsidR="00A83B38" w:rsidRPr="00D9085C">
        <w:rPr>
          <w:rFonts w:ascii="Times New Roman" w:hAnsi="Times New Roman" w:cs="Times New Roman"/>
          <w:sz w:val="24"/>
          <w:szCs w:val="24"/>
        </w:rPr>
        <w:t>, Health Insurance</w:t>
      </w:r>
      <w:r w:rsidRPr="00D9085C">
        <w:rPr>
          <w:rFonts w:ascii="Times New Roman" w:hAnsi="Times New Roman" w:cs="Times New Roman"/>
          <w:sz w:val="24"/>
          <w:szCs w:val="24"/>
        </w:rPr>
        <w:t xml:space="preserve"> and Superannuation (prudential standard) determination No</w:t>
      </w:r>
      <w:r w:rsidR="00EF3320">
        <w:rPr>
          <w:rFonts w:ascii="Times New Roman" w:hAnsi="Times New Roman" w:cs="Times New Roman"/>
          <w:sz w:val="24"/>
          <w:szCs w:val="24"/>
        </w:rPr>
        <w:t>.</w:t>
      </w:r>
      <w:r w:rsidRPr="00D9085C">
        <w:rPr>
          <w:rFonts w:ascii="Times New Roman" w:hAnsi="Times New Roman" w:cs="Times New Roman"/>
          <w:sz w:val="24"/>
          <w:szCs w:val="24"/>
        </w:rPr>
        <w:t xml:space="preserve"> </w:t>
      </w:r>
      <w:r w:rsidR="00EF3320">
        <w:rPr>
          <w:rFonts w:ascii="Times New Roman" w:hAnsi="Times New Roman" w:cs="Times New Roman"/>
          <w:sz w:val="24"/>
          <w:szCs w:val="24"/>
        </w:rPr>
        <w:t>2</w:t>
      </w:r>
      <w:r w:rsidRPr="00D9085C">
        <w:rPr>
          <w:rFonts w:ascii="Times New Roman" w:hAnsi="Times New Roman" w:cs="Times New Roman"/>
          <w:sz w:val="24"/>
          <w:szCs w:val="24"/>
        </w:rPr>
        <w:t xml:space="preserve"> of 202</w:t>
      </w:r>
      <w:r w:rsidR="00001370">
        <w:rPr>
          <w:rFonts w:ascii="Times New Roman" w:hAnsi="Times New Roman" w:cs="Times New Roman"/>
          <w:sz w:val="24"/>
          <w:szCs w:val="24"/>
        </w:rPr>
        <w:t>3</w:t>
      </w:r>
      <w:r w:rsidRPr="00D9085C">
        <w:rPr>
          <w:rFonts w:ascii="Times New Roman" w:hAnsi="Times New Roman" w:cs="Times New Roman"/>
          <w:sz w:val="24"/>
          <w:szCs w:val="24"/>
        </w:rPr>
        <w:t xml:space="preserve"> (the instrument)</w:t>
      </w:r>
      <w:r w:rsidR="00001370">
        <w:rPr>
          <w:rFonts w:ascii="Times New Roman" w:hAnsi="Times New Roman" w:cs="Times New Roman"/>
          <w:sz w:val="24"/>
          <w:szCs w:val="24"/>
        </w:rPr>
        <w:t xml:space="preserve"> which revokes</w:t>
      </w:r>
      <w:r w:rsidR="00BC3F37">
        <w:rPr>
          <w:rFonts w:ascii="Times New Roman" w:hAnsi="Times New Roman" w:cs="Times New Roman"/>
          <w:sz w:val="24"/>
          <w:szCs w:val="24"/>
        </w:rPr>
        <w:t>:</w:t>
      </w:r>
    </w:p>
    <w:p w14:paraId="6E10099E" w14:textId="2F0A6704" w:rsidR="00BC3F37" w:rsidRDefault="00001370" w:rsidP="00BC3F37">
      <w:pPr>
        <w:pStyle w:val="ListParagraph"/>
        <w:numPr>
          <w:ilvl w:val="0"/>
          <w:numId w:val="30"/>
        </w:numPr>
        <w:jc w:val="both"/>
        <w:rPr>
          <w:rFonts w:ascii="Times New Roman" w:hAnsi="Times New Roman" w:cs="Times New Roman"/>
          <w:sz w:val="24"/>
          <w:szCs w:val="24"/>
        </w:rPr>
      </w:pPr>
      <w:r w:rsidRPr="00BC3F37">
        <w:rPr>
          <w:rFonts w:ascii="Times New Roman" w:hAnsi="Times New Roman" w:cs="Times New Roman"/>
          <w:i/>
          <w:sz w:val="24"/>
          <w:szCs w:val="24"/>
        </w:rPr>
        <w:t xml:space="preserve">Prudential Standard CPS 231 </w:t>
      </w:r>
      <w:proofErr w:type="gramStart"/>
      <w:r w:rsidRPr="00BC3F37">
        <w:rPr>
          <w:rFonts w:ascii="Times New Roman" w:hAnsi="Times New Roman" w:cs="Times New Roman"/>
          <w:i/>
          <w:sz w:val="24"/>
          <w:szCs w:val="24"/>
        </w:rPr>
        <w:t>Outsourcing</w:t>
      </w:r>
      <w:r w:rsidR="002C2B98">
        <w:rPr>
          <w:rFonts w:ascii="Times New Roman" w:hAnsi="Times New Roman" w:cs="Times New Roman"/>
          <w:i/>
          <w:sz w:val="24"/>
          <w:szCs w:val="24"/>
        </w:rPr>
        <w:t xml:space="preserve"> </w:t>
      </w:r>
      <w:r w:rsidR="00BC3F37">
        <w:rPr>
          <w:rFonts w:ascii="Times New Roman" w:hAnsi="Times New Roman" w:cs="Times New Roman"/>
          <w:sz w:val="24"/>
          <w:szCs w:val="24"/>
        </w:rPr>
        <w:t>;</w:t>
      </w:r>
      <w:proofErr w:type="gramEnd"/>
    </w:p>
    <w:p w14:paraId="51948257" w14:textId="77777777" w:rsidR="00BC3F37" w:rsidRPr="00BC3F37" w:rsidRDefault="00001370" w:rsidP="00BC3F37">
      <w:pPr>
        <w:pStyle w:val="ListParagraph"/>
        <w:numPr>
          <w:ilvl w:val="0"/>
          <w:numId w:val="30"/>
        </w:numPr>
        <w:jc w:val="both"/>
        <w:rPr>
          <w:rFonts w:ascii="Times New Roman" w:hAnsi="Times New Roman" w:cs="Times New Roman"/>
          <w:sz w:val="24"/>
          <w:szCs w:val="24"/>
        </w:rPr>
      </w:pPr>
      <w:r w:rsidRPr="00BC3F37">
        <w:rPr>
          <w:rFonts w:ascii="Times New Roman" w:hAnsi="Times New Roman" w:cs="Times New Roman"/>
          <w:i/>
          <w:sz w:val="24"/>
          <w:szCs w:val="24"/>
        </w:rPr>
        <w:t xml:space="preserve">Prudential Standard CPS 232 Business Continuity </w:t>
      </w:r>
      <w:proofErr w:type="gramStart"/>
      <w:r w:rsidRPr="00BC3F37">
        <w:rPr>
          <w:rFonts w:ascii="Times New Roman" w:hAnsi="Times New Roman" w:cs="Times New Roman"/>
          <w:i/>
          <w:sz w:val="24"/>
          <w:szCs w:val="24"/>
        </w:rPr>
        <w:t>Management</w:t>
      </w:r>
      <w:r w:rsidR="00BC3F37">
        <w:rPr>
          <w:rFonts w:ascii="Times New Roman" w:hAnsi="Times New Roman" w:cs="Times New Roman"/>
          <w:i/>
          <w:sz w:val="24"/>
          <w:szCs w:val="24"/>
        </w:rPr>
        <w:t>;</w:t>
      </w:r>
      <w:proofErr w:type="gramEnd"/>
    </w:p>
    <w:p w14:paraId="724FCB3D" w14:textId="42ED82E0" w:rsidR="00BC3F37" w:rsidRDefault="00BC3F37" w:rsidP="00BC3F37">
      <w:pPr>
        <w:pStyle w:val="ListParagraph"/>
        <w:numPr>
          <w:ilvl w:val="0"/>
          <w:numId w:val="30"/>
        </w:numPr>
        <w:jc w:val="both"/>
        <w:rPr>
          <w:rFonts w:ascii="Times New Roman" w:hAnsi="Times New Roman" w:cs="Times New Roman"/>
          <w:sz w:val="24"/>
          <w:szCs w:val="24"/>
        </w:rPr>
      </w:pPr>
      <w:r w:rsidRPr="00BC3F37">
        <w:rPr>
          <w:rFonts w:ascii="Times New Roman" w:hAnsi="Times New Roman" w:cs="Times New Roman"/>
          <w:i/>
          <w:sz w:val="24"/>
          <w:szCs w:val="24"/>
        </w:rPr>
        <w:t xml:space="preserve">Prudential Standard </w:t>
      </w:r>
      <w:r w:rsidR="00001370" w:rsidRPr="00BC3F37">
        <w:rPr>
          <w:rFonts w:ascii="Times New Roman" w:hAnsi="Times New Roman" w:cs="Times New Roman"/>
          <w:i/>
          <w:sz w:val="24"/>
          <w:szCs w:val="24"/>
        </w:rPr>
        <w:t>SPS 231</w:t>
      </w:r>
      <w:r w:rsidRPr="00BC3F37">
        <w:rPr>
          <w:rFonts w:ascii="Times New Roman" w:hAnsi="Times New Roman" w:cs="Times New Roman"/>
          <w:i/>
          <w:sz w:val="24"/>
          <w:szCs w:val="24"/>
        </w:rPr>
        <w:t xml:space="preserve"> </w:t>
      </w:r>
      <w:proofErr w:type="gramStart"/>
      <w:r w:rsidRPr="00BC3F37">
        <w:rPr>
          <w:rFonts w:ascii="Times New Roman" w:hAnsi="Times New Roman" w:cs="Times New Roman"/>
          <w:i/>
          <w:sz w:val="24"/>
          <w:szCs w:val="24"/>
        </w:rPr>
        <w:t>Outsourcing</w:t>
      </w:r>
      <w:r>
        <w:rPr>
          <w:rFonts w:ascii="Times New Roman" w:hAnsi="Times New Roman" w:cs="Times New Roman"/>
          <w:i/>
          <w:sz w:val="24"/>
          <w:szCs w:val="24"/>
        </w:rPr>
        <w:t>;</w:t>
      </w:r>
      <w:proofErr w:type="gramEnd"/>
    </w:p>
    <w:p w14:paraId="0667C481" w14:textId="6150647B" w:rsidR="008B0EB8" w:rsidRPr="005E1370" w:rsidRDefault="00BC3F37" w:rsidP="00BC3F37">
      <w:pPr>
        <w:pStyle w:val="ListParagraph"/>
        <w:numPr>
          <w:ilvl w:val="0"/>
          <w:numId w:val="30"/>
        </w:numPr>
        <w:jc w:val="both"/>
        <w:rPr>
          <w:rFonts w:ascii="Times New Roman" w:hAnsi="Times New Roman" w:cs="Times New Roman"/>
          <w:sz w:val="24"/>
          <w:szCs w:val="24"/>
        </w:rPr>
      </w:pPr>
      <w:r w:rsidRPr="00BC3F37">
        <w:rPr>
          <w:rFonts w:ascii="Times New Roman" w:hAnsi="Times New Roman" w:cs="Times New Roman"/>
          <w:i/>
          <w:sz w:val="24"/>
          <w:szCs w:val="24"/>
        </w:rPr>
        <w:t>Prudential Standard SPS 232 Business Continuity Management</w:t>
      </w:r>
      <w:r w:rsidR="005E1370">
        <w:rPr>
          <w:rFonts w:ascii="Times New Roman" w:hAnsi="Times New Roman" w:cs="Times New Roman"/>
          <w:i/>
          <w:sz w:val="24"/>
          <w:szCs w:val="24"/>
        </w:rPr>
        <w:t>; and</w:t>
      </w:r>
    </w:p>
    <w:p w14:paraId="642BAE21" w14:textId="58095F68" w:rsidR="005E1370" w:rsidRPr="00532F0A" w:rsidRDefault="005E1370" w:rsidP="00BC3F37">
      <w:pPr>
        <w:pStyle w:val="ListParagraph"/>
        <w:numPr>
          <w:ilvl w:val="0"/>
          <w:numId w:val="30"/>
        </w:numPr>
        <w:jc w:val="both"/>
        <w:rPr>
          <w:rFonts w:ascii="Times New Roman" w:hAnsi="Times New Roman" w:cs="Times New Roman"/>
          <w:sz w:val="24"/>
          <w:szCs w:val="24"/>
        </w:rPr>
      </w:pPr>
      <w:r>
        <w:rPr>
          <w:rFonts w:ascii="Times New Roman" w:hAnsi="Times New Roman" w:cs="Times New Roman"/>
          <w:i/>
          <w:sz w:val="24"/>
          <w:szCs w:val="24"/>
        </w:rPr>
        <w:t>Prudential Standard HPS 231</w:t>
      </w:r>
      <w:r w:rsidR="0044107A">
        <w:rPr>
          <w:rFonts w:ascii="Times New Roman" w:hAnsi="Times New Roman" w:cs="Times New Roman"/>
          <w:i/>
          <w:sz w:val="24"/>
          <w:szCs w:val="24"/>
        </w:rPr>
        <w:t>Outsourcing</w:t>
      </w:r>
    </w:p>
    <w:p w14:paraId="7A9E0DE4" w14:textId="043F6875" w:rsidR="002C2B98" w:rsidRPr="00274F21" w:rsidRDefault="002C2B98" w:rsidP="00274F21">
      <w:pPr>
        <w:ind w:left="36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together</w:t>
      </w:r>
      <w:proofErr w:type="gramEnd"/>
      <w:r>
        <w:rPr>
          <w:rFonts w:ascii="Times New Roman" w:hAnsi="Times New Roman" w:cs="Times New Roman"/>
          <w:sz w:val="24"/>
          <w:szCs w:val="24"/>
        </w:rPr>
        <w:t>, the existing prudential standards)</w:t>
      </w:r>
    </w:p>
    <w:p w14:paraId="2F6B1FE1" w14:textId="497F945B" w:rsidR="00BC3F37" w:rsidRPr="005E1370" w:rsidRDefault="00BC3F37" w:rsidP="00BC3F37">
      <w:pPr>
        <w:jc w:val="both"/>
        <w:rPr>
          <w:rFonts w:ascii="Times New Roman" w:hAnsi="Times New Roman" w:cs="Times New Roman"/>
          <w:sz w:val="24"/>
          <w:szCs w:val="24"/>
        </w:rPr>
      </w:pPr>
      <w:r>
        <w:rPr>
          <w:rFonts w:ascii="Times New Roman" w:hAnsi="Times New Roman" w:cs="Times New Roman"/>
          <w:sz w:val="24"/>
          <w:szCs w:val="24"/>
        </w:rPr>
        <w:t xml:space="preserve">and determines </w:t>
      </w:r>
      <w:r>
        <w:rPr>
          <w:rFonts w:ascii="Times New Roman" w:hAnsi="Times New Roman" w:cs="Times New Roman"/>
          <w:i/>
          <w:sz w:val="24"/>
          <w:szCs w:val="24"/>
        </w:rPr>
        <w:t>Prudential Standard CPS 230 Operational Risk Management</w:t>
      </w:r>
      <w:r w:rsidR="005E1370">
        <w:rPr>
          <w:rFonts w:ascii="Times New Roman" w:hAnsi="Times New Roman" w:cs="Times New Roman"/>
          <w:sz w:val="24"/>
          <w:szCs w:val="24"/>
        </w:rPr>
        <w:t xml:space="preserve"> (CPS 230).</w:t>
      </w:r>
    </w:p>
    <w:p w14:paraId="72C23AF0" w14:textId="228C5969" w:rsidR="00BF572C" w:rsidRPr="00D9085C" w:rsidRDefault="008B0EB8" w:rsidP="00777743">
      <w:pPr>
        <w:jc w:val="both"/>
        <w:rPr>
          <w:rFonts w:ascii="Times New Roman" w:hAnsi="Times New Roman" w:cs="Times New Roman"/>
          <w:sz w:val="24"/>
          <w:szCs w:val="24"/>
        </w:rPr>
      </w:pPr>
      <w:r w:rsidRPr="00D9085C">
        <w:rPr>
          <w:rFonts w:ascii="Times New Roman" w:hAnsi="Times New Roman" w:cs="Times New Roman"/>
          <w:sz w:val="24"/>
          <w:szCs w:val="24"/>
        </w:rPr>
        <w:t xml:space="preserve">The instrument commences on 1 </w:t>
      </w:r>
      <w:r w:rsidR="00BF572C" w:rsidRPr="00D9085C">
        <w:rPr>
          <w:rFonts w:ascii="Times New Roman" w:hAnsi="Times New Roman" w:cs="Times New Roman"/>
          <w:sz w:val="24"/>
          <w:szCs w:val="24"/>
        </w:rPr>
        <w:t>J</w:t>
      </w:r>
      <w:r w:rsidR="00001370">
        <w:rPr>
          <w:rFonts w:ascii="Times New Roman" w:hAnsi="Times New Roman" w:cs="Times New Roman"/>
          <w:sz w:val="24"/>
          <w:szCs w:val="24"/>
        </w:rPr>
        <w:t>uly</w:t>
      </w:r>
      <w:r w:rsidRPr="00D9085C">
        <w:rPr>
          <w:rFonts w:ascii="Times New Roman" w:hAnsi="Times New Roman" w:cs="Times New Roman"/>
          <w:sz w:val="24"/>
          <w:szCs w:val="24"/>
        </w:rPr>
        <w:t xml:space="preserve"> 202</w:t>
      </w:r>
      <w:r w:rsidR="00001370">
        <w:rPr>
          <w:rFonts w:ascii="Times New Roman" w:hAnsi="Times New Roman" w:cs="Times New Roman"/>
          <w:sz w:val="24"/>
          <w:szCs w:val="24"/>
        </w:rPr>
        <w:t>5</w:t>
      </w:r>
      <w:r w:rsidRPr="00D9085C">
        <w:rPr>
          <w:rFonts w:ascii="Times New Roman" w:hAnsi="Times New Roman" w:cs="Times New Roman"/>
          <w:sz w:val="24"/>
          <w:szCs w:val="24"/>
        </w:rPr>
        <w:t>.</w:t>
      </w:r>
    </w:p>
    <w:p w14:paraId="26D38409" w14:textId="10A99E2E" w:rsidR="00197A23" w:rsidRPr="00D9085C" w:rsidRDefault="00197A23" w:rsidP="00777743">
      <w:pPr>
        <w:pStyle w:val="ListParagraph"/>
        <w:numPr>
          <w:ilvl w:val="0"/>
          <w:numId w:val="23"/>
        </w:numPr>
        <w:spacing w:after="240" w:line="240" w:lineRule="auto"/>
        <w:ind w:left="567" w:hanging="567"/>
        <w:jc w:val="both"/>
        <w:rPr>
          <w:rFonts w:ascii="Times New Roman" w:hAnsi="Times New Roman" w:cs="Times New Roman"/>
          <w:b/>
          <w:sz w:val="24"/>
          <w:szCs w:val="24"/>
          <w:lang w:eastAsia="en-US"/>
        </w:rPr>
      </w:pPr>
      <w:r w:rsidRPr="00D9085C">
        <w:rPr>
          <w:rFonts w:ascii="Times New Roman" w:hAnsi="Times New Roman" w:cs="Times New Roman"/>
          <w:b/>
          <w:sz w:val="24"/>
          <w:szCs w:val="24"/>
          <w:lang w:eastAsia="en-US"/>
        </w:rPr>
        <w:t>Background</w:t>
      </w:r>
    </w:p>
    <w:p w14:paraId="7377287F" w14:textId="3EE8997B" w:rsidR="00C25FA1" w:rsidRPr="00D9085C" w:rsidRDefault="00C25FA1" w:rsidP="000125E4">
      <w:pPr>
        <w:jc w:val="both"/>
        <w:rPr>
          <w:rFonts w:ascii="Times New Roman" w:hAnsi="Times New Roman" w:cs="Times New Roman"/>
          <w:sz w:val="24"/>
          <w:szCs w:val="24"/>
          <w:lang w:eastAsia="en-US"/>
        </w:rPr>
      </w:pPr>
      <w:r w:rsidRPr="00D9085C">
        <w:rPr>
          <w:rFonts w:ascii="Times New Roman" w:hAnsi="Times New Roman" w:cs="Times New Roman"/>
          <w:sz w:val="24"/>
          <w:szCs w:val="24"/>
          <w:lang w:eastAsia="en-US"/>
        </w:rPr>
        <w:t xml:space="preserve">APRA’s mandate is to ensure the safety and soundness of prudentially regulated financial institutions so that they can meet their financial promises to depositors, </w:t>
      </w:r>
      <w:proofErr w:type="gramStart"/>
      <w:r w:rsidRPr="00D9085C">
        <w:rPr>
          <w:rFonts w:ascii="Times New Roman" w:hAnsi="Times New Roman" w:cs="Times New Roman"/>
          <w:sz w:val="24"/>
          <w:szCs w:val="24"/>
          <w:lang w:eastAsia="en-US"/>
        </w:rPr>
        <w:t>policyholders</w:t>
      </w:r>
      <w:proofErr w:type="gramEnd"/>
      <w:r w:rsidRPr="00D9085C">
        <w:rPr>
          <w:rFonts w:ascii="Times New Roman" w:hAnsi="Times New Roman" w:cs="Times New Roman"/>
          <w:sz w:val="24"/>
          <w:szCs w:val="24"/>
          <w:lang w:eastAsia="en-US"/>
        </w:rPr>
        <w:t xml:space="preserve"> and fund members within a stable, efficient and competitive financial system.</w:t>
      </w:r>
    </w:p>
    <w:p w14:paraId="3D599309" w14:textId="2DB7E56E" w:rsidR="00C25FA1" w:rsidRPr="00D9085C" w:rsidRDefault="00C25FA1" w:rsidP="000125E4">
      <w:pPr>
        <w:jc w:val="both"/>
        <w:rPr>
          <w:rFonts w:ascii="Times New Roman" w:hAnsi="Times New Roman" w:cs="Times New Roman"/>
          <w:sz w:val="24"/>
          <w:szCs w:val="24"/>
          <w:lang w:eastAsia="en-US"/>
        </w:rPr>
      </w:pPr>
      <w:r w:rsidRPr="00D9085C">
        <w:rPr>
          <w:rFonts w:ascii="Times New Roman" w:hAnsi="Times New Roman" w:cs="Times New Roman"/>
          <w:sz w:val="24"/>
          <w:szCs w:val="24"/>
          <w:lang w:eastAsia="en-US"/>
        </w:rPr>
        <w:t xml:space="preserve">APRA carries out this mandate through a multi-layered prudential framework that encompasses licensing and supervision of </w:t>
      </w:r>
      <w:r w:rsidR="00CE54A1" w:rsidRPr="00D9085C">
        <w:rPr>
          <w:rFonts w:ascii="Times New Roman" w:hAnsi="Times New Roman" w:cs="Times New Roman"/>
          <w:sz w:val="24"/>
          <w:szCs w:val="24"/>
          <w:lang w:eastAsia="en-US"/>
        </w:rPr>
        <w:t>entities</w:t>
      </w:r>
      <w:r w:rsidRPr="00D9085C">
        <w:rPr>
          <w:rFonts w:ascii="Times New Roman" w:hAnsi="Times New Roman" w:cs="Times New Roman"/>
          <w:sz w:val="24"/>
          <w:szCs w:val="24"/>
          <w:lang w:eastAsia="en-US"/>
        </w:rPr>
        <w:t xml:space="preserve">. </w:t>
      </w:r>
      <w:r w:rsidR="00CE54A1" w:rsidRPr="00D9085C">
        <w:rPr>
          <w:rFonts w:ascii="Times New Roman" w:hAnsi="Times New Roman" w:cs="Times New Roman"/>
          <w:sz w:val="24"/>
          <w:szCs w:val="24"/>
          <w:lang w:eastAsia="en-US"/>
        </w:rPr>
        <w:t>The Banking Act, Insurance Act, Life Insurance Act, PHIPS Act and SIS Act allow APRA to issue legally binding prudential standards that set out specific prudential requirements with which APRA-regulated entities must comply</w:t>
      </w:r>
      <w:r w:rsidRPr="00D9085C">
        <w:rPr>
          <w:rFonts w:ascii="Times New Roman" w:hAnsi="Times New Roman" w:cs="Times New Roman"/>
          <w:sz w:val="24"/>
          <w:szCs w:val="24"/>
          <w:lang w:eastAsia="en-US"/>
        </w:rPr>
        <w:t>.</w:t>
      </w:r>
    </w:p>
    <w:p w14:paraId="306AA6B3" w14:textId="314E7DB6" w:rsidR="00C25FA1" w:rsidRPr="00D9085C" w:rsidRDefault="00C25FA1" w:rsidP="000125E4">
      <w:pPr>
        <w:jc w:val="both"/>
        <w:rPr>
          <w:rFonts w:ascii="Times New Roman" w:hAnsi="Times New Roman" w:cs="Times New Roman"/>
          <w:sz w:val="24"/>
          <w:szCs w:val="24"/>
          <w:lang w:eastAsia="en-US"/>
        </w:rPr>
      </w:pPr>
      <w:r w:rsidRPr="00D9085C">
        <w:rPr>
          <w:rFonts w:ascii="Times New Roman" w:hAnsi="Times New Roman" w:cs="Times New Roman"/>
          <w:sz w:val="24"/>
          <w:szCs w:val="24"/>
          <w:lang w:eastAsia="en-US"/>
        </w:rPr>
        <w:t xml:space="preserve">APRA regularly reviews its regulatory regime and amends its prudential requirements </w:t>
      </w:r>
      <w:proofErr w:type="gramStart"/>
      <w:r w:rsidRPr="00D9085C">
        <w:rPr>
          <w:rFonts w:ascii="Times New Roman" w:hAnsi="Times New Roman" w:cs="Times New Roman"/>
          <w:sz w:val="24"/>
          <w:szCs w:val="24"/>
          <w:lang w:eastAsia="en-US"/>
        </w:rPr>
        <w:t>as a result of</w:t>
      </w:r>
      <w:proofErr w:type="gramEnd"/>
      <w:r w:rsidRPr="00D9085C">
        <w:rPr>
          <w:rFonts w:ascii="Times New Roman" w:hAnsi="Times New Roman" w:cs="Times New Roman"/>
          <w:sz w:val="24"/>
          <w:szCs w:val="24"/>
          <w:lang w:eastAsia="en-US"/>
        </w:rPr>
        <w:t xml:space="preserve"> a number of factors</w:t>
      </w:r>
      <w:r w:rsidR="008B693E" w:rsidRPr="00D9085C">
        <w:rPr>
          <w:rFonts w:ascii="Times New Roman" w:hAnsi="Times New Roman" w:cs="Times New Roman"/>
          <w:sz w:val="24"/>
          <w:szCs w:val="24"/>
          <w:lang w:eastAsia="en-US"/>
        </w:rPr>
        <w:t>,</w:t>
      </w:r>
      <w:r w:rsidRPr="00D9085C">
        <w:rPr>
          <w:rFonts w:ascii="Times New Roman" w:hAnsi="Times New Roman" w:cs="Times New Roman"/>
          <w:sz w:val="24"/>
          <w:szCs w:val="24"/>
          <w:lang w:eastAsia="en-US"/>
        </w:rPr>
        <w:t xml:space="preserve"> including:</w:t>
      </w:r>
    </w:p>
    <w:p w14:paraId="0689E01F" w14:textId="17C30B37" w:rsidR="00C25FA1" w:rsidRPr="00D9085C" w:rsidRDefault="00C25FA1" w:rsidP="007963BF">
      <w:pPr>
        <w:pStyle w:val="ListParagraph"/>
        <w:numPr>
          <w:ilvl w:val="0"/>
          <w:numId w:val="12"/>
        </w:numPr>
        <w:ind w:left="714" w:hanging="357"/>
        <w:contextualSpacing w:val="0"/>
        <w:jc w:val="both"/>
        <w:rPr>
          <w:rFonts w:ascii="Times New Roman" w:hAnsi="Times New Roman" w:cs="Times New Roman"/>
          <w:sz w:val="24"/>
          <w:szCs w:val="24"/>
        </w:rPr>
      </w:pPr>
      <w:r w:rsidRPr="00D9085C">
        <w:rPr>
          <w:rFonts w:ascii="Times New Roman" w:hAnsi="Times New Roman" w:cs="Times New Roman"/>
          <w:sz w:val="24"/>
          <w:szCs w:val="24"/>
        </w:rPr>
        <w:t xml:space="preserve">international </w:t>
      </w:r>
      <w:proofErr w:type="gramStart"/>
      <w:r w:rsidRPr="00D9085C">
        <w:rPr>
          <w:rFonts w:ascii="Times New Roman" w:hAnsi="Times New Roman" w:cs="Times New Roman"/>
          <w:sz w:val="24"/>
          <w:szCs w:val="24"/>
        </w:rPr>
        <w:t>developments;</w:t>
      </w:r>
      <w:proofErr w:type="gramEnd"/>
    </w:p>
    <w:p w14:paraId="7267B67D" w14:textId="22AD9B7A" w:rsidR="00C25FA1" w:rsidRPr="00D9085C" w:rsidRDefault="00C25FA1" w:rsidP="007963BF">
      <w:pPr>
        <w:pStyle w:val="ListParagraph"/>
        <w:numPr>
          <w:ilvl w:val="0"/>
          <w:numId w:val="12"/>
        </w:numPr>
        <w:ind w:left="714" w:hanging="357"/>
        <w:contextualSpacing w:val="0"/>
        <w:jc w:val="both"/>
        <w:rPr>
          <w:rFonts w:ascii="Times New Roman" w:hAnsi="Times New Roman" w:cs="Times New Roman"/>
          <w:sz w:val="24"/>
          <w:szCs w:val="24"/>
        </w:rPr>
      </w:pPr>
      <w:r w:rsidRPr="00D9085C">
        <w:rPr>
          <w:rFonts w:ascii="Times New Roman" w:hAnsi="Times New Roman" w:cs="Times New Roman"/>
          <w:sz w:val="24"/>
          <w:szCs w:val="24"/>
        </w:rPr>
        <w:t>changes in financial market conditions or changes in risk management practices, in response to identified weaknesses in the prudential framework; and</w:t>
      </w:r>
    </w:p>
    <w:p w14:paraId="79F40E91" w14:textId="1ED62B57" w:rsidR="00C30660" w:rsidRPr="00D9085C" w:rsidRDefault="00C25FA1" w:rsidP="007963BF">
      <w:pPr>
        <w:pStyle w:val="ListParagraph"/>
        <w:numPr>
          <w:ilvl w:val="0"/>
          <w:numId w:val="12"/>
        </w:numPr>
        <w:ind w:left="714" w:hanging="357"/>
        <w:contextualSpacing w:val="0"/>
        <w:jc w:val="both"/>
        <w:rPr>
          <w:rFonts w:ascii="Times New Roman" w:hAnsi="Times New Roman" w:cs="Times New Roman"/>
          <w:sz w:val="24"/>
          <w:szCs w:val="24"/>
        </w:rPr>
      </w:pPr>
      <w:r w:rsidRPr="00D9085C">
        <w:rPr>
          <w:rFonts w:ascii="Times New Roman" w:hAnsi="Times New Roman" w:cs="Times New Roman"/>
          <w:sz w:val="24"/>
          <w:szCs w:val="24"/>
        </w:rPr>
        <w:lastRenderedPageBreak/>
        <w:t>to reduce potential negative impacts of emerging industry issues.</w:t>
      </w:r>
    </w:p>
    <w:p w14:paraId="3FB1866D" w14:textId="65F367C8" w:rsidR="0075041A" w:rsidRDefault="008C782E" w:rsidP="000125E4">
      <w:pPr>
        <w:jc w:val="both"/>
        <w:rPr>
          <w:rFonts w:ascii="Times New Roman" w:hAnsi="Times New Roman" w:cs="Times New Roman"/>
          <w:sz w:val="24"/>
          <w:szCs w:val="24"/>
          <w:lang w:eastAsia="en-US"/>
        </w:rPr>
      </w:pPr>
      <w:r w:rsidRPr="00D9085C">
        <w:rPr>
          <w:rFonts w:ascii="Times New Roman" w:hAnsi="Times New Roman" w:cs="Times New Roman"/>
          <w:sz w:val="24"/>
          <w:szCs w:val="24"/>
          <w:lang w:eastAsia="en-US"/>
        </w:rPr>
        <w:t xml:space="preserve">A resilient financial system requires </w:t>
      </w:r>
      <w:r w:rsidR="00E6478B">
        <w:rPr>
          <w:rFonts w:ascii="Times New Roman" w:hAnsi="Times New Roman" w:cs="Times New Roman"/>
          <w:sz w:val="24"/>
          <w:szCs w:val="24"/>
          <w:lang w:eastAsia="en-US"/>
        </w:rPr>
        <w:t>strong operational risk management</w:t>
      </w:r>
      <w:r w:rsidR="002C2B98">
        <w:rPr>
          <w:rFonts w:ascii="Times New Roman" w:hAnsi="Times New Roman" w:cs="Times New Roman"/>
          <w:sz w:val="24"/>
          <w:szCs w:val="24"/>
          <w:lang w:eastAsia="en-US"/>
        </w:rPr>
        <w:t xml:space="preserve">, </w:t>
      </w:r>
      <w:r w:rsidR="00E6478B">
        <w:rPr>
          <w:rFonts w:ascii="Times New Roman" w:hAnsi="Times New Roman" w:cs="Times New Roman"/>
          <w:sz w:val="24"/>
          <w:szCs w:val="24"/>
          <w:lang w:eastAsia="en-US"/>
        </w:rPr>
        <w:t xml:space="preserve">which is </w:t>
      </w:r>
      <w:r w:rsidR="006607AF">
        <w:rPr>
          <w:rFonts w:ascii="Times New Roman" w:hAnsi="Times New Roman" w:cs="Times New Roman"/>
          <w:sz w:val="24"/>
          <w:szCs w:val="24"/>
          <w:lang w:eastAsia="en-US"/>
        </w:rPr>
        <w:t>fundamental</w:t>
      </w:r>
      <w:r w:rsidR="00E6478B">
        <w:rPr>
          <w:rFonts w:ascii="Times New Roman" w:hAnsi="Times New Roman" w:cs="Times New Roman"/>
          <w:sz w:val="24"/>
          <w:szCs w:val="24"/>
          <w:lang w:eastAsia="en-US"/>
        </w:rPr>
        <w:t xml:space="preserve"> to financial safety </w:t>
      </w:r>
      <w:r w:rsidR="002C2B98">
        <w:rPr>
          <w:rFonts w:ascii="Times New Roman" w:hAnsi="Times New Roman" w:cs="Times New Roman"/>
          <w:sz w:val="24"/>
          <w:szCs w:val="24"/>
          <w:lang w:eastAsia="en-US"/>
        </w:rPr>
        <w:t xml:space="preserve">of APRA-regulated entities </w:t>
      </w:r>
      <w:r w:rsidR="00E6478B">
        <w:rPr>
          <w:rFonts w:ascii="Times New Roman" w:hAnsi="Times New Roman" w:cs="Times New Roman"/>
          <w:sz w:val="24"/>
          <w:szCs w:val="24"/>
          <w:lang w:eastAsia="en-US"/>
        </w:rPr>
        <w:t>and financial system stability</w:t>
      </w:r>
      <w:r w:rsidRPr="00D9085C">
        <w:rPr>
          <w:rFonts w:ascii="Times New Roman" w:hAnsi="Times New Roman" w:cs="Times New Roman"/>
          <w:i/>
          <w:sz w:val="24"/>
          <w:szCs w:val="24"/>
          <w:lang w:eastAsia="en-US"/>
        </w:rPr>
        <w:t xml:space="preserve">. </w:t>
      </w:r>
      <w:r w:rsidR="0075041A" w:rsidRPr="00D9085C">
        <w:rPr>
          <w:rFonts w:ascii="Times New Roman" w:hAnsi="Times New Roman" w:cs="Times New Roman"/>
          <w:sz w:val="24"/>
          <w:szCs w:val="24"/>
          <w:lang w:eastAsia="en-US"/>
        </w:rPr>
        <w:t xml:space="preserve">CPS </w:t>
      </w:r>
      <w:r w:rsidR="00E6478B">
        <w:rPr>
          <w:rFonts w:ascii="Times New Roman" w:hAnsi="Times New Roman" w:cs="Times New Roman"/>
          <w:sz w:val="24"/>
          <w:szCs w:val="24"/>
          <w:lang w:eastAsia="en-US"/>
        </w:rPr>
        <w:t>230</w:t>
      </w:r>
      <w:r w:rsidR="0075041A" w:rsidRPr="00D9085C">
        <w:rPr>
          <w:rFonts w:ascii="Times New Roman" w:hAnsi="Times New Roman" w:cs="Times New Roman"/>
          <w:sz w:val="24"/>
          <w:szCs w:val="24"/>
          <w:lang w:eastAsia="en-US"/>
        </w:rPr>
        <w:t xml:space="preserve"> </w:t>
      </w:r>
      <w:r w:rsidRPr="00D9085C">
        <w:rPr>
          <w:rFonts w:ascii="Times New Roman" w:hAnsi="Times New Roman" w:cs="Times New Roman"/>
          <w:sz w:val="24"/>
          <w:szCs w:val="24"/>
          <w:lang w:eastAsia="en-US"/>
        </w:rPr>
        <w:t xml:space="preserve">sets out requirements </w:t>
      </w:r>
      <w:r w:rsidR="0075041A" w:rsidRPr="00D9085C">
        <w:rPr>
          <w:rFonts w:ascii="Times New Roman" w:hAnsi="Times New Roman" w:cs="Times New Roman"/>
          <w:sz w:val="24"/>
          <w:szCs w:val="24"/>
          <w:lang w:eastAsia="en-US"/>
        </w:rPr>
        <w:t xml:space="preserve">to ensure that APRA-regulated entities maintain </w:t>
      </w:r>
      <w:r w:rsidR="00E6478B">
        <w:rPr>
          <w:rFonts w:ascii="Times New Roman" w:hAnsi="Times New Roman" w:cs="Times New Roman"/>
          <w:sz w:val="24"/>
          <w:szCs w:val="24"/>
          <w:lang w:eastAsia="en-US"/>
        </w:rPr>
        <w:t>operational risk</w:t>
      </w:r>
      <w:r w:rsidR="0075041A" w:rsidRPr="00D9085C">
        <w:rPr>
          <w:rFonts w:ascii="Times New Roman" w:hAnsi="Times New Roman" w:cs="Times New Roman"/>
          <w:sz w:val="24"/>
          <w:szCs w:val="24"/>
          <w:lang w:eastAsia="en-US"/>
        </w:rPr>
        <w:t xml:space="preserve"> </w:t>
      </w:r>
      <w:r w:rsidR="00E6478B">
        <w:rPr>
          <w:rFonts w:ascii="Times New Roman" w:hAnsi="Times New Roman" w:cs="Times New Roman"/>
          <w:sz w:val="24"/>
          <w:szCs w:val="24"/>
          <w:lang w:eastAsia="en-US"/>
        </w:rPr>
        <w:t>management arrangements</w:t>
      </w:r>
      <w:r w:rsidR="0075041A" w:rsidRPr="00D9085C">
        <w:rPr>
          <w:rFonts w:ascii="Times New Roman" w:hAnsi="Times New Roman" w:cs="Times New Roman"/>
          <w:sz w:val="24"/>
          <w:szCs w:val="24"/>
          <w:lang w:eastAsia="en-US"/>
        </w:rPr>
        <w:t xml:space="preserve"> </w:t>
      </w:r>
      <w:r w:rsidR="00E6478B">
        <w:rPr>
          <w:rFonts w:ascii="Times New Roman" w:hAnsi="Times New Roman" w:cs="Times New Roman"/>
          <w:sz w:val="24"/>
          <w:szCs w:val="24"/>
          <w:lang w:eastAsia="en-US"/>
        </w:rPr>
        <w:t>that ensure operational risks are appropriately managed through effective controls, monitoring and remediation; that entities are prepared to respond to disruptions and maintain critical operations through disruptions; and risks arising from the use of service providers are managed appropriately</w:t>
      </w:r>
      <w:r w:rsidRPr="00D9085C">
        <w:rPr>
          <w:rFonts w:ascii="Times New Roman" w:hAnsi="Times New Roman" w:cs="Times New Roman"/>
          <w:sz w:val="24"/>
          <w:szCs w:val="24"/>
          <w:lang w:eastAsia="en-US"/>
        </w:rPr>
        <w:t>.</w:t>
      </w:r>
    </w:p>
    <w:p w14:paraId="2FFAF07E" w14:textId="2A6A64E6" w:rsidR="007A3F69" w:rsidRPr="00D9085C" w:rsidRDefault="007A3F69" w:rsidP="000125E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With the commencement of CPS 230</w:t>
      </w:r>
      <w:r w:rsidR="00DD6EF3">
        <w:rPr>
          <w:rFonts w:ascii="Times New Roman" w:hAnsi="Times New Roman" w:cs="Times New Roman"/>
          <w:sz w:val="24"/>
          <w:szCs w:val="24"/>
          <w:lang w:eastAsia="en-US"/>
        </w:rPr>
        <w:t xml:space="preserve"> on 1 July 2025, </w:t>
      </w:r>
      <w:r w:rsidR="002C2B98">
        <w:rPr>
          <w:rFonts w:ascii="Times New Roman" w:hAnsi="Times New Roman" w:cs="Times New Roman"/>
          <w:sz w:val="24"/>
          <w:szCs w:val="24"/>
          <w:lang w:eastAsia="en-US"/>
        </w:rPr>
        <w:t xml:space="preserve">the existing </w:t>
      </w:r>
      <w:r w:rsidR="00DD6EF3">
        <w:rPr>
          <w:rFonts w:ascii="Times New Roman" w:hAnsi="Times New Roman" w:cs="Times New Roman"/>
          <w:sz w:val="24"/>
          <w:szCs w:val="24"/>
          <w:lang w:eastAsia="en-US"/>
        </w:rPr>
        <w:t xml:space="preserve">prudential standards will </w:t>
      </w:r>
      <w:r w:rsidR="0010593E">
        <w:rPr>
          <w:rFonts w:ascii="Times New Roman" w:hAnsi="Times New Roman" w:cs="Times New Roman"/>
          <w:sz w:val="24"/>
          <w:szCs w:val="24"/>
          <w:lang w:eastAsia="en-US"/>
        </w:rPr>
        <w:t xml:space="preserve">be revoked as CPS 230 will incorporate </w:t>
      </w:r>
      <w:r w:rsidR="00CB4D4C">
        <w:rPr>
          <w:rFonts w:ascii="Times New Roman" w:hAnsi="Times New Roman" w:cs="Times New Roman"/>
          <w:sz w:val="24"/>
          <w:szCs w:val="24"/>
          <w:lang w:eastAsia="en-US"/>
        </w:rPr>
        <w:t xml:space="preserve">updated </w:t>
      </w:r>
      <w:r w:rsidR="0010593E">
        <w:rPr>
          <w:rFonts w:ascii="Times New Roman" w:hAnsi="Times New Roman" w:cs="Times New Roman"/>
          <w:sz w:val="24"/>
          <w:szCs w:val="24"/>
          <w:lang w:eastAsia="en-US"/>
        </w:rPr>
        <w:t>coverage of</w:t>
      </w:r>
      <w:r w:rsidR="002C2B98">
        <w:rPr>
          <w:rFonts w:ascii="Times New Roman" w:hAnsi="Times New Roman" w:cs="Times New Roman"/>
          <w:sz w:val="24"/>
          <w:szCs w:val="24"/>
          <w:lang w:eastAsia="en-US"/>
        </w:rPr>
        <w:t xml:space="preserve"> APRA’s requirements </w:t>
      </w:r>
      <w:r w:rsidR="009A7420">
        <w:rPr>
          <w:rFonts w:ascii="Times New Roman" w:hAnsi="Times New Roman" w:cs="Times New Roman"/>
          <w:sz w:val="24"/>
          <w:szCs w:val="24"/>
          <w:lang w:eastAsia="en-US"/>
        </w:rPr>
        <w:t>for</w:t>
      </w:r>
      <w:r w:rsidR="002C2B98">
        <w:rPr>
          <w:rFonts w:ascii="Times New Roman" w:hAnsi="Times New Roman" w:cs="Times New Roman"/>
          <w:sz w:val="24"/>
          <w:szCs w:val="24"/>
          <w:lang w:eastAsia="en-US"/>
        </w:rPr>
        <w:t xml:space="preserve"> </w:t>
      </w:r>
      <w:r w:rsidR="00AE52FB">
        <w:rPr>
          <w:rFonts w:ascii="Times New Roman" w:hAnsi="Times New Roman" w:cs="Times New Roman"/>
          <w:sz w:val="24"/>
          <w:szCs w:val="24"/>
          <w:lang w:eastAsia="en-US"/>
        </w:rPr>
        <w:t xml:space="preserve">service provision (including </w:t>
      </w:r>
      <w:r w:rsidR="002C2B98">
        <w:rPr>
          <w:rFonts w:ascii="Times New Roman" w:hAnsi="Times New Roman" w:cs="Times New Roman"/>
          <w:sz w:val="24"/>
          <w:szCs w:val="24"/>
          <w:lang w:eastAsia="en-US"/>
        </w:rPr>
        <w:t>outsourcing</w:t>
      </w:r>
      <w:r w:rsidR="00AE52FB">
        <w:rPr>
          <w:rFonts w:ascii="Times New Roman" w:hAnsi="Times New Roman" w:cs="Times New Roman"/>
          <w:sz w:val="24"/>
          <w:szCs w:val="24"/>
          <w:lang w:eastAsia="en-US"/>
        </w:rPr>
        <w:t>)</w:t>
      </w:r>
      <w:r w:rsidR="002C2B98">
        <w:rPr>
          <w:rFonts w:ascii="Times New Roman" w:hAnsi="Times New Roman" w:cs="Times New Roman"/>
          <w:sz w:val="24"/>
          <w:szCs w:val="24"/>
          <w:lang w:eastAsia="en-US"/>
        </w:rPr>
        <w:t xml:space="preserve"> and business continuity management</w:t>
      </w:r>
      <w:r w:rsidR="00CB4D4C">
        <w:rPr>
          <w:rFonts w:ascii="Times New Roman" w:hAnsi="Times New Roman" w:cs="Times New Roman"/>
          <w:sz w:val="24"/>
          <w:szCs w:val="24"/>
          <w:lang w:eastAsia="en-US"/>
        </w:rPr>
        <w:t>.</w:t>
      </w:r>
    </w:p>
    <w:p w14:paraId="080AA574" w14:textId="390C8047" w:rsidR="0012246A" w:rsidRPr="00D9085C" w:rsidRDefault="0012246A" w:rsidP="00777743">
      <w:pPr>
        <w:pStyle w:val="ListParagraph"/>
        <w:numPr>
          <w:ilvl w:val="0"/>
          <w:numId w:val="22"/>
        </w:numPr>
        <w:spacing w:after="240" w:line="240" w:lineRule="auto"/>
        <w:ind w:left="567" w:hanging="567"/>
        <w:jc w:val="both"/>
        <w:rPr>
          <w:rFonts w:ascii="Times New Roman" w:hAnsi="Times New Roman" w:cs="Times New Roman"/>
          <w:b/>
          <w:sz w:val="24"/>
          <w:szCs w:val="24"/>
          <w:lang w:eastAsia="en-US"/>
        </w:rPr>
      </w:pPr>
      <w:r w:rsidRPr="00D9085C">
        <w:rPr>
          <w:rFonts w:ascii="Times New Roman" w:hAnsi="Times New Roman" w:cs="Times New Roman"/>
          <w:b/>
          <w:sz w:val="24"/>
          <w:szCs w:val="24"/>
          <w:lang w:eastAsia="en-US"/>
        </w:rPr>
        <w:t>Purpose and operation of the instruments</w:t>
      </w:r>
    </w:p>
    <w:p w14:paraId="3C0F2572" w14:textId="11D57FEF" w:rsidR="0012246A" w:rsidRPr="00D9085C" w:rsidRDefault="00BA1629" w:rsidP="000125E4">
      <w:pPr>
        <w:jc w:val="both"/>
        <w:rPr>
          <w:rFonts w:ascii="Times New Roman" w:hAnsi="Times New Roman" w:cs="Times New Roman"/>
          <w:sz w:val="24"/>
          <w:szCs w:val="24"/>
          <w:lang w:eastAsia="en-US"/>
        </w:rPr>
      </w:pPr>
      <w:r w:rsidRPr="00D9085C">
        <w:rPr>
          <w:rFonts w:ascii="Times New Roman" w:hAnsi="Times New Roman" w:cs="Times New Roman"/>
          <w:sz w:val="24"/>
          <w:szCs w:val="24"/>
          <w:lang w:eastAsia="en-US"/>
        </w:rPr>
        <w:t xml:space="preserve">The purpose of </w:t>
      </w:r>
      <w:r w:rsidR="005242B6" w:rsidRPr="00D9085C">
        <w:rPr>
          <w:rFonts w:ascii="Times New Roman" w:hAnsi="Times New Roman" w:cs="Times New Roman"/>
          <w:sz w:val="24"/>
          <w:szCs w:val="24"/>
          <w:lang w:eastAsia="en-US"/>
        </w:rPr>
        <w:t xml:space="preserve">the instrument </w:t>
      </w:r>
      <w:r w:rsidRPr="00D9085C">
        <w:rPr>
          <w:rFonts w:ascii="Times New Roman" w:hAnsi="Times New Roman" w:cs="Times New Roman"/>
          <w:sz w:val="24"/>
          <w:szCs w:val="24"/>
          <w:lang w:eastAsia="en-US"/>
        </w:rPr>
        <w:t xml:space="preserve">is to </w:t>
      </w:r>
      <w:r w:rsidR="00C66EEA">
        <w:rPr>
          <w:rFonts w:ascii="Times New Roman" w:hAnsi="Times New Roman" w:cs="Times New Roman"/>
          <w:sz w:val="24"/>
          <w:szCs w:val="24"/>
          <w:lang w:eastAsia="en-US"/>
        </w:rPr>
        <w:t xml:space="preserve">revoke existing prudential standards for outsourcing and business continuity management and </w:t>
      </w:r>
      <w:r w:rsidR="000C67B1" w:rsidRPr="00D9085C">
        <w:rPr>
          <w:rFonts w:ascii="Times New Roman" w:hAnsi="Times New Roman" w:cs="Times New Roman"/>
          <w:sz w:val="24"/>
          <w:szCs w:val="24"/>
          <w:lang w:eastAsia="en-US"/>
        </w:rPr>
        <w:t>determine</w:t>
      </w:r>
      <w:r w:rsidRPr="00D9085C">
        <w:rPr>
          <w:rFonts w:ascii="Times New Roman" w:hAnsi="Times New Roman" w:cs="Times New Roman"/>
          <w:sz w:val="24"/>
          <w:szCs w:val="24"/>
          <w:lang w:eastAsia="en-US"/>
        </w:rPr>
        <w:t xml:space="preserve"> a new </w:t>
      </w:r>
      <w:r w:rsidR="00CF2D41" w:rsidRPr="00D9085C">
        <w:rPr>
          <w:rFonts w:ascii="Times New Roman" w:hAnsi="Times New Roman" w:cs="Times New Roman"/>
          <w:sz w:val="24"/>
          <w:szCs w:val="24"/>
          <w:lang w:eastAsia="en-US"/>
        </w:rPr>
        <w:t xml:space="preserve">prudential </w:t>
      </w:r>
      <w:r w:rsidR="005233B4" w:rsidRPr="00D9085C">
        <w:rPr>
          <w:rFonts w:ascii="Times New Roman" w:hAnsi="Times New Roman" w:cs="Times New Roman"/>
          <w:sz w:val="24"/>
          <w:szCs w:val="24"/>
          <w:lang w:eastAsia="en-US"/>
        </w:rPr>
        <w:t>s</w:t>
      </w:r>
      <w:r w:rsidR="00CF2D41" w:rsidRPr="00D9085C">
        <w:rPr>
          <w:rFonts w:ascii="Times New Roman" w:hAnsi="Times New Roman" w:cs="Times New Roman"/>
          <w:sz w:val="24"/>
          <w:szCs w:val="24"/>
          <w:lang w:eastAsia="en-US"/>
        </w:rPr>
        <w:t>tandard</w:t>
      </w:r>
      <w:r w:rsidRPr="00D9085C">
        <w:rPr>
          <w:rFonts w:ascii="Times New Roman" w:hAnsi="Times New Roman" w:cs="Times New Roman"/>
          <w:sz w:val="24"/>
          <w:szCs w:val="24"/>
          <w:lang w:eastAsia="en-US"/>
        </w:rPr>
        <w:t xml:space="preserve">, CPS </w:t>
      </w:r>
      <w:r w:rsidR="00C66EEA">
        <w:rPr>
          <w:rFonts w:ascii="Times New Roman" w:hAnsi="Times New Roman" w:cs="Times New Roman"/>
          <w:sz w:val="24"/>
          <w:szCs w:val="24"/>
          <w:lang w:eastAsia="en-US"/>
        </w:rPr>
        <w:t>230</w:t>
      </w:r>
      <w:r w:rsidRPr="00D9085C">
        <w:rPr>
          <w:rFonts w:ascii="Times New Roman" w:hAnsi="Times New Roman" w:cs="Times New Roman"/>
          <w:sz w:val="24"/>
          <w:szCs w:val="24"/>
          <w:lang w:eastAsia="en-US"/>
        </w:rPr>
        <w:t>.</w:t>
      </w:r>
    </w:p>
    <w:p w14:paraId="3AFA2BF6" w14:textId="47CE7F45" w:rsidR="004665D8" w:rsidRPr="00D9085C" w:rsidRDefault="00BA1629" w:rsidP="000125E4">
      <w:pPr>
        <w:jc w:val="both"/>
        <w:rPr>
          <w:rFonts w:ascii="Times New Roman" w:hAnsi="Times New Roman" w:cs="Times New Roman"/>
          <w:sz w:val="24"/>
          <w:szCs w:val="24"/>
        </w:rPr>
      </w:pPr>
      <w:r w:rsidRPr="00D9085C">
        <w:rPr>
          <w:rFonts w:ascii="Times New Roman" w:hAnsi="Times New Roman" w:cs="Times New Roman"/>
          <w:sz w:val="24"/>
          <w:szCs w:val="24"/>
        </w:rPr>
        <w:t xml:space="preserve">CPS </w:t>
      </w:r>
      <w:r w:rsidR="00C66EEA">
        <w:rPr>
          <w:rFonts w:ascii="Times New Roman" w:hAnsi="Times New Roman" w:cs="Times New Roman"/>
          <w:sz w:val="24"/>
          <w:szCs w:val="24"/>
        </w:rPr>
        <w:t>230</w:t>
      </w:r>
      <w:r w:rsidR="004665D8" w:rsidRPr="00D9085C">
        <w:rPr>
          <w:rFonts w:ascii="Times New Roman" w:hAnsi="Times New Roman" w:cs="Times New Roman"/>
          <w:sz w:val="24"/>
          <w:szCs w:val="24"/>
        </w:rPr>
        <w:t xml:space="preserve"> </w:t>
      </w:r>
      <w:r w:rsidR="00E23F3D" w:rsidRPr="00D9085C">
        <w:rPr>
          <w:rFonts w:ascii="Times New Roman" w:hAnsi="Times New Roman" w:cs="Times New Roman"/>
          <w:sz w:val="24"/>
          <w:szCs w:val="24"/>
        </w:rPr>
        <w:t>is</w:t>
      </w:r>
      <w:r w:rsidR="004665D8" w:rsidRPr="00D9085C">
        <w:rPr>
          <w:rFonts w:ascii="Times New Roman" w:hAnsi="Times New Roman" w:cs="Times New Roman"/>
          <w:sz w:val="24"/>
          <w:szCs w:val="24"/>
        </w:rPr>
        <w:t xml:space="preserve"> designed to:</w:t>
      </w:r>
    </w:p>
    <w:p w14:paraId="7AF786B7" w14:textId="087D6537" w:rsidR="00B8112B" w:rsidRPr="00D9085C" w:rsidRDefault="00C66EEA" w:rsidP="000125E4">
      <w:pPr>
        <w:pStyle w:val="ListParagraph"/>
        <w:numPr>
          <w:ilvl w:val="0"/>
          <w:numId w:val="12"/>
        </w:numPr>
        <w:ind w:left="714" w:hanging="357"/>
        <w:contextualSpacing w:val="0"/>
        <w:jc w:val="both"/>
        <w:rPr>
          <w:rFonts w:ascii="Times New Roman" w:hAnsi="Times New Roman" w:cs="Times New Roman"/>
          <w:sz w:val="24"/>
          <w:szCs w:val="24"/>
        </w:rPr>
      </w:pPr>
      <w:bookmarkStart w:id="2" w:name="_Hlk75191591"/>
      <w:r>
        <w:rPr>
          <w:rFonts w:ascii="Times New Roman" w:hAnsi="Times New Roman" w:cs="Times New Roman"/>
          <w:sz w:val="24"/>
          <w:szCs w:val="24"/>
        </w:rPr>
        <w:t xml:space="preserve">strengthen the operational risk management of APRA-regulated </w:t>
      </w:r>
      <w:proofErr w:type="gramStart"/>
      <w:r>
        <w:rPr>
          <w:rFonts w:ascii="Times New Roman" w:hAnsi="Times New Roman" w:cs="Times New Roman"/>
          <w:sz w:val="24"/>
          <w:szCs w:val="24"/>
        </w:rPr>
        <w:t>entities</w:t>
      </w:r>
      <w:r w:rsidR="00B8112B" w:rsidRPr="00D9085C">
        <w:rPr>
          <w:rFonts w:ascii="Times New Roman" w:hAnsi="Times New Roman" w:cs="Times New Roman"/>
          <w:sz w:val="24"/>
          <w:szCs w:val="24"/>
        </w:rPr>
        <w:t>;</w:t>
      </w:r>
      <w:proofErr w:type="gramEnd"/>
    </w:p>
    <w:p w14:paraId="04F80D33" w14:textId="736DC08A" w:rsidR="00B8112B" w:rsidRPr="00D9085C" w:rsidRDefault="00C66EEA" w:rsidP="000125E4">
      <w:pPr>
        <w:pStyle w:val="ListParagraph"/>
        <w:numPr>
          <w:ilvl w:val="0"/>
          <w:numId w:val="12"/>
        </w:numPr>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improve business continuity planning to ensure APRA-regulated entities </w:t>
      </w:r>
      <w:r w:rsidR="00E01CC7">
        <w:rPr>
          <w:rFonts w:ascii="Times New Roman" w:hAnsi="Times New Roman" w:cs="Times New Roman"/>
          <w:sz w:val="24"/>
          <w:szCs w:val="24"/>
        </w:rPr>
        <w:t>can</w:t>
      </w:r>
      <w:r>
        <w:rPr>
          <w:rFonts w:ascii="Times New Roman" w:hAnsi="Times New Roman" w:cs="Times New Roman"/>
          <w:sz w:val="24"/>
          <w:szCs w:val="24"/>
        </w:rPr>
        <w:t xml:space="preserve"> effectively respond to severe business disruptions and maintain critical operations </w:t>
      </w:r>
      <w:r w:rsidR="002621DA">
        <w:rPr>
          <w:rFonts w:ascii="Times New Roman" w:hAnsi="Times New Roman" w:cs="Times New Roman"/>
          <w:sz w:val="24"/>
          <w:szCs w:val="24"/>
        </w:rPr>
        <w:t xml:space="preserve">and </w:t>
      </w:r>
      <w:r>
        <w:rPr>
          <w:rFonts w:ascii="Times New Roman" w:hAnsi="Times New Roman" w:cs="Times New Roman"/>
          <w:sz w:val="24"/>
          <w:szCs w:val="24"/>
        </w:rPr>
        <w:t xml:space="preserve">minimise material adverse impacts on depositors, policyholders, beneficiaries </w:t>
      </w:r>
      <w:r w:rsidR="004614B5">
        <w:rPr>
          <w:rFonts w:ascii="Times New Roman" w:hAnsi="Times New Roman" w:cs="Times New Roman"/>
          <w:sz w:val="24"/>
          <w:szCs w:val="24"/>
        </w:rPr>
        <w:t>or</w:t>
      </w:r>
      <w:r w:rsidR="002E2B42">
        <w:rPr>
          <w:rFonts w:ascii="Times New Roman" w:hAnsi="Times New Roman" w:cs="Times New Roman"/>
          <w:sz w:val="24"/>
          <w:szCs w:val="24"/>
        </w:rPr>
        <w:t xml:space="preserve"> </w:t>
      </w:r>
      <w:r>
        <w:rPr>
          <w:rFonts w:ascii="Times New Roman" w:hAnsi="Times New Roman" w:cs="Times New Roman"/>
          <w:sz w:val="24"/>
          <w:szCs w:val="24"/>
        </w:rPr>
        <w:t xml:space="preserve">other customers </w:t>
      </w:r>
      <w:r w:rsidR="004614B5">
        <w:rPr>
          <w:rFonts w:ascii="Times New Roman" w:hAnsi="Times New Roman" w:cs="Times New Roman"/>
          <w:sz w:val="24"/>
          <w:szCs w:val="24"/>
        </w:rPr>
        <w:t xml:space="preserve">or </w:t>
      </w:r>
      <w:r>
        <w:rPr>
          <w:rFonts w:ascii="Times New Roman" w:hAnsi="Times New Roman" w:cs="Times New Roman"/>
          <w:sz w:val="24"/>
          <w:szCs w:val="24"/>
        </w:rPr>
        <w:t>an entity’s role in the financial system</w:t>
      </w:r>
      <w:r w:rsidR="00A443C5">
        <w:rPr>
          <w:rFonts w:ascii="Times New Roman" w:hAnsi="Times New Roman" w:cs="Times New Roman"/>
          <w:sz w:val="24"/>
          <w:szCs w:val="24"/>
        </w:rPr>
        <w:t>;</w:t>
      </w:r>
      <w:r w:rsidR="00B8112B" w:rsidRPr="00D9085C">
        <w:rPr>
          <w:rFonts w:ascii="Times New Roman" w:hAnsi="Times New Roman" w:cs="Times New Roman"/>
          <w:sz w:val="24"/>
          <w:szCs w:val="24"/>
        </w:rPr>
        <w:t xml:space="preserve"> and</w:t>
      </w:r>
    </w:p>
    <w:p w14:paraId="3B1F149A" w14:textId="4A8BB9B7" w:rsidR="00B8112B" w:rsidRPr="00D9085C" w:rsidRDefault="00077716" w:rsidP="000125E4">
      <w:pPr>
        <w:pStyle w:val="ListParagraph"/>
        <w:numPr>
          <w:ilvl w:val="0"/>
          <w:numId w:val="12"/>
        </w:numPr>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strengthen the management of third parties whom the regulated entity relies upon in providing critical operations</w:t>
      </w:r>
      <w:r w:rsidR="00B8112B" w:rsidRPr="00D9085C">
        <w:rPr>
          <w:rFonts w:ascii="Times New Roman" w:hAnsi="Times New Roman" w:cs="Times New Roman"/>
          <w:sz w:val="24"/>
          <w:szCs w:val="24"/>
        </w:rPr>
        <w:t>.</w:t>
      </w:r>
    </w:p>
    <w:bookmarkEnd w:id="2"/>
    <w:p w14:paraId="7327EAF4" w14:textId="2DC4C483" w:rsidR="007C2D39" w:rsidRPr="004432DE" w:rsidRDefault="003A3BD3" w:rsidP="000868B7">
      <w:pPr>
        <w:jc w:val="both"/>
        <w:rPr>
          <w:rFonts w:ascii="Times New Roman" w:hAnsi="Times New Roman" w:cs="Times New Roman"/>
          <w:b/>
          <w:i/>
          <w:sz w:val="24"/>
          <w:szCs w:val="24"/>
        </w:rPr>
      </w:pPr>
      <w:r w:rsidRPr="004432DE">
        <w:rPr>
          <w:rFonts w:ascii="Times New Roman" w:hAnsi="Times New Roman" w:cs="Times New Roman"/>
          <w:b/>
          <w:i/>
          <w:sz w:val="24"/>
          <w:szCs w:val="24"/>
        </w:rPr>
        <w:t>Explanation of specific provisions in CPS 230</w:t>
      </w:r>
      <w:r w:rsidR="000868B7" w:rsidRPr="004432DE">
        <w:rPr>
          <w:rFonts w:ascii="Times New Roman" w:hAnsi="Times New Roman" w:cs="Times New Roman"/>
          <w:b/>
          <w:i/>
          <w:sz w:val="24"/>
          <w:szCs w:val="24"/>
        </w:rPr>
        <w:t xml:space="preserve"> </w:t>
      </w:r>
    </w:p>
    <w:p w14:paraId="70B3AB4E" w14:textId="08DF8D5F" w:rsidR="003A3BD3" w:rsidRPr="000F6DCD" w:rsidRDefault="00A10D3C" w:rsidP="000868B7">
      <w:pPr>
        <w:jc w:val="both"/>
        <w:rPr>
          <w:rFonts w:ascii="Times New Roman" w:hAnsi="Times New Roman" w:cs="Times New Roman"/>
          <w:i/>
          <w:sz w:val="24"/>
          <w:szCs w:val="24"/>
        </w:rPr>
      </w:pPr>
      <w:r w:rsidRPr="000F6DCD">
        <w:rPr>
          <w:rFonts w:ascii="Times New Roman" w:hAnsi="Times New Roman" w:cs="Times New Roman"/>
          <w:i/>
          <w:sz w:val="24"/>
          <w:szCs w:val="24"/>
        </w:rPr>
        <w:t>Authority (para</w:t>
      </w:r>
      <w:r w:rsidR="00C91F02" w:rsidRPr="000F6DCD">
        <w:rPr>
          <w:rFonts w:ascii="Times New Roman" w:hAnsi="Times New Roman" w:cs="Times New Roman"/>
          <w:i/>
          <w:sz w:val="24"/>
          <w:szCs w:val="24"/>
        </w:rPr>
        <w:t>graph</w:t>
      </w:r>
      <w:r w:rsidRPr="000F6DCD">
        <w:rPr>
          <w:rFonts w:ascii="Times New Roman" w:hAnsi="Times New Roman" w:cs="Times New Roman"/>
          <w:i/>
          <w:sz w:val="24"/>
          <w:szCs w:val="24"/>
        </w:rPr>
        <w:t xml:space="preserve"> 1)</w:t>
      </w:r>
    </w:p>
    <w:p w14:paraId="3E1988C8" w14:textId="348CD82A" w:rsidR="00A10D3C" w:rsidRPr="000F6DCD" w:rsidRDefault="00992437" w:rsidP="000868B7">
      <w:pPr>
        <w:jc w:val="both"/>
        <w:rPr>
          <w:rFonts w:ascii="Times New Roman" w:hAnsi="Times New Roman" w:cs="Times New Roman"/>
          <w:sz w:val="24"/>
          <w:szCs w:val="24"/>
        </w:rPr>
      </w:pPr>
      <w:r w:rsidRPr="000F6DCD">
        <w:rPr>
          <w:rFonts w:ascii="Times New Roman" w:hAnsi="Times New Roman" w:cs="Times New Roman"/>
          <w:sz w:val="24"/>
          <w:szCs w:val="24"/>
        </w:rPr>
        <w:t xml:space="preserve">This </w:t>
      </w:r>
      <w:r w:rsidR="000F6DCD" w:rsidRPr="00CC0B16">
        <w:rPr>
          <w:rFonts w:ascii="Times New Roman" w:hAnsi="Times New Roman" w:cs="Times New Roman"/>
          <w:sz w:val="24"/>
          <w:szCs w:val="24"/>
        </w:rPr>
        <w:t>paragraph</w:t>
      </w:r>
      <w:r w:rsidR="000F6DCD" w:rsidRPr="000F6DCD">
        <w:rPr>
          <w:rFonts w:ascii="Times New Roman" w:hAnsi="Times New Roman" w:cs="Times New Roman"/>
          <w:sz w:val="24"/>
          <w:szCs w:val="24"/>
        </w:rPr>
        <w:t xml:space="preserve"> </w:t>
      </w:r>
      <w:r w:rsidR="000F6DCD" w:rsidRPr="00CC0B16">
        <w:rPr>
          <w:rFonts w:ascii="Times New Roman" w:hAnsi="Times New Roman" w:cs="Times New Roman"/>
          <w:sz w:val="24"/>
          <w:szCs w:val="24"/>
        </w:rPr>
        <w:t xml:space="preserve">outlines </w:t>
      </w:r>
      <w:r w:rsidR="00A10D3C" w:rsidRPr="000F6DCD">
        <w:rPr>
          <w:rFonts w:ascii="Times New Roman" w:hAnsi="Times New Roman" w:cs="Times New Roman"/>
          <w:sz w:val="24"/>
          <w:szCs w:val="24"/>
        </w:rPr>
        <w:t>the legislative provisions under which CPS 230 is made.</w:t>
      </w:r>
    </w:p>
    <w:p w14:paraId="1D5FC86E" w14:textId="4EBADCD1" w:rsidR="00A10D3C" w:rsidRPr="00905BD7" w:rsidRDefault="00A10D3C" w:rsidP="000868B7">
      <w:pPr>
        <w:jc w:val="both"/>
        <w:rPr>
          <w:rFonts w:ascii="Times New Roman" w:hAnsi="Times New Roman" w:cs="Times New Roman"/>
          <w:i/>
          <w:sz w:val="24"/>
          <w:szCs w:val="24"/>
        </w:rPr>
      </w:pPr>
      <w:r w:rsidRPr="00905BD7">
        <w:rPr>
          <w:rFonts w:ascii="Times New Roman" w:hAnsi="Times New Roman" w:cs="Times New Roman"/>
          <w:i/>
          <w:sz w:val="24"/>
          <w:szCs w:val="24"/>
        </w:rPr>
        <w:t xml:space="preserve">Application and </w:t>
      </w:r>
      <w:r w:rsidR="00C80CD7" w:rsidRPr="00905BD7">
        <w:rPr>
          <w:rFonts w:ascii="Times New Roman" w:hAnsi="Times New Roman" w:cs="Times New Roman"/>
          <w:i/>
          <w:sz w:val="24"/>
          <w:szCs w:val="24"/>
        </w:rPr>
        <w:t>commencement (</w:t>
      </w:r>
      <w:r w:rsidRPr="00905BD7">
        <w:rPr>
          <w:rFonts w:ascii="Times New Roman" w:hAnsi="Times New Roman" w:cs="Times New Roman"/>
          <w:i/>
          <w:sz w:val="24"/>
          <w:szCs w:val="24"/>
        </w:rPr>
        <w:t>para</w:t>
      </w:r>
      <w:r w:rsidR="00C91F02" w:rsidRPr="00905BD7">
        <w:rPr>
          <w:rFonts w:ascii="Times New Roman" w:hAnsi="Times New Roman" w:cs="Times New Roman"/>
          <w:i/>
          <w:sz w:val="24"/>
          <w:szCs w:val="24"/>
        </w:rPr>
        <w:t>graph</w:t>
      </w:r>
      <w:r w:rsidRPr="00905BD7">
        <w:rPr>
          <w:rFonts w:ascii="Times New Roman" w:hAnsi="Times New Roman" w:cs="Times New Roman"/>
          <w:i/>
          <w:sz w:val="24"/>
          <w:szCs w:val="24"/>
        </w:rPr>
        <w:t>s 2-</w:t>
      </w:r>
      <w:r w:rsidR="00B34A64" w:rsidRPr="00905BD7">
        <w:rPr>
          <w:rFonts w:ascii="Times New Roman" w:hAnsi="Times New Roman" w:cs="Times New Roman"/>
          <w:i/>
          <w:sz w:val="24"/>
          <w:szCs w:val="24"/>
        </w:rPr>
        <w:t>7</w:t>
      </w:r>
      <w:r w:rsidRPr="00905BD7">
        <w:rPr>
          <w:rFonts w:ascii="Times New Roman" w:hAnsi="Times New Roman" w:cs="Times New Roman"/>
          <w:i/>
          <w:sz w:val="24"/>
          <w:szCs w:val="24"/>
        </w:rPr>
        <w:t>)</w:t>
      </w:r>
    </w:p>
    <w:p w14:paraId="45FA9A0C" w14:textId="21C98ED3" w:rsidR="00C52D89" w:rsidRPr="00905BD7" w:rsidRDefault="007853D4" w:rsidP="000868B7">
      <w:pPr>
        <w:jc w:val="both"/>
        <w:rPr>
          <w:rFonts w:ascii="Times New Roman" w:hAnsi="Times New Roman" w:cs="Times New Roman"/>
          <w:sz w:val="24"/>
          <w:szCs w:val="24"/>
        </w:rPr>
      </w:pPr>
      <w:r w:rsidRPr="00905BD7">
        <w:rPr>
          <w:rFonts w:ascii="Times New Roman" w:hAnsi="Times New Roman" w:cs="Times New Roman"/>
          <w:sz w:val="24"/>
          <w:szCs w:val="24"/>
        </w:rPr>
        <w:t xml:space="preserve">Paragraph 2 </w:t>
      </w:r>
      <w:r w:rsidR="00992437" w:rsidRPr="00905BD7">
        <w:rPr>
          <w:rFonts w:ascii="Times New Roman" w:hAnsi="Times New Roman" w:cs="Times New Roman"/>
          <w:sz w:val="24"/>
          <w:szCs w:val="24"/>
        </w:rPr>
        <w:t>s</w:t>
      </w:r>
      <w:r w:rsidR="00A10D3C" w:rsidRPr="00905BD7">
        <w:rPr>
          <w:rFonts w:ascii="Times New Roman" w:hAnsi="Times New Roman" w:cs="Times New Roman"/>
          <w:sz w:val="24"/>
          <w:szCs w:val="24"/>
        </w:rPr>
        <w:t>ets out details of the APRA-regulated entities that CPS 230 applies to</w:t>
      </w:r>
      <w:r w:rsidR="00992437" w:rsidRPr="00905BD7">
        <w:rPr>
          <w:rFonts w:ascii="Times New Roman" w:hAnsi="Times New Roman" w:cs="Times New Roman"/>
          <w:sz w:val="24"/>
          <w:szCs w:val="24"/>
        </w:rPr>
        <w:t>.</w:t>
      </w:r>
    </w:p>
    <w:p w14:paraId="6680717F" w14:textId="2553D464" w:rsidR="00FF423A" w:rsidRPr="00905BD7" w:rsidRDefault="007853D4" w:rsidP="000868B7">
      <w:pPr>
        <w:jc w:val="both"/>
        <w:rPr>
          <w:rFonts w:ascii="Times New Roman" w:hAnsi="Times New Roman" w:cs="Times New Roman"/>
          <w:sz w:val="24"/>
          <w:szCs w:val="24"/>
        </w:rPr>
      </w:pPr>
      <w:r w:rsidRPr="00905BD7">
        <w:rPr>
          <w:rFonts w:ascii="Times New Roman" w:hAnsi="Times New Roman" w:cs="Times New Roman"/>
          <w:sz w:val="24"/>
          <w:szCs w:val="24"/>
        </w:rPr>
        <w:t xml:space="preserve">Paragraph </w:t>
      </w:r>
      <w:r w:rsidR="00F33888" w:rsidRPr="00905BD7">
        <w:rPr>
          <w:rFonts w:ascii="Times New Roman" w:hAnsi="Times New Roman" w:cs="Times New Roman"/>
          <w:sz w:val="24"/>
          <w:szCs w:val="24"/>
        </w:rPr>
        <w:t>6</w:t>
      </w:r>
      <w:r w:rsidR="00992437" w:rsidRPr="00905BD7">
        <w:rPr>
          <w:rFonts w:ascii="Times New Roman" w:hAnsi="Times New Roman" w:cs="Times New Roman"/>
          <w:sz w:val="24"/>
          <w:szCs w:val="24"/>
        </w:rPr>
        <w:t xml:space="preserve"> sets out the commencement date of the standard</w:t>
      </w:r>
      <w:r w:rsidR="00FF423A" w:rsidRPr="00905BD7">
        <w:rPr>
          <w:rFonts w:ascii="Times New Roman" w:hAnsi="Times New Roman" w:cs="Times New Roman"/>
          <w:sz w:val="24"/>
          <w:szCs w:val="24"/>
        </w:rPr>
        <w:t>.</w:t>
      </w:r>
    </w:p>
    <w:p w14:paraId="4F9287EB" w14:textId="1C07BE26" w:rsidR="00A10D3C" w:rsidRPr="00905BD7" w:rsidRDefault="00FF423A" w:rsidP="000868B7">
      <w:pPr>
        <w:jc w:val="both"/>
        <w:rPr>
          <w:rFonts w:ascii="Times New Roman" w:hAnsi="Times New Roman" w:cs="Times New Roman"/>
          <w:sz w:val="24"/>
          <w:szCs w:val="24"/>
        </w:rPr>
      </w:pPr>
      <w:r w:rsidRPr="00905BD7">
        <w:rPr>
          <w:rFonts w:ascii="Times New Roman" w:hAnsi="Times New Roman" w:cs="Times New Roman"/>
          <w:sz w:val="24"/>
          <w:szCs w:val="24"/>
        </w:rPr>
        <w:t>P</w:t>
      </w:r>
      <w:r w:rsidR="007853D4" w:rsidRPr="00905BD7">
        <w:rPr>
          <w:rFonts w:ascii="Times New Roman" w:hAnsi="Times New Roman" w:cs="Times New Roman"/>
          <w:sz w:val="24"/>
          <w:szCs w:val="24"/>
        </w:rPr>
        <w:t xml:space="preserve">aragraph </w:t>
      </w:r>
      <w:r w:rsidR="00F33888" w:rsidRPr="00905BD7">
        <w:rPr>
          <w:rFonts w:ascii="Times New Roman" w:hAnsi="Times New Roman" w:cs="Times New Roman"/>
          <w:sz w:val="24"/>
          <w:szCs w:val="24"/>
        </w:rPr>
        <w:t>7</w:t>
      </w:r>
      <w:r w:rsidR="007853D4" w:rsidRPr="00905BD7">
        <w:rPr>
          <w:rFonts w:ascii="Times New Roman" w:hAnsi="Times New Roman" w:cs="Times New Roman"/>
          <w:sz w:val="24"/>
          <w:szCs w:val="24"/>
        </w:rPr>
        <w:t xml:space="preserve"> </w:t>
      </w:r>
      <w:r w:rsidR="006B3BDE" w:rsidRPr="00905BD7">
        <w:rPr>
          <w:rFonts w:ascii="Times New Roman" w:hAnsi="Times New Roman" w:cs="Times New Roman"/>
          <w:sz w:val="24"/>
          <w:szCs w:val="24"/>
        </w:rPr>
        <w:t>provides transition arrangements in relation to pre-existing contractual arrangements with a service provider as at the date of commencement of CPS 230.</w:t>
      </w:r>
      <w:r w:rsidR="00DB52B7" w:rsidRPr="00905BD7">
        <w:rPr>
          <w:rFonts w:ascii="Times New Roman" w:hAnsi="Times New Roman" w:cs="Times New Roman"/>
          <w:sz w:val="24"/>
          <w:szCs w:val="24"/>
        </w:rPr>
        <w:t xml:space="preserve"> </w:t>
      </w:r>
    </w:p>
    <w:p w14:paraId="3CDE1E8C" w14:textId="2646E488" w:rsidR="006B3BDE" w:rsidRPr="00905BD7" w:rsidRDefault="006B3BDE" w:rsidP="000868B7">
      <w:pPr>
        <w:jc w:val="both"/>
        <w:rPr>
          <w:rFonts w:ascii="Times New Roman" w:hAnsi="Times New Roman" w:cs="Times New Roman"/>
          <w:sz w:val="24"/>
          <w:szCs w:val="24"/>
        </w:rPr>
      </w:pPr>
      <w:r w:rsidRPr="00905BD7">
        <w:rPr>
          <w:rFonts w:ascii="Times New Roman" w:hAnsi="Times New Roman" w:cs="Times New Roman"/>
          <w:i/>
          <w:sz w:val="24"/>
          <w:szCs w:val="24"/>
        </w:rPr>
        <w:t>Interpretation (para</w:t>
      </w:r>
      <w:r w:rsidR="00C91F02" w:rsidRPr="00905BD7">
        <w:rPr>
          <w:rFonts w:ascii="Times New Roman" w:hAnsi="Times New Roman" w:cs="Times New Roman"/>
          <w:i/>
          <w:sz w:val="24"/>
          <w:szCs w:val="24"/>
        </w:rPr>
        <w:t>graphs</w:t>
      </w:r>
      <w:r w:rsidRPr="00905BD7">
        <w:rPr>
          <w:rFonts w:ascii="Times New Roman" w:hAnsi="Times New Roman" w:cs="Times New Roman"/>
          <w:i/>
          <w:sz w:val="24"/>
          <w:szCs w:val="24"/>
        </w:rPr>
        <w:t xml:space="preserve"> </w:t>
      </w:r>
      <w:r w:rsidR="00B34A64" w:rsidRPr="00905BD7">
        <w:rPr>
          <w:rFonts w:ascii="Times New Roman" w:hAnsi="Times New Roman" w:cs="Times New Roman"/>
          <w:i/>
          <w:sz w:val="24"/>
          <w:szCs w:val="24"/>
        </w:rPr>
        <w:t>8</w:t>
      </w:r>
      <w:r w:rsidR="00C91F02" w:rsidRPr="00905BD7">
        <w:rPr>
          <w:rFonts w:ascii="Times New Roman" w:hAnsi="Times New Roman" w:cs="Times New Roman"/>
          <w:i/>
          <w:sz w:val="24"/>
          <w:szCs w:val="24"/>
        </w:rPr>
        <w:t>-1</w:t>
      </w:r>
      <w:r w:rsidR="00B34A64" w:rsidRPr="00905BD7">
        <w:rPr>
          <w:rFonts w:ascii="Times New Roman" w:hAnsi="Times New Roman" w:cs="Times New Roman"/>
          <w:i/>
          <w:sz w:val="24"/>
          <w:szCs w:val="24"/>
        </w:rPr>
        <w:t>0</w:t>
      </w:r>
      <w:r w:rsidRPr="00905BD7">
        <w:rPr>
          <w:rFonts w:ascii="Times New Roman" w:hAnsi="Times New Roman" w:cs="Times New Roman"/>
          <w:i/>
          <w:sz w:val="24"/>
          <w:szCs w:val="24"/>
        </w:rPr>
        <w:t>)</w:t>
      </w:r>
    </w:p>
    <w:p w14:paraId="53648820" w14:textId="69228E0F" w:rsidR="007853D4" w:rsidRPr="00905BD7" w:rsidRDefault="007853D4" w:rsidP="000868B7">
      <w:pPr>
        <w:jc w:val="both"/>
        <w:rPr>
          <w:rFonts w:ascii="Times New Roman" w:hAnsi="Times New Roman" w:cs="Times New Roman"/>
          <w:sz w:val="24"/>
          <w:szCs w:val="24"/>
        </w:rPr>
      </w:pPr>
      <w:r w:rsidRPr="00905BD7">
        <w:rPr>
          <w:rFonts w:ascii="Times New Roman" w:hAnsi="Times New Roman" w:cs="Times New Roman"/>
          <w:sz w:val="24"/>
          <w:szCs w:val="24"/>
        </w:rPr>
        <w:t xml:space="preserve">Paragraph </w:t>
      </w:r>
      <w:r w:rsidR="003A7272" w:rsidRPr="00905BD7">
        <w:rPr>
          <w:rFonts w:ascii="Times New Roman" w:hAnsi="Times New Roman" w:cs="Times New Roman"/>
          <w:sz w:val="24"/>
          <w:szCs w:val="24"/>
        </w:rPr>
        <w:t>8</w:t>
      </w:r>
      <w:r w:rsidRPr="00905BD7">
        <w:rPr>
          <w:rFonts w:ascii="Times New Roman" w:hAnsi="Times New Roman" w:cs="Times New Roman"/>
          <w:sz w:val="24"/>
          <w:szCs w:val="24"/>
        </w:rPr>
        <w:t xml:space="preserve"> </w:t>
      </w:r>
      <w:r w:rsidR="00905BD7" w:rsidRPr="00905BD7">
        <w:rPr>
          <w:rFonts w:ascii="Times New Roman" w:hAnsi="Times New Roman" w:cs="Times New Roman"/>
          <w:sz w:val="24"/>
          <w:szCs w:val="24"/>
        </w:rPr>
        <w:t xml:space="preserve">outlines that words which appear in bold the first time they are used in CPS 230 are defined in APRA’s Definitions prudential standards. </w:t>
      </w:r>
    </w:p>
    <w:p w14:paraId="639C1536" w14:textId="6CD08CE6" w:rsidR="007853D4" w:rsidRPr="00B22A57" w:rsidRDefault="007853D4" w:rsidP="000868B7">
      <w:pPr>
        <w:jc w:val="both"/>
        <w:rPr>
          <w:rFonts w:ascii="Times New Roman" w:hAnsi="Times New Roman" w:cs="Times New Roman"/>
          <w:sz w:val="24"/>
          <w:szCs w:val="24"/>
        </w:rPr>
      </w:pPr>
      <w:r w:rsidRPr="00B22A57">
        <w:rPr>
          <w:rFonts w:ascii="Times New Roman" w:hAnsi="Times New Roman" w:cs="Times New Roman"/>
          <w:sz w:val="24"/>
          <w:szCs w:val="24"/>
        </w:rPr>
        <w:lastRenderedPageBreak/>
        <w:t xml:space="preserve">Paragraph </w:t>
      </w:r>
      <w:r w:rsidR="002104AB" w:rsidRPr="00B22A57">
        <w:rPr>
          <w:rFonts w:ascii="Times New Roman" w:hAnsi="Times New Roman" w:cs="Times New Roman"/>
          <w:sz w:val="24"/>
          <w:szCs w:val="24"/>
        </w:rPr>
        <w:t>9</w:t>
      </w:r>
      <w:r w:rsidRPr="00B22A57">
        <w:rPr>
          <w:rFonts w:ascii="Times New Roman" w:hAnsi="Times New Roman" w:cs="Times New Roman"/>
          <w:sz w:val="24"/>
          <w:szCs w:val="24"/>
        </w:rPr>
        <w:t xml:space="preserve"> </w:t>
      </w:r>
      <w:r w:rsidR="00905BD7" w:rsidRPr="00B22A57">
        <w:rPr>
          <w:rFonts w:ascii="Times New Roman" w:hAnsi="Times New Roman" w:cs="Times New Roman"/>
          <w:sz w:val="24"/>
          <w:szCs w:val="24"/>
        </w:rPr>
        <w:t xml:space="preserve">acknowledges that unless </w:t>
      </w:r>
      <w:r w:rsidR="00C81648">
        <w:rPr>
          <w:rFonts w:ascii="Times New Roman" w:hAnsi="Times New Roman" w:cs="Times New Roman"/>
          <w:sz w:val="24"/>
          <w:szCs w:val="24"/>
        </w:rPr>
        <w:t xml:space="preserve">a </w:t>
      </w:r>
      <w:r w:rsidR="00905BD7" w:rsidRPr="00B22A57">
        <w:rPr>
          <w:rFonts w:ascii="Times New Roman" w:hAnsi="Times New Roman" w:cs="Times New Roman"/>
          <w:sz w:val="24"/>
          <w:szCs w:val="24"/>
        </w:rPr>
        <w:t xml:space="preserve">contrary intention appears, </w:t>
      </w:r>
      <w:r w:rsidR="00B22A57" w:rsidRPr="00B22A57">
        <w:rPr>
          <w:rFonts w:ascii="Times New Roman" w:hAnsi="Times New Roman" w:cs="Times New Roman"/>
          <w:sz w:val="24"/>
          <w:szCs w:val="24"/>
        </w:rPr>
        <w:t>references to an Act, Regulation or Prudential Standard are references incorporated as in force from time to time</w:t>
      </w:r>
      <w:r w:rsidRPr="00B22A57">
        <w:rPr>
          <w:rFonts w:ascii="Times New Roman" w:hAnsi="Times New Roman" w:cs="Times New Roman"/>
          <w:sz w:val="24"/>
          <w:szCs w:val="24"/>
        </w:rPr>
        <w:t>.</w:t>
      </w:r>
    </w:p>
    <w:p w14:paraId="20731ED8" w14:textId="1D1E020F" w:rsidR="006B3BDE" w:rsidRDefault="007853D4" w:rsidP="000868B7">
      <w:pPr>
        <w:jc w:val="both"/>
        <w:rPr>
          <w:rFonts w:ascii="Times New Roman" w:hAnsi="Times New Roman" w:cs="Times New Roman"/>
          <w:sz w:val="24"/>
          <w:szCs w:val="24"/>
        </w:rPr>
      </w:pPr>
      <w:r w:rsidRPr="00B22A57">
        <w:rPr>
          <w:rFonts w:ascii="Times New Roman" w:hAnsi="Times New Roman" w:cs="Times New Roman"/>
          <w:sz w:val="24"/>
          <w:szCs w:val="24"/>
        </w:rPr>
        <w:t>Paragraph 1</w:t>
      </w:r>
      <w:r w:rsidR="002104AB" w:rsidRPr="00B22A57">
        <w:rPr>
          <w:rFonts w:ascii="Times New Roman" w:hAnsi="Times New Roman" w:cs="Times New Roman"/>
          <w:sz w:val="24"/>
          <w:szCs w:val="24"/>
        </w:rPr>
        <w:t>0</w:t>
      </w:r>
      <w:r w:rsidR="00C91F02" w:rsidRPr="00B22A57">
        <w:rPr>
          <w:rFonts w:ascii="Times New Roman" w:hAnsi="Times New Roman" w:cs="Times New Roman"/>
          <w:sz w:val="24"/>
          <w:szCs w:val="24"/>
        </w:rPr>
        <w:t xml:space="preserve"> </w:t>
      </w:r>
      <w:r w:rsidRPr="00B22A57">
        <w:rPr>
          <w:rFonts w:ascii="Times New Roman" w:hAnsi="Times New Roman" w:cs="Times New Roman"/>
          <w:sz w:val="24"/>
          <w:szCs w:val="24"/>
        </w:rPr>
        <w:t xml:space="preserve">requires that where </w:t>
      </w:r>
      <w:r w:rsidR="00C91F02" w:rsidRPr="00B22A57">
        <w:rPr>
          <w:rFonts w:ascii="Times New Roman" w:hAnsi="Times New Roman" w:cs="Times New Roman"/>
          <w:sz w:val="24"/>
          <w:szCs w:val="24"/>
        </w:rPr>
        <w:t>APRA exercises a power or discretion provided for under CPS 230, APRA will do so in writing.</w:t>
      </w:r>
    </w:p>
    <w:p w14:paraId="479DE8B4" w14:textId="2341BA44" w:rsidR="00C91F02" w:rsidRPr="00C91F02" w:rsidRDefault="00C91F02" w:rsidP="000868B7">
      <w:pPr>
        <w:jc w:val="both"/>
        <w:rPr>
          <w:rFonts w:ascii="Times New Roman" w:hAnsi="Times New Roman" w:cs="Times New Roman"/>
          <w:i/>
          <w:sz w:val="24"/>
          <w:szCs w:val="24"/>
        </w:rPr>
      </w:pPr>
      <w:r w:rsidRPr="00C91F02">
        <w:rPr>
          <w:rFonts w:ascii="Times New Roman" w:hAnsi="Times New Roman" w:cs="Times New Roman"/>
          <w:i/>
          <w:sz w:val="24"/>
          <w:szCs w:val="24"/>
        </w:rPr>
        <w:t>Adjustments and exclusions (paragraph 1</w:t>
      </w:r>
      <w:r w:rsidR="00B34A64">
        <w:rPr>
          <w:rFonts w:ascii="Times New Roman" w:hAnsi="Times New Roman" w:cs="Times New Roman"/>
          <w:i/>
          <w:sz w:val="24"/>
          <w:szCs w:val="24"/>
        </w:rPr>
        <w:t>1</w:t>
      </w:r>
      <w:r w:rsidRPr="00C91F02">
        <w:rPr>
          <w:rFonts w:ascii="Times New Roman" w:hAnsi="Times New Roman" w:cs="Times New Roman"/>
          <w:i/>
          <w:sz w:val="24"/>
          <w:szCs w:val="24"/>
        </w:rPr>
        <w:t>)</w:t>
      </w:r>
    </w:p>
    <w:p w14:paraId="6DE504AA" w14:textId="3D7B96DE" w:rsidR="00A10D3C" w:rsidRDefault="00FD7FF8" w:rsidP="000868B7">
      <w:pPr>
        <w:jc w:val="both"/>
        <w:rPr>
          <w:rFonts w:ascii="Times New Roman" w:hAnsi="Times New Roman" w:cs="Times New Roman"/>
          <w:sz w:val="24"/>
          <w:szCs w:val="24"/>
        </w:rPr>
      </w:pPr>
      <w:r>
        <w:rPr>
          <w:rFonts w:ascii="Times New Roman" w:hAnsi="Times New Roman" w:cs="Times New Roman"/>
          <w:sz w:val="24"/>
          <w:szCs w:val="24"/>
        </w:rPr>
        <w:t>P</w:t>
      </w:r>
      <w:r w:rsidR="007853D4">
        <w:rPr>
          <w:rFonts w:ascii="Times New Roman" w:hAnsi="Times New Roman" w:cs="Times New Roman"/>
          <w:sz w:val="24"/>
          <w:szCs w:val="24"/>
        </w:rPr>
        <w:t>aragraph 1</w:t>
      </w:r>
      <w:r w:rsidR="00B34A64">
        <w:rPr>
          <w:rFonts w:ascii="Times New Roman" w:hAnsi="Times New Roman" w:cs="Times New Roman"/>
          <w:sz w:val="24"/>
          <w:szCs w:val="24"/>
        </w:rPr>
        <w:t>1</w:t>
      </w:r>
      <w:r w:rsidR="0006007B">
        <w:rPr>
          <w:rFonts w:ascii="Times New Roman" w:hAnsi="Times New Roman" w:cs="Times New Roman"/>
          <w:sz w:val="24"/>
          <w:szCs w:val="24"/>
        </w:rPr>
        <w:t xml:space="preserve"> gives APRA the power to adjust or exclude a specific prudential requirement within CPS 230 in </w:t>
      </w:r>
      <w:r w:rsidR="00BD07B5">
        <w:rPr>
          <w:rFonts w:ascii="Times New Roman" w:hAnsi="Times New Roman" w:cs="Times New Roman"/>
          <w:sz w:val="24"/>
          <w:szCs w:val="24"/>
        </w:rPr>
        <w:t>relation</w:t>
      </w:r>
      <w:r w:rsidR="0006007B">
        <w:rPr>
          <w:rFonts w:ascii="Times New Roman" w:hAnsi="Times New Roman" w:cs="Times New Roman"/>
          <w:sz w:val="24"/>
          <w:szCs w:val="24"/>
        </w:rPr>
        <w:t xml:space="preserve"> </w:t>
      </w:r>
      <w:r w:rsidR="00BD07B5">
        <w:rPr>
          <w:rFonts w:ascii="Times New Roman" w:hAnsi="Times New Roman" w:cs="Times New Roman"/>
          <w:sz w:val="24"/>
          <w:szCs w:val="24"/>
        </w:rPr>
        <w:t xml:space="preserve">to </w:t>
      </w:r>
      <w:r w:rsidR="0006007B">
        <w:rPr>
          <w:rFonts w:ascii="Times New Roman" w:hAnsi="Times New Roman" w:cs="Times New Roman"/>
          <w:sz w:val="24"/>
          <w:szCs w:val="24"/>
        </w:rPr>
        <w:t>an APRA-regulated entity. The relevant legislative provisions that give effect to APRA’s exercise of such a power are noted in the accompanying footnote 4.</w:t>
      </w:r>
    </w:p>
    <w:p w14:paraId="60BABEA4" w14:textId="414C16E2" w:rsidR="0006007B" w:rsidRDefault="0006007B" w:rsidP="000868B7">
      <w:pPr>
        <w:jc w:val="both"/>
        <w:rPr>
          <w:rFonts w:ascii="Times New Roman" w:hAnsi="Times New Roman" w:cs="Times New Roman"/>
          <w:i/>
          <w:sz w:val="24"/>
          <w:szCs w:val="24"/>
        </w:rPr>
      </w:pPr>
      <w:r w:rsidRPr="0006007B">
        <w:rPr>
          <w:rFonts w:ascii="Times New Roman" w:hAnsi="Times New Roman" w:cs="Times New Roman"/>
          <w:i/>
          <w:sz w:val="24"/>
          <w:szCs w:val="24"/>
        </w:rPr>
        <w:t>Key principles (paragraphs 1</w:t>
      </w:r>
      <w:r w:rsidR="002B77A4">
        <w:rPr>
          <w:rFonts w:ascii="Times New Roman" w:hAnsi="Times New Roman" w:cs="Times New Roman"/>
          <w:i/>
          <w:sz w:val="24"/>
          <w:szCs w:val="24"/>
        </w:rPr>
        <w:t>2</w:t>
      </w:r>
      <w:r w:rsidRPr="0006007B">
        <w:rPr>
          <w:rFonts w:ascii="Times New Roman" w:hAnsi="Times New Roman" w:cs="Times New Roman"/>
          <w:i/>
          <w:sz w:val="24"/>
          <w:szCs w:val="24"/>
        </w:rPr>
        <w:t>-1</w:t>
      </w:r>
      <w:r w:rsidR="002B77A4">
        <w:rPr>
          <w:rFonts w:ascii="Times New Roman" w:hAnsi="Times New Roman" w:cs="Times New Roman"/>
          <w:i/>
          <w:sz w:val="24"/>
          <w:szCs w:val="24"/>
        </w:rPr>
        <w:t>5</w:t>
      </w:r>
      <w:r w:rsidRPr="0006007B">
        <w:rPr>
          <w:rFonts w:ascii="Times New Roman" w:hAnsi="Times New Roman" w:cs="Times New Roman"/>
          <w:i/>
          <w:sz w:val="24"/>
          <w:szCs w:val="24"/>
        </w:rPr>
        <w:t>)</w:t>
      </w:r>
    </w:p>
    <w:p w14:paraId="39AC7A0A" w14:textId="03241224" w:rsidR="00482288" w:rsidRDefault="007853D4" w:rsidP="000868B7">
      <w:pPr>
        <w:jc w:val="both"/>
        <w:rPr>
          <w:rFonts w:ascii="Times New Roman" w:hAnsi="Times New Roman" w:cs="Times New Roman"/>
          <w:sz w:val="24"/>
          <w:szCs w:val="24"/>
        </w:rPr>
      </w:pPr>
      <w:r>
        <w:rPr>
          <w:rFonts w:ascii="Times New Roman" w:hAnsi="Times New Roman" w:cs="Times New Roman"/>
          <w:sz w:val="24"/>
          <w:szCs w:val="24"/>
        </w:rPr>
        <w:t>Paragraphs 1</w:t>
      </w:r>
      <w:r w:rsidR="002B77A4">
        <w:rPr>
          <w:rFonts w:ascii="Times New Roman" w:hAnsi="Times New Roman" w:cs="Times New Roman"/>
          <w:sz w:val="24"/>
          <w:szCs w:val="24"/>
        </w:rPr>
        <w:t>2</w:t>
      </w:r>
      <w:r>
        <w:rPr>
          <w:rFonts w:ascii="Times New Roman" w:hAnsi="Times New Roman" w:cs="Times New Roman"/>
          <w:sz w:val="24"/>
          <w:szCs w:val="24"/>
        </w:rPr>
        <w:t>-1</w:t>
      </w:r>
      <w:r w:rsidR="004E6304">
        <w:rPr>
          <w:rFonts w:ascii="Times New Roman" w:hAnsi="Times New Roman" w:cs="Times New Roman"/>
          <w:sz w:val="24"/>
          <w:szCs w:val="24"/>
        </w:rPr>
        <w:t>5</w:t>
      </w:r>
      <w:r>
        <w:rPr>
          <w:rFonts w:ascii="Times New Roman" w:hAnsi="Times New Roman" w:cs="Times New Roman"/>
          <w:sz w:val="24"/>
          <w:szCs w:val="24"/>
        </w:rPr>
        <w:t xml:space="preserve"> </w:t>
      </w:r>
      <w:r w:rsidR="008923C1">
        <w:rPr>
          <w:rFonts w:ascii="Times New Roman" w:hAnsi="Times New Roman" w:cs="Times New Roman"/>
          <w:sz w:val="24"/>
          <w:szCs w:val="24"/>
        </w:rPr>
        <w:t xml:space="preserve">set out the key principles that an APRA-regulated entity is to have regard to in the management of </w:t>
      </w:r>
      <w:r w:rsidR="004F098F">
        <w:rPr>
          <w:rFonts w:ascii="Times New Roman" w:hAnsi="Times New Roman" w:cs="Times New Roman"/>
          <w:sz w:val="24"/>
          <w:szCs w:val="24"/>
        </w:rPr>
        <w:t xml:space="preserve">its </w:t>
      </w:r>
      <w:r w:rsidR="008923C1">
        <w:rPr>
          <w:rFonts w:ascii="Times New Roman" w:hAnsi="Times New Roman" w:cs="Times New Roman"/>
          <w:sz w:val="24"/>
          <w:szCs w:val="24"/>
        </w:rPr>
        <w:t>operational risk, business continuity planning and management of service provider arrangements.</w:t>
      </w:r>
    </w:p>
    <w:p w14:paraId="394AE747" w14:textId="58FF3634" w:rsidR="00A16425" w:rsidRDefault="00A16425" w:rsidP="000868B7">
      <w:pPr>
        <w:jc w:val="both"/>
        <w:rPr>
          <w:rFonts w:ascii="Times New Roman" w:hAnsi="Times New Roman" w:cs="Times New Roman"/>
          <w:sz w:val="24"/>
          <w:szCs w:val="24"/>
        </w:rPr>
      </w:pPr>
      <w:r>
        <w:rPr>
          <w:rFonts w:ascii="Times New Roman" w:hAnsi="Times New Roman" w:cs="Times New Roman"/>
          <w:sz w:val="24"/>
          <w:szCs w:val="24"/>
        </w:rPr>
        <w:t>Paragraph 1</w:t>
      </w:r>
      <w:r w:rsidR="00852FFC">
        <w:rPr>
          <w:rFonts w:ascii="Times New Roman" w:hAnsi="Times New Roman" w:cs="Times New Roman"/>
          <w:sz w:val="24"/>
          <w:szCs w:val="24"/>
        </w:rPr>
        <w:t>2</w:t>
      </w:r>
      <w:r>
        <w:rPr>
          <w:rFonts w:ascii="Times New Roman" w:hAnsi="Times New Roman" w:cs="Times New Roman"/>
          <w:sz w:val="24"/>
          <w:szCs w:val="24"/>
        </w:rPr>
        <w:t xml:space="preserve"> lays out general principles that</w:t>
      </w:r>
      <w:r w:rsidR="008923C1">
        <w:rPr>
          <w:rFonts w:ascii="Times New Roman" w:hAnsi="Times New Roman" w:cs="Times New Roman"/>
          <w:sz w:val="24"/>
          <w:szCs w:val="24"/>
        </w:rPr>
        <w:t xml:space="preserve"> </w:t>
      </w:r>
      <w:r w:rsidR="002229DB">
        <w:rPr>
          <w:rFonts w:ascii="Times New Roman" w:hAnsi="Times New Roman" w:cs="Times New Roman"/>
          <w:sz w:val="24"/>
          <w:szCs w:val="24"/>
        </w:rPr>
        <w:t xml:space="preserve">underpin </w:t>
      </w:r>
      <w:r w:rsidR="008923C1">
        <w:rPr>
          <w:rFonts w:ascii="Times New Roman" w:hAnsi="Times New Roman" w:cs="Times New Roman"/>
          <w:sz w:val="24"/>
          <w:szCs w:val="24"/>
        </w:rPr>
        <w:t>the specific requirements on operational risk management set out in the remainder of CPS 230.</w:t>
      </w:r>
    </w:p>
    <w:p w14:paraId="1D8FDCB3" w14:textId="25589219" w:rsidR="0006007B" w:rsidRDefault="00A16425" w:rsidP="000868B7">
      <w:pPr>
        <w:jc w:val="both"/>
        <w:rPr>
          <w:rFonts w:ascii="Times New Roman" w:hAnsi="Times New Roman" w:cs="Times New Roman"/>
          <w:sz w:val="24"/>
          <w:szCs w:val="24"/>
        </w:rPr>
      </w:pPr>
      <w:r>
        <w:rPr>
          <w:rFonts w:ascii="Times New Roman" w:hAnsi="Times New Roman" w:cs="Times New Roman"/>
          <w:sz w:val="24"/>
          <w:szCs w:val="24"/>
        </w:rPr>
        <w:t>Paragraphs 1</w:t>
      </w:r>
      <w:r w:rsidR="00852FFC">
        <w:rPr>
          <w:rFonts w:ascii="Times New Roman" w:hAnsi="Times New Roman" w:cs="Times New Roman"/>
          <w:sz w:val="24"/>
          <w:szCs w:val="24"/>
        </w:rPr>
        <w:t>3</w:t>
      </w:r>
      <w:r>
        <w:rPr>
          <w:rFonts w:ascii="Times New Roman" w:hAnsi="Times New Roman" w:cs="Times New Roman"/>
          <w:sz w:val="24"/>
          <w:szCs w:val="24"/>
        </w:rPr>
        <w:t xml:space="preserve"> requires an APRA-regulated entity to </w:t>
      </w:r>
      <w:r w:rsidR="005C307E">
        <w:rPr>
          <w:rFonts w:ascii="Times New Roman" w:hAnsi="Times New Roman" w:cs="Times New Roman"/>
          <w:sz w:val="24"/>
          <w:szCs w:val="24"/>
        </w:rPr>
        <w:t>identify, assess and manage the operational risks that arise from its activities.</w:t>
      </w:r>
    </w:p>
    <w:p w14:paraId="3CEB549F" w14:textId="51E981CD" w:rsidR="005C307E" w:rsidRDefault="005C307E" w:rsidP="000868B7">
      <w:pPr>
        <w:jc w:val="both"/>
        <w:rPr>
          <w:rFonts w:ascii="Times New Roman" w:hAnsi="Times New Roman" w:cs="Times New Roman"/>
          <w:sz w:val="24"/>
          <w:szCs w:val="24"/>
        </w:rPr>
      </w:pPr>
      <w:r w:rsidRPr="0024339D">
        <w:rPr>
          <w:rFonts w:ascii="Times New Roman" w:hAnsi="Times New Roman" w:cs="Times New Roman"/>
          <w:sz w:val="24"/>
          <w:szCs w:val="24"/>
        </w:rPr>
        <w:t>Paragraph 1</w:t>
      </w:r>
      <w:r w:rsidR="00852FFC" w:rsidRPr="0024339D">
        <w:rPr>
          <w:rFonts w:ascii="Times New Roman" w:hAnsi="Times New Roman" w:cs="Times New Roman"/>
          <w:sz w:val="24"/>
          <w:szCs w:val="24"/>
        </w:rPr>
        <w:t>4</w:t>
      </w:r>
      <w:r w:rsidRPr="0024339D">
        <w:rPr>
          <w:rFonts w:ascii="Times New Roman" w:hAnsi="Times New Roman" w:cs="Times New Roman"/>
          <w:sz w:val="24"/>
          <w:szCs w:val="24"/>
        </w:rPr>
        <w:t xml:space="preserve"> requires an APRA-regulated entity to take steps to prevent disruption to its critical operations as well as building in resilience to these operations, so that the entity can continue to operate should a disruption occur, and that the entity returns to normal operations as expeditiously as possible.</w:t>
      </w:r>
    </w:p>
    <w:p w14:paraId="423D8750" w14:textId="45BA8F58" w:rsidR="007D34E6" w:rsidRDefault="005C307E" w:rsidP="000868B7">
      <w:pPr>
        <w:jc w:val="both"/>
        <w:rPr>
          <w:rFonts w:ascii="Times New Roman" w:hAnsi="Times New Roman" w:cs="Times New Roman"/>
          <w:sz w:val="24"/>
          <w:szCs w:val="24"/>
          <w:highlight w:val="yellow"/>
        </w:rPr>
      </w:pPr>
      <w:r w:rsidRPr="0024339D">
        <w:rPr>
          <w:rFonts w:ascii="Times New Roman" w:hAnsi="Times New Roman" w:cs="Times New Roman"/>
          <w:sz w:val="24"/>
          <w:szCs w:val="24"/>
        </w:rPr>
        <w:t>Paragraph 1</w:t>
      </w:r>
      <w:r w:rsidR="009177A5" w:rsidRPr="0024339D">
        <w:rPr>
          <w:rFonts w:ascii="Times New Roman" w:hAnsi="Times New Roman" w:cs="Times New Roman"/>
          <w:sz w:val="24"/>
          <w:szCs w:val="24"/>
        </w:rPr>
        <w:t>5</w:t>
      </w:r>
      <w:r w:rsidRPr="0024339D">
        <w:rPr>
          <w:rFonts w:ascii="Times New Roman" w:hAnsi="Times New Roman" w:cs="Times New Roman"/>
          <w:sz w:val="24"/>
          <w:szCs w:val="24"/>
        </w:rPr>
        <w:t xml:space="preserve"> requires </w:t>
      </w:r>
      <w:r w:rsidR="0024339D" w:rsidRPr="0024339D">
        <w:rPr>
          <w:rFonts w:ascii="Times New Roman" w:hAnsi="Times New Roman" w:cs="Times New Roman"/>
          <w:sz w:val="24"/>
          <w:szCs w:val="24"/>
        </w:rPr>
        <w:t xml:space="preserve">that </w:t>
      </w:r>
      <w:r w:rsidRPr="0024339D">
        <w:rPr>
          <w:rFonts w:ascii="Times New Roman" w:hAnsi="Times New Roman" w:cs="Times New Roman"/>
          <w:sz w:val="24"/>
          <w:szCs w:val="24"/>
        </w:rPr>
        <w:t xml:space="preserve">an APRA-regulated entity </w:t>
      </w:r>
      <w:r w:rsidR="007D34E6" w:rsidRPr="0024339D">
        <w:rPr>
          <w:rFonts w:ascii="Times New Roman" w:hAnsi="Times New Roman" w:cs="Times New Roman"/>
          <w:sz w:val="24"/>
          <w:szCs w:val="24"/>
        </w:rPr>
        <w:t xml:space="preserve">must not </w:t>
      </w:r>
      <w:proofErr w:type="gramStart"/>
      <w:r w:rsidR="007D34E6" w:rsidRPr="0024339D">
        <w:rPr>
          <w:rFonts w:ascii="Times New Roman" w:hAnsi="Times New Roman" w:cs="Times New Roman"/>
          <w:sz w:val="24"/>
          <w:szCs w:val="24"/>
        </w:rPr>
        <w:t>enter into</w:t>
      </w:r>
      <w:proofErr w:type="gramEnd"/>
      <w:r w:rsidR="007D34E6" w:rsidRPr="0024339D">
        <w:rPr>
          <w:rFonts w:ascii="Times New Roman" w:hAnsi="Times New Roman" w:cs="Times New Roman"/>
          <w:sz w:val="24"/>
          <w:szCs w:val="24"/>
        </w:rPr>
        <w:t xml:space="preserve"> an arrangement with a service provider </w:t>
      </w:r>
      <w:r w:rsidR="0097654B" w:rsidRPr="0024339D">
        <w:rPr>
          <w:rFonts w:ascii="Times New Roman" w:hAnsi="Times New Roman" w:cs="Times New Roman"/>
          <w:sz w:val="24"/>
          <w:szCs w:val="24"/>
        </w:rPr>
        <w:t xml:space="preserve">if the arrangement prevents the regulated entity from meeting its prudential obligations. When </w:t>
      </w:r>
      <w:r w:rsidR="0024339D" w:rsidRPr="0024339D">
        <w:rPr>
          <w:rFonts w:ascii="Times New Roman" w:hAnsi="Times New Roman" w:cs="Times New Roman"/>
          <w:sz w:val="24"/>
          <w:szCs w:val="24"/>
        </w:rPr>
        <w:t>a</w:t>
      </w:r>
      <w:r w:rsidR="0097654B" w:rsidRPr="0024339D">
        <w:rPr>
          <w:rFonts w:ascii="Times New Roman" w:hAnsi="Times New Roman" w:cs="Times New Roman"/>
          <w:sz w:val="24"/>
          <w:szCs w:val="24"/>
        </w:rPr>
        <w:t xml:space="preserve">n APRA-regulated entity </w:t>
      </w:r>
      <w:proofErr w:type="gramStart"/>
      <w:r w:rsidR="0097654B" w:rsidRPr="0024339D">
        <w:rPr>
          <w:rFonts w:ascii="Times New Roman" w:hAnsi="Times New Roman" w:cs="Times New Roman"/>
          <w:sz w:val="24"/>
          <w:szCs w:val="24"/>
        </w:rPr>
        <w:t>enters into</w:t>
      </w:r>
      <w:proofErr w:type="gramEnd"/>
      <w:r w:rsidR="0097654B" w:rsidRPr="0024339D">
        <w:rPr>
          <w:rFonts w:ascii="Times New Roman" w:hAnsi="Times New Roman" w:cs="Times New Roman"/>
          <w:sz w:val="24"/>
          <w:szCs w:val="24"/>
        </w:rPr>
        <w:t xml:space="preserve"> an </w:t>
      </w:r>
      <w:r w:rsidR="00C80CD7" w:rsidRPr="0024339D">
        <w:rPr>
          <w:rFonts w:ascii="Times New Roman" w:hAnsi="Times New Roman" w:cs="Times New Roman"/>
          <w:sz w:val="24"/>
          <w:szCs w:val="24"/>
        </w:rPr>
        <w:t>arrangement</w:t>
      </w:r>
      <w:r w:rsidR="0097654B" w:rsidRPr="0024339D">
        <w:rPr>
          <w:rFonts w:ascii="Times New Roman" w:hAnsi="Times New Roman" w:cs="Times New Roman"/>
          <w:sz w:val="24"/>
          <w:szCs w:val="24"/>
        </w:rPr>
        <w:t xml:space="preserve"> with a service provider, it must identify the risks associated with placing reliance on a service provider and continue to manage all such risks for the life of the arrangement. </w:t>
      </w:r>
    </w:p>
    <w:p w14:paraId="3318C992" w14:textId="32CBED07" w:rsidR="008923C1" w:rsidRDefault="008923C1" w:rsidP="000868B7">
      <w:pPr>
        <w:jc w:val="both"/>
        <w:rPr>
          <w:rFonts w:ascii="Times New Roman" w:hAnsi="Times New Roman" w:cs="Times New Roman"/>
          <w:i/>
          <w:sz w:val="24"/>
          <w:szCs w:val="24"/>
        </w:rPr>
      </w:pPr>
      <w:r w:rsidRPr="008923C1">
        <w:rPr>
          <w:rFonts w:ascii="Times New Roman" w:hAnsi="Times New Roman" w:cs="Times New Roman"/>
          <w:i/>
          <w:sz w:val="24"/>
          <w:szCs w:val="24"/>
        </w:rPr>
        <w:t>Risk management framework (paragraphs 1</w:t>
      </w:r>
      <w:r w:rsidR="009177A5">
        <w:rPr>
          <w:rFonts w:ascii="Times New Roman" w:hAnsi="Times New Roman" w:cs="Times New Roman"/>
          <w:i/>
          <w:sz w:val="24"/>
          <w:szCs w:val="24"/>
        </w:rPr>
        <w:t>6</w:t>
      </w:r>
      <w:r w:rsidRPr="008923C1">
        <w:rPr>
          <w:rFonts w:ascii="Times New Roman" w:hAnsi="Times New Roman" w:cs="Times New Roman"/>
          <w:i/>
          <w:sz w:val="24"/>
          <w:szCs w:val="24"/>
        </w:rPr>
        <w:t>-</w:t>
      </w:r>
      <w:r w:rsidR="009177A5">
        <w:rPr>
          <w:rFonts w:ascii="Times New Roman" w:hAnsi="Times New Roman" w:cs="Times New Roman"/>
          <w:i/>
          <w:sz w:val="24"/>
          <w:szCs w:val="24"/>
        </w:rPr>
        <w:t>19</w:t>
      </w:r>
      <w:r w:rsidRPr="008923C1">
        <w:rPr>
          <w:rFonts w:ascii="Times New Roman" w:hAnsi="Times New Roman" w:cs="Times New Roman"/>
          <w:i/>
          <w:sz w:val="24"/>
          <w:szCs w:val="24"/>
        </w:rPr>
        <w:t>)</w:t>
      </w:r>
    </w:p>
    <w:p w14:paraId="5BFA3D76" w14:textId="6D4B3DC3" w:rsidR="00866379" w:rsidRDefault="00866379" w:rsidP="00866379">
      <w:pPr>
        <w:jc w:val="both"/>
        <w:rPr>
          <w:rFonts w:ascii="Times New Roman" w:hAnsi="Times New Roman" w:cs="Times New Roman"/>
          <w:sz w:val="24"/>
          <w:szCs w:val="24"/>
        </w:rPr>
      </w:pPr>
      <w:r w:rsidRPr="004112EA">
        <w:rPr>
          <w:rFonts w:ascii="Times New Roman" w:hAnsi="Times New Roman" w:cs="Times New Roman"/>
          <w:sz w:val="24"/>
          <w:szCs w:val="24"/>
        </w:rPr>
        <w:t xml:space="preserve">The </w:t>
      </w:r>
      <w:r w:rsidR="00D772EA" w:rsidRPr="004112EA">
        <w:rPr>
          <w:rFonts w:ascii="Times New Roman" w:hAnsi="Times New Roman" w:cs="Times New Roman"/>
          <w:sz w:val="24"/>
          <w:szCs w:val="24"/>
        </w:rPr>
        <w:t>purpose</w:t>
      </w:r>
      <w:r w:rsidRPr="004112EA">
        <w:rPr>
          <w:rFonts w:ascii="Times New Roman" w:hAnsi="Times New Roman" w:cs="Times New Roman"/>
          <w:sz w:val="24"/>
          <w:szCs w:val="24"/>
        </w:rPr>
        <w:t xml:space="preserve"> of this section is to ensure that an APRA-regulated entity approaches operational risk management in the context of its broader risk management planning, rather than looking at operational risk management in isolation.</w:t>
      </w:r>
    </w:p>
    <w:p w14:paraId="1D39C8A2" w14:textId="6D4969BB" w:rsidR="008923C1" w:rsidRDefault="008923C1" w:rsidP="000868B7">
      <w:pPr>
        <w:jc w:val="both"/>
        <w:rPr>
          <w:rFonts w:ascii="Times New Roman" w:hAnsi="Times New Roman" w:cs="Times New Roman"/>
          <w:sz w:val="24"/>
          <w:szCs w:val="24"/>
        </w:rPr>
      </w:pPr>
      <w:r>
        <w:rPr>
          <w:rFonts w:ascii="Times New Roman" w:hAnsi="Times New Roman" w:cs="Times New Roman"/>
          <w:sz w:val="24"/>
          <w:szCs w:val="24"/>
        </w:rPr>
        <w:t>Paragraphs 1</w:t>
      </w:r>
      <w:r w:rsidR="009177A5">
        <w:rPr>
          <w:rFonts w:ascii="Times New Roman" w:hAnsi="Times New Roman" w:cs="Times New Roman"/>
          <w:sz w:val="24"/>
          <w:szCs w:val="24"/>
        </w:rPr>
        <w:t>6</w:t>
      </w:r>
      <w:r>
        <w:rPr>
          <w:rFonts w:ascii="Times New Roman" w:hAnsi="Times New Roman" w:cs="Times New Roman"/>
          <w:sz w:val="24"/>
          <w:szCs w:val="24"/>
        </w:rPr>
        <w:t xml:space="preserve"> and 1</w:t>
      </w:r>
      <w:r w:rsidR="009177A5">
        <w:rPr>
          <w:rFonts w:ascii="Times New Roman" w:hAnsi="Times New Roman" w:cs="Times New Roman"/>
          <w:sz w:val="24"/>
          <w:szCs w:val="24"/>
        </w:rPr>
        <w:t>7</w:t>
      </w:r>
      <w:r>
        <w:rPr>
          <w:rFonts w:ascii="Times New Roman" w:hAnsi="Times New Roman" w:cs="Times New Roman"/>
          <w:sz w:val="24"/>
          <w:szCs w:val="24"/>
        </w:rPr>
        <w:t xml:space="preserve"> set out </w:t>
      </w:r>
      <w:r w:rsidR="00875964">
        <w:rPr>
          <w:rFonts w:ascii="Times New Roman" w:hAnsi="Times New Roman" w:cs="Times New Roman"/>
          <w:sz w:val="24"/>
          <w:szCs w:val="24"/>
        </w:rPr>
        <w:t xml:space="preserve">specific requirements </w:t>
      </w:r>
      <w:r>
        <w:rPr>
          <w:rFonts w:ascii="Times New Roman" w:hAnsi="Times New Roman" w:cs="Times New Roman"/>
          <w:sz w:val="24"/>
          <w:szCs w:val="24"/>
        </w:rPr>
        <w:t xml:space="preserve">an APRA-regulated entity is </w:t>
      </w:r>
      <w:r w:rsidR="00875964">
        <w:rPr>
          <w:rFonts w:ascii="Times New Roman" w:hAnsi="Times New Roman" w:cs="Times New Roman"/>
          <w:sz w:val="24"/>
          <w:szCs w:val="24"/>
        </w:rPr>
        <w:t xml:space="preserve">to implement </w:t>
      </w:r>
      <w:proofErr w:type="gramStart"/>
      <w:r w:rsidR="00875964">
        <w:rPr>
          <w:rFonts w:ascii="Times New Roman" w:hAnsi="Times New Roman" w:cs="Times New Roman"/>
          <w:sz w:val="24"/>
          <w:szCs w:val="24"/>
        </w:rPr>
        <w:t>in order to</w:t>
      </w:r>
      <w:proofErr w:type="gramEnd"/>
      <w:r w:rsidR="00875964">
        <w:rPr>
          <w:rFonts w:ascii="Times New Roman" w:hAnsi="Times New Roman" w:cs="Times New Roman"/>
          <w:sz w:val="24"/>
          <w:szCs w:val="24"/>
        </w:rPr>
        <w:t xml:space="preserve"> comply with CPS 230 in the context of the entity’s broader risk management framework required under </w:t>
      </w:r>
      <w:r w:rsidR="00875964" w:rsidRPr="00875964">
        <w:rPr>
          <w:rFonts w:ascii="Times New Roman" w:hAnsi="Times New Roman" w:cs="Times New Roman"/>
          <w:i/>
          <w:sz w:val="24"/>
          <w:szCs w:val="24"/>
        </w:rPr>
        <w:t>Prudential Standard CPS 220 Risk Management</w:t>
      </w:r>
      <w:r w:rsidR="00875964">
        <w:rPr>
          <w:rFonts w:ascii="Times New Roman" w:hAnsi="Times New Roman" w:cs="Times New Roman"/>
          <w:sz w:val="24"/>
          <w:szCs w:val="24"/>
        </w:rPr>
        <w:t xml:space="preserve"> and </w:t>
      </w:r>
      <w:r w:rsidR="00875964" w:rsidRPr="00875964">
        <w:rPr>
          <w:rFonts w:ascii="Times New Roman" w:hAnsi="Times New Roman" w:cs="Times New Roman"/>
          <w:i/>
          <w:sz w:val="24"/>
          <w:szCs w:val="24"/>
        </w:rPr>
        <w:t>Prudential Standard SPS 220 Risk Management</w:t>
      </w:r>
      <w:r w:rsidR="00875964">
        <w:rPr>
          <w:rFonts w:ascii="Times New Roman" w:hAnsi="Times New Roman" w:cs="Times New Roman"/>
          <w:sz w:val="24"/>
          <w:szCs w:val="24"/>
        </w:rPr>
        <w:t>.</w:t>
      </w:r>
    </w:p>
    <w:p w14:paraId="31DDACBF" w14:textId="346A1B1A" w:rsidR="00875964" w:rsidRDefault="00875964" w:rsidP="000868B7">
      <w:pPr>
        <w:jc w:val="both"/>
        <w:rPr>
          <w:rFonts w:ascii="Times New Roman" w:hAnsi="Times New Roman" w:cs="Times New Roman"/>
          <w:i/>
          <w:sz w:val="24"/>
          <w:szCs w:val="24"/>
        </w:rPr>
      </w:pPr>
      <w:r>
        <w:rPr>
          <w:rFonts w:ascii="Times New Roman" w:hAnsi="Times New Roman" w:cs="Times New Roman"/>
          <w:sz w:val="24"/>
          <w:szCs w:val="24"/>
        </w:rPr>
        <w:t>Paragraph 1</w:t>
      </w:r>
      <w:r w:rsidR="009177A5">
        <w:rPr>
          <w:rFonts w:ascii="Times New Roman" w:hAnsi="Times New Roman" w:cs="Times New Roman"/>
          <w:sz w:val="24"/>
          <w:szCs w:val="24"/>
        </w:rPr>
        <w:t>8</w:t>
      </w:r>
      <w:r>
        <w:rPr>
          <w:rFonts w:ascii="Times New Roman" w:hAnsi="Times New Roman" w:cs="Times New Roman"/>
          <w:sz w:val="24"/>
          <w:szCs w:val="24"/>
        </w:rPr>
        <w:t xml:space="preserve"> requires an APRA-regulated entity to integrate operational risk management in its overall risk management framework and ensure that business continuity planning is </w:t>
      </w:r>
      <w:r>
        <w:rPr>
          <w:rFonts w:ascii="Times New Roman" w:hAnsi="Times New Roman" w:cs="Times New Roman"/>
          <w:sz w:val="24"/>
          <w:szCs w:val="24"/>
        </w:rPr>
        <w:lastRenderedPageBreak/>
        <w:t xml:space="preserve">consistent with APRA’s prudential requirements on recovery and exit planning as set out in </w:t>
      </w:r>
      <w:r w:rsidR="009E2348">
        <w:rPr>
          <w:rFonts w:ascii="Times New Roman" w:hAnsi="Times New Roman" w:cs="Times New Roman"/>
          <w:i/>
          <w:sz w:val="24"/>
          <w:szCs w:val="24"/>
        </w:rPr>
        <w:t>Prudential Standard CPS 190 Recovery and exit planning.</w:t>
      </w:r>
    </w:p>
    <w:p w14:paraId="17BB8EFD" w14:textId="04BB953D" w:rsidR="009E3BF9" w:rsidRPr="009E3BF9" w:rsidRDefault="009E3BF9" w:rsidP="000868B7">
      <w:pPr>
        <w:jc w:val="both"/>
        <w:rPr>
          <w:rFonts w:ascii="Times New Roman" w:hAnsi="Times New Roman" w:cs="Times New Roman"/>
          <w:sz w:val="24"/>
          <w:szCs w:val="24"/>
        </w:rPr>
      </w:pPr>
      <w:r>
        <w:rPr>
          <w:rFonts w:ascii="Times New Roman" w:hAnsi="Times New Roman" w:cs="Times New Roman"/>
          <w:sz w:val="24"/>
          <w:szCs w:val="24"/>
        </w:rPr>
        <w:t xml:space="preserve">Paragraph </w:t>
      </w:r>
      <w:r w:rsidR="009177A5">
        <w:rPr>
          <w:rFonts w:ascii="Times New Roman" w:hAnsi="Times New Roman" w:cs="Times New Roman"/>
          <w:sz w:val="24"/>
          <w:szCs w:val="24"/>
        </w:rPr>
        <w:t>19</w:t>
      </w:r>
      <w:r>
        <w:rPr>
          <w:rFonts w:ascii="Times New Roman" w:hAnsi="Times New Roman" w:cs="Times New Roman"/>
          <w:sz w:val="24"/>
          <w:szCs w:val="24"/>
        </w:rPr>
        <w:t xml:space="preserve"> notes actions APRA </w:t>
      </w:r>
      <w:r w:rsidR="00866379">
        <w:rPr>
          <w:rFonts w:ascii="Times New Roman" w:hAnsi="Times New Roman" w:cs="Times New Roman"/>
          <w:sz w:val="24"/>
          <w:szCs w:val="24"/>
        </w:rPr>
        <w:t xml:space="preserve">may </w:t>
      </w:r>
      <w:r>
        <w:rPr>
          <w:rFonts w:ascii="Times New Roman" w:hAnsi="Times New Roman" w:cs="Times New Roman"/>
          <w:sz w:val="24"/>
          <w:szCs w:val="24"/>
        </w:rPr>
        <w:t xml:space="preserve">take </w:t>
      </w:r>
      <w:r w:rsidR="000A6D82">
        <w:rPr>
          <w:rFonts w:ascii="Times New Roman" w:hAnsi="Times New Roman" w:cs="Times New Roman"/>
          <w:sz w:val="24"/>
          <w:szCs w:val="24"/>
        </w:rPr>
        <w:t>if APRA</w:t>
      </w:r>
      <w:r>
        <w:rPr>
          <w:rFonts w:ascii="Times New Roman" w:hAnsi="Times New Roman" w:cs="Times New Roman"/>
          <w:sz w:val="24"/>
          <w:szCs w:val="24"/>
        </w:rPr>
        <w:t xml:space="preserve"> consider</w:t>
      </w:r>
      <w:r w:rsidR="000A6D82">
        <w:rPr>
          <w:rFonts w:ascii="Times New Roman" w:hAnsi="Times New Roman" w:cs="Times New Roman"/>
          <w:sz w:val="24"/>
          <w:szCs w:val="24"/>
        </w:rPr>
        <w:t>s</w:t>
      </w:r>
      <w:r>
        <w:rPr>
          <w:rFonts w:ascii="Times New Roman" w:hAnsi="Times New Roman" w:cs="Times New Roman"/>
          <w:sz w:val="24"/>
          <w:szCs w:val="24"/>
        </w:rPr>
        <w:t xml:space="preserve"> that there are material weaknesses with an APRA-regulated entity’s approach to, and management of, operational risk management. These actions reflect existing powers APRA has </w:t>
      </w:r>
      <w:r w:rsidR="00866379">
        <w:rPr>
          <w:rFonts w:ascii="Times New Roman" w:hAnsi="Times New Roman" w:cs="Times New Roman"/>
          <w:sz w:val="24"/>
          <w:szCs w:val="24"/>
        </w:rPr>
        <w:t xml:space="preserve">the discretion to </w:t>
      </w:r>
      <w:r>
        <w:rPr>
          <w:rFonts w:ascii="Times New Roman" w:hAnsi="Times New Roman" w:cs="Times New Roman"/>
          <w:sz w:val="24"/>
          <w:szCs w:val="24"/>
        </w:rPr>
        <w:t>use for prudential purposes.</w:t>
      </w:r>
    </w:p>
    <w:p w14:paraId="346E6B5E" w14:textId="5A19A385" w:rsidR="009E2348" w:rsidRDefault="009E2348" w:rsidP="000868B7">
      <w:pPr>
        <w:jc w:val="both"/>
        <w:rPr>
          <w:rFonts w:ascii="Times New Roman" w:hAnsi="Times New Roman" w:cs="Times New Roman"/>
          <w:i/>
          <w:sz w:val="24"/>
          <w:szCs w:val="24"/>
        </w:rPr>
      </w:pPr>
      <w:r w:rsidRPr="009E2348">
        <w:rPr>
          <w:rFonts w:ascii="Times New Roman" w:hAnsi="Times New Roman" w:cs="Times New Roman"/>
          <w:i/>
          <w:sz w:val="24"/>
          <w:szCs w:val="24"/>
        </w:rPr>
        <w:t>Role and responsibilities (paragraphs 2</w:t>
      </w:r>
      <w:r w:rsidR="009177A5">
        <w:rPr>
          <w:rFonts w:ascii="Times New Roman" w:hAnsi="Times New Roman" w:cs="Times New Roman"/>
          <w:i/>
          <w:sz w:val="24"/>
          <w:szCs w:val="24"/>
        </w:rPr>
        <w:t>0</w:t>
      </w:r>
      <w:r w:rsidRPr="009E2348">
        <w:rPr>
          <w:rFonts w:ascii="Times New Roman" w:hAnsi="Times New Roman" w:cs="Times New Roman"/>
          <w:i/>
          <w:sz w:val="24"/>
          <w:szCs w:val="24"/>
        </w:rPr>
        <w:t>-2</w:t>
      </w:r>
      <w:r w:rsidR="009177A5">
        <w:rPr>
          <w:rFonts w:ascii="Times New Roman" w:hAnsi="Times New Roman" w:cs="Times New Roman"/>
          <w:i/>
          <w:sz w:val="24"/>
          <w:szCs w:val="24"/>
        </w:rPr>
        <w:t>3</w:t>
      </w:r>
      <w:r w:rsidRPr="009E2348">
        <w:rPr>
          <w:rFonts w:ascii="Times New Roman" w:hAnsi="Times New Roman" w:cs="Times New Roman"/>
          <w:i/>
          <w:sz w:val="24"/>
          <w:szCs w:val="24"/>
        </w:rPr>
        <w:t>)</w:t>
      </w:r>
    </w:p>
    <w:p w14:paraId="6020FE55" w14:textId="60DC5303" w:rsidR="00A832DF" w:rsidRDefault="00392705" w:rsidP="000868B7">
      <w:pPr>
        <w:jc w:val="both"/>
        <w:rPr>
          <w:rFonts w:ascii="Times New Roman" w:hAnsi="Times New Roman" w:cs="Times New Roman"/>
          <w:sz w:val="24"/>
          <w:szCs w:val="24"/>
        </w:rPr>
      </w:pPr>
      <w:r>
        <w:rPr>
          <w:rFonts w:ascii="Times New Roman" w:hAnsi="Times New Roman" w:cs="Times New Roman"/>
          <w:sz w:val="24"/>
          <w:szCs w:val="24"/>
        </w:rPr>
        <w:t>Paragraph 2</w:t>
      </w:r>
      <w:r w:rsidR="009177A5">
        <w:rPr>
          <w:rFonts w:ascii="Times New Roman" w:hAnsi="Times New Roman" w:cs="Times New Roman"/>
          <w:sz w:val="24"/>
          <w:szCs w:val="24"/>
        </w:rPr>
        <w:t>0</w:t>
      </w:r>
      <w:r>
        <w:rPr>
          <w:rFonts w:ascii="Times New Roman" w:hAnsi="Times New Roman" w:cs="Times New Roman"/>
          <w:sz w:val="24"/>
          <w:szCs w:val="24"/>
        </w:rPr>
        <w:t xml:space="preserve"> provid</w:t>
      </w:r>
      <w:r w:rsidR="00EA71B8">
        <w:rPr>
          <w:rFonts w:ascii="Times New Roman" w:hAnsi="Times New Roman" w:cs="Times New Roman"/>
          <w:sz w:val="24"/>
          <w:szCs w:val="24"/>
        </w:rPr>
        <w:t>es</w:t>
      </w:r>
      <w:r w:rsidR="00C80CD7">
        <w:rPr>
          <w:rFonts w:ascii="Times New Roman" w:hAnsi="Times New Roman" w:cs="Times New Roman"/>
          <w:sz w:val="24"/>
          <w:szCs w:val="24"/>
        </w:rPr>
        <w:t xml:space="preserve"> </w:t>
      </w:r>
      <w:r>
        <w:rPr>
          <w:rFonts w:ascii="Times New Roman" w:hAnsi="Times New Roman" w:cs="Times New Roman"/>
          <w:sz w:val="24"/>
          <w:szCs w:val="24"/>
        </w:rPr>
        <w:t>that the Board is ultimately accountable for oversight of an APRA-regulated entity’s operational risk management, as well as business continuity and the management of service provider arrangements.</w:t>
      </w:r>
    </w:p>
    <w:p w14:paraId="0F5C3A16" w14:textId="659E8B23" w:rsidR="00392705" w:rsidRDefault="003A5564" w:rsidP="000868B7">
      <w:pPr>
        <w:jc w:val="both"/>
        <w:rPr>
          <w:rFonts w:ascii="Times New Roman" w:hAnsi="Times New Roman" w:cs="Times New Roman"/>
          <w:sz w:val="24"/>
          <w:szCs w:val="24"/>
        </w:rPr>
      </w:pPr>
      <w:r>
        <w:rPr>
          <w:rFonts w:ascii="Times New Roman" w:hAnsi="Times New Roman" w:cs="Times New Roman"/>
          <w:sz w:val="24"/>
          <w:szCs w:val="24"/>
        </w:rPr>
        <w:t>Paragraph</w:t>
      </w:r>
      <w:r w:rsidR="00392705">
        <w:rPr>
          <w:rFonts w:ascii="Times New Roman" w:hAnsi="Times New Roman" w:cs="Times New Roman"/>
          <w:sz w:val="24"/>
          <w:szCs w:val="24"/>
        </w:rPr>
        <w:t xml:space="preserve"> 2</w:t>
      </w:r>
      <w:r w:rsidR="009177A5">
        <w:rPr>
          <w:rFonts w:ascii="Times New Roman" w:hAnsi="Times New Roman" w:cs="Times New Roman"/>
          <w:sz w:val="24"/>
          <w:szCs w:val="24"/>
        </w:rPr>
        <w:t>1</w:t>
      </w:r>
      <w:r w:rsidR="00392705">
        <w:rPr>
          <w:rFonts w:ascii="Times New Roman" w:hAnsi="Times New Roman" w:cs="Times New Roman"/>
          <w:sz w:val="24"/>
          <w:szCs w:val="24"/>
        </w:rPr>
        <w:t xml:space="preserve"> requires the Board to ensure there is clarity within an APRA-regulated entity as to the roles and responsibilities of senior managers in the context of operational risk management, </w:t>
      </w:r>
      <w:r w:rsidR="00F96B6E">
        <w:rPr>
          <w:rFonts w:ascii="Times New Roman" w:hAnsi="Times New Roman" w:cs="Times New Roman"/>
          <w:sz w:val="24"/>
          <w:szCs w:val="24"/>
        </w:rPr>
        <w:t xml:space="preserve">including </w:t>
      </w:r>
      <w:r w:rsidR="00392705">
        <w:rPr>
          <w:rFonts w:ascii="Times New Roman" w:hAnsi="Times New Roman" w:cs="Times New Roman"/>
          <w:sz w:val="24"/>
          <w:szCs w:val="24"/>
        </w:rPr>
        <w:t>business continuity management and the management of service provider arrangements.</w:t>
      </w:r>
    </w:p>
    <w:p w14:paraId="32AC6021" w14:textId="39586A04" w:rsidR="00CC5117" w:rsidRDefault="00392705" w:rsidP="000868B7">
      <w:pPr>
        <w:jc w:val="both"/>
        <w:rPr>
          <w:rFonts w:ascii="Times New Roman" w:hAnsi="Times New Roman" w:cs="Times New Roman"/>
          <w:sz w:val="24"/>
          <w:szCs w:val="24"/>
        </w:rPr>
      </w:pPr>
      <w:r>
        <w:rPr>
          <w:rFonts w:ascii="Times New Roman" w:hAnsi="Times New Roman" w:cs="Times New Roman"/>
          <w:sz w:val="24"/>
          <w:szCs w:val="24"/>
        </w:rPr>
        <w:t>Paragraph 2</w:t>
      </w:r>
      <w:r w:rsidR="009177A5">
        <w:rPr>
          <w:rFonts w:ascii="Times New Roman" w:hAnsi="Times New Roman" w:cs="Times New Roman"/>
          <w:sz w:val="24"/>
          <w:szCs w:val="24"/>
        </w:rPr>
        <w:t>2</w:t>
      </w:r>
      <w:r>
        <w:rPr>
          <w:rFonts w:ascii="Times New Roman" w:hAnsi="Times New Roman" w:cs="Times New Roman"/>
          <w:sz w:val="24"/>
          <w:szCs w:val="24"/>
        </w:rPr>
        <w:t xml:space="preserve"> sets out APRA’s </w:t>
      </w:r>
      <w:r w:rsidR="00F96B6E">
        <w:rPr>
          <w:rFonts w:ascii="Times New Roman" w:hAnsi="Times New Roman" w:cs="Times New Roman"/>
          <w:sz w:val="24"/>
          <w:szCs w:val="24"/>
        </w:rPr>
        <w:t xml:space="preserve">requirements </w:t>
      </w:r>
      <w:r>
        <w:rPr>
          <w:rFonts w:ascii="Times New Roman" w:hAnsi="Times New Roman" w:cs="Times New Roman"/>
          <w:sz w:val="24"/>
          <w:szCs w:val="24"/>
        </w:rPr>
        <w:t>as to what the Board must do in discharging its role in overseeing operational risk management</w:t>
      </w:r>
      <w:r w:rsidR="0014530C">
        <w:rPr>
          <w:rFonts w:ascii="Times New Roman" w:hAnsi="Times New Roman" w:cs="Times New Roman"/>
          <w:sz w:val="24"/>
          <w:szCs w:val="24"/>
        </w:rPr>
        <w:t xml:space="preserve">. </w:t>
      </w:r>
      <w:r w:rsidR="006F5E95" w:rsidRPr="00C90126">
        <w:rPr>
          <w:rFonts w:ascii="Times New Roman" w:hAnsi="Times New Roman" w:cs="Times New Roman"/>
          <w:sz w:val="24"/>
          <w:szCs w:val="24"/>
        </w:rPr>
        <w:t>This include</w:t>
      </w:r>
      <w:r w:rsidR="00F715F6">
        <w:rPr>
          <w:rFonts w:ascii="Times New Roman" w:hAnsi="Times New Roman" w:cs="Times New Roman"/>
          <w:sz w:val="24"/>
          <w:szCs w:val="24"/>
        </w:rPr>
        <w:t>s</w:t>
      </w:r>
      <w:r w:rsidR="006F5E95" w:rsidRPr="00C90126">
        <w:rPr>
          <w:rFonts w:ascii="Times New Roman" w:hAnsi="Times New Roman" w:cs="Times New Roman"/>
          <w:sz w:val="24"/>
          <w:szCs w:val="24"/>
        </w:rPr>
        <w:t xml:space="preserve"> the Board</w:t>
      </w:r>
      <w:r w:rsidR="000B50AF">
        <w:rPr>
          <w:rFonts w:ascii="Times New Roman" w:hAnsi="Times New Roman" w:cs="Times New Roman"/>
          <w:sz w:val="24"/>
          <w:szCs w:val="24"/>
        </w:rPr>
        <w:t>:</w:t>
      </w:r>
      <w:r w:rsidR="006F5E95" w:rsidRPr="00C90126">
        <w:rPr>
          <w:rFonts w:ascii="Times New Roman" w:hAnsi="Times New Roman" w:cs="Times New Roman"/>
          <w:sz w:val="24"/>
          <w:szCs w:val="24"/>
        </w:rPr>
        <w:t xml:space="preserve"> oversee</w:t>
      </w:r>
      <w:r w:rsidR="008B23C1">
        <w:rPr>
          <w:rFonts w:ascii="Times New Roman" w:hAnsi="Times New Roman" w:cs="Times New Roman"/>
          <w:sz w:val="24"/>
          <w:szCs w:val="24"/>
        </w:rPr>
        <w:t>ing</w:t>
      </w:r>
      <w:r w:rsidR="006F5E95" w:rsidRPr="00C90126">
        <w:rPr>
          <w:rFonts w:ascii="Times New Roman" w:hAnsi="Times New Roman" w:cs="Times New Roman"/>
          <w:sz w:val="24"/>
          <w:szCs w:val="24"/>
        </w:rPr>
        <w:t xml:space="preserve"> operational risk management, </w:t>
      </w:r>
      <w:r w:rsidR="00523288" w:rsidRPr="00C90126">
        <w:rPr>
          <w:rFonts w:ascii="Times New Roman" w:hAnsi="Times New Roman" w:cs="Times New Roman"/>
          <w:sz w:val="24"/>
          <w:szCs w:val="24"/>
        </w:rPr>
        <w:t>including the effectiveness of controls</w:t>
      </w:r>
      <w:r w:rsidR="00FB0488">
        <w:rPr>
          <w:rFonts w:ascii="Times New Roman" w:hAnsi="Times New Roman" w:cs="Times New Roman"/>
          <w:sz w:val="24"/>
          <w:szCs w:val="24"/>
        </w:rPr>
        <w:t xml:space="preserve"> in maintaining the entity’s risk profile within risk appetite;</w:t>
      </w:r>
      <w:r w:rsidR="009C19C5">
        <w:rPr>
          <w:rFonts w:ascii="Times New Roman" w:hAnsi="Times New Roman" w:cs="Times New Roman"/>
          <w:sz w:val="24"/>
          <w:szCs w:val="24"/>
        </w:rPr>
        <w:t xml:space="preserve"> approving the business continuity plan and tolerance levels for disruptions to critical operations</w:t>
      </w:r>
      <w:r w:rsidR="00C025DE">
        <w:rPr>
          <w:rFonts w:ascii="Times New Roman" w:hAnsi="Times New Roman" w:cs="Times New Roman"/>
          <w:sz w:val="24"/>
          <w:szCs w:val="24"/>
        </w:rPr>
        <w:t xml:space="preserve"> and reviewing the results of testing; </w:t>
      </w:r>
      <w:r w:rsidR="00213A10">
        <w:rPr>
          <w:rFonts w:ascii="Times New Roman" w:hAnsi="Times New Roman" w:cs="Times New Roman"/>
          <w:sz w:val="24"/>
          <w:szCs w:val="24"/>
        </w:rPr>
        <w:t>and</w:t>
      </w:r>
      <w:r w:rsidR="00C025DE">
        <w:rPr>
          <w:rFonts w:ascii="Times New Roman" w:hAnsi="Times New Roman" w:cs="Times New Roman"/>
          <w:sz w:val="24"/>
          <w:szCs w:val="24"/>
        </w:rPr>
        <w:t xml:space="preserve"> approving the entity’s service provider management policy and reviewing risk and performance reporting on material service providers</w:t>
      </w:r>
      <w:r w:rsidR="00CC5117" w:rsidRPr="00523288">
        <w:rPr>
          <w:rFonts w:ascii="Times New Roman" w:hAnsi="Times New Roman" w:cs="Times New Roman"/>
          <w:sz w:val="24"/>
          <w:szCs w:val="24"/>
        </w:rPr>
        <w:t>.</w:t>
      </w:r>
    </w:p>
    <w:p w14:paraId="592107A8" w14:textId="215589BB" w:rsidR="00525233" w:rsidRDefault="00CC5117" w:rsidP="000868B7">
      <w:pPr>
        <w:jc w:val="both"/>
        <w:rPr>
          <w:rFonts w:ascii="Times New Roman" w:hAnsi="Times New Roman" w:cs="Times New Roman"/>
          <w:sz w:val="24"/>
          <w:szCs w:val="24"/>
        </w:rPr>
      </w:pPr>
      <w:r>
        <w:rPr>
          <w:rFonts w:ascii="Times New Roman" w:hAnsi="Times New Roman" w:cs="Times New Roman"/>
          <w:sz w:val="24"/>
          <w:szCs w:val="24"/>
        </w:rPr>
        <w:t>Paragraph 2</w:t>
      </w:r>
      <w:r w:rsidR="009177A5">
        <w:rPr>
          <w:rFonts w:ascii="Times New Roman" w:hAnsi="Times New Roman" w:cs="Times New Roman"/>
          <w:sz w:val="24"/>
          <w:szCs w:val="24"/>
        </w:rPr>
        <w:t>3</w:t>
      </w:r>
      <w:r>
        <w:rPr>
          <w:rFonts w:ascii="Times New Roman" w:hAnsi="Times New Roman" w:cs="Times New Roman"/>
          <w:sz w:val="24"/>
          <w:szCs w:val="24"/>
        </w:rPr>
        <w:t xml:space="preserve"> imposes a</w:t>
      </w:r>
      <w:r w:rsidR="000369A2">
        <w:rPr>
          <w:rFonts w:ascii="Times New Roman" w:hAnsi="Times New Roman" w:cs="Times New Roman"/>
          <w:sz w:val="24"/>
          <w:szCs w:val="24"/>
        </w:rPr>
        <w:t>n</w:t>
      </w:r>
      <w:r>
        <w:rPr>
          <w:rFonts w:ascii="Times New Roman" w:hAnsi="Times New Roman" w:cs="Times New Roman"/>
          <w:sz w:val="24"/>
          <w:szCs w:val="24"/>
        </w:rPr>
        <w:t xml:space="preserve"> obligation on senior management </w:t>
      </w:r>
      <w:r w:rsidR="000369A2">
        <w:rPr>
          <w:rFonts w:ascii="Times New Roman" w:hAnsi="Times New Roman" w:cs="Times New Roman"/>
          <w:sz w:val="24"/>
          <w:szCs w:val="24"/>
        </w:rPr>
        <w:t xml:space="preserve">of an APRA-regulated entity </w:t>
      </w:r>
      <w:r>
        <w:rPr>
          <w:rFonts w:ascii="Times New Roman" w:hAnsi="Times New Roman" w:cs="Times New Roman"/>
          <w:sz w:val="24"/>
          <w:szCs w:val="24"/>
        </w:rPr>
        <w:t>to ensure that</w:t>
      </w:r>
      <w:r w:rsidR="00042929">
        <w:rPr>
          <w:rFonts w:ascii="Times New Roman" w:hAnsi="Times New Roman" w:cs="Times New Roman"/>
          <w:sz w:val="24"/>
          <w:szCs w:val="24"/>
        </w:rPr>
        <w:t xml:space="preserve"> when the Board is making decisions that could affect the resilience of critical operations</w:t>
      </w:r>
      <w:r w:rsidR="00C33D5E">
        <w:rPr>
          <w:rFonts w:ascii="Times New Roman" w:hAnsi="Times New Roman" w:cs="Times New Roman"/>
          <w:sz w:val="24"/>
          <w:szCs w:val="24"/>
        </w:rPr>
        <w:t xml:space="preserve"> (as defined in </w:t>
      </w:r>
      <w:r w:rsidR="00274F21">
        <w:rPr>
          <w:rFonts w:ascii="Times New Roman" w:hAnsi="Times New Roman" w:cs="Times New Roman"/>
          <w:sz w:val="24"/>
          <w:szCs w:val="24"/>
        </w:rPr>
        <w:t>paragraph 35)</w:t>
      </w:r>
      <w:r w:rsidR="00042929">
        <w:rPr>
          <w:rFonts w:ascii="Times New Roman" w:hAnsi="Times New Roman" w:cs="Times New Roman"/>
          <w:sz w:val="24"/>
          <w:szCs w:val="24"/>
        </w:rPr>
        <w:t>,</w:t>
      </w:r>
      <w:r>
        <w:rPr>
          <w:rFonts w:ascii="Times New Roman" w:hAnsi="Times New Roman" w:cs="Times New Roman"/>
          <w:sz w:val="24"/>
          <w:szCs w:val="24"/>
        </w:rPr>
        <w:t xml:space="preserve"> the Board is provided with clear and comprehensive information on the</w:t>
      </w:r>
      <w:r w:rsidR="008E5D30">
        <w:rPr>
          <w:rFonts w:ascii="Times New Roman" w:hAnsi="Times New Roman" w:cs="Times New Roman"/>
          <w:sz w:val="24"/>
          <w:szCs w:val="24"/>
        </w:rPr>
        <w:t xml:space="preserve"> expected</w:t>
      </w:r>
      <w:r>
        <w:rPr>
          <w:rFonts w:ascii="Times New Roman" w:hAnsi="Times New Roman" w:cs="Times New Roman"/>
          <w:sz w:val="24"/>
          <w:szCs w:val="24"/>
        </w:rPr>
        <w:t xml:space="preserve"> impacts on </w:t>
      </w:r>
      <w:r w:rsidR="00027BF0">
        <w:rPr>
          <w:rFonts w:ascii="Times New Roman" w:hAnsi="Times New Roman" w:cs="Times New Roman"/>
          <w:sz w:val="24"/>
          <w:szCs w:val="24"/>
        </w:rPr>
        <w:t>the regulated entity’s critical operations.</w:t>
      </w:r>
    </w:p>
    <w:p w14:paraId="3043A478" w14:textId="3E345A08" w:rsidR="00525233" w:rsidRDefault="00525233" w:rsidP="000868B7">
      <w:pPr>
        <w:jc w:val="both"/>
        <w:rPr>
          <w:rFonts w:ascii="Times New Roman" w:hAnsi="Times New Roman" w:cs="Times New Roman"/>
          <w:i/>
          <w:sz w:val="24"/>
          <w:szCs w:val="24"/>
        </w:rPr>
      </w:pPr>
      <w:r>
        <w:rPr>
          <w:rFonts w:ascii="Times New Roman" w:hAnsi="Times New Roman" w:cs="Times New Roman"/>
          <w:i/>
          <w:sz w:val="24"/>
          <w:szCs w:val="24"/>
        </w:rPr>
        <w:t>Operational risk management</w:t>
      </w:r>
      <w:r w:rsidR="0032520F">
        <w:rPr>
          <w:rFonts w:ascii="Times New Roman" w:hAnsi="Times New Roman" w:cs="Times New Roman"/>
          <w:i/>
          <w:sz w:val="24"/>
          <w:szCs w:val="24"/>
        </w:rPr>
        <w:t xml:space="preserve"> (paragraphs 2</w:t>
      </w:r>
      <w:r w:rsidR="00CA7F40">
        <w:rPr>
          <w:rFonts w:ascii="Times New Roman" w:hAnsi="Times New Roman" w:cs="Times New Roman"/>
          <w:i/>
          <w:sz w:val="24"/>
          <w:szCs w:val="24"/>
        </w:rPr>
        <w:t>4</w:t>
      </w:r>
      <w:r w:rsidR="0032520F">
        <w:rPr>
          <w:rFonts w:ascii="Times New Roman" w:hAnsi="Times New Roman" w:cs="Times New Roman"/>
          <w:i/>
          <w:sz w:val="24"/>
          <w:szCs w:val="24"/>
        </w:rPr>
        <w:t>-</w:t>
      </w:r>
      <w:r w:rsidR="008B29BF">
        <w:rPr>
          <w:rFonts w:ascii="Times New Roman" w:hAnsi="Times New Roman" w:cs="Times New Roman"/>
          <w:i/>
          <w:sz w:val="24"/>
          <w:szCs w:val="24"/>
        </w:rPr>
        <w:t>3</w:t>
      </w:r>
      <w:r w:rsidR="00CA7F40">
        <w:rPr>
          <w:rFonts w:ascii="Times New Roman" w:hAnsi="Times New Roman" w:cs="Times New Roman"/>
          <w:i/>
          <w:sz w:val="24"/>
          <w:szCs w:val="24"/>
        </w:rPr>
        <w:t>3</w:t>
      </w:r>
      <w:r w:rsidR="008B29BF">
        <w:rPr>
          <w:rFonts w:ascii="Times New Roman" w:hAnsi="Times New Roman" w:cs="Times New Roman"/>
          <w:i/>
          <w:sz w:val="24"/>
          <w:szCs w:val="24"/>
        </w:rPr>
        <w:t>)</w:t>
      </w:r>
    </w:p>
    <w:p w14:paraId="3BD043B7" w14:textId="0C6426D9" w:rsidR="00392705" w:rsidRDefault="00C17B70" w:rsidP="000868B7">
      <w:pPr>
        <w:jc w:val="both"/>
        <w:rPr>
          <w:rFonts w:ascii="Times New Roman" w:hAnsi="Times New Roman" w:cs="Times New Roman"/>
          <w:sz w:val="24"/>
          <w:szCs w:val="24"/>
        </w:rPr>
      </w:pPr>
      <w:r>
        <w:rPr>
          <w:rFonts w:ascii="Times New Roman" w:hAnsi="Times New Roman" w:cs="Times New Roman"/>
          <w:sz w:val="24"/>
          <w:szCs w:val="24"/>
        </w:rPr>
        <w:t xml:space="preserve">Paragraph </w:t>
      </w:r>
      <w:r w:rsidR="00037622">
        <w:rPr>
          <w:rFonts w:ascii="Times New Roman" w:hAnsi="Times New Roman" w:cs="Times New Roman"/>
          <w:sz w:val="24"/>
          <w:szCs w:val="24"/>
        </w:rPr>
        <w:t>2</w:t>
      </w:r>
      <w:r w:rsidR="00CA7F40">
        <w:rPr>
          <w:rFonts w:ascii="Times New Roman" w:hAnsi="Times New Roman" w:cs="Times New Roman"/>
          <w:sz w:val="24"/>
          <w:szCs w:val="24"/>
        </w:rPr>
        <w:t>4</w:t>
      </w:r>
      <w:r w:rsidR="00037622">
        <w:rPr>
          <w:rFonts w:ascii="Times New Roman" w:hAnsi="Times New Roman" w:cs="Times New Roman"/>
          <w:sz w:val="24"/>
          <w:szCs w:val="24"/>
        </w:rPr>
        <w:t xml:space="preserve"> requires an APRA-regulated entity to manage all its operational risks, </w:t>
      </w:r>
      <w:proofErr w:type="gramStart"/>
      <w:r w:rsidR="00037622">
        <w:rPr>
          <w:rFonts w:ascii="Times New Roman" w:hAnsi="Times New Roman" w:cs="Times New Roman"/>
          <w:sz w:val="24"/>
          <w:szCs w:val="24"/>
        </w:rPr>
        <w:t xml:space="preserve">which </w:t>
      </w:r>
      <w:r w:rsidR="00F71E65">
        <w:rPr>
          <w:rFonts w:ascii="Times New Roman" w:hAnsi="Times New Roman" w:cs="Times New Roman"/>
          <w:sz w:val="24"/>
          <w:szCs w:val="24"/>
        </w:rPr>
        <w:t xml:space="preserve"> include</w:t>
      </w:r>
      <w:proofErr w:type="gramEnd"/>
      <w:r w:rsidR="002139BA">
        <w:rPr>
          <w:rFonts w:ascii="Times New Roman" w:hAnsi="Times New Roman" w:cs="Times New Roman"/>
          <w:sz w:val="24"/>
          <w:szCs w:val="24"/>
        </w:rPr>
        <w:t xml:space="preserve"> </w:t>
      </w:r>
      <w:r w:rsidR="00F71E65">
        <w:rPr>
          <w:rFonts w:ascii="Times New Roman" w:hAnsi="Times New Roman" w:cs="Times New Roman"/>
          <w:sz w:val="24"/>
          <w:szCs w:val="24"/>
        </w:rPr>
        <w:t xml:space="preserve">legal risk, regulatory risk, compliance risk, conduct risk, technology risk, data risk and change management risk. </w:t>
      </w:r>
      <w:r w:rsidR="00BD4DFE">
        <w:rPr>
          <w:rFonts w:ascii="Times New Roman" w:hAnsi="Times New Roman" w:cs="Times New Roman"/>
          <w:sz w:val="24"/>
          <w:szCs w:val="24"/>
        </w:rPr>
        <w:t xml:space="preserve">Senior </w:t>
      </w:r>
      <w:r w:rsidR="003249EA">
        <w:rPr>
          <w:rFonts w:ascii="Times New Roman" w:hAnsi="Times New Roman" w:cs="Times New Roman"/>
          <w:sz w:val="24"/>
          <w:szCs w:val="24"/>
        </w:rPr>
        <w:t xml:space="preserve">management are responsible for operational risk management </w:t>
      </w:r>
      <w:r w:rsidR="00B54862">
        <w:rPr>
          <w:rFonts w:ascii="Times New Roman" w:hAnsi="Times New Roman" w:cs="Times New Roman"/>
          <w:sz w:val="24"/>
          <w:szCs w:val="24"/>
        </w:rPr>
        <w:t xml:space="preserve">for </w:t>
      </w:r>
      <w:r w:rsidR="00A4063D">
        <w:rPr>
          <w:rFonts w:ascii="Times New Roman" w:hAnsi="Times New Roman" w:cs="Times New Roman"/>
          <w:sz w:val="24"/>
          <w:szCs w:val="24"/>
        </w:rPr>
        <w:t xml:space="preserve">all </w:t>
      </w:r>
      <w:r w:rsidR="00B54862">
        <w:rPr>
          <w:rFonts w:ascii="Times New Roman" w:hAnsi="Times New Roman" w:cs="Times New Roman"/>
          <w:sz w:val="24"/>
          <w:szCs w:val="24"/>
        </w:rPr>
        <w:t>business operations.</w:t>
      </w:r>
    </w:p>
    <w:p w14:paraId="62AE6117" w14:textId="7932FDFD" w:rsidR="00B54862" w:rsidRDefault="00B54862" w:rsidP="000868B7">
      <w:pPr>
        <w:jc w:val="both"/>
        <w:rPr>
          <w:rFonts w:ascii="Times New Roman" w:hAnsi="Times New Roman" w:cs="Times New Roman"/>
          <w:sz w:val="24"/>
          <w:szCs w:val="24"/>
        </w:rPr>
      </w:pPr>
      <w:r>
        <w:rPr>
          <w:rFonts w:ascii="Times New Roman" w:hAnsi="Times New Roman" w:cs="Times New Roman"/>
          <w:sz w:val="24"/>
          <w:szCs w:val="24"/>
        </w:rPr>
        <w:t>Paragraph 2</w:t>
      </w:r>
      <w:r w:rsidR="00CA7F40">
        <w:rPr>
          <w:rFonts w:ascii="Times New Roman" w:hAnsi="Times New Roman" w:cs="Times New Roman"/>
          <w:sz w:val="24"/>
          <w:szCs w:val="24"/>
        </w:rPr>
        <w:t>5</w:t>
      </w:r>
      <w:r>
        <w:rPr>
          <w:rFonts w:ascii="Times New Roman" w:hAnsi="Times New Roman" w:cs="Times New Roman"/>
          <w:sz w:val="24"/>
          <w:szCs w:val="24"/>
        </w:rPr>
        <w:t xml:space="preserve"> requires an APRA-regulated entity to </w:t>
      </w:r>
      <w:r w:rsidR="00636FD1">
        <w:rPr>
          <w:rFonts w:ascii="Times New Roman" w:hAnsi="Times New Roman" w:cs="Times New Roman"/>
          <w:sz w:val="24"/>
          <w:szCs w:val="24"/>
        </w:rPr>
        <w:t xml:space="preserve">maintain its information and information technology capability </w:t>
      </w:r>
      <w:proofErr w:type="gramStart"/>
      <w:r w:rsidR="00636FD1">
        <w:rPr>
          <w:rFonts w:ascii="Times New Roman" w:hAnsi="Times New Roman" w:cs="Times New Roman"/>
          <w:sz w:val="24"/>
          <w:szCs w:val="24"/>
        </w:rPr>
        <w:t>in order to</w:t>
      </w:r>
      <w:proofErr w:type="gramEnd"/>
      <w:r w:rsidR="00636FD1">
        <w:rPr>
          <w:rFonts w:ascii="Times New Roman" w:hAnsi="Times New Roman" w:cs="Times New Roman"/>
          <w:sz w:val="24"/>
          <w:szCs w:val="24"/>
        </w:rPr>
        <w:t xml:space="preserve"> meet </w:t>
      </w:r>
      <w:r w:rsidR="005F0D99">
        <w:rPr>
          <w:rFonts w:ascii="Times New Roman" w:hAnsi="Times New Roman" w:cs="Times New Roman"/>
          <w:sz w:val="24"/>
          <w:szCs w:val="24"/>
        </w:rPr>
        <w:t>its business requirements and to support both its critical operations and risk management.</w:t>
      </w:r>
      <w:r w:rsidR="00A4063D">
        <w:rPr>
          <w:rFonts w:ascii="Times New Roman" w:hAnsi="Times New Roman" w:cs="Times New Roman"/>
          <w:sz w:val="24"/>
          <w:szCs w:val="24"/>
        </w:rPr>
        <w:t xml:space="preserve"> </w:t>
      </w:r>
      <w:r w:rsidR="00A4063D" w:rsidRPr="00A4063D">
        <w:rPr>
          <w:rFonts w:ascii="Times New Roman" w:hAnsi="Times New Roman" w:cs="Times New Roman"/>
          <w:sz w:val="24"/>
          <w:szCs w:val="24"/>
        </w:rPr>
        <w:t xml:space="preserve">In managing technology risks, an APRA-regulated entity must monitor its information assets and meet the requirements for information security in </w:t>
      </w:r>
      <w:r w:rsidR="00A4063D" w:rsidRPr="00BF10BE">
        <w:rPr>
          <w:rFonts w:ascii="Times New Roman" w:hAnsi="Times New Roman" w:cs="Times New Roman"/>
          <w:i/>
          <w:sz w:val="24"/>
          <w:szCs w:val="24"/>
        </w:rPr>
        <w:t>Prudential Standard CPS 234 Information Security</w:t>
      </w:r>
      <w:r w:rsidR="00A4063D" w:rsidRPr="00A4063D">
        <w:rPr>
          <w:rFonts w:ascii="Times New Roman" w:hAnsi="Times New Roman" w:cs="Times New Roman"/>
          <w:sz w:val="24"/>
          <w:szCs w:val="24"/>
        </w:rPr>
        <w:t>.</w:t>
      </w:r>
    </w:p>
    <w:p w14:paraId="068F7F15" w14:textId="19F5EA1D" w:rsidR="005F0D99" w:rsidRDefault="005F0D99" w:rsidP="000868B7">
      <w:pPr>
        <w:jc w:val="both"/>
        <w:rPr>
          <w:rFonts w:ascii="Times New Roman" w:hAnsi="Times New Roman" w:cs="Times New Roman"/>
          <w:sz w:val="24"/>
          <w:szCs w:val="24"/>
        </w:rPr>
      </w:pPr>
      <w:r>
        <w:rPr>
          <w:rFonts w:ascii="Times New Roman" w:hAnsi="Times New Roman" w:cs="Times New Roman"/>
          <w:sz w:val="24"/>
          <w:szCs w:val="24"/>
        </w:rPr>
        <w:t>Paragraph 2</w:t>
      </w:r>
      <w:r w:rsidR="00CA7F40">
        <w:rPr>
          <w:rFonts w:ascii="Times New Roman" w:hAnsi="Times New Roman" w:cs="Times New Roman"/>
          <w:sz w:val="24"/>
          <w:szCs w:val="24"/>
        </w:rPr>
        <w:t>6</w:t>
      </w:r>
      <w:r w:rsidR="00D15602">
        <w:rPr>
          <w:rFonts w:ascii="Times New Roman" w:hAnsi="Times New Roman" w:cs="Times New Roman"/>
          <w:sz w:val="24"/>
          <w:szCs w:val="24"/>
        </w:rPr>
        <w:t xml:space="preserve"> requires an APRA-regulated entity to assess the impact of strategic decision-making on </w:t>
      </w:r>
      <w:r w:rsidR="00BE3CF4">
        <w:rPr>
          <w:rFonts w:ascii="Times New Roman" w:hAnsi="Times New Roman" w:cs="Times New Roman"/>
          <w:sz w:val="24"/>
          <w:szCs w:val="24"/>
        </w:rPr>
        <w:t>both its operational risk profile and operational resilience. This include</w:t>
      </w:r>
      <w:r w:rsidR="00A4330D">
        <w:rPr>
          <w:rFonts w:ascii="Times New Roman" w:hAnsi="Times New Roman" w:cs="Times New Roman"/>
          <w:sz w:val="24"/>
          <w:szCs w:val="24"/>
        </w:rPr>
        <w:t>s</w:t>
      </w:r>
      <w:r w:rsidR="00BE3CF4">
        <w:rPr>
          <w:rFonts w:ascii="Times New Roman" w:hAnsi="Times New Roman" w:cs="Times New Roman"/>
          <w:sz w:val="24"/>
          <w:szCs w:val="24"/>
        </w:rPr>
        <w:t xml:space="preserve"> an </w:t>
      </w:r>
      <w:r w:rsidR="00BE3CF4">
        <w:rPr>
          <w:rFonts w:ascii="Times New Roman" w:hAnsi="Times New Roman" w:cs="Times New Roman"/>
          <w:sz w:val="24"/>
          <w:szCs w:val="24"/>
        </w:rPr>
        <w:lastRenderedPageBreak/>
        <w:t xml:space="preserve">assessment of the impact </w:t>
      </w:r>
      <w:r w:rsidR="00D11508">
        <w:rPr>
          <w:rFonts w:ascii="Times New Roman" w:hAnsi="Times New Roman" w:cs="Times New Roman"/>
          <w:sz w:val="24"/>
          <w:szCs w:val="24"/>
        </w:rPr>
        <w:t xml:space="preserve">of new products, services, </w:t>
      </w:r>
      <w:proofErr w:type="gramStart"/>
      <w:r w:rsidR="00D11508">
        <w:rPr>
          <w:rFonts w:ascii="Times New Roman" w:hAnsi="Times New Roman" w:cs="Times New Roman"/>
          <w:sz w:val="24"/>
          <w:szCs w:val="24"/>
        </w:rPr>
        <w:t>geographies</w:t>
      </w:r>
      <w:proofErr w:type="gramEnd"/>
      <w:r w:rsidR="00D11508">
        <w:rPr>
          <w:rFonts w:ascii="Times New Roman" w:hAnsi="Times New Roman" w:cs="Times New Roman"/>
          <w:sz w:val="24"/>
          <w:szCs w:val="24"/>
        </w:rPr>
        <w:t xml:space="preserve"> and technologies on the entity’s operational risk profile.</w:t>
      </w:r>
    </w:p>
    <w:p w14:paraId="175FC14D" w14:textId="0A232C83" w:rsidR="00D11508" w:rsidRDefault="00D11508" w:rsidP="000868B7">
      <w:pPr>
        <w:jc w:val="both"/>
        <w:rPr>
          <w:rFonts w:ascii="Times New Roman" w:hAnsi="Times New Roman" w:cs="Times New Roman"/>
          <w:sz w:val="24"/>
          <w:szCs w:val="24"/>
        </w:rPr>
      </w:pPr>
      <w:r>
        <w:rPr>
          <w:rFonts w:ascii="Times New Roman" w:hAnsi="Times New Roman" w:cs="Times New Roman"/>
          <w:sz w:val="24"/>
          <w:szCs w:val="24"/>
        </w:rPr>
        <w:t>Paragraph 2</w:t>
      </w:r>
      <w:r w:rsidR="00CA7F40">
        <w:rPr>
          <w:rFonts w:ascii="Times New Roman" w:hAnsi="Times New Roman" w:cs="Times New Roman"/>
          <w:sz w:val="24"/>
          <w:szCs w:val="24"/>
        </w:rPr>
        <w:t>7</w:t>
      </w:r>
      <w:r>
        <w:rPr>
          <w:rFonts w:ascii="Times New Roman" w:hAnsi="Times New Roman" w:cs="Times New Roman"/>
          <w:sz w:val="24"/>
          <w:szCs w:val="24"/>
        </w:rPr>
        <w:t xml:space="preserve"> </w:t>
      </w:r>
      <w:r w:rsidR="00D3028F">
        <w:rPr>
          <w:rFonts w:ascii="Times New Roman" w:hAnsi="Times New Roman" w:cs="Times New Roman"/>
          <w:sz w:val="24"/>
          <w:szCs w:val="24"/>
        </w:rPr>
        <w:t xml:space="preserve">sets out requirements </w:t>
      </w:r>
      <w:r w:rsidR="00D65EB8">
        <w:rPr>
          <w:rFonts w:ascii="Times New Roman" w:hAnsi="Times New Roman" w:cs="Times New Roman"/>
          <w:sz w:val="24"/>
          <w:szCs w:val="24"/>
        </w:rPr>
        <w:t xml:space="preserve">an APRA-regulated entity must meet </w:t>
      </w:r>
      <w:r w:rsidR="00493784">
        <w:rPr>
          <w:rFonts w:ascii="Times New Roman" w:hAnsi="Times New Roman" w:cs="Times New Roman"/>
          <w:sz w:val="24"/>
          <w:szCs w:val="24"/>
        </w:rPr>
        <w:t>in maintaining its operational risk profile. These include</w:t>
      </w:r>
      <w:r w:rsidR="00754980">
        <w:rPr>
          <w:rFonts w:ascii="Times New Roman" w:hAnsi="Times New Roman" w:cs="Times New Roman"/>
          <w:sz w:val="24"/>
          <w:szCs w:val="24"/>
        </w:rPr>
        <w:t xml:space="preserve"> maintaining information systems, documents processes and resources required to deliver critical operations and </w:t>
      </w:r>
      <w:r w:rsidR="009F77FE">
        <w:rPr>
          <w:rFonts w:ascii="Times New Roman" w:hAnsi="Times New Roman" w:cs="Times New Roman"/>
          <w:sz w:val="24"/>
          <w:szCs w:val="24"/>
        </w:rPr>
        <w:t>undertaking scenarios analysis to identify and assess the impacts of severe operational risk events.</w:t>
      </w:r>
    </w:p>
    <w:p w14:paraId="3D8AAED9" w14:textId="01E21DBC" w:rsidR="009F77FE" w:rsidRDefault="009F77FE" w:rsidP="000868B7">
      <w:pPr>
        <w:jc w:val="both"/>
        <w:rPr>
          <w:rFonts w:ascii="Times New Roman" w:hAnsi="Times New Roman" w:cs="Times New Roman"/>
          <w:sz w:val="24"/>
          <w:szCs w:val="24"/>
        </w:rPr>
      </w:pPr>
      <w:r>
        <w:rPr>
          <w:rFonts w:ascii="Times New Roman" w:hAnsi="Times New Roman" w:cs="Times New Roman"/>
          <w:sz w:val="24"/>
          <w:szCs w:val="24"/>
        </w:rPr>
        <w:t>Paragraph 2</w:t>
      </w:r>
      <w:r w:rsidR="00C25F05">
        <w:rPr>
          <w:rFonts w:ascii="Times New Roman" w:hAnsi="Times New Roman" w:cs="Times New Roman"/>
          <w:sz w:val="24"/>
          <w:szCs w:val="24"/>
        </w:rPr>
        <w:t>8</w:t>
      </w:r>
      <w:r w:rsidR="005C4E48">
        <w:rPr>
          <w:rFonts w:ascii="Times New Roman" w:hAnsi="Times New Roman" w:cs="Times New Roman"/>
          <w:sz w:val="24"/>
          <w:szCs w:val="24"/>
        </w:rPr>
        <w:t xml:space="preserve"> requires an APRA-regulated entity to undertake a </w:t>
      </w:r>
      <w:r w:rsidR="00E93B2E">
        <w:rPr>
          <w:rFonts w:ascii="Times New Roman" w:hAnsi="Times New Roman" w:cs="Times New Roman"/>
          <w:sz w:val="24"/>
          <w:szCs w:val="24"/>
        </w:rPr>
        <w:t xml:space="preserve">comprehensive </w:t>
      </w:r>
      <w:r w:rsidR="005C4E48">
        <w:rPr>
          <w:rFonts w:ascii="Times New Roman" w:hAnsi="Times New Roman" w:cs="Times New Roman"/>
          <w:sz w:val="24"/>
          <w:szCs w:val="24"/>
        </w:rPr>
        <w:t>risk assessment before it provides a material ser</w:t>
      </w:r>
      <w:r w:rsidR="003C6269">
        <w:rPr>
          <w:rFonts w:ascii="Times New Roman" w:hAnsi="Times New Roman" w:cs="Times New Roman"/>
          <w:sz w:val="24"/>
          <w:szCs w:val="24"/>
        </w:rPr>
        <w:t xml:space="preserve">vice to another party. This </w:t>
      </w:r>
      <w:r w:rsidR="007C6ACC">
        <w:rPr>
          <w:rFonts w:ascii="Times New Roman" w:hAnsi="Times New Roman" w:cs="Times New Roman"/>
          <w:sz w:val="24"/>
          <w:szCs w:val="24"/>
        </w:rPr>
        <w:t xml:space="preserve">is in the case where an APRA-regulated entity is </w:t>
      </w:r>
      <w:r w:rsidR="00435048">
        <w:rPr>
          <w:rFonts w:ascii="Times New Roman" w:hAnsi="Times New Roman" w:cs="Times New Roman"/>
          <w:sz w:val="24"/>
          <w:szCs w:val="24"/>
        </w:rPr>
        <w:t xml:space="preserve">itself the party that will be providing the service. An APRA-regulated entity providing such a service must be able to continue to meet </w:t>
      </w:r>
      <w:r w:rsidR="009C64A5">
        <w:rPr>
          <w:rFonts w:ascii="Times New Roman" w:hAnsi="Times New Roman" w:cs="Times New Roman"/>
          <w:sz w:val="24"/>
          <w:szCs w:val="24"/>
        </w:rPr>
        <w:t>its prudential obligations in full.</w:t>
      </w:r>
    </w:p>
    <w:p w14:paraId="0DE420CD" w14:textId="088E68F9" w:rsidR="009C64A5" w:rsidRDefault="009C64A5" w:rsidP="000868B7">
      <w:pPr>
        <w:jc w:val="both"/>
        <w:rPr>
          <w:rFonts w:ascii="Times New Roman" w:hAnsi="Times New Roman" w:cs="Times New Roman"/>
          <w:sz w:val="24"/>
          <w:szCs w:val="24"/>
        </w:rPr>
      </w:pPr>
      <w:r>
        <w:rPr>
          <w:rFonts w:ascii="Times New Roman" w:hAnsi="Times New Roman" w:cs="Times New Roman"/>
          <w:sz w:val="24"/>
          <w:szCs w:val="24"/>
        </w:rPr>
        <w:t xml:space="preserve">Paragraph </w:t>
      </w:r>
      <w:r w:rsidR="00C25F05">
        <w:rPr>
          <w:rFonts w:ascii="Times New Roman" w:hAnsi="Times New Roman" w:cs="Times New Roman"/>
          <w:sz w:val="24"/>
          <w:szCs w:val="24"/>
        </w:rPr>
        <w:t>29</w:t>
      </w:r>
      <w:r>
        <w:rPr>
          <w:rFonts w:ascii="Times New Roman" w:hAnsi="Times New Roman" w:cs="Times New Roman"/>
          <w:sz w:val="24"/>
          <w:szCs w:val="24"/>
        </w:rPr>
        <w:t xml:space="preserve"> requires an APRA-regulated entity to </w:t>
      </w:r>
      <w:r w:rsidR="000E47ED" w:rsidRPr="000E47ED">
        <w:rPr>
          <w:rFonts w:ascii="Times New Roman" w:hAnsi="Times New Roman" w:cs="Times New Roman"/>
          <w:sz w:val="24"/>
          <w:szCs w:val="24"/>
        </w:rPr>
        <w:t>meet its compliance obligations</w:t>
      </w:r>
      <w:r w:rsidR="000E47ED">
        <w:rPr>
          <w:rFonts w:ascii="Times New Roman" w:hAnsi="Times New Roman" w:cs="Times New Roman"/>
          <w:sz w:val="24"/>
          <w:szCs w:val="24"/>
        </w:rPr>
        <w:t xml:space="preserve"> and </w:t>
      </w:r>
      <w:r w:rsidR="00504865" w:rsidRPr="00504865">
        <w:rPr>
          <w:rFonts w:ascii="Times New Roman" w:hAnsi="Times New Roman" w:cs="Times New Roman"/>
          <w:sz w:val="24"/>
          <w:szCs w:val="24"/>
        </w:rPr>
        <w:t xml:space="preserve">design, implement and embed </w:t>
      </w:r>
      <w:r w:rsidR="00F14287">
        <w:rPr>
          <w:rFonts w:ascii="Times New Roman" w:hAnsi="Times New Roman" w:cs="Times New Roman"/>
          <w:sz w:val="24"/>
          <w:szCs w:val="24"/>
        </w:rPr>
        <w:t>internal controls to mitigate its operational risks</w:t>
      </w:r>
      <w:r w:rsidR="00504865">
        <w:rPr>
          <w:rFonts w:ascii="Times New Roman" w:hAnsi="Times New Roman" w:cs="Times New Roman"/>
          <w:sz w:val="24"/>
          <w:szCs w:val="24"/>
        </w:rPr>
        <w:t xml:space="preserve"> </w:t>
      </w:r>
      <w:r w:rsidR="00504865" w:rsidRPr="00504865">
        <w:rPr>
          <w:rFonts w:ascii="Times New Roman" w:hAnsi="Times New Roman" w:cs="Times New Roman"/>
          <w:sz w:val="24"/>
          <w:szCs w:val="24"/>
        </w:rPr>
        <w:t>in line with its risk appetite</w:t>
      </w:r>
      <w:r w:rsidR="00F14287">
        <w:rPr>
          <w:rFonts w:ascii="Times New Roman" w:hAnsi="Times New Roman" w:cs="Times New Roman"/>
          <w:sz w:val="24"/>
          <w:szCs w:val="24"/>
        </w:rPr>
        <w:t>.</w:t>
      </w:r>
    </w:p>
    <w:p w14:paraId="0AD07746" w14:textId="5D314CCD" w:rsidR="00F14287" w:rsidRDefault="00F14287" w:rsidP="000868B7">
      <w:pPr>
        <w:jc w:val="both"/>
        <w:rPr>
          <w:rFonts w:ascii="Times New Roman" w:hAnsi="Times New Roman" w:cs="Times New Roman"/>
          <w:sz w:val="24"/>
          <w:szCs w:val="24"/>
        </w:rPr>
      </w:pPr>
      <w:r>
        <w:rPr>
          <w:rFonts w:ascii="Times New Roman" w:hAnsi="Times New Roman" w:cs="Times New Roman"/>
          <w:sz w:val="24"/>
          <w:szCs w:val="24"/>
        </w:rPr>
        <w:t>Paragraph 3</w:t>
      </w:r>
      <w:r w:rsidR="00C70493">
        <w:rPr>
          <w:rFonts w:ascii="Times New Roman" w:hAnsi="Times New Roman" w:cs="Times New Roman"/>
          <w:sz w:val="24"/>
          <w:szCs w:val="24"/>
        </w:rPr>
        <w:t>0</w:t>
      </w:r>
      <w:r>
        <w:rPr>
          <w:rFonts w:ascii="Times New Roman" w:hAnsi="Times New Roman" w:cs="Times New Roman"/>
          <w:sz w:val="24"/>
          <w:szCs w:val="24"/>
        </w:rPr>
        <w:t xml:space="preserve"> </w:t>
      </w:r>
      <w:r w:rsidR="00070BF1">
        <w:rPr>
          <w:rFonts w:ascii="Times New Roman" w:hAnsi="Times New Roman" w:cs="Times New Roman"/>
          <w:sz w:val="24"/>
          <w:szCs w:val="24"/>
        </w:rPr>
        <w:t>requires an APRA-regulated entity to maintain its controls through regular monitoring, review and testing to e</w:t>
      </w:r>
      <w:r w:rsidR="00E2123A">
        <w:rPr>
          <w:rFonts w:ascii="Times New Roman" w:hAnsi="Times New Roman" w:cs="Times New Roman"/>
          <w:sz w:val="24"/>
          <w:szCs w:val="24"/>
        </w:rPr>
        <w:t>nsure their ongoing effectiveness</w:t>
      </w:r>
      <w:r w:rsidR="000E47ED">
        <w:rPr>
          <w:rFonts w:ascii="Times New Roman" w:hAnsi="Times New Roman" w:cs="Times New Roman"/>
          <w:sz w:val="24"/>
          <w:szCs w:val="24"/>
        </w:rPr>
        <w:t>, report t</w:t>
      </w:r>
      <w:r w:rsidR="000E47ED" w:rsidRPr="000E47ED">
        <w:rPr>
          <w:rFonts w:ascii="Times New Roman" w:hAnsi="Times New Roman" w:cs="Times New Roman"/>
          <w:sz w:val="24"/>
          <w:szCs w:val="24"/>
        </w:rPr>
        <w:t xml:space="preserve">he results to senior management and </w:t>
      </w:r>
      <w:r w:rsidR="000E47ED">
        <w:rPr>
          <w:rFonts w:ascii="Times New Roman" w:hAnsi="Times New Roman" w:cs="Times New Roman"/>
          <w:sz w:val="24"/>
          <w:szCs w:val="24"/>
        </w:rPr>
        <w:t xml:space="preserve">rectify </w:t>
      </w:r>
      <w:r w:rsidR="000E47ED" w:rsidRPr="000E47ED">
        <w:rPr>
          <w:rFonts w:ascii="Times New Roman" w:hAnsi="Times New Roman" w:cs="Times New Roman"/>
          <w:sz w:val="24"/>
          <w:szCs w:val="24"/>
        </w:rPr>
        <w:t xml:space="preserve">any gaps or deficiencies in the control environment </w:t>
      </w:r>
      <w:r w:rsidR="000E47ED">
        <w:rPr>
          <w:rFonts w:ascii="Times New Roman" w:hAnsi="Times New Roman" w:cs="Times New Roman"/>
          <w:sz w:val="24"/>
          <w:szCs w:val="24"/>
        </w:rPr>
        <w:t>promptly</w:t>
      </w:r>
      <w:r w:rsidR="000E47ED" w:rsidRPr="000E47ED">
        <w:rPr>
          <w:rFonts w:ascii="Times New Roman" w:hAnsi="Times New Roman" w:cs="Times New Roman"/>
          <w:sz w:val="24"/>
          <w:szCs w:val="24"/>
        </w:rPr>
        <w:t>.</w:t>
      </w:r>
    </w:p>
    <w:p w14:paraId="2619BC9F" w14:textId="475C4D08" w:rsidR="00F15B2A" w:rsidRDefault="00F15B2A" w:rsidP="000868B7">
      <w:pPr>
        <w:jc w:val="both"/>
        <w:rPr>
          <w:rFonts w:ascii="Times New Roman" w:hAnsi="Times New Roman" w:cs="Times New Roman"/>
          <w:sz w:val="24"/>
          <w:szCs w:val="24"/>
        </w:rPr>
      </w:pPr>
      <w:r>
        <w:rPr>
          <w:rFonts w:ascii="Times New Roman" w:hAnsi="Times New Roman" w:cs="Times New Roman"/>
          <w:sz w:val="24"/>
          <w:szCs w:val="24"/>
        </w:rPr>
        <w:t>Paragraph 3</w:t>
      </w:r>
      <w:r w:rsidR="00C70493">
        <w:rPr>
          <w:rFonts w:ascii="Times New Roman" w:hAnsi="Times New Roman" w:cs="Times New Roman"/>
          <w:sz w:val="24"/>
          <w:szCs w:val="24"/>
        </w:rPr>
        <w:t>1</w:t>
      </w:r>
      <w:r>
        <w:rPr>
          <w:rFonts w:ascii="Times New Roman" w:hAnsi="Times New Roman" w:cs="Times New Roman"/>
          <w:sz w:val="24"/>
          <w:szCs w:val="24"/>
        </w:rPr>
        <w:t xml:space="preserve"> requires an APRA-regulated entity to </w:t>
      </w:r>
      <w:r w:rsidR="00CF1A9E">
        <w:rPr>
          <w:rFonts w:ascii="Times New Roman" w:hAnsi="Times New Roman" w:cs="Times New Roman"/>
          <w:sz w:val="24"/>
          <w:szCs w:val="24"/>
        </w:rPr>
        <w:t>remediate material weaknesses in its operational risk managemen</w:t>
      </w:r>
      <w:r w:rsidR="00C3319A">
        <w:rPr>
          <w:rFonts w:ascii="Times New Roman" w:hAnsi="Times New Roman" w:cs="Times New Roman"/>
          <w:sz w:val="24"/>
          <w:szCs w:val="24"/>
        </w:rPr>
        <w:t xml:space="preserve">t. There must be clear accountability for </w:t>
      </w:r>
      <w:r w:rsidR="00442EB7">
        <w:rPr>
          <w:rFonts w:ascii="Times New Roman" w:hAnsi="Times New Roman" w:cs="Times New Roman"/>
          <w:sz w:val="24"/>
          <w:szCs w:val="24"/>
        </w:rPr>
        <w:t>remediation work required and identified gaps, weaknesses and failures must themsel</w:t>
      </w:r>
      <w:r w:rsidR="008D4D65">
        <w:rPr>
          <w:rFonts w:ascii="Times New Roman" w:hAnsi="Times New Roman" w:cs="Times New Roman"/>
          <w:sz w:val="24"/>
          <w:szCs w:val="24"/>
        </w:rPr>
        <w:t>ves be included in the entity’s operational risk profile until such time as they are remediated.</w:t>
      </w:r>
    </w:p>
    <w:p w14:paraId="2882DA12" w14:textId="3B040FB6" w:rsidR="008D4D65" w:rsidRDefault="008D4D65" w:rsidP="000868B7">
      <w:pPr>
        <w:jc w:val="both"/>
        <w:rPr>
          <w:rFonts w:ascii="Times New Roman" w:hAnsi="Times New Roman" w:cs="Times New Roman"/>
          <w:sz w:val="24"/>
          <w:szCs w:val="24"/>
        </w:rPr>
      </w:pPr>
      <w:r w:rsidRPr="006C000B">
        <w:rPr>
          <w:rFonts w:ascii="Times New Roman" w:hAnsi="Times New Roman" w:cs="Times New Roman"/>
          <w:sz w:val="24"/>
          <w:szCs w:val="24"/>
        </w:rPr>
        <w:t>Paragraph 3</w:t>
      </w:r>
      <w:r w:rsidR="00C70493" w:rsidRPr="006C000B">
        <w:rPr>
          <w:rFonts w:ascii="Times New Roman" w:hAnsi="Times New Roman" w:cs="Times New Roman"/>
          <w:sz w:val="24"/>
          <w:szCs w:val="24"/>
        </w:rPr>
        <w:t>2</w:t>
      </w:r>
      <w:r w:rsidRPr="006C000B">
        <w:rPr>
          <w:rFonts w:ascii="Times New Roman" w:hAnsi="Times New Roman" w:cs="Times New Roman"/>
          <w:sz w:val="24"/>
          <w:szCs w:val="24"/>
        </w:rPr>
        <w:t xml:space="preserve"> </w:t>
      </w:r>
      <w:r w:rsidR="00D078ED" w:rsidRPr="006C000B">
        <w:rPr>
          <w:rFonts w:ascii="Times New Roman" w:hAnsi="Times New Roman" w:cs="Times New Roman"/>
          <w:sz w:val="24"/>
          <w:szCs w:val="24"/>
        </w:rPr>
        <w:t xml:space="preserve">requires an APRA-regulated entity to have a process for the identification, escalation, recording and </w:t>
      </w:r>
      <w:r w:rsidR="00C66D3C" w:rsidRPr="006C000B">
        <w:rPr>
          <w:rFonts w:ascii="Times New Roman" w:hAnsi="Times New Roman" w:cs="Times New Roman"/>
          <w:sz w:val="24"/>
          <w:szCs w:val="24"/>
        </w:rPr>
        <w:t xml:space="preserve">rectification of </w:t>
      </w:r>
      <w:r w:rsidR="003A6463" w:rsidRPr="006C000B">
        <w:rPr>
          <w:rFonts w:ascii="Times New Roman" w:hAnsi="Times New Roman" w:cs="Times New Roman"/>
          <w:sz w:val="24"/>
          <w:szCs w:val="24"/>
        </w:rPr>
        <w:t xml:space="preserve">operational risk incidents and near misses. Such incidents and near misses </w:t>
      </w:r>
      <w:r w:rsidR="000C498D" w:rsidRPr="006C000B">
        <w:rPr>
          <w:rFonts w:ascii="Times New Roman" w:hAnsi="Times New Roman" w:cs="Times New Roman"/>
          <w:sz w:val="24"/>
          <w:szCs w:val="24"/>
        </w:rPr>
        <w:t xml:space="preserve">must be accounted for in the entity’s operational risk profile and </w:t>
      </w:r>
      <w:proofErr w:type="gramStart"/>
      <w:r w:rsidR="000C498D" w:rsidRPr="006C000B">
        <w:rPr>
          <w:rFonts w:ascii="Times New Roman" w:hAnsi="Times New Roman" w:cs="Times New Roman"/>
          <w:sz w:val="24"/>
          <w:szCs w:val="24"/>
        </w:rPr>
        <w:t>taken into account</w:t>
      </w:r>
      <w:proofErr w:type="gramEnd"/>
      <w:r w:rsidR="000C498D" w:rsidRPr="006C000B">
        <w:rPr>
          <w:rFonts w:ascii="Times New Roman" w:hAnsi="Times New Roman" w:cs="Times New Roman"/>
          <w:sz w:val="24"/>
          <w:szCs w:val="24"/>
        </w:rPr>
        <w:t xml:space="preserve"> in its control effectiveness.</w:t>
      </w:r>
    </w:p>
    <w:p w14:paraId="6912160E" w14:textId="03F15C60" w:rsidR="000C498D" w:rsidRDefault="004A3C9E" w:rsidP="000868B7">
      <w:pPr>
        <w:jc w:val="both"/>
        <w:rPr>
          <w:rFonts w:ascii="Times New Roman" w:hAnsi="Times New Roman" w:cs="Times New Roman"/>
          <w:sz w:val="24"/>
          <w:szCs w:val="24"/>
        </w:rPr>
      </w:pPr>
      <w:r>
        <w:rPr>
          <w:rFonts w:ascii="Times New Roman" w:hAnsi="Times New Roman" w:cs="Times New Roman"/>
          <w:sz w:val="24"/>
          <w:szCs w:val="24"/>
        </w:rPr>
        <w:t>Paragraph 3</w:t>
      </w:r>
      <w:r w:rsidR="00C70493">
        <w:rPr>
          <w:rFonts w:ascii="Times New Roman" w:hAnsi="Times New Roman" w:cs="Times New Roman"/>
          <w:sz w:val="24"/>
          <w:szCs w:val="24"/>
        </w:rPr>
        <w:t>3</w:t>
      </w:r>
      <w:r>
        <w:rPr>
          <w:rFonts w:ascii="Times New Roman" w:hAnsi="Times New Roman" w:cs="Times New Roman"/>
          <w:sz w:val="24"/>
          <w:szCs w:val="24"/>
        </w:rPr>
        <w:t xml:space="preserve"> </w:t>
      </w:r>
      <w:r w:rsidR="00432F7A">
        <w:rPr>
          <w:rFonts w:ascii="Times New Roman" w:hAnsi="Times New Roman" w:cs="Times New Roman"/>
          <w:sz w:val="24"/>
          <w:szCs w:val="24"/>
        </w:rPr>
        <w:t xml:space="preserve">requires an APRA-regulated entity to notify APRA on becoming aware of an operational risk incident that could </w:t>
      </w:r>
      <w:r w:rsidR="00A65084">
        <w:rPr>
          <w:rFonts w:ascii="Times New Roman" w:hAnsi="Times New Roman" w:cs="Times New Roman"/>
          <w:sz w:val="24"/>
          <w:szCs w:val="24"/>
        </w:rPr>
        <w:t xml:space="preserve">have either a material financial impact or a material impact on the regulated entity’s </w:t>
      </w:r>
      <w:r w:rsidR="00FD57FD">
        <w:rPr>
          <w:rFonts w:ascii="Times New Roman" w:hAnsi="Times New Roman" w:cs="Times New Roman"/>
          <w:sz w:val="24"/>
          <w:szCs w:val="24"/>
        </w:rPr>
        <w:t xml:space="preserve">critical operations. Notification must be </w:t>
      </w:r>
      <w:r w:rsidR="00CB78A9">
        <w:rPr>
          <w:rFonts w:ascii="Times New Roman" w:hAnsi="Times New Roman" w:cs="Times New Roman"/>
          <w:sz w:val="24"/>
          <w:szCs w:val="24"/>
        </w:rPr>
        <w:t xml:space="preserve">made </w:t>
      </w:r>
      <w:r w:rsidR="00FD57FD">
        <w:rPr>
          <w:rFonts w:ascii="Times New Roman" w:hAnsi="Times New Roman" w:cs="Times New Roman"/>
          <w:sz w:val="24"/>
          <w:szCs w:val="24"/>
        </w:rPr>
        <w:t>as soon as possible, and in any event not more than 72 hours after the entity becomes aware of the incident.</w:t>
      </w:r>
    </w:p>
    <w:p w14:paraId="7AB3C3FA" w14:textId="25E8B88C" w:rsidR="00FD57FD" w:rsidRPr="004614B5" w:rsidRDefault="00FD57FD" w:rsidP="000868B7">
      <w:pPr>
        <w:jc w:val="both"/>
        <w:rPr>
          <w:rFonts w:ascii="Times New Roman" w:hAnsi="Times New Roman" w:cs="Times New Roman"/>
          <w:i/>
          <w:sz w:val="24"/>
          <w:szCs w:val="24"/>
        </w:rPr>
      </w:pPr>
      <w:r w:rsidRPr="00FD57FD">
        <w:rPr>
          <w:rFonts w:ascii="Times New Roman" w:hAnsi="Times New Roman" w:cs="Times New Roman"/>
          <w:i/>
          <w:sz w:val="24"/>
          <w:szCs w:val="24"/>
        </w:rPr>
        <w:t>Business continuity</w:t>
      </w:r>
      <w:r w:rsidR="008B29BF">
        <w:rPr>
          <w:rFonts w:ascii="Times New Roman" w:hAnsi="Times New Roman" w:cs="Times New Roman"/>
          <w:i/>
          <w:sz w:val="24"/>
          <w:szCs w:val="24"/>
        </w:rPr>
        <w:t xml:space="preserve"> (paragraphs 3</w:t>
      </w:r>
      <w:r w:rsidR="00C70493">
        <w:rPr>
          <w:rFonts w:ascii="Times New Roman" w:hAnsi="Times New Roman" w:cs="Times New Roman"/>
          <w:i/>
          <w:sz w:val="24"/>
          <w:szCs w:val="24"/>
        </w:rPr>
        <w:t>4</w:t>
      </w:r>
      <w:r w:rsidR="008B29BF">
        <w:rPr>
          <w:rFonts w:ascii="Times New Roman" w:hAnsi="Times New Roman" w:cs="Times New Roman"/>
          <w:i/>
          <w:sz w:val="24"/>
          <w:szCs w:val="24"/>
        </w:rPr>
        <w:t>-4</w:t>
      </w:r>
      <w:r w:rsidR="00392A63">
        <w:rPr>
          <w:rFonts w:ascii="Times New Roman" w:hAnsi="Times New Roman" w:cs="Times New Roman"/>
          <w:i/>
          <w:sz w:val="24"/>
          <w:szCs w:val="24"/>
        </w:rPr>
        <w:t>6</w:t>
      </w:r>
      <w:r w:rsidR="008B29BF">
        <w:rPr>
          <w:rFonts w:ascii="Times New Roman" w:hAnsi="Times New Roman" w:cs="Times New Roman"/>
          <w:i/>
          <w:sz w:val="24"/>
          <w:szCs w:val="24"/>
        </w:rPr>
        <w:t>)</w:t>
      </w:r>
    </w:p>
    <w:p w14:paraId="04901A34" w14:textId="37409459" w:rsidR="00E40669" w:rsidRDefault="00263ED3" w:rsidP="000868B7">
      <w:pPr>
        <w:jc w:val="both"/>
        <w:rPr>
          <w:rFonts w:ascii="Times New Roman" w:hAnsi="Times New Roman" w:cs="Times New Roman"/>
          <w:sz w:val="24"/>
          <w:szCs w:val="24"/>
        </w:rPr>
      </w:pPr>
      <w:r>
        <w:rPr>
          <w:rFonts w:ascii="Times New Roman" w:hAnsi="Times New Roman" w:cs="Times New Roman"/>
          <w:sz w:val="24"/>
          <w:szCs w:val="24"/>
        </w:rPr>
        <w:t>Parag</w:t>
      </w:r>
      <w:r w:rsidR="0031192B">
        <w:rPr>
          <w:rFonts w:ascii="Times New Roman" w:hAnsi="Times New Roman" w:cs="Times New Roman"/>
          <w:sz w:val="24"/>
          <w:szCs w:val="24"/>
        </w:rPr>
        <w:t>raph 3</w:t>
      </w:r>
      <w:r w:rsidR="00392A63">
        <w:rPr>
          <w:rFonts w:ascii="Times New Roman" w:hAnsi="Times New Roman" w:cs="Times New Roman"/>
          <w:sz w:val="24"/>
          <w:szCs w:val="24"/>
        </w:rPr>
        <w:t>4</w:t>
      </w:r>
      <w:r w:rsidR="0031192B">
        <w:rPr>
          <w:rFonts w:ascii="Times New Roman" w:hAnsi="Times New Roman" w:cs="Times New Roman"/>
          <w:sz w:val="24"/>
          <w:szCs w:val="24"/>
        </w:rPr>
        <w:t xml:space="preserve"> sets out actions a</w:t>
      </w:r>
      <w:r w:rsidR="00FF0BE1">
        <w:rPr>
          <w:rFonts w:ascii="Times New Roman" w:hAnsi="Times New Roman" w:cs="Times New Roman"/>
          <w:sz w:val="24"/>
          <w:szCs w:val="24"/>
        </w:rPr>
        <w:t>n APRA-</w:t>
      </w:r>
      <w:r w:rsidR="0031192B">
        <w:rPr>
          <w:rFonts w:ascii="Times New Roman" w:hAnsi="Times New Roman" w:cs="Times New Roman"/>
          <w:sz w:val="24"/>
          <w:szCs w:val="24"/>
        </w:rPr>
        <w:t xml:space="preserve">regulated entity must take in relation to </w:t>
      </w:r>
      <w:r w:rsidR="00A200A9">
        <w:rPr>
          <w:rFonts w:ascii="Times New Roman" w:hAnsi="Times New Roman" w:cs="Times New Roman"/>
          <w:sz w:val="24"/>
          <w:szCs w:val="24"/>
        </w:rPr>
        <w:t>its critical operations, including</w:t>
      </w:r>
      <w:r w:rsidR="007B5534">
        <w:rPr>
          <w:rFonts w:ascii="Times New Roman" w:hAnsi="Times New Roman" w:cs="Times New Roman"/>
          <w:sz w:val="24"/>
          <w:szCs w:val="24"/>
        </w:rPr>
        <w:t>:</w:t>
      </w:r>
      <w:r w:rsidR="00A200A9">
        <w:rPr>
          <w:rFonts w:ascii="Times New Roman" w:hAnsi="Times New Roman" w:cs="Times New Roman"/>
          <w:sz w:val="24"/>
          <w:szCs w:val="24"/>
        </w:rPr>
        <w:t xml:space="preserve"> maintaining a register of critical operations</w:t>
      </w:r>
      <w:r w:rsidR="007B5534">
        <w:rPr>
          <w:rFonts w:ascii="Times New Roman" w:hAnsi="Times New Roman" w:cs="Times New Roman"/>
          <w:sz w:val="24"/>
          <w:szCs w:val="24"/>
        </w:rPr>
        <w:t>;</w:t>
      </w:r>
      <w:r w:rsidR="00EE02B2">
        <w:rPr>
          <w:rFonts w:ascii="Times New Roman" w:hAnsi="Times New Roman" w:cs="Times New Roman"/>
          <w:sz w:val="24"/>
          <w:szCs w:val="24"/>
        </w:rPr>
        <w:t xml:space="preserve"> </w:t>
      </w:r>
      <w:r w:rsidR="00A012D2">
        <w:rPr>
          <w:rFonts w:ascii="Times New Roman" w:hAnsi="Times New Roman" w:cs="Times New Roman"/>
          <w:sz w:val="24"/>
          <w:szCs w:val="24"/>
        </w:rPr>
        <w:t>taking reasonable steps to minimise the likelihood and impact of disruptions to critical operations</w:t>
      </w:r>
      <w:r w:rsidR="007B5534">
        <w:rPr>
          <w:rFonts w:ascii="Times New Roman" w:hAnsi="Times New Roman" w:cs="Times New Roman"/>
          <w:sz w:val="24"/>
          <w:szCs w:val="24"/>
        </w:rPr>
        <w:t>;</w:t>
      </w:r>
      <w:r w:rsidR="00B972D4">
        <w:rPr>
          <w:rFonts w:ascii="Times New Roman" w:hAnsi="Times New Roman" w:cs="Times New Roman"/>
          <w:sz w:val="24"/>
          <w:szCs w:val="24"/>
        </w:rPr>
        <w:t xml:space="preserve"> </w:t>
      </w:r>
      <w:r w:rsidR="00A200A9">
        <w:rPr>
          <w:rFonts w:ascii="Times New Roman" w:hAnsi="Times New Roman" w:cs="Times New Roman"/>
          <w:sz w:val="24"/>
          <w:szCs w:val="24"/>
        </w:rPr>
        <w:t>maintain</w:t>
      </w:r>
      <w:r w:rsidR="00B972D4">
        <w:rPr>
          <w:rFonts w:ascii="Times New Roman" w:hAnsi="Times New Roman" w:cs="Times New Roman"/>
          <w:sz w:val="24"/>
          <w:szCs w:val="24"/>
        </w:rPr>
        <w:t>ing</w:t>
      </w:r>
      <w:r w:rsidR="00A200A9">
        <w:rPr>
          <w:rFonts w:ascii="Times New Roman" w:hAnsi="Times New Roman" w:cs="Times New Roman"/>
          <w:sz w:val="24"/>
          <w:szCs w:val="24"/>
        </w:rPr>
        <w:t xml:space="preserve"> a business continuity plan</w:t>
      </w:r>
      <w:r w:rsidR="00B972D4">
        <w:rPr>
          <w:rFonts w:ascii="Times New Roman" w:hAnsi="Times New Roman" w:cs="Times New Roman"/>
          <w:sz w:val="24"/>
          <w:szCs w:val="24"/>
        </w:rPr>
        <w:t xml:space="preserve"> that </w:t>
      </w:r>
      <w:r w:rsidR="00E24BE1">
        <w:rPr>
          <w:rFonts w:ascii="Times New Roman" w:hAnsi="Times New Roman" w:cs="Times New Roman"/>
          <w:sz w:val="24"/>
          <w:szCs w:val="24"/>
        </w:rPr>
        <w:t>details how the entity would maintain its critical operations during a disruption</w:t>
      </w:r>
      <w:r w:rsidR="00194FF2">
        <w:rPr>
          <w:rFonts w:ascii="Times New Roman" w:hAnsi="Times New Roman" w:cs="Times New Roman"/>
          <w:sz w:val="24"/>
          <w:szCs w:val="24"/>
        </w:rPr>
        <w:t>;</w:t>
      </w:r>
      <w:r w:rsidR="00980164">
        <w:rPr>
          <w:rFonts w:ascii="Times New Roman" w:hAnsi="Times New Roman" w:cs="Times New Roman"/>
          <w:sz w:val="24"/>
          <w:szCs w:val="24"/>
        </w:rPr>
        <w:t xml:space="preserve"> </w:t>
      </w:r>
      <w:r w:rsidR="00731DCD">
        <w:rPr>
          <w:rFonts w:ascii="Times New Roman" w:hAnsi="Times New Roman" w:cs="Times New Roman"/>
          <w:sz w:val="24"/>
          <w:szCs w:val="24"/>
        </w:rPr>
        <w:t>activat</w:t>
      </w:r>
      <w:r w:rsidR="00194FF2">
        <w:rPr>
          <w:rFonts w:ascii="Times New Roman" w:hAnsi="Times New Roman" w:cs="Times New Roman"/>
          <w:sz w:val="24"/>
          <w:szCs w:val="24"/>
        </w:rPr>
        <w:t>ing</w:t>
      </w:r>
      <w:r w:rsidR="00731DCD">
        <w:rPr>
          <w:rFonts w:ascii="Times New Roman" w:hAnsi="Times New Roman" w:cs="Times New Roman"/>
          <w:sz w:val="24"/>
          <w:szCs w:val="24"/>
        </w:rPr>
        <w:t xml:space="preserve"> its business continuity plan in the event of a disruption</w:t>
      </w:r>
      <w:r w:rsidR="00194FF2">
        <w:rPr>
          <w:rFonts w:ascii="Times New Roman" w:hAnsi="Times New Roman" w:cs="Times New Roman"/>
          <w:sz w:val="24"/>
          <w:szCs w:val="24"/>
        </w:rPr>
        <w:t>;</w:t>
      </w:r>
      <w:r w:rsidR="00731DCD">
        <w:rPr>
          <w:rFonts w:ascii="Times New Roman" w:hAnsi="Times New Roman" w:cs="Times New Roman"/>
          <w:sz w:val="24"/>
          <w:szCs w:val="24"/>
        </w:rPr>
        <w:t xml:space="preserve"> and return</w:t>
      </w:r>
      <w:r w:rsidR="00194FF2">
        <w:rPr>
          <w:rFonts w:ascii="Times New Roman" w:hAnsi="Times New Roman" w:cs="Times New Roman"/>
          <w:sz w:val="24"/>
          <w:szCs w:val="24"/>
        </w:rPr>
        <w:t>ing</w:t>
      </w:r>
      <w:r w:rsidR="00731DCD">
        <w:rPr>
          <w:rFonts w:ascii="Times New Roman" w:hAnsi="Times New Roman" w:cs="Times New Roman"/>
          <w:sz w:val="24"/>
          <w:szCs w:val="24"/>
        </w:rPr>
        <w:t xml:space="preserve"> to normal operations promptly after a disruption</w:t>
      </w:r>
      <w:r w:rsidR="00E24BE1">
        <w:rPr>
          <w:rFonts w:ascii="Times New Roman" w:hAnsi="Times New Roman" w:cs="Times New Roman"/>
          <w:sz w:val="24"/>
          <w:szCs w:val="24"/>
        </w:rPr>
        <w:t>.</w:t>
      </w:r>
    </w:p>
    <w:p w14:paraId="4C50F417" w14:textId="00A07D0B" w:rsidR="00E24BE1" w:rsidRDefault="00E24BE1" w:rsidP="000868B7">
      <w:pPr>
        <w:jc w:val="both"/>
        <w:rPr>
          <w:rFonts w:ascii="Times New Roman" w:hAnsi="Times New Roman" w:cs="Times New Roman"/>
          <w:sz w:val="24"/>
          <w:szCs w:val="24"/>
        </w:rPr>
      </w:pPr>
      <w:r>
        <w:rPr>
          <w:rFonts w:ascii="Times New Roman" w:hAnsi="Times New Roman" w:cs="Times New Roman"/>
          <w:sz w:val="24"/>
          <w:szCs w:val="24"/>
        </w:rPr>
        <w:t>Paragraph 3</w:t>
      </w:r>
      <w:r w:rsidR="00D56E69">
        <w:rPr>
          <w:rFonts w:ascii="Times New Roman" w:hAnsi="Times New Roman" w:cs="Times New Roman"/>
          <w:sz w:val="24"/>
          <w:szCs w:val="24"/>
        </w:rPr>
        <w:t>5</w:t>
      </w:r>
      <w:r>
        <w:rPr>
          <w:rFonts w:ascii="Times New Roman" w:hAnsi="Times New Roman" w:cs="Times New Roman"/>
          <w:sz w:val="24"/>
          <w:szCs w:val="24"/>
        </w:rPr>
        <w:t xml:space="preserve"> </w:t>
      </w:r>
      <w:r w:rsidR="001A7D91">
        <w:rPr>
          <w:rFonts w:ascii="Times New Roman" w:hAnsi="Times New Roman" w:cs="Times New Roman"/>
          <w:sz w:val="24"/>
          <w:szCs w:val="24"/>
        </w:rPr>
        <w:t>defines critical operation</w:t>
      </w:r>
      <w:r w:rsidR="00312B5B">
        <w:rPr>
          <w:rFonts w:ascii="Times New Roman" w:hAnsi="Times New Roman" w:cs="Times New Roman"/>
          <w:sz w:val="24"/>
          <w:szCs w:val="24"/>
        </w:rPr>
        <w:t>s</w:t>
      </w:r>
      <w:r w:rsidR="008B46C4">
        <w:rPr>
          <w:rFonts w:ascii="Times New Roman" w:hAnsi="Times New Roman" w:cs="Times New Roman"/>
          <w:sz w:val="24"/>
          <w:szCs w:val="24"/>
        </w:rPr>
        <w:t xml:space="preserve"> as the processes undertaken by an APRA-regulated entity or its service provider which, if disrupted</w:t>
      </w:r>
      <w:r w:rsidR="009159DC">
        <w:rPr>
          <w:rFonts w:ascii="Times New Roman" w:hAnsi="Times New Roman" w:cs="Times New Roman"/>
          <w:sz w:val="24"/>
          <w:szCs w:val="24"/>
        </w:rPr>
        <w:t xml:space="preserve"> beyond tolerance levels, would have a material </w:t>
      </w:r>
      <w:r w:rsidR="009159DC">
        <w:rPr>
          <w:rFonts w:ascii="Times New Roman" w:hAnsi="Times New Roman" w:cs="Times New Roman"/>
          <w:sz w:val="24"/>
          <w:szCs w:val="24"/>
        </w:rPr>
        <w:lastRenderedPageBreak/>
        <w:t>adverse impact on the entity’s depositors, policyholders, beneficiaries or other customers</w:t>
      </w:r>
      <w:r w:rsidR="008877CC">
        <w:rPr>
          <w:rFonts w:ascii="Times New Roman" w:hAnsi="Times New Roman" w:cs="Times New Roman"/>
          <w:sz w:val="24"/>
          <w:szCs w:val="24"/>
        </w:rPr>
        <w:t>, or the entity’s role in the financial system</w:t>
      </w:r>
      <w:r w:rsidR="001A7D91">
        <w:rPr>
          <w:rFonts w:ascii="Times New Roman" w:hAnsi="Times New Roman" w:cs="Times New Roman"/>
          <w:sz w:val="24"/>
          <w:szCs w:val="24"/>
        </w:rPr>
        <w:t>.</w:t>
      </w:r>
    </w:p>
    <w:p w14:paraId="4F5688AA" w14:textId="6D978253" w:rsidR="00312B5B" w:rsidRDefault="00312B5B" w:rsidP="000868B7">
      <w:pPr>
        <w:jc w:val="both"/>
        <w:rPr>
          <w:rFonts w:ascii="Times New Roman" w:hAnsi="Times New Roman" w:cs="Times New Roman"/>
          <w:sz w:val="24"/>
          <w:szCs w:val="24"/>
        </w:rPr>
      </w:pPr>
      <w:r>
        <w:rPr>
          <w:rFonts w:ascii="Times New Roman" w:hAnsi="Times New Roman" w:cs="Times New Roman"/>
          <w:sz w:val="24"/>
          <w:szCs w:val="24"/>
        </w:rPr>
        <w:t>Paragraph 3</w:t>
      </w:r>
      <w:r w:rsidR="00D56E69">
        <w:rPr>
          <w:rFonts w:ascii="Times New Roman" w:hAnsi="Times New Roman" w:cs="Times New Roman"/>
          <w:sz w:val="24"/>
          <w:szCs w:val="24"/>
        </w:rPr>
        <w:t>6</w:t>
      </w:r>
      <w:r w:rsidR="00086CB1">
        <w:rPr>
          <w:rFonts w:ascii="Times New Roman" w:hAnsi="Times New Roman" w:cs="Times New Roman"/>
          <w:sz w:val="24"/>
          <w:szCs w:val="24"/>
        </w:rPr>
        <w:t xml:space="preserve"> prescribes certain business operations as critical operations for the purposes of CPS 230. This </w:t>
      </w:r>
      <w:r w:rsidR="00D721C3">
        <w:rPr>
          <w:rFonts w:ascii="Times New Roman" w:hAnsi="Times New Roman" w:cs="Times New Roman"/>
          <w:sz w:val="24"/>
          <w:szCs w:val="24"/>
        </w:rPr>
        <w:t xml:space="preserve">paragraph </w:t>
      </w:r>
      <w:r w:rsidR="00086CB1">
        <w:rPr>
          <w:rFonts w:ascii="Times New Roman" w:hAnsi="Times New Roman" w:cs="Times New Roman"/>
          <w:sz w:val="24"/>
          <w:szCs w:val="24"/>
        </w:rPr>
        <w:t xml:space="preserve">allows a regulated entity </w:t>
      </w:r>
      <w:r w:rsidR="0067761C">
        <w:rPr>
          <w:rFonts w:ascii="Times New Roman" w:hAnsi="Times New Roman" w:cs="Times New Roman"/>
          <w:sz w:val="24"/>
          <w:szCs w:val="24"/>
        </w:rPr>
        <w:t xml:space="preserve">to not </w:t>
      </w:r>
      <w:r w:rsidR="0042765E">
        <w:rPr>
          <w:rFonts w:ascii="Times New Roman" w:hAnsi="Times New Roman" w:cs="Times New Roman"/>
          <w:sz w:val="24"/>
          <w:szCs w:val="24"/>
        </w:rPr>
        <w:t xml:space="preserve">classify </w:t>
      </w:r>
      <w:r w:rsidR="0067761C">
        <w:rPr>
          <w:rFonts w:ascii="Times New Roman" w:hAnsi="Times New Roman" w:cs="Times New Roman"/>
          <w:sz w:val="24"/>
          <w:szCs w:val="24"/>
        </w:rPr>
        <w:t>a prescribed business operation as a critical operation provided it can justify its decision to do so.</w:t>
      </w:r>
    </w:p>
    <w:p w14:paraId="00DE8F4D" w14:textId="5D554065" w:rsidR="0067761C" w:rsidRDefault="0067761C" w:rsidP="000868B7">
      <w:pPr>
        <w:jc w:val="both"/>
        <w:rPr>
          <w:rFonts w:ascii="Times New Roman" w:hAnsi="Times New Roman" w:cs="Times New Roman"/>
          <w:sz w:val="24"/>
          <w:szCs w:val="24"/>
        </w:rPr>
      </w:pPr>
      <w:r>
        <w:rPr>
          <w:rFonts w:ascii="Times New Roman" w:hAnsi="Times New Roman" w:cs="Times New Roman"/>
          <w:sz w:val="24"/>
          <w:szCs w:val="24"/>
        </w:rPr>
        <w:t>Paragraph 3</w:t>
      </w:r>
      <w:r w:rsidR="00D56E69">
        <w:rPr>
          <w:rFonts w:ascii="Times New Roman" w:hAnsi="Times New Roman" w:cs="Times New Roman"/>
          <w:sz w:val="24"/>
          <w:szCs w:val="24"/>
        </w:rPr>
        <w:t>7</w:t>
      </w:r>
      <w:r>
        <w:rPr>
          <w:rFonts w:ascii="Times New Roman" w:hAnsi="Times New Roman" w:cs="Times New Roman"/>
          <w:sz w:val="24"/>
          <w:szCs w:val="24"/>
        </w:rPr>
        <w:t xml:space="preserve"> </w:t>
      </w:r>
      <w:r w:rsidR="00724251">
        <w:rPr>
          <w:rFonts w:ascii="Times New Roman" w:hAnsi="Times New Roman" w:cs="Times New Roman"/>
          <w:sz w:val="24"/>
          <w:szCs w:val="24"/>
        </w:rPr>
        <w:t>allows APRA to direct a regulated entity to classify a business operation as a critical operation.</w:t>
      </w:r>
    </w:p>
    <w:p w14:paraId="7A979B55" w14:textId="2A9457CE" w:rsidR="00724251" w:rsidRDefault="006527C2" w:rsidP="000868B7">
      <w:pPr>
        <w:jc w:val="both"/>
        <w:rPr>
          <w:rFonts w:ascii="Times New Roman" w:hAnsi="Times New Roman" w:cs="Times New Roman"/>
          <w:sz w:val="24"/>
          <w:szCs w:val="24"/>
        </w:rPr>
      </w:pPr>
      <w:r>
        <w:rPr>
          <w:rFonts w:ascii="Times New Roman" w:hAnsi="Times New Roman" w:cs="Times New Roman"/>
          <w:sz w:val="24"/>
          <w:szCs w:val="24"/>
        </w:rPr>
        <w:t>Paragraph 3</w:t>
      </w:r>
      <w:r w:rsidR="00D56E69">
        <w:rPr>
          <w:rFonts w:ascii="Times New Roman" w:hAnsi="Times New Roman" w:cs="Times New Roman"/>
          <w:sz w:val="24"/>
          <w:szCs w:val="24"/>
        </w:rPr>
        <w:t>8</w:t>
      </w:r>
      <w:r>
        <w:rPr>
          <w:rFonts w:ascii="Times New Roman" w:hAnsi="Times New Roman" w:cs="Times New Roman"/>
          <w:sz w:val="24"/>
          <w:szCs w:val="24"/>
        </w:rPr>
        <w:t xml:space="preserve"> requires </w:t>
      </w:r>
      <w:r w:rsidR="009D3A05">
        <w:rPr>
          <w:rFonts w:ascii="Times New Roman" w:hAnsi="Times New Roman" w:cs="Times New Roman"/>
          <w:sz w:val="24"/>
          <w:szCs w:val="24"/>
        </w:rPr>
        <w:t>an APRA-regulated entity to set tolerance levels</w:t>
      </w:r>
      <w:r w:rsidR="002B12FA">
        <w:rPr>
          <w:rFonts w:ascii="Times New Roman" w:hAnsi="Times New Roman" w:cs="Times New Roman"/>
          <w:sz w:val="24"/>
          <w:szCs w:val="24"/>
        </w:rPr>
        <w:t xml:space="preserve"> in relation to each critical operation. Tolerance levels </w:t>
      </w:r>
      <w:r w:rsidR="00B67709">
        <w:rPr>
          <w:rFonts w:ascii="Times New Roman" w:hAnsi="Times New Roman" w:cs="Times New Roman"/>
          <w:sz w:val="24"/>
          <w:szCs w:val="24"/>
        </w:rPr>
        <w:t xml:space="preserve">indicate the entity’s appetite for the impact of a disruption on a critical operation in </w:t>
      </w:r>
      <w:r w:rsidR="001A6043">
        <w:rPr>
          <w:rFonts w:ascii="Times New Roman" w:hAnsi="Times New Roman" w:cs="Times New Roman"/>
          <w:sz w:val="24"/>
          <w:szCs w:val="24"/>
        </w:rPr>
        <w:t xml:space="preserve">relation to matters including the period of the disruption, </w:t>
      </w:r>
      <w:r w:rsidR="00B300E1">
        <w:rPr>
          <w:rFonts w:ascii="Times New Roman" w:hAnsi="Times New Roman" w:cs="Times New Roman"/>
          <w:sz w:val="24"/>
          <w:szCs w:val="24"/>
        </w:rPr>
        <w:t>data loss and minimum service levels to be maintained during a disruption.</w:t>
      </w:r>
    </w:p>
    <w:p w14:paraId="57BC5B16" w14:textId="0966AC0C" w:rsidR="00B300E1" w:rsidRDefault="00B300E1" w:rsidP="000868B7">
      <w:pPr>
        <w:jc w:val="both"/>
        <w:rPr>
          <w:rFonts w:ascii="Times New Roman" w:hAnsi="Times New Roman" w:cs="Times New Roman"/>
          <w:sz w:val="24"/>
          <w:szCs w:val="24"/>
        </w:rPr>
      </w:pPr>
      <w:r>
        <w:rPr>
          <w:rFonts w:ascii="Times New Roman" w:hAnsi="Times New Roman" w:cs="Times New Roman"/>
          <w:sz w:val="24"/>
          <w:szCs w:val="24"/>
        </w:rPr>
        <w:t xml:space="preserve">Paragraph </w:t>
      </w:r>
      <w:r w:rsidR="00D56E69">
        <w:rPr>
          <w:rFonts w:ascii="Times New Roman" w:hAnsi="Times New Roman" w:cs="Times New Roman"/>
          <w:sz w:val="24"/>
          <w:szCs w:val="24"/>
        </w:rPr>
        <w:t>39</w:t>
      </w:r>
      <w:r>
        <w:rPr>
          <w:rFonts w:ascii="Times New Roman" w:hAnsi="Times New Roman" w:cs="Times New Roman"/>
          <w:sz w:val="24"/>
          <w:szCs w:val="24"/>
        </w:rPr>
        <w:t xml:space="preserve"> gives APRA di</w:t>
      </w:r>
      <w:r w:rsidR="00D359D9">
        <w:rPr>
          <w:rFonts w:ascii="Times New Roman" w:hAnsi="Times New Roman" w:cs="Times New Roman"/>
          <w:sz w:val="24"/>
          <w:szCs w:val="24"/>
        </w:rPr>
        <w:t xml:space="preserve">scretion to </w:t>
      </w:r>
      <w:r w:rsidR="00B7483C">
        <w:rPr>
          <w:rFonts w:ascii="Times New Roman" w:hAnsi="Times New Roman" w:cs="Times New Roman"/>
          <w:sz w:val="24"/>
          <w:szCs w:val="24"/>
        </w:rPr>
        <w:t xml:space="preserve">direct </w:t>
      </w:r>
      <w:r w:rsidR="00D359D9">
        <w:rPr>
          <w:rFonts w:ascii="Times New Roman" w:hAnsi="Times New Roman" w:cs="Times New Roman"/>
          <w:sz w:val="24"/>
          <w:szCs w:val="24"/>
        </w:rPr>
        <w:t>a</w:t>
      </w:r>
      <w:r w:rsidR="00B7483C">
        <w:rPr>
          <w:rFonts w:ascii="Times New Roman" w:hAnsi="Times New Roman" w:cs="Times New Roman"/>
          <w:sz w:val="24"/>
          <w:szCs w:val="24"/>
        </w:rPr>
        <w:t>n APRA-</w:t>
      </w:r>
      <w:r w:rsidR="00D359D9">
        <w:rPr>
          <w:rFonts w:ascii="Times New Roman" w:hAnsi="Times New Roman" w:cs="Times New Roman"/>
          <w:sz w:val="24"/>
          <w:szCs w:val="24"/>
        </w:rPr>
        <w:t>regulated entity to change its tolerance levels and for APRA to set tolerance levels shou</w:t>
      </w:r>
      <w:r w:rsidR="00C52CD3">
        <w:rPr>
          <w:rFonts w:ascii="Times New Roman" w:hAnsi="Times New Roman" w:cs="Times New Roman"/>
          <w:sz w:val="24"/>
          <w:szCs w:val="24"/>
        </w:rPr>
        <w:t>ld APRA identified heightened risk or material weakness within the APRA-regulated entity.</w:t>
      </w:r>
    </w:p>
    <w:p w14:paraId="2D0C4A2B" w14:textId="42E300EE" w:rsidR="00DE035B" w:rsidRDefault="00DE035B" w:rsidP="000868B7">
      <w:pPr>
        <w:jc w:val="both"/>
        <w:rPr>
          <w:rFonts w:ascii="Times New Roman" w:hAnsi="Times New Roman" w:cs="Times New Roman"/>
          <w:sz w:val="24"/>
          <w:szCs w:val="24"/>
        </w:rPr>
      </w:pPr>
      <w:r>
        <w:rPr>
          <w:rFonts w:ascii="Times New Roman" w:hAnsi="Times New Roman" w:cs="Times New Roman"/>
          <w:sz w:val="24"/>
          <w:szCs w:val="24"/>
        </w:rPr>
        <w:t>Paragraph 4</w:t>
      </w:r>
      <w:r w:rsidR="00D56E69">
        <w:rPr>
          <w:rFonts w:ascii="Times New Roman" w:hAnsi="Times New Roman" w:cs="Times New Roman"/>
          <w:sz w:val="24"/>
          <w:szCs w:val="24"/>
        </w:rPr>
        <w:t>0</w:t>
      </w:r>
      <w:r>
        <w:rPr>
          <w:rFonts w:ascii="Times New Roman" w:hAnsi="Times New Roman" w:cs="Times New Roman"/>
          <w:sz w:val="24"/>
          <w:szCs w:val="24"/>
        </w:rPr>
        <w:t xml:space="preserve"> sets out</w:t>
      </w:r>
      <w:r w:rsidR="003D51FA">
        <w:rPr>
          <w:rFonts w:ascii="Times New Roman" w:hAnsi="Times New Roman" w:cs="Times New Roman"/>
          <w:sz w:val="24"/>
          <w:szCs w:val="24"/>
        </w:rPr>
        <w:t xml:space="preserve"> matters that an APRA-regulated entity must include as part of its business continuity plan.</w:t>
      </w:r>
    </w:p>
    <w:p w14:paraId="00DD4909" w14:textId="4932F5F9" w:rsidR="003D51FA" w:rsidRDefault="00A304F1" w:rsidP="000868B7">
      <w:pPr>
        <w:jc w:val="both"/>
        <w:rPr>
          <w:rFonts w:ascii="Times New Roman" w:hAnsi="Times New Roman" w:cs="Times New Roman"/>
          <w:sz w:val="24"/>
          <w:szCs w:val="24"/>
        </w:rPr>
      </w:pPr>
      <w:r w:rsidRPr="006C000B">
        <w:rPr>
          <w:rFonts w:ascii="Times New Roman" w:hAnsi="Times New Roman" w:cs="Times New Roman"/>
          <w:sz w:val="24"/>
          <w:szCs w:val="24"/>
        </w:rPr>
        <w:t>Paragraph 4</w:t>
      </w:r>
      <w:r w:rsidR="00D56E69" w:rsidRPr="006C000B">
        <w:rPr>
          <w:rFonts w:ascii="Times New Roman" w:hAnsi="Times New Roman" w:cs="Times New Roman"/>
          <w:sz w:val="24"/>
          <w:szCs w:val="24"/>
        </w:rPr>
        <w:t>1</w:t>
      </w:r>
      <w:r w:rsidR="00AC6535" w:rsidRPr="006C000B">
        <w:rPr>
          <w:rFonts w:ascii="Times New Roman" w:hAnsi="Times New Roman" w:cs="Times New Roman"/>
          <w:sz w:val="24"/>
          <w:szCs w:val="24"/>
        </w:rPr>
        <w:t xml:space="preserve"> requires an APRA-regulated entity to maintain the capabilities to be able to execute its business continuity plan. This includes</w:t>
      </w:r>
      <w:r w:rsidR="00FE56FA" w:rsidRPr="006C000B">
        <w:rPr>
          <w:rFonts w:ascii="Times New Roman" w:hAnsi="Times New Roman" w:cs="Times New Roman"/>
          <w:sz w:val="24"/>
          <w:szCs w:val="24"/>
        </w:rPr>
        <w:t xml:space="preserve"> necessary people, </w:t>
      </w:r>
      <w:proofErr w:type="gramStart"/>
      <w:r w:rsidR="00FE56FA" w:rsidRPr="006C000B">
        <w:rPr>
          <w:rFonts w:ascii="Times New Roman" w:hAnsi="Times New Roman" w:cs="Times New Roman"/>
          <w:sz w:val="24"/>
          <w:szCs w:val="24"/>
        </w:rPr>
        <w:t>resources</w:t>
      </w:r>
      <w:proofErr w:type="gramEnd"/>
      <w:r w:rsidR="00FE56FA" w:rsidRPr="006C000B">
        <w:rPr>
          <w:rFonts w:ascii="Times New Roman" w:hAnsi="Times New Roman" w:cs="Times New Roman"/>
          <w:sz w:val="24"/>
          <w:szCs w:val="24"/>
        </w:rPr>
        <w:t xml:space="preserve"> and technology. This provision also requires the regulated entity to monitor compliance with </w:t>
      </w:r>
      <w:r w:rsidR="006B36B4" w:rsidRPr="006C000B">
        <w:rPr>
          <w:rFonts w:ascii="Times New Roman" w:hAnsi="Times New Roman" w:cs="Times New Roman"/>
          <w:sz w:val="24"/>
          <w:szCs w:val="24"/>
        </w:rPr>
        <w:t xml:space="preserve">tolerance levels for critical operations and to </w:t>
      </w:r>
      <w:r w:rsidR="00BD07B5" w:rsidRPr="006C000B">
        <w:rPr>
          <w:rFonts w:ascii="Times New Roman" w:hAnsi="Times New Roman" w:cs="Times New Roman"/>
          <w:sz w:val="24"/>
          <w:szCs w:val="24"/>
        </w:rPr>
        <w:t>notify</w:t>
      </w:r>
      <w:r w:rsidR="006B36B4" w:rsidRPr="006C000B">
        <w:rPr>
          <w:rFonts w:ascii="Times New Roman" w:hAnsi="Times New Roman" w:cs="Times New Roman"/>
          <w:sz w:val="24"/>
          <w:szCs w:val="24"/>
        </w:rPr>
        <w:t xml:space="preserve"> any failure to meet tolerance levels to the Board, along with a </w:t>
      </w:r>
      <w:r w:rsidR="00BD07B5" w:rsidRPr="006C000B">
        <w:rPr>
          <w:rFonts w:ascii="Times New Roman" w:hAnsi="Times New Roman" w:cs="Times New Roman"/>
          <w:sz w:val="24"/>
          <w:szCs w:val="24"/>
        </w:rPr>
        <w:t>remediation</w:t>
      </w:r>
      <w:r w:rsidR="006B36B4" w:rsidRPr="006C000B">
        <w:rPr>
          <w:rFonts w:ascii="Times New Roman" w:hAnsi="Times New Roman" w:cs="Times New Roman"/>
          <w:sz w:val="24"/>
          <w:szCs w:val="24"/>
        </w:rPr>
        <w:t xml:space="preserve"> plan.</w:t>
      </w:r>
    </w:p>
    <w:p w14:paraId="1D9AA4C6" w14:textId="576A6D06" w:rsidR="006B36B4" w:rsidRDefault="00BD07B5" w:rsidP="000868B7">
      <w:pPr>
        <w:jc w:val="both"/>
        <w:rPr>
          <w:rFonts w:ascii="Times New Roman" w:hAnsi="Times New Roman" w:cs="Times New Roman"/>
          <w:sz w:val="24"/>
          <w:szCs w:val="24"/>
        </w:rPr>
      </w:pPr>
      <w:r>
        <w:rPr>
          <w:rFonts w:ascii="Times New Roman" w:hAnsi="Times New Roman" w:cs="Times New Roman"/>
          <w:sz w:val="24"/>
          <w:szCs w:val="24"/>
        </w:rPr>
        <w:t>Paragraph</w:t>
      </w:r>
      <w:r w:rsidR="006B36B4">
        <w:rPr>
          <w:rFonts w:ascii="Times New Roman" w:hAnsi="Times New Roman" w:cs="Times New Roman"/>
          <w:sz w:val="24"/>
          <w:szCs w:val="24"/>
        </w:rPr>
        <w:t xml:space="preserve"> 4</w:t>
      </w:r>
      <w:r w:rsidR="00D56E69">
        <w:rPr>
          <w:rFonts w:ascii="Times New Roman" w:hAnsi="Times New Roman" w:cs="Times New Roman"/>
          <w:sz w:val="24"/>
          <w:szCs w:val="24"/>
        </w:rPr>
        <w:t>2</w:t>
      </w:r>
      <w:r w:rsidR="006B36B4">
        <w:rPr>
          <w:rFonts w:ascii="Times New Roman" w:hAnsi="Times New Roman" w:cs="Times New Roman"/>
          <w:sz w:val="24"/>
          <w:szCs w:val="24"/>
        </w:rPr>
        <w:t xml:space="preserve"> is a notification requirement. </w:t>
      </w:r>
      <w:r w:rsidR="00893C55">
        <w:rPr>
          <w:rFonts w:ascii="Times New Roman" w:hAnsi="Times New Roman" w:cs="Times New Roman"/>
          <w:sz w:val="24"/>
          <w:szCs w:val="24"/>
        </w:rPr>
        <w:t xml:space="preserve">An APRA-regulated entity must notify APRA as soon as possible, and not more than 24 hours, after it </w:t>
      </w:r>
      <w:r w:rsidR="0009497B">
        <w:rPr>
          <w:rFonts w:ascii="Times New Roman" w:hAnsi="Times New Roman" w:cs="Times New Roman"/>
          <w:sz w:val="24"/>
          <w:szCs w:val="24"/>
        </w:rPr>
        <w:t xml:space="preserve">experiences </w:t>
      </w:r>
      <w:r w:rsidR="00F46EFC">
        <w:rPr>
          <w:rFonts w:ascii="Times New Roman" w:hAnsi="Times New Roman" w:cs="Times New Roman"/>
          <w:sz w:val="24"/>
          <w:szCs w:val="24"/>
        </w:rPr>
        <w:t xml:space="preserve">a disruption to a critical operation outside </w:t>
      </w:r>
      <w:r w:rsidR="00AE340D">
        <w:rPr>
          <w:rFonts w:ascii="Times New Roman" w:hAnsi="Times New Roman" w:cs="Times New Roman"/>
          <w:sz w:val="24"/>
          <w:szCs w:val="24"/>
        </w:rPr>
        <w:t>tolerance levels.</w:t>
      </w:r>
    </w:p>
    <w:p w14:paraId="43E3E313" w14:textId="28E56635" w:rsidR="00AE340D" w:rsidRDefault="007B04BB" w:rsidP="000868B7">
      <w:pPr>
        <w:jc w:val="both"/>
        <w:rPr>
          <w:rFonts w:ascii="Times New Roman" w:hAnsi="Times New Roman" w:cs="Times New Roman"/>
          <w:sz w:val="24"/>
          <w:szCs w:val="24"/>
        </w:rPr>
      </w:pPr>
      <w:r>
        <w:rPr>
          <w:rFonts w:ascii="Times New Roman" w:hAnsi="Times New Roman" w:cs="Times New Roman"/>
          <w:sz w:val="24"/>
          <w:szCs w:val="24"/>
        </w:rPr>
        <w:t>Paragraph 4</w:t>
      </w:r>
      <w:r w:rsidR="00D0009B">
        <w:rPr>
          <w:rFonts w:ascii="Times New Roman" w:hAnsi="Times New Roman" w:cs="Times New Roman"/>
          <w:sz w:val="24"/>
          <w:szCs w:val="24"/>
        </w:rPr>
        <w:t>3</w:t>
      </w:r>
      <w:r w:rsidR="009B7B89">
        <w:rPr>
          <w:rFonts w:ascii="Times New Roman" w:hAnsi="Times New Roman" w:cs="Times New Roman"/>
          <w:sz w:val="24"/>
          <w:szCs w:val="24"/>
        </w:rPr>
        <w:t xml:space="preserve"> requires an APRA-regulated entity to maintain </w:t>
      </w:r>
      <w:r w:rsidR="00C413A3">
        <w:rPr>
          <w:rFonts w:ascii="Times New Roman" w:hAnsi="Times New Roman" w:cs="Times New Roman"/>
          <w:sz w:val="24"/>
          <w:szCs w:val="24"/>
        </w:rPr>
        <w:t xml:space="preserve">a </w:t>
      </w:r>
      <w:r w:rsidR="00B54462">
        <w:rPr>
          <w:rFonts w:ascii="Times New Roman" w:hAnsi="Times New Roman" w:cs="Times New Roman"/>
          <w:sz w:val="24"/>
          <w:szCs w:val="24"/>
        </w:rPr>
        <w:t>systematic testing program for its business continuity plan</w:t>
      </w:r>
      <w:r w:rsidR="00A14116">
        <w:rPr>
          <w:rFonts w:ascii="Times New Roman" w:hAnsi="Times New Roman" w:cs="Times New Roman"/>
          <w:sz w:val="24"/>
          <w:szCs w:val="24"/>
        </w:rPr>
        <w:t>, including the need to test the effectiveness</w:t>
      </w:r>
      <w:r w:rsidR="00872F49">
        <w:rPr>
          <w:rFonts w:ascii="Times New Roman" w:hAnsi="Times New Roman" w:cs="Times New Roman"/>
          <w:sz w:val="24"/>
          <w:szCs w:val="24"/>
        </w:rPr>
        <w:t xml:space="preserve"> of the entity’s business continuity plan</w:t>
      </w:r>
      <w:r w:rsidR="00513D45">
        <w:rPr>
          <w:rFonts w:ascii="Times New Roman" w:hAnsi="Times New Roman" w:cs="Times New Roman"/>
          <w:sz w:val="24"/>
          <w:szCs w:val="24"/>
        </w:rPr>
        <w:t xml:space="preserve"> and the entity’s ability to </w:t>
      </w:r>
      <w:r w:rsidR="007D5855">
        <w:rPr>
          <w:rFonts w:ascii="Times New Roman" w:hAnsi="Times New Roman" w:cs="Times New Roman"/>
          <w:sz w:val="24"/>
          <w:szCs w:val="24"/>
        </w:rPr>
        <w:t>meet tolerance levels under a range of scenarios.</w:t>
      </w:r>
    </w:p>
    <w:p w14:paraId="3427A7BD" w14:textId="5F2B0E63" w:rsidR="007D5855" w:rsidRDefault="007D5855" w:rsidP="000868B7">
      <w:pPr>
        <w:jc w:val="both"/>
        <w:rPr>
          <w:rFonts w:ascii="Times New Roman" w:hAnsi="Times New Roman" w:cs="Times New Roman"/>
          <w:sz w:val="24"/>
          <w:szCs w:val="24"/>
        </w:rPr>
      </w:pPr>
      <w:r>
        <w:rPr>
          <w:rFonts w:ascii="Times New Roman" w:hAnsi="Times New Roman" w:cs="Times New Roman"/>
          <w:sz w:val="24"/>
          <w:szCs w:val="24"/>
        </w:rPr>
        <w:t>Paragraph 4</w:t>
      </w:r>
      <w:r w:rsidR="00D0009B">
        <w:rPr>
          <w:rFonts w:ascii="Times New Roman" w:hAnsi="Times New Roman" w:cs="Times New Roman"/>
          <w:sz w:val="24"/>
          <w:szCs w:val="24"/>
        </w:rPr>
        <w:t>4</w:t>
      </w:r>
      <w:r w:rsidR="00A2191D">
        <w:rPr>
          <w:rFonts w:ascii="Times New Roman" w:hAnsi="Times New Roman" w:cs="Times New Roman"/>
          <w:sz w:val="24"/>
          <w:szCs w:val="24"/>
        </w:rPr>
        <w:t xml:space="preserve"> </w:t>
      </w:r>
      <w:r w:rsidR="00E611D8">
        <w:rPr>
          <w:rFonts w:ascii="Times New Roman" w:hAnsi="Times New Roman" w:cs="Times New Roman"/>
          <w:sz w:val="24"/>
          <w:szCs w:val="24"/>
        </w:rPr>
        <w:t xml:space="preserve">requires the </w:t>
      </w:r>
      <w:r w:rsidR="00517A7B">
        <w:rPr>
          <w:rFonts w:ascii="Times New Roman" w:hAnsi="Times New Roman" w:cs="Times New Roman"/>
          <w:sz w:val="24"/>
          <w:szCs w:val="24"/>
        </w:rPr>
        <w:t xml:space="preserve">systematic </w:t>
      </w:r>
      <w:r w:rsidR="00E611D8">
        <w:rPr>
          <w:rFonts w:ascii="Times New Roman" w:hAnsi="Times New Roman" w:cs="Times New Roman"/>
          <w:sz w:val="24"/>
          <w:szCs w:val="24"/>
        </w:rPr>
        <w:t xml:space="preserve">testing program </w:t>
      </w:r>
      <w:r w:rsidR="00A96571">
        <w:rPr>
          <w:rFonts w:ascii="Times New Roman" w:hAnsi="Times New Roman" w:cs="Times New Roman"/>
          <w:sz w:val="24"/>
          <w:szCs w:val="24"/>
        </w:rPr>
        <w:t xml:space="preserve">to be tailored </w:t>
      </w:r>
      <w:r w:rsidR="00696951">
        <w:rPr>
          <w:rFonts w:ascii="Times New Roman" w:hAnsi="Times New Roman" w:cs="Times New Roman"/>
          <w:sz w:val="24"/>
          <w:szCs w:val="24"/>
        </w:rPr>
        <w:t>to the material risks of the regulated entity and include</w:t>
      </w:r>
      <w:r w:rsidR="00F87CB6">
        <w:rPr>
          <w:rFonts w:ascii="Times New Roman" w:hAnsi="Times New Roman" w:cs="Times New Roman"/>
          <w:sz w:val="24"/>
          <w:szCs w:val="24"/>
        </w:rPr>
        <w:t xml:space="preserve"> a range of severe but plausible scenarios, including disruptions to services</w:t>
      </w:r>
      <w:r w:rsidR="00604FE1">
        <w:rPr>
          <w:rFonts w:ascii="Times New Roman" w:hAnsi="Times New Roman" w:cs="Times New Roman"/>
          <w:sz w:val="24"/>
          <w:szCs w:val="24"/>
        </w:rPr>
        <w:t xml:space="preserve"> provided by material service providers as well as scenarios with contingen</w:t>
      </w:r>
      <w:r w:rsidR="00150A83">
        <w:rPr>
          <w:rFonts w:ascii="Times New Roman" w:hAnsi="Times New Roman" w:cs="Times New Roman"/>
          <w:sz w:val="24"/>
          <w:szCs w:val="24"/>
        </w:rPr>
        <w:t xml:space="preserve">cy arrangements. This </w:t>
      </w:r>
      <w:r w:rsidR="00517A7B">
        <w:rPr>
          <w:rFonts w:ascii="Times New Roman" w:hAnsi="Times New Roman" w:cs="Times New Roman"/>
          <w:sz w:val="24"/>
          <w:szCs w:val="24"/>
        </w:rPr>
        <w:t xml:space="preserve">paragraph </w:t>
      </w:r>
      <w:r w:rsidR="00150A83">
        <w:rPr>
          <w:rFonts w:ascii="Times New Roman" w:hAnsi="Times New Roman" w:cs="Times New Roman"/>
          <w:sz w:val="24"/>
          <w:szCs w:val="24"/>
        </w:rPr>
        <w:t xml:space="preserve">allows APRA to require inclusion of </w:t>
      </w:r>
      <w:r w:rsidR="00064ED4">
        <w:rPr>
          <w:rFonts w:ascii="Times New Roman" w:hAnsi="Times New Roman" w:cs="Times New Roman"/>
          <w:sz w:val="24"/>
          <w:szCs w:val="24"/>
        </w:rPr>
        <w:t>an APRA-determined scenario</w:t>
      </w:r>
      <w:r w:rsidR="00A70DB1">
        <w:rPr>
          <w:rFonts w:ascii="Times New Roman" w:hAnsi="Times New Roman" w:cs="Times New Roman"/>
          <w:sz w:val="24"/>
          <w:szCs w:val="24"/>
        </w:rPr>
        <w:t xml:space="preserve"> as part of the entity’s business continuity exercise</w:t>
      </w:r>
      <w:r w:rsidR="00064ED4">
        <w:rPr>
          <w:rFonts w:ascii="Times New Roman" w:hAnsi="Times New Roman" w:cs="Times New Roman"/>
          <w:sz w:val="24"/>
          <w:szCs w:val="24"/>
        </w:rPr>
        <w:t>.</w:t>
      </w:r>
    </w:p>
    <w:p w14:paraId="5B72D341" w14:textId="423E7DC9" w:rsidR="00064ED4" w:rsidRDefault="00064ED4" w:rsidP="000868B7">
      <w:pPr>
        <w:jc w:val="both"/>
        <w:rPr>
          <w:rFonts w:ascii="Times New Roman" w:hAnsi="Times New Roman" w:cs="Times New Roman"/>
          <w:sz w:val="24"/>
          <w:szCs w:val="24"/>
        </w:rPr>
      </w:pPr>
      <w:r>
        <w:rPr>
          <w:rFonts w:ascii="Times New Roman" w:hAnsi="Times New Roman" w:cs="Times New Roman"/>
          <w:sz w:val="24"/>
          <w:szCs w:val="24"/>
        </w:rPr>
        <w:t>Paragraph 4</w:t>
      </w:r>
      <w:r w:rsidR="00D0009B">
        <w:rPr>
          <w:rFonts w:ascii="Times New Roman" w:hAnsi="Times New Roman" w:cs="Times New Roman"/>
          <w:sz w:val="24"/>
          <w:szCs w:val="24"/>
        </w:rPr>
        <w:t>5</w:t>
      </w:r>
      <w:r>
        <w:rPr>
          <w:rFonts w:ascii="Times New Roman" w:hAnsi="Times New Roman" w:cs="Times New Roman"/>
          <w:sz w:val="24"/>
          <w:szCs w:val="24"/>
        </w:rPr>
        <w:t xml:space="preserve"> requires </w:t>
      </w:r>
      <w:r w:rsidR="00424780">
        <w:rPr>
          <w:rFonts w:ascii="Times New Roman" w:hAnsi="Times New Roman" w:cs="Times New Roman"/>
          <w:sz w:val="24"/>
          <w:szCs w:val="24"/>
        </w:rPr>
        <w:t>the business continuity plan to be reviewed and updated at least annually</w:t>
      </w:r>
      <w:r w:rsidR="00C80CD7">
        <w:rPr>
          <w:rFonts w:ascii="Times New Roman" w:hAnsi="Times New Roman" w:cs="Times New Roman"/>
          <w:sz w:val="24"/>
          <w:szCs w:val="24"/>
        </w:rPr>
        <w:t xml:space="preserve"> </w:t>
      </w:r>
      <w:r w:rsidR="00B30A6B">
        <w:rPr>
          <w:rFonts w:ascii="Times New Roman" w:hAnsi="Times New Roman" w:cs="Times New Roman"/>
          <w:sz w:val="24"/>
          <w:szCs w:val="24"/>
        </w:rPr>
        <w:t xml:space="preserve">to reflect specified changes within the </w:t>
      </w:r>
      <w:r w:rsidR="0079200A">
        <w:rPr>
          <w:rFonts w:ascii="Times New Roman" w:hAnsi="Times New Roman" w:cs="Times New Roman"/>
          <w:sz w:val="24"/>
          <w:szCs w:val="24"/>
        </w:rPr>
        <w:t>APRA-</w:t>
      </w:r>
      <w:r w:rsidR="00B30A6B">
        <w:rPr>
          <w:rFonts w:ascii="Times New Roman" w:hAnsi="Times New Roman" w:cs="Times New Roman"/>
          <w:sz w:val="24"/>
          <w:szCs w:val="24"/>
        </w:rPr>
        <w:t>regulated entity.</w:t>
      </w:r>
    </w:p>
    <w:p w14:paraId="534EB98F" w14:textId="5430EAB1" w:rsidR="00966695" w:rsidRDefault="00B30A6B" w:rsidP="000868B7">
      <w:pPr>
        <w:jc w:val="both"/>
        <w:rPr>
          <w:rFonts w:ascii="Times New Roman" w:hAnsi="Times New Roman" w:cs="Times New Roman"/>
          <w:sz w:val="24"/>
          <w:szCs w:val="24"/>
        </w:rPr>
      </w:pPr>
      <w:r>
        <w:rPr>
          <w:rFonts w:ascii="Times New Roman" w:hAnsi="Times New Roman" w:cs="Times New Roman"/>
          <w:sz w:val="24"/>
          <w:szCs w:val="24"/>
        </w:rPr>
        <w:t>Paragraph 4</w:t>
      </w:r>
      <w:r w:rsidR="00D0009B">
        <w:rPr>
          <w:rFonts w:ascii="Times New Roman" w:hAnsi="Times New Roman" w:cs="Times New Roman"/>
          <w:sz w:val="24"/>
          <w:szCs w:val="24"/>
        </w:rPr>
        <w:t>6</w:t>
      </w:r>
      <w:r>
        <w:rPr>
          <w:rFonts w:ascii="Times New Roman" w:hAnsi="Times New Roman" w:cs="Times New Roman"/>
          <w:sz w:val="24"/>
          <w:szCs w:val="24"/>
        </w:rPr>
        <w:t xml:space="preserve"> requires the internal aud</w:t>
      </w:r>
      <w:r w:rsidR="00966695">
        <w:rPr>
          <w:rFonts w:ascii="Times New Roman" w:hAnsi="Times New Roman" w:cs="Times New Roman"/>
          <w:sz w:val="24"/>
          <w:szCs w:val="24"/>
        </w:rPr>
        <w:t xml:space="preserve">it function </w:t>
      </w:r>
      <w:r w:rsidR="007074C9">
        <w:rPr>
          <w:rFonts w:ascii="Times New Roman" w:hAnsi="Times New Roman" w:cs="Times New Roman"/>
          <w:sz w:val="24"/>
          <w:szCs w:val="24"/>
        </w:rPr>
        <w:t xml:space="preserve">of an APRA-regular entity </w:t>
      </w:r>
      <w:r w:rsidR="00966695">
        <w:rPr>
          <w:rFonts w:ascii="Times New Roman" w:hAnsi="Times New Roman" w:cs="Times New Roman"/>
          <w:sz w:val="24"/>
          <w:szCs w:val="24"/>
        </w:rPr>
        <w:t xml:space="preserve">to periodically review the business continuity plan, including providing assurance on certain matters to </w:t>
      </w:r>
      <w:r w:rsidR="007074C9">
        <w:rPr>
          <w:rFonts w:ascii="Times New Roman" w:hAnsi="Times New Roman" w:cs="Times New Roman"/>
          <w:sz w:val="24"/>
          <w:szCs w:val="24"/>
        </w:rPr>
        <w:t xml:space="preserve">its </w:t>
      </w:r>
      <w:r w:rsidR="00966695">
        <w:rPr>
          <w:rFonts w:ascii="Times New Roman" w:hAnsi="Times New Roman" w:cs="Times New Roman"/>
          <w:sz w:val="24"/>
          <w:szCs w:val="24"/>
        </w:rPr>
        <w:t>Board.</w:t>
      </w:r>
    </w:p>
    <w:p w14:paraId="7D12B8B6" w14:textId="32F49D9A" w:rsidR="00966695" w:rsidRPr="00966695" w:rsidRDefault="00966695" w:rsidP="000868B7">
      <w:pPr>
        <w:jc w:val="both"/>
        <w:rPr>
          <w:rFonts w:ascii="Times New Roman" w:hAnsi="Times New Roman" w:cs="Times New Roman"/>
          <w:i/>
          <w:sz w:val="24"/>
          <w:szCs w:val="24"/>
        </w:rPr>
      </w:pPr>
      <w:r w:rsidRPr="00966695">
        <w:rPr>
          <w:rFonts w:ascii="Times New Roman" w:hAnsi="Times New Roman" w:cs="Times New Roman"/>
          <w:i/>
          <w:sz w:val="24"/>
          <w:szCs w:val="24"/>
        </w:rPr>
        <w:lastRenderedPageBreak/>
        <w:t>Management of service provider arrangements</w:t>
      </w:r>
      <w:r w:rsidR="008B29BF">
        <w:rPr>
          <w:rFonts w:ascii="Times New Roman" w:hAnsi="Times New Roman" w:cs="Times New Roman"/>
          <w:i/>
          <w:sz w:val="24"/>
          <w:szCs w:val="24"/>
        </w:rPr>
        <w:t xml:space="preserve"> (paragraphs 4</w:t>
      </w:r>
      <w:r w:rsidR="009D4E64">
        <w:rPr>
          <w:rFonts w:ascii="Times New Roman" w:hAnsi="Times New Roman" w:cs="Times New Roman"/>
          <w:i/>
          <w:sz w:val="24"/>
          <w:szCs w:val="24"/>
        </w:rPr>
        <w:t>7</w:t>
      </w:r>
      <w:r w:rsidR="008B29BF">
        <w:rPr>
          <w:rFonts w:ascii="Times New Roman" w:hAnsi="Times New Roman" w:cs="Times New Roman"/>
          <w:i/>
          <w:sz w:val="24"/>
          <w:szCs w:val="24"/>
        </w:rPr>
        <w:t>-</w:t>
      </w:r>
      <w:r w:rsidR="00C26E5E">
        <w:rPr>
          <w:rFonts w:ascii="Times New Roman" w:hAnsi="Times New Roman" w:cs="Times New Roman"/>
          <w:i/>
          <w:sz w:val="24"/>
          <w:szCs w:val="24"/>
        </w:rPr>
        <w:t>6</w:t>
      </w:r>
      <w:r w:rsidR="00147CE5">
        <w:rPr>
          <w:rFonts w:ascii="Times New Roman" w:hAnsi="Times New Roman" w:cs="Times New Roman"/>
          <w:i/>
          <w:sz w:val="24"/>
          <w:szCs w:val="24"/>
        </w:rPr>
        <w:t>1</w:t>
      </w:r>
      <w:r w:rsidR="00C26E5E">
        <w:rPr>
          <w:rFonts w:ascii="Times New Roman" w:hAnsi="Times New Roman" w:cs="Times New Roman"/>
          <w:i/>
          <w:sz w:val="24"/>
          <w:szCs w:val="24"/>
        </w:rPr>
        <w:t>)</w:t>
      </w:r>
    </w:p>
    <w:p w14:paraId="040010AA" w14:textId="307A8200" w:rsidR="00312B5B" w:rsidRDefault="00F07582" w:rsidP="000868B7">
      <w:pPr>
        <w:jc w:val="both"/>
        <w:rPr>
          <w:rFonts w:ascii="Times New Roman" w:hAnsi="Times New Roman" w:cs="Times New Roman"/>
          <w:sz w:val="24"/>
          <w:szCs w:val="24"/>
        </w:rPr>
      </w:pPr>
      <w:r>
        <w:rPr>
          <w:rFonts w:ascii="Times New Roman" w:hAnsi="Times New Roman" w:cs="Times New Roman"/>
          <w:sz w:val="24"/>
          <w:szCs w:val="24"/>
        </w:rPr>
        <w:t>Paragraph 4</w:t>
      </w:r>
      <w:r w:rsidR="00D0009B">
        <w:rPr>
          <w:rFonts w:ascii="Times New Roman" w:hAnsi="Times New Roman" w:cs="Times New Roman"/>
          <w:sz w:val="24"/>
          <w:szCs w:val="24"/>
        </w:rPr>
        <w:t>7</w:t>
      </w:r>
      <w:r>
        <w:rPr>
          <w:rFonts w:ascii="Times New Roman" w:hAnsi="Times New Roman" w:cs="Times New Roman"/>
          <w:sz w:val="24"/>
          <w:szCs w:val="24"/>
        </w:rPr>
        <w:t xml:space="preserve"> requires an APRA-regulated entity to mai</w:t>
      </w:r>
      <w:r w:rsidR="00404B5F">
        <w:rPr>
          <w:rFonts w:ascii="Times New Roman" w:hAnsi="Times New Roman" w:cs="Times New Roman"/>
          <w:sz w:val="24"/>
          <w:szCs w:val="24"/>
        </w:rPr>
        <w:t>ntain a service provider management policy that includes details o</w:t>
      </w:r>
      <w:r w:rsidR="00FF6C5F">
        <w:rPr>
          <w:rFonts w:ascii="Times New Roman" w:hAnsi="Times New Roman" w:cs="Times New Roman"/>
          <w:sz w:val="24"/>
          <w:szCs w:val="24"/>
        </w:rPr>
        <w:t>f</w:t>
      </w:r>
      <w:r w:rsidR="00404B5F">
        <w:rPr>
          <w:rFonts w:ascii="Times New Roman" w:hAnsi="Times New Roman" w:cs="Times New Roman"/>
          <w:sz w:val="24"/>
          <w:szCs w:val="24"/>
        </w:rPr>
        <w:t xml:space="preserve"> how the entity will identify its material service providers, how it will manage </w:t>
      </w:r>
      <w:r w:rsidR="000D0B87">
        <w:rPr>
          <w:rFonts w:ascii="Times New Roman" w:hAnsi="Times New Roman" w:cs="Times New Roman"/>
          <w:sz w:val="24"/>
          <w:szCs w:val="24"/>
        </w:rPr>
        <w:t>material servic</w:t>
      </w:r>
      <w:r w:rsidR="00EA0D55">
        <w:rPr>
          <w:rFonts w:ascii="Times New Roman" w:hAnsi="Times New Roman" w:cs="Times New Roman"/>
          <w:sz w:val="24"/>
          <w:szCs w:val="24"/>
        </w:rPr>
        <w:t xml:space="preserve">e provider arrangements and the material risks associated with </w:t>
      </w:r>
      <w:r w:rsidR="00AB488F">
        <w:rPr>
          <w:rFonts w:ascii="Times New Roman" w:hAnsi="Times New Roman" w:cs="Times New Roman"/>
          <w:sz w:val="24"/>
          <w:szCs w:val="24"/>
        </w:rPr>
        <w:t>the arrangements.</w:t>
      </w:r>
    </w:p>
    <w:p w14:paraId="35DBD723" w14:textId="2045142C" w:rsidR="00AB488F" w:rsidRDefault="00AB488F" w:rsidP="000868B7">
      <w:pPr>
        <w:jc w:val="both"/>
        <w:rPr>
          <w:rFonts w:ascii="Times New Roman" w:hAnsi="Times New Roman" w:cs="Times New Roman"/>
          <w:sz w:val="24"/>
          <w:szCs w:val="24"/>
        </w:rPr>
      </w:pPr>
      <w:r>
        <w:rPr>
          <w:rFonts w:ascii="Times New Roman" w:hAnsi="Times New Roman" w:cs="Times New Roman"/>
          <w:sz w:val="24"/>
          <w:szCs w:val="24"/>
        </w:rPr>
        <w:t>Paragraph 4</w:t>
      </w:r>
      <w:r w:rsidR="00D0009B">
        <w:rPr>
          <w:rFonts w:ascii="Times New Roman" w:hAnsi="Times New Roman" w:cs="Times New Roman"/>
          <w:sz w:val="24"/>
          <w:szCs w:val="24"/>
        </w:rPr>
        <w:t>8</w:t>
      </w:r>
      <w:r>
        <w:rPr>
          <w:rFonts w:ascii="Times New Roman" w:hAnsi="Times New Roman" w:cs="Times New Roman"/>
          <w:sz w:val="24"/>
          <w:szCs w:val="24"/>
        </w:rPr>
        <w:t xml:space="preserve"> details matters that a</w:t>
      </w:r>
      <w:r w:rsidR="00F17D8A">
        <w:rPr>
          <w:rFonts w:ascii="Times New Roman" w:hAnsi="Times New Roman" w:cs="Times New Roman"/>
          <w:sz w:val="24"/>
          <w:szCs w:val="24"/>
        </w:rPr>
        <w:t xml:space="preserve">n APRA-regulated entity </w:t>
      </w:r>
      <w:r w:rsidR="00BD07B5">
        <w:rPr>
          <w:rFonts w:ascii="Times New Roman" w:hAnsi="Times New Roman" w:cs="Times New Roman"/>
          <w:sz w:val="24"/>
          <w:szCs w:val="24"/>
        </w:rPr>
        <w:t>must</w:t>
      </w:r>
      <w:r w:rsidR="00F17D8A">
        <w:rPr>
          <w:rFonts w:ascii="Times New Roman" w:hAnsi="Times New Roman" w:cs="Times New Roman"/>
          <w:sz w:val="24"/>
          <w:szCs w:val="24"/>
        </w:rPr>
        <w:t xml:space="preserve"> include as part of its service provider management policy.</w:t>
      </w:r>
    </w:p>
    <w:p w14:paraId="5D76B735" w14:textId="1523990E" w:rsidR="00F17D8A" w:rsidRDefault="005823ED" w:rsidP="000868B7">
      <w:pPr>
        <w:jc w:val="both"/>
        <w:rPr>
          <w:rFonts w:ascii="Times New Roman" w:hAnsi="Times New Roman" w:cs="Times New Roman"/>
          <w:sz w:val="24"/>
          <w:szCs w:val="24"/>
        </w:rPr>
      </w:pPr>
      <w:r>
        <w:rPr>
          <w:rFonts w:ascii="Times New Roman" w:hAnsi="Times New Roman" w:cs="Times New Roman"/>
          <w:sz w:val="24"/>
          <w:szCs w:val="24"/>
        </w:rPr>
        <w:t xml:space="preserve">Paragraph </w:t>
      </w:r>
      <w:r w:rsidR="00BA5BA6">
        <w:rPr>
          <w:rFonts w:ascii="Times New Roman" w:hAnsi="Times New Roman" w:cs="Times New Roman"/>
          <w:sz w:val="24"/>
          <w:szCs w:val="24"/>
        </w:rPr>
        <w:t>49</w:t>
      </w:r>
      <w:r>
        <w:rPr>
          <w:rFonts w:ascii="Times New Roman" w:hAnsi="Times New Roman" w:cs="Times New Roman"/>
          <w:sz w:val="24"/>
          <w:szCs w:val="24"/>
        </w:rPr>
        <w:t xml:space="preserve"> </w:t>
      </w:r>
      <w:r w:rsidR="00D359F3">
        <w:rPr>
          <w:rFonts w:ascii="Times New Roman" w:hAnsi="Times New Roman" w:cs="Times New Roman"/>
          <w:sz w:val="24"/>
          <w:szCs w:val="24"/>
        </w:rPr>
        <w:t>requires an APRA-regulated entity to identify its material service providers</w:t>
      </w:r>
      <w:r w:rsidR="00DE48B6">
        <w:rPr>
          <w:rFonts w:ascii="Times New Roman" w:hAnsi="Times New Roman" w:cs="Times New Roman"/>
          <w:sz w:val="24"/>
          <w:szCs w:val="24"/>
        </w:rPr>
        <w:t>,</w:t>
      </w:r>
      <w:r w:rsidR="00D359F3">
        <w:rPr>
          <w:rFonts w:ascii="Times New Roman" w:hAnsi="Times New Roman" w:cs="Times New Roman"/>
          <w:sz w:val="24"/>
          <w:szCs w:val="24"/>
        </w:rPr>
        <w:t xml:space="preserve"> maintain a register of </w:t>
      </w:r>
      <w:r w:rsidR="00DE48B6">
        <w:rPr>
          <w:rFonts w:ascii="Times New Roman" w:hAnsi="Times New Roman" w:cs="Times New Roman"/>
          <w:sz w:val="24"/>
          <w:szCs w:val="24"/>
        </w:rPr>
        <w:t xml:space="preserve">its material service providers and to manage the risks arising from the use of such service providers. This paragraph also </w:t>
      </w:r>
      <w:r w:rsidR="002C5E39">
        <w:rPr>
          <w:rFonts w:ascii="Times New Roman" w:hAnsi="Times New Roman" w:cs="Times New Roman"/>
          <w:sz w:val="24"/>
          <w:szCs w:val="24"/>
        </w:rPr>
        <w:t>defines what constitutes a material service provider</w:t>
      </w:r>
      <w:r w:rsidR="007074C9">
        <w:rPr>
          <w:rFonts w:ascii="Times New Roman" w:hAnsi="Times New Roman" w:cs="Times New Roman"/>
          <w:sz w:val="24"/>
          <w:szCs w:val="24"/>
        </w:rPr>
        <w:t xml:space="preserve"> and material arrangement</w:t>
      </w:r>
      <w:r w:rsidR="002C5E39">
        <w:rPr>
          <w:rFonts w:ascii="Times New Roman" w:hAnsi="Times New Roman" w:cs="Times New Roman"/>
          <w:sz w:val="24"/>
          <w:szCs w:val="24"/>
        </w:rPr>
        <w:t>.</w:t>
      </w:r>
    </w:p>
    <w:p w14:paraId="403DA732" w14:textId="5CB8E83B" w:rsidR="00741CA1" w:rsidRDefault="0067556B" w:rsidP="000868B7">
      <w:pPr>
        <w:jc w:val="both"/>
        <w:rPr>
          <w:rFonts w:ascii="Times New Roman" w:hAnsi="Times New Roman" w:cs="Times New Roman"/>
          <w:sz w:val="24"/>
          <w:szCs w:val="24"/>
        </w:rPr>
      </w:pPr>
      <w:r>
        <w:rPr>
          <w:rFonts w:ascii="Times New Roman" w:hAnsi="Times New Roman" w:cs="Times New Roman"/>
          <w:sz w:val="24"/>
          <w:szCs w:val="24"/>
        </w:rPr>
        <w:t>Paragraph 5</w:t>
      </w:r>
      <w:r w:rsidR="00BA5BA6">
        <w:rPr>
          <w:rFonts w:ascii="Times New Roman" w:hAnsi="Times New Roman" w:cs="Times New Roman"/>
          <w:sz w:val="24"/>
          <w:szCs w:val="24"/>
        </w:rPr>
        <w:t>0</w:t>
      </w:r>
      <w:r>
        <w:rPr>
          <w:rFonts w:ascii="Times New Roman" w:hAnsi="Times New Roman" w:cs="Times New Roman"/>
          <w:sz w:val="24"/>
          <w:szCs w:val="24"/>
        </w:rPr>
        <w:t xml:space="preserve"> </w:t>
      </w:r>
      <w:r w:rsidR="008D3739">
        <w:rPr>
          <w:rFonts w:ascii="Times New Roman" w:hAnsi="Times New Roman" w:cs="Times New Roman"/>
          <w:sz w:val="24"/>
          <w:szCs w:val="24"/>
        </w:rPr>
        <w:t xml:space="preserve">states that an APRA-regulated entity must classify </w:t>
      </w:r>
      <w:r w:rsidR="0095622F">
        <w:rPr>
          <w:rFonts w:ascii="Times New Roman" w:hAnsi="Times New Roman" w:cs="Times New Roman"/>
          <w:sz w:val="24"/>
          <w:szCs w:val="24"/>
        </w:rPr>
        <w:t xml:space="preserve">providers who </w:t>
      </w:r>
      <w:r w:rsidR="00E60A8D">
        <w:rPr>
          <w:rFonts w:ascii="Times New Roman" w:hAnsi="Times New Roman" w:cs="Times New Roman"/>
          <w:sz w:val="24"/>
          <w:szCs w:val="24"/>
        </w:rPr>
        <w:t>offer</w:t>
      </w:r>
      <w:r w:rsidR="0095622F">
        <w:rPr>
          <w:rFonts w:ascii="Times New Roman" w:hAnsi="Times New Roman" w:cs="Times New Roman"/>
          <w:sz w:val="24"/>
          <w:szCs w:val="24"/>
        </w:rPr>
        <w:t xml:space="preserve"> certain services as being material service providers </w:t>
      </w:r>
      <w:r w:rsidR="008C0177">
        <w:rPr>
          <w:rFonts w:ascii="Times New Roman" w:hAnsi="Times New Roman" w:cs="Times New Roman"/>
          <w:sz w:val="24"/>
          <w:szCs w:val="24"/>
        </w:rPr>
        <w:t xml:space="preserve">unless </w:t>
      </w:r>
      <w:r w:rsidR="00857EE6">
        <w:rPr>
          <w:rFonts w:ascii="Times New Roman" w:hAnsi="Times New Roman" w:cs="Times New Roman"/>
          <w:sz w:val="24"/>
          <w:szCs w:val="24"/>
        </w:rPr>
        <w:t xml:space="preserve">the </w:t>
      </w:r>
      <w:r w:rsidR="00602044">
        <w:rPr>
          <w:rFonts w:ascii="Times New Roman" w:hAnsi="Times New Roman" w:cs="Times New Roman"/>
          <w:sz w:val="24"/>
          <w:szCs w:val="24"/>
        </w:rPr>
        <w:t xml:space="preserve">regulated entity is otherwise able to justify why a </w:t>
      </w:r>
      <w:r w:rsidR="00866B55">
        <w:rPr>
          <w:rFonts w:ascii="Times New Roman" w:hAnsi="Times New Roman" w:cs="Times New Roman"/>
          <w:sz w:val="24"/>
          <w:szCs w:val="24"/>
        </w:rPr>
        <w:t>provider of a prescribed service should not be deemed a material service provider.</w:t>
      </w:r>
    </w:p>
    <w:p w14:paraId="2F9DB160" w14:textId="38470248" w:rsidR="00D4478D" w:rsidRDefault="00D4478D" w:rsidP="000868B7">
      <w:pPr>
        <w:jc w:val="both"/>
        <w:rPr>
          <w:rFonts w:ascii="Times New Roman" w:hAnsi="Times New Roman" w:cs="Times New Roman"/>
          <w:sz w:val="24"/>
          <w:szCs w:val="24"/>
        </w:rPr>
      </w:pPr>
      <w:r>
        <w:rPr>
          <w:rFonts w:ascii="Times New Roman" w:hAnsi="Times New Roman" w:cs="Times New Roman"/>
          <w:sz w:val="24"/>
          <w:szCs w:val="24"/>
        </w:rPr>
        <w:t xml:space="preserve">Paragraph </w:t>
      </w:r>
      <w:r w:rsidR="00FC2184">
        <w:rPr>
          <w:rFonts w:ascii="Times New Roman" w:hAnsi="Times New Roman" w:cs="Times New Roman"/>
          <w:sz w:val="24"/>
          <w:szCs w:val="24"/>
        </w:rPr>
        <w:t>5</w:t>
      </w:r>
      <w:r w:rsidR="00BA5BA6">
        <w:rPr>
          <w:rFonts w:ascii="Times New Roman" w:hAnsi="Times New Roman" w:cs="Times New Roman"/>
          <w:sz w:val="24"/>
          <w:szCs w:val="24"/>
        </w:rPr>
        <w:t>1</w:t>
      </w:r>
      <w:r w:rsidR="00FC2184">
        <w:rPr>
          <w:rFonts w:ascii="Times New Roman" w:hAnsi="Times New Roman" w:cs="Times New Roman"/>
          <w:sz w:val="24"/>
          <w:szCs w:val="24"/>
        </w:rPr>
        <w:t xml:space="preserve"> requires an APRA-regulated entity </w:t>
      </w:r>
      <w:r w:rsidR="007B6752">
        <w:rPr>
          <w:rFonts w:ascii="Times New Roman" w:hAnsi="Times New Roman" w:cs="Times New Roman"/>
          <w:sz w:val="24"/>
          <w:szCs w:val="24"/>
        </w:rPr>
        <w:t>to submit its register of material service providers to APRA on an annual basis.</w:t>
      </w:r>
    </w:p>
    <w:p w14:paraId="3A017859" w14:textId="7FA1CA87" w:rsidR="007B6752" w:rsidRDefault="007B6752" w:rsidP="000868B7">
      <w:pPr>
        <w:jc w:val="both"/>
        <w:rPr>
          <w:rFonts w:ascii="Times New Roman" w:hAnsi="Times New Roman" w:cs="Times New Roman"/>
          <w:sz w:val="24"/>
          <w:szCs w:val="24"/>
        </w:rPr>
      </w:pPr>
      <w:r>
        <w:rPr>
          <w:rFonts w:ascii="Times New Roman" w:hAnsi="Times New Roman" w:cs="Times New Roman"/>
          <w:sz w:val="24"/>
          <w:szCs w:val="24"/>
        </w:rPr>
        <w:t>Paragraph 5</w:t>
      </w:r>
      <w:r w:rsidR="00BA5BA6">
        <w:rPr>
          <w:rFonts w:ascii="Times New Roman" w:hAnsi="Times New Roman" w:cs="Times New Roman"/>
          <w:sz w:val="24"/>
          <w:szCs w:val="24"/>
        </w:rPr>
        <w:t>2</w:t>
      </w:r>
      <w:r>
        <w:rPr>
          <w:rFonts w:ascii="Times New Roman" w:hAnsi="Times New Roman" w:cs="Times New Roman"/>
          <w:sz w:val="24"/>
          <w:szCs w:val="24"/>
        </w:rPr>
        <w:t xml:space="preserve"> </w:t>
      </w:r>
      <w:r w:rsidR="00713D59">
        <w:rPr>
          <w:rFonts w:ascii="Times New Roman" w:hAnsi="Times New Roman" w:cs="Times New Roman"/>
          <w:sz w:val="24"/>
          <w:szCs w:val="24"/>
        </w:rPr>
        <w:t xml:space="preserve">provides APRA discretion to </w:t>
      </w:r>
      <w:r w:rsidR="00CF2682">
        <w:rPr>
          <w:rFonts w:ascii="Times New Roman" w:hAnsi="Times New Roman" w:cs="Times New Roman"/>
          <w:sz w:val="24"/>
          <w:szCs w:val="24"/>
        </w:rPr>
        <w:t>require a</w:t>
      </w:r>
      <w:r w:rsidR="00E60A8D">
        <w:rPr>
          <w:rFonts w:ascii="Times New Roman" w:hAnsi="Times New Roman" w:cs="Times New Roman"/>
          <w:sz w:val="24"/>
          <w:szCs w:val="24"/>
        </w:rPr>
        <w:t>n APRA-</w:t>
      </w:r>
      <w:r w:rsidR="00CF2682">
        <w:rPr>
          <w:rFonts w:ascii="Times New Roman" w:hAnsi="Times New Roman" w:cs="Times New Roman"/>
          <w:sz w:val="24"/>
          <w:szCs w:val="24"/>
        </w:rPr>
        <w:t xml:space="preserve">regulated entity, or a class of </w:t>
      </w:r>
      <w:r w:rsidR="00E60A8D">
        <w:rPr>
          <w:rFonts w:ascii="Times New Roman" w:hAnsi="Times New Roman" w:cs="Times New Roman"/>
          <w:sz w:val="24"/>
          <w:szCs w:val="24"/>
        </w:rPr>
        <w:t>APRA-</w:t>
      </w:r>
      <w:r w:rsidR="00CF2682">
        <w:rPr>
          <w:rFonts w:ascii="Times New Roman" w:hAnsi="Times New Roman" w:cs="Times New Roman"/>
          <w:sz w:val="24"/>
          <w:szCs w:val="24"/>
        </w:rPr>
        <w:t>regulated entities, to c</w:t>
      </w:r>
      <w:r w:rsidR="00B36507">
        <w:rPr>
          <w:rFonts w:ascii="Times New Roman" w:hAnsi="Times New Roman" w:cs="Times New Roman"/>
          <w:sz w:val="24"/>
          <w:szCs w:val="24"/>
        </w:rPr>
        <w:t>lassify a particular service, or a type of service provider, as being material.</w:t>
      </w:r>
    </w:p>
    <w:p w14:paraId="01916C23" w14:textId="447E7B57" w:rsidR="00B36507" w:rsidRDefault="00D270F6" w:rsidP="000868B7">
      <w:pPr>
        <w:jc w:val="both"/>
        <w:rPr>
          <w:rFonts w:ascii="Times New Roman" w:hAnsi="Times New Roman" w:cs="Times New Roman"/>
          <w:sz w:val="24"/>
          <w:szCs w:val="24"/>
        </w:rPr>
      </w:pPr>
      <w:r>
        <w:rPr>
          <w:rFonts w:ascii="Times New Roman" w:hAnsi="Times New Roman" w:cs="Times New Roman"/>
          <w:sz w:val="24"/>
          <w:szCs w:val="24"/>
        </w:rPr>
        <w:t>Paragraph 5</w:t>
      </w:r>
      <w:r w:rsidR="00BA5BA6">
        <w:rPr>
          <w:rFonts w:ascii="Times New Roman" w:hAnsi="Times New Roman" w:cs="Times New Roman"/>
          <w:sz w:val="24"/>
          <w:szCs w:val="24"/>
        </w:rPr>
        <w:t>3</w:t>
      </w:r>
      <w:r>
        <w:rPr>
          <w:rFonts w:ascii="Times New Roman" w:hAnsi="Times New Roman" w:cs="Times New Roman"/>
          <w:sz w:val="24"/>
          <w:szCs w:val="24"/>
        </w:rPr>
        <w:t xml:space="preserve"> requires an APRA-regulated entity </w:t>
      </w:r>
      <w:r w:rsidR="00BF2F61">
        <w:rPr>
          <w:rFonts w:ascii="Times New Roman" w:hAnsi="Times New Roman" w:cs="Times New Roman"/>
          <w:sz w:val="24"/>
          <w:szCs w:val="24"/>
        </w:rPr>
        <w:t>to</w:t>
      </w:r>
      <w:r w:rsidR="003C1F0E">
        <w:rPr>
          <w:rFonts w:ascii="Times New Roman" w:hAnsi="Times New Roman" w:cs="Times New Roman"/>
          <w:sz w:val="24"/>
          <w:szCs w:val="24"/>
        </w:rPr>
        <w:t xml:space="preserve"> do </w:t>
      </w:r>
      <w:r w:rsidR="003C1F0E" w:rsidRPr="000F6DCD">
        <w:rPr>
          <w:rFonts w:ascii="Times New Roman" w:hAnsi="Times New Roman" w:cs="Times New Roman"/>
          <w:sz w:val="24"/>
          <w:szCs w:val="24"/>
        </w:rPr>
        <w:t>certain things</w:t>
      </w:r>
      <w:r w:rsidR="003C1F0E">
        <w:rPr>
          <w:rFonts w:ascii="Times New Roman" w:hAnsi="Times New Roman" w:cs="Times New Roman"/>
          <w:sz w:val="24"/>
          <w:szCs w:val="24"/>
        </w:rPr>
        <w:t xml:space="preserve"> </w:t>
      </w:r>
      <w:r w:rsidR="00E60A8D">
        <w:rPr>
          <w:rFonts w:ascii="Times New Roman" w:hAnsi="Times New Roman" w:cs="Times New Roman"/>
          <w:sz w:val="24"/>
          <w:szCs w:val="24"/>
        </w:rPr>
        <w:t xml:space="preserve">before </w:t>
      </w:r>
      <w:proofErr w:type="gramStart"/>
      <w:r w:rsidR="003C1F0E">
        <w:rPr>
          <w:rFonts w:ascii="Times New Roman" w:hAnsi="Times New Roman" w:cs="Times New Roman"/>
          <w:sz w:val="24"/>
          <w:szCs w:val="24"/>
        </w:rPr>
        <w:t>entering into</w:t>
      </w:r>
      <w:proofErr w:type="gramEnd"/>
      <w:r w:rsidR="003C1F0E">
        <w:rPr>
          <w:rFonts w:ascii="Times New Roman" w:hAnsi="Times New Roman" w:cs="Times New Roman"/>
          <w:sz w:val="24"/>
          <w:szCs w:val="24"/>
        </w:rPr>
        <w:t xml:space="preserve"> </w:t>
      </w:r>
      <w:r w:rsidR="00B76102">
        <w:rPr>
          <w:rFonts w:ascii="Times New Roman" w:hAnsi="Times New Roman" w:cs="Times New Roman"/>
          <w:sz w:val="24"/>
          <w:szCs w:val="24"/>
        </w:rPr>
        <w:t xml:space="preserve">an arrangement with a material service provider, or materially altering an existing arrangement. </w:t>
      </w:r>
      <w:r w:rsidR="00B76102" w:rsidRPr="000F6DCD">
        <w:rPr>
          <w:rFonts w:ascii="Times New Roman" w:hAnsi="Times New Roman" w:cs="Times New Roman"/>
          <w:sz w:val="24"/>
          <w:szCs w:val="24"/>
        </w:rPr>
        <w:t>These things</w:t>
      </w:r>
      <w:r w:rsidR="00B76102">
        <w:rPr>
          <w:rFonts w:ascii="Times New Roman" w:hAnsi="Times New Roman" w:cs="Times New Roman"/>
          <w:sz w:val="24"/>
          <w:szCs w:val="24"/>
        </w:rPr>
        <w:t xml:space="preserve"> include undertaking appropriate due diligence</w:t>
      </w:r>
      <w:r w:rsidR="00EB0FC4">
        <w:rPr>
          <w:rFonts w:ascii="Times New Roman" w:hAnsi="Times New Roman" w:cs="Times New Roman"/>
          <w:sz w:val="24"/>
          <w:szCs w:val="24"/>
        </w:rPr>
        <w:t xml:space="preserve"> and</w:t>
      </w:r>
      <w:r w:rsidR="00B76102">
        <w:rPr>
          <w:rFonts w:ascii="Times New Roman" w:hAnsi="Times New Roman" w:cs="Times New Roman"/>
          <w:sz w:val="24"/>
          <w:szCs w:val="24"/>
        </w:rPr>
        <w:t xml:space="preserve"> assessing the risks, </w:t>
      </w:r>
      <w:r w:rsidR="00CD7D6C">
        <w:rPr>
          <w:rFonts w:ascii="Times New Roman" w:hAnsi="Times New Roman" w:cs="Times New Roman"/>
          <w:sz w:val="24"/>
          <w:szCs w:val="24"/>
        </w:rPr>
        <w:t xml:space="preserve">both </w:t>
      </w:r>
      <w:r w:rsidR="00B76102">
        <w:rPr>
          <w:rFonts w:ascii="Times New Roman" w:hAnsi="Times New Roman" w:cs="Times New Roman"/>
          <w:sz w:val="24"/>
          <w:szCs w:val="24"/>
        </w:rPr>
        <w:t xml:space="preserve">financial and non-financial, </w:t>
      </w:r>
      <w:r w:rsidR="00CD7D6C">
        <w:rPr>
          <w:rFonts w:ascii="Times New Roman" w:hAnsi="Times New Roman" w:cs="Times New Roman"/>
          <w:sz w:val="24"/>
          <w:szCs w:val="24"/>
        </w:rPr>
        <w:t xml:space="preserve">that could arise </w:t>
      </w:r>
      <w:r w:rsidR="00B76102">
        <w:rPr>
          <w:rFonts w:ascii="Times New Roman" w:hAnsi="Times New Roman" w:cs="Times New Roman"/>
          <w:sz w:val="24"/>
          <w:szCs w:val="24"/>
        </w:rPr>
        <w:t>from reliance on a service provider.</w:t>
      </w:r>
    </w:p>
    <w:p w14:paraId="0F475162" w14:textId="66AC323E" w:rsidR="00EB0FC4" w:rsidRDefault="00246DEE" w:rsidP="000868B7">
      <w:pPr>
        <w:jc w:val="both"/>
        <w:rPr>
          <w:rFonts w:ascii="Times New Roman" w:hAnsi="Times New Roman" w:cs="Times New Roman"/>
          <w:sz w:val="24"/>
          <w:szCs w:val="24"/>
        </w:rPr>
      </w:pPr>
      <w:r>
        <w:rPr>
          <w:rFonts w:ascii="Times New Roman" w:hAnsi="Times New Roman" w:cs="Times New Roman"/>
          <w:sz w:val="24"/>
          <w:szCs w:val="24"/>
        </w:rPr>
        <w:t>Paragraph 5</w:t>
      </w:r>
      <w:r w:rsidR="00BA5BA6">
        <w:rPr>
          <w:rFonts w:ascii="Times New Roman" w:hAnsi="Times New Roman" w:cs="Times New Roman"/>
          <w:sz w:val="24"/>
          <w:szCs w:val="24"/>
        </w:rPr>
        <w:t>4</w:t>
      </w:r>
      <w:r w:rsidR="00BA7589">
        <w:rPr>
          <w:rFonts w:ascii="Times New Roman" w:hAnsi="Times New Roman" w:cs="Times New Roman"/>
          <w:sz w:val="24"/>
          <w:szCs w:val="24"/>
        </w:rPr>
        <w:t xml:space="preserve"> </w:t>
      </w:r>
      <w:r w:rsidR="008B39D8">
        <w:rPr>
          <w:rFonts w:ascii="Times New Roman" w:hAnsi="Times New Roman" w:cs="Times New Roman"/>
          <w:sz w:val="24"/>
          <w:szCs w:val="24"/>
        </w:rPr>
        <w:t xml:space="preserve">requires </w:t>
      </w:r>
      <w:r w:rsidR="00A7130F">
        <w:rPr>
          <w:rFonts w:ascii="Times New Roman" w:hAnsi="Times New Roman" w:cs="Times New Roman"/>
          <w:sz w:val="24"/>
          <w:szCs w:val="24"/>
        </w:rPr>
        <w:t xml:space="preserve">an APRA-regulated entity </w:t>
      </w:r>
      <w:r w:rsidR="00261DCE">
        <w:rPr>
          <w:rFonts w:ascii="Times New Roman" w:hAnsi="Times New Roman" w:cs="Times New Roman"/>
          <w:sz w:val="24"/>
          <w:szCs w:val="24"/>
        </w:rPr>
        <w:t xml:space="preserve">to maintain a </w:t>
      </w:r>
      <w:r w:rsidR="00A737B7">
        <w:rPr>
          <w:rFonts w:ascii="Times New Roman" w:hAnsi="Times New Roman" w:cs="Times New Roman"/>
          <w:sz w:val="24"/>
          <w:szCs w:val="24"/>
        </w:rPr>
        <w:t xml:space="preserve">formal </w:t>
      </w:r>
      <w:r w:rsidR="00261DCE">
        <w:rPr>
          <w:rFonts w:ascii="Times New Roman" w:hAnsi="Times New Roman" w:cs="Times New Roman"/>
          <w:sz w:val="24"/>
          <w:szCs w:val="24"/>
        </w:rPr>
        <w:t>legally binding agreement</w:t>
      </w:r>
      <w:r w:rsidR="009A6415">
        <w:rPr>
          <w:rFonts w:ascii="Times New Roman" w:hAnsi="Times New Roman" w:cs="Times New Roman"/>
          <w:sz w:val="24"/>
          <w:szCs w:val="24"/>
        </w:rPr>
        <w:t xml:space="preserve"> with a material service provider. </w:t>
      </w:r>
      <w:r w:rsidR="009247C9">
        <w:rPr>
          <w:rFonts w:ascii="Times New Roman" w:hAnsi="Times New Roman" w:cs="Times New Roman"/>
          <w:sz w:val="24"/>
          <w:szCs w:val="24"/>
        </w:rPr>
        <w:t>It</w:t>
      </w:r>
      <w:r w:rsidR="004844EF">
        <w:rPr>
          <w:rFonts w:ascii="Times New Roman" w:hAnsi="Times New Roman" w:cs="Times New Roman"/>
          <w:sz w:val="24"/>
          <w:szCs w:val="24"/>
        </w:rPr>
        <w:t xml:space="preserve"> </w:t>
      </w:r>
      <w:r w:rsidR="00F53708">
        <w:rPr>
          <w:rFonts w:ascii="Times New Roman" w:hAnsi="Times New Roman" w:cs="Times New Roman"/>
          <w:sz w:val="24"/>
          <w:szCs w:val="24"/>
        </w:rPr>
        <w:t>al</w:t>
      </w:r>
      <w:r w:rsidR="00A737B7">
        <w:rPr>
          <w:rFonts w:ascii="Times New Roman" w:hAnsi="Times New Roman" w:cs="Times New Roman"/>
          <w:sz w:val="24"/>
          <w:szCs w:val="24"/>
        </w:rPr>
        <w:t>so</w:t>
      </w:r>
      <w:r w:rsidR="00F53708">
        <w:rPr>
          <w:rFonts w:ascii="Times New Roman" w:hAnsi="Times New Roman" w:cs="Times New Roman"/>
          <w:sz w:val="24"/>
          <w:szCs w:val="24"/>
        </w:rPr>
        <w:t xml:space="preserve"> sets out</w:t>
      </w:r>
      <w:r w:rsidR="00CD7D6C">
        <w:rPr>
          <w:rFonts w:ascii="Times New Roman" w:hAnsi="Times New Roman" w:cs="Times New Roman"/>
          <w:sz w:val="24"/>
          <w:szCs w:val="24"/>
        </w:rPr>
        <w:t xml:space="preserve"> </w:t>
      </w:r>
      <w:r w:rsidR="00F53708">
        <w:rPr>
          <w:rFonts w:ascii="Times New Roman" w:hAnsi="Times New Roman" w:cs="Times New Roman"/>
          <w:sz w:val="24"/>
          <w:szCs w:val="24"/>
        </w:rPr>
        <w:t xml:space="preserve">matters </w:t>
      </w:r>
      <w:r w:rsidR="00A737B7">
        <w:rPr>
          <w:rFonts w:ascii="Times New Roman" w:hAnsi="Times New Roman" w:cs="Times New Roman"/>
          <w:sz w:val="24"/>
          <w:szCs w:val="24"/>
        </w:rPr>
        <w:t>that must be included as part of any such agreement.</w:t>
      </w:r>
    </w:p>
    <w:p w14:paraId="7CC5C780" w14:textId="18801282" w:rsidR="00A737B7" w:rsidRDefault="00CB16AE" w:rsidP="000868B7">
      <w:pPr>
        <w:jc w:val="both"/>
        <w:rPr>
          <w:rFonts w:ascii="Times New Roman" w:hAnsi="Times New Roman" w:cs="Times New Roman"/>
          <w:sz w:val="24"/>
          <w:szCs w:val="24"/>
        </w:rPr>
      </w:pPr>
      <w:r>
        <w:rPr>
          <w:rFonts w:ascii="Times New Roman" w:hAnsi="Times New Roman" w:cs="Times New Roman"/>
          <w:sz w:val="24"/>
          <w:szCs w:val="24"/>
        </w:rPr>
        <w:t>Paragraph 5</w:t>
      </w:r>
      <w:r w:rsidR="00872EC5">
        <w:rPr>
          <w:rFonts w:ascii="Times New Roman" w:hAnsi="Times New Roman" w:cs="Times New Roman"/>
          <w:sz w:val="24"/>
          <w:szCs w:val="24"/>
        </w:rPr>
        <w:t>5</w:t>
      </w:r>
      <w:r>
        <w:rPr>
          <w:rFonts w:ascii="Times New Roman" w:hAnsi="Times New Roman" w:cs="Times New Roman"/>
          <w:sz w:val="24"/>
          <w:szCs w:val="24"/>
        </w:rPr>
        <w:t xml:space="preserve"> sets out additional matters that the formally legally binding agreement under paragraph 5</w:t>
      </w:r>
      <w:r w:rsidR="00872EC5">
        <w:rPr>
          <w:rFonts w:ascii="Times New Roman" w:hAnsi="Times New Roman" w:cs="Times New Roman"/>
          <w:sz w:val="24"/>
          <w:szCs w:val="24"/>
        </w:rPr>
        <w:t>4</w:t>
      </w:r>
      <w:r>
        <w:rPr>
          <w:rFonts w:ascii="Times New Roman" w:hAnsi="Times New Roman" w:cs="Times New Roman"/>
          <w:sz w:val="24"/>
          <w:szCs w:val="24"/>
        </w:rPr>
        <w:t xml:space="preserve"> must contain</w:t>
      </w:r>
      <w:r w:rsidR="00563599">
        <w:rPr>
          <w:rFonts w:ascii="Times New Roman" w:hAnsi="Times New Roman" w:cs="Times New Roman"/>
          <w:sz w:val="24"/>
          <w:szCs w:val="24"/>
        </w:rPr>
        <w:t xml:space="preserve">. These matters concern APRA’s access </w:t>
      </w:r>
      <w:r w:rsidR="00496A6D">
        <w:rPr>
          <w:rFonts w:ascii="Times New Roman" w:hAnsi="Times New Roman" w:cs="Times New Roman"/>
          <w:sz w:val="24"/>
          <w:szCs w:val="24"/>
        </w:rPr>
        <w:t xml:space="preserve">to </w:t>
      </w:r>
      <w:r w:rsidR="00DF08FC">
        <w:rPr>
          <w:rFonts w:ascii="Times New Roman" w:hAnsi="Times New Roman" w:cs="Times New Roman"/>
          <w:sz w:val="24"/>
          <w:szCs w:val="24"/>
        </w:rPr>
        <w:t>information and documentation, APRA’s acc</w:t>
      </w:r>
      <w:r w:rsidR="00B21518">
        <w:rPr>
          <w:rFonts w:ascii="Times New Roman" w:hAnsi="Times New Roman" w:cs="Times New Roman"/>
          <w:sz w:val="24"/>
          <w:szCs w:val="24"/>
        </w:rPr>
        <w:t>ess to service provider</w:t>
      </w:r>
      <w:r w:rsidR="00080284">
        <w:rPr>
          <w:rFonts w:ascii="Times New Roman" w:hAnsi="Times New Roman" w:cs="Times New Roman"/>
          <w:sz w:val="24"/>
          <w:szCs w:val="24"/>
        </w:rPr>
        <w:t>s</w:t>
      </w:r>
      <w:r w:rsidR="00B21518">
        <w:rPr>
          <w:rFonts w:ascii="Times New Roman" w:hAnsi="Times New Roman" w:cs="Times New Roman"/>
          <w:sz w:val="24"/>
          <w:szCs w:val="24"/>
        </w:rPr>
        <w:t xml:space="preserve"> to conduct on-site visits</w:t>
      </w:r>
      <w:r w:rsidR="006976F3">
        <w:rPr>
          <w:rFonts w:ascii="Times New Roman" w:hAnsi="Times New Roman" w:cs="Times New Roman"/>
          <w:sz w:val="24"/>
          <w:szCs w:val="24"/>
        </w:rPr>
        <w:t xml:space="preserve"> and </w:t>
      </w:r>
      <w:r w:rsidR="0045763D">
        <w:rPr>
          <w:rFonts w:ascii="Times New Roman" w:hAnsi="Times New Roman" w:cs="Times New Roman"/>
          <w:sz w:val="24"/>
          <w:szCs w:val="24"/>
        </w:rPr>
        <w:t xml:space="preserve">that APRA </w:t>
      </w:r>
      <w:r w:rsidR="00496A6D">
        <w:rPr>
          <w:rFonts w:ascii="Times New Roman" w:hAnsi="Times New Roman" w:cs="Times New Roman"/>
          <w:sz w:val="24"/>
          <w:szCs w:val="24"/>
        </w:rPr>
        <w:t>is not</w:t>
      </w:r>
      <w:r w:rsidR="0045763D">
        <w:rPr>
          <w:rFonts w:ascii="Times New Roman" w:hAnsi="Times New Roman" w:cs="Times New Roman"/>
          <w:sz w:val="24"/>
          <w:szCs w:val="24"/>
        </w:rPr>
        <w:t xml:space="preserve"> impeded from fulfilling its duties as prudential regulator.</w:t>
      </w:r>
      <w:r w:rsidR="00B21518">
        <w:rPr>
          <w:rFonts w:ascii="Times New Roman" w:hAnsi="Times New Roman" w:cs="Times New Roman"/>
          <w:sz w:val="24"/>
          <w:szCs w:val="24"/>
        </w:rPr>
        <w:t xml:space="preserve">  </w:t>
      </w:r>
    </w:p>
    <w:p w14:paraId="57D7782D" w14:textId="552708E6" w:rsidR="00D4478D" w:rsidRDefault="00167DEA" w:rsidP="000868B7">
      <w:pPr>
        <w:jc w:val="both"/>
        <w:rPr>
          <w:rFonts w:ascii="Times New Roman" w:hAnsi="Times New Roman" w:cs="Times New Roman"/>
          <w:sz w:val="24"/>
          <w:szCs w:val="24"/>
        </w:rPr>
      </w:pPr>
      <w:r>
        <w:rPr>
          <w:rFonts w:ascii="Times New Roman" w:hAnsi="Times New Roman" w:cs="Times New Roman"/>
          <w:sz w:val="24"/>
          <w:szCs w:val="24"/>
        </w:rPr>
        <w:t xml:space="preserve">Paragraph </w:t>
      </w:r>
      <w:r w:rsidR="00F674DE">
        <w:rPr>
          <w:rFonts w:ascii="Times New Roman" w:hAnsi="Times New Roman" w:cs="Times New Roman"/>
          <w:sz w:val="24"/>
          <w:szCs w:val="24"/>
        </w:rPr>
        <w:t>5</w:t>
      </w:r>
      <w:r w:rsidR="00036739">
        <w:rPr>
          <w:rFonts w:ascii="Times New Roman" w:hAnsi="Times New Roman" w:cs="Times New Roman"/>
          <w:sz w:val="24"/>
          <w:szCs w:val="24"/>
        </w:rPr>
        <w:t>6</w:t>
      </w:r>
      <w:r w:rsidR="00F674DE">
        <w:rPr>
          <w:rFonts w:ascii="Times New Roman" w:hAnsi="Times New Roman" w:cs="Times New Roman"/>
          <w:sz w:val="24"/>
          <w:szCs w:val="24"/>
        </w:rPr>
        <w:t xml:space="preserve"> sets out </w:t>
      </w:r>
      <w:r w:rsidR="00500F36">
        <w:rPr>
          <w:rFonts w:ascii="Times New Roman" w:hAnsi="Times New Roman" w:cs="Times New Roman"/>
          <w:sz w:val="24"/>
          <w:szCs w:val="24"/>
        </w:rPr>
        <w:t>matters that an APRA-regulated entity</w:t>
      </w:r>
      <w:r w:rsidR="00C34409">
        <w:rPr>
          <w:rFonts w:ascii="Times New Roman" w:hAnsi="Times New Roman" w:cs="Times New Roman"/>
          <w:sz w:val="24"/>
          <w:szCs w:val="24"/>
        </w:rPr>
        <w:t xml:space="preserve"> </w:t>
      </w:r>
      <w:r w:rsidR="00EF58C0">
        <w:rPr>
          <w:rFonts w:ascii="Times New Roman" w:hAnsi="Times New Roman" w:cs="Times New Roman"/>
          <w:sz w:val="24"/>
          <w:szCs w:val="24"/>
        </w:rPr>
        <w:t>must undertake</w:t>
      </w:r>
      <w:r w:rsidR="003D3232">
        <w:rPr>
          <w:rFonts w:ascii="Times New Roman" w:hAnsi="Times New Roman" w:cs="Times New Roman"/>
          <w:sz w:val="24"/>
          <w:szCs w:val="24"/>
        </w:rPr>
        <w:t xml:space="preserve"> when it has an arrangement with a material service provider</w:t>
      </w:r>
      <w:r w:rsidR="00BB7708">
        <w:rPr>
          <w:rFonts w:ascii="Times New Roman" w:hAnsi="Times New Roman" w:cs="Times New Roman"/>
          <w:sz w:val="24"/>
          <w:szCs w:val="24"/>
        </w:rPr>
        <w:t xml:space="preserve"> including identifying and managing </w:t>
      </w:r>
      <w:r w:rsidR="00630B20">
        <w:rPr>
          <w:rFonts w:ascii="Times New Roman" w:hAnsi="Times New Roman" w:cs="Times New Roman"/>
          <w:sz w:val="24"/>
          <w:szCs w:val="24"/>
        </w:rPr>
        <w:t xml:space="preserve">risks that could affect provision of the service, other risks that could </w:t>
      </w:r>
      <w:r w:rsidR="00550DE4">
        <w:rPr>
          <w:rFonts w:ascii="Times New Roman" w:hAnsi="Times New Roman" w:cs="Times New Roman"/>
          <w:sz w:val="24"/>
          <w:szCs w:val="24"/>
        </w:rPr>
        <w:t>result from the arrangement</w:t>
      </w:r>
      <w:r w:rsidR="00A75C58">
        <w:rPr>
          <w:rFonts w:ascii="Times New Roman" w:hAnsi="Times New Roman" w:cs="Times New Roman"/>
          <w:sz w:val="24"/>
          <w:szCs w:val="24"/>
        </w:rPr>
        <w:t>,</w:t>
      </w:r>
      <w:r w:rsidR="00550DE4">
        <w:rPr>
          <w:rFonts w:ascii="Times New Roman" w:hAnsi="Times New Roman" w:cs="Times New Roman"/>
          <w:sz w:val="24"/>
          <w:szCs w:val="24"/>
        </w:rPr>
        <w:t xml:space="preserve"> ensuring that the regulated entity’s BCP is still able to be </w:t>
      </w:r>
      <w:r w:rsidR="006D4826">
        <w:rPr>
          <w:rFonts w:ascii="Times New Roman" w:hAnsi="Times New Roman" w:cs="Times New Roman"/>
          <w:sz w:val="24"/>
          <w:szCs w:val="24"/>
        </w:rPr>
        <w:t>executed and ensur</w:t>
      </w:r>
      <w:r w:rsidR="004E5535">
        <w:rPr>
          <w:rFonts w:ascii="Times New Roman" w:hAnsi="Times New Roman" w:cs="Times New Roman"/>
          <w:sz w:val="24"/>
          <w:szCs w:val="24"/>
        </w:rPr>
        <w:t>ing</w:t>
      </w:r>
      <w:r w:rsidR="006D4826">
        <w:rPr>
          <w:rFonts w:ascii="Times New Roman" w:hAnsi="Times New Roman" w:cs="Times New Roman"/>
          <w:sz w:val="24"/>
          <w:szCs w:val="24"/>
        </w:rPr>
        <w:t xml:space="preserve"> </w:t>
      </w:r>
      <w:r w:rsidR="004E5535">
        <w:rPr>
          <w:rFonts w:ascii="Times New Roman" w:hAnsi="Times New Roman" w:cs="Times New Roman"/>
          <w:sz w:val="24"/>
          <w:szCs w:val="24"/>
        </w:rPr>
        <w:t xml:space="preserve">the entity </w:t>
      </w:r>
      <w:r w:rsidR="006D4826">
        <w:rPr>
          <w:rFonts w:ascii="Times New Roman" w:hAnsi="Times New Roman" w:cs="Times New Roman"/>
          <w:sz w:val="24"/>
          <w:szCs w:val="24"/>
        </w:rPr>
        <w:t>can exit the arrangement in need.</w:t>
      </w:r>
    </w:p>
    <w:p w14:paraId="50CCC4EF" w14:textId="72D15A36" w:rsidR="00DB1329" w:rsidRDefault="00F801B9" w:rsidP="000868B7">
      <w:pPr>
        <w:jc w:val="both"/>
        <w:rPr>
          <w:rFonts w:ascii="Times New Roman" w:hAnsi="Times New Roman" w:cs="Times New Roman"/>
          <w:sz w:val="24"/>
          <w:szCs w:val="24"/>
        </w:rPr>
      </w:pPr>
      <w:r>
        <w:rPr>
          <w:rFonts w:ascii="Times New Roman" w:hAnsi="Times New Roman" w:cs="Times New Roman"/>
          <w:sz w:val="24"/>
          <w:szCs w:val="24"/>
        </w:rPr>
        <w:lastRenderedPageBreak/>
        <w:t>Paragraph 5</w:t>
      </w:r>
      <w:r w:rsidR="00036739">
        <w:rPr>
          <w:rFonts w:ascii="Times New Roman" w:hAnsi="Times New Roman" w:cs="Times New Roman"/>
          <w:sz w:val="24"/>
          <w:szCs w:val="24"/>
        </w:rPr>
        <w:t>7</w:t>
      </w:r>
      <w:r>
        <w:rPr>
          <w:rFonts w:ascii="Times New Roman" w:hAnsi="Times New Roman" w:cs="Times New Roman"/>
          <w:sz w:val="24"/>
          <w:szCs w:val="24"/>
        </w:rPr>
        <w:t xml:space="preserve"> provides for APRA to</w:t>
      </w:r>
      <w:r w:rsidR="00F337AC">
        <w:rPr>
          <w:rFonts w:ascii="Times New Roman" w:hAnsi="Times New Roman" w:cs="Times New Roman"/>
          <w:sz w:val="24"/>
          <w:szCs w:val="24"/>
        </w:rPr>
        <w:t xml:space="preserve"> require an APRA-regulated entity to</w:t>
      </w:r>
      <w:r>
        <w:rPr>
          <w:rFonts w:ascii="Times New Roman" w:hAnsi="Times New Roman" w:cs="Times New Roman"/>
          <w:sz w:val="24"/>
          <w:szCs w:val="24"/>
        </w:rPr>
        <w:t xml:space="preserve"> </w:t>
      </w:r>
      <w:r w:rsidR="00F337AC">
        <w:rPr>
          <w:rFonts w:ascii="Times New Roman" w:hAnsi="Times New Roman" w:cs="Times New Roman"/>
          <w:sz w:val="24"/>
          <w:szCs w:val="24"/>
        </w:rPr>
        <w:t>review and to make changes to a service provider arrangement should APRA have</w:t>
      </w:r>
      <w:r w:rsidR="00DB1329">
        <w:rPr>
          <w:rFonts w:ascii="Times New Roman" w:hAnsi="Times New Roman" w:cs="Times New Roman"/>
          <w:sz w:val="24"/>
          <w:szCs w:val="24"/>
        </w:rPr>
        <w:t xml:space="preserve"> heightened prudential concerns with respect to a particular arrangement.</w:t>
      </w:r>
    </w:p>
    <w:p w14:paraId="6860BCF8" w14:textId="0835F3C2" w:rsidR="00A16887" w:rsidRDefault="00DB1329" w:rsidP="000868B7">
      <w:pPr>
        <w:jc w:val="both"/>
        <w:rPr>
          <w:rFonts w:ascii="Times New Roman" w:hAnsi="Times New Roman" w:cs="Times New Roman"/>
          <w:sz w:val="24"/>
          <w:szCs w:val="24"/>
        </w:rPr>
      </w:pPr>
      <w:r>
        <w:rPr>
          <w:rFonts w:ascii="Times New Roman" w:hAnsi="Times New Roman" w:cs="Times New Roman"/>
          <w:sz w:val="24"/>
          <w:szCs w:val="24"/>
        </w:rPr>
        <w:t>Paragraph 5</w:t>
      </w:r>
      <w:r w:rsidR="00036739">
        <w:rPr>
          <w:rFonts w:ascii="Times New Roman" w:hAnsi="Times New Roman" w:cs="Times New Roman"/>
          <w:sz w:val="24"/>
          <w:szCs w:val="24"/>
        </w:rPr>
        <w:t>8</w:t>
      </w:r>
      <w:r>
        <w:rPr>
          <w:rFonts w:ascii="Times New Roman" w:hAnsi="Times New Roman" w:cs="Times New Roman"/>
          <w:sz w:val="24"/>
          <w:szCs w:val="24"/>
        </w:rPr>
        <w:t xml:space="preserve"> </w:t>
      </w:r>
      <w:r w:rsidR="00915536">
        <w:rPr>
          <w:rFonts w:ascii="Times New Roman" w:hAnsi="Times New Roman" w:cs="Times New Roman"/>
          <w:sz w:val="24"/>
          <w:szCs w:val="24"/>
        </w:rPr>
        <w:t xml:space="preserve">requires an APRA-regulated entity </w:t>
      </w:r>
      <w:r w:rsidR="009D7527">
        <w:rPr>
          <w:rFonts w:ascii="Times New Roman" w:hAnsi="Times New Roman" w:cs="Times New Roman"/>
          <w:sz w:val="24"/>
          <w:szCs w:val="24"/>
        </w:rPr>
        <w:t xml:space="preserve">to monitor and report on </w:t>
      </w:r>
      <w:r w:rsidR="008C2180">
        <w:rPr>
          <w:rFonts w:ascii="Times New Roman" w:hAnsi="Times New Roman" w:cs="Times New Roman"/>
          <w:sz w:val="24"/>
          <w:szCs w:val="24"/>
        </w:rPr>
        <w:t>certain matters relating to the nature and usage of material service provider arrangements. The types of matters to be m</w:t>
      </w:r>
      <w:r w:rsidR="008D4665">
        <w:rPr>
          <w:rFonts w:ascii="Times New Roman" w:hAnsi="Times New Roman" w:cs="Times New Roman"/>
          <w:sz w:val="24"/>
          <w:szCs w:val="24"/>
        </w:rPr>
        <w:t xml:space="preserve">onitored and reported on include performance levels </w:t>
      </w:r>
      <w:r w:rsidR="00AF3BD5">
        <w:rPr>
          <w:rFonts w:ascii="Times New Roman" w:hAnsi="Times New Roman" w:cs="Times New Roman"/>
          <w:sz w:val="24"/>
          <w:szCs w:val="24"/>
        </w:rPr>
        <w:t xml:space="preserve">under </w:t>
      </w:r>
      <w:r w:rsidR="008D4665">
        <w:rPr>
          <w:rFonts w:ascii="Times New Roman" w:hAnsi="Times New Roman" w:cs="Times New Roman"/>
          <w:sz w:val="24"/>
          <w:szCs w:val="24"/>
        </w:rPr>
        <w:t xml:space="preserve">the service </w:t>
      </w:r>
      <w:r w:rsidR="002E271F">
        <w:rPr>
          <w:rFonts w:ascii="Times New Roman" w:hAnsi="Times New Roman" w:cs="Times New Roman"/>
          <w:sz w:val="24"/>
          <w:szCs w:val="24"/>
        </w:rPr>
        <w:t xml:space="preserve">provider </w:t>
      </w:r>
      <w:r w:rsidR="008D4665">
        <w:rPr>
          <w:rFonts w:ascii="Times New Roman" w:hAnsi="Times New Roman" w:cs="Times New Roman"/>
          <w:sz w:val="24"/>
          <w:szCs w:val="24"/>
        </w:rPr>
        <w:t>agreement, the effectiveness of controls</w:t>
      </w:r>
      <w:r w:rsidR="002873D2">
        <w:rPr>
          <w:rFonts w:ascii="Times New Roman" w:hAnsi="Times New Roman" w:cs="Times New Roman"/>
          <w:sz w:val="24"/>
          <w:szCs w:val="24"/>
        </w:rPr>
        <w:t xml:space="preserve"> and compliance </w:t>
      </w:r>
      <w:r w:rsidR="002E271F">
        <w:rPr>
          <w:rFonts w:ascii="Times New Roman" w:hAnsi="Times New Roman" w:cs="Times New Roman"/>
          <w:sz w:val="24"/>
          <w:szCs w:val="24"/>
        </w:rPr>
        <w:t xml:space="preserve">of </w:t>
      </w:r>
      <w:r w:rsidR="002873D2">
        <w:rPr>
          <w:rFonts w:ascii="Times New Roman" w:hAnsi="Times New Roman" w:cs="Times New Roman"/>
          <w:sz w:val="24"/>
          <w:szCs w:val="24"/>
        </w:rPr>
        <w:t>both parties with the service provider agreement.</w:t>
      </w:r>
    </w:p>
    <w:p w14:paraId="4FA3C92A" w14:textId="6B9BF6DE" w:rsidR="002873D2" w:rsidRDefault="002873D2" w:rsidP="000868B7">
      <w:pPr>
        <w:jc w:val="both"/>
        <w:rPr>
          <w:rFonts w:ascii="Times New Roman" w:hAnsi="Times New Roman" w:cs="Times New Roman"/>
          <w:sz w:val="24"/>
          <w:szCs w:val="24"/>
        </w:rPr>
      </w:pPr>
      <w:r>
        <w:rPr>
          <w:rFonts w:ascii="Times New Roman" w:hAnsi="Times New Roman" w:cs="Times New Roman"/>
          <w:sz w:val="24"/>
          <w:szCs w:val="24"/>
        </w:rPr>
        <w:t xml:space="preserve">Paragraph </w:t>
      </w:r>
      <w:r w:rsidR="00036739">
        <w:rPr>
          <w:rFonts w:ascii="Times New Roman" w:hAnsi="Times New Roman" w:cs="Times New Roman"/>
          <w:sz w:val="24"/>
          <w:szCs w:val="24"/>
        </w:rPr>
        <w:t>59</w:t>
      </w:r>
      <w:r>
        <w:rPr>
          <w:rFonts w:ascii="Times New Roman" w:hAnsi="Times New Roman" w:cs="Times New Roman"/>
          <w:sz w:val="24"/>
          <w:szCs w:val="24"/>
        </w:rPr>
        <w:t xml:space="preserve"> requires notification to APRA</w:t>
      </w:r>
      <w:r w:rsidR="00450864">
        <w:rPr>
          <w:rFonts w:ascii="Times New Roman" w:hAnsi="Times New Roman" w:cs="Times New Roman"/>
          <w:sz w:val="24"/>
          <w:szCs w:val="24"/>
        </w:rPr>
        <w:t xml:space="preserve"> by an APRA-regulated entity when the entity </w:t>
      </w:r>
      <w:proofErr w:type="gramStart"/>
      <w:r w:rsidR="00450864">
        <w:rPr>
          <w:rFonts w:ascii="Times New Roman" w:hAnsi="Times New Roman" w:cs="Times New Roman"/>
          <w:sz w:val="24"/>
          <w:szCs w:val="24"/>
        </w:rPr>
        <w:t>enters into</w:t>
      </w:r>
      <w:proofErr w:type="gramEnd"/>
      <w:r w:rsidR="00450864">
        <w:rPr>
          <w:rFonts w:ascii="Times New Roman" w:hAnsi="Times New Roman" w:cs="Times New Roman"/>
          <w:sz w:val="24"/>
          <w:szCs w:val="24"/>
        </w:rPr>
        <w:t xml:space="preserve"> or materially changes an agreement </w:t>
      </w:r>
      <w:r w:rsidR="00395267">
        <w:rPr>
          <w:rFonts w:ascii="Times New Roman" w:hAnsi="Times New Roman" w:cs="Times New Roman"/>
          <w:sz w:val="24"/>
          <w:szCs w:val="24"/>
        </w:rPr>
        <w:t>for provision of a service that the regulated entity is reliant on in order to undertake a critical operation. A regulated entity must also notify APRA prior to entering into an offshoring agreement</w:t>
      </w:r>
      <w:r w:rsidR="002359BA">
        <w:rPr>
          <w:rFonts w:ascii="Times New Roman" w:hAnsi="Times New Roman" w:cs="Times New Roman"/>
          <w:sz w:val="24"/>
          <w:szCs w:val="24"/>
        </w:rPr>
        <w:t xml:space="preserve"> with a material service provider or when there is </w:t>
      </w:r>
      <w:r w:rsidR="00E30EE8">
        <w:rPr>
          <w:rFonts w:ascii="Times New Roman" w:hAnsi="Times New Roman" w:cs="Times New Roman"/>
          <w:sz w:val="24"/>
          <w:szCs w:val="24"/>
        </w:rPr>
        <w:t>a significant change to an agreement.</w:t>
      </w:r>
    </w:p>
    <w:p w14:paraId="05D6669F" w14:textId="1FC2BDC5" w:rsidR="00E30EE8" w:rsidRDefault="00E30EE8" w:rsidP="000868B7">
      <w:pPr>
        <w:jc w:val="both"/>
        <w:rPr>
          <w:rFonts w:ascii="Times New Roman" w:hAnsi="Times New Roman" w:cs="Times New Roman"/>
          <w:sz w:val="24"/>
          <w:szCs w:val="24"/>
        </w:rPr>
      </w:pPr>
      <w:r>
        <w:rPr>
          <w:rFonts w:ascii="Times New Roman" w:hAnsi="Times New Roman" w:cs="Times New Roman"/>
          <w:sz w:val="24"/>
          <w:szCs w:val="24"/>
        </w:rPr>
        <w:t>Paragraph 6</w:t>
      </w:r>
      <w:r w:rsidR="00036739">
        <w:rPr>
          <w:rFonts w:ascii="Times New Roman" w:hAnsi="Times New Roman" w:cs="Times New Roman"/>
          <w:sz w:val="24"/>
          <w:szCs w:val="24"/>
        </w:rPr>
        <w:t>0</w:t>
      </w:r>
      <w:r>
        <w:rPr>
          <w:rFonts w:ascii="Times New Roman" w:hAnsi="Times New Roman" w:cs="Times New Roman"/>
          <w:sz w:val="24"/>
          <w:szCs w:val="24"/>
        </w:rPr>
        <w:t xml:space="preserve"> </w:t>
      </w:r>
      <w:r w:rsidR="003D5DD5">
        <w:rPr>
          <w:rFonts w:ascii="Times New Roman" w:hAnsi="Times New Roman" w:cs="Times New Roman"/>
          <w:sz w:val="24"/>
          <w:szCs w:val="24"/>
        </w:rPr>
        <w:t>requires</w:t>
      </w:r>
      <w:r>
        <w:rPr>
          <w:rFonts w:ascii="Times New Roman" w:hAnsi="Times New Roman" w:cs="Times New Roman"/>
          <w:sz w:val="24"/>
          <w:szCs w:val="24"/>
        </w:rPr>
        <w:t xml:space="preserve"> the internal audit function of an APRA-regulated entity to </w:t>
      </w:r>
      <w:r w:rsidR="007D297B">
        <w:rPr>
          <w:rFonts w:ascii="Times New Roman" w:hAnsi="Times New Roman" w:cs="Times New Roman"/>
          <w:sz w:val="24"/>
          <w:szCs w:val="24"/>
        </w:rPr>
        <w:t>review propos</w:t>
      </w:r>
      <w:r w:rsidR="00326E07">
        <w:rPr>
          <w:rFonts w:ascii="Times New Roman" w:hAnsi="Times New Roman" w:cs="Times New Roman"/>
          <w:sz w:val="24"/>
          <w:szCs w:val="24"/>
        </w:rPr>
        <w:t>ed</w:t>
      </w:r>
      <w:r w:rsidR="007D297B">
        <w:rPr>
          <w:rFonts w:ascii="Times New Roman" w:hAnsi="Times New Roman" w:cs="Times New Roman"/>
          <w:sz w:val="24"/>
          <w:szCs w:val="24"/>
        </w:rPr>
        <w:t xml:space="preserve"> outsourcing agreements with a material service provider for a critical operation of the APRA-regulated entity and to report either to the Board or Board Audit Committee of the regulated entity on compliance with the entity’s service provider management policy for such arrangements.</w:t>
      </w:r>
    </w:p>
    <w:p w14:paraId="784E1B65" w14:textId="55754F86" w:rsidR="00E439DD" w:rsidRPr="00122D8A" w:rsidRDefault="00122D8A" w:rsidP="00D850A3">
      <w:pPr>
        <w:keepNext/>
        <w:jc w:val="both"/>
        <w:rPr>
          <w:rFonts w:ascii="Times New Roman" w:hAnsi="Times New Roman" w:cs="Times New Roman"/>
          <w:b/>
          <w:i/>
          <w:sz w:val="24"/>
          <w:szCs w:val="24"/>
        </w:rPr>
      </w:pPr>
      <w:r w:rsidRPr="00122D8A">
        <w:rPr>
          <w:rFonts w:ascii="Times New Roman" w:hAnsi="Times New Roman" w:cs="Times New Roman"/>
          <w:b/>
          <w:i/>
          <w:sz w:val="24"/>
          <w:szCs w:val="24"/>
        </w:rPr>
        <w:t>Exercise of discretion by APRA</w:t>
      </w:r>
    </w:p>
    <w:p w14:paraId="683A577E" w14:textId="06617B01" w:rsidR="00D52566" w:rsidRDefault="00D52566" w:rsidP="00D850A3">
      <w:pPr>
        <w:keepNext/>
        <w:jc w:val="both"/>
        <w:rPr>
          <w:rFonts w:ascii="Times New Roman" w:hAnsi="Times New Roman" w:cs="Times New Roman"/>
          <w:sz w:val="24"/>
          <w:szCs w:val="24"/>
        </w:rPr>
      </w:pPr>
      <w:r>
        <w:rPr>
          <w:rFonts w:ascii="Times New Roman" w:hAnsi="Times New Roman" w:cs="Times New Roman"/>
          <w:sz w:val="24"/>
          <w:szCs w:val="24"/>
        </w:rPr>
        <w:t>CPS 230 provides for APRA to exercise various discretions. Decisions made by APRA in exercising those discretions are not subject to merits review. This is because these decisions are preliminary decisions that may facilitate or lead to substantive decisions which are subject to merits review.</w:t>
      </w:r>
    </w:p>
    <w:p w14:paraId="213B7689" w14:textId="452C840F" w:rsidR="00D52566" w:rsidRDefault="00D52566" w:rsidP="00D52566">
      <w:pPr>
        <w:jc w:val="both"/>
        <w:rPr>
          <w:rFonts w:ascii="Times New Roman" w:hAnsi="Times New Roman" w:cs="Times New Roman"/>
          <w:sz w:val="24"/>
          <w:szCs w:val="24"/>
        </w:rPr>
      </w:pPr>
      <w:r>
        <w:rPr>
          <w:rFonts w:ascii="Times New Roman" w:hAnsi="Times New Roman" w:cs="Times New Roman"/>
          <w:sz w:val="24"/>
          <w:szCs w:val="24"/>
        </w:rPr>
        <w:t xml:space="preserve">Under the Banking Act, Insurance Act, Life Insurance Act and PHIPS Act, a breach of a prudential standard is a breach of the enabling legislation, as each enabling Act provides that regulated entities must comply with the standard. Under the SIS Act, it is a condition on all RSE licences that the RSE licensee must comply with the RSE licensee law, which includes prudential standards. However, there are no penalties prescribed for breach of the prudential standards under any of these Acts. </w:t>
      </w:r>
      <w:r w:rsidR="00EF58C0">
        <w:rPr>
          <w:rFonts w:ascii="Times New Roman" w:hAnsi="Times New Roman" w:cs="Times New Roman"/>
          <w:sz w:val="24"/>
          <w:szCs w:val="24"/>
        </w:rPr>
        <w:t>Instead,</w:t>
      </w:r>
      <w:r>
        <w:rPr>
          <w:rFonts w:ascii="Times New Roman" w:hAnsi="Times New Roman" w:cs="Times New Roman"/>
          <w:sz w:val="24"/>
          <w:szCs w:val="24"/>
        </w:rPr>
        <w:t xml:space="preserve"> an entity’s breach of the enabling legislation or RSE licence condition is grounds for APRA to make further, substantive decisions under the relevant enabling legislation in relation to the entity. Those decisions may include the decision: </w:t>
      </w:r>
    </w:p>
    <w:p w14:paraId="013F1F9E" w14:textId="77777777" w:rsidR="00D52566" w:rsidRDefault="00D52566" w:rsidP="00D52566">
      <w:pPr>
        <w:pStyle w:val="ListParagraph"/>
        <w:numPr>
          <w:ilvl w:val="0"/>
          <w:numId w:val="37"/>
        </w:numPr>
        <w:ind w:left="714" w:hanging="357"/>
        <w:jc w:val="both"/>
        <w:rPr>
          <w:rFonts w:ascii="Times New Roman" w:hAnsi="Times New Roman" w:cs="Times New Roman"/>
          <w:sz w:val="24"/>
          <w:szCs w:val="24"/>
        </w:rPr>
      </w:pPr>
      <w:r>
        <w:rPr>
          <w:rFonts w:ascii="Times New Roman" w:hAnsi="Times New Roman" w:cs="Times New Roman"/>
          <w:sz w:val="24"/>
          <w:szCs w:val="24"/>
        </w:rPr>
        <w:t>to issue a direction to the regulated entity, including: a direction to comply with the whole or part of a prudential standard (section 11CA of the Banking Act, s.104 of the Insurance Act, section 230B of the Life Insurance Act, section 131D of the SIS Act); and a direction to comply with all, or specified obligations, which includes prudential standards (section 96 of the PHIPS Act); or</w:t>
      </w:r>
    </w:p>
    <w:p w14:paraId="6DACAC90" w14:textId="77777777" w:rsidR="00D52566" w:rsidRDefault="00D52566" w:rsidP="00D52566">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to revoke: an authority to carry on banking business (section 9A of the Banking Act);  a banking NOHC authorisation (section 11AB of the Banking Act); an authority to carry on insurance business (section 15 of the Insurance Act); an insurance NOHC </w:t>
      </w:r>
      <w:r>
        <w:rPr>
          <w:rFonts w:ascii="Times New Roman" w:hAnsi="Times New Roman" w:cs="Times New Roman"/>
          <w:sz w:val="24"/>
          <w:szCs w:val="24"/>
        </w:rPr>
        <w:lastRenderedPageBreak/>
        <w:t xml:space="preserve">authorisation (section 21 of the Insurance Act); registration of life insurance business (section 26 of the Life Insurance Act); a life NOHC authorisation (section 28C of the Life Insurance Act); or to revoke an authority to operate an APRA-regulated superannuation fund (section 29G of the SIS Act). </w:t>
      </w:r>
    </w:p>
    <w:p w14:paraId="14650B0D" w14:textId="77777777" w:rsidR="00D52566" w:rsidRDefault="00D52566" w:rsidP="00D52566">
      <w:pPr>
        <w:jc w:val="both"/>
        <w:rPr>
          <w:rFonts w:ascii="Times New Roman" w:hAnsi="Times New Roman" w:cs="Times New Roman"/>
          <w:sz w:val="24"/>
          <w:szCs w:val="24"/>
        </w:rPr>
      </w:pPr>
      <w:r>
        <w:rPr>
          <w:rFonts w:ascii="Times New Roman" w:hAnsi="Times New Roman" w:cs="Times New Roman"/>
          <w:sz w:val="24"/>
          <w:szCs w:val="24"/>
        </w:rPr>
        <w:t>It is only at this stage that an entity is exposed to a penalty, loss of licence or imposition of a penalty if it breaches the direction (50 penalty units each day under section 11CG of the Banking Act, section 108 of the Insurance Act, and section 230F of the Life Insurance Act; 30 penalty units each day under section 104 of the PHIPS Act; and 100 penalty units each day under section 131DD of the SIS Act).</w:t>
      </w:r>
      <w:r>
        <w:rPr>
          <w:rStyle w:val="FootnoteReference"/>
          <w:rFonts w:cs="Times New Roman"/>
          <w:szCs w:val="24"/>
        </w:rPr>
        <w:footnoteReference w:id="2"/>
      </w:r>
      <w:r>
        <w:rPr>
          <w:rFonts w:ascii="Times New Roman" w:hAnsi="Times New Roman" w:cs="Times New Roman"/>
          <w:sz w:val="24"/>
          <w:szCs w:val="24"/>
        </w:rPr>
        <w:t xml:space="preserve"> In nearly all cases,</w:t>
      </w:r>
      <w:r>
        <w:rPr>
          <w:rStyle w:val="FootnoteReference"/>
          <w:rFonts w:ascii="Times New Roman" w:hAnsi="Times New Roman" w:cs="Times New Roman"/>
          <w:szCs w:val="24"/>
        </w:rPr>
        <w:footnoteReference w:id="3"/>
      </w:r>
      <w:r>
        <w:rPr>
          <w:rFonts w:ascii="Times New Roman" w:hAnsi="Times New Roman" w:cs="Times New Roman"/>
          <w:sz w:val="24"/>
          <w:szCs w:val="24"/>
        </w:rPr>
        <w:t xml:space="preserve"> the decisions are preceded by a full consultation with the regulated entity to raise any concerns they may have in relation to the decision.</w:t>
      </w:r>
    </w:p>
    <w:p w14:paraId="03659E9C" w14:textId="7F970709" w:rsidR="00D52566" w:rsidRDefault="00D52566" w:rsidP="00D52566">
      <w:pPr>
        <w:jc w:val="both"/>
        <w:rPr>
          <w:rFonts w:ascii="Times New Roman" w:hAnsi="Times New Roman" w:cs="Times New Roman"/>
          <w:sz w:val="24"/>
          <w:szCs w:val="24"/>
        </w:rPr>
      </w:pPr>
      <w:r>
        <w:rPr>
          <w:rFonts w:ascii="Times New Roman" w:hAnsi="Times New Roman" w:cs="Times New Roman"/>
          <w:sz w:val="24"/>
          <w:szCs w:val="24"/>
        </w:rPr>
        <w:t>The decisions of APRA to impose a direction are subject to merits review (section 11CA of the Banking Act, section 104 of the Insurance Act, section 236 of the Life Insurance Act, section 168 of the PHIPS Act</w:t>
      </w:r>
      <w:r w:rsidR="00C80CD7">
        <w:rPr>
          <w:rFonts w:ascii="Times New Roman" w:hAnsi="Times New Roman" w:cs="Times New Roman"/>
          <w:sz w:val="24"/>
          <w:szCs w:val="24"/>
        </w:rPr>
        <w:t xml:space="preserve"> and section 344 of the SIS Act</w:t>
      </w:r>
      <w:r>
        <w:rPr>
          <w:rFonts w:ascii="Times New Roman" w:hAnsi="Times New Roman" w:cs="Times New Roman"/>
          <w:sz w:val="24"/>
          <w:szCs w:val="24"/>
        </w:rPr>
        <w:t>), which is appropriately available at the point where an entity could be exposed to a penalty.</w:t>
      </w:r>
    </w:p>
    <w:p w14:paraId="6C827294" w14:textId="2279D8C0" w:rsidR="00D52566" w:rsidRDefault="00D52566" w:rsidP="00D52566">
      <w:pPr>
        <w:jc w:val="both"/>
        <w:rPr>
          <w:rFonts w:ascii="Times New Roman" w:hAnsi="Times New Roman" w:cs="Times New Roman"/>
          <w:sz w:val="24"/>
          <w:szCs w:val="24"/>
        </w:rPr>
      </w:pPr>
      <w:r>
        <w:rPr>
          <w:rFonts w:ascii="Times New Roman" w:hAnsi="Times New Roman" w:cs="Times New Roman"/>
          <w:sz w:val="24"/>
          <w:szCs w:val="24"/>
        </w:rPr>
        <w:t>All decisions to revoke authorisations/registrations under the Banking Act, Insurance Act</w:t>
      </w:r>
      <w:r w:rsidR="3A417A04" w:rsidRPr="2B29FC10">
        <w:rPr>
          <w:rFonts w:ascii="Times New Roman" w:hAnsi="Times New Roman" w:cs="Times New Roman"/>
          <w:sz w:val="24"/>
          <w:szCs w:val="24"/>
        </w:rPr>
        <w:t xml:space="preserve">, </w:t>
      </w:r>
      <w:r>
        <w:rPr>
          <w:rFonts w:ascii="Times New Roman" w:hAnsi="Times New Roman" w:cs="Times New Roman"/>
          <w:sz w:val="24"/>
          <w:szCs w:val="24"/>
        </w:rPr>
        <w:t xml:space="preserve">Life Insurance Act </w:t>
      </w:r>
      <w:r w:rsidR="005F2D9F" w:rsidRPr="2B29FC10">
        <w:rPr>
          <w:rFonts w:ascii="Times New Roman" w:hAnsi="Times New Roman" w:cs="Times New Roman"/>
          <w:sz w:val="24"/>
          <w:szCs w:val="24"/>
        </w:rPr>
        <w:t xml:space="preserve">and SIS Act </w:t>
      </w:r>
      <w:r>
        <w:rPr>
          <w:rFonts w:ascii="Times New Roman" w:hAnsi="Times New Roman" w:cs="Times New Roman"/>
          <w:sz w:val="24"/>
          <w:szCs w:val="24"/>
        </w:rPr>
        <w:t>are subject to merits review, unless specifically excluded by the enabling legislation.</w:t>
      </w:r>
    </w:p>
    <w:p w14:paraId="63728289" w14:textId="77777777" w:rsidR="00D52566" w:rsidRDefault="00D52566" w:rsidP="00D52566">
      <w:pPr>
        <w:jc w:val="both"/>
        <w:rPr>
          <w:rFonts w:ascii="Times New Roman" w:hAnsi="Times New Roman" w:cs="Times New Roman"/>
          <w:sz w:val="24"/>
          <w:szCs w:val="24"/>
        </w:rPr>
      </w:pPr>
      <w:r>
        <w:rPr>
          <w:rFonts w:ascii="Times New Roman" w:hAnsi="Times New Roman" w:cs="Times New Roman"/>
          <w:sz w:val="24"/>
          <w:szCs w:val="24"/>
        </w:rPr>
        <w:t>Revocation of an authorisation to carry on banking business or a banking NOHC authorisation is subject to merits review unless either:</w:t>
      </w:r>
    </w:p>
    <w:p w14:paraId="3B06BBD4" w14:textId="77777777" w:rsidR="00D52566" w:rsidRDefault="00D52566" w:rsidP="00D52566">
      <w:pPr>
        <w:pStyle w:val="ListParagraph"/>
        <w:numPr>
          <w:ilvl w:val="0"/>
          <w:numId w:val="38"/>
        </w:numPr>
        <w:ind w:left="714" w:hanging="357"/>
        <w:jc w:val="both"/>
        <w:rPr>
          <w:rFonts w:ascii="Times New Roman" w:hAnsi="Times New Roman" w:cs="Times New Roman"/>
          <w:sz w:val="24"/>
          <w:szCs w:val="24"/>
        </w:rPr>
      </w:pPr>
      <w:r>
        <w:rPr>
          <w:rFonts w:ascii="Times New Roman" w:hAnsi="Times New Roman" w:cs="Times New Roman"/>
          <w:sz w:val="24"/>
          <w:szCs w:val="24"/>
        </w:rPr>
        <w:t>APRA has determined that access to natural justice and merits review is contrary to the national interest or contrary to the interests of depositors with the body corporate; or</w:t>
      </w:r>
    </w:p>
    <w:p w14:paraId="0C6089BD" w14:textId="37962CFB" w:rsidR="00D52566" w:rsidRDefault="00D52566" w:rsidP="00D52566">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(in the case of ADIs only) the authority is an authority that is to cease to have effect on a day specified in the authority (</w:t>
      </w:r>
      <w:r w:rsidR="00566793">
        <w:rPr>
          <w:rFonts w:ascii="Times New Roman" w:hAnsi="Times New Roman" w:cs="Times New Roman"/>
          <w:sz w:val="24"/>
          <w:szCs w:val="24"/>
        </w:rPr>
        <w:t>sub</w:t>
      </w:r>
      <w:r>
        <w:rPr>
          <w:rFonts w:ascii="Times New Roman" w:hAnsi="Times New Roman" w:cs="Times New Roman"/>
          <w:sz w:val="24"/>
          <w:szCs w:val="24"/>
        </w:rPr>
        <w:t>section 9</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8) of the Banking Act).</w:t>
      </w:r>
    </w:p>
    <w:p w14:paraId="6E90C357" w14:textId="77777777" w:rsidR="00D52566" w:rsidRDefault="00D52566" w:rsidP="00D52566">
      <w:pPr>
        <w:jc w:val="both"/>
        <w:rPr>
          <w:rFonts w:ascii="Times New Roman" w:hAnsi="Times New Roman" w:cs="Times New Roman"/>
          <w:sz w:val="24"/>
          <w:szCs w:val="24"/>
        </w:rPr>
      </w:pPr>
      <w:r>
        <w:rPr>
          <w:rFonts w:ascii="Times New Roman" w:hAnsi="Times New Roman" w:cs="Times New Roman"/>
          <w:sz w:val="24"/>
          <w:szCs w:val="24"/>
        </w:rPr>
        <w:t>Revocation of an authorisation to carry on insurance business or an insurance NOHC authorisation is subject to merits review (ss 15 and 21 of the Insurance Act).</w:t>
      </w:r>
    </w:p>
    <w:p w14:paraId="42A2DCD6" w14:textId="65D8B1A6" w:rsidR="00D52566" w:rsidRDefault="00D52566" w:rsidP="00D52566">
      <w:pPr>
        <w:spacing w:after="0" w:line="240" w:lineRule="auto"/>
        <w:rPr>
          <w:rFonts w:ascii="Times New Roman" w:hAnsi="Times New Roman" w:cs="Times New Roman"/>
          <w:sz w:val="24"/>
          <w:szCs w:val="24"/>
        </w:rPr>
      </w:pPr>
      <w:r>
        <w:rPr>
          <w:rFonts w:ascii="Times New Roman" w:hAnsi="Times New Roman" w:cs="Times New Roman"/>
          <w:sz w:val="24"/>
          <w:szCs w:val="24"/>
        </w:rPr>
        <w:t>Revocation of registration as a life insurance company or a life NOHC authorisation is subject to merits review (section 236 of the Life Insurance Act). The situation in relation to cancellation of registration under the PHIPS Act is different to the other enabling legislation.</w:t>
      </w:r>
    </w:p>
    <w:p w14:paraId="10A38CE4" w14:textId="38F62815" w:rsidR="00CA4CF2" w:rsidRPr="008B4DC8" w:rsidRDefault="00CA4CF2" w:rsidP="00CA4CF2">
      <w:pPr>
        <w:pStyle w:val="NormalWeb"/>
        <w:rPr>
          <w:b/>
          <w:i/>
        </w:rPr>
      </w:pPr>
      <w:r w:rsidRPr="008B4DC8">
        <w:rPr>
          <w:b/>
          <w:i/>
        </w:rPr>
        <w:lastRenderedPageBreak/>
        <w:t xml:space="preserve">Adjust and exclude </w:t>
      </w:r>
      <w:proofErr w:type="gramStart"/>
      <w:r w:rsidRPr="008B4DC8">
        <w:rPr>
          <w:b/>
          <w:i/>
        </w:rPr>
        <w:t>powers</w:t>
      </w:r>
      <w:proofErr w:type="gramEnd"/>
    </w:p>
    <w:p w14:paraId="773AD3F1" w14:textId="3758DB0F" w:rsidR="006F7E4A" w:rsidRPr="000A709F" w:rsidRDefault="006F7E4A" w:rsidP="006F7E4A">
      <w:pPr>
        <w:numPr>
          <w:ilvl w:val="0"/>
          <w:numId w:val="39"/>
        </w:numPr>
        <w:spacing w:after="240" w:line="240" w:lineRule="auto"/>
        <w:jc w:val="both"/>
        <w:rPr>
          <w:rFonts w:ascii="Times New Roman" w:hAnsi="Times New Roman" w:cs="Times New Roman"/>
          <w:i/>
          <w:sz w:val="24"/>
          <w:szCs w:val="24"/>
        </w:rPr>
      </w:pPr>
      <w:r w:rsidRPr="00EC6AC7">
        <w:rPr>
          <w:rFonts w:ascii="Times New Roman" w:hAnsi="Times New Roman" w:cs="Times New Roman"/>
          <w:sz w:val="24"/>
          <w:szCs w:val="24"/>
        </w:rPr>
        <w:t xml:space="preserve">CPS </w:t>
      </w:r>
      <w:r w:rsidR="001C6290">
        <w:rPr>
          <w:rFonts w:ascii="Times New Roman" w:hAnsi="Times New Roman" w:cs="Times New Roman"/>
          <w:sz w:val="24"/>
          <w:szCs w:val="24"/>
        </w:rPr>
        <w:t>230</w:t>
      </w:r>
      <w:r w:rsidRPr="00EC6AC7">
        <w:rPr>
          <w:rFonts w:ascii="Times New Roman" w:hAnsi="Times New Roman" w:cs="Times New Roman"/>
          <w:sz w:val="24"/>
          <w:szCs w:val="24"/>
        </w:rPr>
        <w:t xml:space="preserve"> gives APRA the discretion to adjust or exclude a provision of the prudential standard (paragraph </w:t>
      </w:r>
      <w:r w:rsidR="00AA5085">
        <w:rPr>
          <w:rFonts w:ascii="Times New Roman" w:hAnsi="Times New Roman" w:cs="Times New Roman"/>
          <w:sz w:val="24"/>
          <w:szCs w:val="24"/>
        </w:rPr>
        <w:t>11</w:t>
      </w:r>
      <w:r w:rsidRPr="00EC6AC7">
        <w:rPr>
          <w:rFonts w:ascii="Times New Roman" w:hAnsi="Times New Roman" w:cs="Times New Roman"/>
          <w:sz w:val="24"/>
          <w:szCs w:val="24"/>
        </w:rPr>
        <w:t xml:space="preserve">). </w:t>
      </w:r>
      <w:r>
        <w:rPr>
          <w:rFonts w:ascii="Times New Roman" w:hAnsi="Times New Roman" w:cs="Times New Roman"/>
          <w:sz w:val="24"/>
          <w:szCs w:val="24"/>
        </w:rPr>
        <w:t>The power to create such a discretion</w:t>
      </w:r>
      <w:r w:rsidRPr="00EC6AC7">
        <w:rPr>
          <w:rFonts w:ascii="Times New Roman" w:hAnsi="Times New Roman" w:cs="Times New Roman"/>
          <w:sz w:val="24"/>
          <w:szCs w:val="24"/>
        </w:rPr>
        <w:t xml:space="preserve"> is provided for under </w:t>
      </w:r>
      <w:r w:rsidRPr="00EF4831">
        <w:rPr>
          <w:rFonts w:ascii="Times New Roman" w:hAnsi="Times New Roman" w:cs="Times New Roman"/>
          <w:sz w:val="24"/>
          <w:szCs w:val="24"/>
        </w:rPr>
        <w:t>s</w:t>
      </w:r>
      <w:r>
        <w:rPr>
          <w:rFonts w:ascii="Times New Roman" w:hAnsi="Times New Roman" w:cs="Times New Roman"/>
          <w:sz w:val="24"/>
          <w:szCs w:val="24"/>
        </w:rPr>
        <w:t>ubsections:</w:t>
      </w:r>
    </w:p>
    <w:p w14:paraId="26E1A955" w14:textId="77777777" w:rsidR="006F7E4A" w:rsidRPr="00C97B4B" w:rsidRDefault="006F7E4A" w:rsidP="006F7E4A">
      <w:pPr>
        <w:pStyle w:val="ListParagraph"/>
        <w:numPr>
          <w:ilvl w:val="0"/>
          <w:numId w:val="31"/>
        </w:numPr>
        <w:jc w:val="both"/>
        <w:rPr>
          <w:rFonts w:ascii="Times New Roman" w:hAnsi="Times New Roman" w:cs="Times New Roman"/>
          <w:sz w:val="24"/>
          <w:szCs w:val="24"/>
        </w:rPr>
      </w:pPr>
      <w:r w:rsidRPr="00EF4831">
        <w:rPr>
          <w:rFonts w:ascii="Times New Roman" w:hAnsi="Times New Roman" w:cs="Times New Roman"/>
          <w:sz w:val="24"/>
          <w:szCs w:val="24"/>
        </w:rPr>
        <w:t>11</w:t>
      </w:r>
      <w:proofErr w:type="gramStart"/>
      <w:r w:rsidRPr="00EF4831">
        <w:rPr>
          <w:rFonts w:ascii="Times New Roman" w:hAnsi="Times New Roman" w:cs="Times New Roman"/>
          <w:sz w:val="24"/>
          <w:szCs w:val="24"/>
        </w:rPr>
        <w:t>AF(</w:t>
      </w:r>
      <w:proofErr w:type="gramEnd"/>
      <w:r w:rsidRPr="00EF4831">
        <w:rPr>
          <w:rFonts w:ascii="Times New Roman" w:hAnsi="Times New Roman" w:cs="Times New Roman"/>
          <w:sz w:val="24"/>
          <w:szCs w:val="24"/>
        </w:rPr>
        <w:t xml:space="preserve">2) of the </w:t>
      </w:r>
      <w:r w:rsidRPr="008424D7">
        <w:rPr>
          <w:rFonts w:ascii="Times New Roman" w:hAnsi="Times New Roman" w:cs="Times New Roman"/>
          <w:sz w:val="24"/>
          <w:szCs w:val="24"/>
        </w:rPr>
        <w:t>Banking Act</w:t>
      </w:r>
      <w:r>
        <w:rPr>
          <w:rFonts w:ascii="Times New Roman" w:hAnsi="Times New Roman" w:cs="Times New Roman"/>
          <w:sz w:val="24"/>
          <w:szCs w:val="24"/>
        </w:rPr>
        <w:t>;</w:t>
      </w:r>
      <w:r w:rsidRPr="00EF4831">
        <w:rPr>
          <w:rFonts w:ascii="Times New Roman" w:hAnsi="Times New Roman" w:cs="Times New Roman"/>
          <w:sz w:val="24"/>
          <w:szCs w:val="24"/>
        </w:rPr>
        <w:t xml:space="preserve"> </w:t>
      </w:r>
    </w:p>
    <w:p w14:paraId="3A29E132" w14:textId="77777777" w:rsidR="006F7E4A" w:rsidRPr="00C97B4B" w:rsidRDefault="006F7E4A" w:rsidP="006F7E4A">
      <w:pPr>
        <w:pStyle w:val="ListParagraph"/>
        <w:numPr>
          <w:ilvl w:val="0"/>
          <w:numId w:val="31"/>
        </w:numPr>
        <w:jc w:val="both"/>
        <w:rPr>
          <w:rFonts w:ascii="Times New Roman" w:hAnsi="Times New Roman" w:cs="Times New Roman"/>
          <w:sz w:val="24"/>
          <w:szCs w:val="24"/>
        </w:rPr>
      </w:pPr>
      <w:r w:rsidRPr="00EF4831">
        <w:rPr>
          <w:rFonts w:ascii="Times New Roman" w:hAnsi="Times New Roman" w:cs="Times New Roman"/>
          <w:sz w:val="24"/>
          <w:szCs w:val="24"/>
        </w:rPr>
        <w:t xml:space="preserve">32(3D) of the </w:t>
      </w:r>
      <w:r w:rsidRPr="008424D7">
        <w:rPr>
          <w:rFonts w:ascii="Times New Roman" w:hAnsi="Times New Roman" w:cs="Times New Roman"/>
          <w:sz w:val="24"/>
          <w:szCs w:val="24"/>
        </w:rPr>
        <w:t xml:space="preserve">Insurance </w:t>
      </w:r>
      <w:proofErr w:type="gramStart"/>
      <w:r w:rsidRPr="008424D7">
        <w:rPr>
          <w:rFonts w:ascii="Times New Roman" w:hAnsi="Times New Roman" w:cs="Times New Roman"/>
          <w:sz w:val="24"/>
          <w:szCs w:val="24"/>
        </w:rPr>
        <w:t>Act</w:t>
      </w:r>
      <w:r>
        <w:rPr>
          <w:rFonts w:ascii="Times New Roman" w:hAnsi="Times New Roman" w:cs="Times New Roman"/>
          <w:sz w:val="24"/>
          <w:szCs w:val="24"/>
        </w:rPr>
        <w:t>;</w:t>
      </w:r>
      <w:proofErr w:type="gramEnd"/>
      <w:r w:rsidRPr="00EF4831">
        <w:rPr>
          <w:rFonts w:ascii="Times New Roman" w:hAnsi="Times New Roman" w:cs="Times New Roman"/>
          <w:sz w:val="24"/>
          <w:szCs w:val="24"/>
        </w:rPr>
        <w:t xml:space="preserve"> </w:t>
      </w:r>
    </w:p>
    <w:p w14:paraId="73B1014B" w14:textId="77777777" w:rsidR="006F7E4A" w:rsidRPr="00C97B4B" w:rsidRDefault="006F7E4A" w:rsidP="006F7E4A">
      <w:pPr>
        <w:pStyle w:val="ListParagraph"/>
        <w:numPr>
          <w:ilvl w:val="0"/>
          <w:numId w:val="31"/>
        </w:numPr>
        <w:jc w:val="both"/>
        <w:rPr>
          <w:rFonts w:ascii="Times New Roman" w:hAnsi="Times New Roman" w:cs="Times New Roman"/>
          <w:sz w:val="24"/>
          <w:szCs w:val="24"/>
        </w:rPr>
      </w:pPr>
      <w:r w:rsidRPr="00EF4831">
        <w:rPr>
          <w:rFonts w:ascii="Times New Roman" w:hAnsi="Times New Roman" w:cs="Times New Roman"/>
          <w:sz w:val="24"/>
          <w:szCs w:val="24"/>
        </w:rPr>
        <w:t>230</w:t>
      </w:r>
      <w:proofErr w:type="gramStart"/>
      <w:r w:rsidRPr="00EF4831">
        <w:rPr>
          <w:rFonts w:ascii="Times New Roman" w:hAnsi="Times New Roman" w:cs="Times New Roman"/>
          <w:sz w:val="24"/>
          <w:szCs w:val="24"/>
        </w:rPr>
        <w:t>A(</w:t>
      </w:r>
      <w:proofErr w:type="gramEnd"/>
      <w:r w:rsidRPr="00EF4831">
        <w:rPr>
          <w:rFonts w:ascii="Times New Roman" w:hAnsi="Times New Roman" w:cs="Times New Roman"/>
          <w:sz w:val="24"/>
          <w:szCs w:val="24"/>
        </w:rPr>
        <w:t xml:space="preserve">4) of the </w:t>
      </w:r>
      <w:r w:rsidRPr="00B0788B">
        <w:rPr>
          <w:rFonts w:ascii="Times New Roman" w:hAnsi="Times New Roman" w:cs="Times New Roman"/>
          <w:sz w:val="24"/>
          <w:szCs w:val="24"/>
        </w:rPr>
        <w:t>Life Insurance Act</w:t>
      </w:r>
      <w:r>
        <w:rPr>
          <w:rFonts w:ascii="Times New Roman" w:hAnsi="Times New Roman" w:cs="Times New Roman"/>
          <w:sz w:val="24"/>
          <w:szCs w:val="24"/>
        </w:rPr>
        <w:t>;</w:t>
      </w:r>
      <w:r w:rsidRPr="00EF4831">
        <w:rPr>
          <w:rFonts w:ascii="Times New Roman" w:hAnsi="Times New Roman" w:cs="Times New Roman"/>
          <w:sz w:val="24"/>
          <w:szCs w:val="24"/>
        </w:rPr>
        <w:t xml:space="preserve"> </w:t>
      </w:r>
    </w:p>
    <w:p w14:paraId="688B9B0C" w14:textId="77777777" w:rsidR="006F7E4A" w:rsidRPr="00C97B4B" w:rsidRDefault="006F7E4A" w:rsidP="006F7E4A">
      <w:pPr>
        <w:pStyle w:val="ListParagraph"/>
        <w:numPr>
          <w:ilvl w:val="0"/>
          <w:numId w:val="31"/>
        </w:numPr>
        <w:jc w:val="both"/>
        <w:rPr>
          <w:rFonts w:ascii="Times New Roman" w:hAnsi="Times New Roman" w:cs="Times New Roman"/>
          <w:sz w:val="24"/>
          <w:szCs w:val="24"/>
        </w:rPr>
      </w:pPr>
      <w:r w:rsidRPr="00EF4831">
        <w:rPr>
          <w:rFonts w:ascii="Times New Roman" w:hAnsi="Times New Roman" w:cs="Times New Roman"/>
          <w:sz w:val="24"/>
          <w:szCs w:val="24"/>
        </w:rPr>
        <w:t xml:space="preserve">92(4) of the </w:t>
      </w:r>
      <w:r w:rsidRPr="00C97B4B">
        <w:rPr>
          <w:rFonts w:ascii="Times New Roman" w:hAnsi="Times New Roman" w:cs="Times New Roman"/>
          <w:sz w:val="24"/>
          <w:szCs w:val="24"/>
        </w:rPr>
        <w:t>PHIPS Act;</w:t>
      </w:r>
      <w:r w:rsidRPr="00EF4831">
        <w:rPr>
          <w:rFonts w:ascii="Times New Roman" w:hAnsi="Times New Roman" w:cs="Times New Roman"/>
          <w:sz w:val="24"/>
          <w:szCs w:val="24"/>
        </w:rPr>
        <w:t xml:space="preserve"> and </w:t>
      </w:r>
    </w:p>
    <w:p w14:paraId="4EC7FE7D" w14:textId="77777777" w:rsidR="006F7E4A" w:rsidRPr="00C97B4B" w:rsidRDefault="006F7E4A" w:rsidP="006F7E4A">
      <w:pPr>
        <w:pStyle w:val="ListParagraph"/>
        <w:numPr>
          <w:ilvl w:val="0"/>
          <w:numId w:val="31"/>
        </w:numPr>
        <w:jc w:val="both"/>
        <w:rPr>
          <w:rFonts w:ascii="Times New Roman" w:hAnsi="Times New Roman" w:cs="Times New Roman"/>
          <w:sz w:val="24"/>
          <w:szCs w:val="24"/>
        </w:rPr>
      </w:pPr>
      <w:r w:rsidRPr="00EF4831">
        <w:rPr>
          <w:rFonts w:ascii="Times New Roman" w:hAnsi="Times New Roman" w:cs="Times New Roman"/>
          <w:sz w:val="24"/>
          <w:szCs w:val="24"/>
        </w:rPr>
        <w:t>34</w:t>
      </w:r>
      <w:proofErr w:type="gramStart"/>
      <w:r w:rsidRPr="00EF4831">
        <w:rPr>
          <w:rFonts w:ascii="Times New Roman" w:hAnsi="Times New Roman" w:cs="Times New Roman"/>
          <w:sz w:val="24"/>
          <w:szCs w:val="24"/>
        </w:rPr>
        <w:t>C(</w:t>
      </w:r>
      <w:proofErr w:type="gramEnd"/>
      <w:r w:rsidRPr="00EF4831">
        <w:rPr>
          <w:rFonts w:ascii="Times New Roman" w:hAnsi="Times New Roman" w:cs="Times New Roman"/>
          <w:sz w:val="24"/>
          <w:szCs w:val="24"/>
        </w:rPr>
        <w:t xml:space="preserve">5) of </w:t>
      </w:r>
      <w:r w:rsidRPr="00C43E34">
        <w:rPr>
          <w:rFonts w:ascii="Times New Roman" w:hAnsi="Times New Roman" w:cs="Times New Roman"/>
          <w:sz w:val="24"/>
          <w:szCs w:val="24"/>
        </w:rPr>
        <w:t xml:space="preserve">the </w:t>
      </w:r>
      <w:r>
        <w:rPr>
          <w:rFonts w:ascii="Times New Roman" w:hAnsi="Times New Roman" w:cs="Times New Roman"/>
          <w:sz w:val="24"/>
          <w:szCs w:val="24"/>
        </w:rPr>
        <w:t>SIS Act</w:t>
      </w:r>
      <w:r w:rsidRPr="00EC6AC7">
        <w:rPr>
          <w:rFonts w:ascii="Times New Roman" w:hAnsi="Times New Roman" w:cs="Times New Roman"/>
          <w:sz w:val="24"/>
          <w:szCs w:val="24"/>
        </w:rPr>
        <w:t xml:space="preserve">. </w:t>
      </w:r>
    </w:p>
    <w:p w14:paraId="697AE729" w14:textId="4960A62D" w:rsidR="006F7E4A" w:rsidRPr="00D87B9C" w:rsidRDefault="006F7E4A" w:rsidP="006F7E4A">
      <w:pPr>
        <w:numPr>
          <w:ilvl w:val="0"/>
          <w:numId w:val="39"/>
        </w:numPr>
        <w:spacing w:after="240" w:line="240" w:lineRule="auto"/>
        <w:jc w:val="both"/>
        <w:rPr>
          <w:rFonts w:ascii="Times New Roman" w:hAnsi="Times New Roman" w:cs="Times New Roman"/>
          <w:sz w:val="24"/>
          <w:szCs w:val="24"/>
        </w:rPr>
      </w:pPr>
      <w:r w:rsidRPr="00D87B9C">
        <w:rPr>
          <w:rFonts w:ascii="Times New Roman" w:hAnsi="Times New Roman" w:cs="Times New Roman"/>
          <w:sz w:val="24"/>
          <w:szCs w:val="24"/>
        </w:rPr>
        <w:t>APRA may exercise this power when it is satisfied that the adjustment or exclusion of a specific requirement for one or more specified regulated entities will better support APRA in meeting its objectives. For example, the adjustment or exclusion may be necessary to obtain a better prudential outcome than would be the case if the prudential requirement were applied unaltered to a particular regulated entity. A tailored approach would give APRA comfort that the prudential requirements apply appropriately to protect the interests of depositors</w:t>
      </w:r>
      <w:r>
        <w:rPr>
          <w:rFonts w:ascii="Times New Roman" w:hAnsi="Times New Roman" w:cs="Times New Roman"/>
          <w:sz w:val="24"/>
          <w:szCs w:val="24"/>
        </w:rPr>
        <w:t xml:space="preserve">, </w:t>
      </w:r>
      <w:proofErr w:type="gramStart"/>
      <w:r w:rsidRPr="00D87B9C">
        <w:rPr>
          <w:rFonts w:ascii="Times New Roman" w:hAnsi="Times New Roman" w:cs="Times New Roman"/>
          <w:sz w:val="24"/>
          <w:szCs w:val="24"/>
        </w:rPr>
        <w:t>policyholders</w:t>
      </w:r>
      <w:proofErr w:type="gramEnd"/>
      <w:r>
        <w:rPr>
          <w:rFonts w:ascii="Times New Roman" w:hAnsi="Times New Roman" w:cs="Times New Roman"/>
          <w:sz w:val="24"/>
          <w:szCs w:val="24"/>
        </w:rPr>
        <w:t xml:space="preserve"> and fund members</w:t>
      </w:r>
      <w:r w:rsidRPr="00D87B9C">
        <w:rPr>
          <w:rFonts w:ascii="Times New Roman" w:hAnsi="Times New Roman" w:cs="Times New Roman"/>
          <w:sz w:val="24"/>
          <w:szCs w:val="24"/>
        </w:rPr>
        <w:t xml:space="preserve">. APRA will also </w:t>
      </w:r>
      <w:proofErr w:type="gramStart"/>
      <w:r w:rsidRPr="00D87B9C">
        <w:rPr>
          <w:rFonts w:ascii="Times New Roman" w:hAnsi="Times New Roman" w:cs="Times New Roman"/>
          <w:sz w:val="24"/>
          <w:szCs w:val="24"/>
        </w:rPr>
        <w:t>take into account</w:t>
      </w:r>
      <w:proofErr w:type="gramEnd"/>
      <w:r w:rsidRPr="00D87B9C">
        <w:rPr>
          <w:rFonts w:ascii="Times New Roman" w:hAnsi="Times New Roman" w:cs="Times New Roman"/>
          <w:sz w:val="24"/>
          <w:szCs w:val="24"/>
        </w:rPr>
        <w:t xml:space="preserve"> other considerations, such as efficiency, competition, contestability, competitive neutrality and regulatory burden, including comparisons with </w:t>
      </w:r>
      <w:r w:rsidR="004C6F79">
        <w:rPr>
          <w:rFonts w:ascii="Times New Roman" w:hAnsi="Times New Roman" w:cs="Times New Roman"/>
          <w:sz w:val="24"/>
          <w:szCs w:val="24"/>
        </w:rPr>
        <w:t>an</w:t>
      </w:r>
      <w:r w:rsidRPr="00D87B9C">
        <w:rPr>
          <w:rFonts w:ascii="Times New Roman" w:hAnsi="Times New Roman" w:cs="Times New Roman"/>
          <w:sz w:val="24"/>
          <w:szCs w:val="24"/>
        </w:rPr>
        <w:t xml:space="preserve"> entity’s peer group.</w:t>
      </w:r>
    </w:p>
    <w:p w14:paraId="532A7033" w14:textId="2B03035C" w:rsidR="00CA4CF2" w:rsidRDefault="006F7E4A" w:rsidP="004541DC">
      <w:pPr>
        <w:pStyle w:val="NormalWeb"/>
        <w:spacing w:after="240" w:afterAutospacing="0"/>
      </w:pPr>
      <w:r w:rsidRPr="00435777">
        <w:t>The exercise of APRA's powers is governed by a robust decision-making framework which is documented in APRA's internal policies. This framework supports APRA in fulfilling its mandate by limiting decision making to those senior APRA officers with the appropriate experience and skill to exercise prudent judgement. The framework also requires decision makers to seek advice from internal technical experts.</w:t>
      </w:r>
    </w:p>
    <w:p w14:paraId="233080FC" w14:textId="609FF2D1" w:rsidR="00CB6890" w:rsidRPr="004B5A1D" w:rsidRDefault="00936D3D" w:rsidP="000868B7">
      <w:pPr>
        <w:jc w:val="both"/>
        <w:rPr>
          <w:rFonts w:ascii="Times New Roman" w:hAnsi="Times New Roman" w:cs="Times New Roman"/>
          <w:b/>
          <w:i/>
          <w:sz w:val="24"/>
          <w:szCs w:val="24"/>
        </w:rPr>
      </w:pPr>
      <w:r w:rsidRPr="004B5A1D">
        <w:rPr>
          <w:rFonts w:ascii="Times New Roman" w:hAnsi="Times New Roman" w:cs="Times New Roman"/>
          <w:b/>
          <w:i/>
          <w:sz w:val="24"/>
          <w:szCs w:val="24"/>
        </w:rPr>
        <w:t>Documents i</w:t>
      </w:r>
      <w:r w:rsidR="007A31E8" w:rsidRPr="004B5A1D">
        <w:rPr>
          <w:rFonts w:ascii="Times New Roman" w:hAnsi="Times New Roman" w:cs="Times New Roman"/>
          <w:b/>
          <w:i/>
          <w:sz w:val="24"/>
          <w:szCs w:val="24"/>
        </w:rPr>
        <w:t>ncorporat</w:t>
      </w:r>
      <w:r w:rsidR="004B5A1D" w:rsidRPr="004B5A1D">
        <w:rPr>
          <w:rFonts w:ascii="Times New Roman" w:hAnsi="Times New Roman" w:cs="Times New Roman"/>
          <w:b/>
          <w:i/>
          <w:sz w:val="24"/>
          <w:szCs w:val="24"/>
        </w:rPr>
        <w:t>ed</w:t>
      </w:r>
      <w:r w:rsidR="007A31E8" w:rsidRPr="004B5A1D">
        <w:rPr>
          <w:rFonts w:ascii="Times New Roman" w:hAnsi="Times New Roman" w:cs="Times New Roman"/>
          <w:b/>
          <w:i/>
          <w:sz w:val="24"/>
          <w:szCs w:val="24"/>
        </w:rPr>
        <w:t xml:space="preserve"> by </w:t>
      </w:r>
      <w:proofErr w:type="gramStart"/>
      <w:r w:rsidR="007A31E8" w:rsidRPr="004B5A1D">
        <w:rPr>
          <w:rFonts w:ascii="Times New Roman" w:hAnsi="Times New Roman" w:cs="Times New Roman"/>
          <w:b/>
          <w:i/>
          <w:sz w:val="24"/>
          <w:szCs w:val="24"/>
        </w:rPr>
        <w:t>reference</w:t>
      </w:r>
      <w:proofErr w:type="gramEnd"/>
    </w:p>
    <w:p w14:paraId="34EDEAE9" w14:textId="1CE01F98" w:rsidR="00B0208A" w:rsidRPr="007B74A4" w:rsidRDefault="00B0208A" w:rsidP="00B0208A">
      <w:pPr>
        <w:pStyle w:val="paragraph"/>
        <w:spacing w:before="0" w:beforeAutospacing="0" w:after="0" w:afterAutospacing="0"/>
        <w:jc w:val="both"/>
        <w:textAlignment w:val="baseline"/>
        <w:rPr>
          <w:rFonts w:ascii="Times New Roman" w:hAnsi="Times New Roman" w:cs="Times New Roman"/>
          <w:color w:val="000000"/>
          <w:sz w:val="28"/>
          <w:szCs w:val="28"/>
        </w:rPr>
      </w:pPr>
      <w:r w:rsidRPr="007B74A4">
        <w:rPr>
          <w:rStyle w:val="normaltextrun"/>
          <w:rFonts w:ascii="Times New Roman" w:hAnsi="Times New Roman" w:cs="Times New Roman"/>
          <w:color w:val="000000"/>
          <w:sz w:val="24"/>
          <w:szCs w:val="28"/>
        </w:rPr>
        <w:t xml:space="preserve">Under section 14(1)(a) of the </w:t>
      </w:r>
      <w:r w:rsidRPr="007B74A4">
        <w:rPr>
          <w:rStyle w:val="normaltextrun"/>
          <w:rFonts w:ascii="Times New Roman" w:hAnsi="Times New Roman" w:cs="Times New Roman"/>
          <w:i/>
          <w:iCs/>
          <w:color w:val="000000"/>
          <w:sz w:val="24"/>
          <w:szCs w:val="28"/>
        </w:rPr>
        <w:t>Legislation Act 2003</w:t>
      </w:r>
      <w:r w:rsidRPr="007B74A4">
        <w:rPr>
          <w:rStyle w:val="normaltextrun"/>
          <w:rFonts w:ascii="Times New Roman" w:hAnsi="Times New Roman" w:cs="Times New Roman"/>
          <w:color w:val="000000"/>
          <w:sz w:val="24"/>
          <w:szCs w:val="28"/>
        </w:rPr>
        <w:t>, the standard incorporates by reference as in force from time to time:</w:t>
      </w:r>
    </w:p>
    <w:p w14:paraId="2659BA0C" w14:textId="5BE3FD70" w:rsidR="00B0208A" w:rsidRPr="007B74A4" w:rsidRDefault="00B0208A" w:rsidP="009F4EFD">
      <w:pPr>
        <w:pStyle w:val="ListBullet"/>
        <w:spacing w:after="0"/>
        <w:ind w:left="714" w:hanging="357"/>
        <w:rPr>
          <w:sz w:val="28"/>
          <w:szCs w:val="24"/>
        </w:rPr>
      </w:pPr>
      <w:r w:rsidRPr="007B74A4">
        <w:rPr>
          <w:rStyle w:val="normaltextrun"/>
          <w:rFonts w:ascii="Times New Roman" w:hAnsi="Times New Roman" w:cs="Times New Roman"/>
          <w:color w:val="000000"/>
          <w:sz w:val="24"/>
          <w:szCs w:val="28"/>
        </w:rPr>
        <w:t xml:space="preserve">Acts of Parliament and associated delegated </w:t>
      </w:r>
      <w:proofErr w:type="gramStart"/>
      <w:r w:rsidRPr="007B74A4">
        <w:rPr>
          <w:rStyle w:val="normaltextrun"/>
          <w:rFonts w:ascii="Times New Roman" w:hAnsi="Times New Roman" w:cs="Times New Roman"/>
          <w:color w:val="000000"/>
          <w:sz w:val="24"/>
          <w:szCs w:val="28"/>
        </w:rPr>
        <w:t>laws;</w:t>
      </w:r>
      <w:proofErr w:type="gramEnd"/>
    </w:p>
    <w:p w14:paraId="5B432A2F" w14:textId="6ACD6C50" w:rsidR="00B0208A" w:rsidRPr="007B74A4" w:rsidRDefault="00B0208A" w:rsidP="009F4EFD">
      <w:pPr>
        <w:pStyle w:val="ListBullet"/>
        <w:spacing w:after="0"/>
        <w:ind w:left="714" w:hanging="357"/>
        <w:rPr>
          <w:sz w:val="28"/>
          <w:szCs w:val="24"/>
        </w:rPr>
      </w:pPr>
      <w:r w:rsidRPr="007B74A4">
        <w:rPr>
          <w:rStyle w:val="normaltextrun"/>
          <w:rFonts w:ascii="Times New Roman" w:hAnsi="Times New Roman" w:cs="Times New Roman"/>
          <w:color w:val="000000"/>
          <w:sz w:val="24"/>
          <w:szCs w:val="28"/>
        </w:rPr>
        <w:t>Prudential Standards determined by APRA under:</w:t>
      </w:r>
    </w:p>
    <w:p w14:paraId="3AB64662" w14:textId="73753EAD" w:rsidR="00B0208A" w:rsidRPr="007B74A4" w:rsidRDefault="00B0208A" w:rsidP="00A07049">
      <w:pPr>
        <w:pStyle w:val="paragraph"/>
        <w:numPr>
          <w:ilvl w:val="2"/>
          <w:numId w:val="34"/>
        </w:numPr>
        <w:tabs>
          <w:tab w:val="num" w:pos="300"/>
        </w:tabs>
        <w:spacing w:before="0" w:beforeAutospacing="0" w:after="0" w:afterAutospacing="0"/>
        <w:jc w:val="both"/>
        <w:textAlignment w:val="baseline"/>
        <w:rPr>
          <w:rStyle w:val="normaltextrun"/>
          <w:sz w:val="24"/>
          <w:szCs w:val="24"/>
        </w:rPr>
      </w:pPr>
      <w:r w:rsidRPr="007B74A4">
        <w:rPr>
          <w:rStyle w:val="normaltextrun"/>
          <w:rFonts w:ascii="Times New Roman" w:hAnsi="Times New Roman" w:cs="Times New Roman"/>
          <w:color w:val="000000"/>
          <w:sz w:val="24"/>
          <w:szCs w:val="28"/>
        </w:rPr>
        <w:t>subsection 11</w:t>
      </w:r>
      <w:proofErr w:type="gramStart"/>
      <w:r w:rsidRPr="007B74A4">
        <w:rPr>
          <w:rStyle w:val="normaltextrun"/>
          <w:rFonts w:ascii="Times New Roman" w:hAnsi="Times New Roman" w:cs="Times New Roman"/>
          <w:color w:val="000000"/>
          <w:sz w:val="24"/>
          <w:szCs w:val="28"/>
        </w:rPr>
        <w:t>AF(</w:t>
      </w:r>
      <w:proofErr w:type="gramEnd"/>
      <w:r w:rsidRPr="007B74A4">
        <w:rPr>
          <w:rStyle w:val="normaltextrun"/>
          <w:rFonts w:ascii="Times New Roman" w:hAnsi="Times New Roman" w:cs="Times New Roman"/>
          <w:color w:val="000000"/>
          <w:sz w:val="24"/>
          <w:szCs w:val="28"/>
        </w:rPr>
        <w:t>1) of the Banking Act;</w:t>
      </w:r>
    </w:p>
    <w:p w14:paraId="7DB6FA5C" w14:textId="73F26B2E" w:rsidR="00B0208A" w:rsidRPr="007B74A4" w:rsidRDefault="00B0208A" w:rsidP="00A07049">
      <w:pPr>
        <w:pStyle w:val="paragraph"/>
        <w:numPr>
          <w:ilvl w:val="2"/>
          <w:numId w:val="34"/>
        </w:numPr>
        <w:tabs>
          <w:tab w:val="num" w:pos="300"/>
        </w:tabs>
        <w:spacing w:before="0" w:beforeAutospacing="0" w:after="0" w:afterAutospacing="0"/>
        <w:jc w:val="both"/>
        <w:textAlignment w:val="baseline"/>
        <w:rPr>
          <w:rStyle w:val="normaltextrun"/>
          <w:sz w:val="24"/>
          <w:szCs w:val="24"/>
        </w:rPr>
      </w:pPr>
      <w:r w:rsidRPr="007B74A4">
        <w:rPr>
          <w:rStyle w:val="normaltextrun"/>
          <w:rFonts w:ascii="Times New Roman" w:hAnsi="Times New Roman" w:cs="Times New Roman"/>
          <w:color w:val="000000"/>
          <w:sz w:val="24"/>
          <w:szCs w:val="28"/>
        </w:rPr>
        <w:t xml:space="preserve">subsection 32(1) of the Insurance </w:t>
      </w:r>
      <w:proofErr w:type="gramStart"/>
      <w:r w:rsidRPr="007B74A4">
        <w:rPr>
          <w:rStyle w:val="normaltextrun"/>
          <w:rFonts w:ascii="Times New Roman" w:hAnsi="Times New Roman" w:cs="Times New Roman"/>
          <w:color w:val="000000"/>
          <w:sz w:val="24"/>
          <w:szCs w:val="28"/>
        </w:rPr>
        <w:t>Act;</w:t>
      </w:r>
      <w:proofErr w:type="gramEnd"/>
    </w:p>
    <w:p w14:paraId="6FAF96AD" w14:textId="3606B920" w:rsidR="00B0208A" w:rsidRPr="007B74A4" w:rsidRDefault="00B0208A" w:rsidP="00A07049">
      <w:pPr>
        <w:pStyle w:val="paragraph"/>
        <w:numPr>
          <w:ilvl w:val="2"/>
          <w:numId w:val="34"/>
        </w:numPr>
        <w:tabs>
          <w:tab w:val="num" w:pos="300"/>
        </w:tabs>
        <w:spacing w:before="0" w:beforeAutospacing="0" w:after="0" w:afterAutospacing="0"/>
        <w:jc w:val="both"/>
        <w:textAlignment w:val="baseline"/>
        <w:rPr>
          <w:rStyle w:val="normaltextrun"/>
          <w:sz w:val="24"/>
          <w:szCs w:val="24"/>
        </w:rPr>
      </w:pPr>
      <w:r w:rsidRPr="007B74A4">
        <w:rPr>
          <w:rStyle w:val="normaltextrun"/>
          <w:rFonts w:ascii="Times New Roman" w:hAnsi="Times New Roman" w:cs="Times New Roman"/>
          <w:color w:val="000000"/>
          <w:sz w:val="24"/>
          <w:szCs w:val="28"/>
        </w:rPr>
        <w:t>subsection 230</w:t>
      </w:r>
      <w:proofErr w:type="gramStart"/>
      <w:r w:rsidRPr="007B74A4">
        <w:rPr>
          <w:rStyle w:val="normaltextrun"/>
          <w:rFonts w:ascii="Times New Roman" w:hAnsi="Times New Roman" w:cs="Times New Roman"/>
          <w:color w:val="000000"/>
          <w:sz w:val="24"/>
          <w:szCs w:val="28"/>
        </w:rPr>
        <w:t>A(</w:t>
      </w:r>
      <w:proofErr w:type="gramEnd"/>
      <w:r w:rsidRPr="007B74A4">
        <w:rPr>
          <w:rStyle w:val="normaltextrun"/>
          <w:rFonts w:ascii="Times New Roman" w:hAnsi="Times New Roman" w:cs="Times New Roman"/>
          <w:color w:val="000000"/>
          <w:sz w:val="24"/>
          <w:szCs w:val="28"/>
        </w:rPr>
        <w:t>1) of the Life Insurance Act; and</w:t>
      </w:r>
    </w:p>
    <w:p w14:paraId="3E346368" w14:textId="1C5F3F90" w:rsidR="00B0208A" w:rsidRPr="007B74A4" w:rsidRDefault="00B0208A" w:rsidP="00A07049">
      <w:pPr>
        <w:pStyle w:val="paragraph"/>
        <w:numPr>
          <w:ilvl w:val="2"/>
          <w:numId w:val="34"/>
        </w:numPr>
        <w:spacing w:before="0" w:beforeAutospacing="0" w:after="0" w:afterAutospacing="0"/>
        <w:jc w:val="both"/>
        <w:textAlignment w:val="baseline"/>
        <w:rPr>
          <w:rStyle w:val="eop"/>
          <w:rFonts w:ascii="Times New Roman" w:hAnsi="Times New Roman" w:cs="Times New Roman"/>
          <w:color w:val="000000"/>
          <w:sz w:val="28"/>
          <w:szCs w:val="28"/>
        </w:rPr>
      </w:pPr>
      <w:r w:rsidRPr="007B74A4">
        <w:rPr>
          <w:rStyle w:val="normaltextrun"/>
          <w:rFonts w:ascii="Times New Roman" w:hAnsi="Times New Roman" w:cs="Times New Roman"/>
          <w:color w:val="000000"/>
          <w:sz w:val="24"/>
          <w:szCs w:val="28"/>
        </w:rPr>
        <w:t>subsection 92(1) of the </w:t>
      </w:r>
      <w:r w:rsidRPr="007B74A4">
        <w:rPr>
          <w:rStyle w:val="normaltextrun"/>
          <w:rFonts w:ascii="Times New Roman" w:hAnsi="Times New Roman" w:cs="Times New Roman"/>
          <w:iCs/>
          <w:color w:val="000000"/>
          <w:sz w:val="24"/>
          <w:szCs w:val="28"/>
        </w:rPr>
        <w:t>PHIPS Act</w:t>
      </w:r>
      <w:r w:rsidR="00425446" w:rsidRPr="007B74A4">
        <w:rPr>
          <w:rStyle w:val="normaltextrun"/>
          <w:rFonts w:ascii="Times New Roman" w:hAnsi="Times New Roman" w:cs="Times New Roman"/>
          <w:color w:val="000000"/>
          <w:sz w:val="24"/>
          <w:szCs w:val="28"/>
        </w:rPr>
        <w:t>.</w:t>
      </w:r>
      <w:r w:rsidRPr="007B74A4">
        <w:rPr>
          <w:rStyle w:val="normaltextrun"/>
          <w:rFonts w:ascii="Times New Roman" w:hAnsi="Times New Roman" w:cs="Times New Roman"/>
          <w:color w:val="000000"/>
          <w:sz w:val="24"/>
          <w:szCs w:val="28"/>
        </w:rPr>
        <w:t xml:space="preserve"> </w:t>
      </w:r>
    </w:p>
    <w:p w14:paraId="70DEA728" w14:textId="77777777" w:rsidR="00425446" w:rsidRPr="007B74A4" w:rsidRDefault="00425446" w:rsidP="00425446">
      <w:pPr>
        <w:pStyle w:val="NormalWeb"/>
        <w:rPr>
          <w:color w:val="000000"/>
        </w:rPr>
      </w:pPr>
      <w:r w:rsidRPr="007B74A4">
        <w:rPr>
          <w:color w:val="000000"/>
        </w:rPr>
        <w:t>Under section 14(1)(b) of the Legislation Act, where the standard incorporates by reference another Superannuation Prudential Standard determined by APRA under section 34C of the SIS Act, the Superannuation Prudential Standard referred to is the version that exists at the time the Instrument was determined.</w:t>
      </w:r>
    </w:p>
    <w:p w14:paraId="28BF9847" w14:textId="77777777" w:rsidR="00425446" w:rsidRPr="007B74A4" w:rsidRDefault="00425446" w:rsidP="00425446">
      <w:pPr>
        <w:pStyle w:val="NormalWeb"/>
        <w:rPr>
          <w:color w:val="000000"/>
        </w:rPr>
      </w:pPr>
      <w:r w:rsidRPr="007B74A4">
        <w:rPr>
          <w:color w:val="000000"/>
        </w:rPr>
        <w:t>All documents incorporated by reference in this standard are available on the Federal Register of Legislation at www.legislation.gov.au.</w:t>
      </w:r>
    </w:p>
    <w:p w14:paraId="26D38415" w14:textId="3E3C1AE2" w:rsidR="00197A23" w:rsidRPr="00D9085C" w:rsidRDefault="00E71019" w:rsidP="00142787">
      <w:pPr>
        <w:pStyle w:val="ListParagraph"/>
        <w:keepNext/>
        <w:numPr>
          <w:ilvl w:val="0"/>
          <w:numId w:val="22"/>
        </w:numPr>
        <w:spacing w:after="240" w:line="240" w:lineRule="auto"/>
        <w:ind w:left="567" w:hanging="567"/>
        <w:jc w:val="both"/>
        <w:rPr>
          <w:rFonts w:ascii="Times New Roman" w:hAnsi="Times New Roman" w:cs="Times New Roman"/>
          <w:b/>
          <w:sz w:val="24"/>
          <w:szCs w:val="24"/>
          <w:lang w:eastAsia="en-US"/>
        </w:rPr>
      </w:pPr>
      <w:r w:rsidRPr="00D9085C">
        <w:rPr>
          <w:rFonts w:ascii="Times New Roman" w:hAnsi="Times New Roman" w:cs="Times New Roman"/>
          <w:b/>
          <w:sz w:val="24"/>
          <w:szCs w:val="24"/>
          <w:lang w:eastAsia="en-US"/>
        </w:rPr>
        <w:lastRenderedPageBreak/>
        <w:t>Consultation</w:t>
      </w:r>
    </w:p>
    <w:p w14:paraId="33EC7EB3" w14:textId="12282D68" w:rsidR="00DF49D8" w:rsidRPr="00D9085C" w:rsidRDefault="00B22E51" w:rsidP="00142787">
      <w:pPr>
        <w:keepNext/>
        <w:jc w:val="both"/>
        <w:rPr>
          <w:rFonts w:ascii="Times New Roman" w:hAnsi="Times New Roman" w:cs="Times New Roman"/>
          <w:sz w:val="24"/>
          <w:szCs w:val="24"/>
        </w:rPr>
      </w:pPr>
      <w:r w:rsidRPr="00D9085C">
        <w:rPr>
          <w:rFonts w:ascii="Times New Roman" w:hAnsi="Times New Roman" w:cs="Times New Roman"/>
          <w:sz w:val="24"/>
          <w:szCs w:val="24"/>
        </w:rPr>
        <w:t xml:space="preserve">APRA </w:t>
      </w:r>
      <w:r w:rsidR="00501213" w:rsidRPr="00D9085C">
        <w:rPr>
          <w:rFonts w:ascii="Times New Roman" w:hAnsi="Times New Roman" w:cs="Times New Roman"/>
          <w:sz w:val="24"/>
          <w:szCs w:val="24"/>
        </w:rPr>
        <w:t>undertook</w:t>
      </w:r>
      <w:r w:rsidRPr="00D9085C">
        <w:rPr>
          <w:rFonts w:ascii="Times New Roman" w:hAnsi="Times New Roman" w:cs="Times New Roman"/>
          <w:sz w:val="24"/>
          <w:szCs w:val="24"/>
        </w:rPr>
        <w:t xml:space="preserve"> public consultation </w:t>
      </w:r>
      <w:r w:rsidR="00A16887">
        <w:rPr>
          <w:rFonts w:ascii="Times New Roman" w:hAnsi="Times New Roman" w:cs="Times New Roman"/>
          <w:sz w:val="24"/>
          <w:szCs w:val="24"/>
        </w:rPr>
        <w:t>on the proposed CPS 230 from July</w:t>
      </w:r>
      <w:r w:rsidR="00646436">
        <w:rPr>
          <w:rFonts w:ascii="Times New Roman" w:hAnsi="Times New Roman" w:cs="Times New Roman"/>
          <w:sz w:val="24"/>
          <w:szCs w:val="24"/>
        </w:rPr>
        <w:t xml:space="preserve"> to October 2022</w:t>
      </w:r>
      <w:r w:rsidR="00501213" w:rsidRPr="00D9085C">
        <w:rPr>
          <w:rFonts w:ascii="Times New Roman" w:hAnsi="Times New Roman" w:cs="Times New Roman"/>
          <w:sz w:val="24"/>
          <w:szCs w:val="24"/>
        </w:rPr>
        <w:t>. This</w:t>
      </w:r>
      <w:r w:rsidRPr="00D9085C">
        <w:rPr>
          <w:rFonts w:ascii="Times New Roman" w:hAnsi="Times New Roman" w:cs="Times New Roman"/>
          <w:sz w:val="24"/>
          <w:szCs w:val="24"/>
        </w:rPr>
        <w:t xml:space="preserve"> </w:t>
      </w:r>
      <w:r w:rsidR="00646436">
        <w:rPr>
          <w:rFonts w:ascii="Times New Roman" w:hAnsi="Times New Roman" w:cs="Times New Roman"/>
          <w:sz w:val="24"/>
          <w:szCs w:val="24"/>
        </w:rPr>
        <w:t>included consultation</w:t>
      </w:r>
      <w:r w:rsidR="00501213" w:rsidRPr="00D9085C">
        <w:rPr>
          <w:rFonts w:ascii="Times New Roman" w:hAnsi="Times New Roman" w:cs="Times New Roman"/>
          <w:sz w:val="24"/>
          <w:szCs w:val="24"/>
        </w:rPr>
        <w:t xml:space="preserve"> engagements</w:t>
      </w:r>
      <w:r w:rsidRPr="00D9085C">
        <w:rPr>
          <w:rFonts w:ascii="Times New Roman" w:hAnsi="Times New Roman" w:cs="Times New Roman"/>
          <w:sz w:val="24"/>
          <w:szCs w:val="24"/>
        </w:rPr>
        <w:t xml:space="preserve"> with a variety of stakeholders including </w:t>
      </w:r>
      <w:r w:rsidR="00646436">
        <w:rPr>
          <w:rFonts w:ascii="Times New Roman" w:hAnsi="Times New Roman" w:cs="Times New Roman"/>
          <w:sz w:val="24"/>
          <w:szCs w:val="24"/>
        </w:rPr>
        <w:t>regulated</w:t>
      </w:r>
      <w:r w:rsidRPr="00D9085C">
        <w:rPr>
          <w:rFonts w:ascii="Times New Roman" w:hAnsi="Times New Roman" w:cs="Times New Roman"/>
          <w:sz w:val="24"/>
          <w:szCs w:val="24"/>
        </w:rPr>
        <w:t xml:space="preserve"> </w:t>
      </w:r>
      <w:r w:rsidR="00CE6CEC" w:rsidRPr="00D9085C">
        <w:rPr>
          <w:rFonts w:ascii="Times New Roman" w:hAnsi="Times New Roman" w:cs="Times New Roman"/>
          <w:sz w:val="24"/>
          <w:szCs w:val="24"/>
        </w:rPr>
        <w:t>entities</w:t>
      </w:r>
      <w:r w:rsidR="00DD62A9">
        <w:rPr>
          <w:rFonts w:ascii="Times New Roman" w:hAnsi="Times New Roman" w:cs="Times New Roman"/>
          <w:sz w:val="24"/>
          <w:szCs w:val="24"/>
        </w:rPr>
        <w:t xml:space="preserve"> and </w:t>
      </w:r>
      <w:r w:rsidRPr="00D9085C">
        <w:rPr>
          <w:rFonts w:ascii="Times New Roman" w:hAnsi="Times New Roman" w:cs="Times New Roman"/>
          <w:sz w:val="24"/>
          <w:szCs w:val="24"/>
        </w:rPr>
        <w:t>industry associations</w:t>
      </w:r>
      <w:r w:rsidR="00647788" w:rsidRPr="00D9085C">
        <w:rPr>
          <w:rFonts w:ascii="Times New Roman" w:hAnsi="Times New Roman" w:cs="Times New Roman"/>
          <w:sz w:val="24"/>
          <w:szCs w:val="24"/>
        </w:rPr>
        <w:t>.</w:t>
      </w:r>
      <w:r w:rsidR="00DD62A9">
        <w:rPr>
          <w:rFonts w:ascii="Times New Roman" w:hAnsi="Times New Roman" w:cs="Times New Roman"/>
          <w:sz w:val="24"/>
          <w:szCs w:val="24"/>
        </w:rPr>
        <w:t xml:space="preserve"> </w:t>
      </w:r>
      <w:r w:rsidR="00DF49D8" w:rsidRPr="00D9085C">
        <w:rPr>
          <w:rFonts w:ascii="Times New Roman" w:hAnsi="Times New Roman" w:cs="Times New Roman"/>
          <w:sz w:val="24"/>
          <w:szCs w:val="24"/>
        </w:rPr>
        <w:t xml:space="preserve">APRA received </w:t>
      </w:r>
      <w:r w:rsidR="00DD62A9">
        <w:rPr>
          <w:rFonts w:ascii="Times New Roman" w:hAnsi="Times New Roman" w:cs="Times New Roman"/>
          <w:sz w:val="24"/>
          <w:szCs w:val="24"/>
        </w:rPr>
        <w:t>62</w:t>
      </w:r>
      <w:r w:rsidR="00DF49D8" w:rsidRPr="00D9085C">
        <w:rPr>
          <w:rFonts w:ascii="Times New Roman" w:hAnsi="Times New Roman" w:cs="Times New Roman"/>
          <w:sz w:val="24"/>
          <w:szCs w:val="24"/>
        </w:rPr>
        <w:t xml:space="preserve"> submissions </w:t>
      </w:r>
      <w:r w:rsidR="00DD62A9">
        <w:rPr>
          <w:rFonts w:ascii="Times New Roman" w:hAnsi="Times New Roman" w:cs="Times New Roman"/>
          <w:sz w:val="24"/>
          <w:szCs w:val="24"/>
        </w:rPr>
        <w:t xml:space="preserve">in response to the </w:t>
      </w:r>
      <w:r w:rsidR="00DF49D8" w:rsidRPr="00D9085C">
        <w:rPr>
          <w:rFonts w:ascii="Times New Roman" w:hAnsi="Times New Roman" w:cs="Times New Roman"/>
          <w:sz w:val="24"/>
          <w:szCs w:val="24"/>
        </w:rPr>
        <w:t>consultation.</w:t>
      </w:r>
    </w:p>
    <w:p w14:paraId="562AA5ED" w14:textId="0EB8569C" w:rsidR="00DF49D8" w:rsidRDefault="00DF49D8" w:rsidP="00641582">
      <w:pPr>
        <w:jc w:val="both"/>
        <w:rPr>
          <w:rFonts w:ascii="Times New Roman" w:hAnsi="Times New Roman" w:cs="Times New Roman"/>
          <w:sz w:val="24"/>
          <w:szCs w:val="24"/>
        </w:rPr>
      </w:pPr>
      <w:r w:rsidRPr="00D9085C">
        <w:rPr>
          <w:rFonts w:ascii="Times New Roman" w:hAnsi="Times New Roman" w:cs="Times New Roman"/>
          <w:sz w:val="24"/>
          <w:szCs w:val="24"/>
        </w:rPr>
        <w:t xml:space="preserve">In </w:t>
      </w:r>
      <w:r w:rsidR="002433F1">
        <w:rPr>
          <w:rFonts w:ascii="Times New Roman" w:hAnsi="Times New Roman" w:cs="Times New Roman"/>
          <w:sz w:val="24"/>
          <w:szCs w:val="24"/>
        </w:rPr>
        <w:t>July</w:t>
      </w:r>
      <w:r w:rsidR="002433F1" w:rsidRPr="00D9085C">
        <w:rPr>
          <w:rFonts w:ascii="Times New Roman" w:hAnsi="Times New Roman" w:cs="Times New Roman"/>
          <w:sz w:val="24"/>
          <w:szCs w:val="24"/>
        </w:rPr>
        <w:t xml:space="preserve"> </w:t>
      </w:r>
      <w:r w:rsidRPr="00D9085C">
        <w:rPr>
          <w:rFonts w:ascii="Times New Roman" w:hAnsi="Times New Roman" w:cs="Times New Roman"/>
          <w:sz w:val="24"/>
          <w:szCs w:val="24"/>
        </w:rPr>
        <w:t>202</w:t>
      </w:r>
      <w:r w:rsidR="0068645C">
        <w:rPr>
          <w:rFonts w:ascii="Times New Roman" w:hAnsi="Times New Roman" w:cs="Times New Roman"/>
          <w:sz w:val="24"/>
          <w:szCs w:val="24"/>
        </w:rPr>
        <w:t>3</w:t>
      </w:r>
      <w:r w:rsidRPr="00D9085C">
        <w:rPr>
          <w:rFonts w:ascii="Times New Roman" w:hAnsi="Times New Roman" w:cs="Times New Roman"/>
          <w:sz w:val="24"/>
          <w:szCs w:val="24"/>
        </w:rPr>
        <w:t>, APRA released a detailed response to</w:t>
      </w:r>
      <w:r w:rsidR="0068645C">
        <w:rPr>
          <w:rFonts w:ascii="Times New Roman" w:hAnsi="Times New Roman" w:cs="Times New Roman"/>
          <w:sz w:val="24"/>
          <w:szCs w:val="24"/>
        </w:rPr>
        <w:t xml:space="preserve"> material</w:t>
      </w:r>
      <w:r w:rsidRPr="00D9085C">
        <w:rPr>
          <w:rFonts w:ascii="Times New Roman" w:hAnsi="Times New Roman" w:cs="Times New Roman"/>
          <w:sz w:val="24"/>
          <w:szCs w:val="24"/>
        </w:rPr>
        <w:t xml:space="preserve"> issues raised </w:t>
      </w:r>
      <w:r w:rsidR="0068645C">
        <w:rPr>
          <w:rFonts w:ascii="Times New Roman" w:hAnsi="Times New Roman" w:cs="Times New Roman"/>
          <w:sz w:val="24"/>
          <w:szCs w:val="24"/>
        </w:rPr>
        <w:t xml:space="preserve">submissions to </w:t>
      </w:r>
      <w:r w:rsidRPr="00D9085C">
        <w:rPr>
          <w:rFonts w:ascii="Times New Roman" w:hAnsi="Times New Roman" w:cs="Times New Roman"/>
          <w:sz w:val="24"/>
          <w:szCs w:val="24"/>
        </w:rPr>
        <w:t>the 20</w:t>
      </w:r>
      <w:r w:rsidR="0068645C">
        <w:rPr>
          <w:rFonts w:ascii="Times New Roman" w:hAnsi="Times New Roman" w:cs="Times New Roman"/>
          <w:sz w:val="24"/>
          <w:szCs w:val="24"/>
        </w:rPr>
        <w:t>22</w:t>
      </w:r>
      <w:r w:rsidRPr="00D9085C">
        <w:rPr>
          <w:rFonts w:ascii="Times New Roman" w:hAnsi="Times New Roman" w:cs="Times New Roman"/>
          <w:sz w:val="24"/>
          <w:szCs w:val="24"/>
        </w:rPr>
        <w:t xml:space="preserve"> consultation</w:t>
      </w:r>
      <w:r w:rsidR="0083608A">
        <w:rPr>
          <w:rFonts w:ascii="Times New Roman" w:hAnsi="Times New Roman" w:cs="Times New Roman"/>
          <w:sz w:val="24"/>
          <w:szCs w:val="24"/>
        </w:rPr>
        <w:t>, and</w:t>
      </w:r>
      <w:r w:rsidR="00846656" w:rsidRPr="00D9085C">
        <w:rPr>
          <w:rFonts w:ascii="Times New Roman" w:hAnsi="Times New Roman" w:cs="Times New Roman"/>
          <w:sz w:val="24"/>
          <w:szCs w:val="24"/>
        </w:rPr>
        <w:t xml:space="preserve"> </w:t>
      </w:r>
      <w:r w:rsidR="0068645C">
        <w:rPr>
          <w:rFonts w:ascii="Times New Roman" w:hAnsi="Times New Roman" w:cs="Times New Roman"/>
          <w:sz w:val="24"/>
          <w:szCs w:val="24"/>
        </w:rPr>
        <w:t xml:space="preserve">the final </w:t>
      </w:r>
      <w:r w:rsidR="00D60550">
        <w:rPr>
          <w:rFonts w:ascii="Times New Roman" w:hAnsi="Times New Roman" w:cs="Times New Roman"/>
          <w:sz w:val="24"/>
          <w:szCs w:val="24"/>
        </w:rPr>
        <w:t>CPS 230</w:t>
      </w:r>
      <w:r w:rsidR="003573CA" w:rsidRPr="00D9085C">
        <w:rPr>
          <w:rFonts w:ascii="Times New Roman" w:hAnsi="Times New Roman" w:cs="Times New Roman"/>
          <w:sz w:val="24"/>
          <w:szCs w:val="24"/>
        </w:rPr>
        <w:t xml:space="preserve">. </w:t>
      </w:r>
      <w:r w:rsidR="00E42303">
        <w:rPr>
          <w:rFonts w:ascii="Times New Roman" w:hAnsi="Times New Roman" w:cs="Times New Roman"/>
          <w:sz w:val="24"/>
          <w:szCs w:val="24"/>
        </w:rPr>
        <w:t xml:space="preserve">APRA made </w:t>
      </w:r>
      <w:proofErr w:type="gramStart"/>
      <w:r w:rsidR="00E42303">
        <w:rPr>
          <w:rFonts w:ascii="Times New Roman" w:hAnsi="Times New Roman" w:cs="Times New Roman"/>
          <w:sz w:val="24"/>
          <w:szCs w:val="24"/>
        </w:rPr>
        <w:t>a number of</w:t>
      </w:r>
      <w:proofErr w:type="gramEnd"/>
      <w:r w:rsidR="00E42303">
        <w:rPr>
          <w:rFonts w:ascii="Times New Roman" w:hAnsi="Times New Roman" w:cs="Times New Roman"/>
          <w:sz w:val="24"/>
          <w:szCs w:val="24"/>
        </w:rPr>
        <w:t xml:space="preserve"> changes in finalising CPS 230 in response to issues and concerns raised during the consultation process</w:t>
      </w:r>
      <w:r w:rsidRPr="00D9085C">
        <w:rPr>
          <w:rFonts w:ascii="Times New Roman" w:hAnsi="Times New Roman" w:cs="Times New Roman"/>
          <w:sz w:val="24"/>
          <w:szCs w:val="24"/>
        </w:rPr>
        <w:t xml:space="preserve">. </w:t>
      </w:r>
      <w:r w:rsidR="001A0265">
        <w:rPr>
          <w:rFonts w:ascii="Times New Roman" w:hAnsi="Times New Roman" w:cs="Times New Roman"/>
          <w:sz w:val="24"/>
          <w:szCs w:val="24"/>
        </w:rPr>
        <w:t>These included:</w:t>
      </w:r>
    </w:p>
    <w:p w14:paraId="57F7B480" w14:textId="4E3F10E7" w:rsidR="00A67EC8" w:rsidRDefault="00A04F47" w:rsidP="00AC1C95">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d</w:t>
      </w:r>
      <w:r w:rsidR="009D0EB6">
        <w:rPr>
          <w:rFonts w:ascii="Times New Roman" w:hAnsi="Times New Roman" w:cs="Times New Roman"/>
          <w:sz w:val="24"/>
          <w:szCs w:val="24"/>
        </w:rPr>
        <w:t>eferring commencement from the original proposed date of 1</w:t>
      </w:r>
      <w:r>
        <w:rPr>
          <w:rFonts w:ascii="Times New Roman" w:hAnsi="Times New Roman" w:cs="Times New Roman"/>
          <w:sz w:val="24"/>
          <w:szCs w:val="24"/>
        </w:rPr>
        <w:t xml:space="preserve"> January 2024 to 1 July </w:t>
      </w:r>
      <w:proofErr w:type="gramStart"/>
      <w:r>
        <w:rPr>
          <w:rFonts w:ascii="Times New Roman" w:hAnsi="Times New Roman" w:cs="Times New Roman"/>
          <w:sz w:val="24"/>
          <w:szCs w:val="24"/>
        </w:rPr>
        <w:t>2025;</w:t>
      </w:r>
      <w:proofErr w:type="gramEnd"/>
    </w:p>
    <w:p w14:paraId="6D13BD5D" w14:textId="2C670CC5" w:rsidR="00A04F47" w:rsidRDefault="00A04F47" w:rsidP="00AC1C95">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providing transitional relief </w:t>
      </w:r>
      <w:r w:rsidR="00A33883">
        <w:rPr>
          <w:rFonts w:ascii="Times New Roman" w:hAnsi="Times New Roman" w:cs="Times New Roman"/>
          <w:sz w:val="24"/>
          <w:szCs w:val="24"/>
        </w:rPr>
        <w:t xml:space="preserve">in relation to existing contractual arrangements </w:t>
      </w:r>
      <w:r w:rsidR="00592CD8">
        <w:rPr>
          <w:rFonts w:ascii="Times New Roman" w:hAnsi="Times New Roman" w:cs="Times New Roman"/>
          <w:sz w:val="24"/>
          <w:szCs w:val="24"/>
        </w:rPr>
        <w:t xml:space="preserve">with </w:t>
      </w:r>
      <w:r w:rsidR="00A33883">
        <w:rPr>
          <w:rFonts w:ascii="Times New Roman" w:hAnsi="Times New Roman" w:cs="Times New Roman"/>
          <w:sz w:val="24"/>
          <w:szCs w:val="24"/>
        </w:rPr>
        <w:t xml:space="preserve">service providers to allow sufficient time for entities to update such arrangements to ensure compliance with CPS </w:t>
      </w:r>
      <w:proofErr w:type="gramStart"/>
      <w:r w:rsidR="00A33883">
        <w:rPr>
          <w:rFonts w:ascii="Times New Roman" w:hAnsi="Times New Roman" w:cs="Times New Roman"/>
          <w:sz w:val="24"/>
          <w:szCs w:val="24"/>
        </w:rPr>
        <w:t>230;</w:t>
      </w:r>
      <w:proofErr w:type="gramEnd"/>
    </w:p>
    <w:p w14:paraId="3AB526DD" w14:textId="157A7B34" w:rsidR="00A33883" w:rsidRDefault="00832578" w:rsidP="00AC1C95">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providing </w:t>
      </w:r>
      <w:r w:rsidR="003F6904">
        <w:rPr>
          <w:rFonts w:ascii="Times New Roman" w:hAnsi="Times New Roman" w:cs="Times New Roman"/>
          <w:sz w:val="24"/>
          <w:szCs w:val="24"/>
        </w:rPr>
        <w:t xml:space="preserve">flexibility </w:t>
      </w:r>
      <w:r>
        <w:rPr>
          <w:rFonts w:ascii="Times New Roman" w:hAnsi="Times New Roman" w:cs="Times New Roman"/>
          <w:sz w:val="24"/>
          <w:szCs w:val="24"/>
        </w:rPr>
        <w:t xml:space="preserve">for a regulated entity </w:t>
      </w:r>
      <w:r w:rsidR="003F6904">
        <w:rPr>
          <w:rFonts w:ascii="Times New Roman" w:hAnsi="Times New Roman" w:cs="Times New Roman"/>
          <w:sz w:val="24"/>
          <w:szCs w:val="24"/>
        </w:rPr>
        <w:t xml:space="preserve">to determine a prescribed critical operation should not be treated as a critical operation </w:t>
      </w:r>
      <w:r>
        <w:rPr>
          <w:rFonts w:ascii="Times New Roman" w:hAnsi="Times New Roman" w:cs="Times New Roman"/>
          <w:sz w:val="24"/>
          <w:szCs w:val="24"/>
        </w:rPr>
        <w:t>provided the entity is able to justify its decision;</w:t>
      </w:r>
      <w:r w:rsidR="005D1F3E">
        <w:rPr>
          <w:rFonts w:ascii="Times New Roman" w:hAnsi="Times New Roman" w:cs="Times New Roman"/>
          <w:sz w:val="24"/>
          <w:szCs w:val="24"/>
        </w:rPr>
        <w:t xml:space="preserve"> and</w:t>
      </w:r>
    </w:p>
    <w:p w14:paraId="3E096FD2" w14:textId="2A629778" w:rsidR="00832578" w:rsidRDefault="00832578" w:rsidP="00AC1C95">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providing flexibility for a regulated entity to determine </w:t>
      </w:r>
      <w:r w:rsidR="005D1F3E">
        <w:rPr>
          <w:rFonts w:ascii="Times New Roman" w:hAnsi="Times New Roman" w:cs="Times New Roman"/>
          <w:sz w:val="24"/>
          <w:szCs w:val="24"/>
        </w:rPr>
        <w:t xml:space="preserve">that </w:t>
      </w:r>
      <w:r w:rsidR="00CE0A90">
        <w:rPr>
          <w:rFonts w:ascii="Times New Roman" w:hAnsi="Times New Roman" w:cs="Times New Roman"/>
          <w:sz w:val="24"/>
          <w:szCs w:val="24"/>
        </w:rPr>
        <w:t>a</w:t>
      </w:r>
      <w:r w:rsidR="00E31952">
        <w:rPr>
          <w:rFonts w:ascii="Times New Roman" w:hAnsi="Times New Roman" w:cs="Times New Roman"/>
          <w:sz w:val="24"/>
          <w:szCs w:val="24"/>
        </w:rPr>
        <w:t xml:space="preserve"> prescribed material service provider is not a material service provider </w:t>
      </w:r>
      <w:r w:rsidR="005D1F3E">
        <w:rPr>
          <w:rFonts w:ascii="Times New Roman" w:hAnsi="Times New Roman" w:cs="Times New Roman"/>
          <w:sz w:val="24"/>
          <w:szCs w:val="24"/>
        </w:rPr>
        <w:t xml:space="preserve">where </w:t>
      </w:r>
      <w:r w:rsidR="00B975BF">
        <w:rPr>
          <w:rFonts w:ascii="Times New Roman" w:hAnsi="Times New Roman" w:cs="Times New Roman"/>
          <w:sz w:val="24"/>
          <w:szCs w:val="24"/>
        </w:rPr>
        <w:t>the entity is able to justify its decision.</w:t>
      </w:r>
    </w:p>
    <w:p w14:paraId="3F6B8DFA" w14:textId="77777777" w:rsidR="006D5632" w:rsidRPr="00D9085C" w:rsidRDefault="006D5632" w:rsidP="00777743">
      <w:pPr>
        <w:numPr>
          <w:ilvl w:val="0"/>
          <w:numId w:val="22"/>
        </w:numPr>
        <w:spacing w:after="240" w:line="240" w:lineRule="auto"/>
        <w:ind w:left="567" w:hanging="567"/>
        <w:jc w:val="both"/>
        <w:rPr>
          <w:rFonts w:ascii="Times New Roman" w:hAnsi="Times New Roman" w:cs="Times New Roman"/>
          <w:b/>
          <w:sz w:val="24"/>
          <w:szCs w:val="24"/>
          <w:lang w:eastAsia="en-US"/>
        </w:rPr>
      </w:pPr>
      <w:r w:rsidRPr="00D9085C">
        <w:rPr>
          <w:rFonts w:ascii="Times New Roman" w:hAnsi="Times New Roman" w:cs="Times New Roman"/>
          <w:b/>
          <w:sz w:val="24"/>
          <w:szCs w:val="24"/>
          <w:lang w:eastAsia="en-US"/>
        </w:rPr>
        <w:t>Regulation Impact Statement</w:t>
      </w:r>
    </w:p>
    <w:p w14:paraId="4EC67988" w14:textId="4EFFC31B" w:rsidR="00E540AF" w:rsidRPr="00D9085C" w:rsidRDefault="00E540AF" w:rsidP="00777743">
      <w:pPr>
        <w:jc w:val="both"/>
        <w:rPr>
          <w:rFonts w:ascii="Times New Roman" w:hAnsi="Times New Roman" w:cs="Times New Roman"/>
          <w:sz w:val="24"/>
          <w:szCs w:val="24"/>
        </w:rPr>
      </w:pPr>
      <w:r w:rsidRPr="00D9085C">
        <w:rPr>
          <w:rFonts w:ascii="Times New Roman" w:hAnsi="Times New Roman" w:cs="Times New Roman"/>
          <w:sz w:val="24"/>
          <w:szCs w:val="24"/>
        </w:rPr>
        <w:t xml:space="preserve">In developing </w:t>
      </w:r>
      <w:r w:rsidR="00DD039C" w:rsidRPr="00D9085C">
        <w:rPr>
          <w:rFonts w:ascii="Times New Roman" w:hAnsi="Times New Roman" w:cs="Times New Roman"/>
          <w:sz w:val="24"/>
          <w:szCs w:val="24"/>
        </w:rPr>
        <w:t>C</w:t>
      </w:r>
      <w:r w:rsidRPr="00D9085C">
        <w:rPr>
          <w:rFonts w:ascii="Times New Roman" w:hAnsi="Times New Roman" w:cs="Times New Roman"/>
          <w:sz w:val="24"/>
          <w:szCs w:val="24"/>
        </w:rPr>
        <w:t xml:space="preserve">PS </w:t>
      </w:r>
      <w:r w:rsidR="00646E77">
        <w:rPr>
          <w:rFonts w:ascii="Times New Roman" w:hAnsi="Times New Roman" w:cs="Times New Roman"/>
          <w:sz w:val="24"/>
          <w:szCs w:val="24"/>
        </w:rPr>
        <w:t>230</w:t>
      </w:r>
      <w:r w:rsidRPr="00D9085C">
        <w:rPr>
          <w:rFonts w:ascii="Times New Roman" w:hAnsi="Times New Roman" w:cs="Times New Roman"/>
          <w:sz w:val="24"/>
          <w:szCs w:val="24"/>
        </w:rPr>
        <w:t>, APRA has followed a similar process to that required for a Regulation Impact Statement, which satisfies the</w:t>
      </w:r>
      <w:r w:rsidR="009C66A6">
        <w:rPr>
          <w:rFonts w:ascii="Times New Roman" w:hAnsi="Times New Roman" w:cs="Times New Roman"/>
          <w:sz w:val="24"/>
          <w:szCs w:val="24"/>
        </w:rPr>
        <w:t xml:space="preserve"> requirements of the</w:t>
      </w:r>
      <w:r w:rsidRPr="00D9085C">
        <w:rPr>
          <w:rFonts w:ascii="Times New Roman" w:hAnsi="Times New Roman" w:cs="Times New Roman"/>
          <w:sz w:val="24"/>
          <w:szCs w:val="24"/>
        </w:rPr>
        <w:t xml:space="preserve"> Office of </w:t>
      </w:r>
      <w:r w:rsidR="00B975BF">
        <w:rPr>
          <w:rFonts w:ascii="Times New Roman" w:hAnsi="Times New Roman" w:cs="Times New Roman"/>
          <w:sz w:val="24"/>
          <w:szCs w:val="24"/>
        </w:rPr>
        <w:t>Impact Analys</w:t>
      </w:r>
      <w:r w:rsidR="009C66A6">
        <w:rPr>
          <w:rFonts w:ascii="Times New Roman" w:hAnsi="Times New Roman" w:cs="Times New Roman"/>
          <w:sz w:val="24"/>
          <w:szCs w:val="24"/>
        </w:rPr>
        <w:t>is</w:t>
      </w:r>
      <w:r w:rsidRPr="00D9085C">
        <w:rPr>
          <w:rFonts w:ascii="Times New Roman" w:hAnsi="Times New Roman" w:cs="Times New Roman"/>
          <w:sz w:val="24"/>
          <w:szCs w:val="24"/>
        </w:rPr>
        <w:t>. The document</w:t>
      </w:r>
      <w:r w:rsidR="009C66A6">
        <w:rPr>
          <w:rFonts w:ascii="Times New Roman" w:hAnsi="Times New Roman" w:cs="Times New Roman"/>
          <w:sz w:val="24"/>
          <w:szCs w:val="24"/>
        </w:rPr>
        <w:t>s</w:t>
      </w:r>
      <w:r w:rsidRPr="00D9085C">
        <w:rPr>
          <w:rFonts w:ascii="Times New Roman" w:hAnsi="Times New Roman" w:cs="Times New Roman"/>
          <w:sz w:val="24"/>
          <w:szCs w:val="24"/>
        </w:rPr>
        <w:t xml:space="preserve"> evidencing APRA’s policy development process h</w:t>
      </w:r>
      <w:r w:rsidR="009C66A6">
        <w:rPr>
          <w:rFonts w:ascii="Times New Roman" w:hAnsi="Times New Roman" w:cs="Times New Roman"/>
          <w:sz w:val="24"/>
          <w:szCs w:val="24"/>
        </w:rPr>
        <w:t>ave</w:t>
      </w:r>
      <w:r w:rsidRPr="00D9085C">
        <w:rPr>
          <w:rFonts w:ascii="Times New Roman" w:hAnsi="Times New Roman" w:cs="Times New Roman"/>
          <w:sz w:val="24"/>
          <w:szCs w:val="24"/>
        </w:rPr>
        <w:t xml:space="preserve"> been lodged as supporting material.</w:t>
      </w:r>
    </w:p>
    <w:p w14:paraId="61D7EE4B" w14:textId="607D5455" w:rsidR="00510C0E" w:rsidRPr="00D9085C" w:rsidRDefault="00510C0E" w:rsidP="00777743">
      <w:pPr>
        <w:numPr>
          <w:ilvl w:val="0"/>
          <w:numId w:val="22"/>
        </w:numPr>
        <w:spacing w:after="240" w:line="240" w:lineRule="auto"/>
        <w:ind w:left="567" w:hanging="567"/>
        <w:jc w:val="both"/>
        <w:rPr>
          <w:rFonts w:ascii="Times New Roman" w:hAnsi="Times New Roman" w:cs="Times New Roman"/>
          <w:b/>
          <w:i/>
          <w:sz w:val="24"/>
          <w:szCs w:val="24"/>
          <w:lang w:eastAsia="en-US"/>
        </w:rPr>
      </w:pPr>
      <w:r w:rsidRPr="00D9085C">
        <w:rPr>
          <w:rFonts w:ascii="Times New Roman" w:hAnsi="Times New Roman" w:cs="Times New Roman"/>
          <w:b/>
          <w:sz w:val="24"/>
          <w:szCs w:val="24"/>
          <w:lang w:eastAsia="en-US"/>
        </w:rPr>
        <w:t xml:space="preserve">Statement of compatibility prepared in accordance with Part 3 of the </w:t>
      </w:r>
      <w:r w:rsidRPr="00D9085C">
        <w:rPr>
          <w:rFonts w:ascii="Times New Roman" w:hAnsi="Times New Roman" w:cs="Times New Roman"/>
          <w:b/>
          <w:i/>
          <w:sz w:val="24"/>
          <w:szCs w:val="24"/>
          <w:lang w:eastAsia="en-US"/>
        </w:rPr>
        <w:t>Human Rights (Parliamentary Scrutiny) Act 2011</w:t>
      </w:r>
    </w:p>
    <w:p w14:paraId="33DD8C56" w14:textId="31D3889D" w:rsidR="00510C0E" w:rsidRPr="00D9085C" w:rsidRDefault="00510C0E" w:rsidP="00211C6D">
      <w:pPr>
        <w:pStyle w:val="Heading"/>
        <w:spacing w:after="240"/>
        <w:rPr>
          <w:rFonts w:ascii="Times New Roman" w:hAnsi="Times New Roman"/>
          <w:b w:val="0"/>
          <w:sz w:val="24"/>
          <w:szCs w:val="24"/>
        </w:rPr>
      </w:pPr>
      <w:r w:rsidRPr="00D9085C">
        <w:rPr>
          <w:rFonts w:ascii="Times New Roman" w:hAnsi="Times New Roman"/>
          <w:b w:val="0"/>
          <w:sz w:val="24"/>
          <w:szCs w:val="24"/>
        </w:rPr>
        <w:t xml:space="preserve">A Statement of compatibility prepared in accordance with Part 3 of the </w:t>
      </w:r>
      <w:r w:rsidRPr="00D9085C">
        <w:rPr>
          <w:rFonts w:ascii="Times New Roman" w:hAnsi="Times New Roman"/>
          <w:b w:val="0"/>
          <w:i/>
          <w:sz w:val="24"/>
          <w:szCs w:val="24"/>
        </w:rPr>
        <w:t>Human Rights (Parliamentary Scrutiny) Act 2011</w:t>
      </w:r>
      <w:r w:rsidRPr="00D9085C">
        <w:rPr>
          <w:rFonts w:ascii="Times New Roman" w:hAnsi="Times New Roman"/>
          <w:b w:val="0"/>
          <w:sz w:val="24"/>
          <w:szCs w:val="24"/>
        </w:rPr>
        <w:t xml:space="preserve"> is provided at </w:t>
      </w:r>
      <w:r w:rsidR="005D365A" w:rsidRPr="00D9085C">
        <w:rPr>
          <w:rFonts w:ascii="Times New Roman" w:hAnsi="Times New Roman"/>
          <w:b w:val="0"/>
          <w:sz w:val="24"/>
          <w:szCs w:val="24"/>
        </w:rPr>
        <w:t xml:space="preserve">the </w:t>
      </w:r>
      <w:r w:rsidRPr="00D9085C">
        <w:rPr>
          <w:rFonts w:ascii="Times New Roman" w:hAnsi="Times New Roman"/>
          <w:b w:val="0"/>
          <w:sz w:val="24"/>
          <w:szCs w:val="24"/>
        </w:rPr>
        <w:t>Attachment to this Explanatory Statement.</w:t>
      </w:r>
    </w:p>
    <w:p w14:paraId="5D729207" w14:textId="1B2CBAF1" w:rsidR="00B75A8B" w:rsidRPr="00D9085C" w:rsidRDefault="00B75A8B" w:rsidP="00777743">
      <w:pPr>
        <w:spacing w:after="360"/>
        <w:jc w:val="both"/>
        <w:outlineLvl w:val="0"/>
        <w:rPr>
          <w:rFonts w:ascii="Times New Roman" w:hAnsi="Times New Roman"/>
          <w:sz w:val="24"/>
          <w:szCs w:val="24"/>
          <w:u w:val="single"/>
        </w:rPr>
      </w:pPr>
      <w:r w:rsidRPr="00D9085C">
        <w:rPr>
          <w:rFonts w:ascii="Times New Roman" w:hAnsi="Times New Roman"/>
          <w:b/>
          <w:sz w:val="24"/>
          <w:szCs w:val="24"/>
        </w:rPr>
        <w:br w:type="page"/>
      </w:r>
      <w:r w:rsidRPr="00D9085C">
        <w:rPr>
          <w:rFonts w:ascii="Times New Roman" w:hAnsi="Times New Roman"/>
          <w:sz w:val="24"/>
          <w:szCs w:val="24"/>
          <w:u w:val="single"/>
        </w:rPr>
        <w:lastRenderedPageBreak/>
        <w:t xml:space="preserve">ATTACHMENT </w:t>
      </w:r>
    </w:p>
    <w:p w14:paraId="0F58F628" w14:textId="77777777" w:rsidR="00B75A8B" w:rsidRPr="00D9085C" w:rsidRDefault="00B75A8B" w:rsidP="00777743">
      <w:pPr>
        <w:shd w:val="clear" w:color="auto" w:fill="FFFFFF"/>
        <w:spacing w:before="100" w:beforeAutospacing="1" w:after="240"/>
        <w:jc w:val="both"/>
        <w:rPr>
          <w:rFonts w:ascii="Times New Roman" w:hAnsi="Times New Roman"/>
          <w:sz w:val="24"/>
          <w:szCs w:val="24"/>
          <w:lang w:val="en-US"/>
        </w:rPr>
      </w:pPr>
      <w:r w:rsidRPr="00D9085C">
        <w:rPr>
          <w:rFonts w:ascii="Times New Roman" w:hAnsi="Times New Roman"/>
          <w:b/>
          <w:bCs/>
          <w:sz w:val="24"/>
          <w:szCs w:val="24"/>
        </w:rPr>
        <w:t>Statement of Compatibility with Human Rights</w:t>
      </w:r>
    </w:p>
    <w:p w14:paraId="62E80750" w14:textId="7DBFBC3F" w:rsidR="00B75A8B" w:rsidRPr="00D9085C" w:rsidRDefault="00B75A8B" w:rsidP="00777743">
      <w:pPr>
        <w:shd w:val="clear" w:color="auto" w:fill="FFFFFF"/>
        <w:spacing w:before="100" w:beforeAutospacing="1" w:after="240"/>
        <w:jc w:val="both"/>
        <w:rPr>
          <w:rFonts w:ascii="Times New Roman" w:hAnsi="Times New Roman"/>
          <w:sz w:val="24"/>
          <w:szCs w:val="24"/>
          <w:lang w:val="en-US"/>
        </w:rPr>
      </w:pPr>
      <w:r w:rsidRPr="00D9085C">
        <w:rPr>
          <w:rFonts w:ascii="Times New Roman" w:hAnsi="Times New Roman"/>
          <w:sz w:val="24"/>
          <w:szCs w:val="24"/>
        </w:rPr>
        <w:t xml:space="preserve">Prepared in accordance with Part 3 of the </w:t>
      </w:r>
      <w:r w:rsidRPr="00D9085C">
        <w:rPr>
          <w:rFonts w:ascii="Times New Roman" w:hAnsi="Times New Roman"/>
          <w:i/>
          <w:iCs/>
          <w:sz w:val="24"/>
          <w:szCs w:val="24"/>
        </w:rPr>
        <w:t>Human Rights (Parliamentary Scrutiny) Act 2011</w:t>
      </w:r>
      <w:r w:rsidR="00360B56" w:rsidRPr="00D9085C">
        <w:rPr>
          <w:rFonts w:ascii="Times New Roman" w:hAnsi="Times New Roman"/>
          <w:i/>
          <w:iCs/>
          <w:sz w:val="24"/>
          <w:szCs w:val="24"/>
        </w:rPr>
        <w:t>.</w:t>
      </w:r>
    </w:p>
    <w:p w14:paraId="26AB5FFB" w14:textId="6ECEFDC1" w:rsidR="00A1584D" w:rsidRPr="00D9085C" w:rsidRDefault="00A1584D" w:rsidP="00777743">
      <w:pPr>
        <w:pStyle w:val="Heading"/>
        <w:spacing w:before="120"/>
        <w:rPr>
          <w:rFonts w:ascii="Times New Roman" w:hAnsi="Times New Roman"/>
          <w:sz w:val="24"/>
          <w:szCs w:val="24"/>
        </w:rPr>
      </w:pPr>
      <w:r w:rsidRPr="00D9085C">
        <w:rPr>
          <w:rFonts w:ascii="Times New Roman" w:hAnsi="Times New Roman"/>
          <w:sz w:val="24"/>
          <w:szCs w:val="24"/>
        </w:rPr>
        <w:t xml:space="preserve">Banking, Insurance, Life Insurance, Health Insurance and Superannuation (prudential standard) determination No. </w:t>
      </w:r>
      <w:r w:rsidR="00AD1D8D">
        <w:rPr>
          <w:rFonts w:ascii="Times New Roman" w:hAnsi="Times New Roman"/>
          <w:sz w:val="24"/>
          <w:szCs w:val="24"/>
        </w:rPr>
        <w:t>2</w:t>
      </w:r>
      <w:r w:rsidRPr="00D9085C">
        <w:rPr>
          <w:rFonts w:ascii="Times New Roman" w:hAnsi="Times New Roman"/>
          <w:sz w:val="24"/>
          <w:szCs w:val="24"/>
        </w:rPr>
        <w:t xml:space="preserve"> of 202</w:t>
      </w:r>
      <w:r w:rsidR="00AD1D8D">
        <w:rPr>
          <w:rFonts w:ascii="Times New Roman" w:hAnsi="Times New Roman"/>
          <w:sz w:val="24"/>
          <w:szCs w:val="24"/>
        </w:rPr>
        <w:t>3</w:t>
      </w:r>
    </w:p>
    <w:p w14:paraId="55709D20" w14:textId="0629E244" w:rsidR="00B75A8B" w:rsidRPr="00D9085C" w:rsidRDefault="00B75A8B" w:rsidP="00777743">
      <w:pPr>
        <w:shd w:val="clear" w:color="auto" w:fill="FFFFFF"/>
        <w:spacing w:before="100" w:beforeAutospacing="1" w:after="240"/>
        <w:jc w:val="both"/>
        <w:rPr>
          <w:rFonts w:ascii="Times New Roman" w:hAnsi="Times New Roman" w:cs="Times New Roman"/>
          <w:sz w:val="24"/>
          <w:szCs w:val="24"/>
          <w:lang w:val="en-US"/>
        </w:rPr>
      </w:pPr>
      <w:r w:rsidRPr="00D9085C">
        <w:rPr>
          <w:rFonts w:ascii="Times New Roman" w:hAnsi="Times New Roman" w:cs="Times New Roman"/>
          <w:sz w:val="24"/>
          <w:szCs w:val="24"/>
        </w:rPr>
        <w:t>The legislative instrument</w:t>
      </w:r>
      <w:r w:rsidR="005734F4" w:rsidRPr="00D9085C">
        <w:rPr>
          <w:rFonts w:ascii="Times New Roman" w:hAnsi="Times New Roman" w:cs="Times New Roman"/>
          <w:sz w:val="24"/>
          <w:szCs w:val="24"/>
        </w:rPr>
        <w:t xml:space="preserve"> is</w:t>
      </w:r>
      <w:r w:rsidRPr="00D9085C">
        <w:rPr>
          <w:rFonts w:ascii="Times New Roman" w:hAnsi="Times New Roman" w:cs="Times New Roman"/>
          <w:sz w:val="24"/>
          <w:szCs w:val="24"/>
        </w:rPr>
        <w:t xml:space="preserve"> compatible with the human rights and freedoms recognised or declared in the international instruments listed in section 3 of the </w:t>
      </w:r>
      <w:r w:rsidRPr="00D9085C">
        <w:rPr>
          <w:rFonts w:ascii="Times New Roman" w:hAnsi="Times New Roman" w:cs="Times New Roman"/>
          <w:i/>
          <w:iCs/>
          <w:sz w:val="24"/>
          <w:szCs w:val="24"/>
        </w:rPr>
        <w:t>Human Rights (Parliamentary Scrutiny) Act 2011</w:t>
      </w:r>
      <w:r w:rsidRPr="00D9085C">
        <w:rPr>
          <w:rFonts w:ascii="Times New Roman" w:hAnsi="Times New Roman" w:cs="Times New Roman"/>
          <w:sz w:val="24"/>
          <w:szCs w:val="24"/>
        </w:rPr>
        <w:t xml:space="preserve"> (HRPS Act).</w:t>
      </w:r>
    </w:p>
    <w:p w14:paraId="5C48C431" w14:textId="0FD9F2F1" w:rsidR="00B75A8B" w:rsidRPr="00D9085C" w:rsidRDefault="00B75A8B" w:rsidP="00211C6D">
      <w:pPr>
        <w:shd w:val="clear" w:color="auto" w:fill="FFFFFF"/>
        <w:spacing w:after="240" w:line="240" w:lineRule="auto"/>
        <w:jc w:val="both"/>
        <w:rPr>
          <w:rFonts w:ascii="Times New Roman" w:hAnsi="Times New Roman" w:cs="Times New Roman"/>
          <w:sz w:val="24"/>
          <w:szCs w:val="24"/>
          <w:lang w:val="en-US"/>
        </w:rPr>
      </w:pPr>
      <w:r w:rsidRPr="00D9085C">
        <w:rPr>
          <w:rFonts w:ascii="Times New Roman" w:hAnsi="Times New Roman" w:cs="Times New Roman"/>
          <w:b/>
          <w:bCs/>
          <w:sz w:val="24"/>
          <w:szCs w:val="24"/>
        </w:rPr>
        <w:t>Overview of the Legislative Instrument</w:t>
      </w:r>
    </w:p>
    <w:p w14:paraId="086D76CE" w14:textId="0F31108B" w:rsidR="00B75A8B" w:rsidRPr="00D9085C" w:rsidRDefault="00B75A8B">
      <w:pPr>
        <w:spacing w:after="240" w:line="240" w:lineRule="auto"/>
        <w:jc w:val="both"/>
        <w:rPr>
          <w:rFonts w:ascii="Times New Roman" w:hAnsi="Times New Roman" w:cs="Times New Roman"/>
          <w:sz w:val="24"/>
          <w:szCs w:val="24"/>
        </w:rPr>
      </w:pPr>
      <w:r w:rsidRPr="00D9085C">
        <w:rPr>
          <w:rFonts w:ascii="Times New Roman" w:hAnsi="Times New Roman" w:cs="Times New Roman"/>
          <w:sz w:val="24"/>
          <w:szCs w:val="24"/>
        </w:rPr>
        <w:t xml:space="preserve">The purpose of the instrument </w:t>
      </w:r>
      <w:r w:rsidR="00F2124C" w:rsidRPr="00D9085C">
        <w:rPr>
          <w:rFonts w:ascii="Times New Roman" w:hAnsi="Times New Roman" w:cs="Times New Roman"/>
          <w:sz w:val="24"/>
          <w:szCs w:val="24"/>
        </w:rPr>
        <w:t xml:space="preserve">is </w:t>
      </w:r>
      <w:r w:rsidRPr="00D9085C">
        <w:rPr>
          <w:rFonts w:ascii="Times New Roman" w:hAnsi="Times New Roman" w:cs="Times New Roman"/>
          <w:sz w:val="24"/>
          <w:szCs w:val="24"/>
        </w:rPr>
        <w:t xml:space="preserve">to </w:t>
      </w:r>
      <w:r w:rsidR="000C67B1" w:rsidRPr="00D9085C">
        <w:rPr>
          <w:rFonts w:ascii="Times New Roman" w:hAnsi="Times New Roman" w:cs="Times New Roman"/>
          <w:sz w:val="24"/>
          <w:szCs w:val="24"/>
        </w:rPr>
        <w:t>determine</w:t>
      </w:r>
      <w:r w:rsidRPr="00D9085C">
        <w:rPr>
          <w:rFonts w:ascii="Times New Roman" w:hAnsi="Times New Roman" w:cs="Times New Roman"/>
          <w:sz w:val="24"/>
          <w:szCs w:val="24"/>
        </w:rPr>
        <w:t xml:space="preserve"> a new </w:t>
      </w:r>
      <w:r w:rsidRPr="00D9085C">
        <w:rPr>
          <w:rFonts w:ascii="Times New Roman" w:hAnsi="Times New Roman" w:cs="Times New Roman"/>
          <w:i/>
          <w:sz w:val="24"/>
          <w:szCs w:val="24"/>
        </w:rPr>
        <w:t xml:space="preserve">Prudential Standard </w:t>
      </w:r>
      <w:r w:rsidR="00D162CC" w:rsidRPr="00D9085C">
        <w:rPr>
          <w:rFonts w:ascii="Times New Roman" w:hAnsi="Times New Roman" w:cs="Times New Roman"/>
          <w:i/>
          <w:sz w:val="24"/>
          <w:szCs w:val="24"/>
        </w:rPr>
        <w:t>C</w:t>
      </w:r>
      <w:r w:rsidRPr="00D9085C">
        <w:rPr>
          <w:rFonts w:ascii="Times New Roman" w:hAnsi="Times New Roman" w:cs="Times New Roman"/>
          <w:i/>
          <w:sz w:val="24"/>
          <w:szCs w:val="24"/>
        </w:rPr>
        <w:t>PS</w:t>
      </w:r>
      <w:r w:rsidR="009701E9" w:rsidRPr="00D9085C">
        <w:rPr>
          <w:rFonts w:ascii="Times New Roman" w:hAnsi="Times New Roman" w:cs="Times New Roman"/>
          <w:i/>
          <w:sz w:val="24"/>
          <w:szCs w:val="24"/>
        </w:rPr>
        <w:t xml:space="preserve"> </w:t>
      </w:r>
      <w:r w:rsidR="00EF1A58">
        <w:rPr>
          <w:rFonts w:ascii="Times New Roman" w:hAnsi="Times New Roman" w:cs="Times New Roman"/>
          <w:i/>
          <w:sz w:val="24"/>
          <w:szCs w:val="24"/>
        </w:rPr>
        <w:t>230</w:t>
      </w:r>
      <w:r w:rsidR="009701E9" w:rsidRPr="00D9085C">
        <w:rPr>
          <w:rFonts w:ascii="Times New Roman" w:hAnsi="Times New Roman" w:cs="Times New Roman"/>
          <w:i/>
          <w:sz w:val="24"/>
          <w:szCs w:val="24"/>
        </w:rPr>
        <w:t xml:space="preserve"> </w:t>
      </w:r>
      <w:r w:rsidR="00EF1A58">
        <w:rPr>
          <w:rFonts w:ascii="Times New Roman" w:hAnsi="Times New Roman" w:cs="Times New Roman"/>
          <w:i/>
          <w:sz w:val="24"/>
          <w:szCs w:val="24"/>
        </w:rPr>
        <w:t>Operational Risk Management</w:t>
      </w:r>
      <w:r w:rsidR="0021490D" w:rsidRPr="00D9085C">
        <w:rPr>
          <w:rFonts w:ascii="Times New Roman" w:hAnsi="Times New Roman" w:cs="Times New Roman"/>
          <w:i/>
          <w:sz w:val="24"/>
          <w:szCs w:val="24"/>
        </w:rPr>
        <w:t xml:space="preserve"> </w:t>
      </w:r>
      <w:r w:rsidR="0021490D" w:rsidRPr="00D9085C">
        <w:rPr>
          <w:rFonts w:ascii="Times New Roman" w:hAnsi="Times New Roman" w:cs="Times New Roman"/>
          <w:sz w:val="24"/>
          <w:szCs w:val="24"/>
        </w:rPr>
        <w:t xml:space="preserve">(CPS </w:t>
      </w:r>
      <w:r w:rsidR="00EF1A58">
        <w:rPr>
          <w:rFonts w:ascii="Times New Roman" w:hAnsi="Times New Roman" w:cs="Times New Roman"/>
          <w:sz w:val="24"/>
          <w:szCs w:val="24"/>
        </w:rPr>
        <w:t>230</w:t>
      </w:r>
      <w:r w:rsidR="0021490D" w:rsidRPr="00D9085C">
        <w:rPr>
          <w:rFonts w:ascii="Times New Roman" w:hAnsi="Times New Roman" w:cs="Times New Roman"/>
          <w:sz w:val="24"/>
          <w:szCs w:val="24"/>
        </w:rPr>
        <w:t>)</w:t>
      </w:r>
      <w:r w:rsidR="009701E9" w:rsidRPr="00D9085C">
        <w:rPr>
          <w:rFonts w:ascii="Times New Roman" w:hAnsi="Times New Roman" w:cs="Times New Roman"/>
          <w:i/>
          <w:sz w:val="24"/>
          <w:szCs w:val="24"/>
        </w:rPr>
        <w:t>.</w:t>
      </w:r>
    </w:p>
    <w:p w14:paraId="11F9E594" w14:textId="1F21DF23" w:rsidR="004F47A6" w:rsidRPr="00D9085C" w:rsidRDefault="00D162CC" w:rsidP="000125E4">
      <w:pPr>
        <w:jc w:val="both"/>
        <w:rPr>
          <w:rFonts w:ascii="Times New Roman" w:hAnsi="Times New Roman" w:cs="Times New Roman"/>
          <w:sz w:val="24"/>
          <w:szCs w:val="24"/>
        </w:rPr>
      </w:pPr>
      <w:r w:rsidRPr="00D9085C">
        <w:rPr>
          <w:rFonts w:ascii="Times New Roman" w:hAnsi="Times New Roman" w:cs="Times New Roman"/>
          <w:sz w:val="24"/>
          <w:szCs w:val="24"/>
        </w:rPr>
        <w:t>C</w:t>
      </w:r>
      <w:r w:rsidR="001E7618" w:rsidRPr="00D9085C">
        <w:rPr>
          <w:rFonts w:ascii="Times New Roman" w:hAnsi="Times New Roman" w:cs="Times New Roman"/>
          <w:sz w:val="24"/>
          <w:szCs w:val="24"/>
        </w:rPr>
        <w:t xml:space="preserve">PS </w:t>
      </w:r>
      <w:r w:rsidR="00EF1A58">
        <w:rPr>
          <w:rFonts w:ascii="Times New Roman" w:hAnsi="Times New Roman" w:cs="Times New Roman"/>
          <w:sz w:val="24"/>
          <w:szCs w:val="24"/>
        </w:rPr>
        <w:t>230</w:t>
      </w:r>
      <w:r w:rsidR="001E7618" w:rsidRPr="00D9085C">
        <w:rPr>
          <w:rFonts w:ascii="Times New Roman" w:hAnsi="Times New Roman" w:cs="Times New Roman"/>
          <w:sz w:val="24"/>
          <w:szCs w:val="24"/>
        </w:rPr>
        <w:t xml:space="preserve"> sets out</w:t>
      </w:r>
      <w:r w:rsidR="004F47A6" w:rsidRPr="00D9085C">
        <w:rPr>
          <w:rFonts w:ascii="Times New Roman" w:hAnsi="Times New Roman" w:cs="Times New Roman"/>
          <w:sz w:val="24"/>
          <w:szCs w:val="24"/>
        </w:rPr>
        <w:t xml:space="preserve"> </w:t>
      </w:r>
      <w:r w:rsidR="004F47A6" w:rsidRPr="00D9085C">
        <w:rPr>
          <w:rFonts w:ascii="Times New Roman" w:hAnsi="Times New Roman" w:cs="Times New Roman"/>
          <w:sz w:val="24"/>
          <w:szCs w:val="24"/>
          <w:lang w:eastAsia="en-US"/>
        </w:rPr>
        <w:t xml:space="preserve">requirements to ensure that APRA-regulated entities </w:t>
      </w:r>
      <w:r w:rsidR="00154D30">
        <w:rPr>
          <w:rFonts w:ascii="Times New Roman" w:hAnsi="Times New Roman" w:cs="Times New Roman"/>
          <w:sz w:val="24"/>
          <w:szCs w:val="24"/>
          <w:lang w:eastAsia="en-US"/>
        </w:rPr>
        <w:t>are resilient to operational risks and disruptions</w:t>
      </w:r>
      <w:r w:rsidR="00294FF4">
        <w:rPr>
          <w:rFonts w:ascii="Times New Roman" w:hAnsi="Times New Roman" w:cs="Times New Roman"/>
          <w:sz w:val="24"/>
          <w:szCs w:val="24"/>
          <w:lang w:eastAsia="en-US"/>
        </w:rPr>
        <w:t xml:space="preserve"> </w:t>
      </w:r>
      <w:r w:rsidR="005D1F3E">
        <w:rPr>
          <w:rFonts w:ascii="Times New Roman" w:hAnsi="Times New Roman" w:cs="Times New Roman"/>
          <w:sz w:val="24"/>
          <w:szCs w:val="24"/>
          <w:lang w:eastAsia="en-US"/>
        </w:rPr>
        <w:t xml:space="preserve">and </w:t>
      </w:r>
      <w:r w:rsidR="00923BF1">
        <w:rPr>
          <w:rFonts w:ascii="Times New Roman" w:hAnsi="Times New Roman" w:cs="Times New Roman"/>
          <w:sz w:val="24"/>
          <w:szCs w:val="24"/>
          <w:lang w:eastAsia="en-US"/>
        </w:rPr>
        <w:t xml:space="preserve">that </w:t>
      </w:r>
      <w:r w:rsidR="00294FF4">
        <w:rPr>
          <w:rFonts w:ascii="Times New Roman" w:hAnsi="Times New Roman" w:cs="Times New Roman"/>
          <w:sz w:val="24"/>
          <w:szCs w:val="24"/>
          <w:lang w:eastAsia="en-US"/>
        </w:rPr>
        <w:t xml:space="preserve">risks arising from the use of service providers are </w:t>
      </w:r>
      <w:r w:rsidR="00E53240">
        <w:rPr>
          <w:rFonts w:ascii="Times New Roman" w:hAnsi="Times New Roman" w:cs="Times New Roman"/>
          <w:sz w:val="24"/>
          <w:szCs w:val="24"/>
          <w:lang w:eastAsia="en-US"/>
        </w:rPr>
        <w:t>managed appropriately</w:t>
      </w:r>
      <w:r w:rsidR="004F47A6" w:rsidRPr="00D9085C">
        <w:rPr>
          <w:rFonts w:ascii="Times New Roman" w:hAnsi="Times New Roman" w:cs="Times New Roman"/>
          <w:sz w:val="24"/>
          <w:szCs w:val="24"/>
        </w:rPr>
        <w:t xml:space="preserve">. </w:t>
      </w:r>
    </w:p>
    <w:p w14:paraId="35DD8F09" w14:textId="227D014F" w:rsidR="00FD005A" w:rsidRPr="00D9085C" w:rsidRDefault="00D162CC" w:rsidP="000125E4">
      <w:pPr>
        <w:jc w:val="both"/>
        <w:rPr>
          <w:rFonts w:ascii="Times New Roman" w:hAnsi="Times New Roman" w:cs="Times New Roman"/>
          <w:sz w:val="24"/>
          <w:szCs w:val="24"/>
        </w:rPr>
      </w:pPr>
      <w:r w:rsidRPr="00D9085C">
        <w:rPr>
          <w:rFonts w:ascii="Times New Roman" w:hAnsi="Times New Roman" w:cs="Times New Roman"/>
          <w:sz w:val="24"/>
          <w:szCs w:val="24"/>
        </w:rPr>
        <w:t>C</w:t>
      </w:r>
      <w:r w:rsidR="00FD005A" w:rsidRPr="00D9085C">
        <w:rPr>
          <w:rFonts w:ascii="Times New Roman" w:hAnsi="Times New Roman" w:cs="Times New Roman"/>
          <w:sz w:val="24"/>
          <w:szCs w:val="24"/>
        </w:rPr>
        <w:t xml:space="preserve">PS </w:t>
      </w:r>
      <w:r w:rsidR="00A906E9">
        <w:rPr>
          <w:rFonts w:ascii="Times New Roman" w:hAnsi="Times New Roman" w:cs="Times New Roman"/>
          <w:sz w:val="24"/>
          <w:szCs w:val="24"/>
        </w:rPr>
        <w:t>230</w:t>
      </w:r>
      <w:r w:rsidR="00FD005A" w:rsidRPr="00D9085C">
        <w:rPr>
          <w:rFonts w:ascii="Times New Roman" w:hAnsi="Times New Roman" w:cs="Times New Roman"/>
          <w:sz w:val="24"/>
          <w:szCs w:val="24"/>
        </w:rPr>
        <w:t xml:space="preserve"> </w:t>
      </w:r>
      <w:r w:rsidR="00E53240">
        <w:rPr>
          <w:rFonts w:ascii="Times New Roman" w:hAnsi="Times New Roman" w:cs="Times New Roman"/>
          <w:sz w:val="24"/>
          <w:szCs w:val="24"/>
        </w:rPr>
        <w:t>seeks to ensure that APRA-regulated entities</w:t>
      </w:r>
      <w:r w:rsidR="00FD005A" w:rsidRPr="00D9085C">
        <w:rPr>
          <w:rFonts w:ascii="Times New Roman" w:hAnsi="Times New Roman" w:cs="Times New Roman"/>
          <w:sz w:val="24"/>
          <w:szCs w:val="24"/>
        </w:rPr>
        <w:t>:</w:t>
      </w:r>
    </w:p>
    <w:p w14:paraId="0C9844D7" w14:textId="2AC18F86" w:rsidR="00173F4B" w:rsidRPr="00D9085C" w:rsidRDefault="006B6EB6" w:rsidP="000125E4">
      <w:pPr>
        <w:pStyle w:val="ListParagraph"/>
        <w:numPr>
          <w:ilvl w:val="0"/>
          <w:numId w:val="12"/>
        </w:numPr>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identify and manage their operational </w:t>
      </w:r>
      <w:proofErr w:type="gramStart"/>
      <w:r>
        <w:rPr>
          <w:rFonts w:ascii="Times New Roman" w:hAnsi="Times New Roman" w:cs="Times New Roman"/>
          <w:sz w:val="24"/>
          <w:szCs w:val="24"/>
        </w:rPr>
        <w:t>risks</w:t>
      </w:r>
      <w:r w:rsidR="00173F4B" w:rsidRPr="00D9085C">
        <w:rPr>
          <w:rFonts w:ascii="Times New Roman" w:hAnsi="Times New Roman" w:cs="Times New Roman"/>
          <w:sz w:val="24"/>
          <w:szCs w:val="24"/>
        </w:rPr>
        <w:t>;</w:t>
      </w:r>
      <w:proofErr w:type="gramEnd"/>
    </w:p>
    <w:p w14:paraId="489591B8" w14:textId="11A75591" w:rsidR="00173F4B" w:rsidRPr="00D9085C" w:rsidRDefault="006B6EB6" w:rsidP="000125E4">
      <w:pPr>
        <w:pStyle w:val="ListParagraph"/>
        <w:numPr>
          <w:ilvl w:val="0"/>
          <w:numId w:val="12"/>
        </w:numPr>
        <w:ind w:left="714" w:hanging="357"/>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are able to</w:t>
      </w:r>
      <w:proofErr w:type="gramEnd"/>
      <w:r>
        <w:rPr>
          <w:rFonts w:ascii="Times New Roman" w:hAnsi="Times New Roman" w:cs="Times New Roman"/>
          <w:sz w:val="24"/>
          <w:szCs w:val="24"/>
        </w:rPr>
        <w:t xml:space="preserve"> continue to deliver critical operations to customers through severe </w:t>
      </w:r>
      <w:r w:rsidR="004A39F4">
        <w:rPr>
          <w:rFonts w:ascii="Times New Roman" w:hAnsi="Times New Roman" w:cs="Times New Roman"/>
          <w:sz w:val="24"/>
          <w:szCs w:val="24"/>
        </w:rPr>
        <w:t>disruptions</w:t>
      </w:r>
      <w:r w:rsidR="00173F4B" w:rsidRPr="00D9085C">
        <w:rPr>
          <w:rFonts w:ascii="Times New Roman" w:hAnsi="Times New Roman" w:cs="Times New Roman"/>
          <w:sz w:val="24"/>
          <w:szCs w:val="24"/>
        </w:rPr>
        <w:t>; and</w:t>
      </w:r>
    </w:p>
    <w:p w14:paraId="2D0420BA" w14:textId="4A26F1A1" w:rsidR="00173F4B" w:rsidRPr="00D9085C" w:rsidRDefault="004A39F4" w:rsidP="000125E4">
      <w:pPr>
        <w:pStyle w:val="ListParagraph"/>
        <w:numPr>
          <w:ilvl w:val="0"/>
          <w:numId w:val="12"/>
        </w:numPr>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have a comprehensive policy for managing risks from the use of service providers, and </w:t>
      </w:r>
      <w:r w:rsidR="0075638B">
        <w:rPr>
          <w:rFonts w:ascii="Times New Roman" w:hAnsi="Times New Roman" w:cs="Times New Roman"/>
          <w:sz w:val="24"/>
          <w:szCs w:val="24"/>
        </w:rPr>
        <w:t>for the ongoing monitoring of such arrangements</w:t>
      </w:r>
      <w:r w:rsidR="00173F4B" w:rsidRPr="00D9085C">
        <w:rPr>
          <w:rFonts w:ascii="Times New Roman" w:hAnsi="Times New Roman" w:cs="Times New Roman"/>
          <w:sz w:val="24"/>
          <w:szCs w:val="24"/>
        </w:rPr>
        <w:t>.</w:t>
      </w:r>
    </w:p>
    <w:p w14:paraId="6AC511EE" w14:textId="0B77FA75" w:rsidR="00B75A8B" w:rsidRPr="00D9085C" w:rsidRDefault="00B75A8B" w:rsidP="00211C6D">
      <w:pPr>
        <w:keepNext/>
        <w:shd w:val="clear" w:color="auto" w:fill="FFFFFF"/>
        <w:spacing w:after="240" w:line="240" w:lineRule="auto"/>
        <w:jc w:val="both"/>
        <w:rPr>
          <w:rFonts w:ascii="Times New Roman" w:hAnsi="Times New Roman" w:cs="Times New Roman"/>
          <w:sz w:val="24"/>
          <w:szCs w:val="24"/>
          <w:lang w:val="en-US"/>
        </w:rPr>
      </w:pPr>
      <w:r w:rsidRPr="00D9085C">
        <w:rPr>
          <w:rFonts w:ascii="Times New Roman" w:hAnsi="Times New Roman" w:cs="Times New Roman"/>
          <w:b/>
          <w:bCs/>
          <w:sz w:val="24"/>
          <w:szCs w:val="24"/>
        </w:rPr>
        <w:t>Human rights implications</w:t>
      </w:r>
    </w:p>
    <w:p w14:paraId="254DBEDD" w14:textId="3667980A" w:rsidR="00B75A8B" w:rsidRPr="00D9085C" w:rsidRDefault="00B75A8B" w:rsidP="000125E4">
      <w:pPr>
        <w:jc w:val="both"/>
        <w:rPr>
          <w:rFonts w:ascii="Times New Roman" w:hAnsi="Times New Roman" w:cs="Times New Roman"/>
          <w:sz w:val="24"/>
          <w:szCs w:val="24"/>
        </w:rPr>
      </w:pPr>
      <w:r w:rsidRPr="00D9085C">
        <w:rPr>
          <w:rFonts w:ascii="Times New Roman" w:hAnsi="Times New Roman" w:cs="Times New Roman"/>
          <w:sz w:val="24"/>
          <w:szCs w:val="24"/>
        </w:rPr>
        <w:t xml:space="preserve">APRA has assessed the instrument and is of the view that </w:t>
      </w:r>
      <w:r w:rsidR="004D5A79" w:rsidRPr="00D9085C">
        <w:rPr>
          <w:rFonts w:ascii="Times New Roman" w:hAnsi="Times New Roman" w:cs="Times New Roman"/>
          <w:sz w:val="24"/>
          <w:szCs w:val="24"/>
        </w:rPr>
        <w:t xml:space="preserve">it </w:t>
      </w:r>
      <w:r w:rsidRPr="00D9085C">
        <w:rPr>
          <w:rFonts w:ascii="Times New Roman" w:hAnsi="Times New Roman" w:cs="Times New Roman"/>
          <w:sz w:val="24"/>
          <w:szCs w:val="24"/>
        </w:rPr>
        <w:t>do</w:t>
      </w:r>
      <w:r w:rsidR="004D5A79" w:rsidRPr="00D9085C">
        <w:rPr>
          <w:rFonts w:ascii="Times New Roman" w:hAnsi="Times New Roman" w:cs="Times New Roman"/>
          <w:sz w:val="24"/>
          <w:szCs w:val="24"/>
        </w:rPr>
        <w:t>es</w:t>
      </w:r>
      <w:r w:rsidRPr="00D9085C">
        <w:rPr>
          <w:rFonts w:ascii="Times New Roman" w:hAnsi="Times New Roman" w:cs="Times New Roman"/>
          <w:sz w:val="24"/>
          <w:szCs w:val="24"/>
        </w:rPr>
        <w:t xml:space="preserve"> not engage any of the applicable rights or freedoms recognised or declared in the international instruments listed in section 3 of the HRPS Act. Accordingly, in APRA’s assessment, the instrument </w:t>
      </w:r>
      <w:r w:rsidR="004D5A79" w:rsidRPr="00D9085C">
        <w:rPr>
          <w:rFonts w:ascii="Times New Roman" w:hAnsi="Times New Roman" w:cs="Times New Roman"/>
          <w:sz w:val="24"/>
          <w:szCs w:val="24"/>
        </w:rPr>
        <w:t xml:space="preserve">is </w:t>
      </w:r>
      <w:r w:rsidRPr="00D9085C">
        <w:rPr>
          <w:rFonts w:ascii="Times New Roman" w:hAnsi="Times New Roman" w:cs="Times New Roman"/>
          <w:sz w:val="24"/>
          <w:szCs w:val="24"/>
        </w:rPr>
        <w:t>compatible with human rights.</w:t>
      </w:r>
    </w:p>
    <w:p w14:paraId="329FF13D" w14:textId="77777777" w:rsidR="00B75A8B" w:rsidRPr="00D9085C" w:rsidRDefault="00B75A8B" w:rsidP="00211C6D">
      <w:pPr>
        <w:shd w:val="clear" w:color="auto" w:fill="FFFFFF"/>
        <w:spacing w:after="240" w:line="240" w:lineRule="auto"/>
        <w:jc w:val="both"/>
        <w:rPr>
          <w:rFonts w:ascii="Times New Roman" w:hAnsi="Times New Roman" w:cs="Times New Roman"/>
          <w:sz w:val="24"/>
          <w:szCs w:val="24"/>
          <w:lang w:val="en-US"/>
        </w:rPr>
      </w:pPr>
      <w:r w:rsidRPr="00D9085C">
        <w:rPr>
          <w:rFonts w:ascii="Times New Roman" w:hAnsi="Times New Roman" w:cs="Times New Roman"/>
          <w:b/>
          <w:bCs/>
          <w:sz w:val="24"/>
          <w:szCs w:val="24"/>
        </w:rPr>
        <w:t>Conclusion</w:t>
      </w:r>
    </w:p>
    <w:p w14:paraId="752CCA14" w14:textId="7E29C9D3" w:rsidR="00B75A8B" w:rsidRPr="00D9085C" w:rsidRDefault="00B75A8B" w:rsidP="000125E4">
      <w:pPr>
        <w:spacing w:after="120" w:line="288" w:lineRule="auto"/>
        <w:jc w:val="both"/>
        <w:rPr>
          <w:rFonts w:ascii="Times New Roman" w:eastAsia="Times New Roman" w:hAnsi="Times New Roman" w:cs="Times New Roman"/>
          <w:sz w:val="24"/>
          <w:szCs w:val="24"/>
        </w:rPr>
      </w:pPr>
      <w:r w:rsidRPr="00D9085C">
        <w:rPr>
          <w:rFonts w:ascii="Times New Roman" w:hAnsi="Times New Roman" w:cs="Times New Roman"/>
          <w:sz w:val="24"/>
          <w:szCs w:val="24"/>
        </w:rPr>
        <w:t xml:space="preserve">The </w:t>
      </w:r>
      <w:r w:rsidR="004D5A79" w:rsidRPr="00D9085C">
        <w:rPr>
          <w:rFonts w:ascii="Times New Roman" w:hAnsi="Times New Roman" w:cs="Times New Roman"/>
          <w:sz w:val="24"/>
          <w:szCs w:val="24"/>
        </w:rPr>
        <w:t xml:space="preserve">instrument is </w:t>
      </w:r>
      <w:r w:rsidRPr="00D9085C">
        <w:rPr>
          <w:rFonts w:ascii="Times New Roman" w:hAnsi="Times New Roman" w:cs="Times New Roman"/>
          <w:sz w:val="24"/>
          <w:szCs w:val="24"/>
        </w:rPr>
        <w:t xml:space="preserve">compatible with human rights as </w:t>
      </w:r>
      <w:r w:rsidR="005734F4" w:rsidRPr="00D9085C">
        <w:rPr>
          <w:rFonts w:ascii="Times New Roman" w:hAnsi="Times New Roman" w:cs="Times New Roman"/>
          <w:sz w:val="24"/>
          <w:szCs w:val="24"/>
        </w:rPr>
        <w:t>it does</w:t>
      </w:r>
      <w:r w:rsidRPr="00D9085C">
        <w:rPr>
          <w:rFonts w:ascii="Times New Roman" w:hAnsi="Times New Roman" w:cs="Times New Roman"/>
          <w:sz w:val="24"/>
          <w:szCs w:val="24"/>
        </w:rPr>
        <w:t xml:space="preserve"> not raise any human rights issues.</w:t>
      </w:r>
    </w:p>
    <w:sectPr w:rsidR="00B75A8B" w:rsidRPr="00D9085C" w:rsidSect="00801A23">
      <w:headerReference w:type="default" r:id="rId12"/>
      <w:footerReference w:type="default" r:id="rId13"/>
      <w:headerReference w:type="first" r:id="rId14"/>
      <w:footerReference w:type="first" r:id="rId15"/>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B21A" w14:textId="77777777" w:rsidR="005B71DF" w:rsidRDefault="005B71DF" w:rsidP="007A463E">
      <w:pPr>
        <w:spacing w:after="0" w:line="240" w:lineRule="auto"/>
      </w:pPr>
      <w:r>
        <w:separator/>
      </w:r>
    </w:p>
    <w:p w14:paraId="25204193" w14:textId="77777777" w:rsidR="005B71DF" w:rsidRDefault="005B71DF"/>
  </w:endnote>
  <w:endnote w:type="continuationSeparator" w:id="0">
    <w:p w14:paraId="186B1E4A" w14:textId="77777777" w:rsidR="005B71DF" w:rsidRDefault="005B71DF" w:rsidP="007A463E">
      <w:pPr>
        <w:spacing w:after="0" w:line="240" w:lineRule="auto"/>
      </w:pPr>
      <w:r>
        <w:continuationSeparator/>
      </w:r>
    </w:p>
    <w:p w14:paraId="6075C4D0" w14:textId="77777777" w:rsidR="005B71DF" w:rsidRDefault="005B71DF"/>
  </w:endnote>
  <w:endnote w:type="continuationNotice" w:id="1">
    <w:p w14:paraId="6F2ADD42" w14:textId="77777777" w:rsidR="005B71DF" w:rsidRDefault="005B7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7420" w14:textId="5B176238" w:rsidR="000868B7" w:rsidRPr="00777743" w:rsidRDefault="00604440">
    <w:pPr>
      <w:pStyle w:val="Footer"/>
      <w:jc w:val="center"/>
      <w:rPr>
        <w:rFonts w:ascii="Times New Roman" w:hAnsi="Times New Roman" w:cs="Times New Roman"/>
        <w:sz w:val="24"/>
        <w:szCs w:val="24"/>
      </w:rPr>
    </w:pPr>
    <w:sdt>
      <w:sdtPr>
        <w:id w:val="1446969505"/>
        <w:docPartObj>
          <w:docPartGallery w:val="Page Numbers (Bottom of Page)"/>
          <w:docPartUnique/>
        </w:docPartObj>
      </w:sdtPr>
      <w:sdtEndPr>
        <w:rPr>
          <w:rFonts w:ascii="Times New Roman" w:hAnsi="Times New Roman" w:cs="Times New Roman"/>
          <w:noProof/>
          <w:sz w:val="24"/>
          <w:szCs w:val="24"/>
        </w:rPr>
      </w:sdtEndPr>
      <w:sdtContent>
        <w:r w:rsidR="000868B7" w:rsidRPr="00777743">
          <w:rPr>
            <w:rFonts w:ascii="Times New Roman" w:hAnsi="Times New Roman" w:cs="Times New Roman"/>
            <w:sz w:val="24"/>
            <w:szCs w:val="24"/>
          </w:rPr>
          <w:fldChar w:fldCharType="begin"/>
        </w:r>
        <w:r w:rsidR="000868B7" w:rsidRPr="00777743">
          <w:rPr>
            <w:rFonts w:ascii="Times New Roman" w:hAnsi="Times New Roman" w:cs="Times New Roman"/>
            <w:sz w:val="24"/>
            <w:szCs w:val="24"/>
          </w:rPr>
          <w:instrText xml:space="preserve"> PAGE   \* MERGEFORMAT </w:instrText>
        </w:r>
        <w:r w:rsidR="000868B7" w:rsidRPr="00777743">
          <w:rPr>
            <w:rFonts w:ascii="Times New Roman" w:hAnsi="Times New Roman" w:cs="Times New Roman"/>
            <w:sz w:val="24"/>
            <w:szCs w:val="24"/>
          </w:rPr>
          <w:fldChar w:fldCharType="separate"/>
        </w:r>
        <w:r w:rsidR="000868B7" w:rsidRPr="00777743">
          <w:rPr>
            <w:rFonts w:ascii="Times New Roman" w:hAnsi="Times New Roman" w:cs="Times New Roman"/>
            <w:noProof/>
            <w:sz w:val="24"/>
            <w:szCs w:val="24"/>
          </w:rPr>
          <w:t>2</w:t>
        </w:r>
        <w:r w:rsidR="000868B7" w:rsidRPr="00777743">
          <w:rPr>
            <w:rFonts w:ascii="Times New Roman" w:hAnsi="Times New Roman" w:cs="Times New Roman"/>
            <w:noProof/>
            <w:sz w:val="24"/>
            <w:szCs w:val="24"/>
          </w:rPr>
          <w:fldChar w:fldCharType="end"/>
        </w:r>
      </w:sdtContent>
    </w:sdt>
  </w:p>
  <w:p w14:paraId="4F1966D8" w14:textId="77777777" w:rsidR="000868B7" w:rsidRDefault="0008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848C" w14:textId="0F4CFD86" w:rsidR="000868B7" w:rsidRPr="00777743" w:rsidRDefault="000868B7">
    <w:pPr>
      <w:pStyle w:val="Footer"/>
      <w:jc w:val="center"/>
      <w:rPr>
        <w:rFonts w:ascii="Times New Roman" w:hAnsi="Times New Roman" w:cs="Times New Roman"/>
        <w:sz w:val="24"/>
      </w:rPr>
    </w:pPr>
    <w:r w:rsidRPr="00777743">
      <w:rPr>
        <w:rFonts w:ascii="Times New Roman" w:hAnsi="Times New Roman" w:cs="Times New Roman"/>
        <w:sz w:val="24"/>
      </w:rPr>
      <w:fldChar w:fldCharType="begin"/>
    </w:r>
    <w:r w:rsidRPr="00777743">
      <w:rPr>
        <w:rFonts w:ascii="Times New Roman" w:hAnsi="Times New Roman" w:cs="Times New Roman"/>
        <w:sz w:val="24"/>
      </w:rPr>
      <w:instrText xml:space="preserve"> PAGE   \* MERGEFORMAT </w:instrText>
    </w:r>
    <w:r w:rsidRPr="00777743">
      <w:rPr>
        <w:rFonts w:ascii="Times New Roman" w:hAnsi="Times New Roman" w:cs="Times New Roman"/>
        <w:sz w:val="24"/>
      </w:rPr>
      <w:fldChar w:fldCharType="separate"/>
    </w:r>
    <w:r w:rsidRPr="00777743">
      <w:rPr>
        <w:rFonts w:ascii="Times New Roman" w:hAnsi="Times New Roman" w:cs="Times New Roman"/>
        <w:noProof/>
        <w:sz w:val="24"/>
      </w:rPr>
      <w:t>2</w:t>
    </w:r>
    <w:r w:rsidRPr="00777743">
      <w:rPr>
        <w:rFonts w:ascii="Times New Roman" w:hAnsi="Times New Roman" w:cs="Times New Roman"/>
        <w:noProof/>
        <w:sz w:val="24"/>
      </w:rPr>
      <w:fldChar w:fldCharType="end"/>
    </w:r>
  </w:p>
  <w:p w14:paraId="26D3848D" w14:textId="77777777" w:rsidR="000868B7" w:rsidRDefault="0008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DF26" w14:textId="77777777" w:rsidR="005B71DF" w:rsidRDefault="005B71DF" w:rsidP="007A463E">
      <w:pPr>
        <w:spacing w:after="0" w:line="240" w:lineRule="auto"/>
      </w:pPr>
      <w:r>
        <w:separator/>
      </w:r>
    </w:p>
    <w:p w14:paraId="1700964A" w14:textId="77777777" w:rsidR="005B71DF" w:rsidRDefault="005B71DF"/>
  </w:footnote>
  <w:footnote w:type="continuationSeparator" w:id="0">
    <w:p w14:paraId="64BD8E45" w14:textId="77777777" w:rsidR="005B71DF" w:rsidRDefault="005B71DF" w:rsidP="007A463E">
      <w:pPr>
        <w:spacing w:after="0" w:line="240" w:lineRule="auto"/>
      </w:pPr>
      <w:r>
        <w:continuationSeparator/>
      </w:r>
    </w:p>
    <w:p w14:paraId="5707E181" w14:textId="77777777" w:rsidR="005B71DF" w:rsidRDefault="005B71DF"/>
  </w:footnote>
  <w:footnote w:type="continuationNotice" w:id="1">
    <w:p w14:paraId="4385D837" w14:textId="77777777" w:rsidR="005B71DF" w:rsidRDefault="005B71DF">
      <w:pPr>
        <w:spacing w:after="0" w:line="240" w:lineRule="auto"/>
      </w:pPr>
    </w:p>
  </w:footnote>
  <w:footnote w:id="2">
    <w:p w14:paraId="7CFEDDDF" w14:textId="39552CF3" w:rsidR="00D52566" w:rsidRDefault="00D52566" w:rsidP="00D52566">
      <w:pPr>
        <w:pStyle w:val="FootnoteText"/>
      </w:pPr>
      <w:r>
        <w:rPr>
          <w:rStyle w:val="FootnoteReference"/>
        </w:rPr>
        <w:footnoteRef/>
      </w:r>
      <w:r>
        <w:t xml:space="preserve"> </w:t>
      </w:r>
      <w:r>
        <w:rPr>
          <w:rFonts w:ascii="Times New Roman" w:hAnsi="Times New Roman"/>
        </w:rPr>
        <w:t xml:space="preserve">The exception is section 54B of the SIS Act, which provides that breach of a covenant under sections 52 or 52A is a civil penalty provision. The covenants include a requirement to comply with prudential standards in relation to specified topics (conflicts, capital requirements for operational risk, MySuper and choice products). CPS </w:t>
      </w:r>
      <w:r w:rsidR="00A906E9">
        <w:rPr>
          <w:rFonts w:ascii="Times New Roman" w:hAnsi="Times New Roman"/>
        </w:rPr>
        <w:t>230</w:t>
      </w:r>
      <w:r>
        <w:rPr>
          <w:rFonts w:ascii="Times New Roman" w:hAnsi="Times New Roman"/>
        </w:rPr>
        <w:t xml:space="preserve"> is not a standard in relation to any of these topics.</w:t>
      </w:r>
    </w:p>
  </w:footnote>
  <w:footnote w:id="3">
    <w:p w14:paraId="5892B5F0" w14:textId="377D0203" w:rsidR="00D52566" w:rsidRDefault="00D52566" w:rsidP="00D52566">
      <w:pPr>
        <w:pStyle w:val="FootnoteText"/>
        <w:jc w:val="both"/>
        <w:rPr>
          <w:rFonts w:ascii="Trebuchet MS" w:hAnsi="Trebuchet MS"/>
        </w:rPr>
      </w:pPr>
      <w:r>
        <w:rPr>
          <w:rStyle w:val="FootnoteReference"/>
          <w:rFonts w:ascii="Times New Roman" w:hAnsi="Times New Roman"/>
        </w:rPr>
        <w:footnoteRef/>
      </w:r>
      <w:r>
        <w:rPr>
          <w:rFonts w:ascii="Times New Roman" w:hAnsi="Times New Roman"/>
        </w:rPr>
        <w:t xml:space="preserve"> The Banking Act, Insurance Act and Life Insurance Act specifically provide that APRA does not need to consult where APRA is satisfied that doing so could result in a delay in revocation that would be contrary to the national interest or the interests of depositors with the body corporate (subsection 9A(4) of the Banking Act), contrary to the national interest (subsection 15(4) of the Insurance Act), or contrary to the public interest (subsection 26(5) of the Life Insurance Act), respectively.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848A" w14:textId="77777777" w:rsidR="000868B7" w:rsidRPr="00665727" w:rsidRDefault="000868B7" w:rsidP="0066572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848B" w14:textId="77777777" w:rsidR="000868B7" w:rsidRDefault="000868B7" w:rsidP="001D3B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692F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E4901F6C"/>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335CDAA6"/>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297E4934"/>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1AB4E9FC"/>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29653A9"/>
    <w:multiLevelType w:val="hybridMultilevel"/>
    <w:tmpl w:val="6AAE1FFE"/>
    <w:lvl w:ilvl="0" w:tplc="0C14B1EE">
      <w:start w:val="1"/>
      <w:numFmt w:val="lowerLetter"/>
      <w:lvlText w:val="(%1)"/>
      <w:lvlJc w:val="left"/>
      <w:pPr>
        <w:ind w:left="720" w:hanging="36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36E31DA"/>
    <w:multiLevelType w:val="hybridMultilevel"/>
    <w:tmpl w:val="4CEC6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B75191"/>
    <w:multiLevelType w:val="multilevel"/>
    <w:tmpl w:val="EA7C24C0"/>
    <w:lvl w:ilvl="0">
      <w:start w:val="1"/>
      <w:numFmt w:val="bullet"/>
      <w:lvlText w:val="o"/>
      <w:lvlJc w:val="left"/>
      <w:pPr>
        <w:tabs>
          <w:tab w:val="num" w:pos="0"/>
        </w:tabs>
        <w:ind w:left="0" w:hanging="360"/>
      </w:pPr>
      <w:rPr>
        <w:rFonts w:ascii="Courier New" w:hAnsi="Courier New" w:cs="Times New Roman"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o"/>
      <w:lvlJc w:val="left"/>
      <w:pPr>
        <w:tabs>
          <w:tab w:val="num" w:pos="2160"/>
        </w:tabs>
        <w:ind w:left="2160" w:hanging="360"/>
      </w:pPr>
      <w:rPr>
        <w:rFonts w:ascii="Courier New" w:hAnsi="Courier New" w:cs="Times New Roman"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8" w15:restartNumberingAfterBreak="0">
    <w:nsid w:val="16F85CAF"/>
    <w:multiLevelType w:val="hybridMultilevel"/>
    <w:tmpl w:val="24DA1C44"/>
    <w:lvl w:ilvl="0" w:tplc="425880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913302"/>
    <w:multiLevelType w:val="hybridMultilevel"/>
    <w:tmpl w:val="063C8574"/>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1409B1"/>
    <w:multiLevelType w:val="multilevel"/>
    <w:tmpl w:val="0C09001F"/>
    <w:numStyleLink w:val="111111"/>
  </w:abstractNum>
  <w:abstractNum w:abstractNumId="11"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110DA1"/>
    <w:multiLevelType w:val="hybridMultilevel"/>
    <w:tmpl w:val="CD5E0C98"/>
    <w:lvl w:ilvl="0" w:tplc="415A96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5C4674"/>
    <w:multiLevelType w:val="hybridMultilevel"/>
    <w:tmpl w:val="2ED036EE"/>
    <w:lvl w:ilvl="0" w:tplc="9AF2DF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A174CD"/>
    <w:multiLevelType w:val="hybridMultilevel"/>
    <w:tmpl w:val="55FCF532"/>
    <w:lvl w:ilvl="0" w:tplc="31C22928">
      <w:start w:val="2"/>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F04261"/>
    <w:multiLevelType w:val="hybridMultilevel"/>
    <w:tmpl w:val="0A781146"/>
    <w:lvl w:ilvl="0" w:tplc="F4063502">
      <w:start w:val="1"/>
      <w:numFmt w:val="decimal"/>
      <w:lvlText w:val="(%1)"/>
      <w:lvlJc w:val="left"/>
      <w:pPr>
        <w:ind w:left="818" w:hanging="45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D20AA3"/>
    <w:multiLevelType w:val="hybridMultilevel"/>
    <w:tmpl w:val="6CA43E1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7" w15:restartNumberingAfterBreak="0">
    <w:nsid w:val="36F20E97"/>
    <w:multiLevelType w:val="hybridMultilevel"/>
    <w:tmpl w:val="8F9CE67E"/>
    <w:lvl w:ilvl="0" w:tplc="0C14B1EE">
      <w:start w:val="1"/>
      <w:numFmt w:val="lowerLetter"/>
      <w:lvlText w:val="(%1)"/>
      <w:lvlJc w:val="left"/>
      <w:pPr>
        <w:ind w:left="720" w:hanging="36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1901E2"/>
    <w:multiLevelType w:val="multilevel"/>
    <w:tmpl w:val="BA0AB5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3F2167"/>
    <w:multiLevelType w:val="hybridMultilevel"/>
    <w:tmpl w:val="57282F2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C92DB8"/>
    <w:multiLevelType w:val="hybridMultilevel"/>
    <w:tmpl w:val="1C62591C"/>
    <w:lvl w:ilvl="0" w:tplc="6E86A16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3DCB621A"/>
    <w:multiLevelType w:val="hybridMultilevel"/>
    <w:tmpl w:val="64EABDCA"/>
    <w:lvl w:ilvl="0" w:tplc="5DE48A12">
      <w:start w:val="1"/>
      <w:numFmt w:val="lowerLetter"/>
      <w:lvlText w:val="(%1)"/>
      <w:lvlJc w:val="left"/>
      <w:pPr>
        <w:ind w:left="720" w:hanging="360"/>
      </w:pPr>
      <w:rPr>
        <w:rFonts w:ascii="Times New Roman" w:hAnsi="Times New Roman" w:cs="Times New Roman" w:hint="default"/>
        <w:b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4660F1"/>
    <w:multiLevelType w:val="multilevel"/>
    <w:tmpl w:val="79DA00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485338"/>
    <w:multiLevelType w:val="hybridMultilevel"/>
    <w:tmpl w:val="85DEF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2E22C0"/>
    <w:multiLevelType w:val="hybridMultilevel"/>
    <w:tmpl w:val="DCA4FF04"/>
    <w:lvl w:ilvl="0" w:tplc="9AF2DF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250AA9"/>
    <w:multiLevelType w:val="hybridMultilevel"/>
    <w:tmpl w:val="9606E9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2A568D"/>
    <w:multiLevelType w:val="hybridMultilevel"/>
    <w:tmpl w:val="4658FE2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307521E"/>
    <w:multiLevelType w:val="hybridMultilevel"/>
    <w:tmpl w:val="18282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5B1B25"/>
    <w:multiLevelType w:val="hybridMultilevel"/>
    <w:tmpl w:val="6AAE1FFE"/>
    <w:lvl w:ilvl="0" w:tplc="0C14B1EE">
      <w:start w:val="1"/>
      <w:numFmt w:val="lowerLetter"/>
      <w:lvlText w:val="(%1)"/>
      <w:lvlJc w:val="left"/>
      <w:pPr>
        <w:ind w:left="720" w:hanging="36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306DA1"/>
    <w:multiLevelType w:val="hybridMultilevel"/>
    <w:tmpl w:val="1D44F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A6B4EBE"/>
    <w:multiLevelType w:val="hybridMultilevel"/>
    <w:tmpl w:val="3670D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F20416"/>
    <w:multiLevelType w:val="hybridMultilevel"/>
    <w:tmpl w:val="21CE4AF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9157E1"/>
    <w:multiLevelType w:val="hybridMultilevel"/>
    <w:tmpl w:val="278C8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942677"/>
    <w:multiLevelType w:val="hybridMultilevel"/>
    <w:tmpl w:val="A75AB5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776594"/>
    <w:multiLevelType w:val="multilevel"/>
    <w:tmpl w:val="961E74C2"/>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09C5EF2"/>
    <w:multiLevelType w:val="hybridMultilevel"/>
    <w:tmpl w:val="56B01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D072E8"/>
    <w:multiLevelType w:val="multilevel"/>
    <w:tmpl w:val="0C36B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49428058">
    <w:abstractNumId w:val="35"/>
  </w:num>
  <w:num w:numId="2" w16cid:durableId="551574034">
    <w:abstractNumId w:val="4"/>
  </w:num>
  <w:num w:numId="3" w16cid:durableId="1527401293">
    <w:abstractNumId w:val="3"/>
  </w:num>
  <w:num w:numId="4" w16cid:durableId="1230966636">
    <w:abstractNumId w:val="2"/>
  </w:num>
  <w:num w:numId="5" w16cid:durableId="241334553">
    <w:abstractNumId w:val="1"/>
  </w:num>
  <w:num w:numId="6" w16cid:durableId="1602756968">
    <w:abstractNumId w:val="0"/>
  </w:num>
  <w:num w:numId="7" w16cid:durableId="1071007089">
    <w:abstractNumId w:val="11"/>
  </w:num>
  <w:num w:numId="8" w16cid:durableId="396243191">
    <w:abstractNumId w:val="10"/>
  </w:num>
  <w:num w:numId="9" w16cid:durableId="173542638">
    <w:abstractNumId w:val="19"/>
  </w:num>
  <w:num w:numId="10" w16cid:durableId="1753890059">
    <w:abstractNumId w:val="34"/>
  </w:num>
  <w:num w:numId="11" w16cid:durableId="1627928803">
    <w:abstractNumId w:val="23"/>
  </w:num>
  <w:num w:numId="12" w16cid:durableId="1289319945">
    <w:abstractNumId w:val="6"/>
  </w:num>
  <w:num w:numId="13" w16cid:durableId="557012013">
    <w:abstractNumId w:val="17"/>
  </w:num>
  <w:num w:numId="14" w16cid:durableId="1312442884">
    <w:abstractNumId w:val="21"/>
  </w:num>
  <w:num w:numId="15" w16cid:durableId="1071924365">
    <w:abstractNumId w:val="33"/>
  </w:num>
  <w:num w:numId="16" w16cid:durableId="471139871">
    <w:abstractNumId w:val="32"/>
  </w:num>
  <w:num w:numId="17" w16cid:durableId="1198129621">
    <w:abstractNumId w:val="27"/>
  </w:num>
  <w:num w:numId="18" w16cid:durableId="17358159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9982181">
    <w:abstractNumId w:val="36"/>
  </w:num>
  <w:num w:numId="20" w16cid:durableId="288631562">
    <w:abstractNumId w:val="31"/>
  </w:num>
  <w:num w:numId="21" w16cid:durableId="886769255">
    <w:abstractNumId w:val="9"/>
  </w:num>
  <w:num w:numId="22" w16cid:durableId="992031649">
    <w:abstractNumId w:val="14"/>
  </w:num>
  <w:num w:numId="23" w16cid:durableId="2142572495">
    <w:abstractNumId w:val="25"/>
  </w:num>
  <w:num w:numId="24" w16cid:durableId="671177146">
    <w:abstractNumId w:val="13"/>
  </w:num>
  <w:num w:numId="25" w16cid:durableId="1127313325">
    <w:abstractNumId w:val="15"/>
  </w:num>
  <w:num w:numId="26" w16cid:durableId="2000498740">
    <w:abstractNumId w:val="12"/>
  </w:num>
  <w:num w:numId="27" w16cid:durableId="1950162916">
    <w:abstractNumId w:val="26"/>
  </w:num>
  <w:num w:numId="28" w16cid:durableId="1226575105">
    <w:abstractNumId w:val="5"/>
  </w:num>
  <w:num w:numId="29" w16cid:durableId="1028874206">
    <w:abstractNumId w:val="28"/>
  </w:num>
  <w:num w:numId="30" w16cid:durableId="412435628">
    <w:abstractNumId w:val="24"/>
  </w:num>
  <w:num w:numId="31" w16cid:durableId="677847274">
    <w:abstractNumId w:val="29"/>
  </w:num>
  <w:num w:numId="32" w16cid:durableId="813183216">
    <w:abstractNumId w:val="37"/>
  </w:num>
  <w:num w:numId="33" w16cid:durableId="402684642">
    <w:abstractNumId w:val="22"/>
  </w:num>
  <w:num w:numId="34" w16cid:durableId="784270405">
    <w:abstractNumId w:val="7"/>
  </w:num>
  <w:num w:numId="35" w16cid:durableId="1924141869">
    <w:abstractNumId w:val="18"/>
  </w:num>
  <w:num w:numId="36" w16cid:durableId="1630087576">
    <w:abstractNumId w:val="16"/>
  </w:num>
  <w:num w:numId="37" w16cid:durableId="7538624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393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8104784">
    <w:abstractNumId w:val="30"/>
  </w:num>
  <w:num w:numId="40" w16cid:durableId="176260457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A23"/>
    <w:rsid w:val="00001370"/>
    <w:rsid w:val="00003065"/>
    <w:rsid w:val="00003092"/>
    <w:rsid w:val="00003673"/>
    <w:rsid w:val="000056ED"/>
    <w:rsid w:val="00005A24"/>
    <w:rsid w:val="00007BFD"/>
    <w:rsid w:val="00011B0A"/>
    <w:rsid w:val="000125E4"/>
    <w:rsid w:val="000140BB"/>
    <w:rsid w:val="000179FA"/>
    <w:rsid w:val="00020529"/>
    <w:rsid w:val="000241FA"/>
    <w:rsid w:val="0002447B"/>
    <w:rsid w:val="00025B91"/>
    <w:rsid w:val="000269DE"/>
    <w:rsid w:val="00027BF0"/>
    <w:rsid w:val="00036739"/>
    <w:rsid w:val="000369A2"/>
    <w:rsid w:val="00037622"/>
    <w:rsid w:val="000408CA"/>
    <w:rsid w:val="00042929"/>
    <w:rsid w:val="00043ADC"/>
    <w:rsid w:val="00052C35"/>
    <w:rsid w:val="00053F0B"/>
    <w:rsid w:val="0005564F"/>
    <w:rsid w:val="0006007B"/>
    <w:rsid w:val="00063BDC"/>
    <w:rsid w:val="0006491E"/>
    <w:rsid w:val="00064ED4"/>
    <w:rsid w:val="00065E1F"/>
    <w:rsid w:val="00070369"/>
    <w:rsid w:val="00070394"/>
    <w:rsid w:val="00070BF1"/>
    <w:rsid w:val="00075CDC"/>
    <w:rsid w:val="00077716"/>
    <w:rsid w:val="00080284"/>
    <w:rsid w:val="00085496"/>
    <w:rsid w:val="00085EC3"/>
    <w:rsid w:val="000868B7"/>
    <w:rsid w:val="00086A16"/>
    <w:rsid w:val="00086CB1"/>
    <w:rsid w:val="0009497B"/>
    <w:rsid w:val="00094D96"/>
    <w:rsid w:val="00095BA9"/>
    <w:rsid w:val="00095D01"/>
    <w:rsid w:val="000A0D8A"/>
    <w:rsid w:val="000A1989"/>
    <w:rsid w:val="000A1A18"/>
    <w:rsid w:val="000A6D82"/>
    <w:rsid w:val="000A7966"/>
    <w:rsid w:val="000B49D8"/>
    <w:rsid w:val="000B50AF"/>
    <w:rsid w:val="000B75F7"/>
    <w:rsid w:val="000C170D"/>
    <w:rsid w:val="000C498D"/>
    <w:rsid w:val="000C67B1"/>
    <w:rsid w:val="000C6AC7"/>
    <w:rsid w:val="000C71B2"/>
    <w:rsid w:val="000D07B5"/>
    <w:rsid w:val="000D08AA"/>
    <w:rsid w:val="000D09FA"/>
    <w:rsid w:val="000D0B87"/>
    <w:rsid w:val="000D1C0A"/>
    <w:rsid w:val="000D2D92"/>
    <w:rsid w:val="000D5863"/>
    <w:rsid w:val="000E15D4"/>
    <w:rsid w:val="000E328E"/>
    <w:rsid w:val="000E345B"/>
    <w:rsid w:val="000E34A2"/>
    <w:rsid w:val="000E3C6B"/>
    <w:rsid w:val="000E47ED"/>
    <w:rsid w:val="000E76C9"/>
    <w:rsid w:val="000F0978"/>
    <w:rsid w:val="000F0E0F"/>
    <w:rsid w:val="000F20CF"/>
    <w:rsid w:val="000F2976"/>
    <w:rsid w:val="000F35B2"/>
    <w:rsid w:val="000F6CC0"/>
    <w:rsid w:val="000F6DCD"/>
    <w:rsid w:val="0010042B"/>
    <w:rsid w:val="00101B90"/>
    <w:rsid w:val="00101E27"/>
    <w:rsid w:val="0010593E"/>
    <w:rsid w:val="00106BAD"/>
    <w:rsid w:val="00111D7A"/>
    <w:rsid w:val="00116FE0"/>
    <w:rsid w:val="001179EA"/>
    <w:rsid w:val="001216AE"/>
    <w:rsid w:val="00121F4D"/>
    <w:rsid w:val="0012246A"/>
    <w:rsid w:val="00122BEA"/>
    <w:rsid w:val="00122D8A"/>
    <w:rsid w:val="00124C18"/>
    <w:rsid w:val="0012596F"/>
    <w:rsid w:val="00126673"/>
    <w:rsid w:val="00132ABE"/>
    <w:rsid w:val="00135C94"/>
    <w:rsid w:val="00135EA7"/>
    <w:rsid w:val="00137D89"/>
    <w:rsid w:val="00140383"/>
    <w:rsid w:val="00142787"/>
    <w:rsid w:val="001434D4"/>
    <w:rsid w:val="0014530C"/>
    <w:rsid w:val="001464AC"/>
    <w:rsid w:val="00147CE5"/>
    <w:rsid w:val="001502F1"/>
    <w:rsid w:val="00150A83"/>
    <w:rsid w:val="00153232"/>
    <w:rsid w:val="00154D30"/>
    <w:rsid w:val="00155B7C"/>
    <w:rsid w:val="001616DE"/>
    <w:rsid w:val="00165C5D"/>
    <w:rsid w:val="00167DEA"/>
    <w:rsid w:val="00173F4B"/>
    <w:rsid w:val="00175C64"/>
    <w:rsid w:val="001771C4"/>
    <w:rsid w:val="0017757B"/>
    <w:rsid w:val="001812BB"/>
    <w:rsid w:val="0018471C"/>
    <w:rsid w:val="00186B12"/>
    <w:rsid w:val="00186C8C"/>
    <w:rsid w:val="00187A6C"/>
    <w:rsid w:val="001942A1"/>
    <w:rsid w:val="00194FF2"/>
    <w:rsid w:val="00197A23"/>
    <w:rsid w:val="001A0265"/>
    <w:rsid w:val="001A1CC0"/>
    <w:rsid w:val="001A32D4"/>
    <w:rsid w:val="001A370D"/>
    <w:rsid w:val="001A6043"/>
    <w:rsid w:val="001A7D91"/>
    <w:rsid w:val="001B2D90"/>
    <w:rsid w:val="001B422C"/>
    <w:rsid w:val="001B5875"/>
    <w:rsid w:val="001C6290"/>
    <w:rsid w:val="001C6F44"/>
    <w:rsid w:val="001D3046"/>
    <w:rsid w:val="001D3B1C"/>
    <w:rsid w:val="001D3D9C"/>
    <w:rsid w:val="001D457D"/>
    <w:rsid w:val="001D505A"/>
    <w:rsid w:val="001D7D3C"/>
    <w:rsid w:val="001E00D2"/>
    <w:rsid w:val="001E2225"/>
    <w:rsid w:val="001E3AD1"/>
    <w:rsid w:val="001E6993"/>
    <w:rsid w:val="001E71EC"/>
    <w:rsid w:val="001E7618"/>
    <w:rsid w:val="001F2E39"/>
    <w:rsid w:val="001F30FC"/>
    <w:rsid w:val="001F5210"/>
    <w:rsid w:val="001F55AD"/>
    <w:rsid w:val="00200401"/>
    <w:rsid w:val="00204408"/>
    <w:rsid w:val="0020555F"/>
    <w:rsid w:val="00206D85"/>
    <w:rsid w:val="002077D0"/>
    <w:rsid w:val="002104AB"/>
    <w:rsid w:val="0021143E"/>
    <w:rsid w:val="00211C6D"/>
    <w:rsid w:val="0021212A"/>
    <w:rsid w:val="0021219A"/>
    <w:rsid w:val="00212AC5"/>
    <w:rsid w:val="002139BA"/>
    <w:rsid w:val="00213A10"/>
    <w:rsid w:val="00213AFD"/>
    <w:rsid w:val="0021490D"/>
    <w:rsid w:val="0021777C"/>
    <w:rsid w:val="002229DB"/>
    <w:rsid w:val="00225E5B"/>
    <w:rsid w:val="002320F2"/>
    <w:rsid w:val="00233F57"/>
    <w:rsid w:val="0023419C"/>
    <w:rsid w:val="00234A55"/>
    <w:rsid w:val="002359BA"/>
    <w:rsid w:val="00237493"/>
    <w:rsid w:val="00237CD9"/>
    <w:rsid w:val="00237FF5"/>
    <w:rsid w:val="002403C8"/>
    <w:rsid w:val="0024300D"/>
    <w:rsid w:val="0024339D"/>
    <w:rsid w:val="002433F1"/>
    <w:rsid w:val="002448E0"/>
    <w:rsid w:val="00246DEE"/>
    <w:rsid w:val="00247811"/>
    <w:rsid w:val="002479D0"/>
    <w:rsid w:val="00257E33"/>
    <w:rsid w:val="00260911"/>
    <w:rsid w:val="00261DCE"/>
    <w:rsid w:val="002621DA"/>
    <w:rsid w:val="00263ED3"/>
    <w:rsid w:val="00264048"/>
    <w:rsid w:val="0026542C"/>
    <w:rsid w:val="00267EBC"/>
    <w:rsid w:val="00273799"/>
    <w:rsid w:val="00274F21"/>
    <w:rsid w:val="00275A88"/>
    <w:rsid w:val="002767C9"/>
    <w:rsid w:val="002805B3"/>
    <w:rsid w:val="00284A48"/>
    <w:rsid w:val="00284AF8"/>
    <w:rsid w:val="002873D2"/>
    <w:rsid w:val="00291353"/>
    <w:rsid w:val="00293F7C"/>
    <w:rsid w:val="00294FF4"/>
    <w:rsid w:val="002958BD"/>
    <w:rsid w:val="00296BA4"/>
    <w:rsid w:val="002A0897"/>
    <w:rsid w:val="002B007E"/>
    <w:rsid w:val="002B0B89"/>
    <w:rsid w:val="002B12FA"/>
    <w:rsid w:val="002B6CD8"/>
    <w:rsid w:val="002B6F5E"/>
    <w:rsid w:val="002B77A4"/>
    <w:rsid w:val="002C22BB"/>
    <w:rsid w:val="002C2397"/>
    <w:rsid w:val="002C2B98"/>
    <w:rsid w:val="002C2F6A"/>
    <w:rsid w:val="002C5E39"/>
    <w:rsid w:val="002C689A"/>
    <w:rsid w:val="002D0517"/>
    <w:rsid w:val="002D3389"/>
    <w:rsid w:val="002D3749"/>
    <w:rsid w:val="002D4431"/>
    <w:rsid w:val="002D499A"/>
    <w:rsid w:val="002D6599"/>
    <w:rsid w:val="002D6BF0"/>
    <w:rsid w:val="002D7A12"/>
    <w:rsid w:val="002E271F"/>
    <w:rsid w:val="002E2867"/>
    <w:rsid w:val="002E2B42"/>
    <w:rsid w:val="002E5E7D"/>
    <w:rsid w:val="002F0157"/>
    <w:rsid w:val="002F1ECD"/>
    <w:rsid w:val="002F2DAC"/>
    <w:rsid w:val="002F3DBA"/>
    <w:rsid w:val="002F5035"/>
    <w:rsid w:val="002F6A03"/>
    <w:rsid w:val="003001E7"/>
    <w:rsid w:val="00300DF9"/>
    <w:rsid w:val="003040B2"/>
    <w:rsid w:val="003054D7"/>
    <w:rsid w:val="00306CB6"/>
    <w:rsid w:val="0031192B"/>
    <w:rsid w:val="00312B5B"/>
    <w:rsid w:val="00320E0A"/>
    <w:rsid w:val="003249EA"/>
    <w:rsid w:val="0032520F"/>
    <w:rsid w:val="003258C0"/>
    <w:rsid w:val="00326E07"/>
    <w:rsid w:val="003316B0"/>
    <w:rsid w:val="00340359"/>
    <w:rsid w:val="0034413A"/>
    <w:rsid w:val="003532E3"/>
    <w:rsid w:val="00353350"/>
    <w:rsid w:val="00353DE2"/>
    <w:rsid w:val="003552F7"/>
    <w:rsid w:val="00355413"/>
    <w:rsid w:val="003573CA"/>
    <w:rsid w:val="00360B56"/>
    <w:rsid w:val="00363DC5"/>
    <w:rsid w:val="003652CF"/>
    <w:rsid w:val="00367A5D"/>
    <w:rsid w:val="003707EE"/>
    <w:rsid w:val="00373B0D"/>
    <w:rsid w:val="003826C9"/>
    <w:rsid w:val="003830D9"/>
    <w:rsid w:val="0038605E"/>
    <w:rsid w:val="0038713B"/>
    <w:rsid w:val="00392705"/>
    <w:rsid w:val="00392A63"/>
    <w:rsid w:val="00395267"/>
    <w:rsid w:val="00396FD5"/>
    <w:rsid w:val="00397F8A"/>
    <w:rsid w:val="003A2249"/>
    <w:rsid w:val="003A3BD3"/>
    <w:rsid w:val="003A5564"/>
    <w:rsid w:val="003A6463"/>
    <w:rsid w:val="003A7272"/>
    <w:rsid w:val="003B3AD8"/>
    <w:rsid w:val="003C0AF0"/>
    <w:rsid w:val="003C1296"/>
    <w:rsid w:val="003C1F0E"/>
    <w:rsid w:val="003C3116"/>
    <w:rsid w:val="003C34BC"/>
    <w:rsid w:val="003C5548"/>
    <w:rsid w:val="003C562D"/>
    <w:rsid w:val="003C6269"/>
    <w:rsid w:val="003C69D5"/>
    <w:rsid w:val="003C6CBE"/>
    <w:rsid w:val="003C7194"/>
    <w:rsid w:val="003C726C"/>
    <w:rsid w:val="003D1CAB"/>
    <w:rsid w:val="003D3099"/>
    <w:rsid w:val="003D3232"/>
    <w:rsid w:val="003D51FA"/>
    <w:rsid w:val="003D5DD5"/>
    <w:rsid w:val="003D6738"/>
    <w:rsid w:val="003E0E5E"/>
    <w:rsid w:val="003E700E"/>
    <w:rsid w:val="003F0B12"/>
    <w:rsid w:val="003F6904"/>
    <w:rsid w:val="003F6ACB"/>
    <w:rsid w:val="003F782F"/>
    <w:rsid w:val="00404B5F"/>
    <w:rsid w:val="00405B1C"/>
    <w:rsid w:val="004112EA"/>
    <w:rsid w:val="004119C3"/>
    <w:rsid w:val="00424780"/>
    <w:rsid w:val="00425446"/>
    <w:rsid w:val="004255BC"/>
    <w:rsid w:val="0042682B"/>
    <w:rsid w:val="0042765E"/>
    <w:rsid w:val="0043062D"/>
    <w:rsid w:val="00432F7A"/>
    <w:rsid w:val="0043440F"/>
    <w:rsid w:val="00435048"/>
    <w:rsid w:val="0044107A"/>
    <w:rsid w:val="00441CE4"/>
    <w:rsid w:val="00442EB7"/>
    <w:rsid w:val="004432DE"/>
    <w:rsid w:val="00444BF0"/>
    <w:rsid w:val="00450864"/>
    <w:rsid w:val="004541DC"/>
    <w:rsid w:val="004554FF"/>
    <w:rsid w:val="0045763D"/>
    <w:rsid w:val="00457868"/>
    <w:rsid w:val="004614B5"/>
    <w:rsid w:val="00462257"/>
    <w:rsid w:val="00463C5D"/>
    <w:rsid w:val="004665D8"/>
    <w:rsid w:val="00477366"/>
    <w:rsid w:val="00480432"/>
    <w:rsid w:val="00480AE9"/>
    <w:rsid w:val="00482288"/>
    <w:rsid w:val="0048316F"/>
    <w:rsid w:val="004844EF"/>
    <w:rsid w:val="004864CC"/>
    <w:rsid w:val="00486982"/>
    <w:rsid w:val="00487899"/>
    <w:rsid w:val="00491297"/>
    <w:rsid w:val="00492449"/>
    <w:rsid w:val="00493784"/>
    <w:rsid w:val="00496A6D"/>
    <w:rsid w:val="004A18BF"/>
    <w:rsid w:val="004A2951"/>
    <w:rsid w:val="004A3350"/>
    <w:rsid w:val="004A39F4"/>
    <w:rsid w:val="004A3C9E"/>
    <w:rsid w:val="004A4A27"/>
    <w:rsid w:val="004B2F5A"/>
    <w:rsid w:val="004B3A5E"/>
    <w:rsid w:val="004B4492"/>
    <w:rsid w:val="004B56D8"/>
    <w:rsid w:val="004B584B"/>
    <w:rsid w:val="004B5A1D"/>
    <w:rsid w:val="004C0E2E"/>
    <w:rsid w:val="004C10F8"/>
    <w:rsid w:val="004C1DA0"/>
    <w:rsid w:val="004C2EC4"/>
    <w:rsid w:val="004C57EA"/>
    <w:rsid w:val="004C6F79"/>
    <w:rsid w:val="004D02C5"/>
    <w:rsid w:val="004D31EB"/>
    <w:rsid w:val="004D5A79"/>
    <w:rsid w:val="004D616D"/>
    <w:rsid w:val="004D7117"/>
    <w:rsid w:val="004E0AEB"/>
    <w:rsid w:val="004E13AF"/>
    <w:rsid w:val="004E1925"/>
    <w:rsid w:val="004E356C"/>
    <w:rsid w:val="004E5535"/>
    <w:rsid w:val="004E6304"/>
    <w:rsid w:val="004F098F"/>
    <w:rsid w:val="004F27CF"/>
    <w:rsid w:val="004F47A6"/>
    <w:rsid w:val="004F514F"/>
    <w:rsid w:val="004F525A"/>
    <w:rsid w:val="004F5935"/>
    <w:rsid w:val="004F6333"/>
    <w:rsid w:val="00500F36"/>
    <w:rsid w:val="00501213"/>
    <w:rsid w:val="00504865"/>
    <w:rsid w:val="00504CCE"/>
    <w:rsid w:val="0050545B"/>
    <w:rsid w:val="00505F1B"/>
    <w:rsid w:val="00510C0E"/>
    <w:rsid w:val="00513A67"/>
    <w:rsid w:val="00513D45"/>
    <w:rsid w:val="00517A7B"/>
    <w:rsid w:val="00523288"/>
    <w:rsid w:val="005233B4"/>
    <w:rsid w:val="00523D4D"/>
    <w:rsid w:val="005242B6"/>
    <w:rsid w:val="00525233"/>
    <w:rsid w:val="00532F0A"/>
    <w:rsid w:val="0053462C"/>
    <w:rsid w:val="00535041"/>
    <w:rsid w:val="00535465"/>
    <w:rsid w:val="005369F4"/>
    <w:rsid w:val="005441A3"/>
    <w:rsid w:val="00545C28"/>
    <w:rsid w:val="00547263"/>
    <w:rsid w:val="00550DE4"/>
    <w:rsid w:val="0055253D"/>
    <w:rsid w:val="00552CA7"/>
    <w:rsid w:val="00554D6D"/>
    <w:rsid w:val="00560FD9"/>
    <w:rsid w:val="005618F1"/>
    <w:rsid w:val="00563599"/>
    <w:rsid w:val="005661C3"/>
    <w:rsid w:val="00566793"/>
    <w:rsid w:val="00567044"/>
    <w:rsid w:val="0056731D"/>
    <w:rsid w:val="005734F4"/>
    <w:rsid w:val="005823ED"/>
    <w:rsid w:val="00584A8F"/>
    <w:rsid w:val="00585DBA"/>
    <w:rsid w:val="00586E1C"/>
    <w:rsid w:val="00592CD8"/>
    <w:rsid w:val="00592F34"/>
    <w:rsid w:val="005B0F84"/>
    <w:rsid w:val="005B3AB8"/>
    <w:rsid w:val="005B498C"/>
    <w:rsid w:val="005B705D"/>
    <w:rsid w:val="005B71DF"/>
    <w:rsid w:val="005C307E"/>
    <w:rsid w:val="005C4E48"/>
    <w:rsid w:val="005C5EC8"/>
    <w:rsid w:val="005C7A7C"/>
    <w:rsid w:val="005D1F3E"/>
    <w:rsid w:val="005D365A"/>
    <w:rsid w:val="005D4818"/>
    <w:rsid w:val="005D646E"/>
    <w:rsid w:val="005E06E9"/>
    <w:rsid w:val="005E1370"/>
    <w:rsid w:val="005E53B9"/>
    <w:rsid w:val="005E6AF8"/>
    <w:rsid w:val="005F0D99"/>
    <w:rsid w:val="005F2300"/>
    <w:rsid w:val="005F2D9F"/>
    <w:rsid w:val="005F58F9"/>
    <w:rsid w:val="00602044"/>
    <w:rsid w:val="00602A01"/>
    <w:rsid w:val="00604FE1"/>
    <w:rsid w:val="00605604"/>
    <w:rsid w:val="0060613D"/>
    <w:rsid w:val="00606F5A"/>
    <w:rsid w:val="0060742D"/>
    <w:rsid w:val="006128BA"/>
    <w:rsid w:val="00615AEF"/>
    <w:rsid w:val="00616BB5"/>
    <w:rsid w:val="006210D2"/>
    <w:rsid w:val="0062121A"/>
    <w:rsid w:val="00623F53"/>
    <w:rsid w:val="00630507"/>
    <w:rsid w:val="00630B20"/>
    <w:rsid w:val="006332A4"/>
    <w:rsid w:val="006352A2"/>
    <w:rsid w:val="00636FD1"/>
    <w:rsid w:val="00637B99"/>
    <w:rsid w:val="00641114"/>
    <w:rsid w:val="00641582"/>
    <w:rsid w:val="00645879"/>
    <w:rsid w:val="00646436"/>
    <w:rsid w:val="00646C7A"/>
    <w:rsid w:val="00646E77"/>
    <w:rsid w:val="00647788"/>
    <w:rsid w:val="00647C24"/>
    <w:rsid w:val="0065157D"/>
    <w:rsid w:val="006527C2"/>
    <w:rsid w:val="00657262"/>
    <w:rsid w:val="006572FF"/>
    <w:rsid w:val="006607AF"/>
    <w:rsid w:val="00665727"/>
    <w:rsid w:val="0066599C"/>
    <w:rsid w:val="00672456"/>
    <w:rsid w:val="00673AD9"/>
    <w:rsid w:val="0067556B"/>
    <w:rsid w:val="0067761C"/>
    <w:rsid w:val="00677A36"/>
    <w:rsid w:val="00680203"/>
    <w:rsid w:val="006804DC"/>
    <w:rsid w:val="006806E8"/>
    <w:rsid w:val="00681823"/>
    <w:rsid w:val="0068645C"/>
    <w:rsid w:val="00686723"/>
    <w:rsid w:val="0068743E"/>
    <w:rsid w:val="00690260"/>
    <w:rsid w:val="006923A1"/>
    <w:rsid w:val="0069669D"/>
    <w:rsid w:val="00696951"/>
    <w:rsid w:val="006976F3"/>
    <w:rsid w:val="006A050B"/>
    <w:rsid w:val="006A394F"/>
    <w:rsid w:val="006A3D31"/>
    <w:rsid w:val="006A5169"/>
    <w:rsid w:val="006B36B4"/>
    <w:rsid w:val="006B3BDE"/>
    <w:rsid w:val="006B482B"/>
    <w:rsid w:val="006B6EB6"/>
    <w:rsid w:val="006B7EA4"/>
    <w:rsid w:val="006C000B"/>
    <w:rsid w:val="006C1429"/>
    <w:rsid w:val="006C45D2"/>
    <w:rsid w:val="006D072F"/>
    <w:rsid w:val="006D4826"/>
    <w:rsid w:val="006D5632"/>
    <w:rsid w:val="006D6C81"/>
    <w:rsid w:val="006E1272"/>
    <w:rsid w:val="006E1B5F"/>
    <w:rsid w:val="006E4003"/>
    <w:rsid w:val="006E540C"/>
    <w:rsid w:val="006E5BC1"/>
    <w:rsid w:val="006E762A"/>
    <w:rsid w:val="006F1482"/>
    <w:rsid w:val="006F5C0A"/>
    <w:rsid w:val="006F5E95"/>
    <w:rsid w:val="006F7E4A"/>
    <w:rsid w:val="0070055F"/>
    <w:rsid w:val="007023A1"/>
    <w:rsid w:val="007074C9"/>
    <w:rsid w:val="00713D59"/>
    <w:rsid w:val="007236E2"/>
    <w:rsid w:val="00724251"/>
    <w:rsid w:val="0072439F"/>
    <w:rsid w:val="00731DCD"/>
    <w:rsid w:val="007403DD"/>
    <w:rsid w:val="0074166D"/>
    <w:rsid w:val="00741AEF"/>
    <w:rsid w:val="00741CA1"/>
    <w:rsid w:val="007437FF"/>
    <w:rsid w:val="00744B60"/>
    <w:rsid w:val="00745376"/>
    <w:rsid w:val="0074761E"/>
    <w:rsid w:val="0075041A"/>
    <w:rsid w:val="00750661"/>
    <w:rsid w:val="007507FB"/>
    <w:rsid w:val="007514F9"/>
    <w:rsid w:val="00753018"/>
    <w:rsid w:val="00754980"/>
    <w:rsid w:val="0075638B"/>
    <w:rsid w:val="00757098"/>
    <w:rsid w:val="0076159B"/>
    <w:rsid w:val="007635FA"/>
    <w:rsid w:val="007661B8"/>
    <w:rsid w:val="0076758F"/>
    <w:rsid w:val="00772117"/>
    <w:rsid w:val="00772207"/>
    <w:rsid w:val="0077388E"/>
    <w:rsid w:val="00776F71"/>
    <w:rsid w:val="00777743"/>
    <w:rsid w:val="00777B17"/>
    <w:rsid w:val="00781FF4"/>
    <w:rsid w:val="00782A22"/>
    <w:rsid w:val="00782AA9"/>
    <w:rsid w:val="00783555"/>
    <w:rsid w:val="007853D4"/>
    <w:rsid w:val="0078666A"/>
    <w:rsid w:val="00786B63"/>
    <w:rsid w:val="0079200A"/>
    <w:rsid w:val="00792F41"/>
    <w:rsid w:val="007963BF"/>
    <w:rsid w:val="007A090E"/>
    <w:rsid w:val="007A11E4"/>
    <w:rsid w:val="007A217F"/>
    <w:rsid w:val="007A31E8"/>
    <w:rsid w:val="007A392B"/>
    <w:rsid w:val="007A3F69"/>
    <w:rsid w:val="007A463E"/>
    <w:rsid w:val="007A6F90"/>
    <w:rsid w:val="007A7F9C"/>
    <w:rsid w:val="007B04BB"/>
    <w:rsid w:val="007B5534"/>
    <w:rsid w:val="007B6752"/>
    <w:rsid w:val="007B74A4"/>
    <w:rsid w:val="007C0962"/>
    <w:rsid w:val="007C1798"/>
    <w:rsid w:val="007C287F"/>
    <w:rsid w:val="007C2C74"/>
    <w:rsid w:val="007C2D39"/>
    <w:rsid w:val="007C2DBF"/>
    <w:rsid w:val="007C334C"/>
    <w:rsid w:val="007C3BF8"/>
    <w:rsid w:val="007C6ACC"/>
    <w:rsid w:val="007D0A3E"/>
    <w:rsid w:val="007D297B"/>
    <w:rsid w:val="007D34E6"/>
    <w:rsid w:val="007D430C"/>
    <w:rsid w:val="007D5855"/>
    <w:rsid w:val="007D5E4B"/>
    <w:rsid w:val="007D694C"/>
    <w:rsid w:val="007E2743"/>
    <w:rsid w:val="007E6359"/>
    <w:rsid w:val="007E74F5"/>
    <w:rsid w:val="007F41E4"/>
    <w:rsid w:val="007F4870"/>
    <w:rsid w:val="007F4B73"/>
    <w:rsid w:val="007F671D"/>
    <w:rsid w:val="00800597"/>
    <w:rsid w:val="00801A23"/>
    <w:rsid w:val="0080772A"/>
    <w:rsid w:val="00807908"/>
    <w:rsid w:val="008117CF"/>
    <w:rsid w:val="008120F2"/>
    <w:rsid w:val="0081475E"/>
    <w:rsid w:val="00816255"/>
    <w:rsid w:val="00820182"/>
    <w:rsid w:val="008204C0"/>
    <w:rsid w:val="00821668"/>
    <w:rsid w:val="0082273B"/>
    <w:rsid w:val="00822890"/>
    <w:rsid w:val="00832578"/>
    <w:rsid w:val="0083608A"/>
    <w:rsid w:val="00842247"/>
    <w:rsid w:val="00843256"/>
    <w:rsid w:val="00844AB1"/>
    <w:rsid w:val="008461C0"/>
    <w:rsid w:val="00846656"/>
    <w:rsid w:val="00852FFC"/>
    <w:rsid w:val="00857706"/>
    <w:rsid w:val="00857EE6"/>
    <w:rsid w:val="0086006D"/>
    <w:rsid w:val="00861136"/>
    <w:rsid w:val="00864319"/>
    <w:rsid w:val="00864A4A"/>
    <w:rsid w:val="00866379"/>
    <w:rsid w:val="00866B55"/>
    <w:rsid w:val="00867F6E"/>
    <w:rsid w:val="00870FFC"/>
    <w:rsid w:val="0087102D"/>
    <w:rsid w:val="00872E1D"/>
    <w:rsid w:val="00872EC5"/>
    <w:rsid w:val="00872F49"/>
    <w:rsid w:val="00872F57"/>
    <w:rsid w:val="00875964"/>
    <w:rsid w:val="00876ABE"/>
    <w:rsid w:val="0087747C"/>
    <w:rsid w:val="00881B14"/>
    <w:rsid w:val="0088398E"/>
    <w:rsid w:val="00884E3B"/>
    <w:rsid w:val="008877CC"/>
    <w:rsid w:val="008923C1"/>
    <w:rsid w:val="00893C43"/>
    <w:rsid w:val="00893C55"/>
    <w:rsid w:val="00894900"/>
    <w:rsid w:val="00894DF2"/>
    <w:rsid w:val="008A3C1E"/>
    <w:rsid w:val="008A4346"/>
    <w:rsid w:val="008A5047"/>
    <w:rsid w:val="008A50DD"/>
    <w:rsid w:val="008A62E3"/>
    <w:rsid w:val="008B0EB8"/>
    <w:rsid w:val="008B23C1"/>
    <w:rsid w:val="008B29BF"/>
    <w:rsid w:val="008B39D8"/>
    <w:rsid w:val="008B46C4"/>
    <w:rsid w:val="008B4DC8"/>
    <w:rsid w:val="008B5C38"/>
    <w:rsid w:val="008B5DBD"/>
    <w:rsid w:val="008B693E"/>
    <w:rsid w:val="008B700D"/>
    <w:rsid w:val="008B7353"/>
    <w:rsid w:val="008B7C70"/>
    <w:rsid w:val="008C0177"/>
    <w:rsid w:val="008C2180"/>
    <w:rsid w:val="008C2FD8"/>
    <w:rsid w:val="008C58D7"/>
    <w:rsid w:val="008C782E"/>
    <w:rsid w:val="008D2E0F"/>
    <w:rsid w:val="008D3739"/>
    <w:rsid w:val="008D38C9"/>
    <w:rsid w:val="008D3E78"/>
    <w:rsid w:val="008D4665"/>
    <w:rsid w:val="008D4D65"/>
    <w:rsid w:val="008E0906"/>
    <w:rsid w:val="008E3030"/>
    <w:rsid w:val="008E3335"/>
    <w:rsid w:val="008E5D30"/>
    <w:rsid w:val="008F4CC6"/>
    <w:rsid w:val="00900518"/>
    <w:rsid w:val="009038E2"/>
    <w:rsid w:val="009045A9"/>
    <w:rsid w:val="00905BD7"/>
    <w:rsid w:val="00905EAA"/>
    <w:rsid w:val="00907579"/>
    <w:rsid w:val="00910073"/>
    <w:rsid w:val="009100C8"/>
    <w:rsid w:val="009101DA"/>
    <w:rsid w:val="00914D5D"/>
    <w:rsid w:val="00915536"/>
    <w:rsid w:val="009159DC"/>
    <w:rsid w:val="009177A5"/>
    <w:rsid w:val="0091792E"/>
    <w:rsid w:val="009211A0"/>
    <w:rsid w:val="00921312"/>
    <w:rsid w:val="00921341"/>
    <w:rsid w:val="00922ADE"/>
    <w:rsid w:val="00923BF1"/>
    <w:rsid w:val="009247C9"/>
    <w:rsid w:val="0092635A"/>
    <w:rsid w:val="00932402"/>
    <w:rsid w:val="00933E7B"/>
    <w:rsid w:val="00936D3D"/>
    <w:rsid w:val="00937529"/>
    <w:rsid w:val="00937609"/>
    <w:rsid w:val="00955011"/>
    <w:rsid w:val="009558C8"/>
    <w:rsid w:val="0095622F"/>
    <w:rsid w:val="00957744"/>
    <w:rsid w:val="0096201D"/>
    <w:rsid w:val="00966695"/>
    <w:rsid w:val="009701E9"/>
    <w:rsid w:val="00970A4C"/>
    <w:rsid w:val="00973C47"/>
    <w:rsid w:val="00974A43"/>
    <w:rsid w:val="00976332"/>
    <w:rsid w:val="0097654B"/>
    <w:rsid w:val="00980164"/>
    <w:rsid w:val="00980AA8"/>
    <w:rsid w:val="00980CE7"/>
    <w:rsid w:val="0098213D"/>
    <w:rsid w:val="00983285"/>
    <w:rsid w:val="00983DEC"/>
    <w:rsid w:val="00990264"/>
    <w:rsid w:val="00992437"/>
    <w:rsid w:val="00997550"/>
    <w:rsid w:val="00997884"/>
    <w:rsid w:val="009A6415"/>
    <w:rsid w:val="009A6476"/>
    <w:rsid w:val="009A7420"/>
    <w:rsid w:val="009B0250"/>
    <w:rsid w:val="009B30FA"/>
    <w:rsid w:val="009B4812"/>
    <w:rsid w:val="009B57CE"/>
    <w:rsid w:val="009B5D16"/>
    <w:rsid w:val="009B6A64"/>
    <w:rsid w:val="009B7B89"/>
    <w:rsid w:val="009C19C5"/>
    <w:rsid w:val="009C1A33"/>
    <w:rsid w:val="009C64A5"/>
    <w:rsid w:val="009C66A6"/>
    <w:rsid w:val="009D0EB6"/>
    <w:rsid w:val="009D1729"/>
    <w:rsid w:val="009D17C5"/>
    <w:rsid w:val="009D3A05"/>
    <w:rsid w:val="009D4E64"/>
    <w:rsid w:val="009D5463"/>
    <w:rsid w:val="009D655A"/>
    <w:rsid w:val="009D7527"/>
    <w:rsid w:val="009E2348"/>
    <w:rsid w:val="009E3475"/>
    <w:rsid w:val="009E3A28"/>
    <w:rsid w:val="009E3BF9"/>
    <w:rsid w:val="009E4D50"/>
    <w:rsid w:val="009E53BB"/>
    <w:rsid w:val="009E7E59"/>
    <w:rsid w:val="009F1036"/>
    <w:rsid w:val="009F210E"/>
    <w:rsid w:val="009F2493"/>
    <w:rsid w:val="009F4EFD"/>
    <w:rsid w:val="009F77FE"/>
    <w:rsid w:val="00A00652"/>
    <w:rsid w:val="00A012D2"/>
    <w:rsid w:val="00A04F47"/>
    <w:rsid w:val="00A06B35"/>
    <w:rsid w:val="00A06EE8"/>
    <w:rsid w:val="00A07049"/>
    <w:rsid w:val="00A107AF"/>
    <w:rsid w:val="00A10CB9"/>
    <w:rsid w:val="00A10D3C"/>
    <w:rsid w:val="00A10D67"/>
    <w:rsid w:val="00A125DE"/>
    <w:rsid w:val="00A134CE"/>
    <w:rsid w:val="00A14116"/>
    <w:rsid w:val="00A144BA"/>
    <w:rsid w:val="00A1584D"/>
    <w:rsid w:val="00A16425"/>
    <w:rsid w:val="00A1669D"/>
    <w:rsid w:val="00A16887"/>
    <w:rsid w:val="00A17022"/>
    <w:rsid w:val="00A17687"/>
    <w:rsid w:val="00A200A9"/>
    <w:rsid w:val="00A2191D"/>
    <w:rsid w:val="00A23744"/>
    <w:rsid w:val="00A26A42"/>
    <w:rsid w:val="00A304F1"/>
    <w:rsid w:val="00A30827"/>
    <w:rsid w:val="00A33883"/>
    <w:rsid w:val="00A352E1"/>
    <w:rsid w:val="00A35CC0"/>
    <w:rsid w:val="00A35DAB"/>
    <w:rsid w:val="00A37017"/>
    <w:rsid w:val="00A4063D"/>
    <w:rsid w:val="00A421B4"/>
    <w:rsid w:val="00A4330D"/>
    <w:rsid w:val="00A43DAB"/>
    <w:rsid w:val="00A43E76"/>
    <w:rsid w:val="00A443C5"/>
    <w:rsid w:val="00A509F8"/>
    <w:rsid w:val="00A548BE"/>
    <w:rsid w:val="00A55A56"/>
    <w:rsid w:val="00A628BD"/>
    <w:rsid w:val="00A65084"/>
    <w:rsid w:val="00A672A8"/>
    <w:rsid w:val="00A67EC8"/>
    <w:rsid w:val="00A707CD"/>
    <w:rsid w:val="00A70DB1"/>
    <w:rsid w:val="00A7130F"/>
    <w:rsid w:val="00A72A44"/>
    <w:rsid w:val="00A737B7"/>
    <w:rsid w:val="00A75C58"/>
    <w:rsid w:val="00A76747"/>
    <w:rsid w:val="00A832DF"/>
    <w:rsid w:val="00A83728"/>
    <w:rsid w:val="00A83A91"/>
    <w:rsid w:val="00A83B38"/>
    <w:rsid w:val="00A85349"/>
    <w:rsid w:val="00A906E9"/>
    <w:rsid w:val="00A910D9"/>
    <w:rsid w:val="00A93C05"/>
    <w:rsid w:val="00A9446C"/>
    <w:rsid w:val="00A94C63"/>
    <w:rsid w:val="00A96571"/>
    <w:rsid w:val="00A97BB1"/>
    <w:rsid w:val="00AA0393"/>
    <w:rsid w:val="00AA4F68"/>
    <w:rsid w:val="00AA5085"/>
    <w:rsid w:val="00AA5A68"/>
    <w:rsid w:val="00AB1B0F"/>
    <w:rsid w:val="00AB488F"/>
    <w:rsid w:val="00AC1C95"/>
    <w:rsid w:val="00AC433A"/>
    <w:rsid w:val="00AC6535"/>
    <w:rsid w:val="00AD0DF4"/>
    <w:rsid w:val="00AD1D8D"/>
    <w:rsid w:val="00AD24E5"/>
    <w:rsid w:val="00AD3747"/>
    <w:rsid w:val="00AD5CDC"/>
    <w:rsid w:val="00AD77C4"/>
    <w:rsid w:val="00AE11B8"/>
    <w:rsid w:val="00AE1F40"/>
    <w:rsid w:val="00AE340D"/>
    <w:rsid w:val="00AE42A5"/>
    <w:rsid w:val="00AE52FB"/>
    <w:rsid w:val="00AF3BD5"/>
    <w:rsid w:val="00B01EA8"/>
    <w:rsid w:val="00B0208A"/>
    <w:rsid w:val="00B05A24"/>
    <w:rsid w:val="00B13CBE"/>
    <w:rsid w:val="00B153B2"/>
    <w:rsid w:val="00B16FD2"/>
    <w:rsid w:val="00B20803"/>
    <w:rsid w:val="00B20CD1"/>
    <w:rsid w:val="00B21518"/>
    <w:rsid w:val="00B21A37"/>
    <w:rsid w:val="00B22A57"/>
    <w:rsid w:val="00B22E51"/>
    <w:rsid w:val="00B2455D"/>
    <w:rsid w:val="00B2743B"/>
    <w:rsid w:val="00B300E1"/>
    <w:rsid w:val="00B30A6B"/>
    <w:rsid w:val="00B34A64"/>
    <w:rsid w:val="00B36507"/>
    <w:rsid w:val="00B366DB"/>
    <w:rsid w:val="00B37C65"/>
    <w:rsid w:val="00B47932"/>
    <w:rsid w:val="00B50B07"/>
    <w:rsid w:val="00B5204D"/>
    <w:rsid w:val="00B54462"/>
    <w:rsid w:val="00B54862"/>
    <w:rsid w:val="00B61735"/>
    <w:rsid w:val="00B63607"/>
    <w:rsid w:val="00B637D6"/>
    <w:rsid w:val="00B67709"/>
    <w:rsid w:val="00B73211"/>
    <w:rsid w:val="00B7328D"/>
    <w:rsid w:val="00B7483C"/>
    <w:rsid w:val="00B75A8B"/>
    <w:rsid w:val="00B76102"/>
    <w:rsid w:val="00B80A8F"/>
    <w:rsid w:val="00B8112B"/>
    <w:rsid w:val="00B81B4A"/>
    <w:rsid w:val="00B81E7C"/>
    <w:rsid w:val="00B85101"/>
    <w:rsid w:val="00B86EF7"/>
    <w:rsid w:val="00B870E8"/>
    <w:rsid w:val="00B873C8"/>
    <w:rsid w:val="00B92EE9"/>
    <w:rsid w:val="00B972D4"/>
    <w:rsid w:val="00B975BF"/>
    <w:rsid w:val="00BA1629"/>
    <w:rsid w:val="00BA44FB"/>
    <w:rsid w:val="00BA5BA6"/>
    <w:rsid w:val="00BA7589"/>
    <w:rsid w:val="00BB38E6"/>
    <w:rsid w:val="00BB69EC"/>
    <w:rsid w:val="00BB7708"/>
    <w:rsid w:val="00BC0ABF"/>
    <w:rsid w:val="00BC38B4"/>
    <w:rsid w:val="00BC3F37"/>
    <w:rsid w:val="00BC5085"/>
    <w:rsid w:val="00BC53FA"/>
    <w:rsid w:val="00BC57DE"/>
    <w:rsid w:val="00BD07B5"/>
    <w:rsid w:val="00BD1CD4"/>
    <w:rsid w:val="00BD4DFE"/>
    <w:rsid w:val="00BD7D53"/>
    <w:rsid w:val="00BE3CF4"/>
    <w:rsid w:val="00BE611B"/>
    <w:rsid w:val="00BF10BE"/>
    <w:rsid w:val="00BF1BF7"/>
    <w:rsid w:val="00BF2881"/>
    <w:rsid w:val="00BF2F61"/>
    <w:rsid w:val="00BF413D"/>
    <w:rsid w:val="00BF572C"/>
    <w:rsid w:val="00BF631F"/>
    <w:rsid w:val="00BF70BB"/>
    <w:rsid w:val="00C00DDB"/>
    <w:rsid w:val="00C025DE"/>
    <w:rsid w:val="00C07BAF"/>
    <w:rsid w:val="00C1184D"/>
    <w:rsid w:val="00C11B21"/>
    <w:rsid w:val="00C12221"/>
    <w:rsid w:val="00C14A5A"/>
    <w:rsid w:val="00C161A1"/>
    <w:rsid w:val="00C17B70"/>
    <w:rsid w:val="00C208CA"/>
    <w:rsid w:val="00C2233C"/>
    <w:rsid w:val="00C223B4"/>
    <w:rsid w:val="00C25F05"/>
    <w:rsid w:val="00C25FA1"/>
    <w:rsid w:val="00C264ED"/>
    <w:rsid w:val="00C268EE"/>
    <w:rsid w:val="00C26A30"/>
    <w:rsid w:val="00C26E5E"/>
    <w:rsid w:val="00C27FA0"/>
    <w:rsid w:val="00C30660"/>
    <w:rsid w:val="00C30D11"/>
    <w:rsid w:val="00C310A9"/>
    <w:rsid w:val="00C3319A"/>
    <w:rsid w:val="00C33D5E"/>
    <w:rsid w:val="00C34409"/>
    <w:rsid w:val="00C377B5"/>
    <w:rsid w:val="00C402EE"/>
    <w:rsid w:val="00C413A3"/>
    <w:rsid w:val="00C41A91"/>
    <w:rsid w:val="00C41E6D"/>
    <w:rsid w:val="00C4329D"/>
    <w:rsid w:val="00C43E34"/>
    <w:rsid w:val="00C45BC9"/>
    <w:rsid w:val="00C466A5"/>
    <w:rsid w:val="00C5285C"/>
    <w:rsid w:val="00C52CD3"/>
    <w:rsid w:val="00C52D89"/>
    <w:rsid w:val="00C6103A"/>
    <w:rsid w:val="00C614C0"/>
    <w:rsid w:val="00C62913"/>
    <w:rsid w:val="00C66D3C"/>
    <w:rsid w:val="00C66EEA"/>
    <w:rsid w:val="00C70493"/>
    <w:rsid w:val="00C7129E"/>
    <w:rsid w:val="00C74B23"/>
    <w:rsid w:val="00C76CEE"/>
    <w:rsid w:val="00C807B9"/>
    <w:rsid w:val="00C80CD7"/>
    <w:rsid w:val="00C81648"/>
    <w:rsid w:val="00C84036"/>
    <w:rsid w:val="00C848E8"/>
    <w:rsid w:val="00C90126"/>
    <w:rsid w:val="00C91F02"/>
    <w:rsid w:val="00C95FF9"/>
    <w:rsid w:val="00C97F58"/>
    <w:rsid w:val="00CA4CF2"/>
    <w:rsid w:val="00CA6863"/>
    <w:rsid w:val="00CA7F40"/>
    <w:rsid w:val="00CB0E11"/>
    <w:rsid w:val="00CB1037"/>
    <w:rsid w:val="00CB16AE"/>
    <w:rsid w:val="00CB4D4C"/>
    <w:rsid w:val="00CB5122"/>
    <w:rsid w:val="00CB6890"/>
    <w:rsid w:val="00CB78A9"/>
    <w:rsid w:val="00CC05EA"/>
    <w:rsid w:val="00CC0B16"/>
    <w:rsid w:val="00CC17ED"/>
    <w:rsid w:val="00CC1C25"/>
    <w:rsid w:val="00CC201A"/>
    <w:rsid w:val="00CC4F42"/>
    <w:rsid w:val="00CC5117"/>
    <w:rsid w:val="00CC6738"/>
    <w:rsid w:val="00CD0EA9"/>
    <w:rsid w:val="00CD4A23"/>
    <w:rsid w:val="00CD5C11"/>
    <w:rsid w:val="00CD5C52"/>
    <w:rsid w:val="00CD6391"/>
    <w:rsid w:val="00CD6BA2"/>
    <w:rsid w:val="00CD7D6C"/>
    <w:rsid w:val="00CE0A90"/>
    <w:rsid w:val="00CE10ED"/>
    <w:rsid w:val="00CE54A1"/>
    <w:rsid w:val="00CE5D14"/>
    <w:rsid w:val="00CE6CEC"/>
    <w:rsid w:val="00CF1A9E"/>
    <w:rsid w:val="00CF1FC4"/>
    <w:rsid w:val="00CF2682"/>
    <w:rsid w:val="00CF2848"/>
    <w:rsid w:val="00CF2D41"/>
    <w:rsid w:val="00CF4141"/>
    <w:rsid w:val="00CF6AF9"/>
    <w:rsid w:val="00D0009B"/>
    <w:rsid w:val="00D01633"/>
    <w:rsid w:val="00D02242"/>
    <w:rsid w:val="00D052F9"/>
    <w:rsid w:val="00D0587F"/>
    <w:rsid w:val="00D0773D"/>
    <w:rsid w:val="00D078ED"/>
    <w:rsid w:val="00D079B4"/>
    <w:rsid w:val="00D11508"/>
    <w:rsid w:val="00D13880"/>
    <w:rsid w:val="00D14049"/>
    <w:rsid w:val="00D15602"/>
    <w:rsid w:val="00D162CC"/>
    <w:rsid w:val="00D167F5"/>
    <w:rsid w:val="00D17F53"/>
    <w:rsid w:val="00D22378"/>
    <w:rsid w:val="00D22B8B"/>
    <w:rsid w:val="00D23BCE"/>
    <w:rsid w:val="00D24F2E"/>
    <w:rsid w:val="00D270F6"/>
    <w:rsid w:val="00D3028F"/>
    <w:rsid w:val="00D3369B"/>
    <w:rsid w:val="00D35433"/>
    <w:rsid w:val="00D359D9"/>
    <w:rsid w:val="00D359F3"/>
    <w:rsid w:val="00D37451"/>
    <w:rsid w:val="00D375C3"/>
    <w:rsid w:val="00D37A23"/>
    <w:rsid w:val="00D40CCB"/>
    <w:rsid w:val="00D44074"/>
    <w:rsid w:val="00D4433A"/>
    <w:rsid w:val="00D4478D"/>
    <w:rsid w:val="00D47A45"/>
    <w:rsid w:val="00D502AE"/>
    <w:rsid w:val="00D52566"/>
    <w:rsid w:val="00D56E69"/>
    <w:rsid w:val="00D574CD"/>
    <w:rsid w:val="00D60550"/>
    <w:rsid w:val="00D65CAF"/>
    <w:rsid w:val="00D65EB8"/>
    <w:rsid w:val="00D66741"/>
    <w:rsid w:val="00D675D1"/>
    <w:rsid w:val="00D721C3"/>
    <w:rsid w:val="00D75D70"/>
    <w:rsid w:val="00D772EA"/>
    <w:rsid w:val="00D8131D"/>
    <w:rsid w:val="00D850A3"/>
    <w:rsid w:val="00D86752"/>
    <w:rsid w:val="00D903DC"/>
    <w:rsid w:val="00D9085C"/>
    <w:rsid w:val="00D91A34"/>
    <w:rsid w:val="00D92A40"/>
    <w:rsid w:val="00D92B39"/>
    <w:rsid w:val="00D95999"/>
    <w:rsid w:val="00DA0A68"/>
    <w:rsid w:val="00DA2529"/>
    <w:rsid w:val="00DA360D"/>
    <w:rsid w:val="00DA461B"/>
    <w:rsid w:val="00DA78EA"/>
    <w:rsid w:val="00DB1329"/>
    <w:rsid w:val="00DB4D06"/>
    <w:rsid w:val="00DB52B7"/>
    <w:rsid w:val="00DC4B24"/>
    <w:rsid w:val="00DC68DE"/>
    <w:rsid w:val="00DC706D"/>
    <w:rsid w:val="00DC74D3"/>
    <w:rsid w:val="00DC7C9B"/>
    <w:rsid w:val="00DC7EF3"/>
    <w:rsid w:val="00DD039C"/>
    <w:rsid w:val="00DD1AAF"/>
    <w:rsid w:val="00DD231B"/>
    <w:rsid w:val="00DD512C"/>
    <w:rsid w:val="00DD62A9"/>
    <w:rsid w:val="00DD6EF3"/>
    <w:rsid w:val="00DE035B"/>
    <w:rsid w:val="00DE0A59"/>
    <w:rsid w:val="00DE0D72"/>
    <w:rsid w:val="00DE1DD8"/>
    <w:rsid w:val="00DE48B6"/>
    <w:rsid w:val="00DE5FF5"/>
    <w:rsid w:val="00DE6684"/>
    <w:rsid w:val="00DF08FC"/>
    <w:rsid w:val="00DF49D8"/>
    <w:rsid w:val="00E00EFF"/>
    <w:rsid w:val="00E01CC7"/>
    <w:rsid w:val="00E0282A"/>
    <w:rsid w:val="00E1225E"/>
    <w:rsid w:val="00E1358E"/>
    <w:rsid w:val="00E1430F"/>
    <w:rsid w:val="00E14AC5"/>
    <w:rsid w:val="00E17281"/>
    <w:rsid w:val="00E174F1"/>
    <w:rsid w:val="00E2123A"/>
    <w:rsid w:val="00E2325B"/>
    <w:rsid w:val="00E23F3D"/>
    <w:rsid w:val="00E24BE1"/>
    <w:rsid w:val="00E24BFF"/>
    <w:rsid w:val="00E264C5"/>
    <w:rsid w:val="00E2674A"/>
    <w:rsid w:val="00E268EE"/>
    <w:rsid w:val="00E300F0"/>
    <w:rsid w:val="00E30EE8"/>
    <w:rsid w:val="00E31952"/>
    <w:rsid w:val="00E32070"/>
    <w:rsid w:val="00E32CE9"/>
    <w:rsid w:val="00E36C9E"/>
    <w:rsid w:val="00E36D6C"/>
    <w:rsid w:val="00E40167"/>
    <w:rsid w:val="00E40669"/>
    <w:rsid w:val="00E4199A"/>
    <w:rsid w:val="00E4202C"/>
    <w:rsid w:val="00E42303"/>
    <w:rsid w:val="00E439DD"/>
    <w:rsid w:val="00E448C7"/>
    <w:rsid w:val="00E5183C"/>
    <w:rsid w:val="00E53240"/>
    <w:rsid w:val="00E540AF"/>
    <w:rsid w:val="00E55A7E"/>
    <w:rsid w:val="00E560FB"/>
    <w:rsid w:val="00E60A8D"/>
    <w:rsid w:val="00E611D8"/>
    <w:rsid w:val="00E63012"/>
    <w:rsid w:val="00E63AB3"/>
    <w:rsid w:val="00E6478B"/>
    <w:rsid w:val="00E71019"/>
    <w:rsid w:val="00E754B8"/>
    <w:rsid w:val="00E814B4"/>
    <w:rsid w:val="00E82C2C"/>
    <w:rsid w:val="00E83D82"/>
    <w:rsid w:val="00E83FE2"/>
    <w:rsid w:val="00E848F4"/>
    <w:rsid w:val="00E874A6"/>
    <w:rsid w:val="00E9096B"/>
    <w:rsid w:val="00E9168A"/>
    <w:rsid w:val="00E93B2E"/>
    <w:rsid w:val="00E96618"/>
    <w:rsid w:val="00E9667E"/>
    <w:rsid w:val="00EA0D55"/>
    <w:rsid w:val="00EA14DD"/>
    <w:rsid w:val="00EA2FDC"/>
    <w:rsid w:val="00EA606D"/>
    <w:rsid w:val="00EA69B8"/>
    <w:rsid w:val="00EA71B8"/>
    <w:rsid w:val="00EB038C"/>
    <w:rsid w:val="00EB0FC4"/>
    <w:rsid w:val="00EB6452"/>
    <w:rsid w:val="00EC5982"/>
    <w:rsid w:val="00EC66EB"/>
    <w:rsid w:val="00ED0263"/>
    <w:rsid w:val="00ED1A31"/>
    <w:rsid w:val="00ED3079"/>
    <w:rsid w:val="00ED3926"/>
    <w:rsid w:val="00ED48F3"/>
    <w:rsid w:val="00ED6407"/>
    <w:rsid w:val="00EE02B2"/>
    <w:rsid w:val="00EE1552"/>
    <w:rsid w:val="00EE3BE2"/>
    <w:rsid w:val="00EE5082"/>
    <w:rsid w:val="00EE69E6"/>
    <w:rsid w:val="00EE73D3"/>
    <w:rsid w:val="00EF0C4C"/>
    <w:rsid w:val="00EF1A58"/>
    <w:rsid w:val="00EF3320"/>
    <w:rsid w:val="00EF4831"/>
    <w:rsid w:val="00EF496F"/>
    <w:rsid w:val="00EF58C0"/>
    <w:rsid w:val="00EF5EE9"/>
    <w:rsid w:val="00F063B6"/>
    <w:rsid w:val="00F07582"/>
    <w:rsid w:val="00F10548"/>
    <w:rsid w:val="00F111CF"/>
    <w:rsid w:val="00F12FD3"/>
    <w:rsid w:val="00F13500"/>
    <w:rsid w:val="00F14287"/>
    <w:rsid w:val="00F1468C"/>
    <w:rsid w:val="00F15B2A"/>
    <w:rsid w:val="00F17D8A"/>
    <w:rsid w:val="00F20835"/>
    <w:rsid w:val="00F2124C"/>
    <w:rsid w:val="00F21D11"/>
    <w:rsid w:val="00F26582"/>
    <w:rsid w:val="00F27474"/>
    <w:rsid w:val="00F32CE7"/>
    <w:rsid w:val="00F337AC"/>
    <w:rsid w:val="00F33888"/>
    <w:rsid w:val="00F34F34"/>
    <w:rsid w:val="00F37391"/>
    <w:rsid w:val="00F44556"/>
    <w:rsid w:val="00F453F4"/>
    <w:rsid w:val="00F463FF"/>
    <w:rsid w:val="00F46B97"/>
    <w:rsid w:val="00F46EFC"/>
    <w:rsid w:val="00F506AD"/>
    <w:rsid w:val="00F52E18"/>
    <w:rsid w:val="00F53708"/>
    <w:rsid w:val="00F577AB"/>
    <w:rsid w:val="00F63FC1"/>
    <w:rsid w:val="00F6460D"/>
    <w:rsid w:val="00F65B60"/>
    <w:rsid w:val="00F66744"/>
    <w:rsid w:val="00F674DE"/>
    <w:rsid w:val="00F711AF"/>
    <w:rsid w:val="00F715F6"/>
    <w:rsid w:val="00F71E65"/>
    <w:rsid w:val="00F7386B"/>
    <w:rsid w:val="00F751F4"/>
    <w:rsid w:val="00F77F5D"/>
    <w:rsid w:val="00F801B9"/>
    <w:rsid w:val="00F81176"/>
    <w:rsid w:val="00F84675"/>
    <w:rsid w:val="00F865EB"/>
    <w:rsid w:val="00F875D9"/>
    <w:rsid w:val="00F87CB6"/>
    <w:rsid w:val="00F93C2D"/>
    <w:rsid w:val="00F94E9B"/>
    <w:rsid w:val="00F96B6E"/>
    <w:rsid w:val="00FA261A"/>
    <w:rsid w:val="00FA2F99"/>
    <w:rsid w:val="00FA41B6"/>
    <w:rsid w:val="00FA48B0"/>
    <w:rsid w:val="00FA4EF5"/>
    <w:rsid w:val="00FA6D19"/>
    <w:rsid w:val="00FA714D"/>
    <w:rsid w:val="00FB0488"/>
    <w:rsid w:val="00FB1A9B"/>
    <w:rsid w:val="00FB2471"/>
    <w:rsid w:val="00FB3CF3"/>
    <w:rsid w:val="00FB42C3"/>
    <w:rsid w:val="00FB4563"/>
    <w:rsid w:val="00FB7251"/>
    <w:rsid w:val="00FC0FD0"/>
    <w:rsid w:val="00FC2184"/>
    <w:rsid w:val="00FC30EE"/>
    <w:rsid w:val="00FC3D42"/>
    <w:rsid w:val="00FC5DA4"/>
    <w:rsid w:val="00FC7C2B"/>
    <w:rsid w:val="00FD005A"/>
    <w:rsid w:val="00FD207E"/>
    <w:rsid w:val="00FD57FD"/>
    <w:rsid w:val="00FD7FF8"/>
    <w:rsid w:val="00FE0A88"/>
    <w:rsid w:val="00FE1C5B"/>
    <w:rsid w:val="00FE2047"/>
    <w:rsid w:val="00FE4249"/>
    <w:rsid w:val="00FE55BC"/>
    <w:rsid w:val="00FE56FA"/>
    <w:rsid w:val="00FF0BE1"/>
    <w:rsid w:val="00FF149D"/>
    <w:rsid w:val="00FF1B80"/>
    <w:rsid w:val="00FF2E47"/>
    <w:rsid w:val="00FF423A"/>
    <w:rsid w:val="00FF566F"/>
    <w:rsid w:val="00FF6B0F"/>
    <w:rsid w:val="00FF6C5F"/>
    <w:rsid w:val="00FF7FD2"/>
    <w:rsid w:val="072FEDE1"/>
    <w:rsid w:val="2B29FC10"/>
    <w:rsid w:val="3A417A04"/>
    <w:rsid w:val="52414DCB"/>
    <w:rsid w:val="642AB9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38404"/>
  <w15:chartTrackingRefBased/>
  <w15:docId w15:val="{B82256A2-A3A9-4B74-AB78-3DF4DCC1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qFormat="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23"/>
    <w:pPr>
      <w:spacing w:after="200" w:line="276" w:lineRule="auto"/>
    </w:pPr>
    <w:rPr>
      <w:rFonts w:asciiTheme="minorHAnsi" w:eastAsiaTheme="minorEastAsia" w:hAnsiTheme="minorHAnsi" w:cstheme="minorBidi"/>
      <w:lang w:eastAsia="en-AU"/>
    </w:rPr>
  </w:style>
  <w:style w:type="paragraph" w:styleId="Heading1">
    <w:name w:val="heading 1"/>
    <w:next w:val="Normal"/>
    <w:link w:val="Heading1Char"/>
    <w:uiPriority w:val="9"/>
    <w:qFormat/>
    <w:rsid w:val="00DC7EF3"/>
    <w:pPr>
      <w:keepNext/>
      <w:keepLines/>
      <w:spacing w:before="480" w:after="600" w:line="360" w:lineRule="auto"/>
      <w:contextualSpacing/>
      <w:outlineLvl w:val="0"/>
    </w:pPr>
    <w:rPr>
      <w:rFonts w:eastAsiaTheme="majorEastAsia" w:cstheme="majorBidi"/>
      <w:b/>
      <w:bCs/>
      <w:kern w:val="28"/>
      <w:sz w:val="56"/>
      <w:szCs w:val="32"/>
    </w:rPr>
  </w:style>
  <w:style w:type="paragraph" w:styleId="Heading2">
    <w:name w:val="heading 2"/>
    <w:basedOn w:val="Heading1"/>
    <w:next w:val="Normal"/>
    <w:link w:val="Heading2Char"/>
    <w:uiPriority w:val="9"/>
    <w:unhideWhenUsed/>
    <w:qFormat/>
    <w:rsid w:val="00444BF0"/>
    <w:pPr>
      <w:spacing w:before="240" w:after="360"/>
      <w:outlineLvl w:val="1"/>
    </w:pPr>
    <w:rPr>
      <w:bCs w:val="0"/>
      <w:sz w:val="36"/>
      <w:szCs w:val="26"/>
    </w:rPr>
  </w:style>
  <w:style w:type="paragraph" w:styleId="Heading3">
    <w:name w:val="heading 3"/>
    <w:basedOn w:val="Heading2"/>
    <w:next w:val="Normal"/>
    <w:link w:val="Heading3Char"/>
    <w:uiPriority w:val="9"/>
    <w:unhideWhenUsed/>
    <w:qFormat/>
    <w:rsid w:val="00444BF0"/>
    <w:pPr>
      <w:spacing w:after="240"/>
      <w:outlineLvl w:val="2"/>
    </w:pPr>
    <w:rPr>
      <w:bCs/>
      <w:sz w:val="32"/>
    </w:rPr>
  </w:style>
  <w:style w:type="paragraph" w:styleId="Heading4">
    <w:name w:val="heading 4"/>
    <w:basedOn w:val="Heading3"/>
    <w:next w:val="Normal"/>
    <w:link w:val="Heading4Char"/>
    <w:uiPriority w:val="9"/>
    <w:unhideWhenUsed/>
    <w:qFormat/>
    <w:rsid w:val="00444BF0"/>
    <w:pPr>
      <w:spacing w:before="200" w:after="200"/>
      <w:outlineLvl w:val="3"/>
    </w:pPr>
    <w:rPr>
      <w:bCs w:val="0"/>
      <w:iCs/>
      <w:sz w:val="28"/>
    </w:rPr>
  </w:style>
  <w:style w:type="paragraph" w:styleId="Heading5">
    <w:name w:val="heading 5"/>
    <w:basedOn w:val="Heading4"/>
    <w:next w:val="Normal"/>
    <w:link w:val="Heading5Char"/>
    <w:uiPriority w:val="9"/>
    <w:unhideWhenUsed/>
    <w:qFormat/>
    <w:rsid w:val="00444BF0"/>
    <w:pPr>
      <w:spacing w:before="120"/>
      <w:outlineLvl w:val="4"/>
    </w:pPr>
    <w:rPr>
      <w:sz w:val="24"/>
    </w:rPr>
  </w:style>
  <w:style w:type="paragraph" w:styleId="Heading6">
    <w:name w:val="heading 6"/>
    <w:basedOn w:val="Heading5"/>
    <w:next w:val="Normal"/>
    <w:link w:val="Heading6Char"/>
    <w:uiPriority w:val="9"/>
    <w:unhideWhenUsed/>
    <w:qFormat/>
    <w:rsid w:val="00677A36"/>
    <w:pPr>
      <w:outlineLvl w:val="5"/>
    </w:pPr>
    <w:rPr>
      <w:b w:val="0"/>
      <w:i/>
    </w:rPr>
  </w:style>
  <w:style w:type="paragraph" w:styleId="Heading7">
    <w:name w:val="heading 7"/>
    <w:basedOn w:val="Heading6"/>
    <w:next w:val="Normal"/>
    <w:link w:val="Heading7Char"/>
    <w:uiPriority w:val="9"/>
    <w:semiHidden/>
    <w:unhideWhenUsed/>
    <w:rsid w:val="00444BF0"/>
    <w:pPr>
      <w:spacing w:before="200" w:after="120" w:line="288" w:lineRule="auto"/>
      <w:contextualSpacing w:val="0"/>
      <w:outlineLvl w:val="6"/>
    </w:pPr>
    <w:rPr>
      <w:b/>
      <w:i w:val="0"/>
      <w:color w:val="404040"/>
      <w:kern w:val="0"/>
      <w:sz w:val="22"/>
      <w:szCs w:val="22"/>
    </w:rPr>
  </w:style>
  <w:style w:type="paragraph" w:styleId="Heading8">
    <w:name w:val="heading 8"/>
    <w:basedOn w:val="Normal"/>
    <w:next w:val="Normal"/>
    <w:link w:val="Heading8Char"/>
    <w:uiPriority w:val="9"/>
    <w:semiHidden/>
    <w:unhideWhenUsed/>
    <w:qFormat/>
    <w:rsid w:val="00677A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7A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A36"/>
    <w:pPr>
      <w:spacing w:line="240" w:lineRule="auto"/>
    </w:pPr>
  </w:style>
  <w:style w:type="character" w:customStyle="1" w:styleId="Heading1Char">
    <w:name w:val="Heading 1 Char"/>
    <w:link w:val="Heading1"/>
    <w:uiPriority w:val="9"/>
    <w:rsid w:val="00DC7EF3"/>
    <w:rPr>
      <w:rFonts w:eastAsiaTheme="majorEastAsia" w:cstheme="majorBidi"/>
      <w:b/>
      <w:bCs/>
      <w:kern w:val="28"/>
      <w:sz w:val="56"/>
      <w:szCs w:val="32"/>
    </w:rPr>
  </w:style>
  <w:style w:type="character" w:customStyle="1" w:styleId="Heading2Char">
    <w:name w:val="Heading 2 Char"/>
    <w:link w:val="Heading2"/>
    <w:uiPriority w:val="9"/>
    <w:rsid w:val="00444BF0"/>
    <w:rPr>
      <w:rFonts w:eastAsiaTheme="majorEastAsia" w:cstheme="majorBidi"/>
      <w:b/>
      <w:kern w:val="28"/>
      <w:sz w:val="36"/>
      <w:szCs w:val="26"/>
    </w:rPr>
  </w:style>
  <w:style w:type="character" w:customStyle="1" w:styleId="Heading4Char">
    <w:name w:val="Heading 4 Char"/>
    <w:link w:val="Heading4"/>
    <w:uiPriority w:val="9"/>
    <w:rsid w:val="00444BF0"/>
    <w:rPr>
      <w:rFonts w:eastAsiaTheme="majorEastAsia" w:cstheme="majorBidi"/>
      <w:iCs/>
      <w:kern w:val="28"/>
      <w:sz w:val="28"/>
      <w:szCs w:val="26"/>
    </w:rPr>
  </w:style>
  <w:style w:type="paragraph" w:customStyle="1" w:styleId="Bullet">
    <w:name w:val="Bullet"/>
    <w:basedOn w:val="Normal"/>
    <w:link w:val="BulletChar"/>
    <w:rsid w:val="006E4003"/>
    <w:pPr>
      <w:numPr>
        <w:numId w:val="1"/>
      </w:numPr>
      <w:tabs>
        <w:tab w:val="left" w:pos="1935"/>
      </w:tabs>
      <w:spacing w:before="120" w:line="240" w:lineRule="auto"/>
    </w:pPr>
    <w:rPr>
      <w:sz w:val="24"/>
    </w:rPr>
  </w:style>
  <w:style w:type="character" w:customStyle="1" w:styleId="BulletChar">
    <w:name w:val="Bullet Char"/>
    <w:link w:val="Bullet"/>
    <w:rsid w:val="006E4003"/>
    <w:rPr>
      <w:rFonts w:asciiTheme="minorHAnsi" w:eastAsiaTheme="minorEastAsia" w:hAnsiTheme="minorHAnsi" w:cstheme="minorBidi"/>
      <w:sz w:val="24"/>
      <w:lang w:eastAsia="en-AU"/>
    </w:rPr>
  </w:style>
  <w:style w:type="paragraph" w:customStyle="1" w:styleId="Nonchapterheading">
    <w:name w:val="Non chapter heading"/>
    <w:basedOn w:val="Heading5"/>
    <w:link w:val="NonchapterheadingChar"/>
    <w:rsid w:val="006E4003"/>
    <w:pPr>
      <w:spacing w:after="120" w:line="288" w:lineRule="auto"/>
      <w:ind w:left="360" w:hanging="360"/>
    </w:pPr>
    <w:rPr>
      <w:rFonts w:eastAsia="Times New Roman" w:cs="Times New Roman"/>
      <w:iCs w:val="0"/>
      <w:kern w:val="0"/>
      <w:szCs w:val="22"/>
    </w:rPr>
  </w:style>
  <w:style w:type="character" w:customStyle="1" w:styleId="NonchapterheadingChar">
    <w:name w:val="Non chapter heading Char"/>
    <w:basedOn w:val="Heading5Char"/>
    <w:link w:val="Nonchapterheading"/>
    <w:rsid w:val="006E4003"/>
    <w:rPr>
      <w:rFonts w:eastAsia="Times New Roman" w:cs="Times New Roman"/>
      <w:b/>
      <w:iCs/>
      <w:kern w:val="28"/>
      <w:sz w:val="24"/>
      <w:szCs w:val="26"/>
    </w:rPr>
  </w:style>
  <w:style w:type="character" w:customStyle="1" w:styleId="Heading5Char">
    <w:name w:val="Heading 5 Char"/>
    <w:link w:val="Heading5"/>
    <w:uiPriority w:val="9"/>
    <w:rsid w:val="00444BF0"/>
    <w:rPr>
      <w:rFonts w:eastAsiaTheme="majorEastAsia" w:cstheme="majorBidi"/>
      <w:b/>
      <w:iCs/>
      <w:kern w:val="28"/>
      <w:sz w:val="24"/>
      <w:szCs w:val="26"/>
    </w:rPr>
  </w:style>
  <w:style w:type="paragraph" w:customStyle="1" w:styleId="Non-numberedchapterheading">
    <w:name w:val="Non-numbered chapter heading"/>
    <w:basedOn w:val="Heading5"/>
    <w:link w:val="Non-numberedchapterheadingChar"/>
    <w:rsid w:val="006E4003"/>
    <w:pPr>
      <w:spacing w:after="120" w:line="288" w:lineRule="auto"/>
      <w:ind w:left="360" w:hanging="360"/>
    </w:pPr>
    <w:rPr>
      <w:rFonts w:eastAsia="Times New Roman" w:cs="Times New Roman"/>
      <w:iCs w:val="0"/>
      <w:kern w:val="0"/>
      <w:szCs w:val="22"/>
    </w:rPr>
  </w:style>
  <w:style w:type="character" w:customStyle="1" w:styleId="Non-numberedchapterheadingChar">
    <w:name w:val="Non-numbered chapter heading Char"/>
    <w:basedOn w:val="Heading5Char"/>
    <w:link w:val="Non-numberedchapterheading"/>
    <w:rsid w:val="006E4003"/>
    <w:rPr>
      <w:rFonts w:eastAsia="Times New Roman" w:cs="Times New Roman"/>
      <w:b/>
      <w:iCs/>
      <w:kern w:val="28"/>
      <w:sz w:val="24"/>
      <w:szCs w:val="26"/>
    </w:rPr>
  </w:style>
  <w:style w:type="character" w:customStyle="1" w:styleId="Heading3Char">
    <w:name w:val="Heading 3 Char"/>
    <w:link w:val="Heading3"/>
    <w:uiPriority w:val="9"/>
    <w:rsid w:val="00444BF0"/>
    <w:rPr>
      <w:rFonts w:eastAsiaTheme="majorEastAsia" w:cstheme="majorBidi"/>
      <w:bCs/>
      <w:kern w:val="28"/>
      <w:sz w:val="32"/>
      <w:szCs w:val="26"/>
    </w:rPr>
  </w:style>
  <w:style w:type="character" w:customStyle="1" w:styleId="Heading6Char">
    <w:name w:val="Heading 6 Char"/>
    <w:link w:val="Heading6"/>
    <w:uiPriority w:val="9"/>
    <w:rsid w:val="003D6738"/>
    <w:rPr>
      <w:rFonts w:eastAsiaTheme="majorEastAsia" w:cstheme="majorBidi"/>
      <w:i/>
      <w:iCs/>
      <w:kern w:val="28"/>
      <w:sz w:val="24"/>
      <w:szCs w:val="26"/>
    </w:rPr>
  </w:style>
  <w:style w:type="character" w:customStyle="1" w:styleId="Heading7Char">
    <w:name w:val="Heading 7 Char"/>
    <w:link w:val="Heading7"/>
    <w:uiPriority w:val="9"/>
    <w:semiHidden/>
    <w:rsid w:val="00444BF0"/>
    <w:rPr>
      <w:rFonts w:eastAsiaTheme="majorEastAsia" w:cstheme="majorBidi"/>
      <w:b/>
      <w:iCs/>
      <w:color w:val="404040"/>
    </w:rPr>
  </w:style>
  <w:style w:type="paragraph" w:styleId="TOC1">
    <w:name w:val="toc 1"/>
    <w:basedOn w:val="Normal"/>
    <w:next w:val="Normal"/>
    <w:autoRedefine/>
    <w:uiPriority w:val="39"/>
    <w:unhideWhenUsed/>
    <w:rsid w:val="006E4003"/>
    <w:pPr>
      <w:tabs>
        <w:tab w:val="right" w:leader="dot" w:pos="9016"/>
      </w:tabs>
    </w:pPr>
    <w:rPr>
      <w:b/>
      <w:noProof/>
    </w:rPr>
  </w:style>
  <w:style w:type="paragraph" w:styleId="TOC2">
    <w:name w:val="toc 2"/>
    <w:basedOn w:val="Normal"/>
    <w:next w:val="Normal"/>
    <w:autoRedefine/>
    <w:uiPriority w:val="39"/>
    <w:unhideWhenUsed/>
    <w:rsid w:val="002F5035"/>
    <w:pPr>
      <w:ind w:left="220"/>
    </w:pPr>
    <w:rPr>
      <w:b/>
    </w:rPr>
  </w:style>
  <w:style w:type="paragraph" w:styleId="TOC3">
    <w:name w:val="toc 3"/>
    <w:basedOn w:val="Normal"/>
    <w:next w:val="Normal"/>
    <w:autoRedefine/>
    <w:uiPriority w:val="39"/>
    <w:unhideWhenUsed/>
    <w:rsid w:val="006E4003"/>
    <w:pPr>
      <w:ind w:left="440"/>
    </w:pPr>
  </w:style>
  <w:style w:type="paragraph" w:styleId="TOC4">
    <w:name w:val="toc 4"/>
    <w:basedOn w:val="Normal"/>
    <w:next w:val="Normal"/>
    <w:autoRedefine/>
    <w:uiPriority w:val="39"/>
    <w:unhideWhenUsed/>
    <w:rsid w:val="006E4003"/>
    <w:pPr>
      <w:ind w:left="660"/>
    </w:pPr>
  </w:style>
  <w:style w:type="paragraph" w:styleId="FootnoteText">
    <w:name w:val="footnote text"/>
    <w:aliases w:val="Char, Char"/>
    <w:basedOn w:val="Normal"/>
    <w:link w:val="FootnoteTextChar"/>
    <w:uiPriority w:val="99"/>
    <w:unhideWhenUsed/>
    <w:rsid w:val="006E4003"/>
    <w:pPr>
      <w:spacing w:line="240" w:lineRule="auto"/>
    </w:pPr>
    <w:rPr>
      <w:sz w:val="18"/>
    </w:rPr>
  </w:style>
  <w:style w:type="character" w:customStyle="1" w:styleId="FootnoteTextChar">
    <w:name w:val="Footnote Text Char"/>
    <w:aliases w:val="Char Char, Char Char"/>
    <w:link w:val="FootnoteText"/>
    <w:uiPriority w:val="99"/>
    <w:rsid w:val="006E4003"/>
    <w:rPr>
      <w:rFonts w:ascii="Trebuchet MS" w:eastAsia="Times New Roman" w:hAnsi="Trebuchet MS" w:cs="Times New Roman"/>
      <w:sz w:val="18"/>
      <w:lang w:eastAsia="en-AU"/>
    </w:rPr>
  </w:style>
  <w:style w:type="paragraph" w:styleId="Header">
    <w:name w:val="header"/>
    <w:basedOn w:val="Normal"/>
    <w:link w:val="HeaderChar"/>
    <w:unhideWhenUsed/>
    <w:rsid w:val="006E4003"/>
    <w:pPr>
      <w:tabs>
        <w:tab w:val="center" w:pos="4513"/>
        <w:tab w:val="right" w:pos="9026"/>
      </w:tabs>
    </w:pPr>
  </w:style>
  <w:style w:type="character" w:customStyle="1" w:styleId="HeaderChar">
    <w:name w:val="Header Char"/>
    <w:link w:val="Header"/>
    <w:rsid w:val="006E4003"/>
    <w:rPr>
      <w:rFonts w:ascii="Trebuchet MS" w:eastAsia="Times New Roman" w:hAnsi="Trebuchet MS" w:cs="Times New Roman"/>
      <w:lang w:eastAsia="en-AU"/>
    </w:rPr>
  </w:style>
  <w:style w:type="paragraph" w:styleId="Footer">
    <w:name w:val="footer"/>
    <w:basedOn w:val="Normal"/>
    <w:link w:val="FooterChar"/>
    <w:uiPriority w:val="99"/>
    <w:unhideWhenUsed/>
    <w:rsid w:val="00D079B4"/>
    <w:pPr>
      <w:tabs>
        <w:tab w:val="center" w:pos="4513"/>
        <w:tab w:val="right" w:pos="9026"/>
      </w:tabs>
      <w:spacing w:after="0" w:line="240" w:lineRule="auto"/>
      <w:jc w:val="right"/>
    </w:pPr>
    <w:rPr>
      <w:sz w:val="18"/>
    </w:rPr>
  </w:style>
  <w:style w:type="character" w:customStyle="1" w:styleId="FooterChar">
    <w:name w:val="Footer Char"/>
    <w:link w:val="Footer"/>
    <w:uiPriority w:val="99"/>
    <w:rsid w:val="00D079B4"/>
    <w:rPr>
      <w:sz w:val="18"/>
    </w:rPr>
  </w:style>
  <w:style w:type="character" w:styleId="FootnoteReference">
    <w:name w:val="footnote reference"/>
    <w:uiPriority w:val="99"/>
    <w:unhideWhenUsed/>
    <w:qFormat/>
    <w:rsid w:val="006E4003"/>
    <w:rPr>
      <w:rFonts w:ascii="Trebuchet MS" w:hAnsi="Trebuchet MS"/>
      <w:i w:val="0"/>
      <w:color w:val="595959" w:themeColor="text1" w:themeTint="A6"/>
      <w:sz w:val="18"/>
      <w:vertAlign w:val="superscript"/>
    </w:rPr>
  </w:style>
  <w:style w:type="paragraph" w:styleId="Subtitle">
    <w:name w:val="Subtitle"/>
    <w:basedOn w:val="Normal"/>
    <w:next w:val="Normal"/>
    <w:link w:val="SubtitleChar"/>
    <w:uiPriority w:val="11"/>
    <w:qFormat/>
    <w:rsid w:val="00677A36"/>
    <w:pPr>
      <w:numPr>
        <w:ilvl w:val="1"/>
      </w:numPr>
    </w:pPr>
    <w:rPr>
      <w:rFonts w:eastAsiaTheme="majorEastAsia" w:cstheme="majorBidi"/>
      <w:i/>
      <w:iCs/>
      <w:spacing w:val="15"/>
      <w:szCs w:val="24"/>
    </w:rPr>
  </w:style>
  <w:style w:type="character" w:customStyle="1" w:styleId="SubtitleChar">
    <w:name w:val="Subtitle Char"/>
    <w:link w:val="Subtitle"/>
    <w:uiPriority w:val="11"/>
    <w:rsid w:val="00677A36"/>
    <w:rPr>
      <w:rFonts w:eastAsiaTheme="majorEastAsia" w:cstheme="majorBidi"/>
      <w:i/>
      <w:iCs/>
      <w:spacing w:val="15"/>
      <w:szCs w:val="24"/>
    </w:rPr>
  </w:style>
  <w:style w:type="character" w:styleId="Hyperlink">
    <w:name w:val="Hyperlink"/>
    <w:uiPriority w:val="99"/>
    <w:rsid w:val="006E4003"/>
    <w:rPr>
      <w:rFonts w:ascii="Trebuchet MS" w:hAnsi="Trebuchet MS"/>
      <w:color w:val="0000FF"/>
      <w:sz w:val="22"/>
      <w:u w:val="single"/>
    </w:rPr>
  </w:style>
  <w:style w:type="character" w:styleId="Strong">
    <w:name w:val="Strong"/>
    <w:uiPriority w:val="22"/>
    <w:qFormat/>
    <w:rsid w:val="00677A36"/>
    <w:rPr>
      <w:rFonts w:ascii="Trebuchet MS" w:hAnsi="Trebuchet MS"/>
      <w:b/>
      <w:bCs/>
      <w:sz w:val="22"/>
    </w:rPr>
  </w:style>
  <w:style w:type="character" w:styleId="Emphasis">
    <w:name w:val="Emphasis"/>
    <w:uiPriority w:val="20"/>
    <w:qFormat/>
    <w:rsid w:val="00677A36"/>
    <w:rPr>
      <w:rFonts w:ascii="Trebuchet MS" w:hAnsi="Trebuchet MS"/>
      <w:i/>
      <w:iCs/>
      <w:sz w:val="22"/>
    </w:rPr>
  </w:style>
  <w:style w:type="table" w:styleId="TableGrid">
    <w:name w:val="Table Grid"/>
    <w:basedOn w:val="TableNormal"/>
    <w:uiPriority w:val="59"/>
    <w:rsid w:val="006E4003"/>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373B0D"/>
    <w:pPr>
      <w:numPr>
        <w:numId w:val="8"/>
      </w:numPr>
    </w:pPr>
  </w:style>
  <w:style w:type="paragraph" w:styleId="ListParagraph">
    <w:name w:val="List Paragraph"/>
    <w:basedOn w:val="Normal"/>
    <w:uiPriority w:val="34"/>
    <w:qFormat/>
    <w:rsid w:val="00677A36"/>
    <w:pPr>
      <w:ind w:left="720"/>
      <w:contextualSpacing/>
    </w:pPr>
  </w:style>
  <w:style w:type="paragraph" w:styleId="Quote">
    <w:name w:val="Quote"/>
    <w:basedOn w:val="Normal"/>
    <w:next w:val="Normal"/>
    <w:link w:val="QuoteChar"/>
    <w:uiPriority w:val="29"/>
    <w:qFormat/>
    <w:rsid w:val="00677A36"/>
    <w:rPr>
      <w:i/>
      <w:iCs/>
      <w:color w:val="000000"/>
    </w:rPr>
  </w:style>
  <w:style w:type="character" w:customStyle="1" w:styleId="QuoteChar">
    <w:name w:val="Quote Char"/>
    <w:link w:val="Quote"/>
    <w:uiPriority w:val="29"/>
    <w:rsid w:val="00677A36"/>
    <w:rPr>
      <w:i/>
      <w:iCs/>
      <w:color w:val="000000"/>
    </w:rPr>
  </w:style>
  <w:style w:type="paragraph" w:styleId="TOAHeading">
    <w:name w:val="toa heading"/>
    <w:basedOn w:val="Normal"/>
    <w:next w:val="Normal"/>
    <w:uiPriority w:val="99"/>
    <w:semiHidden/>
    <w:unhideWhenUsed/>
    <w:rsid w:val="002F5035"/>
    <w:pPr>
      <w:spacing w:before="120"/>
    </w:pPr>
    <w:rPr>
      <w:rFonts w:eastAsiaTheme="majorEastAsia" w:cstheme="majorBidi"/>
      <w:b/>
      <w:bCs/>
      <w:sz w:val="28"/>
      <w:szCs w:val="24"/>
    </w:rPr>
  </w:style>
  <w:style w:type="character" w:styleId="IntenseEmphasis">
    <w:name w:val="Intense Emphasis"/>
    <w:uiPriority w:val="21"/>
    <w:qFormat/>
    <w:rsid w:val="00677A36"/>
    <w:rPr>
      <w:rFonts w:ascii="Trebuchet MS" w:hAnsi="Trebuchet MS"/>
      <w:b/>
      <w:bCs/>
      <w:i/>
      <w:iCs/>
      <w:color w:val="000000" w:themeColor="text1"/>
      <w:sz w:val="22"/>
    </w:rPr>
  </w:style>
  <w:style w:type="paragraph" w:styleId="ListBullet">
    <w:name w:val="List Bullet"/>
    <w:basedOn w:val="List"/>
    <w:uiPriority w:val="99"/>
    <w:unhideWhenUsed/>
    <w:qFormat/>
    <w:rsid w:val="00677A36"/>
    <w:pPr>
      <w:numPr>
        <w:numId w:val="9"/>
      </w:numPr>
      <w:contextualSpacing w:val="0"/>
    </w:pPr>
  </w:style>
  <w:style w:type="paragraph" w:styleId="ListNumber2">
    <w:name w:val="List Number 2"/>
    <w:basedOn w:val="Normal"/>
    <w:uiPriority w:val="99"/>
    <w:unhideWhenUsed/>
    <w:rsid w:val="0026542C"/>
    <w:pPr>
      <w:numPr>
        <w:numId w:val="3"/>
      </w:numPr>
      <w:contextualSpacing/>
    </w:pPr>
  </w:style>
  <w:style w:type="paragraph" w:styleId="ListNumber3">
    <w:name w:val="List Number 3"/>
    <w:basedOn w:val="Normal"/>
    <w:link w:val="ListNumber3Char"/>
    <w:uiPriority w:val="99"/>
    <w:unhideWhenUsed/>
    <w:rsid w:val="0026542C"/>
    <w:pPr>
      <w:numPr>
        <w:numId w:val="4"/>
      </w:numPr>
      <w:contextualSpacing/>
    </w:pPr>
  </w:style>
  <w:style w:type="paragraph" w:styleId="ListNumber4">
    <w:name w:val="List Number 4"/>
    <w:basedOn w:val="Normal"/>
    <w:uiPriority w:val="99"/>
    <w:semiHidden/>
    <w:unhideWhenUsed/>
    <w:rsid w:val="0026542C"/>
    <w:pPr>
      <w:numPr>
        <w:numId w:val="5"/>
      </w:numPr>
      <w:contextualSpacing/>
    </w:pPr>
  </w:style>
  <w:style w:type="paragraph" w:styleId="ListNumber5">
    <w:name w:val="List Number 5"/>
    <w:basedOn w:val="Normal"/>
    <w:uiPriority w:val="99"/>
    <w:semiHidden/>
    <w:unhideWhenUsed/>
    <w:rsid w:val="0026542C"/>
    <w:pPr>
      <w:numPr>
        <w:numId w:val="6"/>
      </w:numPr>
      <w:contextualSpacing/>
    </w:pPr>
  </w:style>
  <w:style w:type="paragraph" w:styleId="ListNumber">
    <w:name w:val="List Number"/>
    <w:basedOn w:val="Normal"/>
    <w:uiPriority w:val="99"/>
    <w:unhideWhenUsed/>
    <w:rsid w:val="0026542C"/>
    <w:pPr>
      <w:numPr>
        <w:numId w:val="2"/>
      </w:numPr>
      <w:contextualSpacing/>
    </w:pPr>
  </w:style>
  <w:style w:type="paragraph" w:styleId="List">
    <w:name w:val="List"/>
    <w:basedOn w:val="Normal"/>
    <w:uiPriority w:val="17"/>
    <w:unhideWhenUsed/>
    <w:qFormat/>
    <w:rsid w:val="006C1429"/>
    <w:pPr>
      <w:ind w:left="283" w:hanging="283"/>
      <w:contextualSpacing/>
    </w:pPr>
  </w:style>
  <w:style w:type="paragraph" w:styleId="List2">
    <w:name w:val="List 2"/>
    <w:basedOn w:val="Normal"/>
    <w:uiPriority w:val="17"/>
    <w:unhideWhenUsed/>
    <w:qFormat/>
    <w:rsid w:val="006C1429"/>
    <w:pPr>
      <w:ind w:left="566" w:hanging="283"/>
      <w:contextualSpacing/>
    </w:pPr>
  </w:style>
  <w:style w:type="paragraph" w:styleId="List3">
    <w:name w:val="List 3"/>
    <w:basedOn w:val="Normal"/>
    <w:uiPriority w:val="17"/>
    <w:unhideWhenUsed/>
    <w:qFormat/>
    <w:rsid w:val="006C1429"/>
    <w:pPr>
      <w:ind w:left="849" w:hanging="283"/>
      <w:contextualSpacing/>
    </w:pPr>
  </w:style>
  <w:style w:type="paragraph" w:styleId="List4">
    <w:name w:val="List 4"/>
    <w:basedOn w:val="Normal"/>
    <w:uiPriority w:val="99"/>
    <w:unhideWhenUsed/>
    <w:rsid w:val="006C1429"/>
    <w:pPr>
      <w:ind w:left="1132" w:hanging="283"/>
      <w:contextualSpacing/>
    </w:pPr>
  </w:style>
  <w:style w:type="numbering" w:styleId="111111">
    <w:name w:val="Outline List 2"/>
    <w:basedOn w:val="NoList"/>
    <w:uiPriority w:val="99"/>
    <w:semiHidden/>
    <w:unhideWhenUsed/>
    <w:rsid w:val="006A5169"/>
    <w:pPr>
      <w:numPr>
        <w:numId w:val="7"/>
      </w:numPr>
    </w:pPr>
  </w:style>
  <w:style w:type="character" w:customStyle="1" w:styleId="ListNumber3Char">
    <w:name w:val="List Number 3 Char"/>
    <w:basedOn w:val="DefaultParagraphFont"/>
    <w:link w:val="ListNumber3"/>
    <w:uiPriority w:val="99"/>
    <w:rsid w:val="00373B0D"/>
    <w:rPr>
      <w:rFonts w:asciiTheme="minorHAnsi" w:eastAsiaTheme="minorEastAsia" w:hAnsiTheme="minorHAnsi" w:cstheme="minorBidi"/>
      <w:lang w:eastAsia="en-AU"/>
    </w:rPr>
  </w:style>
  <w:style w:type="character" w:customStyle="1" w:styleId="NumberedListChar">
    <w:name w:val="Numbered List Char"/>
    <w:basedOn w:val="ListNumber3Char"/>
    <w:link w:val="NumberedList"/>
    <w:rsid w:val="00373B0D"/>
    <w:rPr>
      <w:rFonts w:asciiTheme="minorHAnsi" w:eastAsiaTheme="minorEastAsia" w:hAnsiTheme="minorHAnsi" w:cstheme="minorBidi"/>
      <w:lang w:eastAsia="en-AU"/>
    </w:rPr>
  </w:style>
  <w:style w:type="paragraph" w:styleId="BodyText">
    <w:name w:val="Body Text"/>
    <w:basedOn w:val="Normal"/>
    <w:link w:val="BodyTextChar"/>
    <w:uiPriority w:val="99"/>
    <w:semiHidden/>
    <w:unhideWhenUsed/>
    <w:rsid w:val="002F5035"/>
  </w:style>
  <w:style w:type="character" w:customStyle="1" w:styleId="BodyTextChar">
    <w:name w:val="Body Text Char"/>
    <w:basedOn w:val="DefaultParagraphFont"/>
    <w:link w:val="BodyText"/>
    <w:uiPriority w:val="99"/>
    <w:semiHidden/>
    <w:rsid w:val="002F5035"/>
  </w:style>
  <w:style w:type="character" w:customStyle="1" w:styleId="Heading8Char">
    <w:name w:val="Heading 8 Char"/>
    <w:basedOn w:val="DefaultParagraphFont"/>
    <w:link w:val="Heading8"/>
    <w:uiPriority w:val="9"/>
    <w:semiHidden/>
    <w:rsid w:val="00677A3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7A36"/>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677A36"/>
    <w:pPr>
      <w:spacing w:after="0"/>
      <w:outlineLvl w:val="9"/>
    </w:pPr>
    <w:rPr>
      <w:rFonts w:asciiTheme="majorHAnsi" w:hAnsiTheme="majorHAnsi"/>
      <w:kern w:val="0"/>
      <w:sz w:val="36"/>
      <w:szCs w:val="28"/>
    </w:rPr>
  </w:style>
  <w:style w:type="paragraph" w:customStyle="1" w:styleId="TableColumnHeading">
    <w:name w:val="Table Column Heading"/>
    <w:basedOn w:val="Normal"/>
    <w:rsid w:val="00677A36"/>
    <w:pPr>
      <w:widowControl w:val="0"/>
      <w:spacing w:before="120" w:line="240" w:lineRule="auto"/>
    </w:pPr>
    <w:rPr>
      <w:rFonts w:eastAsia="Times" w:cstheme="majorBidi"/>
      <w:b/>
      <w:iCs/>
      <w:color w:val="000000" w:themeColor="text1"/>
      <w:szCs w:val="20"/>
    </w:rPr>
  </w:style>
  <w:style w:type="paragraph" w:customStyle="1" w:styleId="TableColumnSub-Heading">
    <w:name w:val="Table Column Sub-Heading"/>
    <w:basedOn w:val="Normal"/>
    <w:rsid w:val="00677A36"/>
    <w:pPr>
      <w:keepNext/>
      <w:widowControl w:val="0"/>
      <w:spacing w:before="60" w:after="60" w:line="240" w:lineRule="auto"/>
    </w:pPr>
    <w:rPr>
      <w:b/>
      <w:sz w:val="20"/>
    </w:rPr>
  </w:style>
  <w:style w:type="paragraph" w:customStyle="1" w:styleId="TableRowHeading">
    <w:name w:val="Table Row Heading"/>
    <w:basedOn w:val="Normal"/>
    <w:rsid w:val="00677A36"/>
    <w:pPr>
      <w:keepNext/>
      <w:widowControl w:val="0"/>
      <w:spacing w:before="120" w:line="240" w:lineRule="auto"/>
    </w:pPr>
    <w:rPr>
      <w:b/>
      <w:i/>
      <w:sz w:val="20"/>
    </w:rPr>
  </w:style>
  <w:style w:type="table" w:customStyle="1" w:styleId="APRAWorkingPaperTable">
    <w:name w:val="APRA Working Paper Table"/>
    <w:basedOn w:val="TableNormal"/>
    <w:uiPriority w:val="99"/>
    <w:rsid w:val="00677A36"/>
    <w:pPr>
      <w:spacing w:after="0" w:line="240" w:lineRule="auto"/>
    </w:pPr>
    <w:rPr>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Sitka Subheading Semibold" w:hAnsi="Sitka Subheading Semibold"/>
        <w:b w:val="0"/>
        <w:i w:val="0"/>
        <w:sz w:val="22"/>
      </w:rPr>
      <w:tblPr/>
      <w:tcPr>
        <w:shd w:val="clear" w:color="auto" w:fill="FBD4B4" w:themeFill="accent6" w:themeFillTint="66"/>
        <w:vAlign w:val="center"/>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0F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0CF"/>
    <w:rPr>
      <w:rFonts w:ascii="Tahoma" w:hAnsi="Tahoma" w:cs="Tahoma"/>
      <w:sz w:val="16"/>
      <w:szCs w:val="16"/>
    </w:rPr>
  </w:style>
  <w:style w:type="character" w:styleId="FollowedHyperlink">
    <w:name w:val="FollowedHyperlink"/>
    <w:basedOn w:val="DefaultParagraphFont"/>
    <w:uiPriority w:val="99"/>
    <w:semiHidden/>
    <w:unhideWhenUsed/>
    <w:rsid w:val="000C170D"/>
    <w:rPr>
      <w:color w:val="800080" w:themeColor="followedHyperlink"/>
      <w:u w:val="single"/>
    </w:rPr>
  </w:style>
  <w:style w:type="paragraph" w:styleId="Title">
    <w:name w:val="Title"/>
    <w:basedOn w:val="Normal"/>
    <w:next w:val="Normal"/>
    <w:link w:val="TitleChar"/>
    <w:uiPriority w:val="10"/>
    <w:qFormat/>
    <w:rsid w:val="00DC7EF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7EF3"/>
    <w:rPr>
      <w:rFonts w:eastAsiaTheme="majorEastAsia" w:cstheme="majorBidi"/>
      <w:color w:val="17365D" w:themeColor="text2" w:themeShade="BF"/>
      <w:spacing w:val="5"/>
      <w:kern w:val="28"/>
      <w:sz w:val="52"/>
      <w:szCs w:val="52"/>
    </w:rPr>
  </w:style>
  <w:style w:type="character" w:styleId="SubtleEmphasis">
    <w:name w:val="Subtle Emphasis"/>
    <w:basedOn w:val="DefaultParagraphFont"/>
    <w:uiPriority w:val="19"/>
    <w:qFormat/>
    <w:rsid w:val="00DC7EF3"/>
    <w:rPr>
      <w:i/>
      <w:iCs/>
      <w:color w:val="808080" w:themeColor="text1" w:themeTint="7F"/>
    </w:rPr>
  </w:style>
  <w:style w:type="character" w:styleId="PlaceholderText">
    <w:name w:val="Placeholder Text"/>
    <w:basedOn w:val="DefaultParagraphFont"/>
    <w:uiPriority w:val="99"/>
    <w:semiHidden/>
    <w:rsid w:val="0043440F"/>
    <w:rPr>
      <w:color w:val="808080"/>
    </w:rPr>
  </w:style>
  <w:style w:type="paragraph" w:styleId="CommentText">
    <w:name w:val="annotation text"/>
    <w:basedOn w:val="Normal"/>
    <w:link w:val="CommentTextChar"/>
    <w:uiPriority w:val="99"/>
    <w:unhideWhenUsed/>
    <w:rsid w:val="00197A23"/>
    <w:pPr>
      <w:spacing w:line="240" w:lineRule="auto"/>
    </w:pPr>
    <w:rPr>
      <w:sz w:val="20"/>
      <w:szCs w:val="20"/>
    </w:rPr>
  </w:style>
  <w:style w:type="character" w:customStyle="1" w:styleId="CommentTextChar">
    <w:name w:val="Comment Text Char"/>
    <w:basedOn w:val="DefaultParagraphFont"/>
    <w:link w:val="CommentText"/>
    <w:uiPriority w:val="99"/>
    <w:rsid w:val="00197A23"/>
    <w:rPr>
      <w:rFonts w:asciiTheme="minorHAnsi" w:eastAsiaTheme="minorEastAsia" w:hAnsiTheme="minorHAnsi" w:cstheme="minorBidi"/>
      <w:sz w:val="20"/>
      <w:szCs w:val="20"/>
      <w:lang w:eastAsia="en-AU"/>
    </w:rPr>
  </w:style>
  <w:style w:type="paragraph" w:customStyle="1" w:styleId="Default">
    <w:name w:val="Default"/>
    <w:rsid w:val="00197A23"/>
    <w:pPr>
      <w:autoSpaceDE w:val="0"/>
      <w:autoSpaceDN w:val="0"/>
      <w:adjustRightInd w:val="0"/>
      <w:spacing w:after="0" w:line="240" w:lineRule="auto"/>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97A23"/>
    <w:rPr>
      <w:sz w:val="16"/>
      <w:szCs w:val="16"/>
    </w:rPr>
  </w:style>
  <w:style w:type="paragraph" w:styleId="CommentSubject">
    <w:name w:val="annotation subject"/>
    <w:basedOn w:val="CommentText"/>
    <w:next w:val="CommentText"/>
    <w:link w:val="CommentSubjectChar"/>
    <w:uiPriority w:val="99"/>
    <w:semiHidden/>
    <w:unhideWhenUsed/>
    <w:rsid w:val="00187A6C"/>
    <w:rPr>
      <w:b/>
      <w:bCs/>
    </w:rPr>
  </w:style>
  <w:style w:type="character" w:customStyle="1" w:styleId="CommentSubjectChar">
    <w:name w:val="Comment Subject Char"/>
    <w:basedOn w:val="CommentTextChar"/>
    <w:link w:val="CommentSubject"/>
    <w:uiPriority w:val="99"/>
    <w:semiHidden/>
    <w:rsid w:val="00187A6C"/>
    <w:rPr>
      <w:rFonts w:asciiTheme="minorHAnsi" w:eastAsiaTheme="minorEastAsia" w:hAnsiTheme="minorHAnsi" w:cstheme="minorBidi"/>
      <w:b/>
      <w:bCs/>
      <w:sz w:val="20"/>
      <w:szCs w:val="20"/>
      <w:lang w:eastAsia="en-AU"/>
    </w:rPr>
  </w:style>
  <w:style w:type="character" w:customStyle="1" w:styleId="file3">
    <w:name w:val="file3"/>
    <w:basedOn w:val="DefaultParagraphFont"/>
    <w:rsid w:val="00F21D11"/>
    <w:rPr>
      <w:vanish w:val="0"/>
      <w:webHidden w:val="0"/>
      <w:specVanish w:val="0"/>
    </w:rPr>
  </w:style>
  <w:style w:type="paragraph" w:customStyle="1" w:styleId="APRANORMAL">
    <w:name w:val="APRA NORMAL"/>
    <w:basedOn w:val="Normal"/>
    <w:link w:val="APRANORMALChar"/>
    <w:qFormat/>
    <w:rsid w:val="00186C8C"/>
    <w:pPr>
      <w:spacing w:after="240" w:line="240" w:lineRule="auto"/>
    </w:pPr>
    <w:rPr>
      <w:rFonts w:ascii="DIN OT Light" w:eastAsiaTheme="minorHAnsi" w:hAnsi="DIN OT Light" w:cs="Times New Roman"/>
      <w:lang w:val="en-GB" w:eastAsia="en-US"/>
    </w:rPr>
  </w:style>
  <w:style w:type="character" w:customStyle="1" w:styleId="APRANORMALChar">
    <w:name w:val="APRA NORMAL Char"/>
    <w:basedOn w:val="DefaultParagraphFont"/>
    <w:link w:val="APRANORMAL"/>
    <w:rsid w:val="00186C8C"/>
    <w:rPr>
      <w:rFonts w:ascii="DIN OT Light" w:hAnsi="DIN OT Light"/>
      <w:lang w:val="en-GB"/>
    </w:rPr>
  </w:style>
  <w:style w:type="table" w:customStyle="1" w:styleId="TableGrid1">
    <w:name w:val="Table Grid1"/>
    <w:basedOn w:val="TableNormal"/>
    <w:next w:val="TableGrid"/>
    <w:uiPriority w:val="59"/>
    <w:rsid w:val="00B7328D"/>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732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
    <w:name w:val="Heading"/>
    <w:basedOn w:val="Normal"/>
    <w:rsid w:val="00976332"/>
    <w:pPr>
      <w:spacing w:after="0" w:line="240" w:lineRule="auto"/>
      <w:jc w:val="both"/>
    </w:pPr>
    <w:rPr>
      <w:rFonts w:ascii="Trebuchet MS" w:eastAsia="Times New Roman" w:hAnsi="Trebuchet MS" w:cs="Times New Roman"/>
      <w:b/>
      <w:sz w:val="26"/>
    </w:rPr>
  </w:style>
  <w:style w:type="character" w:styleId="UnresolvedMention">
    <w:name w:val="Unresolved Mention"/>
    <w:basedOn w:val="DefaultParagraphFont"/>
    <w:uiPriority w:val="99"/>
    <w:semiHidden/>
    <w:unhideWhenUsed/>
    <w:rsid w:val="00CE6CEC"/>
    <w:rPr>
      <w:color w:val="605E5C"/>
      <w:shd w:val="clear" w:color="auto" w:fill="E1DFDD"/>
    </w:rPr>
  </w:style>
  <w:style w:type="paragraph" w:styleId="Revision">
    <w:name w:val="Revision"/>
    <w:hidden/>
    <w:uiPriority w:val="99"/>
    <w:semiHidden/>
    <w:rsid w:val="003532E3"/>
    <w:pPr>
      <w:spacing w:after="0" w:line="240" w:lineRule="auto"/>
    </w:pPr>
    <w:rPr>
      <w:rFonts w:asciiTheme="minorHAnsi" w:eastAsiaTheme="minorEastAsia" w:hAnsiTheme="minorHAnsi" w:cstheme="minorBidi"/>
      <w:lang w:eastAsia="en-AU"/>
    </w:rPr>
  </w:style>
  <w:style w:type="paragraph" w:customStyle="1" w:styleId="paragraph">
    <w:name w:val="paragraph"/>
    <w:basedOn w:val="Normal"/>
    <w:rsid w:val="00B0208A"/>
    <w:pPr>
      <w:spacing w:before="100" w:beforeAutospacing="1" w:after="100" w:afterAutospacing="1" w:line="240" w:lineRule="auto"/>
    </w:pPr>
    <w:rPr>
      <w:rFonts w:ascii="Calibri" w:eastAsiaTheme="minorHAnsi" w:hAnsi="Calibri" w:cs="Calibri"/>
    </w:rPr>
  </w:style>
  <w:style w:type="character" w:customStyle="1" w:styleId="normaltextrun">
    <w:name w:val="normaltextrun"/>
    <w:basedOn w:val="DefaultParagraphFont"/>
    <w:rsid w:val="00B0208A"/>
  </w:style>
  <w:style w:type="character" w:customStyle="1" w:styleId="eop">
    <w:name w:val="eop"/>
    <w:basedOn w:val="DefaultParagraphFont"/>
    <w:rsid w:val="00B0208A"/>
  </w:style>
  <w:style w:type="paragraph" w:styleId="NormalWeb">
    <w:name w:val="Normal (Web)"/>
    <w:basedOn w:val="Normal"/>
    <w:uiPriority w:val="99"/>
    <w:unhideWhenUsed/>
    <w:rsid w:val="00425446"/>
    <w:pPr>
      <w:spacing w:before="100" w:beforeAutospacing="1" w:after="100" w:afterAutospacing="1" w:line="240" w:lineRule="auto"/>
    </w:pPr>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BA44FB"/>
    <w:pPr>
      <w:spacing w:after="240" w:line="240" w:lineRule="auto"/>
      <w:jc w:val="both"/>
    </w:pPr>
    <w:rPr>
      <w:rFonts w:ascii="Arial" w:eastAsiaTheme="minorHAnsi" w:hAnsi="Arial"/>
      <w:color w:val="000000"/>
      <w:lang w:eastAsia="en-US"/>
    </w:rPr>
  </w:style>
  <w:style w:type="character" w:customStyle="1" w:styleId="DateChar">
    <w:name w:val="Date Char"/>
    <w:basedOn w:val="DefaultParagraphFont"/>
    <w:link w:val="Date"/>
    <w:uiPriority w:val="99"/>
    <w:semiHidden/>
    <w:rsid w:val="00BA44FB"/>
    <w:rPr>
      <w:rFonts w:ascii="Arial" w:hAnsi="Arial" w:cstheme="minorBidi"/>
      <w:color w:val="000000"/>
    </w:rPr>
  </w:style>
  <w:style w:type="numbering" w:styleId="1ai">
    <w:name w:val="Outline List 1"/>
    <w:basedOn w:val="NoList"/>
    <w:uiPriority w:val="99"/>
    <w:semiHidden/>
    <w:unhideWhenUsed/>
    <w:rsid w:val="00BA44FB"/>
    <w:pPr>
      <w:numPr>
        <w:numId w:val="39"/>
      </w:numPr>
    </w:pPr>
  </w:style>
  <w:style w:type="character" w:styleId="Mention">
    <w:name w:val="Mention"/>
    <w:basedOn w:val="DefaultParagraphFont"/>
    <w:uiPriority w:val="99"/>
    <w:unhideWhenUsed/>
    <w:rsid w:val="001942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4966">
      <w:bodyDiv w:val="1"/>
      <w:marLeft w:val="0"/>
      <w:marRight w:val="0"/>
      <w:marTop w:val="0"/>
      <w:marBottom w:val="0"/>
      <w:divBdr>
        <w:top w:val="none" w:sz="0" w:space="0" w:color="auto"/>
        <w:left w:val="none" w:sz="0" w:space="0" w:color="auto"/>
        <w:bottom w:val="none" w:sz="0" w:space="0" w:color="auto"/>
        <w:right w:val="none" w:sz="0" w:space="0" w:color="auto"/>
      </w:divBdr>
    </w:div>
    <w:div w:id="322974072">
      <w:bodyDiv w:val="1"/>
      <w:marLeft w:val="0"/>
      <w:marRight w:val="0"/>
      <w:marTop w:val="0"/>
      <w:marBottom w:val="0"/>
      <w:divBdr>
        <w:top w:val="none" w:sz="0" w:space="0" w:color="auto"/>
        <w:left w:val="none" w:sz="0" w:space="0" w:color="auto"/>
        <w:bottom w:val="none" w:sz="0" w:space="0" w:color="auto"/>
        <w:right w:val="none" w:sz="0" w:space="0" w:color="auto"/>
      </w:divBdr>
    </w:div>
    <w:div w:id="531191637">
      <w:bodyDiv w:val="1"/>
      <w:marLeft w:val="0"/>
      <w:marRight w:val="0"/>
      <w:marTop w:val="0"/>
      <w:marBottom w:val="0"/>
      <w:divBdr>
        <w:top w:val="none" w:sz="0" w:space="0" w:color="auto"/>
        <w:left w:val="none" w:sz="0" w:space="0" w:color="auto"/>
        <w:bottom w:val="none" w:sz="0" w:space="0" w:color="auto"/>
        <w:right w:val="none" w:sz="0" w:space="0" w:color="auto"/>
      </w:divBdr>
    </w:div>
    <w:div w:id="584613491">
      <w:bodyDiv w:val="1"/>
      <w:marLeft w:val="0"/>
      <w:marRight w:val="0"/>
      <w:marTop w:val="0"/>
      <w:marBottom w:val="0"/>
      <w:divBdr>
        <w:top w:val="none" w:sz="0" w:space="0" w:color="auto"/>
        <w:left w:val="none" w:sz="0" w:space="0" w:color="auto"/>
        <w:bottom w:val="none" w:sz="0" w:space="0" w:color="auto"/>
        <w:right w:val="none" w:sz="0" w:space="0" w:color="auto"/>
      </w:divBdr>
    </w:div>
    <w:div w:id="618730242">
      <w:bodyDiv w:val="1"/>
      <w:marLeft w:val="0"/>
      <w:marRight w:val="0"/>
      <w:marTop w:val="0"/>
      <w:marBottom w:val="0"/>
      <w:divBdr>
        <w:top w:val="none" w:sz="0" w:space="0" w:color="auto"/>
        <w:left w:val="none" w:sz="0" w:space="0" w:color="auto"/>
        <w:bottom w:val="none" w:sz="0" w:space="0" w:color="auto"/>
        <w:right w:val="none" w:sz="0" w:space="0" w:color="auto"/>
      </w:divBdr>
    </w:div>
    <w:div w:id="702285914">
      <w:bodyDiv w:val="1"/>
      <w:marLeft w:val="0"/>
      <w:marRight w:val="0"/>
      <w:marTop w:val="0"/>
      <w:marBottom w:val="0"/>
      <w:divBdr>
        <w:top w:val="none" w:sz="0" w:space="0" w:color="auto"/>
        <w:left w:val="none" w:sz="0" w:space="0" w:color="auto"/>
        <w:bottom w:val="none" w:sz="0" w:space="0" w:color="auto"/>
        <w:right w:val="none" w:sz="0" w:space="0" w:color="auto"/>
      </w:divBdr>
    </w:div>
    <w:div w:id="842816107">
      <w:bodyDiv w:val="1"/>
      <w:marLeft w:val="0"/>
      <w:marRight w:val="0"/>
      <w:marTop w:val="0"/>
      <w:marBottom w:val="0"/>
      <w:divBdr>
        <w:top w:val="none" w:sz="0" w:space="0" w:color="auto"/>
        <w:left w:val="none" w:sz="0" w:space="0" w:color="auto"/>
        <w:bottom w:val="none" w:sz="0" w:space="0" w:color="auto"/>
        <w:right w:val="none" w:sz="0" w:space="0" w:color="auto"/>
      </w:divBdr>
    </w:div>
    <w:div w:id="951935146">
      <w:bodyDiv w:val="1"/>
      <w:marLeft w:val="0"/>
      <w:marRight w:val="0"/>
      <w:marTop w:val="0"/>
      <w:marBottom w:val="0"/>
      <w:divBdr>
        <w:top w:val="none" w:sz="0" w:space="0" w:color="auto"/>
        <w:left w:val="none" w:sz="0" w:space="0" w:color="auto"/>
        <w:bottom w:val="none" w:sz="0" w:space="0" w:color="auto"/>
        <w:right w:val="none" w:sz="0" w:space="0" w:color="auto"/>
      </w:divBdr>
    </w:div>
    <w:div w:id="1306743631">
      <w:bodyDiv w:val="1"/>
      <w:marLeft w:val="0"/>
      <w:marRight w:val="0"/>
      <w:marTop w:val="0"/>
      <w:marBottom w:val="0"/>
      <w:divBdr>
        <w:top w:val="none" w:sz="0" w:space="0" w:color="auto"/>
        <w:left w:val="none" w:sz="0" w:space="0" w:color="auto"/>
        <w:bottom w:val="none" w:sz="0" w:space="0" w:color="auto"/>
        <w:right w:val="none" w:sz="0" w:space="0" w:color="auto"/>
      </w:divBdr>
    </w:div>
    <w:div w:id="1655986114">
      <w:bodyDiv w:val="1"/>
      <w:marLeft w:val="0"/>
      <w:marRight w:val="0"/>
      <w:marTop w:val="0"/>
      <w:marBottom w:val="0"/>
      <w:divBdr>
        <w:top w:val="none" w:sz="0" w:space="0" w:color="auto"/>
        <w:left w:val="none" w:sz="0" w:space="0" w:color="auto"/>
        <w:bottom w:val="none" w:sz="0" w:space="0" w:color="auto"/>
        <w:right w:val="none" w:sz="0" w:space="0" w:color="auto"/>
      </w:divBdr>
    </w:div>
    <w:div w:id="1828742525">
      <w:bodyDiv w:val="1"/>
      <w:marLeft w:val="0"/>
      <w:marRight w:val="0"/>
      <w:marTop w:val="0"/>
      <w:marBottom w:val="0"/>
      <w:divBdr>
        <w:top w:val="none" w:sz="0" w:space="0" w:color="auto"/>
        <w:left w:val="none" w:sz="0" w:space="0" w:color="auto"/>
        <w:bottom w:val="none" w:sz="0" w:space="0" w:color="auto"/>
        <w:right w:val="none" w:sz="0" w:space="0" w:color="auto"/>
      </w:divBdr>
    </w:div>
    <w:div w:id="2072725519">
      <w:bodyDiv w:val="1"/>
      <w:marLeft w:val="0"/>
      <w:marRight w:val="0"/>
      <w:marTop w:val="0"/>
      <w:marBottom w:val="0"/>
      <w:divBdr>
        <w:top w:val="none" w:sz="0" w:space="0" w:color="auto"/>
        <w:left w:val="none" w:sz="0" w:space="0" w:color="auto"/>
        <w:bottom w:val="none" w:sz="0" w:space="0" w:color="auto"/>
        <w:right w:val="none" w:sz="0" w:space="0" w:color="auto"/>
      </w:divBdr>
    </w:div>
    <w:div w:id="209361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6" ma:contentTypeDescription="Create a new document." ma:contentTypeScope="" ma:versionID="b459cff694b6e48f43ce596885955411">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af7d1e1e0ae66791b8b46845a97f5ff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p:properties xmlns:p="http://schemas.microsoft.com/office/2006/metadata/properties" xmlns:xsi="http://www.w3.org/2001/XMLSchema-instance" xmlns:pc="http://schemas.microsoft.com/office/infopath/2007/PartnerControls">
  <documentManagement>
    <SharedWithUsers xmlns="79530295-9eea-494d-b82a-9ff74409eafc">
      <UserInfo>
        <DisplayName>Vicky Kim</DisplayName>
        <AccountId>332</AccountId>
        <AccountType/>
      </UserInfo>
      <UserInfo>
        <DisplayName>Eisha Farrukh</DisplayName>
        <AccountId>144</AccountId>
        <AccountType/>
      </UserInfo>
      <UserInfo>
        <DisplayName>Nicky Tran</DisplayName>
        <AccountId>184</AccountId>
        <AccountType/>
      </UserInfo>
      <UserInfo>
        <DisplayName>Gavin Maunder</DisplayName>
        <AccountId>20</AccountId>
        <AccountType/>
      </UserInfo>
      <UserInfo>
        <DisplayName>John Lonsdale</DisplayName>
        <AccountId>44</AccountId>
        <AccountType/>
      </UserInfo>
      <UserInfo>
        <DisplayName>Meredith Swain</DisplayName>
        <AccountId>437</AccountId>
        <AccountType/>
      </UserInfo>
      <UserInfo>
        <DisplayName>Gideon Holland</DisplayName>
        <AccountId>23</AccountId>
        <AccountType/>
      </UserInfo>
      <UserInfo>
        <DisplayName>Denis Gorey</DisplayName>
        <AccountId>22</AccountId>
        <AccountType/>
      </UserInfo>
    </SharedWithUsers>
  </documentManagement>
</p:properties>
</file>

<file path=customXml/itemProps1.xml><?xml version="1.0" encoding="utf-8"?>
<ds:datastoreItem xmlns:ds="http://schemas.openxmlformats.org/officeDocument/2006/customXml" ds:itemID="{99754FC6-DBE0-4266-8CE5-4345E3CC2952}">
  <ds:schemaRefs>
    <ds:schemaRef ds:uri="http://schemas.microsoft.com/sharepoint/v3/contenttype/forms"/>
  </ds:schemaRefs>
</ds:datastoreItem>
</file>

<file path=customXml/itemProps2.xml><?xml version="1.0" encoding="utf-8"?>
<ds:datastoreItem xmlns:ds="http://schemas.openxmlformats.org/officeDocument/2006/customXml" ds:itemID="{DF6008C3-B8B3-4A11-8719-F5BAFE2A07BD}">
  <ds:schemaRefs>
    <ds:schemaRef ds:uri="http://schemas.openxmlformats.org/officeDocument/2006/bibliography"/>
  </ds:schemaRefs>
</ds:datastoreItem>
</file>

<file path=customXml/itemProps3.xml><?xml version="1.0" encoding="utf-8"?>
<ds:datastoreItem xmlns:ds="http://schemas.openxmlformats.org/officeDocument/2006/customXml" ds:itemID="{3E2BC8C1-FFA2-42B2-A92E-BF78036D6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5.xml><?xml version="1.0" encoding="utf-8"?>
<ds:datastoreItem xmlns:ds="http://schemas.openxmlformats.org/officeDocument/2006/customXml" ds:itemID="{01AA6352-3106-40B5-B7EF-36EB35FDFB23}">
  <ds:schemaRef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79530295-9eea-494d-b82a-9ff74409eafc"/>
    <ds:schemaRef ds:uri="5664482d-1961-4d38-bfc2-b109b3418834"/>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4731</Words>
  <Characters>27160</Characters>
  <Application>Microsoft Office Word</Application>
  <DocSecurity>0</DocSecurity>
  <Lines>445</Lines>
  <Paragraphs>200</Paragraphs>
  <ScaleCrop>false</ScaleCrop>
  <HeadingPairs>
    <vt:vector size="2" baseType="variant">
      <vt:variant>
        <vt:lpstr>Title</vt:lpstr>
      </vt:variant>
      <vt:variant>
        <vt:i4>1</vt:i4>
      </vt:variant>
    </vt:vector>
  </HeadingPairs>
  <TitlesOfParts>
    <vt:vector size="1" baseType="lpstr">
      <vt:lpstr>ES - Banking-Insurance-Life Insurance-Health Insurance and Superannuation (prudential standard) determination No. 1 of 2021</vt:lpstr>
    </vt:vector>
  </TitlesOfParts>
  <Company>APRA</Company>
  <LinksUpToDate>false</LinksUpToDate>
  <CharactersWithSpaces>31691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Banking-Insurance-Life Insurance-Health Insurance and Superannuation (prudential standard) determination No. 1 of 2021</dc:title>
  <dc:subject/>
  <dc:creator>Riley, Paul</dc:creator>
  <cp:keywords>[SEC=OFFICIAL]</cp:keywords>
  <dc:description/>
  <cp:lastModifiedBy>Gavin Maunder</cp:lastModifiedBy>
  <cp:revision>2</cp:revision>
  <cp:lastPrinted>2023-05-31T07:19:00Z</cp:lastPrinted>
  <dcterms:created xsi:type="dcterms:W3CDTF">2023-09-12T10:32:00Z</dcterms:created>
  <dcterms:modified xsi:type="dcterms:W3CDTF">2023-09-12T10:32:00Z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C3AD57350F36D8E1BD75F8F67CB06D435C9C43CA</vt:lpwstr>
  </property>
  <property fmtid="{D5CDD505-2E9C-101B-9397-08002B2CF9AE}" pid="3" name="PM_SecurityClassification">
    <vt:lpwstr>OFFICIAL</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InsertionValue">
    <vt:lpwstr>OFFICIAL</vt:lpwstr>
  </property>
  <property fmtid="{D5CDD505-2E9C-101B-9397-08002B2CF9AE}" pid="7" name="PM_Hash_Version">
    <vt:lpwstr>2022.1</vt:lpwstr>
  </property>
  <property fmtid="{D5CDD505-2E9C-101B-9397-08002B2CF9AE}" pid="8" name="PM_Caveats_Count">
    <vt:lpwstr>0</vt:lpwstr>
  </property>
  <property fmtid="{D5CDD505-2E9C-101B-9397-08002B2CF9AE}" pid="9" name="PM_SecurityClassification_Prev">
    <vt:lpwstr>OFFICIAL</vt:lpwstr>
  </property>
  <property fmtid="{D5CDD505-2E9C-101B-9397-08002B2CF9AE}" pid="10" name="PM_Qualifier_Prev">
    <vt:lpwstr/>
  </property>
  <property fmtid="{D5CDD505-2E9C-101B-9397-08002B2CF9AE}" pid="11" name="ContentTypeId">
    <vt:lpwstr>0x010100E5E831F15EEA47429C4A0837D916ED91</vt:lpwstr>
  </property>
  <property fmtid="{D5CDD505-2E9C-101B-9397-08002B2CF9AE}" pid="12" name="APRAPeriod">
    <vt:lpwstr/>
  </property>
  <property fmtid="{D5CDD505-2E9C-101B-9397-08002B2CF9AE}" pid="13" name="APRAPRSG">
    <vt:lpwstr/>
  </property>
  <property fmtid="{D5CDD505-2E9C-101B-9397-08002B2CF9AE}" pid="14" name="APRAActivity">
    <vt:lpwstr>137;#Prudential standard development|fbeb3364-1425-47e2-8200-3b7f3a245dfe</vt:lpwstr>
  </property>
  <property fmtid="{D5CDD505-2E9C-101B-9397-08002B2CF9AE}" pid="15" name="APRAYear">
    <vt:lpwstr/>
  </property>
  <property fmtid="{D5CDD505-2E9C-101B-9397-08002B2CF9AE}" pid="16" name="APRAIndustry">
    <vt:lpwstr/>
  </property>
  <property fmtid="{D5CDD505-2E9C-101B-9397-08002B2CF9AE}" pid="17" name="_dlc_DocIdItemGuid">
    <vt:lpwstr>3f5062d2-cf13-4fba-9cba-bb62f49b6b12</vt:lpwstr>
  </property>
  <property fmtid="{D5CDD505-2E9C-101B-9397-08002B2CF9AE}" pid="18" name="RecordPoint_WorkflowType">
    <vt:lpwstr>ActiveSubmitStub</vt:lpwstr>
  </property>
  <property fmtid="{D5CDD505-2E9C-101B-9397-08002B2CF9AE}" pid="19" name="RecordPoint_ActiveItemWebId">
    <vt:lpwstr>{75a71c27-8d66-4282-ae60-1bfc22a83be1}</vt:lpwstr>
  </property>
  <property fmtid="{D5CDD505-2E9C-101B-9397-08002B2CF9AE}" pid="20" name="RecordPoint_ActiveItemSiteId">
    <vt:lpwstr>{88691c01-5bbb-4215-adc0-66cb7065b0af}</vt:lpwstr>
  </property>
  <property fmtid="{D5CDD505-2E9C-101B-9397-08002B2CF9AE}" pid="21" name="RecordPoint_ActiveItemListId">
    <vt:lpwstr>{8987d8f8-681a-4384-8d1b-abc41ebe4f5e}</vt:lpwstr>
  </property>
  <property fmtid="{D5CDD505-2E9C-101B-9397-08002B2CF9AE}" pid="22" name="RecordPoint_ActiveItemUniqueId">
    <vt:lpwstr>{3f5062d2-cf13-4fba-9cba-bb62f49b6b12}</vt:lpwstr>
  </property>
  <property fmtid="{D5CDD505-2E9C-101B-9397-08002B2CF9AE}" pid="23" name="IsLocked">
    <vt:lpwstr>Yes</vt:lpwstr>
  </property>
  <property fmtid="{D5CDD505-2E9C-101B-9397-08002B2CF9AE}" pid="24" name="APRACostCentre">
    <vt:lpwstr/>
  </property>
  <property fmtid="{D5CDD505-2E9C-101B-9397-08002B2CF9AE}" pid="25" name="IT system type">
    <vt:lpwstr/>
  </property>
  <property fmtid="{D5CDD505-2E9C-101B-9397-08002B2CF9AE}" pid="26" name="APRACategory">
    <vt:lpwstr/>
  </property>
  <property fmtid="{D5CDD505-2E9C-101B-9397-08002B2CF9AE}" pid="27" name="APRADocumentType">
    <vt:lpwstr>234;#Explanatory statement|b22f2e2f-3f73-411b-9a7c-34264d26fa25</vt:lpwstr>
  </property>
  <property fmtid="{D5CDD505-2E9C-101B-9397-08002B2CF9AE}" pid="28" name="APRAStatus">
    <vt:lpwstr>1;#Draft|0e1556d2-3fe8-443a-ada7-3620563b46b3</vt:lpwstr>
  </property>
  <property fmtid="{D5CDD505-2E9C-101B-9397-08002B2CF9AE}" pid="29" name="APRAEntityAdviceSupport">
    <vt:lpwstr/>
  </property>
  <property fmtid="{D5CDD505-2E9C-101B-9397-08002B2CF9AE}" pid="30" name="APRALegislation">
    <vt:lpwstr/>
  </property>
  <property fmtid="{D5CDD505-2E9C-101B-9397-08002B2CF9AE}" pid="31" name="APRAExternalOrganisation">
    <vt:lpwstr/>
  </property>
  <property fmtid="{D5CDD505-2E9C-101B-9397-08002B2CF9AE}" pid="32" name="APRAIRTR">
    <vt:lpwstr/>
  </property>
  <property fmtid="{D5CDD505-2E9C-101B-9397-08002B2CF9AE}" pid="33" name="RecordPoint_SubmissionDate">
    <vt:lpwstr/>
  </property>
  <property fmtid="{D5CDD505-2E9C-101B-9397-08002B2CF9AE}" pid="34" name="RecordPoint_ActiveItemMoved">
    <vt:lpwstr/>
  </property>
  <property fmtid="{D5CDD505-2E9C-101B-9397-08002B2CF9AE}" pid="35" name="RecordPoint_RecordFormat">
    <vt:lpwstr/>
  </property>
  <property fmtid="{D5CDD505-2E9C-101B-9397-08002B2CF9AE}" pid="36" name="_docset_NoMedatataSyncRequired">
    <vt:lpwstr>False</vt:lpwstr>
  </property>
  <property fmtid="{D5CDD505-2E9C-101B-9397-08002B2CF9AE}" pid="37" name="PM_ProtectiveMarkingValue_Header">
    <vt:lpwstr>OFFICIAL</vt:lpwstr>
  </property>
  <property fmtid="{D5CDD505-2E9C-101B-9397-08002B2CF9AE}" pid="38" name="PM_Originating_FileId">
    <vt:lpwstr>4451D0D830E24AA59738A77E8D34CD91</vt:lpwstr>
  </property>
  <property fmtid="{D5CDD505-2E9C-101B-9397-08002B2CF9AE}" pid="39" name="PM_ProtectiveMarkingValue_Footer">
    <vt:lpwstr>OFFICIAL</vt:lpwstr>
  </property>
  <property fmtid="{D5CDD505-2E9C-101B-9397-08002B2CF9AE}" pid="40" name="PM_ProtectiveMarkingImage_Header">
    <vt:lpwstr>C:\Program Files\Common Files\janusNET Shared\janusSEAL\Images\DocumentSlashBlue.png</vt:lpwstr>
  </property>
  <property fmtid="{D5CDD505-2E9C-101B-9397-08002B2CF9AE}" pid="41" name="PM_ProtectiveMarkingImage_Footer">
    <vt:lpwstr>C:\Program Files\Common Files\janusNET Shared\janusSEAL\Images\DocumentSlashBlue.png</vt:lpwstr>
  </property>
  <property fmtid="{D5CDD505-2E9C-101B-9397-08002B2CF9AE}" pid="42" name="PM_Namespace">
    <vt:lpwstr>gov.au</vt:lpwstr>
  </property>
  <property fmtid="{D5CDD505-2E9C-101B-9397-08002B2CF9AE}" pid="43" name="PM_Version">
    <vt:lpwstr>2018.3</vt:lpwstr>
  </property>
  <property fmtid="{D5CDD505-2E9C-101B-9397-08002B2CF9AE}" pid="44" name="PM_Note">
    <vt:lpwstr/>
  </property>
  <property fmtid="{D5CDD505-2E9C-101B-9397-08002B2CF9AE}" pid="45" name="PM_Markers">
    <vt:lpwstr/>
  </property>
  <property fmtid="{D5CDD505-2E9C-101B-9397-08002B2CF9AE}" pid="46" name="RecordPoint_RecordNumberSubmitted">
    <vt:lpwstr/>
  </property>
  <property fmtid="{D5CDD505-2E9C-101B-9397-08002B2CF9AE}" pid="47" name="PM_Display">
    <vt:lpwstr>OFFICIAL</vt:lpwstr>
  </property>
  <property fmtid="{D5CDD505-2E9C-101B-9397-08002B2CF9AE}" pid="48" name="PM_OriginatorUserAccountName_SHA256">
    <vt:lpwstr>6E3018F28A186D2E5FF5207C041E7A82E907C3008E071057026A53705873B72E</vt:lpwstr>
  </property>
  <property fmtid="{D5CDD505-2E9C-101B-9397-08002B2CF9AE}" pid="49" name="PM_OriginatorDomainName_SHA256">
    <vt:lpwstr>ECBDE2B44A971754412B3FB70606937A119CC0D4B6C1B658A40FBD41C30BE3EC</vt:lpwstr>
  </property>
  <property fmtid="{D5CDD505-2E9C-101B-9397-08002B2CF9AE}" pid="50" name="PM_Hash_SHA1">
    <vt:lpwstr>9972A1A6F34602B1DC2CC30839D429152CF8E564</vt:lpwstr>
  </property>
  <property fmtid="{D5CDD505-2E9C-101B-9397-08002B2CF9AE}" pid="51" name="PM_Hash_Salt">
    <vt:lpwstr>246974AD758AC5F4B1760ED0EDF4B298</vt:lpwstr>
  </property>
  <property fmtid="{D5CDD505-2E9C-101B-9397-08002B2CF9AE}" pid="52" name="PM_Hash_Salt_Prev">
    <vt:lpwstr>192528457C55CC2231477A9435186738</vt:lpwstr>
  </property>
  <property fmtid="{D5CDD505-2E9C-101B-9397-08002B2CF9AE}" pid="53" name="PM_OriginationTimeStamp">
    <vt:lpwstr>2021-11-29T05:57:41Z</vt:lpwstr>
  </property>
  <property fmtid="{D5CDD505-2E9C-101B-9397-08002B2CF9AE}" pid="54" name="RecordPoint_SubmissionCompleted">
    <vt:lpwstr/>
  </property>
  <property fmtid="{D5CDD505-2E9C-101B-9397-08002B2CF9AE}" pid="55" name="PMHMAC">
    <vt:lpwstr>v=2022.1;a=SHA256;h=414699CEC935AB046BF0456C13261610F6E865CD81F5767D68D646A17A9B70F3</vt:lpwstr>
  </property>
  <property fmtid="{D5CDD505-2E9C-101B-9397-08002B2CF9AE}" pid="56" name="MSIP_Label_c0129afb-6481-4f92-bc9f-5a4a6346364d_Method">
    <vt:lpwstr>Privileged</vt:lpwstr>
  </property>
  <property fmtid="{D5CDD505-2E9C-101B-9397-08002B2CF9AE}" pid="57" name="MSIP_Label_c0129afb-6481-4f92-bc9f-5a4a6346364d_SetDate">
    <vt:lpwstr>2021-11-29T05:57:41Z</vt:lpwstr>
  </property>
  <property fmtid="{D5CDD505-2E9C-101B-9397-08002B2CF9AE}" pid="58" name="MSIP_Label_c0129afb-6481-4f92-bc9f-5a4a6346364d_Name">
    <vt:lpwstr>OFFICIAL</vt:lpwstr>
  </property>
  <property fmtid="{D5CDD505-2E9C-101B-9397-08002B2CF9AE}" pid="59" name="MSIP_Label_c0129afb-6481-4f92-bc9f-5a4a6346364d_SiteId">
    <vt:lpwstr>c05e3ffd-b491-4431-9809-e61d4dc78816</vt:lpwstr>
  </property>
  <property fmtid="{D5CDD505-2E9C-101B-9397-08002B2CF9AE}" pid="60" name="MSIP_Label_c0129afb-6481-4f92-bc9f-5a4a6346364d_ContentBits">
    <vt:lpwstr>0</vt:lpwstr>
  </property>
  <property fmtid="{D5CDD505-2E9C-101B-9397-08002B2CF9AE}" pid="61" name="MSIP_Label_c0129afb-6481-4f92-bc9f-5a4a6346364d_Enabled">
    <vt:lpwstr>true</vt:lpwstr>
  </property>
  <property fmtid="{D5CDD505-2E9C-101B-9397-08002B2CF9AE}" pid="62" name="MSIP_Label_c0129afb-6481-4f92-bc9f-5a4a6346364d_ActionId">
    <vt:lpwstr>f8c7b1a100844df292cdcea2b0b27aab</vt:lpwstr>
  </property>
  <property fmtid="{D5CDD505-2E9C-101B-9397-08002B2CF9AE}" pid="63" name="PMUuid">
    <vt:lpwstr>v=2022.2;d=gov.au;g=46DD6D7C-8107-577B-BC6E-F348953B2E44</vt:lpwstr>
  </property>
  <property fmtid="{D5CDD505-2E9C-101B-9397-08002B2CF9AE}" pid="64" name="j724204a644741eb9f777fcb03fe8840">
    <vt:lpwstr/>
  </property>
  <property fmtid="{D5CDD505-2E9C-101B-9397-08002B2CF9AE}" pid="65" name="APRAPrecedentCategory">
    <vt:lpwstr/>
  </property>
  <property fmtid="{D5CDD505-2E9C-101B-9397-08002B2CF9AE}" pid="66" name="d9a849fd1b8e46ada0321eb0681a10ee">
    <vt:lpwstr/>
  </property>
  <property fmtid="{D5CDD505-2E9C-101B-9397-08002B2CF9AE}" pid="67" name="APRAPrecedentSubCategory">
    <vt:lpwstr/>
  </property>
  <property fmtid="{D5CDD505-2E9C-101B-9397-08002B2CF9AE}" pid="68" name="ic4067bd02f14cf3a95ad35878404a71">
    <vt:lpwstr/>
  </property>
</Properties>
</file>