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D1524" w14:textId="2AEE0609" w:rsidR="00715914" w:rsidRPr="00D164DF" w:rsidRDefault="00DA186E" w:rsidP="00715914">
      <w:pPr>
        <w:rPr>
          <w:sz w:val="28"/>
        </w:rPr>
      </w:pPr>
      <w:r w:rsidRPr="00D164DF">
        <w:rPr>
          <w:noProof/>
          <w:lang w:eastAsia="en-AU"/>
        </w:rPr>
        <w:drawing>
          <wp:inline distT="0" distB="0" distL="0" distR="0" wp14:anchorId="176A73DE" wp14:editId="69EBD3C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DF18" w14:textId="77777777" w:rsidR="00715914" w:rsidRPr="00D164DF" w:rsidRDefault="00715914" w:rsidP="00715914">
      <w:pPr>
        <w:rPr>
          <w:sz w:val="19"/>
        </w:rPr>
      </w:pPr>
    </w:p>
    <w:p w14:paraId="795B6D76" w14:textId="04E80665" w:rsidR="00554826" w:rsidRPr="00D164DF" w:rsidRDefault="00E62A39" w:rsidP="00554826">
      <w:pPr>
        <w:pStyle w:val="ShortT"/>
      </w:pPr>
      <w:r w:rsidRPr="00D164DF">
        <w:t>Military Rehabilitation and Compensation (S</w:t>
      </w:r>
      <w:r w:rsidR="00B41649">
        <w:t>ubs</w:t>
      </w:r>
      <w:r w:rsidRPr="00D164DF">
        <w:t xml:space="preserve">ection </w:t>
      </w:r>
      <w:proofErr w:type="gramStart"/>
      <w:r w:rsidRPr="00D164DF">
        <w:t>204A(</w:t>
      </w:r>
      <w:proofErr w:type="gramEnd"/>
      <w:r w:rsidRPr="00D164DF">
        <w:t>2) Amount) Instrument 2023</w:t>
      </w:r>
    </w:p>
    <w:p w14:paraId="43834E97" w14:textId="77777777" w:rsidR="00554826" w:rsidRPr="00D164DF" w:rsidRDefault="00E62A39" w:rsidP="00554826">
      <w:pPr>
        <w:pStyle w:val="SignCoverPageStart"/>
        <w:spacing w:before="240"/>
        <w:ind w:right="91"/>
        <w:rPr>
          <w:szCs w:val="22"/>
        </w:rPr>
      </w:pPr>
      <w:r w:rsidRPr="00D164DF">
        <w:rPr>
          <w:szCs w:val="22"/>
        </w:rPr>
        <w:t>The Military Rehabilitation and Compensation Commission makes the following</w:t>
      </w:r>
      <w:r w:rsidR="00554826" w:rsidRPr="00D164DF">
        <w:rPr>
          <w:szCs w:val="22"/>
        </w:rPr>
        <w:t xml:space="preserve"> instrument.</w:t>
      </w:r>
    </w:p>
    <w:p w14:paraId="4A8E0F0B" w14:textId="77777777" w:rsidR="00B1200A" w:rsidRDefault="00B1200A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F6AC11D" w14:textId="4E737F32" w:rsidR="00554826" w:rsidRPr="00D164DF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D164DF">
        <w:rPr>
          <w:szCs w:val="22"/>
        </w:rPr>
        <w:t>Dated</w:t>
      </w:r>
      <w:r w:rsidR="003413BD">
        <w:rPr>
          <w:szCs w:val="22"/>
        </w:rPr>
        <w:tab/>
      </w:r>
      <w:r w:rsidRPr="00D164DF">
        <w:rPr>
          <w:szCs w:val="22"/>
        </w:rPr>
        <w:tab/>
      </w:r>
      <w:r w:rsidR="003413BD">
        <w:rPr>
          <w:szCs w:val="22"/>
        </w:rPr>
        <w:t>5 September 2023</w:t>
      </w:r>
      <w:r w:rsidRPr="00D164DF">
        <w:rPr>
          <w:szCs w:val="22"/>
        </w:rPr>
        <w:tab/>
      </w:r>
      <w:r w:rsidRPr="00D164DF">
        <w:rPr>
          <w:szCs w:val="22"/>
        </w:rPr>
        <w:tab/>
      </w:r>
      <w:r w:rsidRPr="00D164DF">
        <w:rPr>
          <w:szCs w:val="22"/>
        </w:rPr>
        <w:tab/>
      </w:r>
    </w:p>
    <w:p w14:paraId="23BD26E4" w14:textId="77777777" w:rsidR="00B904C3" w:rsidRDefault="00B904C3" w:rsidP="00B904C3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92D59E8" w14:textId="77777777" w:rsidR="00B904C3" w:rsidRDefault="00B904C3" w:rsidP="00B904C3">
      <w:pPr>
        <w:rPr>
          <w:rFonts w:ascii="Calibri" w:hAnsi="Calibri" w:cs="Calibri"/>
          <w:szCs w:val="22"/>
        </w:rPr>
      </w:pPr>
    </w:p>
    <w:p w14:paraId="7BDEDA34" w14:textId="52CEF0D3" w:rsidR="00B904C3" w:rsidRDefault="00B904C3" w:rsidP="00B904C3">
      <w:pPr>
        <w:ind w:right="6186"/>
        <w:rPr>
          <w:lang w:eastAsia="en-AU"/>
        </w:rPr>
      </w:pPr>
      <w:r>
        <w:rPr>
          <w:lang w:eastAsia="en-AU"/>
        </w:rPr>
        <w:t>The Seal of the Military Rehabilitation and Compensation Commission was affixed hereto in the presence of:</w:t>
      </w:r>
    </w:p>
    <w:p w14:paraId="67F9C09E" w14:textId="77777777" w:rsidR="000014EB" w:rsidRDefault="000014EB" w:rsidP="000014EB">
      <w:pPr>
        <w:ind w:right="6186"/>
        <w:rPr>
          <w:lang w:eastAsia="en-A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2693"/>
      </w:tblGrid>
      <w:tr w:rsidR="000014EB" w:rsidRPr="000014EB" w14:paraId="7D6B27B3" w14:textId="77777777" w:rsidTr="000014EB"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EB64" w14:textId="77777777" w:rsidR="00B1200A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  <w:bookmarkStart w:id="0" w:name="_Hlk115165882"/>
          </w:p>
          <w:p w14:paraId="6E08A8F9" w14:textId="674A9271" w:rsidR="00B1200A" w:rsidRPr="004531D3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trike/>
                <w:szCs w:val="22"/>
              </w:rPr>
            </w:pPr>
            <w:r w:rsidRPr="004531D3">
              <w:rPr>
                <w:rFonts w:cs="Times New Roman"/>
                <w:strike/>
                <w:szCs w:val="22"/>
              </w:rPr>
              <w:t>Alison Frame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EFC5" w14:textId="77777777" w:rsidR="00B1200A" w:rsidRPr="000014EB" w:rsidRDefault="00B1200A" w:rsidP="000014EB">
            <w:pPr>
              <w:spacing w:line="300" w:lineRule="atLeast"/>
              <w:ind w:left="-253" w:right="-387"/>
              <w:jc w:val="center"/>
              <w:rPr>
                <w:rFonts w:cs="Times New Roman"/>
                <w:szCs w:val="22"/>
              </w:rPr>
            </w:pPr>
          </w:p>
          <w:p w14:paraId="5D475194" w14:textId="119224A2" w:rsidR="00B1200A" w:rsidRPr="000014EB" w:rsidRDefault="007459B6" w:rsidP="000014EB">
            <w:pPr>
              <w:spacing w:line="300" w:lineRule="atLeast"/>
              <w:ind w:left="-253" w:right="-387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Kate</w:t>
            </w:r>
            <w:r w:rsidR="00B1200A" w:rsidRPr="000014EB">
              <w:rPr>
                <w:rFonts w:cs="Times New Roman"/>
                <w:szCs w:val="22"/>
              </w:rPr>
              <w:t xml:space="preserve"> Pope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83D3" w14:textId="77777777" w:rsidR="00B1200A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  <w:p w14:paraId="14117967" w14:textId="66EE1D11" w:rsidR="00B1200A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  <w:r w:rsidRPr="000014EB">
              <w:rPr>
                <w:rFonts w:cs="Times New Roman"/>
                <w:szCs w:val="22"/>
              </w:rPr>
              <w:t xml:space="preserve">Glen </w:t>
            </w:r>
            <w:proofErr w:type="spellStart"/>
            <w:r w:rsidRPr="000014EB">
              <w:rPr>
                <w:rFonts w:cs="Times New Roman"/>
                <w:szCs w:val="22"/>
              </w:rPr>
              <w:t>Ferrarot</w:t>
            </w:r>
            <w:r w:rsidR="00094040">
              <w:rPr>
                <w:rFonts w:cs="Times New Roman"/>
                <w:szCs w:val="22"/>
              </w:rPr>
              <w:t>t</w:t>
            </w:r>
            <w:r w:rsidRPr="000014EB">
              <w:rPr>
                <w:rFonts w:cs="Times New Roman"/>
                <w:szCs w:val="22"/>
              </w:rPr>
              <w:t>o</w:t>
            </w:r>
            <w:proofErr w:type="spellEnd"/>
          </w:p>
        </w:tc>
      </w:tr>
      <w:tr w:rsidR="000014EB" w:rsidRPr="000014EB" w14:paraId="6757E067" w14:textId="77777777" w:rsidTr="000014EB"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0294" w14:textId="77777777" w:rsidR="00B1200A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A7AF" w14:textId="77777777" w:rsidR="00B1200A" w:rsidRPr="000014EB" w:rsidRDefault="00B1200A" w:rsidP="000014EB">
            <w:pPr>
              <w:spacing w:line="300" w:lineRule="atLeast"/>
              <w:ind w:left="-253" w:right="-387"/>
              <w:jc w:val="center"/>
              <w:rPr>
                <w:rFonts w:cs="Times New Roman"/>
                <w:szCs w:val="22"/>
              </w:rPr>
            </w:pPr>
            <w:r w:rsidRPr="000014EB">
              <w:rPr>
                <w:rFonts w:cs="Times New Roman"/>
                <w:szCs w:val="22"/>
              </w:rPr>
              <w:t>PSM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95BB" w14:textId="77777777" w:rsidR="00B1200A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</w:tc>
      </w:tr>
      <w:tr w:rsidR="000014EB" w:rsidRPr="000014EB" w14:paraId="43D12AF1" w14:textId="77777777" w:rsidTr="000014EB"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B579" w14:textId="77777777" w:rsidR="00B1200A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  <w:r w:rsidRPr="000014EB">
              <w:rPr>
                <w:rFonts w:cs="Times New Roman"/>
                <w:szCs w:val="22"/>
              </w:rPr>
              <w:t>Chair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A591" w14:textId="0797978D" w:rsidR="00B1200A" w:rsidRPr="000014EB" w:rsidRDefault="004531D3" w:rsidP="000014EB">
            <w:pPr>
              <w:spacing w:line="300" w:lineRule="atLeast"/>
              <w:ind w:left="-253" w:right="-387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Acting Chair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97DF" w14:textId="77777777" w:rsidR="00B1200A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  <w:r w:rsidRPr="000014EB">
              <w:rPr>
                <w:rFonts w:cs="Times New Roman"/>
                <w:szCs w:val="22"/>
              </w:rPr>
              <w:t>Acting Member</w:t>
            </w:r>
          </w:p>
        </w:tc>
      </w:tr>
      <w:tr w:rsidR="000014EB" w:rsidRPr="000014EB" w14:paraId="5268D87D" w14:textId="77777777" w:rsidTr="000014EB"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5B46" w14:textId="60AEA8AA" w:rsidR="00B1200A" w:rsidRPr="000014EB" w:rsidRDefault="00B1200A" w:rsidP="00554E0B">
            <w:pPr>
              <w:spacing w:line="300" w:lineRule="atLeast"/>
              <w:ind w:right="397"/>
              <w:rPr>
                <w:rFonts w:cs="Times New Roman"/>
                <w:szCs w:val="22"/>
              </w:rPr>
            </w:pPr>
          </w:p>
          <w:p w14:paraId="7DF972D4" w14:textId="44F6B570" w:rsidR="00B1200A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  <w:p w14:paraId="479B67AF" w14:textId="77777777" w:rsidR="00EA49E1" w:rsidRPr="000014EB" w:rsidRDefault="00EA49E1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  <w:p w14:paraId="4A692CCD" w14:textId="36B2A1E4" w:rsidR="00B1200A" w:rsidRPr="004531D3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trike/>
                <w:szCs w:val="22"/>
              </w:rPr>
            </w:pPr>
            <w:r w:rsidRPr="004531D3">
              <w:rPr>
                <w:rFonts w:cs="Times New Roman"/>
                <w:strike/>
                <w:szCs w:val="22"/>
              </w:rPr>
              <w:t xml:space="preserve">Gwen </w:t>
            </w:r>
            <w:proofErr w:type="spellStart"/>
            <w:r w:rsidRPr="004531D3">
              <w:rPr>
                <w:rFonts w:cs="Times New Roman"/>
                <w:strike/>
                <w:szCs w:val="22"/>
              </w:rPr>
              <w:t>Cherne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7830" w14:textId="77777777" w:rsidR="00B1200A" w:rsidRPr="000014EB" w:rsidRDefault="00B1200A" w:rsidP="000014EB">
            <w:pPr>
              <w:spacing w:line="300" w:lineRule="atLeast"/>
              <w:ind w:left="-253" w:right="-387"/>
              <w:jc w:val="center"/>
              <w:rPr>
                <w:rFonts w:cs="Times New Roman"/>
                <w:szCs w:val="22"/>
              </w:rPr>
            </w:pPr>
          </w:p>
          <w:p w14:paraId="6727844E" w14:textId="13301579" w:rsidR="00B1200A" w:rsidRDefault="00B1200A" w:rsidP="000014EB">
            <w:pPr>
              <w:spacing w:line="300" w:lineRule="atLeast"/>
              <w:ind w:left="-253" w:right="-387"/>
              <w:jc w:val="center"/>
              <w:rPr>
                <w:rFonts w:cs="Times New Roman"/>
                <w:szCs w:val="22"/>
              </w:rPr>
            </w:pPr>
          </w:p>
          <w:p w14:paraId="36B46FC4" w14:textId="77777777" w:rsidR="00EA49E1" w:rsidRPr="000014EB" w:rsidRDefault="00EA49E1" w:rsidP="000014EB">
            <w:pPr>
              <w:spacing w:line="300" w:lineRule="atLeast"/>
              <w:ind w:left="-253" w:right="-387"/>
              <w:jc w:val="center"/>
              <w:rPr>
                <w:rFonts w:cs="Times New Roman"/>
                <w:szCs w:val="22"/>
              </w:rPr>
            </w:pPr>
          </w:p>
          <w:p w14:paraId="3FE898BA" w14:textId="550E77DC" w:rsidR="00B1200A" w:rsidRPr="002E5B80" w:rsidRDefault="00B1200A" w:rsidP="000014EB">
            <w:pPr>
              <w:spacing w:line="300" w:lineRule="atLeast"/>
              <w:ind w:left="-253" w:right="-387"/>
              <w:jc w:val="center"/>
              <w:rPr>
                <w:rFonts w:cs="Times New Roman"/>
                <w:strike/>
                <w:szCs w:val="22"/>
              </w:rPr>
            </w:pPr>
            <w:r w:rsidRPr="002E5B80">
              <w:rPr>
                <w:rFonts w:cs="Times New Roman"/>
                <w:strike/>
                <w:szCs w:val="22"/>
              </w:rPr>
              <w:t>Rear Admiral Sarah Sharkey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AEF7" w14:textId="77777777" w:rsidR="00B1200A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  <w:p w14:paraId="39AE99DE" w14:textId="693D9AAD" w:rsidR="00B1200A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  <w:p w14:paraId="7B63CDF7" w14:textId="77777777" w:rsidR="00EA49E1" w:rsidRPr="000014EB" w:rsidRDefault="00EA49E1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  <w:p w14:paraId="5937F2C2" w14:textId="7792EE31" w:rsidR="000014EB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  <w:r w:rsidRPr="000014EB">
              <w:rPr>
                <w:rFonts w:cs="Times New Roman"/>
                <w:szCs w:val="22"/>
              </w:rPr>
              <w:t>Greg Vines</w:t>
            </w:r>
          </w:p>
        </w:tc>
      </w:tr>
      <w:tr w:rsidR="000014EB" w:rsidRPr="000014EB" w14:paraId="60FE4387" w14:textId="77777777" w:rsidTr="000014EB">
        <w:trPr>
          <w:gridAfter w:val="1"/>
          <w:wAfter w:w="2693" w:type="dxa"/>
        </w:trPr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0F5A" w14:textId="77777777" w:rsidR="000014EB" w:rsidRPr="000014EB" w:rsidRDefault="000014EB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9E4C" w14:textId="77777777" w:rsidR="000014EB" w:rsidRPr="000014EB" w:rsidRDefault="000014EB" w:rsidP="000014EB">
            <w:pPr>
              <w:spacing w:line="300" w:lineRule="atLeast"/>
              <w:ind w:left="-253" w:right="-387"/>
              <w:jc w:val="center"/>
              <w:rPr>
                <w:rFonts w:cs="Times New Roman"/>
                <w:szCs w:val="22"/>
              </w:rPr>
            </w:pPr>
            <w:r w:rsidRPr="000014EB">
              <w:rPr>
                <w:rFonts w:cs="Times New Roman"/>
                <w:szCs w:val="22"/>
              </w:rPr>
              <w:t>AM CSC RAN</w:t>
            </w:r>
          </w:p>
        </w:tc>
      </w:tr>
      <w:tr w:rsidR="000014EB" w:rsidRPr="000014EB" w14:paraId="4A7CED81" w14:textId="77777777" w:rsidTr="000014EB"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6E48" w14:textId="673F9BCB" w:rsidR="00B1200A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  <w:r w:rsidRPr="000014EB">
              <w:rPr>
                <w:rFonts w:cs="Times New Roman"/>
                <w:szCs w:val="22"/>
              </w:rPr>
              <w:t>Member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8AA3" w14:textId="77777777" w:rsidR="00B1200A" w:rsidRPr="000014EB" w:rsidRDefault="00B1200A" w:rsidP="000014EB">
            <w:pPr>
              <w:spacing w:line="300" w:lineRule="atLeast"/>
              <w:ind w:left="-253" w:right="-387"/>
              <w:jc w:val="center"/>
              <w:rPr>
                <w:rFonts w:cs="Times New Roman"/>
                <w:szCs w:val="22"/>
              </w:rPr>
            </w:pPr>
            <w:r w:rsidRPr="000014EB">
              <w:rPr>
                <w:rFonts w:cs="Times New Roman"/>
                <w:szCs w:val="22"/>
              </w:rPr>
              <w:t>Member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57D3" w14:textId="77777777" w:rsidR="00B1200A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  <w:r w:rsidRPr="000014EB">
              <w:rPr>
                <w:rFonts w:cs="Times New Roman"/>
                <w:szCs w:val="22"/>
              </w:rPr>
              <w:t>Acting Member</w:t>
            </w:r>
          </w:p>
        </w:tc>
      </w:tr>
      <w:bookmarkEnd w:id="0"/>
      <w:tr w:rsidR="00B904C3" w14:paraId="1C340E6B" w14:textId="77777777" w:rsidTr="000014EB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CA9A" w14:textId="2323F721" w:rsidR="00B1200A" w:rsidRPr="000014EB" w:rsidRDefault="00B1200A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77B9" w14:textId="77777777" w:rsidR="00B904C3" w:rsidRPr="000014EB" w:rsidRDefault="00B904C3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BEC2" w14:textId="162972B1" w:rsidR="00B904C3" w:rsidRPr="000014EB" w:rsidRDefault="00B904C3" w:rsidP="000014EB">
            <w:pPr>
              <w:spacing w:line="300" w:lineRule="atLeast"/>
              <w:ind w:right="397"/>
              <w:jc w:val="center"/>
              <w:rPr>
                <w:rFonts w:cs="Times New Roman"/>
                <w:szCs w:val="22"/>
              </w:rPr>
            </w:pPr>
          </w:p>
        </w:tc>
      </w:tr>
      <w:tr w:rsidR="00B904C3" w14:paraId="7567867A" w14:textId="77777777" w:rsidTr="000014EB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1F93" w14:textId="2693FDA4" w:rsidR="00B1200A" w:rsidRDefault="00B1200A" w:rsidP="000014EB">
            <w:pPr>
              <w:rPr>
                <w:rFonts w:cs="Times New Roman"/>
                <w:sz w:val="2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ECFB" w14:textId="77777777" w:rsidR="00B904C3" w:rsidRDefault="00B904C3" w:rsidP="000014EB">
            <w:pPr>
              <w:spacing w:line="300" w:lineRule="atLeast"/>
              <w:ind w:right="397"/>
              <w:jc w:val="center"/>
              <w:rPr>
                <w:rFonts w:cs="Times New Roman"/>
                <w:sz w:val="20"/>
              </w:rPr>
            </w:pPr>
          </w:p>
          <w:p w14:paraId="026E0992" w14:textId="546D591F" w:rsidR="00EA49E1" w:rsidRDefault="00EA49E1" w:rsidP="000014EB">
            <w:pPr>
              <w:spacing w:line="300" w:lineRule="atLeast"/>
              <w:ind w:right="397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DE3C" w14:textId="77777777" w:rsidR="00B904C3" w:rsidRDefault="00B904C3" w:rsidP="000014EB">
            <w:pPr>
              <w:spacing w:line="300" w:lineRule="atLeast"/>
              <w:ind w:right="397"/>
              <w:jc w:val="center"/>
              <w:rPr>
                <w:rFonts w:cs="Times New Roman"/>
                <w:sz w:val="20"/>
              </w:rPr>
            </w:pPr>
          </w:p>
        </w:tc>
      </w:tr>
    </w:tbl>
    <w:p w14:paraId="4A6FE9A7" w14:textId="7C862DEB" w:rsidR="00F6696E" w:rsidRPr="00EA49E1" w:rsidRDefault="00217DD0" w:rsidP="00F6696E">
      <w:r>
        <w:tab/>
      </w:r>
      <w:r>
        <w:tab/>
      </w:r>
      <w:r>
        <w:tab/>
      </w:r>
      <w:r>
        <w:tab/>
      </w:r>
      <w:r w:rsidRPr="00EA49E1">
        <w:t xml:space="preserve">Major General Wade </w:t>
      </w:r>
      <w:proofErr w:type="spellStart"/>
      <w:r w:rsidRPr="00EA49E1">
        <w:t>Stothart</w:t>
      </w:r>
      <w:proofErr w:type="spellEnd"/>
    </w:p>
    <w:p w14:paraId="429C83C3" w14:textId="5BD5D4B3" w:rsidR="00217DD0" w:rsidRDefault="00217DD0" w:rsidP="00F6696E">
      <w:r>
        <w:tab/>
      </w:r>
      <w:r>
        <w:tab/>
      </w:r>
      <w:r>
        <w:tab/>
      </w:r>
      <w:r>
        <w:tab/>
      </w:r>
      <w:r>
        <w:tab/>
        <w:t>DSC AM CSC</w:t>
      </w:r>
    </w:p>
    <w:p w14:paraId="354DB3A4" w14:textId="7AFCB35F" w:rsidR="00217DD0" w:rsidRDefault="00217DD0" w:rsidP="00F6696E">
      <w:r>
        <w:tab/>
      </w:r>
      <w:r>
        <w:tab/>
      </w:r>
      <w:r>
        <w:tab/>
      </w:r>
      <w:r>
        <w:tab/>
      </w:r>
      <w:r>
        <w:tab/>
        <w:t xml:space="preserve">      Member</w:t>
      </w:r>
    </w:p>
    <w:p w14:paraId="6AF3C5AB" w14:textId="34DEEC74" w:rsidR="000014EB" w:rsidRDefault="000014EB" w:rsidP="00F6696E"/>
    <w:p w14:paraId="6721DC1B" w14:textId="77777777" w:rsidR="000014EB" w:rsidRPr="00D164DF" w:rsidRDefault="000014EB" w:rsidP="00F6696E">
      <w:pPr>
        <w:sectPr w:rsidR="000014EB" w:rsidRPr="00D164DF" w:rsidSect="0027446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0" w:gutter="0"/>
          <w:pgNumType w:start="1"/>
          <w:cols w:space="708"/>
          <w:docGrid w:linePitch="360"/>
        </w:sectPr>
      </w:pPr>
    </w:p>
    <w:p w14:paraId="02536EEF" w14:textId="4ABC922D" w:rsidR="00554826" w:rsidRPr="00D164DF" w:rsidRDefault="00CC17D2" w:rsidP="00554826">
      <w:pPr>
        <w:pStyle w:val="ActHead5"/>
      </w:pPr>
      <w:bookmarkStart w:id="1" w:name="_Toc130546397"/>
      <w:proofErr w:type="gramStart"/>
      <w:r>
        <w:lastRenderedPageBreak/>
        <w:t>1</w:t>
      </w:r>
      <w:r w:rsidR="00554826" w:rsidRPr="00D164DF">
        <w:t xml:space="preserve">  Name</w:t>
      </w:r>
      <w:bookmarkEnd w:id="1"/>
      <w:proofErr w:type="gramEnd"/>
    </w:p>
    <w:p w14:paraId="55D378F3" w14:textId="3BA05905" w:rsidR="00554826" w:rsidRPr="00D164DF" w:rsidRDefault="00554826" w:rsidP="00554826">
      <w:pPr>
        <w:pStyle w:val="subsection"/>
      </w:pPr>
      <w:r w:rsidRPr="00D164DF">
        <w:tab/>
      </w:r>
      <w:r w:rsidRPr="00D164DF">
        <w:tab/>
        <w:t xml:space="preserve">This instrument is the </w:t>
      </w:r>
      <w:bookmarkStart w:id="2" w:name="BKCheck15B_3"/>
      <w:bookmarkEnd w:id="2"/>
      <w:r w:rsidR="00E62A39" w:rsidRPr="00D164DF">
        <w:rPr>
          <w:i/>
        </w:rPr>
        <w:t>Military Rehabilitation and Compensation (S</w:t>
      </w:r>
      <w:r w:rsidR="00B41649">
        <w:rPr>
          <w:i/>
        </w:rPr>
        <w:t>ubs</w:t>
      </w:r>
      <w:r w:rsidR="00E62A39" w:rsidRPr="00D164DF">
        <w:rPr>
          <w:i/>
        </w:rPr>
        <w:t xml:space="preserve">ection </w:t>
      </w:r>
      <w:proofErr w:type="gramStart"/>
      <w:r w:rsidR="00E62A39" w:rsidRPr="00D164DF">
        <w:rPr>
          <w:i/>
        </w:rPr>
        <w:t>204A(</w:t>
      </w:r>
      <w:proofErr w:type="gramEnd"/>
      <w:r w:rsidR="00E62A39" w:rsidRPr="00D164DF">
        <w:rPr>
          <w:i/>
        </w:rPr>
        <w:t>2) Amount) Instrument 2023</w:t>
      </w:r>
      <w:r w:rsidRPr="00D164DF">
        <w:t>.</w:t>
      </w:r>
    </w:p>
    <w:p w14:paraId="2CD3EFFA" w14:textId="77777777" w:rsidR="00554826" w:rsidRPr="00D164DF" w:rsidRDefault="00554826" w:rsidP="00554826">
      <w:pPr>
        <w:pStyle w:val="ActHead5"/>
      </w:pPr>
      <w:bookmarkStart w:id="3" w:name="_Toc130546398"/>
      <w:proofErr w:type="gramStart"/>
      <w:r w:rsidRPr="00D164DF">
        <w:t>2  Commencement</w:t>
      </w:r>
      <w:bookmarkEnd w:id="3"/>
      <w:proofErr w:type="gramEnd"/>
    </w:p>
    <w:p w14:paraId="59AA114D" w14:textId="77777777" w:rsidR="00554826" w:rsidRPr="00D164DF" w:rsidRDefault="00554826" w:rsidP="00554826">
      <w:pPr>
        <w:pStyle w:val="subsection"/>
      </w:pPr>
      <w:r w:rsidRPr="00D164DF">
        <w:tab/>
      </w:r>
      <w:r w:rsidRPr="00D164DF">
        <w:tab/>
        <w:t xml:space="preserve">This instrument commences </w:t>
      </w:r>
      <w:r w:rsidR="00E62A39" w:rsidRPr="00D164DF">
        <w:t>the day after the instrument is registered</w:t>
      </w:r>
      <w:r w:rsidRPr="00D164DF">
        <w:t>.</w:t>
      </w:r>
    </w:p>
    <w:p w14:paraId="6C669BC0" w14:textId="77777777" w:rsidR="00554826" w:rsidRPr="00D164DF" w:rsidRDefault="00554826" w:rsidP="00554826">
      <w:pPr>
        <w:pStyle w:val="ActHead5"/>
      </w:pPr>
      <w:bookmarkStart w:id="4" w:name="_Toc130546399"/>
      <w:proofErr w:type="gramStart"/>
      <w:r w:rsidRPr="00D164DF">
        <w:t>3  Authority</w:t>
      </w:r>
      <w:bookmarkEnd w:id="4"/>
      <w:proofErr w:type="gramEnd"/>
    </w:p>
    <w:p w14:paraId="3771FA5B" w14:textId="419E00CC" w:rsidR="00554826" w:rsidRPr="00D164DF" w:rsidRDefault="00554826" w:rsidP="00554826">
      <w:pPr>
        <w:pStyle w:val="subsection"/>
      </w:pPr>
      <w:r w:rsidRPr="00D164DF">
        <w:tab/>
      </w:r>
      <w:r w:rsidRPr="00D164DF">
        <w:tab/>
        <w:t xml:space="preserve">This instrument is made under </w:t>
      </w:r>
      <w:r w:rsidR="00E62A39" w:rsidRPr="00D164DF">
        <w:t xml:space="preserve">subsection </w:t>
      </w:r>
      <w:proofErr w:type="gramStart"/>
      <w:r w:rsidR="00E62A39" w:rsidRPr="00D164DF">
        <w:t>204A(</w:t>
      </w:r>
      <w:proofErr w:type="gramEnd"/>
      <w:r w:rsidR="00E62A39" w:rsidRPr="00D164DF">
        <w:t xml:space="preserve">2) of the </w:t>
      </w:r>
      <w:r w:rsidR="00E62A39" w:rsidRPr="00D164DF">
        <w:rPr>
          <w:i/>
          <w:iCs/>
        </w:rPr>
        <w:t>Military</w:t>
      </w:r>
      <w:r w:rsidR="00860ADE">
        <w:rPr>
          <w:i/>
          <w:iCs/>
        </w:rPr>
        <w:t xml:space="preserve"> </w:t>
      </w:r>
      <w:r w:rsidR="00E62A39" w:rsidRPr="00D164DF">
        <w:rPr>
          <w:i/>
          <w:iCs/>
        </w:rPr>
        <w:t>Rehabilitation and Compensation Act 2004</w:t>
      </w:r>
      <w:r w:rsidRPr="00D164DF">
        <w:t>.</w:t>
      </w:r>
    </w:p>
    <w:p w14:paraId="2A9E343A" w14:textId="77777777" w:rsidR="00554826" w:rsidRPr="00D164DF" w:rsidRDefault="00554826" w:rsidP="00554826">
      <w:pPr>
        <w:pStyle w:val="ActHead5"/>
      </w:pPr>
      <w:bookmarkStart w:id="5" w:name="_Toc130546400"/>
      <w:proofErr w:type="gramStart"/>
      <w:r w:rsidRPr="00D164DF">
        <w:t>4  Definitions</w:t>
      </w:r>
      <w:bookmarkEnd w:id="5"/>
      <w:proofErr w:type="gramEnd"/>
    </w:p>
    <w:p w14:paraId="12464D45" w14:textId="48AFA432" w:rsidR="00554826" w:rsidRPr="00D164DF" w:rsidRDefault="00554826" w:rsidP="00554826">
      <w:pPr>
        <w:pStyle w:val="notetext"/>
      </w:pPr>
      <w:r w:rsidRPr="00D164DF">
        <w:t>Note</w:t>
      </w:r>
      <w:r w:rsidRPr="00D164DF">
        <w:tab/>
        <w:t xml:space="preserve">A number of expressions used in this instrument are defined in </w:t>
      </w:r>
      <w:r w:rsidR="00B41649">
        <w:t>the Ac</w:t>
      </w:r>
      <w:r w:rsidRPr="00D164DF">
        <w:t>t, including the following:</w:t>
      </w:r>
    </w:p>
    <w:p w14:paraId="2E0F0C63" w14:textId="77777777" w:rsidR="00554826" w:rsidRPr="00D164DF" w:rsidRDefault="00554826" w:rsidP="00554826">
      <w:pPr>
        <w:pStyle w:val="notepara"/>
      </w:pPr>
      <w:r w:rsidRPr="00D164DF">
        <w:t>(a)</w:t>
      </w:r>
      <w:r w:rsidRPr="00D164DF">
        <w:tab/>
      </w:r>
      <w:r w:rsidR="00E62A39" w:rsidRPr="00D164DF">
        <w:t>Commission</w:t>
      </w:r>
      <w:r w:rsidRPr="00D164DF">
        <w:t>;</w:t>
      </w:r>
    </w:p>
    <w:p w14:paraId="3A4245AF" w14:textId="77777777" w:rsidR="00EE384C" w:rsidRDefault="00554826" w:rsidP="00554826">
      <w:pPr>
        <w:pStyle w:val="notepara"/>
      </w:pPr>
      <w:r w:rsidRPr="00D164DF">
        <w:t>(b)</w:t>
      </w:r>
      <w:r w:rsidRPr="00D164DF">
        <w:tab/>
      </w:r>
      <w:proofErr w:type="gramStart"/>
      <w:r w:rsidR="00E62A39" w:rsidRPr="00D164DF">
        <w:t>compensation</w:t>
      </w:r>
      <w:proofErr w:type="gramEnd"/>
      <w:r w:rsidR="00EE384C">
        <w:t>;</w:t>
      </w:r>
    </w:p>
    <w:p w14:paraId="125AEDE9" w14:textId="153AF453" w:rsidR="00554826" w:rsidRPr="00D164DF" w:rsidRDefault="00EE384C" w:rsidP="00554826">
      <w:pPr>
        <w:pStyle w:val="notepara"/>
      </w:pPr>
      <w:r>
        <w:t>(c)</w:t>
      </w:r>
      <w:r>
        <w:tab/>
      </w:r>
      <w:r w:rsidRPr="00225F22">
        <w:t>Special Rate Disability Pension</w:t>
      </w:r>
      <w:r w:rsidR="00860ADE" w:rsidRPr="00EE384C">
        <w:t>.</w:t>
      </w:r>
    </w:p>
    <w:p w14:paraId="120665B9" w14:textId="77777777" w:rsidR="00554826" w:rsidRPr="00D164DF" w:rsidRDefault="00554826" w:rsidP="00CC17D2">
      <w:pPr>
        <w:pStyle w:val="subsection"/>
      </w:pPr>
      <w:r w:rsidRPr="00D164DF">
        <w:tab/>
      </w:r>
      <w:r w:rsidRPr="00D164DF">
        <w:tab/>
        <w:t>In this instrument:</w:t>
      </w:r>
    </w:p>
    <w:p w14:paraId="1A7927BA" w14:textId="5592DD69" w:rsidR="00554826" w:rsidRDefault="00554826" w:rsidP="00554826">
      <w:pPr>
        <w:pStyle w:val="Definition"/>
      </w:pPr>
      <w:r w:rsidRPr="00D164DF">
        <w:rPr>
          <w:b/>
          <w:i/>
        </w:rPr>
        <w:t>Act</w:t>
      </w:r>
      <w:r w:rsidRPr="00D164DF">
        <w:t xml:space="preserve"> means the </w:t>
      </w:r>
      <w:r w:rsidR="00E62A39" w:rsidRPr="00D164DF">
        <w:rPr>
          <w:i/>
        </w:rPr>
        <w:t>Military</w:t>
      </w:r>
      <w:r w:rsidR="00860ADE">
        <w:rPr>
          <w:i/>
        </w:rPr>
        <w:t xml:space="preserve"> </w:t>
      </w:r>
      <w:r w:rsidR="00E62A39" w:rsidRPr="00D164DF">
        <w:rPr>
          <w:i/>
        </w:rPr>
        <w:t>Rehabilitation and Compensation Act 2004</w:t>
      </w:r>
      <w:r w:rsidRPr="00D164DF">
        <w:t>.</w:t>
      </w:r>
    </w:p>
    <w:p w14:paraId="34F5C2EB" w14:textId="77777777" w:rsidR="00554826" w:rsidRPr="00D164DF" w:rsidRDefault="00554826" w:rsidP="00554826">
      <w:pPr>
        <w:pStyle w:val="ActHead5"/>
      </w:pPr>
      <w:bookmarkStart w:id="6" w:name="_Toc454781205"/>
      <w:bookmarkStart w:id="7" w:name="_Toc130546401"/>
      <w:proofErr w:type="gramStart"/>
      <w:r w:rsidRPr="00D164DF">
        <w:t>5  Schedules</w:t>
      </w:r>
      <w:bookmarkEnd w:id="6"/>
      <w:bookmarkEnd w:id="7"/>
      <w:proofErr w:type="gramEnd"/>
    </w:p>
    <w:p w14:paraId="53437BA0" w14:textId="77777777" w:rsidR="00554826" w:rsidRPr="00D164DF" w:rsidRDefault="00554826" w:rsidP="00554826">
      <w:pPr>
        <w:pStyle w:val="subsection"/>
      </w:pPr>
      <w:r w:rsidRPr="00D164DF">
        <w:tab/>
      </w:r>
      <w:r w:rsidRPr="00D164DF">
        <w:tab/>
        <w:t>Each instrument that is specified in a Schedule to this instrument is amended or rep</w:t>
      </w:r>
      <w:bookmarkStart w:id="8" w:name="_GoBack"/>
      <w:bookmarkEnd w:id="8"/>
      <w:r w:rsidRPr="00D164DF">
        <w:t>ealed as set out in the applicable items in the Schedule concerned, and any other item in a Schedule to this instrument has effect according to its terms.</w:t>
      </w:r>
    </w:p>
    <w:p w14:paraId="49D2FF38" w14:textId="7C7D72EF" w:rsidR="00E62A39" w:rsidRPr="00D164DF" w:rsidRDefault="00FE747F" w:rsidP="00E62A39">
      <w:pPr>
        <w:pStyle w:val="ActHead5"/>
      </w:pPr>
      <w:bookmarkStart w:id="9" w:name="_Toc130546402"/>
      <w:proofErr w:type="gramStart"/>
      <w:r>
        <w:t>6</w:t>
      </w:r>
      <w:bookmarkStart w:id="10" w:name="_Toc130546403"/>
      <w:bookmarkEnd w:id="9"/>
      <w:r w:rsidR="00E62A39" w:rsidRPr="00D164DF">
        <w:t xml:space="preserve">  Working</w:t>
      </w:r>
      <w:proofErr w:type="gramEnd"/>
      <w:r w:rsidR="00E62A39" w:rsidRPr="00D164DF">
        <w:t xml:space="preserve"> out amount of compensation that should not have been paid</w:t>
      </w:r>
      <w:bookmarkEnd w:id="10"/>
    </w:p>
    <w:p w14:paraId="3E95DB90" w14:textId="7B05B6EC" w:rsidR="00E62A39" w:rsidRPr="00656BAC" w:rsidRDefault="00E62A39" w:rsidP="00E62A39">
      <w:pPr>
        <w:pStyle w:val="subsection"/>
      </w:pPr>
      <w:r w:rsidRPr="00D164DF">
        <w:tab/>
      </w:r>
      <w:r w:rsidRPr="00D164DF">
        <w:tab/>
      </w:r>
      <w:r w:rsidR="00814B79">
        <w:t xml:space="preserve">For subsection </w:t>
      </w:r>
      <w:proofErr w:type="gramStart"/>
      <w:r w:rsidR="00814B79">
        <w:t>204A(</w:t>
      </w:r>
      <w:proofErr w:type="gramEnd"/>
      <w:r w:rsidR="00814B79">
        <w:t>2) of the Act, t</w:t>
      </w:r>
      <w:r w:rsidR="00E3343C">
        <w:t xml:space="preserve">he following </w:t>
      </w:r>
      <w:r w:rsidR="00814B79">
        <w:t xml:space="preserve">steps are </w:t>
      </w:r>
      <w:r w:rsidR="00656BAC">
        <w:t>specified for working out</w:t>
      </w:r>
      <w:r w:rsidR="00814B79">
        <w:t xml:space="preserve"> </w:t>
      </w:r>
      <w:r w:rsidR="00E3343C">
        <w:t xml:space="preserve">the </w:t>
      </w:r>
      <w:r w:rsidR="00E3343C" w:rsidRPr="00BA29B5">
        <w:t xml:space="preserve">portion </w:t>
      </w:r>
      <w:r w:rsidR="00E3343C" w:rsidRPr="00656BAC">
        <w:t>of</w:t>
      </w:r>
      <w:r w:rsidRPr="00656BAC">
        <w:t xml:space="preserve"> </w:t>
      </w:r>
      <w:r w:rsidR="00B15C54">
        <w:t>the</w:t>
      </w:r>
      <w:r w:rsidRPr="00656BAC">
        <w:t xml:space="preserve"> lump sum</w:t>
      </w:r>
      <w:r w:rsidR="00E3343C" w:rsidRPr="00BA29B5">
        <w:t xml:space="preserve"> paid to a person under section 138 of the Act</w:t>
      </w:r>
      <w:r w:rsidRPr="00656BAC">
        <w:t>:</w:t>
      </w:r>
    </w:p>
    <w:p w14:paraId="16150373" w14:textId="54EE1FF8" w:rsidR="00E62A39" w:rsidRPr="00656BAC" w:rsidRDefault="00E62A39" w:rsidP="00E62A3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531"/>
          <w:tab w:val="left" w:pos="1418"/>
        </w:tabs>
        <w:ind w:left="1134" w:firstLine="0"/>
      </w:pPr>
      <w:r w:rsidRPr="00E3343C">
        <w:t xml:space="preserve">Step 1: Calculate the entitled amount for the person using </w:t>
      </w:r>
      <w:r w:rsidR="00212248" w:rsidRPr="00E3343C">
        <w:t>the formula in section</w:t>
      </w:r>
      <w:r w:rsidR="00E3343C">
        <w:t> </w:t>
      </w:r>
      <w:r w:rsidR="00FE747F">
        <w:t>7</w:t>
      </w:r>
      <w:r w:rsidR="00212248" w:rsidRPr="00656BAC">
        <w:t>.</w:t>
      </w:r>
    </w:p>
    <w:p w14:paraId="3F3207FA" w14:textId="1AEB3177" w:rsidR="00E62A39" w:rsidRPr="00D164DF" w:rsidRDefault="00E62A39" w:rsidP="00E62A3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531"/>
        </w:tabs>
        <w:ind w:left="1134" w:firstLine="0"/>
      </w:pPr>
      <w:r w:rsidRPr="00E3343C">
        <w:t>Step 2: Subtract the entitled amount from the lump sum paid to the person under section 138 of the Act.</w:t>
      </w:r>
    </w:p>
    <w:p w14:paraId="75D369D4" w14:textId="2F810AB1" w:rsidR="00E3343C" w:rsidRPr="00F937CA" w:rsidRDefault="00E3343C" w:rsidP="00E3343C">
      <w:pPr>
        <w:pStyle w:val="notetext"/>
      </w:pPr>
      <w:bookmarkStart w:id="11" w:name="_Toc130546404"/>
      <w:r w:rsidRPr="00F937CA">
        <w:t>Note</w:t>
      </w:r>
      <w:r w:rsidRPr="00F937CA">
        <w:tab/>
      </w:r>
      <w:r>
        <w:t>The portion of the lump sum worked out using these steps is</w:t>
      </w:r>
      <w:r w:rsidRPr="001629DA">
        <w:t xml:space="preserve"> taken to be an amount of compensation that should not have been paid to the person (see subsection 204A(2) of the Act).</w:t>
      </w:r>
    </w:p>
    <w:p w14:paraId="7D68DA4F" w14:textId="3C3519EC" w:rsidR="00E62A39" w:rsidRPr="00D164DF" w:rsidRDefault="00FE747F" w:rsidP="00E62A39">
      <w:pPr>
        <w:pStyle w:val="ActHead5"/>
      </w:pPr>
      <w:proofErr w:type="gramStart"/>
      <w:r>
        <w:t>7</w:t>
      </w:r>
      <w:r w:rsidR="00E62A39" w:rsidRPr="00D164DF">
        <w:t xml:space="preserve">  Formula</w:t>
      </w:r>
      <w:proofErr w:type="gramEnd"/>
      <w:r w:rsidR="00E62A39" w:rsidRPr="00D164DF">
        <w:t xml:space="preserve"> for calculating entitled amount</w:t>
      </w:r>
      <w:bookmarkEnd w:id="11"/>
    </w:p>
    <w:p w14:paraId="3A8BF665" w14:textId="001501FC" w:rsidR="00D164DF" w:rsidRPr="00D164DF" w:rsidRDefault="00D164DF" w:rsidP="00554826">
      <w:pPr>
        <w:pStyle w:val="subsection"/>
      </w:pPr>
      <w:r w:rsidRPr="00D164DF">
        <w:rPr>
          <w:noProof/>
        </w:rPr>
        <w:drawing>
          <wp:inline distT="0" distB="0" distL="0" distR="0" wp14:anchorId="17295C9B" wp14:editId="7254B985">
            <wp:extent cx="3533073" cy="949463"/>
            <wp:effectExtent l="0" t="0" r="0" b="3175"/>
            <wp:docPr id="2" name="Picture 2" descr="Start formula start fraction 52 times Weekly amount times open square bracket open round bracket Specified number plus 1 close round bracket to power of n minus 1 close square bracket over Specified number times open square bracket open round bracket Specified number plus 1 close round bracket to power of n close square brack end fraction end formula" title="formula for calculating entitled am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9368" cy="95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85789" w14:textId="77777777" w:rsidR="00D164DF" w:rsidRPr="00D164DF" w:rsidRDefault="00D164DF" w:rsidP="00554826">
      <w:pPr>
        <w:pStyle w:val="subsection"/>
      </w:pPr>
      <w:r w:rsidRPr="00D164DF">
        <w:lastRenderedPageBreak/>
        <w:t>Where:</w:t>
      </w:r>
    </w:p>
    <w:p w14:paraId="71C2EA40" w14:textId="77777777" w:rsidR="00504FD7" w:rsidRPr="00D164DF" w:rsidRDefault="00D164DF" w:rsidP="00D164DF">
      <w:pPr>
        <w:pStyle w:val="Definition"/>
        <w:ind w:left="0"/>
      </w:pPr>
      <w:proofErr w:type="gramStart"/>
      <w:r w:rsidRPr="00D164DF">
        <w:rPr>
          <w:b/>
          <w:i/>
        </w:rPr>
        <w:t>n</w:t>
      </w:r>
      <w:proofErr w:type="gramEnd"/>
      <w:r w:rsidRPr="00D164DF">
        <w:t xml:space="preserve"> means the number worked out using the formula:</w:t>
      </w:r>
    </w:p>
    <w:p w14:paraId="5DA17E07" w14:textId="77777777" w:rsidR="00D164DF" w:rsidRPr="00D164DF" w:rsidRDefault="00D164DF" w:rsidP="00D164DF">
      <w:pPr>
        <w:pStyle w:val="Definition"/>
        <w:ind w:left="0"/>
      </w:pPr>
      <w:r w:rsidRPr="00D164DF">
        <w:rPr>
          <w:noProof/>
        </w:rPr>
        <w:drawing>
          <wp:inline distT="0" distB="0" distL="0" distR="0" wp14:anchorId="2ABF6F31" wp14:editId="0B9EA7EB">
            <wp:extent cx="1185986" cy="562720"/>
            <wp:effectExtent l="0" t="0" r="0" b="8890"/>
            <wp:docPr id="3" name="Picture 3" descr="start formula start fraction Number of days over 365 end fraction end formula" title="formula for working out 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1564" cy="57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CB839" w14:textId="77777777" w:rsidR="00D164DF" w:rsidRPr="00D164DF" w:rsidRDefault="00D164DF" w:rsidP="00D164DF">
      <w:pPr>
        <w:pStyle w:val="Definition"/>
        <w:ind w:left="0"/>
      </w:pPr>
      <w:proofErr w:type="gramStart"/>
      <w:r w:rsidRPr="00D164DF">
        <w:rPr>
          <w:b/>
          <w:i/>
        </w:rPr>
        <w:t>number</w:t>
      </w:r>
      <w:proofErr w:type="gramEnd"/>
      <w:r w:rsidRPr="00D164DF">
        <w:rPr>
          <w:b/>
          <w:i/>
        </w:rPr>
        <w:t xml:space="preserve"> of days</w:t>
      </w:r>
      <w:r w:rsidRPr="00D164DF">
        <w:t xml:space="preserve"> means the total amount of days in the period:</w:t>
      </w:r>
    </w:p>
    <w:p w14:paraId="40E428D7" w14:textId="13F21989" w:rsidR="00D164DF" w:rsidRPr="00D164DF" w:rsidRDefault="00D164DF" w:rsidP="00D164DF">
      <w:pPr>
        <w:tabs>
          <w:tab w:val="left" w:pos="567"/>
        </w:tabs>
        <w:spacing w:before="120"/>
        <w:ind w:left="567" w:hanging="567"/>
      </w:pPr>
      <w:r w:rsidRPr="00D164DF">
        <w:t>(a)</w:t>
      </w:r>
      <w:r w:rsidRPr="00D164DF">
        <w:tab/>
      </w:r>
      <w:proofErr w:type="gramStart"/>
      <w:r w:rsidRPr="00D164DF">
        <w:t>beginning</w:t>
      </w:r>
      <w:proofErr w:type="gramEnd"/>
      <w:r w:rsidRPr="00D164DF">
        <w:t xml:space="preserve"> on the day after the </w:t>
      </w:r>
      <w:r w:rsidR="00656BAC">
        <w:t xml:space="preserve">day on which the </w:t>
      </w:r>
      <w:r w:rsidRPr="00D164DF">
        <w:t xml:space="preserve">person advised the Commission of his or her </w:t>
      </w:r>
      <w:r w:rsidR="00656BAC">
        <w:t>choice under paragraph 138(1)(d) of the Act</w:t>
      </w:r>
      <w:r w:rsidRPr="00D164DF">
        <w:t>; and</w:t>
      </w:r>
    </w:p>
    <w:p w14:paraId="0BFF9A8C" w14:textId="49CA5378" w:rsidR="00212248" w:rsidRDefault="00D164DF" w:rsidP="00D164DF">
      <w:pPr>
        <w:tabs>
          <w:tab w:val="left" w:pos="567"/>
        </w:tabs>
        <w:spacing w:before="120"/>
        <w:ind w:left="567" w:hanging="567"/>
      </w:pPr>
      <w:r w:rsidRPr="00D164DF">
        <w:t>(b)</w:t>
      </w:r>
      <w:r w:rsidRPr="00D164DF">
        <w:tab/>
      </w:r>
      <w:proofErr w:type="gramStart"/>
      <w:r w:rsidRPr="00167600">
        <w:t>ending</w:t>
      </w:r>
      <w:proofErr w:type="gramEnd"/>
      <w:r w:rsidRPr="00167600">
        <w:t xml:space="preserve"> on the day before the day the Special </w:t>
      </w:r>
      <w:r w:rsidR="00B41649" w:rsidRPr="00BA29B5">
        <w:t xml:space="preserve">Rate </w:t>
      </w:r>
      <w:r w:rsidRPr="00167600">
        <w:t>Disability Pension is payable to the person.</w:t>
      </w:r>
    </w:p>
    <w:p w14:paraId="00C14EFE" w14:textId="03C10A4B" w:rsidR="00E968C9" w:rsidRDefault="005B6C6A" w:rsidP="00BA29B5">
      <w:pPr>
        <w:pStyle w:val="notetext"/>
        <w:ind w:left="2291"/>
      </w:pPr>
      <w:r w:rsidRPr="00BA29B5">
        <w:t>Note</w:t>
      </w:r>
      <w:r w:rsidR="009A7679">
        <w:tab/>
        <w:t>I</w:t>
      </w:r>
      <w:r w:rsidRPr="00BA29B5">
        <w:t>n some cases a person’s Special Rate Disability Pension amount will be nil.</w:t>
      </w:r>
    </w:p>
    <w:p w14:paraId="1D0BAEB1" w14:textId="1F2875EC" w:rsidR="00293FE8" w:rsidRPr="00BA29B5" w:rsidRDefault="00656BAC" w:rsidP="00BA29B5">
      <w:pPr>
        <w:pStyle w:val="Definition"/>
        <w:ind w:left="0"/>
        <w:rPr>
          <w:b/>
          <w:i/>
        </w:rPr>
      </w:pPr>
      <w:r>
        <w:rPr>
          <w:b/>
          <w:i/>
        </w:rPr>
        <w:t>S</w:t>
      </w:r>
      <w:r w:rsidR="00293FE8" w:rsidRPr="00BA29B5">
        <w:rPr>
          <w:b/>
          <w:i/>
        </w:rPr>
        <w:t>pecified number </w:t>
      </w:r>
      <w:r w:rsidR="00293FE8" w:rsidRPr="00BA29B5">
        <w:t>means the number used as the specified number by the Commission to determine the amount of the person’s lump sum under s</w:t>
      </w:r>
      <w:r w:rsidR="00130449">
        <w:t xml:space="preserve">ubsection </w:t>
      </w:r>
      <w:r w:rsidR="00293FE8" w:rsidRPr="00BA29B5">
        <w:t>138(3)</w:t>
      </w:r>
      <w:r>
        <w:t xml:space="preserve"> of the Act.</w:t>
      </w:r>
    </w:p>
    <w:p w14:paraId="7DED6501" w14:textId="04074220" w:rsidR="00D164DF" w:rsidRPr="00D164DF" w:rsidRDefault="00656BAC">
      <w:pPr>
        <w:pStyle w:val="Definition"/>
        <w:ind w:left="0"/>
        <w:rPr>
          <w:b/>
          <w:i/>
        </w:rPr>
      </w:pPr>
      <w:r>
        <w:rPr>
          <w:b/>
          <w:i/>
        </w:rPr>
        <w:t>W</w:t>
      </w:r>
      <w:r w:rsidR="00D164DF" w:rsidRPr="00D164DF">
        <w:rPr>
          <w:b/>
          <w:i/>
        </w:rPr>
        <w:t xml:space="preserve">eekly amount </w:t>
      </w:r>
      <w:r w:rsidR="00D164DF" w:rsidRPr="00656BAC">
        <w:t xml:space="preserve">means the amount of compensation payable to the person under section 118 of the Act for the week in which the person advised the Commission of his or her </w:t>
      </w:r>
      <w:r w:rsidR="00205652" w:rsidRPr="00656BAC">
        <w:t>choice under paragraph 138(1</w:t>
      </w:r>
      <w:proofErr w:type="gramStart"/>
      <w:r w:rsidR="00205652" w:rsidRPr="00656BAC">
        <w:t>)(</w:t>
      </w:r>
      <w:proofErr w:type="gramEnd"/>
      <w:r w:rsidR="00205652" w:rsidRPr="00656BAC">
        <w:t>d) of the Act</w:t>
      </w:r>
      <w:r w:rsidRPr="00BA29B5">
        <w:t>.</w:t>
      </w:r>
    </w:p>
    <w:p w14:paraId="32E833D2" w14:textId="77777777" w:rsidR="00F515B7" w:rsidRDefault="00F515B7" w:rsidP="0033686E">
      <w:pPr>
        <w:pStyle w:val="ActHead6"/>
        <w:ind w:left="0" w:firstLine="0"/>
      </w:pPr>
      <w:bookmarkStart w:id="12" w:name="_Toc130546405"/>
    </w:p>
    <w:p w14:paraId="49E6E3A4" w14:textId="119C43F8" w:rsidR="00D6537E" w:rsidRPr="00D164DF" w:rsidRDefault="004E1307" w:rsidP="00D6537E">
      <w:pPr>
        <w:pStyle w:val="ActHead6"/>
      </w:pPr>
      <w:r w:rsidRPr="00D164DF">
        <w:t xml:space="preserve">Schedule </w:t>
      </w:r>
      <w:r w:rsidR="00D6537E" w:rsidRPr="00D164DF">
        <w:t>1—Repeals</w:t>
      </w:r>
      <w:bookmarkEnd w:id="12"/>
    </w:p>
    <w:p w14:paraId="39B7F401" w14:textId="665070B3" w:rsidR="00D6537E" w:rsidRPr="00D164DF" w:rsidRDefault="00D164DF" w:rsidP="00D6537E">
      <w:pPr>
        <w:pStyle w:val="ActHead9"/>
      </w:pPr>
      <w:bookmarkStart w:id="13" w:name="_Toc130546406"/>
      <w:r w:rsidRPr="00D164DF">
        <w:t>Military Rehabilitation and Compensation</w:t>
      </w:r>
      <w:r w:rsidR="00125E0D">
        <w:t xml:space="preserve"> Act </w:t>
      </w:r>
      <w:r w:rsidRPr="00D164DF">
        <w:t xml:space="preserve">(Section </w:t>
      </w:r>
      <w:proofErr w:type="gramStart"/>
      <w:r w:rsidRPr="00D164DF">
        <w:t>204A(</w:t>
      </w:r>
      <w:proofErr w:type="gramEnd"/>
      <w:r w:rsidRPr="00D164DF">
        <w:t>2) amount) Instrument 2013</w:t>
      </w:r>
      <w:bookmarkEnd w:id="13"/>
    </w:p>
    <w:p w14:paraId="611893A4" w14:textId="77777777" w:rsidR="00D6537E" w:rsidRPr="00D164DF" w:rsidRDefault="00D6537E" w:rsidP="00D6537E">
      <w:pPr>
        <w:pStyle w:val="ItemHead"/>
      </w:pPr>
      <w:proofErr w:type="gramStart"/>
      <w:r w:rsidRPr="00D164DF">
        <w:t xml:space="preserve">1  </w:t>
      </w:r>
      <w:r w:rsidR="00BB1533" w:rsidRPr="00D164DF">
        <w:t>The</w:t>
      </w:r>
      <w:proofErr w:type="gramEnd"/>
      <w:r w:rsidR="00BB1533" w:rsidRPr="00D164DF">
        <w:t xml:space="preserve"> w</w:t>
      </w:r>
      <w:r w:rsidRPr="00D164DF">
        <w:t>hole of the instrument</w:t>
      </w:r>
    </w:p>
    <w:p w14:paraId="06E4ED26" w14:textId="69092872" w:rsidR="004E1307" w:rsidRDefault="00D6537E" w:rsidP="00D6537E">
      <w:pPr>
        <w:pStyle w:val="Item"/>
      </w:pPr>
      <w:r w:rsidRPr="00D164DF">
        <w:t>Repeal the instrument</w:t>
      </w:r>
      <w:r w:rsidR="00FE747F">
        <w:t>.</w:t>
      </w:r>
    </w:p>
    <w:sectPr w:rsidR="004E1307" w:rsidSect="0027446F">
      <w:headerReference w:type="even" r:id="rId16"/>
      <w:headerReference w:type="default" r:id="rId17"/>
      <w:footerReference w:type="even" r:id="rId18"/>
      <w:footerReference w:type="default" r:id="rId19"/>
      <w:pgSz w:w="11907" w:h="16839" w:code="9"/>
      <w:pgMar w:top="2234" w:right="1797" w:bottom="1440" w:left="1797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33E4D" w14:textId="77777777" w:rsidR="001D5C5F" w:rsidRDefault="001D5C5F" w:rsidP="00715914">
      <w:pPr>
        <w:spacing w:line="240" w:lineRule="auto"/>
      </w:pPr>
      <w:r>
        <w:separator/>
      </w:r>
    </w:p>
  </w:endnote>
  <w:endnote w:type="continuationSeparator" w:id="0">
    <w:p w14:paraId="1527BF35" w14:textId="77777777" w:rsidR="001D5C5F" w:rsidRDefault="001D5C5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D71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60A603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832674" w14:textId="1C2C4A8C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4E0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672A92" w14:textId="025A8DD3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54E0B">
            <w:rPr>
              <w:i/>
              <w:noProof/>
              <w:sz w:val="18"/>
            </w:rPr>
            <w:t>Military Rehabilitation and Compensation (Subsection 204A(2) Amount)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AD91BB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887515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198170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A497F60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DF427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7877" w:type="dxa"/>
      <w:tblLook w:val="04A0" w:firstRow="1" w:lastRow="0" w:firstColumn="1" w:lastColumn="0" w:noHBand="0" w:noVBand="1"/>
    </w:tblPr>
    <w:tblGrid>
      <w:gridCol w:w="1288"/>
      <w:gridCol w:w="5926"/>
      <w:gridCol w:w="663"/>
    </w:tblGrid>
    <w:tr w:rsidR="0072147A" w14:paraId="6CE9E13B" w14:textId="77777777" w:rsidTr="0027446F">
      <w:trPr>
        <w:trHeight w:val="6"/>
      </w:trPr>
      <w:tc>
        <w:tcPr>
          <w:tcW w:w="1288" w:type="dxa"/>
          <w:tcBorders>
            <w:top w:val="nil"/>
            <w:left w:val="nil"/>
            <w:bottom w:val="nil"/>
            <w:right w:val="nil"/>
          </w:tcBorders>
        </w:tcPr>
        <w:p w14:paraId="512C3556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5926" w:type="dxa"/>
          <w:tcBorders>
            <w:top w:val="nil"/>
            <w:left w:val="nil"/>
            <w:bottom w:val="nil"/>
            <w:right w:val="nil"/>
          </w:tcBorders>
        </w:tcPr>
        <w:p w14:paraId="280714C9" w14:textId="4BBB3F21" w:rsidR="0072147A" w:rsidRDefault="0072147A" w:rsidP="0027446F">
          <w:pPr>
            <w:spacing w:line="0" w:lineRule="atLeast"/>
            <w:rPr>
              <w:sz w:val="18"/>
            </w:rPr>
          </w:pPr>
        </w:p>
      </w:tc>
      <w:tc>
        <w:tcPr>
          <w:tcW w:w="663" w:type="dxa"/>
          <w:tcBorders>
            <w:top w:val="nil"/>
            <w:left w:val="nil"/>
            <w:bottom w:val="nil"/>
            <w:right w:val="nil"/>
          </w:tcBorders>
        </w:tcPr>
        <w:p w14:paraId="32B5361E" w14:textId="7FE0F04E" w:rsidR="0072147A" w:rsidRDefault="0072147A" w:rsidP="0087070E">
          <w:pPr>
            <w:spacing w:line="0" w:lineRule="atLeast"/>
            <w:rPr>
              <w:sz w:val="18"/>
            </w:rPr>
          </w:pPr>
        </w:p>
      </w:tc>
    </w:tr>
    <w:tr w:rsidR="0027446F" w14:paraId="0DBFE784" w14:textId="77777777" w:rsidTr="0027446F">
      <w:trPr>
        <w:trHeight w:val="6"/>
      </w:trPr>
      <w:tc>
        <w:tcPr>
          <w:tcW w:w="1288" w:type="dxa"/>
          <w:tcBorders>
            <w:top w:val="nil"/>
            <w:left w:val="nil"/>
            <w:bottom w:val="nil"/>
            <w:right w:val="nil"/>
          </w:tcBorders>
        </w:tcPr>
        <w:p w14:paraId="329752AD" w14:textId="77777777" w:rsidR="0027446F" w:rsidRDefault="0027446F" w:rsidP="00A369E3">
          <w:pPr>
            <w:spacing w:line="0" w:lineRule="atLeast"/>
            <w:rPr>
              <w:sz w:val="18"/>
            </w:rPr>
          </w:pPr>
        </w:p>
      </w:tc>
      <w:tc>
        <w:tcPr>
          <w:tcW w:w="5926" w:type="dxa"/>
          <w:tcBorders>
            <w:top w:val="nil"/>
            <w:left w:val="nil"/>
            <w:bottom w:val="nil"/>
            <w:right w:val="nil"/>
          </w:tcBorders>
        </w:tcPr>
        <w:p w14:paraId="724B7662" w14:textId="77777777" w:rsidR="0027446F" w:rsidRDefault="0027446F" w:rsidP="0027446F">
          <w:pPr>
            <w:spacing w:line="0" w:lineRule="atLeast"/>
            <w:rPr>
              <w:sz w:val="18"/>
            </w:rPr>
          </w:pPr>
        </w:p>
      </w:tc>
      <w:tc>
        <w:tcPr>
          <w:tcW w:w="663" w:type="dxa"/>
          <w:tcBorders>
            <w:top w:val="nil"/>
            <w:left w:val="nil"/>
            <w:bottom w:val="nil"/>
            <w:right w:val="nil"/>
          </w:tcBorders>
        </w:tcPr>
        <w:p w14:paraId="54098F00" w14:textId="77777777" w:rsidR="0027446F" w:rsidRDefault="0027446F" w:rsidP="0087070E">
          <w:pPr>
            <w:spacing w:line="0" w:lineRule="atLeast"/>
            <w:rPr>
              <w:sz w:val="18"/>
            </w:rPr>
          </w:pPr>
        </w:p>
      </w:tc>
    </w:tr>
    <w:tr w:rsidR="0072147A" w14:paraId="3BC319B9" w14:textId="77777777" w:rsidTr="0027446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11"/>
      </w:trPr>
      <w:tc>
        <w:tcPr>
          <w:tcW w:w="7877" w:type="dxa"/>
          <w:gridSpan w:val="3"/>
        </w:tcPr>
        <w:p w14:paraId="63728772" w14:textId="77777777" w:rsidR="0072147A" w:rsidRDefault="0072147A" w:rsidP="00A369E3">
          <w:pPr>
            <w:rPr>
              <w:sz w:val="18"/>
            </w:rPr>
          </w:pPr>
        </w:p>
      </w:tc>
    </w:tr>
  </w:tbl>
  <w:p w14:paraId="46BEAAF8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57C09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10125" w:type="dxa"/>
      <w:tblLook w:val="04A0" w:firstRow="1" w:lastRow="0" w:firstColumn="1" w:lastColumn="0" w:noHBand="0" w:noVBand="1"/>
    </w:tblPr>
    <w:tblGrid>
      <w:gridCol w:w="1655"/>
      <w:gridCol w:w="5813"/>
      <w:gridCol w:w="1804"/>
      <w:gridCol w:w="853"/>
    </w:tblGrid>
    <w:tr w:rsidR="0072147A" w14:paraId="1B607772" w14:textId="77777777" w:rsidTr="00554E0B">
      <w:trPr>
        <w:trHeight w:val="161"/>
      </w:trPr>
      <w:tc>
        <w:tcPr>
          <w:tcW w:w="1655" w:type="dxa"/>
          <w:tcBorders>
            <w:top w:val="nil"/>
            <w:left w:val="nil"/>
            <w:bottom w:val="nil"/>
            <w:right w:val="nil"/>
          </w:tcBorders>
        </w:tcPr>
        <w:p w14:paraId="3DB41BB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761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19923E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852" w:type="dxa"/>
          <w:tcBorders>
            <w:top w:val="nil"/>
            <w:left w:val="nil"/>
            <w:bottom w:val="nil"/>
            <w:right w:val="nil"/>
          </w:tcBorders>
        </w:tcPr>
        <w:p w14:paraId="2B02897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54E0B" w14:paraId="49F01FF9" w14:textId="77777777" w:rsidTr="00554E0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2"/>
        <w:wAfter w:w="2657" w:type="dxa"/>
        <w:trHeight w:val="322"/>
      </w:trPr>
      <w:tc>
        <w:tcPr>
          <w:tcW w:w="7468" w:type="dxa"/>
          <w:gridSpan w:val="2"/>
        </w:tcPr>
        <w:p w14:paraId="54869432" w14:textId="62A52C8E" w:rsidR="00554E0B" w:rsidRDefault="00554E0B" w:rsidP="00554E0B">
          <w:pPr>
            <w:spacing w:line="0" w:lineRule="atLeast"/>
            <w:rPr>
              <w:sz w:val="18"/>
            </w:rPr>
          </w:pPr>
        </w:p>
      </w:tc>
    </w:tr>
    <w:tr w:rsidR="00554E0B" w14:paraId="665A32DD" w14:textId="77777777" w:rsidTr="00554E0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04"/>
      </w:trPr>
      <w:tc>
        <w:tcPr>
          <w:tcW w:w="10125" w:type="dxa"/>
          <w:gridSpan w:val="4"/>
        </w:tcPr>
        <w:p w14:paraId="1C077D2F" w14:textId="77777777" w:rsidR="00554E0B" w:rsidRDefault="00554E0B" w:rsidP="00554E0B">
          <w:pPr>
            <w:rPr>
              <w:sz w:val="18"/>
            </w:rPr>
          </w:pPr>
        </w:p>
      </w:tc>
    </w:tr>
  </w:tbl>
  <w:p w14:paraId="5ED30264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016E3" w14:textId="77777777" w:rsidR="008C2EAC" w:rsidRPr="002B0EA5" w:rsidRDefault="008C2EAC" w:rsidP="0027446F">
    <w:pPr>
      <w:pBdr>
        <w:top w:val="single" w:sz="6" w:space="0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22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3"/>
      <w:gridCol w:w="6402"/>
      <w:gridCol w:w="1644"/>
    </w:tblGrid>
    <w:tr w:rsidR="008C2EAC" w14:paraId="247205FE" w14:textId="77777777" w:rsidTr="0027446F">
      <w:trPr>
        <w:trHeight w:val="485"/>
      </w:trPr>
      <w:tc>
        <w:tcPr>
          <w:tcW w:w="365" w:type="pct"/>
        </w:tcPr>
        <w:p w14:paraId="2C6ABD96" w14:textId="48C97831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748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5F7E309" w14:textId="5B7A366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97482">
            <w:rPr>
              <w:i/>
              <w:noProof/>
              <w:sz w:val="18"/>
            </w:rPr>
            <w:t>Military Rehabilitation and Compensation (Subsection 204A(2) Amount)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1CD84F1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D500994" w14:textId="77777777" w:rsidTr="0027446F">
      <w:trPr>
        <w:trHeight w:val="214"/>
      </w:trPr>
      <w:tc>
        <w:tcPr>
          <w:tcW w:w="5000" w:type="pct"/>
          <w:gridSpan w:val="3"/>
        </w:tcPr>
        <w:p w14:paraId="455C9F17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28C2C89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59082" w14:textId="5BFD6062" w:rsidR="0027446F" w:rsidRPr="002B0EA5" w:rsidRDefault="0027446F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82" w:type="pct"/>
      <w:tblInd w:w="-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0"/>
      <w:gridCol w:w="6232"/>
      <w:gridCol w:w="617"/>
    </w:tblGrid>
    <w:tr w:rsidR="008C2EAC" w14:paraId="439D1125" w14:textId="77777777" w:rsidTr="0027446F">
      <w:trPr>
        <w:trHeight w:val="234"/>
      </w:trPr>
      <w:tc>
        <w:tcPr>
          <w:tcW w:w="947" w:type="pct"/>
        </w:tcPr>
        <w:p w14:paraId="72EEBBD7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BA9244F" w14:textId="5CB5E60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97482">
            <w:rPr>
              <w:i/>
              <w:noProof/>
              <w:sz w:val="18"/>
            </w:rPr>
            <w:t>Military Rehabilitation and Compensation (Subsection 204A(2) Amount)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2E2D89F" w14:textId="4BA49A7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748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7C8D8A2" w14:textId="77777777" w:rsidTr="0027446F">
      <w:trPr>
        <w:trHeight w:val="143"/>
      </w:trPr>
      <w:tc>
        <w:tcPr>
          <w:tcW w:w="5000" w:type="pct"/>
          <w:gridSpan w:val="3"/>
        </w:tcPr>
        <w:p w14:paraId="7BA799EB" w14:textId="77777777" w:rsidR="008C2EAC" w:rsidRDefault="008C2EAC" w:rsidP="000850AC">
          <w:pPr>
            <w:rPr>
              <w:sz w:val="18"/>
            </w:rPr>
          </w:pPr>
        </w:p>
      </w:tc>
    </w:tr>
  </w:tbl>
  <w:p w14:paraId="1F2BC041" w14:textId="77777777" w:rsidR="008C2EAC" w:rsidRPr="00ED79B6" w:rsidRDefault="008C2EAC" w:rsidP="0027446F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5D5CA" w14:textId="77777777" w:rsidR="001D5C5F" w:rsidRDefault="001D5C5F" w:rsidP="00715914">
      <w:pPr>
        <w:spacing w:line="240" w:lineRule="auto"/>
      </w:pPr>
      <w:r>
        <w:separator/>
      </w:r>
    </w:p>
  </w:footnote>
  <w:footnote w:type="continuationSeparator" w:id="0">
    <w:p w14:paraId="037F37A8" w14:textId="77777777" w:rsidR="001D5C5F" w:rsidRDefault="001D5C5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8D8F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7FF8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887D" w14:textId="77777777" w:rsidR="004E1307" w:rsidRDefault="004E1307" w:rsidP="00715914">
    <w:pPr>
      <w:rPr>
        <w:sz w:val="20"/>
      </w:rPr>
    </w:pPr>
  </w:p>
  <w:p w14:paraId="4C13ED10" w14:textId="77777777" w:rsidR="004E1307" w:rsidRDefault="004E1307" w:rsidP="00715914">
    <w:pPr>
      <w:rPr>
        <w:sz w:val="20"/>
      </w:rPr>
    </w:pPr>
  </w:p>
  <w:p w14:paraId="337A6DDB" w14:textId="77777777" w:rsidR="004E1307" w:rsidRPr="007A1328" w:rsidRDefault="004E1307" w:rsidP="00715914">
    <w:pPr>
      <w:rPr>
        <w:sz w:val="20"/>
      </w:rPr>
    </w:pPr>
  </w:p>
  <w:p w14:paraId="7AD54BBD" w14:textId="77777777" w:rsidR="004E1307" w:rsidRPr="007A1328" w:rsidRDefault="004E1307" w:rsidP="00715914">
    <w:pPr>
      <w:rPr>
        <w:b/>
        <w:sz w:val="24"/>
      </w:rPr>
    </w:pPr>
  </w:p>
  <w:p w14:paraId="63C7820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FF577" w14:textId="77777777" w:rsidR="004E1307" w:rsidRPr="007A1328" w:rsidRDefault="004E1307" w:rsidP="00715914">
    <w:pPr>
      <w:jc w:val="right"/>
      <w:rPr>
        <w:sz w:val="20"/>
      </w:rPr>
    </w:pPr>
  </w:p>
  <w:p w14:paraId="1048A249" w14:textId="77777777" w:rsidR="004E1307" w:rsidRPr="007A1328" w:rsidRDefault="004E1307" w:rsidP="00715914">
    <w:pPr>
      <w:jc w:val="right"/>
      <w:rPr>
        <w:sz w:val="20"/>
      </w:rPr>
    </w:pPr>
  </w:p>
  <w:p w14:paraId="4D868C02" w14:textId="77777777" w:rsidR="004E1307" w:rsidRPr="007A1328" w:rsidRDefault="004E1307" w:rsidP="00715914">
    <w:pPr>
      <w:jc w:val="right"/>
      <w:rPr>
        <w:sz w:val="20"/>
      </w:rPr>
    </w:pPr>
  </w:p>
  <w:p w14:paraId="3DB5F920" w14:textId="77777777" w:rsidR="004E1307" w:rsidRPr="007A1328" w:rsidRDefault="004E1307" w:rsidP="00715914">
    <w:pPr>
      <w:jc w:val="right"/>
      <w:rPr>
        <w:b/>
        <w:sz w:val="24"/>
      </w:rPr>
    </w:pPr>
  </w:p>
  <w:p w14:paraId="092316A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0A2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589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4EB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8C6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2C2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DC8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1AB1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76A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844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6AC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39"/>
    <w:rsid w:val="000014EB"/>
    <w:rsid w:val="00004174"/>
    <w:rsid w:val="00004470"/>
    <w:rsid w:val="000136AF"/>
    <w:rsid w:val="0001500C"/>
    <w:rsid w:val="000258B1"/>
    <w:rsid w:val="00040A89"/>
    <w:rsid w:val="000437C1"/>
    <w:rsid w:val="0004455A"/>
    <w:rsid w:val="0005365D"/>
    <w:rsid w:val="000614BF"/>
    <w:rsid w:val="0006709C"/>
    <w:rsid w:val="00074376"/>
    <w:rsid w:val="00094040"/>
    <w:rsid w:val="000978F5"/>
    <w:rsid w:val="000B15CD"/>
    <w:rsid w:val="000B35EB"/>
    <w:rsid w:val="000D05EF"/>
    <w:rsid w:val="000E2261"/>
    <w:rsid w:val="000E78B7"/>
    <w:rsid w:val="000F21C1"/>
    <w:rsid w:val="0010745C"/>
    <w:rsid w:val="00124B46"/>
    <w:rsid w:val="00125E0D"/>
    <w:rsid w:val="00130449"/>
    <w:rsid w:val="00132CEB"/>
    <w:rsid w:val="001339B0"/>
    <w:rsid w:val="00142B62"/>
    <w:rsid w:val="001441B7"/>
    <w:rsid w:val="001516CB"/>
    <w:rsid w:val="00152336"/>
    <w:rsid w:val="00157B8B"/>
    <w:rsid w:val="00166C2F"/>
    <w:rsid w:val="00167600"/>
    <w:rsid w:val="001809D7"/>
    <w:rsid w:val="00181CAA"/>
    <w:rsid w:val="001939E1"/>
    <w:rsid w:val="00194C3E"/>
    <w:rsid w:val="00195382"/>
    <w:rsid w:val="001B2CB6"/>
    <w:rsid w:val="001C61C5"/>
    <w:rsid w:val="001C69C4"/>
    <w:rsid w:val="001D37EF"/>
    <w:rsid w:val="001D5C5F"/>
    <w:rsid w:val="001E3590"/>
    <w:rsid w:val="001E7407"/>
    <w:rsid w:val="001F5D5E"/>
    <w:rsid w:val="001F6219"/>
    <w:rsid w:val="001F6CD4"/>
    <w:rsid w:val="00205652"/>
    <w:rsid w:val="00206C4D"/>
    <w:rsid w:val="00212248"/>
    <w:rsid w:val="00215AF1"/>
    <w:rsid w:val="00217DD0"/>
    <w:rsid w:val="00225F22"/>
    <w:rsid w:val="002321E8"/>
    <w:rsid w:val="00232984"/>
    <w:rsid w:val="0024010F"/>
    <w:rsid w:val="00240749"/>
    <w:rsid w:val="00243018"/>
    <w:rsid w:val="002512FA"/>
    <w:rsid w:val="002564A4"/>
    <w:rsid w:val="0026736C"/>
    <w:rsid w:val="0027446F"/>
    <w:rsid w:val="00281308"/>
    <w:rsid w:val="00284719"/>
    <w:rsid w:val="00293FE8"/>
    <w:rsid w:val="00297ECB"/>
    <w:rsid w:val="002A4BCC"/>
    <w:rsid w:val="002A7BCF"/>
    <w:rsid w:val="002C3FD1"/>
    <w:rsid w:val="002D043A"/>
    <w:rsid w:val="002D266B"/>
    <w:rsid w:val="002D6224"/>
    <w:rsid w:val="002E3F3F"/>
    <w:rsid w:val="002E5B80"/>
    <w:rsid w:val="00304F8B"/>
    <w:rsid w:val="00335BC6"/>
    <w:rsid w:val="0033686E"/>
    <w:rsid w:val="003413BD"/>
    <w:rsid w:val="003415D3"/>
    <w:rsid w:val="00344338"/>
    <w:rsid w:val="00344701"/>
    <w:rsid w:val="00352B0F"/>
    <w:rsid w:val="00352EEB"/>
    <w:rsid w:val="00360459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1F68"/>
    <w:rsid w:val="004531D3"/>
    <w:rsid w:val="00467661"/>
    <w:rsid w:val="00472DBE"/>
    <w:rsid w:val="00474A19"/>
    <w:rsid w:val="00477830"/>
    <w:rsid w:val="00487764"/>
    <w:rsid w:val="00496F97"/>
    <w:rsid w:val="004A0B1C"/>
    <w:rsid w:val="004B6C48"/>
    <w:rsid w:val="004C4E59"/>
    <w:rsid w:val="004C6809"/>
    <w:rsid w:val="004E063A"/>
    <w:rsid w:val="004E1307"/>
    <w:rsid w:val="004E7BEC"/>
    <w:rsid w:val="004E7FC3"/>
    <w:rsid w:val="004F4DA7"/>
    <w:rsid w:val="00504FD7"/>
    <w:rsid w:val="00505D3D"/>
    <w:rsid w:val="00506AF6"/>
    <w:rsid w:val="00516B8D"/>
    <w:rsid w:val="005257A2"/>
    <w:rsid w:val="005303C8"/>
    <w:rsid w:val="00537FBC"/>
    <w:rsid w:val="00554826"/>
    <w:rsid w:val="00554E0B"/>
    <w:rsid w:val="00562877"/>
    <w:rsid w:val="00576827"/>
    <w:rsid w:val="00584811"/>
    <w:rsid w:val="00585784"/>
    <w:rsid w:val="00593AA6"/>
    <w:rsid w:val="00594161"/>
    <w:rsid w:val="00594749"/>
    <w:rsid w:val="005A65D5"/>
    <w:rsid w:val="005B4067"/>
    <w:rsid w:val="005B6C6A"/>
    <w:rsid w:val="005C3F41"/>
    <w:rsid w:val="005D1D92"/>
    <w:rsid w:val="005D2D09"/>
    <w:rsid w:val="00600219"/>
    <w:rsid w:val="00604F2A"/>
    <w:rsid w:val="00620076"/>
    <w:rsid w:val="006205BF"/>
    <w:rsid w:val="00627E0A"/>
    <w:rsid w:val="0065488B"/>
    <w:rsid w:val="00656BAC"/>
    <w:rsid w:val="00670EA1"/>
    <w:rsid w:val="00677CC2"/>
    <w:rsid w:val="0068744B"/>
    <w:rsid w:val="006905DE"/>
    <w:rsid w:val="0069207B"/>
    <w:rsid w:val="00697482"/>
    <w:rsid w:val="006A154F"/>
    <w:rsid w:val="006A437B"/>
    <w:rsid w:val="006B5789"/>
    <w:rsid w:val="006C30C5"/>
    <w:rsid w:val="006C7F8C"/>
    <w:rsid w:val="006D69E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780A"/>
    <w:rsid w:val="00731E00"/>
    <w:rsid w:val="007440B7"/>
    <w:rsid w:val="007459B6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04663"/>
    <w:rsid w:val="008117E9"/>
    <w:rsid w:val="00814B79"/>
    <w:rsid w:val="00824498"/>
    <w:rsid w:val="00826BD1"/>
    <w:rsid w:val="00837D0B"/>
    <w:rsid w:val="00847DF1"/>
    <w:rsid w:val="00854D0B"/>
    <w:rsid w:val="00856A31"/>
    <w:rsid w:val="00860ADE"/>
    <w:rsid w:val="00860B4E"/>
    <w:rsid w:val="00867B37"/>
    <w:rsid w:val="0087070E"/>
    <w:rsid w:val="008754D0"/>
    <w:rsid w:val="00875D13"/>
    <w:rsid w:val="008855C9"/>
    <w:rsid w:val="00886456"/>
    <w:rsid w:val="00896176"/>
    <w:rsid w:val="008A46E1"/>
    <w:rsid w:val="008A4F43"/>
    <w:rsid w:val="008B2706"/>
    <w:rsid w:val="008B31A2"/>
    <w:rsid w:val="008C2EAC"/>
    <w:rsid w:val="008D0EE0"/>
    <w:rsid w:val="008E0027"/>
    <w:rsid w:val="008E5359"/>
    <w:rsid w:val="008E6067"/>
    <w:rsid w:val="008F54E7"/>
    <w:rsid w:val="00903422"/>
    <w:rsid w:val="009254C3"/>
    <w:rsid w:val="00932377"/>
    <w:rsid w:val="0093607B"/>
    <w:rsid w:val="00937CA4"/>
    <w:rsid w:val="00941236"/>
    <w:rsid w:val="00943FD5"/>
    <w:rsid w:val="00947D5A"/>
    <w:rsid w:val="009512C4"/>
    <w:rsid w:val="009532A5"/>
    <w:rsid w:val="009545BD"/>
    <w:rsid w:val="00954F65"/>
    <w:rsid w:val="00964CF0"/>
    <w:rsid w:val="00971402"/>
    <w:rsid w:val="00977806"/>
    <w:rsid w:val="00982242"/>
    <w:rsid w:val="009868E9"/>
    <w:rsid w:val="009900A3"/>
    <w:rsid w:val="00997750"/>
    <w:rsid w:val="009A7679"/>
    <w:rsid w:val="009B2904"/>
    <w:rsid w:val="009C3413"/>
    <w:rsid w:val="00A03A0D"/>
    <w:rsid w:val="00A0441E"/>
    <w:rsid w:val="00A12128"/>
    <w:rsid w:val="00A22C98"/>
    <w:rsid w:val="00A231E2"/>
    <w:rsid w:val="00A369E3"/>
    <w:rsid w:val="00A55C0C"/>
    <w:rsid w:val="00A57600"/>
    <w:rsid w:val="00A64912"/>
    <w:rsid w:val="00A70A74"/>
    <w:rsid w:val="00A75FE9"/>
    <w:rsid w:val="00AD53CC"/>
    <w:rsid w:val="00AD5641"/>
    <w:rsid w:val="00AF06CF"/>
    <w:rsid w:val="00B07CDB"/>
    <w:rsid w:val="00B1200A"/>
    <w:rsid w:val="00B15C54"/>
    <w:rsid w:val="00B16A31"/>
    <w:rsid w:val="00B17DFD"/>
    <w:rsid w:val="00B25306"/>
    <w:rsid w:val="00B27831"/>
    <w:rsid w:val="00B308FE"/>
    <w:rsid w:val="00B33709"/>
    <w:rsid w:val="00B33B3C"/>
    <w:rsid w:val="00B36392"/>
    <w:rsid w:val="00B40B8C"/>
    <w:rsid w:val="00B41649"/>
    <w:rsid w:val="00B418CB"/>
    <w:rsid w:val="00B47444"/>
    <w:rsid w:val="00B50ADC"/>
    <w:rsid w:val="00B566B1"/>
    <w:rsid w:val="00B63834"/>
    <w:rsid w:val="00B80199"/>
    <w:rsid w:val="00B83204"/>
    <w:rsid w:val="00B856E7"/>
    <w:rsid w:val="00B904C3"/>
    <w:rsid w:val="00BA220B"/>
    <w:rsid w:val="00BA29B5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3FB3"/>
    <w:rsid w:val="00C7573B"/>
    <w:rsid w:val="00C97A54"/>
    <w:rsid w:val="00CA5B23"/>
    <w:rsid w:val="00CB602E"/>
    <w:rsid w:val="00CB7E90"/>
    <w:rsid w:val="00CC17D2"/>
    <w:rsid w:val="00CD233F"/>
    <w:rsid w:val="00CE051D"/>
    <w:rsid w:val="00CE1335"/>
    <w:rsid w:val="00CE493D"/>
    <w:rsid w:val="00CF07FA"/>
    <w:rsid w:val="00CF0BB2"/>
    <w:rsid w:val="00CF3EE8"/>
    <w:rsid w:val="00D12F0B"/>
    <w:rsid w:val="00D13441"/>
    <w:rsid w:val="00D150E7"/>
    <w:rsid w:val="00D164DF"/>
    <w:rsid w:val="00D479BC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55E"/>
    <w:rsid w:val="00DC4F88"/>
    <w:rsid w:val="00DC59DB"/>
    <w:rsid w:val="00DE107C"/>
    <w:rsid w:val="00DE1F9E"/>
    <w:rsid w:val="00DF2388"/>
    <w:rsid w:val="00E05704"/>
    <w:rsid w:val="00E21F7B"/>
    <w:rsid w:val="00E3343C"/>
    <w:rsid w:val="00E338EF"/>
    <w:rsid w:val="00E544BB"/>
    <w:rsid w:val="00E62A39"/>
    <w:rsid w:val="00E74DC7"/>
    <w:rsid w:val="00E8075A"/>
    <w:rsid w:val="00E940D8"/>
    <w:rsid w:val="00E94D5E"/>
    <w:rsid w:val="00E968C9"/>
    <w:rsid w:val="00EA49E1"/>
    <w:rsid w:val="00EA7100"/>
    <w:rsid w:val="00EA7F9F"/>
    <w:rsid w:val="00EB1274"/>
    <w:rsid w:val="00ED2BB6"/>
    <w:rsid w:val="00ED34E1"/>
    <w:rsid w:val="00ED3B8D"/>
    <w:rsid w:val="00ED3FF5"/>
    <w:rsid w:val="00EE384C"/>
    <w:rsid w:val="00EE5E36"/>
    <w:rsid w:val="00EF2E3A"/>
    <w:rsid w:val="00F02C7C"/>
    <w:rsid w:val="00F072A7"/>
    <w:rsid w:val="00F078DC"/>
    <w:rsid w:val="00F137FF"/>
    <w:rsid w:val="00F32BA8"/>
    <w:rsid w:val="00F32EE0"/>
    <w:rsid w:val="00F349F1"/>
    <w:rsid w:val="00F4350D"/>
    <w:rsid w:val="00F479C4"/>
    <w:rsid w:val="00F515B7"/>
    <w:rsid w:val="00F567F7"/>
    <w:rsid w:val="00F6696E"/>
    <w:rsid w:val="00F73BD6"/>
    <w:rsid w:val="00F83989"/>
    <w:rsid w:val="00F85099"/>
    <w:rsid w:val="00F9379C"/>
    <w:rsid w:val="00F937CA"/>
    <w:rsid w:val="00F9632C"/>
    <w:rsid w:val="00FA1E52"/>
    <w:rsid w:val="00FA6603"/>
    <w:rsid w:val="00FB5A08"/>
    <w:rsid w:val="00FC6A80"/>
    <w:rsid w:val="00FE4688"/>
    <w:rsid w:val="00FE747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FBA40E7"/>
  <w15:docId w15:val="{9BB41BAF-ED68-4654-9F66-5BF05158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E62A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E62A39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81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C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C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CAA"/>
    <w:rPr>
      <w:b/>
      <w:bCs/>
    </w:rPr>
  </w:style>
  <w:style w:type="paragraph" w:customStyle="1" w:styleId="definition0">
    <w:name w:val="definition"/>
    <w:basedOn w:val="Normal"/>
    <w:rsid w:val="00181C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K541\Downloads\template_-_principal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A37B2-6E9B-41DB-88C8-625B4284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 (1)</Template>
  <TotalTime>321</TotalTime>
  <Pages>4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Bibrowicz, Phillipe</dc:creator>
  <cp:lastModifiedBy>Vandayar, Mayuri</cp:lastModifiedBy>
  <cp:revision>12</cp:revision>
  <dcterms:created xsi:type="dcterms:W3CDTF">2023-08-18T02:53:00Z</dcterms:created>
  <dcterms:modified xsi:type="dcterms:W3CDTF">2023-09-12T06:22:00Z</dcterms:modified>
</cp:coreProperties>
</file>