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B3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0AAC3FC8" w14:textId="781C253F" w:rsidR="00955175" w:rsidRPr="00CB52D4" w:rsidRDefault="00FC6D88" w:rsidP="00E2168B">
      <w:pPr>
        <w:spacing w:before="280" w:after="240"/>
        <w:rPr>
          <w:b/>
          <w:sz w:val="32"/>
          <w:szCs w:val="32"/>
        </w:rPr>
      </w:pPr>
      <w:r w:rsidRPr="00CB52D4">
        <w:rPr>
          <w:noProof/>
        </w:rPr>
        <w:drawing>
          <wp:anchor distT="0" distB="0" distL="114300" distR="114300" simplePos="0" relativeHeight="251658240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Pr="00CB52D4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B8D4084" w14:textId="77777777" w:rsidR="00955175" w:rsidRPr="00CB52D4" w:rsidRDefault="00955175" w:rsidP="00955175">
      <w:pPr>
        <w:pStyle w:val="LI-Title"/>
        <w:pBdr>
          <w:top w:val="none" w:sz="0" w:space="0" w:color="auto"/>
        </w:pBdr>
        <w:jc w:val="center"/>
      </w:pPr>
      <w:r w:rsidRPr="00CB52D4">
        <w:t>Explanatory Statement</w:t>
      </w:r>
    </w:p>
    <w:p w14:paraId="54F0DD85" w14:textId="77777777" w:rsidR="00955175" w:rsidRPr="00CB52D4" w:rsidRDefault="00955175" w:rsidP="00955175">
      <w:pPr>
        <w:rPr>
          <w:lang w:eastAsia="en-AU"/>
        </w:rPr>
      </w:pPr>
    </w:p>
    <w:p w14:paraId="301315B2" w14:textId="53889A02" w:rsidR="00A63F68" w:rsidRPr="00CB52D4" w:rsidRDefault="001E78CC" w:rsidP="00C4170B">
      <w:pPr>
        <w:jc w:val="center"/>
        <w:rPr>
          <w:b/>
          <w:i/>
          <w:sz w:val="28"/>
          <w:szCs w:val="28"/>
          <w:lang w:eastAsia="en-AU"/>
        </w:rPr>
      </w:pPr>
      <w:r w:rsidRPr="00CB52D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ASIC Corporations (Amendment) Instrument 2023/</w:t>
      </w:r>
      <w:r w:rsidR="00C92933" w:rsidRPr="00CB52D4">
        <w:rPr>
          <w:rFonts w:eastAsia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AU"/>
        </w:rPr>
        <w:t>706</w:t>
      </w:r>
    </w:p>
    <w:p w14:paraId="3D70207E" w14:textId="51766EDF" w:rsidR="00863657" w:rsidRPr="00CB52D4" w:rsidRDefault="00F800C9" w:rsidP="00F800C9">
      <w:pPr>
        <w:pStyle w:val="LI-BodyTextParaa"/>
        <w:ind w:left="0" w:firstLine="0"/>
      </w:pPr>
      <w:bookmarkStart w:id="0" w:name="BK_S3P1L1C1"/>
      <w:bookmarkEnd w:id="0"/>
      <w:r w:rsidRPr="00CB52D4">
        <w:t xml:space="preserve">This is the Explanatory Statement for </w:t>
      </w:r>
      <w:r w:rsidR="001E78CC" w:rsidRPr="00CB52D4">
        <w:rPr>
          <w:i/>
          <w:iCs/>
        </w:rPr>
        <w:t>A</w:t>
      </w:r>
      <w:r w:rsidR="001E78CC" w:rsidRPr="00CB52D4">
        <w:rPr>
          <w:i/>
          <w:iCs/>
          <w:color w:val="000000"/>
          <w:shd w:val="clear" w:color="auto" w:fill="FFFFFF"/>
        </w:rPr>
        <w:t>SIC Corporations (Amendment) Instrument 2023/</w:t>
      </w:r>
      <w:r w:rsidR="00C92933" w:rsidRPr="00CB52D4">
        <w:rPr>
          <w:i/>
          <w:iCs/>
          <w:color w:val="000000"/>
          <w:shd w:val="clear" w:color="auto" w:fill="FFFFFF"/>
        </w:rPr>
        <w:t>706.</w:t>
      </w:r>
      <w:r w:rsidR="00BF6FF6" w:rsidRPr="00CB52D4">
        <w:rPr>
          <w:i/>
          <w:iCs/>
          <w:color w:val="000000"/>
          <w:shd w:val="clear" w:color="auto" w:fill="FFFFFF"/>
        </w:rPr>
        <w:t xml:space="preserve"> </w:t>
      </w:r>
    </w:p>
    <w:p w14:paraId="119B6103" w14:textId="77777777" w:rsidR="00F800C9" w:rsidRPr="00CB52D4" w:rsidRDefault="00863657" w:rsidP="00F800C9">
      <w:pPr>
        <w:pStyle w:val="LI-BodyTextParaa"/>
        <w:ind w:left="0" w:firstLine="0"/>
      </w:pPr>
      <w:r w:rsidRPr="00CB52D4">
        <w:t>Th</w:t>
      </w:r>
      <w:r w:rsidR="00F800C9" w:rsidRPr="00CB52D4">
        <w:t>e</w:t>
      </w:r>
      <w:r w:rsidRPr="00CB52D4">
        <w:t xml:space="preserve"> </w:t>
      </w:r>
      <w:r w:rsidR="00F800C9" w:rsidRPr="00CB52D4">
        <w:t>Explanatory Statement is approved by the Australian Securities and Investments Commission (</w:t>
      </w:r>
      <w:r w:rsidR="00F800C9" w:rsidRPr="00CB52D4">
        <w:rPr>
          <w:b/>
          <w:i/>
        </w:rPr>
        <w:t>ASIC</w:t>
      </w:r>
      <w:r w:rsidR="00F800C9" w:rsidRPr="00CB52D4">
        <w:t>).</w:t>
      </w:r>
    </w:p>
    <w:p w14:paraId="10E55E66" w14:textId="77777777" w:rsidR="00F800C9" w:rsidRPr="00CB52D4" w:rsidRDefault="005D1FEA" w:rsidP="006D6079">
      <w:pPr>
        <w:pStyle w:val="LI-BodyTextNumbered"/>
        <w:keepNext/>
        <w:ind w:left="0" w:firstLine="0"/>
        <w:rPr>
          <w:b/>
        </w:rPr>
      </w:pPr>
      <w:r w:rsidRPr="00CB52D4">
        <w:rPr>
          <w:b/>
        </w:rPr>
        <w:t>Summary</w:t>
      </w:r>
    </w:p>
    <w:p w14:paraId="4A632C45" w14:textId="6880711E" w:rsidR="00F800C9" w:rsidRPr="00CB52D4" w:rsidRDefault="00F800C9" w:rsidP="00F800C9">
      <w:pPr>
        <w:pStyle w:val="LI-BodyTextParaa"/>
        <w:ind w:left="567"/>
        <w:rPr>
          <w:bCs/>
        </w:rPr>
      </w:pPr>
      <w:r w:rsidRPr="00CB52D4">
        <w:t>1</w:t>
      </w:r>
      <w:r w:rsidR="005D1FEA" w:rsidRPr="00CB52D4">
        <w:t>.</w:t>
      </w:r>
      <w:r w:rsidRPr="00CB52D4">
        <w:tab/>
      </w:r>
      <w:r w:rsidR="001E78CC" w:rsidRPr="00CB52D4">
        <w:rPr>
          <w:i/>
          <w:iCs/>
        </w:rPr>
        <w:t>ASIC Corporations (Amendment) Instrument 2023/</w:t>
      </w:r>
      <w:r w:rsidR="00C92933" w:rsidRPr="00CB52D4">
        <w:rPr>
          <w:i/>
          <w:iCs/>
        </w:rPr>
        <w:t>706</w:t>
      </w:r>
      <w:r w:rsidR="001E78CC" w:rsidRPr="00CB52D4">
        <w:rPr>
          <w:i/>
          <w:iCs/>
        </w:rPr>
        <w:t xml:space="preserve"> </w:t>
      </w:r>
      <w:r w:rsidR="00BF6FF6" w:rsidRPr="00CB52D4">
        <w:t>(</w:t>
      </w:r>
      <w:r w:rsidR="00BF6FF6" w:rsidRPr="00CB52D4">
        <w:rPr>
          <w:b/>
          <w:bCs/>
        </w:rPr>
        <w:t>Amendment Instrument</w:t>
      </w:r>
      <w:r w:rsidR="00BF6FF6" w:rsidRPr="00CB52D4">
        <w:t xml:space="preserve">) </w:t>
      </w:r>
      <w:r w:rsidR="001E78CC" w:rsidRPr="00CB52D4">
        <w:t xml:space="preserve">amends </w:t>
      </w:r>
      <w:r w:rsidR="001E78CC" w:rsidRPr="00CB52D4">
        <w:rPr>
          <w:i/>
          <w:iCs/>
        </w:rPr>
        <w:t xml:space="preserve">ASIC Corporations (Design and Distribution Obligations Interim Measures) </w:t>
      </w:r>
      <w:r w:rsidR="003E0D48" w:rsidRPr="00CB52D4">
        <w:rPr>
          <w:i/>
          <w:iCs/>
        </w:rPr>
        <w:t xml:space="preserve">Instrument </w:t>
      </w:r>
      <w:r w:rsidR="001E78CC" w:rsidRPr="00CB52D4">
        <w:rPr>
          <w:i/>
          <w:iCs/>
        </w:rPr>
        <w:t>2021/784</w:t>
      </w:r>
      <w:r w:rsidR="00BF6FF6" w:rsidRPr="00CB52D4">
        <w:rPr>
          <w:i/>
          <w:iCs/>
        </w:rPr>
        <w:t xml:space="preserve"> </w:t>
      </w:r>
      <w:r w:rsidR="00BF6FF6" w:rsidRPr="00CB52D4">
        <w:t xml:space="preserve">(the </w:t>
      </w:r>
      <w:r w:rsidR="00BF6FF6" w:rsidRPr="00CB52D4">
        <w:rPr>
          <w:b/>
          <w:bCs/>
        </w:rPr>
        <w:t>Principal Instrument</w:t>
      </w:r>
      <w:r w:rsidR="00BF6FF6" w:rsidRPr="00CB52D4">
        <w:t>)</w:t>
      </w:r>
      <w:r w:rsidR="001E78CC" w:rsidRPr="00CB52D4">
        <w:rPr>
          <w:i/>
          <w:iCs/>
        </w:rPr>
        <w:t xml:space="preserve"> </w:t>
      </w:r>
      <w:r w:rsidR="001E78CC" w:rsidRPr="00CB52D4">
        <w:t xml:space="preserve">so that it repeals on 5 October 2028 and no longer applies an exemption to cashless welfare arrangements. </w:t>
      </w:r>
    </w:p>
    <w:p w14:paraId="59A63C44" w14:textId="77777777" w:rsidR="005D1FEA" w:rsidRPr="00CB52D4" w:rsidRDefault="005D1FEA" w:rsidP="006D6079">
      <w:pPr>
        <w:pStyle w:val="LI-BodyTextNumbered"/>
        <w:keepNext/>
        <w:ind w:left="0" w:firstLine="0"/>
        <w:rPr>
          <w:b/>
        </w:rPr>
      </w:pPr>
      <w:r w:rsidRPr="00CB52D4">
        <w:rPr>
          <w:b/>
        </w:rPr>
        <w:t>Purpose of the instrument</w:t>
      </w:r>
    </w:p>
    <w:p w14:paraId="7C2BDFB1" w14:textId="4ECF81E2" w:rsidR="008C4C56" w:rsidRPr="00CB52D4" w:rsidRDefault="0008206B" w:rsidP="00BA58DC">
      <w:pPr>
        <w:pStyle w:val="LI-BodyTextParaa"/>
        <w:ind w:left="567"/>
        <w:rPr>
          <w:color w:val="000000"/>
          <w:shd w:val="clear" w:color="auto" w:fill="FFFFFF"/>
        </w:rPr>
      </w:pPr>
      <w:r w:rsidRPr="00CB52D4">
        <w:t>2</w:t>
      </w:r>
      <w:r w:rsidR="00BA58DC" w:rsidRPr="00CB52D4">
        <w:t>.</w:t>
      </w:r>
      <w:r w:rsidR="00BA58DC" w:rsidRPr="00CB52D4">
        <w:tab/>
      </w:r>
      <w:r w:rsidR="008C4C56" w:rsidRPr="00CB52D4">
        <w:rPr>
          <w:color w:val="000000"/>
          <w:shd w:val="clear" w:color="auto" w:fill="FFFFFF"/>
        </w:rPr>
        <w:t>The </w:t>
      </w:r>
      <w:r w:rsidR="008C4C56" w:rsidRPr="00CB52D4">
        <w:rPr>
          <w:i/>
          <w:iCs/>
          <w:color w:val="000000"/>
          <w:shd w:val="clear" w:color="auto" w:fill="FFFFFF"/>
        </w:rPr>
        <w:t>Treasury Laws Amendment (Design and Distribution Obligations and Product Intervention Powers) Act 2019</w:t>
      </w:r>
      <w:r w:rsidR="008C4C56" w:rsidRPr="00CB52D4">
        <w:rPr>
          <w:color w:val="000000"/>
          <w:shd w:val="clear" w:color="auto" w:fill="FFFFFF"/>
        </w:rPr>
        <w:t> introduced the</w:t>
      </w:r>
      <w:r w:rsidR="003F3D14" w:rsidRPr="00CB52D4">
        <w:rPr>
          <w:color w:val="000000"/>
          <w:shd w:val="clear" w:color="auto" w:fill="FFFFFF"/>
        </w:rPr>
        <w:t xml:space="preserve"> design and distribution obligations</w:t>
      </w:r>
      <w:r w:rsidR="008C4C56" w:rsidRPr="00CB52D4">
        <w:rPr>
          <w:color w:val="000000"/>
          <w:shd w:val="clear" w:color="auto" w:fill="FFFFFF"/>
        </w:rPr>
        <w:t xml:space="preserve"> </w:t>
      </w:r>
      <w:r w:rsidR="00BF6FF6" w:rsidRPr="00CB52D4">
        <w:rPr>
          <w:color w:val="000000"/>
          <w:shd w:val="clear" w:color="auto" w:fill="FFFFFF"/>
        </w:rPr>
        <w:t>(</w:t>
      </w:r>
      <w:r w:rsidR="00BF6FF6" w:rsidRPr="00CB52D4">
        <w:rPr>
          <w:b/>
          <w:bCs/>
          <w:color w:val="000000"/>
          <w:shd w:val="clear" w:color="auto" w:fill="FFFFFF"/>
        </w:rPr>
        <w:t>DDO</w:t>
      </w:r>
      <w:r w:rsidR="00BF6FF6" w:rsidRPr="00CB52D4">
        <w:rPr>
          <w:color w:val="000000"/>
          <w:shd w:val="clear" w:color="auto" w:fill="FFFFFF"/>
        </w:rPr>
        <w:t xml:space="preserve">) </w:t>
      </w:r>
      <w:r w:rsidR="008C4C56" w:rsidRPr="00CB52D4">
        <w:rPr>
          <w:color w:val="000000"/>
          <w:shd w:val="clear" w:color="auto" w:fill="FFFFFF"/>
        </w:rPr>
        <w:t xml:space="preserve">to </w:t>
      </w:r>
      <w:r w:rsidR="009E215D" w:rsidRPr="00CB52D4">
        <w:rPr>
          <w:color w:val="000000"/>
          <w:shd w:val="clear" w:color="auto" w:fill="FFFFFF"/>
        </w:rPr>
        <w:t>Part 7.8A</w:t>
      </w:r>
      <w:r w:rsidR="008C4C56" w:rsidRPr="00CB52D4">
        <w:rPr>
          <w:color w:val="000000"/>
          <w:shd w:val="clear" w:color="auto" w:fill="FFFFFF"/>
        </w:rPr>
        <w:t xml:space="preserve"> of the </w:t>
      </w:r>
      <w:r w:rsidR="003F3D14" w:rsidRPr="00CB52D4">
        <w:rPr>
          <w:i/>
          <w:iCs/>
          <w:color w:val="000000"/>
          <w:shd w:val="clear" w:color="auto" w:fill="FFFFFF"/>
        </w:rPr>
        <w:t xml:space="preserve">Corporations Act 2001 </w:t>
      </w:r>
      <w:r w:rsidR="003F3D14" w:rsidRPr="00CB52D4">
        <w:rPr>
          <w:color w:val="000000"/>
          <w:shd w:val="clear" w:color="auto" w:fill="FFFFFF"/>
        </w:rPr>
        <w:t>(</w:t>
      </w:r>
      <w:r w:rsidR="003F3D14" w:rsidRPr="00CB52D4">
        <w:rPr>
          <w:b/>
          <w:bCs/>
          <w:color w:val="000000"/>
          <w:shd w:val="clear" w:color="auto" w:fill="FFFFFF"/>
        </w:rPr>
        <w:t xml:space="preserve">the </w:t>
      </w:r>
      <w:r w:rsidR="008C4C56" w:rsidRPr="00CB52D4">
        <w:rPr>
          <w:b/>
          <w:bCs/>
          <w:color w:val="000000"/>
          <w:shd w:val="clear" w:color="auto" w:fill="FFFFFF"/>
        </w:rPr>
        <w:t>Act</w:t>
      </w:r>
      <w:r w:rsidR="003F3D14" w:rsidRPr="00CB52D4">
        <w:rPr>
          <w:color w:val="000000"/>
          <w:shd w:val="clear" w:color="auto" w:fill="FFFFFF"/>
        </w:rPr>
        <w:t>)</w:t>
      </w:r>
      <w:r w:rsidR="008C4C56" w:rsidRPr="00CB52D4">
        <w:rPr>
          <w:color w:val="000000"/>
          <w:shd w:val="clear" w:color="auto" w:fill="FFFFFF"/>
        </w:rPr>
        <w:t xml:space="preserve">. </w:t>
      </w:r>
      <w:r w:rsidR="00BF6FF6" w:rsidRPr="00CB52D4">
        <w:rPr>
          <w:color w:val="000000"/>
          <w:shd w:val="clear" w:color="auto" w:fill="FFFFFF"/>
        </w:rPr>
        <w:t>The DDO regime commenced on</w:t>
      </w:r>
      <w:r w:rsidR="008C4C56" w:rsidRPr="00CB52D4">
        <w:rPr>
          <w:color w:val="000000"/>
          <w:shd w:val="clear" w:color="auto" w:fill="FFFFFF"/>
        </w:rPr>
        <w:t xml:space="preserve"> 5 October 2021.</w:t>
      </w:r>
    </w:p>
    <w:p w14:paraId="680260D1" w14:textId="3AC6ADF9" w:rsidR="008C4C56" w:rsidRDefault="0008206B" w:rsidP="00BA58DC">
      <w:pPr>
        <w:pStyle w:val="LI-BodyTextParaa"/>
        <w:ind w:left="567"/>
        <w:rPr>
          <w:color w:val="000000"/>
          <w:shd w:val="clear" w:color="auto" w:fill="FFFFFF"/>
        </w:rPr>
      </w:pPr>
      <w:r w:rsidRPr="00CB52D4">
        <w:rPr>
          <w:color w:val="000000"/>
          <w:shd w:val="clear" w:color="auto" w:fill="FFFFFF"/>
        </w:rPr>
        <w:t>3</w:t>
      </w:r>
      <w:r w:rsidR="008C4C56" w:rsidRPr="00CB52D4">
        <w:rPr>
          <w:color w:val="000000"/>
          <w:shd w:val="clear" w:color="auto" w:fill="FFFFFF"/>
        </w:rPr>
        <w:t xml:space="preserve">. </w:t>
      </w:r>
      <w:r w:rsidR="008C4C56" w:rsidRPr="00CB52D4">
        <w:rPr>
          <w:color w:val="000000"/>
          <w:shd w:val="clear" w:color="auto" w:fill="FFFFFF"/>
        </w:rPr>
        <w:tab/>
      </w:r>
      <w:r w:rsidR="0027667C" w:rsidRPr="00CB52D4">
        <w:rPr>
          <w:color w:val="000000"/>
          <w:shd w:val="clear" w:color="auto" w:fill="FFFFFF"/>
        </w:rPr>
        <w:t xml:space="preserve">Prior to the commencement of the </w:t>
      </w:r>
      <w:r w:rsidR="00BF6FF6" w:rsidRPr="00CB52D4">
        <w:rPr>
          <w:color w:val="000000"/>
          <w:shd w:val="clear" w:color="auto" w:fill="FFFFFF"/>
        </w:rPr>
        <w:t>DDO regime</w:t>
      </w:r>
      <w:r w:rsidR="00A70137" w:rsidRPr="00CB52D4">
        <w:rPr>
          <w:color w:val="000000"/>
          <w:shd w:val="clear" w:color="auto" w:fill="FFFFFF"/>
        </w:rPr>
        <w:t>, t</w:t>
      </w:r>
      <w:r w:rsidR="008C4C56" w:rsidRPr="00CB52D4">
        <w:rPr>
          <w:color w:val="000000"/>
          <w:shd w:val="clear" w:color="auto" w:fill="FFFFFF"/>
        </w:rPr>
        <w:t>he Government announced that a number of amendments were required to achieve the intended operation of the reforms, including to clarify the law, to</w:t>
      </w:r>
      <w:r w:rsidR="008C4C56">
        <w:rPr>
          <w:color w:val="000000"/>
          <w:shd w:val="clear" w:color="auto" w:fill="FFFFFF"/>
        </w:rPr>
        <w:t xml:space="preserve"> ensure a consistent application of the law, and that the regime remains fit-for-purpose.  </w:t>
      </w:r>
    </w:p>
    <w:p w14:paraId="3B3CC511" w14:textId="09B69FF6" w:rsidR="008C4C56" w:rsidRPr="00A70137" w:rsidRDefault="0008206B" w:rsidP="00BA58DC">
      <w:pPr>
        <w:pStyle w:val="LI-BodyTextParaa"/>
        <w:ind w:lef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8C4C56">
        <w:rPr>
          <w:color w:val="000000"/>
          <w:shd w:val="clear" w:color="auto" w:fill="FFFFFF"/>
        </w:rPr>
        <w:t xml:space="preserve">. </w:t>
      </w:r>
      <w:r w:rsidR="008C4C56">
        <w:rPr>
          <w:color w:val="000000"/>
          <w:shd w:val="clear" w:color="auto" w:fill="FFFFFF"/>
        </w:rPr>
        <w:tab/>
        <w:t xml:space="preserve">To assist with providing certainty on the application of the </w:t>
      </w:r>
      <w:r w:rsidR="00BF6FF6">
        <w:rPr>
          <w:color w:val="000000"/>
          <w:shd w:val="clear" w:color="auto" w:fill="FFFFFF"/>
        </w:rPr>
        <w:t xml:space="preserve">DDO </w:t>
      </w:r>
      <w:r w:rsidR="008C4C56">
        <w:rPr>
          <w:color w:val="000000"/>
          <w:shd w:val="clear" w:color="auto" w:fill="FFFFFF"/>
        </w:rPr>
        <w:t xml:space="preserve">regime in the period prior to the Government making the necessary legislative amendments, the </w:t>
      </w:r>
      <w:r w:rsidR="00BF6FF6">
        <w:rPr>
          <w:color w:val="000000"/>
          <w:shd w:val="clear" w:color="auto" w:fill="FFFFFF"/>
        </w:rPr>
        <w:t>Principal Instrument</w:t>
      </w:r>
      <w:r w:rsidR="00A70137">
        <w:rPr>
          <w:i/>
          <w:iCs/>
          <w:color w:val="000000"/>
          <w:shd w:val="clear" w:color="auto" w:fill="FFFFFF"/>
        </w:rPr>
        <w:t xml:space="preserve"> </w:t>
      </w:r>
      <w:r w:rsidR="00A70137">
        <w:rPr>
          <w:color w:val="000000"/>
          <w:shd w:val="clear" w:color="auto" w:fill="FFFFFF"/>
        </w:rPr>
        <w:t xml:space="preserve">was made to </w:t>
      </w:r>
      <w:r w:rsidR="00F82A0F">
        <w:rPr>
          <w:color w:val="000000"/>
          <w:shd w:val="clear" w:color="auto" w:fill="FFFFFF"/>
        </w:rPr>
        <w:t>enact</w:t>
      </w:r>
      <w:r w:rsidR="008C4C56">
        <w:rPr>
          <w:color w:val="000000"/>
          <w:shd w:val="clear" w:color="auto" w:fill="FFFFFF"/>
        </w:rPr>
        <w:t xml:space="preserve"> interim measures consistent with the Government’s policy intentions, using ASIC’s modification and exemption powers under s994L of the Act. </w:t>
      </w:r>
      <w:r w:rsidR="00A70137">
        <w:rPr>
          <w:color w:val="000000"/>
          <w:shd w:val="clear" w:color="auto" w:fill="FFFFFF"/>
        </w:rPr>
        <w:t xml:space="preserve">The </w:t>
      </w:r>
      <w:r w:rsidR="00BF6FF6">
        <w:rPr>
          <w:color w:val="000000"/>
          <w:shd w:val="clear" w:color="auto" w:fill="FFFFFF"/>
        </w:rPr>
        <w:t>Principal Instrument</w:t>
      </w:r>
      <w:r w:rsidR="009F0F51">
        <w:rPr>
          <w:color w:val="000000"/>
          <w:shd w:val="clear" w:color="auto" w:fill="FFFFFF"/>
        </w:rPr>
        <w:t xml:space="preserve"> was made for a period of 2 years and</w:t>
      </w:r>
      <w:r w:rsidR="00BF6FF6">
        <w:rPr>
          <w:i/>
          <w:iCs/>
          <w:color w:val="000000"/>
          <w:shd w:val="clear" w:color="auto" w:fill="FFFFFF"/>
        </w:rPr>
        <w:t xml:space="preserve"> </w:t>
      </w:r>
      <w:r w:rsidR="0027667C">
        <w:rPr>
          <w:color w:val="000000"/>
          <w:shd w:val="clear" w:color="auto" w:fill="FFFFFF"/>
        </w:rPr>
        <w:t>is</w:t>
      </w:r>
      <w:r w:rsidR="00A70137">
        <w:rPr>
          <w:color w:val="000000"/>
          <w:shd w:val="clear" w:color="auto" w:fill="FFFFFF"/>
        </w:rPr>
        <w:t xml:space="preserve"> due to repeal on 5 October 2023. </w:t>
      </w:r>
    </w:p>
    <w:p w14:paraId="0EE6DA8B" w14:textId="6B1B053C" w:rsidR="008C4C56" w:rsidRPr="005F0609" w:rsidRDefault="0008206B" w:rsidP="008C4C56">
      <w:pPr>
        <w:pStyle w:val="LI-BodyTextParaa"/>
        <w:ind w:lef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8C4C56">
        <w:rPr>
          <w:color w:val="000000"/>
          <w:shd w:val="clear" w:color="auto" w:fill="FFFFFF"/>
        </w:rPr>
        <w:t xml:space="preserve">. </w:t>
      </w:r>
      <w:r w:rsidR="008C4C56">
        <w:rPr>
          <w:color w:val="000000"/>
          <w:shd w:val="clear" w:color="auto" w:fill="FFFFFF"/>
        </w:rPr>
        <w:tab/>
        <w:t xml:space="preserve">This instrument </w:t>
      </w:r>
      <w:r w:rsidR="00267A0E">
        <w:rPr>
          <w:color w:val="000000"/>
          <w:shd w:val="clear" w:color="auto" w:fill="FFFFFF"/>
        </w:rPr>
        <w:t xml:space="preserve">amends the Principal Instrument by </w:t>
      </w:r>
      <w:r w:rsidR="008C4C56">
        <w:rPr>
          <w:color w:val="000000"/>
          <w:shd w:val="clear" w:color="auto" w:fill="FFFFFF"/>
        </w:rPr>
        <w:t>extend</w:t>
      </w:r>
      <w:r w:rsidR="00267A0E">
        <w:rPr>
          <w:color w:val="000000"/>
          <w:shd w:val="clear" w:color="auto" w:fill="FFFFFF"/>
        </w:rPr>
        <w:t xml:space="preserve">ing its </w:t>
      </w:r>
      <w:r w:rsidR="008C4C56">
        <w:rPr>
          <w:color w:val="000000"/>
          <w:shd w:val="clear" w:color="auto" w:fill="FFFFFF"/>
        </w:rPr>
        <w:t>operation for a further five years</w:t>
      </w:r>
      <w:r w:rsidR="00A70137">
        <w:rPr>
          <w:color w:val="000000"/>
          <w:shd w:val="clear" w:color="auto" w:fill="FFFFFF"/>
        </w:rPr>
        <w:t xml:space="preserve"> until 5 October 2028</w:t>
      </w:r>
      <w:r w:rsidR="008C4C56">
        <w:rPr>
          <w:i/>
          <w:iCs/>
          <w:color w:val="000000"/>
          <w:shd w:val="clear" w:color="auto" w:fill="FFFFFF"/>
        </w:rPr>
        <w:t xml:space="preserve">, </w:t>
      </w:r>
      <w:r w:rsidR="008C4C56">
        <w:rPr>
          <w:color w:val="000000"/>
          <w:shd w:val="clear" w:color="auto" w:fill="FFFFFF"/>
        </w:rPr>
        <w:t>to allow</w:t>
      </w:r>
      <w:r w:rsidR="0087539C">
        <w:rPr>
          <w:color w:val="000000"/>
          <w:shd w:val="clear" w:color="auto" w:fill="FFFFFF"/>
        </w:rPr>
        <w:t xml:space="preserve"> sufficient</w:t>
      </w:r>
      <w:r w:rsidR="008C4C56">
        <w:rPr>
          <w:color w:val="000000"/>
          <w:shd w:val="clear" w:color="auto" w:fill="FFFFFF"/>
        </w:rPr>
        <w:t xml:space="preserve"> time for the Government to make </w:t>
      </w:r>
      <w:r w:rsidR="00947516">
        <w:rPr>
          <w:color w:val="000000"/>
          <w:shd w:val="clear" w:color="auto" w:fill="FFFFFF"/>
        </w:rPr>
        <w:t>the</w:t>
      </w:r>
      <w:r w:rsidR="008C4C56">
        <w:rPr>
          <w:color w:val="000000"/>
          <w:shd w:val="clear" w:color="auto" w:fill="FFFFFF"/>
        </w:rPr>
        <w:t xml:space="preserve"> </w:t>
      </w:r>
      <w:r w:rsidR="00E758C3">
        <w:rPr>
          <w:color w:val="000000"/>
          <w:shd w:val="clear" w:color="auto" w:fill="FFFFFF"/>
        </w:rPr>
        <w:t xml:space="preserve">necessary </w:t>
      </w:r>
      <w:r w:rsidR="008C4C56">
        <w:rPr>
          <w:color w:val="000000"/>
          <w:shd w:val="clear" w:color="auto" w:fill="FFFFFF"/>
        </w:rPr>
        <w:t xml:space="preserve">changes </w:t>
      </w:r>
      <w:r w:rsidR="0087539C">
        <w:rPr>
          <w:color w:val="000000"/>
          <w:shd w:val="clear" w:color="auto" w:fill="FFFFFF"/>
        </w:rPr>
        <w:t>to the primary law</w:t>
      </w:r>
      <w:r w:rsidR="008C4C56">
        <w:rPr>
          <w:color w:val="000000"/>
          <w:shd w:val="clear" w:color="auto" w:fill="FFFFFF"/>
        </w:rPr>
        <w:t xml:space="preserve">. </w:t>
      </w:r>
    </w:p>
    <w:p w14:paraId="366A2FA9" w14:textId="79E878B7" w:rsidR="00BA58DC" w:rsidRPr="00BA58DC" w:rsidRDefault="0008206B" w:rsidP="00BA58DC">
      <w:pPr>
        <w:pStyle w:val="LI-BodyTextParaa"/>
        <w:ind w:left="567"/>
        <w:rPr>
          <w:bCs/>
        </w:rPr>
      </w:pPr>
      <w:r>
        <w:t>6</w:t>
      </w:r>
      <w:r w:rsidR="008C4C56">
        <w:t xml:space="preserve">. </w:t>
      </w:r>
      <w:r w:rsidR="008C4C56">
        <w:tab/>
        <w:t>This instrument also removes the exemption for</w:t>
      </w:r>
      <w:r w:rsidR="00BA58DC">
        <w:t xml:space="preserve"> cashless welfare arrangements from </w:t>
      </w:r>
      <w:r w:rsidR="00354B71">
        <w:t>the</w:t>
      </w:r>
      <w:r w:rsidR="00BA58DC" w:rsidRPr="00BA58DC">
        <w:rPr>
          <w:i/>
          <w:iCs/>
        </w:rPr>
        <w:t xml:space="preserve"> </w:t>
      </w:r>
      <w:r w:rsidR="00BF6FF6">
        <w:rPr>
          <w:color w:val="000000"/>
          <w:shd w:val="clear" w:color="auto" w:fill="FFFFFF"/>
        </w:rPr>
        <w:t>Principal Instrument</w:t>
      </w:r>
      <w:r w:rsidR="00B85ADE">
        <w:rPr>
          <w:i/>
          <w:iCs/>
        </w:rPr>
        <w:t xml:space="preserve">, </w:t>
      </w:r>
      <w:r w:rsidR="00B85ADE">
        <w:t>as it is no longer required</w:t>
      </w:r>
      <w:r w:rsidR="00A00203">
        <w:t xml:space="preserve"> </w:t>
      </w:r>
      <w:r w:rsidR="00657DCA">
        <w:t xml:space="preserve">following </w:t>
      </w:r>
      <w:r w:rsidR="0027667C">
        <w:t>amendments</w:t>
      </w:r>
      <w:r w:rsidR="00657DCA">
        <w:t xml:space="preserve"> </w:t>
      </w:r>
      <w:r w:rsidR="00657DCA">
        <w:lastRenderedPageBreak/>
        <w:t xml:space="preserve">to the </w:t>
      </w:r>
      <w:r w:rsidR="00657DCA">
        <w:rPr>
          <w:i/>
          <w:iCs/>
        </w:rPr>
        <w:t>Social Security (Administration) Act 1999,</w:t>
      </w:r>
      <w:r w:rsidR="00657DCA">
        <w:t xml:space="preserve"> and the </w:t>
      </w:r>
      <w:r w:rsidR="000B7A35">
        <w:t>making</w:t>
      </w:r>
      <w:r w:rsidR="00657DCA">
        <w:t xml:space="preserve"> of the </w:t>
      </w:r>
      <w:r w:rsidR="00657DCA" w:rsidRPr="00286DCB">
        <w:rPr>
          <w:i/>
          <w:iCs/>
        </w:rPr>
        <w:t>Corporations Amendment (Design and Distribution Obligations – Income Management Regimes) Regulations 2023</w:t>
      </w:r>
      <w:r w:rsidR="00B85ADE">
        <w:t xml:space="preserve">. </w:t>
      </w:r>
    </w:p>
    <w:p w14:paraId="3FEFE29E" w14:textId="77777777" w:rsidR="009A3F74" w:rsidRDefault="009A3F74" w:rsidP="00BA58DC">
      <w:pPr>
        <w:pStyle w:val="LI-BodyTextNumbered"/>
        <w:keepNext/>
        <w:ind w:left="0" w:firstLine="0"/>
        <w:rPr>
          <w:b/>
        </w:rPr>
      </w:pPr>
      <w:bookmarkStart w:id="1" w:name="_Hlk534291624"/>
      <w:r>
        <w:rPr>
          <w:b/>
        </w:rPr>
        <w:t>Consultation</w:t>
      </w:r>
    </w:p>
    <w:p w14:paraId="4FE1F9F0" w14:textId="38CDA73F" w:rsidR="00725A8E" w:rsidRDefault="0008206B" w:rsidP="009A3F74">
      <w:pPr>
        <w:pStyle w:val="LI-BodyTextParaa"/>
        <w:ind w:left="567"/>
      </w:pPr>
      <w:r>
        <w:t>7</w:t>
      </w:r>
      <w:r w:rsidR="009A3F74">
        <w:t>.</w:t>
      </w:r>
      <w:r w:rsidR="009A3F74">
        <w:tab/>
      </w:r>
      <w:r w:rsidR="00DA0953">
        <w:t xml:space="preserve">ASIC undertook a streamlined consultation </w:t>
      </w:r>
      <w:r w:rsidR="003A6735">
        <w:t xml:space="preserve">for this </w:t>
      </w:r>
      <w:r w:rsidR="00BF6FF6">
        <w:t>i</w:t>
      </w:r>
      <w:r w:rsidR="003A6735">
        <w:t>nstrument</w:t>
      </w:r>
      <w:r w:rsidR="00725A8E">
        <w:t>. Submissions were supportive of ASIC making the amendments.</w:t>
      </w:r>
      <w:r w:rsidR="004F112D">
        <w:t xml:space="preserve"> The submissions agreed with ASIC’s assessment that the Principal Instrument was operating effectively and</w:t>
      </w:r>
      <w:r w:rsidR="005F0609">
        <w:t xml:space="preserve"> efficiently and</w:t>
      </w:r>
      <w:r w:rsidR="004F112D">
        <w:t xml:space="preserve"> continued to</w:t>
      </w:r>
      <w:r w:rsidR="005F0609">
        <w:t xml:space="preserve"> form</w:t>
      </w:r>
      <w:r w:rsidR="004F112D">
        <w:t xml:space="preserve"> a necessary</w:t>
      </w:r>
      <w:r w:rsidR="005F0609">
        <w:t xml:space="preserve"> and useful part of the legislative framework.</w:t>
      </w:r>
      <w:r w:rsidR="004F112D">
        <w:t xml:space="preserve"> </w:t>
      </w:r>
    </w:p>
    <w:p w14:paraId="70D595B2" w14:textId="48C1A7CE" w:rsidR="009A3F74" w:rsidRPr="00FE2FB8" w:rsidRDefault="0008206B" w:rsidP="009A3F74">
      <w:pPr>
        <w:pStyle w:val="LI-BodyTextParaa"/>
        <w:ind w:left="567"/>
        <w:rPr>
          <w:bCs/>
        </w:rPr>
      </w:pPr>
      <w:r>
        <w:t>8</w:t>
      </w:r>
      <w:r w:rsidR="00725A8E">
        <w:t xml:space="preserve">. </w:t>
      </w:r>
      <w:r w:rsidR="00725A8E">
        <w:tab/>
      </w:r>
      <w:r w:rsidR="00A63F68">
        <w:t xml:space="preserve">Prior to the commencement of </w:t>
      </w:r>
      <w:r w:rsidR="00BF6FF6">
        <w:rPr>
          <w:color w:val="000000"/>
          <w:shd w:val="clear" w:color="auto" w:fill="FFFFFF"/>
        </w:rPr>
        <w:t>Principal Instrument</w:t>
      </w:r>
      <w:r w:rsidR="00A63F68">
        <w:rPr>
          <w:i/>
          <w:iCs/>
        </w:rPr>
        <w:t xml:space="preserve">, </w:t>
      </w:r>
      <w:r w:rsidR="00725A8E">
        <w:t xml:space="preserve">ASIC </w:t>
      </w:r>
      <w:r w:rsidR="00BF6FF6">
        <w:t xml:space="preserve">also </w:t>
      </w:r>
      <w:r w:rsidR="00725A8E">
        <w:t xml:space="preserve">undertook targeted consultation with affected entities as detailed in the Explanatory Statement to </w:t>
      </w:r>
      <w:r w:rsidR="00BF6FF6">
        <w:t xml:space="preserve">the </w:t>
      </w:r>
      <w:r w:rsidR="00BF6FF6">
        <w:rPr>
          <w:color w:val="000000"/>
          <w:shd w:val="clear" w:color="auto" w:fill="FFFFFF"/>
        </w:rPr>
        <w:t>Principal Instrument</w:t>
      </w:r>
      <w:r w:rsidR="00725A8E">
        <w:rPr>
          <w:i/>
          <w:iCs/>
        </w:rPr>
        <w:t xml:space="preserve">. </w:t>
      </w:r>
    </w:p>
    <w:p w14:paraId="4CDCC6BF" w14:textId="77777777" w:rsidR="005D1FEA" w:rsidRDefault="005D1FEA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Operation of the instrument</w:t>
      </w:r>
    </w:p>
    <w:p w14:paraId="2B114948" w14:textId="484F6DA4" w:rsidR="009720E0" w:rsidRDefault="0008206B" w:rsidP="009720E0">
      <w:pPr>
        <w:pStyle w:val="LI-BodyTextParaa"/>
        <w:ind w:left="567"/>
        <w:rPr>
          <w:color w:val="000000"/>
          <w:shd w:val="clear" w:color="auto" w:fill="FFFFFF"/>
        </w:rPr>
      </w:pPr>
      <w:r>
        <w:t>9</w:t>
      </w:r>
      <w:r w:rsidR="005D1FEA">
        <w:t>.</w:t>
      </w:r>
      <w:r w:rsidR="005D1FEA">
        <w:tab/>
      </w:r>
      <w:r w:rsidR="003E0D48">
        <w:rPr>
          <w:color w:val="000000"/>
          <w:shd w:val="clear" w:color="auto" w:fill="FFFFFF"/>
        </w:rPr>
        <w:t xml:space="preserve">Section 4 of the </w:t>
      </w:r>
      <w:r w:rsidR="00BF6FF6">
        <w:rPr>
          <w:color w:val="000000"/>
          <w:shd w:val="clear" w:color="auto" w:fill="FFFFFF"/>
        </w:rPr>
        <w:t>Amendment I</w:t>
      </w:r>
      <w:r w:rsidR="003E0D48">
        <w:rPr>
          <w:color w:val="000000"/>
          <w:shd w:val="clear" w:color="auto" w:fill="FFFFFF"/>
        </w:rPr>
        <w:t>nstrument states that each instrument specified in the Schedule is amended as set out in the applicable items in the Schedule.</w:t>
      </w:r>
    </w:p>
    <w:p w14:paraId="5A3D2389" w14:textId="5B53708A" w:rsidR="009720E0" w:rsidRPr="005F0609" w:rsidRDefault="009720E0" w:rsidP="009720E0">
      <w:pPr>
        <w:pStyle w:val="LI-BodyTextParaa"/>
        <w:ind w:left="567"/>
        <w:rPr>
          <w:b/>
          <w:bCs/>
          <w:color w:val="000000"/>
          <w:shd w:val="clear" w:color="auto" w:fill="FFFFFF"/>
        </w:rPr>
      </w:pPr>
      <w:r w:rsidRPr="005F0609">
        <w:rPr>
          <w:b/>
          <w:bCs/>
          <w:i/>
          <w:iCs/>
          <w:color w:val="000000"/>
          <w:shd w:val="clear" w:color="auto" w:fill="FFFFFF"/>
        </w:rPr>
        <w:t>Repeal date</w:t>
      </w:r>
    </w:p>
    <w:p w14:paraId="70A3BDE0" w14:textId="6ED297C2" w:rsidR="003E0D48" w:rsidRDefault="0008206B" w:rsidP="005D1FEA">
      <w:pPr>
        <w:pStyle w:val="LI-BodyTextParaa"/>
        <w:ind w:left="567"/>
      </w:pPr>
      <w:r>
        <w:t>10</w:t>
      </w:r>
      <w:r w:rsidR="003E0D48">
        <w:t>.</w:t>
      </w:r>
      <w:r w:rsidR="003E0D48">
        <w:tab/>
        <w:t xml:space="preserve">Item 1 of the Schedule to the </w:t>
      </w:r>
      <w:r w:rsidR="00BF6FF6">
        <w:t>Amendment Instrument</w:t>
      </w:r>
      <w:r w:rsidR="003E0D48">
        <w:t xml:space="preserve"> amends section 3 of the </w:t>
      </w:r>
      <w:r w:rsidR="00BF6FF6">
        <w:rPr>
          <w:color w:val="000000"/>
          <w:shd w:val="clear" w:color="auto" w:fill="FFFFFF"/>
        </w:rPr>
        <w:t>Principal Instrument</w:t>
      </w:r>
      <w:r w:rsidR="003E0D48">
        <w:rPr>
          <w:i/>
          <w:iCs/>
        </w:rPr>
        <w:t xml:space="preserve"> </w:t>
      </w:r>
      <w:r w:rsidR="003E0D48">
        <w:t>by replacing the repeal date of 5 October 2023 with a new repeal date</w:t>
      </w:r>
      <w:r w:rsidR="00267A0E">
        <w:t xml:space="preserve"> – the </w:t>
      </w:r>
      <w:r w:rsidR="003E0D48">
        <w:t xml:space="preserve">start of 5 October 2028. </w:t>
      </w:r>
    </w:p>
    <w:p w14:paraId="5F72F89E" w14:textId="1B181FBE" w:rsidR="009720E0" w:rsidRPr="005F0609" w:rsidRDefault="009720E0" w:rsidP="005D1FEA">
      <w:pPr>
        <w:pStyle w:val="LI-BodyTextParaa"/>
        <w:ind w:left="567"/>
        <w:rPr>
          <w:b/>
          <w:bCs/>
          <w:i/>
          <w:iCs/>
        </w:rPr>
      </w:pPr>
      <w:r w:rsidRPr="005F0609">
        <w:rPr>
          <w:b/>
          <w:bCs/>
          <w:i/>
          <w:iCs/>
        </w:rPr>
        <w:t>Cashless welfare arrangements</w:t>
      </w:r>
    </w:p>
    <w:p w14:paraId="59F2A22E" w14:textId="64260B8C" w:rsidR="00657DCA" w:rsidRDefault="0008206B" w:rsidP="005D1FEA">
      <w:pPr>
        <w:pStyle w:val="LI-BodyTextParaa"/>
        <w:ind w:left="567"/>
      </w:pPr>
      <w:r>
        <w:t>11</w:t>
      </w:r>
      <w:r w:rsidR="003E0D48">
        <w:t xml:space="preserve">. </w:t>
      </w:r>
      <w:r w:rsidR="003E0D48">
        <w:tab/>
        <w:t xml:space="preserve">Item 2 of the Schedule to the </w:t>
      </w:r>
      <w:r w:rsidR="00BF6FF6">
        <w:t>Amendment Instrument</w:t>
      </w:r>
      <w:r w:rsidR="003E0D48">
        <w:t xml:space="preserve"> repeals subsection 7(4) of the </w:t>
      </w:r>
      <w:r w:rsidR="00BF6FF6">
        <w:rPr>
          <w:color w:val="000000"/>
          <w:shd w:val="clear" w:color="auto" w:fill="FFFFFF"/>
        </w:rPr>
        <w:t>Principal Instrument</w:t>
      </w:r>
      <w:r w:rsidR="003E0D48">
        <w:rPr>
          <w:i/>
          <w:iCs/>
        </w:rPr>
        <w:t xml:space="preserve">. </w:t>
      </w:r>
      <w:r w:rsidR="00657DCA">
        <w:t xml:space="preserve">Subsection 7(4) </w:t>
      </w:r>
      <w:r w:rsidR="00D736B4">
        <w:t>implemented</w:t>
      </w:r>
      <w:r w:rsidR="00657DCA">
        <w:t xml:space="preserve"> the Government’s intention to exempt the Cashless Debit Card and the </w:t>
      </w:r>
      <w:proofErr w:type="spellStart"/>
      <w:r w:rsidR="00657DCA">
        <w:t>BasicsCard</w:t>
      </w:r>
      <w:proofErr w:type="spellEnd"/>
      <w:r w:rsidR="00657DCA">
        <w:t xml:space="preserve"> from the DDO regime, as the key design and distribution obligations</w:t>
      </w:r>
      <w:r w:rsidR="009720E0">
        <w:t xml:space="preserve"> for those products</w:t>
      </w:r>
      <w:r w:rsidR="00657DCA">
        <w:t xml:space="preserve"> are set out in</w:t>
      </w:r>
      <w:r w:rsidR="00D736B4">
        <w:t xml:space="preserve"> the </w:t>
      </w:r>
      <w:r w:rsidR="00D736B4" w:rsidRPr="005F0609">
        <w:rPr>
          <w:i/>
          <w:iCs/>
        </w:rPr>
        <w:t>Social Security (Administration) Act 1999</w:t>
      </w:r>
      <w:r w:rsidR="00657DCA">
        <w:t xml:space="preserve">. </w:t>
      </w:r>
      <w:r w:rsidR="003F3D14">
        <w:rPr>
          <w:color w:val="000000"/>
          <w:shd w:val="clear" w:color="auto" w:fill="FFFFFF"/>
        </w:rPr>
        <w:t xml:space="preserve">This </w:t>
      </w:r>
      <w:r w:rsidR="00D736B4">
        <w:rPr>
          <w:color w:val="000000"/>
          <w:shd w:val="clear" w:color="auto" w:fill="FFFFFF"/>
        </w:rPr>
        <w:t>exemption was</w:t>
      </w:r>
      <w:r w:rsidR="003F3D14">
        <w:rPr>
          <w:color w:val="000000"/>
          <w:shd w:val="clear" w:color="auto" w:fill="FFFFFF"/>
        </w:rPr>
        <w:t xml:space="preserve"> consistent with other financial products</w:t>
      </w:r>
      <w:r w:rsidR="00D736B4">
        <w:rPr>
          <w:color w:val="000000"/>
          <w:shd w:val="clear" w:color="auto" w:fill="FFFFFF"/>
        </w:rPr>
        <w:t>,</w:t>
      </w:r>
      <w:r w:rsidR="003F3D14">
        <w:rPr>
          <w:color w:val="000000"/>
          <w:shd w:val="clear" w:color="auto" w:fill="FFFFFF"/>
        </w:rPr>
        <w:t xml:space="preserve"> such as </w:t>
      </w:r>
      <w:proofErr w:type="spellStart"/>
      <w:r w:rsidR="003F3D14">
        <w:rPr>
          <w:color w:val="000000"/>
          <w:shd w:val="clear" w:color="auto" w:fill="FFFFFF"/>
        </w:rPr>
        <w:t>MySuper</w:t>
      </w:r>
      <w:proofErr w:type="spellEnd"/>
      <w:r w:rsidR="003F3D14">
        <w:rPr>
          <w:color w:val="000000"/>
          <w:shd w:val="clear" w:color="auto" w:fill="FFFFFF"/>
        </w:rPr>
        <w:t xml:space="preserve"> products</w:t>
      </w:r>
      <w:r w:rsidR="00D736B4">
        <w:rPr>
          <w:color w:val="000000"/>
          <w:shd w:val="clear" w:color="auto" w:fill="FFFFFF"/>
        </w:rPr>
        <w:t>,</w:t>
      </w:r>
      <w:r w:rsidR="003F3D14">
        <w:rPr>
          <w:color w:val="000000"/>
          <w:shd w:val="clear" w:color="auto" w:fill="FFFFFF"/>
        </w:rPr>
        <w:t xml:space="preserve"> which are subject to specific legislation and are </w:t>
      </w:r>
      <w:r w:rsidR="006E2B19">
        <w:rPr>
          <w:color w:val="000000"/>
          <w:shd w:val="clear" w:color="auto" w:fill="FFFFFF"/>
        </w:rPr>
        <w:t xml:space="preserve">also </w:t>
      </w:r>
      <w:r w:rsidR="003F3D14">
        <w:rPr>
          <w:color w:val="000000"/>
          <w:shd w:val="clear" w:color="auto" w:fill="FFFFFF"/>
        </w:rPr>
        <w:t xml:space="preserve">exempted from </w:t>
      </w:r>
      <w:r w:rsidR="006E2B19">
        <w:rPr>
          <w:color w:val="000000"/>
          <w:shd w:val="clear" w:color="auto" w:fill="FFFFFF"/>
        </w:rPr>
        <w:t xml:space="preserve">the </w:t>
      </w:r>
      <w:r w:rsidR="003F3D14">
        <w:rPr>
          <w:color w:val="000000"/>
          <w:shd w:val="clear" w:color="auto" w:fill="FFFFFF"/>
        </w:rPr>
        <w:t>requirement to make a target market determination.</w:t>
      </w:r>
    </w:p>
    <w:p w14:paraId="3D608E2C" w14:textId="3B2C6AE1" w:rsidR="00657DCA" w:rsidRDefault="00657DCA" w:rsidP="005D1FEA">
      <w:pPr>
        <w:pStyle w:val="LI-BodyTextParaa"/>
        <w:ind w:left="567"/>
      </w:pPr>
      <w:r>
        <w:t xml:space="preserve">12. </w:t>
      </w:r>
      <w:r>
        <w:tab/>
        <w:t xml:space="preserve">In March 2023, changes were made to the cashless debit card regime in the </w:t>
      </w:r>
      <w:r>
        <w:rPr>
          <w:i/>
          <w:iCs/>
        </w:rPr>
        <w:t xml:space="preserve">Social Security (Administration) Act 1999, </w:t>
      </w:r>
      <w:r>
        <w:t xml:space="preserve">which resulted in subsection 7(4) of the </w:t>
      </w:r>
      <w:r w:rsidR="00BF6FF6">
        <w:rPr>
          <w:color w:val="000000"/>
          <w:shd w:val="clear" w:color="auto" w:fill="FFFFFF"/>
        </w:rPr>
        <w:t>Principal Instrument</w:t>
      </w:r>
      <w:r>
        <w:rPr>
          <w:i/>
          <w:iCs/>
        </w:rPr>
        <w:t xml:space="preserve"> </w:t>
      </w:r>
      <w:r w:rsidR="00BF6FF6">
        <w:t>becoming</w:t>
      </w:r>
      <w:r>
        <w:t xml:space="preserve"> </w:t>
      </w:r>
      <w:r w:rsidR="006E2B19">
        <w:t xml:space="preserve">partially </w:t>
      </w:r>
      <w:r w:rsidR="00F3406B">
        <w:t>redundant</w:t>
      </w:r>
      <w:r>
        <w:t xml:space="preserve">. </w:t>
      </w:r>
      <w:r w:rsidR="00F3406B">
        <w:t>In addition, t</w:t>
      </w:r>
      <w:r>
        <w:t xml:space="preserve">he </w:t>
      </w:r>
      <w:r w:rsidRPr="00286DCB">
        <w:rPr>
          <w:i/>
          <w:iCs/>
        </w:rPr>
        <w:t>Corporations Amendment (Design and Distribution Obligations – Income Management Regimes) Regulations 2023</w:t>
      </w:r>
      <w:r>
        <w:rPr>
          <w:i/>
          <w:iCs/>
        </w:rPr>
        <w:t xml:space="preserve"> </w:t>
      </w:r>
      <w:r>
        <w:rPr>
          <w:color w:val="000000"/>
          <w:shd w:val="clear" w:color="auto" w:fill="FFFFFF"/>
        </w:rPr>
        <w:t>w</w:t>
      </w:r>
      <w:r w:rsidR="00B0412E">
        <w:rPr>
          <w:color w:val="000000"/>
          <w:shd w:val="clear" w:color="auto" w:fill="FFFFFF"/>
        </w:rPr>
        <w:t>ere</w:t>
      </w:r>
      <w:r>
        <w:rPr>
          <w:color w:val="000000"/>
          <w:shd w:val="clear" w:color="auto" w:fill="FFFFFF"/>
        </w:rPr>
        <w:t xml:space="preserve"> made to exempt issuers of</w:t>
      </w:r>
      <w:r w:rsidR="00A00203">
        <w:rPr>
          <w:color w:val="000000"/>
          <w:shd w:val="clear" w:color="auto" w:fill="FFFFFF"/>
        </w:rPr>
        <w:t xml:space="preserve"> welfare payment</w:t>
      </w:r>
      <w:r>
        <w:rPr>
          <w:color w:val="000000"/>
          <w:shd w:val="clear" w:color="auto" w:fill="FFFFFF"/>
        </w:rPr>
        <w:t xml:space="preserve"> income management accounts</w:t>
      </w:r>
      <w:r w:rsidR="00350AAA">
        <w:rPr>
          <w:color w:val="000000"/>
          <w:shd w:val="clear" w:color="auto" w:fill="FFFFFF"/>
        </w:rPr>
        <w:t xml:space="preserve"> under the </w:t>
      </w:r>
      <w:r w:rsidR="00350AAA">
        <w:rPr>
          <w:i/>
          <w:iCs/>
          <w:color w:val="000000"/>
          <w:shd w:val="clear" w:color="auto" w:fill="FFFFFF"/>
        </w:rPr>
        <w:t>Social Security (Administration) Act 1999</w:t>
      </w:r>
      <w:r>
        <w:rPr>
          <w:color w:val="000000"/>
          <w:shd w:val="clear" w:color="auto" w:fill="FFFFFF"/>
        </w:rPr>
        <w:t xml:space="preserve"> from the DDO regime</w:t>
      </w:r>
      <w:r w:rsidR="00B0412E">
        <w:rPr>
          <w:color w:val="000000"/>
          <w:shd w:val="clear" w:color="auto" w:fill="FFFFFF"/>
        </w:rPr>
        <w:t xml:space="preserve"> and reflect the </w:t>
      </w:r>
      <w:r w:rsidR="00F23E7E">
        <w:rPr>
          <w:color w:val="000000"/>
          <w:shd w:val="clear" w:color="auto" w:fill="FFFFFF"/>
        </w:rPr>
        <w:t>changes in that legislation</w:t>
      </w:r>
      <w:r>
        <w:rPr>
          <w:color w:val="000000"/>
          <w:shd w:val="clear" w:color="auto" w:fill="FFFFFF"/>
        </w:rPr>
        <w:t xml:space="preserve">. </w:t>
      </w:r>
      <w:r w:rsidR="00350AAA">
        <w:rPr>
          <w:color w:val="000000"/>
          <w:shd w:val="clear" w:color="auto" w:fill="FFFFFF"/>
        </w:rPr>
        <w:t>A</w:t>
      </w:r>
      <w:r>
        <w:t>s such</w:t>
      </w:r>
      <w:r w:rsidR="00350AAA">
        <w:t>,</w:t>
      </w:r>
      <w:r>
        <w:t xml:space="preserve"> the relief </w:t>
      </w:r>
      <w:r w:rsidR="00724F4C">
        <w:t xml:space="preserve">in subsection 7(4) of the Principal Instrument </w:t>
      </w:r>
      <w:r>
        <w:t xml:space="preserve">is no longer required </w:t>
      </w:r>
      <w:r w:rsidR="00267A0E">
        <w:rPr>
          <w:color w:val="000000"/>
          <w:shd w:val="clear" w:color="auto" w:fill="FFFFFF"/>
        </w:rPr>
        <w:t>and</w:t>
      </w:r>
      <w:r w:rsidR="00350AAA">
        <w:rPr>
          <w:color w:val="000000"/>
          <w:shd w:val="clear" w:color="auto" w:fill="FFFFFF"/>
        </w:rPr>
        <w:t xml:space="preserve"> will be repealed by this instrument</w:t>
      </w:r>
      <w:r>
        <w:rPr>
          <w:i/>
          <w:iCs/>
        </w:rPr>
        <w:t xml:space="preserve">.  </w:t>
      </w:r>
    </w:p>
    <w:p w14:paraId="33FAEDAD" w14:textId="1FB787A3" w:rsidR="00474B52" w:rsidRPr="00FE2FB8" w:rsidRDefault="0008206B" w:rsidP="005D1FEA">
      <w:pPr>
        <w:pStyle w:val="LI-BodyTextParaa"/>
        <w:ind w:left="567"/>
        <w:rPr>
          <w:bCs/>
        </w:rPr>
      </w:pPr>
      <w:r>
        <w:t>1</w:t>
      </w:r>
      <w:r w:rsidR="00657DCA">
        <w:t>3</w:t>
      </w:r>
      <w:r w:rsidR="00474B52">
        <w:t>.</w:t>
      </w:r>
      <w:r w:rsidR="00474B52">
        <w:tab/>
      </w:r>
      <w:r w:rsidR="003E0D48">
        <w:t>Th</w:t>
      </w:r>
      <w:r w:rsidR="00947516">
        <w:t xml:space="preserve">e Amendment Instrument </w:t>
      </w:r>
      <w:r w:rsidR="003E0D48">
        <w:t xml:space="preserve">will commence on the day after it is registered on the Federal Register of Legislation. </w:t>
      </w:r>
    </w:p>
    <w:p w14:paraId="3C7CC6E3" w14:textId="7EF1B6A4" w:rsidR="00D20A4B" w:rsidRPr="006D6079" w:rsidRDefault="00D20A4B" w:rsidP="006D6079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lastRenderedPageBreak/>
        <w:t>Incorporation by reference</w:t>
      </w:r>
    </w:p>
    <w:p w14:paraId="2EA3C8E9" w14:textId="12DA2249" w:rsidR="00561ABB" w:rsidRDefault="0008206B" w:rsidP="008B561C">
      <w:pPr>
        <w:pStyle w:val="LI-BodyTextParaa"/>
        <w:ind w:left="567"/>
        <w:rPr>
          <w:i/>
        </w:rPr>
      </w:pPr>
      <w:r>
        <w:t>1</w:t>
      </w:r>
      <w:r w:rsidR="00657DCA">
        <w:t>4</w:t>
      </w:r>
      <w:r w:rsidR="00D20A4B">
        <w:t>.</w:t>
      </w:r>
      <w:r w:rsidR="00D20A4B">
        <w:tab/>
      </w:r>
      <w:r w:rsidR="00DA0953">
        <w:t>Th</w:t>
      </w:r>
      <w:r w:rsidR="00BF6FF6">
        <w:t>is</w:t>
      </w:r>
      <w:r w:rsidR="00DA0953">
        <w:t xml:space="preserve"> instrument does not incorporate</w:t>
      </w:r>
      <w:r w:rsidR="00824441">
        <w:t xml:space="preserve"> any</w:t>
      </w:r>
      <w:r w:rsidR="00DA0953">
        <w:t xml:space="preserve"> matters by reference. </w:t>
      </w:r>
    </w:p>
    <w:p w14:paraId="5C5F6D62" w14:textId="77777777" w:rsidR="00863657" w:rsidRPr="006D6079" w:rsidRDefault="00863657" w:rsidP="006D6079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t>Retrospective application</w:t>
      </w:r>
    </w:p>
    <w:p w14:paraId="53F4212A" w14:textId="764A7AA1" w:rsidR="00863657" w:rsidRDefault="0008206B" w:rsidP="00863657">
      <w:pPr>
        <w:pStyle w:val="LI-BodyTextParaa"/>
        <w:ind w:left="567"/>
        <w:rPr>
          <w:i/>
        </w:rPr>
      </w:pPr>
      <w:r>
        <w:t>1</w:t>
      </w:r>
      <w:r w:rsidR="00657DCA">
        <w:t>5</w:t>
      </w:r>
      <w:r w:rsidR="00863657">
        <w:t>.</w:t>
      </w:r>
      <w:r w:rsidR="00863657">
        <w:tab/>
      </w:r>
      <w:r w:rsidR="00DA0953">
        <w:t>Th</w:t>
      </w:r>
      <w:r w:rsidR="00BF6FF6">
        <w:t>is</w:t>
      </w:r>
      <w:r w:rsidR="00DA0953">
        <w:t xml:space="preserve"> instrument does not have retrospective application. </w:t>
      </w:r>
    </w:p>
    <w:p w14:paraId="57A93CEC" w14:textId="77777777" w:rsidR="00C52E7C" w:rsidRPr="006D6079" w:rsidRDefault="00C52E7C" w:rsidP="006D6079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t xml:space="preserve">Legislative instrument </w:t>
      </w:r>
      <w:r w:rsidR="00610709" w:rsidRPr="006D6079">
        <w:rPr>
          <w:b/>
          <w:bCs/>
        </w:rPr>
        <w:t xml:space="preserve">and </w:t>
      </w:r>
      <w:r w:rsidRPr="006D6079">
        <w:rPr>
          <w:b/>
          <w:bCs/>
        </w:rPr>
        <w:t xml:space="preserve">primary legislation  </w:t>
      </w:r>
    </w:p>
    <w:p w14:paraId="1292FC75" w14:textId="0FF6610B" w:rsidR="001E7E2B" w:rsidRDefault="0008206B" w:rsidP="001E7E2B">
      <w:pPr>
        <w:pStyle w:val="LI-BodyTextParaa"/>
        <w:ind w:left="567"/>
      </w:pPr>
      <w:r>
        <w:t>1</w:t>
      </w:r>
      <w:r w:rsidR="00657DCA">
        <w:t>6</w:t>
      </w:r>
      <w:r w:rsidR="00C52E7C">
        <w:t>.</w:t>
      </w:r>
      <w:r w:rsidR="00C52E7C">
        <w:tab/>
        <w:t xml:space="preserve">The </w:t>
      </w:r>
      <w:r w:rsidR="00ED796D">
        <w:t xml:space="preserve">subject matter and </w:t>
      </w:r>
      <w:r w:rsidR="00C52E7C">
        <w:t xml:space="preserve">policy implemented by this instrument is more appropriate for </w:t>
      </w:r>
      <w:r w:rsidR="00ED796D">
        <w:t>a legislative instrument rather than primary legislation because:</w:t>
      </w:r>
    </w:p>
    <w:p w14:paraId="3908809A" w14:textId="671B1E7F" w:rsidR="007B0F2D" w:rsidRDefault="009A5171" w:rsidP="00A52FC2">
      <w:pPr>
        <w:pStyle w:val="LI-BodyTextParaa"/>
        <w:ind w:left="1134"/>
      </w:pPr>
      <w:r>
        <w:t>(</w:t>
      </w:r>
      <w:r w:rsidR="007B0F2D">
        <w:t>a</w:t>
      </w:r>
      <w:r>
        <w:t xml:space="preserve">) </w:t>
      </w:r>
      <w:r>
        <w:tab/>
        <w:t>This instrument</w:t>
      </w:r>
      <w:r>
        <w:rPr>
          <w:color w:val="000000"/>
          <w:shd w:val="clear" w:color="auto" w:fill="FFFFFF"/>
        </w:rPr>
        <w:t xml:space="preserve"> extends the time for interim changes made under </w:t>
      </w:r>
      <w:r w:rsidR="00BF6FF6">
        <w:rPr>
          <w:color w:val="000000"/>
          <w:shd w:val="clear" w:color="auto" w:fill="FFFFFF"/>
        </w:rPr>
        <w:t xml:space="preserve">the </w:t>
      </w:r>
      <w:r w:rsidR="00267A0E">
        <w:rPr>
          <w:color w:val="000000"/>
          <w:shd w:val="clear" w:color="auto" w:fill="FFFFFF"/>
        </w:rPr>
        <w:t>Principal</w:t>
      </w:r>
      <w:r w:rsidR="00BF6FF6">
        <w:rPr>
          <w:color w:val="000000"/>
          <w:shd w:val="clear" w:color="auto" w:fill="FFFFFF"/>
        </w:rPr>
        <w:t xml:space="preserve"> Instrument</w:t>
      </w:r>
      <w:r>
        <w:rPr>
          <w:i/>
          <w:iCs/>
        </w:rPr>
        <w:t xml:space="preserve">. </w:t>
      </w:r>
      <w:r w:rsidR="007B0F2D">
        <w:t xml:space="preserve">The interim changes are based on a number of amendments to the primary law and regulations which the Government identified would be required to achieve its intended operation of the DDO </w:t>
      </w:r>
      <w:r w:rsidR="00267A0E">
        <w:t>regime</w:t>
      </w:r>
      <w:r w:rsidR="007B0F2D">
        <w:t xml:space="preserve">. </w:t>
      </w:r>
    </w:p>
    <w:p w14:paraId="4C1EAADC" w14:textId="7CB3D6DB" w:rsidR="00A52FC2" w:rsidRPr="005F0609" w:rsidRDefault="007B0F2D" w:rsidP="00A52FC2">
      <w:pPr>
        <w:pStyle w:val="LI-BodyTextParaa"/>
        <w:ind w:left="1134"/>
        <w:rPr>
          <w:color w:val="000000"/>
          <w:shd w:val="clear" w:color="auto" w:fill="FFFFFF"/>
        </w:rPr>
      </w:pPr>
      <w:r>
        <w:t xml:space="preserve">(b) </w:t>
      </w:r>
      <w:r>
        <w:tab/>
      </w:r>
      <w:r w:rsidR="009A5171">
        <w:t xml:space="preserve">This </w:t>
      </w:r>
      <w:r w:rsidR="00FA2994">
        <w:t>instrument</w:t>
      </w:r>
      <w:r w:rsidR="009A5171">
        <w:t xml:space="preserve"> will </w:t>
      </w:r>
      <w:r w:rsidR="009A5171" w:rsidRPr="19F5AD99">
        <w:rPr>
          <w:color w:val="000000" w:themeColor="text1"/>
        </w:rPr>
        <w:t>allow</w:t>
      </w:r>
      <w:r w:rsidR="00FA2994" w:rsidRPr="19F5AD99">
        <w:rPr>
          <w:color w:val="000000" w:themeColor="text1"/>
        </w:rPr>
        <w:t xml:space="preserve"> further</w:t>
      </w:r>
      <w:r w:rsidR="009A5171" w:rsidRPr="19F5AD99">
        <w:rPr>
          <w:color w:val="000000" w:themeColor="text1"/>
        </w:rPr>
        <w:t xml:space="preserve"> time for the</w:t>
      </w:r>
      <w:r w:rsidR="00A52FC2" w:rsidRPr="19F5AD99">
        <w:rPr>
          <w:color w:val="000000" w:themeColor="text1"/>
        </w:rPr>
        <w:t xml:space="preserve"> Government </w:t>
      </w:r>
      <w:r w:rsidR="009A5171" w:rsidRPr="19F5AD99">
        <w:rPr>
          <w:color w:val="000000" w:themeColor="text1"/>
        </w:rPr>
        <w:t>to make</w:t>
      </w:r>
      <w:r w:rsidR="00A52FC2" w:rsidRPr="19F5AD99">
        <w:rPr>
          <w:color w:val="000000" w:themeColor="text1"/>
        </w:rPr>
        <w:t xml:space="preserve"> the changes </w:t>
      </w:r>
      <w:r w:rsidR="00267A0E" w:rsidRPr="19F5AD99">
        <w:rPr>
          <w:color w:val="000000" w:themeColor="text1"/>
        </w:rPr>
        <w:t xml:space="preserve">to the DDO regime </w:t>
      </w:r>
      <w:r w:rsidR="00A52FC2" w:rsidRPr="19F5AD99">
        <w:rPr>
          <w:color w:val="000000" w:themeColor="text1"/>
        </w:rPr>
        <w:t>on a more permanent basis</w:t>
      </w:r>
      <w:r w:rsidR="009A5171" w:rsidRPr="19F5AD99">
        <w:rPr>
          <w:color w:val="000000" w:themeColor="text1"/>
        </w:rPr>
        <w:t xml:space="preserve"> and will </w:t>
      </w:r>
      <w:r w:rsidR="00A52FC2" w:rsidRPr="19F5AD99">
        <w:rPr>
          <w:color w:val="000000" w:themeColor="text1"/>
        </w:rPr>
        <w:t xml:space="preserve">avoid </w:t>
      </w:r>
      <w:r w:rsidR="00FE4128" w:rsidRPr="19F5AD99">
        <w:rPr>
          <w:color w:val="000000" w:themeColor="text1"/>
        </w:rPr>
        <w:t xml:space="preserve">the need for </w:t>
      </w:r>
      <w:r w:rsidR="00A52FC2" w:rsidRPr="19F5AD99">
        <w:rPr>
          <w:color w:val="000000" w:themeColor="text1"/>
        </w:rPr>
        <w:t>firms</w:t>
      </w:r>
      <w:r w:rsidR="00FE4128" w:rsidRPr="19F5AD99">
        <w:rPr>
          <w:color w:val="000000" w:themeColor="text1"/>
        </w:rPr>
        <w:t xml:space="preserve"> to</w:t>
      </w:r>
      <w:r w:rsidR="00A52FC2" w:rsidRPr="19F5AD99">
        <w:rPr>
          <w:color w:val="000000" w:themeColor="text1"/>
        </w:rPr>
        <w:t xml:space="preserve"> implement product governance arrangements for products that are not intended to be </w:t>
      </w:r>
      <w:r w:rsidR="00FE4128" w:rsidRPr="19F5AD99">
        <w:rPr>
          <w:color w:val="000000" w:themeColor="text1"/>
        </w:rPr>
        <w:t xml:space="preserve">subject to </w:t>
      </w:r>
      <w:r w:rsidR="00A52FC2" w:rsidRPr="19F5AD99">
        <w:rPr>
          <w:color w:val="000000" w:themeColor="text1"/>
        </w:rPr>
        <w:t xml:space="preserve">the </w:t>
      </w:r>
      <w:r w:rsidR="00267A0E" w:rsidRPr="19F5AD99">
        <w:rPr>
          <w:color w:val="000000" w:themeColor="text1"/>
        </w:rPr>
        <w:t xml:space="preserve">DDO </w:t>
      </w:r>
      <w:r w:rsidR="00234A6B" w:rsidRPr="19F5AD99">
        <w:rPr>
          <w:color w:val="000000" w:themeColor="text1"/>
        </w:rPr>
        <w:t>obligations</w:t>
      </w:r>
      <w:r w:rsidR="00A52FC2" w:rsidRPr="19F5AD99">
        <w:rPr>
          <w:color w:val="000000" w:themeColor="text1"/>
        </w:rPr>
        <w:t>.</w:t>
      </w:r>
    </w:p>
    <w:p w14:paraId="4828665D" w14:textId="66285586" w:rsidR="009A2319" w:rsidRPr="006D6079" w:rsidRDefault="005D1770" w:rsidP="005F0609">
      <w:pPr>
        <w:pStyle w:val="LI-BodyTextParaa"/>
        <w:keepNext/>
        <w:ind w:left="567"/>
        <w:rPr>
          <w:color w:val="000000"/>
          <w:shd w:val="clear" w:color="auto" w:fill="FFFFFF"/>
        </w:rPr>
      </w:pPr>
      <w:r>
        <w:rPr>
          <w:color w:val="000000"/>
        </w:rPr>
        <w:t>1</w:t>
      </w:r>
      <w:r w:rsidR="00657DCA">
        <w:rPr>
          <w:color w:val="000000"/>
        </w:rPr>
        <w:t>7</w:t>
      </w:r>
      <w:r>
        <w:rPr>
          <w:color w:val="000000"/>
        </w:rPr>
        <w:t>.</w:t>
      </w:r>
      <w:r>
        <w:rPr>
          <w:color w:val="000000"/>
        </w:rPr>
        <w:tab/>
        <w:t>It will be a matter for the Government and for Parliament as to</w:t>
      </w:r>
      <w:r w:rsidR="009A5171">
        <w:rPr>
          <w:color w:val="000000"/>
        </w:rPr>
        <w:t xml:space="preserve"> when </w:t>
      </w:r>
      <w:r>
        <w:rPr>
          <w:color w:val="000000"/>
        </w:rPr>
        <w:t xml:space="preserve">the </w:t>
      </w:r>
      <w:r w:rsidR="007B0F2D">
        <w:rPr>
          <w:color w:val="000000"/>
        </w:rPr>
        <w:t xml:space="preserve">primary law </w:t>
      </w:r>
      <w:r>
        <w:rPr>
          <w:color w:val="000000"/>
        </w:rPr>
        <w:t xml:space="preserve">or </w:t>
      </w:r>
      <w:r w:rsidR="007B0F2D">
        <w:rPr>
          <w:color w:val="000000"/>
        </w:rPr>
        <w:t xml:space="preserve">regulations </w:t>
      </w:r>
      <w:r>
        <w:rPr>
          <w:color w:val="000000"/>
        </w:rPr>
        <w:t>may be amended in future to include the relief in the</w:t>
      </w:r>
      <w:r w:rsidR="009A5171">
        <w:rPr>
          <w:color w:val="000000"/>
        </w:rPr>
        <w:t xml:space="preserve"> </w:t>
      </w:r>
      <w:r w:rsidR="00267A0E">
        <w:t>Principal</w:t>
      </w:r>
      <w:r w:rsidR="00BF6FF6">
        <w:t xml:space="preserve"> Instrument</w:t>
      </w:r>
      <w:r w:rsidR="00FA2994">
        <w:rPr>
          <w:color w:val="000000"/>
        </w:rPr>
        <w:t xml:space="preserve">. </w:t>
      </w:r>
    </w:p>
    <w:p w14:paraId="50EBD214" w14:textId="77777777" w:rsidR="005D1770" w:rsidRDefault="00F61A66" w:rsidP="00F61A66">
      <w:pPr>
        <w:pStyle w:val="LI-BodyTextParaa"/>
        <w:keepNext/>
        <w:ind w:left="567"/>
        <w:rPr>
          <w:u w:val="single"/>
        </w:rPr>
      </w:pPr>
      <w:r w:rsidRPr="006D6079">
        <w:rPr>
          <w:b/>
          <w:bCs/>
        </w:rPr>
        <w:t>Duration</w:t>
      </w:r>
      <w:r w:rsidR="009A2319" w:rsidRPr="006D6079">
        <w:rPr>
          <w:b/>
          <w:bCs/>
        </w:rPr>
        <w:t xml:space="preserve"> of the instrument</w:t>
      </w:r>
      <w:r>
        <w:rPr>
          <w:u w:val="single"/>
        </w:rPr>
        <w:t xml:space="preserve"> </w:t>
      </w:r>
    </w:p>
    <w:p w14:paraId="17476F15" w14:textId="101C9A25" w:rsidR="00A52FC2" w:rsidRDefault="00657DCA" w:rsidP="00F61A66">
      <w:pPr>
        <w:pStyle w:val="LI-BodyTextParaa"/>
        <w:ind w:left="567"/>
      </w:pPr>
      <w:r>
        <w:t>18</w:t>
      </w:r>
      <w:r w:rsidR="00F61A66" w:rsidRPr="006D6079">
        <w:t>.</w:t>
      </w:r>
      <w:r w:rsidR="00F61A66" w:rsidRPr="006D6079">
        <w:tab/>
      </w:r>
      <w:r w:rsidR="00DA0953">
        <w:t>Th</w:t>
      </w:r>
      <w:r w:rsidR="00947516">
        <w:t>is</w:t>
      </w:r>
      <w:r w:rsidR="00DA0953">
        <w:t xml:space="preserve"> instrument amends the duration of the </w:t>
      </w:r>
      <w:r w:rsidR="00267A0E">
        <w:t>Principal</w:t>
      </w:r>
      <w:r w:rsidR="00BF6FF6" w:rsidRPr="005F0609">
        <w:t xml:space="preserve"> Instrument</w:t>
      </w:r>
      <w:r w:rsidR="00DA0953" w:rsidRPr="006D6079">
        <w:rPr>
          <w:i/>
          <w:iCs/>
        </w:rPr>
        <w:t xml:space="preserve"> </w:t>
      </w:r>
      <w:r w:rsidR="00DA0953">
        <w:t xml:space="preserve">by an additional 5 years. </w:t>
      </w:r>
    </w:p>
    <w:p w14:paraId="1D375D98" w14:textId="34522BF9" w:rsidR="00F61A66" w:rsidRDefault="00A52FC2" w:rsidP="00F61A66">
      <w:pPr>
        <w:pStyle w:val="LI-BodyTextParaa"/>
        <w:ind w:left="567"/>
      </w:pPr>
      <w:r>
        <w:t>1</w:t>
      </w:r>
      <w:r w:rsidR="00657DCA">
        <w:t>9</w:t>
      </w:r>
      <w:r>
        <w:t xml:space="preserve">. </w:t>
      </w:r>
      <w:r>
        <w:tab/>
        <w:t>Th</w:t>
      </w:r>
      <w:r w:rsidR="00947516">
        <w:t>is</w:t>
      </w:r>
      <w:r>
        <w:t xml:space="preserve"> instrument will be repealed in accordance with Division 1 of Part 3 of Chapter 3 of the </w:t>
      </w:r>
      <w:r>
        <w:rPr>
          <w:i/>
          <w:iCs/>
        </w:rPr>
        <w:t xml:space="preserve">Legislation Act 2003. </w:t>
      </w:r>
    </w:p>
    <w:bookmarkEnd w:id="1"/>
    <w:p w14:paraId="6E228E05" w14:textId="77777777" w:rsidR="00F03BB5" w:rsidRDefault="00474B52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Legislative authority</w:t>
      </w:r>
    </w:p>
    <w:p w14:paraId="079E17F6" w14:textId="02FA0449" w:rsidR="009957ED" w:rsidRDefault="00657DCA" w:rsidP="009957ED">
      <w:pPr>
        <w:pStyle w:val="li-bodytextparaa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</w:rPr>
        <w:t>20</w:t>
      </w:r>
      <w:r w:rsidR="009957ED">
        <w:rPr>
          <w:color w:val="000000"/>
        </w:rPr>
        <w:t>.</w:t>
      </w:r>
      <w:r w:rsidR="008B561C">
        <w:rPr>
          <w:color w:val="000000"/>
        </w:rPr>
        <w:tab/>
      </w:r>
      <w:r w:rsidR="0064690A">
        <w:rPr>
          <w:color w:val="000000"/>
        </w:rPr>
        <w:t>Th</w:t>
      </w:r>
      <w:r w:rsidR="00BF6FF6">
        <w:rPr>
          <w:color w:val="000000"/>
        </w:rPr>
        <w:t>is</w:t>
      </w:r>
      <w:r w:rsidR="0064690A">
        <w:rPr>
          <w:color w:val="000000"/>
        </w:rPr>
        <w:t xml:space="preserve"> instrument is made under s</w:t>
      </w:r>
      <w:r w:rsidR="009957ED">
        <w:rPr>
          <w:color w:val="000000"/>
        </w:rPr>
        <w:t>ubsection 994L(2) of the</w:t>
      </w:r>
      <w:r w:rsidR="0064690A">
        <w:rPr>
          <w:color w:val="000000"/>
        </w:rPr>
        <w:t xml:space="preserve"> Corporations</w:t>
      </w:r>
      <w:r w:rsidR="009957ED">
        <w:rPr>
          <w:color w:val="000000"/>
        </w:rPr>
        <w:t xml:space="preserve"> Act </w:t>
      </w:r>
      <w:r w:rsidR="0064690A">
        <w:rPr>
          <w:color w:val="000000"/>
        </w:rPr>
        <w:t xml:space="preserve">2001. </w:t>
      </w:r>
    </w:p>
    <w:p w14:paraId="5709F0A3" w14:textId="4C8310E0" w:rsidR="009957ED" w:rsidRDefault="00657DCA" w:rsidP="009957ED">
      <w:pPr>
        <w:pStyle w:val="li-bodytextparaa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</w:rPr>
        <w:t>21</w:t>
      </w:r>
      <w:r w:rsidR="008B561C">
        <w:rPr>
          <w:color w:val="000000"/>
        </w:rPr>
        <w:t xml:space="preserve">. </w:t>
      </w:r>
      <w:r w:rsidR="008B561C">
        <w:rPr>
          <w:color w:val="000000"/>
        </w:rPr>
        <w:tab/>
      </w:r>
      <w:r w:rsidR="0064690A">
        <w:rPr>
          <w:color w:val="000000"/>
        </w:rPr>
        <w:t>Th</w:t>
      </w:r>
      <w:r w:rsidR="00BF6FF6">
        <w:rPr>
          <w:color w:val="000000"/>
        </w:rPr>
        <w:t>is</w:t>
      </w:r>
      <w:r w:rsidR="0064690A">
        <w:rPr>
          <w:color w:val="000000"/>
        </w:rPr>
        <w:t xml:space="preserve"> instrument amends</w:t>
      </w:r>
      <w:r w:rsidR="00947516">
        <w:rPr>
          <w:color w:val="000000"/>
        </w:rPr>
        <w:t xml:space="preserve"> the</w:t>
      </w:r>
      <w:r w:rsidR="0064690A">
        <w:rPr>
          <w:color w:val="000000"/>
        </w:rPr>
        <w:t xml:space="preserve"> </w:t>
      </w:r>
      <w:r w:rsidR="00BF6FF6">
        <w:rPr>
          <w:color w:val="000000"/>
          <w:shd w:val="clear" w:color="auto" w:fill="FFFFFF"/>
        </w:rPr>
        <w:t>Principal Instrument</w:t>
      </w:r>
      <w:r w:rsidR="0064690A">
        <w:rPr>
          <w:color w:val="000000"/>
        </w:rPr>
        <w:t xml:space="preserve">. </w:t>
      </w:r>
      <w:r w:rsidR="009957ED">
        <w:rPr>
          <w:color w:val="000000"/>
        </w:rPr>
        <w:t>Under subsection 33(3) of the </w:t>
      </w:r>
      <w:r w:rsidR="009957ED">
        <w:rPr>
          <w:i/>
          <w:iCs/>
          <w:color w:val="000000"/>
        </w:rPr>
        <w:t>Acts Interpretation Act 1901</w:t>
      </w:r>
      <w:r w:rsidR="009957ED">
        <w:rPr>
          <w:color w:val="000000"/>
        </w:rPr>
        <w:t xml:space="preserve"> (as in force </w:t>
      </w:r>
      <w:proofErr w:type="gramStart"/>
      <w:r w:rsidR="009957ED">
        <w:rPr>
          <w:color w:val="000000"/>
        </w:rPr>
        <w:t>at</w:t>
      </w:r>
      <w:proofErr w:type="gramEnd"/>
      <w:r w:rsidR="009957ED">
        <w:rPr>
          <w:color w:val="000000"/>
        </w:rPr>
        <w:t xml:space="preserve"> 1 January 2005 and as applicable to the relevant powers because of section 5C of the Act), where an Act confers a power to make any instrument, the power is to be construed as including a power exercisable in the like manner and subject to the like conditions (if any) to amend any such instrument.</w:t>
      </w:r>
    </w:p>
    <w:p w14:paraId="336186DD" w14:textId="19C987C2" w:rsidR="009957ED" w:rsidRDefault="00657DCA" w:rsidP="009957ED">
      <w:pPr>
        <w:pStyle w:val="li-bodytextparaa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</w:rPr>
        <w:t>22</w:t>
      </w:r>
      <w:r w:rsidR="008B561C">
        <w:rPr>
          <w:color w:val="000000"/>
        </w:rPr>
        <w:t>.</w:t>
      </w:r>
      <w:r w:rsidR="008B561C">
        <w:rPr>
          <w:color w:val="000000"/>
        </w:rPr>
        <w:tab/>
      </w:r>
      <w:r w:rsidR="009957ED">
        <w:rPr>
          <w:color w:val="000000"/>
        </w:rPr>
        <w:t>Th</w:t>
      </w:r>
      <w:r w:rsidR="00BF6FF6">
        <w:rPr>
          <w:color w:val="000000"/>
        </w:rPr>
        <w:t>is</w:t>
      </w:r>
      <w:r w:rsidR="009957ED">
        <w:rPr>
          <w:color w:val="000000"/>
        </w:rPr>
        <w:t xml:space="preserve"> </w:t>
      </w:r>
      <w:r w:rsidR="0064690A">
        <w:rPr>
          <w:color w:val="000000"/>
        </w:rPr>
        <w:t>i</w:t>
      </w:r>
      <w:r w:rsidR="009957ED">
        <w:rPr>
          <w:color w:val="000000"/>
        </w:rPr>
        <w:t xml:space="preserve">nstrument </w:t>
      </w:r>
      <w:r w:rsidR="0064690A">
        <w:rPr>
          <w:color w:val="000000"/>
        </w:rPr>
        <w:t>is a</w:t>
      </w:r>
      <w:r w:rsidR="009957ED">
        <w:rPr>
          <w:color w:val="000000"/>
        </w:rPr>
        <w:t xml:space="preserve"> disallowable legislative instrument under the </w:t>
      </w:r>
      <w:r w:rsidR="009957ED">
        <w:rPr>
          <w:i/>
          <w:iCs/>
          <w:color w:val="000000"/>
        </w:rPr>
        <w:t>Legislation Act 2003</w:t>
      </w:r>
      <w:r w:rsidR="009957ED">
        <w:rPr>
          <w:color w:val="000000"/>
        </w:rPr>
        <w:t>.</w:t>
      </w:r>
    </w:p>
    <w:p w14:paraId="4D930F2D" w14:textId="77777777" w:rsidR="00EA17A6" w:rsidRPr="00EA17A6" w:rsidRDefault="00EA17A6" w:rsidP="006D6079">
      <w:pPr>
        <w:pStyle w:val="LI-BodyTextNumbered"/>
        <w:keepNext/>
        <w:ind w:left="0" w:firstLine="0"/>
        <w:rPr>
          <w:b/>
        </w:rPr>
      </w:pPr>
      <w:r w:rsidRPr="00EA17A6">
        <w:rPr>
          <w:b/>
        </w:rPr>
        <w:lastRenderedPageBreak/>
        <w:t xml:space="preserve">Statement of Compatibility with Human Rights  </w:t>
      </w:r>
    </w:p>
    <w:p w14:paraId="1DBA07BE" w14:textId="674F4FA1" w:rsidR="00223DCF" w:rsidRPr="00EA17A6" w:rsidRDefault="00657DCA" w:rsidP="00435EEF">
      <w:pPr>
        <w:pStyle w:val="LI-BodyTextParaa"/>
        <w:ind w:left="567"/>
      </w:pPr>
      <w:r>
        <w:t>23</w:t>
      </w:r>
      <w:r w:rsidR="008B561C">
        <w:t>.</w:t>
      </w:r>
      <w:r w:rsidR="008B561C">
        <w:tab/>
      </w:r>
      <w:r w:rsidR="00ED6DF2">
        <w:rPr>
          <w:color w:val="000000"/>
          <w:shd w:val="clear" w:color="auto" w:fill="FFFFFF"/>
        </w:rPr>
        <w:t>The Explanatory Statement for a disallowable legislative instrument must contain a Statement of Compatibility with Human Rights under subsection 9(1) of the </w:t>
      </w:r>
      <w:r w:rsidR="00ED6DF2">
        <w:rPr>
          <w:i/>
          <w:iCs/>
          <w:color w:val="000000"/>
          <w:shd w:val="clear" w:color="auto" w:fill="FFFFFF"/>
        </w:rPr>
        <w:t>Human Rights (Parliamentary Scrutiny) Act 2011.</w:t>
      </w:r>
      <w:r w:rsidR="00ED6DF2">
        <w:rPr>
          <w:color w:val="000000"/>
          <w:shd w:val="clear" w:color="auto" w:fill="FFFFFF"/>
        </w:rPr>
        <w:t> A Statement of Compatibility with Human Rights is in the </w:t>
      </w:r>
      <w:r w:rsidR="00ED6DF2">
        <w:rPr>
          <w:color w:val="000000"/>
          <w:u w:val="single"/>
          <w:shd w:val="clear" w:color="auto" w:fill="FFFFFF"/>
        </w:rPr>
        <w:t>Attachment</w:t>
      </w:r>
      <w:r w:rsidR="00ED6DF2">
        <w:rPr>
          <w:color w:val="000000"/>
          <w:shd w:val="clear" w:color="auto" w:fill="FFFFFF"/>
        </w:rPr>
        <w:t>.</w:t>
      </w:r>
    </w:p>
    <w:p w14:paraId="04C7C810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F52BE96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24668A36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2" w:name="_Hlk534286677"/>
    </w:p>
    <w:p w14:paraId="0CD10E11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479309B7" w14:textId="1461074D" w:rsidR="00A26593" w:rsidRDefault="00A26593" w:rsidP="00A26593">
      <w:pPr>
        <w:pStyle w:val="li-bodytextnumbered0"/>
        <w:shd w:val="clear" w:color="auto" w:fill="FFFFFF"/>
        <w:spacing w:before="24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ASIC Corporations (Amendment) Instrument 2023/</w:t>
      </w:r>
      <w:r w:rsidR="00C92933">
        <w:rPr>
          <w:b/>
          <w:bCs/>
          <w:i/>
          <w:iCs/>
          <w:color w:val="000000"/>
        </w:rPr>
        <w:t>706</w:t>
      </w:r>
    </w:p>
    <w:p w14:paraId="68752EA2" w14:textId="77777777" w:rsidR="00A26593" w:rsidRDefault="00A26593" w:rsidP="00A26593">
      <w:pPr>
        <w:pStyle w:val="li-bodytextnumbered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  <w:u w:val="single"/>
        </w:rPr>
        <w:t>Overview</w:t>
      </w:r>
    </w:p>
    <w:p w14:paraId="728AF376" w14:textId="10AF3996" w:rsidR="00A26593" w:rsidRDefault="00657DCA" w:rsidP="00A26593">
      <w:pPr>
        <w:pStyle w:val="li-bodytextparaa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</w:rPr>
        <w:t>24</w:t>
      </w:r>
      <w:r w:rsidR="008B561C">
        <w:rPr>
          <w:color w:val="000000"/>
        </w:rPr>
        <w:t>.</w:t>
      </w:r>
      <w:r w:rsidR="008B561C">
        <w:rPr>
          <w:color w:val="000000"/>
        </w:rPr>
        <w:tab/>
      </w:r>
      <w:r w:rsidR="00A26593">
        <w:rPr>
          <w:i/>
          <w:iCs/>
          <w:color w:val="000000"/>
        </w:rPr>
        <w:t>ASIC Corporations (</w:t>
      </w:r>
      <w:r w:rsidR="00D725B4">
        <w:rPr>
          <w:i/>
          <w:iCs/>
          <w:color w:val="000000"/>
        </w:rPr>
        <w:t>Amendment)</w:t>
      </w:r>
      <w:r w:rsidR="00A26593">
        <w:rPr>
          <w:i/>
          <w:iCs/>
          <w:color w:val="000000"/>
        </w:rPr>
        <w:t xml:space="preserve"> Instrument 202</w:t>
      </w:r>
      <w:r w:rsidR="00D725B4">
        <w:rPr>
          <w:i/>
          <w:iCs/>
          <w:color w:val="000000"/>
        </w:rPr>
        <w:t>3</w:t>
      </w:r>
      <w:r w:rsidR="00A26593">
        <w:rPr>
          <w:i/>
          <w:iCs/>
          <w:color w:val="000000"/>
        </w:rPr>
        <w:t>/</w:t>
      </w:r>
      <w:r w:rsidR="00C92933">
        <w:rPr>
          <w:i/>
          <w:iCs/>
          <w:color w:val="000000"/>
        </w:rPr>
        <w:t xml:space="preserve">706 </w:t>
      </w:r>
      <w:r w:rsidR="00A26593">
        <w:rPr>
          <w:color w:val="000000"/>
        </w:rPr>
        <w:t>(</w:t>
      </w:r>
      <w:r w:rsidR="00D725B4" w:rsidRPr="005F0609">
        <w:rPr>
          <w:b/>
          <w:bCs/>
          <w:color w:val="000000"/>
        </w:rPr>
        <w:t xml:space="preserve">Amendment </w:t>
      </w:r>
      <w:r w:rsidR="00A26593" w:rsidRPr="005F0609">
        <w:rPr>
          <w:b/>
          <w:bCs/>
          <w:color w:val="000000"/>
        </w:rPr>
        <w:t>Instrument</w:t>
      </w:r>
      <w:r w:rsidR="00A26593" w:rsidRPr="005F0609">
        <w:rPr>
          <w:color w:val="000000"/>
        </w:rPr>
        <w:t>)</w:t>
      </w:r>
      <w:r w:rsidR="00A26593" w:rsidRPr="00BF6FF6">
        <w:rPr>
          <w:color w:val="000000"/>
        </w:rPr>
        <w:t> </w:t>
      </w:r>
      <w:r w:rsidR="00D725B4">
        <w:rPr>
          <w:color w:val="000000"/>
        </w:rPr>
        <w:t>extends the</w:t>
      </w:r>
      <w:r w:rsidR="00CA5CB9">
        <w:rPr>
          <w:color w:val="000000"/>
        </w:rPr>
        <w:t xml:space="preserve"> period of operation of the</w:t>
      </w:r>
      <w:r w:rsidR="00A26593">
        <w:rPr>
          <w:color w:val="000000"/>
        </w:rPr>
        <w:t> </w:t>
      </w:r>
      <w:r w:rsidR="00A26593">
        <w:rPr>
          <w:i/>
          <w:iCs/>
          <w:color w:val="000000"/>
        </w:rPr>
        <w:t>ASIC Corporations (</w:t>
      </w:r>
      <w:r w:rsidR="00D725B4">
        <w:rPr>
          <w:i/>
          <w:iCs/>
          <w:color w:val="000000"/>
        </w:rPr>
        <w:t>Design and Distribution Obligations Interim Measures</w:t>
      </w:r>
      <w:r w:rsidR="00A26593">
        <w:rPr>
          <w:i/>
          <w:iCs/>
          <w:color w:val="000000"/>
        </w:rPr>
        <w:t>) Instrument 2021/78</w:t>
      </w:r>
      <w:r w:rsidR="00CA5CB9">
        <w:rPr>
          <w:i/>
          <w:iCs/>
          <w:color w:val="000000"/>
        </w:rPr>
        <w:t>4</w:t>
      </w:r>
      <w:r w:rsidR="00A26593">
        <w:rPr>
          <w:color w:val="000000"/>
        </w:rPr>
        <w:t> (the </w:t>
      </w:r>
      <w:r w:rsidR="00267A0E">
        <w:rPr>
          <w:b/>
          <w:bCs/>
          <w:color w:val="000000"/>
        </w:rPr>
        <w:t>Principal</w:t>
      </w:r>
      <w:r w:rsidR="00A26593">
        <w:rPr>
          <w:b/>
          <w:bCs/>
          <w:i/>
          <w:iCs/>
          <w:color w:val="000000"/>
        </w:rPr>
        <w:t xml:space="preserve"> </w:t>
      </w:r>
      <w:r w:rsidR="00A26593" w:rsidRPr="005F0609">
        <w:rPr>
          <w:b/>
          <w:bCs/>
          <w:color w:val="000000"/>
        </w:rPr>
        <w:t>Instrument</w:t>
      </w:r>
      <w:r w:rsidR="00A26593">
        <w:rPr>
          <w:color w:val="000000"/>
        </w:rPr>
        <w:t xml:space="preserve">) </w:t>
      </w:r>
      <w:r w:rsidR="00CA5CB9">
        <w:rPr>
          <w:color w:val="000000"/>
        </w:rPr>
        <w:t xml:space="preserve">which </w:t>
      </w:r>
      <w:r w:rsidR="00A26593">
        <w:rPr>
          <w:color w:val="000000"/>
        </w:rPr>
        <w:t>put in place interim measures to provide certainty on the application of the design and distribution obligations (</w:t>
      </w:r>
      <w:r w:rsidR="00A26593" w:rsidRPr="005F0609">
        <w:rPr>
          <w:b/>
          <w:bCs/>
          <w:color w:val="000000"/>
        </w:rPr>
        <w:t>DDO</w:t>
      </w:r>
      <w:r w:rsidR="00A26593">
        <w:rPr>
          <w:color w:val="000000"/>
        </w:rPr>
        <w:t>) regime under Part 7.8A of the </w:t>
      </w:r>
      <w:r w:rsidR="00A26593">
        <w:rPr>
          <w:i/>
          <w:iCs/>
          <w:color w:val="000000"/>
        </w:rPr>
        <w:t>Corporations Act 2001</w:t>
      </w:r>
      <w:r w:rsidR="00A26593">
        <w:rPr>
          <w:color w:val="000000"/>
        </w:rPr>
        <w:t> (the </w:t>
      </w:r>
      <w:r w:rsidR="00A26593" w:rsidRPr="005F0609">
        <w:rPr>
          <w:b/>
          <w:bCs/>
          <w:color w:val="000000"/>
        </w:rPr>
        <w:t>Act</w:t>
      </w:r>
      <w:r w:rsidR="00A26593">
        <w:rPr>
          <w:color w:val="000000"/>
        </w:rPr>
        <w:t>)</w:t>
      </w:r>
      <w:r w:rsidR="00A26593">
        <w:rPr>
          <w:i/>
          <w:iCs/>
          <w:color w:val="000000"/>
        </w:rPr>
        <w:t> </w:t>
      </w:r>
      <w:r w:rsidR="00A26593">
        <w:rPr>
          <w:color w:val="000000"/>
        </w:rPr>
        <w:t>consistent with the Government’s publicly stated policy intention, using ASIC’s modification and exemption powers.</w:t>
      </w:r>
      <w:r w:rsidR="00AF2BA1">
        <w:rPr>
          <w:color w:val="000000"/>
        </w:rPr>
        <w:t xml:space="preserve"> The Amendment Instrument also removes a</w:t>
      </w:r>
      <w:r w:rsidR="00947516">
        <w:rPr>
          <w:color w:val="000000"/>
        </w:rPr>
        <w:t>n exemption for</w:t>
      </w:r>
      <w:r w:rsidR="00AF2BA1">
        <w:rPr>
          <w:color w:val="000000"/>
        </w:rPr>
        <w:t xml:space="preserve"> cashless welfare arrangements. </w:t>
      </w:r>
    </w:p>
    <w:p w14:paraId="57AAE44F" w14:textId="77777777" w:rsidR="00A26593" w:rsidRDefault="00A26593" w:rsidP="00A26593">
      <w:pPr>
        <w:pStyle w:val="li-bodytextnumbered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  <w:u w:val="single"/>
        </w:rPr>
        <w:t>Assessment of human rights implications</w:t>
      </w:r>
    </w:p>
    <w:p w14:paraId="5205A103" w14:textId="2A3AE485" w:rsidR="00A26593" w:rsidRDefault="008B561C" w:rsidP="00A26593">
      <w:pPr>
        <w:pStyle w:val="li-bodytextnumbered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</w:rPr>
        <w:t>2</w:t>
      </w:r>
      <w:r w:rsidR="00657DCA">
        <w:rPr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ab/>
        <w:t>This</w:t>
      </w:r>
      <w:r w:rsidR="00A26593">
        <w:rPr>
          <w:color w:val="000000"/>
        </w:rPr>
        <w:t xml:space="preserve"> instrument </w:t>
      </w:r>
      <w:r>
        <w:rPr>
          <w:color w:val="000000"/>
        </w:rPr>
        <w:t>is</w:t>
      </w:r>
      <w:r w:rsidR="00A26593">
        <w:rPr>
          <w:color w:val="000000"/>
        </w:rPr>
        <w:t xml:space="preserve"> compatible with the human rights and freedoms recognised or declared in the international instruments listed in section 3 of the </w:t>
      </w:r>
      <w:r w:rsidR="00A26593">
        <w:rPr>
          <w:i/>
          <w:iCs/>
          <w:color w:val="000000"/>
        </w:rPr>
        <w:t>Human Rights (Parliamentary Scrutiny) Act 2011</w:t>
      </w:r>
      <w:r w:rsidR="00A26593">
        <w:rPr>
          <w:color w:val="000000"/>
        </w:rPr>
        <w:t>.</w:t>
      </w:r>
    </w:p>
    <w:p w14:paraId="3CFEC2A9" w14:textId="3D73581E" w:rsidR="00A26593" w:rsidRDefault="008B561C" w:rsidP="00A26593">
      <w:pPr>
        <w:pStyle w:val="li-bodytextnumbered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</w:rPr>
        <w:t>2</w:t>
      </w:r>
      <w:r w:rsidR="00657DCA">
        <w:rPr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ab/>
      </w:r>
      <w:r w:rsidR="00A26593">
        <w:rPr>
          <w:color w:val="000000"/>
        </w:rPr>
        <w:t>The DDO framework was introduced by </w:t>
      </w:r>
      <w:r w:rsidR="00A26593">
        <w:rPr>
          <w:i/>
          <w:iCs/>
          <w:color w:val="000000"/>
          <w:shd w:val="clear" w:color="auto" w:fill="FFFFFF"/>
        </w:rPr>
        <w:t>Treasury Laws Amendment (Design</w:t>
      </w:r>
      <w:r w:rsidR="00A26593">
        <w:rPr>
          <w:color w:val="000000"/>
        </w:rPr>
        <w:t> Act,</w:t>
      </w:r>
      <w:r w:rsidR="00A26593">
        <w:rPr>
          <w:i/>
          <w:iCs/>
          <w:color w:val="000000"/>
          <w:shd w:val="clear" w:color="auto" w:fill="FFFFFF"/>
        </w:rPr>
        <w:t> and Distribution Obligations and Product Intervention Powers) Act 2019 </w:t>
      </w:r>
      <w:r w:rsidR="00A26593">
        <w:rPr>
          <w:color w:val="000000"/>
          <w:shd w:val="clear" w:color="auto" w:fill="FFFFFF"/>
        </w:rPr>
        <w:t>(</w:t>
      </w:r>
      <w:r w:rsidR="00A26593" w:rsidRPr="005F0609">
        <w:rPr>
          <w:b/>
          <w:bCs/>
          <w:color w:val="000000"/>
          <w:shd w:val="clear" w:color="auto" w:fill="FFFFFF"/>
        </w:rPr>
        <w:t>DDO</w:t>
      </w:r>
      <w:r w:rsidR="00A26593" w:rsidRPr="005F0609">
        <w:rPr>
          <w:color w:val="000000"/>
          <w:shd w:val="clear" w:color="auto" w:fill="FFFFFF"/>
        </w:rPr>
        <w:t> </w:t>
      </w:r>
      <w:r w:rsidR="00A26593" w:rsidRPr="005F0609">
        <w:rPr>
          <w:b/>
          <w:bCs/>
          <w:color w:val="000000"/>
          <w:shd w:val="clear" w:color="auto" w:fill="FFFFFF"/>
        </w:rPr>
        <w:t>Bill</w:t>
      </w:r>
      <w:r w:rsidR="00A26593" w:rsidRPr="005F0609">
        <w:rPr>
          <w:color w:val="000000"/>
          <w:shd w:val="clear" w:color="auto" w:fill="FFFFFF"/>
        </w:rPr>
        <w:t>) </w:t>
      </w:r>
      <w:r w:rsidR="00A26593">
        <w:rPr>
          <w:color w:val="000000"/>
          <w:shd w:val="clear" w:color="auto" w:fill="FFFFFF"/>
        </w:rPr>
        <w:t>and amended by the</w:t>
      </w:r>
      <w:r w:rsidR="00A0744F" w:rsidDel="00A0744F">
        <w:rPr>
          <w:color w:val="000000"/>
        </w:rPr>
        <w:t xml:space="preserve"> </w:t>
      </w:r>
      <w:r w:rsidR="00A26593">
        <w:rPr>
          <w:i/>
          <w:iCs/>
          <w:color w:val="000000"/>
          <w:shd w:val="clear" w:color="auto" w:fill="FFFFFF"/>
        </w:rPr>
        <w:t>Corporations Amendment (Design and Distribution Obligations) Regulations 2019 </w:t>
      </w:r>
      <w:r w:rsidR="00A26593">
        <w:rPr>
          <w:color w:val="000000"/>
          <w:shd w:val="clear" w:color="auto" w:fill="FFFFFF"/>
        </w:rPr>
        <w:t>(</w:t>
      </w:r>
      <w:r w:rsidR="00A26593" w:rsidRPr="005F0609">
        <w:rPr>
          <w:b/>
          <w:bCs/>
          <w:color w:val="000000"/>
          <w:shd w:val="clear" w:color="auto" w:fill="FFFFFF"/>
        </w:rPr>
        <w:t>DDO Regulations</w:t>
      </w:r>
      <w:r w:rsidR="00A26593" w:rsidRPr="00BF6FF6">
        <w:rPr>
          <w:color w:val="000000"/>
          <w:shd w:val="clear" w:color="auto" w:fill="FFFFFF"/>
        </w:rPr>
        <w:t>).</w:t>
      </w:r>
      <w:r w:rsidR="00A26593">
        <w:rPr>
          <w:color w:val="000000"/>
          <w:shd w:val="clear" w:color="auto" w:fill="FFFFFF"/>
        </w:rPr>
        <w:t xml:space="preserve"> As explained and discussed in the explanatory materials to the DDO Bill and the DDO Regulations, the DDO Framework</w:t>
      </w:r>
      <w:r w:rsidR="00A26593">
        <w:rPr>
          <w:color w:val="000000"/>
        </w:rPr>
        <w:t> potentially engages the following human rights:</w:t>
      </w:r>
    </w:p>
    <w:p w14:paraId="147EADAE" w14:textId="77777777" w:rsidR="00A26593" w:rsidRDefault="00A26593" w:rsidP="00A26593">
      <w:pPr>
        <w:pStyle w:val="li-bodytextnumbered0"/>
        <w:shd w:val="clear" w:color="auto" w:fill="FFFFFF"/>
        <w:spacing w:before="240" w:beforeAutospacing="0" w:after="0" w:afterAutospacing="0"/>
        <w:ind w:left="1080" w:hanging="360"/>
        <w:rPr>
          <w:color w:val="000000"/>
        </w:rPr>
      </w:pPr>
      <w:r>
        <w:rPr>
          <w:color w:val="000000"/>
        </w:rPr>
        <w:t>(a)</w:t>
      </w:r>
      <w:r>
        <w:rPr>
          <w:color w:val="000000"/>
          <w:sz w:val="14"/>
          <w:szCs w:val="14"/>
        </w:rPr>
        <w:t>    </w:t>
      </w:r>
      <w:r>
        <w:rPr>
          <w:color w:val="000000"/>
        </w:rPr>
        <w:t>the right to the presumption of innocence; and</w:t>
      </w:r>
    </w:p>
    <w:p w14:paraId="5AD9AF58" w14:textId="77777777" w:rsidR="00A26593" w:rsidRDefault="00A26593" w:rsidP="00A26593">
      <w:pPr>
        <w:pStyle w:val="li-bodytextnumbered0"/>
        <w:shd w:val="clear" w:color="auto" w:fill="FFFFFF"/>
        <w:spacing w:before="240" w:beforeAutospacing="0" w:after="0" w:afterAutospacing="0"/>
        <w:ind w:left="1080" w:hanging="360"/>
        <w:rPr>
          <w:color w:val="000000"/>
        </w:rPr>
      </w:pPr>
      <w:r>
        <w:rPr>
          <w:color w:val="000000"/>
        </w:rPr>
        <w:t>(b)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the right to privacy.</w:t>
      </w:r>
    </w:p>
    <w:p w14:paraId="6C28B994" w14:textId="6DE9C157" w:rsidR="00A26593" w:rsidRDefault="008B561C" w:rsidP="00A26593">
      <w:pPr>
        <w:pStyle w:val="li-bodytextnumbered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</w:rPr>
        <w:t>2</w:t>
      </w:r>
      <w:r w:rsidR="00657DCA">
        <w:rPr>
          <w:color w:val="000000"/>
        </w:rPr>
        <w:t>7</w:t>
      </w:r>
      <w:r>
        <w:rPr>
          <w:color w:val="000000"/>
        </w:rPr>
        <w:t>.</w:t>
      </w:r>
      <w:r>
        <w:rPr>
          <w:color w:val="000000"/>
        </w:rPr>
        <w:tab/>
      </w:r>
      <w:r w:rsidR="00A26593">
        <w:rPr>
          <w:color w:val="000000"/>
        </w:rPr>
        <w:t xml:space="preserve">The effect of the </w:t>
      </w:r>
      <w:r w:rsidR="00947516">
        <w:rPr>
          <w:color w:val="000000"/>
        </w:rPr>
        <w:t>Amendment I</w:t>
      </w:r>
      <w:r w:rsidR="00A26593">
        <w:rPr>
          <w:color w:val="000000"/>
        </w:rPr>
        <w:t xml:space="preserve">nstrument is to </w:t>
      </w:r>
      <w:r w:rsidR="00947516">
        <w:rPr>
          <w:color w:val="000000"/>
        </w:rPr>
        <w:t xml:space="preserve">amend the </w:t>
      </w:r>
      <w:r w:rsidR="00267A0E">
        <w:rPr>
          <w:color w:val="000000"/>
        </w:rPr>
        <w:t>Principal</w:t>
      </w:r>
      <w:r w:rsidR="00947516">
        <w:rPr>
          <w:color w:val="000000"/>
        </w:rPr>
        <w:t xml:space="preserve"> Instrument by </w:t>
      </w:r>
      <w:r>
        <w:rPr>
          <w:color w:val="000000"/>
        </w:rPr>
        <w:t>extend</w:t>
      </w:r>
      <w:r w:rsidR="00947516">
        <w:rPr>
          <w:color w:val="000000"/>
        </w:rPr>
        <w:t>ing</w:t>
      </w:r>
      <w:r>
        <w:rPr>
          <w:color w:val="000000"/>
        </w:rPr>
        <w:t xml:space="preserve"> the </w:t>
      </w:r>
      <w:r w:rsidR="00947516">
        <w:rPr>
          <w:color w:val="000000"/>
        </w:rPr>
        <w:t xml:space="preserve">duration of </w:t>
      </w:r>
      <w:r w:rsidR="00A26593">
        <w:rPr>
          <w:color w:val="000000"/>
        </w:rPr>
        <w:t>relief from certain requirements under the DDO legislative framework</w:t>
      </w:r>
      <w:r w:rsidR="00947516">
        <w:rPr>
          <w:color w:val="000000"/>
        </w:rPr>
        <w:t xml:space="preserve"> and </w:t>
      </w:r>
      <w:r w:rsidR="00142850">
        <w:rPr>
          <w:color w:val="000000"/>
        </w:rPr>
        <w:t>by removing</w:t>
      </w:r>
      <w:r w:rsidR="00947516">
        <w:rPr>
          <w:color w:val="000000"/>
        </w:rPr>
        <w:t xml:space="preserve"> an exemption for cashless welfare arrangements</w:t>
      </w:r>
      <w:r w:rsidR="00A26593">
        <w:rPr>
          <w:color w:val="000000"/>
        </w:rPr>
        <w:t>. To the extent that there may be any engagement with the above human rights, the instrument will be protective of those rights, and as a result, are compatible with the human rights and freedoms.</w:t>
      </w:r>
    </w:p>
    <w:p w14:paraId="71645135" w14:textId="77777777" w:rsidR="00A26593" w:rsidRDefault="00A26593" w:rsidP="00A26593">
      <w:pPr>
        <w:pStyle w:val="li-bodytextnumbered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  <w:u w:val="single"/>
        </w:rPr>
        <w:t>Conclusion</w:t>
      </w:r>
    </w:p>
    <w:p w14:paraId="308C5491" w14:textId="1BEB3147" w:rsidR="00A26593" w:rsidRDefault="008B561C" w:rsidP="00A26593">
      <w:pPr>
        <w:pStyle w:val="li-bodytextnumbered0"/>
        <w:shd w:val="clear" w:color="auto" w:fill="FFFFFF"/>
        <w:spacing w:before="240" w:beforeAutospacing="0" w:after="0" w:afterAutospacing="0"/>
        <w:ind w:left="567" w:hanging="567"/>
        <w:rPr>
          <w:color w:val="000000"/>
        </w:rPr>
      </w:pPr>
      <w:r>
        <w:rPr>
          <w:color w:val="000000"/>
        </w:rPr>
        <w:lastRenderedPageBreak/>
        <w:t>2</w:t>
      </w:r>
      <w:r w:rsidR="00657DCA">
        <w:rPr>
          <w:color w:val="000000"/>
        </w:rPr>
        <w:t>8</w:t>
      </w:r>
      <w:r>
        <w:rPr>
          <w:color w:val="000000"/>
        </w:rPr>
        <w:t xml:space="preserve">. </w:t>
      </w:r>
      <w:r>
        <w:rPr>
          <w:color w:val="000000"/>
        </w:rPr>
        <w:tab/>
      </w:r>
      <w:r w:rsidR="00A26593">
        <w:rPr>
          <w:color w:val="000000"/>
        </w:rPr>
        <w:t>Th</w:t>
      </w:r>
      <w:r w:rsidR="00142850">
        <w:rPr>
          <w:color w:val="000000"/>
        </w:rPr>
        <w:t>is</w:t>
      </w:r>
      <w:r w:rsidR="00A26593">
        <w:rPr>
          <w:color w:val="000000"/>
        </w:rPr>
        <w:t xml:space="preserve"> instrument</w:t>
      </w:r>
      <w:r w:rsidR="00142850">
        <w:rPr>
          <w:color w:val="000000"/>
        </w:rPr>
        <w:t xml:space="preserve"> is</w:t>
      </w:r>
      <w:r w:rsidR="00451D7D">
        <w:rPr>
          <w:color w:val="000000"/>
        </w:rPr>
        <w:t xml:space="preserve"> </w:t>
      </w:r>
      <w:r w:rsidR="00A26593">
        <w:rPr>
          <w:color w:val="000000"/>
        </w:rPr>
        <w:t>compatible with the human rights and freedoms recognised or declared in the international instruments listed in section 3 of the </w:t>
      </w:r>
      <w:r w:rsidR="00A26593">
        <w:rPr>
          <w:i/>
          <w:iCs/>
          <w:color w:val="000000"/>
        </w:rPr>
        <w:t>Human Rights (Parliamentary Scrutiny) Act 2011</w:t>
      </w:r>
      <w:r w:rsidR="00A26593">
        <w:rPr>
          <w:color w:val="000000"/>
        </w:rPr>
        <w:t>.</w:t>
      </w:r>
    </w:p>
    <w:bookmarkEnd w:id="2"/>
    <w:p w14:paraId="570BEB5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1EB6" w14:textId="77777777" w:rsidR="00F010DF" w:rsidRDefault="00F010DF" w:rsidP="00715914">
      <w:pPr>
        <w:spacing w:line="240" w:lineRule="auto"/>
      </w:pPr>
      <w:r>
        <w:separator/>
      </w:r>
    </w:p>
  </w:endnote>
  <w:endnote w:type="continuationSeparator" w:id="0">
    <w:p w14:paraId="06DE98CA" w14:textId="77777777" w:rsidR="00F010DF" w:rsidRDefault="00F010DF" w:rsidP="00715914">
      <w:pPr>
        <w:spacing w:line="240" w:lineRule="auto"/>
      </w:pPr>
      <w:r>
        <w:continuationSeparator/>
      </w:r>
    </w:p>
  </w:endnote>
  <w:endnote w:type="continuationNotice" w:id="1">
    <w:p w14:paraId="7FF2DE6F" w14:textId="77777777" w:rsidR="00F010DF" w:rsidRDefault="00F01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2D3B" w14:textId="77777777" w:rsidR="00F010DF" w:rsidRDefault="00F010DF" w:rsidP="00715914">
      <w:pPr>
        <w:spacing w:line="240" w:lineRule="auto"/>
      </w:pPr>
      <w:r>
        <w:separator/>
      </w:r>
    </w:p>
  </w:footnote>
  <w:footnote w:type="continuationSeparator" w:id="0">
    <w:p w14:paraId="7902FBA7" w14:textId="77777777" w:rsidR="00F010DF" w:rsidRDefault="00F010DF" w:rsidP="00715914">
      <w:pPr>
        <w:spacing w:line="240" w:lineRule="auto"/>
      </w:pPr>
      <w:r>
        <w:continuationSeparator/>
      </w:r>
    </w:p>
  </w:footnote>
  <w:footnote w:type="continuationNotice" w:id="1">
    <w:p w14:paraId="152744C3" w14:textId="77777777" w:rsidR="00F010DF" w:rsidRDefault="00F01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3CE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  <w:shd w:val="clear" w:color="auto" w:fill="auto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56C35"/>
    <w:multiLevelType w:val="hybridMultilevel"/>
    <w:tmpl w:val="CCBAB6B6"/>
    <w:lvl w:ilvl="0" w:tplc="557854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13"/>
  </w:num>
  <w:num w:numId="12" w16cid:durableId="1380130046">
    <w:abstractNumId w:val="10"/>
  </w:num>
  <w:num w:numId="13" w16cid:durableId="1614940614">
    <w:abstractNumId w:val="11"/>
  </w:num>
  <w:num w:numId="14" w16cid:durableId="1573616542">
    <w:abstractNumId w:val="14"/>
  </w:num>
  <w:num w:numId="15" w16cid:durableId="123668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5719"/>
    <w:rsid w:val="00023D53"/>
    <w:rsid w:val="000437C1"/>
    <w:rsid w:val="0005365D"/>
    <w:rsid w:val="000614BF"/>
    <w:rsid w:val="0006250C"/>
    <w:rsid w:val="00063F52"/>
    <w:rsid w:val="00074FDB"/>
    <w:rsid w:val="00081794"/>
    <w:rsid w:val="0008206B"/>
    <w:rsid w:val="00084FF4"/>
    <w:rsid w:val="000A142F"/>
    <w:rsid w:val="000A6C39"/>
    <w:rsid w:val="000B58FA"/>
    <w:rsid w:val="000B7A35"/>
    <w:rsid w:val="000C55A0"/>
    <w:rsid w:val="000D041F"/>
    <w:rsid w:val="000D05EF"/>
    <w:rsid w:val="000E2261"/>
    <w:rsid w:val="000E3C2E"/>
    <w:rsid w:val="000F21C1"/>
    <w:rsid w:val="00102CA6"/>
    <w:rsid w:val="0010745C"/>
    <w:rsid w:val="00125141"/>
    <w:rsid w:val="00130F62"/>
    <w:rsid w:val="00132CEB"/>
    <w:rsid w:val="00132D33"/>
    <w:rsid w:val="00142850"/>
    <w:rsid w:val="00142B62"/>
    <w:rsid w:val="00153B32"/>
    <w:rsid w:val="00157B8B"/>
    <w:rsid w:val="001624E1"/>
    <w:rsid w:val="00166C2F"/>
    <w:rsid w:val="00171A6E"/>
    <w:rsid w:val="001809D7"/>
    <w:rsid w:val="001863C3"/>
    <w:rsid w:val="0018659E"/>
    <w:rsid w:val="001872DC"/>
    <w:rsid w:val="001903CA"/>
    <w:rsid w:val="00190692"/>
    <w:rsid w:val="001939E1"/>
    <w:rsid w:val="00194C3E"/>
    <w:rsid w:val="00195382"/>
    <w:rsid w:val="00195BD4"/>
    <w:rsid w:val="001B1919"/>
    <w:rsid w:val="001C61C5"/>
    <w:rsid w:val="001C69C4"/>
    <w:rsid w:val="001D37EF"/>
    <w:rsid w:val="001E3590"/>
    <w:rsid w:val="001E7407"/>
    <w:rsid w:val="001E77ED"/>
    <w:rsid w:val="001E78CC"/>
    <w:rsid w:val="001E7E2B"/>
    <w:rsid w:val="001F02B1"/>
    <w:rsid w:val="001F5D5E"/>
    <w:rsid w:val="001F6219"/>
    <w:rsid w:val="001F6CD4"/>
    <w:rsid w:val="00206C4D"/>
    <w:rsid w:val="0021053C"/>
    <w:rsid w:val="00215AF1"/>
    <w:rsid w:val="0022087F"/>
    <w:rsid w:val="00220A36"/>
    <w:rsid w:val="00223DCF"/>
    <w:rsid w:val="002321E8"/>
    <w:rsid w:val="00234A6B"/>
    <w:rsid w:val="00236EEC"/>
    <w:rsid w:val="0024010F"/>
    <w:rsid w:val="00240749"/>
    <w:rsid w:val="00243018"/>
    <w:rsid w:val="00243EC0"/>
    <w:rsid w:val="00244742"/>
    <w:rsid w:val="002564A4"/>
    <w:rsid w:val="0026736C"/>
    <w:rsid w:val="00267A0E"/>
    <w:rsid w:val="0027667C"/>
    <w:rsid w:val="00281308"/>
    <w:rsid w:val="00281813"/>
    <w:rsid w:val="00284719"/>
    <w:rsid w:val="00297ECB"/>
    <w:rsid w:val="002A7328"/>
    <w:rsid w:val="002A7BCF"/>
    <w:rsid w:val="002B19F3"/>
    <w:rsid w:val="002B1A91"/>
    <w:rsid w:val="002B4A0D"/>
    <w:rsid w:val="002C0973"/>
    <w:rsid w:val="002C7B6F"/>
    <w:rsid w:val="002D043A"/>
    <w:rsid w:val="002D6224"/>
    <w:rsid w:val="002E3F4B"/>
    <w:rsid w:val="002F509E"/>
    <w:rsid w:val="00301671"/>
    <w:rsid w:val="00304F8B"/>
    <w:rsid w:val="00327DDF"/>
    <w:rsid w:val="00333FBB"/>
    <w:rsid w:val="003354D2"/>
    <w:rsid w:val="00335BC6"/>
    <w:rsid w:val="003415D3"/>
    <w:rsid w:val="00344701"/>
    <w:rsid w:val="00350AAA"/>
    <w:rsid w:val="003528DA"/>
    <w:rsid w:val="00352B0F"/>
    <w:rsid w:val="00354B71"/>
    <w:rsid w:val="00356690"/>
    <w:rsid w:val="00357463"/>
    <w:rsid w:val="00357DD0"/>
    <w:rsid w:val="00360459"/>
    <w:rsid w:val="00365497"/>
    <w:rsid w:val="00387A96"/>
    <w:rsid w:val="003A2178"/>
    <w:rsid w:val="003A2A48"/>
    <w:rsid w:val="003A6735"/>
    <w:rsid w:val="003B28C3"/>
    <w:rsid w:val="003B732F"/>
    <w:rsid w:val="003C6231"/>
    <w:rsid w:val="003D0BFE"/>
    <w:rsid w:val="003D5700"/>
    <w:rsid w:val="003E0D48"/>
    <w:rsid w:val="003E0F99"/>
    <w:rsid w:val="003E341B"/>
    <w:rsid w:val="003F3D14"/>
    <w:rsid w:val="003F3EFD"/>
    <w:rsid w:val="003F7DAA"/>
    <w:rsid w:val="0040053F"/>
    <w:rsid w:val="00406686"/>
    <w:rsid w:val="004116CD"/>
    <w:rsid w:val="004144EC"/>
    <w:rsid w:val="00417EB9"/>
    <w:rsid w:val="00424CA9"/>
    <w:rsid w:val="00431E9B"/>
    <w:rsid w:val="00434186"/>
    <w:rsid w:val="00435EEF"/>
    <w:rsid w:val="004379E3"/>
    <w:rsid w:val="0044015E"/>
    <w:rsid w:val="0044291A"/>
    <w:rsid w:val="00444ABD"/>
    <w:rsid w:val="00447DB4"/>
    <w:rsid w:val="0045007F"/>
    <w:rsid w:val="00451D7D"/>
    <w:rsid w:val="00460F1D"/>
    <w:rsid w:val="00465DC1"/>
    <w:rsid w:val="00467661"/>
    <w:rsid w:val="004705B7"/>
    <w:rsid w:val="00472DBE"/>
    <w:rsid w:val="0047316D"/>
    <w:rsid w:val="00474A19"/>
    <w:rsid w:val="00474B52"/>
    <w:rsid w:val="00476522"/>
    <w:rsid w:val="00481C24"/>
    <w:rsid w:val="00481F6A"/>
    <w:rsid w:val="004823C0"/>
    <w:rsid w:val="0048276B"/>
    <w:rsid w:val="00492416"/>
    <w:rsid w:val="00495D4D"/>
    <w:rsid w:val="00496B5F"/>
    <w:rsid w:val="00496F97"/>
    <w:rsid w:val="004A44FC"/>
    <w:rsid w:val="004B4841"/>
    <w:rsid w:val="004B5B44"/>
    <w:rsid w:val="004C1CB1"/>
    <w:rsid w:val="004D0942"/>
    <w:rsid w:val="004D2BE1"/>
    <w:rsid w:val="004D7E7F"/>
    <w:rsid w:val="004E063A"/>
    <w:rsid w:val="004E7BEC"/>
    <w:rsid w:val="004F112D"/>
    <w:rsid w:val="0050044F"/>
    <w:rsid w:val="0050421E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42BF6"/>
    <w:rsid w:val="005574D1"/>
    <w:rsid w:val="00561ABB"/>
    <w:rsid w:val="005657FE"/>
    <w:rsid w:val="00572BB1"/>
    <w:rsid w:val="0057670F"/>
    <w:rsid w:val="00584811"/>
    <w:rsid w:val="00585784"/>
    <w:rsid w:val="00593AA6"/>
    <w:rsid w:val="00594161"/>
    <w:rsid w:val="00594749"/>
    <w:rsid w:val="005A35FF"/>
    <w:rsid w:val="005B4067"/>
    <w:rsid w:val="005B780C"/>
    <w:rsid w:val="005C3F41"/>
    <w:rsid w:val="005D0489"/>
    <w:rsid w:val="005D1770"/>
    <w:rsid w:val="005D1FEA"/>
    <w:rsid w:val="005D2D09"/>
    <w:rsid w:val="005D3D41"/>
    <w:rsid w:val="005E0A27"/>
    <w:rsid w:val="005E4810"/>
    <w:rsid w:val="005F0609"/>
    <w:rsid w:val="005F1DB6"/>
    <w:rsid w:val="005F4140"/>
    <w:rsid w:val="005F65CD"/>
    <w:rsid w:val="00600219"/>
    <w:rsid w:val="00601955"/>
    <w:rsid w:val="00603DC4"/>
    <w:rsid w:val="00607A71"/>
    <w:rsid w:val="00610709"/>
    <w:rsid w:val="006117CB"/>
    <w:rsid w:val="00620076"/>
    <w:rsid w:val="00634044"/>
    <w:rsid w:val="00640161"/>
    <w:rsid w:val="0064690A"/>
    <w:rsid w:val="00652769"/>
    <w:rsid w:val="0065542F"/>
    <w:rsid w:val="006554FF"/>
    <w:rsid w:val="00657DCA"/>
    <w:rsid w:val="00670752"/>
    <w:rsid w:val="00670EA1"/>
    <w:rsid w:val="00677CC2"/>
    <w:rsid w:val="006905DE"/>
    <w:rsid w:val="0069207B"/>
    <w:rsid w:val="00693F29"/>
    <w:rsid w:val="006B5789"/>
    <w:rsid w:val="006C0AFA"/>
    <w:rsid w:val="006C30C5"/>
    <w:rsid w:val="006C48FA"/>
    <w:rsid w:val="006C7F8C"/>
    <w:rsid w:val="006D6079"/>
    <w:rsid w:val="006E2B19"/>
    <w:rsid w:val="006E5320"/>
    <w:rsid w:val="006E6246"/>
    <w:rsid w:val="006E7BAB"/>
    <w:rsid w:val="006F318F"/>
    <w:rsid w:val="006F4226"/>
    <w:rsid w:val="0070017E"/>
    <w:rsid w:val="00700B2C"/>
    <w:rsid w:val="00701841"/>
    <w:rsid w:val="00702EFD"/>
    <w:rsid w:val="007050A2"/>
    <w:rsid w:val="00713084"/>
    <w:rsid w:val="0071399B"/>
    <w:rsid w:val="00714F20"/>
    <w:rsid w:val="0071590F"/>
    <w:rsid w:val="00715914"/>
    <w:rsid w:val="00724F4C"/>
    <w:rsid w:val="00725A8E"/>
    <w:rsid w:val="00731E00"/>
    <w:rsid w:val="00741EE8"/>
    <w:rsid w:val="007440B7"/>
    <w:rsid w:val="007456BD"/>
    <w:rsid w:val="007500C8"/>
    <w:rsid w:val="00756272"/>
    <w:rsid w:val="00765001"/>
    <w:rsid w:val="00766092"/>
    <w:rsid w:val="007662B5"/>
    <w:rsid w:val="0076681A"/>
    <w:rsid w:val="007715C9"/>
    <w:rsid w:val="00771613"/>
    <w:rsid w:val="00774EDD"/>
    <w:rsid w:val="0077506D"/>
    <w:rsid w:val="007757EC"/>
    <w:rsid w:val="00780D64"/>
    <w:rsid w:val="00783E89"/>
    <w:rsid w:val="007842CE"/>
    <w:rsid w:val="00785A9E"/>
    <w:rsid w:val="00793915"/>
    <w:rsid w:val="007B0F2D"/>
    <w:rsid w:val="007B4C4F"/>
    <w:rsid w:val="007C2253"/>
    <w:rsid w:val="007D230B"/>
    <w:rsid w:val="007E163D"/>
    <w:rsid w:val="007E667A"/>
    <w:rsid w:val="007F28C9"/>
    <w:rsid w:val="0080312D"/>
    <w:rsid w:val="00803587"/>
    <w:rsid w:val="008117E9"/>
    <w:rsid w:val="00824441"/>
    <w:rsid w:val="00824498"/>
    <w:rsid w:val="008346A0"/>
    <w:rsid w:val="00835179"/>
    <w:rsid w:val="008356AC"/>
    <w:rsid w:val="00840442"/>
    <w:rsid w:val="00842367"/>
    <w:rsid w:val="008527C0"/>
    <w:rsid w:val="00856A31"/>
    <w:rsid w:val="00860B58"/>
    <w:rsid w:val="00863657"/>
    <w:rsid w:val="00867B37"/>
    <w:rsid w:val="008718DD"/>
    <w:rsid w:val="0087539C"/>
    <w:rsid w:val="008754D0"/>
    <w:rsid w:val="008855C9"/>
    <w:rsid w:val="00886456"/>
    <w:rsid w:val="008945E0"/>
    <w:rsid w:val="0089527F"/>
    <w:rsid w:val="008A362B"/>
    <w:rsid w:val="008A46E1"/>
    <w:rsid w:val="008A4F43"/>
    <w:rsid w:val="008B1298"/>
    <w:rsid w:val="008B2706"/>
    <w:rsid w:val="008B561C"/>
    <w:rsid w:val="008C0B28"/>
    <w:rsid w:val="008C0F29"/>
    <w:rsid w:val="008C4A06"/>
    <w:rsid w:val="008C4C56"/>
    <w:rsid w:val="008D0EE0"/>
    <w:rsid w:val="008D3422"/>
    <w:rsid w:val="008D7500"/>
    <w:rsid w:val="008E6067"/>
    <w:rsid w:val="008F3BAD"/>
    <w:rsid w:val="008F54E7"/>
    <w:rsid w:val="009016BE"/>
    <w:rsid w:val="00903422"/>
    <w:rsid w:val="00912A58"/>
    <w:rsid w:val="009157B9"/>
    <w:rsid w:val="00915DF9"/>
    <w:rsid w:val="009254C3"/>
    <w:rsid w:val="00926940"/>
    <w:rsid w:val="00930A0A"/>
    <w:rsid w:val="00932377"/>
    <w:rsid w:val="009460DC"/>
    <w:rsid w:val="00946759"/>
    <w:rsid w:val="00947516"/>
    <w:rsid w:val="00947D5A"/>
    <w:rsid w:val="009532A5"/>
    <w:rsid w:val="00955175"/>
    <w:rsid w:val="0095528E"/>
    <w:rsid w:val="0096753E"/>
    <w:rsid w:val="009720E0"/>
    <w:rsid w:val="00982242"/>
    <w:rsid w:val="009868E9"/>
    <w:rsid w:val="009944E6"/>
    <w:rsid w:val="009957ED"/>
    <w:rsid w:val="009A2319"/>
    <w:rsid w:val="009A3A6F"/>
    <w:rsid w:val="009A3F74"/>
    <w:rsid w:val="009A49C9"/>
    <w:rsid w:val="009A5171"/>
    <w:rsid w:val="009B58AC"/>
    <w:rsid w:val="009C2791"/>
    <w:rsid w:val="009D1818"/>
    <w:rsid w:val="009D195A"/>
    <w:rsid w:val="009D7993"/>
    <w:rsid w:val="009E215D"/>
    <w:rsid w:val="009E5CFC"/>
    <w:rsid w:val="009E75A7"/>
    <w:rsid w:val="009F0F51"/>
    <w:rsid w:val="00A00203"/>
    <w:rsid w:val="00A03AF1"/>
    <w:rsid w:val="00A0744F"/>
    <w:rsid w:val="00A079CB"/>
    <w:rsid w:val="00A12128"/>
    <w:rsid w:val="00A12F48"/>
    <w:rsid w:val="00A14F6A"/>
    <w:rsid w:val="00A15512"/>
    <w:rsid w:val="00A22C98"/>
    <w:rsid w:val="00A231E2"/>
    <w:rsid w:val="00A24F3B"/>
    <w:rsid w:val="00A26593"/>
    <w:rsid w:val="00A33D55"/>
    <w:rsid w:val="00A34412"/>
    <w:rsid w:val="00A40424"/>
    <w:rsid w:val="00A44C99"/>
    <w:rsid w:val="00A52B0F"/>
    <w:rsid w:val="00A52FC2"/>
    <w:rsid w:val="00A559B3"/>
    <w:rsid w:val="00A5632E"/>
    <w:rsid w:val="00A63F68"/>
    <w:rsid w:val="00A64912"/>
    <w:rsid w:val="00A70137"/>
    <w:rsid w:val="00A70A74"/>
    <w:rsid w:val="00A91966"/>
    <w:rsid w:val="00A95802"/>
    <w:rsid w:val="00AA66AC"/>
    <w:rsid w:val="00AB1DE8"/>
    <w:rsid w:val="00AB69D9"/>
    <w:rsid w:val="00AB6BF4"/>
    <w:rsid w:val="00AC0886"/>
    <w:rsid w:val="00AD02B8"/>
    <w:rsid w:val="00AD1F73"/>
    <w:rsid w:val="00AD5315"/>
    <w:rsid w:val="00AD5641"/>
    <w:rsid w:val="00AD57D1"/>
    <w:rsid w:val="00AD7889"/>
    <w:rsid w:val="00AE787B"/>
    <w:rsid w:val="00AF021B"/>
    <w:rsid w:val="00AF06CF"/>
    <w:rsid w:val="00AF2BA1"/>
    <w:rsid w:val="00B0412E"/>
    <w:rsid w:val="00B04305"/>
    <w:rsid w:val="00B07CDB"/>
    <w:rsid w:val="00B16A31"/>
    <w:rsid w:val="00B17DFD"/>
    <w:rsid w:val="00B2799D"/>
    <w:rsid w:val="00B308FE"/>
    <w:rsid w:val="00B33709"/>
    <w:rsid w:val="00B33B3C"/>
    <w:rsid w:val="00B33BD1"/>
    <w:rsid w:val="00B436FB"/>
    <w:rsid w:val="00B50ADC"/>
    <w:rsid w:val="00B566B1"/>
    <w:rsid w:val="00B577C8"/>
    <w:rsid w:val="00B63834"/>
    <w:rsid w:val="00B72734"/>
    <w:rsid w:val="00B80199"/>
    <w:rsid w:val="00B82D81"/>
    <w:rsid w:val="00B83204"/>
    <w:rsid w:val="00B85ADE"/>
    <w:rsid w:val="00B9126E"/>
    <w:rsid w:val="00BA220B"/>
    <w:rsid w:val="00BA3A57"/>
    <w:rsid w:val="00BA58DC"/>
    <w:rsid w:val="00BA6428"/>
    <w:rsid w:val="00BB4DB6"/>
    <w:rsid w:val="00BB4E1A"/>
    <w:rsid w:val="00BB5C17"/>
    <w:rsid w:val="00BC015E"/>
    <w:rsid w:val="00BC7183"/>
    <w:rsid w:val="00BC76AC"/>
    <w:rsid w:val="00BD0ECB"/>
    <w:rsid w:val="00BD58DA"/>
    <w:rsid w:val="00BE12BE"/>
    <w:rsid w:val="00BE2155"/>
    <w:rsid w:val="00BE2213"/>
    <w:rsid w:val="00BE6EF9"/>
    <w:rsid w:val="00BE719A"/>
    <w:rsid w:val="00BE720A"/>
    <w:rsid w:val="00BF0D73"/>
    <w:rsid w:val="00BF2465"/>
    <w:rsid w:val="00BF6FF6"/>
    <w:rsid w:val="00BF75C9"/>
    <w:rsid w:val="00C0544A"/>
    <w:rsid w:val="00C06AC9"/>
    <w:rsid w:val="00C11452"/>
    <w:rsid w:val="00C17457"/>
    <w:rsid w:val="00C25E7F"/>
    <w:rsid w:val="00C2746F"/>
    <w:rsid w:val="00C27ED4"/>
    <w:rsid w:val="00C324A0"/>
    <w:rsid w:val="00C3300F"/>
    <w:rsid w:val="00C34E77"/>
    <w:rsid w:val="00C35875"/>
    <w:rsid w:val="00C35DAF"/>
    <w:rsid w:val="00C4170B"/>
    <w:rsid w:val="00C42BF8"/>
    <w:rsid w:val="00C45171"/>
    <w:rsid w:val="00C47D01"/>
    <w:rsid w:val="00C50043"/>
    <w:rsid w:val="00C50B97"/>
    <w:rsid w:val="00C52E7C"/>
    <w:rsid w:val="00C60E0E"/>
    <w:rsid w:val="00C6434E"/>
    <w:rsid w:val="00C70CA8"/>
    <w:rsid w:val="00C73C54"/>
    <w:rsid w:val="00C7573B"/>
    <w:rsid w:val="00C7761F"/>
    <w:rsid w:val="00C86B32"/>
    <w:rsid w:val="00C92933"/>
    <w:rsid w:val="00C93C03"/>
    <w:rsid w:val="00CA5CB9"/>
    <w:rsid w:val="00CA66DC"/>
    <w:rsid w:val="00CB2C8E"/>
    <w:rsid w:val="00CB2D96"/>
    <w:rsid w:val="00CB52D4"/>
    <w:rsid w:val="00CB602E"/>
    <w:rsid w:val="00CC3AEC"/>
    <w:rsid w:val="00CD2E90"/>
    <w:rsid w:val="00CE0149"/>
    <w:rsid w:val="00CE051D"/>
    <w:rsid w:val="00CE1335"/>
    <w:rsid w:val="00CE3D2A"/>
    <w:rsid w:val="00CE493D"/>
    <w:rsid w:val="00CE541A"/>
    <w:rsid w:val="00CE6D42"/>
    <w:rsid w:val="00CF07FA"/>
    <w:rsid w:val="00CF0BB2"/>
    <w:rsid w:val="00CF3EE8"/>
    <w:rsid w:val="00CF5313"/>
    <w:rsid w:val="00D050E6"/>
    <w:rsid w:val="00D13441"/>
    <w:rsid w:val="00D150E7"/>
    <w:rsid w:val="00D20A4B"/>
    <w:rsid w:val="00D306F8"/>
    <w:rsid w:val="00D32F65"/>
    <w:rsid w:val="00D341C4"/>
    <w:rsid w:val="00D41A47"/>
    <w:rsid w:val="00D442A2"/>
    <w:rsid w:val="00D52DC2"/>
    <w:rsid w:val="00D53BCC"/>
    <w:rsid w:val="00D648BB"/>
    <w:rsid w:val="00D702DE"/>
    <w:rsid w:val="00D70DFB"/>
    <w:rsid w:val="00D725B4"/>
    <w:rsid w:val="00D732EC"/>
    <w:rsid w:val="00D736B4"/>
    <w:rsid w:val="00D73C22"/>
    <w:rsid w:val="00D766DF"/>
    <w:rsid w:val="00DA0953"/>
    <w:rsid w:val="00DA186E"/>
    <w:rsid w:val="00DA4116"/>
    <w:rsid w:val="00DB251C"/>
    <w:rsid w:val="00DB38AD"/>
    <w:rsid w:val="00DB4630"/>
    <w:rsid w:val="00DB51FD"/>
    <w:rsid w:val="00DC1135"/>
    <w:rsid w:val="00DC4445"/>
    <w:rsid w:val="00DC4F88"/>
    <w:rsid w:val="00DE0A85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544BB"/>
    <w:rsid w:val="00E578EC"/>
    <w:rsid w:val="00E60423"/>
    <w:rsid w:val="00E649D7"/>
    <w:rsid w:val="00E662CB"/>
    <w:rsid w:val="00E74DC7"/>
    <w:rsid w:val="00E758C3"/>
    <w:rsid w:val="00E8075A"/>
    <w:rsid w:val="00E818A6"/>
    <w:rsid w:val="00E85A91"/>
    <w:rsid w:val="00E87718"/>
    <w:rsid w:val="00E94D5E"/>
    <w:rsid w:val="00EA0BF6"/>
    <w:rsid w:val="00EA17A6"/>
    <w:rsid w:val="00EA7100"/>
    <w:rsid w:val="00EA7F9F"/>
    <w:rsid w:val="00EB0E70"/>
    <w:rsid w:val="00EB1274"/>
    <w:rsid w:val="00EC4757"/>
    <w:rsid w:val="00EC7EDB"/>
    <w:rsid w:val="00ED14FB"/>
    <w:rsid w:val="00ED2BB6"/>
    <w:rsid w:val="00ED34E1"/>
    <w:rsid w:val="00ED3B8D"/>
    <w:rsid w:val="00ED6DF2"/>
    <w:rsid w:val="00ED796D"/>
    <w:rsid w:val="00EE027A"/>
    <w:rsid w:val="00EF15D3"/>
    <w:rsid w:val="00EF2E3A"/>
    <w:rsid w:val="00EF7C6A"/>
    <w:rsid w:val="00F010DF"/>
    <w:rsid w:val="00F02EF9"/>
    <w:rsid w:val="00F03BB5"/>
    <w:rsid w:val="00F047D8"/>
    <w:rsid w:val="00F072A7"/>
    <w:rsid w:val="00F078DC"/>
    <w:rsid w:val="00F14593"/>
    <w:rsid w:val="00F171A1"/>
    <w:rsid w:val="00F23E7E"/>
    <w:rsid w:val="00F30DAA"/>
    <w:rsid w:val="00F32BA8"/>
    <w:rsid w:val="00F3406B"/>
    <w:rsid w:val="00F349F1"/>
    <w:rsid w:val="00F4215A"/>
    <w:rsid w:val="00F4350D"/>
    <w:rsid w:val="00F45C97"/>
    <w:rsid w:val="00F46947"/>
    <w:rsid w:val="00F50532"/>
    <w:rsid w:val="00F52CA6"/>
    <w:rsid w:val="00F567F7"/>
    <w:rsid w:val="00F61A66"/>
    <w:rsid w:val="00F61B09"/>
    <w:rsid w:val="00F62036"/>
    <w:rsid w:val="00F65B52"/>
    <w:rsid w:val="00F67BCA"/>
    <w:rsid w:val="00F703C4"/>
    <w:rsid w:val="00F73BD6"/>
    <w:rsid w:val="00F800C9"/>
    <w:rsid w:val="00F82A0F"/>
    <w:rsid w:val="00F83989"/>
    <w:rsid w:val="00F85099"/>
    <w:rsid w:val="00F87E83"/>
    <w:rsid w:val="00F9379C"/>
    <w:rsid w:val="00F9632C"/>
    <w:rsid w:val="00FA060C"/>
    <w:rsid w:val="00FA13A8"/>
    <w:rsid w:val="00FA1E52"/>
    <w:rsid w:val="00FA2994"/>
    <w:rsid w:val="00FA31DE"/>
    <w:rsid w:val="00FA7D17"/>
    <w:rsid w:val="00FC3EB8"/>
    <w:rsid w:val="00FC6D88"/>
    <w:rsid w:val="00FC7D25"/>
    <w:rsid w:val="00FD13CC"/>
    <w:rsid w:val="00FD2E53"/>
    <w:rsid w:val="00FE2FB8"/>
    <w:rsid w:val="00FE4128"/>
    <w:rsid w:val="00FE4688"/>
    <w:rsid w:val="00FE72D6"/>
    <w:rsid w:val="00FE79D0"/>
    <w:rsid w:val="00FF3858"/>
    <w:rsid w:val="19F5AD99"/>
    <w:rsid w:val="1F029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1A9F2961-E0B9-42E9-883F-0243FAA3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9957ED"/>
    <w:rPr>
      <w:sz w:val="22"/>
      <w:lang w:eastAsia="en-US"/>
    </w:rPr>
  </w:style>
  <w:style w:type="paragraph" w:customStyle="1" w:styleId="li-bodytextparaa0">
    <w:name w:val="li-bodytextparaa"/>
    <w:basedOn w:val="Normal"/>
    <w:rsid w:val="009957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li-bodytextnumbered0">
    <w:name w:val="li-bodytextnumbered"/>
    <w:basedOn w:val="Normal"/>
    <w:rsid w:val="00A2659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A0953"/>
  </w:style>
  <w:style w:type="character" w:customStyle="1" w:styleId="charsectno0">
    <w:name w:val="charsectno"/>
    <w:basedOn w:val="DefaultParagraphFont"/>
    <w:rsid w:val="004B4841"/>
  </w:style>
  <w:style w:type="paragraph" w:styleId="ListParagraph">
    <w:name w:val="List Paragraph"/>
    <w:basedOn w:val="Normal"/>
    <w:uiPriority w:val="34"/>
    <w:qFormat/>
    <w:rsid w:val="00EE027A"/>
    <w:pPr>
      <w:spacing w:line="240" w:lineRule="auto"/>
      <w:ind w:left="720"/>
    </w:pPr>
    <w:rPr>
      <w:rFonts w:ascii="Calibri" w:eastAsiaTheme="minorHAnsi" w:hAnsi="Calibri" w:cs="Calibr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F7D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223CB4CA6849FB48B680ECEF00B8C48E" ma:contentTypeVersion="19" ma:contentTypeDescription="Create a new document." ma:contentTypeScope="" ma:versionID="7558e321ac53df33efe5e2dc35bd3d54">
  <xsd:schema xmlns:xsd="http://www.w3.org/2001/XMLSchema" xmlns:xs="http://www.w3.org/2001/XMLSchema" xmlns:p="http://schemas.microsoft.com/office/2006/metadata/properties" xmlns:ns2="db2b92ca-6ed0-4085-802d-4c686a2e8c3f" xmlns:ns3="3b6a991c-458d-41d5-b82a-a1db4bfe2736" xmlns:ns4="fcc01787-eea5-41cb-ac75-c4ea7a24ce74" targetNamespace="http://schemas.microsoft.com/office/2006/metadata/properties" ma:root="true" ma:fieldsID="49588fbc31f2c5de371d329debce9a57" ns2:_="" ns3:_="" ns4:_="">
    <xsd:import namespace="db2b92ca-6ed0-4085-802d-4c686a2e8c3f"/>
    <xsd:import namespace="3b6a991c-458d-41d5-b82a-a1db4bfe2736"/>
    <xsd:import namespace="fcc01787-eea5-41cb-ac75-c4ea7a24ce7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3:ECMSP13ModifiedBy" minOccurs="0"/>
                <xsd:element ref="ns3:ECMSP13CreatedBy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a015480-7e0c-4065-8b50-fa3e92b32f1c}" ma:internalName="TaxCatchAll" ma:showField="CatchAllData" ma:web="3b6a991c-458d-41d5-b82a-a1db4bfe2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a015480-7e0c-4065-8b50-fa3e92b32f1c}" ma:internalName="TaxCatchAllLabel" ma:readOnly="true" ma:showField="CatchAllDataLabel" ma:web="3b6a991c-458d-41d5-b82a-a1db4bfe2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991c-458d-41d5-b82a-a1db4bfe2736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23" nillable="true" ma:displayName="ECM SP13 Modified By" ma:internalName="ECMSP13ModifiedBy">
      <xsd:simpleType>
        <xsd:restriction base="dms:Text"/>
      </xsd:simpleType>
    </xsd:element>
    <xsd:element name="ECMSP13CreatedBy" ma:index="24" nillable="true" ma:displayName="ECM SP13 Created By" ma:internalName="ECMSP13CreatedBy">
      <xsd:simpleType>
        <xsd:restriction base="dms:Text"/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01787-eea5-41cb-ac75-c4ea7a24c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DocumentNotes xmlns="db2b92ca-6ed0-4085-802d-4c686a2e8c3f" xsi:nil="true"/>
    <NAPReason xmlns="db2b92ca-6ed0-4085-802d-4c686a2e8c3f" xsi:nil="true"/>
    <_dlc_DocId xmlns="3b6a991c-458d-41d5-b82a-a1db4bfe2736">000670-1380462302-5346</_dlc_DocId>
    <_dlc_DocIdUrl xmlns="3b6a991c-458d-41d5-b82a-a1db4bfe2736">
      <Url>https://asiclink.sharepoint.com/teams/000670/_layouts/15/DocIdRedir.aspx?ID=000670-1380462302-5346</Url>
      <Description>000670-1380462302-5346</Description>
    </_dlc_DocIdUrl>
    <ECMSP13SecurityClassification xmlns="3b6a991c-458d-41d5-b82a-a1db4bfe2736" xsi:nil="true"/>
    <ECMSP13CreatedBy xmlns="3b6a991c-458d-41d5-b82a-a1db4bfe2736" xsi:nil="true"/>
    <ECMSP13DocumentID xmlns="3b6a991c-458d-41d5-b82a-a1db4bfe2736" xsi:nil="true"/>
    <TaxCatchAll xmlns="db2b92ca-6ed0-4085-802d-4c686a2e8c3f">
      <Value>5</Value>
    </TaxCatchAll>
    <ECMSP13ModifiedBy xmlns="3b6a991c-458d-41d5-b82a-a1db4bfe2736" xsi:nil="true"/>
    <lcf76f155ced4ddcb4097134ff3c332f xmlns="fcc01787-eea5-41cb-ac75-c4ea7a24ce74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26BBB0-AFF5-473E-B211-CA3090E2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3b6a991c-458d-41d5-b82a-a1db4bfe2736"/>
    <ds:schemaRef ds:uri="fcc01787-eea5-41cb-ac75-c4ea7a24c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8E081-D61B-4610-BC79-7BC707E0848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954CD4F-4ADE-45EC-8760-0728E2692B40}">
  <ds:schemaRefs>
    <ds:schemaRef ds:uri="http://purl.org/dc/elements/1.1/"/>
    <ds:schemaRef ds:uri="fcc01787-eea5-41cb-ac75-c4ea7a24ce74"/>
    <ds:schemaRef ds:uri="http://schemas.microsoft.com/office/2006/metadata/properties"/>
    <ds:schemaRef ds:uri="3b6a991c-458d-41d5-b82a-a1db4bfe273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b2b92ca-6ed0-4085-802d-4c686a2e8c3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6889EFE-7CE2-4043-8866-77736B1194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6</Pages>
  <Words>1360</Words>
  <Characters>7756</Characters>
  <Application>Microsoft Office Word</Application>
  <DocSecurity>0</DocSecurity>
  <PresentationFormat/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(Explanatory Statement - Jan 2019).docx</vt:lpstr>
    </vt:vector>
  </TitlesOfParts>
  <Company>ASIC</Company>
  <LinksUpToDate>false</LinksUpToDate>
  <CharactersWithSpaces>9098</CharactersWithSpaces>
  <SharedDoc>false</SharedDoc>
  <HyperlinkBase/>
  <HLinks>
    <vt:vector size="12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https://www.legislation.gov.au/Details/F2023L00193/Explanatory Statement/Text</vt:lpwstr>
      </vt:variant>
      <vt:variant>
        <vt:lpwstr/>
      </vt:variant>
      <vt:variant>
        <vt:i4>2031641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https://www.legislation.gov.au/Details/F2021L01381/Explanatory Statement/Text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3</cp:revision>
  <cp:lastPrinted>2019-01-03T21:56:00Z</cp:lastPrinted>
  <dcterms:created xsi:type="dcterms:W3CDTF">2023-09-04T23:58:00Z</dcterms:created>
  <dcterms:modified xsi:type="dcterms:W3CDTF">2023-09-04T23:59:00Z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5;#OFFICIAL|cffd3088-7a74-4edb-8c9e-fbf79371a422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ItemGuid">
    <vt:lpwstr>682e7786-a565-49e1-9155-7169d6fb5639</vt:lpwstr>
  </property>
  <property fmtid="{D5CDD505-2E9C-101B-9397-08002B2CF9AE}" pid="63" name="_dlc_DocIdUrl">
    <vt:lpwstr>https://asiclink.sharepoint.com/teams/000853/_layouts/15/DocIdRedir.aspx?ID=000853-1726373233-1250, 000853-1726373233-1250</vt:lpwstr>
  </property>
  <property fmtid="{D5CDD505-2E9C-101B-9397-08002B2CF9AE}" pid="64" name="ContentTypeId">
    <vt:lpwstr>0x010100B5F685A1365F544391EF8C813B164F3A006A0666AD55E74A4AA7B2AAEA6C351A6000223CB4CA6849FB48B680ECEF00B8C48E</vt:lpwstr>
  </property>
  <property fmtid="{D5CDD505-2E9C-101B-9397-08002B2CF9AE}" pid="65" name="MSIP_Label_a6aead41-07f8-4767-ac8e-ef1c9c793766_Enabled">
    <vt:lpwstr>true</vt:lpwstr>
  </property>
  <property fmtid="{D5CDD505-2E9C-101B-9397-08002B2CF9AE}" pid="66" name="MSIP_Label_a6aead41-07f8-4767-ac8e-ef1c9c793766_SetDate">
    <vt:lpwstr>2023-07-21T02:05:38Z</vt:lpwstr>
  </property>
  <property fmtid="{D5CDD505-2E9C-101B-9397-08002B2CF9AE}" pid="67" name="MSIP_Label_a6aead41-07f8-4767-ac8e-ef1c9c793766_Method">
    <vt:lpwstr>Standard</vt:lpwstr>
  </property>
  <property fmtid="{D5CDD505-2E9C-101B-9397-08002B2CF9AE}" pid="68" name="MSIP_Label_a6aead41-07f8-4767-ac8e-ef1c9c793766_Name">
    <vt:lpwstr>OFFICIAL</vt:lpwstr>
  </property>
  <property fmtid="{D5CDD505-2E9C-101B-9397-08002B2CF9AE}" pid="69" name="MSIP_Label_a6aead41-07f8-4767-ac8e-ef1c9c793766_SiteId">
    <vt:lpwstr>5f1de7c6-55cd-4bb2-902d-514c78cf10f4</vt:lpwstr>
  </property>
  <property fmtid="{D5CDD505-2E9C-101B-9397-08002B2CF9AE}" pid="70" name="MSIP_Label_a6aead41-07f8-4767-ac8e-ef1c9c793766_ActionId">
    <vt:lpwstr>59538b45-0da9-4ad6-a28d-b86ecde4c0ff</vt:lpwstr>
  </property>
  <property fmtid="{D5CDD505-2E9C-101B-9397-08002B2CF9AE}" pid="71" name="MSIP_Label_a6aead41-07f8-4767-ac8e-ef1c9c793766_ContentBits">
    <vt:lpwstr>0</vt:lpwstr>
  </property>
  <property fmtid="{D5CDD505-2E9C-101B-9397-08002B2CF9AE}" pid="72" name="StrategicPolicyProjectName">
    <vt:lpwstr/>
  </property>
  <property fmtid="{D5CDD505-2E9C-101B-9397-08002B2CF9AE}" pid="73" name="c90048a9da1e45a2932fa41dce6cff0b">
    <vt:lpwstr/>
  </property>
  <property fmtid="{D5CDD505-2E9C-101B-9397-08002B2CF9AE}" pid="74" name="decba91418854b4b96d3eb9f506ea6b5">
    <vt:lpwstr/>
  </property>
  <property fmtid="{D5CDD505-2E9C-101B-9397-08002B2CF9AE}" pid="75" name="Policy_x002d_ProjectDocumentType">
    <vt:lpwstr/>
  </property>
  <property fmtid="{D5CDD505-2E9C-101B-9397-08002B2CF9AE}" pid="76" name="Policy-ProjectDocumentType">
    <vt:lpwstr/>
  </property>
  <property fmtid="{D5CDD505-2E9C-101B-9397-08002B2CF9AE}" pid="77" name="MediaServiceImageTags">
    <vt:lpwstr/>
  </property>
</Properties>
</file>