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ABBA0" w14:textId="77777777" w:rsidR="00715914" w:rsidRPr="005F1388" w:rsidRDefault="00DA186E" w:rsidP="00715914">
      <w:pPr>
        <w:rPr>
          <w:sz w:val="28"/>
        </w:rPr>
      </w:pPr>
      <w:r>
        <w:rPr>
          <w:noProof/>
          <w:lang w:eastAsia="en-AU"/>
        </w:rPr>
        <w:drawing>
          <wp:inline distT="0" distB="0" distL="0" distR="0" wp14:anchorId="341F444E" wp14:editId="2E8C307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5BCE880" w14:textId="77777777" w:rsidR="00715914" w:rsidRPr="00E500D4" w:rsidRDefault="00715914" w:rsidP="00715914">
      <w:pPr>
        <w:rPr>
          <w:sz w:val="19"/>
        </w:rPr>
      </w:pPr>
    </w:p>
    <w:p w14:paraId="6B306E9C" w14:textId="77777777" w:rsidR="00554826" w:rsidRPr="00EC465E" w:rsidRDefault="00D17E5C" w:rsidP="00554826">
      <w:pPr>
        <w:pStyle w:val="ShortT"/>
      </w:pPr>
      <w:bookmarkStart w:id="0" w:name="_Hlk138255344"/>
      <w:r w:rsidRPr="00EC465E">
        <w:t>Telecommunications</w:t>
      </w:r>
      <w:r w:rsidR="00554826" w:rsidRPr="00EC465E">
        <w:t xml:space="preserve"> (</w:t>
      </w:r>
      <w:r w:rsidRPr="00EC465E">
        <w:t>Customer Service Guarantee – Retail Performance Benchmarks</w:t>
      </w:r>
      <w:r w:rsidR="00554826" w:rsidRPr="00EC465E">
        <w:t xml:space="preserve">) Instrument </w:t>
      </w:r>
      <w:r w:rsidRPr="00EC465E">
        <w:t>2023</w:t>
      </w:r>
    </w:p>
    <w:bookmarkEnd w:id="0"/>
    <w:p w14:paraId="3C10371B" w14:textId="77777777" w:rsidR="00554826" w:rsidRPr="00EC465E" w:rsidRDefault="00554826" w:rsidP="00554826">
      <w:pPr>
        <w:pStyle w:val="SignCoverPageStart"/>
        <w:spacing w:before="240"/>
        <w:ind w:right="91"/>
        <w:rPr>
          <w:szCs w:val="22"/>
        </w:rPr>
      </w:pPr>
      <w:r w:rsidRPr="00EC465E">
        <w:rPr>
          <w:szCs w:val="22"/>
        </w:rPr>
        <w:t xml:space="preserve">I, </w:t>
      </w:r>
      <w:r w:rsidR="00D17E5C" w:rsidRPr="00EC465E">
        <w:rPr>
          <w:szCs w:val="22"/>
        </w:rPr>
        <w:t>Michell</w:t>
      </w:r>
      <w:r w:rsidR="006D6D05">
        <w:rPr>
          <w:szCs w:val="22"/>
        </w:rPr>
        <w:t>e</w:t>
      </w:r>
      <w:r w:rsidR="00D17E5C" w:rsidRPr="00EC465E">
        <w:rPr>
          <w:szCs w:val="22"/>
        </w:rPr>
        <w:t xml:space="preserve"> Rowland</w:t>
      </w:r>
      <w:r w:rsidRPr="00EC465E">
        <w:rPr>
          <w:szCs w:val="22"/>
        </w:rPr>
        <w:t xml:space="preserve">, </w:t>
      </w:r>
      <w:r w:rsidR="00D17E5C" w:rsidRPr="00EC465E">
        <w:rPr>
          <w:szCs w:val="22"/>
        </w:rPr>
        <w:t>Minister for Communications</w:t>
      </w:r>
      <w:r w:rsidRPr="00EC465E">
        <w:rPr>
          <w:szCs w:val="22"/>
        </w:rPr>
        <w:t>, make the following instrument.</w:t>
      </w:r>
    </w:p>
    <w:p w14:paraId="551ED7F4" w14:textId="08650361" w:rsidR="00554826" w:rsidRPr="00EC465E" w:rsidRDefault="00554826" w:rsidP="00554826">
      <w:pPr>
        <w:keepNext/>
        <w:spacing w:before="300" w:line="240" w:lineRule="atLeast"/>
        <w:ind w:right="397"/>
        <w:jc w:val="both"/>
        <w:rPr>
          <w:szCs w:val="22"/>
        </w:rPr>
      </w:pPr>
      <w:r w:rsidRPr="00EC465E">
        <w:rPr>
          <w:szCs w:val="22"/>
        </w:rPr>
        <w:t>Dated</w:t>
      </w:r>
      <w:r w:rsidR="00B91F20">
        <w:rPr>
          <w:szCs w:val="22"/>
        </w:rPr>
        <w:t xml:space="preserve"> 31 August 2023</w:t>
      </w:r>
      <w:r w:rsidRPr="00EC465E">
        <w:rPr>
          <w:szCs w:val="22"/>
        </w:rPr>
        <w:tab/>
      </w:r>
      <w:r w:rsidRPr="00EC465E">
        <w:rPr>
          <w:szCs w:val="22"/>
        </w:rPr>
        <w:tab/>
      </w:r>
      <w:r w:rsidRPr="00EC465E">
        <w:rPr>
          <w:szCs w:val="22"/>
        </w:rPr>
        <w:tab/>
      </w:r>
      <w:r w:rsidRPr="00EC465E">
        <w:rPr>
          <w:szCs w:val="22"/>
        </w:rPr>
        <w:tab/>
      </w:r>
    </w:p>
    <w:p w14:paraId="1B4FA0FB" w14:textId="41FE26AB" w:rsidR="00554826" w:rsidRPr="00EC465E" w:rsidRDefault="00EC465E" w:rsidP="00554826">
      <w:pPr>
        <w:keepNext/>
        <w:tabs>
          <w:tab w:val="left" w:pos="3402"/>
        </w:tabs>
        <w:spacing w:before="1440" w:line="300" w:lineRule="atLeast"/>
        <w:ind w:right="397"/>
        <w:rPr>
          <w:b/>
          <w:szCs w:val="22"/>
        </w:rPr>
      </w:pPr>
      <w:r>
        <w:rPr>
          <w:szCs w:val="22"/>
        </w:rPr>
        <w:t>Michelle Rowland</w:t>
      </w:r>
      <w:r w:rsidR="00554826" w:rsidRPr="00EC465E">
        <w:rPr>
          <w:szCs w:val="22"/>
        </w:rPr>
        <w:t xml:space="preserve"> </w:t>
      </w:r>
    </w:p>
    <w:p w14:paraId="58DF81E4" w14:textId="77777777" w:rsidR="00554826" w:rsidRPr="008E0027" w:rsidRDefault="00EC465E" w:rsidP="00554826">
      <w:pPr>
        <w:pStyle w:val="SignCoverPageEnd"/>
        <w:ind w:right="91"/>
        <w:rPr>
          <w:sz w:val="22"/>
        </w:rPr>
      </w:pPr>
      <w:r>
        <w:rPr>
          <w:sz w:val="22"/>
        </w:rPr>
        <w:t xml:space="preserve">Minister for </w:t>
      </w:r>
      <w:r w:rsidR="00BA52A5">
        <w:rPr>
          <w:sz w:val="22"/>
        </w:rPr>
        <w:t xml:space="preserve">Communications </w:t>
      </w:r>
    </w:p>
    <w:p w14:paraId="1186F753" w14:textId="77777777" w:rsidR="00554826" w:rsidRDefault="00554826" w:rsidP="00554826"/>
    <w:p w14:paraId="01CAE96C" w14:textId="77777777" w:rsidR="00554826" w:rsidRPr="00ED79B6" w:rsidRDefault="00554826" w:rsidP="00554826"/>
    <w:p w14:paraId="60698589" w14:textId="77777777" w:rsidR="00F6696E" w:rsidRDefault="00F6696E" w:rsidP="00F6696E"/>
    <w:p w14:paraId="4B34C68B"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07A80CAA" w14:textId="3FED9E41" w:rsidR="00F6696E" w:rsidRPr="008B3587" w:rsidRDefault="00715914" w:rsidP="00F6696E">
      <w:pPr>
        <w:outlineLvl w:val="0"/>
        <w:rPr>
          <w:sz w:val="36"/>
        </w:rPr>
      </w:pPr>
      <w:r w:rsidRPr="007A1328">
        <w:rPr>
          <w:sz w:val="36"/>
        </w:rPr>
        <w:lastRenderedPageBreak/>
        <w:t>Contents</w:t>
      </w:r>
    </w:p>
    <w:p w14:paraId="166F6A31" w14:textId="3DD83B37" w:rsidR="00561EDC" w:rsidRDefault="00561EDC">
      <w:pPr>
        <w:pStyle w:val="TOC2"/>
        <w:rPr>
          <w:rFonts w:asciiTheme="minorHAnsi" w:eastAsiaTheme="minorEastAsia" w:hAnsiTheme="minorHAnsi" w:cstheme="minorBidi"/>
          <w:b w:val="0"/>
          <w:noProof/>
          <w:kern w:val="0"/>
          <w:sz w:val="22"/>
          <w:szCs w:val="22"/>
        </w:rPr>
      </w:pPr>
      <w:r w:rsidRPr="00B32C2C">
        <w:rPr>
          <w:sz w:val="18"/>
        </w:rPr>
        <w:fldChar w:fldCharType="begin"/>
      </w:r>
      <w:r w:rsidRPr="00B32C2C">
        <w:instrText xml:space="preserve"> TOC \o "1-9" </w:instrText>
      </w:r>
      <w:r w:rsidRPr="00B32C2C">
        <w:rPr>
          <w:sz w:val="18"/>
        </w:rPr>
        <w:fldChar w:fldCharType="separate"/>
      </w:r>
      <w:r>
        <w:rPr>
          <w:noProof/>
        </w:rPr>
        <w:t xml:space="preserve">Part 1—Preliminary </w:t>
      </w:r>
      <w:r>
        <w:rPr>
          <w:noProof/>
        </w:rPr>
        <w:tab/>
      </w:r>
      <w:r>
        <w:rPr>
          <w:noProof/>
        </w:rPr>
        <w:fldChar w:fldCharType="begin"/>
      </w:r>
      <w:r>
        <w:rPr>
          <w:noProof/>
        </w:rPr>
        <w:instrText xml:space="preserve"> PAGEREF _Toc140996302 \h </w:instrText>
      </w:r>
      <w:r>
        <w:rPr>
          <w:noProof/>
        </w:rPr>
      </w:r>
      <w:r>
        <w:rPr>
          <w:noProof/>
        </w:rPr>
        <w:fldChar w:fldCharType="separate"/>
      </w:r>
      <w:r w:rsidR="008F40BD">
        <w:rPr>
          <w:noProof/>
        </w:rPr>
        <w:t>1</w:t>
      </w:r>
      <w:r>
        <w:rPr>
          <w:noProof/>
        </w:rPr>
        <w:fldChar w:fldCharType="end"/>
      </w:r>
    </w:p>
    <w:p w14:paraId="4B49A5ED" w14:textId="4C32E556" w:rsidR="00561EDC" w:rsidRDefault="00561ED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_Toc140996303 \h </w:instrText>
      </w:r>
      <w:r>
        <w:rPr>
          <w:noProof/>
        </w:rPr>
      </w:r>
      <w:r>
        <w:rPr>
          <w:noProof/>
        </w:rPr>
        <w:fldChar w:fldCharType="separate"/>
      </w:r>
      <w:r w:rsidR="008F40BD">
        <w:rPr>
          <w:noProof/>
        </w:rPr>
        <w:t>1</w:t>
      </w:r>
      <w:r>
        <w:rPr>
          <w:noProof/>
        </w:rPr>
        <w:fldChar w:fldCharType="end"/>
      </w:r>
    </w:p>
    <w:p w14:paraId="636F63EA" w14:textId="0A7B0AE7" w:rsidR="00561EDC" w:rsidRDefault="00561ED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_Toc140996304 \h </w:instrText>
      </w:r>
      <w:r>
        <w:rPr>
          <w:noProof/>
        </w:rPr>
      </w:r>
      <w:r>
        <w:rPr>
          <w:noProof/>
        </w:rPr>
        <w:fldChar w:fldCharType="separate"/>
      </w:r>
      <w:r w:rsidR="008F40BD">
        <w:rPr>
          <w:noProof/>
        </w:rPr>
        <w:t>1</w:t>
      </w:r>
      <w:r>
        <w:rPr>
          <w:noProof/>
        </w:rPr>
        <w:fldChar w:fldCharType="end"/>
      </w:r>
    </w:p>
    <w:p w14:paraId="4358FAA6" w14:textId="0AB09FF3" w:rsidR="00561EDC" w:rsidRDefault="00561ED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_Toc140996305 \h </w:instrText>
      </w:r>
      <w:r>
        <w:rPr>
          <w:noProof/>
        </w:rPr>
      </w:r>
      <w:r>
        <w:rPr>
          <w:noProof/>
        </w:rPr>
        <w:fldChar w:fldCharType="separate"/>
      </w:r>
      <w:r w:rsidR="008F40BD">
        <w:rPr>
          <w:noProof/>
        </w:rPr>
        <w:t>1</w:t>
      </w:r>
      <w:r>
        <w:rPr>
          <w:noProof/>
        </w:rPr>
        <w:fldChar w:fldCharType="end"/>
      </w:r>
    </w:p>
    <w:p w14:paraId="479488B2" w14:textId="329B4F8F" w:rsidR="00561EDC" w:rsidRDefault="00561ED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_Toc140996306 \h </w:instrText>
      </w:r>
      <w:r>
        <w:rPr>
          <w:noProof/>
        </w:rPr>
      </w:r>
      <w:r>
        <w:rPr>
          <w:noProof/>
        </w:rPr>
        <w:fldChar w:fldCharType="separate"/>
      </w:r>
      <w:r w:rsidR="008F40BD">
        <w:rPr>
          <w:noProof/>
        </w:rPr>
        <w:t>1</w:t>
      </w:r>
      <w:r>
        <w:rPr>
          <w:noProof/>
        </w:rPr>
        <w:fldChar w:fldCharType="end"/>
      </w:r>
    </w:p>
    <w:p w14:paraId="284CFF10" w14:textId="6469DDAC" w:rsidR="00561EDC" w:rsidRDefault="00561EDC">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_Toc140996307 \h </w:instrText>
      </w:r>
      <w:r>
        <w:rPr>
          <w:noProof/>
        </w:rPr>
      </w:r>
      <w:r>
        <w:rPr>
          <w:noProof/>
        </w:rPr>
        <w:fldChar w:fldCharType="separate"/>
      </w:r>
      <w:r w:rsidR="008F40BD">
        <w:rPr>
          <w:noProof/>
        </w:rPr>
        <w:t>2</w:t>
      </w:r>
      <w:r>
        <w:rPr>
          <w:noProof/>
        </w:rPr>
        <w:fldChar w:fldCharType="end"/>
      </w:r>
    </w:p>
    <w:p w14:paraId="2CE1DFF5" w14:textId="193C8364" w:rsidR="00561EDC" w:rsidRDefault="00561EDC">
      <w:pPr>
        <w:pStyle w:val="TOC5"/>
        <w:rPr>
          <w:rFonts w:asciiTheme="minorHAnsi" w:eastAsiaTheme="minorEastAsia" w:hAnsiTheme="minorHAnsi" w:cstheme="minorBidi"/>
          <w:noProof/>
          <w:kern w:val="0"/>
          <w:sz w:val="22"/>
          <w:szCs w:val="22"/>
        </w:rPr>
      </w:pPr>
      <w:r>
        <w:rPr>
          <w:noProof/>
        </w:rPr>
        <w:t>6  Location-specific thresholds</w:t>
      </w:r>
      <w:r>
        <w:rPr>
          <w:noProof/>
        </w:rPr>
        <w:tab/>
      </w:r>
      <w:r>
        <w:rPr>
          <w:noProof/>
        </w:rPr>
        <w:fldChar w:fldCharType="begin"/>
      </w:r>
      <w:r>
        <w:rPr>
          <w:noProof/>
        </w:rPr>
        <w:instrText xml:space="preserve"> PAGEREF _Toc140996308 \h </w:instrText>
      </w:r>
      <w:r>
        <w:rPr>
          <w:noProof/>
        </w:rPr>
      </w:r>
      <w:r>
        <w:rPr>
          <w:noProof/>
        </w:rPr>
        <w:fldChar w:fldCharType="separate"/>
      </w:r>
      <w:r w:rsidR="008F40BD">
        <w:rPr>
          <w:noProof/>
        </w:rPr>
        <w:t>2</w:t>
      </w:r>
      <w:r>
        <w:rPr>
          <w:noProof/>
        </w:rPr>
        <w:fldChar w:fldCharType="end"/>
      </w:r>
    </w:p>
    <w:p w14:paraId="705976FE" w14:textId="6EC89C26" w:rsidR="00561EDC" w:rsidRDefault="00561EDC">
      <w:pPr>
        <w:pStyle w:val="TOC5"/>
        <w:rPr>
          <w:rFonts w:asciiTheme="minorHAnsi" w:eastAsiaTheme="minorEastAsia" w:hAnsiTheme="minorHAnsi" w:cstheme="minorBidi"/>
          <w:noProof/>
          <w:kern w:val="0"/>
          <w:sz w:val="22"/>
          <w:szCs w:val="22"/>
        </w:rPr>
      </w:pPr>
      <w:r>
        <w:rPr>
          <w:noProof/>
        </w:rPr>
        <w:t xml:space="preserve">7 </w:t>
      </w:r>
      <w:r w:rsidR="008F40BD">
        <w:rPr>
          <w:noProof/>
        </w:rPr>
        <w:t xml:space="preserve"> </w:t>
      </w:r>
      <w:r>
        <w:rPr>
          <w:noProof/>
        </w:rPr>
        <w:t>Repeal</w:t>
      </w:r>
      <w:r>
        <w:rPr>
          <w:noProof/>
        </w:rPr>
        <w:tab/>
      </w:r>
      <w:r>
        <w:rPr>
          <w:noProof/>
        </w:rPr>
        <w:fldChar w:fldCharType="begin"/>
      </w:r>
      <w:r>
        <w:rPr>
          <w:noProof/>
        </w:rPr>
        <w:instrText xml:space="preserve"> PAGEREF _Toc140996309 \h </w:instrText>
      </w:r>
      <w:r>
        <w:rPr>
          <w:noProof/>
        </w:rPr>
      </w:r>
      <w:r>
        <w:rPr>
          <w:noProof/>
        </w:rPr>
        <w:fldChar w:fldCharType="separate"/>
      </w:r>
      <w:r w:rsidR="008F40BD">
        <w:rPr>
          <w:noProof/>
        </w:rPr>
        <w:t>3</w:t>
      </w:r>
      <w:r>
        <w:rPr>
          <w:noProof/>
        </w:rPr>
        <w:fldChar w:fldCharType="end"/>
      </w:r>
    </w:p>
    <w:p w14:paraId="3336E8EF" w14:textId="099F8736" w:rsidR="00561EDC" w:rsidRDefault="00561EDC">
      <w:pPr>
        <w:pStyle w:val="TOC2"/>
        <w:rPr>
          <w:rFonts w:asciiTheme="minorHAnsi" w:eastAsiaTheme="minorEastAsia" w:hAnsiTheme="minorHAnsi" w:cstheme="minorBidi"/>
          <w:b w:val="0"/>
          <w:noProof/>
          <w:kern w:val="0"/>
          <w:sz w:val="22"/>
          <w:szCs w:val="22"/>
        </w:rPr>
      </w:pPr>
      <w:r>
        <w:rPr>
          <w:noProof/>
        </w:rPr>
        <w:t>Part 2—Retail Performance Benchmarks</w:t>
      </w:r>
      <w:r>
        <w:rPr>
          <w:noProof/>
        </w:rPr>
        <w:tab/>
      </w:r>
      <w:r>
        <w:rPr>
          <w:noProof/>
        </w:rPr>
        <w:fldChar w:fldCharType="begin"/>
      </w:r>
      <w:r>
        <w:rPr>
          <w:noProof/>
        </w:rPr>
        <w:instrText xml:space="preserve"> PAGEREF _Toc140996310 \h </w:instrText>
      </w:r>
      <w:r>
        <w:rPr>
          <w:noProof/>
        </w:rPr>
      </w:r>
      <w:r>
        <w:rPr>
          <w:noProof/>
        </w:rPr>
        <w:fldChar w:fldCharType="separate"/>
      </w:r>
      <w:r w:rsidR="008F40BD">
        <w:rPr>
          <w:noProof/>
        </w:rPr>
        <w:t>4</w:t>
      </w:r>
      <w:r>
        <w:rPr>
          <w:noProof/>
        </w:rPr>
        <w:fldChar w:fldCharType="end"/>
      </w:r>
    </w:p>
    <w:p w14:paraId="5C92D9A3" w14:textId="18E80326" w:rsidR="00561EDC" w:rsidRDefault="00561EDC">
      <w:pPr>
        <w:pStyle w:val="TOC4"/>
        <w:tabs>
          <w:tab w:val="left" w:pos="2183"/>
        </w:tabs>
        <w:rPr>
          <w:rFonts w:asciiTheme="minorHAnsi" w:eastAsiaTheme="minorEastAsia" w:hAnsiTheme="minorHAnsi" w:cstheme="minorBidi"/>
          <w:b w:val="0"/>
          <w:noProof/>
          <w:kern w:val="0"/>
          <w:sz w:val="22"/>
          <w:szCs w:val="22"/>
        </w:rPr>
      </w:pPr>
      <w:r>
        <w:rPr>
          <w:noProof/>
        </w:rPr>
        <w:t>Division 1</w:t>
      </w:r>
      <w:r>
        <w:rPr>
          <w:rFonts w:asciiTheme="minorHAnsi" w:eastAsiaTheme="minorEastAsia" w:hAnsiTheme="minorHAnsi" w:cstheme="minorBidi"/>
          <w:b w:val="0"/>
          <w:noProof/>
          <w:kern w:val="0"/>
          <w:sz w:val="22"/>
          <w:szCs w:val="22"/>
        </w:rPr>
        <w:tab/>
      </w:r>
      <w:r>
        <w:rPr>
          <w:noProof/>
        </w:rPr>
        <w:t>Performance benchmarks</w:t>
      </w:r>
      <w:r>
        <w:rPr>
          <w:noProof/>
        </w:rPr>
        <w:tab/>
      </w:r>
      <w:r>
        <w:rPr>
          <w:noProof/>
        </w:rPr>
        <w:fldChar w:fldCharType="begin"/>
      </w:r>
      <w:r>
        <w:rPr>
          <w:noProof/>
        </w:rPr>
        <w:instrText xml:space="preserve"> PAGEREF _Toc140996311 \h </w:instrText>
      </w:r>
      <w:r>
        <w:rPr>
          <w:noProof/>
        </w:rPr>
      </w:r>
      <w:r>
        <w:rPr>
          <w:noProof/>
        </w:rPr>
        <w:fldChar w:fldCharType="separate"/>
      </w:r>
      <w:r w:rsidR="008F40BD">
        <w:rPr>
          <w:noProof/>
        </w:rPr>
        <w:t>4</w:t>
      </w:r>
      <w:r>
        <w:rPr>
          <w:noProof/>
        </w:rPr>
        <w:fldChar w:fldCharType="end"/>
      </w:r>
    </w:p>
    <w:p w14:paraId="08B420A1" w14:textId="41706477" w:rsidR="00561EDC" w:rsidRDefault="00561EDC">
      <w:pPr>
        <w:pStyle w:val="TOC5"/>
        <w:rPr>
          <w:rFonts w:asciiTheme="minorHAnsi" w:eastAsiaTheme="minorEastAsia" w:hAnsiTheme="minorHAnsi" w:cstheme="minorBidi"/>
          <w:noProof/>
          <w:kern w:val="0"/>
          <w:sz w:val="22"/>
          <w:szCs w:val="22"/>
        </w:rPr>
      </w:pPr>
      <w:r>
        <w:rPr>
          <w:noProof/>
        </w:rPr>
        <w:t>8  Performance benchmarks for connection period performance standard</w:t>
      </w:r>
      <w:r>
        <w:rPr>
          <w:noProof/>
        </w:rPr>
        <w:tab/>
      </w:r>
      <w:r>
        <w:rPr>
          <w:noProof/>
        </w:rPr>
        <w:fldChar w:fldCharType="begin"/>
      </w:r>
      <w:r>
        <w:rPr>
          <w:noProof/>
        </w:rPr>
        <w:instrText xml:space="preserve"> PAGEREF _Toc140996312 \h </w:instrText>
      </w:r>
      <w:r>
        <w:rPr>
          <w:noProof/>
        </w:rPr>
      </w:r>
      <w:r>
        <w:rPr>
          <w:noProof/>
        </w:rPr>
        <w:fldChar w:fldCharType="separate"/>
      </w:r>
      <w:r w:rsidR="008F40BD">
        <w:rPr>
          <w:noProof/>
        </w:rPr>
        <w:t>4</w:t>
      </w:r>
      <w:r>
        <w:rPr>
          <w:noProof/>
        </w:rPr>
        <w:fldChar w:fldCharType="end"/>
      </w:r>
    </w:p>
    <w:p w14:paraId="01546EE0" w14:textId="7B610E46" w:rsidR="00561EDC" w:rsidRDefault="00561EDC">
      <w:pPr>
        <w:pStyle w:val="TOC5"/>
        <w:rPr>
          <w:rFonts w:asciiTheme="minorHAnsi" w:eastAsiaTheme="minorEastAsia" w:hAnsiTheme="minorHAnsi" w:cstheme="minorBidi"/>
          <w:noProof/>
          <w:kern w:val="0"/>
          <w:sz w:val="22"/>
          <w:szCs w:val="22"/>
        </w:rPr>
      </w:pPr>
      <w:r>
        <w:rPr>
          <w:noProof/>
        </w:rPr>
        <w:t>9  Performance benchmarks for rectification period performance standard</w:t>
      </w:r>
      <w:r>
        <w:rPr>
          <w:noProof/>
        </w:rPr>
        <w:tab/>
      </w:r>
      <w:r>
        <w:rPr>
          <w:noProof/>
        </w:rPr>
        <w:fldChar w:fldCharType="begin"/>
      </w:r>
      <w:r>
        <w:rPr>
          <w:noProof/>
        </w:rPr>
        <w:instrText xml:space="preserve"> PAGEREF _Toc140996313 \h </w:instrText>
      </w:r>
      <w:r>
        <w:rPr>
          <w:noProof/>
        </w:rPr>
      </w:r>
      <w:r>
        <w:rPr>
          <w:noProof/>
        </w:rPr>
        <w:fldChar w:fldCharType="separate"/>
      </w:r>
      <w:r w:rsidR="008F40BD">
        <w:rPr>
          <w:noProof/>
        </w:rPr>
        <w:t>5</w:t>
      </w:r>
      <w:r>
        <w:rPr>
          <w:noProof/>
        </w:rPr>
        <w:fldChar w:fldCharType="end"/>
      </w:r>
    </w:p>
    <w:p w14:paraId="1F2E2533" w14:textId="692FAF4D" w:rsidR="00561EDC" w:rsidRDefault="00561EDC">
      <w:pPr>
        <w:pStyle w:val="TOC5"/>
        <w:rPr>
          <w:rFonts w:asciiTheme="minorHAnsi" w:eastAsiaTheme="minorEastAsia" w:hAnsiTheme="minorHAnsi" w:cstheme="minorBidi"/>
          <w:noProof/>
          <w:kern w:val="0"/>
          <w:sz w:val="22"/>
          <w:szCs w:val="22"/>
        </w:rPr>
      </w:pPr>
      <w:r>
        <w:rPr>
          <w:noProof/>
        </w:rPr>
        <w:t>10  Performance benchmark for appointment</w:t>
      </w:r>
      <w:r>
        <w:rPr>
          <w:noProof/>
        </w:rPr>
        <w:noBreakHyphen/>
        <w:t>keeping performance standard</w:t>
      </w:r>
      <w:r>
        <w:rPr>
          <w:noProof/>
        </w:rPr>
        <w:tab/>
      </w:r>
      <w:r>
        <w:rPr>
          <w:noProof/>
        </w:rPr>
        <w:fldChar w:fldCharType="begin"/>
      </w:r>
      <w:r>
        <w:rPr>
          <w:noProof/>
        </w:rPr>
        <w:instrText xml:space="preserve"> PAGEREF _Toc140996314 \h </w:instrText>
      </w:r>
      <w:r>
        <w:rPr>
          <w:noProof/>
        </w:rPr>
      </w:r>
      <w:r>
        <w:rPr>
          <w:noProof/>
        </w:rPr>
        <w:fldChar w:fldCharType="separate"/>
      </w:r>
      <w:r w:rsidR="008F40BD">
        <w:rPr>
          <w:noProof/>
        </w:rPr>
        <w:t>5</w:t>
      </w:r>
      <w:r>
        <w:rPr>
          <w:noProof/>
        </w:rPr>
        <w:fldChar w:fldCharType="end"/>
      </w:r>
    </w:p>
    <w:p w14:paraId="4855D43E" w14:textId="71039133" w:rsidR="00561EDC" w:rsidRDefault="00561EDC">
      <w:pPr>
        <w:pStyle w:val="TOC4"/>
        <w:tabs>
          <w:tab w:val="left" w:pos="2183"/>
        </w:tabs>
        <w:rPr>
          <w:rFonts w:asciiTheme="minorHAnsi" w:eastAsiaTheme="minorEastAsia" w:hAnsiTheme="minorHAnsi" w:cstheme="minorBidi"/>
          <w:b w:val="0"/>
          <w:noProof/>
          <w:kern w:val="0"/>
          <w:sz w:val="22"/>
          <w:szCs w:val="22"/>
        </w:rPr>
      </w:pPr>
      <w:r>
        <w:rPr>
          <w:noProof/>
        </w:rPr>
        <w:t>Division 2</w:t>
      </w:r>
      <w:r>
        <w:rPr>
          <w:rFonts w:asciiTheme="minorHAnsi" w:eastAsiaTheme="minorEastAsia" w:hAnsiTheme="minorHAnsi" w:cstheme="minorBidi"/>
          <w:b w:val="0"/>
          <w:noProof/>
          <w:kern w:val="0"/>
          <w:sz w:val="22"/>
          <w:szCs w:val="22"/>
        </w:rPr>
        <w:tab/>
      </w:r>
      <w:r>
        <w:rPr>
          <w:noProof/>
        </w:rPr>
        <w:t>Compliance with performance benchmarks</w:t>
      </w:r>
      <w:r>
        <w:rPr>
          <w:noProof/>
        </w:rPr>
        <w:tab/>
      </w:r>
      <w:r>
        <w:rPr>
          <w:noProof/>
        </w:rPr>
        <w:fldChar w:fldCharType="begin"/>
      </w:r>
      <w:r>
        <w:rPr>
          <w:noProof/>
        </w:rPr>
        <w:instrText xml:space="preserve"> PAGEREF _Toc140996315 \h </w:instrText>
      </w:r>
      <w:r>
        <w:rPr>
          <w:noProof/>
        </w:rPr>
      </w:r>
      <w:r>
        <w:rPr>
          <w:noProof/>
        </w:rPr>
        <w:fldChar w:fldCharType="separate"/>
      </w:r>
      <w:r w:rsidR="008F40BD">
        <w:rPr>
          <w:noProof/>
        </w:rPr>
        <w:t>6</w:t>
      </w:r>
      <w:r>
        <w:rPr>
          <w:noProof/>
        </w:rPr>
        <w:fldChar w:fldCharType="end"/>
      </w:r>
    </w:p>
    <w:p w14:paraId="1FBC3524" w14:textId="0F4A5FB7" w:rsidR="00561EDC" w:rsidRDefault="00561EDC">
      <w:pPr>
        <w:pStyle w:val="TOC5"/>
        <w:rPr>
          <w:rFonts w:asciiTheme="minorHAnsi" w:eastAsiaTheme="minorEastAsia" w:hAnsiTheme="minorHAnsi" w:cstheme="minorBidi"/>
          <w:noProof/>
          <w:kern w:val="0"/>
          <w:sz w:val="22"/>
          <w:szCs w:val="22"/>
        </w:rPr>
      </w:pPr>
      <w:r>
        <w:rPr>
          <w:noProof/>
        </w:rPr>
        <w:t>11  Contravention of a performance benchmark</w:t>
      </w:r>
      <w:r>
        <w:rPr>
          <w:noProof/>
        </w:rPr>
        <w:tab/>
      </w:r>
      <w:r>
        <w:rPr>
          <w:noProof/>
        </w:rPr>
        <w:fldChar w:fldCharType="begin"/>
      </w:r>
      <w:r>
        <w:rPr>
          <w:noProof/>
        </w:rPr>
        <w:instrText xml:space="preserve"> PAGEREF _Toc140996316 \h </w:instrText>
      </w:r>
      <w:r>
        <w:rPr>
          <w:noProof/>
        </w:rPr>
      </w:r>
      <w:r>
        <w:rPr>
          <w:noProof/>
        </w:rPr>
        <w:fldChar w:fldCharType="separate"/>
      </w:r>
      <w:r w:rsidR="008F40BD">
        <w:rPr>
          <w:noProof/>
        </w:rPr>
        <w:t>6</w:t>
      </w:r>
      <w:r>
        <w:rPr>
          <w:noProof/>
        </w:rPr>
        <w:fldChar w:fldCharType="end"/>
      </w:r>
    </w:p>
    <w:p w14:paraId="124F635F" w14:textId="4B30C6F1" w:rsidR="00561EDC" w:rsidRDefault="00561EDC">
      <w:pPr>
        <w:pStyle w:val="TOC2"/>
        <w:rPr>
          <w:rFonts w:asciiTheme="minorHAnsi" w:eastAsiaTheme="minorEastAsia" w:hAnsiTheme="minorHAnsi" w:cstheme="minorBidi"/>
          <w:b w:val="0"/>
          <w:noProof/>
          <w:kern w:val="0"/>
          <w:sz w:val="22"/>
          <w:szCs w:val="22"/>
        </w:rPr>
      </w:pPr>
      <w:r>
        <w:rPr>
          <w:noProof/>
        </w:rPr>
        <w:t>Schedule 1— Repeals</w:t>
      </w:r>
      <w:r>
        <w:rPr>
          <w:noProof/>
        </w:rPr>
        <w:tab/>
      </w:r>
      <w:r w:rsidR="008F40BD">
        <w:rPr>
          <w:noProof/>
        </w:rPr>
        <w:t>7</w:t>
      </w:r>
    </w:p>
    <w:p w14:paraId="54FA84F6" w14:textId="0EEC330E" w:rsidR="00F6696E" w:rsidRDefault="00561EDC" w:rsidP="00561EDC">
      <w:pPr>
        <w:sectPr w:rsidR="00F6696E" w:rsidSect="00FD3187">
          <w:headerReference w:type="even" r:id="rId17"/>
          <w:headerReference w:type="default" r:id="rId18"/>
          <w:footerReference w:type="even" r:id="rId19"/>
          <w:footerReference w:type="default" r:id="rId20"/>
          <w:headerReference w:type="first" r:id="rId21"/>
          <w:pgSz w:w="11907" w:h="16839"/>
          <w:pgMar w:top="2099" w:right="1797" w:bottom="1440" w:left="1797" w:header="720" w:footer="709" w:gutter="0"/>
          <w:pgNumType w:fmt="lowerRoman" w:start="1"/>
          <w:cols w:space="708"/>
          <w:docGrid w:linePitch="360"/>
        </w:sectPr>
      </w:pPr>
      <w:r w:rsidRPr="00B32C2C">
        <w:rPr>
          <w:rFonts w:cs="Times New Roman"/>
        </w:rPr>
        <w:fldChar w:fldCharType="end"/>
      </w:r>
    </w:p>
    <w:p w14:paraId="29CBBBD8" w14:textId="77777777" w:rsidR="00B7730C" w:rsidRPr="00B7730C" w:rsidRDefault="00B7730C" w:rsidP="001738B6">
      <w:pPr>
        <w:pStyle w:val="ActHead2"/>
      </w:pPr>
      <w:bookmarkStart w:id="1" w:name="_Hlk136437198"/>
      <w:bookmarkStart w:id="2" w:name="_Hlk136435827"/>
      <w:bookmarkStart w:id="3" w:name="_Toc98428649"/>
      <w:bookmarkStart w:id="4" w:name="_Toc97894117"/>
      <w:bookmarkStart w:id="5" w:name="_Toc140568339"/>
      <w:bookmarkStart w:id="6" w:name="_Toc140996302"/>
      <w:r w:rsidRPr="00CA6BE6">
        <w:lastRenderedPageBreak/>
        <w:t>Part</w:t>
      </w:r>
      <w:bookmarkEnd w:id="1"/>
      <w:r w:rsidRPr="00CA6BE6">
        <w:t xml:space="preserve"> </w:t>
      </w:r>
      <w:bookmarkEnd w:id="2"/>
      <w:r w:rsidRPr="00CA6BE6">
        <w:t>1—</w:t>
      </w:r>
      <w:bookmarkEnd w:id="3"/>
      <w:bookmarkEnd w:id="4"/>
      <w:r w:rsidRPr="00CA6BE6">
        <w:t>Preliminary</w:t>
      </w:r>
      <w:bookmarkEnd w:id="5"/>
      <w:r w:rsidRPr="00CA6BE6">
        <w:t xml:space="preserve"> </w:t>
      </w:r>
      <w:bookmarkEnd w:id="6"/>
    </w:p>
    <w:p w14:paraId="07F20538" w14:textId="77777777" w:rsidR="00554826" w:rsidRPr="00554826" w:rsidRDefault="00554826" w:rsidP="00554826">
      <w:pPr>
        <w:pStyle w:val="ActHead5"/>
      </w:pPr>
      <w:bookmarkStart w:id="7" w:name="_Toc140568340"/>
      <w:bookmarkStart w:id="8" w:name="_Toc140996303"/>
      <w:r w:rsidRPr="00554826">
        <w:t>1  Name</w:t>
      </w:r>
      <w:bookmarkEnd w:id="7"/>
      <w:bookmarkEnd w:id="8"/>
    </w:p>
    <w:p w14:paraId="6ABEEE36" w14:textId="77777777" w:rsidR="00B12744" w:rsidRPr="00523432" w:rsidRDefault="00554826" w:rsidP="00B12744">
      <w:pPr>
        <w:pStyle w:val="subsection"/>
      </w:pPr>
      <w:r w:rsidRPr="009C2562">
        <w:tab/>
      </w:r>
      <w:r w:rsidRPr="009C2562">
        <w:tab/>
      </w:r>
      <w:r w:rsidRPr="00523432">
        <w:t xml:space="preserve">This instrument is the </w:t>
      </w:r>
      <w:bookmarkStart w:id="9" w:name="BKCheck15B_3"/>
      <w:bookmarkEnd w:id="9"/>
      <w:r w:rsidR="00B12744" w:rsidRPr="00523432">
        <w:rPr>
          <w:i/>
        </w:rPr>
        <w:t>Telecommunications (Customer Service Guarantee – Retail Performance Benchmarks) Instrument 2023</w:t>
      </w:r>
      <w:r w:rsidR="00523432" w:rsidRPr="00523432">
        <w:t xml:space="preserve">. </w:t>
      </w:r>
    </w:p>
    <w:p w14:paraId="39C588A6" w14:textId="77777777" w:rsidR="00554826" w:rsidRPr="00523432" w:rsidRDefault="00554826" w:rsidP="00554826">
      <w:pPr>
        <w:pStyle w:val="ActHead5"/>
      </w:pPr>
      <w:bookmarkStart w:id="10" w:name="_Toc140568341"/>
      <w:bookmarkStart w:id="11" w:name="_Toc140996304"/>
      <w:r w:rsidRPr="00523432">
        <w:t>2  Commencement</w:t>
      </w:r>
      <w:bookmarkEnd w:id="10"/>
      <w:bookmarkEnd w:id="11"/>
    </w:p>
    <w:p w14:paraId="6A182BE2" w14:textId="77777777" w:rsidR="00554826" w:rsidRPr="00523432" w:rsidRDefault="00554826" w:rsidP="00554826">
      <w:pPr>
        <w:pStyle w:val="subsection"/>
      </w:pPr>
      <w:r w:rsidRPr="00523432">
        <w:tab/>
      </w:r>
      <w:r w:rsidRPr="00523432">
        <w:tab/>
        <w:t xml:space="preserve">This instrument commences </w:t>
      </w:r>
      <w:r w:rsidR="00B12744" w:rsidRPr="00523432">
        <w:t>on the day after this instrument is registered</w:t>
      </w:r>
      <w:r w:rsidRPr="00523432">
        <w:t>.</w:t>
      </w:r>
    </w:p>
    <w:p w14:paraId="3C58664D" w14:textId="77777777" w:rsidR="00554826" w:rsidRPr="00523432" w:rsidRDefault="00554826" w:rsidP="00554826">
      <w:pPr>
        <w:pStyle w:val="ActHead5"/>
      </w:pPr>
      <w:bookmarkStart w:id="12" w:name="_Toc140568342"/>
      <w:bookmarkStart w:id="13" w:name="_Toc140996305"/>
      <w:bookmarkStart w:id="14" w:name="_GoBack"/>
      <w:bookmarkEnd w:id="14"/>
      <w:r w:rsidRPr="00523432">
        <w:t>3  Authority</w:t>
      </w:r>
      <w:bookmarkEnd w:id="12"/>
      <w:bookmarkEnd w:id="13"/>
    </w:p>
    <w:p w14:paraId="265972B6" w14:textId="77777777" w:rsidR="00554826" w:rsidRPr="00523432" w:rsidRDefault="00554826" w:rsidP="00554826">
      <w:pPr>
        <w:pStyle w:val="subsection"/>
      </w:pPr>
      <w:r w:rsidRPr="00523432">
        <w:tab/>
      </w:r>
      <w:r w:rsidRPr="00523432">
        <w:tab/>
        <w:t xml:space="preserve">This instrument is made under </w:t>
      </w:r>
      <w:r w:rsidR="00B12744" w:rsidRPr="00523432">
        <w:t xml:space="preserve">subsection 117B(1) of the </w:t>
      </w:r>
      <w:r w:rsidR="00B12744" w:rsidRPr="00523432">
        <w:rPr>
          <w:i/>
        </w:rPr>
        <w:t>Telecommunications (Consumer Protection and Service Standards) Act 1999</w:t>
      </w:r>
      <w:r w:rsidRPr="00523432">
        <w:t>.</w:t>
      </w:r>
    </w:p>
    <w:p w14:paraId="1DEA3572" w14:textId="40505181" w:rsidR="001738B6" w:rsidRPr="001738B6" w:rsidRDefault="00554826" w:rsidP="004940A6">
      <w:pPr>
        <w:pStyle w:val="ActHead5"/>
      </w:pPr>
      <w:bookmarkStart w:id="15" w:name="_Toc140568343"/>
      <w:bookmarkStart w:id="16" w:name="_Toc140996306"/>
      <w:r w:rsidRPr="00523432">
        <w:t>4  Definitions</w:t>
      </w:r>
      <w:bookmarkEnd w:id="15"/>
      <w:bookmarkEnd w:id="16"/>
    </w:p>
    <w:p w14:paraId="3D112769" w14:textId="77777777" w:rsidR="00554826" w:rsidRPr="009C2562" w:rsidRDefault="00523432" w:rsidP="00554826">
      <w:pPr>
        <w:pStyle w:val="subsection"/>
      </w:pPr>
      <w:r w:rsidRPr="00B12744">
        <w:rPr>
          <w:szCs w:val="22"/>
        </w:rPr>
        <w:tab/>
      </w:r>
      <w:r>
        <w:rPr>
          <w:szCs w:val="22"/>
        </w:rPr>
        <w:t xml:space="preserve">(1) </w:t>
      </w:r>
      <w:r w:rsidR="00554826" w:rsidRPr="009C2562">
        <w:t>In this instrument:</w:t>
      </w:r>
    </w:p>
    <w:p w14:paraId="5621CE8B" w14:textId="7936A6EB" w:rsidR="00B12744" w:rsidRDefault="00B12744" w:rsidP="00B12744">
      <w:pPr>
        <w:pStyle w:val="definition0"/>
        <w:rPr>
          <w:sz w:val="22"/>
          <w:szCs w:val="22"/>
        </w:rPr>
      </w:pPr>
      <w:r w:rsidRPr="00B12744">
        <w:rPr>
          <w:b/>
          <w:bCs/>
          <w:i/>
          <w:sz w:val="22"/>
          <w:szCs w:val="22"/>
        </w:rPr>
        <w:t>Act</w:t>
      </w:r>
      <w:r w:rsidRPr="00B12744">
        <w:rPr>
          <w:b/>
          <w:bCs/>
          <w:sz w:val="22"/>
          <w:szCs w:val="22"/>
        </w:rPr>
        <w:t xml:space="preserve"> </w:t>
      </w:r>
      <w:r w:rsidRPr="00B12744">
        <w:rPr>
          <w:sz w:val="22"/>
          <w:szCs w:val="22"/>
        </w:rPr>
        <w:t xml:space="preserve">means the </w:t>
      </w:r>
      <w:bookmarkStart w:id="17" w:name="_Hlk138255368"/>
      <w:r w:rsidRPr="00B12744">
        <w:rPr>
          <w:i/>
          <w:sz w:val="22"/>
          <w:szCs w:val="22"/>
        </w:rPr>
        <w:t>Telecommunications (Consumer Protection and Service Standards) Act 1999</w:t>
      </w:r>
      <w:bookmarkEnd w:id="17"/>
      <w:r w:rsidRPr="00B12744">
        <w:rPr>
          <w:sz w:val="22"/>
          <w:szCs w:val="22"/>
        </w:rPr>
        <w:t>.</w:t>
      </w:r>
    </w:p>
    <w:p w14:paraId="40AE8067" w14:textId="13CCDF63" w:rsidR="00DC2FBB" w:rsidRPr="00DC2FBB" w:rsidRDefault="00DC2FBB" w:rsidP="00B12744">
      <w:pPr>
        <w:pStyle w:val="definition0"/>
        <w:rPr>
          <w:sz w:val="22"/>
          <w:szCs w:val="22"/>
        </w:rPr>
      </w:pPr>
      <w:r>
        <w:rPr>
          <w:b/>
          <w:bCs/>
          <w:i/>
          <w:sz w:val="22"/>
          <w:szCs w:val="22"/>
        </w:rPr>
        <w:t xml:space="preserve">ACMA </w:t>
      </w:r>
      <w:r>
        <w:rPr>
          <w:bCs/>
          <w:sz w:val="22"/>
          <w:szCs w:val="22"/>
        </w:rPr>
        <w:t xml:space="preserve">means the Australian Communications and Media Authority. </w:t>
      </w:r>
    </w:p>
    <w:p w14:paraId="37651428" w14:textId="77777777" w:rsidR="00A51CD1" w:rsidRDefault="00B12744" w:rsidP="00617538">
      <w:pPr>
        <w:pStyle w:val="definition0"/>
        <w:rPr>
          <w:sz w:val="22"/>
          <w:szCs w:val="22"/>
        </w:rPr>
      </w:pPr>
      <w:bookmarkStart w:id="18" w:name="_Hlk139353325"/>
      <w:bookmarkStart w:id="19" w:name="_Hlk137023424"/>
      <w:r w:rsidRPr="00B12744">
        <w:rPr>
          <w:b/>
          <w:i/>
          <w:sz w:val="22"/>
          <w:szCs w:val="22"/>
        </w:rPr>
        <w:t>appointment</w:t>
      </w:r>
      <w:r w:rsidRPr="00B12744">
        <w:rPr>
          <w:b/>
          <w:i/>
          <w:sz w:val="22"/>
          <w:szCs w:val="22"/>
        </w:rPr>
        <w:noBreakHyphen/>
        <w:t xml:space="preserve">keeping performance standard </w:t>
      </w:r>
      <w:r w:rsidR="00356F7A">
        <w:rPr>
          <w:sz w:val="22"/>
          <w:szCs w:val="22"/>
        </w:rPr>
        <w:t xml:space="preserve">means the standard specified in the CSG standard that requires a carriage service provider to keep an appointment to which the provider is a </w:t>
      </w:r>
      <w:r w:rsidR="00356F7A" w:rsidRPr="00356F7A">
        <w:rPr>
          <w:sz w:val="22"/>
          <w:szCs w:val="22"/>
        </w:rPr>
        <w:t>party</w:t>
      </w:r>
      <w:r w:rsidR="00356F7A">
        <w:rPr>
          <w:sz w:val="22"/>
          <w:szCs w:val="22"/>
        </w:rPr>
        <w:t>.</w:t>
      </w:r>
      <w:bookmarkEnd w:id="18"/>
      <w:r w:rsidR="00977664">
        <w:rPr>
          <w:sz w:val="22"/>
          <w:szCs w:val="22"/>
        </w:rPr>
        <w:t xml:space="preserve"> </w:t>
      </w:r>
      <w:bookmarkEnd w:id="19"/>
    </w:p>
    <w:p w14:paraId="419BFCF2" w14:textId="723A0880" w:rsidR="00617538" w:rsidRDefault="00617538" w:rsidP="00617538">
      <w:pPr>
        <w:pStyle w:val="definition0"/>
        <w:rPr>
          <w:sz w:val="22"/>
          <w:szCs w:val="22"/>
        </w:rPr>
      </w:pPr>
      <w:r w:rsidRPr="00B4163F">
        <w:rPr>
          <w:b/>
          <w:i/>
          <w:sz w:val="22"/>
          <w:szCs w:val="22"/>
        </w:rPr>
        <w:t>carriage service provider</w:t>
      </w:r>
      <w:r w:rsidRPr="00B4163F">
        <w:rPr>
          <w:sz w:val="22"/>
          <w:szCs w:val="22"/>
        </w:rPr>
        <w:t xml:space="preserve"> has the same meaning as section 87 of the </w:t>
      </w:r>
      <w:r w:rsidRPr="00B4163F">
        <w:rPr>
          <w:i/>
          <w:sz w:val="22"/>
          <w:szCs w:val="22"/>
        </w:rPr>
        <w:t>Telecommunications Act 1997</w:t>
      </w:r>
      <w:r w:rsidRPr="00B4163F">
        <w:rPr>
          <w:sz w:val="22"/>
          <w:szCs w:val="22"/>
        </w:rPr>
        <w:t>.</w:t>
      </w:r>
      <w:r w:rsidRPr="00617538">
        <w:rPr>
          <w:sz w:val="22"/>
          <w:szCs w:val="22"/>
        </w:rPr>
        <w:t xml:space="preserve"> </w:t>
      </w:r>
    </w:p>
    <w:p w14:paraId="1843953A" w14:textId="2ACF8585" w:rsidR="00B12744" w:rsidRPr="004511AA" w:rsidRDefault="00B12744" w:rsidP="00617538">
      <w:pPr>
        <w:pStyle w:val="definition0"/>
        <w:rPr>
          <w:sz w:val="22"/>
          <w:szCs w:val="22"/>
        </w:rPr>
      </w:pPr>
      <w:bookmarkStart w:id="20" w:name="_Hlk137023418"/>
      <w:r w:rsidRPr="00AD6A31">
        <w:rPr>
          <w:b/>
          <w:i/>
          <w:sz w:val="22"/>
          <w:szCs w:val="22"/>
        </w:rPr>
        <w:t xml:space="preserve">connection period performance standard </w:t>
      </w:r>
      <w:r w:rsidRPr="00AD6A31">
        <w:rPr>
          <w:sz w:val="22"/>
          <w:szCs w:val="22"/>
        </w:rPr>
        <w:t>means in respect of an</w:t>
      </w:r>
      <w:r w:rsidR="000D385B" w:rsidRPr="00AD6A31">
        <w:rPr>
          <w:sz w:val="22"/>
          <w:szCs w:val="22"/>
        </w:rPr>
        <w:t xml:space="preserve"> </w:t>
      </w:r>
      <w:r w:rsidRPr="00931E30">
        <w:rPr>
          <w:sz w:val="22"/>
          <w:szCs w:val="22"/>
        </w:rPr>
        <w:t>in-place connection request or a new connection request</w:t>
      </w:r>
      <w:r w:rsidR="00B66FE2" w:rsidRPr="004511AA">
        <w:rPr>
          <w:sz w:val="22"/>
          <w:szCs w:val="22"/>
        </w:rPr>
        <w:t xml:space="preserve"> (as applicable)</w:t>
      </w:r>
      <w:r w:rsidRPr="004511AA">
        <w:rPr>
          <w:sz w:val="22"/>
          <w:szCs w:val="22"/>
        </w:rPr>
        <w:t>:</w:t>
      </w:r>
    </w:p>
    <w:p w14:paraId="4A5C994F" w14:textId="613EE007" w:rsidR="00B66FE2" w:rsidRPr="00AD6A31" w:rsidRDefault="00F26D5A" w:rsidP="003553F5">
      <w:pPr>
        <w:pStyle w:val="P1"/>
        <w:numPr>
          <w:ilvl w:val="0"/>
          <w:numId w:val="19"/>
        </w:numPr>
        <w:rPr>
          <w:sz w:val="22"/>
          <w:szCs w:val="22"/>
        </w:rPr>
      </w:pPr>
      <w:r w:rsidRPr="004511AA">
        <w:rPr>
          <w:sz w:val="22"/>
          <w:szCs w:val="22"/>
        </w:rPr>
        <w:t xml:space="preserve"> </w:t>
      </w:r>
      <w:r w:rsidR="00B12744" w:rsidRPr="005337DA">
        <w:rPr>
          <w:sz w:val="22"/>
          <w:szCs w:val="22"/>
        </w:rPr>
        <w:t>the</w:t>
      </w:r>
      <w:r w:rsidR="004511AA">
        <w:rPr>
          <w:sz w:val="22"/>
          <w:szCs w:val="22"/>
        </w:rPr>
        <w:t xml:space="preserve"> </w:t>
      </w:r>
      <w:r w:rsidR="00B12744" w:rsidRPr="004511AA">
        <w:rPr>
          <w:sz w:val="22"/>
          <w:szCs w:val="22"/>
        </w:rPr>
        <w:t xml:space="preserve">standard </w:t>
      </w:r>
      <w:r w:rsidR="007A5513" w:rsidRPr="004511AA">
        <w:rPr>
          <w:sz w:val="22"/>
          <w:szCs w:val="22"/>
        </w:rPr>
        <w:t xml:space="preserve">specified </w:t>
      </w:r>
      <w:r w:rsidR="003553F5" w:rsidRPr="004511AA">
        <w:rPr>
          <w:sz w:val="22"/>
          <w:szCs w:val="22"/>
        </w:rPr>
        <w:t>in the CSG Standard</w:t>
      </w:r>
      <w:r w:rsidR="005C4CD8" w:rsidRPr="004511AA">
        <w:rPr>
          <w:sz w:val="22"/>
          <w:szCs w:val="22"/>
        </w:rPr>
        <w:t xml:space="preserve"> </w:t>
      </w:r>
      <w:r w:rsidR="003553F5" w:rsidRPr="004511AA">
        <w:rPr>
          <w:sz w:val="22"/>
          <w:szCs w:val="22"/>
        </w:rPr>
        <w:t>for connection in the</w:t>
      </w:r>
      <w:r w:rsidR="00E74F59" w:rsidRPr="005337DA">
        <w:rPr>
          <w:sz w:val="22"/>
          <w:szCs w:val="22"/>
        </w:rPr>
        <w:t xml:space="preserve"> </w:t>
      </w:r>
      <w:r w:rsidR="00E74F59" w:rsidRPr="005E3054">
        <w:rPr>
          <w:sz w:val="22"/>
          <w:szCs w:val="22"/>
        </w:rPr>
        <w:t>relev</w:t>
      </w:r>
      <w:r w:rsidR="00E74F59" w:rsidRPr="00BF0E3C">
        <w:rPr>
          <w:sz w:val="22"/>
          <w:szCs w:val="22"/>
        </w:rPr>
        <w:t>an</w:t>
      </w:r>
      <w:r w:rsidR="00E74F59" w:rsidRPr="00AD6A31">
        <w:rPr>
          <w:sz w:val="22"/>
          <w:szCs w:val="22"/>
        </w:rPr>
        <w:t>t</w:t>
      </w:r>
      <w:r w:rsidR="003553F5" w:rsidRPr="00AD6A31">
        <w:rPr>
          <w:sz w:val="22"/>
          <w:szCs w:val="22"/>
        </w:rPr>
        <w:t xml:space="preserve"> guaranteed maximum connection period</w:t>
      </w:r>
      <w:r w:rsidR="00B66FE2" w:rsidRPr="00AD6A31">
        <w:rPr>
          <w:sz w:val="22"/>
          <w:szCs w:val="22"/>
        </w:rPr>
        <w:t xml:space="preserve">; or </w:t>
      </w:r>
    </w:p>
    <w:p w14:paraId="415AE908" w14:textId="032FFF61" w:rsidR="00B12744" w:rsidRPr="00AD6A31" w:rsidRDefault="00F26D5A" w:rsidP="00B66FE2">
      <w:pPr>
        <w:pStyle w:val="P1"/>
        <w:numPr>
          <w:ilvl w:val="0"/>
          <w:numId w:val="19"/>
        </w:numPr>
        <w:rPr>
          <w:sz w:val="22"/>
          <w:szCs w:val="22"/>
        </w:rPr>
      </w:pPr>
      <w:r w:rsidRPr="00AD6A31">
        <w:rPr>
          <w:szCs w:val="22"/>
        </w:rPr>
        <w:t xml:space="preserve"> </w:t>
      </w:r>
      <w:r w:rsidR="00B66FE2" w:rsidRPr="00AD6A31">
        <w:rPr>
          <w:szCs w:val="22"/>
        </w:rPr>
        <w:t>if an arrangement</w:t>
      </w:r>
      <w:r w:rsidR="00E74F59" w:rsidRPr="00AD6A31">
        <w:rPr>
          <w:szCs w:val="22"/>
        </w:rPr>
        <w:t xml:space="preserve"> </w:t>
      </w:r>
      <w:r w:rsidR="00AD6A31">
        <w:rPr>
          <w:sz w:val="22"/>
          <w:szCs w:val="22"/>
        </w:rPr>
        <w:t>in</w:t>
      </w:r>
      <w:r w:rsidR="00B66FE2" w:rsidRPr="00AD6A31">
        <w:rPr>
          <w:sz w:val="22"/>
          <w:szCs w:val="22"/>
        </w:rPr>
        <w:t xml:space="preserve"> the CSG Standard</w:t>
      </w:r>
      <w:r w:rsidR="000D385B" w:rsidRPr="00AD6A31">
        <w:rPr>
          <w:sz w:val="22"/>
          <w:szCs w:val="22"/>
        </w:rPr>
        <w:t xml:space="preserve"> </w:t>
      </w:r>
      <w:r w:rsidR="00AD6A31">
        <w:rPr>
          <w:sz w:val="22"/>
          <w:szCs w:val="22"/>
        </w:rPr>
        <w:t>providing</w:t>
      </w:r>
      <w:r w:rsidR="00B66FE2" w:rsidRPr="00AD6A31">
        <w:rPr>
          <w:sz w:val="22"/>
          <w:szCs w:val="22"/>
        </w:rPr>
        <w:t xml:space="preserve"> for a connection period that is either</w:t>
      </w:r>
      <w:r w:rsidR="00B66FE2" w:rsidRPr="004511AA">
        <w:rPr>
          <w:sz w:val="22"/>
          <w:szCs w:val="22"/>
        </w:rPr>
        <w:t xml:space="preserve"> shorter or longer than the guaranteed maximum connection period is in place – the standard provided by that arrangement.</w:t>
      </w:r>
    </w:p>
    <w:bookmarkEnd w:id="20"/>
    <w:p w14:paraId="57AAA635" w14:textId="77777777" w:rsidR="004F04F0" w:rsidRPr="004F04F0" w:rsidRDefault="004F04F0" w:rsidP="00B12744">
      <w:pPr>
        <w:pStyle w:val="definition0"/>
        <w:rPr>
          <w:sz w:val="22"/>
          <w:szCs w:val="22"/>
        </w:rPr>
      </w:pPr>
      <w:r w:rsidRPr="004F04F0">
        <w:rPr>
          <w:b/>
          <w:i/>
          <w:sz w:val="22"/>
          <w:szCs w:val="22"/>
        </w:rPr>
        <w:t xml:space="preserve">CSG </w:t>
      </w:r>
      <w:r w:rsidR="00775E28">
        <w:rPr>
          <w:b/>
          <w:i/>
          <w:sz w:val="22"/>
          <w:szCs w:val="22"/>
        </w:rPr>
        <w:t>s</w:t>
      </w:r>
      <w:r w:rsidRPr="004F04F0">
        <w:rPr>
          <w:b/>
          <w:i/>
          <w:sz w:val="22"/>
          <w:szCs w:val="22"/>
        </w:rPr>
        <w:t xml:space="preserve">ervice </w:t>
      </w:r>
      <w:r w:rsidRPr="004F04F0">
        <w:rPr>
          <w:sz w:val="22"/>
          <w:szCs w:val="22"/>
        </w:rPr>
        <w:t xml:space="preserve">has the same meaning as in the CSG Standard. </w:t>
      </w:r>
    </w:p>
    <w:p w14:paraId="48B711F9" w14:textId="5497ED38" w:rsidR="00B12744" w:rsidRPr="00B12744" w:rsidRDefault="00B12744" w:rsidP="00B12744">
      <w:pPr>
        <w:pStyle w:val="definition0"/>
        <w:rPr>
          <w:i/>
          <w:sz w:val="22"/>
          <w:szCs w:val="22"/>
        </w:rPr>
      </w:pPr>
      <w:r w:rsidRPr="00380AC7">
        <w:rPr>
          <w:b/>
          <w:i/>
          <w:sz w:val="22"/>
          <w:szCs w:val="22"/>
        </w:rPr>
        <w:t xml:space="preserve">CSG Standard </w:t>
      </w:r>
      <w:r w:rsidR="002619A6" w:rsidRPr="00380AC7">
        <w:rPr>
          <w:sz w:val="22"/>
          <w:szCs w:val="22"/>
        </w:rPr>
        <w:t xml:space="preserve">means </w:t>
      </w:r>
      <w:r w:rsidR="004F04F0" w:rsidRPr="00380AC7">
        <w:rPr>
          <w:sz w:val="22"/>
          <w:szCs w:val="22"/>
        </w:rPr>
        <w:t>the ins</w:t>
      </w:r>
      <w:r w:rsidR="002619A6" w:rsidRPr="00380AC7">
        <w:rPr>
          <w:sz w:val="22"/>
          <w:szCs w:val="22"/>
        </w:rPr>
        <w:t xml:space="preserve">trument made under </w:t>
      </w:r>
      <w:r w:rsidR="000715F0" w:rsidRPr="00380AC7">
        <w:rPr>
          <w:sz w:val="22"/>
          <w:szCs w:val="22"/>
        </w:rPr>
        <w:t xml:space="preserve">sections 115, 117 and 120 </w:t>
      </w:r>
      <w:r w:rsidR="002619A6" w:rsidRPr="00380AC7">
        <w:rPr>
          <w:sz w:val="22"/>
          <w:szCs w:val="22"/>
        </w:rPr>
        <w:t xml:space="preserve">of the Act, </w:t>
      </w:r>
      <w:r w:rsidRPr="00380AC7">
        <w:rPr>
          <w:sz w:val="22"/>
          <w:szCs w:val="22"/>
        </w:rPr>
        <w:t>as</w:t>
      </w:r>
      <w:r w:rsidR="002619A6" w:rsidRPr="00380AC7">
        <w:rPr>
          <w:sz w:val="22"/>
          <w:szCs w:val="22"/>
        </w:rPr>
        <w:t xml:space="preserve"> </w:t>
      </w:r>
      <w:r w:rsidRPr="00380AC7">
        <w:rPr>
          <w:sz w:val="22"/>
          <w:szCs w:val="22"/>
        </w:rPr>
        <w:t>in force from time to time.</w:t>
      </w:r>
    </w:p>
    <w:p w14:paraId="32396BAD" w14:textId="77777777" w:rsidR="00B12744" w:rsidRPr="00B12744" w:rsidRDefault="00B12744" w:rsidP="00B12744">
      <w:pPr>
        <w:pStyle w:val="definition0"/>
        <w:rPr>
          <w:b/>
          <w:i/>
          <w:sz w:val="22"/>
          <w:szCs w:val="22"/>
        </w:rPr>
      </w:pPr>
      <w:r w:rsidRPr="00B12744">
        <w:rPr>
          <w:b/>
          <w:i/>
          <w:sz w:val="22"/>
          <w:szCs w:val="22"/>
        </w:rPr>
        <w:t>in-place connection</w:t>
      </w:r>
      <w:r w:rsidRPr="00B12744">
        <w:rPr>
          <w:sz w:val="22"/>
          <w:szCs w:val="22"/>
        </w:rPr>
        <w:t xml:space="preserve"> means an </w:t>
      </w:r>
      <w:r w:rsidR="004F04F0">
        <w:rPr>
          <w:sz w:val="22"/>
          <w:szCs w:val="22"/>
        </w:rPr>
        <w:t>“</w:t>
      </w:r>
      <w:r w:rsidRPr="00B12744">
        <w:rPr>
          <w:sz w:val="22"/>
          <w:szCs w:val="22"/>
        </w:rPr>
        <w:t>in-place connection</w:t>
      </w:r>
      <w:r w:rsidR="004F04F0">
        <w:rPr>
          <w:sz w:val="22"/>
          <w:szCs w:val="22"/>
        </w:rPr>
        <w:t>”</w:t>
      </w:r>
      <w:r w:rsidRPr="00B12744">
        <w:rPr>
          <w:sz w:val="22"/>
          <w:szCs w:val="22"/>
        </w:rPr>
        <w:t xml:space="preserve"> as described in the CSG Standard.</w:t>
      </w:r>
    </w:p>
    <w:p w14:paraId="5FE4AD1A" w14:textId="77777777" w:rsidR="00B12744" w:rsidRPr="00B12744" w:rsidRDefault="00B12744" w:rsidP="00B12744">
      <w:pPr>
        <w:pStyle w:val="definition0"/>
        <w:rPr>
          <w:sz w:val="22"/>
          <w:szCs w:val="22"/>
        </w:rPr>
      </w:pPr>
      <w:r w:rsidRPr="00B12744">
        <w:rPr>
          <w:b/>
          <w:i/>
          <w:sz w:val="22"/>
          <w:szCs w:val="22"/>
        </w:rPr>
        <w:t xml:space="preserve">in-place connection request </w:t>
      </w:r>
      <w:r w:rsidRPr="00B12744">
        <w:rPr>
          <w:sz w:val="22"/>
          <w:szCs w:val="22"/>
        </w:rPr>
        <w:t>means a request made by a customer to a carriage service provider for connection of a CSG service at a site that has an in-place connection.</w:t>
      </w:r>
    </w:p>
    <w:p w14:paraId="62D1B5CE" w14:textId="77777777" w:rsidR="00B12744" w:rsidRPr="00B12744" w:rsidRDefault="00B12744" w:rsidP="00B12744">
      <w:pPr>
        <w:pStyle w:val="definition0"/>
        <w:rPr>
          <w:sz w:val="22"/>
          <w:szCs w:val="22"/>
        </w:rPr>
      </w:pPr>
      <w:r w:rsidRPr="00B12744">
        <w:rPr>
          <w:b/>
          <w:i/>
          <w:sz w:val="22"/>
          <w:szCs w:val="22"/>
        </w:rPr>
        <w:t xml:space="preserve">major rural area </w:t>
      </w:r>
      <w:r w:rsidRPr="00B12744">
        <w:rPr>
          <w:sz w:val="22"/>
          <w:szCs w:val="22"/>
        </w:rPr>
        <w:t xml:space="preserve">means an urban centre or other recognised community grouping with a population greater than 2,500 but less than 10,000 people.  </w:t>
      </w:r>
    </w:p>
    <w:p w14:paraId="2238873D" w14:textId="77777777" w:rsidR="00B12744" w:rsidRPr="00B12744" w:rsidRDefault="00B12744" w:rsidP="00B12744">
      <w:pPr>
        <w:pStyle w:val="definition0"/>
        <w:rPr>
          <w:sz w:val="22"/>
          <w:szCs w:val="22"/>
        </w:rPr>
      </w:pPr>
      <w:r w:rsidRPr="00B12744">
        <w:rPr>
          <w:b/>
          <w:i/>
          <w:sz w:val="22"/>
          <w:szCs w:val="22"/>
        </w:rPr>
        <w:lastRenderedPageBreak/>
        <w:t xml:space="preserve">minor rural area </w:t>
      </w:r>
      <w:r w:rsidRPr="00B12744">
        <w:rPr>
          <w:sz w:val="22"/>
          <w:szCs w:val="22"/>
        </w:rPr>
        <w:t>means an urban centre, locality or other recognised community grouping with a population of greater than 200 but not more than 2,500 people.</w:t>
      </w:r>
    </w:p>
    <w:p w14:paraId="6DA8FC1C" w14:textId="278BFDA9" w:rsidR="00B12744" w:rsidRDefault="00B12744" w:rsidP="00B12744">
      <w:pPr>
        <w:pStyle w:val="definition0"/>
        <w:keepNext/>
        <w:keepLines/>
        <w:rPr>
          <w:sz w:val="22"/>
          <w:szCs w:val="22"/>
        </w:rPr>
      </w:pPr>
      <w:r w:rsidRPr="00B12744">
        <w:rPr>
          <w:b/>
          <w:i/>
          <w:sz w:val="22"/>
          <w:szCs w:val="22"/>
        </w:rPr>
        <w:t xml:space="preserve">new connection request </w:t>
      </w:r>
      <w:r w:rsidRPr="00B12744">
        <w:rPr>
          <w:sz w:val="22"/>
          <w:szCs w:val="22"/>
        </w:rPr>
        <w:t>means a request made by a customer to a carriage service provider for connection of a CSG service at a site that does not have an in-place connection and that site is in close proximity to external plant and facilities that have sufficient capacity to supply the service.</w:t>
      </w:r>
    </w:p>
    <w:p w14:paraId="408F005B" w14:textId="770BD65D" w:rsidR="002F2684" w:rsidRPr="002F2684" w:rsidRDefault="002F2684" w:rsidP="00B12744">
      <w:pPr>
        <w:pStyle w:val="definition0"/>
        <w:keepNext/>
        <w:keepLines/>
        <w:rPr>
          <w:i/>
          <w:sz w:val="22"/>
          <w:szCs w:val="22"/>
        </w:rPr>
      </w:pPr>
      <w:r>
        <w:rPr>
          <w:b/>
          <w:i/>
          <w:sz w:val="22"/>
          <w:szCs w:val="22"/>
        </w:rPr>
        <w:t xml:space="preserve">new CSG standard </w:t>
      </w:r>
      <w:r>
        <w:rPr>
          <w:sz w:val="22"/>
          <w:szCs w:val="22"/>
        </w:rPr>
        <w:t xml:space="preserve">means the legislative instrument made by ACMA subject to the direction in section 6 of the </w:t>
      </w:r>
      <w:r>
        <w:rPr>
          <w:i/>
          <w:sz w:val="22"/>
          <w:szCs w:val="22"/>
        </w:rPr>
        <w:t xml:space="preserve">Telecommunications (Customer Service Guarantee) Direction </w:t>
      </w:r>
      <w:r w:rsidRPr="0074129F">
        <w:rPr>
          <w:sz w:val="22"/>
          <w:szCs w:val="22"/>
        </w:rPr>
        <w:t>2023</w:t>
      </w:r>
      <w:r>
        <w:rPr>
          <w:sz w:val="22"/>
          <w:szCs w:val="22"/>
        </w:rPr>
        <w:t xml:space="preserve">. </w:t>
      </w:r>
    </w:p>
    <w:p w14:paraId="511F77E9" w14:textId="185ECE82" w:rsidR="004940A6" w:rsidRPr="00B12744" w:rsidRDefault="00B12744" w:rsidP="004940A6">
      <w:pPr>
        <w:pStyle w:val="definition0"/>
        <w:rPr>
          <w:sz w:val="22"/>
          <w:szCs w:val="22"/>
        </w:rPr>
      </w:pPr>
      <w:r w:rsidRPr="00B12744">
        <w:rPr>
          <w:b/>
          <w:i/>
          <w:sz w:val="22"/>
          <w:szCs w:val="22"/>
        </w:rPr>
        <w:t>qualifying carriage service provider</w:t>
      </w:r>
      <w:r w:rsidRPr="00B12744">
        <w:rPr>
          <w:sz w:val="22"/>
          <w:szCs w:val="22"/>
        </w:rPr>
        <w:t xml:space="preserve"> </w:t>
      </w:r>
      <w:r w:rsidR="004940A6">
        <w:rPr>
          <w:sz w:val="22"/>
          <w:szCs w:val="22"/>
        </w:rPr>
        <w:t xml:space="preserve">means in respect of a benchmark period, a </w:t>
      </w:r>
      <w:r w:rsidR="004940A6" w:rsidRPr="003500E6">
        <w:rPr>
          <w:sz w:val="22"/>
          <w:szCs w:val="22"/>
        </w:rPr>
        <w:t>carriage service provider</w:t>
      </w:r>
      <w:r w:rsidR="004940A6">
        <w:rPr>
          <w:sz w:val="22"/>
          <w:szCs w:val="22"/>
        </w:rPr>
        <w:t xml:space="preserve"> that</w:t>
      </w:r>
      <w:r w:rsidR="004940A6" w:rsidRPr="003500E6">
        <w:rPr>
          <w:sz w:val="22"/>
          <w:szCs w:val="22"/>
        </w:rPr>
        <w:t xml:space="preserve"> on the last day of the financial year preceding that benchmark period, supplied 100,000 CSG services or more where the carriage service provider was obliged to comply with any one or more of the performance standards in respect of the carriage service provider’s supply of those CSG services</w:t>
      </w:r>
      <w:r w:rsidR="004940A6">
        <w:rPr>
          <w:sz w:val="22"/>
          <w:szCs w:val="22"/>
        </w:rPr>
        <w:t xml:space="preserve">. </w:t>
      </w:r>
    </w:p>
    <w:p w14:paraId="23E1B1A2" w14:textId="055AB3CF" w:rsidR="008E3181" w:rsidRPr="00AD6A31" w:rsidRDefault="008E3181" w:rsidP="008E3181">
      <w:pPr>
        <w:pStyle w:val="definition0"/>
        <w:rPr>
          <w:sz w:val="22"/>
          <w:szCs w:val="22"/>
        </w:rPr>
      </w:pPr>
      <w:bookmarkStart w:id="21" w:name="_Hlk140652515"/>
      <w:bookmarkStart w:id="22" w:name="_Hlk137023408"/>
      <w:r w:rsidRPr="00AD6A31">
        <w:rPr>
          <w:b/>
          <w:i/>
          <w:sz w:val="22"/>
          <w:szCs w:val="22"/>
        </w:rPr>
        <w:t xml:space="preserve">rectification period performance standard </w:t>
      </w:r>
      <w:r w:rsidRPr="00AD6A31">
        <w:rPr>
          <w:sz w:val="22"/>
          <w:szCs w:val="22"/>
        </w:rPr>
        <w:t>means in respect of a fault or service difficulty reported to a carriage service provider by a customer</w:t>
      </w:r>
      <w:r w:rsidR="001C7CAC" w:rsidRPr="00AD6A31">
        <w:rPr>
          <w:sz w:val="22"/>
          <w:szCs w:val="22"/>
        </w:rPr>
        <w:t xml:space="preserve"> (as applicable)</w:t>
      </w:r>
      <w:r w:rsidRPr="00AD6A31">
        <w:rPr>
          <w:sz w:val="22"/>
          <w:szCs w:val="22"/>
        </w:rPr>
        <w:t>:</w:t>
      </w:r>
    </w:p>
    <w:p w14:paraId="11221E46" w14:textId="2A60FCAE" w:rsidR="001C7CAC" w:rsidRPr="00AD6A31" w:rsidRDefault="000D385B" w:rsidP="00547F9C">
      <w:pPr>
        <w:pStyle w:val="P1"/>
        <w:numPr>
          <w:ilvl w:val="0"/>
          <w:numId w:val="35"/>
        </w:numPr>
        <w:rPr>
          <w:sz w:val="22"/>
          <w:szCs w:val="22"/>
        </w:rPr>
      </w:pPr>
      <w:r w:rsidRPr="00AD6A31">
        <w:rPr>
          <w:sz w:val="22"/>
          <w:szCs w:val="22"/>
        </w:rPr>
        <w:t xml:space="preserve"> </w:t>
      </w:r>
      <w:r w:rsidR="00223A9F" w:rsidRPr="00AD6A31">
        <w:rPr>
          <w:sz w:val="22"/>
          <w:szCs w:val="22"/>
        </w:rPr>
        <w:t>t</w:t>
      </w:r>
      <w:r w:rsidR="00F26D5A" w:rsidRPr="00AD6A31">
        <w:rPr>
          <w:sz w:val="22"/>
          <w:szCs w:val="22"/>
        </w:rPr>
        <w:t>he</w:t>
      </w:r>
      <w:r w:rsidR="001C0551" w:rsidRPr="00AD6A31">
        <w:rPr>
          <w:sz w:val="22"/>
          <w:szCs w:val="22"/>
        </w:rPr>
        <w:t xml:space="preserve"> </w:t>
      </w:r>
      <w:r w:rsidR="00F26D5A" w:rsidRPr="00AD6A31">
        <w:rPr>
          <w:sz w:val="22"/>
          <w:szCs w:val="22"/>
        </w:rPr>
        <w:t xml:space="preserve">standard </w:t>
      </w:r>
      <w:r w:rsidR="001C0551" w:rsidRPr="00AD6A31">
        <w:rPr>
          <w:sz w:val="22"/>
          <w:szCs w:val="22"/>
        </w:rPr>
        <w:t xml:space="preserve">specified in the CSG Standard for rectification in the </w:t>
      </w:r>
      <w:r w:rsidR="00F26D5A" w:rsidRPr="00AD6A31">
        <w:rPr>
          <w:sz w:val="22"/>
          <w:szCs w:val="22"/>
        </w:rPr>
        <w:t xml:space="preserve">relevant </w:t>
      </w:r>
      <w:r w:rsidR="00223A9F" w:rsidRPr="00AD6A31">
        <w:rPr>
          <w:sz w:val="22"/>
          <w:szCs w:val="22"/>
        </w:rPr>
        <w:t>guaranteed maximum rectification period</w:t>
      </w:r>
      <w:r w:rsidR="001C7CAC" w:rsidRPr="00AD6A31">
        <w:rPr>
          <w:sz w:val="22"/>
          <w:szCs w:val="22"/>
        </w:rPr>
        <w:t>; or</w:t>
      </w:r>
    </w:p>
    <w:p w14:paraId="11849756" w14:textId="7F2B2C32" w:rsidR="00F26D5A" w:rsidRDefault="00F26D5A" w:rsidP="00547F9C">
      <w:pPr>
        <w:pStyle w:val="P1"/>
        <w:numPr>
          <w:ilvl w:val="0"/>
          <w:numId w:val="35"/>
        </w:numPr>
        <w:rPr>
          <w:sz w:val="22"/>
          <w:szCs w:val="22"/>
        </w:rPr>
      </w:pPr>
      <w:r w:rsidRPr="00AD6A31">
        <w:rPr>
          <w:sz w:val="22"/>
          <w:szCs w:val="22"/>
        </w:rPr>
        <w:t xml:space="preserve"> </w:t>
      </w:r>
      <w:r w:rsidR="00547F9C" w:rsidRPr="00AD6A31">
        <w:rPr>
          <w:sz w:val="22"/>
          <w:szCs w:val="22"/>
        </w:rPr>
        <w:t>if an arrangement in the CSG Standard provid</w:t>
      </w:r>
      <w:r w:rsidR="000D385B" w:rsidRPr="00AD6A31">
        <w:rPr>
          <w:sz w:val="22"/>
          <w:szCs w:val="22"/>
        </w:rPr>
        <w:t>ing</w:t>
      </w:r>
      <w:r w:rsidR="00547F9C" w:rsidRPr="00AD6A31">
        <w:rPr>
          <w:sz w:val="22"/>
          <w:szCs w:val="22"/>
        </w:rPr>
        <w:t xml:space="preserve"> for a rectification period that is either shorter or longer than the guaranteed maximum rectification period is in place – the standard provided by that arrangement. </w:t>
      </w:r>
    </w:p>
    <w:bookmarkEnd w:id="21"/>
    <w:bookmarkEnd w:id="22"/>
    <w:p w14:paraId="24D94172" w14:textId="77777777" w:rsidR="00B12744" w:rsidRPr="00B12744" w:rsidRDefault="00B12744" w:rsidP="00B12744">
      <w:pPr>
        <w:pStyle w:val="definition0"/>
        <w:rPr>
          <w:sz w:val="22"/>
          <w:szCs w:val="22"/>
        </w:rPr>
      </w:pPr>
      <w:r w:rsidRPr="00B12744">
        <w:rPr>
          <w:b/>
          <w:i/>
          <w:sz w:val="22"/>
          <w:szCs w:val="22"/>
        </w:rPr>
        <w:t xml:space="preserve">remote area </w:t>
      </w:r>
      <w:r w:rsidRPr="00B12744">
        <w:rPr>
          <w:sz w:val="22"/>
          <w:szCs w:val="22"/>
        </w:rPr>
        <w:t xml:space="preserve">means a geographic area which is not an urban area, major rural area or minor rural area.  </w:t>
      </w:r>
    </w:p>
    <w:p w14:paraId="3DB08882" w14:textId="77777777" w:rsidR="00B12744" w:rsidRPr="00B12744" w:rsidRDefault="00B12744" w:rsidP="00B12744">
      <w:pPr>
        <w:pStyle w:val="definition0"/>
        <w:rPr>
          <w:b/>
          <w:sz w:val="22"/>
          <w:szCs w:val="22"/>
        </w:rPr>
      </w:pPr>
      <w:r w:rsidRPr="00B12744">
        <w:rPr>
          <w:b/>
          <w:i/>
          <w:sz w:val="22"/>
          <w:szCs w:val="22"/>
        </w:rPr>
        <w:t xml:space="preserve">rural area </w:t>
      </w:r>
      <w:r w:rsidRPr="00B12744">
        <w:rPr>
          <w:sz w:val="22"/>
          <w:szCs w:val="22"/>
        </w:rPr>
        <w:t>means an area that is either a major rural area or a minor rural area.</w:t>
      </w:r>
    </w:p>
    <w:p w14:paraId="3871B1C1" w14:textId="77777777" w:rsidR="00B12744" w:rsidRDefault="00B12744" w:rsidP="00B12744">
      <w:pPr>
        <w:pStyle w:val="definition0"/>
        <w:rPr>
          <w:sz w:val="22"/>
          <w:szCs w:val="22"/>
        </w:rPr>
      </w:pPr>
      <w:r w:rsidRPr="00B12744">
        <w:rPr>
          <w:b/>
          <w:i/>
          <w:sz w:val="22"/>
          <w:szCs w:val="22"/>
        </w:rPr>
        <w:t xml:space="preserve">urban area </w:t>
      </w:r>
      <w:r w:rsidRPr="00B12744">
        <w:rPr>
          <w:sz w:val="22"/>
          <w:szCs w:val="22"/>
        </w:rPr>
        <w:t xml:space="preserve">means an urban centre with a population equal to or greater than 10,000 people. </w:t>
      </w:r>
    </w:p>
    <w:p w14:paraId="520837AD" w14:textId="76B3AB9B" w:rsidR="00B12744" w:rsidRPr="00B12744" w:rsidRDefault="00B12744" w:rsidP="00B12744">
      <w:pPr>
        <w:pStyle w:val="R2"/>
        <w:rPr>
          <w:sz w:val="22"/>
          <w:szCs w:val="22"/>
        </w:rPr>
      </w:pPr>
      <w:r w:rsidRPr="00B12744">
        <w:rPr>
          <w:sz w:val="22"/>
          <w:szCs w:val="22"/>
        </w:rPr>
        <w:tab/>
        <w:t>(2)</w:t>
      </w:r>
      <w:r w:rsidRPr="00B12744">
        <w:rPr>
          <w:sz w:val="22"/>
          <w:szCs w:val="22"/>
        </w:rPr>
        <w:tab/>
        <w:t xml:space="preserve">Unless the contrary intention appears, expressions used in this </w:t>
      </w:r>
      <w:r w:rsidR="003500E6">
        <w:rPr>
          <w:sz w:val="22"/>
          <w:szCs w:val="22"/>
        </w:rPr>
        <w:t>i</w:t>
      </w:r>
      <w:r w:rsidRPr="00B12744">
        <w:rPr>
          <w:sz w:val="22"/>
          <w:szCs w:val="22"/>
        </w:rPr>
        <w:t xml:space="preserve">nstrument and in the CSG Standard have the same meaning in this </w:t>
      </w:r>
      <w:r w:rsidR="003500E6">
        <w:rPr>
          <w:sz w:val="22"/>
          <w:szCs w:val="22"/>
        </w:rPr>
        <w:t>i</w:t>
      </w:r>
      <w:r w:rsidRPr="00B12744">
        <w:rPr>
          <w:sz w:val="22"/>
          <w:szCs w:val="22"/>
        </w:rPr>
        <w:t>nstrument as in the CSG Standard.</w:t>
      </w:r>
    </w:p>
    <w:p w14:paraId="204CB699" w14:textId="71EA9CA5" w:rsidR="00B12744" w:rsidRPr="004C7A64" w:rsidRDefault="00B12744" w:rsidP="00B12744">
      <w:pPr>
        <w:pStyle w:val="R2"/>
        <w:rPr>
          <w:sz w:val="22"/>
          <w:szCs w:val="22"/>
        </w:rPr>
      </w:pPr>
      <w:bookmarkStart w:id="23" w:name="_Hlk139611765"/>
      <w:r w:rsidRPr="00B12744">
        <w:rPr>
          <w:sz w:val="22"/>
          <w:szCs w:val="22"/>
        </w:rPr>
        <w:tab/>
      </w:r>
      <w:bookmarkStart w:id="24" w:name="_Hlk139639642"/>
      <w:r w:rsidRPr="004C7A64">
        <w:rPr>
          <w:sz w:val="22"/>
          <w:szCs w:val="22"/>
        </w:rPr>
        <w:t>(3)</w:t>
      </w:r>
      <w:r w:rsidRPr="004C7A64">
        <w:rPr>
          <w:sz w:val="22"/>
          <w:szCs w:val="22"/>
        </w:rPr>
        <w:tab/>
        <w:t xml:space="preserve">For the purposes of this </w:t>
      </w:r>
      <w:r w:rsidR="003500E6" w:rsidRPr="004C7A64">
        <w:rPr>
          <w:sz w:val="22"/>
          <w:szCs w:val="22"/>
        </w:rPr>
        <w:t>i</w:t>
      </w:r>
      <w:r w:rsidRPr="004C7A64">
        <w:rPr>
          <w:sz w:val="22"/>
          <w:szCs w:val="22"/>
        </w:rPr>
        <w:t>nstrument,</w:t>
      </w:r>
      <w:r w:rsidR="00AA2F95" w:rsidRPr="004C7A64">
        <w:rPr>
          <w:sz w:val="22"/>
          <w:szCs w:val="22"/>
        </w:rPr>
        <w:t xml:space="preserve"> each of the following is taken to be</w:t>
      </w:r>
      <w:r w:rsidRPr="004C7A64">
        <w:rPr>
          <w:sz w:val="22"/>
          <w:szCs w:val="22"/>
        </w:rPr>
        <w:t xml:space="preserve"> a </w:t>
      </w:r>
      <w:r w:rsidRPr="004C7A64">
        <w:rPr>
          <w:b/>
          <w:i/>
          <w:sz w:val="22"/>
          <w:szCs w:val="22"/>
        </w:rPr>
        <w:t>benchmark period</w:t>
      </w:r>
      <w:r w:rsidR="003A2308">
        <w:rPr>
          <w:b/>
          <w:sz w:val="22"/>
          <w:szCs w:val="22"/>
        </w:rPr>
        <w:t>:</w:t>
      </w:r>
      <w:r w:rsidRPr="004C7A64">
        <w:rPr>
          <w:b/>
          <w:i/>
          <w:sz w:val="22"/>
          <w:szCs w:val="22"/>
        </w:rPr>
        <w:t xml:space="preserve"> </w:t>
      </w:r>
    </w:p>
    <w:p w14:paraId="3A05E1C0" w14:textId="6C94BEEB" w:rsidR="00B12744" w:rsidRPr="004C7A64" w:rsidRDefault="00B12744" w:rsidP="00B12744">
      <w:pPr>
        <w:pStyle w:val="P1"/>
        <w:rPr>
          <w:sz w:val="22"/>
          <w:szCs w:val="22"/>
        </w:rPr>
      </w:pPr>
      <w:r w:rsidRPr="004C7A64">
        <w:rPr>
          <w:sz w:val="22"/>
          <w:szCs w:val="22"/>
        </w:rPr>
        <w:tab/>
        <w:t>(a)</w:t>
      </w:r>
      <w:r w:rsidRPr="004C7A64">
        <w:rPr>
          <w:sz w:val="22"/>
          <w:szCs w:val="22"/>
        </w:rPr>
        <w:tab/>
      </w:r>
      <w:r w:rsidR="00FC18A5" w:rsidRPr="004C7A64">
        <w:rPr>
          <w:sz w:val="22"/>
          <w:szCs w:val="22"/>
        </w:rPr>
        <w:t>the financial year in which this instrument commences</w:t>
      </w:r>
      <w:r w:rsidRPr="004C7A64">
        <w:rPr>
          <w:sz w:val="22"/>
          <w:szCs w:val="22"/>
        </w:rPr>
        <w:t>; and</w:t>
      </w:r>
    </w:p>
    <w:p w14:paraId="50D8E99A" w14:textId="06184A05" w:rsidR="00BD22A8" w:rsidRPr="00854529" w:rsidRDefault="00C0320E" w:rsidP="00272ACE">
      <w:pPr>
        <w:pStyle w:val="P1"/>
        <w:ind w:left="0" w:firstLine="0"/>
        <w:rPr>
          <w:sz w:val="22"/>
          <w:szCs w:val="22"/>
        </w:rPr>
      </w:pPr>
      <w:r w:rsidRPr="004C7A64">
        <w:rPr>
          <w:sz w:val="22"/>
          <w:szCs w:val="22"/>
        </w:rPr>
        <w:tab/>
        <w:t>(b)</w:t>
      </w:r>
      <w:r w:rsidRPr="004C7A64">
        <w:rPr>
          <w:sz w:val="22"/>
          <w:szCs w:val="22"/>
        </w:rPr>
        <w:tab/>
        <w:t>each financial year</w:t>
      </w:r>
      <w:r w:rsidR="004940A6" w:rsidRPr="004C7A64">
        <w:rPr>
          <w:sz w:val="22"/>
          <w:szCs w:val="22"/>
        </w:rPr>
        <w:t xml:space="preserve"> following</w:t>
      </w:r>
      <w:r w:rsidR="00854529" w:rsidRPr="004C7A64">
        <w:rPr>
          <w:sz w:val="22"/>
          <w:szCs w:val="22"/>
        </w:rPr>
        <w:t xml:space="preserve">. </w:t>
      </w:r>
      <w:bookmarkEnd w:id="24"/>
    </w:p>
    <w:p w14:paraId="6924BB71" w14:textId="77777777" w:rsidR="00554826" w:rsidRPr="00554826" w:rsidRDefault="00554826" w:rsidP="00554826">
      <w:pPr>
        <w:pStyle w:val="ActHead5"/>
      </w:pPr>
      <w:bookmarkStart w:id="25" w:name="_Toc454781205"/>
      <w:bookmarkStart w:id="26" w:name="_Toc140568344"/>
      <w:bookmarkStart w:id="27" w:name="_Toc140996307"/>
      <w:bookmarkEnd w:id="23"/>
      <w:r w:rsidRPr="00554826">
        <w:t>5  Schedules</w:t>
      </w:r>
      <w:bookmarkEnd w:id="25"/>
      <w:bookmarkEnd w:id="26"/>
      <w:bookmarkEnd w:id="27"/>
    </w:p>
    <w:p w14:paraId="4137D21D" w14:textId="6DC00119" w:rsidR="00554826" w:rsidRDefault="00554826" w:rsidP="00F748E6">
      <w:pPr>
        <w:pStyle w:val="R1"/>
        <w:spacing w:after="120"/>
        <w:ind w:left="720" w:firstLine="0"/>
        <w:rPr>
          <w:sz w:val="22"/>
          <w:szCs w:val="22"/>
        </w:rPr>
      </w:pPr>
      <w:r w:rsidRPr="006065DA">
        <w:tab/>
      </w:r>
      <w:r w:rsidRPr="00F748E6">
        <w:rPr>
          <w:sz w:val="22"/>
          <w:szCs w:val="22"/>
        </w:rPr>
        <w:t>Each instrument that is specified in a Schedule to this instrument is amended or repea</w:t>
      </w:r>
      <w:r w:rsidR="00F748E6">
        <w:rPr>
          <w:sz w:val="22"/>
          <w:szCs w:val="22"/>
        </w:rPr>
        <w:t>l</w:t>
      </w:r>
      <w:r w:rsidRPr="00F748E6">
        <w:rPr>
          <w:sz w:val="22"/>
          <w:szCs w:val="22"/>
        </w:rPr>
        <w:t>ed as set out in the applicable items in the Schedule concerned, and any other item in a Schedule to this instrument has effect according to its terms.</w:t>
      </w:r>
    </w:p>
    <w:p w14:paraId="4D228262" w14:textId="77777777" w:rsidR="00F748E6" w:rsidRPr="00554826" w:rsidRDefault="00F748E6" w:rsidP="00F748E6">
      <w:pPr>
        <w:pStyle w:val="ActHead5"/>
      </w:pPr>
      <w:bookmarkStart w:id="28" w:name="_Toc140568345"/>
      <w:bookmarkStart w:id="29" w:name="_Toc140996308"/>
      <w:r>
        <w:t>6</w:t>
      </w:r>
      <w:r w:rsidRPr="00554826">
        <w:t xml:space="preserve">  </w:t>
      </w:r>
      <w:r>
        <w:t>Location-specific thresholds</w:t>
      </w:r>
      <w:bookmarkEnd w:id="28"/>
      <w:bookmarkEnd w:id="29"/>
    </w:p>
    <w:p w14:paraId="3FF0D2E0" w14:textId="2BDDCA5D" w:rsidR="00F748E6" w:rsidRPr="005804C3" w:rsidRDefault="00F748E6" w:rsidP="00F748E6">
      <w:pPr>
        <w:pStyle w:val="R1"/>
        <w:spacing w:after="120"/>
        <w:ind w:left="720" w:firstLine="0"/>
        <w:rPr>
          <w:sz w:val="22"/>
          <w:szCs w:val="22"/>
        </w:rPr>
      </w:pPr>
      <w:r w:rsidRPr="005804C3">
        <w:rPr>
          <w:sz w:val="22"/>
          <w:szCs w:val="22"/>
        </w:rPr>
        <w:t xml:space="preserve">For the purposes of this </w:t>
      </w:r>
      <w:r>
        <w:rPr>
          <w:sz w:val="22"/>
          <w:szCs w:val="22"/>
        </w:rPr>
        <w:t>i</w:t>
      </w:r>
      <w:r w:rsidRPr="005804C3">
        <w:rPr>
          <w:sz w:val="22"/>
          <w:szCs w:val="22"/>
        </w:rPr>
        <w:t xml:space="preserve">nstrument, a qualifying carriage service provider for a benchmark period meets </w:t>
      </w:r>
      <w:r>
        <w:rPr>
          <w:sz w:val="22"/>
          <w:szCs w:val="22"/>
        </w:rPr>
        <w:t xml:space="preserve">the relevant threshold as specified in paragraphs (a) – (e) </w:t>
      </w:r>
      <w:r w:rsidR="005337DA">
        <w:rPr>
          <w:sz w:val="22"/>
          <w:szCs w:val="22"/>
        </w:rPr>
        <w:t xml:space="preserve">below </w:t>
      </w:r>
      <w:r>
        <w:rPr>
          <w:sz w:val="22"/>
          <w:szCs w:val="22"/>
        </w:rPr>
        <w:t>where the following circumstances (as applicable) are satisfied</w:t>
      </w:r>
      <w:r w:rsidRPr="005804C3">
        <w:rPr>
          <w:sz w:val="22"/>
          <w:szCs w:val="22"/>
        </w:rPr>
        <w:t xml:space="preserve">:  </w:t>
      </w:r>
    </w:p>
    <w:p w14:paraId="14D6BD16" w14:textId="77777777" w:rsidR="00F748E6" w:rsidRPr="005804C3" w:rsidRDefault="00F748E6" w:rsidP="00F748E6">
      <w:pPr>
        <w:pStyle w:val="R1"/>
        <w:numPr>
          <w:ilvl w:val="0"/>
          <w:numId w:val="18"/>
        </w:numPr>
        <w:spacing w:after="120"/>
        <w:rPr>
          <w:i/>
          <w:sz w:val="22"/>
          <w:szCs w:val="22"/>
        </w:rPr>
      </w:pPr>
      <w:r w:rsidRPr="005804C3">
        <w:rPr>
          <w:sz w:val="22"/>
          <w:szCs w:val="22"/>
        </w:rPr>
        <w:lastRenderedPageBreak/>
        <w:t>the urban area services threshold for that benchmark period if, on the last day of the financial year preceding that benchmark period, the carriage service provider supplied 10,000</w:t>
      </w:r>
      <w:r w:rsidRPr="005804C3">
        <w:rPr>
          <w:i/>
          <w:sz w:val="22"/>
          <w:szCs w:val="22"/>
        </w:rPr>
        <w:t xml:space="preserve"> </w:t>
      </w:r>
      <w:r w:rsidRPr="005804C3">
        <w:rPr>
          <w:sz w:val="22"/>
          <w:szCs w:val="22"/>
        </w:rPr>
        <w:t xml:space="preserve">CSG services or more in urban areas where the carriage service provider was obliged to comply with any one or more of the performance standards in respect of the carriage service provider’s supply of those CSG services; </w:t>
      </w:r>
    </w:p>
    <w:p w14:paraId="0D20A314" w14:textId="77777777" w:rsidR="00F748E6" w:rsidRPr="005804C3" w:rsidRDefault="00F748E6" w:rsidP="00F748E6">
      <w:pPr>
        <w:pStyle w:val="R1"/>
        <w:numPr>
          <w:ilvl w:val="0"/>
          <w:numId w:val="18"/>
        </w:numPr>
        <w:spacing w:after="120"/>
        <w:rPr>
          <w:sz w:val="22"/>
          <w:szCs w:val="22"/>
        </w:rPr>
      </w:pPr>
      <w:r w:rsidRPr="005804C3">
        <w:rPr>
          <w:sz w:val="22"/>
          <w:szCs w:val="22"/>
        </w:rPr>
        <w:t>the major rural area services threshold</w:t>
      </w:r>
      <w:r w:rsidRPr="005804C3">
        <w:rPr>
          <w:b/>
          <w:i/>
          <w:sz w:val="22"/>
          <w:szCs w:val="22"/>
        </w:rPr>
        <w:t xml:space="preserve"> </w:t>
      </w:r>
      <w:r w:rsidRPr="005804C3">
        <w:rPr>
          <w:sz w:val="22"/>
          <w:szCs w:val="22"/>
        </w:rPr>
        <w:t>for a benchmark period if, on the last day of the financial year preceding that benchmark period, the carriage service provider supplied 1000</w:t>
      </w:r>
      <w:r w:rsidRPr="005804C3">
        <w:rPr>
          <w:i/>
          <w:sz w:val="22"/>
          <w:szCs w:val="22"/>
        </w:rPr>
        <w:t xml:space="preserve"> </w:t>
      </w:r>
      <w:r w:rsidRPr="005804C3">
        <w:rPr>
          <w:sz w:val="22"/>
          <w:szCs w:val="22"/>
        </w:rPr>
        <w:t xml:space="preserve">CSG services or more in major rural areas where the carriage service provider was obliged to comply with any one or more of the performance standards in respect of the carriage service provider’s supply of those CSG services; </w:t>
      </w:r>
    </w:p>
    <w:p w14:paraId="381CDE94" w14:textId="77777777" w:rsidR="00F748E6" w:rsidRPr="005804C3" w:rsidRDefault="00F748E6" w:rsidP="00F748E6">
      <w:pPr>
        <w:pStyle w:val="R1"/>
        <w:numPr>
          <w:ilvl w:val="0"/>
          <w:numId w:val="18"/>
        </w:numPr>
        <w:spacing w:after="120"/>
        <w:rPr>
          <w:sz w:val="22"/>
          <w:szCs w:val="22"/>
        </w:rPr>
      </w:pPr>
      <w:r w:rsidRPr="005804C3">
        <w:rPr>
          <w:sz w:val="22"/>
          <w:szCs w:val="22"/>
        </w:rPr>
        <w:t xml:space="preserve">the minor rural area services threshold for that benchmark period if, on the last day of the financial year preceding that benchmark period, the carriage service provider supplied 1000 CSG services or more in minor rural areas where the carriage service provider was obliged to comply with any one or more of the performance standards in respect of the carriage service provider’s supply of those CSG services; </w:t>
      </w:r>
    </w:p>
    <w:p w14:paraId="4693A2F7" w14:textId="77777777" w:rsidR="00F748E6" w:rsidRPr="005804C3" w:rsidRDefault="00F748E6" w:rsidP="00F748E6">
      <w:pPr>
        <w:pStyle w:val="R1"/>
        <w:numPr>
          <w:ilvl w:val="0"/>
          <w:numId w:val="18"/>
        </w:numPr>
        <w:spacing w:after="120"/>
        <w:rPr>
          <w:sz w:val="22"/>
          <w:szCs w:val="22"/>
        </w:rPr>
      </w:pPr>
      <w:r w:rsidRPr="005804C3">
        <w:rPr>
          <w:sz w:val="22"/>
          <w:szCs w:val="22"/>
        </w:rPr>
        <w:t xml:space="preserve">the rural area services threshold for that benchmark period if, on the last day of the financial year preceding that benchmark period, the carriage service provider supplied 1000 CSG services or more in rural areas where the carriage service provider was obliged to comply with any one or more of the performance standards in respect of the carriage service provider’s supply of those CSG services; </w:t>
      </w:r>
      <w:r>
        <w:rPr>
          <w:sz w:val="22"/>
          <w:szCs w:val="22"/>
        </w:rPr>
        <w:t>or</w:t>
      </w:r>
    </w:p>
    <w:p w14:paraId="79F707E7" w14:textId="09E712CE" w:rsidR="00F748E6" w:rsidRPr="00F748E6" w:rsidRDefault="00F748E6" w:rsidP="00F748E6">
      <w:pPr>
        <w:pStyle w:val="R1"/>
        <w:numPr>
          <w:ilvl w:val="0"/>
          <w:numId w:val="18"/>
        </w:numPr>
        <w:spacing w:after="120"/>
        <w:rPr>
          <w:sz w:val="22"/>
          <w:szCs w:val="22"/>
        </w:rPr>
      </w:pPr>
      <w:r w:rsidRPr="005804C3">
        <w:rPr>
          <w:sz w:val="22"/>
          <w:szCs w:val="22"/>
        </w:rPr>
        <w:t>the remote area services threshold for that benchmark period if, on the last day of the financial year preceding that benchmark period, the carriage service provider supplied 500 CSG services or more in remote areas where the carriage service provider was obliged to comply with any one or more of the performance standards in respect of the carriage service provider’s supply of those CSG services.</w:t>
      </w:r>
    </w:p>
    <w:p w14:paraId="46F7E00A" w14:textId="444C4A0A" w:rsidR="00F748E6" w:rsidRPr="00554826" w:rsidRDefault="00F748E6" w:rsidP="00F748E6">
      <w:pPr>
        <w:pStyle w:val="ActHead5"/>
      </w:pPr>
      <w:bookmarkStart w:id="30" w:name="_Toc140996309"/>
      <w:r>
        <w:t>7 Repeal</w:t>
      </w:r>
      <w:bookmarkEnd w:id="30"/>
      <w:r>
        <w:t xml:space="preserve"> </w:t>
      </w:r>
      <w:r w:rsidRPr="00554826">
        <w:t xml:space="preserve">  </w:t>
      </w:r>
    </w:p>
    <w:p w14:paraId="58BCCCD0" w14:textId="7DB6A36C" w:rsidR="00F748E6" w:rsidRPr="00F748E6" w:rsidRDefault="00F748E6" w:rsidP="00F748E6">
      <w:pPr>
        <w:pStyle w:val="R1"/>
        <w:spacing w:after="120"/>
        <w:ind w:left="720" w:firstLine="0"/>
      </w:pPr>
      <w:r w:rsidRPr="006065DA">
        <w:tab/>
      </w:r>
      <w:r w:rsidRPr="00DC2FBB">
        <w:rPr>
          <w:sz w:val="22"/>
          <w:szCs w:val="22"/>
        </w:rPr>
        <w:t>This instrument</w:t>
      </w:r>
      <w:r>
        <w:rPr>
          <w:sz w:val="22"/>
          <w:szCs w:val="22"/>
        </w:rPr>
        <w:t xml:space="preserve"> is repealed the day after the end of the period of 36 months beginning on the day </w:t>
      </w:r>
      <w:r w:rsidR="005337DA">
        <w:rPr>
          <w:sz w:val="22"/>
          <w:szCs w:val="22"/>
        </w:rPr>
        <w:t xml:space="preserve">the </w:t>
      </w:r>
      <w:r w:rsidR="002F2684">
        <w:rPr>
          <w:sz w:val="22"/>
          <w:szCs w:val="22"/>
        </w:rPr>
        <w:t>new CSG standard</w:t>
      </w:r>
      <w:r w:rsidR="005337DA">
        <w:rPr>
          <w:sz w:val="22"/>
          <w:szCs w:val="22"/>
        </w:rPr>
        <w:t xml:space="preserve"> ACMA made</w:t>
      </w:r>
      <w:r w:rsidR="002F2684">
        <w:rPr>
          <w:sz w:val="22"/>
          <w:szCs w:val="22"/>
        </w:rPr>
        <w:t xml:space="preserve"> in accordance with the </w:t>
      </w:r>
      <w:r w:rsidR="002F2684">
        <w:rPr>
          <w:i/>
          <w:sz w:val="22"/>
          <w:szCs w:val="22"/>
        </w:rPr>
        <w:t xml:space="preserve">Telecommunications (Customer Service Guarantee) Direction </w:t>
      </w:r>
      <w:r w:rsidR="002F2684" w:rsidRPr="00DC2FBB">
        <w:rPr>
          <w:i/>
          <w:sz w:val="22"/>
          <w:szCs w:val="22"/>
        </w:rPr>
        <w:t>2023</w:t>
      </w:r>
      <w:r w:rsidR="005337DA">
        <w:rPr>
          <w:i/>
          <w:sz w:val="22"/>
          <w:szCs w:val="22"/>
        </w:rPr>
        <w:t xml:space="preserve"> </w:t>
      </w:r>
      <w:r w:rsidR="005337DA">
        <w:rPr>
          <w:sz w:val="22"/>
          <w:szCs w:val="22"/>
        </w:rPr>
        <w:t>commences</w:t>
      </w:r>
      <w:r w:rsidR="002F2684">
        <w:rPr>
          <w:sz w:val="22"/>
          <w:szCs w:val="22"/>
        </w:rPr>
        <w:t xml:space="preserve">. </w:t>
      </w:r>
    </w:p>
    <w:p w14:paraId="6D65E870" w14:textId="33FE11DB" w:rsidR="00844B5B" w:rsidRDefault="00844B5B" w:rsidP="00F748E6"/>
    <w:p w14:paraId="34FFBE53" w14:textId="77777777" w:rsidR="00844B5B" w:rsidRPr="00F748E6" w:rsidRDefault="00844B5B" w:rsidP="00F748E6"/>
    <w:p w14:paraId="74703E6F" w14:textId="77777777" w:rsidR="00B7730C" w:rsidRPr="00B7730C" w:rsidRDefault="00B7730C" w:rsidP="00F748E6">
      <w:pPr>
        <w:pStyle w:val="ActHead2"/>
        <w:ind w:left="0" w:firstLine="0"/>
        <w:rPr>
          <w:b w:val="0"/>
        </w:rPr>
      </w:pPr>
      <w:bookmarkStart w:id="31" w:name="_Toc140568346"/>
      <w:bookmarkStart w:id="32" w:name="_Toc140996310"/>
      <w:r>
        <w:lastRenderedPageBreak/>
        <w:t>Part 2—Retail Performance Benchmarks</w:t>
      </w:r>
      <w:bookmarkEnd w:id="31"/>
      <w:bookmarkEnd w:id="32"/>
      <w:r>
        <w:t xml:space="preserve"> </w:t>
      </w:r>
    </w:p>
    <w:p w14:paraId="111818F2" w14:textId="77777777" w:rsidR="00B7730C" w:rsidRPr="008E3181" w:rsidRDefault="00B7730C" w:rsidP="008E3181">
      <w:pPr>
        <w:pStyle w:val="ActHead4"/>
        <w:rPr>
          <w:sz w:val="28"/>
          <w:szCs w:val="28"/>
        </w:rPr>
      </w:pPr>
      <w:bookmarkStart w:id="33" w:name="_Toc334783661"/>
      <w:bookmarkStart w:id="34" w:name="_Toc140568347"/>
      <w:bookmarkStart w:id="35" w:name="_Toc140996311"/>
      <w:r w:rsidRPr="008E3181">
        <w:rPr>
          <w:rStyle w:val="CharDivNo"/>
          <w:sz w:val="28"/>
          <w:szCs w:val="28"/>
        </w:rPr>
        <w:t>Division 1</w:t>
      </w:r>
      <w:r w:rsidRPr="008E3181">
        <w:rPr>
          <w:sz w:val="28"/>
          <w:szCs w:val="28"/>
        </w:rPr>
        <w:tab/>
      </w:r>
      <w:r w:rsidRPr="008E3181">
        <w:rPr>
          <w:rStyle w:val="CharDivText"/>
          <w:sz w:val="28"/>
          <w:szCs w:val="28"/>
        </w:rPr>
        <w:t>Performance benchmarks</w:t>
      </w:r>
      <w:bookmarkEnd w:id="33"/>
      <w:bookmarkEnd w:id="34"/>
      <w:bookmarkEnd w:id="35"/>
    </w:p>
    <w:p w14:paraId="6481AFB0" w14:textId="62A85E91" w:rsidR="00B7730C" w:rsidRPr="0001406E" w:rsidRDefault="00561EDC" w:rsidP="00E509CD">
      <w:pPr>
        <w:pStyle w:val="ActHead5"/>
        <w:rPr>
          <w:szCs w:val="24"/>
        </w:rPr>
      </w:pPr>
      <w:bookmarkStart w:id="36" w:name="_Ref282527860"/>
      <w:bookmarkStart w:id="37" w:name="_Toc334783662"/>
      <w:bookmarkStart w:id="38" w:name="_Ref283274568"/>
      <w:bookmarkStart w:id="39" w:name="_Toc140568348"/>
      <w:bookmarkStart w:id="40" w:name="_Toc140996312"/>
      <w:bookmarkStart w:id="41" w:name="_Hlk137023665"/>
      <w:r>
        <w:rPr>
          <w:rStyle w:val="CharSectno"/>
          <w:szCs w:val="24"/>
        </w:rPr>
        <w:t>8</w:t>
      </w:r>
      <w:r w:rsidR="00B7730C" w:rsidRPr="0001406E">
        <w:rPr>
          <w:szCs w:val="24"/>
        </w:rPr>
        <w:t xml:space="preserve">  Performance benchmarks for connection period</w:t>
      </w:r>
      <w:bookmarkEnd w:id="36"/>
      <w:r w:rsidR="00B7730C" w:rsidRPr="0001406E">
        <w:rPr>
          <w:szCs w:val="24"/>
        </w:rPr>
        <w:t xml:space="preserve"> performance standard</w:t>
      </w:r>
      <w:bookmarkEnd w:id="37"/>
      <w:bookmarkEnd w:id="38"/>
      <w:bookmarkEnd w:id="39"/>
      <w:bookmarkEnd w:id="40"/>
    </w:p>
    <w:p w14:paraId="5E3DE07B" w14:textId="77777777" w:rsidR="00B7730C" w:rsidRPr="00B7730C" w:rsidRDefault="00B7730C" w:rsidP="00B7730C">
      <w:pPr>
        <w:pStyle w:val="R1"/>
        <w:spacing w:after="120"/>
        <w:rPr>
          <w:sz w:val="22"/>
          <w:szCs w:val="22"/>
        </w:rPr>
      </w:pPr>
      <w:bookmarkStart w:id="42" w:name="_Hlk137023632"/>
      <w:bookmarkEnd w:id="41"/>
      <w:r w:rsidRPr="00B7730C">
        <w:rPr>
          <w:sz w:val="22"/>
          <w:szCs w:val="22"/>
        </w:rPr>
        <w:tab/>
        <w:t>(1</w:t>
      </w:r>
      <w:bookmarkStart w:id="43" w:name="_Hlk137023626"/>
      <w:r w:rsidRPr="00B7730C">
        <w:rPr>
          <w:sz w:val="22"/>
          <w:szCs w:val="22"/>
        </w:rPr>
        <w:t>)</w:t>
      </w:r>
      <w:r w:rsidRPr="00B7730C">
        <w:rPr>
          <w:sz w:val="22"/>
          <w:szCs w:val="22"/>
        </w:rPr>
        <w:tab/>
        <w:t xml:space="preserve">Each of the benchmarks at subsections (2) and (3) are minimum benchmarks for the purposes of section 117B of the Act in relation to compliance by carriage service providers with the </w:t>
      </w:r>
      <w:r w:rsidRPr="00B7730C">
        <w:rPr>
          <w:bCs/>
          <w:iCs/>
          <w:sz w:val="22"/>
          <w:szCs w:val="22"/>
        </w:rPr>
        <w:t>connection period performance standard.</w:t>
      </w:r>
      <w:bookmarkEnd w:id="43"/>
    </w:p>
    <w:bookmarkEnd w:id="42"/>
    <w:p w14:paraId="06D9BDF5" w14:textId="77777777" w:rsidR="00B7730C" w:rsidRPr="00B7730C" w:rsidRDefault="00B7730C" w:rsidP="00B7730C">
      <w:pPr>
        <w:pStyle w:val="R2"/>
        <w:rPr>
          <w:sz w:val="22"/>
          <w:szCs w:val="22"/>
        </w:rPr>
      </w:pPr>
      <w:r w:rsidRPr="00B7730C">
        <w:rPr>
          <w:sz w:val="22"/>
          <w:szCs w:val="22"/>
        </w:rPr>
        <w:tab/>
        <w:t>(2)</w:t>
      </w:r>
      <w:r w:rsidRPr="00B7730C">
        <w:rPr>
          <w:sz w:val="22"/>
          <w:szCs w:val="22"/>
        </w:rPr>
        <w:tab/>
        <w:t>A qualifying carriage service provider must comply with the connection period performance standard in respect of</w:t>
      </w:r>
      <w:r w:rsidRPr="00B7730C">
        <w:rPr>
          <w:b/>
          <w:sz w:val="22"/>
          <w:szCs w:val="22"/>
        </w:rPr>
        <w:t xml:space="preserve"> </w:t>
      </w:r>
      <w:r w:rsidRPr="00B7730C">
        <w:rPr>
          <w:sz w:val="22"/>
          <w:szCs w:val="22"/>
        </w:rPr>
        <w:t>at least 90 percent of the total number of in</w:t>
      </w:r>
      <w:r w:rsidRPr="00B7730C">
        <w:rPr>
          <w:sz w:val="22"/>
          <w:szCs w:val="22"/>
        </w:rPr>
        <w:noBreakHyphen/>
        <w:t>place connection requests that:</w:t>
      </w:r>
    </w:p>
    <w:p w14:paraId="6A59095D" w14:textId="77777777" w:rsidR="00B7730C" w:rsidRPr="00B7730C" w:rsidRDefault="00B7730C" w:rsidP="00B7730C">
      <w:pPr>
        <w:pStyle w:val="P1"/>
        <w:rPr>
          <w:sz w:val="22"/>
          <w:szCs w:val="22"/>
        </w:rPr>
      </w:pPr>
      <w:r w:rsidRPr="00B7730C">
        <w:rPr>
          <w:sz w:val="22"/>
          <w:szCs w:val="22"/>
        </w:rPr>
        <w:tab/>
        <w:t>(a)</w:t>
      </w:r>
      <w:r w:rsidRPr="00B7730C">
        <w:rPr>
          <w:sz w:val="22"/>
          <w:szCs w:val="22"/>
        </w:rPr>
        <w:tab/>
        <w:t xml:space="preserve">are subject to the connection period performance standard; and </w:t>
      </w:r>
    </w:p>
    <w:p w14:paraId="74C918D0" w14:textId="77777777" w:rsidR="00B7730C" w:rsidRPr="00B7730C" w:rsidRDefault="00B7730C" w:rsidP="00B7730C">
      <w:pPr>
        <w:pStyle w:val="P1"/>
        <w:rPr>
          <w:sz w:val="22"/>
          <w:szCs w:val="22"/>
        </w:rPr>
      </w:pPr>
      <w:r w:rsidRPr="00B7730C">
        <w:rPr>
          <w:sz w:val="22"/>
          <w:szCs w:val="22"/>
        </w:rPr>
        <w:tab/>
        <w:t>(b)</w:t>
      </w:r>
      <w:r w:rsidRPr="00B7730C">
        <w:rPr>
          <w:sz w:val="22"/>
          <w:szCs w:val="22"/>
        </w:rPr>
        <w:tab/>
        <w:t xml:space="preserve">are required to be complied with by the carriage service provider during a benchmark period. </w:t>
      </w:r>
    </w:p>
    <w:p w14:paraId="61C9D035" w14:textId="77777777" w:rsidR="00B7730C" w:rsidRPr="00B7730C" w:rsidRDefault="00B7730C" w:rsidP="00B7730C">
      <w:pPr>
        <w:pStyle w:val="R2"/>
        <w:rPr>
          <w:sz w:val="22"/>
          <w:szCs w:val="22"/>
        </w:rPr>
      </w:pPr>
      <w:r w:rsidRPr="00B7730C">
        <w:rPr>
          <w:sz w:val="22"/>
          <w:szCs w:val="22"/>
        </w:rPr>
        <w:tab/>
        <w:t>(3)</w:t>
      </w:r>
      <w:r w:rsidRPr="00B7730C">
        <w:rPr>
          <w:sz w:val="22"/>
          <w:szCs w:val="22"/>
        </w:rPr>
        <w:tab/>
        <w:t>A qualifying carriage service provider must comply with the connection period performance standard in respect of at least 90 percent of:</w:t>
      </w:r>
    </w:p>
    <w:p w14:paraId="164569C8" w14:textId="77777777" w:rsidR="00B7730C" w:rsidRPr="00B7730C" w:rsidRDefault="00B7730C" w:rsidP="00B7730C">
      <w:pPr>
        <w:pStyle w:val="P1"/>
        <w:rPr>
          <w:sz w:val="22"/>
          <w:szCs w:val="22"/>
        </w:rPr>
      </w:pPr>
      <w:bookmarkStart w:id="44" w:name="_Ref282527694"/>
      <w:r w:rsidRPr="00B7730C">
        <w:rPr>
          <w:sz w:val="22"/>
          <w:szCs w:val="22"/>
        </w:rPr>
        <w:tab/>
        <w:t>(a)</w:t>
      </w:r>
      <w:r w:rsidRPr="00B7730C">
        <w:rPr>
          <w:sz w:val="22"/>
          <w:szCs w:val="22"/>
        </w:rPr>
        <w:tab/>
        <w:t>if the carriage service provider meets the urban area services threshold for a benchmark period—the total number of new connection requests from customers in urban areas that:</w:t>
      </w:r>
    </w:p>
    <w:p w14:paraId="7FF7E00A" w14:textId="77777777" w:rsidR="00B7730C" w:rsidRPr="00B7730C" w:rsidRDefault="00B7730C" w:rsidP="00B7730C">
      <w:pPr>
        <w:pStyle w:val="P2"/>
        <w:rPr>
          <w:sz w:val="22"/>
          <w:szCs w:val="22"/>
        </w:rPr>
      </w:pPr>
      <w:r w:rsidRPr="00B7730C">
        <w:rPr>
          <w:sz w:val="22"/>
          <w:szCs w:val="22"/>
        </w:rPr>
        <w:tab/>
        <w:t>(i)</w:t>
      </w:r>
      <w:r w:rsidRPr="00B7730C">
        <w:rPr>
          <w:sz w:val="22"/>
          <w:szCs w:val="22"/>
        </w:rPr>
        <w:tab/>
        <w:t>are subject to the connection period performance standard; and</w:t>
      </w:r>
    </w:p>
    <w:p w14:paraId="635ADD49" w14:textId="77777777" w:rsidR="00B7730C" w:rsidRPr="00B7730C" w:rsidRDefault="00B7730C" w:rsidP="00B7730C">
      <w:pPr>
        <w:pStyle w:val="P2"/>
        <w:rPr>
          <w:sz w:val="22"/>
          <w:szCs w:val="22"/>
        </w:rPr>
      </w:pPr>
      <w:r w:rsidRPr="00B7730C">
        <w:rPr>
          <w:sz w:val="22"/>
          <w:szCs w:val="22"/>
        </w:rPr>
        <w:tab/>
        <w:t>(ii)</w:t>
      </w:r>
      <w:r w:rsidRPr="00B7730C">
        <w:rPr>
          <w:sz w:val="22"/>
          <w:szCs w:val="22"/>
        </w:rPr>
        <w:tab/>
        <w:t>are required to be complied with by the carriage service provider during the benchmark period; and</w:t>
      </w:r>
    </w:p>
    <w:p w14:paraId="2FE82AE3" w14:textId="77777777" w:rsidR="00B7730C" w:rsidRPr="00B7730C" w:rsidRDefault="00B7730C" w:rsidP="00B7730C">
      <w:pPr>
        <w:pStyle w:val="P1"/>
        <w:rPr>
          <w:sz w:val="22"/>
          <w:szCs w:val="22"/>
        </w:rPr>
      </w:pPr>
      <w:r w:rsidRPr="00B7730C">
        <w:rPr>
          <w:sz w:val="22"/>
          <w:szCs w:val="22"/>
        </w:rPr>
        <w:tab/>
        <w:t>(b)</w:t>
      </w:r>
      <w:r w:rsidRPr="00B7730C">
        <w:rPr>
          <w:sz w:val="22"/>
          <w:szCs w:val="22"/>
        </w:rPr>
        <w:tab/>
        <w:t>if the carriage service provider meets the major rural area services threshold for a benchmark period—the total number of new connection requests from customers in major rural areas that:</w:t>
      </w:r>
    </w:p>
    <w:p w14:paraId="78C2197B" w14:textId="77777777" w:rsidR="00B7730C" w:rsidRPr="00B7730C" w:rsidRDefault="00B7730C" w:rsidP="00B7730C">
      <w:pPr>
        <w:pStyle w:val="P2"/>
        <w:rPr>
          <w:sz w:val="22"/>
          <w:szCs w:val="22"/>
        </w:rPr>
      </w:pPr>
      <w:r w:rsidRPr="00B7730C">
        <w:rPr>
          <w:sz w:val="22"/>
          <w:szCs w:val="22"/>
        </w:rPr>
        <w:tab/>
        <w:t>(i)</w:t>
      </w:r>
      <w:r w:rsidRPr="00B7730C">
        <w:rPr>
          <w:sz w:val="22"/>
          <w:szCs w:val="22"/>
        </w:rPr>
        <w:tab/>
        <w:t>are subject to the connection period performance standard; and</w:t>
      </w:r>
    </w:p>
    <w:p w14:paraId="49588DC7" w14:textId="77777777" w:rsidR="00B7730C" w:rsidRPr="00B7730C" w:rsidRDefault="00B7730C" w:rsidP="00B7730C">
      <w:pPr>
        <w:pStyle w:val="P2"/>
        <w:rPr>
          <w:sz w:val="22"/>
          <w:szCs w:val="22"/>
        </w:rPr>
      </w:pPr>
      <w:r w:rsidRPr="00B7730C">
        <w:rPr>
          <w:sz w:val="22"/>
          <w:szCs w:val="22"/>
        </w:rPr>
        <w:tab/>
        <w:t>(ii)</w:t>
      </w:r>
      <w:r w:rsidRPr="00B7730C">
        <w:rPr>
          <w:sz w:val="22"/>
          <w:szCs w:val="22"/>
        </w:rPr>
        <w:tab/>
        <w:t>are required to be complied with by the carriage service provider during the benchmark period; and</w:t>
      </w:r>
    </w:p>
    <w:p w14:paraId="6543DC23" w14:textId="77777777" w:rsidR="00B7730C" w:rsidRPr="00B7730C" w:rsidRDefault="00B7730C" w:rsidP="00B7730C">
      <w:pPr>
        <w:pStyle w:val="P1"/>
        <w:rPr>
          <w:sz w:val="22"/>
          <w:szCs w:val="22"/>
        </w:rPr>
      </w:pPr>
      <w:r w:rsidRPr="00B7730C">
        <w:rPr>
          <w:sz w:val="22"/>
          <w:szCs w:val="22"/>
        </w:rPr>
        <w:tab/>
        <w:t>(c)</w:t>
      </w:r>
      <w:r w:rsidRPr="00B7730C">
        <w:rPr>
          <w:sz w:val="22"/>
          <w:szCs w:val="22"/>
        </w:rPr>
        <w:tab/>
        <w:t>if the carriage service provider meets the minor rural area services threshold for a benchmark period—the total number of new connection requests from customers in minor rural areas that:</w:t>
      </w:r>
    </w:p>
    <w:p w14:paraId="77612A8A" w14:textId="77777777" w:rsidR="00B7730C" w:rsidRPr="00B7730C" w:rsidRDefault="00B7730C" w:rsidP="00B7730C">
      <w:pPr>
        <w:pStyle w:val="P2"/>
        <w:rPr>
          <w:sz w:val="22"/>
          <w:szCs w:val="22"/>
        </w:rPr>
      </w:pPr>
      <w:r w:rsidRPr="00B7730C">
        <w:rPr>
          <w:sz w:val="22"/>
          <w:szCs w:val="22"/>
        </w:rPr>
        <w:tab/>
        <w:t>(i)</w:t>
      </w:r>
      <w:r w:rsidRPr="00B7730C">
        <w:rPr>
          <w:sz w:val="22"/>
          <w:szCs w:val="22"/>
        </w:rPr>
        <w:tab/>
        <w:t>are subject to the connection period performance standard; and</w:t>
      </w:r>
    </w:p>
    <w:p w14:paraId="65A9EBB0" w14:textId="77777777" w:rsidR="00B7730C" w:rsidRPr="00B7730C" w:rsidRDefault="00B7730C" w:rsidP="00B7730C">
      <w:pPr>
        <w:pStyle w:val="P2"/>
        <w:rPr>
          <w:sz w:val="22"/>
          <w:szCs w:val="22"/>
        </w:rPr>
      </w:pPr>
      <w:r w:rsidRPr="00B7730C">
        <w:rPr>
          <w:sz w:val="22"/>
          <w:szCs w:val="22"/>
        </w:rPr>
        <w:tab/>
        <w:t>(ii)</w:t>
      </w:r>
      <w:r w:rsidRPr="00B7730C">
        <w:rPr>
          <w:sz w:val="22"/>
          <w:szCs w:val="22"/>
        </w:rPr>
        <w:tab/>
        <w:t>are required to be complied with by the carriage service provider during the benchmark period; and</w:t>
      </w:r>
    </w:p>
    <w:bookmarkEnd w:id="44"/>
    <w:p w14:paraId="42C3AD02" w14:textId="77777777" w:rsidR="00B7730C" w:rsidRPr="00B7730C" w:rsidRDefault="00B7730C" w:rsidP="00B7730C">
      <w:pPr>
        <w:pStyle w:val="P1"/>
        <w:rPr>
          <w:sz w:val="22"/>
          <w:szCs w:val="22"/>
        </w:rPr>
      </w:pPr>
      <w:r w:rsidRPr="00B7730C">
        <w:rPr>
          <w:sz w:val="22"/>
          <w:szCs w:val="22"/>
        </w:rPr>
        <w:tab/>
        <w:t xml:space="preserve">(d) </w:t>
      </w:r>
      <w:r w:rsidRPr="00B7730C">
        <w:rPr>
          <w:sz w:val="22"/>
          <w:szCs w:val="22"/>
        </w:rPr>
        <w:tab/>
        <w:t>if the carriage service provider meets the remote area services threshold for a benchmark period—the total number of new connection requests from customers in remote areas that:</w:t>
      </w:r>
    </w:p>
    <w:p w14:paraId="23590F0B" w14:textId="41AD0A8A" w:rsidR="009C387D" w:rsidRDefault="00B7730C" w:rsidP="00931E30">
      <w:pPr>
        <w:pStyle w:val="P2"/>
        <w:rPr>
          <w:sz w:val="22"/>
          <w:szCs w:val="22"/>
        </w:rPr>
      </w:pPr>
      <w:r w:rsidRPr="00B7730C">
        <w:rPr>
          <w:sz w:val="22"/>
          <w:szCs w:val="22"/>
        </w:rPr>
        <w:tab/>
        <w:t>(i)</w:t>
      </w:r>
      <w:r w:rsidRPr="00B7730C">
        <w:rPr>
          <w:sz w:val="22"/>
          <w:szCs w:val="22"/>
        </w:rPr>
        <w:tab/>
        <w:t>are subject to the connection period performance standard; and</w:t>
      </w:r>
    </w:p>
    <w:p w14:paraId="0BAF8803" w14:textId="12266356" w:rsidR="009C387D" w:rsidRDefault="009C387D" w:rsidP="00931E30">
      <w:pPr>
        <w:pStyle w:val="P2"/>
        <w:rPr>
          <w:sz w:val="22"/>
          <w:szCs w:val="22"/>
        </w:rPr>
      </w:pPr>
      <w:r w:rsidRPr="00B7730C">
        <w:rPr>
          <w:sz w:val="22"/>
          <w:szCs w:val="22"/>
        </w:rPr>
        <w:tab/>
        <w:t>(</w:t>
      </w:r>
      <w:r>
        <w:rPr>
          <w:sz w:val="22"/>
          <w:szCs w:val="22"/>
        </w:rPr>
        <w:t>ii</w:t>
      </w:r>
      <w:r w:rsidRPr="00B7730C">
        <w:rPr>
          <w:sz w:val="22"/>
          <w:szCs w:val="22"/>
        </w:rPr>
        <w:t>)</w:t>
      </w:r>
      <w:r w:rsidRPr="00B7730C">
        <w:rPr>
          <w:sz w:val="22"/>
          <w:szCs w:val="22"/>
        </w:rPr>
        <w:tab/>
      </w:r>
      <w:r w:rsidRPr="00C0320E">
        <w:rPr>
          <w:sz w:val="22"/>
          <w:szCs w:val="22"/>
        </w:rPr>
        <w:t>are required to be complied with by the carriage service provider during the benchmark period.</w:t>
      </w:r>
    </w:p>
    <w:p w14:paraId="0ABF19FA" w14:textId="39047B78" w:rsidR="00B7730C" w:rsidRPr="0001406E" w:rsidRDefault="00561EDC" w:rsidP="005E3054">
      <w:pPr>
        <w:pStyle w:val="ActHead5"/>
        <w:ind w:left="0" w:firstLine="0"/>
        <w:rPr>
          <w:szCs w:val="24"/>
        </w:rPr>
      </w:pPr>
      <w:bookmarkStart w:id="45" w:name="_Toc334783663"/>
      <w:bookmarkStart w:id="46" w:name="_Ref283274572"/>
      <w:bookmarkStart w:id="47" w:name="_Toc140568349"/>
      <w:bookmarkStart w:id="48" w:name="_Toc140996313"/>
      <w:bookmarkStart w:id="49" w:name="_Hlk137023651"/>
      <w:r>
        <w:rPr>
          <w:rStyle w:val="CharSectno"/>
          <w:szCs w:val="24"/>
        </w:rPr>
        <w:lastRenderedPageBreak/>
        <w:t>9</w:t>
      </w:r>
      <w:r w:rsidR="00B7730C" w:rsidRPr="0001406E">
        <w:rPr>
          <w:szCs w:val="24"/>
        </w:rPr>
        <w:t xml:space="preserve">  </w:t>
      </w:r>
      <w:r w:rsidR="004940A6" w:rsidRPr="0001406E">
        <w:rPr>
          <w:szCs w:val="24"/>
        </w:rPr>
        <w:t xml:space="preserve">Performance </w:t>
      </w:r>
      <w:r w:rsidR="00B7730C" w:rsidRPr="0001406E">
        <w:rPr>
          <w:szCs w:val="24"/>
        </w:rPr>
        <w:t>benchmarks for rectification period performance standard</w:t>
      </w:r>
      <w:bookmarkEnd w:id="45"/>
      <w:bookmarkEnd w:id="46"/>
      <w:bookmarkEnd w:id="47"/>
      <w:bookmarkEnd w:id="48"/>
    </w:p>
    <w:p w14:paraId="60544D62" w14:textId="1D34020E" w:rsidR="00B7730C" w:rsidRPr="00B7730C" w:rsidRDefault="00B7730C" w:rsidP="004940A6">
      <w:pPr>
        <w:pStyle w:val="R2"/>
        <w:numPr>
          <w:ilvl w:val="0"/>
          <w:numId w:val="31"/>
        </w:numPr>
        <w:rPr>
          <w:sz w:val="22"/>
          <w:szCs w:val="22"/>
        </w:rPr>
      </w:pPr>
      <w:bookmarkStart w:id="50" w:name="_Hlk137023641"/>
      <w:bookmarkEnd w:id="49"/>
      <w:r w:rsidRPr="00B7730C">
        <w:rPr>
          <w:sz w:val="22"/>
          <w:szCs w:val="22"/>
        </w:rPr>
        <w:tab/>
      </w:r>
      <w:bookmarkStart w:id="51" w:name="_Hlk137023603"/>
      <w:r w:rsidRPr="00B7730C">
        <w:rPr>
          <w:sz w:val="22"/>
          <w:szCs w:val="22"/>
        </w:rPr>
        <w:t>Each of the benchmarks at subsection (2) are minimum benchmarks for the purposes of section 117B of the Act in relation to compliance by carriage service providers with the rectification period performance standard</w:t>
      </w:r>
      <w:r w:rsidRPr="00B7730C">
        <w:rPr>
          <w:bCs/>
          <w:iCs/>
          <w:sz w:val="22"/>
          <w:szCs w:val="22"/>
        </w:rPr>
        <w:t>.</w:t>
      </w:r>
      <w:bookmarkEnd w:id="51"/>
    </w:p>
    <w:bookmarkEnd w:id="50"/>
    <w:p w14:paraId="1D297FF8" w14:textId="213DB223" w:rsidR="00B7730C" w:rsidRPr="00B7730C" w:rsidRDefault="00B7730C" w:rsidP="004940A6">
      <w:pPr>
        <w:pStyle w:val="R2"/>
        <w:numPr>
          <w:ilvl w:val="0"/>
          <w:numId w:val="31"/>
        </w:numPr>
        <w:rPr>
          <w:sz w:val="22"/>
          <w:szCs w:val="22"/>
        </w:rPr>
      </w:pPr>
      <w:r w:rsidRPr="00B7730C">
        <w:rPr>
          <w:sz w:val="22"/>
          <w:szCs w:val="22"/>
        </w:rPr>
        <w:tab/>
        <w:t>Subject to subsection (3), a qualifying carriage service provider must comply with the rectification period performance standard in respect of at least 90 percent of:</w:t>
      </w:r>
    </w:p>
    <w:p w14:paraId="5C1F1EFD" w14:textId="77777777" w:rsidR="00B7730C" w:rsidRPr="00B7730C" w:rsidRDefault="00B7730C" w:rsidP="00B7730C">
      <w:pPr>
        <w:pStyle w:val="P1"/>
        <w:rPr>
          <w:sz w:val="22"/>
          <w:szCs w:val="22"/>
        </w:rPr>
      </w:pPr>
      <w:r w:rsidRPr="00B7730C">
        <w:rPr>
          <w:sz w:val="22"/>
          <w:szCs w:val="22"/>
        </w:rPr>
        <w:tab/>
        <w:t>(a)</w:t>
      </w:r>
      <w:r w:rsidRPr="00B7730C">
        <w:rPr>
          <w:sz w:val="22"/>
          <w:szCs w:val="22"/>
        </w:rPr>
        <w:tab/>
        <w:t>if the carriage service provider meets the urban area services threshold for a benchmark period—the total number of faults or service difficulties reported by customers located in an urban area that:</w:t>
      </w:r>
    </w:p>
    <w:p w14:paraId="30F4BE35" w14:textId="77777777" w:rsidR="00B7730C" w:rsidRPr="00B7730C" w:rsidRDefault="00B7730C" w:rsidP="00B7730C">
      <w:pPr>
        <w:pStyle w:val="P2"/>
        <w:rPr>
          <w:sz w:val="22"/>
          <w:szCs w:val="22"/>
        </w:rPr>
      </w:pPr>
      <w:r w:rsidRPr="00B7730C">
        <w:rPr>
          <w:sz w:val="22"/>
          <w:szCs w:val="22"/>
        </w:rPr>
        <w:tab/>
        <w:t>(i)</w:t>
      </w:r>
      <w:r w:rsidRPr="00B7730C">
        <w:rPr>
          <w:sz w:val="22"/>
          <w:szCs w:val="22"/>
        </w:rPr>
        <w:tab/>
        <w:t>are subject to the rectification period performance standard; and</w:t>
      </w:r>
    </w:p>
    <w:p w14:paraId="3831B91E" w14:textId="77777777" w:rsidR="00B7730C" w:rsidRPr="00B7730C" w:rsidRDefault="00B7730C" w:rsidP="00B7730C">
      <w:pPr>
        <w:pStyle w:val="P2"/>
        <w:rPr>
          <w:sz w:val="22"/>
          <w:szCs w:val="22"/>
        </w:rPr>
      </w:pPr>
      <w:r w:rsidRPr="00B7730C">
        <w:rPr>
          <w:sz w:val="22"/>
          <w:szCs w:val="22"/>
        </w:rPr>
        <w:tab/>
        <w:t>(ii)</w:t>
      </w:r>
      <w:r w:rsidRPr="00B7730C">
        <w:rPr>
          <w:sz w:val="22"/>
          <w:szCs w:val="22"/>
        </w:rPr>
        <w:tab/>
        <w:t>are required to be rectified by the carriage service provider in the benchmark period; and</w:t>
      </w:r>
    </w:p>
    <w:p w14:paraId="669780C6" w14:textId="77777777" w:rsidR="00B7730C" w:rsidRPr="00B7730C" w:rsidRDefault="00B7730C" w:rsidP="00B7730C">
      <w:pPr>
        <w:pStyle w:val="P1"/>
        <w:rPr>
          <w:sz w:val="22"/>
          <w:szCs w:val="22"/>
        </w:rPr>
      </w:pPr>
      <w:r w:rsidRPr="00B7730C">
        <w:rPr>
          <w:sz w:val="22"/>
          <w:szCs w:val="22"/>
        </w:rPr>
        <w:tab/>
        <w:t>(b)</w:t>
      </w:r>
      <w:r w:rsidRPr="00B7730C">
        <w:rPr>
          <w:sz w:val="22"/>
          <w:szCs w:val="22"/>
        </w:rPr>
        <w:tab/>
        <w:t>if the carriage service provider meets the rural area services threshold for a benchmark period—the total number of faults or service difficulties reported by customers located in a rural area that:</w:t>
      </w:r>
    </w:p>
    <w:p w14:paraId="5D3413B4" w14:textId="77777777" w:rsidR="00B7730C" w:rsidRPr="00B7730C" w:rsidRDefault="00B7730C" w:rsidP="00B7730C">
      <w:pPr>
        <w:pStyle w:val="P2"/>
        <w:rPr>
          <w:sz w:val="22"/>
          <w:szCs w:val="22"/>
        </w:rPr>
      </w:pPr>
      <w:r w:rsidRPr="00B7730C">
        <w:rPr>
          <w:sz w:val="22"/>
          <w:szCs w:val="22"/>
        </w:rPr>
        <w:tab/>
        <w:t>(i)</w:t>
      </w:r>
      <w:r w:rsidRPr="00B7730C">
        <w:rPr>
          <w:sz w:val="22"/>
          <w:szCs w:val="22"/>
        </w:rPr>
        <w:tab/>
        <w:t>are subject to the rectification period performance standard; and</w:t>
      </w:r>
    </w:p>
    <w:p w14:paraId="31E4D02F" w14:textId="77777777" w:rsidR="00B7730C" w:rsidRPr="00B7730C" w:rsidRDefault="00B7730C" w:rsidP="00B7730C">
      <w:pPr>
        <w:pStyle w:val="P2"/>
        <w:rPr>
          <w:sz w:val="22"/>
          <w:szCs w:val="22"/>
        </w:rPr>
      </w:pPr>
      <w:r w:rsidRPr="00B7730C">
        <w:rPr>
          <w:sz w:val="22"/>
          <w:szCs w:val="22"/>
        </w:rPr>
        <w:tab/>
        <w:t>(ii)</w:t>
      </w:r>
      <w:r w:rsidRPr="00B7730C">
        <w:rPr>
          <w:sz w:val="22"/>
          <w:szCs w:val="22"/>
        </w:rPr>
        <w:tab/>
        <w:t>are required to be rectified by the carriage service provider in the benchmark period; and</w:t>
      </w:r>
    </w:p>
    <w:p w14:paraId="32137537" w14:textId="77777777" w:rsidR="00B7730C" w:rsidRPr="00B7730C" w:rsidRDefault="00B7730C" w:rsidP="00B7730C">
      <w:pPr>
        <w:pStyle w:val="P1"/>
        <w:rPr>
          <w:sz w:val="22"/>
          <w:szCs w:val="22"/>
        </w:rPr>
      </w:pPr>
      <w:r w:rsidRPr="00B7730C">
        <w:rPr>
          <w:sz w:val="22"/>
          <w:szCs w:val="22"/>
        </w:rPr>
        <w:tab/>
        <w:t>(c)</w:t>
      </w:r>
      <w:r w:rsidRPr="00B7730C">
        <w:rPr>
          <w:sz w:val="22"/>
          <w:szCs w:val="22"/>
        </w:rPr>
        <w:tab/>
        <w:t>if the carriage service provider meets the remote area services threshold for a benchmark period—the total number of faults or service difficulties reported by customers located in a remote area that:</w:t>
      </w:r>
    </w:p>
    <w:p w14:paraId="2F84862A" w14:textId="77777777" w:rsidR="00B7730C" w:rsidRPr="00B7730C" w:rsidRDefault="00B7730C" w:rsidP="00B7730C">
      <w:pPr>
        <w:pStyle w:val="P2"/>
        <w:rPr>
          <w:sz w:val="22"/>
          <w:szCs w:val="22"/>
        </w:rPr>
      </w:pPr>
      <w:r w:rsidRPr="00B7730C">
        <w:rPr>
          <w:sz w:val="22"/>
          <w:szCs w:val="22"/>
        </w:rPr>
        <w:tab/>
        <w:t>(i)</w:t>
      </w:r>
      <w:r w:rsidRPr="00B7730C">
        <w:rPr>
          <w:sz w:val="22"/>
          <w:szCs w:val="22"/>
        </w:rPr>
        <w:tab/>
        <w:t>are subject to the rectification period performance standard; and</w:t>
      </w:r>
    </w:p>
    <w:p w14:paraId="0A1BC22B" w14:textId="77777777" w:rsidR="00B7730C" w:rsidRPr="00B7730C" w:rsidRDefault="00B7730C" w:rsidP="00B7730C">
      <w:pPr>
        <w:pStyle w:val="P2"/>
        <w:rPr>
          <w:sz w:val="22"/>
          <w:szCs w:val="22"/>
        </w:rPr>
      </w:pPr>
      <w:r w:rsidRPr="00B7730C">
        <w:rPr>
          <w:sz w:val="22"/>
          <w:szCs w:val="22"/>
        </w:rPr>
        <w:tab/>
        <w:t>(ii)</w:t>
      </w:r>
      <w:r w:rsidRPr="00B7730C">
        <w:rPr>
          <w:sz w:val="22"/>
          <w:szCs w:val="22"/>
        </w:rPr>
        <w:tab/>
        <w:t>are required to be rectified by the carriage service provider in the benchmark period.</w:t>
      </w:r>
    </w:p>
    <w:p w14:paraId="65F494FB" w14:textId="6E074902" w:rsidR="00B7730C" w:rsidRDefault="004940A6" w:rsidP="004940A6">
      <w:pPr>
        <w:pStyle w:val="R2"/>
        <w:numPr>
          <w:ilvl w:val="0"/>
          <w:numId w:val="31"/>
        </w:numPr>
        <w:rPr>
          <w:sz w:val="22"/>
          <w:szCs w:val="22"/>
        </w:rPr>
      </w:pPr>
      <w:r>
        <w:rPr>
          <w:sz w:val="22"/>
          <w:szCs w:val="22"/>
        </w:rPr>
        <w:t xml:space="preserve">   </w:t>
      </w:r>
      <w:r w:rsidR="00B7730C" w:rsidRPr="00B7730C">
        <w:rPr>
          <w:sz w:val="22"/>
          <w:szCs w:val="22"/>
        </w:rPr>
        <w:t xml:space="preserve">In assessing compliance with the rectification period performance standard at </w:t>
      </w:r>
      <w:r>
        <w:rPr>
          <w:sz w:val="22"/>
          <w:szCs w:val="22"/>
        </w:rPr>
        <w:t>paragraph</w:t>
      </w:r>
      <w:r w:rsidRPr="00B7730C">
        <w:rPr>
          <w:sz w:val="22"/>
          <w:szCs w:val="22"/>
        </w:rPr>
        <w:t xml:space="preserve">s </w:t>
      </w:r>
      <w:r w:rsidR="00B7730C" w:rsidRPr="00B7730C">
        <w:rPr>
          <w:sz w:val="22"/>
          <w:szCs w:val="22"/>
        </w:rPr>
        <w:t xml:space="preserve">(2)(a) to (c), faults or service difficulties relating to an inoperative enhanced call handling feature on services that include an enhanced call handling feature are to be excluded from calculations required to be undertaken of the total number of faults or service difficulties reported by customers in either an urban, rural or remote area.  </w:t>
      </w:r>
    </w:p>
    <w:p w14:paraId="05E01544" w14:textId="6AA0ACEE" w:rsidR="00B7730C" w:rsidRPr="0001406E" w:rsidRDefault="00561EDC" w:rsidP="00E509CD">
      <w:pPr>
        <w:pStyle w:val="ActHead5"/>
        <w:rPr>
          <w:rStyle w:val="CharSectno"/>
          <w:szCs w:val="24"/>
        </w:rPr>
      </w:pPr>
      <w:bookmarkStart w:id="52" w:name="_Toc334783664"/>
      <w:bookmarkStart w:id="53" w:name="_Ref283274574"/>
      <w:bookmarkStart w:id="54" w:name="_Toc140568350"/>
      <w:bookmarkStart w:id="55" w:name="_Toc140996314"/>
      <w:bookmarkStart w:id="56" w:name="_Hlk137023497"/>
      <w:r>
        <w:rPr>
          <w:rStyle w:val="CharSectno"/>
          <w:szCs w:val="24"/>
        </w:rPr>
        <w:t>10</w:t>
      </w:r>
      <w:r w:rsidR="00B7730C" w:rsidRPr="0001406E">
        <w:rPr>
          <w:szCs w:val="24"/>
        </w:rPr>
        <w:t xml:space="preserve">  Performance benchmark for appointment</w:t>
      </w:r>
      <w:r w:rsidR="00B7730C" w:rsidRPr="0001406E">
        <w:rPr>
          <w:szCs w:val="24"/>
        </w:rPr>
        <w:noBreakHyphen/>
        <w:t>keeping performance standard</w:t>
      </w:r>
      <w:bookmarkEnd w:id="52"/>
      <w:bookmarkEnd w:id="53"/>
      <w:bookmarkEnd w:id="54"/>
      <w:bookmarkEnd w:id="55"/>
    </w:p>
    <w:p w14:paraId="009C93DE" w14:textId="18A442D5" w:rsidR="00B7730C" w:rsidRPr="00B7730C" w:rsidRDefault="00B7730C" w:rsidP="00B7730C">
      <w:pPr>
        <w:pStyle w:val="R1"/>
        <w:spacing w:after="120"/>
        <w:rPr>
          <w:sz w:val="22"/>
          <w:szCs w:val="22"/>
        </w:rPr>
      </w:pPr>
      <w:r w:rsidRPr="00B7730C">
        <w:rPr>
          <w:sz w:val="22"/>
          <w:szCs w:val="22"/>
        </w:rPr>
        <w:tab/>
        <w:t>(1)</w:t>
      </w:r>
      <w:r w:rsidRPr="00B7730C">
        <w:rPr>
          <w:sz w:val="22"/>
          <w:szCs w:val="22"/>
        </w:rPr>
        <w:tab/>
        <w:t xml:space="preserve">The benchmark at subsection (2) is a minimum benchmark for the purposes of section 117B of the Act in relation to compliance by carriage service providers with the </w:t>
      </w:r>
      <w:r w:rsidRPr="001738B6">
        <w:rPr>
          <w:sz w:val="22"/>
          <w:szCs w:val="22"/>
        </w:rPr>
        <w:t>appointment</w:t>
      </w:r>
      <w:r w:rsidRPr="001738B6">
        <w:rPr>
          <w:sz w:val="22"/>
          <w:szCs w:val="22"/>
        </w:rPr>
        <w:noBreakHyphen/>
        <w:t>keeping performance standard</w:t>
      </w:r>
      <w:r w:rsidRPr="00B7730C">
        <w:rPr>
          <w:sz w:val="22"/>
          <w:szCs w:val="22"/>
        </w:rPr>
        <w:t>.</w:t>
      </w:r>
    </w:p>
    <w:bookmarkEnd w:id="56"/>
    <w:p w14:paraId="11E16E0A" w14:textId="5E9485E2" w:rsidR="00B7730C" w:rsidRPr="00B7730C" w:rsidDel="00017670" w:rsidRDefault="00B7730C" w:rsidP="00017670">
      <w:pPr>
        <w:pStyle w:val="R2"/>
        <w:rPr>
          <w:sz w:val="22"/>
          <w:szCs w:val="22"/>
        </w:rPr>
      </w:pPr>
      <w:r w:rsidRPr="00B7730C">
        <w:rPr>
          <w:sz w:val="22"/>
          <w:szCs w:val="22"/>
        </w:rPr>
        <w:tab/>
        <w:t>(2</w:t>
      </w:r>
      <w:r w:rsidRPr="00B7730C" w:rsidDel="00017670">
        <w:rPr>
          <w:sz w:val="22"/>
          <w:szCs w:val="22"/>
        </w:rPr>
        <w:t>)</w:t>
      </w:r>
      <w:r w:rsidRPr="00B7730C" w:rsidDel="00017670">
        <w:rPr>
          <w:sz w:val="22"/>
          <w:szCs w:val="22"/>
        </w:rPr>
        <w:tab/>
        <w:t>A qualifying carriage service provider must comply with the appointment</w:t>
      </w:r>
      <w:r w:rsidRPr="00B7730C" w:rsidDel="00017670">
        <w:rPr>
          <w:sz w:val="22"/>
          <w:szCs w:val="22"/>
        </w:rPr>
        <w:noBreakHyphen/>
        <w:t>keeping performance standard in respect of at least 90 percent of the total number of appointments to which the carriage service provider is a party that:</w:t>
      </w:r>
    </w:p>
    <w:p w14:paraId="10472691" w14:textId="5293A1F4" w:rsidR="00B7730C" w:rsidRPr="00B7730C" w:rsidDel="00017670" w:rsidRDefault="00B7730C" w:rsidP="001738B6">
      <w:pPr>
        <w:pStyle w:val="R2"/>
        <w:rPr>
          <w:sz w:val="22"/>
          <w:szCs w:val="22"/>
        </w:rPr>
      </w:pPr>
      <w:r w:rsidRPr="00B7730C" w:rsidDel="00017670">
        <w:rPr>
          <w:sz w:val="22"/>
          <w:szCs w:val="22"/>
        </w:rPr>
        <w:tab/>
      </w:r>
      <w:r w:rsidR="003500E6">
        <w:rPr>
          <w:sz w:val="22"/>
          <w:szCs w:val="22"/>
        </w:rPr>
        <w:tab/>
      </w:r>
      <w:r w:rsidRPr="00B7730C" w:rsidDel="00017670">
        <w:rPr>
          <w:sz w:val="22"/>
          <w:szCs w:val="22"/>
        </w:rPr>
        <w:t>(a)</w:t>
      </w:r>
      <w:r w:rsidRPr="00B7730C" w:rsidDel="00017670">
        <w:rPr>
          <w:sz w:val="22"/>
          <w:szCs w:val="22"/>
        </w:rPr>
        <w:tab/>
        <w:t>are subject to the appointment</w:t>
      </w:r>
      <w:r w:rsidRPr="00B7730C" w:rsidDel="00017670">
        <w:rPr>
          <w:sz w:val="22"/>
          <w:szCs w:val="22"/>
        </w:rPr>
        <w:noBreakHyphen/>
        <w:t xml:space="preserve">keeping performance standard; and </w:t>
      </w:r>
    </w:p>
    <w:p w14:paraId="149F38BF" w14:textId="7A75DA2E" w:rsidR="00B7730C" w:rsidDel="00017670" w:rsidRDefault="00B7730C" w:rsidP="001738B6">
      <w:pPr>
        <w:pStyle w:val="R2"/>
        <w:rPr>
          <w:sz w:val="22"/>
          <w:szCs w:val="22"/>
        </w:rPr>
      </w:pPr>
      <w:r w:rsidRPr="00B7730C" w:rsidDel="00017670">
        <w:rPr>
          <w:sz w:val="22"/>
          <w:szCs w:val="22"/>
        </w:rPr>
        <w:tab/>
      </w:r>
      <w:r w:rsidR="003500E6">
        <w:rPr>
          <w:sz w:val="22"/>
          <w:szCs w:val="22"/>
        </w:rPr>
        <w:tab/>
      </w:r>
      <w:r w:rsidRPr="00B7730C" w:rsidDel="00017670">
        <w:rPr>
          <w:sz w:val="22"/>
          <w:szCs w:val="22"/>
        </w:rPr>
        <w:t>(b)</w:t>
      </w:r>
      <w:r w:rsidRPr="00B7730C" w:rsidDel="00017670">
        <w:rPr>
          <w:sz w:val="22"/>
          <w:szCs w:val="22"/>
        </w:rPr>
        <w:tab/>
        <w:t>are required to be kept by the carriage service provider during a benchmark period.</w:t>
      </w:r>
    </w:p>
    <w:p w14:paraId="3B50ABBA" w14:textId="77777777" w:rsidR="004F04F0" w:rsidDel="00017670" w:rsidRDefault="004F04F0" w:rsidP="001738B6">
      <w:pPr>
        <w:pStyle w:val="R2"/>
        <w:rPr>
          <w:sz w:val="22"/>
          <w:szCs w:val="22"/>
        </w:rPr>
      </w:pPr>
    </w:p>
    <w:p w14:paraId="1A506451" w14:textId="77777777" w:rsidR="004F04F0" w:rsidRPr="00B7730C" w:rsidRDefault="004F04F0" w:rsidP="00B7730C">
      <w:pPr>
        <w:pStyle w:val="P1"/>
        <w:rPr>
          <w:sz w:val="22"/>
          <w:szCs w:val="22"/>
        </w:rPr>
      </w:pPr>
    </w:p>
    <w:p w14:paraId="19252FED" w14:textId="77777777" w:rsidR="00B7730C" w:rsidRPr="008E3181" w:rsidRDefault="00B7730C" w:rsidP="008E3181">
      <w:pPr>
        <w:pStyle w:val="ActHead4"/>
        <w:rPr>
          <w:sz w:val="28"/>
          <w:szCs w:val="28"/>
        </w:rPr>
      </w:pPr>
      <w:bookmarkStart w:id="57" w:name="_Toc334783665"/>
      <w:bookmarkStart w:id="58" w:name="_Toc140568351"/>
      <w:bookmarkStart w:id="59" w:name="_Toc140996315"/>
      <w:r w:rsidRPr="008E3181">
        <w:rPr>
          <w:rStyle w:val="CharDivNo"/>
          <w:sz w:val="28"/>
          <w:szCs w:val="28"/>
        </w:rPr>
        <w:t>Division 2</w:t>
      </w:r>
      <w:r w:rsidRPr="008E3181">
        <w:rPr>
          <w:sz w:val="28"/>
          <w:szCs w:val="28"/>
        </w:rPr>
        <w:tab/>
      </w:r>
      <w:r w:rsidRPr="008E3181">
        <w:rPr>
          <w:rStyle w:val="CharDivText"/>
          <w:sz w:val="28"/>
          <w:szCs w:val="28"/>
        </w:rPr>
        <w:t>Compliance with performance benchmarks</w:t>
      </w:r>
      <w:bookmarkEnd w:id="57"/>
      <w:bookmarkEnd w:id="58"/>
      <w:bookmarkEnd w:id="59"/>
      <w:r w:rsidRPr="008E3181">
        <w:rPr>
          <w:sz w:val="28"/>
          <w:szCs w:val="28"/>
        </w:rPr>
        <w:t xml:space="preserve"> </w:t>
      </w:r>
    </w:p>
    <w:p w14:paraId="42AC48ED" w14:textId="7069914E" w:rsidR="00B7730C" w:rsidRPr="00B7730C" w:rsidRDefault="004940A6" w:rsidP="00E509CD">
      <w:pPr>
        <w:pStyle w:val="ActHead5"/>
        <w:rPr>
          <w:rStyle w:val="CharSectno"/>
          <w:sz w:val="22"/>
          <w:szCs w:val="22"/>
        </w:rPr>
      </w:pPr>
      <w:bookmarkStart w:id="60" w:name="_Toc334783666"/>
      <w:bookmarkStart w:id="61" w:name="_Toc140568352"/>
      <w:bookmarkStart w:id="62" w:name="_Toc140996316"/>
      <w:r>
        <w:rPr>
          <w:rStyle w:val="CharSectno"/>
          <w:sz w:val="22"/>
          <w:szCs w:val="22"/>
        </w:rPr>
        <w:t>1</w:t>
      </w:r>
      <w:r w:rsidR="00561EDC">
        <w:rPr>
          <w:rStyle w:val="CharSectno"/>
          <w:sz w:val="22"/>
          <w:szCs w:val="22"/>
        </w:rPr>
        <w:t>1</w:t>
      </w:r>
      <w:r w:rsidR="00B7730C" w:rsidRPr="00B7730C">
        <w:rPr>
          <w:rStyle w:val="CharSectno"/>
          <w:sz w:val="22"/>
          <w:szCs w:val="22"/>
        </w:rPr>
        <w:t xml:space="preserve">  Contravention of a performance benchmark</w:t>
      </w:r>
      <w:bookmarkEnd w:id="60"/>
      <w:bookmarkEnd w:id="61"/>
      <w:bookmarkEnd w:id="62"/>
    </w:p>
    <w:p w14:paraId="71EB836D" w14:textId="68AFD11C" w:rsidR="00B7730C" w:rsidRDefault="00B7730C" w:rsidP="005E3054">
      <w:pPr>
        <w:pStyle w:val="R1"/>
        <w:spacing w:after="120"/>
        <w:ind w:left="720" w:firstLine="0"/>
        <w:rPr>
          <w:sz w:val="22"/>
          <w:szCs w:val="22"/>
        </w:rPr>
      </w:pPr>
      <w:r w:rsidRPr="00B7730C">
        <w:rPr>
          <w:sz w:val="22"/>
          <w:szCs w:val="22"/>
        </w:rPr>
        <w:t xml:space="preserve">Each instance of a carriage service provider failing to meet or exceed any one of the performance benchmarks in sections </w:t>
      </w:r>
      <w:r w:rsidR="00844B5B">
        <w:rPr>
          <w:sz w:val="22"/>
          <w:szCs w:val="22"/>
        </w:rPr>
        <w:t>8</w:t>
      </w:r>
      <w:r w:rsidRPr="00B7730C">
        <w:rPr>
          <w:sz w:val="22"/>
          <w:szCs w:val="22"/>
        </w:rPr>
        <w:t xml:space="preserve">, </w:t>
      </w:r>
      <w:r w:rsidR="00844B5B">
        <w:rPr>
          <w:sz w:val="22"/>
          <w:szCs w:val="22"/>
        </w:rPr>
        <w:t>9</w:t>
      </w:r>
      <w:r w:rsidRPr="00B7730C">
        <w:rPr>
          <w:sz w:val="22"/>
          <w:szCs w:val="22"/>
        </w:rPr>
        <w:t xml:space="preserve"> or </w:t>
      </w:r>
      <w:r w:rsidR="00844B5B">
        <w:rPr>
          <w:sz w:val="22"/>
          <w:szCs w:val="22"/>
        </w:rPr>
        <w:t>10</w:t>
      </w:r>
      <w:r w:rsidRPr="00B7730C">
        <w:rPr>
          <w:sz w:val="22"/>
          <w:szCs w:val="22"/>
        </w:rPr>
        <w:t xml:space="preserve"> constitutes a separate contravention of the relevant performance benchmark</w:t>
      </w:r>
      <w:r w:rsidR="00C0320E">
        <w:rPr>
          <w:sz w:val="22"/>
          <w:szCs w:val="22"/>
        </w:rPr>
        <w:t xml:space="preserve">. </w:t>
      </w:r>
    </w:p>
    <w:p w14:paraId="66767DEB" w14:textId="317CD5BA" w:rsidR="00046095" w:rsidRPr="00F766CB" w:rsidRDefault="00046095" w:rsidP="00F766CB">
      <w:pPr>
        <w:sectPr w:rsidR="00046095" w:rsidRPr="00F766CB" w:rsidSect="00956EB7">
          <w:pgSz w:w="11907" w:h="16839"/>
          <w:pgMar w:top="1440" w:right="1797" w:bottom="1440" w:left="1797" w:header="720" w:footer="720" w:gutter="0"/>
          <w:pgNumType w:start="1"/>
          <w:cols w:space="720"/>
        </w:sectPr>
      </w:pPr>
    </w:p>
    <w:p w14:paraId="476073CF" w14:textId="6D377D69" w:rsidR="00561EDC" w:rsidRPr="00B32C2C" w:rsidRDefault="00561EDC" w:rsidP="00561EDC">
      <w:pPr>
        <w:pStyle w:val="ActHead2"/>
      </w:pPr>
      <w:bookmarkStart w:id="63" w:name="_Toc139905894"/>
      <w:bookmarkStart w:id="64" w:name="_Toc140996317"/>
      <w:bookmarkStart w:id="65" w:name="Citation"/>
      <w:bookmarkStart w:id="66" w:name="_Toc130821740"/>
      <w:r w:rsidRPr="00B32C2C">
        <w:rPr>
          <w:szCs w:val="32"/>
        </w:rPr>
        <w:lastRenderedPageBreak/>
        <w:t xml:space="preserve">Schedule 1— </w:t>
      </w:r>
      <w:bookmarkEnd w:id="63"/>
      <w:r>
        <w:rPr>
          <w:szCs w:val="32"/>
        </w:rPr>
        <w:t>Repeals</w:t>
      </w:r>
      <w:bookmarkEnd w:id="64"/>
      <w:r>
        <w:rPr>
          <w:szCs w:val="32"/>
        </w:rPr>
        <w:t xml:space="preserve"> </w:t>
      </w:r>
      <w:r w:rsidRPr="00B32C2C">
        <w:rPr>
          <w:szCs w:val="32"/>
        </w:rPr>
        <w:t xml:space="preserve">  </w:t>
      </w:r>
    </w:p>
    <w:p w14:paraId="330BD3BE" w14:textId="492B2FE4" w:rsidR="00272ACE" w:rsidRPr="00272ACE" w:rsidRDefault="00272ACE" w:rsidP="0001406E">
      <w:pPr>
        <w:pStyle w:val="ItemHead"/>
      </w:pPr>
      <w:r w:rsidRPr="00272ACE">
        <w:rPr>
          <w:rFonts w:ascii="Times New Roman" w:hAnsi="Times New Roman"/>
          <w:i/>
          <w:iCs/>
          <w:color w:val="000000"/>
          <w:sz w:val="26"/>
          <w:szCs w:val="26"/>
          <w:shd w:val="clear" w:color="auto" w:fill="FFFFFF"/>
        </w:rPr>
        <w:t>Telecommunications (Customer Service Guarantee – Retail Performance Benchmarks) Instrument (No. 1) 2011</w:t>
      </w:r>
      <w:bookmarkEnd w:id="65"/>
    </w:p>
    <w:p w14:paraId="67C6F2E4" w14:textId="77777777" w:rsidR="00272ACE" w:rsidRPr="00E41A8C" w:rsidRDefault="00272ACE" w:rsidP="00272ACE">
      <w:pPr>
        <w:pStyle w:val="ItemHead"/>
        <w:rPr>
          <w:rFonts w:ascii="Times New Roman" w:hAnsi="Times New Roman"/>
        </w:rPr>
      </w:pPr>
      <w:r w:rsidRPr="00E41A8C">
        <w:rPr>
          <w:rFonts w:ascii="Times New Roman" w:hAnsi="Times New Roman"/>
        </w:rPr>
        <w:t>1  The whole of the instrument</w:t>
      </w:r>
    </w:p>
    <w:p w14:paraId="566110FC" w14:textId="77777777" w:rsidR="00272ACE" w:rsidRPr="00E41A8C" w:rsidRDefault="00272ACE" w:rsidP="00272ACE">
      <w:pPr>
        <w:pStyle w:val="Item"/>
      </w:pPr>
      <w:r w:rsidRPr="00E41A8C">
        <w:t>Repeal the instrument.</w:t>
      </w:r>
      <w:bookmarkEnd w:id="66"/>
    </w:p>
    <w:p w14:paraId="64D56C8F" w14:textId="77777777" w:rsidR="00272ACE" w:rsidRDefault="00272ACE" w:rsidP="00272ACE">
      <w:pPr>
        <w:rPr>
          <w:rFonts w:cs="Times New Roman"/>
        </w:rPr>
      </w:pPr>
    </w:p>
    <w:p w14:paraId="6AB2A20F" w14:textId="77777777" w:rsidR="00272ACE" w:rsidRPr="00E41A8C" w:rsidRDefault="00272ACE" w:rsidP="00272ACE">
      <w:pPr>
        <w:pStyle w:val="ItemHead"/>
        <w:rPr>
          <w:rFonts w:ascii="Times New Roman" w:hAnsi="Times New Roman"/>
          <w:i/>
          <w:iCs/>
          <w:color w:val="000000"/>
          <w:sz w:val="26"/>
          <w:szCs w:val="26"/>
          <w:shd w:val="clear" w:color="auto" w:fill="FFFFFF"/>
        </w:rPr>
      </w:pPr>
    </w:p>
    <w:p w14:paraId="61FFF9CE" w14:textId="4BD229C1" w:rsidR="00A75FE9" w:rsidRPr="00CA6BE6" w:rsidRDefault="00A75FE9" w:rsidP="00CA6BE6">
      <w:pPr>
        <w:spacing w:line="240" w:lineRule="auto"/>
        <w:rPr>
          <w:rFonts w:eastAsia="Times New Roman" w:cs="Times New Roman"/>
          <w:lang w:eastAsia="en-AU"/>
        </w:rPr>
      </w:pPr>
    </w:p>
    <w:sectPr w:rsidR="00A75FE9" w:rsidRPr="00CA6BE6" w:rsidSect="00956EB7">
      <w:headerReference w:type="even" r:id="rId22"/>
      <w:headerReference w:type="default" r:id="rId23"/>
      <w:footerReference w:type="even" r:id="rId24"/>
      <w:footerReference w:type="default" r:id="rId25"/>
      <w:headerReference w:type="first" r:id="rId26"/>
      <w:pgSz w:w="11907" w:h="16839" w:code="9"/>
      <w:pgMar w:top="2234" w:right="1797" w:bottom="1440" w:left="1797" w:header="720"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74F0E" w14:textId="77777777" w:rsidR="00F26D5A" w:rsidRDefault="00F26D5A" w:rsidP="00715914">
      <w:pPr>
        <w:spacing w:line="240" w:lineRule="auto"/>
      </w:pPr>
      <w:r>
        <w:separator/>
      </w:r>
    </w:p>
  </w:endnote>
  <w:endnote w:type="continuationSeparator" w:id="0">
    <w:p w14:paraId="0C21A729" w14:textId="77777777" w:rsidR="00F26D5A" w:rsidRDefault="00F26D5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9A240" w14:textId="77777777" w:rsidR="00F26D5A" w:rsidRPr="00E33C1C" w:rsidRDefault="00F26D5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26D5A" w14:paraId="42EB40C6" w14:textId="77777777" w:rsidTr="00B33709">
      <w:tc>
        <w:tcPr>
          <w:tcW w:w="709" w:type="dxa"/>
          <w:tcBorders>
            <w:top w:val="nil"/>
            <w:left w:val="nil"/>
            <w:bottom w:val="nil"/>
            <w:right w:val="nil"/>
          </w:tcBorders>
        </w:tcPr>
        <w:p w14:paraId="6212671C" w14:textId="77777777" w:rsidR="00F26D5A" w:rsidRDefault="00F26D5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70A92BB" w14:textId="7F292EB9" w:rsidR="00F26D5A" w:rsidRPr="004E1307" w:rsidRDefault="00F26D5A"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Telecommunications (Customer Service Guarantee – Retail Performance Benchmarks) Instrument 2023</w:t>
          </w:r>
          <w:r w:rsidRPr="004E1307">
            <w:rPr>
              <w:i/>
              <w:sz w:val="18"/>
            </w:rPr>
            <w:fldChar w:fldCharType="end"/>
          </w:r>
        </w:p>
      </w:tc>
      <w:tc>
        <w:tcPr>
          <w:tcW w:w="1383" w:type="dxa"/>
          <w:tcBorders>
            <w:top w:val="nil"/>
            <w:left w:val="nil"/>
            <w:bottom w:val="nil"/>
            <w:right w:val="nil"/>
          </w:tcBorders>
        </w:tcPr>
        <w:p w14:paraId="6BAC0FE9" w14:textId="77777777" w:rsidR="00F26D5A" w:rsidRDefault="00F26D5A" w:rsidP="00A369E3">
          <w:pPr>
            <w:spacing w:line="0" w:lineRule="atLeast"/>
            <w:jc w:val="right"/>
            <w:rPr>
              <w:sz w:val="18"/>
            </w:rPr>
          </w:pPr>
        </w:p>
      </w:tc>
    </w:tr>
    <w:tr w:rsidR="00F26D5A" w14:paraId="441BD38C"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620D1C2" w14:textId="77777777" w:rsidR="00F26D5A" w:rsidRDefault="00F26D5A" w:rsidP="00A369E3">
          <w:pPr>
            <w:jc w:val="right"/>
            <w:rPr>
              <w:sz w:val="18"/>
            </w:rPr>
          </w:pPr>
        </w:p>
      </w:tc>
    </w:tr>
  </w:tbl>
  <w:p w14:paraId="7A8F740D" w14:textId="77777777" w:rsidR="00F26D5A" w:rsidRPr="00ED79B6" w:rsidRDefault="00F26D5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EA291" w14:textId="77777777" w:rsidR="00F26D5A" w:rsidRPr="00E33C1C" w:rsidRDefault="00F26D5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26D5A" w14:paraId="195E4D2D" w14:textId="77777777" w:rsidTr="00A369E3">
      <w:tc>
        <w:tcPr>
          <w:tcW w:w="1384" w:type="dxa"/>
          <w:tcBorders>
            <w:top w:val="nil"/>
            <w:left w:val="nil"/>
            <w:bottom w:val="nil"/>
            <w:right w:val="nil"/>
          </w:tcBorders>
        </w:tcPr>
        <w:p w14:paraId="5BBF897D" w14:textId="77777777" w:rsidR="00F26D5A" w:rsidRDefault="00F26D5A" w:rsidP="00A369E3">
          <w:pPr>
            <w:spacing w:line="0" w:lineRule="atLeast"/>
            <w:rPr>
              <w:sz w:val="18"/>
            </w:rPr>
          </w:pPr>
        </w:p>
      </w:tc>
      <w:tc>
        <w:tcPr>
          <w:tcW w:w="6379" w:type="dxa"/>
          <w:tcBorders>
            <w:top w:val="nil"/>
            <w:left w:val="nil"/>
            <w:bottom w:val="nil"/>
            <w:right w:val="nil"/>
          </w:tcBorders>
        </w:tcPr>
        <w:p w14:paraId="5E0A6111" w14:textId="77777777" w:rsidR="00F26D5A" w:rsidRDefault="00F26D5A"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4F3AAF27" w14:textId="77777777" w:rsidR="00F26D5A" w:rsidRDefault="00F26D5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F26D5A" w14:paraId="54444B87"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1C3814D" w14:textId="77777777" w:rsidR="00F26D5A" w:rsidRDefault="00F26D5A" w:rsidP="00A369E3">
          <w:pPr>
            <w:rPr>
              <w:sz w:val="18"/>
            </w:rPr>
          </w:pPr>
        </w:p>
      </w:tc>
    </w:tr>
  </w:tbl>
  <w:p w14:paraId="5B124ABD" w14:textId="77777777" w:rsidR="00F26D5A" w:rsidRPr="00ED79B6" w:rsidRDefault="00F26D5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41530" w14:textId="77777777" w:rsidR="00F26D5A" w:rsidRPr="00E33C1C" w:rsidRDefault="00F26D5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F26D5A" w14:paraId="16A4B260" w14:textId="77777777" w:rsidTr="00B33709">
      <w:tc>
        <w:tcPr>
          <w:tcW w:w="1384" w:type="dxa"/>
          <w:tcBorders>
            <w:top w:val="nil"/>
            <w:left w:val="nil"/>
            <w:bottom w:val="nil"/>
            <w:right w:val="nil"/>
          </w:tcBorders>
        </w:tcPr>
        <w:p w14:paraId="07CDB2A6" w14:textId="77777777" w:rsidR="00F26D5A" w:rsidRDefault="00F26D5A" w:rsidP="00A369E3">
          <w:pPr>
            <w:spacing w:line="0" w:lineRule="atLeast"/>
            <w:rPr>
              <w:sz w:val="18"/>
            </w:rPr>
          </w:pPr>
        </w:p>
      </w:tc>
      <w:tc>
        <w:tcPr>
          <w:tcW w:w="6379" w:type="dxa"/>
          <w:tcBorders>
            <w:top w:val="nil"/>
            <w:left w:val="nil"/>
            <w:bottom w:val="nil"/>
            <w:right w:val="nil"/>
          </w:tcBorders>
        </w:tcPr>
        <w:p w14:paraId="794B4678" w14:textId="77777777" w:rsidR="00F26D5A" w:rsidRDefault="00F26D5A" w:rsidP="00A369E3">
          <w:pPr>
            <w:spacing w:line="0" w:lineRule="atLeast"/>
            <w:jc w:val="center"/>
            <w:rPr>
              <w:sz w:val="18"/>
            </w:rPr>
          </w:pPr>
        </w:p>
      </w:tc>
      <w:tc>
        <w:tcPr>
          <w:tcW w:w="709" w:type="dxa"/>
          <w:tcBorders>
            <w:top w:val="nil"/>
            <w:left w:val="nil"/>
            <w:bottom w:val="nil"/>
            <w:right w:val="nil"/>
          </w:tcBorders>
        </w:tcPr>
        <w:p w14:paraId="57DB6453" w14:textId="77777777" w:rsidR="00F26D5A" w:rsidRDefault="00F26D5A" w:rsidP="00A369E3">
          <w:pPr>
            <w:spacing w:line="0" w:lineRule="atLeast"/>
            <w:jc w:val="right"/>
            <w:rPr>
              <w:sz w:val="18"/>
            </w:rPr>
          </w:pPr>
        </w:p>
      </w:tc>
    </w:tr>
  </w:tbl>
  <w:p w14:paraId="475BC7C5" w14:textId="77777777" w:rsidR="00F26D5A" w:rsidRPr="00ED79B6" w:rsidRDefault="00F26D5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00011" w14:textId="41383E96" w:rsidR="00F26D5A" w:rsidRPr="002B0EA5" w:rsidRDefault="00F26D5A" w:rsidP="00FD31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26D5A" w14:paraId="6C3BD901" w14:textId="77777777" w:rsidTr="00FD3187">
      <w:tc>
        <w:tcPr>
          <w:tcW w:w="365" w:type="pct"/>
        </w:tcPr>
        <w:p w14:paraId="7F6F6DF4" w14:textId="77777777" w:rsidR="00F26D5A" w:rsidRDefault="00F26D5A" w:rsidP="00956EB7">
          <w:pPr>
            <w:spacing w:line="0" w:lineRule="atLeast"/>
            <w:ind w:left="720" w:hanging="720"/>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0DA2B7D" w14:textId="29F02C29" w:rsidR="00F26D5A" w:rsidRDefault="00F26D5A" w:rsidP="00FD31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91F20">
            <w:rPr>
              <w:i/>
              <w:noProof/>
              <w:sz w:val="18"/>
            </w:rPr>
            <w:t>Telecommunications (Customer Service Guarantee – Retail Performance Benchmarks) Instrument 2023</w:t>
          </w:r>
          <w:r w:rsidRPr="004E1307">
            <w:rPr>
              <w:i/>
              <w:sz w:val="18"/>
            </w:rPr>
            <w:fldChar w:fldCharType="end"/>
          </w:r>
        </w:p>
      </w:tc>
      <w:tc>
        <w:tcPr>
          <w:tcW w:w="947" w:type="pct"/>
        </w:tcPr>
        <w:p w14:paraId="7CC3525E" w14:textId="77777777" w:rsidR="00F26D5A" w:rsidRDefault="00F26D5A" w:rsidP="00FD3187">
          <w:pPr>
            <w:spacing w:line="0" w:lineRule="atLeast"/>
            <w:jc w:val="right"/>
            <w:rPr>
              <w:sz w:val="18"/>
            </w:rPr>
          </w:pPr>
        </w:p>
      </w:tc>
    </w:tr>
    <w:tr w:rsidR="00F26D5A" w14:paraId="73AE7C32" w14:textId="77777777" w:rsidTr="00FD3187">
      <w:tc>
        <w:tcPr>
          <w:tcW w:w="5000" w:type="pct"/>
          <w:gridSpan w:val="3"/>
        </w:tcPr>
        <w:p w14:paraId="4F00FB1E" w14:textId="77777777" w:rsidR="00F26D5A" w:rsidRDefault="00F26D5A" w:rsidP="00FD3187">
          <w:pPr>
            <w:jc w:val="right"/>
            <w:rPr>
              <w:sz w:val="18"/>
            </w:rPr>
          </w:pPr>
        </w:p>
      </w:tc>
    </w:tr>
  </w:tbl>
  <w:p w14:paraId="07DF8340" w14:textId="77777777" w:rsidR="00F26D5A" w:rsidRPr="00ED79B6" w:rsidRDefault="00F26D5A" w:rsidP="00FD318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4B11" w14:textId="77777777" w:rsidR="00F26D5A" w:rsidRPr="002B0EA5" w:rsidRDefault="00F26D5A" w:rsidP="00FD31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26D5A" w14:paraId="2F369CC1" w14:textId="77777777" w:rsidTr="00FD3187">
      <w:tc>
        <w:tcPr>
          <w:tcW w:w="947" w:type="pct"/>
        </w:tcPr>
        <w:p w14:paraId="5BCC9C2C" w14:textId="77777777" w:rsidR="00F26D5A" w:rsidRDefault="00F26D5A" w:rsidP="00FD3187">
          <w:pPr>
            <w:spacing w:line="0" w:lineRule="atLeast"/>
            <w:rPr>
              <w:sz w:val="18"/>
            </w:rPr>
          </w:pPr>
        </w:p>
      </w:tc>
      <w:tc>
        <w:tcPr>
          <w:tcW w:w="3688" w:type="pct"/>
        </w:tcPr>
        <w:p w14:paraId="53902B62" w14:textId="66C19666" w:rsidR="00F26D5A" w:rsidRDefault="00F26D5A" w:rsidP="00FD31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91F20">
            <w:rPr>
              <w:i/>
              <w:noProof/>
              <w:sz w:val="18"/>
            </w:rPr>
            <w:t>Telecommunications (Customer Service Guarantee – Retail Performance Benchmarks) Instrument 2023</w:t>
          </w:r>
          <w:r w:rsidRPr="004E1307">
            <w:rPr>
              <w:i/>
              <w:sz w:val="18"/>
            </w:rPr>
            <w:fldChar w:fldCharType="end"/>
          </w:r>
        </w:p>
      </w:tc>
      <w:tc>
        <w:tcPr>
          <w:tcW w:w="365" w:type="pct"/>
        </w:tcPr>
        <w:p w14:paraId="5CDD41EA" w14:textId="77777777" w:rsidR="00F26D5A" w:rsidRDefault="00F26D5A" w:rsidP="00FD318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26D5A" w14:paraId="7094D2BF" w14:textId="77777777" w:rsidTr="00FD3187">
      <w:tc>
        <w:tcPr>
          <w:tcW w:w="5000" w:type="pct"/>
          <w:gridSpan w:val="3"/>
        </w:tcPr>
        <w:p w14:paraId="5D285D6C" w14:textId="77777777" w:rsidR="00F26D5A" w:rsidRDefault="00F26D5A" w:rsidP="00FD3187">
          <w:pPr>
            <w:rPr>
              <w:sz w:val="18"/>
            </w:rPr>
          </w:pPr>
        </w:p>
      </w:tc>
    </w:tr>
  </w:tbl>
  <w:p w14:paraId="1865D36A" w14:textId="77777777" w:rsidR="00F26D5A" w:rsidRPr="00ED79B6" w:rsidRDefault="00F26D5A" w:rsidP="00FD318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1A4D6" w14:textId="77777777" w:rsidR="00F26D5A" w:rsidRPr="002B0EA5" w:rsidRDefault="00F26D5A" w:rsidP="00FD31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F26D5A" w14:paraId="436CC283" w14:textId="77777777" w:rsidTr="00FD3187">
      <w:tc>
        <w:tcPr>
          <w:tcW w:w="365" w:type="pct"/>
        </w:tcPr>
        <w:p w14:paraId="64ADA1F9" w14:textId="77777777" w:rsidR="00F26D5A" w:rsidRDefault="00F26D5A" w:rsidP="00FD318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3688" w:type="pct"/>
        </w:tcPr>
        <w:p w14:paraId="742BAD96" w14:textId="66F41066" w:rsidR="00F26D5A" w:rsidRDefault="00F26D5A" w:rsidP="00FD31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56EB7">
            <w:rPr>
              <w:i/>
              <w:noProof/>
              <w:sz w:val="18"/>
            </w:rPr>
            <w:t>Telecommunications (Customer Service Guarantee – Retail Performance Benchmarks) Instrument 2023</w:t>
          </w:r>
          <w:r w:rsidRPr="004E1307">
            <w:rPr>
              <w:i/>
              <w:sz w:val="18"/>
            </w:rPr>
            <w:fldChar w:fldCharType="end"/>
          </w:r>
        </w:p>
      </w:tc>
      <w:tc>
        <w:tcPr>
          <w:tcW w:w="947" w:type="pct"/>
        </w:tcPr>
        <w:p w14:paraId="4AAF556B" w14:textId="77777777" w:rsidR="00F26D5A" w:rsidRDefault="00F26D5A" w:rsidP="00FD3187">
          <w:pPr>
            <w:spacing w:line="0" w:lineRule="atLeast"/>
            <w:jc w:val="right"/>
            <w:rPr>
              <w:sz w:val="18"/>
            </w:rPr>
          </w:pPr>
        </w:p>
      </w:tc>
    </w:tr>
    <w:tr w:rsidR="00F26D5A" w14:paraId="411AF686" w14:textId="77777777" w:rsidTr="00FD3187">
      <w:tc>
        <w:tcPr>
          <w:tcW w:w="5000" w:type="pct"/>
          <w:gridSpan w:val="3"/>
        </w:tcPr>
        <w:p w14:paraId="3E6EF0DC" w14:textId="77777777" w:rsidR="00F26D5A" w:rsidRDefault="00F26D5A" w:rsidP="00FD3187">
          <w:pPr>
            <w:jc w:val="right"/>
            <w:rPr>
              <w:sz w:val="18"/>
            </w:rPr>
          </w:pPr>
        </w:p>
      </w:tc>
    </w:tr>
  </w:tbl>
  <w:p w14:paraId="42703AE9" w14:textId="77777777" w:rsidR="00F26D5A" w:rsidRPr="00ED79B6" w:rsidRDefault="00F26D5A" w:rsidP="00FD318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69DFE" w14:textId="04A2AD3B" w:rsidR="00F26D5A" w:rsidRPr="002B0EA5" w:rsidRDefault="00F26D5A" w:rsidP="00FD318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F26D5A" w14:paraId="28032CF0" w14:textId="77777777" w:rsidTr="00FD3187">
      <w:tc>
        <w:tcPr>
          <w:tcW w:w="947" w:type="pct"/>
        </w:tcPr>
        <w:p w14:paraId="24B8028D" w14:textId="3A8C5A70" w:rsidR="00F26D5A" w:rsidRDefault="00956EB7" w:rsidP="00FD3187">
          <w:pPr>
            <w:spacing w:line="0" w:lineRule="atLeast"/>
            <w:rPr>
              <w:sz w:val="18"/>
            </w:rPr>
          </w:pPr>
          <w:r>
            <w:rPr>
              <w:sz w:val="18"/>
            </w:rPr>
            <w:t>7</w:t>
          </w:r>
        </w:p>
      </w:tc>
      <w:tc>
        <w:tcPr>
          <w:tcW w:w="3688" w:type="pct"/>
        </w:tcPr>
        <w:p w14:paraId="42469691" w14:textId="5E71824D" w:rsidR="00F26D5A" w:rsidRDefault="00F26D5A" w:rsidP="00FD318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91F20">
            <w:rPr>
              <w:i/>
              <w:noProof/>
              <w:sz w:val="18"/>
            </w:rPr>
            <w:t>Telecommunications (Customer Service Guarantee – Retail Performance Benchmarks) Instrument 2023</w:t>
          </w:r>
          <w:r w:rsidRPr="004E1307">
            <w:rPr>
              <w:i/>
              <w:sz w:val="18"/>
            </w:rPr>
            <w:fldChar w:fldCharType="end"/>
          </w:r>
        </w:p>
      </w:tc>
      <w:tc>
        <w:tcPr>
          <w:tcW w:w="365" w:type="pct"/>
        </w:tcPr>
        <w:p w14:paraId="290B0D1F" w14:textId="074C2974" w:rsidR="00F26D5A" w:rsidRDefault="00F26D5A" w:rsidP="00F766CB">
          <w:pPr>
            <w:spacing w:line="0" w:lineRule="atLeast"/>
            <w:rPr>
              <w:sz w:val="18"/>
            </w:rPr>
          </w:pPr>
        </w:p>
      </w:tc>
    </w:tr>
    <w:tr w:rsidR="00F26D5A" w14:paraId="4F312994" w14:textId="77777777" w:rsidTr="00FD3187">
      <w:tc>
        <w:tcPr>
          <w:tcW w:w="5000" w:type="pct"/>
          <w:gridSpan w:val="3"/>
        </w:tcPr>
        <w:p w14:paraId="1CDFC264" w14:textId="77777777" w:rsidR="00F26D5A" w:rsidRDefault="00F26D5A" w:rsidP="00FD3187">
          <w:pPr>
            <w:rPr>
              <w:sz w:val="18"/>
            </w:rPr>
          </w:pPr>
        </w:p>
      </w:tc>
    </w:tr>
  </w:tbl>
  <w:p w14:paraId="2C14F5E6" w14:textId="77777777" w:rsidR="00F26D5A" w:rsidRPr="00ED79B6" w:rsidRDefault="00F26D5A" w:rsidP="00FD318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31958" w14:textId="77777777" w:rsidR="00F26D5A" w:rsidRDefault="00F26D5A" w:rsidP="00715914">
      <w:pPr>
        <w:spacing w:line="240" w:lineRule="auto"/>
      </w:pPr>
      <w:r>
        <w:separator/>
      </w:r>
    </w:p>
  </w:footnote>
  <w:footnote w:type="continuationSeparator" w:id="0">
    <w:p w14:paraId="66582DF1" w14:textId="77777777" w:rsidR="00F26D5A" w:rsidRDefault="00F26D5A"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3B09F" w14:textId="1AF770E5" w:rsidR="00F26D5A" w:rsidRPr="005F1388" w:rsidRDefault="00F26D5A"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2EBB3" w14:textId="21B2C71A" w:rsidR="00F26D5A" w:rsidRPr="005F1388" w:rsidRDefault="00F26D5A"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F8B8" w14:textId="54C5673D" w:rsidR="00F26D5A" w:rsidRPr="00ED79B6" w:rsidRDefault="00F26D5A" w:rsidP="00FD3187">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3D7B5" w14:textId="0778C078" w:rsidR="00F26D5A" w:rsidRPr="00ED79B6" w:rsidRDefault="00F26D5A" w:rsidP="00FD318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DFAA" w14:textId="628CF5FA" w:rsidR="00F26D5A" w:rsidRPr="00ED79B6" w:rsidRDefault="00F26D5A"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70F09" w14:textId="15F9164D" w:rsidR="00F26D5A" w:rsidRDefault="00F26D5A" w:rsidP="00715914">
    <w:pPr>
      <w:rPr>
        <w:sz w:val="20"/>
      </w:rPr>
    </w:pPr>
  </w:p>
  <w:p w14:paraId="374874BB" w14:textId="77777777" w:rsidR="00F26D5A" w:rsidRDefault="00F26D5A" w:rsidP="00715914">
    <w:pPr>
      <w:rPr>
        <w:sz w:val="20"/>
      </w:rPr>
    </w:pPr>
  </w:p>
  <w:p w14:paraId="71B30711" w14:textId="77777777" w:rsidR="00F26D5A" w:rsidRPr="007A1328" w:rsidRDefault="00F26D5A" w:rsidP="00715914">
    <w:pPr>
      <w:rPr>
        <w:sz w:val="20"/>
      </w:rPr>
    </w:pPr>
  </w:p>
  <w:p w14:paraId="7C230EE8" w14:textId="77777777" w:rsidR="00F26D5A" w:rsidRPr="007A1328" w:rsidRDefault="00F26D5A" w:rsidP="00715914">
    <w:pPr>
      <w:rPr>
        <w:b/>
        <w:sz w:val="24"/>
      </w:rPr>
    </w:pPr>
  </w:p>
  <w:p w14:paraId="67FFE4AC" w14:textId="77777777" w:rsidR="00F26D5A" w:rsidRPr="007A1328" w:rsidRDefault="00F26D5A"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3C53B" w14:textId="0FD942F2" w:rsidR="00F26D5A" w:rsidRPr="007A1328" w:rsidRDefault="00F26D5A" w:rsidP="00715914">
    <w:pPr>
      <w:jc w:val="right"/>
      <w:rPr>
        <w:sz w:val="20"/>
      </w:rPr>
    </w:pPr>
  </w:p>
  <w:p w14:paraId="53E2657D" w14:textId="77777777" w:rsidR="00F26D5A" w:rsidRPr="007A1328" w:rsidRDefault="00F26D5A" w:rsidP="00715914">
    <w:pPr>
      <w:jc w:val="right"/>
      <w:rPr>
        <w:sz w:val="20"/>
      </w:rPr>
    </w:pPr>
  </w:p>
  <w:p w14:paraId="2F5C4C52" w14:textId="77777777" w:rsidR="00F26D5A" w:rsidRPr="007A1328" w:rsidRDefault="00F26D5A" w:rsidP="00715914">
    <w:pPr>
      <w:jc w:val="right"/>
      <w:rPr>
        <w:sz w:val="20"/>
      </w:rPr>
    </w:pPr>
  </w:p>
  <w:p w14:paraId="02E8AC73" w14:textId="77777777" w:rsidR="00F26D5A" w:rsidRPr="007A1328" w:rsidRDefault="00F26D5A" w:rsidP="00715914">
    <w:pPr>
      <w:jc w:val="right"/>
      <w:rPr>
        <w:b/>
        <w:sz w:val="24"/>
      </w:rPr>
    </w:pPr>
  </w:p>
  <w:p w14:paraId="332C7645" w14:textId="77777777" w:rsidR="00F26D5A" w:rsidRPr="007A1328" w:rsidRDefault="00F26D5A" w:rsidP="00D6537E">
    <w:pPr>
      <w:pBdr>
        <w:bottom w:val="single" w:sz="6" w:space="1" w:color="auto"/>
      </w:pBdr>
      <w:spacing w:after="120"/>
      <w:jc w:val="right"/>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10C04" w14:textId="5B599013" w:rsidR="00F26D5A" w:rsidRDefault="00F26D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14F532"/>
    <w:lvl w:ilvl="0">
      <w:start w:val="1"/>
      <w:numFmt w:val="decimal"/>
      <w:lvlText w:val="%1."/>
      <w:lvlJc w:val="left"/>
      <w:pPr>
        <w:tabs>
          <w:tab w:val="num" w:pos="2549"/>
        </w:tabs>
        <w:ind w:left="2549"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B71707"/>
    <w:multiLevelType w:val="hybridMultilevel"/>
    <w:tmpl w:val="11FAE5F8"/>
    <w:lvl w:ilvl="0" w:tplc="4C164590">
      <w:start w:val="1"/>
      <w:numFmt w:val="lowerLetter"/>
      <w:lvlText w:val="(%1)"/>
      <w:lvlJc w:val="left"/>
      <w:pPr>
        <w:ind w:left="1320" w:hanging="360"/>
      </w:pPr>
      <w:rPr>
        <w:rFonts w:hint="default"/>
        <w:i w:val="0"/>
      </w:rPr>
    </w:lvl>
    <w:lvl w:ilvl="1" w:tplc="0C090019" w:tentative="1">
      <w:start w:val="1"/>
      <w:numFmt w:val="lowerLetter"/>
      <w:lvlText w:val="%2."/>
      <w:lvlJc w:val="left"/>
      <w:pPr>
        <w:ind w:left="2040" w:hanging="360"/>
      </w:pPr>
    </w:lvl>
    <w:lvl w:ilvl="2" w:tplc="0C09001B" w:tentative="1">
      <w:start w:val="1"/>
      <w:numFmt w:val="lowerRoman"/>
      <w:lvlText w:val="%3."/>
      <w:lvlJc w:val="right"/>
      <w:pPr>
        <w:ind w:left="2760" w:hanging="180"/>
      </w:pPr>
    </w:lvl>
    <w:lvl w:ilvl="3" w:tplc="0C09000F" w:tentative="1">
      <w:start w:val="1"/>
      <w:numFmt w:val="decimal"/>
      <w:lvlText w:val="%4."/>
      <w:lvlJc w:val="left"/>
      <w:pPr>
        <w:ind w:left="3480" w:hanging="360"/>
      </w:pPr>
    </w:lvl>
    <w:lvl w:ilvl="4" w:tplc="0C090019" w:tentative="1">
      <w:start w:val="1"/>
      <w:numFmt w:val="lowerLetter"/>
      <w:lvlText w:val="%5."/>
      <w:lvlJc w:val="left"/>
      <w:pPr>
        <w:ind w:left="4200" w:hanging="360"/>
      </w:pPr>
    </w:lvl>
    <w:lvl w:ilvl="5" w:tplc="0C09001B" w:tentative="1">
      <w:start w:val="1"/>
      <w:numFmt w:val="lowerRoman"/>
      <w:lvlText w:val="%6."/>
      <w:lvlJc w:val="right"/>
      <w:pPr>
        <w:ind w:left="4920" w:hanging="180"/>
      </w:pPr>
    </w:lvl>
    <w:lvl w:ilvl="6" w:tplc="0C09000F" w:tentative="1">
      <w:start w:val="1"/>
      <w:numFmt w:val="decimal"/>
      <w:lvlText w:val="%7."/>
      <w:lvlJc w:val="left"/>
      <w:pPr>
        <w:ind w:left="5640" w:hanging="360"/>
      </w:pPr>
    </w:lvl>
    <w:lvl w:ilvl="7" w:tplc="0C090019" w:tentative="1">
      <w:start w:val="1"/>
      <w:numFmt w:val="lowerLetter"/>
      <w:lvlText w:val="%8."/>
      <w:lvlJc w:val="left"/>
      <w:pPr>
        <w:ind w:left="6360" w:hanging="360"/>
      </w:pPr>
    </w:lvl>
    <w:lvl w:ilvl="8" w:tplc="0C09001B" w:tentative="1">
      <w:start w:val="1"/>
      <w:numFmt w:val="lowerRoman"/>
      <w:lvlText w:val="%9."/>
      <w:lvlJc w:val="right"/>
      <w:pPr>
        <w:ind w:left="70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A758A"/>
    <w:multiLevelType w:val="hybridMultilevel"/>
    <w:tmpl w:val="FE7C8124"/>
    <w:lvl w:ilvl="0" w:tplc="CA4A32D2">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2041F0"/>
    <w:multiLevelType w:val="hybridMultilevel"/>
    <w:tmpl w:val="D78828C0"/>
    <w:lvl w:ilvl="0" w:tplc="C9CE8E26">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220AEC"/>
    <w:multiLevelType w:val="hybridMultilevel"/>
    <w:tmpl w:val="A684BD44"/>
    <w:lvl w:ilvl="0" w:tplc="0F08E952">
      <w:start w:val="1"/>
      <w:numFmt w:val="lowerLetter"/>
      <w:lvlText w:val="(%1)"/>
      <w:lvlJc w:val="left"/>
      <w:pPr>
        <w:ind w:left="2360" w:hanging="375"/>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16" w15:restartNumberingAfterBreak="0">
    <w:nsid w:val="24EA6B99"/>
    <w:multiLevelType w:val="hybridMultilevel"/>
    <w:tmpl w:val="23D64412"/>
    <w:lvl w:ilvl="0" w:tplc="F9500B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226149"/>
    <w:multiLevelType w:val="hybridMultilevel"/>
    <w:tmpl w:val="3C7CE468"/>
    <w:lvl w:ilvl="0" w:tplc="6BE0CCE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3F658D"/>
    <w:multiLevelType w:val="hybridMultilevel"/>
    <w:tmpl w:val="3ED25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AC0B26"/>
    <w:multiLevelType w:val="hybridMultilevel"/>
    <w:tmpl w:val="186A1B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21E757B"/>
    <w:multiLevelType w:val="hybridMultilevel"/>
    <w:tmpl w:val="F5E62BFE"/>
    <w:lvl w:ilvl="0" w:tplc="833ABE82">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1" w15:restartNumberingAfterBreak="0">
    <w:nsid w:val="32757638"/>
    <w:multiLevelType w:val="hybridMultilevel"/>
    <w:tmpl w:val="6C94E6FE"/>
    <w:lvl w:ilvl="0" w:tplc="BEAC537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34A60CC"/>
    <w:multiLevelType w:val="hybridMultilevel"/>
    <w:tmpl w:val="7C5AEBAA"/>
    <w:lvl w:ilvl="0" w:tplc="E7207296">
      <w:start w:val="1"/>
      <w:numFmt w:val="decimal"/>
      <w:lvlText w:val="(%1)"/>
      <w:lvlJc w:val="left"/>
      <w:pPr>
        <w:ind w:left="960" w:hanging="435"/>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3" w15:restartNumberingAfterBreak="0">
    <w:nsid w:val="348D5068"/>
    <w:multiLevelType w:val="hybridMultilevel"/>
    <w:tmpl w:val="5924238C"/>
    <w:lvl w:ilvl="0" w:tplc="61D0D1C6">
      <w:start w:val="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5FB1ECA"/>
    <w:multiLevelType w:val="hybridMultilevel"/>
    <w:tmpl w:val="36E2C9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6" w15:restartNumberingAfterBreak="0">
    <w:nsid w:val="42F43DEF"/>
    <w:multiLevelType w:val="hybridMultilevel"/>
    <w:tmpl w:val="03D43C22"/>
    <w:lvl w:ilvl="0" w:tplc="7C60F4E8">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7" w15:restartNumberingAfterBreak="0">
    <w:nsid w:val="48EE17D9"/>
    <w:multiLevelType w:val="hybridMultilevel"/>
    <w:tmpl w:val="7C5AEBAA"/>
    <w:lvl w:ilvl="0" w:tplc="E7207296">
      <w:start w:val="1"/>
      <w:numFmt w:val="decimal"/>
      <w:lvlText w:val="(%1)"/>
      <w:lvlJc w:val="left"/>
      <w:pPr>
        <w:ind w:left="960" w:hanging="435"/>
      </w:pPr>
      <w:rPr>
        <w:rFonts w:hint="default"/>
      </w:rPr>
    </w:lvl>
    <w:lvl w:ilvl="1" w:tplc="0C090019" w:tentative="1">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8" w15:restartNumberingAfterBreak="0">
    <w:nsid w:val="49004265"/>
    <w:multiLevelType w:val="hybridMultilevel"/>
    <w:tmpl w:val="EB8E5FBC"/>
    <w:lvl w:ilvl="0" w:tplc="2B20F10C">
      <w:start w:val="1"/>
      <w:numFmt w:val="lowerRoman"/>
      <w:lvlText w:val="(%1)"/>
      <w:lvlJc w:val="left"/>
      <w:pPr>
        <w:ind w:left="2145" w:hanging="7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29" w15:restartNumberingAfterBreak="0">
    <w:nsid w:val="62B75F3C"/>
    <w:multiLevelType w:val="hybridMultilevel"/>
    <w:tmpl w:val="AE741A84"/>
    <w:lvl w:ilvl="0" w:tplc="0C090001">
      <w:start w:val="1"/>
      <w:numFmt w:val="bullet"/>
      <w:lvlText w:val=""/>
      <w:lvlJc w:val="left"/>
      <w:pPr>
        <w:ind w:left="1324" w:hanging="360"/>
      </w:pPr>
      <w:rPr>
        <w:rFonts w:ascii="Symbol" w:hAnsi="Symbol" w:hint="default"/>
      </w:rPr>
    </w:lvl>
    <w:lvl w:ilvl="1" w:tplc="0C090003">
      <w:start w:val="1"/>
      <w:numFmt w:val="bullet"/>
      <w:lvlText w:val="o"/>
      <w:lvlJc w:val="left"/>
      <w:pPr>
        <w:ind w:left="2044" w:hanging="360"/>
      </w:pPr>
      <w:rPr>
        <w:rFonts w:ascii="Courier New" w:hAnsi="Courier New" w:cs="Courier New" w:hint="default"/>
      </w:rPr>
    </w:lvl>
    <w:lvl w:ilvl="2" w:tplc="0C090005">
      <w:start w:val="1"/>
      <w:numFmt w:val="bullet"/>
      <w:lvlText w:val=""/>
      <w:lvlJc w:val="left"/>
      <w:pPr>
        <w:ind w:left="2764" w:hanging="360"/>
      </w:pPr>
      <w:rPr>
        <w:rFonts w:ascii="Wingdings" w:hAnsi="Wingdings" w:hint="default"/>
      </w:rPr>
    </w:lvl>
    <w:lvl w:ilvl="3" w:tplc="0C090001">
      <w:start w:val="1"/>
      <w:numFmt w:val="bullet"/>
      <w:lvlText w:val=""/>
      <w:lvlJc w:val="left"/>
      <w:pPr>
        <w:ind w:left="3484" w:hanging="360"/>
      </w:pPr>
      <w:rPr>
        <w:rFonts w:ascii="Symbol" w:hAnsi="Symbol" w:hint="default"/>
      </w:rPr>
    </w:lvl>
    <w:lvl w:ilvl="4" w:tplc="0C090003">
      <w:start w:val="1"/>
      <w:numFmt w:val="bullet"/>
      <w:lvlText w:val="o"/>
      <w:lvlJc w:val="left"/>
      <w:pPr>
        <w:ind w:left="4204" w:hanging="360"/>
      </w:pPr>
      <w:rPr>
        <w:rFonts w:ascii="Courier New" w:hAnsi="Courier New" w:cs="Courier New" w:hint="default"/>
      </w:rPr>
    </w:lvl>
    <w:lvl w:ilvl="5" w:tplc="0C090005">
      <w:start w:val="1"/>
      <w:numFmt w:val="bullet"/>
      <w:lvlText w:val=""/>
      <w:lvlJc w:val="left"/>
      <w:pPr>
        <w:ind w:left="4924" w:hanging="360"/>
      </w:pPr>
      <w:rPr>
        <w:rFonts w:ascii="Wingdings" w:hAnsi="Wingdings" w:hint="default"/>
      </w:rPr>
    </w:lvl>
    <w:lvl w:ilvl="6" w:tplc="0C090001">
      <w:start w:val="1"/>
      <w:numFmt w:val="bullet"/>
      <w:lvlText w:val=""/>
      <w:lvlJc w:val="left"/>
      <w:pPr>
        <w:ind w:left="5644" w:hanging="360"/>
      </w:pPr>
      <w:rPr>
        <w:rFonts w:ascii="Symbol" w:hAnsi="Symbol" w:hint="default"/>
      </w:rPr>
    </w:lvl>
    <w:lvl w:ilvl="7" w:tplc="0C090003">
      <w:start w:val="1"/>
      <w:numFmt w:val="bullet"/>
      <w:lvlText w:val="o"/>
      <w:lvlJc w:val="left"/>
      <w:pPr>
        <w:ind w:left="6364" w:hanging="360"/>
      </w:pPr>
      <w:rPr>
        <w:rFonts w:ascii="Courier New" w:hAnsi="Courier New" w:cs="Courier New" w:hint="default"/>
      </w:rPr>
    </w:lvl>
    <w:lvl w:ilvl="8" w:tplc="0C090005">
      <w:start w:val="1"/>
      <w:numFmt w:val="bullet"/>
      <w:lvlText w:val=""/>
      <w:lvlJc w:val="left"/>
      <w:pPr>
        <w:ind w:left="7084" w:hanging="360"/>
      </w:pPr>
      <w:rPr>
        <w:rFonts w:ascii="Wingdings" w:hAnsi="Wingdings" w:hint="default"/>
      </w:rPr>
    </w:lvl>
  </w:abstractNum>
  <w:abstractNum w:abstractNumId="30" w15:restartNumberingAfterBreak="0">
    <w:nsid w:val="699B2FE0"/>
    <w:multiLevelType w:val="hybridMultilevel"/>
    <w:tmpl w:val="F0466C62"/>
    <w:lvl w:ilvl="0" w:tplc="C4C695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7D6F66"/>
    <w:multiLevelType w:val="hybridMultilevel"/>
    <w:tmpl w:val="BDE0C162"/>
    <w:lvl w:ilvl="0" w:tplc="65D0372A">
      <w:start w:val="1"/>
      <w:numFmt w:val="lowerRoman"/>
      <w:lvlText w:val="(%1)"/>
      <w:lvlJc w:val="left"/>
      <w:pPr>
        <w:ind w:left="2880" w:hanging="720"/>
      </w:pPr>
      <w:rPr>
        <w:rFonts w:ascii="Times New Roman" w:eastAsia="Times New Roman"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2" w15:restartNumberingAfterBreak="0">
    <w:nsid w:val="709E304F"/>
    <w:multiLevelType w:val="hybridMultilevel"/>
    <w:tmpl w:val="EB8E5FBC"/>
    <w:lvl w:ilvl="0" w:tplc="2B20F10C">
      <w:start w:val="1"/>
      <w:numFmt w:val="lowerRoman"/>
      <w:lvlText w:val="(%1)"/>
      <w:lvlJc w:val="left"/>
      <w:pPr>
        <w:ind w:left="2145" w:hanging="7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33" w15:restartNumberingAfterBreak="0">
    <w:nsid w:val="722542CA"/>
    <w:multiLevelType w:val="hybridMultilevel"/>
    <w:tmpl w:val="1228D904"/>
    <w:lvl w:ilvl="0" w:tplc="F0081BC8">
      <w:start w:val="1"/>
      <w:numFmt w:val="lowerLetter"/>
      <w:lvlText w:val="(%1)"/>
      <w:lvlJc w:val="left"/>
      <w:pPr>
        <w:ind w:left="1425" w:hanging="495"/>
      </w:pPr>
      <w:rPr>
        <w:rFonts w:hint="default"/>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34" w15:restartNumberingAfterBreak="0">
    <w:nsid w:val="73A126EF"/>
    <w:multiLevelType w:val="hybridMultilevel"/>
    <w:tmpl w:val="751E7768"/>
    <w:lvl w:ilvl="0" w:tplc="BABAFBE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9B4C81"/>
    <w:multiLevelType w:val="hybridMultilevel"/>
    <w:tmpl w:val="6F72EFBA"/>
    <w:lvl w:ilvl="0" w:tplc="50B45BB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1"/>
  </w:num>
  <w:num w:numId="13">
    <w:abstractNumId w:val="14"/>
  </w:num>
  <w:num w:numId="14">
    <w:abstractNumId w:val="29"/>
  </w:num>
  <w:num w:numId="15">
    <w:abstractNumId w:val="15"/>
  </w:num>
  <w:num w:numId="16">
    <w:abstractNumId w:val="13"/>
  </w:num>
  <w:num w:numId="17">
    <w:abstractNumId w:val="27"/>
  </w:num>
  <w:num w:numId="18">
    <w:abstractNumId w:val="10"/>
  </w:num>
  <w:num w:numId="19">
    <w:abstractNumId w:val="20"/>
  </w:num>
  <w:num w:numId="20">
    <w:abstractNumId w:val="32"/>
  </w:num>
  <w:num w:numId="21">
    <w:abstractNumId w:val="17"/>
  </w:num>
  <w:num w:numId="22">
    <w:abstractNumId w:val="28"/>
  </w:num>
  <w:num w:numId="23">
    <w:abstractNumId w:val="24"/>
  </w:num>
  <w:num w:numId="24">
    <w:abstractNumId w:val="26"/>
  </w:num>
  <w:num w:numId="25">
    <w:abstractNumId w:val="31"/>
  </w:num>
  <w:num w:numId="26">
    <w:abstractNumId w:val="34"/>
  </w:num>
  <w:num w:numId="27">
    <w:abstractNumId w:val="16"/>
  </w:num>
  <w:num w:numId="28">
    <w:abstractNumId w:val="30"/>
  </w:num>
  <w:num w:numId="29">
    <w:abstractNumId w:val="35"/>
  </w:num>
  <w:num w:numId="30">
    <w:abstractNumId w:val="12"/>
  </w:num>
  <w:num w:numId="31">
    <w:abstractNumId w:val="22"/>
  </w:num>
  <w:num w:numId="32">
    <w:abstractNumId w:val="23"/>
  </w:num>
  <w:num w:numId="33">
    <w:abstractNumId w:val="19"/>
  </w:num>
  <w:num w:numId="34">
    <w:abstractNumId w:val="21"/>
  </w:num>
  <w:num w:numId="35">
    <w:abstractNumId w:val="3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42"/>
    <w:rsid w:val="00004174"/>
    <w:rsid w:val="00004470"/>
    <w:rsid w:val="000136AF"/>
    <w:rsid w:val="0001406E"/>
    <w:rsid w:val="00017670"/>
    <w:rsid w:val="000258B1"/>
    <w:rsid w:val="00040A89"/>
    <w:rsid w:val="000437C1"/>
    <w:rsid w:val="0004455A"/>
    <w:rsid w:val="00046095"/>
    <w:rsid w:val="0005365D"/>
    <w:rsid w:val="000614BF"/>
    <w:rsid w:val="00062C73"/>
    <w:rsid w:val="0006709C"/>
    <w:rsid w:val="000715F0"/>
    <w:rsid w:val="00074376"/>
    <w:rsid w:val="00086F3E"/>
    <w:rsid w:val="000978F5"/>
    <w:rsid w:val="000A122D"/>
    <w:rsid w:val="000A6DC4"/>
    <w:rsid w:val="000B15CD"/>
    <w:rsid w:val="000B35EB"/>
    <w:rsid w:val="000D05EF"/>
    <w:rsid w:val="000D072D"/>
    <w:rsid w:val="000D385B"/>
    <w:rsid w:val="000D753E"/>
    <w:rsid w:val="000E2261"/>
    <w:rsid w:val="000E78B7"/>
    <w:rsid w:val="000F140C"/>
    <w:rsid w:val="000F21C1"/>
    <w:rsid w:val="0010745C"/>
    <w:rsid w:val="00132CEB"/>
    <w:rsid w:val="001339B0"/>
    <w:rsid w:val="00142B62"/>
    <w:rsid w:val="001441B7"/>
    <w:rsid w:val="001516CB"/>
    <w:rsid w:val="00152336"/>
    <w:rsid w:val="00157B8B"/>
    <w:rsid w:val="00166C2F"/>
    <w:rsid w:val="00171A42"/>
    <w:rsid w:val="001738B6"/>
    <w:rsid w:val="001809D7"/>
    <w:rsid w:val="001922A9"/>
    <w:rsid w:val="001939E1"/>
    <w:rsid w:val="00194C3E"/>
    <w:rsid w:val="00195382"/>
    <w:rsid w:val="00195655"/>
    <w:rsid w:val="00197C7F"/>
    <w:rsid w:val="001B2CB6"/>
    <w:rsid w:val="001C0551"/>
    <w:rsid w:val="001C61C5"/>
    <w:rsid w:val="001C69C4"/>
    <w:rsid w:val="001C7CAC"/>
    <w:rsid w:val="001D37EF"/>
    <w:rsid w:val="001E3590"/>
    <w:rsid w:val="001E7407"/>
    <w:rsid w:val="001F5D5E"/>
    <w:rsid w:val="001F6219"/>
    <w:rsid w:val="001F6CD4"/>
    <w:rsid w:val="00206C4D"/>
    <w:rsid w:val="00215AF1"/>
    <w:rsid w:val="00223A9F"/>
    <w:rsid w:val="00225E9C"/>
    <w:rsid w:val="002321E8"/>
    <w:rsid w:val="002321F0"/>
    <w:rsid w:val="00232984"/>
    <w:rsid w:val="0024010F"/>
    <w:rsid w:val="00240749"/>
    <w:rsid w:val="00243018"/>
    <w:rsid w:val="002564A4"/>
    <w:rsid w:val="002619A6"/>
    <w:rsid w:val="00266AD2"/>
    <w:rsid w:val="0026736C"/>
    <w:rsid w:val="00272ACE"/>
    <w:rsid w:val="00281308"/>
    <w:rsid w:val="00284719"/>
    <w:rsid w:val="002942D8"/>
    <w:rsid w:val="00297ECB"/>
    <w:rsid w:val="002A2EB8"/>
    <w:rsid w:val="002A6295"/>
    <w:rsid w:val="002A7BCF"/>
    <w:rsid w:val="002C3FD1"/>
    <w:rsid w:val="002D043A"/>
    <w:rsid w:val="002D266B"/>
    <w:rsid w:val="002D6224"/>
    <w:rsid w:val="002F0761"/>
    <w:rsid w:val="002F2684"/>
    <w:rsid w:val="002F6F90"/>
    <w:rsid w:val="00304F8B"/>
    <w:rsid w:val="00316CBC"/>
    <w:rsid w:val="00331C5B"/>
    <w:rsid w:val="00335BC6"/>
    <w:rsid w:val="003415D3"/>
    <w:rsid w:val="00344338"/>
    <w:rsid w:val="00344701"/>
    <w:rsid w:val="003500E6"/>
    <w:rsid w:val="00352B0F"/>
    <w:rsid w:val="003553F5"/>
    <w:rsid w:val="00356C54"/>
    <w:rsid w:val="00356F7A"/>
    <w:rsid w:val="00360459"/>
    <w:rsid w:val="00362445"/>
    <w:rsid w:val="003757DC"/>
    <w:rsid w:val="0038049F"/>
    <w:rsid w:val="00380AC7"/>
    <w:rsid w:val="00385875"/>
    <w:rsid w:val="00386643"/>
    <w:rsid w:val="003A08AC"/>
    <w:rsid w:val="003A2308"/>
    <w:rsid w:val="003C3DF0"/>
    <w:rsid w:val="003C6231"/>
    <w:rsid w:val="003D0BFE"/>
    <w:rsid w:val="003D5700"/>
    <w:rsid w:val="003E341B"/>
    <w:rsid w:val="003E4D00"/>
    <w:rsid w:val="004116CD"/>
    <w:rsid w:val="00417EB9"/>
    <w:rsid w:val="00423A7C"/>
    <w:rsid w:val="00424CA9"/>
    <w:rsid w:val="004276DF"/>
    <w:rsid w:val="00431E9B"/>
    <w:rsid w:val="004379E3"/>
    <w:rsid w:val="0044015E"/>
    <w:rsid w:val="00441228"/>
    <w:rsid w:val="0044291A"/>
    <w:rsid w:val="004511AA"/>
    <w:rsid w:val="00454728"/>
    <w:rsid w:val="00464FC0"/>
    <w:rsid w:val="00467661"/>
    <w:rsid w:val="00472DBE"/>
    <w:rsid w:val="00474A19"/>
    <w:rsid w:val="00477830"/>
    <w:rsid w:val="00487764"/>
    <w:rsid w:val="004940A6"/>
    <w:rsid w:val="00496F97"/>
    <w:rsid w:val="004B6C48"/>
    <w:rsid w:val="004C4E59"/>
    <w:rsid w:val="004C6809"/>
    <w:rsid w:val="004C7A64"/>
    <w:rsid w:val="004E063A"/>
    <w:rsid w:val="004E1307"/>
    <w:rsid w:val="004E7BEC"/>
    <w:rsid w:val="004F04F0"/>
    <w:rsid w:val="004F3D7C"/>
    <w:rsid w:val="005052A8"/>
    <w:rsid w:val="00505D3D"/>
    <w:rsid w:val="00506AF6"/>
    <w:rsid w:val="00507980"/>
    <w:rsid w:val="005120B7"/>
    <w:rsid w:val="0051493D"/>
    <w:rsid w:val="00516B8D"/>
    <w:rsid w:val="00523432"/>
    <w:rsid w:val="005303C8"/>
    <w:rsid w:val="005337DA"/>
    <w:rsid w:val="00537FBC"/>
    <w:rsid w:val="00547F9C"/>
    <w:rsid w:val="005506F8"/>
    <w:rsid w:val="00554826"/>
    <w:rsid w:val="00561EDC"/>
    <w:rsid w:val="00562877"/>
    <w:rsid w:val="005718C5"/>
    <w:rsid w:val="005804C3"/>
    <w:rsid w:val="005830E8"/>
    <w:rsid w:val="00584811"/>
    <w:rsid w:val="00585784"/>
    <w:rsid w:val="00593AA6"/>
    <w:rsid w:val="00594161"/>
    <w:rsid w:val="00594749"/>
    <w:rsid w:val="005A65D5"/>
    <w:rsid w:val="005B4067"/>
    <w:rsid w:val="005C3F41"/>
    <w:rsid w:val="005C4CD8"/>
    <w:rsid w:val="005D1D92"/>
    <w:rsid w:val="005D2D09"/>
    <w:rsid w:val="005D426E"/>
    <w:rsid w:val="005E3054"/>
    <w:rsid w:val="00600219"/>
    <w:rsid w:val="00604F2A"/>
    <w:rsid w:val="00611DBE"/>
    <w:rsid w:val="00617538"/>
    <w:rsid w:val="00620076"/>
    <w:rsid w:val="00623A48"/>
    <w:rsid w:val="00627E0A"/>
    <w:rsid w:val="00633EC4"/>
    <w:rsid w:val="0065488B"/>
    <w:rsid w:val="00655A2A"/>
    <w:rsid w:val="00670EA1"/>
    <w:rsid w:val="00677CC2"/>
    <w:rsid w:val="00681C79"/>
    <w:rsid w:val="0068744B"/>
    <w:rsid w:val="006905DE"/>
    <w:rsid w:val="0069207B"/>
    <w:rsid w:val="006A154F"/>
    <w:rsid w:val="006A437B"/>
    <w:rsid w:val="006B5789"/>
    <w:rsid w:val="006C30C5"/>
    <w:rsid w:val="006C7F8C"/>
    <w:rsid w:val="006D6D05"/>
    <w:rsid w:val="006E2E1C"/>
    <w:rsid w:val="006E6246"/>
    <w:rsid w:val="006E69C2"/>
    <w:rsid w:val="006E6D31"/>
    <w:rsid w:val="006E6DCC"/>
    <w:rsid w:val="006F318F"/>
    <w:rsid w:val="0070017E"/>
    <w:rsid w:val="00700B2C"/>
    <w:rsid w:val="007050A2"/>
    <w:rsid w:val="00713084"/>
    <w:rsid w:val="00714F20"/>
    <w:rsid w:val="0071590F"/>
    <w:rsid w:val="00715914"/>
    <w:rsid w:val="0072147A"/>
    <w:rsid w:val="00723791"/>
    <w:rsid w:val="00726C36"/>
    <w:rsid w:val="00731E00"/>
    <w:rsid w:val="007440B7"/>
    <w:rsid w:val="007500C8"/>
    <w:rsid w:val="007504F9"/>
    <w:rsid w:val="00755EDD"/>
    <w:rsid w:val="00756272"/>
    <w:rsid w:val="00762D38"/>
    <w:rsid w:val="007715C9"/>
    <w:rsid w:val="00771613"/>
    <w:rsid w:val="00774EDD"/>
    <w:rsid w:val="007757EC"/>
    <w:rsid w:val="00775E28"/>
    <w:rsid w:val="00783E89"/>
    <w:rsid w:val="00791622"/>
    <w:rsid w:val="00793915"/>
    <w:rsid w:val="007A5513"/>
    <w:rsid w:val="007C2253"/>
    <w:rsid w:val="007D7911"/>
    <w:rsid w:val="007E163D"/>
    <w:rsid w:val="007E667A"/>
    <w:rsid w:val="007F00B6"/>
    <w:rsid w:val="007F28C9"/>
    <w:rsid w:val="007F51B2"/>
    <w:rsid w:val="008040DD"/>
    <w:rsid w:val="008117E9"/>
    <w:rsid w:val="00824498"/>
    <w:rsid w:val="00826BD1"/>
    <w:rsid w:val="00844B5B"/>
    <w:rsid w:val="00854529"/>
    <w:rsid w:val="00854D0B"/>
    <w:rsid w:val="00856A31"/>
    <w:rsid w:val="00860B4E"/>
    <w:rsid w:val="00867B37"/>
    <w:rsid w:val="008754D0"/>
    <w:rsid w:val="00875D13"/>
    <w:rsid w:val="008855C9"/>
    <w:rsid w:val="00886456"/>
    <w:rsid w:val="00886985"/>
    <w:rsid w:val="00887E18"/>
    <w:rsid w:val="00896176"/>
    <w:rsid w:val="008A46E1"/>
    <w:rsid w:val="008A4F43"/>
    <w:rsid w:val="008B2706"/>
    <w:rsid w:val="008B32DF"/>
    <w:rsid w:val="008B3587"/>
    <w:rsid w:val="008C2EAC"/>
    <w:rsid w:val="008D0EE0"/>
    <w:rsid w:val="008E0027"/>
    <w:rsid w:val="008E3181"/>
    <w:rsid w:val="008E6067"/>
    <w:rsid w:val="008F40BD"/>
    <w:rsid w:val="008F54E7"/>
    <w:rsid w:val="00903422"/>
    <w:rsid w:val="009254C3"/>
    <w:rsid w:val="00931E30"/>
    <w:rsid w:val="00932377"/>
    <w:rsid w:val="00935BED"/>
    <w:rsid w:val="00941236"/>
    <w:rsid w:val="00943FD5"/>
    <w:rsid w:val="009470D6"/>
    <w:rsid w:val="00947D5A"/>
    <w:rsid w:val="009532A5"/>
    <w:rsid w:val="009545BD"/>
    <w:rsid w:val="00956EB7"/>
    <w:rsid w:val="00963872"/>
    <w:rsid w:val="00964CF0"/>
    <w:rsid w:val="00977664"/>
    <w:rsid w:val="00977806"/>
    <w:rsid w:val="00982242"/>
    <w:rsid w:val="009868E9"/>
    <w:rsid w:val="009900A3"/>
    <w:rsid w:val="009A2336"/>
    <w:rsid w:val="009A43F1"/>
    <w:rsid w:val="009C3413"/>
    <w:rsid w:val="009C387D"/>
    <w:rsid w:val="009D25B0"/>
    <w:rsid w:val="009F0039"/>
    <w:rsid w:val="00A0441E"/>
    <w:rsid w:val="00A12128"/>
    <w:rsid w:val="00A22C98"/>
    <w:rsid w:val="00A231E2"/>
    <w:rsid w:val="00A23A57"/>
    <w:rsid w:val="00A3403F"/>
    <w:rsid w:val="00A369E3"/>
    <w:rsid w:val="00A45CAC"/>
    <w:rsid w:val="00A51CD1"/>
    <w:rsid w:val="00A57600"/>
    <w:rsid w:val="00A64912"/>
    <w:rsid w:val="00A70A74"/>
    <w:rsid w:val="00A74097"/>
    <w:rsid w:val="00A75FE9"/>
    <w:rsid w:val="00AA2F95"/>
    <w:rsid w:val="00AC21A9"/>
    <w:rsid w:val="00AD53CC"/>
    <w:rsid w:val="00AD5641"/>
    <w:rsid w:val="00AD6A31"/>
    <w:rsid w:val="00AF06CF"/>
    <w:rsid w:val="00B00DCA"/>
    <w:rsid w:val="00B07CDB"/>
    <w:rsid w:val="00B12744"/>
    <w:rsid w:val="00B16A31"/>
    <w:rsid w:val="00B17DFD"/>
    <w:rsid w:val="00B25306"/>
    <w:rsid w:val="00B27831"/>
    <w:rsid w:val="00B308FE"/>
    <w:rsid w:val="00B33709"/>
    <w:rsid w:val="00B33B3C"/>
    <w:rsid w:val="00B36392"/>
    <w:rsid w:val="00B4163F"/>
    <w:rsid w:val="00B418CB"/>
    <w:rsid w:val="00B47444"/>
    <w:rsid w:val="00B50ADC"/>
    <w:rsid w:val="00B552F4"/>
    <w:rsid w:val="00B566B1"/>
    <w:rsid w:val="00B56C87"/>
    <w:rsid w:val="00B63834"/>
    <w:rsid w:val="00B66FE2"/>
    <w:rsid w:val="00B7730C"/>
    <w:rsid w:val="00B80199"/>
    <w:rsid w:val="00B83204"/>
    <w:rsid w:val="00B856E7"/>
    <w:rsid w:val="00B91F20"/>
    <w:rsid w:val="00B922DB"/>
    <w:rsid w:val="00B968FB"/>
    <w:rsid w:val="00BA220B"/>
    <w:rsid w:val="00BA3A57"/>
    <w:rsid w:val="00BA52A5"/>
    <w:rsid w:val="00BB1533"/>
    <w:rsid w:val="00BB4E1A"/>
    <w:rsid w:val="00BC015E"/>
    <w:rsid w:val="00BC76AC"/>
    <w:rsid w:val="00BD0ECB"/>
    <w:rsid w:val="00BD22A8"/>
    <w:rsid w:val="00BE2155"/>
    <w:rsid w:val="00BE719A"/>
    <w:rsid w:val="00BE720A"/>
    <w:rsid w:val="00BE7B0C"/>
    <w:rsid w:val="00BF0228"/>
    <w:rsid w:val="00BF0D73"/>
    <w:rsid w:val="00BF0E3C"/>
    <w:rsid w:val="00BF2465"/>
    <w:rsid w:val="00BF2F2F"/>
    <w:rsid w:val="00C0320E"/>
    <w:rsid w:val="00C05F8E"/>
    <w:rsid w:val="00C16619"/>
    <w:rsid w:val="00C25E7F"/>
    <w:rsid w:val="00C2746F"/>
    <w:rsid w:val="00C323D6"/>
    <w:rsid w:val="00C324A0"/>
    <w:rsid w:val="00C42BF8"/>
    <w:rsid w:val="00C50043"/>
    <w:rsid w:val="00C52FB1"/>
    <w:rsid w:val="00C54ADC"/>
    <w:rsid w:val="00C7573B"/>
    <w:rsid w:val="00C97A54"/>
    <w:rsid w:val="00CA5B23"/>
    <w:rsid w:val="00CA6505"/>
    <w:rsid w:val="00CA6BE6"/>
    <w:rsid w:val="00CB602E"/>
    <w:rsid w:val="00CB7E90"/>
    <w:rsid w:val="00CE051D"/>
    <w:rsid w:val="00CE1335"/>
    <w:rsid w:val="00CE493D"/>
    <w:rsid w:val="00CF07FA"/>
    <w:rsid w:val="00CF0BB2"/>
    <w:rsid w:val="00CF3EE8"/>
    <w:rsid w:val="00D01C14"/>
    <w:rsid w:val="00D13441"/>
    <w:rsid w:val="00D150E7"/>
    <w:rsid w:val="00D1609E"/>
    <w:rsid w:val="00D17E5C"/>
    <w:rsid w:val="00D32F06"/>
    <w:rsid w:val="00D52DC2"/>
    <w:rsid w:val="00D53BCC"/>
    <w:rsid w:val="00D54C9E"/>
    <w:rsid w:val="00D6537E"/>
    <w:rsid w:val="00D70DFB"/>
    <w:rsid w:val="00D7261D"/>
    <w:rsid w:val="00D72997"/>
    <w:rsid w:val="00D75C5E"/>
    <w:rsid w:val="00D766DF"/>
    <w:rsid w:val="00D8206C"/>
    <w:rsid w:val="00D91F10"/>
    <w:rsid w:val="00DA186E"/>
    <w:rsid w:val="00DA4116"/>
    <w:rsid w:val="00DB251C"/>
    <w:rsid w:val="00DB4630"/>
    <w:rsid w:val="00DC2FBB"/>
    <w:rsid w:val="00DC4F88"/>
    <w:rsid w:val="00DD60C0"/>
    <w:rsid w:val="00DE107C"/>
    <w:rsid w:val="00DF2388"/>
    <w:rsid w:val="00DF7894"/>
    <w:rsid w:val="00E05704"/>
    <w:rsid w:val="00E338EF"/>
    <w:rsid w:val="00E509CD"/>
    <w:rsid w:val="00E544BB"/>
    <w:rsid w:val="00E74DC7"/>
    <w:rsid w:val="00E74F59"/>
    <w:rsid w:val="00E8075A"/>
    <w:rsid w:val="00E83268"/>
    <w:rsid w:val="00E85970"/>
    <w:rsid w:val="00E940D8"/>
    <w:rsid w:val="00E94D5E"/>
    <w:rsid w:val="00EA7100"/>
    <w:rsid w:val="00EA7F9F"/>
    <w:rsid w:val="00EB1274"/>
    <w:rsid w:val="00EC465E"/>
    <w:rsid w:val="00ED2BB6"/>
    <w:rsid w:val="00ED34E1"/>
    <w:rsid w:val="00ED3B8D"/>
    <w:rsid w:val="00EE5E36"/>
    <w:rsid w:val="00EF2E3A"/>
    <w:rsid w:val="00F02C7C"/>
    <w:rsid w:val="00F072A7"/>
    <w:rsid w:val="00F078DC"/>
    <w:rsid w:val="00F21B3B"/>
    <w:rsid w:val="00F26D5A"/>
    <w:rsid w:val="00F32BA8"/>
    <w:rsid w:val="00F32EE0"/>
    <w:rsid w:val="00F349F1"/>
    <w:rsid w:val="00F4350D"/>
    <w:rsid w:val="00F479C4"/>
    <w:rsid w:val="00F542F5"/>
    <w:rsid w:val="00F567F7"/>
    <w:rsid w:val="00F6696E"/>
    <w:rsid w:val="00F73BD6"/>
    <w:rsid w:val="00F748E6"/>
    <w:rsid w:val="00F766CB"/>
    <w:rsid w:val="00F83989"/>
    <w:rsid w:val="00F85099"/>
    <w:rsid w:val="00F9379C"/>
    <w:rsid w:val="00F9632C"/>
    <w:rsid w:val="00FA1E52"/>
    <w:rsid w:val="00FB5A08"/>
    <w:rsid w:val="00FB6DC6"/>
    <w:rsid w:val="00FC18A5"/>
    <w:rsid w:val="00FC6A80"/>
    <w:rsid w:val="00FD3187"/>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9A7201"/>
  <w15:docId w15:val="{6AAADAEF-F5F0-4A3F-A299-E2CA2807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Hyperlink">
    <w:name w:val="Hyperlink"/>
    <w:basedOn w:val="DefaultParagraphFont"/>
    <w:semiHidden/>
    <w:unhideWhenUsed/>
    <w:rsid w:val="00B12744"/>
    <w:rPr>
      <w:color w:val="0000FF"/>
      <w:u w:val="single"/>
    </w:rPr>
  </w:style>
  <w:style w:type="paragraph" w:styleId="CommentText">
    <w:name w:val="annotation text"/>
    <w:basedOn w:val="Normal"/>
    <w:link w:val="CommentTextChar"/>
    <w:uiPriority w:val="99"/>
    <w:unhideWhenUsed/>
    <w:rsid w:val="00B12744"/>
    <w:pPr>
      <w:spacing w:line="240" w:lineRule="auto"/>
    </w:pPr>
    <w:rPr>
      <w:rFonts w:eastAsia="Times New Roman" w:cs="Times New Roman"/>
      <w:sz w:val="20"/>
      <w:lang w:eastAsia="en-AU"/>
    </w:rPr>
  </w:style>
  <w:style w:type="character" w:customStyle="1" w:styleId="CommentTextChar">
    <w:name w:val="Comment Text Char"/>
    <w:basedOn w:val="DefaultParagraphFont"/>
    <w:link w:val="CommentText"/>
    <w:uiPriority w:val="99"/>
    <w:rsid w:val="00B12744"/>
    <w:rPr>
      <w:rFonts w:eastAsia="Times New Roman" w:cs="Times New Roman"/>
      <w:lang w:eastAsia="en-AU"/>
    </w:rPr>
  </w:style>
  <w:style w:type="paragraph" w:customStyle="1" w:styleId="definition0">
    <w:name w:val="definition"/>
    <w:basedOn w:val="Normal"/>
    <w:rsid w:val="00B12744"/>
    <w:pPr>
      <w:spacing w:before="80" w:line="260" w:lineRule="exact"/>
      <w:ind w:left="964"/>
      <w:jc w:val="both"/>
    </w:pPr>
    <w:rPr>
      <w:rFonts w:eastAsia="Times New Roman" w:cs="Times New Roman"/>
      <w:sz w:val="24"/>
      <w:szCs w:val="24"/>
    </w:rPr>
  </w:style>
  <w:style w:type="paragraph" w:customStyle="1" w:styleId="Note">
    <w:name w:val="Note"/>
    <w:rsid w:val="00B12744"/>
    <w:pPr>
      <w:spacing w:before="120" w:line="220" w:lineRule="exact"/>
      <w:ind w:left="964"/>
      <w:jc w:val="both"/>
    </w:pPr>
    <w:rPr>
      <w:rFonts w:eastAsia="Times New Roman" w:cs="Times New Roman"/>
      <w:szCs w:val="24"/>
      <w:lang w:eastAsia="en-AU"/>
    </w:rPr>
  </w:style>
  <w:style w:type="paragraph" w:customStyle="1" w:styleId="Notepara0">
    <w:name w:val="Note para"/>
    <w:basedOn w:val="Normal"/>
    <w:rsid w:val="00B12744"/>
    <w:pPr>
      <w:spacing w:before="60" w:line="220" w:lineRule="exact"/>
      <w:ind w:left="1304" w:hanging="340"/>
      <w:jc w:val="both"/>
    </w:pPr>
    <w:rPr>
      <w:rFonts w:eastAsia="Times New Roman" w:cs="Times New Roman"/>
      <w:sz w:val="20"/>
      <w:szCs w:val="24"/>
    </w:rPr>
  </w:style>
  <w:style w:type="paragraph" w:customStyle="1" w:styleId="P1">
    <w:name w:val="P1"/>
    <w:aliases w:val="(a)"/>
    <w:basedOn w:val="Normal"/>
    <w:rsid w:val="00B12744"/>
    <w:pPr>
      <w:tabs>
        <w:tab w:val="right" w:pos="1191"/>
      </w:tabs>
      <w:spacing w:before="60" w:line="260" w:lineRule="exact"/>
      <w:ind w:left="1418" w:hanging="1418"/>
      <w:jc w:val="both"/>
    </w:pPr>
    <w:rPr>
      <w:rFonts w:eastAsia="Times New Roman" w:cs="Times New Roman"/>
      <w:sz w:val="24"/>
      <w:szCs w:val="24"/>
    </w:rPr>
  </w:style>
  <w:style w:type="paragraph" w:customStyle="1" w:styleId="R2">
    <w:name w:val="R2"/>
    <w:aliases w:val="(2)"/>
    <w:basedOn w:val="Normal"/>
    <w:rsid w:val="00B12744"/>
    <w:pPr>
      <w:keepLines/>
      <w:tabs>
        <w:tab w:val="right" w:pos="794"/>
      </w:tabs>
      <w:spacing w:before="180" w:line="260" w:lineRule="exact"/>
      <w:ind w:left="964" w:hanging="964"/>
      <w:jc w:val="both"/>
    </w:pPr>
    <w:rPr>
      <w:rFonts w:eastAsia="Times New Roman" w:cs="Times New Roman"/>
      <w:sz w:val="24"/>
      <w:szCs w:val="24"/>
    </w:rPr>
  </w:style>
  <w:style w:type="character" w:styleId="CommentReference">
    <w:name w:val="annotation reference"/>
    <w:basedOn w:val="DefaultParagraphFont"/>
    <w:uiPriority w:val="99"/>
    <w:semiHidden/>
    <w:unhideWhenUsed/>
    <w:rsid w:val="00B12744"/>
    <w:rPr>
      <w:sz w:val="16"/>
      <w:szCs w:val="16"/>
    </w:rPr>
  </w:style>
  <w:style w:type="paragraph" w:styleId="CommentSubject">
    <w:name w:val="annotation subject"/>
    <w:basedOn w:val="CommentText"/>
    <w:next w:val="CommentText"/>
    <w:link w:val="CommentSubjectChar"/>
    <w:uiPriority w:val="99"/>
    <w:semiHidden/>
    <w:unhideWhenUsed/>
    <w:rsid w:val="00523432"/>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523432"/>
    <w:rPr>
      <w:rFonts w:eastAsia="Times New Roman" w:cs="Times New Roman"/>
      <w:b/>
      <w:bCs/>
      <w:lang w:eastAsia="en-AU"/>
    </w:rPr>
  </w:style>
  <w:style w:type="paragraph" w:customStyle="1" w:styleId="R1">
    <w:name w:val="R1"/>
    <w:aliases w:val="1. or 1.(1)"/>
    <w:basedOn w:val="Normal"/>
    <w:next w:val="Normal"/>
    <w:rsid w:val="005804C3"/>
    <w:pPr>
      <w:keepLines/>
      <w:tabs>
        <w:tab w:val="right" w:pos="794"/>
      </w:tabs>
      <w:spacing w:before="120" w:line="260" w:lineRule="exact"/>
      <w:ind w:left="964" w:hanging="964"/>
      <w:jc w:val="both"/>
    </w:pPr>
    <w:rPr>
      <w:rFonts w:eastAsia="Times New Roman" w:cs="Times New Roman"/>
      <w:sz w:val="24"/>
      <w:szCs w:val="24"/>
    </w:rPr>
  </w:style>
  <w:style w:type="paragraph" w:styleId="Revision">
    <w:name w:val="Revision"/>
    <w:hidden/>
    <w:uiPriority w:val="99"/>
    <w:semiHidden/>
    <w:rsid w:val="005804C3"/>
    <w:rPr>
      <w:sz w:val="22"/>
    </w:rPr>
  </w:style>
  <w:style w:type="paragraph" w:customStyle="1" w:styleId="HR">
    <w:name w:val="HR"/>
    <w:aliases w:val="Regulation Heading"/>
    <w:basedOn w:val="Normal"/>
    <w:next w:val="Normal"/>
    <w:rsid w:val="00B7730C"/>
    <w:pPr>
      <w:keepNext/>
      <w:spacing w:before="360" w:line="240" w:lineRule="auto"/>
      <w:ind w:left="964" w:hanging="964"/>
    </w:pPr>
    <w:rPr>
      <w:rFonts w:ascii="Arial" w:eastAsia="Times New Roman" w:hAnsi="Arial" w:cs="Times New Roman"/>
      <w:b/>
      <w:sz w:val="24"/>
      <w:szCs w:val="24"/>
    </w:rPr>
  </w:style>
  <w:style w:type="paragraph" w:customStyle="1" w:styleId="P2">
    <w:name w:val="P2"/>
    <w:aliases w:val="(i)"/>
    <w:basedOn w:val="Normal"/>
    <w:rsid w:val="00B7730C"/>
    <w:pPr>
      <w:tabs>
        <w:tab w:val="right" w:pos="1758"/>
        <w:tab w:val="left" w:pos="2155"/>
      </w:tabs>
      <w:spacing w:before="60" w:line="260" w:lineRule="exact"/>
      <w:ind w:left="1985" w:hanging="1985"/>
      <w:jc w:val="both"/>
    </w:pPr>
    <w:rPr>
      <w:rFonts w:eastAsia="Times New Roman" w:cs="Times New Roman"/>
      <w:sz w:val="24"/>
      <w:szCs w:val="24"/>
    </w:rPr>
  </w:style>
  <w:style w:type="paragraph" w:customStyle="1" w:styleId="HD">
    <w:name w:val="HD"/>
    <w:aliases w:val="Division Heading"/>
    <w:basedOn w:val="Normal"/>
    <w:next w:val="HR"/>
    <w:rsid w:val="00B7730C"/>
    <w:pPr>
      <w:keepNext/>
      <w:spacing w:before="360" w:line="240" w:lineRule="auto"/>
      <w:ind w:left="2410" w:hanging="2410"/>
    </w:pPr>
    <w:rPr>
      <w:rFonts w:ascii="Arial" w:eastAsia="Times New Roman" w:hAnsi="Arial" w:cs="Times New Roman"/>
      <w:b/>
      <w:sz w:val="28"/>
      <w:szCs w:val="24"/>
      <w:lang w:eastAsia="en-AU"/>
    </w:rPr>
  </w:style>
  <w:style w:type="paragraph" w:styleId="ListParagraph">
    <w:name w:val="List Paragraph"/>
    <w:basedOn w:val="Normal"/>
    <w:uiPriority w:val="34"/>
    <w:qFormat/>
    <w:rsid w:val="00197C7F"/>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156991">
      <w:bodyDiv w:val="1"/>
      <w:marLeft w:val="0"/>
      <w:marRight w:val="0"/>
      <w:marTop w:val="0"/>
      <w:marBottom w:val="0"/>
      <w:divBdr>
        <w:top w:val="none" w:sz="0" w:space="0" w:color="auto"/>
        <w:left w:val="none" w:sz="0" w:space="0" w:color="auto"/>
        <w:bottom w:val="none" w:sz="0" w:space="0" w:color="auto"/>
        <w:right w:val="none" w:sz="0" w:space="0" w:color="auto"/>
      </w:divBdr>
    </w:div>
    <w:div w:id="524834283">
      <w:bodyDiv w:val="1"/>
      <w:marLeft w:val="0"/>
      <w:marRight w:val="0"/>
      <w:marTop w:val="0"/>
      <w:marBottom w:val="0"/>
      <w:divBdr>
        <w:top w:val="none" w:sz="0" w:space="0" w:color="auto"/>
        <w:left w:val="none" w:sz="0" w:space="0" w:color="auto"/>
        <w:bottom w:val="none" w:sz="0" w:space="0" w:color="auto"/>
        <w:right w:val="none" w:sz="0" w:space="0" w:color="auto"/>
      </w:divBdr>
    </w:div>
    <w:div w:id="531696439">
      <w:bodyDiv w:val="1"/>
      <w:marLeft w:val="0"/>
      <w:marRight w:val="0"/>
      <w:marTop w:val="0"/>
      <w:marBottom w:val="0"/>
      <w:divBdr>
        <w:top w:val="none" w:sz="0" w:space="0" w:color="auto"/>
        <w:left w:val="none" w:sz="0" w:space="0" w:color="auto"/>
        <w:bottom w:val="none" w:sz="0" w:space="0" w:color="auto"/>
        <w:right w:val="none" w:sz="0" w:space="0" w:color="auto"/>
      </w:divBdr>
    </w:div>
    <w:div w:id="534587610">
      <w:bodyDiv w:val="1"/>
      <w:marLeft w:val="0"/>
      <w:marRight w:val="0"/>
      <w:marTop w:val="0"/>
      <w:marBottom w:val="0"/>
      <w:divBdr>
        <w:top w:val="none" w:sz="0" w:space="0" w:color="auto"/>
        <w:left w:val="none" w:sz="0" w:space="0" w:color="auto"/>
        <w:bottom w:val="none" w:sz="0" w:space="0" w:color="auto"/>
        <w:right w:val="none" w:sz="0" w:space="0" w:color="auto"/>
      </w:divBdr>
    </w:div>
    <w:div w:id="636884813">
      <w:bodyDiv w:val="1"/>
      <w:marLeft w:val="0"/>
      <w:marRight w:val="0"/>
      <w:marTop w:val="0"/>
      <w:marBottom w:val="0"/>
      <w:divBdr>
        <w:top w:val="none" w:sz="0" w:space="0" w:color="auto"/>
        <w:left w:val="none" w:sz="0" w:space="0" w:color="auto"/>
        <w:bottom w:val="none" w:sz="0" w:space="0" w:color="auto"/>
        <w:right w:val="none" w:sz="0" w:space="0" w:color="auto"/>
      </w:divBdr>
    </w:div>
    <w:div w:id="657535794">
      <w:bodyDiv w:val="1"/>
      <w:marLeft w:val="0"/>
      <w:marRight w:val="0"/>
      <w:marTop w:val="0"/>
      <w:marBottom w:val="0"/>
      <w:divBdr>
        <w:top w:val="none" w:sz="0" w:space="0" w:color="auto"/>
        <w:left w:val="none" w:sz="0" w:space="0" w:color="auto"/>
        <w:bottom w:val="none" w:sz="0" w:space="0" w:color="auto"/>
        <w:right w:val="none" w:sz="0" w:space="0" w:color="auto"/>
      </w:divBdr>
    </w:div>
    <w:div w:id="888152988">
      <w:bodyDiv w:val="1"/>
      <w:marLeft w:val="0"/>
      <w:marRight w:val="0"/>
      <w:marTop w:val="0"/>
      <w:marBottom w:val="0"/>
      <w:divBdr>
        <w:top w:val="none" w:sz="0" w:space="0" w:color="auto"/>
        <w:left w:val="none" w:sz="0" w:space="0" w:color="auto"/>
        <w:bottom w:val="none" w:sz="0" w:space="0" w:color="auto"/>
        <w:right w:val="none" w:sz="0" w:space="0" w:color="auto"/>
      </w:divBdr>
    </w:div>
    <w:div w:id="1089499416">
      <w:bodyDiv w:val="1"/>
      <w:marLeft w:val="0"/>
      <w:marRight w:val="0"/>
      <w:marTop w:val="0"/>
      <w:marBottom w:val="0"/>
      <w:divBdr>
        <w:top w:val="none" w:sz="0" w:space="0" w:color="auto"/>
        <w:left w:val="none" w:sz="0" w:space="0" w:color="auto"/>
        <w:bottom w:val="none" w:sz="0" w:space="0" w:color="auto"/>
        <w:right w:val="none" w:sz="0" w:space="0" w:color="auto"/>
      </w:divBdr>
    </w:div>
    <w:div w:id="1110592337">
      <w:bodyDiv w:val="1"/>
      <w:marLeft w:val="0"/>
      <w:marRight w:val="0"/>
      <w:marTop w:val="0"/>
      <w:marBottom w:val="0"/>
      <w:divBdr>
        <w:top w:val="none" w:sz="0" w:space="0" w:color="auto"/>
        <w:left w:val="none" w:sz="0" w:space="0" w:color="auto"/>
        <w:bottom w:val="none" w:sz="0" w:space="0" w:color="auto"/>
        <w:right w:val="none" w:sz="0" w:space="0" w:color="auto"/>
      </w:divBdr>
    </w:div>
    <w:div w:id="1228687369">
      <w:bodyDiv w:val="1"/>
      <w:marLeft w:val="0"/>
      <w:marRight w:val="0"/>
      <w:marTop w:val="0"/>
      <w:marBottom w:val="0"/>
      <w:divBdr>
        <w:top w:val="none" w:sz="0" w:space="0" w:color="auto"/>
        <w:left w:val="none" w:sz="0" w:space="0" w:color="auto"/>
        <w:bottom w:val="none" w:sz="0" w:space="0" w:color="auto"/>
        <w:right w:val="none" w:sz="0" w:space="0" w:color="auto"/>
      </w:divBdr>
    </w:div>
    <w:div w:id="1309827082">
      <w:bodyDiv w:val="1"/>
      <w:marLeft w:val="0"/>
      <w:marRight w:val="0"/>
      <w:marTop w:val="0"/>
      <w:marBottom w:val="0"/>
      <w:divBdr>
        <w:top w:val="none" w:sz="0" w:space="0" w:color="auto"/>
        <w:left w:val="none" w:sz="0" w:space="0" w:color="auto"/>
        <w:bottom w:val="none" w:sz="0" w:space="0" w:color="auto"/>
        <w:right w:val="none" w:sz="0" w:space="0" w:color="auto"/>
      </w:divBdr>
    </w:div>
    <w:div w:id="1487284840">
      <w:bodyDiv w:val="1"/>
      <w:marLeft w:val="0"/>
      <w:marRight w:val="0"/>
      <w:marTop w:val="0"/>
      <w:marBottom w:val="0"/>
      <w:divBdr>
        <w:top w:val="none" w:sz="0" w:space="0" w:color="auto"/>
        <w:left w:val="none" w:sz="0" w:space="0" w:color="auto"/>
        <w:bottom w:val="none" w:sz="0" w:space="0" w:color="auto"/>
        <w:right w:val="none" w:sz="0" w:space="0" w:color="auto"/>
      </w:divBdr>
    </w:div>
    <w:div w:id="1532765632">
      <w:bodyDiv w:val="1"/>
      <w:marLeft w:val="0"/>
      <w:marRight w:val="0"/>
      <w:marTop w:val="0"/>
      <w:marBottom w:val="0"/>
      <w:divBdr>
        <w:top w:val="none" w:sz="0" w:space="0" w:color="auto"/>
        <w:left w:val="none" w:sz="0" w:space="0" w:color="auto"/>
        <w:bottom w:val="none" w:sz="0" w:space="0" w:color="auto"/>
        <w:right w:val="none" w:sz="0" w:space="0" w:color="auto"/>
      </w:divBdr>
    </w:div>
    <w:div w:id="1585534151">
      <w:bodyDiv w:val="1"/>
      <w:marLeft w:val="0"/>
      <w:marRight w:val="0"/>
      <w:marTop w:val="0"/>
      <w:marBottom w:val="0"/>
      <w:divBdr>
        <w:top w:val="none" w:sz="0" w:space="0" w:color="auto"/>
        <w:left w:val="none" w:sz="0" w:space="0" w:color="auto"/>
        <w:bottom w:val="none" w:sz="0" w:space="0" w:color="auto"/>
        <w:right w:val="none" w:sz="0" w:space="0" w:color="auto"/>
      </w:divBdr>
    </w:div>
    <w:div w:id="1592425124">
      <w:bodyDiv w:val="1"/>
      <w:marLeft w:val="0"/>
      <w:marRight w:val="0"/>
      <w:marTop w:val="0"/>
      <w:marBottom w:val="0"/>
      <w:divBdr>
        <w:top w:val="none" w:sz="0" w:space="0" w:color="auto"/>
        <w:left w:val="none" w:sz="0" w:space="0" w:color="auto"/>
        <w:bottom w:val="none" w:sz="0" w:space="0" w:color="auto"/>
        <w:right w:val="none" w:sz="0" w:space="0" w:color="auto"/>
      </w:divBdr>
    </w:div>
    <w:div w:id="1843085812">
      <w:bodyDiv w:val="1"/>
      <w:marLeft w:val="0"/>
      <w:marRight w:val="0"/>
      <w:marTop w:val="0"/>
      <w:marBottom w:val="0"/>
      <w:divBdr>
        <w:top w:val="none" w:sz="0" w:space="0" w:color="auto"/>
        <w:left w:val="none" w:sz="0" w:space="0" w:color="auto"/>
        <w:bottom w:val="none" w:sz="0" w:space="0" w:color="auto"/>
        <w:right w:val="none" w:sz="0" w:space="0" w:color="auto"/>
      </w:divBdr>
    </w:div>
    <w:div w:id="184454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koo\Downloads\template_-_principal_instrument%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4587721-2B1A-450D-8A2C-84997920A2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1046AE1CEA2C6488F8E7B4F21E31ADB" ma:contentTypeVersion="" ma:contentTypeDescription="PDMS Document Site Content Type" ma:contentTypeScope="" ma:versionID="db589571a919a7781766e232da9c0d68">
  <xsd:schema xmlns:xsd="http://www.w3.org/2001/XMLSchema" xmlns:xs="http://www.w3.org/2001/XMLSchema" xmlns:p="http://schemas.microsoft.com/office/2006/metadata/properties" xmlns:ns2="F4587721-2B1A-450D-8A2C-84997920A269" targetNamespace="http://schemas.microsoft.com/office/2006/metadata/properties" ma:root="true" ma:fieldsID="b3dbff4e9f95f03d944e9794269518f5" ns2:_="">
    <xsd:import namespace="F4587721-2B1A-450D-8A2C-84997920A26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87721-2B1A-450D-8A2C-84997920A26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A6FB9-0239-4FE9-B436-63D2E61E99F4}">
  <ds:schemaRefs>
    <ds:schemaRef ds:uri="http://schemas.microsoft.com/sharepoint/v3/contenttype/forms"/>
  </ds:schemaRefs>
</ds:datastoreItem>
</file>

<file path=customXml/itemProps2.xml><?xml version="1.0" encoding="utf-8"?>
<ds:datastoreItem xmlns:ds="http://schemas.openxmlformats.org/officeDocument/2006/customXml" ds:itemID="{40700F32-E738-4604-963A-C19BB7D40FFF}">
  <ds:schemaRefs>
    <ds:schemaRef ds:uri="http://purl.org/dc/terms/"/>
    <ds:schemaRef ds:uri="http://schemas.openxmlformats.org/package/2006/metadata/core-properties"/>
    <ds:schemaRef ds:uri="http://purl.org/dc/dcmitype/"/>
    <ds:schemaRef ds:uri="http://schemas.microsoft.com/office/2006/documentManagement/types"/>
    <ds:schemaRef ds:uri="F4587721-2B1A-450D-8A2C-84997920A269"/>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C19D7660-5899-44B3-B170-9EDF9A404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87721-2B1A-450D-8A2C-84997920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7D82DC-AAF5-4D9F-8524-ACB24CCA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template_-_principal_instrument (5).dotx</Template>
  <TotalTime>4</TotalTime>
  <Pages>11</Pages>
  <Words>2037</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Legal Services - DITRDCA</dc:creator>
  <cp:lastModifiedBy>BEAR Penny</cp:lastModifiedBy>
  <cp:revision>3</cp:revision>
  <dcterms:created xsi:type="dcterms:W3CDTF">2023-09-04T02:52:00Z</dcterms:created>
  <dcterms:modified xsi:type="dcterms:W3CDTF">2023-09-04T03:10:00Z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0x010100266966F133664895A6EE3632470D45F500E1046AE1CEA2C6488F8E7B4F21E31ADB</vt:lpwstr>
  </property>
</Properties>
</file>