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17DB4" w14:textId="77777777" w:rsidR="00E62DD4" w:rsidRPr="0012182F" w:rsidRDefault="00E62DD4" w:rsidP="00E62DD4">
      <w:pPr>
        <w:pStyle w:val="NormalBold"/>
        <w:jc w:val="center"/>
        <w:rPr>
          <w:rFonts w:ascii="Times New Roman" w:hAnsi="Times New Roman" w:cs="Times New Roman"/>
          <w:sz w:val="28"/>
          <w:szCs w:val="28"/>
        </w:rPr>
      </w:pPr>
      <w:r w:rsidRPr="0012182F">
        <w:rPr>
          <w:rFonts w:ascii="Times New Roman" w:hAnsi="Times New Roman" w:cs="Times New Roman"/>
          <w:sz w:val="28"/>
          <w:szCs w:val="28"/>
        </w:rPr>
        <w:t>Explanatory Statement</w:t>
      </w:r>
    </w:p>
    <w:p w14:paraId="7C317DB5" w14:textId="77777777" w:rsidR="00E62DD4" w:rsidRPr="0012182F" w:rsidRDefault="00E62DD4" w:rsidP="00E62DD4">
      <w:pPr>
        <w:jc w:val="center"/>
        <w:rPr>
          <w:rFonts w:ascii="Times New Roman" w:hAnsi="Times New Roman"/>
        </w:rPr>
      </w:pPr>
      <w:r w:rsidRPr="0012182F">
        <w:rPr>
          <w:rFonts w:ascii="Times New Roman" w:hAnsi="Times New Roman"/>
        </w:rPr>
        <w:t xml:space="preserve">Issued by the </w:t>
      </w:r>
      <w:r w:rsidR="001E02A2" w:rsidRPr="0012182F">
        <w:rPr>
          <w:rFonts w:ascii="Times New Roman" w:hAnsi="Times New Roman"/>
        </w:rPr>
        <w:t>a</w:t>
      </w:r>
      <w:r w:rsidRPr="0012182F">
        <w:rPr>
          <w:rFonts w:ascii="Times New Roman" w:hAnsi="Times New Roman"/>
        </w:rPr>
        <w:t>uthority of the Minister for Communications</w:t>
      </w:r>
    </w:p>
    <w:p w14:paraId="7C317DB6" w14:textId="77777777" w:rsidR="00E62DD4" w:rsidRPr="0012182F" w:rsidRDefault="00E62DD4" w:rsidP="00E62DD4">
      <w:pPr>
        <w:jc w:val="center"/>
        <w:rPr>
          <w:rFonts w:ascii="Times New Roman" w:hAnsi="Times New Roman"/>
          <w:i/>
        </w:rPr>
      </w:pPr>
      <w:r w:rsidRPr="0012182F">
        <w:rPr>
          <w:rFonts w:ascii="Times New Roman" w:hAnsi="Times New Roman"/>
          <w:i/>
        </w:rPr>
        <w:t>Telecommunications (Consumer Protection and Service Standards) Act 1997</w:t>
      </w:r>
    </w:p>
    <w:p w14:paraId="7C317DB7" w14:textId="77777777" w:rsidR="00E62DD4" w:rsidRPr="0012182F" w:rsidRDefault="00E62DD4" w:rsidP="00E62DD4">
      <w:pPr>
        <w:jc w:val="center"/>
        <w:rPr>
          <w:rFonts w:ascii="Times New Roman" w:hAnsi="Times New Roman"/>
          <w:b/>
          <w:i/>
        </w:rPr>
      </w:pPr>
      <w:r w:rsidRPr="0012182F">
        <w:rPr>
          <w:rFonts w:ascii="Times New Roman" w:hAnsi="Times New Roman"/>
          <w:b/>
          <w:i/>
        </w:rPr>
        <w:t>Telecommunications (Customer Service Guarantee</w:t>
      </w:r>
      <w:r w:rsidR="0045014F" w:rsidRPr="0012182F">
        <w:rPr>
          <w:rFonts w:ascii="Times New Roman" w:hAnsi="Times New Roman"/>
          <w:b/>
          <w:i/>
        </w:rPr>
        <w:t xml:space="preserve"> – Retail Performance Benchmarks) Instrument 2023</w:t>
      </w:r>
    </w:p>
    <w:p w14:paraId="7C317DB8" w14:textId="77777777" w:rsidR="00E62DD4" w:rsidRPr="0012182F" w:rsidRDefault="00E62DD4" w:rsidP="00E62DD4">
      <w:pPr>
        <w:rPr>
          <w:rFonts w:ascii="Times New Roman" w:hAnsi="Times New Roman"/>
          <w:b/>
        </w:rPr>
      </w:pPr>
      <w:r w:rsidRPr="0012182F">
        <w:rPr>
          <w:rFonts w:ascii="Times New Roman" w:hAnsi="Times New Roman"/>
          <w:b/>
        </w:rPr>
        <w:t>Authority</w:t>
      </w:r>
    </w:p>
    <w:p w14:paraId="7C317DB9" w14:textId="77777777" w:rsidR="009C1F0C" w:rsidRPr="0012182F" w:rsidRDefault="009C1F0C" w:rsidP="00E62DD4">
      <w:pPr>
        <w:rPr>
          <w:rFonts w:ascii="Times New Roman" w:hAnsi="Times New Roman"/>
        </w:rPr>
      </w:pPr>
      <w:r w:rsidRPr="0012182F">
        <w:rPr>
          <w:rFonts w:ascii="Times New Roman" w:hAnsi="Times New Roman"/>
        </w:rPr>
        <w:t xml:space="preserve">The </w:t>
      </w:r>
      <w:r w:rsidRPr="0012182F">
        <w:rPr>
          <w:rFonts w:ascii="Times New Roman" w:hAnsi="Times New Roman"/>
          <w:i/>
        </w:rPr>
        <w:t>Telecommunications (Customer Service Guarantee</w:t>
      </w:r>
      <w:r w:rsidR="0045014F" w:rsidRPr="0012182F">
        <w:rPr>
          <w:rFonts w:ascii="Times New Roman" w:hAnsi="Times New Roman"/>
          <w:i/>
        </w:rPr>
        <w:t xml:space="preserve"> – Retail Performance Benchmarks) Instrument 2023 </w:t>
      </w:r>
      <w:r w:rsidRPr="0012182F">
        <w:rPr>
          <w:rFonts w:ascii="Times New Roman" w:hAnsi="Times New Roman"/>
        </w:rPr>
        <w:t xml:space="preserve">(the </w:t>
      </w:r>
      <w:r w:rsidR="005E0202" w:rsidRPr="0012182F">
        <w:rPr>
          <w:rFonts w:ascii="Times New Roman" w:hAnsi="Times New Roman"/>
        </w:rPr>
        <w:t>I</w:t>
      </w:r>
      <w:r w:rsidR="0045014F" w:rsidRPr="0012182F">
        <w:rPr>
          <w:rFonts w:ascii="Times New Roman" w:hAnsi="Times New Roman"/>
        </w:rPr>
        <w:t>nstrument</w:t>
      </w:r>
      <w:r w:rsidRPr="0012182F">
        <w:rPr>
          <w:rFonts w:ascii="Times New Roman" w:hAnsi="Times New Roman"/>
        </w:rPr>
        <w:t xml:space="preserve">) is made under subsection </w:t>
      </w:r>
      <w:r w:rsidR="005E0202" w:rsidRPr="0012182F">
        <w:rPr>
          <w:rFonts w:ascii="Times New Roman" w:hAnsi="Times New Roman"/>
        </w:rPr>
        <w:t>117</w:t>
      </w:r>
      <w:proofErr w:type="gramStart"/>
      <w:r w:rsidR="005E0202" w:rsidRPr="0012182F">
        <w:rPr>
          <w:rFonts w:ascii="Times New Roman" w:hAnsi="Times New Roman"/>
        </w:rPr>
        <w:t>B(</w:t>
      </w:r>
      <w:proofErr w:type="gramEnd"/>
      <w:r w:rsidR="005E0202" w:rsidRPr="0012182F">
        <w:rPr>
          <w:rFonts w:ascii="Times New Roman" w:hAnsi="Times New Roman"/>
        </w:rPr>
        <w:t>1)</w:t>
      </w:r>
      <w:r w:rsidRPr="0012182F">
        <w:rPr>
          <w:rFonts w:ascii="Times New Roman" w:hAnsi="Times New Roman"/>
        </w:rPr>
        <w:t xml:space="preserve"> of the </w:t>
      </w:r>
      <w:r w:rsidRPr="0012182F">
        <w:rPr>
          <w:rFonts w:ascii="Times New Roman" w:hAnsi="Times New Roman"/>
          <w:i/>
        </w:rPr>
        <w:t xml:space="preserve">Telecommunications (Consumer Protection and Service Standards) Act 1997 </w:t>
      </w:r>
      <w:r w:rsidRPr="0012182F">
        <w:rPr>
          <w:rFonts w:ascii="Times New Roman" w:hAnsi="Times New Roman"/>
        </w:rPr>
        <w:t xml:space="preserve">(the Act). </w:t>
      </w:r>
    </w:p>
    <w:p w14:paraId="7C317DBA" w14:textId="77777777" w:rsidR="005E0202" w:rsidRPr="0012182F" w:rsidRDefault="003531CC" w:rsidP="00E62DD4">
      <w:pPr>
        <w:rPr>
          <w:rFonts w:ascii="Times New Roman" w:hAnsi="Times New Roman"/>
        </w:rPr>
      </w:pPr>
      <w:r w:rsidRPr="0012182F">
        <w:rPr>
          <w:rFonts w:ascii="Times New Roman" w:hAnsi="Times New Roman"/>
        </w:rPr>
        <w:t>Part 5 of the Act creates a scheme so that performance standards and associated benchmarks</w:t>
      </w:r>
      <w:r w:rsidR="005E0202" w:rsidRPr="0012182F">
        <w:rPr>
          <w:rFonts w:ascii="Times New Roman" w:hAnsi="Times New Roman"/>
        </w:rPr>
        <w:t xml:space="preserve"> </w:t>
      </w:r>
      <w:r w:rsidRPr="0012182F">
        <w:rPr>
          <w:rFonts w:ascii="Times New Roman" w:hAnsi="Times New Roman"/>
        </w:rPr>
        <w:t>can be applied to carriage service providers</w:t>
      </w:r>
      <w:r w:rsidR="009C79E0" w:rsidRPr="0012182F">
        <w:rPr>
          <w:rFonts w:ascii="Times New Roman" w:hAnsi="Times New Roman"/>
        </w:rPr>
        <w:t xml:space="preserve"> (CSPs)</w:t>
      </w:r>
      <w:r w:rsidRPr="0012182F">
        <w:rPr>
          <w:rFonts w:ascii="Times New Roman" w:hAnsi="Times New Roman"/>
        </w:rPr>
        <w:t>.</w:t>
      </w:r>
      <w:r w:rsidR="005E0202" w:rsidRPr="0012182F">
        <w:rPr>
          <w:rFonts w:ascii="Times New Roman" w:hAnsi="Times New Roman"/>
        </w:rPr>
        <w:t xml:space="preserve"> </w:t>
      </w:r>
      <w:r w:rsidR="009C1F0C" w:rsidRPr="0012182F">
        <w:rPr>
          <w:rFonts w:ascii="Times New Roman" w:hAnsi="Times New Roman"/>
        </w:rPr>
        <w:t>Under section 115</w:t>
      </w:r>
      <w:r w:rsidR="00984000" w:rsidRPr="0012182F">
        <w:rPr>
          <w:rFonts w:ascii="Times New Roman" w:hAnsi="Times New Roman"/>
        </w:rPr>
        <w:t xml:space="preserve"> of the Act</w:t>
      </w:r>
      <w:r w:rsidR="005E0202" w:rsidRPr="0012182F">
        <w:rPr>
          <w:rFonts w:ascii="Times New Roman" w:hAnsi="Times New Roman"/>
        </w:rPr>
        <w:t xml:space="preserve">, </w:t>
      </w:r>
      <w:r w:rsidR="009C1F0C" w:rsidRPr="0012182F">
        <w:rPr>
          <w:rFonts w:ascii="Times New Roman" w:hAnsi="Times New Roman"/>
        </w:rPr>
        <w:t>the A</w:t>
      </w:r>
      <w:r w:rsidR="005E0202" w:rsidRPr="0012182F">
        <w:rPr>
          <w:rFonts w:ascii="Times New Roman" w:hAnsi="Times New Roman"/>
        </w:rPr>
        <w:t xml:space="preserve">ustralian Communications and Media Authority (ACMA) </w:t>
      </w:r>
      <w:r w:rsidR="009C1F0C" w:rsidRPr="0012182F">
        <w:rPr>
          <w:rFonts w:ascii="Times New Roman" w:hAnsi="Times New Roman"/>
        </w:rPr>
        <w:t>has the power to make performance standards</w:t>
      </w:r>
      <w:r w:rsidR="005E0202" w:rsidRPr="0012182F">
        <w:rPr>
          <w:rFonts w:ascii="Times New Roman" w:hAnsi="Times New Roman"/>
        </w:rPr>
        <w:t xml:space="preserve"> that CSPs must comply</w:t>
      </w:r>
      <w:r w:rsidR="009C1F0C" w:rsidRPr="0012182F">
        <w:rPr>
          <w:rFonts w:ascii="Times New Roman" w:hAnsi="Times New Roman"/>
        </w:rPr>
        <w:t xml:space="preserve"> in relation to any matter concerning the supply of carriage services to customers, including</w:t>
      </w:r>
      <w:r w:rsidR="00127E59" w:rsidRPr="0012182F">
        <w:rPr>
          <w:rFonts w:ascii="Times New Roman" w:hAnsi="Times New Roman"/>
        </w:rPr>
        <w:t xml:space="preserve"> </w:t>
      </w:r>
      <w:r w:rsidR="009C1F0C" w:rsidRPr="0012182F">
        <w:rPr>
          <w:rFonts w:ascii="Times New Roman" w:hAnsi="Times New Roman"/>
        </w:rPr>
        <w:t xml:space="preserve">connection, fault rectification and appointment-keeping. </w:t>
      </w:r>
      <w:r w:rsidR="00984000" w:rsidRPr="0012182F">
        <w:rPr>
          <w:rFonts w:ascii="Times New Roman" w:hAnsi="Times New Roman"/>
        </w:rPr>
        <w:t xml:space="preserve">The ACMA may also determine a scale of damages for breaches of CSG standards, and determine CSG waiver provisions under sections 117 and 120. </w:t>
      </w:r>
      <w:r w:rsidR="009C1F0C" w:rsidRPr="0012182F">
        <w:rPr>
          <w:rFonts w:ascii="Times New Roman" w:hAnsi="Times New Roman"/>
        </w:rPr>
        <w:t>The ACMA can only make or vary performance standards if directed to do so by the Minister</w:t>
      </w:r>
      <w:r w:rsidRPr="0012182F">
        <w:rPr>
          <w:rFonts w:ascii="Times New Roman" w:hAnsi="Times New Roman"/>
        </w:rPr>
        <w:t xml:space="preserve"> </w:t>
      </w:r>
      <w:r w:rsidR="005E0202" w:rsidRPr="0012182F">
        <w:rPr>
          <w:rFonts w:ascii="Times New Roman" w:hAnsi="Times New Roman"/>
        </w:rPr>
        <w:t xml:space="preserve">for Communications </w:t>
      </w:r>
      <w:r w:rsidRPr="0012182F">
        <w:rPr>
          <w:rFonts w:ascii="Times New Roman" w:hAnsi="Times New Roman"/>
        </w:rPr>
        <w:t>under section 124</w:t>
      </w:r>
      <w:r w:rsidR="005E0202" w:rsidRPr="0012182F">
        <w:rPr>
          <w:rFonts w:ascii="Times New Roman" w:hAnsi="Times New Roman"/>
        </w:rPr>
        <w:t xml:space="preserve">. Section 117B provides that the Minister may set minimum benchmarks in relation to compliance with performance standards in force under section 115. </w:t>
      </w:r>
    </w:p>
    <w:p w14:paraId="7C317DBB" w14:textId="77777777" w:rsidR="00127E59" w:rsidRPr="0012182F" w:rsidRDefault="00E62DD4" w:rsidP="00E62DD4">
      <w:pPr>
        <w:rPr>
          <w:rFonts w:ascii="Times New Roman" w:hAnsi="Times New Roman"/>
          <w:b/>
        </w:rPr>
      </w:pPr>
      <w:r w:rsidRPr="0012182F">
        <w:rPr>
          <w:rFonts w:ascii="Times New Roman" w:hAnsi="Times New Roman"/>
          <w:b/>
        </w:rPr>
        <w:t>Purpose</w:t>
      </w:r>
      <w:r w:rsidR="005C75F5" w:rsidRPr="0012182F">
        <w:rPr>
          <w:rFonts w:ascii="Times New Roman" w:hAnsi="Times New Roman"/>
          <w:b/>
        </w:rPr>
        <w:t xml:space="preserve"> and operation</w:t>
      </w:r>
    </w:p>
    <w:p w14:paraId="7C317DBC" w14:textId="77777777" w:rsidR="00380537" w:rsidRPr="0012182F" w:rsidRDefault="005E0202" w:rsidP="00E62DD4">
      <w:pPr>
        <w:rPr>
          <w:rFonts w:ascii="Times New Roman" w:hAnsi="Times New Roman"/>
        </w:rPr>
      </w:pPr>
      <w:r w:rsidRPr="0012182F">
        <w:rPr>
          <w:rFonts w:ascii="Times New Roman" w:hAnsi="Times New Roman"/>
        </w:rPr>
        <w:t xml:space="preserve">The Instrument sets minimum performance benchmarks </w:t>
      </w:r>
      <w:r w:rsidR="00347A77" w:rsidRPr="0012182F">
        <w:rPr>
          <w:rFonts w:ascii="Times New Roman" w:hAnsi="Times New Roman"/>
        </w:rPr>
        <w:t xml:space="preserve">in relation to compliance by qualifying </w:t>
      </w:r>
      <w:r w:rsidR="00C162C3" w:rsidRPr="0012182F">
        <w:rPr>
          <w:rFonts w:ascii="Times New Roman" w:hAnsi="Times New Roman"/>
        </w:rPr>
        <w:t>CSPs with retail performance standards set out in the Customer Service Guarantee (CSG) Standard</w:t>
      </w:r>
      <w:r w:rsidR="00983F6C" w:rsidRPr="0012182F">
        <w:rPr>
          <w:rFonts w:ascii="Times New Roman" w:hAnsi="Times New Roman"/>
        </w:rPr>
        <w:t xml:space="preserve">. </w:t>
      </w:r>
    </w:p>
    <w:p w14:paraId="7C317DBD" w14:textId="77777777" w:rsidR="00FD2580" w:rsidRPr="0012182F" w:rsidRDefault="00C162C3" w:rsidP="00E62DD4">
      <w:pPr>
        <w:rPr>
          <w:rFonts w:ascii="Times New Roman" w:hAnsi="Times New Roman"/>
        </w:rPr>
      </w:pPr>
      <w:r w:rsidRPr="0012182F">
        <w:rPr>
          <w:rFonts w:ascii="Times New Roman" w:hAnsi="Times New Roman"/>
        </w:rPr>
        <w:t xml:space="preserve">The CSG </w:t>
      </w:r>
      <w:r w:rsidR="00FD2580" w:rsidRPr="0012182F">
        <w:rPr>
          <w:rFonts w:ascii="Times New Roman" w:hAnsi="Times New Roman"/>
        </w:rPr>
        <w:t xml:space="preserve">Standard requires CSPs to meet performance standards (i.e. maximum timeframes) for connection, repair and associated appointment-keeping for fixed telephone services. </w:t>
      </w:r>
      <w:r w:rsidR="00380537" w:rsidRPr="0012182F">
        <w:rPr>
          <w:rFonts w:ascii="Times New Roman" w:hAnsi="Times New Roman"/>
        </w:rPr>
        <w:t>CSPs must also pay compensation to individual consumers where standards are not met</w:t>
      </w:r>
      <w:r w:rsidR="00983F6C" w:rsidRPr="0012182F">
        <w:rPr>
          <w:rFonts w:ascii="Times New Roman" w:hAnsi="Times New Roman"/>
        </w:rPr>
        <w:t xml:space="preserve">, unless they offer an interim service (such as a mobile phone) or an alternative service (such as a call diversion to another landline or mobile service). </w:t>
      </w:r>
      <w:r w:rsidR="00984000" w:rsidRPr="0012182F">
        <w:rPr>
          <w:rFonts w:ascii="Times New Roman" w:hAnsi="Times New Roman"/>
        </w:rPr>
        <w:t xml:space="preserve">The CSG </w:t>
      </w:r>
      <w:r w:rsidR="00380537" w:rsidRPr="0012182F">
        <w:rPr>
          <w:rFonts w:ascii="Times New Roman" w:hAnsi="Times New Roman"/>
        </w:rPr>
        <w:t xml:space="preserve">arrangements complement the Universal Service Obligation (USO), under which Telstra has a statutory and contractual obligation to provide STS on reasonable request nationally. </w:t>
      </w:r>
    </w:p>
    <w:p w14:paraId="7C317DBE" w14:textId="77777777" w:rsidR="00FD2580" w:rsidRPr="0012182F" w:rsidRDefault="00FD2580" w:rsidP="00E62DD4">
      <w:pPr>
        <w:rPr>
          <w:rFonts w:ascii="Times New Roman" w:hAnsi="Times New Roman"/>
        </w:rPr>
      </w:pPr>
      <w:r w:rsidRPr="0012182F">
        <w:rPr>
          <w:rFonts w:ascii="Times New Roman" w:hAnsi="Times New Roman"/>
        </w:rPr>
        <w:t xml:space="preserve">The Instrument complements </w:t>
      </w:r>
      <w:r w:rsidR="00983F6C" w:rsidRPr="0012182F">
        <w:rPr>
          <w:rFonts w:ascii="Times New Roman" w:hAnsi="Times New Roman"/>
        </w:rPr>
        <w:t>the CSG Standard</w:t>
      </w:r>
      <w:r w:rsidRPr="0012182F">
        <w:rPr>
          <w:rFonts w:ascii="Times New Roman" w:hAnsi="Times New Roman"/>
        </w:rPr>
        <w:t xml:space="preserve"> by requiring qualifying CSPs to meet </w:t>
      </w:r>
      <w:r w:rsidR="007A4675" w:rsidRPr="0012182F">
        <w:rPr>
          <w:rFonts w:ascii="Times New Roman" w:hAnsi="Times New Roman"/>
        </w:rPr>
        <w:t>CSG</w:t>
      </w:r>
      <w:r w:rsidRPr="0012182F">
        <w:rPr>
          <w:rFonts w:ascii="Times New Roman" w:hAnsi="Times New Roman"/>
        </w:rPr>
        <w:t xml:space="preserve"> </w:t>
      </w:r>
      <w:r w:rsidR="007A4675" w:rsidRPr="0012182F">
        <w:rPr>
          <w:rFonts w:ascii="Times New Roman" w:hAnsi="Times New Roman"/>
        </w:rPr>
        <w:t xml:space="preserve">standards in </w:t>
      </w:r>
      <w:r w:rsidRPr="0012182F">
        <w:rPr>
          <w:rFonts w:ascii="Times New Roman" w:hAnsi="Times New Roman"/>
        </w:rPr>
        <w:t xml:space="preserve">90% of cases. </w:t>
      </w:r>
      <w:r w:rsidR="00A95AFE" w:rsidRPr="0012182F">
        <w:rPr>
          <w:rFonts w:ascii="Times New Roman" w:hAnsi="Times New Roman"/>
        </w:rPr>
        <w:t xml:space="preserve">A CSP is a qualifying CSP and required to meet the benchmarks for an annual benchmark period (i.e. financial year) if it supplies at least 100,000 CSG services in the previous financial year. Additional thresholds also apply to </w:t>
      </w:r>
      <w:r w:rsidR="005368AF" w:rsidRPr="0012182F">
        <w:rPr>
          <w:rFonts w:ascii="Times New Roman" w:hAnsi="Times New Roman"/>
        </w:rPr>
        <w:t xml:space="preserve">performance </w:t>
      </w:r>
      <w:r w:rsidR="00A95AFE" w:rsidRPr="0012182F">
        <w:rPr>
          <w:rFonts w:ascii="Times New Roman" w:hAnsi="Times New Roman"/>
        </w:rPr>
        <w:t xml:space="preserve">benchmarks for different geographic areas. </w:t>
      </w:r>
      <w:r w:rsidRPr="0012182F">
        <w:rPr>
          <w:rFonts w:ascii="Times New Roman" w:hAnsi="Times New Roman"/>
        </w:rPr>
        <w:t>The benchmarks apply</w:t>
      </w:r>
      <w:r w:rsidR="00FB74C9" w:rsidRPr="0012182F">
        <w:rPr>
          <w:rFonts w:ascii="Times New Roman" w:hAnsi="Times New Roman"/>
        </w:rPr>
        <w:t xml:space="preserve"> </w:t>
      </w:r>
      <w:r w:rsidR="007A4675" w:rsidRPr="0012182F">
        <w:rPr>
          <w:rFonts w:ascii="Times New Roman" w:hAnsi="Times New Roman"/>
        </w:rPr>
        <w:t>to in-place connections and appointment</w:t>
      </w:r>
      <w:r w:rsidR="008C4821" w:rsidRPr="0012182F">
        <w:rPr>
          <w:rFonts w:ascii="Times New Roman" w:hAnsi="Times New Roman"/>
        </w:rPr>
        <w:t>-</w:t>
      </w:r>
      <w:r w:rsidR="007A4675" w:rsidRPr="0012182F">
        <w:rPr>
          <w:rFonts w:ascii="Times New Roman" w:hAnsi="Times New Roman"/>
        </w:rPr>
        <w:t xml:space="preserve">keeping </w:t>
      </w:r>
      <w:r w:rsidRPr="0012182F">
        <w:rPr>
          <w:rFonts w:ascii="Times New Roman" w:hAnsi="Times New Roman"/>
        </w:rPr>
        <w:t xml:space="preserve">on a national basis, </w:t>
      </w:r>
      <w:r w:rsidR="005368AF" w:rsidRPr="0012182F">
        <w:rPr>
          <w:rFonts w:ascii="Times New Roman" w:hAnsi="Times New Roman"/>
        </w:rPr>
        <w:t>while</w:t>
      </w:r>
      <w:r w:rsidR="007A4675" w:rsidRPr="0012182F">
        <w:rPr>
          <w:rFonts w:ascii="Times New Roman" w:hAnsi="Times New Roman"/>
        </w:rPr>
        <w:t xml:space="preserve"> </w:t>
      </w:r>
      <w:r w:rsidR="005368AF" w:rsidRPr="0012182F">
        <w:rPr>
          <w:rFonts w:ascii="Times New Roman" w:hAnsi="Times New Roman"/>
        </w:rPr>
        <w:t xml:space="preserve">separate benchmarks apply in </w:t>
      </w:r>
      <w:r w:rsidRPr="0012182F">
        <w:rPr>
          <w:rFonts w:ascii="Times New Roman" w:hAnsi="Times New Roman"/>
        </w:rPr>
        <w:t>urban, rural and remote areas</w:t>
      </w:r>
      <w:r w:rsidR="005368AF" w:rsidRPr="0012182F">
        <w:rPr>
          <w:rFonts w:ascii="Times New Roman" w:hAnsi="Times New Roman"/>
        </w:rPr>
        <w:t xml:space="preserve"> for fault rectification, and in </w:t>
      </w:r>
      <w:r w:rsidR="005368AF" w:rsidRPr="0012182F">
        <w:rPr>
          <w:rFonts w:ascii="Times New Roman" w:eastAsiaTheme="minorHAnsi" w:hAnsi="Times New Roman"/>
          <w:kern w:val="24"/>
          <w:lang w:eastAsia="en-US"/>
        </w:rPr>
        <w:t>urban, major rural, minor rural or remote area for new connections</w:t>
      </w:r>
      <w:r w:rsidR="00FB74C9" w:rsidRPr="0012182F">
        <w:rPr>
          <w:rFonts w:ascii="Times New Roman" w:hAnsi="Times New Roman"/>
        </w:rPr>
        <w:t xml:space="preserve">. </w:t>
      </w:r>
    </w:p>
    <w:p w14:paraId="7C317DBF" w14:textId="77777777" w:rsidR="00FD2580" w:rsidRPr="0012182F" w:rsidRDefault="007A4675" w:rsidP="00E62DD4">
      <w:pPr>
        <w:rPr>
          <w:rFonts w:ascii="Times New Roman" w:hAnsi="Times New Roman"/>
        </w:rPr>
      </w:pPr>
      <w:r w:rsidRPr="0012182F">
        <w:rPr>
          <w:rFonts w:ascii="Times New Roman" w:hAnsi="Times New Roman"/>
        </w:rPr>
        <w:lastRenderedPageBreak/>
        <w:t xml:space="preserve">Overall, the CSG benchmarks </w:t>
      </w:r>
      <w:r w:rsidR="00FD2580" w:rsidRPr="0012182F">
        <w:rPr>
          <w:rFonts w:ascii="Times New Roman" w:hAnsi="Times New Roman"/>
        </w:rPr>
        <w:t>provide a broad incentive for larger providers in the industry to comply with the performance standards set out in the CSG Standard</w:t>
      </w:r>
      <w:r w:rsidR="005368AF" w:rsidRPr="0012182F">
        <w:rPr>
          <w:rFonts w:ascii="Times New Roman" w:hAnsi="Times New Roman"/>
        </w:rPr>
        <w:t xml:space="preserve"> in at least 90% of cases</w:t>
      </w:r>
      <w:r w:rsidR="00FD2580" w:rsidRPr="0012182F">
        <w:rPr>
          <w:rFonts w:ascii="Times New Roman" w:hAnsi="Times New Roman"/>
        </w:rPr>
        <w:t xml:space="preserve">, and maintain and improve service quality. </w:t>
      </w:r>
      <w:r w:rsidR="00380537" w:rsidRPr="0012182F">
        <w:rPr>
          <w:rFonts w:ascii="Times New Roman" w:hAnsi="Times New Roman"/>
        </w:rPr>
        <w:t>The ACMA is responsible for monitoring and enforcing compliance with the benchmarks</w:t>
      </w:r>
      <w:r w:rsidRPr="0012182F">
        <w:rPr>
          <w:rFonts w:ascii="Times New Roman" w:hAnsi="Times New Roman"/>
        </w:rPr>
        <w:t>.</w:t>
      </w:r>
      <w:r w:rsidR="00380537" w:rsidRPr="0012182F">
        <w:rPr>
          <w:rFonts w:ascii="Times New Roman" w:hAnsi="Times New Roman"/>
        </w:rPr>
        <w:t xml:space="preserve"> </w:t>
      </w:r>
    </w:p>
    <w:p w14:paraId="7C317DC0" w14:textId="77777777" w:rsidR="00FD2580" w:rsidRPr="0012182F" w:rsidRDefault="00983F6C" w:rsidP="00E62DD4">
      <w:pPr>
        <w:rPr>
          <w:rFonts w:ascii="Times New Roman" w:hAnsi="Times New Roman"/>
          <w:u w:val="single"/>
        </w:rPr>
      </w:pPr>
      <w:r w:rsidRPr="0012182F">
        <w:rPr>
          <w:rFonts w:ascii="Times New Roman" w:hAnsi="Times New Roman"/>
        </w:rPr>
        <w:t xml:space="preserve">Details of the Instrument are set out in </w:t>
      </w:r>
      <w:r w:rsidRPr="0012182F">
        <w:rPr>
          <w:rFonts w:ascii="Times New Roman" w:hAnsi="Times New Roman"/>
          <w:u w:val="single"/>
        </w:rPr>
        <w:t>Attachment A</w:t>
      </w:r>
      <w:r w:rsidRPr="0012182F">
        <w:rPr>
          <w:rFonts w:ascii="Times New Roman" w:hAnsi="Times New Roman"/>
        </w:rPr>
        <w:t>.</w:t>
      </w:r>
      <w:r w:rsidRPr="0012182F">
        <w:rPr>
          <w:rFonts w:ascii="Times New Roman" w:hAnsi="Times New Roman"/>
          <w:u w:val="single"/>
        </w:rPr>
        <w:t xml:space="preserve"> </w:t>
      </w:r>
    </w:p>
    <w:p w14:paraId="7C317DC1" w14:textId="77777777" w:rsidR="00983F6C" w:rsidRPr="0012182F" w:rsidRDefault="009C1F0C" w:rsidP="00E62DD4">
      <w:pPr>
        <w:rPr>
          <w:rFonts w:ascii="Times New Roman" w:hAnsi="Times New Roman"/>
          <w:b/>
        </w:rPr>
      </w:pPr>
      <w:r w:rsidRPr="0012182F">
        <w:rPr>
          <w:rFonts w:ascii="Times New Roman" w:hAnsi="Times New Roman"/>
          <w:b/>
        </w:rPr>
        <w:t>Background</w:t>
      </w:r>
    </w:p>
    <w:p w14:paraId="7C317DC2" w14:textId="77777777" w:rsidR="00F84195" w:rsidRPr="0012182F" w:rsidRDefault="00983F6C" w:rsidP="00F84195">
      <w:pPr>
        <w:rPr>
          <w:rFonts w:ascii="Times New Roman" w:hAnsi="Times New Roman"/>
        </w:rPr>
      </w:pPr>
      <w:r w:rsidRPr="0012182F">
        <w:rPr>
          <w:rFonts w:ascii="Times New Roman" w:hAnsi="Times New Roman"/>
        </w:rPr>
        <w:t xml:space="preserve">The instruments that set out the operative details of the CSG framework are due to sunset on 1 October 2023 in accordance with the </w:t>
      </w:r>
      <w:r w:rsidRPr="0012182F">
        <w:rPr>
          <w:rFonts w:ascii="Times New Roman" w:hAnsi="Times New Roman"/>
          <w:i/>
        </w:rPr>
        <w:t xml:space="preserve">Legislation Act 2003. </w:t>
      </w:r>
      <w:r w:rsidR="00B64E06" w:rsidRPr="0012182F">
        <w:rPr>
          <w:rFonts w:ascii="Times New Roman" w:hAnsi="Times New Roman"/>
        </w:rPr>
        <w:t xml:space="preserve">This includes the previous iteration of this Instrument – the </w:t>
      </w:r>
      <w:r w:rsidR="00B64E06" w:rsidRPr="0012182F">
        <w:rPr>
          <w:rFonts w:ascii="Times New Roman" w:hAnsi="Times New Roman"/>
          <w:i/>
        </w:rPr>
        <w:t>Telecommunications (Customer Service Guarantee – Retail Performance Benchmarks) Instrument (No. 1) 2011</w:t>
      </w:r>
      <w:r w:rsidR="00E21CE3" w:rsidRPr="0012182F">
        <w:rPr>
          <w:rFonts w:ascii="Times New Roman" w:hAnsi="Times New Roman"/>
          <w:i/>
        </w:rPr>
        <w:t xml:space="preserve"> </w:t>
      </w:r>
      <w:r w:rsidR="00E21CE3" w:rsidRPr="0012182F">
        <w:rPr>
          <w:rFonts w:ascii="Times New Roman" w:hAnsi="Times New Roman"/>
        </w:rPr>
        <w:t>(the 2011 CSG Benchmarks Instrument)</w:t>
      </w:r>
      <w:r w:rsidR="00B64E06" w:rsidRPr="0012182F">
        <w:rPr>
          <w:rFonts w:ascii="Times New Roman" w:hAnsi="Times New Roman"/>
          <w:i/>
        </w:rPr>
        <w:t xml:space="preserve"> </w:t>
      </w:r>
      <w:r w:rsidR="00B64E06" w:rsidRPr="0012182F">
        <w:rPr>
          <w:rFonts w:ascii="Times New Roman" w:hAnsi="Times New Roman"/>
        </w:rPr>
        <w:t xml:space="preserve">– as well as the </w:t>
      </w:r>
      <w:r w:rsidR="00B64E06" w:rsidRPr="0012182F">
        <w:rPr>
          <w:rFonts w:ascii="Times New Roman" w:hAnsi="Times New Roman"/>
          <w:i/>
        </w:rPr>
        <w:t xml:space="preserve">Telecommunications (Customer Service Guarantee) Standard 2011 </w:t>
      </w:r>
      <w:r w:rsidR="00B64E06" w:rsidRPr="0012182F">
        <w:rPr>
          <w:rFonts w:ascii="Times New Roman" w:hAnsi="Times New Roman"/>
        </w:rPr>
        <w:t xml:space="preserve">(the 2011 CSG Standard) and the </w:t>
      </w:r>
      <w:r w:rsidR="00B64E06" w:rsidRPr="0012182F">
        <w:rPr>
          <w:rFonts w:ascii="Times New Roman" w:hAnsi="Times New Roman"/>
          <w:i/>
        </w:rPr>
        <w:t xml:space="preserve">Telecommunications Customer Service Guarantee) Record-Keeping Rules 2011 </w:t>
      </w:r>
      <w:r w:rsidR="00B64E06" w:rsidRPr="0012182F">
        <w:rPr>
          <w:rFonts w:ascii="Times New Roman" w:hAnsi="Times New Roman"/>
        </w:rPr>
        <w:t xml:space="preserve">(the </w:t>
      </w:r>
      <w:r w:rsidR="00E21CE3" w:rsidRPr="0012182F">
        <w:rPr>
          <w:rFonts w:ascii="Times New Roman" w:hAnsi="Times New Roman"/>
        </w:rPr>
        <w:t xml:space="preserve">2011 </w:t>
      </w:r>
      <w:r w:rsidR="00B64E06" w:rsidRPr="0012182F">
        <w:rPr>
          <w:rFonts w:ascii="Times New Roman" w:hAnsi="Times New Roman"/>
        </w:rPr>
        <w:t xml:space="preserve">CSG RKRs). </w:t>
      </w:r>
      <w:r w:rsidRPr="0012182F">
        <w:rPr>
          <w:rFonts w:ascii="Times New Roman" w:hAnsi="Times New Roman"/>
        </w:rPr>
        <w:t xml:space="preserve">Accordingly, </w:t>
      </w:r>
      <w:r w:rsidR="00F84195" w:rsidRPr="0012182F">
        <w:rPr>
          <w:rFonts w:ascii="Times New Roman" w:hAnsi="Times New Roman"/>
        </w:rPr>
        <w:t xml:space="preserve">they were the subject of a thematic review of the CSG, which had regard to the details of the individual instruments as well as the scheme as a whole. The review considered the future role and utility of the CSG, noting arrangements have not been substantially changed since its introduction in 1997 and there have been significant changes in the industry over this time. </w:t>
      </w:r>
    </w:p>
    <w:p w14:paraId="7C317DC3" w14:textId="77777777" w:rsidR="00F84195" w:rsidRPr="0012182F" w:rsidRDefault="00F84195" w:rsidP="00F84195">
      <w:pPr>
        <w:rPr>
          <w:rFonts w:ascii="Times New Roman" w:hAnsi="Times New Roman"/>
        </w:rPr>
      </w:pPr>
      <w:r w:rsidRPr="0012182F">
        <w:rPr>
          <w:rFonts w:ascii="Times New Roman" w:hAnsi="Times New Roman"/>
        </w:rPr>
        <w:t>Notably, the CSG was originally put in place when Telstra operated the network over which voice services were delivered, and also supplied most of these services. However, most CSG services are now supplied over the National Broadband Network (NBN) or wholesale broadband networks operated by other Statutory Infrastructure Providers (SIPs), although Telstra still provides services over its own legacy copper and wireless networks in regional and remote areas outside the NBN fixed line footprint (</w:t>
      </w:r>
      <w:r w:rsidR="00880604" w:rsidRPr="0012182F">
        <w:rPr>
          <w:rFonts w:ascii="Times New Roman" w:hAnsi="Times New Roman"/>
        </w:rPr>
        <w:t xml:space="preserve">around </w:t>
      </w:r>
      <w:r w:rsidRPr="0012182F">
        <w:rPr>
          <w:rFonts w:ascii="Times New Roman" w:hAnsi="Times New Roman"/>
        </w:rPr>
        <w:t xml:space="preserve">8% of all premises nationally). </w:t>
      </w:r>
    </w:p>
    <w:p w14:paraId="7C317DC4" w14:textId="77777777" w:rsidR="00983F6C" w:rsidRPr="0012182F" w:rsidRDefault="00F84195" w:rsidP="00E62DD4">
      <w:pPr>
        <w:rPr>
          <w:rFonts w:ascii="Times New Roman" w:hAnsi="Times New Roman"/>
        </w:rPr>
      </w:pPr>
      <w:r w:rsidRPr="0012182F">
        <w:rPr>
          <w:rFonts w:ascii="Times New Roman" w:hAnsi="Times New Roman"/>
        </w:rPr>
        <w:t>Following th</w:t>
      </w:r>
      <w:r w:rsidR="00880604" w:rsidRPr="0012182F">
        <w:rPr>
          <w:rFonts w:ascii="Times New Roman" w:hAnsi="Times New Roman"/>
        </w:rPr>
        <w:t>e thematic</w:t>
      </w:r>
      <w:r w:rsidRPr="0012182F">
        <w:rPr>
          <w:rFonts w:ascii="Times New Roman" w:hAnsi="Times New Roman"/>
        </w:rPr>
        <w:t xml:space="preserve"> review, the Minister</w:t>
      </w:r>
      <w:r w:rsidR="00C162C3" w:rsidRPr="0012182F">
        <w:rPr>
          <w:rFonts w:ascii="Times New Roman" w:hAnsi="Times New Roman"/>
        </w:rPr>
        <w:t xml:space="preserve"> made the </w:t>
      </w:r>
      <w:r w:rsidR="00C162C3" w:rsidRPr="0012182F">
        <w:rPr>
          <w:rFonts w:ascii="Times New Roman" w:hAnsi="Times New Roman"/>
          <w:i/>
        </w:rPr>
        <w:t xml:space="preserve">Telecommunications (Customer Service Guarantee) Direction 2023. </w:t>
      </w:r>
      <w:r w:rsidR="00C162C3" w:rsidRPr="0012182F">
        <w:rPr>
          <w:rFonts w:ascii="Times New Roman" w:hAnsi="Times New Roman"/>
        </w:rPr>
        <w:t xml:space="preserve">This directs the ACMA to remake the 2011 CSG Standard for a further three years, with some </w:t>
      </w:r>
      <w:r w:rsidRPr="0012182F">
        <w:rPr>
          <w:rFonts w:ascii="Times New Roman" w:hAnsi="Times New Roman"/>
        </w:rPr>
        <w:t>minor amendments to update outdated terms and remove unnecessary provisions. This will continue protections for consumers, particularly for consumers</w:t>
      </w:r>
      <w:r w:rsidR="00BD2A1E" w:rsidRPr="0012182F">
        <w:rPr>
          <w:rFonts w:ascii="Times New Roman" w:hAnsi="Times New Roman"/>
        </w:rPr>
        <w:t xml:space="preserve"> of voice services</w:t>
      </w:r>
      <w:r w:rsidRPr="0012182F">
        <w:rPr>
          <w:rFonts w:ascii="Times New Roman" w:hAnsi="Times New Roman"/>
        </w:rPr>
        <w:t xml:space="preserve"> in regional and remote areas that rely on Telstra’s legacy networks. At the same time, the Government will further consider long-term arrangements while complementary protections at the wholesale level are bedded down. </w:t>
      </w:r>
    </w:p>
    <w:p w14:paraId="7C317DC5" w14:textId="77777777" w:rsidR="00983F6C" w:rsidRPr="0012182F" w:rsidRDefault="00983F6C" w:rsidP="00983F6C">
      <w:pPr>
        <w:rPr>
          <w:rFonts w:ascii="Times New Roman" w:hAnsi="Times New Roman"/>
        </w:rPr>
      </w:pPr>
      <w:r w:rsidRPr="0012182F">
        <w:rPr>
          <w:rFonts w:ascii="Times New Roman" w:hAnsi="Times New Roman"/>
        </w:rPr>
        <w:t>Accordingly, the Minister has also decided to remake th</w:t>
      </w:r>
      <w:r w:rsidR="00E21CE3" w:rsidRPr="0012182F">
        <w:rPr>
          <w:rFonts w:ascii="Times New Roman" w:hAnsi="Times New Roman"/>
        </w:rPr>
        <w:t xml:space="preserve">e </w:t>
      </w:r>
      <w:r w:rsidRPr="0012182F">
        <w:rPr>
          <w:rFonts w:ascii="Times New Roman" w:hAnsi="Times New Roman"/>
        </w:rPr>
        <w:t xml:space="preserve">2011 CSG Benchmarks </w:t>
      </w:r>
      <w:r w:rsidR="00E21CE3" w:rsidRPr="0012182F">
        <w:rPr>
          <w:rFonts w:ascii="Times New Roman" w:hAnsi="Times New Roman"/>
        </w:rPr>
        <w:t>In</w:t>
      </w:r>
      <w:r w:rsidRPr="0012182F">
        <w:rPr>
          <w:rFonts w:ascii="Times New Roman" w:hAnsi="Times New Roman"/>
        </w:rPr>
        <w:t>strument</w:t>
      </w:r>
      <w:r w:rsidRPr="0012182F">
        <w:rPr>
          <w:rFonts w:ascii="Times New Roman" w:hAnsi="Times New Roman"/>
          <w:i/>
        </w:rPr>
        <w:t xml:space="preserve"> </w:t>
      </w:r>
      <w:r w:rsidRPr="0012182F">
        <w:rPr>
          <w:rFonts w:ascii="Times New Roman" w:hAnsi="Times New Roman"/>
        </w:rPr>
        <w:t xml:space="preserve">largely as it exists for a period of three years, with some necessary updating and minor amendments. To </w:t>
      </w:r>
      <w:r w:rsidR="00E21CE3" w:rsidRPr="0012182F">
        <w:rPr>
          <w:rFonts w:ascii="Times New Roman" w:hAnsi="Times New Roman"/>
        </w:rPr>
        <w:t>continue</w:t>
      </w:r>
      <w:r w:rsidRPr="0012182F">
        <w:rPr>
          <w:rFonts w:ascii="Times New Roman" w:hAnsi="Times New Roman"/>
        </w:rPr>
        <w:t xml:space="preserve"> existing CSG arrangements</w:t>
      </w:r>
      <w:r w:rsidR="00E21CE3" w:rsidRPr="0012182F">
        <w:rPr>
          <w:rFonts w:ascii="Times New Roman" w:hAnsi="Times New Roman"/>
        </w:rPr>
        <w:t xml:space="preserve"> in full</w:t>
      </w:r>
      <w:r w:rsidRPr="0012182F">
        <w:rPr>
          <w:rFonts w:ascii="Times New Roman" w:hAnsi="Times New Roman"/>
        </w:rPr>
        <w:t xml:space="preserve">, the ACMA will also need to consider </w:t>
      </w:r>
      <w:r w:rsidR="00B64E06" w:rsidRPr="0012182F">
        <w:rPr>
          <w:rFonts w:ascii="Times New Roman" w:hAnsi="Times New Roman"/>
        </w:rPr>
        <w:t xml:space="preserve">remaking the </w:t>
      </w:r>
      <w:r w:rsidR="00E21CE3" w:rsidRPr="0012182F">
        <w:rPr>
          <w:rFonts w:ascii="Times New Roman" w:hAnsi="Times New Roman"/>
        </w:rPr>
        <w:t xml:space="preserve">2011 </w:t>
      </w:r>
      <w:r w:rsidR="00B64E06" w:rsidRPr="0012182F">
        <w:rPr>
          <w:rFonts w:ascii="Times New Roman" w:hAnsi="Times New Roman"/>
        </w:rPr>
        <w:t xml:space="preserve">CSG RKRs. </w:t>
      </w:r>
    </w:p>
    <w:p w14:paraId="7C317DC6" w14:textId="77777777" w:rsidR="00E62DD4" w:rsidRPr="0012182F" w:rsidRDefault="00E62DD4" w:rsidP="00E62DD4">
      <w:pPr>
        <w:rPr>
          <w:rFonts w:ascii="Times New Roman" w:hAnsi="Times New Roman"/>
          <w:b/>
        </w:rPr>
      </w:pPr>
      <w:r w:rsidRPr="0012182F">
        <w:rPr>
          <w:rFonts w:ascii="Times New Roman" w:hAnsi="Times New Roman"/>
          <w:b/>
        </w:rPr>
        <w:t>Consultation</w:t>
      </w:r>
    </w:p>
    <w:p w14:paraId="7C317DC7" w14:textId="77777777" w:rsidR="00B51895" w:rsidRPr="0012182F" w:rsidRDefault="009C1F0C" w:rsidP="00E62DD4">
      <w:pPr>
        <w:rPr>
          <w:rFonts w:ascii="Times New Roman" w:hAnsi="Times New Roman"/>
        </w:rPr>
      </w:pPr>
      <w:r w:rsidRPr="0012182F">
        <w:rPr>
          <w:rFonts w:ascii="Times New Roman" w:hAnsi="Times New Roman"/>
        </w:rPr>
        <w:t xml:space="preserve">The Department of Infrastructure, Transport, Regional Development, Communications and the Arts (the Department) undertook public consultation on the thematic review of the CSG from 17 February to 27 March 2023. The Department received 14 submissions, including from industry, government, consumer groups and members of the public. </w:t>
      </w:r>
      <w:r w:rsidR="00B51895" w:rsidRPr="0012182F">
        <w:rPr>
          <w:rFonts w:ascii="Times New Roman" w:hAnsi="Times New Roman"/>
        </w:rPr>
        <w:t xml:space="preserve">Submissions set out the varying perspectives of stakeholders on the CSG but agreed that timeframes for connections, repairs and appointments remain important for consumers. This is particularly the case for consumers </w:t>
      </w:r>
      <w:r w:rsidR="002C09E1" w:rsidRPr="0012182F">
        <w:rPr>
          <w:rFonts w:ascii="Times New Roman" w:hAnsi="Times New Roman"/>
        </w:rPr>
        <w:t xml:space="preserve">of voice services </w:t>
      </w:r>
      <w:r w:rsidR="00B51895" w:rsidRPr="0012182F">
        <w:rPr>
          <w:rFonts w:ascii="Times New Roman" w:hAnsi="Times New Roman"/>
        </w:rPr>
        <w:t xml:space="preserve">in regional and remote areas outside the NBN fixed line footprint that rely on Telstra’s legacy copper and wireless networks. </w:t>
      </w:r>
    </w:p>
    <w:p w14:paraId="7C317DC8" w14:textId="77777777" w:rsidR="00B51895" w:rsidRPr="0012182F" w:rsidRDefault="00B51895" w:rsidP="00E62DD4">
      <w:pPr>
        <w:rPr>
          <w:rFonts w:ascii="Times New Roman" w:hAnsi="Times New Roman"/>
        </w:rPr>
      </w:pPr>
      <w:r w:rsidRPr="0012182F">
        <w:rPr>
          <w:rFonts w:ascii="Times New Roman" w:hAnsi="Times New Roman"/>
        </w:rPr>
        <w:lastRenderedPageBreak/>
        <w:t xml:space="preserve">Submissions also placed a strong emphasis on dealing with these matters effectively at the network or wholesale level, although there were mixed views about the long-term need for retail CSG arrangements in future. </w:t>
      </w:r>
    </w:p>
    <w:p w14:paraId="7C317DC9" w14:textId="77777777" w:rsidR="00B64E06" w:rsidRPr="0012182F" w:rsidRDefault="00D30B53" w:rsidP="00E62DD4">
      <w:pPr>
        <w:rPr>
          <w:rFonts w:ascii="Times New Roman" w:hAnsi="Times New Roman"/>
        </w:rPr>
      </w:pPr>
      <w:r w:rsidRPr="0012182F">
        <w:rPr>
          <w:rFonts w:ascii="Times New Roman" w:hAnsi="Times New Roman"/>
        </w:rPr>
        <w:t>M</w:t>
      </w:r>
      <w:r w:rsidR="00B64E06" w:rsidRPr="0012182F">
        <w:rPr>
          <w:rFonts w:ascii="Times New Roman" w:hAnsi="Times New Roman"/>
        </w:rPr>
        <w:t>ost stakeholders did not comment specifically on the CSG Benchmarks</w:t>
      </w:r>
      <w:r w:rsidRPr="0012182F">
        <w:rPr>
          <w:rFonts w:ascii="Times New Roman" w:hAnsi="Times New Roman"/>
        </w:rPr>
        <w:t>. S</w:t>
      </w:r>
      <w:r w:rsidR="00B64E06" w:rsidRPr="0012182F">
        <w:rPr>
          <w:rFonts w:ascii="Times New Roman" w:hAnsi="Times New Roman"/>
        </w:rPr>
        <w:t>ome consumer groups did</w:t>
      </w:r>
      <w:r w:rsidRPr="0012182F">
        <w:rPr>
          <w:rFonts w:ascii="Times New Roman" w:hAnsi="Times New Roman"/>
        </w:rPr>
        <w:t xml:space="preserve"> raise concerns about the risk of poor ‘tail’ compliance (i.e. the specific performance of CSPs where maximum timeframes are not met), with some submissions </w:t>
      </w:r>
      <w:r w:rsidR="00B64E06" w:rsidRPr="0012182F">
        <w:rPr>
          <w:rFonts w:ascii="Times New Roman" w:hAnsi="Times New Roman"/>
        </w:rPr>
        <w:t>recommend</w:t>
      </w:r>
      <w:r w:rsidRPr="0012182F">
        <w:rPr>
          <w:rFonts w:ascii="Times New Roman" w:hAnsi="Times New Roman"/>
        </w:rPr>
        <w:t>ing</w:t>
      </w:r>
      <w:r w:rsidR="00B64E06" w:rsidRPr="0012182F">
        <w:rPr>
          <w:rFonts w:ascii="Times New Roman" w:hAnsi="Times New Roman"/>
        </w:rPr>
        <w:t xml:space="preserve"> that higher benchmarks be applied</w:t>
      </w:r>
      <w:r w:rsidRPr="0012182F">
        <w:rPr>
          <w:rFonts w:ascii="Times New Roman" w:hAnsi="Times New Roman"/>
        </w:rPr>
        <w:t xml:space="preserve"> (e.g. 95%)</w:t>
      </w:r>
      <w:r w:rsidR="00B64E06" w:rsidRPr="0012182F">
        <w:rPr>
          <w:rFonts w:ascii="Times New Roman" w:hAnsi="Times New Roman"/>
        </w:rPr>
        <w:t xml:space="preserve"> as part of broader recommendations to strengthen </w:t>
      </w:r>
      <w:r w:rsidRPr="0012182F">
        <w:rPr>
          <w:rFonts w:ascii="Times New Roman" w:hAnsi="Times New Roman"/>
        </w:rPr>
        <w:t xml:space="preserve">CSG </w:t>
      </w:r>
      <w:r w:rsidR="00B64E06" w:rsidRPr="0012182F">
        <w:rPr>
          <w:rFonts w:ascii="Times New Roman" w:hAnsi="Times New Roman"/>
        </w:rPr>
        <w:t xml:space="preserve">obligations in some areas. Telstra also suggested the CSG benchmarks be reviewed to account for changes in population distribution and raised concerns about increasing difficulties it faces to reach 90% compliance (due to the decline of CSG services on its legacy networks and a higher proportion of its remaining customers located in remote areas). </w:t>
      </w:r>
      <w:r w:rsidR="00783F85" w:rsidRPr="0012182F">
        <w:rPr>
          <w:rFonts w:ascii="Times New Roman" w:hAnsi="Times New Roman"/>
        </w:rPr>
        <w:t>These changes have not been progressed</w:t>
      </w:r>
      <w:r w:rsidR="007A4675" w:rsidRPr="0012182F">
        <w:rPr>
          <w:rFonts w:ascii="Times New Roman" w:hAnsi="Times New Roman"/>
        </w:rPr>
        <w:t xml:space="preserve"> at this time</w:t>
      </w:r>
      <w:r w:rsidR="00783F85" w:rsidRPr="0012182F">
        <w:rPr>
          <w:rFonts w:ascii="Times New Roman" w:hAnsi="Times New Roman"/>
        </w:rPr>
        <w:t xml:space="preserve">, noting the Minister’s broader decision to roll over the CSG instruments for a further three years to continue protections while long-term arrangements are considered in more detail. </w:t>
      </w:r>
    </w:p>
    <w:p w14:paraId="7C317DCA" w14:textId="2AC533C6" w:rsidR="00B64E06" w:rsidRPr="0012182F" w:rsidRDefault="00B64E06" w:rsidP="00E62DD4">
      <w:pPr>
        <w:rPr>
          <w:rFonts w:ascii="Times New Roman" w:hAnsi="Times New Roman"/>
        </w:rPr>
      </w:pPr>
      <w:r w:rsidRPr="0012182F">
        <w:rPr>
          <w:rFonts w:ascii="Times New Roman" w:hAnsi="Times New Roman"/>
        </w:rPr>
        <w:t xml:space="preserve">In preparing the Instrument, the Department sought views on the detail of a draft </w:t>
      </w:r>
      <w:r w:rsidR="00132279" w:rsidRPr="0012182F">
        <w:rPr>
          <w:rFonts w:ascii="Times New Roman" w:hAnsi="Times New Roman"/>
        </w:rPr>
        <w:t>i</w:t>
      </w:r>
      <w:r w:rsidRPr="0012182F">
        <w:rPr>
          <w:rFonts w:ascii="Times New Roman" w:hAnsi="Times New Roman"/>
        </w:rPr>
        <w:t xml:space="preserve">nstrument from </w:t>
      </w:r>
      <w:r w:rsidR="005751B9" w:rsidRPr="0012182F">
        <w:rPr>
          <w:rFonts w:ascii="Times New Roman" w:hAnsi="Times New Roman"/>
        </w:rPr>
        <w:t xml:space="preserve">the ACMA, Telstra and Optus. No issues were raised. </w:t>
      </w:r>
    </w:p>
    <w:p w14:paraId="7C317DCB" w14:textId="77777777" w:rsidR="00E62DD4" w:rsidRPr="0012182F" w:rsidRDefault="0049293A" w:rsidP="00E62DD4">
      <w:pPr>
        <w:rPr>
          <w:rFonts w:ascii="Times New Roman" w:hAnsi="Times New Roman"/>
          <w:b/>
        </w:rPr>
      </w:pPr>
      <w:r w:rsidRPr="0012182F">
        <w:rPr>
          <w:rFonts w:ascii="Times New Roman" w:hAnsi="Times New Roman"/>
          <w:b/>
        </w:rPr>
        <w:t>Impact Analysis</w:t>
      </w:r>
    </w:p>
    <w:p w14:paraId="7C317DCC" w14:textId="7F27B225" w:rsidR="00BE5786" w:rsidRPr="0012182F" w:rsidRDefault="00BE5786" w:rsidP="00E62DD4">
      <w:pPr>
        <w:rPr>
          <w:rFonts w:ascii="Times New Roman" w:hAnsi="Times New Roman"/>
        </w:rPr>
      </w:pPr>
      <w:r w:rsidRPr="0012182F">
        <w:rPr>
          <w:rFonts w:ascii="Times New Roman" w:hAnsi="Times New Roman"/>
        </w:rPr>
        <w:t xml:space="preserve">The </w:t>
      </w:r>
      <w:r w:rsidR="00534326" w:rsidRPr="0012182F">
        <w:rPr>
          <w:rFonts w:ascii="Times New Roman" w:hAnsi="Times New Roman"/>
        </w:rPr>
        <w:t>Office of Impact A</w:t>
      </w:r>
      <w:r w:rsidR="00522ED4" w:rsidRPr="0012182F">
        <w:rPr>
          <w:rFonts w:ascii="Times New Roman" w:hAnsi="Times New Roman"/>
        </w:rPr>
        <w:t>nalysis</w:t>
      </w:r>
      <w:r w:rsidR="00534326" w:rsidRPr="0012182F">
        <w:rPr>
          <w:rFonts w:ascii="Times New Roman" w:hAnsi="Times New Roman"/>
        </w:rPr>
        <w:t xml:space="preserve"> (</w:t>
      </w:r>
      <w:r w:rsidRPr="0012182F">
        <w:rPr>
          <w:rFonts w:ascii="Times New Roman" w:hAnsi="Times New Roman"/>
        </w:rPr>
        <w:t>OIA</w:t>
      </w:r>
      <w:r w:rsidR="00534326" w:rsidRPr="0012182F">
        <w:rPr>
          <w:rFonts w:ascii="Times New Roman" w:hAnsi="Times New Roman"/>
        </w:rPr>
        <w:t>)</w:t>
      </w:r>
      <w:r w:rsidRPr="0012182F">
        <w:rPr>
          <w:rFonts w:ascii="Times New Roman" w:hAnsi="Times New Roman"/>
        </w:rPr>
        <w:t xml:space="preserve"> assessed the proposal </w:t>
      </w:r>
      <w:r w:rsidR="00455C6A" w:rsidRPr="0012182F">
        <w:rPr>
          <w:rFonts w:ascii="Times New Roman" w:hAnsi="Times New Roman"/>
        </w:rPr>
        <w:t>to remake the</w:t>
      </w:r>
      <w:r w:rsidR="0049293A" w:rsidRPr="0012182F">
        <w:rPr>
          <w:rFonts w:ascii="Times New Roman" w:hAnsi="Times New Roman"/>
        </w:rPr>
        <w:t xml:space="preserve"> sunsetting</w:t>
      </w:r>
      <w:r w:rsidR="00455C6A" w:rsidRPr="0012182F">
        <w:rPr>
          <w:rFonts w:ascii="Times New Roman" w:hAnsi="Times New Roman"/>
        </w:rPr>
        <w:t xml:space="preserve"> </w:t>
      </w:r>
      <w:r w:rsidR="0049293A" w:rsidRPr="0012182F">
        <w:rPr>
          <w:rFonts w:ascii="Times New Roman" w:hAnsi="Times New Roman"/>
        </w:rPr>
        <w:t>I</w:t>
      </w:r>
      <w:r w:rsidR="00455C6A" w:rsidRPr="0012182F">
        <w:rPr>
          <w:rFonts w:ascii="Times New Roman" w:hAnsi="Times New Roman"/>
        </w:rPr>
        <w:t xml:space="preserve">nstrument </w:t>
      </w:r>
      <w:r w:rsidRPr="0012182F">
        <w:rPr>
          <w:rFonts w:ascii="Times New Roman" w:hAnsi="Times New Roman"/>
        </w:rPr>
        <w:t xml:space="preserve">as having a </w:t>
      </w:r>
      <w:r w:rsidR="00455C6A" w:rsidRPr="0012182F">
        <w:rPr>
          <w:rFonts w:ascii="Times New Roman" w:hAnsi="Times New Roman"/>
        </w:rPr>
        <w:t xml:space="preserve">more than minor impact on businesses, community organisations or individuals compared to the status quo that the </w:t>
      </w:r>
      <w:r w:rsidR="00132279" w:rsidRPr="0012182F">
        <w:rPr>
          <w:rFonts w:ascii="Times New Roman" w:hAnsi="Times New Roman"/>
        </w:rPr>
        <w:t>I</w:t>
      </w:r>
      <w:r w:rsidR="00455C6A" w:rsidRPr="0012182F">
        <w:rPr>
          <w:rFonts w:ascii="Times New Roman" w:hAnsi="Times New Roman"/>
        </w:rPr>
        <w:t>nstrument is not in place</w:t>
      </w:r>
      <w:r w:rsidR="00B13D95" w:rsidRPr="0012182F">
        <w:rPr>
          <w:rFonts w:ascii="Times New Roman" w:hAnsi="Times New Roman"/>
        </w:rPr>
        <w:t xml:space="preserve">. </w:t>
      </w:r>
      <w:r w:rsidR="00A03A3E" w:rsidRPr="0012182F">
        <w:rPr>
          <w:rFonts w:ascii="Times New Roman" w:hAnsi="Times New Roman"/>
        </w:rPr>
        <w:t xml:space="preserve">However, as the remaking of the Instrument makes no significant changes, consistent with </w:t>
      </w:r>
      <w:r w:rsidR="0049293A" w:rsidRPr="0012182F">
        <w:rPr>
          <w:rFonts w:ascii="Times New Roman" w:hAnsi="Times New Roman"/>
        </w:rPr>
        <w:t>OIA</w:t>
      </w:r>
      <w:r w:rsidR="00A03A3E" w:rsidRPr="0012182F">
        <w:rPr>
          <w:rFonts w:ascii="Times New Roman" w:hAnsi="Times New Roman"/>
        </w:rPr>
        <w:t xml:space="preserve"> guidance</w:t>
      </w:r>
      <w:r w:rsidR="0049293A" w:rsidRPr="0012182F">
        <w:rPr>
          <w:rFonts w:ascii="Times New Roman" w:hAnsi="Times New Roman"/>
        </w:rPr>
        <w:t xml:space="preserve">, the Department provided certification of its assessment that the regulations in the Instrument are operating efficiently and effectively, in lieu of further impact analysis. </w:t>
      </w:r>
    </w:p>
    <w:p w14:paraId="7C317DCD" w14:textId="77777777" w:rsidR="00E62DD4" w:rsidRPr="0012182F" w:rsidRDefault="00E62DD4" w:rsidP="00180B75">
      <w:pPr>
        <w:keepNext/>
        <w:keepLines/>
        <w:rPr>
          <w:rFonts w:ascii="Times New Roman" w:hAnsi="Times New Roman"/>
          <w:b/>
        </w:rPr>
      </w:pPr>
      <w:r w:rsidRPr="0012182F">
        <w:rPr>
          <w:rFonts w:ascii="Times New Roman" w:hAnsi="Times New Roman"/>
          <w:b/>
        </w:rPr>
        <w:t>Statement of compatibility with human rights</w:t>
      </w:r>
    </w:p>
    <w:p w14:paraId="7C317DCE" w14:textId="77777777" w:rsidR="00C00878" w:rsidRPr="0012182F" w:rsidRDefault="00BE5786" w:rsidP="00180B75">
      <w:pPr>
        <w:keepNext/>
        <w:keepLines/>
        <w:rPr>
          <w:rFonts w:ascii="Times New Roman" w:hAnsi="Times New Roman"/>
          <w:u w:val="single"/>
        </w:rPr>
      </w:pPr>
      <w:r w:rsidRPr="0012182F">
        <w:rPr>
          <w:rFonts w:ascii="Times New Roman" w:hAnsi="Times New Roman"/>
        </w:rPr>
        <w:t xml:space="preserve">A statement of compatibility with human rights for the purposes of Part 3 of the </w:t>
      </w:r>
      <w:r w:rsidRPr="0012182F">
        <w:rPr>
          <w:rFonts w:ascii="Times New Roman" w:hAnsi="Times New Roman"/>
          <w:i/>
        </w:rPr>
        <w:t xml:space="preserve">Human Rights (Parliamentary Scrutiny) Act 2011 </w:t>
      </w:r>
      <w:r w:rsidRPr="0012182F">
        <w:rPr>
          <w:rFonts w:ascii="Times New Roman" w:hAnsi="Times New Roman"/>
        </w:rPr>
        <w:t xml:space="preserve">is set out at </w:t>
      </w:r>
      <w:r w:rsidRPr="0012182F">
        <w:rPr>
          <w:rFonts w:ascii="Times New Roman" w:hAnsi="Times New Roman"/>
          <w:u w:val="single"/>
        </w:rPr>
        <w:t xml:space="preserve">Attachment B. </w:t>
      </w:r>
    </w:p>
    <w:p w14:paraId="7C317DCF" w14:textId="77777777" w:rsidR="00180B75" w:rsidRPr="0012182F" w:rsidRDefault="00180B75" w:rsidP="00E62DD4">
      <w:pPr>
        <w:ind w:right="91"/>
        <w:jc w:val="right"/>
        <w:rPr>
          <w:rFonts w:ascii="Times New Roman" w:hAnsi="Times New Roman"/>
          <w:b/>
          <w:sz w:val="28"/>
          <w:szCs w:val="28"/>
        </w:rPr>
      </w:pPr>
      <w:r w:rsidRPr="0012182F">
        <w:rPr>
          <w:rFonts w:ascii="Times New Roman" w:hAnsi="Times New Roman"/>
          <w:b/>
          <w:sz w:val="28"/>
          <w:szCs w:val="28"/>
        </w:rPr>
        <w:br w:type="page"/>
      </w:r>
    </w:p>
    <w:p w14:paraId="7C317DD0" w14:textId="77777777" w:rsidR="00E62DD4" w:rsidRPr="0012182F" w:rsidRDefault="00E62DD4" w:rsidP="00E62DD4">
      <w:pPr>
        <w:ind w:right="91"/>
        <w:jc w:val="right"/>
        <w:rPr>
          <w:rFonts w:ascii="Times New Roman" w:hAnsi="Times New Roman"/>
          <w:b/>
          <w:sz w:val="28"/>
          <w:szCs w:val="28"/>
        </w:rPr>
      </w:pPr>
      <w:r w:rsidRPr="0012182F">
        <w:rPr>
          <w:rFonts w:ascii="Times New Roman" w:hAnsi="Times New Roman"/>
          <w:b/>
          <w:sz w:val="28"/>
          <w:szCs w:val="28"/>
        </w:rPr>
        <w:lastRenderedPageBreak/>
        <w:t>Attachment A</w:t>
      </w:r>
    </w:p>
    <w:p w14:paraId="7C317DD1" w14:textId="77777777" w:rsidR="00E46A60" w:rsidRPr="0012182F" w:rsidRDefault="00E62DD4" w:rsidP="00E46A60">
      <w:pPr>
        <w:jc w:val="center"/>
        <w:rPr>
          <w:rFonts w:ascii="Times New Roman" w:hAnsi="Times New Roman"/>
          <w:b/>
          <w:i/>
          <w:sz w:val="28"/>
          <w:szCs w:val="28"/>
        </w:rPr>
      </w:pPr>
      <w:r w:rsidRPr="0012182F">
        <w:rPr>
          <w:rFonts w:ascii="Times New Roman" w:hAnsi="Times New Roman"/>
          <w:b/>
          <w:sz w:val="28"/>
          <w:szCs w:val="28"/>
        </w:rPr>
        <w:t xml:space="preserve">Details of the </w:t>
      </w:r>
      <w:r w:rsidR="00E46A60" w:rsidRPr="0012182F">
        <w:rPr>
          <w:rFonts w:ascii="Times New Roman" w:hAnsi="Times New Roman"/>
          <w:b/>
          <w:i/>
          <w:sz w:val="28"/>
          <w:szCs w:val="28"/>
        </w:rPr>
        <w:t>Telecommunications (Customer Service Guarantee – Retail Performance Benchmarks) Instrument 2023</w:t>
      </w:r>
    </w:p>
    <w:p w14:paraId="7C317DD2" w14:textId="77777777" w:rsidR="00941C10" w:rsidRPr="0012182F" w:rsidRDefault="00941C10" w:rsidP="00941C10">
      <w:pPr>
        <w:spacing w:after="120"/>
        <w:ind w:right="-709"/>
        <w:rPr>
          <w:rFonts w:ascii="Times New Roman" w:eastAsiaTheme="minorHAnsi" w:hAnsi="Times New Roman"/>
          <w:b/>
          <w:kern w:val="24"/>
          <w:sz w:val="28"/>
          <w:szCs w:val="28"/>
          <w:lang w:eastAsia="en-US"/>
        </w:rPr>
      </w:pPr>
      <w:r w:rsidRPr="0012182F">
        <w:rPr>
          <w:rFonts w:ascii="Times New Roman" w:eastAsiaTheme="minorHAnsi" w:hAnsi="Times New Roman"/>
          <w:b/>
          <w:kern w:val="24"/>
          <w:sz w:val="28"/>
          <w:szCs w:val="28"/>
          <w:lang w:eastAsia="en-US"/>
        </w:rPr>
        <w:t>Part 1 – Preliminary</w:t>
      </w:r>
    </w:p>
    <w:p w14:paraId="7C317DD3" w14:textId="77777777" w:rsidR="00E62DD4" w:rsidRPr="0012182F" w:rsidRDefault="00E62DD4" w:rsidP="00E46A60">
      <w:pPr>
        <w:ind w:right="-711"/>
        <w:rPr>
          <w:rFonts w:ascii="Times New Roman" w:eastAsiaTheme="minorHAnsi" w:hAnsi="Times New Roman"/>
          <w:b/>
          <w:kern w:val="24"/>
          <w:lang w:eastAsia="en-US"/>
        </w:rPr>
      </w:pPr>
      <w:r w:rsidRPr="0012182F">
        <w:rPr>
          <w:rFonts w:ascii="Times New Roman" w:eastAsiaTheme="minorHAnsi" w:hAnsi="Times New Roman"/>
          <w:b/>
          <w:kern w:val="24"/>
          <w:lang w:eastAsia="en-US"/>
        </w:rPr>
        <w:t>Section 1 – Name</w:t>
      </w:r>
    </w:p>
    <w:p w14:paraId="7C317DD4" w14:textId="77777777" w:rsidR="00E62DD4" w:rsidRPr="0012182F" w:rsidRDefault="00E62DD4" w:rsidP="00E62DD4">
      <w:pPr>
        <w:widowControl w:val="0"/>
        <w:ind w:right="91"/>
        <w:rPr>
          <w:rFonts w:ascii="Times New Roman" w:eastAsiaTheme="minorHAnsi" w:hAnsi="Times New Roman"/>
          <w:i/>
          <w:kern w:val="24"/>
          <w:lang w:eastAsia="en-US"/>
        </w:rPr>
      </w:pPr>
      <w:r w:rsidRPr="0012182F">
        <w:rPr>
          <w:rFonts w:ascii="Times New Roman" w:eastAsiaTheme="minorHAnsi" w:hAnsi="Times New Roman"/>
          <w:kern w:val="24"/>
          <w:lang w:eastAsia="en-US"/>
        </w:rPr>
        <w:t xml:space="preserve">Section 1 provides that the name of the </w:t>
      </w:r>
      <w:r w:rsidR="0074151C" w:rsidRPr="0012182F">
        <w:rPr>
          <w:rFonts w:ascii="Times New Roman" w:eastAsiaTheme="minorHAnsi" w:hAnsi="Times New Roman"/>
          <w:kern w:val="24"/>
          <w:lang w:eastAsia="en-US"/>
        </w:rPr>
        <w:t>Instrument</w:t>
      </w:r>
      <w:r w:rsidRPr="0012182F">
        <w:rPr>
          <w:rFonts w:ascii="Times New Roman" w:eastAsiaTheme="minorHAnsi" w:hAnsi="Times New Roman"/>
          <w:kern w:val="24"/>
          <w:lang w:eastAsia="en-US"/>
        </w:rPr>
        <w:t xml:space="preserve"> is the </w:t>
      </w:r>
      <w:r w:rsidRPr="0012182F">
        <w:rPr>
          <w:rFonts w:ascii="Times New Roman" w:eastAsiaTheme="minorHAnsi" w:hAnsi="Times New Roman"/>
          <w:i/>
          <w:kern w:val="24"/>
          <w:lang w:eastAsia="en-US"/>
        </w:rPr>
        <w:t>Telecommunications (Customer Service Guarantee</w:t>
      </w:r>
      <w:r w:rsidR="0074151C" w:rsidRPr="0012182F">
        <w:rPr>
          <w:rFonts w:ascii="Times New Roman" w:eastAsiaTheme="minorHAnsi" w:hAnsi="Times New Roman"/>
          <w:i/>
          <w:kern w:val="24"/>
          <w:lang w:eastAsia="en-US"/>
        </w:rPr>
        <w:t xml:space="preserve"> – Retail Performance Benchmarks) Instrument 2023</w:t>
      </w:r>
      <w:r w:rsidRPr="0012182F">
        <w:rPr>
          <w:rFonts w:ascii="Times New Roman" w:eastAsiaTheme="minorHAnsi" w:hAnsi="Times New Roman"/>
          <w:i/>
          <w:kern w:val="24"/>
          <w:lang w:eastAsia="en-US"/>
        </w:rPr>
        <w:t xml:space="preserve"> </w:t>
      </w:r>
    </w:p>
    <w:p w14:paraId="7C317DD5" w14:textId="77777777" w:rsidR="00E62DD4" w:rsidRPr="0012182F" w:rsidRDefault="00E62DD4" w:rsidP="00E62DD4">
      <w:pPr>
        <w:widowControl w:val="0"/>
        <w:ind w:right="91"/>
        <w:rPr>
          <w:rFonts w:ascii="Times New Roman" w:eastAsiaTheme="minorHAnsi" w:hAnsi="Times New Roman"/>
          <w:b/>
          <w:kern w:val="24"/>
          <w:lang w:eastAsia="en-US"/>
        </w:rPr>
      </w:pPr>
      <w:r w:rsidRPr="0012182F">
        <w:rPr>
          <w:rFonts w:ascii="Times New Roman" w:eastAsiaTheme="minorHAnsi" w:hAnsi="Times New Roman"/>
          <w:b/>
          <w:kern w:val="24"/>
          <w:lang w:eastAsia="en-US"/>
        </w:rPr>
        <w:t>Section 2 – Commencement</w:t>
      </w:r>
    </w:p>
    <w:p w14:paraId="7C317DD6" w14:textId="77777777" w:rsidR="00E62DD4" w:rsidRPr="0012182F" w:rsidRDefault="00E62DD4" w:rsidP="00E62DD4">
      <w:pPr>
        <w:widowControl w:val="0"/>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 xml:space="preserve">Section 2 provides that the </w:t>
      </w:r>
      <w:r w:rsidR="0074151C" w:rsidRPr="0012182F">
        <w:rPr>
          <w:rFonts w:ascii="Times New Roman" w:eastAsiaTheme="minorHAnsi" w:hAnsi="Times New Roman"/>
          <w:kern w:val="24"/>
          <w:lang w:eastAsia="en-US"/>
        </w:rPr>
        <w:t>Instrument</w:t>
      </w:r>
      <w:r w:rsidRPr="0012182F">
        <w:rPr>
          <w:rFonts w:ascii="Times New Roman" w:eastAsiaTheme="minorHAnsi" w:hAnsi="Times New Roman"/>
          <w:kern w:val="24"/>
          <w:lang w:eastAsia="en-US"/>
        </w:rPr>
        <w:t xml:space="preserve"> will commence on the day after it is registered</w:t>
      </w:r>
      <w:r w:rsidR="00E731D1" w:rsidRPr="0012182F">
        <w:rPr>
          <w:rFonts w:ascii="Times New Roman" w:eastAsiaTheme="minorHAnsi" w:hAnsi="Times New Roman"/>
          <w:kern w:val="24"/>
          <w:lang w:eastAsia="en-US"/>
        </w:rPr>
        <w:t xml:space="preserve">. </w:t>
      </w:r>
    </w:p>
    <w:p w14:paraId="7C317DD7" w14:textId="77777777" w:rsidR="00E62DD4" w:rsidRPr="0012182F" w:rsidRDefault="00E62DD4" w:rsidP="00E62DD4">
      <w:pPr>
        <w:widowControl w:val="0"/>
        <w:ind w:right="91"/>
        <w:rPr>
          <w:rFonts w:ascii="Times New Roman" w:eastAsiaTheme="minorHAnsi" w:hAnsi="Times New Roman"/>
          <w:b/>
          <w:kern w:val="24"/>
          <w:lang w:eastAsia="en-US"/>
        </w:rPr>
      </w:pPr>
      <w:r w:rsidRPr="0012182F">
        <w:rPr>
          <w:rFonts w:ascii="Times New Roman" w:eastAsiaTheme="minorHAnsi" w:hAnsi="Times New Roman"/>
          <w:b/>
          <w:kern w:val="24"/>
          <w:lang w:eastAsia="en-US"/>
        </w:rPr>
        <w:t>Section 3 – Authority</w:t>
      </w:r>
    </w:p>
    <w:p w14:paraId="7C317DD8" w14:textId="77777777" w:rsidR="00E62DD4" w:rsidRPr="0012182F" w:rsidRDefault="00E62DD4" w:rsidP="00E62DD4">
      <w:pPr>
        <w:widowControl w:val="0"/>
        <w:ind w:right="91"/>
        <w:rPr>
          <w:rFonts w:ascii="Times New Roman" w:eastAsiaTheme="minorHAnsi" w:hAnsi="Times New Roman"/>
          <w:i/>
          <w:kern w:val="24"/>
          <w:lang w:eastAsia="en-US"/>
        </w:rPr>
      </w:pPr>
      <w:r w:rsidRPr="0012182F">
        <w:rPr>
          <w:rFonts w:ascii="Times New Roman" w:eastAsiaTheme="minorHAnsi" w:hAnsi="Times New Roman"/>
          <w:kern w:val="24"/>
          <w:lang w:eastAsia="en-US"/>
        </w:rPr>
        <w:t xml:space="preserve">Section 3 states that the </w:t>
      </w:r>
      <w:r w:rsidR="0074151C" w:rsidRPr="0012182F">
        <w:rPr>
          <w:rFonts w:ascii="Times New Roman" w:eastAsiaTheme="minorHAnsi" w:hAnsi="Times New Roman"/>
          <w:kern w:val="24"/>
          <w:lang w:eastAsia="en-US"/>
        </w:rPr>
        <w:t>Instrument</w:t>
      </w:r>
      <w:r w:rsidRPr="0012182F">
        <w:rPr>
          <w:rFonts w:ascii="Times New Roman" w:eastAsiaTheme="minorHAnsi" w:hAnsi="Times New Roman"/>
          <w:kern w:val="24"/>
          <w:lang w:eastAsia="en-US"/>
        </w:rPr>
        <w:t xml:space="preserve"> is made under s</w:t>
      </w:r>
      <w:r w:rsidR="0074151C" w:rsidRPr="0012182F">
        <w:rPr>
          <w:rFonts w:ascii="Times New Roman" w:eastAsiaTheme="minorHAnsi" w:hAnsi="Times New Roman"/>
          <w:kern w:val="24"/>
          <w:lang w:eastAsia="en-US"/>
        </w:rPr>
        <w:t>ubs</w:t>
      </w:r>
      <w:r w:rsidRPr="0012182F">
        <w:rPr>
          <w:rFonts w:ascii="Times New Roman" w:eastAsiaTheme="minorHAnsi" w:hAnsi="Times New Roman"/>
          <w:kern w:val="24"/>
          <w:lang w:eastAsia="en-US"/>
        </w:rPr>
        <w:t xml:space="preserve">ection </w:t>
      </w:r>
      <w:r w:rsidR="0074151C" w:rsidRPr="0012182F">
        <w:rPr>
          <w:rFonts w:ascii="Times New Roman" w:eastAsiaTheme="minorHAnsi" w:hAnsi="Times New Roman"/>
          <w:kern w:val="24"/>
          <w:lang w:eastAsia="en-US"/>
        </w:rPr>
        <w:t>117</w:t>
      </w:r>
      <w:proofErr w:type="gramStart"/>
      <w:r w:rsidR="0074151C" w:rsidRPr="0012182F">
        <w:rPr>
          <w:rFonts w:ascii="Times New Roman" w:eastAsiaTheme="minorHAnsi" w:hAnsi="Times New Roman"/>
          <w:kern w:val="24"/>
          <w:lang w:eastAsia="en-US"/>
        </w:rPr>
        <w:t>B(</w:t>
      </w:r>
      <w:proofErr w:type="gramEnd"/>
      <w:r w:rsidR="0074151C" w:rsidRPr="0012182F">
        <w:rPr>
          <w:rFonts w:ascii="Times New Roman" w:eastAsiaTheme="minorHAnsi" w:hAnsi="Times New Roman"/>
          <w:kern w:val="24"/>
          <w:lang w:eastAsia="en-US"/>
        </w:rPr>
        <w:t>1)</w:t>
      </w:r>
      <w:r w:rsidRPr="0012182F">
        <w:rPr>
          <w:rFonts w:ascii="Times New Roman" w:eastAsiaTheme="minorHAnsi" w:hAnsi="Times New Roman"/>
          <w:kern w:val="24"/>
          <w:lang w:eastAsia="en-US"/>
        </w:rPr>
        <w:t xml:space="preserve"> of the </w:t>
      </w:r>
      <w:r w:rsidRPr="0012182F">
        <w:rPr>
          <w:rFonts w:ascii="Times New Roman" w:eastAsiaTheme="minorHAnsi" w:hAnsi="Times New Roman"/>
          <w:i/>
          <w:kern w:val="24"/>
          <w:lang w:eastAsia="en-US"/>
        </w:rPr>
        <w:t xml:space="preserve">Telecommunications (Consumer Protection and Service Standards) Act 1999. </w:t>
      </w:r>
    </w:p>
    <w:p w14:paraId="7C317DD9" w14:textId="77777777" w:rsidR="00E62DD4" w:rsidRPr="0012182F" w:rsidRDefault="00E62DD4" w:rsidP="00E62DD4">
      <w:pPr>
        <w:widowControl w:val="0"/>
        <w:ind w:right="91"/>
        <w:rPr>
          <w:rFonts w:ascii="Times New Roman" w:eastAsiaTheme="minorHAnsi" w:hAnsi="Times New Roman"/>
          <w:b/>
          <w:kern w:val="24"/>
          <w:lang w:eastAsia="en-US"/>
        </w:rPr>
      </w:pPr>
      <w:r w:rsidRPr="0012182F">
        <w:rPr>
          <w:rFonts w:ascii="Times New Roman" w:eastAsiaTheme="minorHAnsi" w:hAnsi="Times New Roman"/>
          <w:b/>
          <w:kern w:val="24"/>
          <w:lang w:eastAsia="en-US"/>
        </w:rPr>
        <w:t>Section 4 – Definitions</w:t>
      </w:r>
    </w:p>
    <w:p w14:paraId="7C317DDA" w14:textId="77777777" w:rsidR="00E62DD4" w:rsidRPr="0012182F" w:rsidRDefault="003B267B" w:rsidP="00E62DD4">
      <w:pPr>
        <w:widowControl w:val="0"/>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S</w:t>
      </w:r>
      <w:r w:rsidR="00C913E6" w:rsidRPr="0012182F">
        <w:rPr>
          <w:rFonts w:ascii="Times New Roman" w:eastAsiaTheme="minorHAnsi" w:hAnsi="Times New Roman"/>
          <w:kern w:val="24"/>
          <w:lang w:eastAsia="en-US"/>
        </w:rPr>
        <w:t>ubsection</w:t>
      </w:r>
      <w:r w:rsidRPr="0012182F">
        <w:rPr>
          <w:rFonts w:ascii="Times New Roman" w:eastAsiaTheme="minorHAnsi" w:hAnsi="Times New Roman"/>
          <w:kern w:val="24"/>
          <w:lang w:eastAsia="en-US"/>
        </w:rPr>
        <w:t xml:space="preserve"> 4</w:t>
      </w:r>
      <w:r w:rsidR="00C913E6" w:rsidRPr="0012182F">
        <w:rPr>
          <w:rFonts w:ascii="Times New Roman" w:eastAsiaTheme="minorHAnsi" w:hAnsi="Times New Roman"/>
          <w:kern w:val="24"/>
          <w:lang w:eastAsia="en-US"/>
        </w:rPr>
        <w:t>(1)</w:t>
      </w:r>
      <w:r w:rsidR="00E62DD4" w:rsidRPr="0012182F">
        <w:rPr>
          <w:rFonts w:ascii="Times New Roman" w:eastAsiaTheme="minorHAnsi" w:hAnsi="Times New Roman"/>
          <w:kern w:val="24"/>
          <w:lang w:eastAsia="en-US"/>
        </w:rPr>
        <w:t xml:space="preserve"> sets out definitions for key terms used in the </w:t>
      </w:r>
      <w:r w:rsidR="0074151C" w:rsidRPr="0012182F">
        <w:rPr>
          <w:rFonts w:ascii="Times New Roman" w:eastAsiaTheme="minorHAnsi" w:hAnsi="Times New Roman"/>
          <w:kern w:val="24"/>
          <w:lang w:eastAsia="en-US"/>
        </w:rPr>
        <w:t xml:space="preserve">Instrument. </w:t>
      </w:r>
      <w:r w:rsidR="00E62DD4" w:rsidRPr="0012182F">
        <w:rPr>
          <w:rFonts w:ascii="Times New Roman" w:eastAsiaTheme="minorHAnsi" w:hAnsi="Times New Roman"/>
          <w:kern w:val="24"/>
          <w:lang w:eastAsia="en-US"/>
        </w:rPr>
        <w:t xml:space="preserve"> </w:t>
      </w:r>
    </w:p>
    <w:p w14:paraId="7C317DDB" w14:textId="77777777" w:rsidR="00E62DD4" w:rsidRPr="0012182F" w:rsidRDefault="00E62DD4" w:rsidP="00E62DD4">
      <w:pPr>
        <w:widowControl w:val="0"/>
        <w:ind w:right="91"/>
        <w:rPr>
          <w:rFonts w:ascii="Times New Roman" w:eastAsiaTheme="minorHAnsi" w:hAnsi="Times New Roman"/>
          <w:i/>
          <w:kern w:val="24"/>
          <w:lang w:eastAsia="en-US"/>
        </w:rPr>
      </w:pPr>
      <w:r w:rsidRPr="0012182F">
        <w:rPr>
          <w:rFonts w:ascii="Times New Roman" w:eastAsiaTheme="minorHAnsi" w:hAnsi="Times New Roman"/>
          <w:kern w:val="24"/>
          <w:lang w:eastAsia="en-US"/>
        </w:rPr>
        <w:t xml:space="preserve">The term </w:t>
      </w:r>
      <w:r w:rsidRPr="0012182F">
        <w:rPr>
          <w:rFonts w:ascii="Times New Roman" w:eastAsiaTheme="minorHAnsi" w:hAnsi="Times New Roman"/>
          <w:i/>
          <w:kern w:val="24"/>
          <w:lang w:eastAsia="en-US"/>
        </w:rPr>
        <w:t xml:space="preserve">Act </w:t>
      </w:r>
      <w:r w:rsidRPr="0012182F">
        <w:rPr>
          <w:rFonts w:ascii="Times New Roman" w:eastAsiaTheme="minorHAnsi" w:hAnsi="Times New Roman"/>
          <w:kern w:val="24"/>
          <w:lang w:eastAsia="en-US"/>
        </w:rPr>
        <w:t xml:space="preserve">is defined to mean the </w:t>
      </w:r>
      <w:r w:rsidRPr="0012182F">
        <w:rPr>
          <w:rFonts w:ascii="Times New Roman" w:eastAsiaTheme="minorHAnsi" w:hAnsi="Times New Roman"/>
          <w:i/>
          <w:kern w:val="24"/>
          <w:lang w:eastAsia="en-US"/>
        </w:rPr>
        <w:t xml:space="preserve">Telecommunications (Consumer Protection and Service Standards) Act 1999. </w:t>
      </w:r>
    </w:p>
    <w:p w14:paraId="7C317DDC" w14:textId="77777777" w:rsidR="000C53DE" w:rsidRPr="0012182F" w:rsidRDefault="000C53DE" w:rsidP="00E62DD4">
      <w:pPr>
        <w:widowControl w:val="0"/>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 xml:space="preserve">The term </w:t>
      </w:r>
      <w:r w:rsidRPr="0012182F">
        <w:rPr>
          <w:rFonts w:ascii="Times New Roman" w:eastAsiaTheme="minorHAnsi" w:hAnsi="Times New Roman"/>
          <w:i/>
          <w:kern w:val="24"/>
          <w:lang w:eastAsia="en-US"/>
        </w:rPr>
        <w:t xml:space="preserve">ACMA </w:t>
      </w:r>
      <w:r w:rsidRPr="0012182F">
        <w:rPr>
          <w:rFonts w:ascii="Times New Roman" w:eastAsiaTheme="minorHAnsi" w:hAnsi="Times New Roman"/>
          <w:kern w:val="24"/>
          <w:lang w:eastAsia="en-US"/>
        </w:rPr>
        <w:t xml:space="preserve">is defined to mean the Australian Communications and Media Authority. </w:t>
      </w:r>
    </w:p>
    <w:p w14:paraId="7C317DDD" w14:textId="77777777" w:rsidR="00C913E6" w:rsidRPr="0012182F" w:rsidRDefault="00303EB4" w:rsidP="00C5002F">
      <w:pPr>
        <w:widowControl w:val="0"/>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 xml:space="preserve">The terms </w:t>
      </w:r>
      <w:r w:rsidRPr="0012182F">
        <w:rPr>
          <w:rFonts w:ascii="Times New Roman" w:eastAsiaTheme="minorHAnsi" w:hAnsi="Times New Roman"/>
          <w:i/>
          <w:kern w:val="24"/>
          <w:lang w:eastAsia="en-US"/>
        </w:rPr>
        <w:t>appoint</w:t>
      </w:r>
      <w:r w:rsidR="0044701D" w:rsidRPr="0012182F">
        <w:rPr>
          <w:rFonts w:ascii="Times New Roman" w:eastAsiaTheme="minorHAnsi" w:hAnsi="Times New Roman"/>
          <w:i/>
          <w:kern w:val="24"/>
          <w:lang w:eastAsia="en-US"/>
        </w:rPr>
        <w:t>ment</w:t>
      </w:r>
      <w:r w:rsidR="00920E29" w:rsidRPr="0012182F">
        <w:rPr>
          <w:rFonts w:ascii="Times New Roman" w:eastAsiaTheme="minorHAnsi" w:hAnsi="Times New Roman"/>
          <w:i/>
          <w:kern w:val="24"/>
          <w:lang w:eastAsia="en-US"/>
        </w:rPr>
        <w:t>-keeping performance standard</w:t>
      </w:r>
      <w:r w:rsidR="00ED59DF" w:rsidRPr="0012182F">
        <w:rPr>
          <w:rFonts w:ascii="Times New Roman" w:eastAsiaTheme="minorHAnsi" w:hAnsi="Times New Roman"/>
          <w:i/>
          <w:kern w:val="24"/>
          <w:lang w:eastAsia="en-US"/>
        </w:rPr>
        <w:t xml:space="preserve">, connection period performance standard </w:t>
      </w:r>
      <w:r w:rsidR="00ED59DF" w:rsidRPr="0012182F">
        <w:rPr>
          <w:rFonts w:ascii="Times New Roman" w:eastAsiaTheme="minorHAnsi" w:hAnsi="Times New Roman"/>
          <w:kern w:val="24"/>
          <w:lang w:eastAsia="en-US"/>
        </w:rPr>
        <w:t xml:space="preserve">and </w:t>
      </w:r>
      <w:r w:rsidR="00ED59DF" w:rsidRPr="0012182F">
        <w:rPr>
          <w:rFonts w:ascii="Times New Roman" w:eastAsiaTheme="minorHAnsi" w:hAnsi="Times New Roman"/>
          <w:i/>
          <w:kern w:val="24"/>
          <w:lang w:eastAsia="en-US"/>
        </w:rPr>
        <w:t xml:space="preserve">rectification period performance standard </w:t>
      </w:r>
      <w:r w:rsidR="00ED59DF" w:rsidRPr="0012182F">
        <w:rPr>
          <w:rFonts w:ascii="Times New Roman" w:eastAsiaTheme="minorHAnsi" w:hAnsi="Times New Roman"/>
          <w:kern w:val="24"/>
          <w:lang w:eastAsia="en-US"/>
        </w:rPr>
        <w:t>are defined</w:t>
      </w:r>
      <w:r w:rsidR="00C913E6" w:rsidRPr="0012182F">
        <w:rPr>
          <w:rFonts w:ascii="Times New Roman" w:eastAsiaTheme="minorHAnsi" w:hAnsi="Times New Roman"/>
          <w:kern w:val="24"/>
          <w:lang w:eastAsia="en-US"/>
        </w:rPr>
        <w:t xml:space="preserve"> to mean the respective performance standards for appointment-keeping, connection and fault rectification specified in the CSG Standard</w:t>
      </w:r>
      <w:r w:rsidR="00430D67" w:rsidRPr="0012182F">
        <w:rPr>
          <w:rFonts w:ascii="Times New Roman" w:eastAsiaTheme="minorHAnsi" w:hAnsi="Times New Roman"/>
          <w:kern w:val="24"/>
          <w:lang w:eastAsia="en-US"/>
        </w:rPr>
        <w:t xml:space="preserve"> for which the benchmarks in the Instrument apply.</w:t>
      </w:r>
      <w:r w:rsidR="00662804" w:rsidRPr="0012182F">
        <w:rPr>
          <w:rFonts w:ascii="Times New Roman" w:eastAsiaTheme="minorHAnsi" w:hAnsi="Times New Roman"/>
          <w:kern w:val="24"/>
          <w:lang w:eastAsia="en-US"/>
        </w:rPr>
        <w:t xml:space="preserve"> </w:t>
      </w:r>
    </w:p>
    <w:p w14:paraId="7C317DDE" w14:textId="77777777" w:rsidR="0044701D" w:rsidRPr="0012182F" w:rsidRDefault="0044701D" w:rsidP="00E62DD4">
      <w:pPr>
        <w:widowControl w:val="0"/>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 xml:space="preserve">The term </w:t>
      </w:r>
      <w:r w:rsidRPr="0012182F">
        <w:rPr>
          <w:rFonts w:ascii="Times New Roman" w:eastAsiaTheme="minorHAnsi" w:hAnsi="Times New Roman"/>
          <w:i/>
          <w:kern w:val="24"/>
          <w:lang w:eastAsia="en-US"/>
        </w:rPr>
        <w:t xml:space="preserve">carriage service provider </w:t>
      </w:r>
      <w:r w:rsidRPr="0012182F">
        <w:rPr>
          <w:rFonts w:ascii="Times New Roman" w:eastAsiaTheme="minorHAnsi" w:hAnsi="Times New Roman"/>
          <w:kern w:val="24"/>
          <w:lang w:eastAsia="en-US"/>
        </w:rPr>
        <w:t xml:space="preserve">is defined to mean the same as in section 87 of the </w:t>
      </w:r>
      <w:r w:rsidRPr="0012182F">
        <w:rPr>
          <w:rFonts w:ascii="Times New Roman" w:eastAsiaTheme="minorHAnsi" w:hAnsi="Times New Roman"/>
          <w:i/>
          <w:kern w:val="24"/>
          <w:lang w:eastAsia="en-US"/>
        </w:rPr>
        <w:t xml:space="preserve">Telecommunications Act 1997. </w:t>
      </w:r>
    </w:p>
    <w:p w14:paraId="7C317DDF" w14:textId="77777777" w:rsidR="00303EB4" w:rsidRPr="0012182F" w:rsidRDefault="00303EB4" w:rsidP="00E62DD4">
      <w:pPr>
        <w:widowControl w:val="0"/>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 xml:space="preserve">The term </w:t>
      </w:r>
      <w:r w:rsidRPr="0012182F">
        <w:rPr>
          <w:rFonts w:ascii="Times New Roman" w:eastAsiaTheme="minorHAnsi" w:hAnsi="Times New Roman"/>
          <w:i/>
          <w:kern w:val="24"/>
          <w:lang w:eastAsia="en-US"/>
        </w:rPr>
        <w:t xml:space="preserve">CSG service </w:t>
      </w:r>
      <w:r w:rsidRPr="0012182F">
        <w:rPr>
          <w:rFonts w:ascii="Times New Roman" w:eastAsiaTheme="minorHAnsi" w:hAnsi="Times New Roman"/>
          <w:kern w:val="24"/>
          <w:lang w:eastAsia="en-US"/>
        </w:rPr>
        <w:t xml:space="preserve">is defined to mean the same as in the CSG Standard. </w:t>
      </w:r>
    </w:p>
    <w:p w14:paraId="7C317DE0" w14:textId="77777777" w:rsidR="0044701D" w:rsidRPr="0012182F" w:rsidRDefault="0044701D" w:rsidP="00E62DD4">
      <w:pPr>
        <w:widowControl w:val="0"/>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 xml:space="preserve">The term </w:t>
      </w:r>
      <w:r w:rsidRPr="0012182F">
        <w:rPr>
          <w:rFonts w:ascii="Times New Roman" w:eastAsiaTheme="minorHAnsi" w:hAnsi="Times New Roman"/>
          <w:i/>
          <w:kern w:val="24"/>
          <w:lang w:eastAsia="en-US"/>
        </w:rPr>
        <w:t xml:space="preserve">CSG Standard </w:t>
      </w:r>
      <w:r w:rsidRPr="0012182F">
        <w:rPr>
          <w:rFonts w:ascii="Times New Roman" w:eastAsiaTheme="minorHAnsi" w:hAnsi="Times New Roman"/>
          <w:kern w:val="24"/>
          <w:lang w:eastAsia="en-US"/>
        </w:rPr>
        <w:t xml:space="preserve">is defined to mean an instrument made under sections 115, 117 and 120 of the Act, as in force from time to time. </w:t>
      </w:r>
    </w:p>
    <w:p w14:paraId="7C317DE1" w14:textId="77777777" w:rsidR="0067367B" w:rsidRPr="0012182F" w:rsidRDefault="00920E29" w:rsidP="00E62DD4">
      <w:pPr>
        <w:widowControl w:val="0"/>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 xml:space="preserve">The term </w:t>
      </w:r>
      <w:r w:rsidRPr="0012182F">
        <w:rPr>
          <w:rFonts w:ascii="Times New Roman" w:eastAsiaTheme="minorHAnsi" w:hAnsi="Times New Roman"/>
          <w:i/>
          <w:kern w:val="24"/>
          <w:lang w:eastAsia="en-US"/>
        </w:rPr>
        <w:t>in-place connection</w:t>
      </w:r>
      <w:r w:rsidR="0067367B" w:rsidRPr="0012182F">
        <w:rPr>
          <w:rFonts w:ascii="Times New Roman" w:eastAsiaTheme="minorHAnsi" w:hAnsi="Times New Roman"/>
          <w:i/>
          <w:kern w:val="24"/>
          <w:lang w:eastAsia="en-US"/>
        </w:rPr>
        <w:t xml:space="preserve"> </w:t>
      </w:r>
      <w:r w:rsidR="00634F9D" w:rsidRPr="0012182F">
        <w:rPr>
          <w:rFonts w:ascii="Times New Roman" w:eastAsiaTheme="minorHAnsi" w:hAnsi="Times New Roman"/>
          <w:kern w:val="24"/>
          <w:lang w:eastAsia="en-US"/>
        </w:rPr>
        <w:t xml:space="preserve">is defined to mean the same as described in the CSG Standard. The CSG Standard describes this as a connection at </w:t>
      </w:r>
      <w:r w:rsidR="0067367B" w:rsidRPr="0012182F">
        <w:rPr>
          <w:rFonts w:ascii="Times New Roman" w:eastAsiaTheme="minorHAnsi" w:hAnsi="Times New Roman"/>
          <w:kern w:val="24"/>
          <w:lang w:eastAsia="en-US"/>
        </w:rPr>
        <w:t>a site that has previously had a working standard telephone service, which can be automatically reconnected or reactivated by a CSP</w:t>
      </w:r>
      <w:r w:rsidR="00634F9D" w:rsidRPr="0012182F">
        <w:rPr>
          <w:rFonts w:ascii="Times New Roman" w:eastAsiaTheme="minorHAnsi" w:hAnsi="Times New Roman"/>
          <w:kern w:val="24"/>
          <w:lang w:eastAsia="en-US"/>
        </w:rPr>
        <w:t xml:space="preserve">. Accordingly, the Instrument defines </w:t>
      </w:r>
      <w:r w:rsidR="00634F9D" w:rsidRPr="0012182F">
        <w:rPr>
          <w:rFonts w:ascii="Times New Roman" w:eastAsiaTheme="minorHAnsi" w:hAnsi="Times New Roman"/>
          <w:i/>
          <w:kern w:val="24"/>
          <w:lang w:eastAsia="en-US"/>
        </w:rPr>
        <w:t xml:space="preserve">in-place connection request </w:t>
      </w:r>
      <w:r w:rsidR="00634F9D" w:rsidRPr="0012182F">
        <w:rPr>
          <w:rFonts w:ascii="Times New Roman" w:eastAsiaTheme="minorHAnsi" w:hAnsi="Times New Roman"/>
          <w:kern w:val="24"/>
          <w:lang w:eastAsia="en-US"/>
        </w:rPr>
        <w:t xml:space="preserve">as meaning a request by a customer for such a connection. </w:t>
      </w:r>
    </w:p>
    <w:p w14:paraId="7C317DE2" w14:textId="77777777" w:rsidR="00920E29" w:rsidRPr="0012182F" w:rsidRDefault="00920E29" w:rsidP="00E62DD4">
      <w:pPr>
        <w:widowControl w:val="0"/>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 xml:space="preserve">The term </w:t>
      </w:r>
      <w:r w:rsidRPr="0012182F">
        <w:rPr>
          <w:rFonts w:ascii="Times New Roman" w:eastAsiaTheme="minorHAnsi" w:hAnsi="Times New Roman"/>
          <w:i/>
          <w:kern w:val="24"/>
          <w:lang w:eastAsia="en-US"/>
        </w:rPr>
        <w:t xml:space="preserve">new connection request </w:t>
      </w:r>
      <w:r w:rsidRPr="0012182F">
        <w:rPr>
          <w:rFonts w:ascii="Times New Roman" w:eastAsiaTheme="minorHAnsi" w:hAnsi="Times New Roman"/>
          <w:kern w:val="24"/>
          <w:lang w:eastAsia="en-US"/>
        </w:rPr>
        <w:t>is defined to mean a request by a customer for a CSP to connect a service at a site that does not</w:t>
      </w:r>
      <w:r w:rsidR="0067367B" w:rsidRPr="0012182F">
        <w:rPr>
          <w:rFonts w:ascii="Times New Roman" w:eastAsiaTheme="minorHAnsi" w:hAnsi="Times New Roman"/>
          <w:kern w:val="24"/>
          <w:lang w:eastAsia="en-US"/>
        </w:rPr>
        <w:t xml:space="preserve"> already have a connection in</w:t>
      </w:r>
      <w:r w:rsidR="006777E8" w:rsidRPr="0012182F">
        <w:rPr>
          <w:rFonts w:ascii="Times New Roman" w:eastAsiaTheme="minorHAnsi" w:hAnsi="Times New Roman"/>
          <w:kern w:val="24"/>
          <w:lang w:eastAsia="en-US"/>
        </w:rPr>
        <w:t xml:space="preserve"> </w:t>
      </w:r>
      <w:r w:rsidR="0067367B" w:rsidRPr="0012182F">
        <w:rPr>
          <w:rFonts w:ascii="Times New Roman" w:eastAsiaTheme="minorHAnsi" w:hAnsi="Times New Roman"/>
          <w:kern w:val="24"/>
          <w:lang w:eastAsia="en-US"/>
        </w:rPr>
        <w:t xml:space="preserve">place and which is also in close proximity to existing infrastructure that can support the connection (such as external </w:t>
      </w:r>
      <w:r w:rsidR="0067367B" w:rsidRPr="0012182F">
        <w:rPr>
          <w:rFonts w:ascii="Times New Roman" w:eastAsiaTheme="minorHAnsi" w:hAnsi="Times New Roman"/>
          <w:kern w:val="24"/>
          <w:lang w:eastAsia="en-US"/>
        </w:rPr>
        <w:lastRenderedPageBreak/>
        <w:t xml:space="preserve">plant facilities). </w:t>
      </w:r>
    </w:p>
    <w:p w14:paraId="7C317DE3" w14:textId="77777777" w:rsidR="000C53DE" w:rsidRPr="0012182F" w:rsidRDefault="000C53DE" w:rsidP="00E62DD4">
      <w:pPr>
        <w:widowControl w:val="0"/>
        <w:ind w:right="91"/>
        <w:rPr>
          <w:rFonts w:ascii="Times New Roman" w:eastAsiaTheme="minorHAnsi" w:hAnsi="Times New Roman"/>
          <w:i/>
          <w:kern w:val="24"/>
          <w:lang w:eastAsia="en-US"/>
        </w:rPr>
      </w:pPr>
      <w:r w:rsidRPr="0012182F">
        <w:rPr>
          <w:rFonts w:ascii="Times New Roman" w:eastAsiaTheme="minorHAnsi" w:hAnsi="Times New Roman"/>
          <w:kern w:val="24"/>
          <w:lang w:eastAsia="en-US"/>
        </w:rPr>
        <w:t xml:space="preserve">The term </w:t>
      </w:r>
      <w:r w:rsidRPr="0012182F">
        <w:rPr>
          <w:rFonts w:ascii="Times New Roman" w:eastAsiaTheme="minorHAnsi" w:hAnsi="Times New Roman"/>
          <w:i/>
          <w:kern w:val="24"/>
          <w:lang w:eastAsia="en-US"/>
        </w:rPr>
        <w:t xml:space="preserve">new CSG Standard </w:t>
      </w:r>
      <w:r w:rsidRPr="0012182F">
        <w:rPr>
          <w:rFonts w:ascii="Times New Roman" w:eastAsiaTheme="minorHAnsi" w:hAnsi="Times New Roman"/>
          <w:kern w:val="24"/>
          <w:lang w:eastAsia="en-US"/>
        </w:rPr>
        <w:t xml:space="preserve">is defined to mean the legislative instrument made by ACMA subject to the direction in section 6 of the </w:t>
      </w:r>
      <w:r w:rsidRPr="0012182F">
        <w:rPr>
          <w:rFonts w:ascii="Times New Roman" w:eastAsiaTheme="minorHAnsi" w:hAnsi="Times New Roman"/>
          <w:i/>
          <w:kern w:val="24"/>
          <w:lang w:eastAsia="en-US"/>
        </w:rPr>
        <w:t xml:space="preserve">Telecommunications (Customer Service Guarantee) Direction 2023. </w:t>
      </w:r>
    </w:p>
    <w:p w14:paraId="7C317DE4" w14:textId="77777777" w:rsidR="005D52B4" w:rsidRPr="0012182F" w:rsidRDefault="00C112B0" w:rsidP="00E62DD4">
      <w:pPr>
        <w:widowControl w:val="0"/>
        <w:ind w:right="91"/>
        <w:rPr>
          <w:rFonts w:ascii="Times New Roman" w:hAnsi="Times New Roman"/>
        </w:rPr>
      </w:pPr>
      <w:r w:rsidRPr="0012182F">
        <w:rPr>
          <w:rFonts w:ascii="Times New Roman" w:eastAsiaTheme="minorHAnsi" w:hAnsi="Times New Roman"/>
          <w:kern w:val="24"/>
          <w:lang w:eastAsia="en-US"/>
        </w:rPr>
        <w:t xml:space="preserve">The </w:t>
      </w:r>
      <w:r w:rsidR="00303EB4" w:rsidRPr="0012182F">
        <w:rPr>
          <w:rFonts w:ascii="Times New Roman" w:eastAsiaTheme="minorHAnsi" w:hAnsi="Times New Roman"/>
          <w:kern w:val="24"/>
          <w:lang w:eastAsia="en-US"/>
        </w:rPr>
        <w:t xml:space="preserve">definition for the </w:t>
      </w:r>
      <w:r w:rsidRPr="0012182F">
        <w:rPr>
          <w:rFonts w:ascii="Times New Roman" w:eastAsiaTheme="minorHAnsi" w:hAnsi="Times New Roman"/>
          <w:kern w:val="24"/>
          <w:lang w:eastAsia="en-US"/>
        </w:rPr>
        <w:t xml:space="preserve">term </w:t>
      </w:r>
      <w:r w:rsidR="00303EB4" w:rsidRPr="0012182F">
        <w:rPr>
          <w:rFonts w:ascii="Times New Roman" w:eastAsiaTheme="minorHAnsi" w:hAnsi="Times New Roman"/>
          <w:i/>
          <w:kern w:val="24"/>
          <w:lang w:eastAsia="en-US"/>
        </w:rPr>
        <w:t xml:space="preserve">qualifying carriage service provider </w:t>
      </w:r>
      <w:r w:rsidR="00303EB4" w:rsidRPr="0012182F">
        <w:rPr>
          <w:rFonts w:ascii="Times New Roman" w:eastAsiaTheme="minorHAnsi" w:hAnsi="Times New Roman"/>
          <w:kern w:val="24"/>
          <w:lang w:eastAsia="en-US"/>
        </w:rPr>
        <w:t xml:space="preserve">provides that the performance benchmarks in relation to a benchmark period (i.e. financial year) set out in the Instrument apply to </w:t>
      </w:r>
      <w:r w:rsidR="00A03A3E" w:rsidRPr="0012182F">
        <w:rPr>
          <w:rFonts w:ascii="Times New Roman" w:eastAsiaTheme="minorHAnsi" w:hAnsi="Times New Roman"/>
          <w:kern w:val="24"/>
          <w:lang w:eastAsia="en-US"/>
        </w:rPr>
        <w:t xml:space="preserve">any </w:t>
      </w:r>
      <w:r w:rsidR="00303EB4" w:rsidRPr="0012182F">
        <w:rPr>
          <w:rFonts w:ascii="Times New Roman" w:eastAsiaTheme="minorHAnsi" w:hAnsi="Times New Roman"/>
          <w:kern w:val="24"/>
          <w:lang w:eastAsia="en-US"/>
        </w:rPr>
        <w:t xml:space="preserve">CSPs who supply 100,000 CSG services on the last day of the previous financial year. </w:t>
      </w:r>
      <w:r w:rsidR="00634F9D" w:rsidRPr="0012182F">
        <w:rPr>
          <w:rFonts w:ascii="Times New Roman" w:eastAsiaTheme="minorHAnsi" w:hAnsi="Times New Roman"/>
          <w:kern w:val="24"/>
          <w:lang w:eastAsia="en-US"/>
        </w:rPr>
        <w:t xml:space="preserve">The </w:t>
      </w:r>
      <w:r w:rsidR="006777E8" w:rsidRPr="0012182F">
        <w:rPr>
          <w:rFonts w:ascii="Times New Roman" w:eastAsiaTheme="minorHAnsi" w:hAnsi="Times New Roman"/>
          <w:kern w:val="24"/>
          <w:lang w:eastAsia="en-US"/>
        </w:rPr>
        <w:t xml:space="preserve">purpose of the </w:t>
      </w:r>
      <w:r w:rsidR="00634F9D" w:rsidRPr="0012182F">
        <w:rPr>
          <w:rFonts w:ascii="Times New Roman" w:eastAsiaTheme="minorHAnsi" w:hAnsi="Times New Roman"/>
          <w:kern w:val="24"/>
          <w:lang w:eastAsia="en-US"/>
        </w:rPr>
        <w:t xml:space="preserve">qualifying threshold of 100,000 CSG services </w:t>
      </w:r>
      <w:r w:rsidR="006777E8" w:rsidRPr="0012182F">
        <w:rPr>
          <w:rFonts w:ascii="Times New Roman" w:eastAsiaTheme="minorHAnsi" w:hAnsi="Times New Roman"/>
          <w:kern w:val="24"/>
          <w:lang w:eastAsia="en-US"/>
        </w:rPr>
        <w:t xml:space="preserve">is to limit the </w:t>
      </w:r>
      <w:r w:rsidR="00CE1863" w:rsidRPr="0012182F">
        <w:rPr>
          <w:rFonts w:ascii="Times New Roman" w:eastAsiaTheme="minorHAnsi" w:hAnsi="Times New Roman"/>
          <w:kern w:val="24"/>
          <w:lang w:eastAsia="en-US"/>
        </w:rPr>
        <w:t xml:space="preserve">application of the </w:t>
      </w:r>
      <w:r w:rsidR="006777E8" w:rsidRPr="0012182F">
        <w:rPr>
          <w:rFonts w:ascii="Times New Roman" w:eastAsiaTheme="minorHAnsi" w:hAnsi="Times New Roman"/>
          <w:kern w:val="24"/>
          <w:lang w:eastAsia="en-US"/>
        </w:rPr>
        <w:t xml:space="preserve">performance benchmarks set out in the Instrument to large CSPs that supply a significant number of CSG services. </w:t>
      </w:r>
      <w:r w:rsidR="005D52B4" w:rsidRPr="0012182F">
        <w:rPr>
          <w:rFonts w:ascii="Times New Roman" w:eastAsiaTheme="minorHAnsi" w:hAnsi="Times New Roman"/>
          <w:kern w:val="24"/>
          <w:lang w:eastAsia="en-US"/>
        </w:rPr>
        <w:t xml:space="preserve">As at July 2023, </w:t>
      </w:r>
      <w:r w:rsidR="005D52B4" w:rsidRPr="0012182F">
        <w:rPr>
          <w:rFonts w:ascii="Times New Roman" w:hAnsi="Times New Roman"/>
        </w:rPr>
        <w:t xml:space="preserve">Telstra and Optus are the only CSPs who have recently met this threshold. </w:t>
      </w:r>
      <w:r w:rsidR="000E1880" w:rsidRPr="0012182F">
        <w:rPr>
          <w:rFonts w:ascii="Times New Roman" w:hAnsi="Times New Roman"/>
        </w:rPr>
        <w:t xml:space="preserve">The Instrument also sets </w:t>
      </w:r>
      <w:r w:rsidR="000E1880" w:rsidRPr="0012182F">
        <w:rPr>
          <w:rFonts w:ascii="Times New Roman" w:eastAsiaTheme="minorHAnsi" w:hAnsi="Times New Roman"/>
          <w:kern w:val="24"/>
          <w:lang w:eastAsia="en-US"/>
        </w:rPr>
        <w:t>a</w:t>
      </w:r>
      <w:r w:rsidR="00AC636D" w:rsidRPr="0012182F">
        <w:rPr>
          <w:rFonts w:ascii="Times New Roman" w:eastAsiaTheme="minorHAnsi" w:hAnsi="Times New Roman"/>
          <w:kern w:val="24"/>
          <w:lang w:eastAsia="en-US"/>
        </w:rPr>
        <w:t xml:space="preserve">dditional thresholds </w:t>
      </w:r>
      <w:r w:rsidR="000E1880" w:rsidRPr="0012182F">
        <w:rPr>
          <w:rFonts w:ascii="Times New Roman" w:eastAsiaTheme="minorHAnsi" w:hAnsi="Times New Roman"/>
          <w:kern w:val="24"/>
          <w:lang w:eastAsia="en-US"/>
        </w:rPr>
        <w:t>that</w:t>
      </w:r>
      <w:r w:rsidR="00AC636D" w:rsidRPr="0012182F">
        <w:rPr>
          <w:rFonts w:ascii="Times New Roman" w:eastAsiaTheme="minorHAnsi" w:hAnsi="Times New Roman"/>
          <w:kern w:val="24"/>
          <w:lang w:eastAsia="en-US"/>
        </w:rPr>
        <w:t xml:space="preserve"> apply for the location-specific benchmarks as set out at section 6.</w:t>
      </w:r>
    </w:p>
    <w:p w14:paraId="7C317DE5" w14:textId="77777777" w:rsidR="00ED59DF" w:rsidRPr="0012182F" w:rsidRDefault="00634F9D" w:rsidP="00E62DD4">
      <w:pPr>
        <w:widowControl w:val="0"/>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D</w:t>
      </w:r>
      <w:r w:rsidR="003B267B" w:rsidRPr="0012182F">
        <w:rPr>
          <w:rFonts w:ascii="Times New Roman" w:eastAsiaTheme="minorHAnsi" w:hAnsi="Times New Roman"/>
          <w:kern w:val="24"/>
          <w:lang w:eastAsia="en-US"/>
        </w:rPr>
        <w:t xml:space="preserve">efinitions </w:t>
      </w:r>
      <w:r w:rsidRPr="0012182F">
        <w:rPr>
          <w:rFonts w:ascii="Times New Roman" w:eastAsiaTheme="minorHAnsi" w:hAnsi="Times New Roman"/>
          <w:kern w:val="24"/>
          <w:lang w:eastAsia="en-US"/>
        </w:rPr>
        <w:t xml:space="preserve">are also provided for the </w:t>
      </w:r>
      <w:r w:rsidR="003B267B" w:rsidRPr="0012182F">
        <w:rPr>
          <w:rFonts w:ascii="Times New Roman" w:eastAsiaTheme="minorHAnsi" w:hAnsi="Times New Roman"/>
          <w:kern w:val="24"/>
          <w:lang w:eastAsia="en-US"/>
        </w:rPr>
        <w:t xml:space="preserve">different types of geographic areas for which location-specific benchmarks apply. The population size of a given area dictates whether it is </w:t>
      </w:r>
      <w:r w:rsidR="000B1CE6" w:rsidRPr="0012182F">
        <w:rPr>
          <w:rFonts w:ascii="Times New Roman" w:eastAsiaTheme="minorHAnsi" w:hAnsi="Times New Roman"/>
          <w:kern w:val="24"/>
          <w:lang w:eastAsia="en-US"/>
        </w:rPr>
        <w:t xml:space="preserve">considered an </w:t>
      </w:r>
      <w:r w:rsidR="003B267B" w:rsidRPr="0012182F">
        <w:rPr>
          <w:rFonts w:ascii="Times New Roman" w:eastAsiaTheme="minorHAnsi" w:hAnsi="Times New Roman"/>
          <w:i/>
          <w:kern w:val="24"/>
          <w:lang w:eastAsia="en-US"/>
        </w:rPr>
        <w:t>urban area</w:t>
      </w:r>
      <w:r w:rsidR="003B267B" w:rsidRPr="0012182F">
        <w:rPr>
          <w:rFonts w:ascii="Times New Roman" w:eastAsiaTheme="minorHAnsi" w:hAnsi="Times New Roman"/>
          <w:kern w:val="24"/>
          <w:lang w:eastAsia="en-US"/>
        </w:rPr>
        <w:t xml:space="preserve"> (pop. 10,000</w:t>
      </w:r>
      <w:r w:rsidR="00727DC9" w:rsidRPr="0012182F">
        <w:rPr>
          <w:rFonts w:ascii="Times New Roman" w:eastAsiaTheme="minorHAnsi" w:hAnsi="Times New Roman"/>
          <w:kern w:val="24"/>
          <w:lang w:eastAsia="en-US"/>
        </w:rPr>
        <w:t xml:space="preserve"> or more</w:t>
      </w:r>
      <w:r w:rsidR="003B267B" w:rsidRPr="0012182F">
        <w:rPr>
          <w:rFonts w:ascii="Times New Roman" w:eastAsiaTheme="minorHAnsi" w:hAnsi="Times New Roman"/>
          <w:kern w:val="24"/>
          <w:lang w:eastAsia="en-US"/>
        </w:rPr>
        <w:t>)</w:t>
      </w:r>
      <w:r w:rsidR="000B1CE6" w:rsidRPr="0012182F">
        <w:rPr>
          <w:rFonts w:ascii="Times New Roman" w:eastAsiaTheme="minorHAnsi" w:hAnsi="Times New Roman"/>
          <w:kern w:val="24"/>
          <w:lang w:eastAsia="en-US"/>
        </w:rPr>
        <w:t xml:space="preserve">, </w:t>
      </w:r>
      <w:r w:rsidR="00CE1863" w:rsidRPr="0012182F">
        <w:rPr>
          <w:rFonts w:ascii="Times New Roman" w:eastAsiaTheme="minorHAnsi" w:hAnsi="Times New Roman"/>
          <w:i/>
          <w:kern w:val="24"/>
          <w:lang w:eastAsia="en-US"/>
        </w:rPr>
        <w:t xml:space="preserve">rural area </w:t>
      </w:r>
      <w:r w:rsidR="00CE1863" w:rsidRPr="0012182F">
        <w:rPr>
          <w:rFonts w:ascii="Times New Roman" w:eastAsiaTheme="minorHAnsi" w:hAnsi="Times New Roman"/>
          <w:kern w:val="24"/>
          <w:lang w:eastAsia="en-US"/>
        </w:rPr>
        <w:t>(201-9</w:t>
      </w:r>
      <w:r w:rsidR="00A03A3E" w:rsidRPr="0012182F">
        <w:rPr>
          <w:rFonts w:ascii="Times New Roman" w:eastAsiaTheme="minorHAnsi" w:hAnsi="Times New Roman"/>
          <w:kern w:val="24"/>
          <w:lang w:eastAsia="en-US"/>
        </w:rPr>
        <w:t>,</w:t>
      </w:r>
      <w:r w:rsidR="00CE1863" w:rsidRPr="0012182F">
        <w:rPr>
          <w:rFonts w:ascii="Times New Roman" w:eastAsiaTheme="minorHAnsi" w:hAnsi="Times New Roman"/>
          <w:kern w:val="24"/>
          <w:lang w:eastAsia="en-US"/>
        </w:rPr>
        <w:t xml:space="preserve">999), </w:t>
      </w:r>
      <w:r w:rsidR="003B267B" w:rsidRPr="0012182F">
        <w:rPr>
          <w:rFonts w:ascii="Times New Roman" w:eastAsiaTheme="minorHAnsi" w:hAnsi="Times New Roman"/>
          <w:i/>
          <w:kern w:val="24"/>
          <w:lang w:eastAsia="en-US"/>
        </w:rPr>
        <w:t>major rural area</w:t>
      </w:r>
      <w:r w:rsidR="00BF06A0" w:rsidRPr="0012182F">
        <w:rPr>
          <w:rFonts w:ascii="Times New Roman" w:eastAsiaTheme="minorHAnsi" w:hAnsi="Times New Roman"/>
          <w:i/>
          <w:kern w:val="24"/>
          <w:lang w:eastAsia="en-US"/>
        </w:rPr>
        <w:t xml:space="preserve"> </w:t>
      </w:r>
      <w:r w:rsidR="00BF06A0" w:rsidRPr="0012182F">
        <w:rPr>
          <w:rFonts w:ascii="Times New Roman" w:eastAsiaTheme="minorHAnsi" w:hAnsi="Times New Roman"/>
          <w:kern w:val="24"/>
          <w:lang w:eastAsia="en-US"/>
        </w:rPr>
        <w:t>(2,501-9</w:t>
      </w:r>
      <w:r w:rsidR="00A03A3E" w:rsidRPr="0012182F">
        <w:rPr>
          <w:rFonts w:ascii="Times New Roman" w:eastAsiaTheme="minorHAnsi" w:hAnsi="Times New Roman"/>
          <w:kern w:val="24"/>
          <w:lang w:eastAsia="en-US"/>
        </w:rPr>
        <w:t>,</w:t>
      </w:r>
      <w:r w:rsidR="00BF06A0" w:rsidRPr="0012182F">
        <w:rPr>
          <w:rFonts w:ascii="Times New Roman" w:eastAsiaTheme="minorHAnsi" w:hAnsi="Times New Roman"/>
          <w:kern w:val="24"/>
          <w:lang w:eastAsia="en-US"/>
        </w:rPr>
        <w:t>999)</w:t>
      </w:r>
      <w:r w:rsidR="003B267B" w:rsidRPr="0012182F">
        <w:rPr>
          <w:rFonts w:ascii="Times New Roman" w:eastAsiaTheme="minorHAnsi" w:hAnsi="Times New Roman"/>
          <w:i/>
          <w:kern w:val="24"/>
          <w:lang w:eastAsia="en-US"/>
        </w:rPr>
        <w:t>, minor rural area</w:t>
      </w:r>
      <w:r w:rsidR="00BF06A0" w:rsidRPr="0012182F">
        <w:rPr>
          <w:rFonts w:ascii="Times New Roman" w:eastAsiaTheme="minorHAnsi" w:hAnsi="Times New Roman"/>
          <w:i/>
          <w:kern w:val="24"/>
          <w:lang w:eastAsia="en-US"/>
        </w:rPr>
        <w:t xml:space="preserve"> </w:t>
      </w:r>
      <w:r w:rsidR="00BF06A0" w:rsidRPr="0012182F">
        <w:rPr>
          <w:rFonts w:ascii="Times New Roman" w:eastAsiaTheme="minorHAnsi" w:hAnsi="Times New Roman"/>
          <w:kern w:val="24"/>
          <w:lang w:eastAsia="en-US"/>
        </w:rPr>
        <w:t>(201-2,500)</w:t>
      </w:r>
      <w:r w:rsidR="003B267B" w:rsidRPr="0012182F">
        <w:rPr>
          <w:rFonts w:ascii="Times New Roman" w:eastAsiaTheme="minorHAnsi" w:hAnsi="Times New Roman"/>
          <w:i/>
          <w:kern w:val="24"/>
          <w:lang w:eastAsia="en-US"/>
        </w:rPr>
        <w:t xml:space="preserve">, </w:t>
      </w:r>
      <w:r w:rsidR="00BF06A0" w:rsidRPr="0012182F">
        <w:rPr>
          <w:rFonts w:ascii="Times New Roman" w:eastAsiaTheme="minorHAnsi" w:hAnsi="Times New Roman"/>
          <w:kern w:val="24"/>
          <w:lang w:eastAsia="en-US"/>
        </w:rPr>
        <w:t>or</w:t>
      </w:r>
      <w:r w:rsidR="003B267B" w:rsidRPr="0012182F">
        <w:rPr>
          <w:rFonts w:ascii="Times New Roman" w:eastAsiaTheme="minorHAnsi" w:hAnsi="Times New Roman"/>
          <w:i/>
          <w:kern w:val="24"/>
          <w:lang w:eastAsia="en-US"/>
        </w:rPr>
        <w:t xml:space="preserve"> remote area</w:t>
      </w:r>
      <w:r w:rsidR="00BF06A0" w:rsidRPr="0012182F">
        <w:rPr>
          <w:rFonts w:ascii="Times New Roman" w:eastAsiaTheme="minorHAnsi" w:hAnsi="Times New Roman"/>
          <w:i/>
          <w:kern w:val="24"/>
          <w:lang w:eastAsia="en-US"/>
        </w:rPr>
        <w:t xml:space="preserve"> </w:t>
      </w:r>
      <w:r w:rsidR="00BF06A0" w:rsidRPr="0012182F">
        <w:rPr>
          <w:rFonts w:ascii="Times New Roman" w:eastAsiaTheme="minorHAnsi" w:hAnsi="Times New Roman"/>
          <w:kern w:val="24"/>
          <w:lang w:eastAsia="en-US"/>
        </w:rPr>
        <w:t>(200 or less)</w:t>
      </w:r>
      <w:r w:rsidR="003B267B" w:rsidRPr="0012182F">
        <w:rPr>
          <w:rFonts w:ascii="Times New Roman" w:eastAsiaTheme="minorHAnsi" w:hAnsi="Times New Roman"/>
          <w:i/>
          <w:kern w:val="24"/>
          <w:lang w:eastAsia="en-US"/>
        </w:rPr>
        <w:t xml:space="preserve"> </w:t>
      </w:r>
      <w:r w:rsidR="000B1CE6" w:rsidRPr="0012182F">
        <w:rPr>
          <w:rFonts w:ascii="Times New Roman" w:eastAsiaTheme="minorHAnsi" w:hAnsi="Times New Roman"/>
          <w:kern w:val="24"/>
          <w:lang w:eastAsia="en-US"/>
        </w:rPr>
        <w:t>for the purpose of the Instrument.</w:t>
      </w:r>
      <w:r w:rsidR="003B267B" w:rsidRPr="0012182F">
        <w:rPr>
          <w:rFonts w:ascii="Times New Roman" w:eastAsiaTheme="minorHAnsi" w:hAnsi="Times New Roman"/>
          <w:kern w:val="24"/>
          <w:lang w:eastAsia="en-US"/>
        </w:rPr>
        <w:t xml:space="preserve"> </w:t>
      </w:r>
      <w:r w:rsidR="000B1CE6" w:rsidRPr="0012182F">
        <w:rPr>
          <w:rFonts w:ascii="Times New Roman" w:eastAsiaTheme="minorHAnsi" w:hAnsi="Times New Roman"/>
          <w:kern w:val="24"/>
          <w:lang w:eastAsia="en-US"/>
        </w:rPr>
        <w:t xml:space="preserve">The meaning of each of these terms </w:t>
      </w:r>
      <w:r w:rsidR="00CE1863" w:rsidRPr="0012182F">
        <w:rPr>
          <w:rFonts w:ascii="Times New Roman" w:eastAsiaTheme="minorHAnsi" w:hAnsi="Times New Roman"/>
          <w:kern w:val="24"/>
          <w:lang w:eastAsia="en-US"/>
        </w:rPr>
        <w:t>is</w:t>
      </w:r>
      <w:r w:rsidR="000B1CE6" w:rsidRPr="0012182F">
        <w:rPr>
          <w:rFonts w:ascii="Times New Roman" w:eastAsiaTheme="minorHAnsi" w:hAnsi="Times New Roman"/>
          <w:kern w:val="24"/>
          <w:lang w:eastAsia="en-US"/>
        </w:rPr>
        <w:t xml:space="preserve"> the same as in the CSG Standard. </w:t>
      </w:r>
    </w:p>
    <w:p w14:paraId="7C317DE6" w14:textId="30EA28AF" w:rsidR="004639C6" w:rsidRPr="0012182F" w:rsidRDefault="004639C6" w:rsidP="00C112B0">
      <w:pPr>
        <w:widowControl w:val="0"/>
        <w:spacing w:after="60"/>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 xml:space="preserve">Subsection 4(2) provides that where the Instrument uses expressions that are also used in the CSG Standard, those expressions have the same meaning as in the CSG Standard, unless the contrary </w:t>
      </w:r>
      <w:r w:rsidR="00C112B0" w:rsidRPr="0012182F">
        <w:rPr>
          <w:rFonts w:ascii="Times New Roman" w:eastAsiaTheme="minorHAnsi" w:hAnsi="Times New Roman"/>
          <w:kern w:val="24"/>
          <w:lang w:eastAsia="en-US"/>
        </w:rPr>
        <w:t xml:space="preserve">intention appears. </w:t>
      </w:r>
      <w:r w:rsidR="001420FC" w:rsidRPr="0012182F">
        <w:rPr>
          <w:rFonts w:ascii="Times New Roman" w:eastAsiaTheme="minorHAnsi" w:hAnsi="Times New Roman"/>
          <w:kern w:val="24"/>
          <w:lang w:eastAsia="en-US"/>
        </w:rPr>
        <w:t>This reflects that the CSG Standard sets out the operative detai</w:t>
      </w:r>
      <w:r w:rsidR="0013030C" w:rsidRPr="0012182F">
        <w:rPr>
          <w:rFonts w:ascii="Times New Roman" w:eastAsiaTheme="minorHAnsi" w:hAnsi="Times New Roman"/>
          <w:kern w:val="24"/>
          <w:lang w:eastAsia="en-US"/>
        </w:rPr>
        <w:t xml:space="preserve">ls of the CSG framework, including the definitions of many terms that are also used in the Instrument. </w:t>
      </w:r>
      <w:r w:rsidR="00C112B0" w:rsidRPr="0012182F">
        <w:rPr>
          <w:rFonts w:ascii="Times New Roman" w:eastAsiaTheme="minorHAnsi" w:hAnsi="Times New Roman"/>
          <w:kern w:val="24"/>
          <w:lang w:eastAsia="en-US"/>
        </w:rPr>
        <w:t>Some examples of terms used in the Instrument which are intended to have the same meaning as in the CSG Standard include:</w:t>
      </w:r>
    </w:p>
    <w:p w14:paraId="7C317DE7" w14:textId="77777777" w:rsidR="00C112B0" w:rsidRPr="0012182F" w:rsidRDefault="00C112B0" w:rsidP="00C112B0">
      <w:pPr>
        <w:pStyle w:val="ListParagraph"/>
        <w:widowControl w:val="0"/>
        <w:numPr>
          <w:ilvl w:val="0"/>
          <w:numId w:val="6"/>
        </w:numPr>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customer;</w:t>
      </w:r>
    </w:p>
    <w:p w14:paraId="7C317DE8" w14:textId="77777777" w:rsidR="001420FC" w:rsidRPr="0012182F" w:rsidRDefault="001420FC" w:rsidP="00C112B0">
      <w:pPr>
        <w:pStyle w:val="ListParagraph"/>
        <w:widowControl w:val="0"/>
        <w:numPr>
          <w:ilvl w:val="0"/>
          <w:numId w:val="6"/>
        </w:numPr>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enhanced call handling feature;</w:t>
      </w:r>
    </w:p>
    <w:p w14:paraId="7C317DE9" w14:textId="77777777" w:rsidR="00C112B0" w:rsidRPr="0012182F" w:rsidRDefault="00C112B0" w:rsidP="00C112B0">
      <w:pPr>
        <w:pStyle w:val="ListParagraph"/>
        <w:widowControl w:val="0"/>
        <w:numPr>
          <w:ilvl w:val="0"/>
          <w:numId w:val="6"/>
        </w:numPr>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fault or service difficulty;</w:t>
      </w:r>
    </w:p>
    <w:p w14:paraId="7C317DEA" w14:textId="77777777" w:rsidR="00C112B0" w:rsidRPr="0012182F" w:rsidRDefault="00C112B0" w:rsidP="00C112B0">
      <w:pPr>
        <w:pStyle w:val="ListParagraph"/>
        <w:widowControl w:val="0"/>
        <w:numPr>
          <w:ilvl w:val="0"/>
          <w:numId w:val="6"/>
        </w:numPr>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guaranteed maximum connection period;</w:t>
      </w:r>
    </w:p>
    <w:p w14:paraId="7C317DEB" w14:textId="77777777" w:rsidR="00C112B0" w:rsidRPr="0012182F" w:rsidRDefault="00C112B0" w:rsidP="00C112B0">
      <w:pPr>
        <w:pStyle w:val="ListParagraph"/>
        <w:widowControl w:val="0"/>
        <w:numPr>
          <w:ilvl w:val="0"/>
          <w:numId w:val="6"/>
        </w:numPr>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guaranteed maximum rectification period;</w:t>
      </w:r>
    </w:p>
    <w:p w14:paraId="7C317DEC" w14:textId="77777777" w:rsidR="00C112B0" w:rsidRPr="0012182F" w:rsidRDefault="00C112B0" w:rsidP="00C112B0">
      <w:pPr>
        <w:pStyle w:val="ListParagraph"/>
        <w:widowControl w:val="0"/>
        <w:numPr>
          <w:ilvl w:val="0"/>
          <w:numId w:val="6"/>
        </w:numPr>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 xml:space="preserve">locality; </w:t>
      </w:r>
      <w:r w:rsidR="00191FEB" w:rsidRPr="0012182F">
        <w:rPr>
          <w:rFonts w:ascii="Times New Roman" w:eastAsiaTheme="minorHAnsi" w:hAnsi="Times New Roman"/>
          <w:kern w:val="24"/>
          <w:lang w:eastAsia="en-US"/>
        </w:rPr>
        <w:t>and</w:t>
      </w:r>
    </w:p>
    <w:p w14:paraId="7C317DED" w14:textId="77777777" w:rsidR="00191FEB" w:rsidRPr="0012182F" w:rsidRDefault="00C112B0" w:rsidP="00191FEB">
      <w:pPr>
        <w:pStyle w:val="ListParagraph"/>
        <w:widowControl w:val="0"/>
        <w:numPr>
          <w:ilvl w:val="0"/>
          <w:numId w:val="6"/>
        </w:numPr>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performance standard</w:t>
      </w:r>
      <w:r w:rsidR="00191FEB" w:rsidRPr="0012182F">
        <w:rPr>
          <w:rFonts w:ascii="Times New Roman" w:eastAsiaTheme="minorHAnsi" w:hAnsi="Times New Roman"/>
          <w:kern w:val="24"/>
          <w:lang w:eastAsia="en-US"/>
        </w:rPr>
        <w:t xml:space="preserve">. </w:t>
      </w:r>
    </w:p>
    <w:p w14:paraId="7C317DEE" w14:textId="562692F9" w:rsidR="000C53DE" w:rsidRPr="0012182F" w:rsidRDefault="00C112B0" w:rsidP="00A74CBF">
      <w:pPr>
        <w:widowControl w:val="0"/>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Subsection 4(3) provides t</w:t>
      </w:r>
      <w:r w:rsidR="00612B95" w:rsidRPr="0012182F">
        <w:rPr>
          <w:rFonts w:ascii="Times New Roman" w:eastAsiaTheme="minorHAnsi" w:hAnsi="Times New Roman"/>
          <w:kern w:val="24"/>
          <w:lang w:eastAsia="en-US"/>
        </w:rPr>
        <w:t>hat a benchmark period is taken to mean the</w:t>
      </w:r>
      <w:r w:rsidR="00594F1F" w:rsidRPr="0012182F">
        <w:rPr>
          <w:rFonts w:ascii="Times New Roman" w:eastAsiaTheme="minorHAnsi" w:hAnsi="Times New Roman"/>
          <w:kern w:val="24"/>
          <w:lang w:eastAsia="en-US"/>
        </w:rPr>
        <w:t xml:space="preserve"> period covering the</w:t>
      </w:r>
      <w:r w:rsidR="00612B95" w:rsidRPr="0012182F">
        <w:rPr>
          <w:rFonts w:ascii="Times New Roman" w:eastAsiaTheme="minorHAnsi" w:hAnsi="Times New Roman"/>
          <w:kern w:val="24"/>
          <w:lang w:eastAsia="en-US"/>
        </w:rPr>
        <w:t xml:space="preserve"> financial year in which the Instrument commences </w:t>
      </w:r>
      <w:r w:rsidR="00594F1F" w:rsidRPr="0012182F">
        <w:rPr>
          <w:rFonts w:ascii="Times New Roman" w:eastAsiaTheme="minorHAnsi" w:hAnsi="Times New Roman"/>
          <w:kern w:val="24"/>
          <w:lang w:eastAsia="en-US"/>
        </w:rPr>
        <w:t>as well as the period covering</w:t>
      </w:r>
      <w:r w:rsidR="00612B95" w:rsidRPr="0012182F">
        <w:rPr>
          <w:rFonts w:ascii="Times New Roman" w:eastAsiaTheme="minorHAnsi" w:hAnsi="Times New Roman"/>
          <w:kern w:val="24"/>
          <w:lang w:eastAsia="en-US"/>
        </w:rPr>
        <w:t xml:space="preserve"> each subsequent financial year. Given the </w:t>
      </w:r>
      <w:r w:rsidR="00132279" w:rsidRPr="0012182F">
        <w:rPr>
          <w:rFonts w:ascii="Times New Roman" w:eastAsiaTheme="minorHAnsi" w:hAnsi="Times New Roman"/>
          <w:kern w:val="24"/>
          <w:lang w:eastAsia="en-US"/>
        </w:rPr>
        <w:t>I</w:t>
      </w:r>
      <w:r w:rsidR="00612B95" w:rsidRPr="0012182F">
        <w:rPr>
          <w:rFonts w:ascii="Times New Roman" w:eastAsiaTheme="minorHAnsi" w:hAnsi="Times New Roman"/>
          <w:kern w:val="24"/>
          <w:lang w:eastAsia="en-US"/>
        </w:rPr>
        <w:t xml:space="preserve">nstrument will commence </w:t>
      </w:r>
      <w:r w:rsidR="00957682" w:rsidRPr="0012182F">
        <w:rPr>
          <w:rFonts w:ascii="Times New Roman" w:eastAsiaTheme="minorHAnsi" w:hAnsi="Times New Roman"/>
          <w:kern w:val="24"/>
          <w:lang w:eastAsia="en-US"/>
        </w:rPr>
        <w:t>during the 2023-24 financial year, this provision ensure</w:t>
      </w:r>
      <w:r w:rsidR="00A74CBF" w:rsidRPr="0012182F">
        <w:rPr>
          <w:rFonts w:ascii="Times New Roman" w:eastAsiaTheme="minorHAnsi" w:hAnsi="Times New Roman"/>
          <w:kern w:val="24"/>
          <w:lang w:eastAsia="en-US"/>
        </w:rPr>
        <w:t>s</w:t>
      </w:r>
      <w:r w:rsidR="00957682" w:rsidRPr="0012182F">
        <w:rPr>
          <w:rFonts w:ascii="Times New Roman" w:eastAsiaTheme="minorHAnsi" w:hAnsi="Times New Roman"/>
          <w:kern w:val="24"/>
          <w:lang w:eastAsia="en-US"/>
        </w:rPr>
        <w:t xml:space="preserve"> the first benchmark period includes the full financial year</w:t>
      </w:r>
      <w:r w:rsidR="005B3E05" w:rsidRPr="0012182F">
        <w:rPr>
          <w:rFonts w:ascii="Times New Roman" w:eastAsiaTheme="minorHAnsi" w:hAnsi="Times New Roman"/>
          <w:kern w:val="24"/>
          <w:lang w:eastAsia="en-US"/>
        </w:rPr>
        <w:t xml:space="preserve"> from</w:t>
      </w:r>
      <w:r w:rsidR="00B43F60" w:rsidRPr="0012182F">
        <w:rPr>
          <w:rFonts w:ascii="Times New Roman" w:eastAsiaTheme="minorHAnsi" w:hAnsi="Times New Roman"/>
          <w:kern w:val="24"/>
          <w:lang w:eastAsia="en-US"/>
        </w:rPr>
        <w:br/>
      </w:r>
      <w:r w:rsidR="005B3E05" w:rsidRPr="0012182F">
        <w:rPr>
          <w:rFonts w:ascii="Times New Roman" w:eastAsiaTheme="minorHAnsi" w:hAnsi="Times New Roman"/>
          <w:kern w:val="24"/>
          <w:lang w:eastAsia="en-US"/>
        </w:rPr>
        <w:t xml:space="preserve">  July 2023</w:t>
      </w:r>
      <w:r w:rsidR="0044536D" w:rsidRPr="0012182F">
        <w:rPr>
          <w:rFonts w:ascii="Times New Roman" w:eastAsiaTheme="minorHAnsi" w:hAnsi="Times New Roman"/>
          <w:kern w:val="24"/>
          <w:lang w:eastAsia="en-US"/>
        </w:rPr>
        <w:t xml:space="preserve"> </w:t>
      </w:r>
      <w:r w:rsidR="00957682" w:rsidRPr="0012182F">
        <w:rPr>
          <w:rFonts w:ascii="Times New Roman" w:eastAsiaTheme="minorHAnsi" w:hAnsi="Times New Roman"/>
          <w:kern w:val="24"/>
          <w:lang w:eastAsia="en-US"/>
        </w:rPr>
        <w:t xml:space="preserve">until </w:t>
      </w:r>
      <w:r w:rsidR="00A03A3E" w:rsidRPr="0012182F">
        <w:rPr>
          <w:rFonts w:ascii="Times New Roman" w:eastAsiaTheme="minorHAnsi" w:hAnsi="Times New Roman"/>
          <w:kern w:val="24"/>
          <w:lang w:eastAsia="en-US"/>
        </w:rPr>
        <w:t xml:space="preserve">30 </w:t>
      </w:r>
      <w:r w:rsidR="00957682" w:rsidRPr="0012182F">
        <w:rPr>
          <w:rFonts w:ascii="Times New Roman" w:eastAsiaTheme="minorHAnsi" w:hAnsi="Times New Roman"/>
          <w:kern w:val="24"/>
          <w:lang w:eastAsia="en-US"/>
        </w:rPr>
        <w:t>June 2024</w:t>
      </w:r>
      <w:r w:rsidR="0044536D" w:rsidRPr="0012182F">
        <w:rPr>
          <w:rFonts w:ascii="Times New Roman" w:eastAsiaTheme="minorHAnsi" w:hAnsi="Times New Roman"/>
          <w:kern w:val="24"/>
          <w:lang w:eastAsia="en-US"/>
        </w:rPr>
        <w:t>.</w:t>
      </w:r>
      <w:r w:rsidR="000C53DE" w:rsidRPr="0012182F">
        <w:rPr>
          <w:rFonts w:ascii="Times New Roman" w:eastAsiaTheme="minorHAnsi" w:hAnsi="Times New Roman"/>
          <w:kern w:val="24"/>
          <w:lang w:eastAsia="en-US"/>
        </w:rPr>
        <w:t xml:space="preserve"> </w:t>
      </w:r>
      <w:r w:rsidR="005368AF" w:rsidRPr="0012182F">
        <w:rPr>
          <w:rFonts w:ascii="Times New Roman" w:eastAsiaTheme="minorHAnsi" w:hAnsi="Times New Roman"/>
          <w:kern w:val="24"/>
          <w:lang w:eastAsia="en-US"/>
        </w:rPr>
        <w:t xml:space="preserve">Subsection </w:t>
      </w:r>
      <w:r w:rsidR="002E6604" w:rsidRPr="0012182F">
        <w:rPr>
          <w:rFonts w:ascii="Times New Roman" w:eastAsiaTheme="minorHAnsi" w:hAnsi="Times New Roman"/>
          <w:kern w:val="24"/>
          <w:lang w:eastAsia="en-US"/>
        </w:rPr>
        <w:t>4(3)</w:t>
      </w:r>
      <w:r w:rsidR="0044536D" w:rsidRPr="0012182F">
        <w:rPr>
          <w:rFonts w:ascii="Times New Roman" w:eastAsiaTheme="minorHAnsi" w:hAnsi="Times New Roman"/>
          <w:kern w:val="24"/>
          <w:lang w:eastAsia="en-US"/>
        </w:rPr>
        <w:t xml:space="preserve"> is intended to ensure</w:t>
      </w:r>
      <w:r w:rsidR="00E1724D" w:rsidRPr="0012182F">
        <w:rPr>
          <w:rFonts w:ascii="Times New Roman" w:eastAsiaTheme="minorHAnsi" w:hAnsi="Times New Roman"/>
          <w:kern w:val="24"/>
          <w:lang w:eastAsia="en-US"/>
        </w:rPr>
        <w:t xml:space="preserve"> continuity between the 2011 </w:t>
      </w:r>
      <w:r w:rsidR="00066968" w:rsidRPr="0012182F">
        <w:rPr>
          <w:rFonts w:ascii="Times New Roman" w:eastAsiaTheme="minorHAnsi" w:hAnsi="Times New Roman"/>
          <w:kern w:val="24"/>
          <w:lang w:eastAsia="en-US"/>
        </w:rPr>
        <w:t>CSG Benchmarks I</w:t>
      </w:r>
      <w:r w:rsidR="00E1724D" w:rsidRPr="0012182F">
        <w:rPr>
          <w:rFonts w:ascii="Times New Roman" w:eastAsiaTheme="minorHAnsi" w:hAnsi="Times New Roman"/>
          <w:kern w:val="24"/>
          <w:lang w:eastAsia="en-US"/>
        </w:rPr>
        <w:t>nstrument</w:t>
      </w:r>
      <w:r w:rsidR="0044536D" w:rsidRPr="0012182F">
        <w:rPr>
          <w:rFonts w:ascii="Times New Roman" w:eastAsiaTheme="minorHAnsi" w:hAnsi="Times New Roman"/>
          <w:kern w:val="24"/>
          <w:lang w:eastAsia="en-US"/>
        </w:rPr>
        <w:t xml:space="preserve"> (which will be repealed)</w:t>
      </w:r>
      <w:r w:rsidR="00E1724D" w:rsidRPr="0012182F">
        <w:rPr>
          <w:rFonts w:ascii="Times New Roman" w:eastAsiaTheme="minorHAnsi" w:hAnsi="Times New Roman"/>
          <w:kern w:val="24"/>
          <w:lang w:eastAsia="en-US"/>
        </w:rPr>
        <w:t xml:space="preserve"> and the 2023 Instrument</w:t>
      </w:r>
      <w:r w:rsidR="00AD0C33" w:rsidRPr="0012182F">
        <w:rPr>
          <w:rFonts w:ascii="Times New Roman" w:eastAsiaTheme="minorHAnsi" w:hAnsi="Times New Roman"/>
          <w:kern w:val="24"/>
          <w:lang w:eastAsia="en-US"/>
        </w:rPr>
        <w:t>,</w:t>
      </w:r>
      <w:r w:rsidR="0044536D" w:rsidRPr="0012182F">
        <w:rPr>
          <w:rFonts w:ascii="Times New Roman" w:eastAsiaTheme="minorHAnsi" w:hAnsi="Times New Roman"/>
          <w:kern w:val="24"/>
          <w:lang w:eastAsia="en-US"/>
        </w:rPr>
        <w:t xml:space="preserve"> </w:t>
      </w:r>
      <w:r w:rsidR="00A74CBF" w:rsidRPr="0012182F">
        <w:rPr>
          <w:rFonts w:ascii="Times New Roman" w:eastAsiaTheme="minorHAnsi" w:hAnsi="Times New Roman"/>
          <w:kern w:val="24"/>
          <w:lang w:eastAsia="en-US"/>
        </w:rPr>
        <w:t xml:space="preserve">as the </w:t>
      </w:r>
      <w:r w:rsidR="00455C6A" w:rsidRPr="0012182F">
        <w:rPr>
          <w:rFonts w:ascii="Times New Roman" w:eastAsiaTheme="minorHAnsi" w:hAnsi="Times New Roman"/>
          <w:kern w:val="24"/>
          <w:lang w:eastAsia="en-US"/>
        </w:rPr>
        <w:t>2023 Instrument</w:t>
      </w:r>
      <w:r w:rsidR="00E1724D" w:rsidRPr="0012182F">
        <w:rPr>
          <w:rFonts w:ascii="Times New Roman" w:eastAsiaTheme="minorHAnsi" w:hAnsi="Times New Roman"/>
          <w:kern w:val="24"/>
          <w:lang w:eastAsia="en-US"/>
        </w:rPr>
        <w:t xml:space="preserve"> </w:t>
      </w:r>
      <w:r w:rsidR="005368AF" w:rsidRPr="0012182F">
        <w:rPr>
          <w:rFonts w:ascii="Times New Roman" w:eastAsiaTheme="minorHAnsi" w:hAnsi="Times New Roman"/>
          <w:kern w:val="24"/>
          <w:lang w:eastAsia="en-US"/>
        </w:rPr>
        <w:t>includes the same</w:t>
      </w:r>
      <w:r w:rsidR="00A74CBF" w:rsidRPr="0012182F">
        <w:rPr>
          <w:rFonts w:ascii="Times New Roman" w:eastAsiaTheme="minorHAnsi" w:hAnsi="Times New Roman"/>
          <w:kern w:val="24"/>
          <w:lang w:eastAsia="en-US"/>
        </w:rPr>
        <w:t xml:space="preserve"> </w:t>
      </w:r>
      <w:r w:rsidR="00455C6A" w:rsidRPr="0012182F">
        <w:rPr>
          <w:rFonts w:ascii="Times New Roman" w:eastAsiaTheme="minorHAnsi" w:hAnsi="Times New Roman"/>
          <w:kern w:val="24"/>
          <w:lang w:eastAsia="en-US"/>
        </w:rPr>
        <w:t xml:space="preserve">benchmarks </w:t>
      </w:r>
      <w:r w:rsidR="005368AF" w:rsidRPr="0012182F">
        <w:rPr>
          <w:rFonts w:ascii="Times New Roman" w:eastAsiaTheme="minorHAnsi" w:hAnsi="Times New Roman"/>
          <w:kern w:val="24"/>
          <w:lang w:eastAsia="en-US"/>
        </w:rPr>
        <w:t xml:space="preserve">and thresholds </w:t>
      </w:r>
      <w:r w:rsidR="00A74CBF" w:rsidRPr="0012182F">
        <w:rPr>
          <w:rFonts w:ascii="Times New Roman" w:eastAsiaTheme="minorHAnsi" w:hAnsi="Times New Roman"/>
          <w:kern w:val="24"/>
          <w:lang w:eastAsia="en-US"/>
        </w:rPr>
        <w:t xml:space="preserve">as </w:t>
      </w:r>
      <w:r w:rsidR="002E6604" w:rsidRPr="0012182F">
        <w:rPr>
          <w:rFonts w:ascii="Times New Roman" w:eastAsiaTheme="minorHAnsi" w:hAnsi="Times New Roman"/>
          <w:kern w:val="24"/>
          <w:lang w:eastAsia="en-US"/>
        </w:rPr>
        <w:t xml:space="preserve">otherwise </w:t>
      </w:r>
      <w:r w:rsidR="00A74CBF" w:rsidRPr="0012182F">
        <w:rPr>
          <w:rFonts w:ascii="Times New Roman" w:eastAsiaTheme="minorHAnsi" w:hAnsi="Times New Roman"/>
          <w:kern w:val="24"/>
          <w:lang w:eastAsia="en-US"/>
        </w:rPr>
        <w:t xml:space="preserve">set out </w:t>
      </w:r>
      <w:r w:rsidR="00455C6A" w:rsidRPr="0012182F">
        <w:rPr>
          <w:rFonts w:ascii="Times New Roman" w:eastAsiaTheme="minorHAnsi" w:hAnsi="Times New Roman"/>
          <w:kern w:val="24"/>
          <w:lang w:eastAsia="en-US"/>
        </w:rPr>
        <w:t>within the 2011 Instrument</w:t>
      </w:r>
      <w:r w:rsidR="002F10B3" w:rsidRPr="0012182F">
        <w:rPr>
          <w:rFonts w:ascii="Times New Roman" w:eastAsiaTheme="minorHAnsi" w:hAnsi="Times New Roman"/>
          <w:kern w:val="24"/>
          <w:lang w:eastAsia="en-US"/>
        </w:rPr>
        <w:t>,</w:t>
      </w:r>
      <w:r w:rsidR="005D126E" w:rsidRPr="0012182F">
        <w:rPr>
          <w:rFonts w:ascii="Times New Roman" w:eastAsiaTheme="minorHAnsi" w:hAnsi="Times New Roman"/>
          <w:kern w:val="24"/>
          <w:lang w:eastAsia="en-US"/>
        </w:rPr>
        <w:t xml:space="preserve"> and will not result in any chang</w:t>
      </w:r>
      <w:r w:rsidR="00DB63CA" w:rsidRPr="0012182F">
        <w:rPr>
          <w:rFonts w:ascii="Times New Roman" w:eastAsiaTheme="minorHAnsi" w:hAnsi="Times New Roman"/>
          <w:kern w:val="24"/>
          <w:lang w:eastAsia="en-US"/>
        </w:rPr>
        <w:t xml:space="preserve">e in requirements </w:t>
      </w:r>
      <w:r w:rsidR="005D126E" w:rsidRPr="0012182F">
        <w:rPr>
          <w:rFonts w:ascii="Times New Roman" w:eastAsiaTheme="minorHAnsi" w:hAnsi="Times New Roman"/>
          <w:kern w:val="24"/>
          <w:lang w:eastAsia="en-US"/>
        </w:rPr>
        <w:t>for qualifying carriage service providers</w:t>
      </w:r>
      <w:r w:rsidR="00455C6A" w:rsidRPr="0012182F">
        <w:rPr>
          <w:rFonts w:ascii="Times New Roman" w:eastAsiaTheme="minorHAnsi" w:hAnsi="Times New Roman"/>
          <w:kern w:val="24"/>
          <w:lang w:eastAsia="en-US"/>
        </w:rPr>
        <w:t xml:space="preserve">.   </w:t>
      </w:r>
      <w:r w:rsidR="000C53DE" w:rsidRPr="0012182F">
        <w:rPr>
          <w:rFonts w:ascii="Times New Roman" w:eastAsiaTheme="minorHAnsi" w:hAnsi="Times New Roman"/>
          <w:kern w:val="24"/>
          <w:lang w:eastAsia="en-US"/>
        </w:rPr>
        <w:t xml:space="preserve"> </w:t>
      </w:r>
    </w:p>
    <w:p w14:paraId="7C317DEF" w14:textId="77777777" w:rsidR="00E62DD4" w:rsidRPr="0012182F" w:rsidRDefault="00E62DD4" w:rsidP="003F779B">
      <w:pPr>
        <w:widowControl w:val="0"/>
        <w:tabs>
          <w:tab w:val="left" w:pos="3321"/>
        </w:tabs>
        <w:ind w:right="91"/>
        <w:rPr>
          <w:rFonts w:ascii="Times New Roman" w:eastAsiaTheme="minorHAnsi" w:hAnsi="Times New Roman"/>
          <w:b/>
          <w:kern w:val="24"/>
          <w:lang w:eastAsia="en-US"/>
        </w:rPr>
      </w:pPr>
      <w:r w:rsidRPr="0012182F">
        <w:rPr>
          <w:rFonts w:ascii="Times New Roman" w:eastAsiaTheme="minorHAnsi" w:hAnsi="Times New Roman"/>
          <w:b/>
          <w:kern w:val="24"/>
          <w:lang w:eastAsia="en-US"/>
        </w:rPr>
        <w:t>Section 5 – Schedules</w:t>
      </w:r>
      <w:r w:rsidR="003F779B" w:rsidRPr="0012182F">
        <w:rPr>
          <w:rFonts w:ascii="Times New Roman" w:eastAsiaTheme="minorHAnsi" w:hAnsi="Times New Roman"/>
          <w:b/>
          <w:kern w:val="24"/>
          <w:lang w:eastAsia="en-US"/>
        </w:rPr>
        <w:tab/>
      </w:r>
    </w:p>
    <w:p w14:paraId="7C317DF0" w14:textId="37541938" w:rsidR="003F779B" w:rsidRPr="0012182F" w:rsidRDefault="003F779B" w:rsidP="003F779B">
      <w:pPr>
        <w:widowControl w:val="0"/>
        <w:tabs>
          <w:tab w:val="left" w:pos="3321"/>
        </w:tabs>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 xml:space="preserve">Section 5 provides that </w:t>
      </w:r>
      <w:r w:rsidRPr="0012182F">
        <w:rPr>
          <w:rFonts w:ascii="Times New Roman" w:hAnsi="Times New Roman"/>
        </w:rPr>
        <w:t>each instrument that is specified in a given Schedule to th</w:t>
      </w:r>
      <w:r w:rsidR="00132279" w:rsidRPr="0012182F">
        <w:rPr>
          <w:rFonts w:ascii="Times New Roman" w:hAnsi="Times New Roman"/>
        </w:rPr>
        <w:t>e</w:t>
      </w:r>
      <w:r w:rsidRPr="0012182F">
        <w:rPr>
          <w:rFonts w:ascii="Times New Roman" w:hAnsi="Times New Roman"/>
        </w:rPr>
        <w:t xml:space="preserve"> </w:t>
      </w:r>
      <w:r w:rsidR="00132279" w:rsidRPr="0012182F">
        <w:rPr>
          <w:rFonts w:ascii="Times New Roman" w:hAnsi="Times New Roman"/>
        </w:rPr>
        <w:t>I</w:t>
      </w:r>
      <w:r w:rsidRPr="0012182F">
        <w:rPr>
          <w:rFonts w:ascii="Times New Roman" w:hAnsi="Times New Roman"/>
        </w:rPr>
        <w:t>nstrument is amended or repealed as set out in the applicable items in that Schedule, and any other item in a Schedule to th</w:t>
      </w:r>
      <w:r w:rsidR="00132279" w:rsidRPr="0012182F">
        <w:rPr>
          <w:rFonts w:ascii="Times New Roman" w:hAnsi="Times New Roman"/>
        </w:rPr>
        <w:t>e</w:t>
      </w:r>
      <w:r w:rsidRPr="0012182F">
        <w:rPr>
          <w:rFonts w:ascii="Times New Roman" w:hAnsi="Times New Roman"/>
        </w:rPr>
        <w:t xml:space="preserve"> </w:t>
      </w:r>
      <w:r w:rsidR="00132279" w:rsidRPr="0012182F">
        <w:rPr>
          <w:rFonts w:ascii="Times New Roman" w:hAnsi="Times New Roman"/>
        </w:rPr>
        <w:t>I</w:t>
      </w:r>
      <w:r w:rsidRPr="0012182F">
        <w:rPr>
          <w:rFonts w:ascii="Times New Roman" w:hAnsi="Times New Roman"/>
        </w:rPr>
        <w:t>nstrument has effect according to its terms.</w:t>
      </w:r>
    </w:p>
    <w:p w14:paraId="7C317DF1" w14:textId="77777777" w:rsidR="002446D0" w:rsidRPr="0012182F" w:rsidRDefault="00E62DD4" w:rsidP="0074151C">
      <w:pPr>
        <w:widowControl w:val="0"/>
        <w:ind w:right="91"/>
        <w:rPr>
          <w:rFonts w:ascii="Times New Roman" w:eastAsiaTheme="minorHAnsi" w:hAnsi="Times New Roman"/>
          <w:b/>
          <w:kern w:val="24"/>
          <w:lang w:eastAsia="en-US"/>
        </w:rPr>
      </w:pPr>
      <w:r w:rsidRPr="0012182F">
        <w:rPr>
          <w:rFonts w:ascii="Times New Roman" w:eastAsiaTheme="minorHAnsi" w:hAnsi="Times New Roman"/>
          <w:b/>
          <w:kern w:val="24"/>
          <w:lang w:eastAsia="en-US"/>
        </w:rPr>
        <w:lastRenderedPageBreak/>
        <w:t xml:space="preserve">Section 6 – </w:t>
      </w:r>
      <w:r w:rsidR="0074151C" w:rsidRPr="0012182F">
        <w:rPr>
          <w:rFonts w:ascii="Times New Roman" w:eastAsiaTheme="minorHAnsi" w:hAnsi="Times New Roman"/>
          <w:b/>
          <w:kern w:val="24"/>
          <w:lang w:eastAsia="en-US"/>
        </w:rPr>
        <w:t>Location-specific thresholds</w:t>
      </w:r>
    </w:p>
    <w:p w14:paraId="7C317DF2" w14:textId="77777777" w:rsidR="004639C6" w:rsidRPr="0012182F" w:rsidRDefault="0074151C" w:rsidP="0074151C">
      <w:pPr>
        <w:widowControl w:val="0"/>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 xml:space="preserve">Section 6 sets out the location-specific thresholds that determine whether a </w:t>
      </w:r>
      <w:r w:rsidR="00600DBB" w:rsidRPr="0012182F">
        <w:rPr>
          <w:rFonts w:ascii="Times New Roman" w:eastAsiaTheme="minorHAnsi" w:hAnsi="Times New Roman"/>
          <w:kern w:val="24"/>
          <w:lang w:eastAsia="en-US"/>
        </w:rPr>
        <w:t>CSP</w:t>
      </w:r>
      <w:r w:rsidRPr="0012182F">
        <w:rPr>
          <w:rFonts w:ascii="Times New Roman" w:eastAsiaTheme="minorHAnsi" w:hAnsi="Times New Roman"/>
          <w:kern w:val="24"/>
          <w:lang w:eastAsia="en-US"/>
        </w:rPr>
        <w:t xml:space="preserve"> is eligible to comply with a performance benchmark in relation to services </w:t>
      </w:r>
      <w:r w:rsidR="00600DBB" w:rsidRPr="0012182F">
        <w:rPr>
          <w:rFonts w:ascii="Times New Roman" w:eastAsiaTheme="minorHAnsi" w:hAnsi="Times New Roman"/>
          <w:kern w:val="24"/>
          <w:lang w:eastAsia="en-US"/>
        </w:rPr>
        <w:t xml:space="preserve">supplied </w:t>
      </w:r>
      <w:r w:rsidRPr="0012182F">
        <w:rPr>
          <w:rFonts w:ascii="Times New Roman" w:eastAsiaTheme="minorHAnsi" w:hAnsi="Times New Roman"/>
          <w:kern w:val="24"/>
          <w:lang w:eastAsia="en-US"/>
        </w:rPr>
        <w:t xml:space="preserve">in a particular </w:t>
      </w:r>
      <w:r w:rsidR="00600DBB" w:rsidRPr="0012182F">
        <w:rPr>
          <w:rFonts w:ascii="Times New Roman" w:eastAsiaTheme="minorHAnsi" w:hAnsi="Times New Roman"/>
          <w:kern w:val="24"/>
          <w:lang w:eastAsia="en-US"/>
        </w:rPr>
        <w:t xml:space="preserve">type of </w:t>
      </w:r>
      <w:r w:rsidRPr="0012182F">
        <w:rPr>
          <w:rFonts w:ascii="Times New Roman" w:eastAsiaTheme="minorHAnsi" w:hAnsi="Times New Roman"/>
          <w:kern w:val="24"/>
          <w:lang w:eastAsia="en-US"/>
        </w:rPr>
        <w:t>geographic area</w:t>
      </w:r>
      <w:r w:rsidR="004639C6" w:rsidRPr="0012182F">
        <w:rPr>
          <w:rFonts w:ascii="Times New Roman" w:eastAsiaTheme="minorHAnsi" w:hAnsi="Times New Roman"/>
          <w:kern w:val="24"/>
          <w:lang w:eastAsia="en-US"/>
        </w:rPr>
        <w:t xml:space="preserve"> (e.g. rural area)</w:t>
      </w:r>
      <w:r w:rsidRPr="0012182F">
        <w:rPr>
          <w:rFonts w:ascii="Times New Roman" w:eastAsiaTheme="minorHAnsi" w:hAnsi="Times New Roman"/>
          <w:kern w:val="24"/>
          <w:lang w:eastAsia="en-US"/>
        </w:rPr>
        <w:t xml:space="preserve">. </w:t>
      </w:r>
      <w:r w:rsidR="0061694D" w:rsidRPr="0012182F">
        <w:rPr>
          <w:rFonts w:ascii="Times New Roman" w:eastAsiaTheme="minorHAnsi" w:hAnsi="Times New Roman"/>
          <w:kern w:val="24"/>
          <w:lang w:eastAsia="en-US"/>
        </w:rPr>
        <w:t xml:space="preserve">As set out in sections </w:t>
      </w:r>
      <w:r w:rsidR="007200BC" w:rsidRPr="0012182F">
        <w:rPr>
          <w:rFonts w:ascii="Times New Roman" w:eastAsiaTheme="minorHAnsi" w:hAnsi="Times New Roman"/>
          <w:kern w:val="24"/>
          <w:lang w:eastAsia="en-US"/>
        </w:rPr>
        <w:t>8</w:t>
      </w:r>
      <w:r w:rsidR="0061694D" w:rsidRPr="0012182F">
        <w:rPr>
          <w:rFonts w:ascii="Times New Roman" w:eastAsiaTheme="minorHAnsi" w:hAnsi="Times New Roman"/>
          <w:kern w:val="24"/>
          <w:lang w:eastAsia="en-US"/>
        </w:rPr>
        <w:t xml:space="preserve"> and 9 of the Instrument, performance benchmarks for individual types of geographic areas apply </w:t>
      </w:r>
      <w:r w:rsidR="004639C6" w:rsidRPr="0012182F">
        <w:rPr>
          <w:rFonts w:ascii="Times New Roman" w:eastAsiaTheme="minorHAnsi" w:hAnsi="Times New Roman"/>
          <w:kern w:val="24"/>
          <w:lang w:eastAsia="en-US"/>
        </w:rPr>
        <w:t>in relation to</w:t>
      </w:r>
      <w:r w:rsidR="0061694D" w:rsidRPr="0012182F">
        <w:rPr>
          <w:rFonts w:ascii="Times New Roman" w:eastAsiaTheme="minorHAnsi" w:hAnsi="Times New Roman"/>
          <w:kern w:val="24"/>
          <w:lang w:eastAsia="en-US"/>
        </w:rPr>
        <w:t xml:space="preserve"> compliance with some performance standards</w:t>
      </w:r>
      <w:r w:rsidR="004639C6" w:rsidRPr="0012182F">
        <w:rPr>
          <w:rFonts w:ascii="Times New Roman" w:eastAsiaTheme="minorHAnsi" w:hAnsi="Times New Roman"/>
          <w:kern w:val="24"/>
          <w:lang w:eastAsia="en-US"/>
        </w:rPr>
        <w:t xml:space="preserve"> in the CSG Standard</w:t>
      </w:r>
      <w:r w:rsidR="0061694D" w:rsidRPr="0012182F">
        <w:rPr>
          <w:rFonts w:ascii="Times New Roman" w:eastAsiaTheme="minorHAnsi" w:hAnsi="Times New Roman"/>
          <w:kern w:val="24"/>
          <w:lang w:eastAsia="en-US"/>
        </w:rPr>
        <w:t xml:space="preserve">, such as in relation to new connection requests </w:t>
      </w:r>
      <w:r w:rsidR="004639C6" w:rsidRPr="0012182F">
        <w:rPr>
          <w:rFonts w:ascii="Times New Roman" w:eastAsiaTheme="minorHAnsi" w:hAnsi="Times New Roman"/>
          <w:kern w:val="24"/>
          <w:lang w:eastAsia="en-US"/>
        </w:rPr>
        <w:t>and</w:t>
      </w:r>
      <w:r w:rsidR="0061694D" w:rsidRPr="0012182F">
        <w:rPr>
          <w:rFonts w:ascii="Times New Roman" w:eastAsiaTheme="minorHAnsi" w:hAnsi="Times New Roman"/>
          <w:kern w:val="24"/>
          <w:lang w:eastAsia="en-US"/>
        </w:rPr>
        <w:t xml:space="preserve"> fault rectifications (but not for in-place connection requests or appointment-keeping</w:t>
      </w:r>
      <w:r w:rsidR="002E6604" w:rsidRPr="0012182F">
        <w:rPr>
          <w:rFonts w:ascii="Times New Roman" w:eastAsiaTheme="minorHAnsi" w:hAnsi="Times New Roman"/>
          <w:kern w:val="24"/>
          <w:lang w:eastAsia="en-US"/>
        </w:rPr>
        <w:t xml:space="preserve"> </w:t>
      </w:r>
      <w:r w:rsidR="00B32A73" w:rsidRPr="0012182F">
        <w:rPr>
          <w:rFonts w:ascii="Times New Roman" w:eastAsiaTheme="minorHAnsi" w:hAnsi="Times New Roman"/>
          <w:kern w:val="24"/>
          <w:lang w:eastAsia="en-US"/>
        </w:rPr>
        <w:t>where benchmarks apply nationally</w:t>
      </w:r>
      <w:r w:rsidR="0061694D" w:rsidRPr="0012182F">
        <w:rPr>
          <w:rFonts w:ascii="Times New Roman" w:eastAsiaTheme="minorHAnsi" w:hAnsi="Times New Roman"/>
          <w:kern w:val="24"/>
          <w:lang w:eastAsia="en-US"/>
        </w:rPr>
        <w:t xml:space="preserve">). </w:t>
      </w:r>
      <w:r w:rsidRPr="0012182F">
        <w:rPr>
          <w:rFonts w:ascii="Times New Roman" w:eastAsiaTheme="minorHAnsi" w:hAnsi="Times New Roman"/>
          <w:kern w:val="24"/>
          <w:lang w:eastAsia="en-US"/>
        </w:rPr>
        <w:t xml:space="preserve">The location-specific thresholds </w:t>
      </w:r>
      <w:r w:rsidR="002E6604" w:rsidRPr="0012182F">
        <w:rPr>
          <w:rFonts w:ascii="Times New Roman" w:eastAsiaTheme="minorHAnsi" w:hAnsi="Times New Roman"/>
          <w:kern w:val="24"/>
          <w:lang w:eastAsia="en-US"/>
        </w:rPr>
        <w:t>need to be considered alongside</w:t>
      </w:r>
      <w:r w:rsidRPr="0012182F">
        <w:rPr>
          <w:rFonts w:ascii="Times New Roman" w:eastAsiaTheme="minorHAnsi" w:hAnsi="Times New Roman"/>
          <w:kern w:val="24"/>
          <w:lang w:eastAsia="en-US"/>
        </w:rPr>
        <w:t xml:space="preserve"> the overall threshold of 100,000 CSG services set out in the definition for </w:t>
      </w:r>
      <w:r w:rsidRPr="0012182F">
        <w:rPr>
          <w:rFonts w:ascii="Times New Roman" w:eastAsiaTheme="minorHAnsi" w:hAnsi="Times New Roman"/>
          <w:i/>
          <w:kern w:val="24"/>
          <w:lang w:eastAsia="en-US"/>
        </w:rPr>
        <w:t xml:space="preserve">qualifying carriage service provider </w:t>
      </w:r>
      <w:r w:rsidRPr="0012182F">
        <w:rPr>
          <w:rFonts w:ascii="Times New Roman" w:eastAsiaTheme="minorHAnsi" w:hAnsi="Times New Roman"/>
          <w:kern w:val="24"/>
          <w:lang w:eastAsia="en-US"/>
        </w:rPr>
        <w:t xml:space="preserve">at subsection 4(1). </w:t>
      </w:r>
    </w:p>
    <w:p w14:paraId="7C317DF3" w14:textId="77777777" w:rsidR="004639C6" w:rsidRPr="0012182F" w:rsidRDefault="004639C6" w:rsidP="004639C6">
      <w:pPr>
        <w:widowControl w:val="0"/>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 xml:space="preserve">The location-specific thresholds are set to ensure CSPs are not required to meet performance benchmarks for individual types of geographic areas in which they supply a small number of services (even if they meet the overall threshold of 100,000 CSG services). </w:t>
      </w:r>
    </w:p>
    <w:p w14:paraId="7C317DF4" w14:textId="77777777" w:rsidR="0074151C" w:rsidRPr="0012182F" w:rsidRDefault="004639C6" w:rsidP="0074151C">
      <w:pPr>
        <w:widowControl w:val="0"/>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For a given benchmark period (financial year), a</w:t>
      </w:r>
      <w:r w:rsidR="00600DBB" w:rsidRPr="0012182F">
        <w:rPr>
          <w:rFonts w:ascii="Times New Roman" w:eastAsiaTheme="minorHAnsi" w:hAnsi="Times New Roman"/>
          <w:kern w:val="24"/>
          <w:lang w:eastAsia="en-US"/>
        </w:rPr>
        <w:t xml:space="preserve"> CSP is required to comply with </w:t>
      </w:r>
      <w:r w:rsidR="00941C10" w:rsidRPr="0012182F">
        <w:rPr>
          <w:rFonts w:ascii="Times New Roman" w:eastAsiaTheme="minorHAnsi" w:hAnsi="Times New Roman"/>
          <w:kern w:val="24"/>
          <w:lang w:eastAsia="en-US"/>
        </w:rPr>
        <w:t>a</w:t>
      </w:r>
      <w:r w:rsidR="00600DBB" w:rsidRPr="0012182F">
        <w:rPr>
          <w:rFonts w:ascii="Times New Roman" w:eastAsiaTheme="minorHAnsi" w:hAnsi="Times New Roman"/>
          <w:kern w:val="24"/>
          <w:lang w:eastAsia="en-US"/>
        </w:rPr>
        <w:t xml:space="preserve"> </w:t>
      </w:r>
      <w:r w:rsidR="0061694D" w:rsidRPr="0012182F">
        <w:rPr>
          <w:rFonts w:ascii="Times New Roman" w:eastAsiaTheme="minorHAnsi" w:hAnsi="Times New Roman"/>
          <w:kern w:val="24"/>
          <w:lang w:eastAsia="en-US"/>
        </w:rPr>
        <w:t xml:space="preserve">performance </w:t>
      </w:r>
      <w:r w:rsidR="00600DBB" w:rsidRPr="0012182F">
        <w:rPr>
          <w:rFonts w:ascii="Times New Roman" w:eastAsiaTheme="minorHAnsi" w:hAnsi="Times New Roman"/>
          <w:kern w:val="24"/>
          <w:lang w:eastAsia="en-US"/>
        </w:rPr>
        <w:t>benchmark</w:t>
      </w:r>
      <w:r w:rsidR="00941C10" w:rsidRPr="0012182F">
        <w:rPr>
          <w:rFonts w:ascii="Times New Roman" w:eastAsiaTheme="minorHAnsi" w:hAnsi="Times New Roman"/>
          <w:kern w:val="24"/>
          <w:lang w:eastAsia="en-US"/>
        </w:rPr>
        <w:t xml:space="preserve"> </w:t>
      </w:r>
      <w:r w:rsidRPr="0012182F">
        <w:rPr>
          <w:rFonts w:ascii="Times New Roman" w:eastAsiaTheme="minorHAnsi" w:hAnsi="Times New Roman"/>
          <w:kern w:val="24"/>
          <w:lang w:eastAsia="en-US"/>
        </w:rPr>
        <w:t>in relation to a</w:t>
      </w:r>
      <w:r w:rsidR="00941C10" w:rsidRPr="0012182F">
        <w:rPr>
          <w:rFonts w:ascii="Times New Roman" w:eastAsiaTheme="minorHAnsi" w:hAnsi="Times New Roman"/>
          <w:kern w:val="24"/>
          <w:lang w:eastAsia="en-US"/>
        </w:rPr>
        <w:t xml:space="preserve"> particular type of geographic area </w:t>
      </w:r>
      <w:r w:rsidR="00600DBB" w:rsidRPr="0012182F">
        <w:rPr>
          <w:rFonts w:ascii="Times New Roman" w:eastAsiaTheme="minorHAnsi" w:hAnsi="Times New Roman"/>
          <w:kern w:val="24"/>
          <w:lang w:eastAsia="en-US"/>
        </w:rPr>
        <w:t>if it meets the specified threshold of CSG services supplied in th</w:t>
      </w:r>
      <w:r w:rsidR="00941C10" w:rsidRPr="0012182F">
        <w:rPr>
          <w:rFonts w:ascii="Times New Roman" w:eastAsiaTheme="minorHAnsi" w:hAnsi="Times New Roman"/>
          <w:kern w:val="24"/>
          <w:lang w:eastAsia="en-US"/>
        </w:rPr>
        <w:t xml:space="preserve">at type of geographic area </w:t>
      </w:r>
      <w:r w:rsidR="00600DBB" w:rsidRPr="0012182F">
        <w:rPr>
          <w:rFonts w:ascii="Times New Roman" w:eastAsiaTheme="minorHAnsi" w:hAnsi="Times New Roman"/>
          <w:kern w:val="24"/>
          <w:lang w:eastAsia="en-US"/>
        </w:rPr>
        <w:t xml:space="preserve">on the last day of the previous financial year.  </w:t>
      </w:r>
    </w:p>
    <w:p w14:paraId="7C317DF5" w14:textId="77777777" w:rsidR="0074151C" w:rsidRPr="0012182F" w:rsidRDefault="0074151C" w:rsidP="0074151C">
      <w:pPr>
        <w:widowControl w:val="0"/>
        <w:spacing w:after="120"/>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The location-specific thresholds are as follows:</w:t>
      </w:r>
    </w:p>
    <w:p w14:paraId="7C317DF6" w14:textId="77777777" w:rsidR="0074151C" w:rsidRPr="0012182F" w:rsidRDefault="0074151C" w:rsidP="0074151C">
      <w:pPr>
        <w:pStyle w:val="ListParagraph"/>
        <w:widowControl w:val="0"/>
        <w:numPr>
          <w:ilvl w:val="0"/>
          <w:numId w:val="3"/>
        </w:numPr>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urban areas – 10,000 CSG services</w:t>
      </w:r>
    </w:p>
    <w:p w14:paraId="7C317DF7" w14:textId="77777777" w:rsidR="0074151C" w:rsidRPr="0012182F" w:rsidRDefault="0074151C" w:rsidP="0074151C">
      <w:pPr>
        <w:pStyle w:val="ListParagraph"/>
        <w:widowControl w:val="0"/>
        <w:numPr>
          <w:ilvl w:val="0"/>
          <w:numId w:val="3"/>
        </w:numPr>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major rural areas – 1,000 CSG services</w:t>
      </w:r>
    </w:p>
    <w:p w14:paraId="7C317DF8" w14:textId="77777777" w:rsidR="0074151C" w:rsidRPr="0012182F" w:rsidRDefault="0074151C" w:rsidP="0074151C">
      <w:pPr>
        <w:pStyle w:val="ListParagraph"/>
        <w:widowControl w:val="0"/>
        <w:numPr>
          <w:ilvl w:val="0"/>
          <w:numId w:val="3"/>
        </w:numPr>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minor rural areas – 1,000 CSG services</w:t>
      </w:r>
    </w:p>
    <w:p w14:paraId="7C317DF9" w14:textId="77777777" w:rsidR="0074151C" w:rsidRPr="0012182F" w:rsidRDefault="0074151C" w:rsidP="0074151C">
      <w:pPr>
        <w:pStyle w:val="ListParagraph"/>
        <w:widowControl w:val="0"/>
        <w:numPr>
          <w:ilvl w:val="0"/>
          <w:numId w:val="3"/>
        </w:numPr>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rural areas – 1,000 CSG services</w:t>
      </w:r>
    </w:p>
    <w:p w14:paraId="7C317DFA" w14:textId="77777777" w:rsidR="0074151C" w:rsidRPr="0012182F" w:rsidRDefault="0074151C" w:rsidP="0074151C">
      <w:pPr>
        <w:pStyle w:val="ListParagraph"/>
        <w:widowControl w:val="0"/>
        <w:numPr>
          <w:ilvl w:val="0"/>
          <w:numId w:val="3"/>
        </w:numPr>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remote areas – 500 CSG services</w:t>
      </w:r>
    </w:p>
    <w:p w14:paraId="7C317DFB" w14:textId="77777777" w:rsidR="00B54439" w:rsidRPr="0012182F" w:rsidRDefault="00B54439" w:rsidP="00B54439">
      <w:pPr>
        <w:widowControl w:val="0"/>
        <w:tabs>
          <w:tab w:val="left" w:pos="3321"/>
        </w:tabs>
        <w:ind w:right="91"/>
        <w:rPr>
          <w:rFonts w:ascii="Times New Roman" w:eastAsiaTheme="minorHAnsi" w:hAnsi="Times New Roman"/>
          <w:b/>
          <w:kern w:val="24"/>
          <w:lang w:eastAsia="en-US"/>
        </w:rPr>
      </w:pPr>
      <w:r w:rsidRPr="0012182F">
        <w:rPr>
          <w:rFonts w:ascii="Times New Roman" w:eastAsiaTheme="minorHAnsi" w:hAnsi="Times New Roman"/>
          <w:b/>
          <w:kern w:val="24"/>
          <w:lang w:eastAsia="en-US"/>
        </w:rPr>
        <w:t>Section 7 – Repeal</w:t>
      </w:r>
      <w:r w:rsidRPr="0012182F">
        <w:rPr>
          <w:rFonts w:ascii="Times New Roman" w:eastAsiaTheme="minorHAnsi" w:hAnsi="Times New Roman"/>
          <w:b/>
          <w:kern w:val="24"/>
          <w:lang w:eastAsia="en-US"/>
        </w:rPr>
        <w:tab/>
      </w:r>
    </w:p>
    <w:p w14:paraId="7C317DFC" w14:textId="033C30E8" w:rsidR="00B54439" w:rsidRPr="0012182F" w:rsidRDefault="00B54439" w:rsidP="00B54439">
      <w:pPr>
        <w:widowControl w:val="0"/>
        <w:tabs>
          <w:tab w:val="left" w:pos="3321"/>
        </w:tabs>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 xml:space="preserve">Section 7 provides that </w:t>
      </w:r>
      <w:r w:rsidRPr="0012182F">
        <w:rPr>
          <w:rFonts w:ascii="Times New Roman" w:hAnsi="Times New Roman"/>
        </w:rPr>
        <w:t xml:space="preserve">the Instrument will be repealed 36 months after the commencement of the new CSG Standard the ACMA makes in accordance with the </w:t>
      </w:r>
      <w:r w:rsidRPr="0012182F">
        <w:rPr>
          <w:rFonts w:ascii="Times New Roman" w:hAnsi="Times New Roman"/>
          <w:i/>
        </w:rPr>
        <w:t>Telecommunications (Customer Service Guarantee</w:t>
      </w:r>
      <w:r w:rsidR="0012182F">
        <w:rPr>
          <w:rFonts w:ascii="Times New Roman" w:hAnsi="Times New Roman"/>
          <w:i/>
        </w:rPr>
        <w:t>)</w:t>
      </w:r>
      <w:bookmarkStart w:id="0" w:name="_GoBack"/>
      <w:bookmarkEnd w:id="0"/>
      <w:r w:rsidRPr="0012182F">
        <w:rPr>
          <w:rFonts w:ascii="Times New Roman" w:hAnsi="Times New Roman"/>
          <w:i/>
        </w:rPr>
        <w:t xml:space="preserve"> Direction 2023 </w:t>
      </w:r>
      <w:r w:rsidRPr="0012182F">
        <w:rPr>
          <w:rFonts w:ascii="Times New Roman" w:hAnsi="Times New Roman"/>
        </w:rPr>
        <w:t>commences.</w:t>
      </w:r>
      <w:r w:rsidRPr="0012182F">
        <w:rPr>
          <w:rFonts w:ascii="Times New Roman" w:hAnsi="Times New Roman"/>
          <w:i/>
        </w:rPr>
        <w:t xml:space="preserve"> </w:t>
      </w:r>
      <w:r w:rsidRPr="0012182F">
        <w:rPr>
          <w:rFonts w:ascii="Times New Roman" w:hAnsi="Times New Roman"/>
        </w:rPr>
        <w:t>This will ensure the new Benchmarks Instrument is repealed at the same time as the new CSG Standard</w:t>
      </w:r>
      <w:r w:rsidR="00455C6A" w:rsidRPr="0012182F">
        <w:rPr>
          <w:rFonts w:ascii="Times New Roman" w:hAnsi="Times New Roman"/>
        </w:rPr>
        <w:t xml:space="preserve">. </w:t>
      </w:r>
    </w:p>
    <w:p w14:paraId="7C317DFD" w14:textId="77777777" w:rsidR="00941C10" w:rsidRPr="0012182F" w:rsidRDefault="00941C10" w:rsidP="00941C10">
      <w:pPr>
        <w:spacing w:after="120"/>
        <w:ind w:right="-709"/>
        <w:rPr>
          <w:rFonts w:ascii="Times New Roman" w:eastAsiaTheme="minorHAnsi" w:hAnsi="Times New Roman"/>
          <w:b/>
          <w:kern w:val="24"/>
          <w:sz w:val="28"/>
          <w:szCs w:val="28"/>
          <w:lang w:eastAsia="en-US"/>
        </w:rPr>
      </w:pPr>
      <w:r w:rsidRPr="0012182F">
        <w:rPr>
          <w:rFonts w:ascii="Times New Roman" w:eastAsiaTheme="minorHAnsi" w:hAnsi="Times New Roman"/>
          <w:b/>
          <w:kern w:val="24"/>
          <w:sz w:val="28"/>
          <w:szCs w:val="28"/>
          <w:lang w:eastAsia="en-US"/>
        </w:rPr>
        <w:t>Part 2 – Retail Performance Benchmarks</w:t>
      </w:r>
    </w:p>
    <w:p w14:paraId="7C317DFE" w14:textId="77777777" w:rsidR="00C91C25" w:rsidRPr="0012182F" w:rsidRDefault="00C91C25" w:rsidP="00941C10">
      <w:pPr>
        <w:spacing w:after="120"/>
        <w:ind w:right="-709"/>
        <w:rPr>
          <w:rFonts w:ascii="Times New Roman" w:eastAsiaTheme="minorHAnsi" w:hAnsi="Times New Roman"/>
          <w:kern w:val="24"/>
          <w:lang w:eastAsia="en-US"/>
        </w:rPr>
      </w:pPr>
      <w:r w:rsidRPr="0012182F">
        <w:rPr>
          <w:rFonts w:ascii="Times New Roman" w:eastAsiaTheme="minorHAnsi" w:hAnsi="Times New Roman"/>
          <w:kern w:val="24"/>
          <w:lang w:eastAsia="en-US"/>
        </w:rPr>
        <w:t xml:space="preserve">Part 2 provides the details of the specific performance benchmarks that apply to the performance standards set out in the CSG Standard. </w:t>
      </w:r>
    </w:p>
    <w:p w14:paraId="7C317DFF" w14:textId="77777777" w:rsidR="0061694D" w:rsidRPr="0012182F" w:rsidRDefault="00C91C25" w:rsidP="0061694D">
      <w:pPr>
        <w:spacing w:after="120"/>
        <w:ind w:right="-709"/>
        <w:rPr>
          <w:rFonts w:ascii="Times New Roman" w:eastAsiaTheme="minorHAnsi" w:hAnsi="Times New Roman"/>
          <w:kern w:val="24"/>
          <w:lang w:eastAsia="en-US"/>
        </w:rPr>
      </w:pPr>
      <w:r w:rsidRPr="0012182F">
        <w:rPr>
          <w:rFonts w:ascii="Times New Roman" w:eastAsiaTheme="minorHAnsi" w:hAnsi="Times New Roman"/>
          <w:kern w:val="24"/>
          <w:lang w:eastAsia="en-US"/>
        </w:rPr>
        <w:t xml:space="preserve">Benchmarks apply </w:t>
      </w:r>
      <w:r w:rsidR="0061694D" w:rsidRPr="0012182F">
        <w:rPr>
          <w:rFonts w:ascii="Times New Roman" w:eastAsiaTheme="minorHAnsi" w:hAnsi="Times New Roman"/>
          <w:kern w:val="24"/>
          <w:lang w:eastAsia="en-US"/>
        </w:rPr>
        <w:t xml:space="preserve">to compliance by </w:t>
      </w:r>
      <w:r w:rsidR="000C788F" w:rsidRPr="0012182F">
        <w:rPr>
          <w:rFonts w:ascii="Times New Roman" w:eastAsiaTheme="minorHAnsi" w:hAnsi="Times New Roman"/>
          <w:kern w:val="24"/>
          <w:lang w:eastAsia="en-US"/>
        </w:rPr>
        <w:t xml:space="preserve">qualifying </w:t>
      </w:r>
      <w:r w:rsidR="0061694D" w:rsidRPr="0012182F">
        <w:rPr>
          <w:rFonts w:ascii="Times New Roman" w:eastAsiaTheme="minorHAnsi" w:hAnsi="Times New Roman"/>
          <w:kern w:val="24"/>
          <w:lang w:eastAsia="en-US"/>
        </w:rPr>
        <w:t>CSPs with the performance standards set out in the CSG Standard for customer requests for connections</w:t>
      </w:r>
      <w:r w:rsidR="00727DC9" w:rsidRPr="0012182F">
        <w:rPr>
          <w:rFonts w:ascii="Times New Roman" w:eastAsiaTheme="minorHAnsi" w:hAnsi="Times New Roman"/>
          <w:kern w:val="24"/>
          <w:lang w:eastAsia="en-US"/>
        </w:rPr>
        <w:t xml:space="preserve"> (both new connections and in-place connections)</w:t>
      </w:r>
      <w:r w:rsidR="0061694D" w:rsidRPr="0012182F">
        <w:rPr>
          <w:rFonts w:ascii="Times New Roman" w:eastAsiaTheme="minorHAnsi" w:hAnsi="Times New Roman"/>
          <w:kern w:val="24"/>
          <w:lang w:eastAsia="en-US"/>
        </w:rPr>
        <w:t>, the rectification of faults or service difficulties and the keeping of appointments. In all cases, the benchmark is 90% compliance with the relevant performance standard</w:t>
      </w:r>
      <w:r w:rsidR="00ED59DF" w:rsidRPr="0012182F">
        <w:rPr>
          <w:rFonts w:ascii="Times New Roman" w:eastAsiaTheme="minorHAnsi" w:hAnsi="Times New Roman"/>
          <w:kern w:val="24"/>
          <w:lang w:eastAsia="en-US"/>
        </w:rPr>
        <w:t xml:space="preserve"> in the CSG Standard. </w:t>
      </w:r>
    </w:p>
    <w:p w14:paraId="7C317E00" w14:textId="77777777" w:rsidR="00941C10" w:rsidRPr="0012182F" w:rsidRDefault="00941C10" w:rsidP="00941C10">
      <w:pPr>
        <w:spacing w:after="120"/>
        <w:ind w:right="-709"/>
        <w:rPr>
          <w:rFonts w:ascii="Times New Roman" w:eastAsiaTheme="minorHAnsi" w:hAnsi="Times New Roman"/>
          <w:b/>
          <w:kern w:val="24"/>
          <w:sz w:val="26"/>
          <w:szCs w:val="26"/>
          <w:lang w:eastAsia="en-US"/>
        </w:rPr>
      </w:pPr>
      <w:r w:rsidRPr="0012182F">
        <w:rPr>
          <w:rFonts w:ascii="Times New Roman" w:eastAsiaTheme="minorHAnsi" w:hAnsi="Times New Roman"/>
          <w:b/>
          <w:kern w:val="24"/>
          <w:sz w:val="26"/>
          <w:szCs w:val="26"/>
          <w:lang w:eastAsia="en-US"/>
        </w:rPr>
        <w:t>Division 1 – Performance benchmarks</w:t>
      </w:r>
    </w:p>
    <w:p w14:paraId="7C317E01" w14:textId="77777777" w:rsidR="00941C10" w:rsidRPr="0012182F" w:rsidRDefault="00941C10" w:rsidP="00941C10">
      <w:pPr>
        <w:widowControl w:val="0"/>
        <w:ind w:right="91"/>
        <w:rPr>
          <w:rFonts w:ascii="Times New Roman" w:eastAsiaTheme="minorHAnsi" w:hAnsi="Times New Roman"/>
          <w:b/>
          <w:kern w:val="24"/>
          <w:lang w:eastAsia="en-US"/>
        </w:rPr>
      </w:pPr>
      <w:r w:rsidRPr="0012182F">
        <w:rPr>
          <w:rFonts w:ascii="Times New Roman" w:eastAsiaTheme="minorHAnsi" w:hAnsi="Times New Roman"/>
          <w:b/>
          <w:kern w:val="24"/>
          <w:lang w:eastAsia="en-US"/>
        </w:rPr>
        <w:t xml:space="preserve">Section </w:t>
      </w:r>
      <w:r w:rsidR="00B54439" w:rsidRPr="0012182F">
        <w:rPr>
          <w:rFonts w:ascii="Times New Roman" w:eastAsiaTheme="minorHAnsi" w:hAnsi="Times New Roman"/>
          <w:b/>
          <w:kern w:val="24"/>
          <w:lang w:eastAsia="en-US"/>
        </w:rPr>
        <w:t>8</w:t>
      </w:r>
      <w:r w:rsidRPr="0012182F">
        <w:rPr>
          <w:rFonts w:ascii="Times New Roman" w:eastAsiaTheme="minorHAnsi" w:hAnsi="Times New Roman"/>
          <w:b/>
          <w:kern w:val="24"/>
          <w:lang w:eastAsia="en-US"/>
        </w:rPr>
        <w:t xml:space="preserve"> – Performance benchmarks for connection period performance standard</w:t>
      </w:r>
    </w:p>
    <w:p w14:paraId="7C317E02" w14:textId="77777777" w:rsidR="00CE1863" w:rsidRPr="0012182F" w:rsidRDefault="00996866" w:rsidP="00941C10">
      <w:pPr>
        <w:widowControl w:val="0"/>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 xml:space="preserve">Section </w:t>
      </w:r>
      <w:r w:rsidR="00B54439" w:rsidRPr="0012182F">
        <w:rPr>
          <w:rFonts w:ascii="Times New Roman" w:eastAsiaTheme="minorHAnsi" w:hAnsi="Times New Roman"/>
          <w:kern w:val="24"/>
          <w:lang w:eastAsia="en-US"/>
        </w:rPr>
        <w:t>8</w:t>
      </w:r>
      <w:r w:rsidRPr="0012182F">
        <w:rPr>
          <w:rFonts w:ascii="Times New Roman" w:eastAsiaTheme="minorHAnsi" w:hAnsi="Times New Roman"/>
          <w:kern w:val="24"/>
          <w:lang w:eastAsia="en-US"/>
        </w:rPr>
        <w:t xml:space="preserve"> sets out the performance benchmarks that apply to compliance with performance standards in the CSG Standard for the connection of services. </w:t>
      </w:r>
    </w:p>
    <w:p w14:paraId="7C317E03" w14:textId="77777777" w:rsidR="00CE1863" w:rsidRPr="0012182F" w:rsidRDefault="00CE1863" w:rsidP="00941C10">
      <w:pPr>
        <w:widowControl w:val="0"/>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lastRenderedPageBreak/>
        <w:t>In relation to in-place connections, q</w:t>
      </w:r>
      <w:r w:rsidR="00996866" w:rsidRPr="0012182F">
        <w:rPr>
          <w:rFonts w:ascii="Times New Roman" w:eastAsiaTheme="minorHAnsi" w:hAnsi="Times New Roman"/>
          <w:kern w:val="24"/>
          <w:lang w:eastAsia="en-US"/>
        </w:rPr>
        <w:t xml:space="preserve">ualifying CSPs are required to </w:t>
      </w:r>
      <w:r w:rsidRPr="0012182F">
        <w:rPr>
          <w:rFonts w:ascii="Times New Roman" w:eastAsiaTheme="minorHAnsi" w:hAnsi="Times New Roman"/>
          <w:kern w:val="24"/>
          <w:lang w:eastAsia="en-US"/>
        </w:rPr>
        <w:t>comply with the relevant connection performance standard in at least</w:t>
      </w:r>
      <w:r w:rsidR="00996866" w:rsidRPr="0012182F">
        <w:rPr>
          <w:rFonts w:ascii="Times New Roman" w:eastAsiaTheme="minorHAnsi" w:hAnsi="Times New Roman"/>
          <w:kern w:val="24"/>
          <w:lang w:eastAsia="en-US"/>
        </w:rPr>
        <w:t xml:space="preserve"> 90% </w:t>
      </w:r>
      <w:r w:rsidRPr="0012182F">
        <w:rPr>
          <w:rFonts w:ascii="Times New Roman" w:eastAsiaTheme="minorHAnsi" w:hAnsi="Times New Roman"/>
          <w:kern w:val="24"/>
          <w:lang w:eastAsia="en-US"/>
        </w:rPr>
        <w:t>of cases</w:t>
      </w:r>
      <w:r w:rsidR="000C788F" w:rsidRPr="0012182F">
        <w:rPr>
          <w:rFonts w:ascii="Times New Roman" w:eastAsiaTheme="minorHAnsi" w:hAnsi="Times New Roman"/>
          <w:kern w:val="24"/>
          <w:lang w:eastAsia="en-US"/>
        </w:rPr>
        <w:t xml:space="preserve"> nationally</w:t>
      </w:r>
      <w:r w:rsidRPr="0012182F">
        <w:rPr>
          <w:rFonts w:ascii="Times New Roman" w:eastAsiaTheme="minorHAnsi" w:hAnsi="Times New Roman"/>
          <w:kern w:val="24"/>
          <w:lang w:eastAsia="en-US"/>
        </w:rPr>
        <w:t xml:space="preserve">. </w:t>
      </w:r>
    </w:p>
    <w:p w14:paraId="7C317E04" w14:textId="77777777" w:rsidR="00CE1863" w:rsidRPr="0012182F" w:rsidRDefault="00CE1863" w:rsidP="00941C10">
      <w:pPr>
        <w:widowControl w:val="0"/>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 xml:space="preserve">In relation to new connections, </w:t>
      </w:r>
      <w:r w:rsidR="00996866" w:rsidRPr="0012182F">
        <w:rPr>
          <w:rFonts w:ascii="Times New Roman" w:eastAsiaTheme="minorHAnsi" w:hAnsi="Times New Roman"/>
          <w:kern w:val="24"/>
          <w:lang w:eastAsia="en-US"/>
        </w:rPr>
        <w:t xml:space="preserve">if a </w:t>
      </w:r>
      <w:r w:rsidR="000C788F" w:rsidRPr="0012182F">
        <w:rPr>
          <w:rFonts w:ascii="Times New Roman" w:eastAsiaTheme="minorHAnsi" w:hAnsi="Times New Roman"/>
          <w:kern w:val="24"/>
          <w:lang w:eastAsia="en-US"/>
        </w:rPr>
        <w:t xml:space="preserve">qualifying </w:t>
      </w:r>
      <w:r w:rsidR="00996866" w:rsidRPr="0012182F">
        <w:rPr>
          <w:rFonts w:ascii="Times New Roman" w:eastAsiaTheme="minorHAnsi" w:hAnsi="Times New Roman"/>
          <w:kern w:val="24"/>
          <w:lang w:eastAsia="en-US"/>
        </w:rPr>
        <w:t xml:space="preserve">CSP meets </w:t>
      </w:r>
      <w:r w:rsidR="002E5323" w:rsidRPr="0012182F">
        <w:rPr>
          <w:rFonts w:ascii="Times New Roman" w:eastAsiaTheme="minorHAnsi" w:hAnsi="Times New Roman"/>
          <w:kern w:val="24"/>
          <w:lang w:eastAsia="en-US"/>
        </w:rPr>
        <w:t xml:space="preserve">the </w:t>
      </w:r>
      <w:r w:rsidR="00996866" w:rsidRPr="0012182F">
        <w:rPr>
          <w:rFonts w:ascii="Times New Roman" w:eastAsiaTheme="minorHAnsi" w:hAnsi="Times New Roman"/>
          <w:kern w:val="24"/>
          <w:lang w:eastAsia="en-US"/>
        </w:rPr>
        <w:t xml:space="preserve">location-specific threshold for </w:t>
      </w:r>
      <w:r w:rsidR="002E5323" w:rsidRPr="0012182F">
        <w:rPr>
          <w:rFonts w:ascii="Times New Roman" w:eastAsiaTheme="minorHAnsi" w:hAnsi="Times New Roman"/>
          <w:kern w:val="24"/>
          <w:lang w:eastAsia="en-US"/>
        </w:rPr>
        <w:t xml:space="preserve">an </w:t>
      </w:r>
      <w:r w:rsidR="00996866" w:rsidRPr="0012182F">
        <w:rPr>
          <w:rFonts w:ascii="Times New Roman" w:eastAsiaTheme="minorHAnsi" w:hAnsi="Times New Roman"/>
          <w:kern w:val="24"/>
          <w:lang w:eastAsia="en-US"/>
        </w:rPr>
        <w:t xml:space="preserve">urban, major rural, minor rural or remote area, it must </w:t>
      </w:r>
      <w:r w:rsidRPr="0012182F">
        <w:rPr>
          <w:rFonts w:ascii="Times New Roman" w:eastAsiaTheme="minorHAnsi" w:hAnsi="Times New Roman"/>
          <w:kern w:val="24"/>
          <w:lang w:eastAsia="en-US"/>
        </w:rPr>
        <w:t xml:space="preserve">comply with the relevant connection performance standard in at least 90% of cases in that particular type of area. </w:t>
      </w:r>
    </w:p>
    <w:p w14:paraId="7C317E05" w14:textId="77777777" w:rsidR="00941C10" w:rsidRPr="0012182F" w:rsidRDefault="00941C10" w:rsidP="00941C10">
      <w:pPr>
        <w:widowControl w:val="0"/>
        <w:ind w:right="91"/>
        <w:rPr>
          <w:rFonts w:ascii="Times New Roman" w:eastAsiaTheme="minorHAnsi" w:hAnsi="Times New Roman"/>
          <w:b/>
          <w:kern w:val="24"/>
          <w:lang w:eastAsia="en-US"/>
        </w:rPr>
      </w:pPr>
      <w:r w:rsidRPr="0012182F">
        <w:rPr>
          <w:rFonts w:ascii="Times New Roman" w:eastAsiaTheme="minorHAnsi" w:hAnsi="Times New Roman"/>
          <w:b/>
          <w:kern w:val="24"/>
          <w:lang w:eastAsia="en-US"/>
        </w:rPr>
        <w:t xml:space="preserve">Section </w:t>
      </w:r>
      <w:r w:rsidR="00B54439" w:rsidRPr="0012182F">
        <w:rPr>
          <w:rFonts w:ascii="Times New Roman" w:eastAsiaTheme="minorHAnsi" w:hAnsi="Times New Roman"/>
          <w:b/>
          <w:kern w:val="24"/>
          <w:lang w:eastAsia="en-US"/>
        </w:rPr>
        <w:t>9</w:t>
      </w:r>
      <w:r w:rsidRPr="0012182F">
        <w:rPr>
          <w:rFonts w:ascii="Times New Roman" w:eastAsiaTheme="minorHAnsi" w:hAnsi="Times New Roman"/>
          <w:b/>
          <w:kern w:val="24"/>
          <w:lang w:eastAsia="en-US"/>
        </w:rPr>
        <w:t xml:space="preserve"> – Performance benchmarks for rectification period performance standard</w:t>
      </w:r>
    </w:p>
    <w:p w14:paraId="7C317E06" w14:textId="77777777" w:rsidR="00CE1863" w:rsidRPr="0012182F" w:rsidRDefault="002E5323" w:rsidP="00941C10">
      <w:pPr>
        <w:widowControl w:val="0"/>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 xml:space="preserve">Section </w:t>
      </w:r>
      <w:r w:rsidR="00B54439" w:rsidRPr="0012182F">
        <w:rPr>
          <w:rFonts w:ascii="Times New Roman" w:eastAsiaTheme="minorHAnsi" w:hAnsi="Times New Roman"/>
          <w:kern w:val="24"/>
          <w:lang w:eastAsia="en-US"/>
        </w:rPr>
        <w:t>9</w:t>
      </w:r>
      <w:r w:rsidRPr="0012182F">
        <w:rPr>
          <w:rFonts w:ascii="Times New Roman" w:eastAsiaTheme="minorHAnsi" w:hAnsi="Times New Roman"/>
          <w:kern w:val="24"/>
          <w:lang w:eastAsia="en-US"/>
        </w:rPr>
        <w:t xml:space="preserve"> sets out the performance benchmarks that apply to compliance with performance standards in the CSG Standard for the </w:t>
      </w:r>
      <w:r w:rsidR="00CE1863" w:rsidRPr="0012182F">
        <w:rPr>
          <w:rFonts w:ascii="Times New Roman" w:eastAsiaTheme="minorHAnsi" w:hAnsi="Times New Roman"/>
          <w:kern w:val="24"/>
          <w:lang w:eastAsia="en-US"/>
        </w:rPr>
        <w:t xml:space="preserve">rectification of faults or service difficulties. </w:t>
      </w:r>
      <w:r w:rsidRPr="0012182F">
        <w:rPr>
          <w:rFonts w:ascii="Times New Roman" w:eastAsiaTheme="minorHAnsi" w:hAnsi="Times New Roman"/>
          <w:kern w:val="24"/>
          <w:lang w:eastAsia="en-US"/>
        </w:rPr>
        <w:t xml:space="preserve"> </w:t>
      </w:r>
    </w:p>
    <w:p w14:paraId="7C317E07" w14:textId="77777777" w:rsidR="00CE1863" w:rsidRPr="0012182F" w:rsidRDefault="002E5323" w:rsidP="00941C10">
      <w:pPr>
        <w:widowControl w:val="0"/>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 xml:space="preserve">If a </w:t>
      </w:r>
      <w:r w:rsidR="000C788F" w:rsidRPr="0012182F">
        <w:rPr>
          <w:rFonts w:ascii="Times New Roman" w:eastAsiaTheme="minorHAnsi" w:hAnsi="Times New Roman"/>
          <w:kern w:val="24"/>
          <w:lang w:eastAsia="en-US"/>
        </w:rPr>
        <w:t xml:space="preserve">qualifying </w:t>
      </w:r>
      <w:r w:rsidRPr="0012182F">
        <w:rPr>
          <w:rFonts w:ascii="Times New Roman" w:eastAsiaTheme="minorHAnsi" w:hAnsi="Times New Roman"/>
          <w:kern w:val="24"/>
          <w:lang w:eastAsia="en-US"/>
        </w:rPr>
        <w:t xml:space="preserve">CSP meets </w:t>
      </w:r>
      <w:r w:rsidR="00CE1863" w:rsidRPr="0012182F">
        <w:rPr>
          <w:rFonts w:ascii="Times New Roman" w:eastAsiaTheme="minorHAnsi" w:hAnsi="Times New Roman"/>
          <w:kern w:val="24"/>
          <w:lang w:eastAsia="en-US"/>
        </w:rPr>
        <w:t>the</w:t>
      </w:r>
      <w:r w:rsidRPr="0012182F">
        <w:rPr>
          <w:rFonts w:ascii="Times New Roman" w:eastAsiaTheme="minorHAnsi" w:hAnsi="Times New Roman"/>
          <w:kern w:val="24"/>
          <w:lang w:eastAsia="en-US"/>
        </w:rPr>
        <w:t xml:space="preserve"> location-specific threshold for </w:t>
      </w:r>
      <w:r w:rsidR="00CE1863" w:rsidRPr="0012182F">
        <w:rPr>
          <w:rFonts w:ascii="Times New Roman" w:eastAsiaTheme="minorHAnsi" w:hAnsi="Times New Roman"/>
          <w:kern w:val="24"/>
          <w:lang w:eastAsia="en-US"/>
        </w:rPr>
        <w:t>an</w:t>
      </w:r>
      <w:r w:rsidRPr="0012182F">
        <w:rPr>
          <w:rFonts w:ascii="Times New Roman" w:eastAsiaTheme="minorHAnsi" w:hAnsi="Times New Roman"/>
          <w:kern w:val="24"/>
          <w:lang w:eastAsia="en-US"/>
        </w:rPr>
        <w:t xml:space="preserve"> urban, rural or remote area, it must </w:t>
      </w:r>
      <w:r w:rsidR="00CE1863" w:rsidRPr="0012182F">
        <w:rPr>
          <w:rFonts w:ascii="Times New Roman" w:eastAsiaTheme="minorHAnsi" w:hAnsi="Times New Roman"/>
          <w:kern w:val="24"/>
          <w:lang w:eastAsia="en-US"/>
        </w:rPr>
        <w:t xml:space="preserve">comply with the relevant rectification performance standard in at least 90% of cases in that particular type of area. </w:t>
      </w:r>
      <w:r w:rsidR="001420FC" w:rsidRPr="0012182F">
        <w:rPr>
          <w:rFonts w:ascii="Times New Roman" w:eastAsiaTheme="minorHAnsi" w:hAnsi="Times New Roman"/>
          <w:kern w:val="24"/>
          <w:lang w:eastAsia="en-US"/>
        </w:rPr>
        <w:t>Whereas the connection performance benchmark separately assesses compliance in ‘major</w:t>
      </w:r>
      <w:r w:rsidR="000C788F" w:rsidRPr="0012182F">
        <w:rPr>
          <w:rFonts w:ascii="Times New Roman" w:eastAsiaTheme="minorHAnsi" w:hAnsi="Times New Roman"/>
          <w:kern w:val="24"/>
          <w:lang w:eastAsia="en-US"/>
        </w:rPr>
        <w:t xml:space="preserve"> rural</w:t>
      </w:r>
      <w:r w:rsidR="001420FC" w:rsidRPr="0012182F">
        <w:rPr>
          <w:rFonts w:ascii="Times New Roman" w:eastAsiaTheme="minorHAnsi" w:hAnsi="Times New Roman"/>
          <w:kern w:val="24"/>
          <w:lang w:eastAsia="en-US"/>
        </w:rPr>
        <w:t>’ and ‘minor rural</w:t>
      </w:r>
      <w:r w:rsidR="000C788F" w:rsidRPr="0012182F">
        <w:rPr>
          <w:rFonts w:ascii="Times New Roman" w:eastAsiaTheme="minorHAnsi" w:hAnsi="Times New Roman"/>
          <w:kern w:val="24"/>
          <w:lang w:eastAsia="en-US"/>
        </w:rPr>
        <w:t>’</w:t>
      </w:r>
      <w:r w:rsidR="001420FC" w:rsidRPr="0012182F">
        <w:rPr>
          <w:rFonts w:ascii="Times New Roman" w:eastAsiaTheme="minorHAnsi" w:hAnsi="Times New Roman"/>
          <w:kern w:val="24"/>
          <w:lang w:eastAsia="en-US"/>
        </w:rPr>
        <w:t xml:space="preserve"> areas, the rectification performance benchmark combines these two types of areas into a single ‘rural’ category. </w:t>
      </w:r>
    </w:p>
    <w:p w14:paraId="7C317E08" w14:textId="77777777" w:rsidR="001420FC" w:rsidRPr="0012182F" w:rsidRDefault="002E5323" w:rsidP="00941C10">
      <w:pPr>
        <w:widowControl w:val="0"/>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 xml:space="preserve">Subsection </w:t>
      </w:r>
      <w:r w:rsidR="00B54439" w:rsidRPr="0012182F">
        <w:rPr>
          <w:rFonts w:ascii="Times New Roman" w:eastAsiaTheme="minorHAnsi" w:hAnsi="Times New Roman"/>
          <w:kern w:val="24"/>
          <w:lang w:eastAsia="en-US"/>
        </w:rPr>
        <w:t>9</w:t>
      </w:r>
      <w:r w:rsidRPr="0012182F">
        <w:rPr>
          <w:rFonts w:ascii="Times New Roman" w:eastAsiaTheme="minorHAnsi" w:hAnsi="Times New Roman"/>
          <w:kern w:val="24"/>
          <w:lang w:eastAsia="en-US"/>
        </w:rPr>
        <w:t xml:space="preserve">(3) </w:t>
      </w:r>
      <w:r w:rsidR="001420FC" w:rsidRPr="0012182F">
        <w:rPr>
          <w:rFonts w:ascii="Times New Roman" w:eastAsiaTheme="minorHAnsi" w:hAnsi="Times New Roman"/>
          <w:kern w:val="24"/>
          <w:lang w:eastAsia="en-US"/>
        </w:rPr>
        <w:t xml:space="preserve">clarifies that the rectification performance benchmark does not apply to specific faults relating to an enhanced call handling feature (ECHF). </w:t>
      </w:r>
      <w:r w:rsidR="004B62B8" w:rsidRPr="0012182F">
        <w:rPr>
          <w:rFonts w:ascii="Times New Roman" w:eastAsiaTheme="minorHAnsi" w:hAnsi="Times New Roman"/>
          <w:kern w:val="24"/>
          <w:lang w:eastAsia="en-US"/>
        </w:rPr>
        <w:t>As set out in the CSG Standard, an EC</w:t>
      </w:r>
      <w:r w:rsidR="000C788F" w:rsidRPr="0012182F">
        <w:rPr>
          <w:rFonts w:ascii="Times New Roman" w:eastAsiaTheme="minorHAnsi" w:hAnsi="Times New Roman"/>
          <w:kern w:val="24"/>
          <w:lang w:eastAsia="en-US"/>
        </w:rPr>
        <w:t>H</w:t>
      </w:r>
      <w:r w:rsidR="004B62B8" w:rsidRPr="0012182F">
        <w:rPr>
          <w:rFonts w:ascii="Times New Roman" w:eastAsiaTheme="minorHAnsi" w:hAnsi="Times New Roman"/>
          <w:kern w:val="24"/>
          <w:lang w:eastAsia="en-US"/>
        </w:rPr>
        <w:t xml:space="preserve">F </w:t>
      </w:r>
      <w:r w:rsidR="00D54303" w:rsidRPr="0012182F">
        <w:rPr>
          <w:rFonts w:ascii="Times New Roman" w:eastAsiaTheme="minorHAnsi" w:hAnsi="Times New Roman"/>
          <w:kern w:val="24"/>
          <w:lang w:eastAsia="en-US"/>
        </w:rPr>
        <w:t>includes any call waiting, forwarding and barring feature, as well as any feature that enables a customer to identify the number of an incoming call or prevent the display of their number to someone who they have called.</w:t>
      </w:r>
      <w:r w:rsidR="00A50ADA" w:rsidRPr="0012182F">
        <w:rPr>
          <w:rFonts w:ascii="Times New Roman" w:eastAsiaTheme="minorHAnsi" w:hAnsi="Times New Roman"/>
          <w:kern w:val="24"/>
          <w:lang w:eastAsia="en-US"/>
        </w:rPr>
        <w:t xml:space="preserve"> </w:t>
      </w:r>
      <w:r w:rsidR="00D04EED" w:rsidRPr="0012182F">
        <w:rPr>
          <w:rFonts w:ascii="Times New Roman" w:eastAsiaTheme="minorHAnsi" w:hAnsi="Times New Roman"/>
          <w:kern w:val="24"/>
          <w:lang w:eastAsia="en-US"/>
        </w:rPr>
        <w:t>While</w:t>
      </w:r>
      <w:r w:rsidR="00C1681B" w:rsidRPr="0012182F">
        <w:rPr>
          <w:rFonts w:ascii="Times New Roman" w:eastAsiaTheme="minorHAnsi" w:hAnsi="Times New Roman"/>
          <w:kern w:val="24"/>
          <w:lang w:eastAsia="en-US"/>
        </w:rPr>
        <w:t xml:space="preserve"> a CSP is not required by the CSG Standard to offer ECHFs to customers, any ECHF that a CSP may elect to offer is subject to the requirements in the CSG Standard to meet maximum timeframes and pay compensation to customers where timeframes are missed</w:t>
      </w:r>
      <w:r w:rsidR="00D04EED" w:rsidRPr="0012182F">
        <w:rPr>
          <w:rFonts w:ascii="Times New Roman" w:eastAsiaTheme="minorHAnsi" w:hAnsi="Times New Roman"/>
          <w:kern w:val="24"/>
          <w:lang w:eastAsia="en-US"/>
        </w:rPr>
        <w:t xml:space="preserve">. However, </w:t>
      </w:r>
      <w:r w:rsidR="00A50ADA" w:rsidRPr="0012182F">
        <w:rPr>
          <w:rFonts w:ascii="Times New Roman" w:eastAsiaTheme="minorHAnsi" w:hAnsi="Times New Roman"/>
          <w:kern w:val="24"/>
          <w:lang w:eastAsia="en-US"/>
        </w:rPr>
        <w:t>t</w:t>
      </w:r>
      <w:r w:rsidR="001420FC" w:rsidRPr="0012182F">
        <w:rPr>
          <w:rFonts w:ascii="Times New Roman" w:eastAsiaTheme="minorHAnsi" w:hAnsi="Times New Roman"/>
          <w:kern w:val="24"/>
          <w:lang w:eastAsia="en-US"/>
        </w:rPr>
        <w:t xml:space="preserve">he exclusion of these types of faults </w:t>
      </w:r>
      <w:r w:rsidR="00A50ADA" w:rsidRPr="0012182F">
        <w:rPr>
          <w:rFonts w:ascii="Times New Roman" w:eastAsiaTheme="minorHAnsi" w:hAnsi="Times New Roman"/>
          <w:kern w:val="24"/>
          <w:lang w:eastAsia="en-US"/>
        </w:rPr>
        <w:t xml:space="preserve">from this Instrument </w:t>
      </w:r>
      <w:r w:rsidR="001420FC" w:rsidRPr="0012182F">
        <w:rPr>
          <w:rFonts w:ascii="Times New Roman" w:eastAsiaTheme="minorHAnsi" w:hAnsi="Times New Roman"/>
          <w:kern w:val="24"/>
          <w:lang w:eastAsia="en-US"/>
        </w:rPr>
        <w:t>recognises that a fault of an ECHF does not materially impact the ability of a telephone to make or receive a call.</w:t>
      </w:r>
      <w:r w:rsidR="00D54303" w:rsidRPr="0012182F">
        <w:rPr>
          <w:rFonts w:ascii="Times New Roman" w:eastAsiaTheme="minorHAnsi" w:hAnsi="Times New Roman"/>
          <w:kern w:val="24"/>
          <w:lang w:eastAsia="en-US"/>
        </w:rPr>
        <w:t xml:space="preserve"> </w:t>
      </w:r>
    </w:p>
    <w:p w14:paraId="7C317E09" w14:textId="77777777" w:rsidR="00941C10" w:rsidRPr="0012182F" w:rsidRDefault="00941C10" w:rsidP="00941C10">
      <w:pPr>
        <w:widowControl w:val="0"/>
        <w:ind w:right="91"/>
        <w:rPr>
          <w:rFonts w:ascii="Times New Roman" w:eastAsiaTheme="minorHAnsi" w:hAnsi="Times New Roman"/>
          <w:b/>
          <w:kern w:val="24"/>
          <w:lang w:eastAsia="en-US"/>
        </w:rPr>
      </w:pPr>
      <w:r w:rsidRPr="0012182F">
        <w:rPr>
          <w:rFonts w:ascii="Times New Roman" w:eastAsiaTheme="minorHAnsi" w:hAnsi="Times New Roman"/>
          <w:b/>
          <w:kern w:val="24"/>
          <w:lang w:eastAsia="en-US"/>
        </w:rPr>
        <w:t xml:space="preserve">Section </w:t>
      </w:r>
      <w:r w:rsidR="00B54439" w:rsidRPr="0012182F">
        <w:rPr>
          <w:rFonts w:ascii="Times New Roman" w:eastAsiaTheme="minorHAnsi" w:hAnsi="Times New Roman"/>
          <w:b/>
          <w:kern w:val="24"/>
          <w:lang w:eastAsia="en-US"/>
        </w:rPr>
        <w:t>10</w:t>
      </w:r>
      <w:r w:rsidRPr="0012182F">
        <w:rPr>
          <w:rFonts w:ascii="Times New Roman" w:eastAsiaTheme="minorHAnsi" w:hAnsi="Times New Roman"/>
          <w:b/>
          <w:kern w:val="24"/>
          <w:lang w:eastAsia="en-US"/>
        </w:rPr>
        <w:t xml:space="preserve"> – Performance benchmark for appointment-keeping performance standard</w:t>
      </w:r>
    </w:p>
    <w:p w14:paraId="7C317E0A" w14:textId="77777777" w:rsidR="000E1880" w:rsidRPr="0012182F" w:rsidRDefault="002E5323" w:rsidP="00941C10">
      <w:pPr>
        <w:widowControl w:val="0"/>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 xml:space="preserve">Section </w:t>
      </w:r>
      <w:r w:rsidR="00B54439" w:rsidRPr="0012182F">
        <w:rPr>
          <w:rFonts w:ascii="Times New Roman" w:eastAsiaTheme="minorHAnsi" w:hAnsi="Times New Roman"/>
          <w:kern w:val="24"/>
          <w:lang w:eastAsia="en-US"/>
        </w:rPr>
        <w:t>10</w:t>
      </w:r>
      <w:r w:rsidRPr="0012182F">
        <w:rPr>
          <w:rFonts w:ascii="Times New Roman" w:eastAsiaTheme="minorHAnsi" w:hAnsi="Times New Roman"/>
          <w:kern w:val="24"/>
          <w:lang w:eastAsia="en-US"/>
        </w:rPr>
        <w:t xml:space="preserve"> sets out the performance benchmark that appl</w:t>
      </w:r>
      <w:r w:rsidR="001420FC" w:rsidRPr="0012182F">
        <w:rPr>
          <w:rFonts w:ascii="Times New Roman" w:eastAsiaTheme="minorHAnsi" w:hAnsi="Times New Roman"/>
          <w:kern w:val="24"/>
          <w:lang w:eastAsia="en-US"/>
        </w:rPr>
        <w:t>ies</w:t>
      </w:r>
      <w:r w:rsidRPr="0012182F">
        <w:rPr>
          <w:rFonts w:ascii="Times New Roman" w:eastAsiaTheme="minorHAnsi" w:hAnsi="Times New Roman"/>
          <w:kern w:val="24"/>
          <w:lang w:eastAsia="en-US"/>
        </w:rPr>
        <w:t xml:space="preserve"> to compliance with the appointment-keeping performance standard in the CSG Standard. Qualifying CSPs are required to </w:t>
      </w:r>
      <w:r w:rsidR="00924477" w:rsidRPr="0012182F">
        <w:rPr>
          <w:rFonts w:ascii="Times New Roman" w:eastAsiaTheme="minorHAnsi" w:hAnsi="Times New Roman"/>
          <w:kern w:val="24"/>
          <w:lang w:eastAsia="en-US"/>
        </w:rPr>
        <w:t xml:space="preserve">comply with the appointment-keeping standard (i.e. keep an appointment with a customer) in at least 90% of cases. </w:t>
      </w:r>
      <w:r w:rsidR="001420FC" w:rsidRPr="0012182F">
        <w:rPr>
          <w:rFonts w:ascii="Times New Roman" w:eastAsiaTheme="minorHAnsi" w:hAnsi="Times New Roman"/>
          <w:kern w:val="24"/>
          <w:lang w:eastAsia="en-US"/>
        </w:rPr>
        <w:t xml:space="preserve">This benchmark is applied at a national level and not to particular geographic areas. </w:t>
      </w:r>
    </w:p>
    <w:p w14:paraId="7C317E0B" w14:textId="77777777" w:rsidR="00941C10" w:rsidRPr="0012182F" w:rsidRDefault="00941C10" w:rsidP="00941C10">
      <w:pPr>
        <w:spacing w:after="120"/>
        <w:ind w:right="-709"/>
        <w:rPr>
          <w:rFonts w:ascii="Times New Roman" w:eastAsiaTheme="minorHAnsi" w:hAnsi="Times New Roman"/>
          <w:b/>
          <w:kern w:val="24"/>
          <w:sz w:val="26"/>
          <w:szCs w:val="26"/>
          <w:lang w:eastAsia="en-US"/>
        </w:rPr>
      </w:pPr>
      <w:r w:rsidRPr="0012182F">
        <w:rPr>
          <w:rFonts w:ascii="Times New Roman" w:eastAsiaTheme="minorHAnsi" w:hAnsi="Times New Roman"/>
          <w:b/>
          <w:kern w:val="24"/>
          <w:sz w:val="26"/>
          <w:szCs w:val="26"/>
          <w:lang w:eastAsia="en-US"/>
        </w:rPr>
        <w:t>Division 2 – Compliance with performance benchmarks</w:t>
      </w:r>
    </w:p>
    <w:p w14:paraId="7C317E0C" w14:textId="77777777" w:rsidR="00941C10" w:rsidRPr="0012182F" w:rsidRDefault="00941C10" w:rsidP="00941C10">
      <w:pPr>
        <w:widowControl w:val="0"/>
        <w:ind w:right="91"/>
        <w:rPr>
          <w:rFonts w:ascii="Times New Roman" w:eastAsiaTheme="minorHAnsi" w:hAnsi="Times New Roman"/>
          <w:b/>
          <w:kern w:val="24"/>
          <w:lang w:eastAsia="en-US"/>
        </w:rPr>
      </w:pPr>
      <w:r w:rsidRPr="0012182F">
        <w:rPr>
          <w:rFonts w:ascii="Times New Roman" w:eastAsiaTheme="minorHAnsi" w:hAnsi="Times New Roman"/>
          <w:b/>
          <w:kern w:val="24"/>
          <w:lang w:eastAsia="en-US"/>
        </w:rPr>
        <w:t>Section 1</w:t>
      </w:r>
      <w:r w:rsidR="00B54439" w:rsidRPr="0012182F">
        <w:rPr>
          <w:rFonts w:ascii="Times New Roman" w:eastAsiaTheme="minorHAnsi" w:hAnsi="Times New Roman"/>
          <w:b/>
          <w:kern w:val="24"/>
          <w:lang w:eastAsia="en-US"/>
        </w:rPr>
        <w:t>1</w:t>
      </w:r>
      <w:r w:rsidRPr="0012182F">
        <w:rPr>
          <w:rFonts w:ascii="Times New Roman" w:eastAsiaTheme="minorHAnsi" w:hAnsi="Times New Roman"/>
          <w:b/>
          <w:kern w:val="24"/>
          <w:lang w:eastAsia="en-US"/>
        </w:rPr>
        <w:t xml:space="preserve"> – Contravention of a performance benchmark</w:t>
      </w:r>
    </w:p>
    <w:p w14:paraId="7C317E0D" w14:textId="4706290C" w:rsidR="00CD04B7" w:rsidRPr="0012182F" w:rsidRDefault="00941C10" w:rsidP="00C91C25">
      <w:pPr>
        <w:widowControl w:val="0"/>
        <w:ind w:right="91"/>
        <w:rPr>
          <w:rFonts w:ascii="Times New Roman" w:eastAsiaTheme="minorHAnsi" w:hAnsi="Times New Roman"/>
          <w:kern w:val="24"/>
          <w:lang w:eastAsia="en-US"/>
        </w:rPr>
      </w:pPr>
      <w:r w:rsidRPr="0012182F">
        <w:rPr>
          <w:rFonts w:ascii="Times New Roman" w:eastAsiaTheme="minorHAnsi" w:hAnsi="Times New Roman"/>
          <w:kern w:val="24"/>
          <w:lang w:eastAsia="en-US"/>
        </w:rPr>
        <w:t>Section 1</w:t>
      </w:r>
      <w:r w:rsidR="00B54439" w:rsidRPr="0012182F">
        <w:rPr>
          <w:rFonts w:ascii="Times New Roman" w:eastAsiaTheme="minorHAnsi" w:hAnsi="Times New Roman"/>
          <w:kern w:val="24"/>
          <w:lang w:eastAsia="en-US"/>
        </w:rPr>
        <w:t>1</w:t>
      </w:r>
      <w:r w:rsidRPr="0012182F">
        <w:rPr>
          <w:rFonts w:ascii="Times New Roman" w:eastAsiaTheme="minorHAnsi" w:hAnsi="Times New Roman"/>
          <w:kern w:val="24"/>
          <w:lang w:eastAsia="en-US"/>
        </w:rPr>
        <w:t xml:space="preserve"> </w:t>
      </w:r>
      <w:r w:rsidR="00C91C25" w:rsidRPr="0012182F">
        <w:rPr>
          <w:rFonts w:ascii="Times New Roman" w:eastAsiaTheme="minorHAnsi" w:hAnsi="Times New Roman"/>
          <w:kern w:val="24"/>
          <w:lang w:eastAsia="en-US"/>
        </w:rPr>
        <w:t xml:space="preserve">provides that, where a CSP fails to meet or exceed any one of the performance benchmarks set out in the </w:t>
      </w:r>
      <w:r w:rsidR="00132279" w:rsidRPr="0012182F">
        <w:rPr>
          <w:rFonts w:ascii="Times New Roman" w:eastAsiaTheme="minorHAnsi" w:hAnsi="Times New Roman"/>
          <w:kern w:val="24"/>
          <w:lang w:eastAsia="en-US"/>
        </w:rPr>
        <w:t>I</w:t>
      </w:r>
      <w:r w:rsidR="00C91C25" w:rsidRPr="0012182F">
        <w:rPr>
          <w:rFonts w:ascii="Times New Roman" w:eastAsiaTheme="minorHAnsi" w:hAnsi="Times New Roman"/>
          <w:kern w:val="24"/>
          <w:lang w:eastAsia="en-US"/>
        </w:rPr>
        <w:t xml:space="preserve">nstrument (at sections </w:t>
      </w:r>
      <w:r w:rsidR="00B54439" w:rsidRPr="0012182F">
        <w:rPr>
          <w:rFonts w:ascii="Times New Roman" w:eastAsiaTheme="minorHAnsi" w:hAnsi="Times New Roman"/>
          <w:kern w:val="24"/>
          <w:lang w:eastAsia="en-US"/>
        </w:rPr>
        <w:t>8</w:t>
      </w:r>
      <w:r w:rsidR="00C91C25" w:rsidRPr="0012182F">
        <w:rPr>
          <w:rFonts w:ascii="Times New Roman" w:eastAsiaTheme="minorHAnsi" w:hAnsi="Times New Roman"/>
          <w:kern w:val="24"/>
          <w:lang w:eastAsia="en-US"/>
        </w:rPr>
        <w:t>-</w:t>
      </w:r>
      <w:r w:rsidR="00B54439" w:rsidRPr="0012182F">
        <w:rPr>
          <w:rFonts w:ascii="Times New Roman" w:eastAsiaTheme="minorHAnsi" w:hAnsi="Times New Roman"/>
          <w:kern w:val="24"/>
          <w:lang w:eastAsia="en-US"/>
        </w:rPr>
        <w:t>10</w:t>
      </w:r>
      <w:r w:rsidR="00C91C25" w:rsidRPr="0012182F">
        <w:rPr>
          <w:rFonts w:ascii="Times New Roman" w:eastAsiaTheme="minorHAnsi" w:hAnsi="Times New Roman"/>
          <w:kern w:val="24"/>
          <w:lang w:eastAsia="en-US"/>
        </w:rPr>
        <w:t xml:space="preserve">), it will constitute a </w:t>
      </w:r>
      <w:r w:rsidR="00D93573" w:rsidRPr="0012182F">
        <w:rPr>
          <w:rFonts w:ascii="Times New Roman" w:eastAsiaTheme="minorHAnsi" w:hAnsi="Times New Roman"/>
          <w:kern w:val="24"/>
          <w:lang w:eastAsia="en-US"/>
        </w:rPr>
        <w:t xml:space="preserve">separate contravention of the relevant performance benchmarks. </w:t>
      </w:r>
      <w:r w:rsidR="00CF3CAD" w:rsidRPr="0012182F">
        <w:rPr>
          <w:rFonts w:ascii="Times New Roman" w:eastAsiaTheme="minorHAnsi" w:hAnsi="Times New Roman"/>
          <w:kern w:val="24"/>
          <w:lang w:eastAsia="en-US"/>
        </w:rPr>
        <w:t xml:space="preserve">The effect of this is that each </w:t>
      </w:r>
      <w:r w:rsidR="00B73CF1" w:rsidRPr="0012182F">
        <w:rPr>
          <w:rFonts w:ascii="Times New Roman" w:eastAsiaTheme="minorHAnsi" w:hAnsi="Times New Roman"/>
          <w:kern w:val="24"/>
          <w:lang w:eastAsia="en-US"/>
        </w:rPr>
        <w:t xml:space="preserve">failure to meet a benchmark will be taken to be a separate breach of </w:t>
      </w:r>
      <w:r w:rsidR="00CD04B7" w:rsidRPr="0012182F">
        <w:rPr>
          <w:rFonts w:ascii="Times New Roman" w:eastAsiaTheme="minorHAnsi" w:hAnsi="Times New Roman"/>
          <w:kern w:val="24"/>
          <w:lang w:eastAsia="en-US"/>
        </w:rPr>
        <w:t>subsection 117</w:t>
      </w:r>
      <w:proofErr w:type="gramStart"/>
      <w:r w:rsidR="00CD04B7" w:rsidRPr="0012182F">
        <w:rPr>
          <w:rFonts w:ascii="Times New Roman" w:eastAsiaTheme="minorHAnsi" w:hAnsi="Times New Roman"/>
          <w:kern w:val="24"/>
          <w:lang w:eastAsia="en-US"/>
        </w:rPr>
        <w:t>C(</w:t>
      </w:r>
      <w:proofErr w:type="gramEnd"/>
      <w:r w:rsidR="00CD04B7" w:rsidRPr="0012182F">
        <w:rPr>
          <w:rFonts w:ascii="Times New Roman" w:eastAsiaTheme="minorHAnsi" w:hAnsi="Times New Roman"/>
          <w:kern w:val="24"/>
          <w:lang w:eastAsia="en-US"/>
        </w:rPr>
        <w:t xml:space="preserve">2) of the Act. Accordingly, the ACMA could take enforcement actions against each individual contravention of a performance benchmark. </w:t>
      </w:r>
    </w:p>
    <w:p w14:paraId="7C317E0E" w14:textId="77777777" w:rsidR="00C91C25" w:rsidRPr="0012182F" w:rsidRDefault="00C91C25" w:rsidP="00C91C25">
      <w:pPr>
        <w:spacing w:after="120"/>
        <w:ind w:right="-709"/>
        <w:rPr>
          <w:rFonts w:ascii="Times New Roman" w:eastAsiaTheme="minorHAnsi" w:hAnsi="Times New Roman"/>
          <w:b/>
          <w:kern w:val="24"/>
          <w:sz w:val="28"/>
          <w:szCs w:val="28"/>
          <w:lang w:eastAsia="en-US"/>
        </w:rPr>
      </w:pPr>
      <w:r w:rsidRPr="0012182F">
        <w:rPr>
          <w:rFonts w:ascii="Times New Roman" w:eastAsiaTheme="minorHAnsi" w:hAnsi="Times New Roman"/>
          <w:b/>
          <w:kern w:val="24"/>
          <w:sz w:val="28"/>
          <w:szCs w:val="28"/>
          <w:lang w:eastAsia="en-US"/>
        </w:rPr>
        <w:t>Schedule 1 – Repeals</w:t>
      </w:r>
    </w:p>
    <w:p w14:paraId="7C317E0F" w14:textId="7785A2F0" w:rsidR="00BE5786" w:rsidRPr="0012182F" w:rsidRDefault="00C91C25" w:rsidP="00C453FD">
      <w:pPr>
        <w:spacing w:after="120"/>
        <w:ind w:right="-709"/>
        <w:rPr>
          <w:rFonts w:ascii="Times New Roman" w:eastAsiaTheme="minorHAnsi" w:hAnsi="Times New Roman"/>
          <w:kern w:val="24"/>
          <w:lang w:eastAsia="en-US"/>
        </w:rPr>
      </w:pPr>
      <w:r w:rsidRPr="0012182F">
        <w:rPr>
          <w:rFonts w:ascii="Times New Roman" w:eastAsiaTheme="minorHAnsi" w:hAnsi="Times New Roman"/>
          <w:kern w:val="24"/>
          <w:lang w:eastAsia="en-US"/>
        </w:rPr>
        <w:t>Schedule 1 repeals</w:t>
      </w:r>
      <w:r w:rsidR="00595DC0" w:rsidRPr="0012182F">
        <w:rPr>
          <w:rFonts w:ascii="Times New Roman" w:eastAsiaTheme="minorHAnsi" w:hAnsi="Times New Roman"/>
          <w:kern w:val="24"/>
          <w:lang w:eastAsia="en-US"/>
        </w:rPr>
        <w:t>, in its</w:t>
      </w:r>
      <w:r w:rsidRPr="0012182F">
        <w:rPr>
          <w:rFonts w:ascii="Times New Roman" w:eastAsiaTheme="minorHAnsi" w:hAnsi="Times New Roman"/>
          <w:kern w:val="24"/>
          <w:lang w:eastAsia="en-US"/>
        </w:rPr>
        <w:t xml:space="preserve"> entirety</w:t>
      </w:r>
      <w:r w:rsidR="00595DC0" w:rsidRPr="0012182F">
        <w:rPr>
          <w:rFonts w:ascii="Times New Roman" w:eastAsiaTheme="minorHAnsi" w:hAnsi="Times New Roman"/>
          <w:kern w:val="24"/>
          <w:lang w:eastAsia="en-US"/>
        </w:rPr>
        <w:t>,</w:t>
      </w:r>
      <w:r w:rsidRPr="0012182F">
        <w:rPr>
          <w:rFonts w:ascii="Times New Roman" w:eastAsiaTheme="minorHAnsi" w:hAnsi="Times New Roman"/>
          <w:kern w:val="24"/>
          <w:lang w:eastAsia="en-US"/>
        </w:rPr>
        <w:t xml:space="preserve"> the previous iteration of th</w:t>
      </w:r>
      <w:r w:rsidR="00132279" w:rsidRPr="0012182F">
        <w:rPr>
          <w:rFonts w:ascii="Times New Roman" w:eastAsiaTheme="minorHAnsi" w:hAnsi="Times New Roman"/>
          <w:kern w:val="24"/>
          <w:lang w:eastAsia="en-US"/>
        </w:rPr>
        <w:t>e</w:t>
      </w:r>
      <w:r w:rsidRPr="0012182F">
        <w:rPr>
          <w:rFonts w:ascii="Times New Roman" w:eastAsiaTheme="minorHAnsi" w:hAnsi="Times New Roman"/>
          <w:kern w:val="24"/>
          <w:lang w:eastAsia="en-US"/>
        </w:rPr>
        <w:t xml:space="preserve"> Instrument – the </w:t>
      </w:r>
      <w:r w:rsidRPr="0012182F">
        <w:rPr>
          <w:rFonts w:ascii="Times New Roman" w:eastAsiaTheme="minorHAnsi" w:hAnsi="Times New Roman"/>
          <w:i/>
          <w:kern w:val="24"/>
          <w:lang w:eastAsia="en-US"/>
        </w:rPr>
        <w:t>Telecommunications (Customer Service Guarantee – Retail Performance Benchmarks) Instrument (No. 1) 2011.</w:t>
      </w:r>
    </w:p>
    <w:p w14:paraId="7C317E10" w14:textId="77777777" w:rsidR="00BE5786" w:rsidRPr="0012182F" w:rsidRDefault="00BE5786" w:rsidP="00BE5786">
      <w:pPr>
        <w:spacing w:after="160" w:line="259" w:lineRule="auto"/>
        <w:ind w:left="6480" w:firstLine="720"/>
        <w:rPr>
          <w:rFonts w:ascii="Times New Roman" w:hAnsi="Times New Roman"/>
          <w:b/>
          <w:sz w:val="28"/>
          <w:szCs w:val="28"/>
        </w:rPr>
      </w:pPr>
      <w:bookmarkStart w:id="1" w:name="_Hlk137162182"/>
      <w:r w:rsidRPr="0012182F">
        <w:rPr>
          <w:rFonts w:ascii="Times New Roman" w:hAnsi="Times New Roman"/>
          <w:b/>
          <w:sz w:val="28"/>
          <w:szCs w:val="28"/>
        </w:rPr>
        <w:lastRenderedPageBreak/>
        <w:t>Attachment B</w:t>
      </w:r>
    </w:p>
    <w:p w14:paraId="7C317E11" w14:textId="77777777" w:rsidR="00BE5786" w:rsidRPr="0012182F" w:rsidRDefault="00BE5786" w:rsidP="00BE5786">
      <w:pPr>
        <w:pStyle w:val="Heading2"/>
        <w:rPr>
          <w:rFonts w:eastAsiaTheme="minorHAnsi" w:cs="Times New Roman"/>
          <w:sz w:val="24"/>
          <w:szCs w:val="24"/>
        </w:rPr>
      </w:pPr>
      <w:r w:rsidRPr="0012182F">
        <w:rPr>
          <w:rFonts w:eastAsiaTheme="minorHAnsi" w:cs="Times New Roman"/>
          <w:sz w:val="24"/>
          <w:szCs w:val="24"/>
        </w:rPr>
        <w:t>Statement of Compatibility with Human Rights</w:t>
      </w:r>
    </w:p>
    <w:p w14:paraId="7C317E12" w14:textId="77777777" w:rsidR="00BE5786" w:rsidRPr="0012182F" w:rsidRDefault="00BE5786" w:rsidP="00BE5786">
      <w:pPr>
        <w:shd w:val="clear" w:color="auto" w:fill="FFFFFF"/>
        <w:ind w:right="91"/>
        <w:jc w:val="center"/>
        <w:rPr>
          <w:rFonts w:ascii="Times New Roman" w:hAnsi="Times New Roman"/>
          <w:i/>
          <w:iCs/>
          <w:lang w:val="en-GB"/>
        </w:rPr>
      </w:pPr>
      <w:r w:rsidRPr="0012182F">
        <w:rPr>
          <w:rFonts w:ascii="Times New Roman" w:hAnsi="Times New Roman"/>
          <w:iCs/>
          <w:lang w:val="en-GB"/>
        </w:rPr>
        <w:t>Prepared in accordance with Part 3 of the</w:t>
      </w:r>
      <w:r w:rsidRPr="0012182F">
        <w:rPr>
          <w:rFonts w:ascii="Times New Roman" w:hAnsi="Times New Roman"/>
          <w:iCs/>
          <w:lang w:val="en-GB"/>
        </w:rPr>
        <w:br/>
      </w:r>
      <w:r w:rsidRPr="0012182F">
        <w:rPr>
          <w:rFonts w:ascii="Times New Roman" w:hAnsi="Times New Roman"/>
          <w:i/>
          <w:iCs/>
          <w:lang w:val="en-GB"/>
        </w:rPr>
        <w:t>Human Rights (Parliamentary Scrutiny) Act 2011</w:t>
      </w:r>
    </w:p>
    <w:p w14:paraId="7C317E13" w14:textId="77777777" w:rsidR="00CD04B7" w:rsidRPr="0012182F" w:rsidRDefault="00CD04B7" w:rsidP="00CD04B7">
      <w:pPr>
        <w:jc w:val="center"/>
        <w:rPr>
          <w:rFonts w:ascii="Times New Roman" w:hAnsi="Times New Roman"/>
          <w:b/>
          <w:i/>
        </w:rPr>
      </w:pPr>
      <w:r w:rsidRPr="0012182F">
        <w:rPr>
          <w:rFonts w:ascii="Times New Roman" w:hAnsi="Times New Roman"/>
          <w:b/>
          <w:i/>
        </w:rPr>
        <w:t>Telecommunications (Customer Service Guarantee – Retail Performance Benchmarks) Instrument 2023</w:t>
      </w:r>
    </w:p>
    <w:p w14:paraId="7C317E14" w14:textId="77777777" w:rsidR="008474AE" w:rsidRPr="0012182F" w:rsidRDefault="008474AE" w:rsidP="00BE5786">
      <w:pPr>
        <w:spacing w:before="100" w:beforeAutospacing="1" w:after="100" w:afterAutospacing="1" w:line="300" w:lineRule="atLeast"/>
        <w:rPr>
          <w:rFonts w:ascii="Times New Roman" w:hAnsi="Times New Roman"/>
        </w:rPr>
      </w:pPr>
      <w:r w:rsidRPr="0012182F">
        <w:rPr>
          <w:rFonts w:ascii="Times New Roman" w:hAnsi="Times New Roman"/>
        </w:rPr>
        <w:t xml:space="preserve">The </w:t>
      </w:r>
      <w:r w:rsidRPr="0012182F">
        <w:rPr>
          <w:rFonts w:ascii="Times New Roman" w:hAnsi="Times New Roman"/>
          <w:i/>
        </w:rPr>
        <w:t>Telecommunications (Customer Service Guarantee</w:t>
      </w:r>
      <w:r w:rsidR="00CD04B7" w:rsidRPr="0012182F">
        <w:rPr>
          <w:rFonts w:ascii="Times New Roman" w:hAnsi="Times New Roman"/>
          <w:i/>
        </w:rPr>
        <w:t xml:space="preserve"> – Retail Performance Benchmarks) Instrument 2023</w:t>
      </w:r>
      <w:r w:rsidRPr="0012182F">
        <w:rPr>
          <w:rFonts w:ascii="Times New Roman" w:hAnsi="Times New Roman"/>
          <w:i/>
        </w:rPr>
        <w:t xml:space="preserve"> </w:t>
      </w:r>
      <w:r w:rsidRPr="0012182F">
        <w:rPr>
          <w:rFonts w:ascii="Times New Roman" w:hAnsi="Times New Roman"/>
        </w:rPr>
        <w:t xml:space="preserve">is compatible with the human rights and freedoms recognised or declared in the international instruments listed in section 3 of the </w:t>
      </w:r>
      <w:r w:rsidRPr="0012182F">
        <w:rPr>
          <w:rFonts w:ascii="Times New Roman" w:hAnsi="Times New Roman"/>
          <w:i/>
        </w:rPr>
        <w:t>Human Rights (Parliamentary Scrutiny) Act 2011</w:t>
      </w:r>
      <w:r w:rsidRPr="0012182F">
        <w:rPr>
          <w:rFonts w:ascii="Times New Roman" w:hAnsi="Times New Roman"/>
        </w:rPr>
        <w:t xml:space="preserve">. </w:t>
      </w:r>
    </w:p>
    <w:p w14:paraId="7C317E15" w14:textId="77777777" w:rsidR="00BE5786" w:rsidRPr="0012182F" w:rsidRDefault="00BE5786" w:rsidP="00BE5786">
      <w:pPr>
        <w:spacing w:before="100" w:beforeAutospacing="1" w:after="100" w:afterAutospacing="1" w:line="300" w:lineRule="atLeast"/>
        <w:rPr>
          <w:rFonts w:ascii="Times New Roman" w:hAnsi="Times New Roman"/>
          <w:b/>
        </w:rPr>
      </w:pPr>
      <w:r w:rsidRPr="0012182F">
        <w:rPr>
          <w:rFonts w:ascii="Times New Roman" w:hAnsi="Times New Roman"/>
          <w:b/>
        </w:rPr>
        <w:t>Overview of the Direction</w:t>
      </w:r>
    </w:p>
    <w:p w14:paraId="7C317E16" w14:textId="77777777" w:rsidR="00CD04B7" w:rsidRPr="0012182F" w:rsidRDefault="00CD51F8" w:rsidP="00CD51F8">
      <w:pPr>
        <w:spacing w:before="100" w:beforeAutospacing="1" w:after="100" w:afterAutospacing="1" w:line="300" w:lineRule="atLeast"/>
        <w:rPr>
          <w:rFonts w:ascii="Times New Roman" w:hAnsi="Times New Roman"/>
        </w:rPr>
      </w:pPr>
      <w:r w:rsidRPr="0012182F">
        <w:rPr>
          <w:rFonts w:ascii="Times New Roman" w:hAnsi="Times New Roman"/>
        </w:rPr>
        <w:t xml:space="preserve">The </w:t>
      </w:r>
      <w:r w:rsidR="00CD04B7" w:rsidRPr="0012182F">
        <w:rPr>
          <w:rFonts w:ascii="Times New Roman" w:hAnsi="Times New Roman"/>
          <w:i/>
        </w:rPr>
        <w:t xml:space="preserve">Telecommunications (Customer Service Guarantee – Retail Performance Benchmarks) Instrument 2023 </w:t>
      </w:r>
      <w:r w:rsidRPr="0012182F">
        <w:rPr>
          <w:rFonts w:ascii="Times New Roman" w:hAnsi="Times New Roman"/>
        </w:rPr>
        <w:t>(the</w:t>
      </w:r>
      <w:r w:rsidR="00CD04B7" w:rsidRPr="0012182F">
        <w:rPr>
          <w:rFonts w:ascii="Times New Roman" w:hAnsi="Times New Roman"/>
        </w:rPr>
        <w:t xml:space="preserve"> Instrument</w:t>
      </w:r>
      <w:r w:rsidRPr="0012182F">
        <w:rPr>
          <w:rFonts w:ascii="Times New Roman" w:hAnsi="Times New Roman"/>
        </w:rPr>
        <w:t xml:space="preserve">) </w:t>
      </w:r>
      <w:r w:rsidR="00CD04B7" w:rsidRPr="0012182F">
        <w:rPr>
          <w:rFonts w:ascii="Times New Roman" w:hAnsi="Times New Roman"/>
        </w:rPr>
        <w:t xml:space="preserve">sets minimum performance benchmarks in relation to compliance by qualifying carriage service providers (CSPs) with retail performance standards made under </w:t>
      </w:r>
      <w:r w:rsidR="00FB74C9" w:rsidRPr="0012182F">
        <w:rPr>
          <w:rFonts w:ascii="Times New Roman" w:hAnsi="Times New Roman"/>
        </w:rPr>
        <w:t xml:space="preserve">section 115 of the </w:t>
      </w:r>
      <w:r w:rsidR="00FB74C9" w:rsidRPr="0012182F">
        <w:rPr>
          <w:rFonts w:ascii="Times New Roman" w:hAnsi="Times New Roman"/>
          <w:i/>
        </w:rPr>
        <w:t>Telecommunications (Consumer Protection and Service Standards) Act 1997</w:t>
      </w:r>
      <w:r w:rsidR="00FB74C9" w:rsidRPr="0012182F">
        <w:rPr>
          <w:rFonts w:ascii="Times New Roman" w:hAnsi="Times New Roman"/>
        </w:rPr>
        <w:t xml:space="preserve">. </w:t>
      </w:r>
    </w:p>
    <w:p w14:paraId="7C317E17" w14:textId="77777777" w:rsidR="00CD04B7" w:rsidRPr="0012182F" w:rsidRDefault="00CD04B7" w:rsidP="00CD04B7">
      <w:pPr>
        <w:rPr>
          <w:rFonts w:ascii="Times New Roman" w:hAnsi="Times New Roman"/>
        </w:rPr>
      </w:pPr>
      <w:r w:rsidRPr="0012182F">
        <w:rPr>
          <w:rFonts w:ascii="Times New Roman" w:hAnsi="Times New Roman"/>
        </w:rPr>
        <w:t xml:space="preserve">The CSG Standard requires CSPs to meet performance standards (i.e. maximum timeframes) for connection, repair and associated appointment-keeping for fixed telephone services. The Instrument complements </w:t>
      </w:r>
      <w:r w:rsidR="00FB74C9" w:rsidRPr="0012182F">
        <w:rPr>
          <w:rFonts w:ascii="Times New Roman" w:hAnsi="Times New Roman"/>
        </w:rPr>
        <w:t>these arrangements</w:t>
      </w:r>
      <w:r w:rsidRPr="0012182F">
        <w:rPr>
          <w:rFonts w:ascii="Times New Roman" w:hAnsi="Times New Roman"/>
        </w:rPr>
        <w:t xml:space="preserve"> by requiring qualifying CSPs to meet the maximum timeframes in</w:t>
      </w:r>
      <w:r w:rsidR="00B32A73" w:rsidRPr="0012182F">
        <w:rPr>
          <w:rFonts w:ascii="Times New Roman" w:hAnsi="Times New Roman"/>
        </w:rPr>
        <w:t xml:space="preserve"> at least</w:t>
      </w:r>
      <w:r w:rsidRPr="0012182F">
        <w:rPr>
          <w:rFonts w:ascii="Times New Roman" w:hAnsi="Times New Roman"/>
        </w:rPr>
        <w:t xml:space="preserve"> 90% of cases. </w:t>
      </w:r>
      <w:r w:rsidR="00FB74C9" w:rsidRPr="0012182F">
        <w:rPr>
          <w:rFonts w:ascii="Times New Roman" w:hAnsi="Times New Roman"/>
        </w:rPr>
        <w:t>The benchmarks apply either on a national basis, or for separate types of geographic areas (such as urban, rural and remote areas).</w:t>
      </w:r>
      <w:r w:rsidRPr="0012182F">
        <w:rPr>
          <w:rFonts w:ascii="Times New Roman" w:hAnsi="Times New Roman"/>
        </w:rPr>
        <w:t xml:space="preserve"> A CSP is required to meet the benchmarks for an annual benchmark period (i.e. financial year) if it supplies at least 100,000 CSG services in the previous financial year, while additional thresholds also apply to the benchmarks for different geographic areas. </w:t>
      </w:r>
    </w:p>
    <w:p w14:paraId="7C317E18" w14:textId="77777777" w:rsidR="00CD04B7" w:rsidRPr="0012182F" w:rsidRDefault="00CD04B7" w:rsidP="00CD04B7">
      <w:pPr>
        <w:rPr>
          <w:rFonts w:ascii="Times New Roman" w:hAnsi="Times New Roman"/>
        </w:rPr>
      </w:pPr>
      <w:r w:rsidRPr="0012182F">
        <w:rPr>
          <w:rFonts w:ascii="Times New Roman" w:hAnsi="Times New Roman"/>
        </w:rPr>
        <w:t xml:space="preserve">These requirements provide a broad incentive for larger providers in the industry to comply with the performance standards set out in the CSG Standard, and maintain and improve service quality. The ACMA is responsible for monitoring and enforcing compliance with the benchmarks. </w:t>
      </w:r>
    </w:p>
    <w:p w14:paraId="7C317E19" w14:textId="77777777" w:rsidR="00BE5786" w:rsidRPr="0012182F" w:rsidRDefault="00BE5786" w:rsidP="00BE5786">
      <w:pPr>
        <w:spacing w:before="100" w:beforeAutospacing="1" w:after="100" w:afterAutospacing="1" w:line="276" w:lineRule="auto"/>
        <w:rPr>
          <w:rFonts w:ascii="Times New Roman" w:hAnsi="Times New Roman"/>
          <w:b/>
        </w:rPr>
      </w:pPr>
      <w:r w:rsidRPr="0012182F">
        <w:rPr>
          <w:rFonts w:ascii="Times New Roman" w:hAnsi="Times New Roman"/>
          <w:b/>
        </w:rPr>
        <w:t xml:space="preserve">Human rights implications </w:t>
      </w:r>
    </w:p>
    <w:p w14:paraId="7C317E1A" w14:textId="77777777" w:rsidR="00BE5786" w:rsidRPr="0012182F" w:rsidRDefault="00BE5786" w:rsidP="00BE5786">
      <w:pPr>
        <w:spacing w:line="276" w:lineRule="auto"/>
        <w:rPr>
          <w:rFonts w:ascii="Times New Roman" w:hAnsi="Times New Roman"/>
        </w:rPr>
      </w:pPr>
      <w:r w:rsidRPr="0012182F">
        <w:rPr>
          <w:rFonts w:ascii="Times New Roman" w:hAnsi="Times New Roman"/>
        </w:rPr>
        <w:t xml:space="preserve">The </w:t>
      </w:r>
      <w:r w:rsidR="00FB74C9" w:rsidRPr="0012182F">
        <w:rPr>
          <w:rFonts w:ascii="Times New Roman" w:hAnsi="Times New Roman"/>
        </w:rPr>
        <w:t xml:space="preserve">Instrument </w:t>
      </w:r>
      <w:r w:rsidRPr="0012182F">
        <w:rPr>
          <w:rFonts w:ascii="Times New Roman" w:hAnsi="Times New Roman"/>
        </w:rPr>
        <w:t xml:space="preserve">does not </w:t>
      </w:r>
      <w:r w:rsidR="003F44CA" w:rsidRPr="0012182F">
        <w:rPr>
          <w:rFonts w:ascii="Times New Roman" w:hAnsi="Times New Roman"/>
        </w:rPr>
        <w:t xml:space="preserve">directly </w:t>
      </w:r>
      <w:r w:rsidRPr="0012182F">
        <w:rPr>
          <w:rFonts w:ascii="Times New Roman" w:hAnsi="Times New Roman"/>
        </w:rPr>
        <w:t xml:space="preserve">engage any of the applicable rights or freedoms. </w:t>
      </w:r>
    </w:p>
    <w:p w14:paraId="7C317E1B" w14:textId="77777777" w:rsidR="00BE5786" w:rsidRPr="0012182F" w:rsidRDefault="00BE5786" w:rsidP="00BE5786">
      <w:pPr>
        <w:spacing w:line="276" w:lineRule="auto"/>
        <w:rPr>
          <w:rFonts w:ascii="Times New Roman" w:hAnsi="Times New Roman"/>
          <w:b/>
        </w:rPr>
      </w:pPr>
      <w:r w:rsidRPr="0012182F">
        <w:rPr>
          <w:rFonts w:ascii="Times New Roman" w:hAnsi="Times New Roman"/>
          <w:b/>
        </w:rPr>
        <w:t>Conclusion</w:t>
      </w:r>
    </w:p>
    <w:p w14:paraId="7C317E1C" w14:textId="77777777" w:rsidR="001C60FC" w:rsidRPr="00A03930" w:rsidRDefault="00BE5786" w:rsidP="00FB74C9">
      <w:pPr>
        <w:spacing w:line="276" w:lineRule="auto"/>
        <w:rPr>
          <w:rFonts w:ascii="Times New Roman" w:hAnsi="Times New Roman"/>
        </w:rPr>
      </w:pPr>
      <w:r w:rsidRPr="0012182F">
        <w:rPr>
          <w:rFonts w:ascii="Times New Roman" w:hAnsi="Times New Roman"/>
        </w:rPr>
        <w:t xml:space="preserve">The </w:t>
      </w:r>
      <w:r w:rsidR="00FB74C9" w:rsidRPr="0012182F">
        <w:rPr>
          <w:rFonts w:ascii="Times New Roman" w:hAnsi="Times New Roman"/>
        </w:rPr>
        <w:t>Instrument</w:t>
      </w:r>
      <w:r w:rsidRPr="0012182F">
        <w:rPr>
          <w:rFonts w:ascii="Times New Roman" w:hAnsi="Times New Roman"/>
        </w:rPr>
        <w:t xml:space="preserve"> is compatible with human rights as it does not raise any human rights issues.</w:t>
      </w:r>
      <w:r w:rsidRPr="00A03930">
        <w:rPr>
          <w:rFonts w:ascii="Times New Roman" w:hAnsi="Times New Roman"/>
        </w:rPr>
        <w:t xml:space="preserve">  </w:t>
      </w:r>
      <w:bookmarkEnd w:id="1"/>
    </w:p>
    <w:sectPr w:rsidR="001C60FC" w:rsidRPr="00A0393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17E1F" w14:textId="77777777" w:rsidR="00746B88" w:rsidRDefault="00746B88" w:rsidP="00BE5786">
      <w:pPr>
        <w:spacing w:after="0"/>
      </w:pPr>
      <w:r>
        <w:separator/>
      </w:r>
    </w:p>
  </w:endnote>
  <w:endnote w:type="continuationSeparator" w:id="0">
    <w:p w14:paraId="7C317E20" w14:textId="77777777" w:rsidR="00746B88" w:rsidRDefault="00746B88" w:rsidP="00BE57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7E23" w14:textId="77777777" w:rsidR="00E35868" w:rsidRDefault="00E35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554503"/>
      <w:docPartObj>
        <w:docPartGallery w:val="Page Numbers (Bottom of Page)"/>
        <w:docPartUnique/>
      </w:docPartObj>
    </w:sdtPr>
    <w:sdtEndPr>
      <w:rPr>
        <w:noProof/>
      </w:rPr>
    </w:sdtEndPr>
    <w:sdtContent>
      <w:p w14:paraId="7C317E24" w14:textId="77777777" w:rsidR="00B43F60" w:rsidRDefault="00B43F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317E25" w14:textId="77777777" w:rsidR="00CE1863" w:rsidRDefault="00CE18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7E27" w14:textId="77777777" w:rsidR="00E35868" w:rsidRDefault="00E35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17E1D" w14:textId="77777777" w:rsidR="00746B88" w:rsidRDefault="00746B88" w:rsidP="00BE5786">
      <w:pPr>
        <w:spacing w:after="0"/>
      </w:pPr>
      <w:r>
        <w:separator/>
      </w:r>
    </w:p>
  </w:footnote>
  <w:footnote w:type="continuationSeparator" w:id="0">
    <w:p w14:paraId="7C317E1E" w14:textId="77777777" w:rsidR="00746B88" w:rsidRDefault="00746B88" w:rsidP="00BE57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7E21" w14:textId="77777777" w:rsidR="00E35868" w:rsidRDefault="00E358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7E22" w14:textId="3C4C7FEA" w:rsidR="00CE1863" w:rsidRPr="00180B75" w:rsidRDefault="00CE1863" w:rsidP="00180B75">
    <w:pPr>
      <w:pStyle w:val="Header"/>
      <w:jc w:val="center"/>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7E26" w14:textId="77777777" w:rsidR="00E35868" w:rsidRDefault="00E35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33CD"/>
    <w:multiLevelType w:val="hybridMultilevel"/>
    <w:tmpl w:val="A75CDDAA"/>
    <w:lvl w:ilvl="0" w:tplc="1478B2C4">
      <w:start w:val="1"/>
      <w:numFmt w:val="lowerLetter"/>
      <w:lvlText w:val="(%1)"/>
      <w:lvlJc w:val="left"/>
      <w:pPr>
        <w:ind w:left="1068" w:hanging="360"/>
      </w:pPr>
      <w:rPr>
        <w:rFonts w:hint="default"/>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1" w15:restartNumberingAfterBreak="0">
    <w:nsid w:val="02534B66"/>
    <w:multiLevelType w:val="hybridMultilevel"/>
    <w:tmpl w:val="AC8C2094"/>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2" w15:restartNumberingAfterBreak="0">
    <w:nsid w:val="091E79F3"/>
    <w:multiLevelType w:val="hybridMultilevel"/>
    <w:tmpl w:val="69568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295F06"/>
    <w:multiLevelType w:val="hybridMultilevel"/>
    <w:tmpl w:val="68F02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9C3428"/>
    <w:multiLevelType w:val="hybridMultilevel"/>
    <w:tmpl w:val="1EC26F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4B56745F"/>
    <w:multiLevelType w:val="hybridMultilevel"/>
    <w:tmpl w:val="7FECF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117ABA"/>
    <w:multiLevelType w:val="hybridMultilevel"/>
    <w:tmpl w:val="25F23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D382E8D"/>
    <w:multiLevelType w:val="hybridMultilevel"/>
    <w:tmpl w:val="2A428F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DD4"/>
    <w:rsid w:val="00012CAB"/>
    <w:rsid w:val="000458C9"/>
    <w:rsid w:val="00055E81"/>
    <w:rsid w:val="00066968"/>
    <w:rsid w:val="000762BA"/>
    <w:rsid w:val="00090508"/>
    <w:rsid w:val="000B1CE6"/>
    <w:rsid w:val="000C4105"/>
    <w:rsid w:val="000C53DE"/>
    <w:rsid w:val="000C788F"/>
    <w:rsid w:val="000D1008"/>
    <w:rsid w:val="000E1880"/>
    <w:rsid w:val="0012182F"/>
    <w:rsid w:val="00126471"/>
    <w:rsid w:val="00127E59"/>
    <w:rsid w:val="0013030C"/>
    <w:rsid w:val="00132279"/>
    <w:rsid w:val="001420FC"/>
    <w:rsid w:val="00143416"/>
    <w:rsid w:val="00161AD8"/>
    <w:rsid w:val="00180B75"/>
    <w:rsid w:val="001849A0"/>
    <w:rsid w:val="00186886"/>
    <w:rsid w:val="00191FEB"/>
    <w:rsid w:val="001A48F0"/>
    <w:rsid w:val="001A52C1"/>
    <w:rsid w:val="001A5645"/>
    <w:rsid w:val="001C60FC"/>
    <w:rsid w:val="001D11D7"/>
    <w:rsid w:val="001E02A2"/>
    <w:rsid w:val="002011FF"/>
    <w:rsid w:val="002023E3"/>
    <w:rsid w:val="002165B3"/>
    <w:rsid w:val="0023278A"/>
    <w:rsid w:val="002376D2"/>
    <w:rsid w:val="002446D0"/>
    <w:rsid w:val="002B3CB9"/>
    <w:rsid w:val="002B5EAC"/>
    <w:rsid w:val="002B62FD"/>
    <w:rsid w:val="002C09E1"/>
    <w:rsid w:val="002C1B69"/>
    <w:rsid w:val="002E04E2"/>
    <w:rsid w:val="002E1FEC"/>
    <w:rsid w:val="002E5323"/>
    <w:rsid w:val="002E6604"/>
    <w:rsid w:val="002F10B3"/>
    <w:rsid w:val="002F10CF"/>
    <w:rsid w:val="00303EB4"/>
    <w:rsid w:val="00324665"/>
    <w:rsid w:val="0032535A"/>
    <w:rsid w:val="00325657"/>
    <w:rsid w:val="00326189"/>
    <w:rsid w:val="003307A8"/>
    <w:rsid w:val="00330892"/>
    <w:rsid w:val="003418C4"/>
    <w:rsid w:val="00347A77"/>
    <w:rsid w:val="003531CC"/>
    <w:rsid w:val="00355CFF"/>
    <w:rsid w:val="00380537"/>
    <w:rsid w:val="003B267B"/>
    <w:rsid w:val="003C4617"/>
    <w:rsid w:val="003F44CA"/>
    <w:rsid w:val="003F779B"/>
    <w:rsid w:val="00421789"/>
    <w:rsid w:val="00430D67"/>
    <w:rsid w:val="004409FF"/>
    <w:rsid w:val="0044536D"/>
    <w:rsid w:val="0044701D"/>
    <w:rsid w:val="0045014F"/>
    <w:rsid w:val="00452302"/>
    <w:rsid w:val="00455C6A"/>
    <w:rsid w:val="004639C6"/>
    <w:rsid w:val="004660E4"/>
    <w:rsid w:val="0047029C"/>
    <w:rsid w:val="0049293A"/>
    <w:rsid w:val="004A435D"/>
    <w:rsid w:val="004B14F9"/>
    <w:rsid w:val="004B60EE"/>
    <w:rsid w:val="004B62B8"/>
    <w:rsid w:val="004D7175"/>
    <w:rsid w:val="004F7B78"/>
    <w:rsid w:val="00517433"/>
    <w:rsid w:val="00522ED4"/>
    <w:rsid w:val="00523678"/>
    <w:rsid w:val="00534326"/>
    <w:rsid w:val="005368AF"/>
    <w:rsid w:val="005378FF"/>
    <w:rsid w:val="00553AFE"/>
    <w:rsid w:val="00564347"/>
    <w:rsid w:val="005751B9"/>
    <w:rsid w:val="00587952"/>
    <w:rsid w:val="0059339E"/>
    <w:rsid w:val="00594F1F"/>
    <w:rsid w:val="00595DC0"/>
    <w:rsid w:val="005B1B46"/>
    <w:rsid w:val="005B3840"/>
    <w:rsid w:val="005B3E05"/>
    <w:rsid w:val="005C75F5"/>
    <w:rsid w:val="005D126E"/>
    <w:rsid w:val="005D52B4"/>
    <w:rsid w:val="005E0202"/>
    <w:rsid w:val="005F0A1C"/>
    <w:rsid w:val="005F4266"/>
    <w:rsid w:val="00600DBB"/>
    <w:rsid w:val="00604DA5"/>
    <w:rsid w:val="00612B95"/>
    <w:rsid w:val="0061694D"/>
    <w:rsid w:val="006262CF"/>
    <w:rsid w:val="00634F9D"/>
    <w:rsid w:val="006600CC"/>
    <w:rsid w:val="00662804"/>
    <w:rsid w:val="006628B0"/>
    <w:rsid w:val="006704C3"/>
    <w:rsid w:val="0067367B"/>
    <w:rsid w:val="006777E8"/>
    <w:rsid w:val="0068599E"/>
    <w:rsid w:val="00690E79"/>
    <w:rsid w:val="006B4840"/>
    <w:rsid w:val="006C4DF0"/>
    <w:rsid w:val="006D7FD4"/>
    <w:rsid w:val="006F6DB0"/>
    <w:rsid w:val="00703E21"/>
    <w:rsid w:val="00714237"/>
    <w:rsid w:val="007200BC"/>
    <w:rsid w:val="0072352D"/>
    <w:rsid w:val="00727DC9"/>
    <w:rsid w:val="00736277"/>
    <w:rsid w:val="0074151C"/>
    <w:rsid w:val="00746B88"/>
    <w:rsid w:val="00770175"/>
    <w:rsid w:val="00773699"/>
    <w:rsid w:val="00774EBF"/>
    <w:rsid w:val="00783F85"/>
    <w:rsid w:val="00783F8E"/>
    <w:rsid w:val="007A4675"/>
    <w:rsid w:val="007A7C89"/>
    <w:rsid w:val="007B0EEF"/>
    <w:rsid w:val="007B7628"/>
    <w:rsid w:val="007D5031"/>
    <w:rsid w:val="007D56C7"/>
    <w:rsid w:val="007D7673"/>
    <w:rsid w:val="00807672"/>
    <w:rsid w:val="00814CBA"/>
    <w:rsid w:val="008332D7"/>
    <w:rsid w:val="0083461F"/>
    <w:rsid w:val="008474AE"/>
    <w:rsid w:val="00847C4C"/>
    <w:rsid w:val="00880604"/>
    <w:rsid w:val="008A416E"/>
    <w:rsid w:val="008A7B98"/>
    <w:rsid w:val="008C4821"/>
    <w:rsid w:val="008E43D1"/>
    <w:rsid w:val="008E6D8D"/>
    <w:rsid w:val="00920E29"/>
    <w:rsid w:val="00923860"/>
    <w:rsid w:val="00924477"/>
    <w:rsid w:val="00930AC7"/>
    <w:rsid w:val="00941C10"/>
    <w:rsid w:val="009472EA"/>
    <w:rsid w:val="00957682"/>
    <w:rsid w:val="00980C8F"/>
    <w:rsid w:val="00983F6C"/>
    <w:rsid w:val="00984000"/>
    <w:rsid w:val="00996866"/>
    <w:rsid w:val="009A1964"/>
    <w:rsid w:val="009C1F0C"/>
    <w:rsid w:val="009C2D0B"/>
    <w:rsid w:val="009C30E8"/>
    <w:rsid w:val="009C3817"/>
    <w:rsid w:val="009C79E0"/>
    <w:rsid w:val="009F039F"/>
    <w:rsid w:val="009F0716"/>
    <w:rsid w:val="00A03930"/>
    <w:rsid w:val="00A03A3E"/>
    <w:rsid w:val="00A12152"/>
    <w:rsid w:val="00A27915"/>
    <w:rsid w:val="00A50ADA"/>
    <w:rsid w:val="00A73CA7"/>
    <w:rsid w:val="00A74CBF"/>
    <w:rsid w:val="00A85A43"/>
    <w:rsid w:val="00A95AFE"/>
    <w:rsid w:val="00AC52AD"/>
    <w:rsid w:val="00AC636D"/>
    <w:rsid w:val="00AD0C33"/>
    <w:rsid w:val="00AE5153"/>
    <w:rsid w:val="00B022B6"/>
    <w:rsid w:val="00B13D95"/>
    <w:rsid w:val="00B32A73"/>
    <w:rsid w:val="00B43F60"/>
    <w:rsid w:val="00B51895"/>
    <w:rsid w:val="00B52AFA"/>
    <w:rsid w:val="00B54439"/>
    <w:rsid w:val="00B64E06"/>
    <w:rsid w:val="00B73C0F"/>
    <w:rsid w:val="00B73CF1"/>
    <w:rsid w:val="00B94090"/>
    <w:rsid w:val="00B973D4"/>
    <w:rsid w:val="00BD05AD"/>
    <w:rsid w:val="00BD2A1E"/>
    <w:rsid w:val="00BE5786"/>
    <w:rsid w:val="00BF06A0"/>
    <w:rsid w:val="00C00878"/>
    <w:rsid w:val="00C00D51"/>
    <w:rsid w:val="00C01D7D"/>
    <w:rsid w:val="00C10C1B"/>
    <w:rsid w:val="00C112B0"/>
    <w:rsid w:val="00C162C3"/>
    <w:rsid w:val="00C1681B"/>
    <w:rsid w:val="00C20BF2"/>
    <w:rsid w:val="00C30E39"/>
    <w:rsid w:val="00C453FD"/>
    <w:rsid w:val="00C5002F"/>
    <w:rsid w:val="00C553EF"/>
    <w:rsid w:val="00C57C87"/>
    <w:rsid w:val="00C8458F"/>
    <w:rsid w:val="00C913E6"/>
    <w:rsid w:val="00C91C25"/>
    <w:rsid w:val="00CD04B7"/>
    <w:rsid w:val="00CD51F8"/>
    <w:rsid w:val="00CE1863"/>
    <w:rsid w:val="00CE34CD"/>
    <w:rsid w:val="00CE7813"/>
    <w:rsid w:val="00CF3CAD"/>
    <w:rsid w:val="00D04EED"/>
    <w:rsid w:val="00D07509"/>
    <w:rsid w:val="00D13006"/>
    <w:rsid w:val="00D30B53"/>
    <w:rsid w:val="00D42452"/>
    <w:rsid w:val="00D44F51"/>
    <w:rsid w:val="00D479BA"/>
    <w:rsid w:val="00D509C5"/>
    <w:rsid w:val="00D54303"/>
    <w:rsid w:val="00D625BB"/>
    <w:rsid w:val="00D63C09"/>
    <w:rsid w:val="00D8156A"/>
    <w:rsid w:val="00D93573"/>
    <w:rsid w:val="00DA5913"/>
    <w:rsid w:val="00DA6C68"/>
    <w:rsid w:val="00DB63CA"/>
    <w:rsid w:val="00DD09A4"/>
    <w:rsid w:val="00DD27AA"/>
    <w:rsid w:val="00DF03A7"/>
    <w:rsid w:val="00E1724D"/>
    <w:rsid w:val="00E21CE3"/>
    <w:rsid w:val="00E33D65"/>
    <w:rsid w:val="00E35868"/>
    <w:rsid w:val="00E46A60"/>
    <w:rsid w:val="00E62DD4"/>
    <w:rsid w:val="00E731D1"/>
    <w:rsid w:val="00E831C9"/>
    <w:rsid w:val="00E83665"/>
    <w:rsid w:val="00E90255"/>
    <w:rsid w:val="00E946AA"/>
    <w:rsid w:val="00E9645A"/>
    <w:rsid w:val="00EA0D82"/>
    <w:rsid w:val="00EA0F2D"/>
    <w:rsid w:val="00EA1049"/>
    <w:rsid w:val="00EA7290"/>
    <w:rsid w:val="00EB1C00"/>
    <w:rsid w:val="00EB6CCD"/>
    <w:rsid w:val="00EC1ED5"/>
    <w:rsid w:val="00ED59DF"/>
    <w:rsid w:val="00F05D68"/>
    <w:rsid w:val="00F50598"/>
    <w:rsid w:val="00F809D2"/>
    <w:rsid w:val="00F84195"/>
    <w:rsid w:val="00FB6F4F"/>
    <w:rsid w:val="00FB74C9"/>
    <w:rsid w:val="00FC2595"/>
    <w:rsid w:val="00FD1993"/>
    <w:rsid w:val="00FD25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317DB4"/>
  <w15:chartTrackingRefBased/>
  <w15:docId w15:val="{655F97B8-AF2F-4869-92B8-4F586FD0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2DD4"/>
    <w:pPr>
      <w:spacing w:after="240" w:line="240" w:lineRule="auto"/>
    </w:pPr>
    <w:rPr>
      <w:rFonts w:eastAsia="Times New Roman" w:cs="Times New Roman"/>
      <w:sz w:val="24"/>
      <w:szCs w:val="24"/>
      <w:lang w:eastAsia="en-AU"/>
    </w:rPr>
  </w:style>
  <w:style w:type="paragraph" w:styleId="Heading2">
    <w:name w:val="heading 2"/>
    <w:basedOn w:val="Normal"/>
    <w:next w:val="Normal"/>
    <w:link w:val="Heading2Char"/>
    <w:uiPriority w:val="9"/>
    <w:unhideWhenUsed/>
    <w:qFormat/>
    <w:rsid w:val="00BE5786"/>
    <w:pPr>
      <w:spacing w:before="360" w:after="120"/>
      <w:jc w:val="center"/>
      <w:outlineLvl w:val="1"/>
    </w:pPr>
    <w:rPr>
      <w:rFonts w:ascii="Times New Roman" w:hAnsi="Times New Roman" w:cstheme="minorBidi"/>
      <w:b/>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ld">
    <w:name w:val="Normal Bold"/>
    <w:basedOn w:val="Normal"/>
    <w:link w:val="NormalBoldChar"/>
    <w:qFormat/>
    <w:rsid w:val="00E62DD4"/>
    <w:rPr>
      <w:rFonts w:cs="Arial"/>
      <w:b/>
      <w:szCs w:val="22"/>
    </w:rPr>
  </w:style>
  <w:style w:type="character" w:customStyle="1" w:styleId="NormalBoldChar">
    <w:name w:val="Normal Bold Char"/>
    <w:basedOn w:val="DefaultParagraphFont"/>
    <w:link w:val="NormalBold"/>
    <w:rsid w:val="00E62DD4"/>
    <w:rPr>
      <w:rFonts w:eastAsia="Times New Roman" w:cs="Arial"/>
      <w:b/>
      <w:sz w:val="24"/>
      <w:lang w:eastAsia="en-AU"/>
    </w:rPr>
  </w:style>
  <w:style w:type="character" w:styleId="CommentReference">
    <w:name w:val="annotation reference"/>
    <w:basedOn w:val="DefaultParagraphFont"/>
    <w:uiPriority w:val="99"/>
    <w:semiHidden/>
    <w:unhideWhenUsed/>
    <w:rsid w:val="00E62DD4"/>
    <w:rPr>
      <w:sz w:val="16"/>
      <w:szCs w:val="16"/>
    </w:rPr>
  </w:style>
  <w:style w:type="paragraph" w:styleId="CommentText">
    <w:name w:val="annotation text"/>
    <w:basedOn w:val="Normal"/>
    <w:link w:val="CommentTextChar"/>
    <w:uiPriority w:val="99"/>
    <w:unhideWhenUsed/>
    <w:rsid w:val="00E62DD4"/>
    <w:rPr>
      <w:sz w:val="20"/>
      <w:szCs w:val="20"/>
    </w:rPr>
  </w:style>
  <w:style w:type="character" w:customStyle="1" w:styleId="CommentTextChar">
    <w:name w:val="Comment Text Char"/>
    <w:basedOn w:val="DefaultParagraphFont"/>
    <w:link w:val="CommentText"/>
    <w:uiPriority w:val="99"/>
    <w:rsid w:val="00E62DD4"/>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62DD4"/>
    <w:rPr>
      <w:b/>
      <w:bCs/>
    </w:rPr>
  </w:style>
  <w:style w:type="character" w:customStyle="1" w:styleId="CommentSubjectChar">
    <w:name w:val="Comment Subject Char"/>
    <w:basedOn w:val="CommentTextChar"/>
    <w:link w:val="CommentSubject"/>
    <w:uiPriority w:val="99"/>
    <w:semiHidden/>
    <w:rsid w:val="00E62DD4"/>
    <w:rPr>
      <w:rFonts w:eastAsia="Times New Roman" w:cs="Times New Roman"/>
      <w:b/>
      <w:bCs/>
      <w:sz w:val="20"/>
      <w:szCs w:val="20"/>
      <w:lang w:eastAsia="en-AU"/>
    </w:rPr>
  </w:style>
  <w:style w:type="paragraph" w:styleId="BalloonText">
    <w:name w:val="Balloon Text"/>
    <w:basedOn w:val="Normal"/>
    <w:link w:val="BalloonTextChar"/>
    <w:uiPriority w:val="99"/>
    <w:semiHidden/>
    <w:unhideWhenUsed/>
    <w:rsid w:val="00E62DD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DD4"/>
    <w:rPr>
      <w:rFonts w:ascii="Segoe UI" w:eastAsia="Times New Roman" w:hAnsi="Segoe UI" w:cs="Segoe UI"/>
      <w:sz w:val="18"/>
      <w:szCs w:val="18"/>
      <w:lang w:eastAsia="en-AU"/>
    </w:rPr>
  </w:style>
  <w:style w:type="character" w:customStyle="1" w:styleId="Heading2Char">
    <w:name w:val="Heading 2 Char"/>
    <w:basedOn w:val="DefaultParagraphFont"/>
    <w:link w:val="Heading2"/>
    <w:uiPriority w:val="9"/>
    <w:rsid w:val="00BE5786"/>
    <w:rPr>
      <w:rFonts w:ascii="Times New Roman" w:eastAsia="Times New Roman" w:hAnsi="Times New Roman"/>
      <w:b/>
      <w:sz w:val="28"/>
      <w:szCs w:val="28"/>
    </w:rPr>
  </w:style>
  <w:style w:type="paragraph" w:styleId="Header">
    <w:name w:val="header"/>
    <w:basedOn w:val="Normal"/>
    <w:link w:val="HeaderChar"/>
    <w:uiPriority w:val="99"/>
    <w:unhideWhenUsed/>
    <w:rsid w:val="00BE5786"/>
    <w:pPr>
      <w:tabs>
        <w:tab w:val="center" w:pos="4513"/>
        <w:tab w:val="right" w:pos="9026"/>
      </w:tabs>
      <w:spacing w:after="0"/>
    </w:pPr>
  </w:style>
  <w:style w:type="character" w:customStyle="1" w:styleId="HeaderChar">
    <w:name w:val="Header Char"/>
    <w:basedOn w:val="DefaultParagraphFont"/>
    <w:link w:val="Header"/>
    <w:uiPriority w:val="99"/>
    <w:rsid w:val="00BE5786"/>
    <w:rPr>
      <w:rFonts w:eastAsia="Times New Roman" w:cs="Times New Roman"/>
      <w:sz w:val="24"/>
      <w:szCs w:val="24"/>
      <w:lang w:eastAsia="en-AU"/>
    </w:rPr>
  </w:style>
  <w:style w:type="paragraph" w:styleId="Footer">
    <w:name w:val="footer"/>
    <w:basedOn w:val="Normal"/>
    <w:link w:val="FooterChar"/>
    <w:uiPriority w:val="99"/>
    <w:unhideWhenUsed/>
    <w:rsid w:val="00BE5786"/>
    <w:pPr>
      <w:tabs>
        <w:tab w:val="center" w:pos="4513"/>
        <w:tab w:val="right" w:pos="9026"/>
      </w:tabs>
      <w:spacing w:after="0"/>
    </w:pPr>
  </w:style>
  <w:style w:type="character" w:customStyle="1" w:styleId="FooterChar">
    <w:name w:val="Footer Char"/>
    <w:basedOn w:val="DefaultParagraphFont"/>
    <w:link w:val="Footer"/>
    <w:uiPriority w:val="99"/>
    <w:rsid w:val="00BE5786"/>
    <w:rPr>
      <w:rFonts w:eastAsia="Times New Roman" w:cs="Times New Roman"/>
      <w:sz w:val="24"/>
      <w:szCs w:val="24"/>
      <w:lang w:eastAsia="en-AU"/>
    </w:rPr>
  </w:style>
  <w:style w:type="paragraph" w:customStyle="1" w:styleId="paragraph">
    <w:name w:val="paragraph"/>
    <w:aliases w:val="a"/>
    <w:basedOn w:val="Normal"/>
    <w:rsid w:val="00A03930"/>
    <w:pPr>
      <w:tabs>
        <w:tab w:val="right" w:pos="1531"/>
      </w:tabs>
      <w:spacing w:before="40" w:after="0"/>
      <w:ind w:left="1644" w:hanging="1644"/>
    </w:pPr>
    <w:rPr>
      <w:rFonts w:ascii="Times New Roman" w:hAnsi="Times New Roman"/>
      <w:sz w:val="22"/>
      <w:szCs w:val="20"/>
    </w:rPr>
  </w:style>
  <w:style w:type="character" w:styleId="Hyperlink">
    <w:name w:val="Hyperlink"/>
    <w:basedOn w:val="DefaultParagraphFont"/>
    <w:uiPriority w:val="99"/>
    <w:semiHidden/>
    <w:unhideWhenUsed/>
    <w:rsid w:val="00F05D68"/>
    <w:rPr>
      <w:color w:val="0000FF"/>
      <w:u w:val="single"/>
    </w:rPr>
  </w:style>
  <w:style w:type="paragraph" w:styleId="ListParagraph">
    <w:name w:val="List Paragraph"/>
    <w:basedOn w:val="Normal"/>
    <w:uiPriority w:val="34"/>
    <w:qFormat/>
    <w:rsid w:val="00DA6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363807">
      <w:bodyDiv w:val="1"/>
      <w:marLeft w:val="0"/>
      <w:marRight w:val="0"/>
      <w:marTop w:val="0"/>
      <w:marBottom w:val="0"/>
      <w:divBdr>
        <w:top w:val="none" w:sz="0" w:space="0" w:color="auto"/>
        <w:left w:val="none" w:sz="0" w:space="0" w:color="auto"/>
        <w:bottom w:val="none" w:sz="0" w:space="0" w:color="auto"/>
        <w:right w:val="none" w:sz="0" w:space="0" w:color="auto"/>
      </w:divBdr>
    </w:div>
    <w:div w:id="370229116">
      <w:bodyDiv w:val="1"/>
      <w:marLeft w:val="0"/>
      <w:marRight w:val="0"/>
      <w:marTop w:val="0"/>
      <w:marBottom w:val="0"/>
      <w:divBdr>
        <w:top w:val="none" w:sz="0" w:space="0" w:color="auto"/>
        <w:left w:val="none" w:sz="0" w:space="0" w:color="auto"/>
        <w:bottom w:val="none" w:sz="0" w:space="0" w:color="auto"/>
        <w:right w:val="none" w:sz="0" w:space="0" w:color="auto"/>
      </w:divBdr>
    </w:div>
    <w:div w:id="72653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1046AE1CEA2C6488F8E7B4F21E31ADB" ma:contentTypeVersion="" ma:contentTypeDescription="PDMS Document Site Content Type" ma:contentTypeScope="" ma:versionID="db589571a919a7781766e232da9c0d68">
  <xsd:schema xmlns:xsd="http://www.w3.org/2001/XMLSchema" xmlns:xs="http://www.w3.org/2001/XMLSchema" xmlns:p="http://schemas.microsoft.com/office/2006/metadata/properties" xmlns:ns2="F4587721-2B1A-450D-8A2C-84997920A269" targetNamespace="http://schemas.microsoft.com/office/2006/metadata/properties" ma:root="true" ma:fieldsID="b3dbff4e9f95f03d944e9794269518f5" ns2:_="">
    <xsd:import namespace="F4587721-2B1A-450D-8A2C-84997920A26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87721-2B1A-450D-8A2C-84997920A26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F4587721-2B1A-450D-8A2C-84997920A26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D3E79-98BB-4818-8DF5-823365D0A941}">
  <ds:schemaRefs>
    <ds:schemaRef ds:uri="http://schemas.microsoft.com/sharepoint/v3/contenttype/forms"/>
  </ds:schemaRefs>
</ds:datastoreItem>
</file>

<file path=customXml/itemProps2.xml><?xml version="1.0" encoding="utf-8"?>
<ds:datastoreItem xmlns:ds="http://schemas.openxmlformats.org/officeDocument/2006/customXml" ds:itemID="{96B5DC08-C70F-4DE5-8B16-E054A4D41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87721-2B1A-450D-8A2C-84997920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F55B7E-B063-4CCD-8190-B5DF8D8597FF}">
  <ds:schemaRef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F4587721-2B1A-450D-8A2C-84997920A269"/>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DA88D40E-7E3E-48F4-8CCB-972398EDE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3260</Words>
  <Characters>18587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Driscoll, Tom</dc:creator>
  <cp:keywords/>
  <dc:description/>
  <cp:lastModifiedBy>BEAR Penny</cp:lastModifiedBy>
  <cp:revision>4</cp:revision>
  <cp:lastPrinted>2023-09-04T02:48:00Z</cp:lastPrinted>
  <dcterms:created xsi:type="dcterms:W3CDTF">2023-09-04T02:48:00Z</dcterms:created>
  <dcterms:modified xsi:type="dcterms:W3CDTF">2023-09-04T03:26:00Z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0x010100266966F133664895A6EE3632470D45F500E1046AE1CEA2C6488F8E7B4F21E31ADB</vt:lpwstr>
  </property>
  <property fmtid="{D5CDD505-2E9C-101B-9397-08002B2CF9AE}" pid="3" name="TrimRevisionNumber">
    <vt:i4>47</vt:i4>
  </property>
</Properties>
</file>