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43BB" w14:textId="77777777" w:rsidR="00A666CA" w:rsidRPr="009B1312" w:rsidRDefault="00A666CA" w:rsidP="00A666CA">
      <w:pPr>
        <w:pStyle w:val="H3"/>
        <w:jc w:val="center"/>
        <w:rPr>
          <w:sz w:val="24"/>
          <w:szCs w:val="24"/>
        </w:rPr>
      </w:pPr>
      <w:r w:rsidRPr="009B1312">
        <w:rPr>
          <w:sz w:val="24"/>
          <w:szCs w:val="24"/>
        </w:rPr>
        <w:t>EXPLANATORY STATEMENT</w:t>
      </w:r>
    </w:p>
    <w:p w14:paraId="3F8B2DC8" w14:textId="77777777" w:rsidR="00A666CA" w:rsidRPr="009B1312" w:rsidRDefault="00A666CA" w:rsidP="00A666CA">
      <w:pPr>
        <w:rPr>
          <w:i/>
          <w:iCs/>
          <w:sz w:val="20"/>
        </w:rPr>
      </w:pPr>
    </w:p>
    <w:p w14:paraId="59682B1F" w14:textId="77777777" w:rsidR="00A666CA" w:rsidRPr="009B1312" w:rsidRDefault="00A666CA" w:rsidP="00A666CA">
      <w:pPr>
        <w:jc w:val="center"/>
        <w:rPr>
          <w:i/>
          <w:iCs/>
        </w:rPr>
      </w:pPr>
      <w:r w:rsidRPr="009B1312">
        <w:rPr>
          <w:i/>
          <w:iCs/>
        </w:rPr>
        <w:t>Health Insurance Act 1973</w:t>
      </w:r>
    </w:p>
    <w:p w14:paraId="0C4B1975" w14:textId="77777777" w:rsidR="00A666CA" w:rsidRPr="009B1312" w:rsidRDefault="00A666CA" w:rsidP="00A666CA">
      <w:pPr>
        <w:rPr>
          <w:szCs w:val="24"/>
        </w:rPr>
      </w:pPr>
    </w:p>
    <w:p w14:paraId="381C6523" w14:textId="16DEC052"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9B1312">
        <w:rPr>
          <w:i/>
          <w:iCs/>
        </w:rPr>
        <w:t>Health Insurance Legislation Amendment (Indexation No</w:t>
      </w:r>
      <w:r w:rsidR="00FF6937" w:rsidRPr="009B1312">
        <w:rPr>
          <w:i/>
          <w:iCs/>
        </w:rPr>
        <w:t xml:space="preserve">. </w:t>
      </w:r>
      <w:r w:rsidRPr="009B1312">
        <w:rPr>
          <w:i/>
          <w:iCs/>
        </w:rPr>
        <w:t>2) Determination 2023</w:t>
      </w:r>
    </w:p>
    <w:p w14:paraId="3460BC11"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9B1312">
        <w:rPr>
          <w:i/>
          <w:iCs/>
        </w:rPr>
        <w:t> </w:t>
      </w:r>
    </w:p>
    <w:p w14:paraId="7E1BB588"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Subsection 3</w:t>
      </w:r>
      <w:proofErr w:type="gramStart"/>
      <w:r w:rsidRPr="009B1312">
        <w:t>C(</w:t>
      </w:r>
      <w:proofErr w:type="gramEnd"/>
      <w:r w:rsidRPr="009B1312">
        <w:t>1) of the </w:t>
      </w:r>
      <w:r w:rsidRPr="009B1312">
        <w:rPr>
          <w:i/>
          <w:iCs/>
        </w:rPr>
        <w:t>Health Insurance Act 1973</w:t>
      </w:r>
      <w:r w:rsidRPr="009B1312">
        <w:t> (the Act) provides that the Minister may, by legislative instrument, determine that a health service not specified in an item in the general medical services table (the GMST) or the diagnostic imaging services table (the DIST) shall, in specified circumstances and for specified statutory provisions, be treated as if it were specified in the Table.   </w:t>
      </w:r>
    </w:p>
    <w:p w14:paraId="08102F0D"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 </w:t>
      </w:r>
    </w:p>
    <w:p w14:paraId="6FE9B6F3"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The GMST is set out in the regulations made under subsection 4(1) of the Act. The most recent version of the regulations is the </w:t>
      </w:r>
      <w:r w:rsidRPr="009B1312">
        <w:rPr>
          <w:i/>
          <w:iCs/>
        </w:rPr>
        <w:t>Health Insurance (General Medical Services Table) Regulations 2021</w:t>
      </w:r>
      <w:r w:rsidRPr="009B1312">
        <w:t>.</w:t>
      </w:r>
    </w:p>
    <w:p w14:paraId="741C6F13"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 </w:t>
      </w:r>
    </w:p>
    <w:p w14:paraId="01DE3433"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The DIST is set out in the regulations made under subsection 4AA of the Act. The most recent version of the regulations is the </w:t>
      </w:r>
      <w:r w:rsidRPr="009B1312">
        <w:rPr>
          <w:i/>
          <w:iCs/>
        </w:rPr>
        <w:t>Health Insurance (Diagnostic Imaging Services Table) Regulations (No. 2) 2020</w:t>
      </w:r>
      <w:r w:rsidRPr="009B1312">
        <w:t>.</w:t>
      </w:r>
    </w:p>
    <w:p w14:paraId="44854B97"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 </w:t>
      </w:r>
    </w:p>
    <w:p w14:paraId="48B1A923" w14:textId="6E63BE1A"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B1312">
        <w:t>This instrument relies on subsection 33(3) of the </w:t>
      </w:r>
      <w:r w:rsidRPr="009B1312">
        <w:rPr>
          <w:i/>
          <w:iCs/>
        </w:rPr>
        <w:t>Acts Interpretation Act 1901</w:t>
      </w:r>
      <w:r w:rsidRPr="009B1312">
        <w:t> (AIA). Subsection 33(3) of the AIA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2B286EB" w14:textId="77777777" w:rsidR="00A666CA" w:rsidRPr="009B1312" w:rsidRDefault="00A666CA" w:rsidP="00A666C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75EED217" w14:textId="77777777" w:rsidR="00A666CA" w:rsidRPr="009B1312" w:rsidRDefault="00A666CA" w:rsidP="00A666CA">
      <w:pPr>
        <w:rPr>
          <w:szCs w:val="24"/>
        </w:rPr>
      </w:pPr>
      <w:r w:rsidRPr="009B1312">
        <w:rPr>
          <w:b/>
          <w:szCs w:val="24"/>
          <w:lang w:val="en-US" w:eastAsia="en-US"/>
        </w:rPr>
        <w:t>Purpose</w:t>
      </w:r>
    </w:p>
    <w:p w14:paraId="65FEABB2" w14:textId="3052A6E7" w:rsidR="00A666CA" w:rsidRPr="009B1312" w:rsidRDefault="00A666CA" w:rsidP="00A666CA">
      <w:bookmarkStart w:id="0" w:name="_Hlk141876015"/>
      <w:r w:rsidRPr="009B1312">
        <w:rPr>
          <w:szCs w:val="24"/>
        </w:rPr>
        <w:t xml:space="preserve">On 1 July 2023, annual fee indexation </w:t>
      </w:r>
      <w:r w:rsidR="00D966C7" w:rsidRPr="009B1312">
        <w:rPr>
          <w:szCs w:val="24"/>
        </w:rPr>
        <w:t>of 3.6</w:t>
      </w:r>
      <w:r w:rsidR="00DC19B3" w:rsidRPr="009B1312">
        <w:rPr>
          <w:szCs w:val="24"/>
        </w:rPr>
        <w:t xml:space="preserve"> </w:t>
      </w:r>
      <w:r w:rsidR="008F2461" w:rsidRPr="009B1312">
        <w:rPr>
          <w:szCs w:val="24"/>
        </w:rPr>
        <w:t>per cent</w:t>
      </w:r>
      <w:r w:rsidR="00D966C7" w:rsidRPr="009B1312">
        <w:rPr>
          <w:szCs w:val="24"/>
        </w:rPr>
        <w:t xml:space="preserve"> </w:t>
      </w:r>
      <w:r w:rsidRPr="009B1312">
        <w:rPr>
          <w:szCs w:val="24"/>
        </w:rPr>
        <w:t xml:space="preserve">was applied to most services under the Medicare Benefits Schedule (MBS). On 9 May 2023, as part of the 2023-24 Budget, the Government announced changes to the </w:t>
      </w:r>
      <w:r w:rsidRPr="009B1312">
        <w:t xml:space="preserve">indexation </w:t>
      </w:r>
      <w:r w:rsidR="00D966C7" w:rsidRPr="009B1312">
        <w:t xml:space="preserve">methodology </w:t>
      </w:r>
      <w:r w:rsidR="00E534AF" w:rsidRPr="009B1312">
        <w:t>applying to</w:t>
      </w:r>
      <w:r w:rsidR="00D966C7" w:rsidRPr="009B1312">
        <w:t xml:space="preserve"> Government </w:t>
      </w:r>
      <w:r w:rsidRPr="009B1312">
        <w:t>programs</w:t>
      </w:r>
      <w:r w:rsidR="00D966C7" w:rsidRPr="009B1312">
        <w:t xml:space="preserve">, including the MBS, </w:t>
      </w:r>
      <w:r w:rsidRPr="009B1312">
        <w:t xml:space="preserve">to better align with </w:t>
      </w:r>
      <w:r w:rsidR="00D966C7" w:rsidRPr="009B1312">
        <w:t>changes in economic conditions</w:t>
      </w:r>
      <w:r w:rsidRPr="009B1312">
        <w:t>.</w:t>
      </w:r>
      <w:bookmarkEnd w:id="0"/>
      <w:r w:rsidR="00D966C7" w:rsidRPr="009B1312">
        <w:t xml:space="preserve"> </w:t>
      </w:r>
    </w:p>
    <w:p w14:paraId="760DC8DE" w14:textId="77777777" w:rsidR="00A666CA" w:rsidRPr="009B1312" w:rsidRDefault="00A666CA" w:rsidP="00A666CA"/>
    <w:p w14:paraId="5B31E2E9" w14:textId="28C88BC3" w:rsidR="00930D08" w:rsidRPr="009B1312" w:rsidRDefault="00A666CA" w:rsidP="00930D08">
      <w:pPr>
        <w:rPr>
          <w:szCs w:val="24"/>
        </w:rPr>
      </w:pPr>
      <w:r w:rsidRPr="009B1312">
        <w:rPr>
          <w:szCs w:val="24"/>
        </w:rPr>
        <w:t>The purpose of the </w:t>
      </w:r>
      <w:r w:rsidRPr="009B1312">
        <w:rPr>
          <w:i/>
          <w:iCs/>
          <w:szCs w:val="24"/>
        </w:rPr>
        <w:t>Health Insurance Legislation Amendment (Indexation No. 2) Determination 2023</w:t>
      </w:r>
      <w:r w:rsidRPr="009B1312">
        <w:rPr>
          <w:szCs w:val="24"/>
        </w:rPr>
        <w:t> (the Determination) is to increase the fees for relevant MBS items by</w:t>
      </w:r>
      <w:r w:rsidR="00C300A1" w:rsidRPr="009B1312">
        <w:rPr>
          <w:szCs w:val="24"/>
        </w:rPr>
        <w:t xml:space="preserve"> applying an indexation rate of </w:t>
      </w:r>
      <w:r w:rsidRPr="009B1312">
        <w:rPr>
          <w:szCs w:val="24"/>
        </w:rPr>
        <w:t>0.5</w:t>
      </w:r>
      <w:r w:rsidR="00653838" w:rsidRPr="009B1312">
        <w:rPr>
          <w:szCs w:val="24"/>
        </w:rPr>
        <w:t xml:space="preserve"> per cent</w:t>
      </w:r>
      <w:r w:rsidRPr="009B1312">
        <w:rPr>
          <w:szCs w:val="24"/>
        </w:rPr>
        <w:t xml:space="preserve"> from 1</w:t>
      </w:r>
      <w:r w:rsidR="00C300A1" w:rsidRPr="009B1312">
        <w:rPr>
          <w:szCs w:val="24"/>
        </w:rPr>
        <w:t> </w:t>
      </w:r>
      <w:r w:rsidRPr="009B1312">
        <w:rPr>
          <w:szCs w:val="24"/>
        </w:rPr>
        <w:t xml:space="preserve">November 2023, to align these MBS services with the updated indexation </w:t>
      </w:r>
      <w:r w:rsidR="00D966C7" w:rsidRPr="009B1312">
        <w:rPr>
          <w:szCs w:val="24"/>
        </w:rPr>
        <w:t>methodology</w:t>
      </w:r>
      <w:r w:rsidRPr="009B1312">
        <w:rPr>
          <w:szCs w:val="24"/>
        </w:rPr>
        <w:t>. This increase of the schedule fees means that patients will receive an increased Medicare benefit for the affected services.</w:t>
      </w:r>
      <w:bookmarkStart w:id="1" w:name="_Hlk140142292"/>
    </w:p>
    <w:p w14:paraId="1E4052CE" w14:textId="77777777" w:rsidR="00CF3A01" w:rsidRPr="009B1312" w:rsidRDefault="00CF3A01" w:rsidP="00930D08">
      <w:pPr>
        <w:rPr>
          <w:szCs w:val="24"/>
        </w:rPr>
      </w:pPr>
    </w:p>
    <w:p w14:paraId="6BCDF8B3" w14:textId="7BE39F3C" w:rsidR="00A666CA" w:rsidRPr="009B1312" w:rsidRDefault="00CF3A01" w:rsidP="00092530">
      <w:pPr>
        <w:shd w:val="clear" w:color="auto" w:fill="FFFFFF"/>
        <w:contextualSpacing/>
        <w:rPr>
          <w:szCs w:val="24"/>
        </w:rPr>
      </w:pPr>
      <w:r w:rsidRPr="009B1312">
        <w:rPr>
          <w:szCs w:val="24"/>
        </w:rPr>
        <w:t>Schedule 1 of t</w:t>
      </w:r>
      <w:r w:rsidR="00A666CA" w:rsidRPr="009B1312">
        <w:rPr>
          <w:szCs w:val="24"/>
        </w:rPr>
        <w:t xml:space="preserve">his instrument </w:t>
      </w:r>
      <w:r w:rsidRPr="009B1312">
        <w:rPr>
          <w:szCs w:val="24"/>
        </w:rPr>
        <w:t>amends</w:t>
      </w:r>
      <w:r w:rsidR="00DF00CF" w:rsidRPr="009B1312">
        <w:rPr>
          <w:szCs w:val="24"/>
        </w:rPr>
        <w:t xml:space="preserve"> the indexation </w:t>
      </w:r>
      <w:r w:rsidRPr="009B1312">
        <w:rPr>
          <w:szCs w:val="24"/>
        </w:rPr>
        <w:t xml:space="preserve">provisions </w:t>
      </w:r>
      <w:r w:rsidR="00653838" w:rsidRPr="009B1312">
        <w:rPr>
          <w:szCs w:val="24"/>
        </w:rPr>
        <w:t>for</w:t>
      </w:r>
      <w:r w:rsidRPr="009B1312">
        <w:rPr>
          <w:szCs w:val="24"/>
        </w:rPr>
        <w:t xml:space="preserve"> the following instruments</w:t>
      </w:r>
      <w:r w:rsidR="00A666CA" w:rsidRPr="009B1312">
        <w:rPr>
          <w:szCs w:val="24"/>
        </w:rPr>
        <w:t>:</w:t>
      </w:r>
    </w:p>
    <w:bookmarkEnd w:id="1"/>
    <w:p w14:paraId="2BE9169F" w14:textId="01AD92A4" w:rsidR="00092530" w:rsidRPr="009B1312" w:rsidRDefault="00092530" w:rsidP="00092530">
      <w:pPr>
        <w:pStyle w:val="ListParagraph"/>
        <w:numPr>
          <w:ilvl w:val="0"/>
          <w:numId w:val="40"/>
        </w:numPr>
        <w:shd w:val="clear" w:color="auto" w:fill="FFFFFF"/>
        <w:rPr>
          <w:i/>
          <w:iCs/>
          <w:szCs w:val="24"/>
        </w:rPr>
      </w:pPr>
      <w:r w:rsidRPr="009B1312">
        <w:rPr>
          <w:i/>
          <w:iCs/>
          <w:szCs w:val="24"/>
        </w:rPr>
        <w:t>Health Insurance (Section 3C General Medical Services –Transcatheter Aortic Valve Implantation) Determination 2018</w:t>
      </w:r>
      <w:r w:rsidRPr="009B1312">
        <w:rPr>
          <w:szCs w:val="24"/>
        </w:rPr>
        <w:t>;</w:t>
      </w:r>
    </w:p>
    <w:p w14:paraId="2815ACBA" w14:textId="615298FF"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 xml:space="preserve">Health Insurance (Section 3C General Medical Services – Botox, Dysport or </w:t>
      </w:r>
      <w:proofErr w:type="spellStart"/>
      <w:r w:rsidRPr="009B1312">
        <w:rPr>
          <w:i/>
          <w:iCs/>
          <w:szCs w:val="24"/>
        </w:rPr>
        <w:t>Xeomin</w:t>
      </w:r>
      <w:proofErr w:type="spellEnd"/>
      <w:r w:rsidRPr="009B1312">
        <w:rPr>
          <w:i/>
          <w:iCs/>
          <w:szCs w:val="24"/>
        </w:rPr>
        <w:t xml:space="preserve"> Injection) Determination 2020</w:t>
      </w:r>
      <w:r w:rsidRPr="009B1312">
        <w:rPr>
          <w:szCs w:val="24"/>
        </w:rPr>
        <w:t>;</w:t>
      </w:r>
    </w:p>
    <w:p w14:paraId="629022AD" w14:textId="5E3CB50F"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Optometric Services) Determination 2020</w:t>
      </w:r>
      <w:r w:rsidRPr="009B1312">
        <w:rPr>
          <w:i/>
          <w:iCs/>
          <w:szCs w:val="24"/>
        </w:rPr>
        <w:tab/>
      </w:r>
      <w:r w:rsidRPr="009B1312">
        <w:rPr>
          <w:szCs w:val="24"/>
        </w:rPr>
        <w:t>;</w:t>
      </w:r>
    </w:p>
    <w:p w14:paraId="4E8F2F26" w14:textId="08FF4A43"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lastRenderedPageBreak/>
        <w:t>Health Insurance (Section 3C Midwife and Nurse Practitioner Services) Determination 2020</w:t>
      </w:r>
      <w:r w:rsidRPr="009B1312">
        <w:rPr>
          <w:szCs w:val="24"/>
        </w:rPr>
        <w:t>;</w:t>
      </w:r>
    </w:p>
    <w:p w14:paraId="661098A6" w14:textId="152AC899"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Extracorporeal Photopheresis) Determination 2020</w:t>
      </w:r>
      <w:r w:rsidRPr="009B1312">
        <w:rPr>
          <w:szCs w:val="24"/>
        </w:rPr>
        <w:t>;</w:t>
      </w:r>
    </w:p>
    <w:p w14:paraId="25BCFBF6" w14:textId="2D8751BA"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Botox Injection) Determination 2020</w:t>
      </w:r>
      <w:r w:rsidRPr="009B1312">
        <w:rPr>
          <w:szCs w:val="24"/>
        </w:rPr>
        <w:t>;</w:t>
      </w:r>
    </w:p>
    <w:p w14:paraId="5E1AD62C" w14:textId="159807CA"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Services—Transcatheter Mitral Valve Repair) Determination 2021</w:t>
      </w:r>
      <w:r w:rsidRPr="009B1312">
        <w:rPr>
          <w:szCs w:val="24"/>
        </w:rPr>
        <w:t>;</w:t>
      </w:r>
    </w:p>
    <w:p w14:paraId="46972C9A" w14:textId="69CCC405"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Diagnostic Imaging – Cardiac MRI for Myocarditis) Determination 2021</w:t>
      </w:r>
      <w:r w:rsidRPr="009B1312">
        <w:rPr>
          <w:szCs w:val="24"/>
        </w:rPr>
        <w:t>;</w:t>
      </w:r>
    </w:p>
    <w:p w14:paraId="3096E8E3" w14:textId="274A05C6" w:rsidR="00092530"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Extracorporeal Photopheresis for Chronic Graft Versus Host Disease) Determination 2022</w:t>
      </w:r>
      <w:r w:rsidRPr="009B1312">
        <w:rPr>
          <w:szCs w:val="24"/>
        </w:rPr>
        <w:t>; and</w:t>
      </w:r>
    </w:p>
    <w:p w14:paraId="34C3F4EA" w14:textId="032C751D" w:rsidR="00BE49C5" w:rsidRPr="009B1312" w:rsidRDefault="00092530" w:rsidP="00092530">
      <w:pPr>
        <w:pStyle w:val="ListParagraph"/>
        <w:numPr>
          <w:ilvl w:val="0"/>
          <w:numId w:val="40"/>
        </w:numPr>
        <w:shd w:val="clear" w:color="auto" w:fill="FFFFFF"/>
        <w:spacing w:before="100" w:beforeAutospacing="1"/>
        <w:rPr>
          <w:i/>
          <w:iCs/>
          <w:szCs w:val="24"/>
        </w:rPr>
      </w:pPr>
      <w:r w:rsidRPr="009B1312">
        <w:rPr>
          <w:i/>
          <w:iCs/>
          <w:szCs w:val="24"/>
        </w:rPr>
        <w:t>Health Insurance (Allied Health Services) Determination 2014</w:t>
      </w:r>
      <w:r w:rsidRPr="009B1312">
        <w:rPr>
          <w:szCs w:val="24"/>
        </w:rPr>
        <w:t>.</w:t>
      </w:r>
    </w:p>
    <w:p w14:paraId="5B958870" w14:textId="77777777" w:rsidR="00092530" w:rsidRPr="009B1312" w:rsidRDefault="00092530" w:rsidP="00092530">
      <w:pPr>
        <w:pStyle w:val="ListParagraph"/>
        <w:shd w:val="clear" w:color="auto" w:fill="FFFFFF"/>
        <w:spacing w:before="100" w:beforeAutospacing="1"/>
        <w:rPr>
          <w:i/>
          <w:iCs/>
          <w:szCs w:val="24"/>
        </w:rPr>
      </w:pPr>
    </w:p>
    <w:p w14:paraId="0B438E09" w14:textId="2DFD93BF" w:rsidR="00CF3A01" w:rsidRPr="009B1312" w:rsidRDefault="0079437E" w:rsidP="00092530">
      <w:pPr>
        <w:shd w:val="clear" w:color="auto" w:fill="FFFFFF"/>
        <w:contextualSpacing/>
        <w:rPr>
          <w:szCs w:val="24"/>
        </w:rPr>
      </w:pPr>
      <w:r w:rsidRPr="009B1312">
        <w:rPr>
          <w:szCs w:val="24"/>
        </w:rPr>
        <w:t xml:space="preserve">Schedule 2 of this instrument applies an indexation rate of </w:t>
      </w:r>
      <w:bookmarkStart w:id="2" w:name="_Hlk140572054"/>
      <w:r w:rsidRPr="009B1312">
        <w:rPr>
          <w:szCs w:val="24"/>
        </w:rPr>
        <w:t>0.5</w:t>
      </w:r>
      <w:r w:rsidR="00653838" w:rsidRPr="009B1312">
        <w:rPr>
          <w:szCs w:val="24"/>
        </w:rPr>
        <w:t xml:space="preserve"> per cent</w:t>
      </w:r>
      <w:r w:rsidRPr="009B1312">
        <w:rPr>
          <w:szCs w:val="24"/>
        </w:rPr>
        <w:t xml:space="preserve"> </w:t>
      </w:r>
      <w:bookmarkEnd w:id="2"/>
      <w:r w:rsidRPr="009B1312">
        <w:rPr>
          <w:szCs w:val="24"/>
        </w:rPr>
        <w:t>to relevant MBS items in the following instruments:</w:t>
      </w:r>
      <w:r w:rsidR="00CF3A01" w:rsidRPr="009B1312">
        <w:rPr>
          <w:i/>
          <w:iCs/>
          <w:szCs w:val="24"/>
        </w:rPr>
        <w:tab/>
      </w:r>
    </w:p>
    <w:p w14:paraId="485E019D" w14:textId="098EA3DE" w:rsidR="00092530" w:rsidRPr="009B1312" w:rsidRDefault="00092530" w:rsidP="00092530">
      <w:pPr>
        <w:pStyle w:val="ListParagraph"/>
        <w:numPr>
          <w:ilvl w:val="0"/>
          <w:numId w:val="38"/>
        </w:numPr>
        <w:shd w:val="clear" w:color="auto" w:fill="FFFFFF"/>
        <w:rPr>
          <w:i/>
          <w:iCs/>
          <w:szCs w:val="24"/>
        </w:rPr>
      </w:pPr>
      <w:r w:rsidRPr="009B1312">
        <w:rPr>
          <w:i/>
          <w:iCs/>
          <w:szCs w:val="24"/>
        </w:rPr>
        <w:t>Health Insurance (Section 3C General Medical Services – Heart Health Assessment No.2) Determination 2019</w:t>
      </w:r>
      <w:r w:rsidRPr="009B1312">
        <w:rPr>
          <w:szCs w:val="24"/>
        </w:rPr>
        <w:t>;</w:t>
      </w:r>
    </w:p>
    <w:p w14:paraId="5970C584" w14:textId="3CC6AF52" w:rsidR="00092530" w:rsidRPr="009B1312" w:rsidRDefault="00092530" w:rsidP="00092530">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Smoking Cessation Services) Determination 2021</w:t>
      </w:r>
      <w:r w:rsidRPr="009B1312">
        <w:rPr>
          <w:i/>
          <w:iCs/>
          <w:szCs w:val="24"/>
        </w:rPr>
        <w:tab/>
      </w:r>
      <w:r w:rsidRPr="009B1312">
        <w:rPr>
          <w:szCs w:val="24"/>
        </w:rPr>
        <w:t>;</w:t>
      </w:r>
    </w:p>
    <w:p w14:paraId="56563EDB" w14:textId="60A82EEA" w:rsidR="00092530" w:rsidRPr="009B1312" w:rsidRDefault="00092530" w:rsidP="00092530">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Ventral Mesh Rectopexy Services) Determination 2022</w:t>
      </w:r>
      <w:r w:rsidRPr="009B1312">
        <w:rPr>
          <w:szCs w:val="24"/>
        </w:rPr>
        <w:t>;</w:t>
      </w:r>
    </w:p>
    <w:p w14:paraId="45B63299" w14:textId="7C3609C1" w:rsidR="00092530" w:rsidRPr="009B1312" w:rsidRDefault="00092530" w:rsidP="00092530">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Artificial Bowel Sphincter Services) Determination 2023</w:t>
      </w:r>
      <w:r w:rsidRPr="009B1312">
        <w:rPr>
          <w:szCs w:val="24"/>
        </w:rPr>
        <w:t>;</w:t>
      </w:r>
    </w:p>
    <w:p w14:paraId="79BFE5A7" w14:textId="53654E12" w:rsidR="00092530" w:rsidRPr="009B1312" w:rsidRDefault="00092530" w:rsidP="00092530">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Removal of Single Tumour, Lipoma or Cyst) Determination 2023</w:t>
      </w:r>
      <w:r w:rsidRPr="009B1312">
        <w:rPr>
          <w:szCs w:val="24"/>
        </w:rPr>
        <w:t>;</w:t>
      </w:r>
    </w:p>
    <w:p w14:paraId="51DA4236" w14:textId="5BF8A443" w:rsidR="00092530" w:rsidRPr="009B1312" w:rsidRDefault="00092530" w:rsidP="00092530">
      <w:pPr>
        <w:pStyle w:val="ListParagraph"/>
        <w:numPr>
          <w:ilvl w:val="0"/>
          <w:numId w:val="38"/>
        </w:numPr>
        <w:shd w:val="clear" w:color="auto" w:fill="FFFFFF"/>
        <w:spacing w:before="100" w:beforeAutospacing="1"/>
        <w:rPr>
          <w:i/>
          <w:iCs/>
          <w:szCs w:val="24"/>
        </w:rPr>
      </w:pPr>
      <w:r w:rsidRPr="009B1312">
        <w:rPr>
          <w:i/>
          <w:iCs/>
          <w:szCs w:val="24"/>
        </w:rPr>
        <w:t>Health Insurance (Section 3C Diagnostic Imaging Services – Whole Body Magnetic Resonance Imaging Scan) Determination 2022</w:t>
      </w:r>
      <w:r w:rsidRPr="009B1312">
        <w:rPr>
          <w:szCs w:val="24"/>
        </w:rPr>
        <w:t>;</w:t>
      </w:r>
      <w:r w:rsidR="008B6B06" w:rsidRPr="009B1312">
        <w:rPr>
          <w:szCs w:val="24"/>
        </w:rPr>
        <w:t xml:space="preserve"> </w:t>
      </w:r>
    </w:p>
    <w:p w14:paraId="00955067" w14:textId="58C052EA" w:rsidR="00CD1504" w:rsidRPr="009B1312" w:rsidRDefault="00092530" w:rsidP="00CD1504">
      <w:pPr>
        <w:pStyle w:val="ListParagraph"/>
        <w:numPr>
          <w:ilvl w:val="0"/>
          <w:numId w:val="38"/>
        </w:numPr>
        <w:shd w:val="clear" w:color="auto" w:fill="FFFFFF"/>
        <w:spacing w:before="100" w:beforeAutospacing="1"/>
        <w:rPr>
          <w:szCs w:val="24"/>
        </w:rPr>
      </w:pPr>
      <w:r w:rsidRPr="009B1312">
        <w:rPr>
          <w:i/>
          <w:iCs/>
          <w:szCs w:val="24"/>
        </w:rPr>
        <w:t>Health Insurance (General Practice COVID-19 Treatment) Determination 2022</w:t>
      </w:r>
      <w:r w:rsidR="00CD1504" w:rsidRPr="009B1312">
        <w:rPr>
          <w:szCs w:val="24"/>
        </w:rPr>
        <w:t>; and</w:t>
      </w:r>
    </w:p>
    <w:p w14:paraId="306D7F57" w14:textId="50DE70AC" w:rsidR="008B6B06" w:rsidRPr="009B1312" w:rsidRDefault="00CD1504" w:rsidP="00CD1504">
      <w:pPr>
        <w:pStyle w:val="ListParagraph"/>
        <w:numPr>
          <w:ilvl w:val="0"/>
          <w:numId w:val="38"/>
        </w:numPr>
        <w:shd w:val="clear" w:color="auto" w:fill="FFFFFF"/>
        <w:spacing w:before="100" w:beforeAutospacing="1"/>
        <w:rPr>
          <w:szCs w:val="24"/>
        </w:rPr>
      </w:pPr>
      <w:r w:rsidRPr="009B1312">
        <w:rPr>
          <w:i/>
          <w:iCs/>
          <w:szCs w:val="24"/>
        </w:rPr>
        <w:t>Health Insurance (Section 3C General Medical Services – General Practice Attendance for Assessing Patient Suitability for a COVID-19 Vaccine) Determination 2021</w:t>
      </w:r>
      <w:r w:rsidRPr="009B1312">
        <w:rPr>
          <w:szCs w:val="24"/>
        </w:rPr>
        <w:t>.</w:t>
      </w:r>
    </w:p>
    <w:p w14:paraId="1A9DF08A" w14:textId="77777777" w:rsidR="00CD1504" w:rsidRPr="009B1312" w:rsidRDefault="00CD1504" w:rsidP="00CD1504">
      <w:pPr>
        <w:pStyle w:val="ListParagraph"/>
        <w:shd w:val="clear" w:color="auto" w:fill="FFFFFF"/>
        <w:rPr>
          <w:szCs w:val="24"/>
        </w:rPr>
      </w:pPr>
    </w:p>
    <w:p w14:paraId="15CB069C" w14:textId="24655AEC" w:rsidR="00A666CA" w:rsidRPr="009B1312" w:rsidRDefault="00A666CA" w:rsidP="00CD1504">
      <w:pPr>
        <w:spacing w:line="276" w:lineRule="auto"/>
        <w:contextualSpacing/>
        <w:rPr>
          <w:b/>
        </w:rPr>
      </w:pPr>
      <w:r w:rsidRPr="009B1312">
        <w:rPr>
          <w:b/>
        </w:rPr>
        <w:t>Consultation</w:t>
      </w:r>
    </w:p>
    <w:p w14:paraId="28C956C1" w14:textId="2AF9A80D" w:rsidR="00A666CA" w:rsidRPr="009B1312" w:rsidRDefault="00A666CA" w:rsidP="00CD1504">
      <w:pPr>
        <w:shd w:val="clear" w:color="auto" w:fill="FFFFFF"/>
        <w:contextualSpacing/>
        <w:rPr>
          <w:szCs w:val="24"/>
        </w:rPr>
      </w:pPr>
      <w:r w:rsidRPr="009B1312">
        <w:rPr>
          <w:szCs w:val="24"/>
        </w:rPr>
        <w:t xml:space="preserve">No consultation was undertaken regarding the changes in the Determination, as they are intended to align the MBS with the Government’s policy on Medicare indexation, following the announcement in </w:t>
      </w:r>
      <w:r w:rsidRPr="009B1312">
        <w:t>the 2023-24 Budget</w:t>
      </w:r>
      <w:r w:rsidRPr="009B1312">
        <w:rPr>
          <w:szCs w:val="24"/>
        </w:rPr>
        <w:t xml:space="preserve"> of revisions to the </w:t>
      </w:r>
      <w:r w:rsidRPr="009B1312">
        <w:t xml:space="preserve">indexation </w:t>
      </w:r>
      <w:r w:rsidR="004E5DEB" w:rsidRPr="009B1312">
        <w:t>methodology</w:t>
      </w:r>
      <w:r w:rsidRPr="009B1312">
        <w:rPr>
          <w:szCs w:val="24"/>
        </w:rPr>
        <w:t xml:space="preserve">. </w:t>
      </w:r>
    </w:p>
    <w:p w14:paraId="4F11F9E9" w14:textId="77777777" w:rsidR="00A666CA" w:rsidRPr="009B1312" w:rsidRDefault="00A666CA" w:rsidP="00A666CA">
      <w:pPr>
        <w:shd w:val="clear" w:color="auto" w:fill="FFFFFF"/>
        <w:rPr>
          <w:szCs w:val="24"/>
        </w:rPr>
      </w:pPr>
      <w:r w:rsidRPr="009B1312">
        <w:rPr>
          <w:szCs w:val="24"/>
        </w:rPr>
        <w:t> </w:t>
      </w:r>
    </w:p>
    <w:p w14:paraId="7FAD4AA3" w14:textId="77777777" w:rsidR="00A666CA" w:rsidRPr="009B1312" w:rsidRDefault="00A666CA" w:rsidP="00A666CA">
      <w:pPr>
        <w:shd w:val="clear" w:color="auto" w:fill="FFFFFF"/>
        <w:rPr>
          <w:szCs w:val="24"/>
        </w:rPr>
      </w:pPr>
      <w:r w:rsidRPr="009B1312">
        <w:rPr>
          <w:szCs w:val="24"/>
        </w:rPr>
        <w:t>Details of the Determination are set out in the </w:t>
      </w:r>
      <w:r w:rsidRPr="009B1312">
        <w:rPr>
          <w:szCs w:val="24"/>
          <w:u w:val="single"/>
        </w:rPr>
        <w:t>Attachment</w:t>
      </w:r>
      <w:r w:rsidRPr="009B1312">
        <w:rPr>
          <w:szCs w:val="24"/>
        </w:rPr>
        <w:t>.</w:t>
      </w:r>
    </w:p>
    <w:p w14:paraId="36155E1B" w14:textId="77777777" w:rsidR="00A666CA" w:rsidRPr="009B1312" w:rsidRDefault="00A666CA" w:rsidP="00A666CA">
      <w:pPr>
        <w:shd w:val="clear" w:color="auto" w:fill="FFFFFF"/>
        <w:rPr>
          <w:szCs w:val="24"/>
        </w:rPr>
      </w:pPr>
      <w:r w:rsidRPr="009B1312">
        <w:rPr>
          <w:szCs w:val="24"/>
        </w:rPr>
        <w:t> </w:t>
      </w:r>
    </w:p>
    <w:p w14:paraId="6CC7F445" w14:textId="77777777" w:rsidR="00A666CA" w:rsidRPr="009B1312" w:rsidRDefault="00A666CA" w:rsidP="00A666CA">
      <w:pPr>
        <w:shd w:val="clear" w:color="auto" w:fill="FFFFFF"/>
        <w:rPr>
          <w:szCs w:val="24"/>
        </w:rPr>
      </w:pPr>
      <w:r w:rsidRPr="009B1312">
        <w:rPr>
          <w:szCs w:val="24"/>
        </w:rPr>
        <w:t>The Determination commences on 1 November 2023.</w:t>
      </w:r>
    </w:p>
    <w:p w14:paraId="4DF2D953" w14:textId="77777777" w:rsidR="00A666CA" w:rsidRPr="009B1312" w:rsidRDefault="00A666CA" w:rsidP="00A666CA">
      <w:pPr>
        <w:shd w:val="clear" w:color="auto" w:fill="FFFFFF"/>
        <w:rPr>
          <w:szCs w:val="24"/>
        </w:rPr>
      </w:pPr>
    </w:p>
    <w:p w14:paraId="78883278" w14:textId="77777777" w:rsidR="00A666CA" w:rsidRPr="009B1312" w:rsidRDefault="00A666CA" w:rsidP="00A666CA">
      <w:pPr>
        <w:rPr>
          <w:szCs w:val="24"/>
        </w:rPr>
      </w:pPr>
      <w:r w:rsidRPr="009B1312">
        <w:rPr>
          <w:szCs w:val="24"/>
        </w:rPr>
        <w:t xml:space="preserve">The Determination is a legislative instrument for the purposes of the </w:t>
      </w:r>
      <w:r w:rsidRPr="009B1312">
        <w:rPr>
          <w:i/>
        </w:rPr>
        <w:t>Legislation Act 2003</w:t>
      </w:r>
      <w:r w:rsidRPr="009B1312">
        <w:rPr>
          <w:szCs w:val="24"/>
        </w:rPr>
        <w:t>.</w:t>
      </w:r>
    </w:p>
    <w:p w14:paraId="1C052653" w14:textId="77777777" w:rsidR="00A666CA" w:rsidRPr="009B1312" w:rsidRDefault="00A666CA" w:rsidP="00A666CA">
      <w:pPr>
        <w:rPr>
          <w:szCs w:val="24"/>
        </w:rPr>
      </w:pPr>
    </w:p>
    <w:p w14:paraId="0C9BF407" w14:textId="77777777" w:rsidR="00A666CA" w:rsidRPr="009B1312" w:rsidRDefault="00A666CA" w:rsidP="00A666CA">
      <w:pPr>
        <w:spacing w:after="200" w:line="276" w:lineRule="auto"/>
        <w:rPr>
          <w:szCs w:val="24"/>
        </w:rPr>
      </w:pPr>
      <w:r w:rsidRPr="009B1312">
        <w:rPr>
          <w:szCs w:val="24"/>
        </w:rPr>
        <w:t xml:space="preserve">Details of the Determination are set out in the </w:t>
      </w:r>
      <w:r w:rsidRPr="009B1312">
        <w:rPr>
          <w:szCs w:val="24"/>
          <w:u w:val="single"/>
        </w:rPr>
        <w:t>Attachment</w:t>
      </w:r>
      <w:r w:rsidRPr="009B1312">
        <w:rPr>
          <w:szCs w:val="24"/>
        </w:rPr>
        <w:t>.</w:t>
      </w:r>
    </w:p>
    <w:p w14:paraId="55ED7B05" w14:textId="77777777" w:rsidR="00A666CA" w:rsidRPr="009B1312" w:rsidRDefault="00A666CA" w:rsidP="00A666CA">
      <w:pPr>
        <w:ind w:left="6663" w:hanging="3119"/>
        <w:rPr>
          <w:szCs w:val="24"/>
        </w:rPr>
      </w:pPr>
      <w:r w:rsidRPr="009B1312">
        <w:rPr>
          <w:szCs w:val="24"/>
        </w:rPr>
        <w:lastRenderedPageBreak/>
        <w:t xml:space="preserve">           </w:t>
      </w:r>
    </w:p>
    <w:p w14:paraId="12955DCA" w14:textId="77777777" w:rsidR="00A666CA" w:rsidRPr="009B1312" w:rsidRDefault="00A666CA" w:rsidP="00A666CA">
      <w:pPr>
        <w:ind w:left="6663" w:hanging="3119"/>
        <w:rPr>
          <w:szCs w:val="24"/>
        </w:rPr>
      </w:pPr>
      <w:r w:rsidRPr="009B1312">
        <w:rPr>
          <w:szCs w:val="24"/>
          <w:u w:val="single"/>
        </w:rPr>
        <w:t>Authority</w:t>
      </w:r>
      <w:r w:rsidRPr="009B1312">
        <w:rPr>
          <w:szCs w:val="24"/>
        </w:rPr>
        <w:t xml:space="preserve">:     Subsection 3C(1) of the </w:t>
      </w:r>
    </w:p>
    <w:p w14:paraId="073BC23D" w14:textId="77777777" w:rsidR="00A666CA" w:rsidRPr="009B1312" w:rsidRDefault="00A666CA" w:rsidP="00A666CA">
      <w:pPr>
        <w:tabs>
          <w:tab w:val="left" w:pos="4820"/>
        </w:tabs>
        <w:rPr>
          <w:szCs w:val="24"/>
        </w:rPr>
        <w:sectPr w:rsidR="00A666CA" w:rsidRPr="009B1312" w:rsidSect="00235B6C">
          <w:headerReference w:type="default" r:id="rId11"/>
          <w:pgSz w:w="11906" w:h="16838"/>
          <w:pgMar w:top="1440" w:right="1800" w:bottom="1135" w:left="1800" w:header="708" w:footer="708" w:gutter="0"/>
          <w:pgNumType w:start="1"/>
          <w:cols w:space="708"/>
          <w:docGrid w:linePitch="360"/>
        </w:sectPr>
      </w:pPr>
      <w:r w:rsidRPr="009B1312">
        <w:rPr>
          <w:i/>
          <w:szCs w:val="24"/>
        </w:rPr>
        <w:tab/>
        <w:t>Health Insurance Act 1973</w:t>
      </w:r>
    </w:p>
    <w:p w14:paraId="1A9745F3" w14:textId="77777777" w:rsidR="00A666CA" w:rsidRPr="009B1312" w:rsidRDefault="00A666CA" w:rsidP="00A666CA">
      <w:pPr>
        <w:pStyle w:val="BodyText"/>
        <w:spacing w:before="120" w:after="240"/>
        <w:jc w:val="right"/>
        <w:rPr>
          <w:szCs w:val="24"/>
        </w:rPr>
      </w:pPr>
      <w:r w:rsidRPr="009B1312">
        <w:rPr>
          <w:szCs w:val="24"/>
        </w:rPr>
        <w:lastRenderedPageBreak/>
        <w:t>ATTACHMENT</w:t>
      </w:r>
    </w:p>
    <w:p w14:paraId="38634010" w14:textId="77777777" w:rsidR="00A666CA" w:rsidRPr="009B1312" w:rsidRDefault="00A666CA" w:rsidP="00A666CA">
      <w:pPr>
        <w:pStyle w:val="BodyText"/>
        <w:spacing w:before="120" w:after="240"/>
        <w:rPr>
          <w:i/>
          <w:iCs/>
        </w:rPr>
      </w:pPr>
      <w:r w:rsidRPr="009B1312">
        <w:rPr>
          <w:szCs w:val="24"/>
        </w:rPr>
        <w:t>Details of the</w:t>
      </w:r>
      <w:r w:rsidRPr="009B1312">
        <w:rPr>
          <w:bCs/>
          <w:i/>
          <w:iCs/>
        </w:rPr>
        <w:t> Health Insurance Legislation Amendment (Indexation No. 2) Determination 2023</w:t>
      </w:r>
    </w:p>
    <w:p w14:paraId="529D75E9" w14:textId="77777777" w:rsidR="00A666CA" w:rsidRPr="009B1312" w:rsidRDefault="00A666CA" w:rsidP="00A666CA">
      <w:pPr>
        <w:pStyle w:val="BodyText"/>
        <w:spacing w:before="120" w:after="240"/>
        <w:rPr>
          <w:b w:val="0"/>
          <w:szCs w:val="24"/>
          <w:u w:val="single"/>
        </w:rPr>
      </w:pPr>
      <w:r w:rsidRPr="009B1312">
        <w:rPr>
          <w:b w:val="0"/>
          <w:szCs w:val="24"/>
          <w:u w:val="single"/>
        </w:rPr>
        <w:t>Section 1 – Name</w:t>
      </w:r>
    </w:p>
    <w:p w14:paraId="7DC14C26" w14:textId="47284B5E" w:rsidR="00A666CA" w:rsidRPr="009B1312" w:rsidRDefault="00A666CA" w:rsidP="00A666CA">
      <w:pPr>
        <w:pStyle w:val="BodyText"/>
        <w:spacing w:before="120" w:after="240"/>
        <w:rPr>
          <w:i/>
          <w:iCs/>
        </w:rPr>
      </w:pPr>
      <w:r w:rsidRPr="009B1312">
        <w:rPr>
          <w:b w:val="0"/>
          <w:szCs w:val="24"/>
        </w:rPr>
        <w:t xml:space="preserve">Section 1 provides for the Determination to be referred to as the </w:t>
      </w:r>
      <w:r w:rsidRPr="009B1312">
        <w:rPr>
          <w:b w:val="0"/>
          <w:bCs/>
          <w:i/>
          <w:iCs/>
          <w:szCs w:val="24"/>
        </w:rPr>
        <w:t>Health Insurance Legislation Amendment (Indexation No. 2) Determination 2023</w:t>
      </w:r>
      <w:r w:rsidR="005B5F8E" w:rsidRPr="009B1312">
        <w:rPr>
          <w:b w:val="0"/>
          <w:bCs/>
          <w:i/>
          <w:iCs/>
          <w:szCs w:val="24"/>
        </w:rPr>
        <w:t xml:space="preserve"> </w:t>
      </w:r>
      <w:r w:rsidR="005B5F8E" w:rsidRPr="009B1312">
        <w:rPr>
          <w:b w:val="0"/>
          <w:bCs/>
          <w:szCs w:val="24"/>
        </w:rPr>
        <w:t>(the Determination)</w:t>
      </w:r>
      <w:r w:rsidRPr="009B1312">
        <w:rPr>
          <w:b w:val="0"/>
          <w:szCs w:val="24"/>
        </w:rPr>
        <w:t>.</w:t>
      </w:r>
    </w:p>
    <w:p w14:paraId="7B934C35" w14:textId="77777777" w:rsidR="00A666CA" w:rsidRPr="009B1312" w:rsidRDefault="00A666CA" w:rsidP="00A666CA">
      <w:pPr>
        <w:pStyle w:val="BodyText"/>
        <w:spacing w:before="120" w:after="240"/>
        <w:rPr>
          <w:b w:val="0"/>
          <w:szCs w:val="24"/>
          <w:u w:val="single"/>
        </w:rPr>
      </w:pPr>
      <w:r w:rsidRPr="009B1312">
        <w:rPr>
          <w:b w:val="0"/>
          <w:szCs w:val="24"/>
          <w:u w:val="single"/>
        </w:rPr>
        <w:t xml:space="preserve">Section 2 – Commencement </w:t>
      </w:r>
    </w:p>
    <w:p w14:paraId="5CDF7793" w14:textId="77777777" w:rsidR="00A666CA" w:rsidRPr="009B1312" w:rsidRDefault="00A666CA" w:rsidP="00A666CA">
      <w:pPr>
        <w:pStyle w:val="BodyText"/>
        <w:spacing w:before="120" w:after="240"/>
        <w:rPr>
          <w:b w:val="0"/>
          <w:szCs w:val="24"/>
        </w:rPr>
      </w:pPr>
      <w:r w:rsidRPr="009B1312">
        <w:rPr>
          <w:b w:val="0"/>
          <w:szCs w:val="24"/>
        </w:rPr>
        <w:t xml:space="preserve">Section 2 </w:t>
      </w:r>
      <w:r w:rsidRPr="009B1312">
        <w:rPr>
          <w:b w:val="0"/>
        </w:rPr>
        <w:t xml:space="preserve">provides for the </w:t>
      </w:r>
      <w:r w:rsidRPr="009B1312">
        <w:rPr>
          <w:b w:val="0"/>
          <w:szCs w:val="24"/>
        </w:rPr>
        <w:t xml:space="preserve">Determination </w:t>
      </w:r>
      <w:r w:rsidRPr="009B1312">
        <w:rPr>
          <w:b w:val="0"/>
        </w:rPr>
        <w:t xml:space="preserve">to commence </w:t>
      </w:r>
      <w:r w:rsidRPr="009B1312">
        <w:rPr>
          <w:b w:val="0"/>
          <w:szCs w:val="24"/>
        </w:rPr>
        <w:t xml:space="preserve">on 1 November 2023. </w:t>
      </w:r>
    </w:p>
    <w:p w14:paraId="03FB3905" w14:textId="77777777" w:rsidR="00A666CA" w:rsidRPr="009B1312" w:rsidRDefault="00A666CA" w:rsidP="00A666CA">
      <w:pPr>
        <w:pStyle w:val="BodyText"/>
        <w:spacing w:before="120" w:after="240"/>
        <w:rPr>
          <w:b w:val="0"/>
          <w:szCs w:val="24"/>
          <w:u w:val="single"/>
        </w:rPr>
      </w:pPr>
      <w:r w:rsidRPr="009B1312">
        <w:rPr>
          <w:b w:val="0"/>
          <w:szCs w:val="24"/>
          <w:u w:val="single"/>
        </w:rPr>
        <w:t>Section 3 – Authority</w:t>
      </w:r>
    </w:p>
    <w:p w14:paraId="57C71688" w14:textId="77777777" w:rsidR="00A666CA" w:rsidRPr="009B1312" w:rsidRDefault="00A666CA" w:rsidP="00A666CA">
      <w:pPr>
        <w:pStyle w:val="BodyText"/>
        <w:spacing w:before="120" w:after="240"/>
        <w:rPr>
          <w:b w:val="0"/>
        </w:rPr>
      </w:pPr>
      <w:r w:rsidRPr="009B1312">
        <w:rPr>
          <w:b w:val="0"/>
        </w:rPr>
        <w:t xml:space="preserve">Section 3 provides that the </w:t>
      </w:r>
      <w:r w:rsidRPr="009B1312">
        <w:rPr>
          <w:b w:val="0"/>
          <w:szCs w:val="24"/>
        </w:rPr>
        <w:t xml:space="preserve">Determination </w:t>
      </w:r>
      <w:r w:rsidRPr="009B1312">
        <w:rPr>
          <w:b w:val="0"/>
        </w:rPr>
        <w:t xml:space="preserve">is made under subsection 3C(1) of the </w:t>
      </w:r>
      <w:r w:rsidRPr="009B1312">
        <w:rPr>
          <w:b w:val="0"/>
          <w:i/>
        </w:rPr>
        <w:t>Health Insurance Act 1973</w:t>
      </w:r>
      <w:r w:rsidRPr="009B1312">
        <w:rPr>
          <w:b w:val="0"/>
        </w:rPr>
        <w:t>.</w:t>
      </w:r>
    </w:p>
    <w:p w14:paraId="0BB85592" w14:textId="77777777" w:rsidR="00A666CA" w:rsidRPr="009B1312" w:rsidRDefault="00A666CA" w:rsidP="00A666CA">
      <w:pPr>
        <w:pStyle w:val="BodyText"/>
        <w:spacing w:before="120" w:after="240"/>
        <w:rPr>
          <w:b w:val="0"/>
          <w:szCs w:val="24"/>
          <w:u w:val="single"/>
        </w:rPr>
      </w:pPr>
      <w:r w:rsidRPr="009B1312">
        <w:rPr>
          <w:b w:val="0"/>
          <w:szCs w:val="24"/>
          <w:u w:val="single"/>
        </w:rPr>
        <w:t>Section 4 – Schedules</w:t>
      </w:r>
    </w:p>
    <w:p w14:paraId="39B786AD" w14:textId="77777777" w:rsidR="00A666CA" w:rsidRPr="009B1312" w:rsidRDefault="00A666CA" w:rsidP="00A666CA">
      <w:pPr>
        <w:pStyle w:val="BodyText"/>
        <w:spacing w:before="120" w:after="240"/>
        <w:rPr>
          <w:b w:val="0"/>
          <w:szCs w:val="24"/>
        </w:rPr>
      </w:pPr>
      <w:r w:rsidRPr="009B1312">
        <w:rPr>
          <w:b w:val="0"/>
          <w:szCs w:val="24"/>
        </w:rPr>
        <w:t>Section 4</w:t>
      </w:r>
      <w:r w:rsidRPr="009B1312">
        <w:rPr>
          <w:b w:val="0"/>
          <w:shd w:val="clear" w:color="auto" w:fill="FFFFFF"/>
        </w:rPr>
        <w:t xml:space="preserve"> </w:t>
      </w:r>
      <w:r w:rsidRPr="009B1312">
        <w:rPr>
          <w:b w:val="0"/>
          <w:szCs w:val="24"/>
        </w:rPr>
        <w:t>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9ED28" w14:textId="76882238" w:rsidR="00930D08" w:rsidRPr="009B1312" w:rsidRDefault="00930D08" w:rsidP="00930D08">
      <w:pPr>
        <w:shd w:val="clear" w:color="auto" w:fill="FFFFFF"/>
        <w:spacing w:before="120" w:after="240"/>
        <w:rPr>
          <w:szCs w:val="24"/>
          <w:u w:val="single"/>
        </w:rPr>
      </w:pPr>
      <w:r w:rsidRPr="009B1312">
        <w:rPr>
          <w:szCs w:val="24"/>
          <w:u w:val="single"/>
        </w:rPr>
        <w:t xml:space="preserve">Schedule </w:t>
      </w:r>
      <w:r w:rsidR="00CF3A01" w:rsidRPr="009B1312">
        <w:rPr>
          <w:szCs w:val="24"/>
          <w:u w:val="single"/>
        </w:rPr>
        <w:t>1</w:t>
      </w:r>
      <w:r w:rsidRPr="009B1312">
        <w:rPr>
          <w:szCs w:val="24"/>
          <w:u w:val="single"/>
        </w:rPr>
        <w:t xml:space="preserve"> – Indexation provision amendments</w:t>
      </w:r>
    </w:p>
    <w:p w14:paraId="081FEDD3" w14:textId="5FF68EC9" w:rsidR="001A65BB" w:rsidRPr="009B1312" w:rsidRDefault="001A65BB" w:rsidP="001A65BB">
      <w:pPr>
        <w:shd w:val="clear" w:color="auto" w:fill="FFFFFF"/>
        <w:spacing w:before="120" w:after="240"/>
        <w:rPr>
          <w:szCs w:val="24"/>
        </w:rPr>
      </w:pPr>
      <w:r w:rsidRPr="009B1312">
        <w:rPr>
          <w:szCs w:val="24"/>
        </w:rPr>
        <w:t>Schedule 1 increase</w:t>
      </w:r>
      <w:r w:rsidR="00653838" w:rsidRPr="009B1312">
        <w:rPr>
          <w:szCs w:val="24"/>
        </w:rPr>
        <w:t>s</w:t>
      </w:r>
      <w:r w:rsidRPr="009B1312">
        <w:rPr>
          <w:szCs w:val="24"/>
        </w:rPr>
        <w:t xml:space="preserve"> fees for relevant MBS items </w:t>
      </w:r>
      <w:r w:rsidR="00653838" w:rsidRPr="009B1312">
        <w:rPr>
          <w:szCs w:val="24"/>
        </w:rPr>
        <w:t>by</w:t>
      </w:r>
      <w:r w:rsidRPr="009B1312">
        <w:rPr>
          <w:szCs w:val="24"/>
        </w:rPr>
        <w:t xml:space="preserve"> 0.5</w:t>
      </w:r>
      <w:r w:rsidR="00653838" w:rsidRPr="009B1312">
        <w:rPr>
          <w:szCs w:val="24"/>
        </w:rPr>
        <w:t xml:space="preserve"> per cent</w:t>
      </w:r>
      <w:r w:rsidRPr="009B1312">
        <w:rPr>
          <w:szCs w:val="24"/>
        </w:rPr>
        <w:t xml:space="preserve"> from 1 November 2023, to align these MBS services with the updated indexation </w:t>
      </w:r>
      <w:r w:rsidR="004E5DEB" w:rsidRPr="009B1312">
        <w:rPr>
          <w:szCs w:val="24"/>
        </w:rPr>
        <w:t>methodology</w:t>
      </w:r>
      <w:r w:rsidRPr="009B1312">
        <w:rPr>
          <w:szCs w:val="24"/>
        </w:rPr>
        <w:t>. This will increase the Medicare benefit paid to patients for these services. The indexation figures are calculated as per section 10 of the </w:t>
      </w:r>
      <w:r w:rsidRPr="009B1312">
        <w:rPr>
          <w:i/>
          <w:iCs/>
          <w:szCs w:val="24"/>
        </w:rPr>
        <w:t>Health Insurance Act 1973</w:t>
      </w:r>
      <w:r w:rsidRPr="009B1312">
        <w:rPr>
          <w:szCs w:val="24"/>
        </w:rPr>
        <w:t>.</w:t>
      </w:r>
    </w:p>
    <w:p w14:paraId="7134B52C" w14:textId="612703C9" w:rsidR="0079437E" w:rsidRPr="009B1312" w:rsidRDefault="0079437E" w:rsidP="0025674B">
      <w:pPr>
        <w:shd w:val="clear" w:color="auto" w:fill="FFFFFF"/>
        <w:rPr>
          <w:szCs w:val="24"/>
        </w:rPr>
      </w:pPr>
      <w:r w:rsidRPr="009B1312">
        <w:rPr>
          <w:b/>
          <w:bCs/>
          <w:szCs w:val="24"/>
        </w:rPr>
        <w:t>Items 1 to 1</w:t>
      </w:r>
      <w:r w:rsidR="00177BE6" w:rsidRPr="009B1312">
        <w:rPr>
          <w:b/>
          <w:bCs/>
          <w:szCs w:val="24"/>
        </w:rPr>
        <w:t>0</w:t>
      </w:r>
      <w:r w:rsidRPr="009B1312">
        <w:rPr>
          <w:b/>
          <w:bCs/>
          <w:szCs w:val="24"/>
        </w:rPr>
        <w:t> </w:t>
      </w:r>
      <w:r w:rsidRPr="009B1312">
        <w:rPr>
          <w:szCs w:val="24"/>
        </w:rPr>
        <w:t>amend the indexation provisions in the following determinations to apply at an indexation rate of 0.5</w:t>
      </w:r>
      <w:r w:rsidR="00653838" w:rsidRPr="009B1312">
        <w:rPr>
          <w:szCs w:val="24"/>
        </w:rPr>
        <w:t xml:space="preserve"> per cent</w:t>
      </w:r>
      <w:r w:rsidRPr="009B1312">
        <w:rPr>
          <w:szCs w:val="24"/>
        </w:rPr>
        <w:t xml:space="preserve"> from 1 November 2023 to the schedule fees of listed items:</w:t>
      </w:r>
    </w:p>
    <w:p w14:paraId="30163C8C" w14:textId="77777777" w:rsidR="0025674B" w:rsidRPr="009B1312" w:rsidRDefault="0025674B" w:rsidP="0025674B">
      <w:pPr>
        <w:pStyle w:val="ListParagraph"/>
        <w:numPr>
          <w:ilvl w:val="0"/>
          <w:numId w:val="37"/>
        </w:numPr>
        <w:shd w:val="clear" w:color="auto" w:fill="FFFFFF"/>
        <w:rPr>
          <w:i/>
          <w:iCs/>
          <w:szCs w:val="24"/>
        </w:rPr>
      </w:pPr>
      <w:r w:rsidRPr="009B1312">
        <w:rPr>
          <w:i/>
          <w:iCs/>
          <w:szCs w:val="24"/>
        </w:rPr>
        <w:t>Health Insurance (Section 3C General Medical Services –Transcatheter Aortic Valve Implantation) Determination 2018</w:t>
      </w:r>
      <w:r w:rsidRPr="009B1312">
        <w:rPr>
          <w:szCs w:val="24"/>
        </w:rPr>
        <w:t>;</w:t>
      </w:r>
    </w:p>
    <w:p w14:paraId="601D978E"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 xml:space="preserve">Health Insurance (Section 3C General Medical Services – Botox, Dysport or </w:t>
      </w:r>
      <w:proofErr w:type="spellStart"/>
      <w:r w:rsidRPr="009B1312">
        <w:rPr>
          <w:i/>
          <w:iCs/>
          <w:szCs w:val="24"/>
        </w:rPr>
        <w:t>Xeomin</w:t>
      </w:r>
      <w:proofErr w:type="spellEnd"/>
      <w:r w:rsidRPr="009B1312">
        <w:rPr>
          <w:i/>
          <w:iCs/>
          <w:szCs w:val="24"/>
        </w:rPr>
        <w:t xml:space="preserve"> Injection) Determination 2020</w:t>
      </w:r>
      <w:r w:rsidRPr="009B1312">
        <w:rPr>
          <w:szCs w:val="24"/>
        </w:rPr>
        <w:t>;</w:t>
      </w:r>
    </w:p>
    <w:p w14:paraId="6A4C147A" w14:textId="30C910E9"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General Medical Services - Optometric Services) Determination 2020</w:t>
      </w:r>
      <w:r w:rsidRPr="009B1312">
        <w:rPr>
          <w:szCs w:val="24"/>
        </w:rPr>
        <w:t>;</w:t>
      </w:r>
    </w:p>
    <w:p w14:paraId="03BA69C3"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Midwife and Nurse Practitioner Services) Determination 2020</w:t>
      </w:r>
      <w:r w:rsidRPr="009B1312">
        <w:rPr>
          <w:szCs w:val="24"/>
        </w:rPr>
        <w:t>;</w:t>
      </w:r>
    </w:p>
    <w:p w14:paraId="2177FE5C"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General Medical Services – Extracorporeal Photopheresis) Determination 2020</w:t>
      </w:r>
      <w:r w:rsidRPr="009B1312">
        <w:rPr>
          <w:szCs w:val="24"/>
        </w:rPr>
        <w:t>;</w:t>
      </w:r>
    </w:p>
    <w:p w14:paraId="1365E2D2"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General Medical Services – Botox Injection) Determination 2020</w:t>
      </w:r>
      <w:r w:rsidRPr="009B1312">
        <w:rPr>
          <w:szCs w:val="24"/>
        </w:rPr>
        <w:t>;</w:t>
      </w:r>
    </w:p>
    <w:p w14:paraId="46BB4C22"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General Medical Services—Transcatheter Mitral Valve Repair) Determination 2021</w:t>
      </w:r>
      <w:r w:rsidRPr="009B1312">
        <w:rPr>
          <w:szCs w:val="24"/>
        </w:rPr>
        <w:t>;</w:t>
      </w:r>
    </w:p>
    <w:p w14:paraId="1A6496E3"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lastRenderedPageBreak/>
        <w:t>Health Insurance (Section 3C Diagnostic Imaging – Cardiac MRI for Myocarditis) Determination 2021</w:t>
      </w:r>
      <w:r w:rsidRPr="009B1312">
        <w:rPr>
          <w:szCs w:val="24"/>
        </w:rPr>
        <w:t>;</w:t>
      </w:r>
    </w:p>
    <w:p w14:paraId="1FFD3079" w14:textId="77777777" w:rsidR="0025674B"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(Section 3C General Medical Services – Extracorporeal Photopheresis for Chronic Graft Versus Host Disease) Determination 2022</w:t>
      </w:r>
      <w:r w:rsidRPr="009B1312">
        <w:rPr>
          <w:szCs w:val="24"/>
        </w:rPr>
        <w:t>; and</w:t>
      </w:r>
    </w:p>
    <w:p w14:paraId="1CF803A6" w14:textId="244221C8" w:rsidR="00930D08" w:rsidRPr="009B1312" w:rsidRDefault="0025674B" w:rsidP="0025674B">
      <w:pPr>
        <w:pStyle w:val="ListParagraph"/>
        <w:numPr>
          <w:ilvl w:val="0"/>
          <w:numId w:val="37"/>
        </w:numPr>
        <w:shd w:val="clear" w:color="auto" w:fill="FFFFFF"/>
        <w:spacing w:before="100" w:beforeAutospacing="1"/>
        <w:rPr>
          <w:i/>
          <w:iCs/>
          <w:szCs w:val="24"/>
        </w:rPr>
      </w:pPr>
      <w:r w:rsidRPr="009B1312">
        <w:rPr>
          <w:i/>
          <w:iCs/>
          <w:szCs w:val="24"/>
        </w:rPr>
        <w:t>Health Insurance (Allied Health Services) Determination 2014</w:t>
      </w:r>
      <w:r w:rsidRPr="009B1312">
        <w:rPr>
          <w:szCs w:val="24"/>
        </w:rPr>
        <w:t>.</w:t>
      </w:r>
    </w:p>
    <w:p w14:paraId="1816ACF5" w14:textId="77777777" w:rsidR="0025674B" w:rsidRPr="009B1312" w:rsidRDefault="0025674B" w:rsidP="0025674B">
      <w:pPr>
        <w:pStyle w:val="ListParagraph"/>
        <w:shd w:val="clear" w:color="auto" w:fill="FFFFFF"/>
        <w:spacing w:before="100" w:beforeAutospacing="1"/>
        <w:rPr>
          <w:i/>
          <w:iCs/>
          <w:szCs w:val="24"/>
        </w:rPr>
      </w:pPr>
    </w:p>
    <w:p w14:paraId="1B20FB8D" w14:textId="77777777" w:rsidR="00CF3A01" w:rsidRPr="009B1312" w:rsidRDefault="00CF3A01" w:rsidP="00CF3A01">
      <w:pPr>
        <w:shd w:val="clear" w:color="auto" w:fill="FFFFFF"/>
        <w:spacing w:before="120" w:after="240"/>
        <w:rPr>
          <w:szCs w:val="24"/>
        </w:rPr>
      </w:pPr>
      <w:bookmarkStart w:id="3" w:name="_Hlk140143068"/>
      <w:r w:rsidRPr="009B1312">
        <w:rPr>
          <w:szCs w:val="24"/>
          <w:u w:val="single"/>
        </w:rPr>
        <w:t>Schedule 2 – Indexation amendments</w:t>
      </w:r>
    </w:p>
    <w:bookmarkEnd w:id="3"/>
    <w:p w14:paraId="5B5F20CF" w14:textId="616B6749" w:rsidR="00CF3A01" w:rsidRPr="009B1312" w:rsidRDefault="00CF3A01" w:rsidP="00CF3A01">
      <w:pPr>
        <w:shd w:val="clear" w:color="auto" w:fill="FFFFFF"/>
        <w:spacing w:before="120" w:after="240"/>
        <w:ind w:right="-483"/>
        <w:rPr>
          <w:szCs w:val="24"/>
        </w:rPr>
      </w:pPr>
      <w:r w:rsidRPr="009B1312">
        <w:rPr>
          <w:szCs w:val="24"/>
        </w:rPr>
        <w:t>Schedule 2 increase</w:t>
      </w:r>
      <w:r w:rsidR="00653838" w:rsidRPr="009B1312">
        <w:rPr>
          <w:szCs w:val="24"/>
        </w:rPr>
        <w:t>s</w:t>
      </w:r>
      <w:r w:rsidRPr="009B1312">
        <w:rPr>
          <w:szCs w:val="24"/>
        </w:rPr>
        <w:t xml:space="preserve"> </w:t>
      </w:r>
      <w:r w:rsidR="00653838" w:rsidRPr="009B1312">
        <w:rPr>
          <w:szCs w:val="24"/>
        </w:rPr>
        <w:t>the</w:t>
      </w:r>
      <w:r w:rsidRPr="009B1312">
        <w:rPr>
          <w:szCs w:val="24"/>
        </w:rPr>
        <w:t xml:space="preserve"> fees for relevant MBS items by 0.5</w:t>
      </w:r>
      <w:r w:rsidR="00653838" w:rsidRPr="009B1312">
        <w:rPr>
          <w:szCs w:val="24"/>
        </w:rPr>
        <w:t xml:space="preserve"> per cent</w:t>
      </w:r>
      <w:r w:rsidRPr="009B1312">
        <w:rPr>
          <w:szCs w:val="24"/>
        </w:rPr>
        <w:t xml:space="preserve"> from 1 November 2023, to align these MBS services with the updated indexation </w:t>
      </w:r>
      <w:r w:rsidR="004E5DEB" w:rsidRPr="009B1312">
        <w:rPr>
          <w:szCs w:val="24"/>
        </w:rPr>
        <w:t>methodology</w:t>
      </w:r>
      <w:r w:rsidRPr="009B1312">
        <w:rPr>
          <w:szCs w:val="24"/>
        </w:rPr>
        <w:t>.</w:t>
      </w:r>
      <w:r w:rsidR="001A65BB" w:rsidRPr="009B1312">
        <w:rPr>
          <w:szCs w:val="24"/>
        </w:rPr>
        <w:t xml:space="preserve"> This will increase the Medicare benefit paid to patients for these services. </w:t>
      </w:r>
      <w:r w:rsidRPr="009B1312">
        <w:rPr>
          <w:szCs w:val="24"/>
        </w:rPr>
        <w:t xml:space="preserve">The indexation </w:t>
      </w:r>
      <w:r w:rsidR="008036B8" w:rsidRPr="009B1312">
        <w:rPr>
          <w:szCs w:val="24"/>
        </w:rPr>
        <w:t>figures</w:t>
      </w:r>
      <w:r w:rsidRPr="009B1312">
        <w:rPr>
          <w:szCs w:val="24"/>
        </w:rPr>
        <w:t xml:space="preserve"> </w:t>
      </w:r>
      <w:r w:rsidR="008036B8" w:rsidRPr="009B1312">
        <w:rPr>
          <w:szCs w:val="24"/>
        </w:rPr>
        <w:t>are</w:t>
      </w:r>
      <w:r w:rsidRPr="009B1312">
        <w:rPr>
          <w:szCs w:val="24"/>
        </w:rPr>
        <w:t xml:space="preserve"> calculated as per section 10 of the </w:t>
      </w:r>
      <w:r w:rsidRPr="009B1312">
        <w:rPr>
          <w:i/>
          <w:iCs/>
          <w:szCs w:val="24"/>
        </w:rPr>
        <w:t>Health Insurance Act 1973</w:t>
      </w:r>
      <w:r w:rsidRPr="009B1312">
        <w:rPr>
          <w:szCs w:val="24"/>
        </w:rPr>
        <w:t>.</w:t>
      </w:r>
    </w:p>
    <w:p w14:paraId="6B7A7974" w14:textId="77777777" w:rsidR="00CF3A01" w:rsidRPr="009B1312" w:rsidRDefault="00CF3A01" w:rsidP="00CF3A01">
      <w:pPr>
        <w:spacing w:before="120" w:after="240" w:line="276" w:lineRule="auto"/>
        <w:rPr>
          <w:b/>
          <w:bCs/>
          <w:szCs w:val="24"/>
        </w:rPr>
      </w:pPr>
      <w:r w:rsidRPr="009B1312">
        <w:rPr>
          <w:b/>
          <w:bCs/>
          <w:i/>
          <w:iCs/>
          <w:szCs w:val="24"/>
        </w:rPr>
        <w:t xml:space="preserve">Health Insurance (Section 3C General Medical Services – Heart Health Assessment No.2) Determination 2019 </w:t>
      </w:r>
      <w:r w:rsidRPr="009B1312">
        <w:rPr>
          <w:b/>
          <w:bCs/>
          <w:szCs w:val="24"/>
        </w:rPr>
        <w:t>(Heart Health Determination)</w:t>
      </w:r>
    </w:p>
    <w:p w14:paraId="54924DFA" w14:textId="18ED2B18" w:rsidR="00CF3A01" w:rsidRPr="009B1312" w:rsidRDefault="00CF3A01" w:rsidP="00CF3A01">
      <w:pPr>
        <w:spacing w:before="120" w:after="240" w:line="276" w:lineRule="auto"/>
        <w:rPr>
          <w:szCs w:val="24"/>
        </w:rPr>
      </w:pPr>
      <w:r w:rsidRPr="009B1312">
        <w:rPr>
          <w:b/>
          <w:bCs/>
          <w:szCs w:val="24"/>
        </w:rPr>
        <w:t xml:space="preserve">Items 1 and 2 </w:t>
      </w:r>
      <w:r w:rsidRPr="009B1312">
        <w:rPr>
          <w:szCs w:val="24"/>
        </w:rPr>
        <w:t>amend Schedule 1 of the Heart Health Determination to apply an indexation factor of 0.5</w:t>
      </w:r>
      <w:r w:rsidR="008F2461" w:rsidRPr="009B1312">
        <w:rPr>
          <w:szCs w:val="24"/>
        </w:rPr>
        <w:t xml:space="preserve"> per cent</w:t>
      </w:r>
      <w:r w:rsidRPr="009B1312">
        <w:rPr>
          <w:szCs w:val="24"/>
        </w:rPr>
        <w:t xml:space="preserve"> to items 699 and 177.</w:t>
      </w:r>
    </w:p>
    <w:p w14:paraId="0BC64CF6" w14:textId="77777777" w:rsidR="00CF3A01" w:rsidRPr="009B1312" w:rsidRDefault="00CF3A01" w:rsidP="00CF3A01">
      <w:pPr>
        <w:spacing w:before="120" w:after="240" w:line="276" w:lineRule="auto"/>
        <w:rPr>
          <w:b/>
          <w:bCs/>
          <w:i/>
          <w:iCs/>
          <w:szCs w:val="24"/>
        </w:rPr>
      </w:pPr>
      <w:r w:rsidRPr="009B1312">
        <w:rPr>
          <w:b/>
          <w:bCs/>
          <w:i/>
          <w:iCs/>
          <w:szCs w:val="24"/>
        </w:rPr>
        <w:t>Health Insurance (Section 3C General Medical Services – Smoking Cessation Services) Determination 2021</w:t>
      </w:r>
      <w:r w:rsidRPr="009B1312">
        <w:rPr>
          <w:b/>
          <w:bCs/>
          <w:shd w:val="clear" w:color="auto" w:fill="FFFFFF"/>
        </w:rPr>
        <w:t xml:space="preserve"> </w:t>
      </w:r>
      <w:r w:rsidRPr="009B1312">
        <w:rPr>
          <w:b/>
          <w:bCs/>
          <w:szCs w:val="24"/>
        </w:rPr>
        <w:t>(Smoking Cessation Determination)</w:t>
      </w:r>
    </w:p>
    <w:p w14:paraId="51832460" w14:textId="1B3DAED7" w:rsidR="00CF3A01" w:rsidRPr="009B1312" w:rsidRDefault="00CF3A01" w:rsidP="00CF3A01">
      <w:pPr>
        <w:spacing w:before="120" w:after="240" w:line="276" w:lineRule="auto"/>
        <w:rPr>
          <w:b/>
          <w:bCs/>
          <w:szCs w:val="24"/>
        </w:rPr>
      </w:pPr>
      <w:r w:rsidRPr="009B1312">
        <w:rPr>
          <w:b/>
          <w:bCs/>
          <w:szCs w:val="24"/>
        </w:rPr>
        <w:t xml:space="preserve">Item 3 </w:t>
      </w:r>
      <w:r w:rsidRPr="009B1312">
        <w:rPr>
          <w:szCs w:val="24"/>
        </w:rPr>
        <w:t>amends the Schedule of the Smoking Cessation Determination to apply an indexation factor of 0.5</w:t>
      </w:r>
      <w:r w:rsidR="008F2461" w:rsidRPr="009B1312">
        <w:rPr>
          <w:szCs w:val="24"/>
        </w:rPr>
        <w:t xml:space="preserve"> per cent</w:t>
      </w:r>
      <w:r w:rsidRPr="009B1312">
        <w:rPr>
          <w:szCs w:val="24"/>
        </w:rPr>
        <w:t xml:space="preserve"> to the items listed in the table.</w:t>
      </w:r>
    </w:p>
    <w:p w14:paraId="2F175AC1" w14:textId="77777777" w:rsidR="00CF3A01" w:rsidRPr="009B1312" w:rsidRDefault="00CF3A01" w:rsidP="00CF3A01">
      <w:pPr>
        <w:spacing w:before="120" w:after="240" w:line="276" w:lineRule="auto"/>
        <w:rPr>
          <w:b/>
          <w:bCs/>
          <w:i/>
          <w:iCs/>
          <w:szCs w:val="24"/>
        </w:rPr>
      </w:pPr>
      <w:r w:rsidRPr="009B1312">
        <w:rPr>
          <w:b/>
          <w:bCs/>
          <w:i/>
          <w:iCs/>
          <w:szCs w:val="24"/>
        </w:rPr>
        <w:t>Health Insurance (Section 3C General Medical Services - Ventral Mesh Rectopexy Services) Determination 2022</w:t>
      </w:r>
      <w:r w:rsidRPr="009B1312">
        <w:rPr>
          <w:b/>
          <w:bCs/>
          <w:szCs w:val="24"/>
        </w:rPr>
        <w:t xml:space="preserve"> (Rectopexy Determination)</w:t>
      </w:r>
    </w:p>
    <w:p w14:paraId="2E017CD3" w14:textId="6428E393" w:rsidR="00CF3A01" w:rsidRPr="009B1312" w:rsidRDefault="00CF3A01" w:rsidP="00CF3A01">
      <w:pPr>
        <w:spacing w:before="120" w:after="240" w:line="276" w:lineRule="auto"/>
        <w:rPr>
          <w:szCs w:val="24"/>
        </w:rPr>
      </w:pPr>
      <w:r w:rsidRPr="009B1312">
        <w:rPr>
          <w:b/>
          <w:bCs/>
          <w:szCs w:val="24"/>
        </w:rPr>
        <w:t>Item</w:t>
      </w:r>
      <w:r w:rsidR="0079437E" w:rsidRPr="009B1312">
        <w:rPr>
          <w:b/>
          <w:bCs/>
          <w:szCs w:val="24"/>
        </w:rPr>
        <w:t>s</w:t>
      </w:r>
      <w:r w:rsidRPr="009B1312">
        <w:rPr>
          <w:b/>
          <w:bCs/>
          <w:szCs w:val="24"/>
        </w:rPr>
        <w:t xml:space="preserve"> 4 </w:t>
      </w:r>
      <w:r w:rsidRPr="009B1312">
        <w:rPr>
          <w:szCs w:val="24"/>
        </w:rPr>
        <w:t>amends the Schedule of the Rectopexy Determination to apply an indexation factor of 0.5</w:t>
      </w:r>
      <w:r w:rsidR="008F2461" w:rsidRPr="009B1312">
        <w:rPr>
          <w:szCs w:val="24"/>
        </w:rPr>
        <w:t xml:space="preserve"> per cent</w:t>
      </w:r>
      <w:r w:rsidRPr="009B1312">
        <w:rPr>
          <w:szCs w:val="24"/>
        </w:rPr>
        <w:t xml:space="preserve"> to the schedule fee for item 32118.</w:t>
      </w:r>
    </w:p>
    <w:p w14:paraId="0A1E74E9" w14:textId="77777777" w:rsidR="00CF3A01" w:rsidRPr="009B1312" w:rsidRDefault="00CF3A01" w:rsidP="00CF3A01">
      <w:pPr>
        <w:spacing w:before="120" w:after="240" w:line="276" w:lineRule="auto"/>
        <w:rPr>
          <w:b/>
          <w:bCs/>
          <w:szCs w:val="24"/>
        </w:rPr>
      </w:pPr>
      <w:r w:rsidRPr="009B1312">
        <w:rPr>
          <w:b/>
          <w:bCs/>
          <w:i/>
          <w:iCs/>
          <w:szCs w:val="24"/>
        </w:rPr>
        <w:t xml:space="preserve">Health Insurance (Section 3C General Medical Services — Artificial Bowel Sphincter Services) Determination 2023 </w:t>
      </w:r>
      <w:r w:rsidRPr="009B1312">
        <w:rPr>
          <w:b/>
          <w:bCs/>
          <w:szCs w:val="24"/>
        </w:rPr>
        <w:t>(Artificial Bowel Determination)</w:t>
      </w:r>
    </w:p>
    <w:p w14:paraId="4D77C258" w14:textId="587C6A4B" w:rsidR="00CF3A01" w:rsidRPr="009B1312" w:rsidRDefault="00CF3A01" w:rsidP="00CF3A01">
      <w:pPr>
        <w:spacing w:before="120" w:after="240" w:line="276" w:lineRule="auto"/>
        <w:rPr>
          <w:szCs w:val="24"/>
        </w:rPr>
      </w:pPr>
      <w:r w:rsidRPr="009B1312">
        <w:rPr>
          <w:b/>
          <w:bCs/>
          <w:szCs w:val="24"/>
        </w:rPr>
        <w:t xml:space="preserve">Item 5 </w:t>
      </w:r>
      <w:r w:rsidRPr="009B1312">
        <w:rPr>
          <w:szCs w:val="24"/>
        </w:rPr>
        <w:t>amends Schedule 1 of the Artificial Bowel Determination to apply an indexation factor of 0.5</w:t>
      </w:r>
      <w:r w:rsidR="008F2461" w:rsidRPr="009B1312">
        <w:rPr>
          <w:szCs w:val="24"/>
        </w:rPr>
        <w:t xml:space="preserve"> per cent</w:t>
      </w:r>
      <w:r w:rsidRPr="009B1312">
        <w:rPr>
          <w:szCs w:val="24"/>
        </w:rPr>
        <w:t xml:space="preserve"> to the schedule fee for item 32221.</w:t>
      </w:r>
    </w:p>
    <w:p w14:paraId="0667908D" w14:textId="77777777" w:rsidR="00CF3A01" w:rsidRPr="009B1312" w:rsidRDefault="00CF3A01" w:rsidP="00CF3A01">
      <w:pPr>
        <w:spacing w:before="120" w:after="240" w:line="276" w:lineRule="auto"/>
        <w:rPr>
          <w:b/>
          <w:bCs/>
          <w:szCs w:val="24"/>
        </w:rPr>
      </w:pPr>
      <w:r w:rsidRPr="009B1312">
        <w:rPr>
          <w:b/>
          <w:bCs/>
          <w:i/>
          <w:iCs/>
          <w:szCs w:val="24"/>
        </w:rPr>
        <w:t xml:space="preserve">Health Insurance (Section 3C General Medical Services – Removal of Single Tumour, Lipoma or Cyst) Determination 2023 </w:t>
      </w:r>
      <w:r w:rsidRPr="009B1312">
        <w:rPr>
          <w:b/>
          <w:bCs/>
          <w:szCs w:val="24"/>
        </w:rPr>
        <w:t>(Removal of Single Cyst Determination)</w:t>
      </w:r>
    </w:p>
    <w:p w14:paraId="4E2117E3" w14:textId="7139E681" w:rsidR="00CF3A01" w:rsidRPr="009B1312" w:rsidRDefault="00CF3A01" w:rsidP="00CF3A01">
      <w:pPr>
        <w:spacing w:before="120" w:after="240" w:line="276" w:lineRule="auto"/>
        <w:rPr>
          <w:szCs w:val="24"/>
        </w:rPr>
      </w:pPr>
      <w:r w:rsidRPr="009B1312">
        <w:rPr>
          <w:b/>
          <w:bCs/>
          <w:szCs w:val="24"/>
        </w:rPr>
        <w:t xml:space="preserve">Item 6 </w:t>
      </w:r>
      <w:r w:rsidRPr="009B1312">
        <w:rPr>
          <w:szCs w:val="24"/>
        </w:rPr>
        <w:t>amends the Schedule of the Removal of Single Cyst Determination to apply an indexation factor of 0.5</w:t>
      </w:r>
      <w:r w:rsidR="008F2461" w:rsidRPr="009B1312">
        <w:rPr>
          <w:szCs w:val="24"/>
        </w:rPr>
        <w:t xml:space="preserve"> per cent</w:t>
      </w:r>
      <w:r w:rsidRPr="009B1312">
        <w:rPr>
          <w:szCs w:val="24"/>
        </w:rPr>
        <w:t xml:space="preserve"> to the schedule fee for item 31227.</w:t>
      </w:r>
    </w:p>
    <w:p w14:paraId="669E2ED0" w14:textId="77777777" w:rsidR="00CF3A01" w:rsidRPr="009B1312" w:rsidRDefault="00CF3A01" w:rsidP="00CF3A01">
      <w:pPr>
        <w:spacing w:before="120" w:after="240" w:line="276" w:lineRule="auto"/>
        <w:rPr>
          <w:b/>
          <w:bCs/>
          <w:szCs w:val="24"/>
        </w:rPr>
      </w:pPr>
      <w:r w:rsidRPr="009B1312">
        <w:rPr>
          <w:b/>
          <w:bCs/>
          <w:i/>
          <w:iCs/>
          <w:szCs w:val="24"/>
        </w:rPr>
        <w:t xml:space="preserve">Health Insurance (Section 3C Diagnostic Imaging Services – Whole Body Magnetic Resonance Imaging Scan) Determination 2022 </w:t>
      </w:r>
      <w:r w:rsidRPr="009B1312">
        <w:rPr>
          <w:b/>
          <w:bCs/>
          <w:szCs w:val="24"/>
        </w:rPr>
        <w:t>(Magnetic Resonance Imaging Determination)</w:t>
      </w:r>
    </w:p>
    <w:p w14:paraId="5D76C91D" w14:textId="010EDC2B" w:rsidR="00CF3A01" w:rsidRPr="009B1312" w:rsidRDefault="00CF3A01" w:rsidP="00CF3A01">
      <w:pPr>
        <w:spacing w:before="120" w:after="240" w:line="276" w:lineRule="auto"/>
        <w:rPr>
          <w:szCs w:val="24"/>
        </w:rPr>
      </w:pPr>
      <w:bookmarkStart w:id="4" w:name="_Hlk140567715"/>
      <w:r w:rsidRPr="009B1312">
        <w:rPr>
          <w:b/>
          <w:bCs/>
          <w:szCs w:val="24"/>
        </w:rPr>
        <w:lastRenderedPageBreak/>
        <w:t>Item 7 </w:t>
      </w:r>
      <w:r w:rsidRPr="009B1312">
        <w:rPr>
          <w:szCs w:val="24"/>
        </w:rPr>
        <w:t xml:space="preserve">amends the Schedule of the </w:t>
      </w:r>
      <w:bookmarkEnd w:id="4"/>
      <w:r w:rsidRPr="009B1312">
        <w:rPr>
          <w:szCs w:val="24"/>
        </w:rPr>
        <w:t>Magnetic Resonance Imaging Determination to apply an indexation factor of 0.5</w:t>
      </w:r>
      <w:r w:rsidR="008F2461" w:rsidRPr="009B1312">
        <w:rPr>
          <w:szCs w:val="24"/>
        </w:rPr>
        <w:t xml:space="preserve"> per cent</w:t>
      </w:r>
      <w:r w:rsidRPr="009B1312">
        <w:rPr>
          <w:szCs w:val="24"/>
        </w:rPr>
        <w:t xml:space="preserve"> the schedule fee for item 63564.</w:t>
      </w:r>
    </w:p>
    <w:p w14:paraId="3B6EB191" w14:textId="50F1FBAB" w:rsidR="00BE49C5" w:rsidRPr="009B1312" w:rsidRDefault="00BE49C5" w:rsidP="00CF3A01">
      <w:pPr>
        <w:spacing w:before="120" w:after="240" w:line="276" w:lineRule="auto"/>
        <w:rPr>
          <w:b/>
          <w:bCs/>
          <w:szCs w:val="24"/>
        </w:rPr>
      </w:pPr>
      <w:bookmarkStart w:id="5" w:name="_Toc140567452"/>
      <w:r w:rsidRPr="009B1312">
        <w:rPr>
          <w:b/>
          <w:bCs/>
          <w:i/>
          <w:iCs/>
          <w:szCs w:val="24"/>
        </w:rPr>
        <w:t>Health Insurance (General Practice COVID-19 Treatment) Determination 2022</w:t>
      </w:r>
      <w:bookmarkEnd w:id="5"/>
      <w:r w:rsidR="001A65BB" w:rsidRPr="009B1312">
        <w:rPr>
          <w:b/>
          <w:bCs/>
          <w:szCs w:val="24"/>
        </w:rPr>
        <w:t xml:space="preserve"> (GP COVID Treatment Determination)</w:t>
      </w:r>
    </w:p>
    <w:p w14:paraId="2D68A3E8" w14:textId="3AAAD178" w:rsidR="00A666CA" w:rsidRPr="009B1312" w:rsidRDefault="00BE49C5" w:rsidP="00A666CA">
      <w:pPr>
        <w:spacing w:after="200" w:line="276" w:lineRule="auto"/>
        <w:rPr>
          <w:szCs w:val="24"/>
        </w:rPr>
      </w:pPr>
      <w:r w:rsidRPr="009B1312">
        <w:rPr>
          <w:b/>
          <w:bCs/>
          <w:szCs w:val="24"/>
        </w:rPr>
        <w:t>Item 8 </w:t>
      </w:r>
      <w:r w:rsidRPr="009B1312">
        <w:rPr>
          <w:szCs w:val="24"/>
        </w:rPr>
        <w:t>amends the Schedule of the</w:t>
      </w:r>
      <w:r w:rsidR="001A65BB" w:rsidRPr="009B1312">
        <w:rPr>
          <w:szCs w:val="24"/>
        </w:rPr>
        <w:t xml:space="preserve"> GP COVID Treatment Determination to apply an indexation factor of 0.5</w:t>
      </w:r>
      <w:r w:rsidR="008F2461" w:rsidRPr="009B1312">
        <w:rPr>
          <w:szCs w:val="24"/>
        </w:rPr>
        <w:t xml:space="preserve"> per cent</w:t>
      </w:r>
      <w:r w:rsidR="001A65BB" w:rsidRPr="009B1312">
        <w:rPr>
          <w:szCs w:val="24"/>
        </w:rPr>
        <w:t xml:space="preserve"> the schedule fee for item 93716.</w:t>
      </w:r>
    </w:p>
    <w:p w14:paraId="6052BC4B" w14:textId="44843ED4" w:rsidR="00177BE6" w:rsidRPr="009B1312" w:rsidRDefault="00177BE6" w:rsidP="00177BE6">
      <w:pPr>
        <w:spacing w:before="120" w:after="240" w:line="276" w:lineRule="auto"/>
        <w:rPr>
          <w:b/>
          <w:bCs/>
          <w:i/>
          <w:iCs/>
          <w:szCs w:val="24"/>
        </w:rPr>
      </w:pPr>
      <w:r w:rsidRPr="009B1312">
        <w:rPr>
          <w:b/>
          <w:bCs/>
          <w:i/>
          <w:iCs/>
          <w:szCs w:val="24"/>
        </w:rPr>
        <w:t xml:space="preserve">Health Insurance (Section 3C General Medical Services – General Practice Attendance for Assessing Patient Suitability for a COVID-19 Vaccine) Determination 2021 </w:t>
      </w:r>
      <w:r w:rsidRPr="009B1312">
        <w:rPr>
          <w:b/>
          <w:bCs/>
          <w:szCs w:val="24"/>
        </w:rPr>
        <w:t>(COVID Vaccine Suitability Determination)</w:t>
      </w:r>
      <w:r w:rsidRPr="009B1312">
        <w:rPr>
          <w:b/>
          <w:bCs/>
          <w:szCs w:val="24"/>
        </w:rPr>
        <w:tab/>
      </w:r>
    </w:p>
    <w:p w14:paraId="3E1BD95E" w14:textId="24D41877" w:rsidR="00177BE6" w:rsidRPr="009B1312" w:rsidRDefault="00177BE6" w:rsidP="00177BE6">
      <w:pPr>
        <w:spacing w:before="120" w:after="240" w:line="276" w:lineRule="auto"/>
        <w:rPr>
          <w:b/>
          <w:bCs/>
          <w:szCs w:val="24"/>
        </w:rPr>
      </w:pPr>
      <w:r w:rsidRPr="009B1312">
        <w:rPr>
          <w:b/>
          <w:bCs/>
          <w:szCs w:val="24"/>
        </w:rPr>
        <w:t xml:space="preserve">Item 9 </w:t>
      </w:r>
      <w:r w:rsidRPr="009B1312">
        <w:rPr>
          <w:szCs w:val="24"/>
        </w:rPr>
        <w:t>amends </w:t>
      </w:r>
      <w:r w:rsidR="0072370E" w:rsidRPr="009B1312">
        <w:rPr>
          <w:szCs w:val="24"/>
        </w:rPr>
        <w:t>s</w:t>
      </w:r>
      <w:r w:rsidRPr="009B1312">
        <w:rPr>
          <w:szCs w:val="24"/>
        </w:rPr>
        <w:t>ubsection 9(1) of the COVID Vaccine Suitability Determination to apply an indexation factor of 0.5</w:t>
      </w:r>
      <w:r w:rsidR="008F2461" w:rsidRPr="009B1312">
        <w:rPr>
          <w:szCs w:val="24"/>
        </w:rPr>
        <w:t xml:space="preserve"> per cent</w:t>
      </w:r>
      <w:r w:rsidRPr="009B1312">
        <w:rPr>
          <w:szCs w:val="24"/>
        </w:rPr>
        <w:t xml:space="preserve"> to the first patient during each attendance fee</w:t>
      </w:r>
      <w:r w:rsidRPr="009B1312">
        <w:rPr>
          <w:b/>
          <w:bCs/>
          <w:szCs w:val="24"/>
        </w:rPr>
        <w:t>.</w:t>
      </w:r>
    </w:p>
    <w:p w14:paraId="202BF947" w14:textId="6796DB70" w:rsidR="0025674B" w:rsidRPr="009B1312" w:rsidRDefault="0025674B" w:rsidP="00177BE6">
      <w:pPr>
        <w:spacing w:before="120" w:after="240" w:line="276" w:lineRule="auto"/>
        <w:rPr>
          <w:b/>
          <w:bCs/>
          <w:szCs w:val="24"/>
        </w:rPr>
      </w:pPr>
      <w:r w:rsidRPr="009B1312">
        <w:rPr>
          <w:b/>
          <w:bCs/>
          <w:szCs w:val="24"/>
        </w:rPr>
        <w:t xml:space="preserve">Items 10 </w:t>
      </w:r>
      <w:r w:rsidRPr="009B1312">
        <w:rPr>
          <w:szCs w:val="24"/>
        </w:rPr>
        <w:t>amends</w:t>
      </w:r>
      <w:r w:rsidR="003B7A1A" w:rsidRPr="009B1312">
        <w:rPr>
          <w:szCs w:val="24"/>
        </w:rPr>
        <w:t xml:space="preserve"> </w:t>
      </w:r>
      <w:r w:rsidR="0072370E" w:rsidRPr="009B1312">
        <w:rPr>
          <w:szCs w:val="24"/>
        </w:rPr>
        <w:t>s</w:t>
      </w:r>
      <w:r w:rsidR="003B7A1A" w:rsidRPr="009B1312">
        <w:rPr>
          <w:szCs w:val="24"/>
        </w:rPr>
        <w:t xml:space="preserve">ubsection 10(1) </w:t>
      </w:r>
      <w:r w:rsidR="008F525D" w:rsidRPr="009B1312">
        <w:rPr>
          <w:szCs w:val="24"/>
        </w:rPr>
        <w:t xml:space="preserve">of the COVID Vaccine Suitability Determination </w:t>
      </w:r>
      <w:r w:rsidR="003B7A1A" w:rsidRPr="009B1312">
        <w:rPr>
          <w:szCs w:val="24"/>
        </w:rPr>
        <w:t>to change</w:t>
      </w:r>
      <w:r w:rsidRPr="009B1312">
        <w:rPr>
          <w:szCs w:val="24"/>
        </w:rPr>
        <w:t xml:space="preserve"> the indexation provision</w:t>
      </w:r>
      <w:r w:rsidR="003B7A1A" w:rsidRPr="009B1312">
        <w:rPr>
          <w:szCs w:val="24"/>
        </w:rPr>
        <w:t xml:space="preserve"> </w:t>
      </w:r>
      <w:r w:rsidRPr="009B1312">
        <w:rPr>
          <w:szCs w:val="24"/>
        </w:rPr>
        <w:t xml:space="preserve">to apply indexation </w:t>
      </w:r>
      <w:r w:rsidR="007F173A" w:rsidRPr="009B1312">
        <w:rPr>
          <w:szCs w:val="24"/>
        </w:rPr>
        <w:t xml:space="preserve">at the </w:t>
      </w:r>
      <w:r w:rsidRPr="009B1312">
        <w:rPr>
          <w:szCs w:val="24"/>
        </w:rPr>
        <w:t>rate of 0.5</w:t>
      </w:r>
      <w:r w:rsidR="008F2461" w:rsidRPr="009B1312">
        <w:rPr>
          <w:szCs w:val="24"/>
        </w:rPr>
        <w:t xml:space="preserve"> per cent</w:t>
      </w:r>
      <w:r w:rsidRPr="009B1312">
        <w:rPr>
          <w:szCs w:val="24"/>
        </w:rPr>
        <w:t xml:space="preserve"> to the schedule fees</w:t>
      </w:r>
      <w:r w:rsidR="003B7A1A" w:rsidRPr="009B1312">
        <w:rPr>
          <w:szCs w:val="24"/>
        </w:rPr>
        <w:t>.</w:t>
      </w:r>
    </w:p>
    <w:p w14:paraId="7316A0A4" w14:textId="77777777" w:rsidR="00177BE6" w:rsidRPr="009B1312" w:rsidRDefault="00177BE6" w:rsidP="00A666CA">
      <w:pPr>
        <w:spacing w:after="200" w:line="276" w:lineRule="auto"/>
        <w:rPr>
          <w:b/>
          <w:sz w:val="28"/>
          <w:szCs w:val="28"/>
        </w:rPr>
      </w:pPr>
    </w:p>
    <w:p w14:paraId="2264D7F8" w14:textId="77777777" w:rsidR="00A666CA" w:rsidRPr="009B1312" w:rsidRDefault="00A666CA" w:rsidP="00A666CA">
      <w:pPr>
        <w:spacing w:after="200" w:line="276" w:lineRule="auto"/>
        <w:rPr>
          <w:b/>
          <w:sz w:val="28"/>
          <w:szCs w:val="28"/>
        </w:rPr>
      </w:pPr>
      <w:r w:rsidRPr="009B1312">
        <w:rPr>
          <w:b/>
          <w:sz w:val="28"/>
          <w:szCs w:val="28"/>
        </w:rPr>
        <w:br w:type="page"/>
      </w:r>
    </w:p>
    <w:p w14:paraId="11BE1306" w14:textId="77777777" w:rsidR="00A666CA" w:rsidRPr="009B1312" w:rsidRDefault="00A666CA" w:rsidP="00A666CA">
      <w:pPr>
        <w:pStyle w:val="Header"/>
        <w:tabs>
          <w:tab w:val="num" w:pos="1080"/>
        </w:tabs>
        <w:jc w:val="center"/>
        <w:rPr>
          <w:b/>
          <w:sz w:val="28"/>
          <w:szCs w:val="28"/>
        </w:rPr>
      </w:pPr>
      <w:r w:rsidRPr="009B1312">
        <w:rPr>
          <w:b/>
          <w:sz w:val="28"/>
          <w:szCs w:val="28"/>
        </w:rPr>
        <w:lastRenderedPageBreak/>
        <w:t>Statement of Compatibility with Human Rights</w:t>
      </w:r>
    </w:p>
    <w:p w14:paraId="43EC7D0F" w14:textId="77777777" w:rsidR="00A666CA" w:rsidRPr="009B1312" w:rsidRDefault="00A666CA" w:rsidP="00A666CA">
      <w:pPr>
        <w:spacing w:before="120" w:after="120"/>
        <w:jc w:val="center"/>
        <w:rPr>
          <w:szCs w:val="24"/>
        </w:rPr>
      </w:pPr>
      <w:r w:rsidRPr="009B1312">
        <w:rPr>
          <w:i/>
          <w:szCs w:val="24"/>
        </w:rPr>
        <w:t>Prepared in accordance with Part 3 of the Human Rights (Parliamentary Scrutiny) Act 2011</w:t>
      </w:r>
    </w:p>
    <w:p w14:paraId="628684E9" w14:textId="77777777" w:rsidR="00A666CA" w:rsidRPr="009B1312" w:rsidRDefault="00A666CA" w:rsidP="00A666CA">
      <w:pPr>
        <w:tabs>
          <w:tab w:val="left" w:pos="1418"/>
        </w:tabs>
        <w:ind w:left="851"/>
        <w:jc w:val="center"/>
        <w:rPr>
          <w:b/>
          <w:i/>
          <w:iCs/>
        </w:rPr>
      </w:pPr>
    </w:p>
    <w:p w14:paraId="5DA5BE07" w14:textId="114D8D07" w:rsidR="00A666CA" w:rsidRPr="009B1312" w:rsidRDefault="00F24BBF" w:rsidP="00A666CA">
      <w:pPr>
        <w:tabs>
          <w:tab w:val="left" w:pos="1418"/>
        </w:tabs>
        <w:jc w:val="center"/>
        <w:rPr>
          <w:bCs/>
          <w:i/>
          <w:iCs/>
        </w:rPr>
      </w:pPr>
      <w:r w:rsidRPr="009B1312">
        <w:rPr>
          <w:i/>
          <w:iCs/>
          <w:szCs w:val="24"/>
        </w:rPr>
        <w:t>Health Insurance Legislation Amendment (Indexation No. 2) Determination 2023</w:t>
      </w:r>
    </w:p>
    <w:p w14:paraId="3A77F526" w14:textId="77777777" w:rsidR="00A666CA" w:rsidRPr="009B1312" w:rsidRDefault="00A666CA" w:rsidP="00A666CA">
      <w:pPr>
        <w:tabs>
          <w:tab w:val="left" w:pos="1418"/>
        </w:tabs>
        <w:ind w:left="851"/>
        <w:jc w:val="center"/>
        <w:rPr>
          <w:b/>
          <w:i/>
          <w:szCs w:val="24"/>
        </w:rPr>
      </w:pPr>
    </w:p>
    <w:p w14:paraId="74CDE506" w14:textId="1BA5BC32" w:rsidR="00A666CA" w:rsidRPr="009B1312" w:rsidRDefault="00A666CA" w:rsidP="00A666CA">
      <w:pPr>
        <w:rPr>
          <w:szCs w:val="24"/>
        </w:rPr>
      </w:pPr>
      <w:r w:rsidRPr="009B1312">
        <w:rPr>
          <w:szCs w:val="24"/>
        </w:rPr>
        <w:t xml:space="preserve">This instrument is compatible with the human rights and freedoms recognised or declared in the international instruments listed in section 3 of the </w:t>
      </w:r>
      <w:r w:rsidRPr="009B1312">
        <w:rPr>
          <w:i/>
          <w:szCs w:val="24"/>
        </w:rPr>
        <w:t>Human Rights (Parliamentary Scrutiny) Act 2011</w:t>
      </w:r>
      <w:r w:rsidRPr="009B1312">
        <w:rPr>
          <w:szCs w:val="24"/>
        </w:rPr>
        <w:t>.</w:t>
      </w:r>
    </w:p>
    <w:p w14:paraId="19D8113E" w14:textId="77777777" w:rsidR="00A666CA" w:rsidRPr="009B1312" w:rsidRDefault="00A666CA" w:rsidP="00A666CA">
      <w:pPr>
        <w:spacing w:before="120" w:after="120"/>
        <w:rPr>
          <w:b/>
          <w:szCs w:val="24"/>
        </w:rPr>
      </w:pPr>
      <w:r w:rsidRPr="009B1312">
        <w:rPr>
          <w:b/>
          <w:szCs w:val="24"/>
        </w:rPr>
        <w:t>Overview of the Determination</w:t>
      </w:r>
    </w:p>
    <w:p w14:paraId="1C82B8F0" w14:textId="793F299A" w:rsidR="004E5DEB" w:rsidRPr="009B1312" w:rsidRDefault="004E5DEB" w:rsidP="004E5DEB">
      <w:r w:rsidRPr="009B1312">
        <w:rPr>
          <w:szCs w:val="24"/>
        </w:rPr>
        <w:t>On 1 July 2023, annual fee indexation of 3.6</w:t>
      </w:r>
      <w:r w:rsidR="008F2461" w:rsidRPr="009B1312">
        <w:rPr>
          <w:szCs w:val="24"/>
        </w:rPr>
        <w:t xml:space="preserve"> per cent</w:t>
      </w:r>
      <w:r w:rsidRPr="009B1312">
        <w:rPr>
          <w:szCs w:val="24"/>
        </w:rPr>
        <w:t xml:space="preserve"> was applied to most services under the Medicare Benefits Schedule (MBS). On 9 May 2023, as part of the 2023-24 Budget, the Government announced changes to the </w:t>
      </w:r>
      <w:r w:rsidRPr="009B1312">
        <w:t xml:space="preserve">indexation methodology applying to Government programs, including the MBS, to better align with changes in economic conditions. </w:t>
      </w:r>
    </w:p>
    <w:p w14:paraId="5DFD952B" w14:textId="77777777" w:rsidR="004E5DEB" w:rsidRPr="009B1312" w:rsidRDefault="004E5DEB" w:rsidP="004E5DEB"/>
    <w:p w14:paraId="6450857C" w14:textId="77777777" w:rsidR="004E5DEB" w:rsidRPr="009B1312" w:rsidRDefault="004E5DEB" w:rsidP="004E5DEB">
      <w:pPr>
        <w:rPr>
          <w:szCs w:val="24"/>
        </w:rPr>
      </w:pPr>
      <w:r w:rsidRPr="009B1312">
        <w:rPr>
          <w:szCs w:val="24"/>
        </w:rPr>
        <w:t>The purpose of the </w:t>
      </w:r>
      <w:r w:rsidRPr="009B1312">
        <w:rPr>
          <w:i/>
          <w:iCs/>
          <w:szCs w:val="24"/>
        </w:rPr>
        <w:t>Health Insurance Legislation Amendment (Indexation No. 2) Determination 2023</w:t>
      </w:r>
      <w:r w:rsidRPr="009B1312">
        <w:rPr>
          <w:szCs w:val="24"/>
        </w:rPr>
        <w:t> (the Determination) is to increase the fees for relevant MBS items by applying an indexation rate of 0.5 per cent from 1 November 2023, to align these MBS services with the updated indexation methodology. This increase of the schedule fees means that patients will receive an increased Medicare benefit for the affected services.</w:t>
      </w:r>
    </w:p>
    <w:p w14:paraId="1803AA33" w14:textId="77777777" w:rsidR="00303EFD" w:rsidRPr="009B1312" w:rsidRDefault="00303EFD" w:rsidP="00303EFD">
      <w:pPr>
        <w:rPr>
          <w:szCs w:val="24"/>
        </w:rPr>
      </w:pPr>
    </w:p>
    <w:p w14:paraId="5FA5350D" w14:textId="77777777" w:rsidR="00303EFD" w:rsidRPr="009B1312" w:rsidRDefault="00303EFD" w:rsidP="00303EFD">
      <w:pPr>
        <w:shd w:val="clear" w:color="auto" w:fill="FFFFFF"/>
        <w:contextualSpacing/>
        <w:rPr>
          <w:szCs w:val="24"/>
        </w:rPr>
      </w:pPr>
      <w:r w:rsidRPr="009B1312">
        <w:rPr>
          <w:szCs w:val="24"/>
        </w:rPr>
        <w:t>Schedule 1 of this instrument amends the indexation provisions for the following instruments:</w:t>
      </w:r>
    </w:p>
    <w:p w14:paraId="5FF11B59" w14:textId="77777777" w:rsidR="00303EFD" w:rsidRPr="009B1312" w:rsidRDefault="00303EFD" w:rsidP="00303EFD">
      <w:pPr>
        <w:pStyle w:val="ListParagraph"/>
        <w:numPr>
          <w:ilvl w:val="0"/>
          <w:numId w:val="40"/>
        </w:numPr>
        <w:shd w:val="clear" w:color="auto" w:fill="FFFFFF"/>
        <w:rPr>
          <w:i/>
          <w:iCs/>
          <w:szCs w:val="24"/>
        </w:rPr>
      </w:pPr>
      <w:r w:rsidRPr="009B1312">
        <w:rPr>
          <w:i/>
          <w:iCs/>
          <w:szCs w:val="24"/>
        </w:rPr>
        <w:t>Health Insurance (Section 3C General Medical Services –Transcatheter Aortic Valve Implantation) Determination 2018</w:t>
      </w:r>
      <w:r w:rsidRPr="009B1312">
        <w:rPr>
          <w:szCs w:val="24"/>
        </w:rPr>
        <w:t>;</w:t>
      </w:r>
    </w:p>
    <w:p w14:paraId="3FB30730"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 xml:space="preserve">Health Insurance (Section 3C General Medical Services – Botox, Dysport or </w:t>
      </w:r>
      <w:proofErr w:type="spellStart"/>
      <w:r w:rsidRPr="009B1312">
        <w:rPr>
          <w:i/>
          <w:iCs/>
          <w:szCs w:val="24"/>
        </w:rPr>
        <w:t>Xeomin</w:t>
      </w:r>
      <w:proofErr w:type="spellEnd"/>
      <w:r w:rsidRPr="009B1312">
        <w:rPr>
          <w:i/>
          <w:iCs/>
          <w:szCs w:val="24"/>
        </w:rPr>
        <w:t xml:space="preserve"> Injection) Determination 2020</w:t>
      </w:r>
      <w:r w:rsidRPr="009B1312">
        <w:rPr>
          <w:szCs w:val="24"/>
        </w:rPr>
        <w:t>;</w:t>
      </w:r>
    </w:p>
    <w:p w14:paraId="52279ED1"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Optometric Services) Determination 2020</w:t>
      </w:r>
      <w:r w:rsidRPr="009B1312">
        <w:rPr>
          <w:i/>
          <w:iCs/>
          <w:szCs w:val="24"/>
        </w:rPr>
        <w:tab/>
      </w:r>
      <w:r w:rsidRPr="009B1312">
        <w:rPr>
          <w:szCs w:val="24"/>
        </w:rPr>
        <w:t>;</w:t>
      </w:r>
    </w:p>
    <w:p w14:paraId="5504A4B8"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Midwife and Nurse Practitioner Services) Determination 2020</w:t>
      </w:r>
      <w:r w:rsidRPr="009B1312">
        <w:rPr>
          <w:szCs w:val="24"/>
        </w:rPr>
        <w:t>;</w:t>
      </w:r>
    </w:p>
    <w:p w14:paraId="2E301D28"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Extracorporeal Photopheresis) Determination 2020</w:t>
      </w:r>
      <w:r w:rsidRPr="009B1312">
        <w:rPr>
          <w:szCs w:val="24"/>
        </w:rPr>
        <w:t>;</w:t>
      </w:r>
    </w:p>
    <w:p w14:paraId="06DB5A1B"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Botox Injection) Determination 2020</w:t>
      </w:r>
      <w:r w:rsidRPr="009B1312">
        <w:rPr>
          <w:szCs w:val="24"/>
        </w:rPr>
        <w:t>;</w:t>
      </w:r>
    </w:p>
    <w:p w14:paraId="281C77BB"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Services—Transcatheter Mitral Valve Repair) Determination 2021</w:t>
      </w:r>
      <w:r w:rsidRPr="009B1312">
        <w:rPr>
          <w:szCs w:val="24"/>
        </w:rPr>
        <w:t>;</w:t>
      </w:r>
    </w:p>
    <w:p w14:paraId="672A0411"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Diagnostic Imaging – Cardiac MRI for Myocarditis) Determination 2021</w:t>
      </w:r>
      <w:r w:rsidRPr="009B1312">
        <w:rPr>
          <w:szCs w:val="24"/>
        </w:rPr>
        <w:t>;</w:t>
      </w:r>
    </w:p>
    <w:p w14:paraId="51EAF6C9"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(Section 3C General Medical Services – Extracorporeal Photopheresis for Chronic Graft Versus Host Disease) Determination 2022</w:t>
      </w:r>
      <w:r w:rsidRPr="009B1312">
        <w:rPr>
          <w:szCs w:val="24"/>
        </w:rPr>
        <w:t>; and</w:t>
      </w:r>
    </w:p>
    <w:p w14:paraId="3E0A6B77" w14:textId="77777777" w:rsidR="00303EFD" w:rsidRPr="009B1312" w:rsidRDefault="00303EFD" w:rsidP="00303EFD">
      <w:pPr>
        <w:pStyle w:val="ListParagraph"/>
        <w:numPr>
          <w:ilvl w:val="0"/>
          <w:numId w:val="40"/>
        </w:numPr>
        <w:shd w:val="clear" w:color="auto" w:fill="FFFFFF"/>
        <w:spacing w:before="100" w:beforeAutospacing="1"/>
        <w:rPr>
          <w:i/>
          <w:iCs/>
          <w:szCs w:val="24"/>
        </w:rPr>
      </w:pPr>
      <w:r w:rsidRPr="009B1312">
        <w:rPr>
          <w:i/>
          <w:iCs/>
          <w:szCs w:val="24"/>
        </w:rPr>
        <w:t>Health Insurance (Allied Health Services) Determination 2014</w:t>
      </w:r>
      <w:r w:rsidRPr="009B1312">
        <w:rPr>
          <w:szCs w:val="24"/>
        </w:rPr>
        <w:t>.</w:t>
      </w:r>
    </w:p>
    <w:p w14:paraId="30C98408" w14:textId="77777777" w:rsidR="00303EFD" w:rsidRPr="009B1312" w:rsidRDefault="00303EFD" w:rsidP="00303EFD">
      <w:pPr>
        <w:pStyle w:val="ListParagraph"/>
        <w:shd w:val="clear" w:color="auto" w:fill="FFFFFF"/>
        <w:spacing w:before="100" w:beforeAutospacing="1"/>
        <w:rPr>
          <w:i/>
          <w:iCs/>
          <w:szCs w:val="24"/>
        </w:rPr>
      </w:pPr>
    </w:p>
    <w:p w14:paraId="3DDAEB8B" w14:textId="77777777" w:rsidR="00303EFD" w:rsidRPr="009B1312" w:rsidRDefault="00303EFD" w:rsidP="00303EFD">
      <w:pPr>
        <w:shd w:val="clear" w:color="auto" w:fill="FFFFFF"/>
        <w:contextualSpacing/>
        <w:rPr>
          <w:szCs w:val="24"/>
        </w:rPr>
      </w:pPr>
      <w:r w:rsidRPr="009B1312">
        <w:rPr>
          <w:szCs w:val="24"/>
        </w:rPr>
        <w:t>Schedule 2 of this instrument applies an indexation rate of 0.5 per cent to relevant MBS items in the following instruments:</w:t>
      </w:r>
      <w:r w:rsidRPr="009B1312">
        <w:rPr>
          <w:i/>
          <w:iCs/>
          <w:szCs w:val="24"/>
        </w:rPr>
        <w:tab/>
      </w:r>
    </w:p>
    <w:p w14:paraId="128AF5A9" w14:textId="77777777" w:rsidR="00303EFD" w:rsidRPr="009B1312" w:rsidRDefault="00303EFD" w:rsidP="00303EFD">
      <w:pPr>
        <w:pStyle w:val="ListParagraph"/>
        <w:numPr>
          <w:ilvl w:val="0"/>
          <w:numId w:val="38"/>
        </w:numPr>
        <w:shd w:val="clear" w:color="auto" w:fill="FFFFFF"/>
        <w:rPr>
          <w:i/>
          <w:iCs/>
          <w:szCs w:val="24"/>
        </w:rPr>
      </w:pPr>
      <w:r w:rsidRPr="009B1312">
        <w:rPr>
          <w:i/>
          <w:iCs/>
          <w:szCs w:val="24"/>
        </w:rPr>
        <w:t>Health Insurance (Section 3C General Medical Services – Heart Health Assessment No.2) Determination 2019</w:t>
      </w:r>
      <w:r w:rsidRPr="009B1312">
        <w:rPr>
          <w:szCs w:val="24"/>
        </w:rPr>
        <w:t>;</w:t>
      </w:r>
    </w:p>
    <w:p w14:paraId="77FF16C7" w14:textId="569609AD" w:rsidR="00303EFD" w:rsidRPr="009B1312" w:rsidRDefault="00303EFD" w:rsidP="00303EFD">
      <w:pPr>
        <w:pStyle w:val="ListParagraph"/>
        <w:numPr>
          <w:ilvl w:val="0"/>
          <w:numId w:val="38"/>
        </w:numPr>
        <w:shd w:val="clear" w:color="auto" w:fill="FFFFFF"/>
        <w:spacing w:before="100" w:beforeAutospacing="1"/>
        <w:rPr>
          <w:i/>
          <w:iCs/>
          <w:szCs w:val="24"/>
        </w:rPr>
      </w:pPr>
      <w:r w:rsidRPr="009B1312">
        <w:rPr>
          <w:i/>
          <w:iCs/>
          <w:szCs w:val="24"/>
        </w:rPr>
        <w:lastRenderedPageBreak/>
        <w:t xml:space="preserve">Health Insurance (Section 3C General Medical Services – Smoking Cessation Services) Determination </w:t>
      </w:r>
      <w:proofErr w:type="gramStart"/>
      <w:r w:rsidRPr="009B1312">
        <w:rPr>
          <w:i/>
          <w:iCs/>
          <w:szCs w:val="24"/>
        </w:rPr>
        <w:t>2021</w:t>
      </w:r>
      <w:r w:rsidRPr="009B1312">
        <w:rPr>
          <w:szCs w:val="24"/>
        </w:rPr>
        <w:t>;</w:t>
      </w:r>
      <w:proofErr w:type="gramEnd"/>
    </w:p>
    <w:p w14:paraId="1019CDF3" w14:textId="77777777" w:rsidR="00303EFD" w:rsidRPr="009B1312" w:rsidRDefault="00303EFD" w:rsidP="00303EFD">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Ventral Mesh Rectopexy Services) Determination 2022</w:t>
      </w:r>
      <w:r w:rsidRPr="009B1312">
        <w:rPr>
          <w:szCs w:val="24"/>
        </w:rPr>
        <w:t>;</w:t>
      </w:r>
    </w:p>
    <w:p w14:paraId="48FEAE48" w14:textId="77777777" w:rsidR="00303EFD" w:rsidRPr="009B1312" w:rsidRDefault="00303EFD" w:rsidP="00303EFD">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Artificial Bowel Sphincter Services) Determination 2023</w:t>
      </w:r>
      <w:r w:rsidRPr="009B1312">
        <w:rPr>
          <w:szCs w:val="24"/>
        </w:rPr>
        <w:t>;</w:t>
      </w:r>
    </w:p>
    <w:p w14:paraId="6D70D32D" w14:textId="77777777" w:rsidR="00303EFD" w:rsidRPr="009B1312" w:rsidRDefault="00303EFD" w:rsidP="00303EFD">
      <w:pPr>
        <w:pStyle w:val="ListParagraph"/>
        <w:numPr>
          <w:ilvl w:val="0"/>
          <w:numId w:val="38"/>
        </w:numPr>
        <w:shd w:val="clear" w:color="auto" w:fill="FFFFFF"/>
        <w:spacing w:before="100" w:beforeAutospacing="1"/>
        <w:rPr>
          <w:i/>
          <w:iCs/>
          <w:szCs w:val="24"/>
        </w:rPr>
      </w:pPr>
      <w:r w:rsidRPr="009B1312">
        <w:rPr>
          <w:i/>
          <w:iCs/>
          <w:szCs w:val="24"/>
        </w:rPr>
        <w:t>Health Insurance (Section 3C General Medical Services – Removal of Single Tumour, Lipoma or Cyst) Determination 2023</w:t>
      </w:r>
      <w:r w:rsidRPr="009B1312">
        <w:rPr>
          <w:szCs w:val="24"/>
        </w:rPr>
        <w:t>;</w:t>
      </w:r>
    </w:p>
    <w:p w14:paraId="1C624914" w14:textId="77777777" w:rsidR="00303EFD" w:rsidRPr="009B1312" w:rsidRDefault="00303EFD" w:rsidP="00303EFD">
      <w:pPr>
        <w:pStyle w:val="ListParagraph"/>
        <w:numPr>
          <w:ilvl w:val="0"/>
          <w:numId w:val="38"/>
        </w:numPr>
        <w:shd w:val="clear" w:color="auto" w:fill="FFFFFF"/>
        <w:spacing w:before="100" w:beforeAutospacing="1"/>
        <w:rPr>
          <w:i/>
          <w:iCs/>
          <w:szCs w:val="24"/>
        </w:rPr>
      </w:pPr>
      <w:r w:rsidRPr="009B1312">
        <w:rPr>
          <w:i/>
          <w:iCs/>
          <w:szCs w:val="24"/>
        </w:rPr>
        <w:t>Health Insurance (Section 3C Diagnostic Imaging Services – Whole Body Magnetic Resonance Imaging Scan) Determination 2022</w:t>
      </w:r>
      <w:r w:rsidRPr="009B1312">
        <w:rPr>
          <w:szCs w:val="24"/>
        </w:rPr>
        <w:t xml:space="preserve">; </w:t>
      </w:r>
    </w:p>
    <w:p w14:paraId="019A551E" w14:textId="77777777" w:rsidR="00303EFD" w:rsidRPr="009B1312" w:rsidRDefault="00303EFD" w:rsidP="00303EFD">
      <w:pPr>
        <w:pStyle w:val="ListParagraph"/>
        <w:numPr>
          <w:ilvl w:val="0"/>
          <w:numId w:val="38"/>
        </w:numPr>
        <w:shd w:val="clear" w:color="auto" w:fill="FFFFFF"/>
        <w:spacing w:before="100" w:beforeAutospacing="1"/>
        <w:rPr>
          <w:szCs w:val="24"/>
        </w:rPr>
      </w:pPr>
      <w:r w:rsidRPr="009B1312">
        <w:rPr>
          <w:i/>
          <w:iCs/>
          <w:szCs w:val="24"/>
        </w:rPr>
        <w:t>Health Insurance (General Practice COVID-19 Treatment) Determination 2022</w:t>
      </w:r>
      <w:r w:rsidRPr="009B1312">
        <w:rPr>
          <w:szCs w:val="24"/>
        </w:rPr>
        <w:t>; and</w:t>
      </w:r>
    </w:p>
    <w:p w14:paraId="029F48D9" w14:textId="18C01301" w:rsidR="003F008C" w:rsidRPr="009B1312" w:rsidRDefault="00303EFD" w:rsidP="00303EFD">
      <w:pPr>
        <w:numPr>
          <w:ilvl w:val="0"/>
          <w:numId w:val="38"/>
        </w:numPr>
        <w:ind w:right="-482"/>
        <w:rPr>
          <w:iCs/>
        </w:rPr>
      </w:pPr>
      <w:r w:rsidRPr="009B1312">
        <w:rPr>
          <w:i/>
          <w:iCs/>
          <w:szCs w:val="24"/>
        </w:rPr>
        <w:t>Health Insurance (Section 3C General Medical Services – General Practice Attendance for Assessing Patient Suitability for a COVID-19 Vaccine) Determination 2021</w:t>
      </w:r>
      <w:r w:rsidRPr="009B1312">
        <w:rPr>
          <w:szCs w:val="24"/>
        </w:rPr>
        <w:t>.</w:t>
      </w:r>
    </w:p>
    <w:p w14:paraId="2C3DCFCA" w14:textId="77777777" w:rsidR="008B6B06" w:rsidRPr="009B1312" w:rsidRDefault="008B6B06" w:rsidP="00A666CA">
      <w:pPr>
        <w:ind w:right="-482"/>
        <w:rPr>
          <w:b/>
          <w:szCs w:val="24"/>
        </w:rPr>
      </w:pPr>
    </w:p>
    <w:p w14:paraId="1810FBC6" w14:textId="77777777" w:rsidR="00A666CA" w:rsidRPr="009B1312" w:rsidRDefault="00A666CA" w:rsidP="00A666CA">
      <w:pPr>
        <w:ind w:right="-482"/>
        <w:rPr>
          <w:b/>
          <w:szCs w:val="24"/>
        </w:rPr>
      </w:pPr>
      <w:r w:rsidRPr="009B1312">
        <w:rPr>
          <w:b/>
          <w:szCs w:val="24"/>
        </w:rPr>
        <w:t>Human rights implications</w:t>
      </w:r>
    </w:p>
    <w:p w14:paraId="5E97A70E" w14:textId="77777777" w:rsidR="00A666CA" w:rsidRPr="009B1312" w:rsidRDefault="00A666CA" w:rsidP="00A666CA">
      <w:pPr>
        <w:spacing w:before="120" w:after="120"/>
        <w:rPr>
          <w:szCs w:val="24"/>
        </w:rPr>
      </w:pPr>
      <w:r w:rsidRPr="009B1312">
        <w:rPr>
          <w:szCs w:val="24"/>
        </w:rPr>
        <w:t xml:space="preserve">This instrument engages Articles 9 and 12 of the International Covenant on Economic Social and Cultural Rights (ICESCR), specifically the rights to health and social security. </w:t>
      </w:r>
    </w:p>
    <w:p w14:paraId="7AF0B2E7" w14:textId="77777777" w:rsidR="00A666CA" w:rsidRPr="009B1312" w:rsidRDefault="00A666CA" w:rsidP="00A666CA">
      <w:pPr>
        <w:spacing w:before="120" w:after="120"/>
        <w:rPr>
          <w:i/>
          <w:szCs w:val="24"/>
        </w:rPr>
      </w:pPr>
      <w:r w:rsidRPr="009B1312">
        <w:rPr>
          <w:i/>
          <w:szCs w:val="24"/>
        </w:rPr>
        <w:t>The Right to Health</w:t>
      </w:r>
    </w:p>
    <w:p w14:paraId="7F0C3A8E" w14:textId="77777777" w:rsidR="00A666CA" w:rsidRPr="009B1312" w:rsidRDefault="00A666CA" w:rsidP="00A666CA">
      <w:pPr>
        <w:spacing w:before="120" w:after="120"/>
        <w:rPr>
          <w:szCs w:val="24"/>
        </w:rPr>
      </w:pPr>
      <w:r w:rsidRPr="009B131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B1312">
        <w:rPr>
          <w:szCs w:val="24"/>
        </w:rPr>
        <w:t>healthy, but</w:t>
      </w:r>
      <w:proofErr w:type="gramEnd"/>
      <w:r w:rsidRPr="009B1312">
        <w:rPr>
          <w:szCs w:val="24"/>
        </w:rPr>
        <w:t xml:space="preserve"> is a right to a system of health protection which provides equality of opportunity for people to enjoy the highest attainable level of health. </w:t>
      </w:r>
    </w:p>
    <w:p w14:paraId="132F567F" w14:textId="77777777" w:rsidR="00A666CA" w:rsidRPr="009B1312" w:rsidRDefault="00A666CA" w:rsidP="00A666CA">
      <w:pPr>
        <w:spacing w:before="120" w:after="120"/>
        <w:rPr>
          <w:szCs w:val="24"/>
        </w:rPr>
      </w:pPr>
      <w:r w:rsidRPr="009B1312">
        <w:rPr>
          <w:szCs w:val="24"/>
        </w:rPr>
        <w:t xml:space="preserve">The Committee reports that the </w:t>
      </w:r>
      <w:r w:rsidRPr="009B1312">
        <w:rPr>
          <w:i/>
          <w:szCs w:val="24"/>
        </w:rPr>
        <w:t>‘highest attainable standard of health’</w:t>
      </w:r>
      <w:r w:rsidRPr="009B1312">
        <w:rPr>
          <w:szCs w:val="24"/>
        </w:rPr>
        <w:t xml:space="preserve"> </w:t>
      </w:r>
      <w:proofErr w:type="gramStart"/>
      <w:r w:rsidRPr="009B1312">
        <w:rPr>
          <w:szCs w:val="24"/>
        </w:rPr>
        <w:t>takes into account</w:t>
      </w:r>
      <w:proofErr w:type="gramEnd"/>
      <w:r w:rsidRPr="009B1312">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1A15F1D3" w14:textId="77777777" w:rsidR="00A666CA" w:rsidRPr="009B1312" w:rsidRDefault="00A666CA" w:rsidP="00A666CA">
      <w:pPr>
        <w:spacing w:before="120" w:after="120"/>
        <w:rPr>
          <w:i/>
          <w:szCs w:val="24"/>
        </w:rPr>
      </w:pPr>
      <w:r w:rsidRPr="009B1312">
        <w:rPr>
          <w:i/>
          <w:szCs w:val="24"/>
        </w:rPr>
        <w:t xml:space="preserve">The Right to Social Security </w:t>
      </w:r>
    </w:p>
    <w:p w14:paraId="56EADB28" w14:textId="77777777" w:rsidR="00A666CA" w:rsidRPr="009B1312" w:rsidRDefault="00A666CA" w:rsidP="00A666CA">
      <w:pPr>
        <w:spacing w:before="120" w:after="120"/>
        <w:rPr>
          <w:szCs w:val="24"/>
        </w:rPr>
      </w:pPr>
      <w:r w:rsidRPr="009B1312">
        <w:rPr>
          <w:szCs w:val="24"/>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B1312">
        <w:rPr>
          <w:szCs w:val="24"/>
        </w:rPr>
        <w:t>in an effort to</w:t>
      </w:r>
      <w:proofErr w:type="gramEnd"/>
      <w:r w:rsidRPr="009B1312">
        <w:rPr>
          <w:szCs w:val="24"/>
        </w:rPr>
        <w:t xml:space="preserve"> satisfy, as a matter of priority, this minimum obligation.</w:t>
      </w:r>
    </w:p>
    <w:p w14:paraId="0AE66D85" w14:textId="77777777" w:rsidR="00A666CA" w:rsidRPr="009B1312" w:rsidRDefault="00A666CA" w:rsidP="00A666CA">
      <w:pPr>
        <w:spacing w:before="120" w:after="120"/>
        <w:rPr>
          <w:szCs w:val="24"/>
        </w:rPr>
      </w:pPr>
      <w:r w:rsidRPr="009B131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45042E94" w14:textId="77777777" w:rsidR="00A666CA" w:rsidRPr="009B1312" w:rsidRDefault="00A666CA" w:rsidP="00A666CA">
      <w:pPr>
        <w:shd w:val="clear" w:color="auto" w:fill="FFFFFF"/>
        <w:spacing w:before="120" w:after="120"/>
        <w:rPr>
          <w:szCs w:val="24"/>
        </w:rPr>
      </w:pPr>
      <w:r w:rsidRPr="009B1312">
        <w:rPr>
          <w:i/>
          <w:iCs/>
          <w:szCs w:val="24"/>
        </w:rPr>
        <w:t>The right of equality and non-discrimination</w:t>
      </w:r>
    </w:p>
    <w:p w14:paraId="4C7BC47F" w14:textId="77777777" w:rsidR="00A666CA" w:rsidRPr="009B1312" w:rsidRDefault="00A666CA" w:rsidP="00A666CA">
      <w:pPr>
        <w:spacing w:before="120" w:after="120"/>
        <w:rPr>
          <w:szCs w:val="24"/>
        </w:rPr>
      </w:pPr>
      <w:r w:rsidRPr="009B1312">
        <w:rPr>
          <w:szCs w:val="24"/>
        </w:rPr>
        <w:t xml:space="preserve">The rights of equality and non-discrimination are contained in articles 2, 16 and 26 of the International Covenant on Civil and Political Rights (ICCPR).  Article 26 of the ICCPR requires </w:t>
      </w:r>
      <w:r w:rsidRPr="009B1312">
        <w:rPr>
          <w:szCs w:val="24"/>
        </w:rPr>
        <w:lastRenderedPageBreak/>
        <w:t>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32E2915" w14:textId="77777777" w:rsidR="00A666CA" w:rsidRPr="009B1312" w:rsidRDefault="00A666CA" w:rsidP="00A666CA">
      <w:pPr>
        <w:spacing w:before="120" w:after="120"/>
        <w:rPr>
          <w:szCs w:val="24"/>
          <w:u w:val="single"/>
        </w:rPr>
      </w:pPr>
      <w:r w:rsidRPr="009B1312">
        <w:rPr>
          <w:szCs w:val="24"/>
          <w:u w:val="single"/>
        </w:rPr>
        <w:t xml:space="preserve">Analysis </w:t>
      </w:r>
    </w:p>
    <w:p w14:paraId="5CEAE883" w14:textId="77777777" w:rsidR="00A666CA" w:rsidRPr="009B1312" w:rsidRDefault="00A666CA" w:rsidP="00A666CA">
      <w:pPr>
        <w:spacing w:before="120" w:after="120" w:line="276" w:lineRule="auto"/>
        <w:rPr>
          <w:szCs w:val="24"/>
        </w:rPr>
      </w:pPr>
      <w:r w:rsidRPr="009B1312">
        <w:rPr>
          <w:szCs w:val="24"/>
        </w:rPr>
        <w:t>This instrument advances the rights to health and social security and the right of equality and non-discrimination by increasing the Medicare benefit patients will receive when accessing the services listed in the determinations specified. This will assist patients to continue accessing clinically relevant health services.</w:t>
      </w:r>
    </w:p>
    <w:p w14:paraId="3AE6DA48" w14:textId="77777777" w:rsidR="00A666CA" w:rsidRPr="009B1312" w:rsidRDefault="00A666CA" w:rsidP="00A666CA">
      <w:pPr>
        <w:spacing w:before="120" w:after="120" w:line="276" w:lineRule="auto"/>
        <w:rPr>
          <w:rFonts w:eastAsia="Calibri"/>
          <w:b/>
          <w:szCs w:val="24"/>
          <w:lang w:eastAsia="en-US"/>
        </w:rPr>
      </w:pPr>
      <w:r w:rsidRPr="009B1312">
        <w:rPr>
          <w:rFonts w:eastAsia="Calibri"/>
          <w:b/>
          <w:szCs w:val="24"/>
          <w:lang w:eastAsia="en-US"/>
        </w:rPr>
        <w:t xml:space="preserve">Conclusion </w:t>
      </w:r>
    </w:p>
    <w:p w14:paraId="4550DD30" w14:textId="77777777" w:rsidR="00A666CA" w:rsidRPr="009B1312" w:rsidRDefault="00A666CA" w:rsidP="00A666CA">
      <w:pPr>
        <w:rPr>
          <w:rFonts w:eastAsia="Calibri"/>
          <w:szCs w:val="24"/>
          <w:lang w:eastAsia="en-US"/>
        </w:rPr>
      </w:pPr>
      <w:r w:rsidRPr="009B1312">
        <w:rPr>
          <w:szCs w:val="24"/>
        </w:rPr>
        <w:t>This instrument is compatible with human rights as it advances the right to health, the right to social security and the right of equality and non-discrimination.</w:t>
      </w:r>
    </w:p>
    <w:p w14:paraId="4A425CE5" w14:textId="77777777" w:rsidR="00A666CA" w:rsidRPr="009B1312" w:rsidRDefault="00A666CA" w:rsidP="00A666CA">
      <w:pPr>
        <w:rPr>
          <w:rFonts w:eastAsia="Calibri"/>
          <w:szCs w:val="24"/>
          <w:lang w:eastAsia="en-US"/>
        </w:rPr>
      </w:pPr>
    </w:p>
    <w:p w14:paraId="6EF28A97" w14:textId="77777777" w:rsidR="00A666CA" w:rsidRPr="009B1312" w:rsidRDefault="00A666CA" w:rsidP="00A666CA">
      <w:pPr>
        <w:jc w:val="center"/>
        <w:rPr>
          <w:b/>
          <w:bCs/>
        </w:rPr>
      </w:pPr>
    </w:p>
    <w:p w14:paraId="69BBB50B" w14:textId="4C778487" w:rsidR="00A666CA" w:rsidRPr="009B1312" w:rsidRDefault="009C7B3F" w:rsidP="00A666CA">
      <w:pPr>
        <w:shd w:val="clear" w:color="auto" w:fill="FFFFFF"/>
        <w:spacing w:line="240" w:lineRule="atLeast"/>
        <w:ind w:right="-23"/>
        <w:jc w:val="center"/>
        <w:rPr>
          <w:szCs w:val="22"/>
        </w:rPr>
      </w:pPr>
      <w:r w:rsidRPr="009B1312">
        <w:rPr>
          <w:b/>
          <w:bCs/>
          <w:szCs w:val="22"/>
        </w:rPr>
        <w:t>Nigel Murray</w:t>
      </w:r>
    </w:p>
    <w:p w14:paraId="611D604E" w14:textId="6B095E18" w:rsidR="00A666CA" w:rsidRPr="009B1312" w:rsidRDefault="00A666CA" w:rsidP="00A666CA">
      <w:pPr>
        <w:shd w:val="clear" w:color="auto" w:fill="FFFFFF"/>
        <w:spacing w:line="240" w:lineRule="atLeast"/>
        <w:ind w:right="-23"/>
        <w:jc w:val="center"/>
        <w:rPr>
          <w:b/>
          <w:bCs/>
          <w:szCs w:val="22"/>
        </w:rPr>
      </w:pPr>
      <w:r w:rsidRPr="009B1312">
        <w:rPr>
          <w:b/>
          <w:bCs/>
          <w:szCs w:val="22"/>
        </w:rPr>
        <w:t>Assistant Secretary</w:t>
      </w:r>
    </w:p>
    <w:p w14:paraId="45251140" w14:textId="6FCA84F9" w:rsidR="009C7B3F" w:rsidRPr="009B1312" w:rsidRDefault="009C7B3F" w:rsidP="00A666CA">
      <w:pPr>
        <w:shd w:val="clear" w:color="auto" w:fill="FFFFFF"/>
        <w:spacing w:line="240" w:lineRule="atLeast"/>
        <w:ind w:right="-23"/>
        <w:jc w:val="center"/>
        <w:rPr>
          <w:szCs w:val="22"/>
        </w:rPr>
      </w:pPr>
      <w:r w:rsidRPr="009B1312">
        <w:rPr>
          <w:b/>
          <w:bCs/>
          <w:szCs w:val="22"/>
        </w:rPr>
        <w:t>MBS Policy and Specialist Programs</w:t>
      </w:r>
      <w:r w:rsidR="00287CAA" w:rsidRPr="009B1312">
        <w:rPr>
          <w:b/>
          <w:bCs/>
          <w:szCs w:val="22"/>
        </w:rPr>
        <w:t xml:space="preserve"> Branch</w:t>
      </w:r>
    </w:p>
    <w:p w14:paraId="3F046D19" w14:textId="77777777" w:rsidR="00A666CA" w:rsidRPr="009B1312" w:rsidRDefault="00A666CA" w:rsidP="00A666CA">
      <w:pPr>
        <w:shd w:val="clear" w:color="auto" w:fill="FFFFFF"/>
        <w:spacing w:line="240" w:lineRule="atLeast"/>
        <w:ind w:right="-23"/>
        <w:jc w:val="center"/>
        <w:rPr>
          <w:szCs w:val="22"/>
        </w:rPr>
      </w:pPr>
      <w:r w:rsidRPr="009B1312">
        <w:rPr>
          <w:b/>
          <w:bCs/>
          <w:szCs w:val="22"/>
        </w:rPr>
        <w:t>Medicare Benefits and Digital Health Division</w:t>
      </w:r>
    </w:p>
    <w:p w14:paraId="27DA2CFA" w14:textId="77777777" w:rsidR="00A666CA" w:rsidRPr="009B1312" w:rsidRDefault="00A666CA" w:rsidP="00A666CA">
      <w:pPr>
        <w:shd w:val="clear" w:color="auto" w:fill="FFFFFF"/>
        <w:spacing w:line="240" w:lineRule="atLeast"/>
        <w:ind w:right="-23"/>
        <w:jc w:val="center"/>
        <w:rPr>
          <w:szCs w:val="22"/>
        </w:rPr>
      </w:pPr>
      <w:r w:rsidRPr="009B1312">
        <w:rPr>
          <w:b/>
          <w:bCs/>
          <w:szCs w:val="22"/>
        </w:rPr>
        <w:t>Health Resourcing Group</w:t>
      </w:r>
    </w:p>
    <w:p w14:paraId="77FC44F0" w14:textId="77777777" w:rsidR="00A666CA" w:rsidRPr="00E34B11" w:rsidRDefault="00A666CA" w:rsidP="00A666CA">
      <w:pPr>
        <w:shd w:val="clear" w:color="auto" w:fill="FFFFFF"/>
        <w:spacing w:line="240" w:lineRule="atLeast"/>
        <w:ind w:right="-23"/>
        <w:jc w:val="center"/>
        <w:rPr>
          <w:szCs w:val="22"/>
        </w:rPr>
      </w:pPr>
      <w:r w:rsidRPr="009B1312">
        <w:rPr>
          <w:b/>
          <w:bCs/>
          <w:szCs w:val="22"/>
        </w:rPr>
        <w:t>Department of Health and Aged Care</w:t>
      </w:r>
    </w:p>
    <w:p w14:paraId="23EDAE64" w14:textId="77777777" w:rsidR="00A666CA" w:rsidRPr="00E34B11" w:rsidRDefault="00A666CA" w:rsidP="00A666CA">
      <w:pPr>
        <w:shd w:val="clear" w:color="auto" w:fill="FFFFFF"/>
        <w:spacing w:line="240" w:lineRule="atLeast"/>
        <w:ind w:right="-23"/>
        <w:jc w:val="center"/>
        <w:rPr>
          <w:rFonts w:eastAsia="Calibri"/>
          <w:szCs w:val="24"/>
          <w:lang w:eastAsia="en-US"/>
        </w:rPr>
      </w:pPr>
    </w:p>
    <w:p w14:paraId="2412D16E" w14:textId="434AB72B" w:rsidR="00636C51" w:rsidRPr="00E34B11" w:rsidRDefault="00636C51" w:rsidP="00A666CA">
      <w:pPr>
        <w:rPr>
          <w:rFonts w:eastAsia="Calibri"/>
        </w:rPr>
      </w:pPr>
    </w:p>
    <w:p w14:paraId="2461C6C3" w14:textId="77777777" w:rsidR="007E65C3" w:rsidRPr="00E34B11" w:rsidRDefault="007E65C3" w:rsidP="00A666CA">
      <w:pPr>
        <w:rPr>
          <w:rFonts w:eastAsia="Calibri"/>
        </w:rPr>
      </w:pPr>
    </w:p>
    <w:sectPr w:rsidR="007E65C3" w:rsidRPr="00E34B11"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FC5F" w14:textId="77777777" w:rsidR="00B63789" w:rsidRDefault="00B63789">
      <w:r>
        <w:separator/>
      </w:r>
    </w:p>
  </w:endnote>
  <w:endnote w:type="continuationSeparator" w:id="0">
    <w:p w14:paraId="1FCF9D73" w14:textId="77777777" w:rsidR="00B63789" w:rsidRDefault="00B6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CE69" w14:textId="77777777" w:rsidR="00B63789" w:rsidRDefault="00B63789">
      <w:r>
        <w:separator/>
      </w:r>
    </w:p>
  </w:footnote>
  <w:footnote w:type="continuationSeparator" w:id="0">
    <w:p w14:paraId="12A05B56" w14:textId="77777777" w:rsidR="00B63789" w:rsidRDefault="00B6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E7E6" w14:textId="77777777" w:rsidR="00A666CA" w:rsidRDefault="00A666CA" w:rsidP="00BD6F5F">
    <w:pPr>
      <w:pStyle w:val="Header"/>
      <w:jc w:val="center"/>
    </w:pPr>
    <w:r>
      <w:fldChar w:fldCharType="begin"/>
    </w:r>
    <w:r>
      <w:instrText xml:space="preserve"> PAGE  \* Arabic  \* MERGEFORMAT </w:instrText>
    </w:r>
    <w:r>
      <w:fldChar w:fldCharType="separate"/>
    </w:r>
    <w:r>
      <w:rPr>
        <w:noProof/>
      </w:rPr>
      <w:t>1</w:t>
    </w:r>
    <w:r>
      <w:fldChar w:fldCharType="end"/>
    </w:r>
  </w:p>
  <w:p w14:paraId="11985DE4" w14:textId="77777777" w:rsidR="00A666CA" w:rsidRDefault="00A66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p w14:paraId="4D94ACBE" w14:textId="77777777" w:rsidR="007E5D8F" w:rsidRDefault="007E5D8F"/>
  <w:p w14:paraId="7F9C5CDF" w14:textId="77777777" w:rsidR="007E5D8F" w:rsidRDefault="007E5D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28E515A9" w:rsidR="00E23B6B" w:rsidRDefault="00E23B6B">
        <w:pPr>
          <w:pStyle w:val="Header"/>
          <w:jc w:val="center"/>
        </w:pPr>
        <w:r>
          <w:fldChar w:fldCharType="begin"/>
        </w:r>
        <w:r>
          <w:instrText xml:space="preserve"> PAGE   \* MERGEFORMAT </w:instrText>
        </w:r>
        <w:r>
          <w:fldChar w:fldCharType="separate"/>
        </w:r>
        <w:r w:rsidR="00DF4192">
          <w:rPr>
            <w:noProof/>
          </w:rPr>
          <w:t>5</w:t>
        </w:r>
        <w:r>
          <w:rPr>
            <w:noProof/>
          </w:rPr>
          <w:fldChar w:fldCharType="end"/>
        </w:r>
      </w:p>
    </w:sdtContent>
  </w:sdt>
  <w:p w14:paraId="2412D17B" w14:textId="77777777" w:rsidR="001C35BC" w:rsidRDefault="001C35BC" w:rsidP="00E23B6B">
    <w:pPr>
      <w:pStyle w:val="Header"/>
    </w:pPr>
  </w:p>
  <w:p w14:paraId="69398BB0" w14:textId="77777777" w:rsidR="007E5D8F" w:rsidRDefault="007E5D8F"/>
  <w:p w14:paraId="7027B1E8" w14:textId="77777777" w:rsidR="007E5D8F" w:rsidRDefault="007E5D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389212"/>
      <w:docPartObj>
        <w:docPartGallery w:val="Page Numbers (Top of Page)"/>
        <w:docPartUnique/>
      </w:docPartObj>
    </w:sdtPr>
    <w:sdtEndPr>
      <w:rPr>
        <w:noProof/>
      </w:rPr>
    </w:sdtEndPr>
    <w:sdtContent>
      <w:p w14:paraId="2412D17C" w14:textId="5A856DB6" w:rsidR="00E23B6B" w:rsidRDefault="00E23B6B">
        <w:pPr>
          <w:pStyle w:val="Header"/>
          <w:jc w:val="center"/>
        </w:pPr>
        <w:r>
          <w:fldChar w:fldCharType="begin"/>
        </w:r>
        <w:r>
          <w:instrText xml:space="preserve"> PAGE   \* MERGEFORMAT </w:instrText>
        </w:r>
        <w:r>
          <w:fldChar w:fldCharType="separate"/>
        </w:r>
        <w:r w:rsidR="00DF4192">
          <w:rPr>
            <w:noProof/>
          </w:rPr>
          <w:t>2</w:t>
        </w:r>
        <w:r>
          <w:rPr>
            <w:noProof/>
          </w:rPr>
          <w:fldChar w:fldCharType="end"/>
        </w:r>
      </w:p>
    </w:sdtContent>
  </w:sdt>
  <w:p w14:paraId="2412D17D" w14:textId="77777777" w:rsidR="00BA67DC" w:rsidRDefault="00BA67DC">
    <w:pPr>
      <w:pStyle w:val="Header"/>
    </w:pPr>
  </w:p>
  <w:p w14:paraId="1442642F" w14:textId="77777777" w:rsidR="007E5D8F" w:rsidRDefault="007E5D8F"/>
  <w:p w14:paraId="4A42A531" w14:textId="77777777" w:rsidR="007E5D8F" w:rsidRDefault="007E5D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BE34349"/>
    <w:multiLevelType w:val="hybridMultilevel"/>
    <w:tmpl w:val="1238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322B6"/>
    <w:multiLevelType w:val="hybridMultilevel"/>
    <w:tmpl w:val="B7DE4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25473"/>
    <w:multiLevelType w:val="hybridMultilevel"/>
    <w:tmpl w:val="21762C76"/>
    <w:lvl w:ilvl="0" w:tplc="D1043394">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E3F5F"/>
    <w:multiLevelType w:val="hybridMultilevel"/>
    <w:tmpl w:val="B29CA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89453F"/>
    <w:multiLevelType w:val="hybridMultilevel"/>
    <w:tmpl w:val="A7A88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D1F22"/>
    <w:multiLevelType w:val="hybridMultilevel"/>
    <w:tmpl w:val="24B48A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5"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6936E2"/>
    <w:multiLevelType w:val="hybridMultilevel"/>
    <w:tmpl w:val="6C903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3"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AF236C"/>
    <w:multiLevelType w:val="hybridMultilevel"/>
    <w:tmpl w:val="58E00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B66B6"/>
    <w:multiLevelType w:val="hybridMultilevel"/>
    <w:tmpl w:val="48369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5751570">
    <w:abstractNumId w:val="30"/>
  </w:num>
  <w:num w:numId="2" w16cid:durableId="533467433">
    <w:abstractNumId w:val="1"/>
  </w:num>
  <w:num w:numId="3" w16cid:durableId="2027248828">
    <w:abstractNumId w:val="2"/>
  </w:num>
  <w:num w:numId="4" w16cid:durableId="510031858">
    <w:abstractNumId w:val="17"/>
  </w:num>
  <w:num w:numId="5" w16cid:durableId="1192063824">
    <w:abstractNumId w:val="23"/>
  </w:num>
  <w:num w:numId="6" w16cid:durableId="2008168037">
    <w:abstractNumId w:val="13"/>
  </w:num>
  <w:num w:numId="7" w16cid:durableId="442310392">
    <w:abstractNumId w:val="35"/>
  </w:num>
  <w:num w:numId="8" w16cid:durableId="455294184">
    <w:abstractNumId w:val="10"/>
  </w:num>
  <w:num w:numId="9" w16cid:durableId="502474614">
    <w:abstractNumId w:val="9"/>
  </w:num>
  <w:num w:numId="10" w16cid:durableId="1824546027">
    <w:abstractNumId w:val="39"/>
  </w:num>
  <w:num w:numId="11" w16cid:durableId="1348557219">
    <w:abstractNumId w:val="34"/>
  </w:num>
  <w:num w:numId="12" w16cid:durableId="24136164">
    <w:abstractNumId w:val="18"/>
  </w:num>
  <w:num w:numId="13" w16cid:durableId="761608251">
    <w:abstractNumId w:val="20"/>
  </w:num>
  <w:num w:numId="14" w16cid:durableId="1890455286">
    <w:abstractNumId w:val="32"/>
  </w:num>
  <w:num w:numId="15" w16cid:durableId="1990283235">
    <w:abstractNumId w:val="11"/>
  </w:num>
  <w:num w:numId="16" w16cid:durableId="238248874">
    <w:abstractNumId w:val="25"/>
  </w:num>
  <w:num w:numId="17" w16cid:durableId="508106387">
    <w:abstractNumId w:val="28"/>
  </w:num>
  <w:num w:numId="18" w16cid:durableId="173568277">
    <w:abstractNumId w:val="26"/>
  </w:num>
  <w:num w:numId="19" w16cid:durableId="2059239023">
    <w:abstractNumId w:val="7"/>
  </w:num>
  <w:num w:numId="20" w16cid:durableId="2017535865">
    <w:abstractNumId w:val="16"/>
  </w:num>
  <w:num w:numId="21" w16cid:durableId="6468624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3685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1910786">
    <w:abstractNumId w:val="0"/>
  </w:num>
  <w:num w:numId="24" w16cid:durableId="1943105630">
    <w:abstractNumId w:val="27"/>
  </w:num>
  <w:num w:numId="25" w16cid:durableId="1310935551">
    <w:abstractNumId w:val="12"/>
  </w:num>
  <w:num w:numId="26" w16cid:durableId="636180239">
    <w:abstractNumId w:val="8"/>
  </w:num>
  <w:num w:numId="27" w16cid:durableId="1602880455">
    <w:abstractNumId w:val="21"/>
  </w:num>
  <w:num w:numId="28" w16cid:durableId="2131506824">
    <w:abstractNumId w:val="37"/>
  </w:num>
  <w:num w:numId="29" w16cid:durableId="703603737">
    <w:abstractNumId w:val="22"/>
  </w:num>
  <w:num w:numId="30" w16cid:durableId="1061758220">
    <w:abstractNumId w:val="33"/>
  </w:num>
  <w:num w:numId="31" w16cid:durableId="630211223">
    <w:abstractNumId w:val="19"/>
  </w:num>
  <w:num w:numId="32" w16cid:durableId="1323935">
    <w:abstractNumId w:val="31"/>
  </w:num>
  <w:num w:numId="33" w16cid:durableId="1387217577">
    <w:abstractNumId w:val="6"/>
  </w:num>
  <w:num w:numId="34" w16cid:durableId="658390365">
    <w:abstractNumId w:val="5"/>
  </w:num>
  <w:num w:numId="35" w16cid:durableId="1080903908">
    <w:abstractNumId w:val="29"/>
  </w:num>
  <w:num w:numId="36" w16cid:durableId="790049013">
    <w:abstractNumId w:val="38"/>
  </w:num>
  <w:num w:numId="37" w16cid:durableId="1156460028">
    <w:abstractNumId w:val="36"/>
  </w:num>
  <w:num w:numId="38" w16cid:durableId="435711162">
    <w:abstractNumId w:val="3"/>
  </w:num>
  <w:num w:numId="39" w16cid:durableId="54935326">
    <w:abstractNumId w:val="15"/>
  </w:num>
  <w:num w:numId="40" w16cid:durableId="411663006">
    <w:abstractNumId w:val="4"/>
  </w:num>
  <w:num w:numId="41" w16cid:durableId="11518227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67C"/>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49C"/>
    <w:rsid w:val="000727E0"/>
    <w:rsid w:val="00073983"/>
    <w:rsid w:val="00073BC9"/>
    <w:rsid w:val="00076C34"/>
    <w:rsid w:val="00076FE3"/>
    <w:rsid w:val="00080116"/>
    <w:rsid w:val="00081188"/>
    <w:rsid w:val="00081C37"/>
    <w:rsid w:val="00082D12"/>
    <w:rsid w:val="00092530"/>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112C"/>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77BE6"/>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1786"/>
    <w:rsid w:val="001A43A5"/>
    <w:rsid w:val="001A4BE2"/>
    <w:rsid w:val="001A5BC0"/>
    <w:rsid w:val="001A65BB"/>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D18"/>
    <w:rsid w:val="001D60B8"/>
    <w:rsid w:val="001D6B46"/>
    <w:rsid w:val="001D778A"/>
    <w:rsid w:val="001D7D62"/>
    <w:rsid w:val="001E014D"/>
    <w:rsid w:val="001E2D6D"/>
    <w:rsid w:val="001E3B02"/>
    <w:rsid w:val="001E4709"/>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05292"/>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674B"/>
    <w:rsid w:val="00257459"/>
    <w:rsid w:val="00257E4D"/>
    <w:rsid w:val="00262865"/>
    <w:rsid w:val="00263279"/>
    <w:rsid w:val="002643FC"/>
    <w:rsid w:val="00274073"/>
    <w:rsid w:val="0027545F"/>
    <w:rsid w:val="00275C67"/>
    <w:rsid w:val="0027610D"/>
    <w:rsid w:val="002806A1"/>
    <w:rsid w:val="00281918"/>
    <w:rsid w:val="00284483"/>
    <w:rsid w:val="00284749"/>
    <w:rsid w:val="00285256"/>
    <w:rsid w:val="00287AEF"/>
    <w:rsid w:val="00287B08"/>
    <w:rsid w:val="00287CAA"/>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06C7"/>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3EFD"/>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1EEF"/>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A1A"/>
    <w:rsid w:val="003B7C31"/>
    <w:rsid w:val="003C02D4"/>
    <w:rsid w:val="003C37E3"/>
    <w:rsid w:val="003C4437"/>
    <w:rsid w:val="003C4CBD"/>
    <w:rsid w:val="003C546B"/>
    <w:rsid w:val="003C7719"/>
    <w:rsid w:val="003D0FBD"/>
    <w:rsid w:val="003D2A6D"/>
    <w:rsid w:val="003E005B"/>
    <w:rsid w:val="003E04DA"/>
    <w:rsid w:val="003E1249"/>
    <w:rsid w:val="003E3544"/>
    <w:rsid w:val="003E35A8"/>
    <w:rsid w:val="003E4F2D"/>
    <w:rsid w:val="003E57BE"/>
    <w:rsid w:val="003E77CB"/>
    <w:rsid w:val="003F008C"/>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3A2"/>
    <w:rsid w:val="0047494B"/>
    <w:rsid w:val="00475A85"/>
    <w:rsid w:val="00476F13"/>
    <w:rsid w:val="00477C74"/>
    <w:rsid w:val="00480561"/>
    <w:rsid w:val="004806B3"/>
    <w:rsid w:val="00481E5E"/>
    <w:rsid w:val="004828A9"/>
    <w:rsid w:val="00483F1E"/>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01F0"/>
    <w:rsid w:val="004B1ECE"/>
    <w:rsid w:val="004B38C8"/>
    <w:rsid w:val="004B5C2E"/>
    <w:rsid w:val="004B7461"/>
    <w:rsid w:val="004B7CB9"/>
    <w:rsid w:val="004C10BA"/>
    <w:rsid w:val="004C27EB"/>
    <w:rsid w:val="004C33D9"/>
    <w:rsid w:val="004C357A"/>
    <w:rsid w:val="004C405B"/>
    <w:rsid w:val="004C5B35"/>
    <w:rsid w:val="004C68D1"/>
    <w:rsid w:val="004C6AE7"/>
    <w:rsid w:val="004C72E8"/>
    <w:rsid w:val="004C79FF"/>
    <w:rsid w:val="004D04DF"/>
    <w:rsid w:val="004D1BF4"/>
    <w:rsid w:val="004D480B"/>
    <w:rsid w:val="004D7821"/>
    <w:rsid w:val="004E10C5"/>
    <w:rsid w:val="004E22A7"/>
    <w:rsid w:val="004E39E6"/>
    <w:rsid w:val="004E5DEB"/>
    <w:rsid w:val="004E71DC"/>
    <w:rsid w:val="004E7F97"/>
    <w:rsid w:val="004F1563"/>
    <w:rsid w:val="004F20B0"/>
    <w:rsid w:val="004F4BAD"/>
    <w:rsid w:val="004F7682"/>
    <w:rsid w:val="005012BC"/>
    <w:rsid w:val="00502080"/>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408"/>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5723"/>
    <w:rsid w:val="0059798F"/>
    <w:rsid w:val="00597EC9"/>
    <w:rsid w:val="005A0300"/>
    <w:rsid w:val="005A163F"/>
    <w:rsid w:val="005A3D73"/>
    <w:rsid w:val="005A3D8D"/>
    <w:rsid w:val="005A445D"/>
    <w:rsid w:val="005B0EA3"/>
    <w:rsid w:val="005B1B0A"/>
    <w:rsid w:val="005B5062"/>
    <w:rsid w:val="005B5F8E"/>
    <w:rsid w:val="005B6234"/>
    <w:rsid w:val="005B7596"/>
    <w:rsid w:val="005C397C"/>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7585"/>
    <w:rsid w:val="00601165"/>
    <w:rsid w:val="00607971"/>
    <w:rsid w:val="00611A4E"/>
    <w:rsid w:val="006122C0"/>
    <w:rsid w:val="0061281D"/>
    <w:rsid w:val="00613C46"/>
    <w:rsid w:val="00614085"/>
    <w:rsid w:val="00616889"/>
    <w:rsid w:val="00617F77"/>
    <w:rsid w:val="00623004"/>
    <w:rsid w:val="006237CC"/>
    <w:rsid w:val="00627C91"/>
    <w:rsid w:val="00635031"/>
    <w:rsid w:val="00636663"/>
    <w:rsid w:val="006369D4"/>
    <w:rsid w:val="00636C51"/>
    <w:rsid w:val="006407FA"/>
    <w:rsid w:val="00642537"/>
    <w:rsid w:val="006427B2"/>
    <w:rsid w:val="00642BEB"/>
    <w:rsid w:val="00644BFD"/>
    <w:rsid w:val="00647426"/>
    <w:rsid w:val="00647590"/>
    <w:rsid w:val="006526F5"/>
    <w:rsid w:val="00653838"/>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3A3F"/>
    <w:rsid w:val="006B4B58"/>
    <w:rsid w:val="006B6925"/>
    <w:rsid w:val="006C026A"/>
    <w:rsid w:val="006C138D"/>
    <w:rsid w:val="006C2639"/>
    <w:rsid w:val="006C3807"/>
    <w:rsid w:val="006C6821"/>
    <w:rsid w:val="006C7491"/>
    <w:rsid w:val="006C761B"/>
    <w:rsid w:val="006C76B5"/>
    <w:rsid w:val="006D03ED"/>
    <w:rsid w:val="006D2B37"/>
    <w:rsid w:val="006D3D81"/>
    <w:rsid w:val="006D459F"/>
    <w:rsid w:val="006D46A1"/>
    <w:rsid w:val="006D4AA4"/>
    <w:rsid w:val="006D54FB"/>
    <w:rsid w:val="006D5816"/>
    <w:rsid w:val="006D627E"/>
    <w:rsid w:val="006D62D4"/>
    <w:rsid w:val="006E1A62"/>
    <w:rsid w:val="006E320C"/>
    <w:rsid w:val="006E32A8"/>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370E"/>
    <w:rsid w:val="00726CFA"/>
    <w:rsid w:val="0072758A"/>
    <w:rsid w:val="007304D5"/>
    <w:rsid w:val="00730965"/>
    <w:rsid w:val="00732B5C"/>
    <w:rsid w:val="00733599"/>
    <w:rsid w:val="00733F09"/>
    <w:rsid w:val="00735753"/>
    <w:rsid w:val="00735CCC"/>
    <w:rsid w:val="007368DC"/>
    <w:rsid w:val="00736AC9"/>
    <w:rsid w:val="00741A4E"/>
    <w:rsid w:val="00742E97"/>
    <w:rsid w:val="007452E0"/>
    <w:rsid w:val="007454C4"/>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437E"/>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3093"/>
    <w:rsid w:val="007C6927"/>
    <w:rsid w:val="007C7403"/>
    <w:rsid w:val="007C767F"/>
    <w:rsid w:val="007C79FB"/>
    <w:rsid w:val="007C7ADB"/>
    <w:rsid w:val="007D3891"/>
    <w:rsid w:val="007D4584"/>
    <w:rsid w:val="007D4A14"/>
    <w:rsid w:val="007E0017"/>
    <w:rsid w:val="007E0D9D"/>
    <w:rsid w:val="007E4B14"/>
    <w:rsid w:val="007E4B4C"/>
    <w:rsid w:val="007E5D8F"/>
    <w:rsid w:val="007E65C3"/>
    <w:rsid w:val="007E7ABF"/>
    <w:rsid w:val="007F0907"/>
    <w:rsid w:val="007F0D24"/>
    <w:rsid w:val="007F10B5"/>
    <w:rsid w:val="007F173A"/>
    <w:rsid w:val="007F1C81"/>
    <w:rsid w:val="007F6ABA"/>
    <w:rsid w:val="0080144C"/>
    <w:rsid w:val="00801B90"/>
    <w:rsid w:val="008036B8"/>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444F"/>
    <w:rsid w:val="008B683E"/>
    <w:rsid w:val="008B6B06"/>
    <w:rsid w:val="008C0EF7"/>
    <w:rsid w:val="008C11A2"/>
    <w:rsid w:val="008C20F7"/>
    <w:rsid w:val="008C5F1C"/>
    <w:rsid w:val="008D06D8"/>
    <w:rsid w:val="008D136F"/>
    <w:rsid w:val="008D1B01"/>
    <w:rsid w:val="008D25D7"/>
    <w:rsid w:val="008D2A83"/>
    <w:rsid w:val="008D2D7B"/>
    <w:rsid w:val="008D2D98"/>
    <w:rsid w:val="008D44EB"/>
    <w:rsid w:val="008D6051"/>
    <w:rsid w:val="008D7A4F"/>
    <w:rsid w:val="008E3E1A"/>
    <w:rsid w:val="008E4039"/>
    <w:rsid w:val="008F1AA9"/>
    <w:rsid w:val="008F2461"/>
    <w:rsid w:val="008F525D"/>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0D08"/>
    <w:rsid w:val="00935308"/>
    <w:rsid w:val="009361FD"/>
    <w:rsid w:val="009406D2"/>
    <w:rsid w:val="00940F17"/>
    <w:rsid w:val="009414C5"/>
    <w:rsid w:val="009427F2"/>
    <w:rsid w:val="009444E0"/>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312"/>
    <w:rsid w:val="009B1BCA"/>
    <w:rsid w:val="009B1FD2"/>
    <w:rsid w:val="009B3AEB"/>
    <w:rsid w:val="009B7AE2"/>
    <w:rsid w:val="009C3EB5"/>
    <w:rsid w:val="009C42BD"/>
    <w:rsid w:val="009C444B"/>
    <w:rsid w:val="009C7B3F"/>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6CA"/>
    <w:rsid w:val="00A66849"/>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037"/>
    <w:rsid w:val="00B167A2"/>
    <w:rsid w:val="00B174E3"/>
    <w:rsid w:val="00B20415"/>
    <w:rsid w:val="00B2293B"/>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789"/>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0AB7"/>
    <w:rsid w:val="00BA1526"/>
    <w:rsid w:val="00BA3D73"/>
    <w:rsid w:val="00BA400D"/>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49C5"/>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00A1"/>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6177"/>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5481"/>
    <w:rsid w:val="00CB6DE1"/>
    <w:rsid w:val="00CB7730"/>
    <w:rsid w:val="00CC12A0"/>
    <w:rsid w:val="00CC26A8"/>
    <w:rsid w:val="00CC4CED"/>
    <w:rsid w:val="00CC6EBB"/>
    <w:rsid w:val="00CD1504"/>
    <w:rsid w:val="00CD4A21"/>
    <w:rsid w:val="00CE3A6F"/>
    <w:rsid w:val="00CE63F9"/>
    <w:rsid w:val="00CF0A31"/>
    <w:rsid w:val="00CF1E87"/>
    <w:rsid w:val="00CF240F"/>
    <w:rsid w:val="00CF34FA"/>
    <w:rsid w:val="00CF3A01"/>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0413"/>
    <w:rsid w:val="00D85008"/>
    <w:rsid w:val="00D87426"/>
    <w:rsid w:val="00D8754D"/>
    <w:rsid w:val="00D92717"/>
    <w:rsid w:val="00D93E05"/>
    <w:rsid w:val="00D9515D"/>
    <w:rsid w:val="00D966C7"/>
    <w:rsid w:val="00DA3A08"/>
    <w:rsid w:val="00DA4715"/>
    <w:rsid w:val="00DA62DF"/>
    <w:rsid w:val="00DA7439"/>
    <w:rsid w:val="00DB0DA9"/>
    <w:rsid w:val="00DB108A"/>
    <w:rsid w:val="00DC1776"/>
    <w:rsid w:val="00DC19B3"/>
    <w:rsid w:val="00DC33A5"/>
    <w:rsid w:val="00DC4340"/>
    <w:rsid w:val="00DC7898"/>
    <w:rsid w:val="00DD19F8"/>
    <w:rsid w:val="00DD1C70"/>
    <w:rsid w:val="00DD3239"/>
    <w:rsid w:val="00DE07E4"/>
    <w:rsid w:val="00DE0877"/>
    <w:rsid w:val="00DE0FF8"/>
    <w:rsid w:val="00DE3EBF"/>
    <w:rsid w:val="00DE6D39"/>
    <w:rsid w:val="00DE7345"/>
    <w:rsid w:val="00DE76EB"/>
    <w:rsid w:val="00DF00CF"/>
    <w:rsid w:val="00DF4192"/>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11"/>
    <w:rsid w:val="00E34BF8"/>
    <w:rsid w:val="00E35B1E"/>
    <w:rsid w:val="00E362B8"/>
    <w:rsid w:val="00E4250F"/>
    <w:rsid w:val="00E44A7E"/>
    <w:rsid w:val="00E46A7E"/>
    <w:rsid w:val="00E46CE8"/>
    <w:rsid w:val="00E51559"/>
    <w:rsid w:val="00E534AF"/>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4E55"/>
    <w:rsid w:val="00E85810"/>
    <w:rsid w:val="00E85B0A"/>
    <w:rsid w:val="00E86C68"/>
    <w:rsid w:val="00E90558"/>
    <w:rsid w:val="00E909CD"/>
    <w:rsid w:val="00E90DD0"/>
    <w:rsid w:val="00E92248"/>
    <w:rsid w:val="00E92BD1"/>
    <w:rsid w:val="00E935A1"/>
    <w:rsid w:val="00E93FB6"/>
    <w:rsid w:val="00E94BB6"/>
    <w:rsid w:val="00EA1715"/>
    <w:rsid w:val="00EA2EE8"/>
    <w:rsid w:val="00EA31FD"/>
    <w:rsid w:val="00EA4349"/>
    <w:rsid w:val="00EA4EE4"/>
    <w:rsid w:val="00EA5A32"/>
    <w:rsid w:val="00EA738A"/>
    <w:rsid w:val="00EB2F51"/>
    <w:rsid w:val="00EB3BF0"/>
    <w:rsid w:val="00EB4DA6"/>
    <w:rsid w:val="00EB601D"/>
    <w:rsid w:val="00EB6CCD"/>
    <w:rsid w:val="00EC0273"/>
    <w:rsid w:val="00EC19AA"/>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BB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619"/>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6937"/>
    <w:rsid w:val="00FF7848"/>
    <w:rsid w:val="0F58710F"/>
    <w:rsid w:val="722FDB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08"/>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styleId="NormalWeb">
    <w:name w:val="Normal (Web)"/>
    <w:basedOn w:val="Normal"/>
    <w:uiPriority w:val="99"/>
    <w:semiHidden/>
    <w:unhideWhenUsed/>
    <w:rsid w:val="007454C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92003101">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78565926">
      <w:bodyDiv w:val="1"/>
      <w:marLeft w:val="0"/>
      <w:marRight w:val="0"/>
      <w:marTop w:val="0"/>
      <w:marBottom w:val="0"/>
      <w:divBdr>
        <w:top w:val="none" w:sz="0" w:space="0" w:color="auto"/>
        <w:left w:val="none" w:sz="0" w:space="0" w:color="auto"/>
        <w:bottom w:val="none" w:sz="0" w:space="0" w:color="auto"/>
        <w:right w:val="none" w:sz="0" w:space="0" w:color="auto"/>
      </w:divBdr>
    </w:div>
    <w:div w:id="606352552">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48677232">
      <w:bodyDiv w:val="1"/>
      <w:marLeft w:val="0"/>
      <w:marRight w:val="0"/>
      <w:marTop w:val="0"/>
      <w:marBottom w:val="0"/>
      <w:divBdr>
        <w:top w:val="none" w:sz="0" w:space="0" w:color="auto"/>
        <w:left w:val="none" w:sz="0" w:space="0" w:color="auto"/>
        <w:bottom w:val="none" w:sz="0" w:space="0" w:color="auto"/>
        <w:right w:val="none" w:sz="0" w:space="0" w:color="auto"/>
      </w:divBdr>
    </w:div>
    <w:div w:id="718096069">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5999008">
      <w:bodyDiv w:val="1"/>
      <w:marLeft w:val="0"/>
      <w:marRight w:val="0"/>
      <w:marTop w:val="0"/>
      <w:marBottom w:val="0"/>
      <w:divBdr>
        <w:top w:val="none" w:sz="0" w:space="0" w:color="auto"/>
        <w:left w:val="none" w:sz="0" w:space="0" w:color="auto"/>
        <w:bottom w:val="none" w:sz="0" w:space="0" w:color="auto"/>
        <w:right w:val="none" w:sz="0" w:space="0" w:color="auto"/>
      </w:divBdr>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949929">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33668953">
      <w:bodyDiv w:val="1"/>
      <w:marLeft w:val="0"/>
      <w:marRight w:val="0"/>
      <w:marTop w:val="0"/>
      <w:marBottom w:val="0"/>
      <w:divBdr>
        <w:top w:val="none" w:sz="0" w:space="0" w:color="auto"/>
        <w:left w:val="none" w:sz="0" w:space="0" w:color="auto"/>
        <w:bottom w:val="none" w:sz="0" w:space="0" w:color="auto"/>
        <w:right w:val="none" w:sz="0" w:space="0" w:color="auto"/>
      </w:divBdr>
    </w:div>
    <w:div w:id="1205286609">
      <w:bodyDiv w:val="1"/>
      <w:marLeft w:val="0"/>
      <w:marRight w:val="0"/>
      <w:marTop w:val="0"/>
      <w:marBottom w:val="0"/>
      <w:divBdr>
        <w:top w:val="none" w:sz="0" w:space="0" w:color="auto"/>
        <w:left w:val="none" w:sz="0" w:space="0" w:color="auto"/>
        <w:bottom w:val="none" w:sz="0" w:space="0" w:color="auto"/>
        <w:right w:val="none" w:sz="0" w:space="0" w:color="auto"/>
      </w:divBdr>
    </w:div>
    <w:div w:id="1214585281">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360991">
      <w:bodyDiv w:val="1"/>
      <w:marLeft w:val="0"/>
      <w:marRight w:val="0"/>
      <w:marTop w:val="0"/>
      <w:marBottom w:val="0"/>
      <w:divBdr>
        <w:top w:val="none" w:sz="0" w:space="0" w:color="auto"/>
        <w:left w:val="none" w:sz="0" w:space="0" w:color="auto"/>
        <w:bottom w:val="none" w:sz="0" w:space="0" w:color="auto"/>
        <w:right w:val="none" w:sz="0" w:space="0" w:color="auto"/>
      </w:divBdr>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48915470">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58833514">
      <w:bodyDiv w:val="1"/>
      <w:marLeft w:val="0"/>
      <w:marRight w:val="0"/>
      <w:marTop w:val="0"/>
      <w:marBottom w:val="0"/>
      <w:divBdr>
        <w:top w:val="none" w:sz="0" w:space="0" w:color="auto"/>
        <w:left w:val="none" w:sz="0" w:space="0" w:color="auto"/>
        <w:bottom w:val="none" w:sz="0" w:space="0" w:color="auto"/>
        <w:right w:val="none" w:sz="0" w:space="0" w:color="auto"/>
      </w:divBdr>
    </w:div>
    <w:div w:id="2105150043">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4.xml><?xml version="1.0" encoding="utf-8"?>
<ds:datastoreItem xmlns:ds="http://schemas.openxmlformats.org/officeDocument/2006/customXml" ds:itemID="{FFC9E480-75FC-4C98-A753-1F068610A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9</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VANCUYLENBURG, Chrisanne</cp:lastModifiedBy>
  <cp:revision>91</cp:revision>
  <cp:lastPrinted>2023-08-24T00:08:00Z</cp:lastPrinted>
  <dcterms:created xsi:type="dcterms:W3CDTF">2019-12-24T00:13:00Z</dcterms:created>
  <dcterms:modified xsi:type="dcterms:W3CDTF">2023-08-24T04:48:00Z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