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5B9BA" w14:textId="77777777" w:rsidR="00814762" w:rsidRPr="00D51FA4" w:rsidRDefault="003D381C" w:rsidP="00801095">
      <w:pPr>
        <w:spacing w:before="0" w:after="120"/>
        <w:ind w:right="91"/>
        <w:jc w:val="center"/>
        <w:rPr>
          <w:rFonts w:ascii="Arial" w:hAnsi="Arial" w:cs="Arial"/>
          <w:b/>
          <w:szCs w:val="24"/>
        </w:rPr>
      </w:pPr>
      <w:r w:rsidRPr="00D51FA4">
        <w:rPr>
          <w:rFonts w:ascii="Arial" w:hAnsi="Arial" w:cs="Arial"/>
          <w:b/>
          <w:szCs w:val="24"/>
        </w:rPr>
        <w:t>Social Security (Administration) (Enhanced Income Management Regime—</w:t>
      </w:r>
      <w:r w:rsidR="0023207B" w:rsidRPr="00D51FA4">
        <w:rPr>
          <w:rFonts w:ascii="Arial" w:hAnsi="Arial" w:cs="Arial"/>
          <w:b/>
          <w:szCs w:val="24"/>
        </w:rPr>
        <w:t>Volunteers</w:t>
      </w:r>
      <w:r w:rsidRPr="00D51FA4">
        <w:rPr>
          <w:rFonts w:ascii="Arial" w:hAnsi="Arial" w:cs="Arial"/>
          <w:b/>
          <w:szCs w:val="24"/>
        </w:rPr>
        <w:t>) Determination 2023</w:t>
      </w:r>
    </w:p>
    <w:p w14:paraId="47830CC1" w14:textId="77777777" w:rsidR="003D381C" w:rsidRPr="00D51FA4" w:rsidRDefault="003D381C" w:rsidP="00801095">
      <w:pPr>
        <w:spacing w:before="0" w:after="120"/>
        <w:ind w:right="91"/>
        <w:jc w:val="center"/>
        <w:rPr>
          <w:rFonts w:ascii="Arial" w:hAnsi="Arial" w:cs="Arial"/>
          <w:szCs w:val="24"/>
        </w:rPr>
      </w:pPr>
    </w:p>
    <w:p w14:paraId="098D2F71" w14:textId="77777777" w:rsidR="00F328DA" w:rsidRPr="00D51FA4" w:rsidRDefault="002533F0" w:rsidP="00801095">
      <w:pPr>
        <w:spacing w:before="0" w:after="120"/>
        <w:ind w:right="91"/>
        <w:jc w:val="center"/>
        <w:rPr>
          <w:rFonts w:ascii="Arial" w:hAnsi="Arial" w:cs="Arial"/>
          <w:szCs w:val="24"/>
        </w:rPr>
      </w:pPr>
      <w:r w:rsidRPr="00D51FA4">
        <w:rPr>
          <w:rFonts w:ascii="Arial" w:hAnsi="Arial" w:cs="Arial"/>
          <w:szCs w:val="24"/>
        </w:rPr>
        <w:t>EXPLANATORY STATEMENT</w:t>
      </w:r>
      <w:r w:rsidR="00B54C30" w:rsidRPr="00D51FA4">
        <w:rPr>
          <w:rFonts w:ascii="Arial" w:hAnsi="Arial" w:cs="Arial"/>
          <w:szCs w:val="24"/>
        </w:rPr>
        <w:t xml:space="preserve"> </w:t>
      </w:r>
    </w:p>
    <w:p w14:paraId="0861C80A" w14:textId="77777777" w:rsidR="002533F0" w:rsidRPr="00D51FA4" w:rsidRDefault="002533F0" w:rsidP="00801095">
      <w:pPr>
        <w:spacing w:before="0"/>
        <w:ind w:right="91"/>
        <w:jc w:val="center"/>
        <w:rPr>
          <w:rFonts w:ascii="Arial" w:hAnsi="Arial" w:cs="Arial"/>
          <w:szCs w:val="24"/>
        </w:rPr>
      </w:pPr>
    </w:p>
    <w:p w14:paraId="2A43CDC6" w14:textId="77777777" w:rsidR="00272031" w:rsidRPr="00D51FA4" w:rsidRDefault="00272031" w:rsidP="00801095">
      <w:pPr>
        <w:spacing w:before="0"/>
        <w:ind w:right="91"/>
        <w:jc w:val="center"/>
        <w:rPr>
          <w:rFonts w:ascii="Arial" w:hAnsi="Arial" w:cs="Arial"/>
          <w:szCs w:val="24"/>
        </w:rPr>
      </w:pPr>
      <w:r w:rsidRPr="00D51FA4">
        <w:rPr>
          <w:rFonts w:ascii="Arial" w:hAnsi="Arial" w:cs="Arial"/>
          <w:szCs w:val="24"/>
        </w:rPr>
        <w:t xml:space="preserve">Issued by the authority of the </w:t>
      </w:r>
      <w:r w:rsidR="003D381C" w:rsidRPr="00D51FA4">
        <w:rPr>
          <w:rFonts w:ascii="Arial" w:hAnsi="Arial" w:cs="Arial"/>
          <w:szCs w:val="24"/>
        </w:rPr>
        <w:t>Minister for</w:t>
      </w:r>
      <w:r w:rsidRPr="00D51FA4">
        <w:rPr>
          <w:rFonts w:ascii="Arial" w:hAnsi="Arial" w:cs="Arial"/>
          <w:szCs w:val="24"/>
        </w:rPr>
        <w:t xml:space="preserve"> Social Services</w:t>
      </w:r>
    </w:p>
    <w:p w14:paraId="0639E9DE" w14:textId="77777777" w:rsidR="00272031" w:rsidRPr="00D51FA4" w:rsidRDefault="00272031" w:rsidP="00801095">
      <w:pPr>
        <w:spacing w:before="0"/>
        <w:ind w:right="91"/>
        <w:jc w:val="center"/>
        <w:rPr>
          <w:rFonts w:ascii="Arial" w:hAnsi="Arial" w:cs="Arial"/>
          <w:szCs w:val="24"/>
        </w:rPr>
      </w:pPr>
    </w:p>
    <w:p w14:paraId="76CDA151" w14:textId="77777777" w:rsidR="00272031" w:rsidRPr="00D51FA4" w:rsidRDefault="00272031" w:rsidP="00801095">
      <w:pPr>
        <w:spacing w:before="0"/>
        <w:ind w:right="91"/>
        <w:jc w:val="center"/>
        <w:rPr>
          <w:rFonts w:ascii="Arial" w:hAnsi="Arial" w:cs="Arial"/>
          <w:i/>
          <w:szCs w:val="24"/>
        </w:rPr>
      </w:pPr>
      <w:r w:rsidRPr="00D51FA4">
        <w:rPr>
          <w:rFonts w:ascii="Arial" w:hAnsi="Arial" w:cs="Arial"/>
          <w:i/>
          <w:szCs w:val="24"/>
        </w:rPr>
        <w:t>Social Security (Administration) Act 1999</w:t>
      </w:r>
    </w:p>
    <w:p w14:paraId="49B29F0E" w14:textId="77777777" w:rsidR="002533F0" w:rsidRPr="00D51FA4" w:rsidRDefault="002533F0" w:rsidP="006D6E51">
      <w:pPr>
        <w:spacing w:before="0"/>
        <w:ind w:right="91"/>
        <w:rPr>
          <w:rFonts w:ascii="Arial" w:hAnsi="Arial" w:cs="Arial"/>
          <w:i/>
          <w:szCs w:val="24"/>
        </w:rPr>
      </w:pPr>
    </w:p>
    <w:p w14:paraId="648CB506" w14:textId="77777777" w:rsidR="00263392" w:rsidRPr="00D51FA4" w:rsidRDefault="00263392" w:rsidP="00801095">
      <w:pPr>
        <w:spacing w:before="0"/>
        <w:ind w:right="91"/>
        <w:rPr>
          <w:rFonts w:ascii="Arial" w:hAnsi="Arial" w:cs="Arial"/>
          <w:b/>
          <w:szCs w:val="24"/>
        </w:rPr>
      </w:pPr>
    </w:p>
    <w:p w14:paraId="05099853" w14:textId="77777777" w:rsidR="002533F0" w:rsidRPr="00D51FA4" w:rsidRDefault="0083135C" w:rsidP="00801095">
      <w:pPr>
        <w:spacing w:before="0"/>
        <w:ind w:right="91"/>
        <w:rPr>
          <w:rFonts w:ascii="Arial" w:hAnsi="Arial" w:cs="Arial"/>
          <w:b/>
          <w:szCs w:val="24"/>
        </w:rPr>
      </w:pPr>
      <w:r w:rsidRPr="00D51FA4">
        <w:rPr>
          <w:rFonts w:ascii="Arial" w:hAnsi="Arial" w:cs="Arial"/>
          <w:b/>
          <w:szCs w:val="24"/>
        </w:rPr>
        <w:t>Purpose</w:t>
      </w:r>
    </w:p>
    <w:p w14:paraId="5C256644" w14:textId="77777777" w:rsidR="00263392" w:rsidRPr="00D51FA4" w:rsidRDefault="00263392" w:rsidP="00801095">
      <w:pPr>
        <w:spacing w:before="0"/>
        <w:ind w:right="91"/>
        <w:rPr>
          <w:rFonts w:ascii="Arial" w:hAnsi="Arial" w:cs="Arial"/>
          <w:b/>
          <w:szCs w:val="24"/>
        </w:rPr>
      </w:pPr>
    </w:p>
    <w:p w14:paraId="21D12ECC" w14:textId="77777777" w:rsidR="008F5351" w:rsidRPr="00D51FA4" w:rsidRDefault="00272031" w:rsidP="00801095">
      <w:pPr>
        <w:spacing w:before="0"/>
        <w:jc w:val="both"/>
        <w:rPr>
          <w:rStyle w:val="BookTitle"/>
          <w:rFonts w:ascii="Arial" w:hAnsi="Arial" w:cs="Arial"/>
          <w:i w:val="0"/>
          <w:iCs w:val="0"/>
          <w:smallCaps w:val="0"/>
          <w:spacing w:val="0"/>
          <w:szCs w:val="24"/>
        </w:rPr>
      </w:pPr>
      <w:r w:rsidRPr="00D51FA4">
        <w:rPr>
          <w:rStyle w:val="BookTitle"/>
          <w:rFonts w:ascii="Arial" w:hAnsi="Arial" w:cs="Arial"/>
          <w:i w:val="0"/>
          <w:iCs w:val="0"/>
          <w:smallCaps w:val="0"/>
          <w:spacing w:val="0"/>
          <w:szCs w:val="24"/>
        </w:rPr>
        <w:t xml:space="preserve">The </w:t>
      </w:r>
      <w:r w:rsidR="0023207B" w:rsidRPr="00D51FA4">
        <w:rPr>
          <w:rFonts w:ascii="Arial" w:hAnsi="Arial" w:cs="Arial"/>
          <w:szCs w:val="24"/>
        </w:rPr>
        <w:t>Social Security (Administration) (Enhanced Income Management Regime—Volunteers) Determination 2023</w:t>
      </w:r>
      <w:r w:rsidRPr="00D51FA4">
        <w:rPr>
          <w:rStyle w:val="BookTitle"/>
          <w:rFonts w:ascii="Arial" w:hAnsi="Arial" w:cs="Arial"/>
          <w:i w:val="0"/>
          <w:iCs w:val="0"/>
          <w:smallCaps w:val="0"/>
          <w:spacing w:val="0"/>
          <w:szCs w:val="24"/>
        </w:rPr>
        <w:t xml:space="preserve"> (the Determination) is made for the purpose of</w:t>
      </w:r>
      <w:r w:rsidR="00EF22BD" w:rsidRPr="00D51FA4">
        <w:rPr>
          <w:rStyle w:val="BookTitle"/>
          <w:rFonts w:ascii="Arial" w:hAnsi="Arial" w:cs="Arial"/>
          <w:i w:val="0"/>
          <w:iCs w:val="0"/>
          <w:smallCaps w:val="0"/>
          <w:spacing w:val="0"/>
          <w:szCs w:val="24"/>
        </w:rPr>
        <w:t xml:space="preserve"> enhanced income management (enhanced IM) in</w:t>
      </w:r>
      <w:r w:rsidRPr="00D51FA4">
        <w:rPr>
          <w:rStyle w:val="BookTitle"/>
          <w:rFonts w:ascii="Arial" w:hAnsi="Arial" w:cs="Arial"/>
          <w:i w:val="0"/>
          <w:iCs w:val="0"/>
          <w:smallCaps w:val="0"/>
          <w:spacing w:val="0"/>
          <w:szCs w:val="24"/>
        </w:rPr>
        <w:t xml:space="preserve"> Part</w:t>
      </w:r>
      <w:r w:rsidR="008F5351" w:rsidRPr="00D51FA4">
        <w:rPr>
          <w:rStyle w:val="BookTitle"/>
          <w:rFonts w:ascii="Arial" w:hAnsi="Arial" w:cs="Arial"/>
          <w:i w:val="0"/>
          <w:iCs w:val="0"/>
          <w:smallCaps w:val="0"/>
          <w:spacing w:val="0"/>
          <w:szCs w:val="24"/>
        </w:rPr>
        <w:t> </w:t>
      </w:r>
      <w:r w:rsidRPr="00D51FA4">
        <w:rPr>
          <w:rStyle w:val="BookTitle"/>
          <w:rFonts w:ascii="Arial" w:hAnsi="Arial" w:cs="Arial"/>
          <w:i w:val="0"/>
          <w:iCs w:val="0"/>
          <w:smallCaps w:val="0"/>
          <w:spacing w:val="0"/>
          <w:szCs w:val="24"/>
        </w:rPr>
        <w:t xml:space="preserve">3AA of the </w:t>
      </w:r>
      <w:r w:rsidRPr="00D51FA4">
        <w:rPr>
          <w:rStyle w:val="BookTitle"/>
          <w:rFonts w:ascii="Arial" w:hAnsi="Arial" w:cs="Arial"/>
          <w:iCs w:val="0"/>
          <w:smallCaps w:val="0"/>
          <w:spacing w:val="0"/>
          <w:szCs w:val="24"/>
        </w:rPr>
        <w:t>Social Security (Administration) Act 1999</w:t>
      </w:r>
      <w:r w:rsidRPr="00D51FA4">
        <w:rPr>
          <w:rStyle w:val="BookTitle"/>
          <w:rFonts w:ascii="Arial" w:hAnsi="Arial" w:cs="Arial"/>
          <w:i w:val="0"/>
          <w:iCs w:val="0"/>
          <w:smallCaps w:val="0"/>
          <w:spacing w:val="0"/>
          <w:szCs w:val="24"/>
        </w:rPr>
        <w:t xml:space="preserve"> (the Act).</w:t>
      </w:r>
      <w:r w:rsidR="00DE655A" w:rsidRPr="00D51FA4">
        <w:rPr>
          <w:rStyle w:val="BookTitle"/>
          <w:rFonts w:ascii="Arial" w:hAnsi="Arial" w:cs="Arial"/>
          <w:i w:val="0"/>
          <w:iCs w:val="0"/>
          <w:smallCaps w:val="0"/>
          <w:spacing w:val="0"/>
          <w:szCs w:val="24"/>
        </w:rPr>
        <w:t xml:space="preserve"> </w:t>
      </w:r>
    </w:p>
    <w:p w14:paraId="70FD17C1" w14:textId="77777777" w:rsidR="00FC2072" w:rsidRPr="00D51FA4" w:rsidRDefault="00FC2072" w:rsidP="00801095">
      <w:pPr>
        <w:spacing w:before="0"/>
        <w:jc w:val="both"/>
        <w:rPr>
          <w:rStyle w:val="BookTitle"/>
          <w:rFonts w:ascii="Arial" w:hAnsi="Arial" w:cs="Arial"/>
          <w:i w:val="0"/>
          <w:iCs w:val="0"/>
          <w:smallCaps w:val="0"/>
          <w:spacing w:val="0"/>
          <w:szCs w:val="24"/>
        </w:rPr>
      </w:pPr>
    </w:p>
    <w:p w14:paraId="38854A8A" w14:textId="77777777" w:rsidR="00FC2072" w:rsidRPr="00D51FA4" w:rsidRDefault="00FC2072" w:rsidP="00801095">
      <w:pPr>
        <w:spacing w:before="0"/>
        <w:jc w:val="both"/>
        <w:rPr>
          <w:rStyle w:val="BookTitle"/>
          <w:rFonts w:ascii="Arial" w:hAnsi="Arial" w:cs="Arial"/>
          <w:i w:val="0"/>
          <w:iCs w:val="0"/>
          <w:smallCaps w:val="0"/>
          <w:spacing w:val="0"/>
          <w:szCs w:val="24"/>
        </w:rPr>
      </w:pPr>
      <w:r w:rsidRPr="00D51FA4">
        <w:rPr>
          <w:rStyle w:val="BookTitle"/>
          <w:rFonts w:ascii="Arial" w:hAnsi="Arial" w:cs="Arial"/>
          <w:i w:val="0"/>
          <w:iCs w:val="0"/>
          <w:smallCaps w:val="0"/>
          <w:spacing w:val="0"/>
          <w:szCs w:val="24"/>
        </w:rPr>
        <w:t>The effect of the Determination is to enable individuals to participate in the enhanced IM regime on a voluntary basis (section 123SF</w:t>
      </w:r>
      <w:r w:rsidR="008A7BBC" w:rsidRPr="00D51FA4">
        <w:rPr>
          <w:rStyle w:val="BookTitle"/>
          <w:rFonts w:ascii="Arial" w:hAnsi="Arial" w:cs="Arial"/>
          <w:i w:val="0"/>
          <w:iCs w:val="0"/>
          <w:smallCaps w:val="0"/>
          <w:spacing w:val="0"/>
          <w:szCs w:val="24"/>
        </w:rPr>
        <w:t xml:space="preserve"> of the Act</w:t>
      </w:r>
      <w:r w:rsidRPr="00D51FA4">
        <w:rPr>
          <w:rStyle w:val="BookTitle"/>
          <w:rFonts w:ascii="Arial" w:hAnsi="Arial" w:cs="Arial"/>
          <w:i w:val="0"/>
          <w:iCs w:val="0"/>
          <w:smallCaps w:val="0"/>
          <w:spacing w:val="0"/>
          <w:szCs w:val="24"/>
        </w:rPr>
        <w:t xml:space="preserve">). </w:t>
      </w:r>
    </w:p>
    <w:p w14:paraId="6C895AAF" w14:textId="77777777" w:rsidR="004A37C7" w:rsidRPr="00D51FA4" w:rsidRDefault="004A37C7" w:rsidP="0023207B">
      <w:pPr>
        <w:spacing w:before="0"/>
        <w:jc w:val="both"/>
        <w:rPr>
          <w:rStyle w:val="BookTitle"/>
          <w:rFonts w:ascii="Arial" w:hAnsi="Arial" w:cs="Arial"/>
          <w:i w:val="0"/>
          <w:iCs w:val="0"/>
          <w:smallCaps w:val="0"/>
          <w:spacing w:val="0"/>
          <w:szCs w:val="24"/>
        </w:rPr>
      </w:pPr>
    </w:p>
    <w:p w14:paraId="6C68E182" w14:textId="77777777" w:rsidR="0023207B" w:rsidRPr="00D51FA4" w:rsidRDefault="005D447D" w:rsidP="0023207B">
      <w:pPr>
        <w:spacing w:before="0"/>
        <w:jc w:val="both"/>
        <w:rPr>
          <w:rStyle w:val="BookTitle"/>
          <w:rFonts w:ascii="Arial" w:hAnsi="Arial" w:cs="Arial"/>
          <w:i w:val="0"/>
          <w:iCs w:val="0"/>
          <w:smallCaps w:val="0"/>
          <w:spacing w:val="0"/>
          <w:szCs w:val="24"/>
        </w:rPr>
      </w:pPr>
      <w:r w:rsidRPr="00D51FA4">
        <w:rPr>
          <w:rStyle w:val="BookTitle"/>
          <w:rFonts w:ascii="Arial" w:hAnsi="Arial" w:cs="Arial"/>
          <w:i w:val="0"/>
          <w:iCs w:val="0"/>
          <w:smallCaps w:val="0"/>
          <w:spacing w:val="0"/>
          <w:szCs w:val="24"/>
        </w:rPr>
        <w:t xml:space="preserve">The Determination enables a person </w:t>
      </w:r>
      <w:r w:rsidR="009A4355" w:rsidRPr="00D51FA4">
        <w:rPr>
          <w:rStyle w:val="BookTitle"/>
          <w:rFonts w:ascii="Arial" w:hAnsi="Arial" w:cs="Arial"/>
          <w:i w:val="0"/>
          <w:iCs w:val="0"/>
          <w:smallCaps w:val="0"/>
          <w:spacing w:val="0"/>
          <w:szCs w:val="24"/>
        </w:rPr>
        <w:t xml:space="preserve">whose usual place of residence is within a declared voluntary </w:t>
      </w:r>
      <w:r w:rsidR="004A37C7" w:rsidRPr="00D51FA4">
        <w:rPr>
          <w:rStyle w:val="BookTitle"/>
          <w:rFonts w:ascii="Arial" w:hAnsi="Arial" w:cs="Arial"/>
          <w:i w:val="0"/>
          <w:iCs w:val="0"/>
          <w:smallCaps w:val="0"/>
          <w:spacing w:val="0"/>
          <w:szCs w:val="24"/>
        </w:rPr>
        <w:t xml:space="preserve">enhanced </w:t>
      </w:r>
      <w:r w:rsidR="00544F03" w:rsidRPr="00D51FA4">
        <w:rPr>
          <w:rStyle w:val="BookTitle"/>
          <w:rFonts w:ascii="Arial" w:hAnsi="Arial" w:cs="Arial"/>
          <w:i w:val="0"/>
          <w:iCs w:val="0"/>
          <w:smallCaps w:val="0"/>
          <w:spacing w:val="0"/>
          <w:szCs w:val="24"/>
        </w:rPr>
        <w:t>IM</w:t>
      </w:r>
      <w:r w:rsidR="009A4355" w:rsidRPr="00D51FA4">
        <w:rPr>
          <w:rStyle w:val="BookTitle"/>
          <w:rFonts w:ascii="Arial" w:hAnsi="Arial" w:cs="Arial"/>
          <w:i w:val="0"/>
          <w:iCs w:val="0"/>
          <w:smallCaps w:val="0"/>
          <w:spacing w:val="0"/>
          <w:szCs w:val="24"/>
        </w:rPr>
        <w:t xml:space="preserve"> area </w:t>
      </w:r>
      <w:r w:rsidRPr="00D51FA4">
        <w:rPr>
          <w:rStyle w:val="BookTitle"/>
          <w:rFonts w:ascii="Arial" w:hAnsi="Arial" w:cs="Arial"/>
          <w:i w:val="0"/>
          <w:iCs w:val="0"/>
          <w:smallCaps w:val="0"/>
          <w:spacing w:val="0"/>
          <w:szCs w:val="24"/>
        </w:rPr>
        <w:t xml:space="preserve">to </w:t>
      </w:r>
      <w:r w:rsidR="009A4355" w:rsidRPr="00D51FA4">
        <w:rPr>
          <w:rStyle w:val="BookTitle"/>
          <w:rFonts w:ascii="Arial" w:hAnsi="Arial" w:cs="Arial"/>
          <w:i w:val="0"/>
          <w:iCs w:val="0"/>
          <w:smallCaps w:val="0"/>
          <w:spacing w:val="0"/>
          <w:szCs w:val="24"/>
        </w:rPr>
        <w:t>enter into a written agreement with the Secretary under which the person agrees to be voluntarily subject to the enhanced IM regime.</w:t>
      </w:r>
      <w:r w:rsidR="002618CE" w:rsidRPr="00D51FA4">
        <w:rPr>
          <w:rStyle w:val="BookTitle"/>
          <w:rFonts w:ascii="Arial" w:hAnsi="Arial" w:cs="Arial"/>
          <w:i w:val="0"/>
          <w:iCs w:val="0"/>
          <w:smallCaps w:val="0"/>
          <w:spacing w:val="0"/>
          <w:szCs w:val="24"/>
        </w:rPr>
        <w:t xml:space="preserve"> If the various criteria under the applicable provisions are satisfied, a portion of the person’s relevant welfare payments will be directed to their priority needs, such as food, clothing and shelter of the person and their dependents.</w:t>
      </w:r>
    </w:p>
    <w:p w14:paraId="0EA034D6" w14:textId="77777777" w:rsidR="0015134A" w:rsidRPr="00D51FA4" w:rsidRDefault="0015134A" w:rsidP="00801095">
      <w:pPr>
        <w:jc w:val="both"/>
        <w:rPr>
          <w:rStyle w:val="BookTitle"/>
          <w:rFonts w:ascii="Arial" w:hAnsi="Arial" w:cs="Arial"/>
          <w:b/>
          <w:i w:val="0"/>
          <w:iCs w:val="0"/>
          <w:smallCaps w:val="0"/>
          <w:spacing w:val="0"/>
          <w:szCs w:val="24"/>
        </w:rPr>
      </w:pPr>
      <w:r w:rsidRPr="00D51FA4">
        <w:rPr>
          <w:rStyle w:val="BookTitle"/>
          <w:rFonts w:ascii="Arial" w:hAnsi="Arial" w:cs="Arial"/>
          <w:b/>
          <w:i w:val="0"/>
          <w:iCs w:val="0"/>
          <w:smallCaps w:val="0"/>
          <w:spacing w:val="0"/>
          <w:szCs w:val="24"/>
        </w:rPr>
        <w:t>Background</w:t>
      </w:r>
    </w:p>
    <w:p w14:paraId="3317ABEB" w14:textId="77777777" w:rsidR="005D447D" w:rsidRPr="00D51FA4" w:rsidRDefault="005D447D" w:rsidP="005D447D">
      <w:pPr>
        <w:spacing w:before="0"/>
        <w:jc w:val="both"/>
        <w:rPr>
          <w:rFonts w:ascii="Arial" w:hAnsi="Arial" w:cs="Arial"/>
          <w:szCs w:val="24"/>
        </w:rPr>
      </w:pPr>
    </w:p>
    <w:p w14:paraId="2E2B165C" w14:textId="77777777" w:rsidR="008A7BBC" w:rsidRPr="00D51FA4" w:rsidRDefault="008A7BBC" w:rsidP="008A7BBC">
      <w:pPr>
        <w:spacing w:before="0"/>
        <w:jc w:val="both"/>
        <w:rPr>
          <w:rFonts w:ascii="Arial" w:hAnsi="Arial" w:cs="Arial"/>
        </w:rPr>
      </w:pPr>
      <w:r w:rsidRPr="00D51FA4">
        <w:rPr>
          <w:rFonts w:ascii="Arial" w:hAnsi="Arial" w:cs="Arial"/>
          <w:szCs w:val="24"/>
        </w:rPr>
        <w:t xml:space="preserve">The enhanced IM regime in Part 3AA was inserted into the Act by the </w:t>
      </w:r>
      <w:r w:rsidRPr="00D51FA4">
        <w:rPr>
          <w:rFonts w:ascii="Arial" w:hAnsi="Arial" w:cs="Arial"/>
          <w:i/>
        </w:rPr>
        <w:t xml:space="preserve">Social Security (Administration) Amendment (Repeal of Cashless Debit Card and Other Measures) Act 2022 </w:t>
      </w:r>
      <w:r w:rsidRPr="00D51FA4">
        <w:rPr>
          <w:rFonts w:ascii="Arial" w:hAnsi="Arial" w:cs="Arial"/>
        </w:rPr>
        <w:t xml:space="preserve">(CDC Repeal Act) and began operating from 6 March 2023. </w:t>
      </w:r>
    </w:p>
    <w:p w14:paraId="4605A5E8" w14:textId="77777777" w:rsidR="008A7BBC" w:rsidRPr="00D51FA4" w:rsidRDefault="008A7BBC" w:rsidP="008A7BBC">
      <w:pPr>
        <w:spacing w:before="0"/>
        <w:jc w:val="both"/>
        <w:rPr>
          <w:rFonts w:ascii="Arial" w:hAnsi="Arial" w:cs="Arial"/>
          <w:szCs w:val="24"/>
        </w:rPr>
      </w:pPr>
    </w:p>
    <w:p w14:paraId="61BA90FE" w14:textId="77777777" w:rsidR="008A7BBC" w:rsidRPr="00D51FA4" w:rsidRDefault="008A7BBC" w:rsidP="008A7BBC">
      <w:pPr>
        <w:spacing w:before="0"/>
        <w:jc w:val="both"/>
        <w:rPr>
          <w:rFonts w:ascii="Arial" w:hAnsi="Arial" w:cs="Arial"/>
          <w:szCs w:val="24"/>
        </w:rPr>
      </w:pPr>
      <w:r w:rsidRPr="00D51FA4">
        <w:rPr>
          <w:rFonts w:ascii="Arial" w:hAnsi="Arial" w:cs="Arial"/>
          <w:szCs w:val="24"/>
        </w:rPr>
        <w:t xml:space="preserve">The purpose of the enhanced IM regime is to ensure that welfare payments are not spent on products and services that contribute to social harm and, in conjunction with a support </w:t>
      </w:r>
      <w:r w:rsidR="00B23B24" w:rsidRPr="00D51FA4">
        <w:rPr>
          <w:rFonts w:ascii="Arial" w:hAnsi="Arial" w:cs="Arial"/>
          <w:szCs w:val="24"/>
        </w:rPr>
        <w:t xml:space="preserve">services </w:t>
      </w:r>
      <w:r w:rsidRPr="00D51FA4">
        <w:rPr>
          <w:rFonts w:ascii="Arial" w:hAnsi="Arial" w:cs="Arial"/>
          <w:szCs w:val="24"/>
        </w:rPr>
        <w:t xml:space="preserve">program, to provide budgeting support for participants. </w:t>
      </w:r>
    </w:p>
    <w:p w14:paraId="4D5946B3" w14:textId="12D55638" w:rsidR="008A7BBC" w:rsidRPr="00D51FA4" w:rsidRDefault="008A7BBC" w:rsidP="008A7BBC">
      <w:pPr>
        <w:jc w:val="both"/>
        <w:rPr>
          <w:rFonts w:ascii="Arial" w:hAnsi="Arial" w:cs="Arial"/>
          <w:szCs w:val="24"/>
        </w:rPr>
      </w:pPr>
      <w:r w:rsidRPr="00D51FA4">
        <w:rPr>
          <w:rFonts w:ascii="Arial" w:hAnsi="Arial" w:cs="Arial"/>
        </w:rPr>
        <w:t xml:space="preserve">Welfare recipients who are subject to the enhanced IM regime will have access to a BasicsCard bank account </w:t>
      </w:r>
      <w:r w:rsidR="00D56629" w:rsidRPr="00D51FA4">
        <w:rPr>
          <w:rFonts w:ascii="Arial" w:hAnsi="Arial" w:cs="Arial"/>
        </w:rPr>
        <w:t>with an associated</w:t>
      </w:r>
      <w:r w:rsidRPr="00D51FA4">
        <w:rPr>
          <w:rFonts w:ascii="Arial" w:hAnsi="Arial" w:cs="Arial"/>
        </w:rPr>
        <w:t xml:space="preserve"> debit </w:t>
      </w:r>
      <w:r w:rsidRPr="00D51FA4">
        <w:rPr>
          <w:rFonts w:ascii="Arial" w:hAnsi="Arial" w:cs="Arial"/>
          <w:lang w:val="en-US"/>
        </w:rPr>
        <w:t xml:space="preserve">card (known as a SmartCard) </w:t>
      </w:r>
      <w:r w:rsidRPr="00D51FA4">
        <w:rPr>
          <w:rFonts w:ascii="Arial" w:hAnsi="Arial" w:cs="Arial"/>
        </w:rPr>
        <w:t xml:space="preserve">that operates like a standard Visa </w:t>
      </w:r>
      <w:r w:rsidR="00B23B24" w:rsidRPr="00D51FA4">
        <w:rPr>
          <w:rFonts w:ascii="Arial" w:hAnsi="Arial" w:cs="Arial"/>
        </w:rPr>
        <w:t>D</w:t>
      </w:r>
      <w:r w:rsidRPr="00D51FA4">
        <w:rPr>
          <w:rFonts w:ascii="Arial" w:hAnsi="Arial" w:cs="Arial"/>
        </w:rPr>
        <w:t xml:space="preserve">ebit card (except that cash cannot be withdrawn). A SmartCard can be used to make purchases at most merchants who can undertake </w:t>
      </w:r>
      <w:r w:rsidR="003F6675" w:rsidRPr="00D51FA4">
        <w:rPr>
          <w:rFonts w:ascii="Arial" w:hAnsi="Arial" w:cs="Arial"/>
        </w:rPr>
        <w:t>eftpos</w:t>
      </w:r>
      <w:r w:rsidRPr="00D51FA4">
        <w:rPr>
          <w:rFonts w:ascii="Arial" w:hAnsi="Arial" w:cs="Arial"/>
        </w:rPr>
        <w:t xml:space="preserve"> transactions unless </w:t>
      </w:r>
      <w:r w:rsidR="00D56629" w:rsidRPr="00D51FA4">
        <w:rPr>
          <w:rFonts w:ascii="Arial" w:hAnsi="Arial" w:cs="Arial"/>
        </w:rPr>
        <w:t xml:space="preserve">they </w:t>
      </w:r>
      <w:r w:rsidRPr="00D51FA4">
        <w:rPr>
          <w:rFonts w:ascii="Arial" w:hAnsi="Arial" w:cs="Arial"/>
        </w:rPr>
        <w:t>primarily offer excluded goods or excluded services. People subject to the enhanced IM regime are also able to access a range of mainstream banking functions including ‘Tap and Go’ payments, online shopping and BPAY. This means that t</w:t>
      </w:r>
      <w:r w:rsidRPr="00D51FA4">
        <w:rPr>
          <w:rFonts w:ascii="Arial" w:hAnsi="Arial" w:cs="Arial"/>
          <w:szCs w:val="24"/>
        </w:rPr>
        <w:t>he enhanced IM regime operates superior technology to that available under the income management (IM) regime in Part 3B of the Act while operating under a similar legislative framework.</w:t>
      </w:r>
    </w:p>
    <w:p w14:paraId="74FA267A" w14:textId="77777777" w:rsidR="008A7BBC" w:rsidRPr="00D51FA4" w:rsidRDefault="008A7BBC" w:rsidP="008A7BBC">
      <w:pPr>
        <w:spacing w:before="0"/>
        <w:jc w:val="both"/>
        <w:rPr>
          <w:rFonts w:ascii="Arial" w:hAnsi="Arial" w:cs="Arial"/>
          <w:szCs w:val="24"/>
        </w:rPr>
      </w:pPr>
    </w:p>
    <w:p w14:paraId="3BA31446" w14:textId="6D71E665" w:rsidR="008A7BBC" w:rsidRPr="00D51FA4" w:rsidRDefault="008A7BBC" w:rsidP="008A7BBC">
      <w:pPr>
        <w:spacing w:before="0"/>
        <w:jc w:val="both"/>
        <w:rPr>
          <w:rFonts w:ascii="Arial" w:hAnsi="Arial" w:cs="Arial"/>
        </w:rPr>
      </w:pPr>
      <w:r w:rsidRPr="00D51FA4">
        <w:rPr>
          <w:rFonts w:ascii="Arial" w:hAnsi="Arial" w:cs="Arial"/>
        </w:rPr>
        <w:lastRenderedPageBreak/>
        <w:t xml:space="preserve">The </w:t>
      </w:r>
      <w:r w:rsidRPr="00D51FA4">
        <w:rPr>
          <w:rFonts w:ascii="Arial" w:hAnsi="Arial" w:cs="Arial"/>
          <w:i/>
        </w:rPr>
        <w:t xml:space="preserve">Social Security (Administration) Amendment (Income Management Reform) </w:t>
      </w:r>
      <w:r w:rsidR="00E6524B" w:rsidRPr="00D51FA4">
        <w:rPr>
          <w:rFonts w:ascii="Arial" w:hAnsi="Arial" w:cs="Arial"/>
          <w:i/>
        </w:rPr>
        <w:t>Act</w:t>
      </w:r>
      <w:r w:rsidR="00D56629" w:rsidRPr="00D51FA4">
        <w:rPr>
          <w:rFonts w:ascii="Arial" w:hAnsi="Arial" w:cs="Arial"/>
          <w:i/>
        </w:rPr>
        <w:t xml:space="preserve"> </w:t>
      </w:r>
      <w:r w:rsidRPr="00D51FA4">
        <w:rPr>
          <w:rFonts w:ascii="Arial" w:hAnsi="Arial" w:cs="Arial"/>
          <w:i/>
        </w:rPr>
        <w:t xml:space="preserve">2023 </w:t>
      </w:r>
      <w:r w:rsidRPr="00D51FA4">
        <w:rPr>
          <w:rFonts w:ascii="Arial" w:hAnsi="Arial" w:cs="Arial"/>
        </w:rPr>
        <w:t xml:space="preserve">(IM Reform </w:t>
      </w:r>
      <w:r w:rsidR="00E6524B" w:rsidRPr="00D51FA4">
        <w:rPr>
          <w:rFonts w:ascii="Arial" w:hAnsi="Arial" w:cs="Arial"/>
        </w:rPr>
        <w:t>Act</w:t>
      </w:r>
      <w:r w:rsidRPr="00D51FA4">
        <w:rPr>
          <w:rFonts w:ascii="Arial" w:hAnsi="Arial" w:cs="Arial"/>
        </w:rPr>
        <w:t xml:space="preserve">) </w:t>
      </w:r>
      <w:r w:rsidR="00291C3C" w:rsidRPr="00D51FA4">
        <w:rPr>
          <w:rFonts w:ascii="Arial" w:hAnsi="Arial" w:cs="Arial"/>
        </w:rPr>
        <w:t xml:space="preserve">will </w:t>
      </w:r>
      <w:r w:rsidRPr="00D51FA4">
        <w:rPr>
          <w:rFonts w:ascii="Arial" w:hAnsi="Arial" w:cs="Arial"/>
        </w:rPr>
        <w:t>expand access to enhanced IM by including all of the same measures that are in place for the IM regime in Part 3B</w:t>
      </w:r>
      <w:r w:rsidR="00B23B24" w:rsidRPr="00D51FA4">
        <w:rPr>
          <w:rFonts w:ascii="Arial" w:hAnsi="Arial" w:cs="Arial"/>
        </w:rPr>
        <w:t xml:space="preserve"> of the Act</w:t>
      </w:r>
      <w:r w:rsidRPr="00D51FA4">
        <w:rPr>
          <w:rFonts w:ascii="Arial" w:hAnsi="Arial" w:cs="Arial"/>
        </w:rPr>
        <w:t xml:space="preserve">. This allows people subject to the IM regime under Part 3B the choice to move to enhanced IM as well as allowing new entrants that meet the eligibility criteria to enter enhanced IM. </w:t>
      </w:r>
    </w:p>
    <w:p w14:paraId="7A4DA84E" w14:textId="77777777" w:rsidR="005D447D" w:rsidRPr="00D51FA4" w:rsidRDefault="008A7BBC" w:rsidP="005D447D">
      <w:pPr>
        <w:spacing w:before="0"/>
        <w:jc w:val="both"/>
        <w:rPr>
          <w:rFonts w:ascii="Arial" w:hAnsi="Arial" w:cs="Arial"/>
          <w:szCs w:val="24"/>
        </w:rPr>
      </w:pPr>
      <w:r w:rsidRPr="00D51FA4">
        <w:rPr>
          <w:rFonts w:ascii="Arial" w:hAnsi="Arial" w:cs="Arial"/>
        </w:rPr>
        <w:br/>
      </w:r>
      <w:r w:rsidRPr="00D51FA4">
        <w:rPr>
          <w:rFonts w:ascii="Arial" w:hAnsi="Arial" w:cs="Arial"/>
          <w:szCs w:val="24"/>
        </w:rPr>
        <w:t xml:space="preserve">Part 3B </w:t>
      </w:r>
      <w:r w:rsidR="00D56629" w:rsidRPr="00D51FA4">
        <w:rPr>
          <w:rFonts w:ascii="Arial" w:hAnsi="Arial" w:cs="Arial"/>
          <w:szCs w:val="24"/>
        </w:rPr>
        <w:t xml:space="preserve">of the Act </w:t>
      </w:r>
      <w:r w:rsidRPr="00D51FA4">
        <w:rPr>
          <w:rFonts w:ascii="Arial" w:hAnsi="Arial" w:cs="Arial"/>
          <w:szCs w:val="24"/>
        </w:rPr>
        <w:t xml:space="preserve">has been operating in some form for more than 15 years, and over that time a large number of legislative instruments have been made to facilitate its operation. </w:t>
      </w:r>
      <w:r w:rsidR="00D56629" w:rsidRPr="00D51FA4">
        <w:rPr>
          <w:rFonts w:ascii="Arial" w:hAnsi="Arial" w:cs="Arial"/>
          <w:szCs w:val="24"/>
        </w:rPr>
        <w:t xml:space="preserve">Similarly, </w:t>
      </w:r>
      <w:r w:rsidRPr="00D51FA4">
        <w:rPr>
          <w:rFonts w:ascii="Arial" w:hAnsi="Arial" w:cs="Arial"/>
          <w:szCs w:val="24"/>
        </w:rPr>
        <w:t>Part 3AA</w:t>
      </w:r>
      <w:r w:rsidR="00D56629" w:rsidRPr="00D51FA4">
        <w:rPr>
          <w:rFonts w:ascii="Arial" w:hAnsi="Arial" w:cs="Arial"/>
          <w:szCs w:val="24"/>
        </w:rPr>
        <w:t xml:space="preserve"> of the Act</w:t>
      </w:r>
      <w:r w:rsidRPr="00D51FA4">
        <w:rPr>
          <w:rFonts w:ascii="Arial" w:hAnsi="Arial" w:cs="Arial"/>
          <w:szCs w:val="24"/>
        </w:rPr>
        <w:t xml:space="preserve"> requires legislative instruments to operate</w:t>
      </w:r>
      <w:r w:rsidR="00D56629" w:rsidRPr="00D51FA4">
        <w:rPr>
          <w:rFonts w:ascii="Arial" w:hAnsi="Arial" w:cs="Arial"/>
          <w:szCs w:val="24"/>
        </w:rPr>
        <w:t>.</w:t>
      </w:r>
      <w:r w:rsidRPr="00D51FA4">
        <w:rPr>
          <w:rFonts w:ascii="Arial" w:hAnsi="Arial" w:cs="Arial"/>
          <w:szCs w:val="24"/>
        </w:rPr>
        <w:t xml:space="preserve"> </w:t>
      </w:r>
      <w:r w:rsidR="00D56629" w:rsidRPr="00D51FA4">
        <w:rPr>
          <w:rFonts w:ascii="Arial" w:hAnsi="Arial" w:cs="Arial"/>
          <w:szCs w:val="24"/>
        </w:rPr>
        <w:t>Many of the instruments necessary to operationalise aspects of enhanced IM</w:t>
      </w:r>
      <w:r w:rsidRPr="00D51FA4">
        <w:rPr>
          <w:rFonts w:ascii="Arial" w:hAnsi="Arial" w:cs="Arial"/>
          <w:szCs w:val="24"/>
        </w:rPr>
        <w:t xml:space="preserve"> are equivalent to existing IM instruments. </w:t>
      </w:r>
      <w:r w:rsidR="00C6276F" w:rsidRPr="00D51FA4">
        <w:rPr>
          <w:rFonts w:ascii="Arial" w:hAnsi="Arial" w:cs="Arial"/>
          <w:szCs w:val="24"/>
        </w:rPr>
        <w:t>W</w:t>
      </w:r>
      <w:r w:rsidRPr="00D51FA4">
        <w:rPr>
          <w:rFonts w:ascii="Arial" w:hAnsi="Arial" w:cs="Arial"/>
          <w:szCs w:val="24"/>
        </w:rPr>
        <w:t xml:space="preserve">here an instrument is required under the enhanced IM regime, the content of the </w:t>
      </w:r>
      <w:r w:rsidR="00C6276F" w:rsidRPr="00D51FA4">
        <w:rPr>
          <w:rFonts w:ascii="Arial" w:hAnsi="Arial" w:cs="Arial"/>
          <w:szCs w:val="24"/>
        </w:rPr>
        <w:t xml:space="preserve">equivalent </w:t>
      </w:r>
      <w:r w:rsidRPr="00D51FA4">
        <w:rPr>
          <w:rFonts w:ascii="Arial" w:hAnsi="Arial" w:cs="Arial"/>
          <w:szCs w:val="24"/>
        </w:rPr>
        <w:t xml:space="preserve">IM instruments has been adapted and consolidated into a select number of enhanced IM instruments rather than replicating each instrument individually. </w:t>
      </w:r>
      <w:r w:rsidR="005D447D" w:rsidRPr="00D51FA4">
        <w:rPr>
          <w:rFonts w:ascii="Arial" w:hAnsi="Arial" w:cs="Arial"/>
          <w:szCs w:val="24"/>
        </w:rPr>
        <w:t xml:space="preserve"> </w:t>
      </w:r>
    </w:p>
    <w:p w14:paraId="103EA13D" w14:textId="77777777" w:rsidR="005D447D" w:rsidRPr="00D51FA4" w:rsidRDefault="005D447D" w:rsidP="0023207B">
      <w:pPr>
        <w:spacing w:before="0"/>
        <w:jc w:val="both"/>
        <w:rPr>
          <w:rFonts w:ascii="Arial" w:hAnsi="Arial" w:cs="Arial"/>
          <w:szCs w:val="24"/>
        </w:rPr>
      </w:pPr>
    </w:p>
    <w:p w14:paraId="4DBC6006" w14:textId="77777777" w:rsidR="009D3CFE" w:rsidRPr="00D51FA4" w:rsidRDefault="00D56629" w:rsidP="00801095">
      <w:pPr>
        <w:spacing w:before="0"/>
        <w:jc w:val="both"/>
        <w:rPr>
          <w:rFonts w:ascii="Arial" w:hAnsi="Arial" w:cs="Arial"/>
          <w:szCs w:val="24"/>
        </w:rPr>
      </w:pPr>
      <w:r w:rsidRPr="00D51FA4">
        <w:rPr>
          <w:rFonts w:ascii="Arial" w:hAnsi="Arial" w:cs="Arial"/>
          <w:szCs w:val="24"/>
        </w:rPr>
        <w:t>T</w:t>
      </w:r>
      <w:r w:rsidR="009D3CFE" w:rsidRPr="00D51FA4">
        <w:rPr>
          <w:rFonts w:ascii="Arial" w:hAnsi="Arial" w:cs="Arial"/>
          <w:szCs w:val="24"/>
        </w:rPr>
        <w:t xml:space="preserve">his Determination </w:t>
      </w:r>
      <w:r w:rsidR="00C6276F" w:rsidRPr="00D51FA4">
        <w:rPr>
          <w:rFonts w:ascii="Arial" w:hAnsi="Arial" w:cs="Arial"/>
          <w:szCs w:val="24"/>
        </w:rPr>
        <w:t>reflects</w:t>
      </w:r>
      <w:r w:rsidR="009D3CFE" w:rsidRPr="00D51FA4">
        <w:rPr>
          <w:rFonts w:ascii="Arial" w:hAnsi="Arial" w:cs="Arial"/>
          <w:szCs w:val="24"/>
        </w:rPr>
        <w:t xml:space="preserve"> the content of 4 instruments made under Part 3B</w:t>
      </w:r>
      <w:r w:rsidRPr="00D51FA4">
        <w:rPr>
          <w:rFonts w:ascii="Arial" w:hAnsi="Arial" w:cs="Arial"/>
          <w:szCs w:val="24"/>
        </w:rPr>
        <w:t xml:space="preserve"> of the Act</w:t>
      </w:r>
      <w:r w:rsidR="009D3CFE" w:rsidRPr="00D51FA4">
        <w:rPr>
          <w:rFonts w:ascii="Arial" w:hAnsi="Arial" w:cs="Arial"/>
          <w:szCs w:val="24"/>
        </w:rPr>
        <w:t xml:space="preserve"> into a single instrument, specifying locations </w:t>
      </w:r>
      <w:r w:rsidRPr="00D51FA4">
        <w:rPr>
          <w:rFonts w:ascii="Arial" w:hAnsi="Arial" w:cs="Arial"/>
          <w:szCs w:val="24"/>
        </w:rPr>
        <w:t xml:space="preserve">in which welfare recipients can volunteer for </w:t>
      </w:r>
      <w:r w:rsidR="009D3CFE" w:rsidRPr="00D51FA4">
        <w:rPr>
          <w:rFonts w:ascii="Arial" w:hAnsi="Arial" w:cs="Arial"/>
          <w:szCs w:val="24"/>
        </w:rPr>
        <w:t>enhanced IM.</w:t>
      </w:r>
    </w:p>
    <w:p w14:paraId="4EBCAF3B" w14:textId="77777777" w:rsidR="002618CE" w:rsidRPr="00D51FA4" w:rsidRDefault="002618CE" w:rsidP="0023207B">
      <w:pPr>
        <w:spacing w:before="0"/>
        <w:jc w:val="both"/>
        <w:rPr>
          <w:rFonts w:ascii="Arial" w:hAnsi="Arial" w:cs="Arial"/>
          <w:i/>
          <w:szCs w:val="24"/>
        </w:rPr>
      </w:pPr>
    </w:p>
    <w:p w14:paraId="379B373C" w14:textId="77777777" w:rsidR="0023207B" w:rsidRPr="00D51FA4" w:rsidRDefault="0023207B" w:rsidP="0023207B">
      <w:pPr>
        <w:spacing w:before="0"/>
        <w:jc w:val="both"/>
        <w:rPr>
          <w:rFonts w:ascii="Arial" w:hAnsi="Arial" w:cs="Arial"/>
          <w:szCs w:val="24"/>
        </w:rPr>
      </w:pPr>
      <w:r w:rsidRPr="00D51FA4">
        <w:rPr>
          <w:rFonts w:ascii="Arial" w:hAnsi="Arial" w:cs="Arial"/>
          <w:szCs w:val="24"/>
          <w:u w:val="single"/>
        </w:rPr>
        <w:t>Volunteers</w:t>
      </w:r>
    </w:p>
    <w:p w14:paraId="58A2D99A" w14:textId="77777777" w:rsidR="0023207B" w:rsidRPr="00D51FA4" w:rsidRDefault="0023207B" w:rsidP="0023207B">
      <w:pPr>
        <w:spacing w:before="0"/>
        <w:jc w:val="both"/>
        <w:rPr>
          <w:rFonts w:ascii="Arial" w:hAnsi="Arial" w:cs="Arial"/>
          <w:szCs w:val="24"/>
        </w:rPr>
      </w:pPr>
    </w:p>
    <w:p w14:paraId="7A82DCDB" w14:textId="77777777" w:rsidR="009A4355" w:rsidRPr="00D51FA4" w:rsidRDefault="002618CE" w:rsidP="00801095">
      <w:pPr>
        <w:spacing w:before="0"/>
        <w:jc w:val="both"/>
        <w:rPr>
          <w:rFonts w:ascii="Arial" w:hAnsi="Arial" w:cs="Arial"/>
          <w:szCs w:val="24"/>
        </w:rPr>
      </w:pPr>
      <w:r w:rsidRPr="00D51FA4">
        <w:rPr>
          <w:rFonts w:ascii="Arial" w:hAnsi="Arial" w:cs="Arial"/>
          <w:szCs w:val="24"/>
        </w:rPr>
        <w:t xml:space="preserve">Eligibility criteria for the </w:t>
      </w:r>
      <w:r w:rsidR="00D56629" w:rsidRPr="00D51FA4">
        <w:rPr>
          <w:rFonts w:ascii="Arial" w:hAnsi="Arial" w:cs="Arial"/>
          <w:szCs w:val="24"/>
        </w:rPr>
        <w:t>‘</w:t>
      </w:r>
      <w:r w:rsidRPr="00D51FA4">
        <w:rPr>
          <w:rFonts w:ascii="Arial" w:hAnsi="Arial" w:cs="Arial"/>
          <w:szCs w:val="24"/>
        </w:rPr>
        <w:t>volunteers measure</w:t>
      </w:r>
      <w:r w:rsidR="00D56629" w:rsidRPr="00D51FA4">
        <w:rPr>
          <w:rFonts w:ascii="Arial" w:hAnsi="Arial" w:cs="Arial"/>
          <w:szCs w:val="24"/>
        </w:rPr>
        <w:t>’</w:t>
      </w:r>
      <w:r w:rsidRPr="00D51FA4">
        <w:rPr>
          <w:rFonts w:ascii="Arial" w:hAnsi="Arial" w:cs="Arial"/>
          <w:szCs w:val="24"/>
        </w:rPr>
        <w:t xml:space="preserve"> is outlined in section 123SF of the Act. T</w:t>
      </w:r>
      <w:r w:rsidR="009A4355" w:rsidRPr="00D51FA4">
        <w:rPr>
          <w:rFonts w:ascii="Arial" w:hAnsi="Arial" w:cs="Arial"/>
          <w:szCs w:val="24"/>
        </w:rPr>
        <w:t xml:space="preserve">he Secretary and an individual </w:t>
      </w:r>
      <w:r w:rsidRPr="00D51FA4">
        <w:rPr>
          <w:rFonts w:ascii="Arial" w:hAnsi="Arial" w:cs="Arial"/>
          <w:szCs w:val="24"/>
        </w:rPr>
        <w:t xml:space="preserve">may </w:t>
      </w:r>
      <w:r w:rsidR="009A4355" w:rsidRPr="00D51FA4">
        <w:rPr>
          <w:rFonts w:ascii="Arial" w:hAnsi="Arial" w:cs="Arial"/>
          <w:szCs w:val="24"/>
        </w:rPr>
        <w:t>enter into a</w:t>
      </w:r>
      <w:r w:rsidR="00B23B24" w:rsidRPr="00D51FA4">
        <w:rPr>
          <w:rFonts w:ascii="Arial" w:hAnsi="Arial" w:cs="Arial"/>
          <w:szCs w:val="24"/>
        </w:rPr>
        <w:t xml:space="preserve"> voluntary</w:t>
      </w:r>
      <w:r w:rsidR="009A4355" w:rsidRPr="00D51FA4">
        <w:rPr>
          <w:rFonts w:ascii="Arial" w:hAnsi="Arial" w:cs="Arial"/>
          <w:szCs w:val="24"/>
        </w:rPr>
        <w:t xml:space="preserve"> agreement under which the person b</w:t>
      </w:r>
      <w:r w:rsidR="00B23B24" w:rsidRPr="00D51FA4">
        <w:rPr>
          <w:rFonts w:ascii="Arial" w:hAnsi="Arial" w:cs="Arial"/>
          <w:szCs w:val="24"/>
        </w:rPr>
        <w:t>ecomes</w:t>
      </w:r>
      <w:r w:rsidR="009A4355" w:rsidRPr="00D51FA4">
        <w:rPr>
          <w:rFonts w:ascii="Arial" w:hAnsi="Arial" w:cs="Arial"/>
          <w:szCs w:val="24"/>
        </w:rPr>
        <w:t xml:space="preserve"> subject to the enhanced IM regime under Part 3AA of the Act</w:t>
      </w:r>
      <w:r w:rsidR="00B23B24" w:rsidRPr="00D51FA4">
        <w:rPr>
          <w:rFonts w:ascii="Arial" w:hAnsi="Arial" w:cs="Arial"/>
          <w:szCs w:val="24"/>
        </w:rPr>
        <w:t>.</w:t>
      </w:r>
      <w:r w:rsidR="004A37C7" w:rsidRPr="00D51FA4">
        <w:rPr>
          <w:rFonts w:ascii="Arial" w:hAnsi="Arial" w:cs="Arial"/>
          <w:szCs w:val="24"/>
        </w:rPr>
        <w:t xml:space="preserve"> Section 123SE </w:t>
      </w:r>
      <w:r w:rsidR="00D56629" w:rsidRPr="00D51FA4">
        <w:rPr>
          <w:rFonts w:ascii="Arial" w:hAnsi="Arial" w:cs="Arial"/>
          <w:szCs w:val="24"/>
        </w:rPr>
        <w:t xml:space="preserve">of the Act </w:t>
      </w:r>
      <w:r w:rsidR="004A37C7" w:rsidRPr="00D51FA4">
        <w:rPr>
          <w:rFonts w:ascii="Arial" w:hAnsi="Arial" w:cs="Arial"/>
          <w:szCs w:val="24"/>
        </w:rPr>
        <w:t xml:space="preserve">provides that a person is subject to the enhanced IM regime at a particular time if a voluntary </w:t>
      </w:r>
      <w:r w:rsidR="00B23B24" w:rsidRPr="00D51FA4">
        <w:rPr>
          <w:rFonts w:ascii="Arial" w:hAnsi="Arial" w:cs="Arial"/>
          <w:szCs w:val="24"/>
        </w:rPr>
        <w:t xml:space="preserve">enhanced </w:t>
      </w:r>
      <w:r w:rsidR="00D56629" w:rsidRPr="00D51FA4">
        <w:rPr>
          <w:rFonts w:ascii="Arial" w:hAnsi="Arial" w:cs="Arial"/>
          <w:szCs w:val="24"/>
        </w:rPr>
        <w:t>IM</w:t>
      </w:r>
      <w:r w:rsidR="004A37C7" w:rsidRPr="00D51FA4">
        <w:rPr>
          <w:rFonts w:ascii="Arial" w:hAnsi="Arial" w:cs="Arial"/>
          <w:szCs w:val="24"/>
        </w:rPr>
        <w:t xml:space="preserve"> agreement is in force in relation to the person. A ‘voluntary enhanced income management agreement</w:t>
      </w:r>
      <w:r w:rsidR="00B23B24" w:rsidRPr="00D51FA4">
        <w:rPr>
          <w:rFonts w:ascii="Arial" w:hAnsi="Arial" w:cs="Arial"/>
          <w:szCs w:val="24"/>
        </w:rPr>
        <w:t>’</w:t>
      </w:r>
      <w:r w:rsidR="004A37C7" w:rsidRPr="00D51FA4">
        <w:rPr>
          <w:rFonts w:ascii="Arial" w:hAnsi="Arial" w:cs="Arial"/>
          <w:szCs w:val="24"/>
        </w:rPr>
        <w:t xml:space="preserve"> is defined in section 123SB of the Act as an agreement under section 123SF of the Act.</w:t>
      </w:r>
    </w:p>
    <w:p w14:paraId="095FBDB1" w14:textId="77777777" w:rsidR="009A4355" w:rsidRPr="00D51FA4" w:rsidRDefault="009A4355" w:rsidP="00801095">
      <w:pPr>
        <w:spacing w:before="0"/>
        <w:jc w:val="both"/>
        <w:rPr>
          <w:rFonts w:ascii="Arial" w:hAnsi="Arial" w:cs="Arial"/>
          <w:szCs w:val="24"/>
        </w:rPr>
      </w:pPr>
    </w:p>
    <w:p w14:paraId="38FCD3CB" w14:textId="77777777" w:rsidR="009A4355" w:rsidRPr="00D51FA4" w:rsidRDefault="009A4355" w:rsidP="00801095">
      <w:pPr>
        <w:spacing w:before="0"/>
        <w:jc w:val="both"/>
        <w:rPr>
          <w:rFonts w:ascii="Arial" w:hAnsi="Arial" w:cs="Arial"/>
          <w:szCs w:val="24"/>
        </w:rPr>
      </w:pPr>
      <w:r w:rsidRPr="00D51FA4">
        <w:rPr>
          <w:rFonts w:ascii="Arial" w:hAnsi="Arial" w:cs="Arial"/>
          <w:szCs w:val="24"/>
        </w:rPr>
        <w:t>Section 123SF provides that the Secretary can only enter into a voluntary enhanced income management agreement</w:t>
      </w:r>
      <w:r w:rsidR="00C6276F" w:rsidRPr="00D51FA4">
        <w:rPr>
          <w:rFonts w:ascii="Arial" w:hAnsi="Arial" w:cs="Arial"/>
          <w:szCs w:val="24"/>
        </w:rPr>
        <w:t xml:space="preserve"> if</w:t>
      </w:r>
      <w:r w:rsidRPr="00D51FA4">
        <w:rPr>
          <w:rFonts w:ascii="Arial" w:hAnsi="Arial" w:cs="Arial"/>
          <w:szCs w:val="24"/>
        </w:rPr>
        <w:t xml:space="preserve">, among other things, the person’s usual place of residence </w:t>
      </w:r>
      <w:r w:rsidR="00A32B3D" w:rsidRPr="00D51FA4">
        <w:rPr>
          <w:rFonts w:ascii="Arial" w:hAnsi="Arial" w:cs="Arial"/>
          <w:szCs w:val="24"/>
        </w:rPr>
        <w:t>is within a declared voluntary enhanced income management area</w:t>
      </w:r>
      <w:r w:rsidR="00544F03" w:rsidRPr="00D51FA4">
        <w:rPr>
          <w:rFonts w:ascii="Arial" w:hAnsi="Arial" w:cs="Arial"/>
          <w:szCs w:val="24"/>
        </w:rPr>
        <w:t xml:space="preserve"> or the Ceduna area, the East Kimberley area, the Goldfields area or the Bundaberg and Hervey Bay area</w:t>
      </w:r>
      <w:r w:rsidR="00A32B3D" w:rsidRPr="00D51FA4">
        <w:rPr>
          <w:rFonts w:ascii="Arial" w:hAnsi="Arial" w:cs="Arial"/>
          <w:szCs w:val="24"/>
        </w:rPr>
        <w:t>. The term ‘voluntary enhanced income management area’ has meaning given by section 123SF(5) of the Act.</w:t>
      </w:r>
    </w:p>
    <w:p w14:paraId="5655D7D4" w14:textId="77777777" w:rsidR="00A32B3D" w:rsidRPr="00D51FA4" w:rsidRDefault="00A32B3D" w:rsidP="00801095">
      <w:pPr>
        <w:spacing w:before="0"/>
        <w:jc w:val="both"/>
        <w:rPr>
          <w:rFonts w:ascii="Arial" w:hAnsi="Arial" w:cs="Arial"/>
          <w:szCs w:val="24"/>
        </w:rPr>
      </w:pPr>
    </w:p>
    <w:p w14:paraId="3645CBFD" w14:textId="77777777" w:rsidR="00A32B3D" w:rsidRPr="00D51FA4" w:rsidRDefault="00A32B3D" w:rsidP="00801095">
      <w:pPr>
        <w:spacing w:before="0"/>
        <w:jc w:val="both"/>
        <w:rPr>
          <w:rFonts w:ascii="Arial" w:hAnsi="Arial" w:cs="Arial"/>
          <w:szCs w:val="24"/>
        </w:rPr>
      </w:pPr>
      <w:r w:rsidRPr="00D51FA4">
        <w:rPr>
          <w:rFonts w:ascii="Arial" w:hAnsi="Arial" w:cs="Arial"/>
          <w:szCs w:val="24"/>
        </w:rPr>
        <w:t>Section 123SF(5) of the Act provides that the Minister may, by legislative instrument, determine that:</w:t>
      </w:r>
    </w:p>
    <w:p w14:paraId="2EAF78EF" w14:textId="77777777" w:rsidR="00A32B3D" w:rsidRPr="00D51FA4" w:rsidRDefault="00A32B3D" w:rsidP="00817755">
      <w:pPr>
        <w:pStyle w:val="ListParagraph"/>
        <w:numPr>
          <w:ilvl w:val="0"/>
          <w:numId w:val="31"/>
        </w:numPr>
        <w:spacing w:before="120"/>
        <w:ind w:left="714" w:hanging="357"/>
        <w:contextualSpacing w:val="0"/>
        <w:jc w:val="both"/>
        <w:rPr>
          <w:rFonts w:ascii="Arial" w:hAnsi="Arial" w:cs="Arial"/>
          <w:szCs w:val="24"/>
        </w:rPr>
      </w:pPr>
      <w:r w:rsidRPr="00D51FA4">
        <w:rPr>
          <w:rFonts w:ascii="Arial" w:hAnsi="Arial" w:cs="Arial"/>
          <w:szCs w:val="24"/>
        </w:rPr>
        <w:t>a specified State; or</w:t>
      </w:r>
    </w:p>
    <w:p w14:paraId="1CBF425E" w14:textId="77777777" w:rsidR="00A32B3D" w:rsidRPr="00D51FA4" w:rsidRDefault="00A32B3D" w:rsidP="00817755">
      <w:pPr>
        <w:pStyle w:val="ListParagraph"/>
        <w:numPr>
          <w:ilvl w:val="0"/>
          <w:numId w:val="31"/>
        </w:numPr>
        <w:spacing w:before="120"/>
        <w:ind w:left="714" w:hanging="357"/>
        <w:contextualSpacing w:val="0"/>
        <w:jc w:val="both"/>
        <w:rPr>
          <w:rFonts w:ascii="Arial" w:hAnsi="Arial" w:cs="Arial"/>
          <w:szCs w:val="24"/>
        </w:rPr>
      </w:pPr>
      <w:r w:rsidRPr="00D51FA4">
        <w:rPr>
          <w:rFonts w:ascii="Arial" w:hAnsi="Arial" w:cs="Arial"/>
          <w:szCs w:val="24"/>
        </w:rPr>
        <w:t>a specified Territory; or</w:t>
      </w:r>
    </w:p>
    <w:p w14:paraId="7061C5F2" w14:textId="77777777" w:rsidR="00A32B3D" w:rsidRPr="00D51FA4" w:rsidRDefault="00A32B3D" w:rsidP="00817755">
      <w:pPr>
        <w:pStyle w:val="ListParagraph"/>
        <w:numPr>
          <w:ilvl w:val="0"/>
          <w:numId w:val="31"/>
        </w:numPr>
        <w:spacing w:before="120"/>
        <w:ind w:left="714" w:hanging="357"/>
        <w:contextualSpacing w:val="0"/>
        <w:jc w:val="both"/>
        <w:rPr>
          <w:rFonts w:ascii="Arial" w:hAnsi="Arial" w:cs="Arial"/>
          <w:szCs w:val="24"/>
        </w:rPr>
      </w:pPr>
      <w:r w:rsidRPr="00D51FA4">
        <w:rPr>
          <w:rFonts w:ascii="Arial" w:hAnsi="Arial" w:cs="Arial"/>
          <w:szCs w:val="24"/>
        </w:rPr>
        <w:t>a specified area;</w:t>
      </w:r>
    </w:p>
    <w:p w14:paraId="71F3BEC9" w14:textId="77777777" w:rsidR="00A32B3D" w:rsidRPr="00D51FA4" w:rsidRDefault="00A32B3D" w:rsidP="00A32B3D">
      <w:pPr>
        <w:spacing w:before="0"/>
        <w:jc w:val="both"/>
        <w:rPr>
          <w:rFonts w:ascii="Arial" w:hAnsi="Arial" w:cs="Arial"/>
          <w:szCs w:val="24"/>
        </w:rPr>
      </w:pPr>
    </w:p>
    <w:p w14:paraId="2EEB1830" w14:textId="77777777" w:rsidR="00A32B3D" w:rsidRPr="00D51FA4" w:rsidRDefault="00A32B3D" w:rsidP="00A32B3D">
      <w:pPr>
        <w:spacing w:before="0"/>
        <w:jc w:val="both"/>
        <w:rPr>
          <w:rFonts w:ascii="Arial" w:hAnsi="Arial" w:cs="Arial"/>
          <w:szCs w:val="24"/>
        </w:rPr>
      </w:pPr>
      <w:r w:rsidRPr="00D51FA4">
        <w:rPr>
          <w:rFonts w:ascii="Arial" w:hAnsi="Arial" w:cs="Arial"/>
          <w:szCs w:val="24"/>
        </w:rPr>
        <w:t>is a voluntary enhanced income management area for the purposes of Part 3AA of this Act.</w:t>
      </w:r>
    </w:p>
    <w:p w14:paraId="0C0BA3F6" w14:textId="77777777" w:rsidR="00BB5FC9" w:rsidRPr="00D51FA4" w:rsidRDefault="00BB5FC9" w:rsidP="00801095">
      <w:pPr>
        <w:spacing w:before="0"/>
        <w:jc w:val="both"/>
        <w:rPr>
          <w:rFonts w:ascii="Arial" w:hAnsi="Arial" w:cs="Arial"/>
          <w:b/>
          <w:szCs w:val="24"/>
        </w:rPr>
      </w:pPr>
    </w:p>
    <w:p w14:paraId="359DC286" w14:textId="77777777" w:rsidR="00660011" w:rsidRPr="00D51FA4" w:rsidRDefault="00660011" w:rsidP="00801095">
      <w:pPr>
        <w:spacing w:before="0"/>
        <w:jc w:val="both"/>
        <w:rPr>
          <w:rFonts w:ascii="Arial" w:hAnsi="Arial" w:cs="Arial"/>
          <w:b/>
          <w:szCs w:val="24"/>
        </w:rPr>
      </w:pPr>
      <w:r w:rsidRPr="00D51FA4">
        <w:rPr>
          <w:rFonts w:ascii="Arial" w:hAnsi="Arial" w:cs="Arial"/>
          <w:b/>
          <w:szCs w:val="24"/>
        </w:rPr>
        <w:t>Commencement</w:t>
      </w:r>
    </w:p>
    <w:p w14:paraId="003C6454" w14:textId="77777777" w:rsidR="00CA30E0" w:rsidRPr="00D51FA4" w:rsidRDefault="00CA30E0" w:rsidP="00801095">
      <w:pPr>
        <w:spacing w:before="0"/>
        <w:jc w:val="both"/>
        <w:rPr>
          <w:rFonts w:ascii="Arial" w:hAnsi="Arial" w:cs="Arial"/>
          <w:szCs w:val="24"/>
        </w:rPr>
      </w:pPr>
    </w:p>
    <w:p w14:paraId="27E18F3B" w14:textId="77777777" w:rsidR="009D3CFE" w:rsidRPr="00D51FA4" w:rsidRDefault="009D3CFE" w:rsidP="009D3CFE">
      <w:pPr>
        <w:spacing w:before="0"/>
        <w:jc w:val="both"/>
        <w:rPr>
          <w:rFonts w:ascii="Arial" w:hAnsi="Arial" w:cs="Arial"/>
          <w:iCs/>
          <w:szCs w:val="24"/>
        </w:rPr>
      </w:pPr>
      <w:r w:rsidRPr="00D51FA4">
        <w:rPr>
          <w:rStyle w:val="BookTitle"/>
          <w:rFonts w:ascii="Arial" w:hAnsi="Arial" w:cs="Arial"/>
          <w:i w:val="0"/>
          <w:iCs w:val="0"/>
          <w:smallCaps w:val="0"/>
          <w:spacing w:val="0"/>
          <w:szCs w:val="24"/>
        </w:rPr>
        <w:t xml:space="preserve">The Determination will commence on the later of the day after it is registered and the day on which the IM Reform Act commences. </w:t>
      </w:r>
    </w:p>
    <w:p w14:paraId="1340A46D" w14:textId="77777777" w:rsidR="0026381C" w:rsidRPr="00D51FA4" w:rsidRDefault="0026381C" w:rsidP="00801095">
      <w:pPr>
        <w:spacing w:before="0"/>
        <w:jc w:val="both"/>
        <w:rPr>
          <w:rFonts w:ascii="Arial" w:hAnsi="Arial" w:cs="Arial"/>
          <w:iCs/>
          <w:szCs w:val="24"/>
        </w:rPr>
      </w:pPr>
    </w:p>
    <w:p w14:paraId="31F0B13B" w14:textId="77777777" w:rsidR="0026381C" w:rsidRPr="00D51FA4" w:rsidRDefault="0026381C" w:rsidP="0026381C">
      <w:pPr>
        <w:spacing w:before="0"/>
        <w:jc w:val="both"/>
        <w:rPr>
          <w:rFonts w:ascii="Arial" w:hAnsi="Arial" w:cs="Arial"/>
          <w:b/>
          <w:szCs w:val="24"/>
        </w:rPr>
      </w:pPr>
      <w:r w:rsidRPr="00D51FA4">
        <w:rPr>
          <w:rFonts w:ascii="Arial" w:hAnsi="Arial" w:cs="Arial"/>
          <w:b/>
          <w:iCs/>
          <w:szCs w:val="24"/>
        </w:rPr>
        <w:t>Disallowable instrument</w:t>
      </w:r>
    </w:p>
    <w:p w14:paraId="79CBF0C8" w14:textId="77777777" w:rsidR="0026381C" w:rsidRPr="00D51FA4" w:rsidRDefault="0026381C" w:rsidP="0026381C">
      <w:pPr>
        <w:spacing w:before="0"/>
        <w:jc w:val="both"/>
        <w:rPr>
          <w:rFonts w:ascii="Arial" w:hAnsi="Arial" w:cs="Arial"/>
          <w:b/>
          <w:szCs w:val="24"/>
        </w:rPr>
      </w:pPr>
    </w:p>
    <w:p w14:paraId="1FE12C62" w14:textId="77777777" w:rsidR="0026381C" w:rsidRPr="00D51FA4" w:rsidRDefault="0026381C" w:rsidP="00801095">
      <w:pPr>
        <w:spacing w:before="0"/>
        <w:jc w:val="both"/>
        <w:rPr>
          <w:rStyle w:val="BookTitle"/>
          <w:rFonts w:ascii="Arial" w:hAnsi="Arial" w:cs="Arial"/>
          <w:i w:val="0"/>
          <w:iCs w:val="0"/>
          <w:smallCaps w:val="0"/>
          <w:spacing w:val="0"/>
          <w:szCs w:val="24"/>
        </w:rPr>
      </w:pPr>
      <w:r w:rsidRPr="00D51FA4">
        <w:rPr>
          <w:rFonts w:ascii="Arial" w:hAnsi="Arial" w:cs="Arial"/>
          <w:iCs/>
          <w:szCs w:val="24"/>
        </w:rPr>
        <w:t xml:space="preserve">The Determination is a legislative instrument for the purposes of the </w:t>
      </w:r>
      <w:r w:rsidRPr="00D51FA4">
        <w:rPr>
          <w:rFonts w:ascii="Arial" w:hAnsi="Arial" w:cs="Arial"/>
          <w:i/>
          <w:iCs/>
          <w:szCs w:val="24"/>
        </w:rPr>
        <w:t>Legislation Act 2003</w:t>
      </w:r>
      <w:r w:rsidRPr="00D51FA4">
        <w:rPr>
          <w:rFonts w:ascii="Arial" w:hAnsi="Arial" w:cs="Arial"/>
          <w:iCs/>
          <w:szCs w:val="24"/>
        </w:rPr>
        <w:t>, and is subject to disallowance by either House of Parliament.</w:t>
      </w:r>
    </w:p>
    <w:p w14:paraId="1C706BAB" w14:textId="77777777" w:rsidR="000F25A4" w:rsidRPr="00D51FA4" w:rsidRDefault="000F25A4" w:rsidP="00801095">
      <w:pPr>
        <w:spacing w:before="0"/>
        <w:jc w:val="both"/>
        <w:rPr>
          <w:rFonts w:ascii="Arial" w:hAnsi="Arial" w:cs="Arial"/>
          <w:szCs w:val="24"/>
        </w:rPr>
      </w:pPr>
    </w:p>
    <w:p w14:paraId="1FDF3E37" w14:textId="77777777" w:rsidR="000F25A4" w:rsidRPr="00D51FA4" w:rsidRDefault="00E87758" w:rsidP="00801095">
      <w:pPr>
        <w:spacing w:before="0"/>
        <w:jc w:val="both"/>
        <w:rPr>
          <w:rFonts w:ascii="Arial" w:hAnsi="Arial" w:cs="Arial"/>
          <w:b/>
          <w:szCs w:val="24"/>
        </w:rPr>
      </w:pPr>
      <w:r w:rsidRPr="00D51FA4">
        <w:rPr>
          <w:rFonts w:ascii="Arial" w:hAnsi="Arial" w:cs="Arial"/>
          <w:b/>
          <w:szCs w:val="24"/>
        </w:rPr>
        <w:t>Interaction with p</w:t>
      </w:r>
      <w:r w:rsidR="000F25A4" w:rsidRPr="00D51FA4">
        <w:rPr>
          <w:rFonts w:ascii="Arial" w:hAnsi="Arial" w:cs="Arial"/>
          <w:b/>
          <w:szCs w:val="24"/>
        </w:rPr>
        <w:t xml:space="preserve">rotections in the social security law </w:t>
      </w:r>
    </w:p>
    <w:p w14:paraId="52627535" w14:textId="77777777" w:rsidR="000F25A4" w:rsidRPr="00D51FA4" w:rsidRDefault="000F25A4" w:rsidP="00801095">
      <w:pPr>
        <w:spacing w:before="0"/>
        <w:jc w:val="both"/>
        <w:rPr>
          <w:rFonts w:ascii="Arial" w:hAnsi="Arial" w:cs="Arial"/>
          <w:szCs w:val="24"/>
        </w:rPr>
      </w:pPr>
    </w:p>
    <w:p w14:paraId="2637590F" w14:textId="77777777" w:rsidR="00EF22BD" w:rsidRPr="00D51FA4" w:rsidRDefault="00EF22BD" w:rsidP="00EF22BD">
      <w:pPr>
        <w:spacing w:before="0"/>
        <w:jc w:val="both"/>
        <w:rPr>
          <w:rFonts w:ascii="Arial" w:hAnsi="Arial" w:cs="Arial"/>
          <w:szCs w:val="24"/>
        </w:rPr>
      </w:pPr>
      <w:r w:rsidRPr="00D51FA4">
        <w:rPr>
          <w:rFonts w:ascii="Arial" w:hAnsi="Arial" w:cs="Arial"/>
          <w:szCs w:val="24"/>
        </w:rPr>
        <w:t>As the Determination contains no decision-making powers, the internal and external review provisions in the social security law will not be expressly triggered by the Determination.</w:t>
      </w:r>
    </w:p>
    <w:p w14:paraId="34605005" w14:textId="77777777" w:rsidR="00EF22BD" w:rsidRPr="00D51FA4" w:rsidRDefault="00EF22BD" w:rsidP="00EF22BD">
      <w:pPr>
        <w:spacing w:before="0"/>
        <w:jc w:val="both"/>
        <w:rPr>
          <w:rFonts w:ascii="Arial" w:hAnsi="Arial" w:cs="Arial"/>
          <w:szCs w:val="24"/>
        </w:rPr>
      </w:pPr>
    </w:p>
    <w:p w14:paraId="6DEA92CD" w14:textId="77777777" w:rsidR="00BB5FC9" w:rsidRPr="00D51FA4" w:rsidRDefault="00EF22BD" w:rsidP="00811E3E">
      <w:pPr>
        <w:shd w:val="clear" w:color="auto" w:fill="FFFFFF"/>
        <w:spacing w:before="0"/>
        <w:jc w:val="both"/>
        <w:rPr>
          <w:rFonts w:ascii="Arial" w:hAnsi="Arial" w:cs="Arial"/>
          <w:color w:val="000000"/>
          <w:szCs w:val="24"/>
        </w:rPr>
      </w:pPr>
      <w:r w:rsidRPr="00D51FA4">
        <w:rPr>
          <w:rFonts w:ascii="Arial" w:hAnsi="Arial" w:cs="Arial"/>
          <w:color w:val="000000"/>
          <w:szCs w:val="24"/>
        </w:rPr>
        <w:t>Information collected in relation to a person who is subject to the enhanced income management regime will be ‘protected information’ where it is obtained for the purposes of the social security law. This will ensure that each person’s information is obtained, recorded, used and disclosed consistently with the confidentiality provisions in Division 3 of Part 5 of the Act.</w:t>
      </w:r>
    </w:p>
    <w:p w14:paraId="5B0EAB25" w14:textId="77777777" w:rsidR="006A6D51" w:rsidRPr="00D51FA4" w:rsidRDefault="00EF22BD" w:rsidP="00811E3E">
      <w:pPr>
        <w:shd w:val="clear" w:color="auto" w:fill="FFFFFF"/>
        <w:spacing w:before="0"/>
        <w:jc w:val="both"/>
        <w:rPr>
          <w:rStyle w:val="BookTitle"/>
          <w:rFonts w:ascii="Arial" w:hAnsi="Arial" w:cs="Arial"/>
          <w:b/>
          <w:i w:val="0"/>
          <w:iCs w:val="0"/>
          <w:smallCaps w:val="0"/>
          <w:spacing w:val="0"/>
          <w:szCs w:val="24"/>
        </w:rPr>
      </w:pPr>
      <w:r w:rsidRPr="00D51FA4">
        <w:rPr>
          <w:rFonts w:ascii="Arial" w:hAnsi="Arial" w:cs="Arial"/>
          <w:color w:val="000000"/>
          <w:szCs w:val="24"/>
        </w:rPr>
        <w:t xml:space="preserve"> </w:t>
      </w:r>
      <w:r w:rsidR="00F61711" w:rsidRPr="00D51FA4">
        <w:rPr>
          <w:rStyle w:val="BookTitle"/>
          <w:rFonts w:ascii="Arial" w:hAnsi="Arial" w:cs="Arial"/>
          <w:b/>
          <w:i w:val="0"/>
          <w:iCs w:val="0"/>
          <w:smallCaps w:val="0"/>
          <w:spacing w:val="0"/>
          <w:szCs w:val="24"/>
        </w:rPr>
        <w:br/>
      </w:r>
      <w:r w:rsidR="006A6D51" w:rsidRPr="00D51FA4">
        <w:rPr>
          <w:rStyle w:val="BookTitle"/>
          <w:rFonts w:ascii="Arial" w:hAnsi="Arial" w:cs="Arial"/>
          <w:b/>
          <w:i w:val="0"/>
          <w:iCs w:val="0"/>
          <w:smallCaps w:val="0"/>
          <w:spacing w:val="0"/>
          <w:szCs w:val="24"/>
        </w:rPr>
        <w:t>Consultation</w:t>
      </w:r>
    </w:p>
    <w:p w14:paraId="5CC8A134" w14:textId="77777777" w:rsidR="002C63E3" w:rsidRPr="00D51FA4" w:rsidRDefault="002C63E3" w:rsidP="00811E3E">
      <w:pPr>
        <w:shd w:val="clear" w:color="auto" w:fill="FFFFFF"/>
        <w:spacing w:before="0"/>
        <w:jc w:val="both"/>
        <w:rPr>
          <w:rStyle w:val="BookTitle"/>
          <w:rFonts w:ascii="Arial" w:hAnsi="Arial" w:cs="Arial"/>
          <w:b/>
          <w:i w:val="0"/>
          <w:iCs w:val="0"/>
          <w:smallCaps w:val="0"/>
          <w:spacing w:val="0"/>
          <w:szCs w:val="24"/>
        </w:rPr>
      </w:pPr>
    </w:p>
    <w:p w14:paraId="17DD1DE9" w14:textId="77777777" w:rsidR="00EF22BD" w:rsidRPr="00D51FA4" w:rsidRDefault="00EF22BD" w:rsidP="00EF22BD">
      <w:pPr>
        <w:keepNext/>
        <w:spacing w:before="0"/>
        <w:jc w:val="both"/>
        <w:rPr>
          <w:rFonts w:ascii="Arial" w:hAnsi="Arial" w:cs="Arial"/>
          <w:szCs w:val="24"/>
        </w:rPr>
      </w:pPr>
      <w:r w:rsidRPr="00D51FA4">
        <w:rPr>
          <w:rFonts w:ascii="Arial" w:hAnsi="Arial" w:cs="Arial"/>
          <w:iCs/>
          <w:szCs w:val="24"/>
        </w:rPr>
        <w:t>Extensive consultation has been undertaken with affected communities in relation to abolishing the Cashless Debit Card program and reforming income management. This included the introduction and passage of the CDC R</w:t>
      </w:r>
      <w:r w:rsidR="00916765" w:rsidRPr="00D51FA4">
        <w:rPr>
          <w:rFonts w:ascii="Arial" w:hAnsi="Arial" w:cs="Arial"/>
          <w:iCs/>
          <w:szCs w:val="24"/>
        </w:rPr>
        <w:t>epeal Act and the IM Reform Act</w:t>
      </w:r>
      <w:r w:rsidRPr="00D51FA4">
        <w:rPr>
          <w:rFonts w:ascii="Arial" w:hAnsi="Arial" w:cs="Arial"/>
          <w:iCs/>
          <w:szCs w:val="24"/>
        </w:rPr>
        <w:t xml:space="preserve">. </w:t>
      </w:r>
    </w:p>
    <w:p w14:paraId="18D13B34" w14:textId="77777777" w:rsidR="00EF22BD" w:rsidRPr="00D51FA4" w:rsidRDefault="00EF22BD" w:rsidP="00EF22BD">
      <w:pPr>
        <w:keepNext/>
        <w:spacing w:before="0"/>
        <w:jc w:val="both"/>
        <w:rPr>
          <w:rFonts w:ascii="Arial" w:hAnsi="Arial" w:cs="Arial"/>
          <w:szCs w:val="24"/>
        </w:rPr>
      </w:pPr>
    </w:p>
    <w:p w14:paraId="2DD8FF47" w14:textId="77777777" w:rsidR="00EF22BD" w:rsidRPr="00D51FA4" w:rsidRDefault="00EF22BD" w:rsidP="00EF22BD">
      <w:pPr>
        <w:keepNext/>
        <w:spacing w:before="0"/>
        <w:jc w:val="both"/>
        <w:rPr>
          <w:rStyle w:val="BookTitle"/>
          <w:rFonts w:ascii="Arial" w:hAnsi="Arial" w:cs="Arial"/>
          <w:iCs w:val="0"/>
          <w:smallCaps w:val="0"/>
          <w:spacing w:val="0"/>
          <w:szCs w:val="24"/>
        </w:rPr>
      </w:pPr>
      <w:r w:rsidRPr="00D51FA4">
        <w:rPr>
          <w:rFonts w:ascii="Arial" w:hAnsi="Arial" w:cs="Arial"/>
          <w:iCs/>
          <w:szCs w:val="24"/>
        </w:rPr>
        <w:t>Consultation will be ongoing with stakeholders, merchants, community members and participants as the future of income management is refined by the Government.</w:t>
      </w:r>
    </w:p>
    <w:p w14:paraId="78C601E9" w14:textId="77777777" w:rsidR="002329E1" w:rsidRPr="00D51FA4" w:rsidRDefault="00FD5317" w:rsidP="00801095">
      <w:pPr>
        <w:spacing w:after="240"/>
        <w:jc w:val="both"/>
        <w:rPr>
          <w:rFonts w:ascii="Arial" w:hAnsi="Arial" w:cs="Arial"/>
          <w:b/>
          <w:szCs w:val="24"/>
        </w:rPr>
      </w:pPr>
      <w:r w:rsidRPr="00D51FA4">
        <w:rPr>
          <w:rFonts w:ascii="Arial" w:hAnsi="Arial" w:cs="Arial"/>
          <w:b/>
          <w:szCs w:val="24"/>
        </w:rPr>
        <w:t>Impact Analysis</w:t>
      </w:r>
    </w:p>
    <w:p w14:paraId="5F442D8C" w14:textId="77777777" w:rsidR="00D1776D" w:rsidRPr="00D51FA4" w:rsidRDefault="00D1776D" w:rsidP="00D1776D">
      <w:pPr>
        <w:jc w:val="both"/>
        <w:rPr>
          <w:rStyle w:val="ui-provider"/>
          <w:rFonts w:ascii="Arial" w:eastAsiaTheme="majorEastAsia" w:hAnsi="Arial" w:cs="Arial"/>
        </w:rPr>
      </w:pPr>
      <w:r w:rsidRPr="00D51FA4">
        <w:rPr>
          <w:rStyle w:val="ui-provider"/>
          <w:rFonts w:ascii="Arial" w:eastAsiaTheme="majorEastAsia" w:hAnsi="Arial" w:cs="Arial"/>
        </w:rPr>
        <w:t>A</w:t>
      </w:r>
      <w:r w:rsidR="000E423F" w:rsidRPr="00D51FA4">
        <w:rPr>
          <w:rStyle w:val="ui-provider"/>
          <w:rFonts w:ascii="Arial" w:eastAsiaTheme="majorEastAsia" w:hAnsi="Arial" w:cs="Arial"/>
        </w:rPr>
        <w:t>n</w:t>
      </w:r>
      <w:r w:rsidR="008025DD" w:rsidRPr="00D51FA4">
        <w:rPr>
          <w:rStyle w:val="ui-provider"/>
          <w:rFonts w:ascii="Arial" w:eastAsiaTheme="majorEastAsia" w:hAnsi="Arial" w:cs="Arial"/>
        </w:rPr>
        <w:t xml:space="preserve"> </w:t>
      </w:r>
      <w:r w:rsidR="00FD5317" w:rsidRPr="00D51FA4">
        <w:rPr>
          <w:rStyle w:val="ui-provider"/>
          <w:rFonts w:ascii="Arial" w:eastAsiaTheme="majorEastAsia" w:hAnsi="Arial" w:cs="Arial"/>
        </w:rPr>
        <w:t xml:space="preserve">Impact </w:t>
      </w:r>
      <w:r w:rsidR="000E423F" w:rsidRPr="00D51FA4">
        <w:rPr>
          <w:rStyle w:val="ui-provider"/>
          <w:rFonts w:ascii="Arial" w:eastAsiaTheme="majorEastAsia" w:hAnsi="Arial" w:cs="Arial"/>
        </w:rPr>
        <w:t>Analysis</w:t>
      </w:r>
      <w:r w:rsidR="00FD5317" w:rsidRPr="00D51FA4">
        <w:rPr>
          <w:rStyle w:val="ui-provider"/>
          <w:rFonts w:ascii="Arial" w:eastAsiaTheme="majorEastAsia" w:hAnsi="Arial" w:cs="Arial"/>
        </w:rPr>
        <w:t xml:space="preserve"> (IA)</w:t>
      </w:r>
      <w:r w:rsidRPr="00D51FA4">
        <w:rPr>
          <w:rStyle w:val="ui-provider"/>
          <w:rFonts w:ascii="Arial" w:eastAsiaTheme="majorEastAsia" w:hAnsi="Arial" w:cs="Arial"/>
        </w:rPr>
        <w:t xml:space="preserve"> was prepared and is titled </w:t>
      </w:r>
      <w:r w:rsidRPr="00D51FA4">
        <w:rPr>
          <w:rStyle w:val="ui-provider"/>
          <w:rFonts w:ascii="Arial" w:eastAsiaTheme="majorEastAsia" w:hAnsi="Arial" w:cs="Arial"/>
          <w:i/>
        </w:rPr>
        <w:t>Reforming the Cashless Debit Card and Income Management</w:t>
      </w:r>
      <w:r w:rsidRPr="00D51FA4">
        <w:rPr>
          <w:rStyle w:val="ui-provider"/>
          <w:rFonts w:ascii="Arial" w:eastAsiaTheme="majorEastAsia" w:hAnsi="Arial" w:cs="Arial"/>
        </w:rPr>
        <w:t xml:space="preserve">. The </w:t>
      </w:r>
      <w:r w:rsidR="00FD5317" w:rsidRPr="00D51FA4">
        <w:rPr>
          <w:rStyle w:val="ui-provider"/>
          <w:rFonts w:ascii="Arial" w:eastAsiaTheme="majorEastAsia" w:hAnsi="Arial" w:cs="Arial"/>
        </w:rPr>
        <w:t>IA</w:t>
      </w:r>
      <w:r w:rsidRPr="00D51FA4">
        <w:rPr>
          <w:rStyle w:val="ui-provider"/>
          <w:rFonts w:ascii="Arial" w:eastAsiaTheme="majorEastAsia" w:hAnsi="Arial" w:cs="Arial"/>
        </w:rPr>
        <w:t xml:space="preserve"> is available on the website of the Department of the Prime Minister and Cabinet at </w:t>
      </w:r>
      <w:hyperlink r:id="rId11" w:history="1">
        <w:r w:rsidRPr="00D51FA4">
          <w:rPr>
            <w:rStyle w:val="Hyperlink"/>
            <w:rFonts w:ascii="Arial" w:eastAsiaTheme="majorEastAsia" w:hAnsi="Arial" w:cs="Arial"/>
          </w:rPr>
          <w:t>https://oia.pmc.gov.au/published-impact-analyses-and-reports/abolish-cashless-debit-card</w:t>
        </w:r>
      </w:hyperlink>
      <w:r w:rsidRPr="00D51FA4">
        <w:rPr>
          <w:rStyle w:val="ui-provider"/>
          <w:rFonts w:ascii="Arial" w:eastAsiaTheme="majorEastAsia" w:hAnsi="Arial" w:cs="Arial"/>
        </w:rPr>
        <w:t xml:space="preserve">. </w:t>
      </w:r>
      <w:r w:rsidRPr="00D51FA4">
        <w:rPr>
          <w:rFonts w:ascii="Arial" w:hAnsi="Arial" w:cs="Arial"/>
        </w:rPr>
        <w:t xml:space="preserve">The executive summary from the </w:t>
      </w:r>
      <w:r w:rsidR="00FD5317" w:rsidRPr="00D51FA4">
        <w:rPr>
          <w:rFonts w:ascii="Arial" w:hAnsi="Arial" w:cs="Arial"/>
        </w:rPr>
        <w:t>IA</w:t>
      </w:r>
      <w:r w:rsidRPr="00D51FA4">
        <w:rPr>
          <w:rFonts w:ascii="Arial" w:hAnsi="Arial" w:cs="Arial"/>
        </w:rPr>
        <w:t xml:space="preserve"> is included at the end of this explanatory statement.</w:t>
      </w:r>
    </w:p>
    <w:p w14:paraId="55942EE5" w14:textId="77777777" w:rsidR="00801095" w:rsidRPr="00D51FA4" w:rsidRDefault="00D1776D" w:rsidP="00811E3E">
      <w:pPr>
        <w:spacing w:before="0"/>
        <w:jc w:val="both"/>
        <w:rPr>
          <w:rStyle w:val="BookTitle"/>
          <w:rFonts w:ascii="Arial" w:hAnsi="Arial" w:cs="Arial"/>
          <w:b/>
          <w:i w:val="0"/>
          <w:iCs w:val="0"/>
          <w:smallCaps w:val="0"/>
          <w:spacing w:val="0"/>
          <w:szCs w:val="24"/>
        </w:rPr>
      </w:pPr>
      <w:r w:rsidRPr="00D51FA4" w:rsidDel="00D1776D">
        <w:rPr>
          <w:rFonts w:ascii="Arial" w:hAnsi="Arial" w:cs="Arial"/>
          <w:szCs w:val="24"/>
        </w:rPr>
        <w:t xml:space="preserve"> </w:t>
      </w:r>
    </w:p>
    <w:p w14:paraId="30D7FBA2" w14:textId="77777777" w:rsidR="006A6D51" w:rsidRPr="00D51FA4" w:rsidRDefault="006A6D51" w:rsidP="00801095">
      <w:pPr>
        <w:spacing w:before="0" w:after="200"/>
        <w:rPr>
          <w:rStyle w:val="BookTitle"/>
          <w:rFonts w:ascii="Arial" w:hAnsi="Arial" w:cs="Arial"/>
          <w:b/>
          <w:i w:val="0"/>
          <w:iCs w:val="0"/>
          <w:smallCaps w:val="0"/>
          <w:spacing w:val="0"/>
          <w:szCs w:val="24"/>
        </w:rPr>
      </w:pPr>
      <w:r w:rsidRPr="00D51FA4">
        <w:rPr>
          <w:rStyle w:val="BookTitle"/>
          <w:rFonts w:ascii="Arial" w:hAnsi="Arial" w:cs="Arial"/>
          <w:b/>
          <w:i w:val="0"/>
          <w:iCs w:val="0"/>
          <w:smallCaps w:val="0"/>
          <w:spacing w:val="0"/>
          <w:szCs w:val="24"/>
        </w:rPr>
        <w:t>Explanation of the provisions</w:t>
      </w:r>
    </w:p>
    <w:p w14:paraId="68DD33AA" w14:textId="77777777" w:rsidR="00A8076E" w:rsidRPr="00D51FA4" w:rsidRDefault="00A8076E" w:rsidP="00801095">
      <w:pPr>
        <w:jc w:val="both"/>
        <w:rPr>
          <w:rStyle w:val="BookTitle"/>
          <w:rFonts w:ascii="Arial" w:hAnsi="Arial" w:cs="Arial"/>
          <w:i w:val="0"/>
          <w:iCs w:val="0"/>
          <w:smallCaps w:val="0"/>
          <w:spacing w:val="0"/>
          <w:szCs w:val="24"/>
          <w:u w:val="single"/>
        </w:rPr>
      </w:pPr>
      <w:r w:rsidRPr="00D51FA4">
        <w:rPr>
          <w:rStyle w:val="BookTitle"/>
          <w:rFonts w:ascii="Arial" w:hAnsi="Arial" w:cs="Arial"/>
          <w:i w:val="0"/>
          <w:iCs w:val="0"/>
          <w:smallCaps w:val="0"/>
          <w:spacing w:val="0"/>
          <w:szCs w:val="24"/>
          <w:u w:val="single"/>
        </w:rPr>
        <w:t>Part 1</w:t>
      </w:r>
      <w:r w:rsidR="00B97B22" w:rsidRPr="00D51FA4">
        <w:rPr>
          <w:rStyle w:val="BookTitle"/>
          <w:rFonts w:ascii="Arial" w:hAnsi="Arial" w:cs="Arial"/>
          <w:i w:val="0"/>
          <w:iCs w:val="0"/>
          <w:smallCaps w:val="0"/>
          <w:spacing w:val="0"/>
          <w:szCs w:val="24"/>
          <w:u w:val="single"/>
        </w:rPr>
        <w:t>—</w:t>
      </w:r>
      <w:r w:rsidRPr="00D51FA4">
        <w:rPr>
          <w:rStyle w:val="BookTitle"/>
          <w:rFonts w:ascii="Arial" w:hAnsi="Arial" w:cs="Arial"/>
          <w:i w:val="0"/>
          <w:iCs w:val="0"/>
          <w:smallCaps w:val="0"/>
          <w:spacing w:val="0"/>
          <w:szCs w:val="24"/>
          <w:u w:val="single"/>
        </w:rPr>
        <w:t xml:space="preserve">Preliminary </w:t>
      </w:r>
    </w:p>
    <w:p w14:paraId="0913FB58" w14:textId="77777777" w:rsidR="00A8076E" w:rsidRPr="00D51FA4" w:rsidRDefault="00A8076E" w:rsidP="00801095">
      <w:pPr>
        <w:spacing w:before="0"/>
        <w:jc w:val="both"/>
        <w:rPr>
          <w:rStyle w:val="BookTitle"/>
          <w:rFonts w:ascii="Arial" w:hAnsi="Arial" w:cs="Arial"/>
          <w:b/>
          <w:i w:val="0"/>
          <w:iCs w:val="0"/>
          <w:smallCaps w:val="0"/>
          <w:spacing w:val="0"/>
          <w:szCs w:val="24"/>
        </w:rPr>
      </w:pPr>
    </w:p>
    <w:p w14:paraId="5E9E18BD" w14:textId="77777777" w:rsidR="00A8076E" w:rsidRPr="00D51FA4" w:rsidRDefault="00A8076E" w:rsidP="00801095">
      <w:pPr>
        <w:spacing w:before="0"/>
        <w:jc w:val="both"/>
        <w:rPr>
          <w:rFonts w:ascii="Arial" w:hAnsi="Arial" w:cs="Arial"/>
          <w:i/>
          <w:szCs w:val="24"/>
        </w:rPr>
      </w:pPr>
      <w:r w:rsidRPr="00D51FA4">
        <w:rPr>
          <w:rStyle w:val="BookTitle"/>
          <w:rFonts w:ascii="Arial" w:hAnsi="Arial" w:cs="Arial"/>
          <w:b/>
          <w:i w:val="0"/>
          <w:iCs w:val="0"/>
          <w:smallCaps w:val="0"/>
          <w:spacing w:val="0"/>
          <w:szCs w:val="24"/>
        </w:rPr>
        <w:t>Section 1</w:t>
      </w:r>
      <w:r w:rsidRPr="00D51FA4">
        <w:rPr>
          <w:rStyle w:val="BookTitle"/>
          <w:rFonts w:ascii="Arial" w:hAnsi="Arial" w:cs="Arial"/>
          <w:i w:val="0"/>
          <w:iCs w:val="0"/>
          <w:smallCaps w:val="0"/>
          <w:spacing w:val="0"/>
          <w:szCs w:val="24"/>
        </w:rPr>
        <w:t xml:space="preserve"> provides that the name of the Determination is the </w:t>
      </w:r>
      <w:r w:rsidR="0023207B" w:rsidRPr="00D51FA4">
        <w:rPr>
          <w:rFonts w:ascii="Arial" w:hAnsi="Arial" w:cs="Arial"/>
          <w:i/>
          <w:szCs w:val="24"/>
        </w:rPr>
        <w:t>Social Security (Administration) (Enhanced Income Management Regime—Volunteers) Determination 2023</w:t>
      </w:r>
      <w:r w:rsidR="00773815" w:rsidRPr="00D51FA4">
        <w:rPr>
          <w:rFonts w:ascii="Arial" w:hAnsi="Arial" w:cs="Arial"/>
          <w:szCs w:val="24"/>
        </w:rPr>
        <w:t>.</w:t>
      </w:r>
    </w:p>
    <w:p w14:paraId="7227E638" w14:textId="77777777" w:rsidR="00773815" w:rsidRPr="00D51FA4" w:rsidRDefault="00A8076E" w:rsidP="00773815">
      <w:pPr>
        <w:spacing w:before="0"/>
        <w:jc w:val="both"/>
        <w:rPr>
          <w:rStyle w:val="BookTitle"/>
          <w:rFonts w:ascii="Arial" w:hAnsi="Arial" w:cs="Arial"/>
          <w:i w:val="0"/>
          <w:iCs w:val="0"/>
          <w:smallCaps w:val="0"/>
          <w:spacing w:val="0"/>
          <w:szCs w:val="24"/>
        </w:rPr>
      </w:pPr>
      <w:r w:rsidRPr="00D51FA4">
        <w:rPr>
          <w:rStyle w:val="BookTitle"/>
          <w:rFonts w:ascii="Arial" w:hAnsi="Arial" w:cs="Arial"/>
          <w:i w:val="0"/>
          <w:iCs w:val="0"/>
          <w:smallCaps w:val="0"/>
          <w:spacing w:val="0"/>
          <w:szCs w:val="24"/>
        </w:rPr>
        <w:br/>
      </w:r>
      <w:r w:rsidR="00773815" w:rsidRPr="00D51FA4">
        <w:rPr>
          <w:rStyle w:val="BookTitle"/>
          <w:rFonts w:ascii="Arial" w:hAnsi="Arial" w:cs="Arial"/>
          <w:b/>
          <w:i w:val="0"/>
          <w:iCs w:val="0"/>
          <w:smallCaps w:val="0"/>
          <w:spacing w:val="0"/>
          <w:szCs w:val="24"/>
        </w:rPr>
        <w:t>Section 2</w:t>
      </w:r>
      <w:r w:rsidR="00773815" w:rsidRPr="00D51FA4">
        <w:rPr>
          <w:rStyle w:val="BookTitle"/>
          <w:rFonts w:ascii="Arial" w:hAnsi="Arial" w:cs="Arial"/>
          <w:i w:val="0"/>
          <w:iCs w:val="0"/>
          <w:smallCaps w:val="0"/>
          <w:spacing w:val="0"/>
          <w:szCs w:val="24"/>
        </w:rPr>
        <w:t xml:space="preserve"> provides that the Determination commences on </w:t>
      </w:r>
      <w:r w:rsidR="00C162D1" w:rsidRPr="00D51FA4">
        <w:rPr>
          <w:rStyle w:val="BookTitle"/>
          <w:rFonts w:ascii="Arial" w:hAnsi="Arial" w:cs="Arial"/>
          <w:i w:val="0"/>
          <w:iCs w:val="0"/>
          <w:smallCaps w:val="0"/>
          <w:spacing w:val="0"/>
          <w:szCs w:val="24"/>
        </w:rPr>
        <w:t>the later of</w:t>
      </w:r>
      <w:r w:rsidR="00773815" w:rsidRPr="00D51FA4">
        <w:rPr>
          <w:rStyle w:val="BookTitle"/>
          <w:rFonts w:ascii="Arial" w:hAnsi="Arial" w:cs="Arial"/>
          <w:i w:val="0"/>
          <w:iCs w:val="0"/>
          <w:smallCaps w:val="0"/>
          <w:spacing w:val="0"/>
          <w:szCs w:val="24"/>
        </w:rPr>
        <w:t>:</w:t>
      </w:r>
    </w:p>
    <w:p w14:paraId="7FB7F132" w14:textId="77777777" w:rsidR="00773815" w:rsidRPr="00D51FA4" w:rsidRDefault="00773815" w:rsidP="00773815">
      <w:pPr>
        <w:spacing w:before="0"/>
        <w:jc w:val="both"/>
        <w:rPr>
          <w:rStyle w:val="BookTitle"/>
          <w:rFonts w:ascii="Arial" w:hAnsi="Arial" w:cs="Arial"/>
          <w:i w:val="0"/>
          <w:iCs w:val="0"/>
          <w:smallCaps w:val="0"/>
          <w:spacing w:val="0"/>
          <w:szCs w:val="24"/>
        </w:rPr>
      </w:pPr>
    </w:p>
    <w:p w14:paraId="4EACF8EF" w14:textId="24518651" w:rsidR="00773815" w:rsidRPr="00D51FA4" w:rsidRDefault="00773815" w:rsidP="00773815">
      <w:pPr>
        <w:pStyle w:val="ListParagraph"/>
        <w:numPr>
          <w:ilvl w:val="0"/>
          <w:numId w:val="20"/>
        </w:numPr>
        <w:spacing w:before="120"/>
        <w:ind w:left="714" w:hanging="357"/>
        <w:contextualSpacing w:val="0"/>
        <w:jc w:val="both"/>
        <w:rPr>
          <w:rStyle w:val="BookTitle"/>
          <w:rFonts w:ascii="Arial" w:hAnsi="Arial" w:cs="Arial"/>
          <w:i w:val="0"/>
          <w:iCs w:val="0"/>
          <w:smallCaps w:val="0"/>
          <w:spacing w:val="0"/>
          <w:szCs w:val="24"/>
        </w:rPr>
      </w:pPr>
      <w:r w:rsidRPr="00D51FA4">
        <w:rPr>
          <w:rStyle w:val="BookTitle"/>
          <w:rFonts w:ascii="Arial" w:hAnsi="Arial" w:cs="Arial"/>
          <w:i w:val="0"/>
          <w:iCs w:val="0"/>
          <w:smallCaps w:val="0"/>
          <w:spacing w:val="0"/>
          <w:szCs w:val="24"/>
        </w:rPr>
        <w:t>the day after the Determination is registered on the Fe</w:t>
      </w:r>
      <w:r w:rsidR="00F04716" w:rsidRPr="00D51FA4">
        <w:rPr>
          <w:rStyle w:val="BookTitle"/>
          <w:rFonts w:ascii="Arial" w:hAnsi="Arial" w:cs="Arial"/>
          <w:i w:val="0"/>
          <w:iCs w:val="0"/>
          <w:smallCaps w:val="0"/>
          <w:spacing w:val="0"/>
          <w:szCs w:val="24"/>
        </w:rPr>
        <w:t>deral Register of Legislation; and</w:t>
      </w:r>
    </w:p>
    <w:p w14:paraId="5CD6C6B5" w14:textId="77777777" w:rsidR="00A8076E" w:rsidRPr="00D51FA4" w:rsidRDefault="00773815" w:rsidP="00773815">
      <w:pPr>
        <w:pStyle w:val="ListParagraph"/>
        <w:numPr>
          <w:ilvl w:val="0"/>
          <w:numId w:val="20"/>
        </w:numPr>
        <w:spacing w:before="120"/>
        <w:ind w:left="714" w:hanging="357"/>
        <w:contextualSpacing w:val="0"/>
        <w:jc w:val="both"/>
        <w:rPr>
          <w:rStyle w:val="BookTitle"/>
          <w:rFonts w:ascii="Arial" w:hAnsi="Arial" w:cs="Arial"/>
          <w:i w:val="0"/>
          <w:iCs w:val="0"/>
          <w:smallCaps w:val="0"/>
          <w:spacing w:val="0"/>
          <w:szCs w:val="24"/>
        </w:rPr>
      </w:pPr>
      <w:r w:rsidRPr="00D51FA4">
        <w:rPr>
          <w:rStyle w:val="BookTitle"/>
          <w:rFonts w:ascii="Arial" w:hAnsi="Arial" w:cs="Arial"/>
          <w:i w:val="0"/>
          <w:iCs w:val="0"/>
          <w:smallCaps w:val="0"/>
          <w:spacing w:val="0"/>
          <w:szCs w:val="24"/>
        </w:rPr>
        <w:lastRenderedPageBreak/>
        <w:t xml:space="preserve">the day on which the </w:t>
      </w:r>
      <w:r w:rsidRPr="00D51FA4">
        <w:rPr>
          <w:rStyle w:val="BookTitle"/>
          <w:rFonts w:ascii="Arial" w:hAnsi="Arial" w:cs="Arial"/>
          <w:iCs w:val="0"/>
          <w:smallCaps w:val="0"/>
          <w:spacing w:val="0"/>
          <w:szCs w:val="24"/>
        </w:rPr>
        <w:t xml:space="preserve">Social Security (Administration) Amendment (Income Management Reform) Act 2023 </w:t>
      </w:r>
      <w:r w:rsidRPr="00D51FA4">
        <w:rPr>
          <w:rStyle w:val="BookTitle"/>
          <w:rFonts w:ascii="Arial" w:hAnsi="Arial" w:cs="Arial"/>
          <w:i w:val="0"/>
          <w:iCs w:val="0"/>
          <w:smallCaps w:val="0"/>
          <w:spacing w:val="0"/>
          <w:szCs w:val="24"/>
        </w:rPr>
        <w:t>commences.</w:t>
      </w:r>
    </w:p>
    <w:p w14:paraId="3691FE72" w14:textId="77777777" w:rsidR="00A8076E" w:rsidRPr="00D51FA4" w:rsidRDefault="00A8076E" w:rsidP="00801095">
      <w:pPr>
        <w:spacing w:before="0"/>
        <w:jc w:val="both"/>
        <w:rPr>
          <w:rStyle w:val="BookTitle"/>
          <w:rFonts w:ascii="Arial" w:hAnsi="Arial" w:cs="Arial"/>
          <w:i w:val="0"/>
          <w:iCs w:val="0"/>
          <w:smallCaps w:val="0"/>
          <w:spacing w:val="0"/>
          <w:szCs w:val="24"/>
        </w:rPr>
      </w:pPr>
    </w:p>
    <w:p w14:paraId="19DB3C73" w14:textId="77777777" w:rsidR="00A8076E" w:rsidRPr="00D51FA4" w:rsidRDefault="00A8076E" w:rsidP="00801095">
      <w:pPr>
        <w:spacing w:before="0"/>
        <w:jc w:val="both"/>
        <w:rPr>
          <w:rStyle w:val="BookTitle"/>
          <w:rFonts w:ascii="Arial" w:hAnsi="Arial" w:cs="Arial"/>
          <w:i w:val="0"/>
          <w:iCs w:val="0"/>
          <w:smallCaps w:val="0"/>
          <w:spacing w:val="0"/>
          <w:szCs w:val="24"/>
        </w:rPr>
      </w:pPr>
      <w:r w:rsidRPr="00D51FA4">
        <w:rPr>
          <w:rStyle w:val="BookTitle"/>
          <w:rFonts w:ascii="Arial" w:hAnsi="Arial" w:cs="Arial"/>
          <w:b/>
          <w:i w:val="0"/>
          <w:iCs w:val="0"/>
          <w:smallCaps w:val="0"/>
          <w:spacing w:val="0"/>
          <w:szCs w:val="24"/>
        </w:rPr>
        <w:t>Section 3</w:t>
      </w:r>
      <w:r w:rsidRPr="00D51FA4">
        <w:rPr>
          <w:rStyle w:val="BookTitle"/>
          <w:rFonts w:ascii="Arial" w:hAnsi="Arial" w:cs="Arial"/>
          <w:i w:val="0"/>
          <w:iCs w:val="0"/>
          <w:smallCaps w:val="0"/>
          <w:spacing w:val="0"/>
          <w:szCs w:val="24"/>
        </w:rPr>
        <w:t xml:space="preserve"> provides that the authority for making the Determination is subs</w:t>
      </w:r>
      <w:r w:rsidR="00773815" w:rsidRPr="00D51FA4">
        <w:rPr>
          <w:rStyle w:val="BookTitle"/>
          <w:rFonts w:ascii="Arial" w:hAnsi="Arial" w:cs="Arial"/>
          <w:i w:val="0"/>
          <w:iCs w:val="0"/>
          <w:smallCaps w:val="0"/>
          <w:spacing w:val="0"/>
          <w:szCs w:val="24"/>
        </w:rPr>
        <w:t>ection 123SF(5) of the Act.</w:t>
      </w:r>
      <w:r w:rsidRPr="00D51FA4">
        <w:rPr>
          <w:rStyle w:val="BookTitle"/>
          <w:rFonts w:ascii="Arial" w:hAnsi="Arial" w:cs="Arial"/>
          <w:i w:val="0"/>
          <w:iCs w:val="0"/>
          <w:smallCaps w:val="0"/>
          <w:spacing w:val="0"/>
          <w:szCs w:val="24"/>
        </w:rPr>
        <w:t xml:space="preserve"> </w:t>
      </w:r>
    </w:p>
    <w:p w14:paraId="0AAAC3E0" w14:textId="77777777" w:rsidR="00A8076E" w:rsidRPr="00D51FA4" w:rsidRDefault="00A8076E" w:rsidP="00801095">
      <w:pPr>
        <w:shd w:val="clear" w:color="auto" w:fill="FFFFFF"/>
        <w:spacing w:before="0"/>
        <w:jc w:val="both"/>
        <w:textAlignment w:val="top"/>
        <w:rPr>
          <w:rFonts w:ascii="Arial" w:hAnsi="Arial" w:cs="Arial"/>
          <w:color w:val="111111"/>
          <w:szCs w:val="24"/>
          <w:u w:val="single"/>
        </w:rPr>
      </w:pPr>
    </w:p>
    <w:p w14:paraId="54290F69" w14:textId="77777777" w:rsidR="0095196E" w:rsidRPr="00D51FA4" w:rsidRDefault="00A8076E" w:rsidP="00801095">
      <w:pPr>
        <w:shd w:val="clear" w:color="auto" w:fill="FFFFFF"/>
        <w:spacing w:before="0"/>
        <w:jc w:val="both"/>
        <w:textAlignment w:val="top"/>
        <w:rPr>
          <w:rFonts w:ascii="Arial" w:hAnsi="Arial" w:cs="Arial"/>
          <w:color w:val="111111"/>
          <w:szCs w:val="24"/>
        </w:rPr>
      </w:pPr>
      <w:r w:rsidRPr="00D51FA4">
        <w:rPr>
          <w:rFonts w:ascii="Arial" w:hAnsi="Arial" w:cs="Arial"/>
          <w:b/>
          <w:color w:val="111111"/>
          <w:szCs w:val="24"/>
        </w:rPr>
        <w:t>Section 4</w:t>
      </w:r>
      <w:r w:rsidRPr="00D51FA4">
        <w:rPr>
          <w:rFonts w:ascii="Arial" w:hAnsi="Arial" w:cs="Arial"/>
          <w:color w:val="111111"/>
          <w:szCs w:val="24"/>
        </w:rPr>
        <w:t xml:space="preserve"> outlines definitions for the purpose of the Determination.</w:t>
      </w:r>
    </w:p>
    <w:p w14:paraId="46412156" w14:textId="77777777" w:rsidR="00F11A0D" w:rsidRPr="00D51FA4" w:rsidRDefault="00F11A0D" w:rsidP="00801095">
      <w:pPr>
        <w:pStyle w:val="subsection"/>
        <w:jc w:val="both"/>
        <w:rPr>
          <w:rFonts w:ascii="Arial" w:hAnsi="Arial" w:cs="Arial"/>
          <w:sz w:val="24"/>
        </w:rPr>
      </w:pPr>
      <w:r w:rsidRPr="00D51FA4">
        <w:rPr>
          <w:rFonts w:ascii="Arial" w:hAnsi="Arial" w:cs="Arial"/>
          <w:sz w:val="24"/>
        </w:rPr>
        <w:t>In this instrument:</w:t>
      </w:r>
    </w:p>
    <w:p w14:paraId="4BA8B330" w14:textId="77777777" w:rsidR="00F11A0D" w:rsidRPr="00D51FA4" w:rsidRDefault="00F11A0D" w:rsidP="00801095">
      <w:pPr>
        <w:pStyle w:val="Definition"/>
        <w:jc w:val="both"/>
        <w:rPr>
          <w:rFonts w:ascii="Arial" w:hAnsi="Arial" w:cs="Arial"/>
          <w:sz w:val="24"/>
          <w:szCs w:val="24"/>
        </w:rPr>
      </w:pPr>
      <w:r w:rsidRPr="00D51FA4">
        <w:rPr>
          <w:rFonts w:ascii="Arial" w:hAnsi="Arial" w:cs="Arial"/>
          <w:b/>
          <w:i/>
          <w:sz w:val="24"/>
          <w:szCs w:val="24"/>
        </w:rPr>
        <w:t>Act</w:t>
      </w:r>
      <w:r w:rsidRPr="00D51FA4">
        <w:rPr>
          <w:rFonts w:ascii="Arial" w:hAnsi="Arial" w:cs="Arial"/>
          <w:sz w:val="24"/>
          <w:szCs w:val="24"/>
        </w:rPr>
        <w:t xml:space="preserve"> means the </w:t>
      </w:r>
      <w:r w:rsidRPr="00D51FA4">
        <w:rPr>
          <w:rFonts w:ascii="Arial" w:hAnsi="Arial" w:cs="Arial"/>
          <w:i/>
          <w:sz w:val="24"/>
          <w:szCs w:val="24"/>
        </w:rPr>
        <w:t>Social Security (Administration) Act 1999</w:t>
      </w:r>
      <w:r w:rsidRPr="00D51FA4">
        <w:rPr>
          <w:rFonts w:ascii="Arial" w:hAnsi="Arial" w:cs="Arial"/>
          <w:sz w:val="24"/>
          <w:szCs w:val="24"/>
        </w:rPr>
        <w:t>.</w:t>
      </w:r>
    </w:p>
    <w:p w14:paraId="21EF1533" w14:textId="77777777" w:rsidR="00A8076E" w:rsidRPr="00D51FA4" w:rsidRDefault="00A8076E" w:rsidP="00801095">
      <w:pPr>
        <w:shd w:val="clear" w:color="auto" w:fill="FFFFFF"/>
        <w:spacing w:before="0"/>
        <w:jc w:val="both"/>
        <w:textAlignment w:val="top"/>
        <w:rPr>
          <w:rFonts w:ascii="Arial" w:hAnsi="Arial" w:cs="Arial"/>
          <w:color w:val="111111"/>
          <w:szCs w:val="24"/>
        </w:rPr>
      </w:pPr>
    </w:p>
    <w:p w14:paraId="6C0D1A6B" w14:textId="77777777" w:rsidR="00A709D5" w:rsidRPr="00D51FA4" w:rsidRDefault="00A8076E" w:rsidP="00801095">
      <w:pPr>
        <w:shd w:val="clear" w:color="auto" w:fill="FFFFFF"/>
        <w:spacing w:before="0"/>
        <w:textAlignment w:val="top"/>
        <w:rPr>
          <w:rFonts w:ascii="Arial" w:hAnsi="Arial" w:cs="Arial"/>
          <w:color w:val="111111"/>
          <w:szCs w:val="24"/>
          <w:u w:val="single"/>
        </w:rPr>
      </w:pPr>
      <w:r w:rsidRPr="00D51FA4">
        <w:rPr>
          <w:rFonts w:ascii="Arial" w:hAnsi="Arial" w:cs="Arial"/>
          <w:color w:val="111111"/>
          <w:szCs w:val="24"/>
          <w:u w:val="single"/>
        </w:rPr>
        <w:t>Part 2—</w:t>
      </w:r>
      <w:bookmarkStart w:id="0" w:name="_Toc290210739"/>
      <w:r w:rsidR="001853D9" w:rsidRPr="00D51FA4">
        <w:rPr>
          <w:rFonts w:ascii="Arial" w:hAnsi="Arial" w:cs="Arial"/>
          <w:color w:val="111111"/>
          <w:szCs w:val="24"/>
          <w:u w:val="single"/>
        </w:rPr>
        <w:t>Voluntary enhanced income management areas</w:t>
      </w:r>
      <w:r w:rsidR="00A709D5" w:rsidRPr="00D51FA4">
        <w:rPr>
          <w:rFonts w:ascii="Arial" w:hAnsi="Arial" w:cs="Arial"/>
          <w:color w:val="111111"/>
          <w:szCs w:val="24"/>
          <w:u w:val="single"/>
        </w:rPr>
        <w:br/>
      </w:r>
    </w:p>
    <w:p w14:paraId="4DBB735B" w14:textId="77777777" w:rsidR="001853D9" w:rsidRPr="00D51FA4" w:rsidRDefault="001853D9" w:rsidP="001853D9">
      <w:pPr>
        <w:shd w:val="clear" w:color="auto" w:fill="FFFFFF"/>
        <w:spacing w:before="0"/>
        <w:jc w:val="both"/>
        <w:textAlignment w:val="top"/>
        <w:rPr>
          <w:rFonts w:ascii="Arial" w:hAnsi="Arial" w:cs="Arial"/>
          <w:color w:val="111111"/>
          <w:szCs w:val="24"/>
        </w:rPr>
      </w:pPr>
      <w:r w:rsidRPr="00D51FA4">
        <w:rPr>
          <w:rFonts w:ascii="Arial" w:hAnsi="Arial" w:cs="Arial"/>
          <w:b/>
          <w:color w:val="111111"/>
          <w:szCs w:val="24"/>
        </w:rPr>
        <w:t>Section 5</w:t>
      </w:r>
      <w:r w:rsidRPr="00D51FA4">
        <w:rPr>
          <w:rFonts w:ascii="Arial" w:hAnsi="Arial" w:cs="Arial"/>
          <w:color w:val="111111"/>
          <w:szCs w:val="24"/>
        </w:rPr>
        <w:t xml:space="preserve"> provides that for the purposes of Part 3AA of the Act, the </w:t>
      </w:r>
      <w:r w:rsidR="00BB5FC9" w:rsidRPr="00D51FA4">
        <w:rPr>
          <w:rFonts w:ascii="Arial" w:hAnsi="Arial" w:cs="Arial"/>
          <w:color w:val="111111"/>
          <w:szCs w:val="24"/>
        </w:rPr>
        <w:t>Northern Territory has</w:t>
      </w:r>
      <w:r w:rsidRPr="00D51FA4">
        <w:rPr>
          <w:rStyle w:val="BookTitle"/>
          <w:rFonts w:ascii="Arial" w:hAnsi="Arial" w:cs="Arial"/>
          <w:i w:val="0"/>
          <w:iCs w:val="0"/>
          <w:smallCaps w:val="0"/>
          <w:spacing w:val="0"/>
          <w:szCs w:val="24"/>
        </w:rPr>
        <w:t xml:space="preserve"> been determined to be a voluntary enhanced income management area</w:t>
      </w:r>
      <w:r w:rsidR="00BB5FC9" w:rsidRPr="00D51FA4">
        <w:rPr>
          <w:rStyle w:val="BookTitle"/>
          <w:rFonts w:ascii="Arial" w:hAnsi="Arial" w:cs="Arial"/>
          <w:i w:val="0"/>
          <w:iCs w:val="0"/>
          <w:smallCaps w:val="0"/>
          <w:spacing w:val="0"/>
          <w:szCs w:val="24"/>
        </w:rPr>
        <w:t>.</w:t>
      </w:r>
    </w:p>
    <w:p w14:paraId="2B4546E5" w14:textId="77777777" w:rsidR="003857F5" w:rsidRPr="00D51FA4" w:rsidRDefault="00667075" w:rsidP="00667075">
      <w:pPr>
        <w:rPr>
          <w:rFonts w:ascii="Arial" w:hAnsi="Arial" w:cs="Arial"/>
          <w:szCs w:val="24"/>
        </w:rPr>
      </w:pPr>
      <w:r w:rsidRPr="00D51FA4">
        <w:rPr>
          <w:rFonts w:ascii="Arial" w:hAnsi="Arial" w:cs="Arial"/>
          <w:szCs w:val="24"/>
        </w:rPr>
        <w:t>In addition, the Determination specifies areas covered by the following legislative instruments:</w:t>
      </w:r>
    </w:p>
    <w:p w14:paraId="1BBD9B0E" w14:textId="77777777" w:rsidR="001853D9" w:rsidRPr="00D51FA4" w:rsidRDefault="001853D9" w:rsidP="00817755">
      <w:pPr>
        <w:pStyle w:val="ListParagraph"/>
        <w:numPr>
          <w:ilvl w:val="0"/>
          <w:numId w:val="28"/>
        </w:numPr>
        <w:spacing w:before="120"/>
        <w:ind w:left="714" w:hanging="357"/>
        <w:contextualSpacing w:val="0"/>
        <w:jc w:val="both"/>
        <w:rPr>
          <w:rFonts w:ascii="Arial" w:hAnsi="Arial" w:cs="Arial"/>
          <w:szCs w:val="24"/>
        </w:rPr>
      </w:pPr>
      <w:r w:rsidRPr="00D51FA4">
        <w:rPr>
          <w:rFonts w:ascii="Arial" w:hAnsi="Arial" w:cs="Arial"/>
          <w:szCs w:val="24"/>
        </w:rPr>
        <w:t xml:space="preserve">an area covered by the </w:t>
      </w:r>
      <w:r w:rsidRPr="00D51FA4">
        <w:rPr>
          <w:rFonts w:ascii="Arial" w:hAnsi="Arial" w:cs="Arial"/>
          <w:i/>
          <w:szCs w:val="24"/>
        </w:rPr>
        <w:t>Social Security (Administration) (Declared income management area — Anangu Pitjantjatjara Yankunytjatjara lands) Determination 2012</w:t>
      </w:r>
      <w:r w:rsidRPr="00D51FA4">
        <w:rPr>
          <w:rFonts w:ascii="Arial" w:hAnsi="Arial" w:cs="Arial"/>
          <w:szCs w:val="24"/>
        </w:rPr>
        <w:t>;</w:t>
      </w:r>
    </w:p>
    <w:p w14:paraId="53F23616" w14:textId="77777777" w:rsidR="001853D9" w:rsidRPr="00D51FA4" w:rsidRDefault="001853D9" w:rsidP="00817755">
      <w:pPr>
        <w:pStyle w:val="ListParagraph"/>
        <w:numPr>
          <w:ilvl w:val="0"/>
          <w:numId w:val="28"/>
        </w:numPr>
        <w:spacing w:before="120"/>
        <w:ind w:left="714" w:hanging="357"/>
        <w:contextualSpacing w:val="0"/>
        <w:jc w:val="both"/>
        <w:rPr>
          <w:rStyle w:val="BookTitle"/>
          <w:rFonts w:ascii="Arial" w:hAnsi="Arial" w:cs="Arial"/>
          <w:i w:val="0"/>
          <w:iCs w:val="0"/>
          <w:smallCaps w:val="0"/>
          <w:spacing w:val="0"/>
          <w:szCs w:val="24"/>
        </w:rPr>
      </w:pPr>
      <w:r w:rsidRPr="00D51FA4">
        <w:rPr>
          <w:rStyle w:val="BookTitle"/>
          <w:rFonts w:ascii="Arial" w:hAnsi="Arial" w:cs="Arial"/>
          <w:i w:val="0"/>
          <w:iCs w:val="0"/>
          <w:smallCaps w:val="0"/>
          <w:spacing w:val="0"/>
          <w:szCs w:val="24"/>
        </w:rPr>
        <w:t xml:space="preserve">an area covered by the </w:t>
      </w:r>
      <w:r w:rsidRPr="00D51FA4">
        <w:rPr>
          <w:rStyle w:val="BookTitle"/>
          <w:rFonts w:ascii="Arial" w:hAnsi="Arial" w:cs="Arial"/>
          <w:iCs w:val="0"/>
          <w:smallCaps w:val="0"/>
          <w:spacing w:val="0"/>
          <w:szCs w:val="24"/>
        </w:rPr>
        <w:t>Social Security (Administration) (Declared income management areas — Ngaanyatjarra Lands</w:t>
      </w:r>
      <w:r w:rsidR="00667075" w:rsidRPr="00D51FA4">
        <w:rPr>
          <w:rStyle w:val="BookTitle"/>
          <w:rFonts w:ascii="Arial" w:hAnsi="Arial" w:cs="Arial"/>
          <w:iCs w:val="0"/>
          <w:smallCaps w:val="0"/>
          <w:spacing w:val="0"/>
          <w:szCs w:val="24"/>
        </w:rPr>
        <w:t>) Determination 202</w:t>
      </w:r>
      <w:r w:rsidRPr="00D51FA4">
        <w:rPr>
          <w:rStyle w:val="BookTitle"/>
          <w:rFonts w:ascii="Arial" w:hAnsi="Arial" w:cs="Arial"/>
          <w:iCs w:val="0"/>
          <w:smallCaps w:val="0"/>
          <w:spacing w:val="0"/>
          <w:szCs w:val="24"/>
        </w:rPr>
        <w:t>3</w:t>
      </w:r>
      <w:r w:rsidRPr="00D51FA4">
        <w:rPr>
          <w:rStyle w:val="BookTitle"/>
          <w:rFonts w:ascii="Arial" w:hAnsi="Arial" w:cs="Arial"/>
          <w:i w:val="0"/>
          <w:iCs w:val="0"/>
          <w:smallCaps w:val="0"/>
          <w:spacing w:val="0"/>
          <w:szCs w:val="24"/>
        </w:rPr>
        <w:t>;</w:t>
      </w:r>
    </w:p>
    <w:p w14:paraId="0E11C735" w14:textId="77777777" w:rsidR="001853D9" w:rsidRPr="00D51FA4" w:rsidRDefault="001853D9" w:rsidP="00817755">
      <w:pPr>
        <w:pStyle w:val="ListParagraph"/>
        <w:numPr>
          <w:ilvl w:val="0"/>
          <w:numId w:val="28"/>
        </w:numPr>
        <w:spacing w:before="120"/>
        <w:ind w:left="714" w:hanging="357"/>
        <w:contextualSpacing w:val="0"/>
        <w:jc w:val="both"/>
        <w:rPr>
          <w:rStyle w:val="BookTitle"/>
          <w:rFonts w:ascii="Arial" w:hAnsi="Arial" w:cs="Arial"/>
          <w:i w:val="0"/>
          <w:iCs w:val="0"/>
          <w:smallCaps w:val="0"/>
          <w:spacing w:val="0"/>
          <w:szCs w:val="24"/>
        </w:rPr>
      </w:pPr>
      <w:r w:rsidRPr="00D51FA4">
        <w:rPr>
          <w:rStyle w:val="BookTitle"/>
          <w:rFonts w:ascii="Arial" w:hAnsi="Arial" w:cs="Arial"/>
          <w:i w:val="0"/>
          <w:iCs w:val="0"/>
          <w:smallCaps w:val="0"/>
          <w:spacing w:val="0"/>
          <w:szCs w:val="24"/>
        </w:rPr>
        <w:t xml:space="preserve">an area covered by the </w:t>
      </w:r>
      <w:r w:rsidRPr="00D51FA4">
        <w:rPr>
          <w:rStyle w:val="BookTitle"/>
          <w:rFonts w:ascii="Arial" w:hAnsi="Arial" w:cs="Arial"/>
          <w:iCs w:val="0"/>
          <w:smallCaps w:val="0"/>
          <w:spacing w:val="0"/>
          <w:szCs w:val="24"/>
        </w:rPr>
        <w:t>Social Security (Administration) (Declared voluntary income management areas — New South Wales, Queensland, South Australia and Victoria) Determination 2012</w:t>
      </w:r>
      <w:r w:rsidRPr="00D51FA4">
        <w:rPr>
          <w:rStyle w:val="BookTitle"/>
          <w:rFonts w:ascii="Arial" w:hAnsi="Arial" w:cs="Arial"/>
          <w:i w:val="0"/>
          <w:iCs w:val="0"/>
          <w:smallCaps w:val="0"/>
          <w:spacing w:val="0"/>
          <w:szCs w:val="24"/>
        </w:rPr>
        <w:t>;</w:t>
      </w:r>
    </w:p>
    <w:p w14:paraId="5B13EE3B" w14:textId="77777777" w:rsidR="001853D9" w:rsidRPr="00D51FA4" w:rsidRDefault="001853D9" w:rsidP="00817755">
      <w:pPr>
        <w:pStyle w:val="ListParagraph"/>
        <w:numPr>
          <w:ilvl w:val="0"/>
          <w:numId w:val="28"/>
        </w:numPr>
        <w:spacing w:before="120"/>
        <w:ind w:left="714" w:hanging="357"/>
        <w:contextualSpacing w:val="0"/>
        <w:jc w:val="both"/>
        <w:rPr>
          <w:rStyle w:val="BookTitle"/>
          <w:rFonts w:ascii="Arial" w:hAnsi="Arial" w:cs="Arial"/>
          <w:i w:val="0"/>
          <w:iCs w:val="0"/>
          <w:smallCaps w:val="0"/>
          <w:spacing w:val="0"/>
          <w:szCs w:val="24"/>
        </w:rPr>
      </w:pPr>
      <w:r w:rsidRPr="00D51FA4">
        <w:rPr>
          <w:rStyle w:val="BookTitle"/>
          <w:rFonts w:ascii="Arial" w:hAnsi="Arial" w:cs="Arial"/>
          <w:i w:val="0"/>
          <w:iCs w:val="0"/>
          <w:smallCaps w:val="0"/>
          <w:spacing w:val="0"/>
          <w:szCs w:val="24"/>
        </w:rPr>
        <w:t xml:space="preserve">an area covered by the </w:t>
      </w:r>
      <w:r w:rsidRPr="00D51FA4">
        <w:rPr>
          <w:rStyle w:val="BookTitle"/>
          <w:rFonts w:ascii="Arial" w:hAnsi="Arial" w:cs="Arial"/>
          <w:iCs w:val="0"/>
          <w:smallCaps w:val="0"/>
          <w:spacing w:val="0"/>
          <w:szCs w:val="24"/>
        </w:rPr>
        <w:t>Social Security (Administration) (Declared voluntary income management areas – Western Australia) Determination 2022</w:t>
      </w:r>
      <w:r w:rsidRPr="00D51FA4">
        <w:rPr>
          <w:rStyle w:val="BookTitle"/>
          <w:rFonts w:ascii="Arial" w:hAnsi="Arial" w:cs="Arial"/>
          <w:i w:val="0"/>
          <w:iCs w:val="0"/>
          <w:smallCaps w:val="0"/>
          <w:spacing w:val="0"/>
          <w:szCs w:val="24"/>
        </w:rPr>
        <w:t>.</w:t>
      </w:r>
    </w:p>
    <w:p w14:paraId="26A72D32" w14:textId="77777777" w:rsidR="00667075" w:rsidRPr="00D51FA4" w:rsidRDefault="00667075" w:rsidP="00667075">
      <w:pPr>
        <w:spacing w:before="0"/>
        <w:jc w:val="both"/>
        <w:rPr>
          <w:rStyle w:val="BookTitle"/>
          <w:rFonts w:ascii="Arial" w:hAnsi="Arial" w:cs="Arial"/>
          <w:i w:val="0"/>
          <w:iCs w:val="0"/>
          <w:smallCaps w:val="0"/>
          <w:spacing w:val="0"/>
          <w:szCs w:val="24"/>
        </w:rPr>
      </w:pPr>
    </w:p>
    <w:p w14:paraId="767D8FE2" w14:textId="77777777" w:rsidR="00667075" w:rsidRPr="00D51FA4" w:rsidRDefault="00667075" w:rsidP="00667075">
      <w:pPr>
        <w:spacing w:before="0"/>
        <w:jc w:val="both"/>
        <w:rPr>
          <w:rStyle w:val="BookTitle"/>
          <w:rFonts w:ascii="Arial" w:hAnsi="Arial" w:cs="Arial"/>
          <w:i w:val="0"/>
          <w:iCs w:val="0"/>
          <w:smallCaps w:val="0"/>
          <w:spacing w:val="0"/>
          <w:szCs w:val="24"/>
        </w:rPr>
      </w:pPr>
      <w:r w:rsidRPr="00D51FA4">
        <w:rPr>
          <w:rStyle w:val="BookTitle"/>
          <w:rFonts w:ascii="Arial" w:hAnsi="Arial" w:cs="Arial"/>
          <w:i w:val="0"/>
          <w:iCs w:val="0"/>
          <w:smallCaps w:val="0"/>
          <w:spacing w:val="0"/>
          <w:szCs w:val="24"/>
        </w:rPr>
        <w:t>As at the date that the Determination was made, the following areas are covered by the above instruments:</w:t>
      </w:r>
    </w:p>
    <w:p w14:paraId="4A05BE32" w14:textId="77777777" w:rsidR="00667075" w:rsidRPr="00D51FA4" w:rsidRDefault="00667075" w:rsidP="00667075">
      <w:pPr>
        <w:spacing w:before="0"/>
        <w:jc w:val="both"/>
        <w:rPr>
          <w:rStyle w:val="BookTitle"/>
          <w:rFonts w:ascii="Arial" w:hAnsi="Arial" w:cs="Arial"/>
          <w:i w:val="0"/>
          <w:iCs w:val="0"/>
          <w:smallCaps w:val="0"/>
          <w:spacing w:val="0"/>
          <w:szCs w:val="24"/>
        </w:rPr>
      </w:pPr>
    </w:p>
    <w:p w14:paraId="595E6FFC" w14:textId="77777777" w:rsidR="00667075" w:rsidRPr="00D51FA4" w:rsidRDefault="00667075" w:rsidP="00667075">
      <w:pPr>
        <w:pStyle w:val="Numbered"/>
        <w:numPr>
          <w:ilvl w:val="0"/>
          <w:numId w:val="33"/>
        </w:numPr>
        <w:jc w:val="both"/>
        <w:rPr>
          <w:rFonts w:ascii="Arial" w:hAnsi="Arial" w:cs="Arial"/>
        </w:rPr>
      </w:pPr>
      <w:r w:rsidRPr="00D51FA4">
        <w:rPr>
          <w:rFonts w:ascii="Arial" w:hAnsi="Arial" w:cs="Arial"/>
        </w:rPr>
        <w:t xml:space="preserve">South Australia: </w:t>
      </w:r>
      <w:r w:rsidRPr="00D51FA4">
        <w:rPr>
          <w:rFonts w:ascii="Arial" w:eastAsiaTheme="majorEastAsia" w:hAnsi="Arial" w:cs="Arial"/>
          <w:szCs w:val="24"/>
          <w:shd w:val="clear" w:color="auto" w:fill="FFFFFF"/>
        </w:rPr>
        <w:t>Anangu Pitjantjatjara Yankunytjatjara lands, Greater Adelaide</w:t>
      </w:r>
      <w:r w:rsidRPr="00D51FA4">
        <w:rPr>
          <w:rStyle w:val="Hyperlink"/>
          <w:rFonts w:ascii="Arial" w:eastAsiaTheme="majorEastAsia" w:hAnsi="Arial" w:cs="Arial"/>
          <w:color w:val="auto"/>
          <w:szCs w:val="24"/>
          <w:u w:val="none"/>
          <w:shd w:val="clear" w:color="auto" w:fill="FFFFFF"/>
        </w:rPr>
        <w:t xml:space="preserve"> and </w:t>
      </w:r>
      <w:r w:rsidRPr="00D51FA4">
        <w:rPr>
          <w:rFonts w:ascii="Arial" w:eastAsiaTheme="majorEastAsia" w:hAnsi="Arial" w:cs="Arial"/>
        </w:rPr>
        <w:t>Playford</w:t>
      </w:r>
      <w:r w:rsidRPr="00D51FA4">
        <w:rPr>
          <w:rFonts w:ascii="Arial" w:hAnsi="Arial" w:cs="Arial"/>
        </w:rPr>
        <w:t>;</w:t>
      </w:r>
    </w:p>
    <w:p w14:paraId="16FAFF00" w14:textId="77777777" w:rsidR="00667075" w:rsidRPr="00D51FA4" w:rsidRDefault="00667075" w:rsidP="00667075">
      <w:pPr>
        <w:pStyle w:val="Numbered"/>
        <w:numPr>
          <w:ilvl w:val="0"/>
          <w:numId w:val="33"/>
        </w:numPr>
        <w:jc w:val="both"/>
        <w:rPr>
          <w:rFonts w:ascii="Arial" w:hAnsi="Arial" w:cs="Arial"/>
        </w:rPr>
      </w:pPr>
      <w:r w:rsidRPr="00D51FA4">
        <w:rPr>
          <w:rFonts w:ascii="Arial" w:hAnsi="Arial" w:cs="Arial"/>
          <w:color w:val="000000"/>
          <w:szCs w:val="24"/>
          <w:shd w:val="clear" w:color="auto" w:fill="FFFFFF"/>
        </w:rPr>
        <w:t xml:space="preserve">Western Australia: </w:t>
      </w:r>
      <w:r w:rsidRPr="00D51FA4">
        <w:rPr>
          <w:rFonts w:ascii="Arial" w:eastAsiaTheme="majorEastAsia" w:hAnsi="Arial" w:cs="Arial"/>
          <w:szCs w:val="24"/>
          <w:shd w:val="clear" w:color="auto" w:fill="FFFFFF"/>
        </w:rPr>
        <w:t>Ngaanyatjarra Lands</w:t>
      </w:r>
      <w:r w:rsidRPr="00D51FA4">
        <w:rPr>
          <w:rFonts w:ascii="Arial" w:hAnsi="Arial" w:cs="Arial"/>
          <w:szCs w:val="24"/>
        </w:rPr>
        <w:softHyphen/>
      </w:r>
      <w:r w:rsidRPr="00D51FA4">
        <w:rPr>
          <w:rFonts w:ascii="Arial" w:hAnsi="Arial" w:cs="Arial"/>
          <w:szCs w:val="24"/>
        </w:rPr>
        <w:softHyphen/>
        <w:t>, Kimberley and Perth Metropolitan ;</w:t>
      </w:r>
    </w:p>
    <w:p w14:paraId="36155E6B" w14:textId="77777777" w:rsidR="00667075" w:rsidRPr="00D51FA4" w:rsidRDefault="00667075" w:rsidP="00667075">
      <w:pPr>
        <w:pStyle w:val="Numbered"/>
        <w:numPr>
          <w:ilvl w:val="0"/>
          <w:numId w:val="33"/>
        </w:numPr>
        <w:jc w:val="both"/>
        <w:rPr>
          <w:rFonts w:ascii="Arial" w:hAnsi="Arial" w:cs="Arial"/>
        </w:rPr>
      </w:pPr>
      <w:r w:rsidRPr="00D51FA4">
        <w:rPr>
          <w:rFonts w:ascii="Arial" w:hAnsi="Arial" w:cs="Arial"/>
        </w:rPr>
        <w:t xml:space="preserve">New South Wales: </w:t>
      </w:r>
      <w:r w:rsidRPr="00D51FA4">
        <w:rPr>
          <w:rFonts w:ascii="Arial" w:eastAsiaTheme="majorEastAsia" w:hAnsi="Arial" w:cs="Arial"/>
        </w:rPr>
        <w:t>Bankstown</w:t>
      </w:r>
      <w:r w:rsidRPr="00D51FA4">
        <w:rPr>
          <w:rFonts w:ascii="Arial" w:hAnsi="Arial" w:cs="Arial"/>
        </w:rPr>
        <w:t>;</w:t>
      </w:r>
    </w:p>
    <w:p w14:paraId="6CD40A48" w14:textId="77777777" w:rsidR="00667075" w:rsidRPr="00D51FA4" w:rsidRDefault="00667075" w:rsidP="00667075">
      <w:pPr>
        <w:pStyle w:val="Numbered"/>
        <w:numPr>
          <w:ilvl w:val="0"/>
          <w:numId w:val="33"/>
        </w:numPr>
        <w:jc w:val="both"/>
        <w:rPr>
          <w:rFonts w:ascii="Arial" w:hAnsi="Arial" w:cs="Arial"/>
        </w:rPr>
      </w:pPr>
      <w:r w:rsidRPr="00D51FA4">
        <w:rPr>
          <w:rFonts w:ascii="Arial" w:hAnsi="Arial" w:cs="Arial"/>
        </w:rPr>
        <w:t xml:space="preserve">Queensland: </w:t>
      </w:r>
      <w:r w:rsidRPr="00D51FA4">
        <w:rPr>
          <w:rFonts w:ascii="Arial" w:eastAsiaTheme="majorEastAsia" w:hAnsi="Arial" w:cs="Arial"/>
        </w:rPr>
        <w:t>Logan, Rockhampton, Livingstone</w:t>
      </w:r>
      <w:r w:rsidRPr="00D51FA4">
        <w:rPr>
          <w:rFonts w:ascii="Arial" w:hAnsi="Arial" w:cs="Arial"/>
        </w:rPr>
        <w:t>;</w:t>
      </w:r>
    </w:p>
    <w:p w14:paraId="1D9B5D13" w14:textId="77777777" w:rsidR="00667075" w:rsidRPr="00D51FA4" w:rsidRDefault="00667075" w:rsidP="00667075">
      <w:pPr>
        <w:pStyle w:val="Numbered"/>
        <w:numPr>
          <w:ilvl w:val="0"/>
          <w:numId w:val="33"/>
        </w:numPr>
        <w:jc w:val="both"/>
        <w:rPr>
          <w:rStyle w:val="BookTitle"/>
          <w:rFonts w:ascii="Arial" w:hAnsi="Arial" w:cs="Arial"/>
          <w:i w:val="0"/>
          <w:iCs w:val="0"/>
          <w:smallCaps w:val="0"/>
          <w:spacing w:val="0"/>
        </w:rPr>
      </w:pPr>
      <w:r w:rsidRPr="00D51FA4">
        <w:rPr>
          <w:rFonts w:ascii="Arial" w:hAnsi="Arial" w:cs="Arial"/>
        </w:rPr>
        <w:t xml:space="preserve">Victoria: </w:t>
      </w:r>
      <w:r w:rsidRPr="00D51FA4">
        <w:rPr>
          <w:rFonts w:ascii="Arial" w:eastAsiaTheme="majorEastAsia" w:hAnsi="Arial" w:cs="Arial"/>
        </w:rPr>
        <w:t>Greater Shepparton</w:t>
      </w:r>
    </w:p>
    <w:bookmarkEnd w:id="0"/>
    <w:p w14:paraId="18670B49" w14:textId="23BFA187" w:rsidR="00CB1B39" w:rsidRPr="00D51FA4" w:rsidRDefault="00CB1B39" w:rsidP="006D6E51">
      <w:pPr>
        <w:shd w:val="clear" w:color="auto" w:fill="FFFFFF"/>
        <w:spacing w:before="0"/>
        <w:jc w:val="both"/>
        <w:textAlignment w:val="top"/>
        <w:rPr>
          <w:rFonts w:ascii="Arial" w:hAnsi="Arial" w:cs="Arial"/>
          <w:szCs w:val="24"/>
        </w:rPr>
      </w:pPr>
      <w:r w:rsidRPr="00D51FA4">
        <w:rPr>
          <w:rFonts w:ascii="Arial" w:hAnsi="Arial" w:cs="Arial"/>
          <w:szCs w:val="24"/>
        </w:rPr>
        <w:br w:type="page"/>
      </w:r>
    </w:p>
    <w:p w14:paraId="4428BA13" w14:textId="77777777" w:rsidR="00CB1B39" w:rsidRPr="00D51FA4" w:rsidRDefault="00CB1B39" w:rsidP="00CB1B39">
      <w:pPr>
        <w:pStyle w:val="Heading2"/>
        <w:jc w:val="center"/>
        <w:rPr>
          <w:rFonts w:ascii="Arial" w:hAnsi="Arial" w:cs="Arial"/>
        </w:rPr>
      </w:pPr>
      <w:r w:rsidRPr="00D51FA4">
        <w:rPr>
          <w:rFonts w:ascii="Arial" w:hAnsi="Arial" w:cs="Arial"/>
        </w:rPr>
        <w:lastRenderedPageBreak/>
        <w:t>Statement of Compatibility with Human Rights</w:t>
      </w:r>
    </w:p>
    <w:p w14:paraId="69773A79" w14:textId="77777777" w:rsidR="00CB1B39" w:rsidRPr="00D51FA4" w:rsidRDefault="00CB1B39" w:rsidP="00CB1B39">
      <w:pPr>
        <w:spacing w:before="120" w:after="120"/>
        <w:jc w:val="center"/>
        <w:rPr>
          <w:rFonts w:ascii="Arial" w:hAnsi="Arial" w:cs="Arial"/>
          <w:szCs w:val="24"/>
        </w:rPr>
      </w:pPr>
      <w:r w:rsidRPr="00D51FA4">
        <w:rPr>
          <w:rFonts w:ascii="Arial" w:hAnsi="Arial" w:cs="Arial"/>
          <w:i/>
          <w:szCs w:val="24"/>
        </w:rPr>
        <w:t>Prepared in accordance with Part 3 of the Human Rights (Parliamentary Scrutiny) Act 2011</w:t>
      </w:r>
    </w:p>
    <w:p w14:paraId="1E0B306A" w14:textId="77777777" w:rsidR="00CB1B39" w:rsidRPr="00D51FA4" w:rsidRDefault="00CB1B39" w:rsidP="00CB1B39">
      <w:pPr>
        <w:spacing w:before="120" w:after="120"/>
        <w:jc w:val="center"/>
        <w:rPr>
          <w:rFonts w:ascii="Arial" w:hAnsi="Arial" w:cs="Arial"/>
          <w:szCs w:val="24"/>
        </w:rPr>
      </w:pPr>
    </w:p>
    <w:p w14:paraId="2E4D2109" w14:textId="77777777" w:rsidR="00CB1B39" w:rsidRPr="00D51FA4" w:rsidRDefault="00CB1B39" w:rsidP="00CB1B39">
      <w:pPr>
        <w:spacing w:before="120" w:after="120"/>
        <w:jc w:val="center"/>
        <w:rPr>
          <w:rFonts w:ascii="Arial" w:hAnsi="Arial" w:cs="Arial"/>
          <w:b/>
          <w:szCs w:val="24"/>
        </w:rPr>
      </w:pPr>
      <w:r w:rsidRPr="00D51FA4">
        <w:rPr>
          <w:rFonts w:ascii="Arial" w:hAnsi="Arial" w:cs="Arial"/>
          <w:b/>
          <w:szCs w:val="24"/>
        </w:rPr>
        <w:t>Social Security (Administration) (Enhanced Income Management Regime—Volunteers) Determination 2023</w:t>
      </w:r>
    </w:p>
    <w:p w14:paraId="5FF91788" w14:textId="77777777" w:rsidR="00CB1B39" w:rsidRPr="00D51FA4" w:rsidRDefault="00CB1B39" w:rsidP="00CB1B39">
      <w:pPr>
        <w:spacing w:before="120" w:after="120"/>
        <w:jc w:val="center"/>
        <w:rPr>
          <w:rFonts w:ascii="Arial" w:hAnsi="Arial" w:cs="Arial"/>
          <w:szCs w:val="24"/>
        </w:rPr>
      </w:pPr>
    </w:p>
    <w:p w14:paraId="72089E43" w14:textId="77777777" w:rsidR="00CB1B39" w:rsidRPr="00D51FA4" w:rsidRDefault="00CB1B39" w:rsidP="00CB1B39">
      <w:pPr>
        <w:spacing w:before="120" w:after="120"/>
        <w:jc w:val="center"/>
        <w:rPr>
          <w:rFonts w:ascii="Arial" w:hAnsi="Arial" w:cs="Arial"/>
          <w:szCs w:val="24"/>
        </w:rPr>
      </w:pPr>
      <w:r w:rsidRPr="00D51FA4">
        <w:rPr>
          <w:rFonts w:ascii="Arial" w:hAnsi="Arial" w:cs="Arial"/>
          <w:szCs w:val="24"/>
        </w:rPr>
        <w:t xml:space="preserve">This Disallowable Legislative Instrument is compatible with the human rights and freedoms recognised or declared in the international instruments listed in section 3 of the </w:t>
      </w:r>
      <w:r w:rsidRPr="00D51FA4">
        <w:rPr>
          <w:rFonts w:ascii="Arial" w:hAnsi="Arial" w:cs="Arial"/>
          <w:i/>
          <w:szCs w:val="24"/>
        </w:rPr>
        <w:t>Human Rights (Parliamentary Scrutiny) Act 2011</w:t>
      </w:r>
      <w:r w:rsidRPr="00D51FA4">
        <w:rPr>
          <w:rFonts w:ascii="Arial" w:hAnsi="Arial" w:cs="Arial"/>
          <w:szCs w:val="24"/>
        </w:rPr>
        <w:t>.</w:t>
      </w:r>
    </w:p>
    <w:p w14:paraId="4FAC52B8" w14:textId="77777777" w:rsidR="00CB1B39" w:rsidRPr="00D51FA4" w:rsidRDefault="00CB1B39" w:rsidP="00CB1B39">
      <w:pPr>
        <w:pStyle w:val="Heading3"/>
        <w:rPr>
          <w:rFonts w:ascii="Arial" w:hAnsi="Arial" w:cs="Arial"/>
          <w:szCs w:val="24"/>
        </w:rPr>
      </w:pPr>
    </w:p>
    <w:p w14:paraId="20EE49B7" w14:textId="77777777" w:rsidR="00CB1B39" w:rsidRPr="00D51FA4" w:rsidRDefault="00CB1B39" w:rsidP="00CB1B39">
      <w:pPr>
        <w:pStyle w:val="Heading3"/>
        <w:rPr>
          <w:rFonts w:ascii="Arial" w:hAnsi="Arial" w:cs="Arial"/>
          <w:szCs w:val="24"/>
        </w:rPr>
      </w:pPr>
      <w:r w:rsidRPr="00D51FA4">
        <w:rPr>
          <w:rFonts w:ascii="Arial" w:hAnsi="Arial" w:cs="Arial"/>
          <w:szCs w:val="24"/>
        </w:rPr>
        <w:t>Overview of the Disallowable Legislative Instrument</w:t>
      </w:r>
    </w:p>
    <w:p w14:paraId="708EC865" w14:textId="787911F9" w:rsidR="00CB1B39" w:rsidRPr="00D51FA4" w:rsidRDefault="00CB1B39" w:rsidP="00CB1B39">
      <w:pPr>
        <w:spacing w:before="120"/>
        <w:jc w:val="both"/>
        <w:rPr>
          <w:rFonts w:ascii="Arial" w:hAnsi="Arial" w:cs="Arial"/>
          <w:szCs w:val="24"/>
        </w:rPr>
      </w:pPr>
      <w:r w:rsidRPr="00D51FA4">
        <w:rPr>
          <w:rFonts w:ascii="Arial" w:hAnsi="Arial" w:cs="Arial"/>
          <w:szCs w:val="24"/>
        </w:rPr>
        <w:t xml:space="preserve">The </w:t>
      </w:r>
      <w:r w:rsidRPr="00D51FA4">
        <w:rPr>
          <w:rFonts w:ascii="Arial" w:hAnsi="Arial" w:cs="Arial"/>
          <w:i/>
          <w:szCs w:val="24"/>
        </w:rPr>
        <w:t xml:space="preserve">Social Security (Administration) (Enhanced Income Management Regime—Volunteers) Determination 2023 </w:t>
      </w:r>
      <w:r w:rsidRPr="00D51FA4">
        <w:rPr>
          <w:rFonts w:ascii="Arial" w:hAnsi="Arial" w:cs="Arial"/>
          <w:szCs w:val="24"/>
        </w:rPr>
        <w:t>(the Determination) operationalises certain aspects of the enhanced Income Management (</w:t>
      </w:r>
      <w:r w:rsidR="00291C3C" w:rsidRPr="00D51FA4">
        <w:rPr>
          <w:rFonts w:ascii="Arial" w:hAnsi="Arial" w:cs="Arial"/>
          <w:szCs w:val="24"/>
        </w:rPr>
        <w:t xml:space="preserve">enhanced </w:t>
      </w:r>
      <w:r w:rsidRPr="00D51FA4">
        <w:rPr>
          <w:rFonts w:ascii="Arial" w:hAnsi="Arial" w:cs="Arial"/>
          <w:szCs w:val="24"/>
        </w:rPr>
        <w:t xml:space="preserve">IM) regime established by Part 3AA of </w:t>
      </w:r>
      <w:r w:rsidRPr="00D51FA4">
        <w:rPr>
          <w:rFonts w:ascii="Arial" w:hAnsi="Arial" w:cs="Arial"/>
          <w:i/>
          <w:szCs w:val="24"/>
        </w:rPr>
        <w:t>the Social Security (Administration) Act 1999</w:t>
      </w:r>
      <w:r w:rsidRPr="00D51FA4">
        <w:rPr>
          <w:rFonts w:ascii="Arial" w:hAnsi="Arial" w:cs="Arial"/>
          <w:szCs w:val="24"/>
        </w:rPr>
        <w:t xml:space="preserve"> (the Act). The Determination is required to support amendments that will be made by the </w:t>
      </w:r>
      <w:r w:rsidRPr="00D51FA4">
        <w:rPr>
          <w:rFonts w:ascii="Arial" w:hAnsi="Arial" w:cs="Arial"/>
          <w:i/>
          <w:szCs w:val="24"/>
        </w:rPr>
        <w:t xml:space="preserve">Social Security (Administration) Amendment (Income Management Reform) </w:t>
      </w:r>
      <w:r w:rsidR="00E6524B" w:rsidRPr="00D51FA4">
        <w:rPr>
          <w:rFonts w:ascii="Arial" w:hAnsi="Arial" w:cs="Arial"/>
          <w:i/>
          <w:szCs w:val="24"/>
        </w:rPr>
        <w:t>Act</w:t>
      </w:r>
      <w:r w:rsidRPr="00D51FA4">
        <w:rPr>
          <w:rFonts w:ascii="Arial" w:hAnsi="Arial" w:cs="Arial"/>
          <w:i/>
          <w:szCs w:val="24"/>
        </w:rPr>
        <w:t xml:space="preserve"> 2023 </w:t>
      </w:r>
      <w:r w:rsidRPr="00D51FA4">
        <w:rPr>
          <w:rFonts w:ascii="Arial" w:hAnsi="Arial" w:cs="Arial"/>
          <w:szCs w:val="24"/>
        </w:rPr>
        <w:t xml:space="preserve">(the </w:t>
      </w:r>
      <w:r w:rsidR="00291C3C" w:rsidRPr="00D51FA4">
        <w:rPr>
          <w:rFonts w:ascii="Arial" w:hAnsi="Arial" w:cs="Arial"/>
          <w:szCs w:val="24"/>
        </w:rPr>
        <w:t xml:space="preserve">IM Reform </w:t>
      </w:r>
      <w:r w:rsidR="00E6524B" w:rsidRPr="00D51FA4">
        <w:rPr>
          <w:rFonts w:ascii="Arial" w:hAnsi="Arial" w:cs="Arial"/>
          <w:szCs w:val="24"/>
        </w:rPr>
        <w:t>Act</w:t>
      </w:r>
      <w:r w:rsidRPr="00D51FA4">
        <w:rPr>
          <w:rFonts w:ascii="Arial" w:hAnsi="Arial" w:cs="Arial"/>
          <w:szCs w:val="24"/>
        </w:rPr>
        <w:t>), which expands access to the enhanced IM regime.</w:t>
      </w:r>
    </w:p>
    <w:p w14:paraId="30AABF82" w14:textId="77777777" w:rsidR="00CB1B39" w:rsidRPr="00D51FA4" w:rsidRDefault="00E004C5" w:rsidP="00CB1B39">
      <w:pPr>
        <w:jc w:val="both"/>
        <w:rPr>
          <w:rFonts w:ascii="Arial" w:hAnsi="Arial" w:cs="Arial"/>
          <w:szCs w:val="24"/>
        </w:rPr>
      </w:pPr>
      <w:r w:rsidRPr="00D51FA4">
        <w:rPr>
          <w:rFonts w:ascii="Arial" w:hAnsi="Arial" w:cs="Arial"/>
          <w:szCs w:val="24"/>
        </w:rPr>
        <w:t>T</w:t>
      </w:r>
      <w:r w:rsidR="00CB1B39" w:rsidRPr="00D51FA4">
        <w:rPr>
          <w:rFonts w:ascii="Arial" w:hAnsi="Arial" w:cs="Arial"/>
          <w:szCs w:val="24"/>
        </w:rPr>
        <w:t>his Determination declare</w:t>
      </w:r>
      <w:r w:rsidRPr="00D51FA4">
        <w:rPr>
          <w:rFonts w:ascii="Arial" w:hAnsi="Arial" w:cs="Arial"/>
          <w:szCs w:val="24"/>
        </w:rPr>
        <w:t>s</w:t>
      </w:r>
      <w:r w:rsidR="00CB1B39" w:rsidRPr="00D51FA4">
        <w:rPr>
          <w:rFonts w:ascii="Arial" w:hAnsi="Arial" w:cs="Arial"/>
          <w:szCs w:val="24"/>
        </w:rPr>
        <w:t xml:space="preserve"> the areas in which voluntary enhanced IM operates</w:t>
      </w:r>
      <w:r w:rsidR="00BB5FC9" w:rsidRPr="00D51FA4">
        <w:rPr>
          <w:rFonts w:ascii="Arial" w:hAnsi="Arial" w:cs="Arial"/>
          <w:szCs w:val="24"/>
        </w:rPr>
        <w:t xml:space="preserve"> in addition to those specified in the Act</w:t>
      </w:r>
      <w:r w:rsidR="00CB1B39" w:rsidRPr="00D51FA4">
        <w:rPr>
          <w:rFonts w:ascii="Arial" w:hAnsi="Arial" w:cs="Arial"/>
          <w:szCs w:val="24"/>
        </w:rPr>
        <w:t>. This Determination allows eligible welfare payment recipients who are residents of those areas to enter into an agreement with the Secretary to be voluntarily subject to enhanced IM for a minimum period of 13 weeks.</w:t>
      </w:r>
    </w:p>
    <w:p w14:paraId="21819899" w14:textId="77777777" w:rsidR="00CB1B39" w:rsidRPr="00D51FA4" w:rsidRDefault="00CB1B39" w:rsidP="00CB1B39">
      <w:pPr>
        <w:jc w:val="both"/>
        <w:rPr>
          <w:rFonts w:ascii="Arial" w:hAnsi="Arial" w:cs="Arial"/>
          <w:b/>
          <w:szCs w:val="24"/>
        </w:rPr>
      </w:pPr>
      <w:r w:rsidRPr="00D51FA4">
        <w:rPr>
          <w:rFonts w:ascii="Arial" w:hAnsi="Arial" w:cs="Arial"/>
          <w:b/>
          <w:szCs w:val="24"/>
        </w:rPr>
        <w:t>Objectives</w:t>
      </w:r>
    </w:p>
    <w:p w14:paraId="03C7EC2B" w14:textId="77777777" w:rsidR="00CB1B39" w:rsidRPr="00D51FA4" w:rsidRDefault="00CB1B39" w:rsidP="00CB1B39">
      <w:pPr>
        <w:jc w:val="both"/>
        <w:rPr>
          <w:rFonts w:ascii="Arial" w:hAnsi="Arial" w:cs="Arial"/>
          <w:szCs w:val="24"/>
        </w:rPr>
      </w:pPr>
      <w:r w:rsidRPr="00D51FA4">
        <w:rPr>
          <w:rFonts w:ascii="Arial" w:hAnsi="Arial" w:cs="Arial"/>
          <w:szCs w:val="24"/>
        </w:rPr>
        <w:t xml:space="preserve">The objective of this Determination is to provide </w:t>
      </w:r>
      <w:r w:rsidR="00BB5FC9" w:rsidRPr="00D51FA4">
        <w:rPr>
          <w:rFonts w:ascii="Arial" w:hAnsi="Arial" w:cs="Arial"/>
          <w:szCs w:val="24"/>
        </w:rPr>
        <w:t xml:space="preserve">a </w:t>
      </w:r>
      <w:r w:rsidRPr="00D51FA4">
        <w:rPr>
          <w:rFonts w:ascii="Arial" w:hAnsi="Arial" w:cs="Arial"/>
          <w:szCs w:val="24"/>
        </w:rPr>
        <w:t xml:space="preserve">mechanism to commence and operate voluntary enhanced IM in specified areas (section 123SF of the Administration Act) and provide participants with access to modern banking technology. This Determination responds to feedback from communities and the Senate Standing Committee on Community Affairs </w:t>
      </w:r>
      <w:r w:rsidR="00291C3C" w:rsidRPr="00D51FA4">
        <w:rPr>
          <w:rFonts w:ascii="Arial" w:hAnsi="Arial" w:cs="Arial"/>
          <w:szCs w:val="24"/>
        </w:rPr>
        <w:t xml:space="preserve">inquiry into the </w:t>
      </w:r>
      <w:r w:rsidR="00291C3C" w:rsidRPr="00D51FA4">
        <w:rPr>
          <w:rFonts w:ascii="Arial" w:hAnsi="Arial" w:cs="Arial"/>
          <w:i/>
          <w:szCs w:val="24"/>
        </w:rPr>
        <w:t>Social Services (Administration) Amendment (Repeal of Cashless Debit Card and Other Measures) Act 2022</w:t>
      </w:r>
      <w:r w:rsidR="00291C3C" w:rsidRPr="00D51FA4">
        <w:rPr>
          <w:rFonts w:ascii="Arial" w:hAnsi="Arial" w:cs="Arial"/>
          <w:szCs w:val="24"/>
        </w:rPr>
        <w:t xml:space="preserve"> </w:t>
      </w:r>
      <w:r w:rsidRPr="00D51FA4">
        <w:rPr>
          <w:rFonts w:ascii="Arial" w:hAnsi="Arial" w:cs="Arial"/>
          <w:szCs w:val="24"/>
        </w:rPr>
        <w:t xml:space="preserve">that the technology supporting the Income Management regime under Part 3B of the Administration Act is insufficient to meet the needs of communities. </w:t>
      </w:r>
    </w:p>
    <w:p w14:paraId="27BBE525" w14:textId="77777777" w:rsidR="00CB1B39" w:rsidRPr="00D51FA4" w:rsidRDefault="00CB1B39" w:rsidP="00CB1B39">
      <w:pPr>
        <w:pStyle w:val="Heading3"/>
        <w:spacing w:line="276" w:lineRule="auto"/>
        <w:rPr>
          <w:rFonts w:ascii="Arial" w:hAnsi="Arial" w:cs="Arial"/>
          <w:szCs w:val="24"/>
        </w:rPr>
      </w:pPr>
      <w:r w:rsidRPr="00D51FA4">
        <w:rPr>
          <w:rFonts w:ascii="Arial" w:hAnsi="Arial" w:cs="Arial"/>
          <w:szCs w:val="24"/>
        </w:rPr>
        <w:t>Human rights implications</w:t>
      </w:r>
    </w:p>
    <w:p w14:paraId="6E5286C5" w14:textId="77777777" w:rsidR="00CB1B39" w:rsidRPr="00D51FA4" w:rsidRDefault="00CB1B39" w:rsidP="00CB1B39">
      <w:pPr>
        <w:spacing w:before="120" w:after="120"/>
        <w:jc w:val="both"/>
        <w:rPr>
          <w:rFonts w:ascii="Arial" w:hAnsi="Arial" w:cs="Arial"/>
          <w:szCs w:val="24"/>
        </w:rPr>
      </w:pPr>
      <w:r w:rsidRPr="00D51FA4">
        <w:rPr>
          <w:rFonts w:ascii="Arial" w:hAnsi="Arial" w:cs="Arial"/>
          <w:szCs w:val="24"/>
        </w:rPr>
        <w:t>The determination engages the following rights and freedoms:</w:t>
      </w:r>
    </w:p>
    <w:p w14:paraId="6F091499" w14:textId="77777777" w:rsidR="00CB1B39" w:rsidRPr="00D51FA4" w:rsidRDefault="00CB1B39" w:rsidP="00CB1B39">
      <w:pPr>
        <w:pStyle w:val="ListParagraph"/>
        <w:numPr>
          <w:ilvl w:val="0"/>
          <w:numId w:val="34"/>
        </w:numPr>
        <w:spacing w:before="120" w:after="120" w:line="276" w:lineRule="auto"/>
        <w:jc w:val="both"/>
        <w:rPr>
          <w:rFonts w:ascii="Arial" w:hAnsi="Arial" w:cs="Arial"/>
          <w:szCs w:val="24"/>
        </w:rPr>
      </w:pPr>
      <w:r w:rsidRPr="00D51FA4">
        <w:rPr>
          <w:rFonts w:ascii="Arial" w:hAnsi="Arial" w:cs="Arial"/>
          <w:szCs w:val="24"/>
        </w:rPr>
        <w:t>the right to self-determination</w:t>
      </w:r>
    </w:p>
    <w:p w14:paraId="4A68141D" w14:textId="77777777" w:rsidR="00CB1B39" w:rsidRPr="00D51FA4" w:rsidRDefault="00CB1B39" w:rsidP="00CB1B39">
      <w:pPr>
        <w:pStyle w:val="ListParagraph"/>
        <w:numPr>
          <w:ilvl w:val="0"/>
          <w:numId w:val="34"/>
        </w:numPr>
        <w:spacing w:before="120" w:after="120" w:line="276" w:lineRule="auto"/>
        <w:jc w:val="both"/>
        <w:rPr>
          <w:rFonts w:ascii="Arial" w:hAnsi="Arial" w:cs="Arial"/>
          <w:szCs w:val="24"/>
        </w:rPr>
      </w:pPr>
      <w:r w:rsidRPr="00D51FA4">
        <w:rPr>
          <w:rFonts w:ascii="Arial" w:hAnsi="Arial" w:cs="Arial"/>
          <w:szCs w:val="24"/>
        </w:rPr>
        <w:t>the right to an adequate standard of living, including food, water and housing</w:t>
      </w:r>
    </w:p>
    <w:p w14:paraId="15D870FB" w14:textId="77777777" w:rsidR="00CB1B39" w:rsidRPr="00D51FA4" w:rsidRDefault="00CB1B39" w:rsidP="00CB1B39">
      <w:pPr>
        <w:pStyle w:val="ListParagraph"/>
        <w:numPr>
          <w:ilvl w:val="0"/>
          <w:numId w:val="34"/>
        </w:numPr>
        <w:spacing w:before="120" w:after="120" w:line="276" w:lineRule="auto"/>
        <w:jc w:val="both"/>
        <w:rPr>
          <w:rFonts w:ascii="Arial" w:hAnsi="Arial" w:cs="Arial"/>
          <w:szCs w:val="24"/>
        </w:rPr>
      </w:pPr>
      <w:r w:rsidRPr="00D51FA4">
        <w:rPr>
          <w:rFonts w:ascii="Arial" w:hAnsi="Arial" w:cs="Arial"/>
          <w:szCs w:val="24"/>
        </w:rPr>
        <w:t>the right to social security</w:t>
      </w:r>
    </w:p>
    <w:p w14:paraId="2B731BDC" w14:textId="77777777" w:rsidR="00CB1B39" w:rsidRPr="00D51FA4" w:rsidRDefault="00CB1B39" w:rsidP="00817755">
      <w:pPr>
        <w:spacing w:before="0"/>
        <w:rPr>
          <w:rFonts w:ascii="Arial" w:hAnsi="Arial" w:cs="Arial"/>
          <w:szCs w:val="24"/>
          <w:u w:val="single"/>
          <w:lang w:val="en-US"/>
        </w:rPr>
      </w:pPr>
      <w:r w:rsidRPr="00D51FA4">
        <w:rPr>
          <w:rFonts w:ascii="Arial" w:hAnsi="Arial" w:cs="Arial"/>
          <w:szCs w:val="24"/>
          <w:u w:val="single"/>
          <w:lang w:val="en-US"/>
        </w:rPr>
        <w:t xml:space="preserve">Right to self determination </w:t>
      </w:r>
    </w:p>
    <w:p w14:paraId="7A00961E" w14:textId="77777777" w:rsidR="00CB1B39" w:rsidRPr="00D51FA4" w:rsidRDefault="00CB1B39" w:rsidP="00817755">
      <w:pPr>
        <w:spacing w:before="0"/>
        <w:jc w:val="both"/>
        <w:rPr>
          <w:rFonts w:ascii="Arial" w:hAnsi="Arial" w:cs="Arial"/>
          <w:szCs w:val="24"/>
          <w:lang w:val="en-US"/>
        </w:rPr>
      </w:pPr>
      <w:r w:rsidRPr="00D51FA4">
        <w:rPr>
          <w:rFonts w:ascii="Arial" w:hAnsi="Arial" w:cs="Arial"/>
          <w:szCs w:val="24"/>
          <w:lang w:val="en-US"/>
        </w:rPr>
        <w:lastRenderedPageBreak/>
        <w:t>Article 1 of the International Covenant on Economic, Social and Cultural Rights (ICESCR) states that ‘</w:t>
      </w:r>
      <w:r w:rsidRPr="00D51FA4">
        <w:rPr>
          <w:rFonts w:ascii="Arial" w:hAnsi="Arial" w:cs="Arial"/>
          <w:i/>
          <w:szCs w:val="24"/>
          <w:lang w:val="en-US"/>
        </w:rPr>
        <w:t>all peoples have the right of self-determination. By virtue of that right they freely determine their political status and freely pursue their economic, social and cultural development</w:t>
      </w:r>
      <w:r w:rsidRPr="00D51FA4">
        <w:rPr>
          <w:rFonts w:ascii="Arial" w:hAnsi="Arial" w:cs="Arial"/>
          <w:szCs w:val="24"/>
          <w:lang w:val="en-US"/>
        </w:rPr>
        <w:t>’.</w:t>
      </w:r>
    </w:p>
    <w:p w14:paraId="038BFCE1" w14:textId="77777777" w:rsidR="00291C3C" w:rsidRPr="00D51FA4" w:rsidRDefault="00291C3C" w:rsidP="00817755">
      <w:pPr>
        <w:spacing w:before="0"/>
        <w:jc w:val="both"/>
        <w:rPr>
          <w:rFonts w:ascii="Arial" w:hAnsi="Arial" w:cs="Arial"/>
          <w:szCs w:val="24"/>
          <w:lang w:val="en-US"/>
        </w:rPr>
      </w:pPr>
    </w:p>
    <w:p w14:paraId="2C710082" w14:textId="77777777" w:rsidR="00CB1B39" w:rsidRPr="00D51FA4" w:rsidRDefault="00CB1B39" w:rsidP="00817755">
      <w:pPr>
        <w:spacing w:before="0"/>
        <w:jc w:val="both"/>
        <w:rPr>
          <w:rFonts w:ascii="Arial" w:hAnsi="Arial" w:cs="Arial"/>
          <w:szCs w:val="24"/>
        </w:rPr>
      </w:pPr>
      <w:r w:rsidRPr="00D51FA4">
        <w:rPr>
          <w:rFonts w:ascii="Arial" w:hAnsi="Arial" w:cs="Arial"/>
          <w:szCs w:val="24"/>
        </w:rPr>
        <w:t>Enhanced IM works by directing a proportion of certain welfare payments to priority needs such as food, housing, clothing and utilities. Qualified funds cannot be spent on alcohol, tobacco, pornography or gambling. This Determination relates only to people who receive a relevant welfare payment and choose to participate in enhanced IM. Participation in voluntary enhanced IM is predicated on a person self-identifying that they would benefit from having a portion of their welfare payments set aside to pay for their priority needs.</w:t>
      </w:r>
    </w:p>
    <w:p w14:paraId="062D3A9F" w14:textId="77777777" w:rsidR="00291C3C" w:rsidRPr="00D51FA4" w:rsidRDefault="00291C3C" w:rsidP="00817755">
      <w:pPr>
        <w:spacing w:before="0"/>
        <w:jc w:val="both"/>
        <w:rPr>
          <w:rFonts w:ascii="Arial" w:hAnsi="Arial" w:cs="Arial"/>
          <w:szCs w:val="24"/>
        </w:rPr>
      </w:pPr>
    </w:p>
    <w:p w14:paraId="102E8C81" w14:textId="77777777" w:rsidR="00291C3C" w:rsidRPr="00D51FA4" w:rsidRDefault="00CB1B39" w:rsidP="00817755">
      <w:pPr>
        <w:spacing w:before="0"/>
        <w:jc w:val="both"/>
        <w:rPr>
          <w:rFonts w:ascii="Arial" w:hAnsi="Arial" w:cs="Arial"/>
          <w:szCs w:val="24"/>
        </w:rPr>
      </w:pPr>
      <w:r w:rsidRPr="00D51FA4">
        <w:rPr>
          <w:rFonts w:ascii="Arial" w:hAnsi="Arial" w:cs="Arial"/>
          <w:szCs w:val="24"/>
        </w:rPr>
        <w:t>While this measure does limit a person’s ability to freely dispose of all of their resources (as a portion of their funds can only be spent on priority needs), this is done only at their request and therefore does not limit their right to self-determination.</w:t>
      </w:r>
    </w:p>
    <w:p w14:paraId="64D0E0D1" w14:textId="77777777" w:rsidR="00CB1B39" w:rsidRPr="00D51FA4" w:rsidRDefault="00BB5FC9" w:rsidP="00817755">
      <w:pPr>
        <w:spacing w:before="0"/>
        <w:jc w:val="both"/>
        <w:rPr>
          <w:rFonts w:ascii="Arial" w:hAnsi="Arial" w:cs="Arial"/>
          <w:szCs w:val="24"/>
          <w:u w:val="single"/>
          <w:lang w:val="en-US"/>
        </w:rPr>
      </w:pPr>
      <w:r w:rsidRPr="00D51FA4">
        <w:rPr>
          <w:rFonts w:ascii="Arial" w:hAnsi="Arial" w:cs="Arial"/>
          <w:szCs w:val="24"/>
          <w:u w:val="single"/>
          <w:lang w:val="en-US"/>
        </w:rPr>
        <w:br/>
      </w:r>
      <w:r w:rsidR="00CB1B39" w:rsidRPr="00D51FA4">
        <w:rPr>
          <w:rFonts w:ascii="Arial" w:hAnsi="Arial" w:cs="Arial"/>
          <w:szCs w:val="24"/>
          <w:u w:val="single"/>
          <w:lang w:val="en-US"/>
        </w:rPr>
        <w:t>The right to an adequate standard of living, including food, water and housing</w:t>
      </w:r>
    </w:p>
    <w:p w14:paraId="3C4D955B" w14:textId="77777777" w:rsidR="00291C3C" w:rsidRPr="00D51FA4" w:rsidRDefault="00291C3C" w:rsidP="00817755">
      <w:pPr>
        <w:spacing w:before="0"/>
        <w:jc w:val="both"/>
        <w:rPr>
          <w:rFonts w:ascii="Arial" w:hAnsi="Arial" w:cs="Arial"/>
          <w:szCs w:val="24"/>
          <w:lang w:val="en-US"/>
        </w:rPr>
      </w:pPr>
    </w:p>
    <w:p w14:paraId="07679F53" w14:textId="77777777" w:rsidR="00CB1B39" w:rsidRPr="00D51FA4" w:rsidRDefault="00CB1B39" w:rsidP="00817755">
      <w:pPr>
        <w:spacing w:before="0"/>
        <w:jc w:val="both"/>
        <w:rPr>
          <w:rFonts w:ascii="Arial" w:hAnsi="Arial" w:cs="Arial"/>
          <w:szCs w:val="24"/>
          <w:lang w:val="en-US"/>
        </w:rPr>
      </w:pPr>
      <w:r w:rsidRPr="00D51FA4">
        <w:rPr>
          <w:rFonts w:ascii="Arial" w:hAnsi="Arial" w:cs="Arial"/>
          <w:szCs w:val="24"/>
          <w:lang w:val="en-US"/>
        </w:rPr>
        <w:t>Article 11(1) of the ICESCR states that everyone has the right to ‘</w:t>
      </w:r>
      <w:r w:rsidRPr="00D51FA4">
        <w:rPr>
          <w:rFonts w:ascii="Arial" w:hAnsi="Arial" w:cs="Arial"/>
          <w:i/>
          <w:szCs w:val="24"/>
          <w:lang w:val="en-US"/>
        </w:rPr>
        <w:t>an adequate standard of living for himself and his family, including adequate food, clothing and housing, and to the continuous improvement of living conditions</w:t>
      </w:r>
      <w:r w:rsidRPr="00D51FA4">
        <w:rPr>
          <w:rFonts w:ascii="Arial" w:hAnsi="Arial" w:cs="Arial"/>
          <w:szCs w:val="24"/>
          <w:lang w:val="en-US"/>
        </w:rPr>
        <w:t>’. Further to this, article 11(2) of the ICESCR states that ‘</w:t>
      </w:r>
      <w:r w:rsidRPr="00D51FA4">
        <w:rPr>
          <w:rFonts w:ascii="Arial" w:hAnsi="Arial" w:cs="Arial"/>
          <w:i/>
          <w:szCs w:val="24"/>
          <w:lang w:val="en-US"/>
        </w:rPr>
        <w:t>measures, including specific programmes,</w:t>
      </w:r>
      <w:r w:rsidRPr="00D51FA4">
        <w:rPr>
          <w:rFonts w:ascii="Arial" w:hAnsi="Arial" w:cs="Arial"/>
          <w:szCs w:val="24"/>
          <w:lang w:val="en-US"/>
        </w:rPr>
        <w:t>’ should be taken in ‘</w:t>
      </w:r>
      <w:r w:rsidRPr="00D51FA4">
        <w:rPr>
          <w:rFonts w:ascii="Arial" w:hAnsi="Arial" w:cs="Arial"/>
          <w:i/>
          <w:szCs w:val="24"/>
          <w:lang w:val="en-US"/>
        </w:rPr>
        <w:t>recognising the fundamental right of everyone to be free from hunger</w:t>
      </w:r>
      <w:r w:rsidRPr="00D51FA4">
        <w:rPr>
          <w:rFonts w:ascii="Arial" w:hAnsi="Arial" w:cs="Arial"/>
          <w:szCs w:val="24"/>
          <w:lang w:val="en-US"/>
        </w:rPr>
        <w:t>’.</w:t>
      </w:r>
    </w:p>
    <w:p w14:paraId="2D57EFC5" w14:textId="77777777" w:rsidR="00291C3C" w:rsidRPr="00D51FA4" w:rsidRDefault="00291C3C" w:rsidP="00817755">
      <w:pPr>
        <w:spacing w:before="0"/>
        <w:jc w:val="both"/>
        <w:rPr>
          <w:rFonts w:ascii="Arial" w:hAnsi="Arial" w:cs="Arial"/>
          <w:szCs w:val="24"/>
        </w:rPr>
      </w:pPr>
    </w:p>
    <w:p w14:paraId="21963062" w14:textId="77777777" w:rsidR="00CB1B39" w:rsidRPr="00D51FA4" w:rsidRDefault="00CB1B39" w:rsidP="00817755">
      <w:pPr>
        <w:spacing w:before="0"/>
        <w:jc w:val="both"/>
        <w:rPr>
          <w:rFonts w:ascii="Arial" w:hAnsi="Arial" w:cs="Arial"/>
          <w:szCs w:val="24"/>
        </w:rPr>
      </w:pPr>
      <w:r w:rsidRPr="00D51FA4">
        <w:rPr>
          <w:rFonts w:ascii="Arial" w:hAnsi="Arial" w:cs="Arial"/>
          <w:szCs w:val="24"/>
        </w:rPr>
        <w:t>This Determination advances the right to an adequate standard of living under Article 11(1) of the ICESCR by ensuring that money is available for priority goods such as food, clothing, education and housing, and provides resources to help people develop good budgeting practices. Voluntary enhanced IM provides participants the opportunity to make choices that best suit themselves and their families.</w:t>
      </w:r>
    </w:p>
    <w:p w14:paraId="19CAF4F3" w14:textId="77777777" w:rsidR="00CB1B39" w:rsidRPr="00D51FA4" w:rsidRDefault="00BB5FC9" w:rsidP="00817755">
      <w:pPr>
        <w:spacing w:before="0"/>
        <w:jc w:val="both"/>
        <w:rPr>
          <w:rFonts w:ascii="Arial" w:hAnsi="Arial" w:cs="Arial"/>
          <w:szCs w:val="24"/>
          <w:u w:val="single"/>
          <w:lang w:val="en-US"/>
        </w:rPr>
      </w:pPr>
      <w:r w:rsidRPr="00D51FA4">
        <w:rPr>
          <w:rFonts w:ascii="Arial" w:hAnsi="Arial" w:cs="Arial"/>
          <w:szCs w:val="24"/>
          <w:u w:val="single"/>
          <w:lang w:val="en-US"/>
        </w:rPr>
        <w:br/>
      </w:r>
      <w:r w:rsidR="00CB1B39" w:rsidRPr="00D51FA4">
        <w:rPr>
          <w:rFonts w:ascii="Arial" w:hAnsi="Arial" w:cs="Arial"/>
          <w:szCs w:val="24"/>
          <w:u w:val="single"/>
          <w:lang w:val="en-US"/>
        </w:rPr>
        <w:t>The right to social security</w:t>
      </w:r>
    </w:p>
    <w:p w14:paraId="1A23BD7C" w14:textId="77777777" w:rsidR="00291C3C" w:rsidRPr="00D51FA4" w:rsidRDefault="00291C3C" w:rsidP="00817755">
      <w:pPr>
        <w:spacing w:before="0"/>
        <w:jc w:val="both"/>
        <w:rPr>
          <w:rFonts w:ascii="Arial" w:hAnsi="Arial" w:cs="Arial"/>
          <w:szCs w:val="24"/>
          <w:u w:val="single"/>
          <w:lang w:val="en-US"/>
        </w:rPr>
      </w:pPr>
    </w:p>
    <w:p w14:paraId="68290228" w14:textId="77777777" w:rsidR="00CB1B39" w:rsidRPr="00D51FA4" w:rsidRDefault="00CB1B39" w:rsidP="00817755">
      <w:pPr>
        <w:spacing w:before="0"/>
        <w:jc w:val="both"/>
        <w:rPr>
          <w:rFonts w:ascii="Arial" w:hAnsi="Arial" w:cs="Arial"/>
          <w:szCs w:val="24"/>
          <w:lang w:val="en-US"/>
        </w:rPr>
      </w:pPr>
      <w:r w:rsidRPr="00D51FA4">
        <w:rPr>
          <w:rFonts w:ascii="Arial" w:hAnsi="Arial" w:cs="Arial"/>
          <w:szCs w:val="24"/>
          <w:lang w:val="en-US"/>
        </w:rPr>
        <w:t>Article 9 of the ICESCR recognises ‘</w:t>
      </w:r>
      <w:r w:rsidRPr="00D51FA4">
        <w:rPr>
          <w:rFonts w:ascii="Arial" w:hAnsi="Arial" w:cs="Arial"/>
          <w:i/>
          <w:szCs w:val="24"/>
          <w:lang w:val="en-US"/>
        </w:rPr>
        <w:t>the right of everyone to social security, including social insurance</w:t>
      </w:r>
      <w:r w:rsidRPr="00D51FA4">
        <w:rPr>
          <w:rFonts w:ascii="Arial" w:hAnsi="Arial" w:cs="Arial"/>
          <w:szCs w:val="24"/>
          <w:lang w:val="en-US"/>
        </w:rPr>
        <w:t>’. The United Nations Committee of Economic, Social and Cultural Rights (the UN Committee) has stated that implementing this right requires a country, within its maximum available resources, to provide ‘</w:t>
      </w:r>
      <w:r w:rsidRPr="00D51FA4">
        <w:rPr>
          <w:rFonts w:ascii="Arial" w:hAnsi="Arial" w:cs="Arial"/>
          <w:i/>
          <w:szCs w:val="24"/>
          <w:lang w:val="en-US"/>
        </w:rPr>
        <w:t>a minimum essential level of benefits to all individuals and families that will enable them to acquire at least essential health care, basic shelter and housing, water and sanitation, foodstuffs, and the most basic forms of education</w:t>
      </w:r>
      <w:r w:rsidRPr="00D51FA4">
        <w:rPr>
          <w:rFonts w:ascii="Arial" w:hAnsi="Arial" w:cs="Arial"/>
          <w:szCs w:val="24"/>
          <w:lang w:val="en-US"/>
        </w:rPr>
        <w:t>’.</w:t>
      </w:r>
    </w:p>
    <w:p w14:paraId="084496A5" w14:textId="77777777" w:rsidR="00291C3C" w:rsidRPr="00D51FA4" w:rsidRDefault="00291C3C" w:rsidP="00817755">
      <w:pPr>
        <w:spacing w:before="0"/>
        <w:jc w:val="both"/>
        <w:rPr>
          <w:rFonts w:ascii="Arial" w:hAnsi="Arial" w:cs="Arial"/>
          <w:szCs w:val="24"/>
          <w:lang w:val="en-US"/>
        </w:rPr>
      </w:pPr>
    </w:p>
    <w:p w14:paraId="4A53F0D0" w14:textId="77777777" w:rsidR="00CB1B39" w:rsidRPr="00D51FA4" w:rsidRDefault="00CB1B39" w:rsidP="00817755">
      <w:pPr>
        <w:spacing w:before="0"/>
        <w:jc w:val="both"/>
        <w:rPr>
          <w:rFonts w:ascii="Arial" w:hAnsi="Arial" w:cs="Arial"/>
          <w:szCs w:val="24"/>
          <w:lang w:val="en-US"/>
        </w:rPr>
      </w:pPr>
      <w:r w:rsidRPr="00D51FA4">
        <w:rPr>
          <w:rFonts w:ascii="Arial" w:hAnsi="Arial" w:cs="Arial"/>
          <w:szCs w:val="24"/>
          <w:lang w:val="en-US"/>
        </w:rPr>
        <w:t>This Determination does not affect the eligibility of a person to receive welfare payments, nor reduce the amount of a person’s welfare payments. It simply allows individuals to choose to have a portion of their welfare payments qualified to meet their basic needs, such as rent, food, and household bills. The remaining portion of the person’s welfare payment can be used at their discretion. Therefore, the parameters made by this Determination do not limit the right to social security.</w:t>
      </w:r>
    </w:p>
    <w:p w14:paraId="114A303C" w14:textId="77777777" w:rsidR="00291C3C" w:rsidRPr="00D51FA4" w:rsidRDefault="00291C3C" w:rsidP="00817755">
      <w:pPr>
        <w:spacing w:before="0"/>
        <w:jc w:val="both"/>
        <w:rPr>
          <w:rFonts w:ascii="Arial" w:hAnsi="Arial" w:cs="Arial"/>
          <w:szCs w:val="24"/>
          <w:lang w:val="en-US"/>
        </w:rPr>
      </w:pPr>
    </w:p>
    <w:p w14:paraId="66292B03" w14:textId="77777777" w:rsidR="00291C3C" w:rsidRPr="00D51FA4" w:rsidRDefault="00291C3C" w:rsidP="00817755">
      <w:pPr>
        <w:rPr>
          <w:lang w:val="en-US"/>
        </w:rPr>
      </w:pPr>
    </w:p>
    <w:p w14:paraId="5463FB4A" w14:textId="77777777" w:rsidR="00CB1B39" w:rsidRPr="00D51FA4" w:rsidRDefault="00CB1B39" w:rsidP="00817755">
      <w:pPr>
        <w:pStyle w:val="Heading3"/>
        <w:spacing w:before="0" w:line="240" w:lineRule="auto"/>
        <w:rPr>
          <w:rFonts w:ascii="Arial" w:hAnsi="Arial" w:cs="Arial"/>
          <w:szCs w:val="24"/>
        </w:rPr>
      </w:pPr>
      <w:r w:rsidRPr="00D51FA4">
        <w:rPr>
          <w:rFonts w:ascii="Arial" w:hAnsi="Arial" w:cs="Arial"/>
          <w:szCs w:val="24"/>
        </w:rPr>
        <w:lastRenderedPageBreak/>
        <w:t>Conclusion</w:t>
      </w:r>
    </w:p>
    <w:p w14:paraId="1AAC20A0" w14:textId="77777777" w:rsidR="00291C3C" w:rsidRPr="00D51FA4" w:rsidRDefault="00291C3C" w:rsidP="00817755"/>
    <w:p w14:paraId="586C4C53" w14:textId="77777777" w:rsidR="00CB1B39" w:rsidRPr="00D51FA4" w:rsidRDefault="00CB1B39" w:rsidP="00817755">
      <w:pPr>
        <w:spacing w:before="0"/>
        <w:jc w:val="both"/>
        <w:rPr>
          <w:rFonts w:ascii="Arial" w:hAnsi="Arial" w:cs="Arial"/>
          <w:szCs w:val="24"/>
        </w:rPr>
      </w:pPr>
      <w:r w:rsidRPr="00D51FA4">
        <w:rPr>
          <w:rFonts w:ascii="Arial" w:hAnsi="Arial" w:cs="Arial"/>
          <w:szCs w:val="24"/>
        </w:rPr>
        <w:t xml:space="preserve">This Determination is compatible with human rights. It advances the protection of human rights by allowing certain income support recipients to volunteer for enhanced IM so they can continue to meet their priority needs and improve the standard of living for themselves and their dependants.  </w:t>
      </w:r>
    </w:p>
    <w:p w14:paraId="4DB900D1" w14:textId="77777777" w:rsidR="00291C3C" w:rsidRPr="00D51FA4" w:rsidRDefault="00291C3C" w:rsidP="00291C3C">
      <w:pPr>
        <w:spacing w:afterLines="120" w:after="288"/>
        <w:jc w:val="center"/>
        <w:rPr>
          <w:rFonts w:ascii="Arial" w:hAnsi="Arial" w:cs="Arial"/>
          <w:b/>
          <w:color w:val="000000"/>
        </w:rPr>
      </w:pPr>
      <w:r w:rsidRPr="00D51FA4">
        <w:rPr>
          <w:rFonts w:ascii="Arial" w:hAnsi="Arial" w:cs="Arial"/>
          <w:b/>
          <w:color w:val="000000"/>
        </w:rPr>
        <w:t xml:space="preserve">[Circulated by the authority of the Minister for Social Services, the Hon Amanda Rishworth MP] </w:t>
      </w:r>
    </w:p>
    <w:p w14:paraId="4D6124A5" w14:textId="77777777" w:rsidR="00BB5FC9" w:rsidRPr="00D51FA4" w:rsidRDefault="00BB5FC9" w:rsidP="00D1776D">
      <w:pPr>
        <w:spacing w:before="200"/>
        <w:jc w:val="both"/>
        <w:outlineLvl w:val="1"/>
        <w:rPr>
          <w:rFonts w:ascii="Arial" w:eastAsiaTheme="majorEastAsia" w:hAnsi="Arial" w:cs="Arial"/>
          <w:b/>
          <w:bCs/>
        </w:rPr>
      </w:pPr>
    </w:p>
    <w:p w14:paraId="22C7BC2A" w14:textId="77777777" w:rsidR="00291C3C" w:rsidRPr="00D51FA4" w:rsidRDefault="00291C3C" w:rsidP="00D1776D">
      <w:pPr>
        <w:spacing w:before="200"/>
        <w:jc w:val="both"/>
        <w:outlineLvl w:val="1"/>
        <w:rPr>
          <w:rFonts w:ascii="Arial" w:eastAsiaTheme="majorEastAsia" w:hAnsi="Arial" w:cs="Arial"/>
          <w:b/>
          <w:bCs/>
        </w:rPr>
      </w:pPr>
    </w:p>
    <w:p w14:paraId="638A5226" w14:textId="77777777" w:rsidR="00291C3C" w:rsidRPr="00D51FA4" w:rsidRDefault="00291C3C">
      <w:pPr>
        <w:spacing w:before="0" w:after="200" w:line="276" w:lineRule="auto"/>
        <w:rPr>
          <w:rFonts w:ascii="Arial" w:eastAsiaTheme="majorEastAsia" w:hAnsi="Arial" w:cs="Arial"/>
          <w:b/>
          <w:bCs/>
        </w:rPr>
      </w:pPr>
      <w:r w:rsidRPr="00D51FA4">
        <w:rPr>
          <w:rFonts w:ascii="Arial" w:eastAsiaTheme="majorEastAsia" w:hAnsi="Arial" w:cs="Arial"/>
          <w:b/>
          <w:bCs/>
        </w:rPr>
        <w:br w:type="page"/>
      </w:r>
    </w:p>
    <w:p w14:paraId="4C7E732A" w14:textId="77777777" w:rsidR="00D1776D" w:rsidRPr="00D51FA4" w:rsidRDefault="000E423F" w:rsidP="00D1776D">
      <w:pPr>
        <w:spacing w:before="200"/>
        <w:jc w:val="both"/>
        <w:outlineLvl w:val="1"/>
        <w:rPr>
          <w:rFonts w:ascii="Arial" w:eastAsiaTheme="majorEastAsia" w:hAnsi="Arial" w:cs="Arial"/>
          <w:b/>
          <w:bCs/>
        </w:rPr>
      </w:pPr>
      <w:r w:rsidRPr="00D51FA4">
        <w:rPr>
          <w:rFonts w:ascii="Arial" w:eastAsiaTheme="majorEastAsia" w:hAnsi="Arial" w:cs="Arial"/>
          <w:b/>
          <w:bCs/>
        </w:rPr>
        <w:lastRenderedPageBreak/>
        <w:t>Impact Analysis</w:t>
      </w:r>
      <w:r w:rsidR="008025DD" w:rsidRPr="00D51FA4">
        <w:rPr>
          <w:rFonts w:ascii="Arial" w:eastAsiaTheme="majorEastAsia" w:hAnsi="Arial" w:cs="Arial"/>
          <w:b/>
          <w:bCs/>
        </w:rPr>
        <w:t xml:space="preserve"> </w:t>
      </w:r>
      <w:r w:rsidR="00D1776D" w:rsidRPr="00D51FA4">
        <w:rPr>
          <w:rFonts w:ascii="Arial" w:eastAsiaTheme="majorEastAsia" w:hAnsi="Arial" w:cs="Arial"/>
          <w:b/>
          <w:bCs/>
        </w:rPr>
        <w:t>Executive Summary</w:t>
      </w:r>
    </w:p>
    <w:p w14:paraId="2A14F9A9" w14:textId="77777777" w:rsidR="00D1776D" w:rsidRPr="00D51FA4" w:rsidRDefault="00D1776D" w:rsidP="00D1776D">
      <w:pPr>
        <w:jc w:val="both"/>
        <w:rPr>
          <w:rFonts w:ascii="Arial" w:hAnsi="Arial" w:cs="Arial"/>
        </w:rPr>
      </w:pPr>
      <w:r w:rsidRPr="00D51FA4">
        <w:rPr>
          <w:rFonts w:ascii="Arial" w:hAnsi="Arial" w:cs="Arial"/>
        </w:rPr>
        <w:t>Currently, there are 2 programs in operation that restrict what people can purchase with their welfare payments. These programs are IM which was established in 2007 and the CDC program which was established in 2016. These programs run concurrently across several locations in Australia. Both CDC and IM have an objective to restrict the purchase of items such as alcohol and gambling products so participants prioritise expenditure on essential expenses such as rent, food and utilities.</w:t>
      </w:r>
    </w:p>
    <w:p w14:paraId="01BA955A" w14:textId="77777777" w:rsidR="00D1776D" w:rsidRPr="00D51FA4" w:rsidRDefault="00D1776D" w:rsidP="00D1776D">
      <w:pPr>
        <w:jc w:val="both"/>
        <w:rPr>
          <w:rFonts w:ascii="Arial" w:hAnsi="Arial" w:cs="Arial"/>
        </w:rPr>
      </w:pPr>
      <w:r w:rsidRPr="00D51FA4">
        <w:rPr>
          <w:rFonts w:ascii="Arial" w:hAnsi="Arial" w:cs="Arial"/>
        </w:rPr>
        <w:t>Since the CDC program inception, the policy landscape has changed considerably in Australia. Frameworks established between the Commonwealth and the States and Territory governments have seen the development of new national and community level initiatives to address the effects of drug and alcohol misuse and reduce domestic, family and sexual violence. The Commonwealth and State governments have also entered into a National Partnership agreement with the Coalition of Peaks on Closing the Gap.</w:t>
      </w:r>
    </w:p>
    <w:p w14:paraId="6E003FB6" w14:textId="77777777" w:rsidR="00D1776D" w:rsidRPr="00D51FA4" w:rsidRDefault="00D1776D" w:rsidP="00D1776D">
      <w:pPr>
        <w:jc w:val="both"/>
        <w:rPr>
          <w:rFonts w:ascii="Arial" w:hAnsi="Arial" w:cs="Arial"/>
        </w:rPr>
      </w:pPr>
      <w:r w:rsidRPr="00D51FA4">
        <w:rPr>
          <w:rFonts w:ascii="Arial" w:hAnsi="Arial" w:cs="Arial"/>
        </w:rPr>
        <w:t xml:space="preserve">Both programs have undergone several evaluations to monitor and evaluate the programs’ successes and shortfalls. These evaluations have established that the CDC program has produced mixed results. The recent audit report of the </w:t>
      </w:r>
      <w:r w:rsidRPr="00D51FA4">
        <w:rPr>
          <w:rFonts w:ascii="Arial" w:hAnsi="Arial" w:cs="Arial"/>
          <w:i/>
        </w:rPr>
        <w:t>Cashless Debit Card by the Australian National Audit Office (ANAO)</w:t>
      </w:r>
      <w:r w:rsidRPr="00D51FA4">
        <w:rPr>
          <w:rFonts w:ascii="Arial" w:hAnsi="Arial" w:cs="Arial"/>
        </w:rPr>
        <w:t xml:space="preserve"> (published 2022) highlights a lack of available data to confirm that the CDC program is achieving its outcomes and little evidence to support the continuation of the program.</w:t>
      </w:r>
    </w:p>
    <w:p w14:paraId="1A9914CB" w14:textId="77777777" w:rsidR="00D1776D" w:rsidRPr="00D51FA4" w:rsidRDefault="00D1776D" w:rsidP="00D1776D">
      <w:pPr>
        <w:jc w:val="both"/>
        <w:rPr>
          <w:rFonts w:ascii="Arial" w:hAnsi="Arial" w:cs="Arial"/>
        </w:rPr>
      </w:pPr>
      <w:r w:rsidRPr="00D51FA4">
        <w:rPr>
          <w:rFonts w:ascii="Arial" w:hAnsi="Arial" w:cs="Arial"/>
        </w:rPr>
        <w:t>The Government made an election commitment to abolish the CDC program and consult with communities about alternative options to support individuals and communities including options for voluntary IM.</w:t>
      </w:r>
    </w:p>
    <w:p w14:paraId="7DBF7AE5" w14:textId="77777777" w:rsidR="00D1776D" w:rsidRPr="00D51FA4" w:rsidRDefault="00D1776D" w:rsidP="00D1776D">
      <w:pPr>
        <w:jc w:val="both"/>
        <w:rPr>
          <w:rFonts w:ascii="Arial" w:hAnsi="Arial" w:cs="Arial"/>
        </w:rPr>
      </w:pPr>
      <w:r w:rsidRPr="00D51FA4">
        <w:rPr>
          <w:rFonts w:ascii="Arial" w:hAnsi="Arial" w:cs="Arial"/>
        </w:rPr>
        <w:t>In supporting the Government’s implementation of this commitment, the Department of Social Services (the Department) has considered 2 options regarding the future of welfare quarantining.</w:t>
      </w:r>
    </w:p>
    <w:p w14:paraId="35DAAA83" w14:textId="77777777" w:rsidR="00D1776D" w:rsidRPr="00D51FA4" w:rsidRDefault="00D1776D" w:rsidP="00D1776D">
      <w:pPr>
        <w:jc w:val="both"/>
        <w:rPr>
          <w:rFonts w:ascii="Arial" w:hAnsi="Arial" w:cs="Arial"/>
        </w:rPr>
      </w:pPr>
      <w:r w:rsidRPr="00D51FA4">
        <w:rPr>
          <w:rFonts w:ascii="Arial" w:hAnsi="Arial" w:cs="Arial"/>
        </w:rPr>
        <w:t>The first option, for purpose of comparison, maintains the status quo, and continues a CDC program that has not demonstrated an ability to achieve its policy outcomes and places a regulatory burden on participants, businesses and communities due to geographical location and places barriers in relation to undertaking simple financial transactions. The CDC program assumes all people in a particular geography, in receipt of working age income support payments, need restrictions on the types of goods and services that can be purchased with their money.</w:t>
      </w:r>
    </w:p>
    <w:p w14:paraId="20CC3F3B" w14:textId="77777777" w:rsidR="00D1776D" w:rsidRPr="00D51FA4" w:rsidRDefault="00D1776D" w:rsidP="00D1776D">
      <w:pPr>
        <w:jc w:val="both"/>
        <w:rPr>
          <w:rFonts w:ascii="Arial" w:hAnsi="Arial" w:cs="Arial"/>
        </w:rPr>
      </w:pPr>
      <w:r w:rsidRPr="00D51FA4">
        <w:rPr>
          <w:rFonts w:ascii="Arial" w:hAnsi="Arial" w:cs="Arial"/>
        </w:rPr>
        <w:t xml:space="preserve">The </w:t>
      </w:r>
      <w:r w:rsidRPr="00D51FA4">
        <w:rPr>
          <w:rFonts w:ascii="Arial" w:hAnsi="Arial" w:cs="Arial"/>
          <w:b/>
        </w:rPr>
        <w:t>preferred option is Option 2</w:t>
      </w:r>
      <w:r w:rsidRPr="00D51FA4">
        <w:rPr>
          <w:rFonts w:ascii="Arial" w:hAnsi="Arial" w:cs="Arial"/>
        </w:rPr>
        <w:t xml:space="preserve"> where the </w:t>
      </w:r>
      <w:r w:rsidRPr="00D51FA4">
        <w:rPr>
          <w:rFonts w:ascii="Arial" w:eastAsia="Calibri" w:hAnsi="Arial" w:cs="Arial"/>
          <w:color w:val="262626"/>
        </w:rPr>
        <w:t xml:space="preserve">CDC program is abolished and reforms are made to IM to enable a greater level of community decision-making. Transitional arrangements including support services would assist those who choose to leave the programs. Option 2 </w:t>
      </w:r>
      <w:r w:rsidRPr="00D51FA4">
        <w:rPr>
          <w:rFonts w:ascii="Arial" w:hAnsi="Arial" w:cs="Arial"/>
        </w:rPr>
        <w:t>complements the Government’s strategic priority to give people on these programs more choice on how they spend their income support payments. It will also provide greater value for money given the lack of evidence that the programs are meeting their objectives.</w:t>
      </w:r>
    </w:p>
    <w:p w14:paraId="56A27387" w14:textId="77777777" w:rsidR="00D1776D" w:rsidRPr="00D51FA4" w:rsidRDefault="00D1776D" w:rsidP="00D1776D">
      <w:pPr>
        <w:jc w:val="both"/>
        <w:rPr>
          <w:rFonts w:ascii="Arial" w:hAnsi="Arial" w:cs="Arial"/>
        </w:rPr>
      </w:pPr>
      <w:r w:rsidRPr="00D51FA4">
        <w:rPr>
          <w:rFonts w:ascii="Arial" w:hAnsi="Arial" w:cs="Arial"/>
        </w:rPr>
        <w:t xml:space="preserve">Option 2 will see a reduction in the regulatory burden faced by individuals and businesses in affected locations and provide participants with greater freedom to choose how and where to spend their money and how they manage their finances </w:t>
      </w:r>
      <w:r w:rsidRPr="00D51FA4">
        <w:rPr>
          <w:rFonts w:ascii="Arial" w:hAnsi="Arial" w:cs="Arial"/>
        </w:rPr>
        <w:lastRenderedPageBreak/>
        <w:t>including decisions on who they bank with. These are freedoms afforded to most Australians and those on the program have limits placed on these choices. The </w:t>
      </w:r>
      <w:r w:rsidRPr="00D51FA4">
        <w:rPr>
          <w:rFonts w:ascii="Arial" w:hAnsi="Arial" w:cs="Arial"/>
          <w:b/>
        </w:rPr>
        <w:t>regulatory save</w:t>
      </w:r>
      <w:r w:rsidRPr="00D51FA4">
        <w:rPr>
          <w:rFonts w:ascii="Arial" w:hAnsi="Arial" w:cs="Arial"/>
        </w:rPr>
        <w:t xml:space="preserve"> has been calculated at </w:t>
      </w:r>
      <w:r w:rsidRPr="00D51FA4">
        <w:rPr>
          <w:rFonts w:ascii="Arial" w:hAnsi="Arial" w:cs="Arial"/>
          <w:b/>
        </w:rPr>
        <w:t>$21.5m over 10 years</w:t>
      </w:r>
      <w:r w:rsidRPr="00D51FA4">
        <w:rPr>
          <w:rFonts w:ascii="Arial" w:hAnsi="Arial" w:cs="Arial"/>
        </w:rPr>
        <w:t>.</w:t>
      </w:r>
    </w:p>
    <w:p w14:paraId="3136EB9E" w14:textId="77777777" w:rsidR="00D1776D" w:rsidRPr="00D51FA4" w:rsidRDefault="00D1776D" w:rsidP="00D1776D">
      <w:pPr>
        <w:jc w:val="both"/>
        <w:rPr>
          <w:rFonts w:ascii="Arial" w:hAnsi="Arial" w:cs="Arial"/>
        </w:rPr>
      </w:pPr>
      <w:r w:rsidRPr="00D51FA4">
        <w:rPr>
          <w:rFonts w:ascii="Arial" w:hAnsi="Arial" w:cs="Arial"/>
        </w:rPr>
        <w:t>The Department has undertaken consultation with those in affected locations including targeted Ministerial visits by the Minister for Social Services, the Hon Amanda Rishworth MP (the Minister) and the Assistant Minister for Social Services, the Hon Justine Elliot MP (the Assistant Minister). Senator the Hon Patrick Dodson, Senator the Hon Malarndirri McCarthy, and Ms Marion Scrymgour MP have also participated in consultations. This has included consulting with CDC participants and other local stakeholders about the cessation of the CDC program. Consultations captured a wide range of stakeholders and captured a diversity of perspectives, including CDC participants, senior First Nations leaders, Community Reference Groups, service providers, local police, health services and local councils. Engagement with communities will continue as part of the implementation of the reforms.</w:t>
      </w:r>
    </w:p>
    <w:p w14:paraId="22F9E39E" w14:textId="77777777" w:rsidR="00D1776D" w:rsidRPr="00D51FA4" w:rsidRDefault="00D1776D" w:rsidP="00D1776D">
      <w:pPr>
        <w:jc w:val="both"/>
        <w:rPr>
          <w:rFonts w:ascii="Arial" w:hAnsi="Arial" w:cs="Arial"/>
        </w:rPr>
      </w:pPr>
      <w:r w:rsidRPr="00D51FA4">
        <w:rPr>
          <w:rFonts w:ascii="Arial" w:hAnsi="Arial" w:cs="Arial"/>
        </w:rPr>
        <w:t>Consultations involved understanding what the impacts of the CDC program are and how these are impacting individuals and businesses in the affected regions. It also involves seeking their views on what a suitable process for people to transition off the CDC program needs to include and what supports the community feel are required. In addition, in preparation for stage 2 discussions were held regarding what IM could look like.</w:t>
      </w:r>
    </w:p>
    <w:p w14:paraId="679DE85B" w14:textId="77777777" w:rsidR="00D1776D" w:rsidRPr="00D51FA4" w:rsidRDefault="00D1776D" w:rsidP="00D1776D">
      <w:pPr>
        <w:jc w:val="both"/>
        <w:rPr>
          <w:rFonts w:ascii="Arial" w:hAnsi="Arial" w:cs="Arial"/>
        </w:rPr>
      </w:pPr>
      <w:r w:rsidRPr="00D51FA4">
        <w:rPr>
          <w:rFonts w:ascii="Arial" w:hAnsi="Arial" w:cs="Arial"/>
        </w:rPr>
        <w:t>At all times, the focus of these consultations is to understand the CDC participants’ experiences and possible impacts on them and their communities to inform implementation arrangements and understand individual and community support needs.</w:t>
      </w:r>
    </w:p>
    <w:p w14:paraId="2FE7E199" w14:textId="77777777" w:rsidR="00D1776D" w:rsidRPr="00D51FA4" w:rsidRDefault="00D1776D" w:rsidP="00D1776D">
      <w:pPr>
        <w:jc w:val="both"/>
        <w:rPr>
          <w:rFonts w:ascii="Arial" w:hAnsi="Arial" w:cs="Arial"/>
        </w:rPr>
      </w:pPr>
      <w:r w:rsidRPr="00D51FA4">
        <w:rPr>
          <w:rFonts w:ascii="Arial" w:hAnsi="Arial" w:cs="Arial"/>
        </w:rPr>
        <w:t>These early consultations have included key service agencies and First Nations leadership groups. Consistent with the CDC program’s evaluations they have stated that the impact of the program has been variable. The preference is the importance of support services to participants and their communities. Further, they have been clear that if the CDC program is removed, these services must endure to support the community and they must be guided by local priorities and led by local leadership.</w:t>
      </w:r>
    </w:p>
    <w:p w14:paraId="6DC66BB1" w14:textId="77777777" w:rsidR="00556834" w:rsidRPr="00556834" w:rsidRDefault="00D1776D" w:rsidP="00D1776D">
      <w:pPr>
        <w:spacing w:before="0" w:after="200"/>
        <w:jc w:val="both"/>
        <w:rPr>
          <w:rFonts w:ascii="Arial" w:hAnsi="Arial" w:cs="Arial"/>
          <w:szCs w:val="24"/>
        </w:rPr>
      </w:pPr>
      <w:r w:rsidRPr="00D51FA4">
        <w:rPr>
          <w:rFonts w:ascii="Arial" w:hAnsi="Arial" w:cs="Arial"/>
        </w:rPr>
        <w:t xml:space="preserve">Transition will be a staged approach with any future evaluation </w:t>
      </w:r>
      <w:r w:rsidRPr="00D51FA4">
        <w:rPr>
          <w:rFonts w:ascii="Arial" w:eastAsia="Calibri" w:hAnsi="Arial" w:cs="Arial"/>
          <w:color w:val="262626"/>
        </w:rPr>
        <w:t xml:space="preserve">focused on the experience of participants coming off the programs and effectiveness of support services. The Department will </w:t>
      </w:r>
      <w:r w:rsidRPr="00D51FA4">
        <w:rPr>
          <w:rFonts w:ascii="Arial" w:hAnsi="Arial" w:cs="Arial"/>
        </w:rPr>
        <w:t>consult with affected communities to ensure that the evaluation methodology is fit for purpose. This may include co-designing an evaluation methodology with communities, and identifying measures the communities see as important. It is important to note this information along with any lessons learnt will help develop Government’s future evidence based policy.</w:t>
      </w:r>
      <w:bookmarkStart w:id="1" w:name="_GoBack"/>
      <w:bookmarkEnd w:id="1"/>
    </w:p>
    <w:sectPr w:rsidR="00556834" w:rsidRPr="005568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E59CD" w14:textId="77777777" w:rsidR="00977D84" w:rsidRDefault="00977D84" w:rsidP="00AD1645">
      <w:pPr>
        <w:spacing w:before="0"/>
      </w:pPr>
      <w:r>
        <w:separator/>
      </w:r>
    </w:p>
  </w:endnote>
  <w:endnote w:type="continuationSeparator" w:id="0">
    <w:p w14:paraId="27631E52" w14:textId="77777777" w:rsidR="00977D84" w:rsidRDefault="00977D84"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66C6F" w14:textId="77777777" w:rsidR="00977D84" w:rsidRDefault="00977D84" w:rsidP="00AD1645">
      <w:pPr>
        <w:spacing w:before="0"/>
      </w:pPr>
      <w:r>
        <w:separator/>
      </w:r>
    </w:p>
  </w:footnote>
  <w:footnote w:type="continuationSeparator" w:id="0">
    <w:p w14:paraId="1E762486" w14:textId="77777777" w:rsidR="00977D84" w:rsidRDefault="00977D84" w:rsidP="00AD16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0837"/>
    <w:multiLevelType w:val="hybridMultilevel"/>
    <w:tmpl w:val="7FCAE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F6E40"/>
    <w:multiLevelType w:val="hybridMultilevel"/>
    <w:tmpl w:val="5E565E5C"/>
    <w:lvl w:ilvl="0" w:tplc="F1C0FA38">
      <w:start w:val="1"/>
      <w:numFmt w:val="decimal"/>
      <w:lvlText w:val="%1."/>
      <w:lvlJc w:val="left"/>
      <w:pPr>
        <w:ind w:left="1080" w:hanging="720"/>
      </w:pPr>
      <w:rPr>
        <w:rFonts w:hint="default"/>
      </w:rPr>
    </w:lvl>
    <w:lvl w:ilvl="1" w:tplc="E3BE6E7A">
      <w:start w:val="1"/>
      <w:numFmt w:val="lowerLetter"/>
      <w:lvlText w:val="(%2)"/>
      <w:lvlJc w:val="left"/>
      <w:pPr>
        <w:ind w:left="1440" w:hanging="360"/>
      </w:pPr>
      <w:rPr>
        <w:rFonts w:hint="default"/>
      </w:rPr>
    </w:lvl>
    <w:lvl w:ilvl="2" w:tplc="3D262348">
      <w:start w:val="1"/>
      <w:numFmt w:val="lowerRoman"/>
      <w:lvlText w:val="(%3)"/>
      <w:lvlJc w:val="right"/>
      <w:pPr>
        <w:ind w:left="2160" w:hanging="180"/>
      </w:pPr>
      <w:rPr>
        <w:rFonts w:hint="default"/>
      </w:rPr>
    </w:lvl>
    <w:lvl w:ilvl="3" w:tplc="3D262348">
      <w:start w:val="1"/>
      <w:numFmt w:val="lowerRoman"/>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995961"/>
    <w:multiLevelType w:val="hybridMultilevel"/>
    <w:tmpl w:val="4880D85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0B3F1A8C"/>
    <w:multiLevelType w:val="hybridMultilevel"/>
    <w:tmpl w:val="27EE1E38"/>
    <w:lvl w:ilvl="0" w:tplc="5322C22C">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B40261"/>
    <w:multiLevelType w:val="hybridMultilevel"/>
    <w:tmpl w:val="C038C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9F4503"/>
    <w:multiLevelType w:val="hybridMultilevel"/>
    <w:tmpl w:val="7974F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E642ED"/>
    <w:multiLevelType w:val="hybridMultilevel"/>
    <w:tmpl w:val="6504E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3E1DE6"/>
    <w:multiLevelType w:val="hybridMultilevel"/>
    <w:tmpl w:val="5D1A0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2480647"/>
    <w:multiLevelType w:val="hybridMultilevel"/>
    <w:tmpl w:val="F8AA4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0DE0D42"/>
    <w:multiLevelType w:val="multilevel"/>
    <w:tmpl w:val="A53E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4A5827"/>
    <w:multiLevelType w:val="hybridMultilevel"/>
    <w:tmpl w:val="32BE21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B07231"/>
    <w:multiLevelType w:val="hybridMultilevel"/>
    <w:tmpl w:val="2BC8F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BE235F"/>
    <w:multiLevelType w:val="hybridMultilevel"/>
    <w:tmpl w:val="44201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0B1349"/>
    <w:multiLevelType w:val="hybridMultilevel"/>
    <w:tmpl w:val="2940CA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4E2E53"/>
    <w:multiLevelType w:val="hybridMultilevel"/>
    <w:tmpl w:val="D4CA0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8"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334E13"/>
    <w:multiLevelType w:val="hybridMultilevel"/>
    <w:tmpl w:val="EA1E07DC"/>
    <w:lvl w:ilvl="0" w:tplc="F1C0FA38">
      <w:start w:val="1"/>
      <w:numFmt w:val="decimal"/>
      <w:lvlText w:val="%1."/>
      <w:lvlJc w:val="left"/>
      <w:pPr>
        <w:ind w:left="1080" w:hanging="720"/>
      </w:pPr>
      <w:rPr>
        <w:rFonts w:hint="default"/>
      </w:rPr>
    </w:lvl>
    <w:lvl w:ilvl="1" w:tplc="E3BE6E7A">
      <w:start w:val="1"/>
      <w:numFmt w:val="lowerLetter"/>
      <w:lvlText w:val="(%2)"/>
      <w:lvlJc w:val="left"/>
      <w:pPr>
        <w:ind w:left="1440" w:hanging="360"/>
      </w:pPr>
      <w:rPr>
        <w:rFonts w:hint="default"/>
      </w:rPr>
    </w:lvl>
    <w:lvl w:ilvl="2" w:tplc="A0D23BAC">
      <w:start w:val="1"/>
      <w:numFmt w:val="lowerLetter"/>
      <w:lvlText w:val="(%3)"/>
      <w:lvlJc w:val="left"/>
      <w:pPr>
        <w:ind w:left="2160" w:hanging="180"/>
      </w:pPr>
      <w:rPr>
        <w:rFonts w:ascii="Arial" w:eastAsia="Times New Roman" w:hAnsi="Arial" w:cs="Arial"/>
      </w:rPr>
    </w:lvl>
    <w:lvl w:ilvl="3" w:tplc="3D262348">
      <w:start w:val="1"/>
      <w:numFmt w:val="lowerRoman"/>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E37958"/>
    <w:multiLevelType w:val="hybridMultilevel"/>
    <w:tmpl w:val="CCCA0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72A60F8"/>
    <w:multiLevelType w:val="hybridMultilevel"/>
    <w:tmpl w:val="CE9EF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8"/>
  </w:num>
  <w:num w:numId="4">
    <w:abstractNumId w:val="25"/>
  </w:num>
  <w:num w:numId="5">
    <w:abstractNumId w:val="20"/>
  </w:num>
  <w:num w:numId="6">
    <w:abstractNumId w:val="6"/>
  </w:num>
  <w:num w:numId="7">
    <w:abstractNumId w:val="16"/>
  </w:num>
  <w:num w:numId="8">
    <w:abstractNumId w:val="27"/>
  </w:num>
  <w:num w:numId="9">
    <w:abstractNumId w:val="12"/>
  </w:num>
  <w:num w:numId="10">
    <w:abstractNumId w:val="28"/>
  </w:num>
  <w:num w:numId="11">
    <w:abstractNumId w:val="8"/>
  </w:num>
  <w:num w:numId="12">
    <w:abstractNumId w:val="10"/>
  </w:num>
  <w:num w:numId="13">
    <w:abstractNumId w:val="2"/>
  </w:num>
  <w:num w:numId="14">
    <w:abstractNumId w:val="13"/>
  </w:num>
  <w:num w:numId="15">
    <w:abstractNumId w:val="11"/>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19"/>
  </w:num>
  <w:num w:numId="19">
    <w:abstractNumId w:val="17"/>
  </w:num>
  <w:num w:numId="20">
    <w:abstractNumId w:val="14"/>
  </w:num>
  <w:num w:numId="21">
    <w:abstractNumId w:val="21"/>
  </w:num>
  <w:num w:numId="22">
    <w:abstractNumId w:val="1"/>
  </w:num>
  <w:num w:numId="23">
    <w:abstractNumId w:val="7"/>
  </w:num>
  <w:num w:numId="24">
    <w:abstractNumId w:val="15"/>
  </w:num>
  <w:num w:numId="25">
    <w:abstractNumId w:val="24"/>
  </w:num>
  <w:num w:numId="26">
    <w:abstractNumId w:val="29"/>
  </w:num>
  <w:num w:numId="27">
    <w:abstractNumId w:val="22"/>
  </w:num>
  <w:num w:numId="28">
    <w:abstractNumId w:val="0"/>
  </w:num>
  <w:num w:numId="29">
    <w:abstractNumId w:val="5"/>
  </w:num>
  <w:num w:numId="30">
    <w:abstractNumId w:val="4"/>
  </w:num>
  <w:num w:numId="31">
    <w:abstractNumId w:val="23"/>
  </w:num>
  <w:num w:numId="32">
    <w:abstractNumId w:val="3"/>
  </w:num>
  <w:num w:numId="33">
    <w:abstractNumId w:val="26"/>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4004"/>
    <w:rsid w:val="00005512"/>
    <w:rsid w:val="0000668E"/>
    <w:rsid w:val="00011365"/>
    <w:rsid w:val="00011D1C"/>
    <w:rsid w:val="0001205E"/>
    <w:rsid w:val="00016EC3"/>
    <w:rsid w:val="00021ED2"/>
    <w:rsid w:val="000269EE"/>
    <w:rsid w:val="00030B79"/>
    <w:rsid w:val="00031D0B"/>
    <w:rsid w:val="00043B6D"/>
    <w:rsid w:val="000447B5"/>
    <w:rsid w:val="00045BF2"/>
    <w:rsid w:val="00051C3F"/>
    <w:rsid w:val="00055135"/>
    <w:rsid w:val="0006693F"/>
    <w:rsid w:val="00066DAE"/>
    <w:rsid w:val="00074C1A"/>
    <w:rsid w:val="000760DC"/>
    <w:rsid w:val="000844AF"/>
    <w:rsid w:val="0008486D"/>
    <w:rsid w:val="00084B46"/>
    <w:rsid w:val="00085730"/>
    <w:rsid w:val="00091002"/>
    <w:rsid w:val="000953D3"/>
    <w:rsid w:val="00096B8D"/>
    <w:rsid w:val="000A3595"/>
    <w:rsid w:val="000A772F"/>
    <w:rsid w:val="000B4130"/>
    <w:rsid w:val="000C2DDB"/>
    <w:rsid w:val="000C5204"/>
    <w:rsid w:val="000D13FB"/>
    <w:rsid w:val="000D365F"/>
    <w:rsid w:val="000E02A0"/>
    <w:rsid w:val="000E3915"/>
    <w:rsid w:val="000E423F"/>
    <w:rsid w:val="000F25A4"/>
    <w:rsid w:val="0011719D"/>
    <w:rsid w:val="00122CFC"/>
    <w:rsid w:val="00126429"/>
    <w:rsid w:val="001310C6"/>
    <w:rsid w:val="00131590"/>
    <w:rsid w:val="00140359"/>
    <w:rsid w:val="00140B01"/>
    <w:rsid w:val="001502F9"/>
    <w:rsid w:val="0015134A"/>
    <w:rsid w:val="00152472"/>
    <w:rsid w:val="00163809"/>
    <w:rsid w:val="00165875"/>
    <w:rsid w:val="0016653C"/>
    <w:rsid w:val="00175BC6"/>
    <w:rsid w:val="00180705"/>
    <w:rsid w:val="001853D9"/>
    <w:rsid w:val="00191AEC"/>
    <w:rsid w:val="001920F3"/>
    <w:rsid w:val="001A737C"/>
    <w:rsid w:val="001B5379"/>
    <w:rsid w:val="001C036A"/>
    <w:rsid w:val="001C64F9"/>
    <w:rsid w:val="001D69AF"/>
    <w:rsid w:val="001E5B72"/>
    <w:rsid w:val="001E5D12"/>
    <w:rsid w:val="001E630D"/>
    <w:rsid w:val="001E7422"/>
    <w:rsid w:val="001F361B"/>
    <w:rsid w:val="001F40A7"/>
    <w:rsid w:val="001F4805"/>
    <w:rsid w:val="001F4E3C"/>
    <w:rsid w:val="002154EE"/>
    <w:rsid w:val="00224887"/>
    <w:rsid w:val="0022574F"/>
    <w:rsid w:val="0023207B"/>
    <w:rsid w:val="002329E1"/>
    <w:rsid w:val="002334D9"/>
    <w:rsid w:val="00234F9E"/>
    <w:rsid w:val="0024465E"/>
    <w:rsid w:val="0024760C"/>
    <w:rsid w:val="002533F0"/>
    <w:rsid w:val="002618CE"/>
    <w:rsid w:val="00263392"/>
    <w:rsid w:val="0026381C"/>
    <w:rsid w:val="002642C7"/>
    <w:rsid w:val="00264C31"/>
    <w:rsid w:val="00272031"/>
    <w:rsid w:val="002741BD"/>
    <w:rsid w:val="00274720"/>
    <w:rsid w:val="00274CAF"/>
    <w:rsid w:val="00276D06"/>
    <w:rsid w:val="00276F09"/>
    <w:rsid w:val="002810A5"/>
    <w:rsid w:val="00283079"/>
    <w:rsid w:val="00285249"/>
    <w:rsid w:val="00285252"/>
    <w:rsid w:val="002912E0"/>
    <w:rsid w:val="00291C3C"/>
    <w:rsid w:val="002926E3"/>
    <w:rsid w:val="002A0E63"/>
    <w:rsid w:val="002A2A71"/>
    <w:rsid w:val="002A4841"/>
    <w:rsid w:val="002A523B"/>
    <w:rsid w:val="002A6007"/>
    <w:rsid w:val="002A63EA"/>
    <w:rsid w:val="002B0175"/>
    <w:rsid w:val="002C0C80"/>
    <w:rsid w:val="002C0F57"/>
    <w:rsid w:val="002C1403"/>
    <w:rsid w:val="002C1938"/>
    <w:rsid w:val="002C2252"/>
    <w:rsid w:val="002C6177"/>
    <w:rsid w:val="002C63E3"/>
    <w:rsid w:val="002D0DB2"/>
    <w:rsid w:val="002D0F1C"/>
    <w:rsid w:val="002D35D8"/>
    <w:rsid w:val="002D4522"/>
    <w:rsid w:val="002E0BB1"/>
    <w:rsid w:val="002E45E2"/>
    <w:rsid w:val="002E7ADE"/>
    <w:rsid w:val="002F2A26"/>
    <w:rsid w:val="00300D38"/>
    <w:rsid w:val="00300D8B"/>
    <w:rsid w:val="00303EE1"/>
    <w:rsid w:val="003119FD"/>
    <w:rsid w:val="00312D7B"/>
    <w:rsid w:val="00320CE0"/>
    <w:rsid w:val="00322468"/>
    <w:rsid w:val="00323092"/>
    <w:rsid w:val="00327800"/>
    <w:rsid w:val="003320D9"/>
    <w:rsid w:val="00333A9C"/>
    <w:rsid w:val="00334F9D"/>
    <w:rsid w:val="00337065"/>
    <w:rsid w:val="003430FC"/>
    <w:rsid w:val="003434E2"/>
    <w:rsid w:val="00345FFE"/>
    <w:rsid w:val="00346400"/>
    <w:rsid w:val="00351E79"/>
    <w:rsid w:val="0035378F"/>
    <w:rsid w:val="003606C5"/>
    <w:rsid w:val="00361089"/>
    <w:rsid w:val="00365424"/>
    <w:rsid w:val="00374A77"/>
    <w:rsid w:val="00380666"/>
    <w:rsid w:val="00385213"/>
    <w:rsid w:val="003857F5"/>
    <w:rsid w:val="00387D89"/>
    <w:rsid w:val="00390403"/>
    <w:rsid w:val="00390FEB"/>
    <w:rsid w:val="00392EB6"/>
    <w:rsid w:val="0039362B"/>
    <w:rsid w:val="00393D4E"/>
    <w:rsid w:val="00394743"/>
    <w:rsid w:val="00394BB8"/>
    <w:rsid w:val="003A04AD"/>
    <w:rsid w:val="003B2BB8"/>
    <w:rsid w:val="003B44E1"/>
    <w:rsid w:val="003C3031"/>
    <w:rsid w:val="003C3368"/>
    <w:rsid w:val="003C54B6"/>
    <w:rsid w:val="003D34FF"/>
    <w:rsid w:val="003D381C"/>
    <w:rsid w:val="003D5781"/>
    <w:rsid w:val="003D71F6"/>
    <w:rsid w:val="003E1784"/>
    <w:rsid w:val="003F2DA0"/>
    <w:rsid w:val="003F6675"/>
    <w:rsid w:val="00400273"/>
    <w:rsid w:val="00420387"/>
    <w:rsid w:val="0042132E"/>
    <w:rsid w:val="004250E4"/>
    <w:rsid w:val="00425D9C"/>
    <w:rsid w:val="00440E1E"/>
    <w:rsid w:val="0044403A"/>
    <w:rsid w:val="00446D6C"/>
    <w:rsid w:val="0045240C"/>
    <w:rsid w:val="00453FC9"/>
    <w:rsid w:val="00454405"/>
    <w:rsid w:val="00456E3D"/>
    <w:rsid w:val="00456FBD"/>
    <w:rsid w:val="00457792"/>
    <w:rsid w:val="004646E1"/>
    <w:rsid w:val="00470C3D"/>
    <w:rsid w:val="004726FF"/>
    <w:rsid w:val="004814F1"/>
    <w:rsid w:val="00482411"/>
    <w:rsid w:val="004956ED"/>
    <w:rsid w:val="0049646F"/>
    <w:rsid w:val="00497768"/>
    <w:rsid w:val="004A0C19"/>
    <w:rsid w:val="004A126A"/>
    <w:rsid w:val="004A24AF"/>
    <w:rsid w:val="004A37C7"/>
    <w:rsid w:val="004B3147"/>
    <w:rsid w:val="004B54CA"/>
    <w:rsid w:val="004C163F"/>
    <w:rsid w:val="004C3403"/>
    <w:rsid w:val="004D336A"/>
    <w:rsid w:val="004D5A73"/>
    <w:rsid w:val="004D5D65"/>
    <w:rsid w:val="004E1678"/>
    <w:rsid w:val="004E3A61"/>
    <w:rsid w:val="004E5CBF"/>
    <w:rsid w:val="004F1CD0"/>
    <w:rsid w:val="004F264A"/>
    <w:rsid w:val="004F5308"/>
    <w:rsid w:val="004F69ED"/>
    <w:rsid w:val="00503EF7"/>
    <w:rsid w:val="00511520"/>
    <w:rsid w:val="00512592"/>
    <w:rsid w:val="00527238"/>
    <w:rsid w:val="005332C8"/>
    <w:rsid w:val="00536060"/>
    <w:rsid w:val="00540BD8"/>
    <w:rsid w:val="00544F03"/>
    <w:rsid w:val="0054729F"/>
    <w:rsid w:val="005545DC"/>
    <w:rsid w:val="0055503B"/>
    <w:rsid w:val="00555458"/>
    <w:rsid w:val="00556834"/>
    <w:rsid w:val="00562CBC"/>
    <w:rsid w:val="00566538"/>
    <w:rsid w:val="00566BF6"/>
    <w:rsid w:val="00570367"/>
    <w:rsid w:val="00570884"/>
    <w:rsid w:val="005720FD"/>
    <w:rsid w:val="00573BA9"/>
    <w:rsid w:val="00576330"/>
    <w:rsid w:val="0057641C"/>
    <w:rsid w:val="005766D2"/>
    <w:rsid w:val="00591D1A"/>
    <w:rsid w:val="00594251"/>
    <w:rsid w:val="005A0825"/>
    <w:rsid w:val="005A2B9C"/>
    <w:rsid w:val="005A44D0"/>
    <w:rsid w:val="005C0790"/>
    <w:rsid w:val="005C390A"/>
    <w:rsid w:val="005C3AA9"/>
    <w:rsid w:val="005C54B4"/>
    <w:rsid w:val="005C78B2"/>
    <w:rsid w:val="005D447D"/>
    <w:rsid w:val="005E4167"/>
    <w:rsid w:val="005E4362"/>
    <w:rsid w:val="005E4607"/>
    <w:rsid w:val="005E7B26"/>
    <w:rsid w:val="005F41C9"/>
    <w:rsid w:val="005F5E17"/>
    <w:rsid w:val="005F6760"/>
    <w:rsid w:val="00614C63"/>
    <w:rsid w:val="00620404"/>
    <w:rsid w:val="006224D5"/>
    <w:rsid w:val="00622668"/>
    <w:rsid w:val="00622B71"/>
    <w:rsid w:val="00622D63"/>
    <w:rsid w:val="00624E34"/>
    <w:rsid w:val="00627A3A"/>
    <w:rsid w:val="00632F44"/>
    <w:rsid w:val="006376D0"/>
    <w:rsid w:val="006402A6"/>
    <w:rsid w:val="006407D3"/>
    <w:rsid w:val="0064167D"/>
    <w:rsid w:val="00645106"/>
    <w:rsid w:val="00650B9C"/>
    <w:rsid w:val="00650C1C"/>
    <w:rsid w:val="006541FC"/>
    <w:rsid w:val="006546B7"/>
    <w:rsid w:val="00660011"/>
    <w:rsid w:val="00663A62"/>
    <w:rsid w:val="006643AB"/>
    <w:rsid w:val="00667075"/>
    <w:rsid w:val="0067070B"/>
    <w:rsid w:val="00681C7F"/>
    <w:rsid w:val="00683FF5"/>
    <w:rsid w:val="00687351"/>
    <w:rsid w:val="006A1F70"/>
    <w:rsid w:val="006A4CE7"/>
    <w:rsid w:val="006A53BA"/>
    <w:rsid w:val="006A5D55"/>
    <w:rsid w:val="006A6D51"/>
    <w:rsid w:val="006C16CA"/>
    <w:rsid w:val="006C5E5E"/>
    <w:rsid w:val="006D6E51"/>
    <w:rsid w:val="006D7E0F"/>
    <w:rsid w:val="006E0BC7"/>
    <w:rsid w:val="006E1B19"/>
    <w:rsid w:val="006F0769"/>
    <w:rsid w:val="006F37F5"/>
    <w:rsid w:val="00701486"/>
    <w:rsid w:val="00707C4E"/>
    <w:rsid w:val="00711E65"/>
    <w:rsid w:val="007129D6"/>
    <w:rsid w:val="00720E42"/>
    <w:rsid w:val="00723421"/>
    <w:rsid w:val="00727DF7"/>
    <w:rsid w:val="0073766B"/>
    <w:rsid w:val="00751D54"/>
    <w:rsid w:val="00753000"/>
    <w:rsid w:val="00754D98"/>
    <w:rsid w:val="00762A05"/>
    <w:rsid w:val="007641B8"/>
    <w:rsid w:val="00771003"/>
    <w:rsid w:val="00773815"/>
    <w:rsid w:val="0077461F"/>
    <w:rsid w:val="0078126B"/>
    <w:rsid w:val="00785261"/>
    <w:rsid w:val="0079011D"/>
    <w:rsid w:val="007907A8"/>
    <w:rsid w:val="0079364A"/>
    <w:rsid w:val="007938F3"/>
    <w:rsid w:val="0079557B"/>
    <w:rsid w:val="007A2BB8"/>
    <w:rsid w:val="007A53DD"/>
    <w:rsid w:val="007A615C"/>
    <w:rsid w:val="007B0256"/>
    <w:rsid w:val="007B69DD"/>
    <w:rsid w:val="007C4060"/>
    <w:rsid w:val="007C5234"/>
    <w:rsid w:val="007D6273"/>
    <w:rsid w:val="007E4043"/>
    <w:rsid w:val="007E4FAD"/>
    <w:rsid w:val="007F300E"/>
    <w:rsid w:val="007F44F6"/>
    <w:rsid w:val="00801095"/>
    <w:rsid w:val="0080184F"/>
    <w:rsid w:val="008025DD"/>
    <w:rsid w:val="00805353"/>
    <w:rsid w:val="00807CD7"/>
    <w:rsid w:val="00811E3E"/>
    <w:rsid w:val="00814762"/>
    <w:rsid w:val="00816CFA"/>
    <w:rsid w:val="00817755"/>
    <w:rsid w:val="008259BA"/>
    <w:rsid w:val="0083135C"/>
    <w:rsid w:val="00841C22"/>
    <w:rsid w:val="00851CC8"/>
    <w:rsid w:val="00860BE9"/>
    <w:rsid w:val="00864702"/>
    <w:rsid w:val="008669B7"/>
    <w:rsid w:val="008707FE"/>
    <w:rsid w:val="00871F28"/>
    <w:rsid w:val="008761FF"/>
    <w:rsid w:val="00880E92"/>
    <w:rsid w:val="008954BF"/>
    <w:rsid w:val="00896466"/>
    <w:rsid w:val="008A7BBC"/>
    <w:rsid w:val="008B026E"/>
    <w:rsid w:val="008B1AA5"/>
    <w:rsid w:val="008B4CF1"/>
    <w:rsid w:val="008D14F6"/>
    <w:rsid w:val="008D2D41"/>
    <w:rsid w:val="008D2FC2"/>
    <w:rsid w:val="008D59CA"/>
    <w:rsid w:val="008D5B2E"/>
    <w:rsid w:val="008D68B6"/>
    <w:rsid w:val="008D6A4B"/>
    <w:rsid w:val="008D7A97"/>
    <w:rsid w:val="008E0A7E"/>
    <w:rsid w:val="008E1D0E"/>
    <w:rsid w:val="008E320A"/>
    <w:rsid w:val="008E38AE"/>
    <w:rsid w:val="008F5351"/>
    <w:rsid w:val="008F5702"/>
    <w:rsid w:val="008F5C8D"/>
    <w:rsid w:val="0090001F"/>
    <w:rsid w:val="0090702B"/>
    <w:rsid w:val="009140F6"/>
    <w:rsid w:val="00915A96"/>
    <w:rsid w:val="00916765"/>
    <w:rsid w:val="009225F0"/>
    <w:rsid w:val="00925620"/>
    <w:rsid w:val="00925633"/>
    <w:rsid w:val="00930624"/>
    <w:rsid w:val="00932E80"/>
    <w:rsid w:val="009332B3"/>
    <w:rsid w:val="00935A03"/>
    <w:rsid w:val="009426E4"/>
    <w:rsid w:val="00946730"/>
    <w:rsid w:val="00946E6D"/>
    <w:rsid w:val="00950ACB"/>
    <w:rsid w:val="00951806"/>
    <w:rsid w:val="0095196E"/>
    <w:rsid w:val="00956519"/>
    <w:rsid w:val="00966756"/>
    <w:rsid w:val="00966F79"/>
    <w:rsid w:val="00970C88"/>
    <w:rsid w:val="00976809"/>
    <w:rsid w:val="00977D84"/>
    <w:rsid w:val="009835AB"/>
    <w:rsid w:val="00985038"/>
    <w:rsid w:val="0098783B"/>
    <w:rsid w:val="0099649B"/>
    <w:rsid w:val="009A2F6F"/>
    <w:rsid w:val="009A4355"/>
    <w:rsid w:val="009A4EAB"/>
    <w:rsid w:val="009A5D3E"/>
    <w:rsid w:val="009A6A6F"/>
    <w:rsid w:val="009B71A9"/>
    <w:rsid w:val="009C55F8"/>
    <w:rsid w:val="009C63A9"/>
    <w:rsid w:val="009C63B6"/>
    <w:rsid w:val="009D1BE5"/>
    <w:rsid w:val="009D3CFE"/>
    <w:rsid w:val="009F3C43"/>
    <w:rsid w:val="009F6650"/>
    <w:rsid w:val="00A06B72"/>
    <w:rsid w:val="00A11C3C"/>
    <w:rsid w:val="00A263F2"/>
    <w:rsid w:val="00A27E85"/>
    <w:rsid w:val="00A32285"/>
    <w:rsid w:val="00A32B3D"/>
    <w:rsid w:val="00A332ED"/>
    <w:rsid w:val="00A34390"/>
    <w:rsid w:val="00A375D4"/>
    <w:rsid w:val="00A37984"/>
    <w:rsid w:val="00A42690"/>
    <w:rsid w:val="00A4616D"/>
    <w:rsid w:val="00A46203"/>
    <w:rsid w:val="00A52354"/>
    <w:rsid w:val="00A6045B"/>
    <w:rsid w:val="00A63D74"/>
    <w:rsid w:val="00A66DD0"/>
    <w:rsid w:val="00A709D5"/>
    <w:rsid w:val="00A719D2"/>
    <w:rsid w:val="00A74733"/>
    <w:rsid w:val="00A7558D"/>
    <w:rsid w:val="00A763EC"/>
    <w:rsid w:val="00A8076E"/>
    <w:rsid w:val="00A8767B"/>
    <w:rsid w:val="00A94C22"/>
    <w:rsid w:val="00AA0F80"/>
    <w:rsid w:val="00AA37AC"/>
    <w:rsid w:val="00AA45C6"/>
    <w:rsid w:val="00AA51E7"/>
    <w:rsid w:val="00AA750B"/>
    <w:rsid w:val="00AB3499"/>
    <w:rsid w:val="00AB7356"/>
    <w:rsid w:val="00AC271F"/>
    <w:rsid w:val="00AC635D"/>
    <w:rsid w:val="00AD1347"/>
    <w:rsid w:val="00AD1645"/>
    <w:rsid w:val="00AD1F7C"/>
    <w:rsid w:val="00AD5A3D"/>
    <w:rsid w:val="00AD69FE"/>
    <w:rsid w:val="00AE11F6"/>
    <w:rsid w:val="00AE3176"/>
    <w:rsid w:val="00AF0E6A"/>
    <w:rsid w:val="00B01538"/>
    <w:rsid w:val="00B04EB0"/>
    <w:rsid w:val="00B23B24"/>
    <w:rsid w:val="00B24531"/>
    <w:rsid w:val="00B246D5"/>
    <w:rsid w:val="00B261D9"/>
    <w:rsid w:val="00B33E33"/>
    <w:rsid w:val="00B376E6"/>
    <w:rsid w:val="00B37ECE"/>
    <w:rsid w:val="00B44F81"/>
    <w:rsid w:val="00B46651"/>
    <w:rsid w:val="00B50EB6"/>
    <w:rsid w:val="00B52B87"/>
    <w:rsid w:val="00B54C30"/>
    <w:rsid w:val="00B57278"/>
    <w:rsid w:val="00B6419D"/>
    <w:rsid w:val="00B6472A"/>
    <w:rsid w:val="00B73680"/>
    <w:rsid w:val="00B73BA1"/>
    <w:rsid w:val="00B74531"/>
    <w:rsid w:val="00B777D9"/>
    <w:rsid w:val="00B821A0"/>
    <w:rsid w:val="00B82365"/>
    <w:rsid w:val="00B9280B"/>
    <w:rsid w:val="00B92ABA"/>
    <w:rsid w:val="00B97B22"/>
    <w:rsid w:val="00BA2DB9"/>
    <w:rsid w:val="00BA6C4A"/>
    <w:rsid w:val="00BB0D37"/>
    <w:rsid w:val="00BB3D9C"/>
    <w:rsid w:val="00BB5FC9"/>
    <w:rsid w:val="00BC35F6"/>
    <w:rsid w:val="00BC5462"/>
    <w:rsid w:val="00BC76EB"/>
    <w:rsid w:val="00BD25AE"/>
    <w:rsid w:val="00BD3CD8"/>
    <w:rsid w:val="00BD7E9D"/>
    <w:rsid w:val="00BE56A0"/>
    <w:rsid w:val="00BE7148"/>
    <w:rsid w:val="00BF2FB3"/>
    <w:rsid w:val="00C012CF"/>
    <w:rsid w:val="00C06E47"/>
    <w:rsid w:val="00C162D1"/>
    <w:rsid w:val="00C21C68"/>
    <w:rsid w:val="00C2733D"/>
    <w:rsid w:val="00C3204C"/>
    <w:rsid w:val="00C3470C"/>
    <w:rsid w:val="00C37944"/>
    <w:rsid w:val="00C37BA8"/>
    <w:rsid w:val="00C37E2B"/>
    <w:rsid w:val="00C42DB6"/>
    <w:rsid w:val="00C4511C"/>
    <w:rsid w:val="00C455A2"/>
    <w:rsid w:val="00C559BF"/>
    <w:rsid w:val="00C6276F"/>
    <w:rsid w:val="00C66CFA"/>
    <w:rsid w:val="00C7238E"/>
    <w:rsid w:val="00C77B41"/>
    <w:rsid w:val="00C80581"/>
    <w:rsid w:val="00C83547"/>
    <w:rsid w:val="00C94335"/>
    <w:rsid w:val="00CA30E0"/>
    <w:rsid w:val="00CA33B2"/>
    <w:rsid w:val="00CA3D78"/>
    <w:rsid w:val="00CA40C3"/>
    <w:rsid w:val="00CA43C4"/>
    <w:rsid w:val="00CA6F15"/>
    <w:rsid w:val="00CA7584"/>
    <w:rsid w:val="00CB1B39"/>
    <w:rsid w:val="00CB344C"/>
    <w:rsid w:val="00CB42CE"/>
    <w:rsid w:val="00CB53E8"/>
    <w:rsid w:val="00CC7EC4"/>
    <w:rsid w:val="00CD0DDB"/>
    <w:rsid w:val="00CD1658"/>
    <w:rsid w:val="00CD642A"/>
    <w:rsid w:val="00CE1802"/>
    <w:rsid w:val="00CF003F"/>
    <w:rsid w:val="00CF0527"/>
    <w:rsid w:val="00CF4322"/>
    <w:rsid w:val="00D1706F"/>
    <w:rsid w:val="00D1776D"/>
    <w:rsid w:val="00D2075E"/>
    <w:rsid w:val="00D21D83"/>
    <w:rsid w:val="00D22503"/>
    <w:rsid w:val="00D243C5"/>
    <w:rsid w:val="00D3071D"/>
    <w:rsid w:val="00D31C51"/>
    <w:rsid w:val="00D32150"/>
    <w:rsid w:val="00D351DD"/>
    <w:rsid w:val="00D367AA"/>
    <w:rsid w:val="00D37C2C"/>
    <w:rsid w:val="00D459E0"/>
    <w:rsid w:val="00D51FA4"/>
    <w:rsid w:val="00D520A1"/>
    <w:rsid w:val="00D52B36"/>
    <w:rsid w:val="00D56629"/>
    <w:rsid w:val="00D61C4B"/>
    <w:rsid w:val="00D708CA"/>
    <w:rsid w:val="00D72F4B"/>
    <w:rsid w:val="00D849AE"/>
    <w:rsid w:val="00D86892"/>
    <w:rsid w:val="00D970CA"/>
    <w:rsid w:val="00DB3101"/>
    <w:rsid w:val="00DB6E7A"/>
    <w:rsid w:val="00DC25D3"/>
    <w:rsid w:val="00DC36F3"/>
    <w:rsid w:val="00DC6279"/>
    <w:rsid w:val="00DC765C"/>
    <w:rsid w:val="00DD3BC1"/>
    <w:rsid w:val="00DE0717"/>
    <w:rsid w:val="00DE3A1F"/>
    <w:rsid w:val="00DE655A"/>
    <w:rsid w:val="00E004C5"/>
    <w:rsid w:val="00E01E71"/>
    <w:rsid w:val="00E027AF"/>
    <w:rsid w:val="00E15CFF"/>
    <w:rsid w:val="00E230ED"/>
    <w:rsid w:val="00E23C53"/>
    <w:rsid w:val="00E32139"/>
    <w:rsid w:val="00E375A5"/>
    <w:rsid w:val="00E44FD4"/>
    <w:rsid w:val="00E458EE"/>
    <w:rsid w:val="00E462EF"/>
    <w:rsid w:val="00E509A0"/>
    <w:rsid w:val="00E6505A"/>
    <w:rsid w:val="00E6524B"/>
    <w:rsid w:val="00E66BA4"/>
    <w:rsid w:val="00E708B1"/>
    <w:rsid w:val="00E72DC6"/>
    <w:rsid w:val="00E745BB"/>
    <w:rsid w:val="00E747A4"/>
    <w:rsid w:val="00E7675B"/>
    <w:rsid w:val="00E8312D"/>
    <w:rsid w:val="00E87016"/>
    <w:rsid w:val="00E87758"/>
    <w:rsid w:val="00E907A4"/>
    <w:rsid w:val="00E9738E"/>
    <w:rsid w:val="00EA16F9"/>
    <w:rsid w:val="00EA2DDC"/>
    <w:rsid w:val="00EA3666"/>
    <w:rsid w:val="00EA677D"/>
    <w:rsid w:val="00EA6829"/>
    <w:rsid w:val="00EA76C2"/>
    <w:rsid w:val="00EA7E58"/>
    <w:rsid w:val="00EB4A53"/>
    <w:rsid w:val="00EB51BC"/>
    <w:rsid w:val="00EC0C59"/>
    <w:rsid w:val="00EC25F5"/>
    <w:rsid w:val="00EC2F21"/>
    <w:rsid w:val="00EC47F6"/>
    <w:rsid w:val="00EC4B5F"/>
    <w:rsid w:val="00ED1D5E"/>
    <w:rsid w:val="00ED6613"/>
    <w:rsid w:val="00EE2764"/>
    <w:rsid w:val="00EF22BD"/>
    <w:rsid w:val="00EF4CD5"/>
    <w:rsid w:val="00EF54F0"/>
    <w:rsid w:val="00F01B91"/>
    <w:rsid w:val="00F04716"/>
    <w:rsid w:val="00F0576D"/>
    <w:rsid w:val="00F108ED"/>
    <w:rsid w:val="00F11A0D"/>
    <w:rsid w:val="00F12F9F"/>
    <w:rsid w:val="00F227A4"/>
    <w:rsid w:val="00F247DD"/>
    <w:rsid w:val="00F328DA"/>
    <w:rsid w:val="00F35271"/>
    <w:rsid w:val="00F35580"/>
    <w:rsid w:val="00F37461"/>
    <w:rsid w:val="00F502A9"/>
    <w:rsid w:val="00F52853"/>
    <w:rsid w:val="00F61711"/>
    <w:rsid w:val="00F61A88"/>
    <w:rsid w:val="00F754A3"/>
    <w:rsid w:val="00F925B9"/>
    <w:rsid w:val="00F93C62"/>
    <w:rsid w:val="00FA6F53"/>
    <w:rsid w:val="00FA7196"/>
    <w:rsid w:val="00FB030F"/>
    <w:rsid w:val="00FB18F2"/>
    <w:rsid w:val="00FB3B46"/>
    <w:rsid w:val="00FC0375"/>
    <w:rsid w:val="00FC2072"/>
    <w:rsid w:val="00FD2F20"/>
    <w:rsid w:val="00FD368E"/>
    <w:rsid w:val="00FD5317"/>
    <w:rsid w:val="00FD5631"/>
    <w:rsid w:val="00FD6BF4"/>
    <w:rsid w:val="00FD7A80"/>
    <w:rsid w:val="00FE2339"/>
    <w:rsid w:val="00FE5C69"/>
    <w:rsid w:val="00FF20B0"/>
    <w:rsid w:val="00FF5304"/>
    <w:rsid w:val="00FF7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ECDD0"/>
  <w15:docId w15:val="{63C6395B-EC5F-4841-89EE-5D33C3EA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CAB - List Bullet,List Bullet Cab,Recommendation,L,Bullet Point,Bullet point,Bullet points,Content descriptions,List Paragraph1,List Paragraph11,NFP GP Bulleted List,FooterText,numbered,Paragraphe de liste1,Bulletr List Paragraph,列出段落,l"/>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5F41C9"/>
    <w:rPr>
      <w:sz w:val="16"/>
      <w:szCs w:val="16"/>
    </w:rPr>
  </w:style>
  <w:style w:type="paragraph" w:styleId="CommentText">
    <w:name w:val="annotation text"/>
    <w:basedOn w:val="Normal"/>
    <w:link w:val="CommentTextChar"/>
    <w:uiPriority w:val="99"/>
    <w:unhideWhenUsed/>
    <w:rsid w:val="005F41C9"/>
    <w:rPr>
      <w:sz w:val="20"/>
    </w:rPr>
  </w:style>
  <w:style w:type="character" w:customStyle="1" w:styleId="CommentTextChar">
    <w:name w:val="Comment Text Char"/>
    <w:basedOn w:val="DefaultParagraphFont"/>
    <w:link w:val="CommentText"/>
    <w:uiPriority w:val="99"/>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subsection">
    <w:name w:val="subsection"/>
    <w:aliases w:val="ss,Subsection"/>
    <w:basedOn w:val="Normal"/>
    <w:link w:val="subsectionChar"/>
    <w:rsid w:val="00F11A0D"/>
    <w:pPr>
      <w:tabs>
        <w:tab w:val="right" w:pos="1021"/>
      </w:tabs>
      <w:spacing w:before="180"/>
      <w:ind w:left="1134" w:hanging="1134"/>
    </w:pPr>
    <w:rPr>
      <w:sz w:val="22"/>
    </w:rPr>
  </w:style>
  <w:style w:type="paragraph" w:customStyle="1" w:styleId="Definition">
    <w:name w:val="Definition"/>
    <w:aliases w:val="dd"/>
    <w:basedOn w:val="Normal"/>
    <w:rsid w:val="00F11A0D"/>
    <w:pPr>
      <w:spacing w:before="180"/>
      <w:ind w:left="1134"/>
    </w:pPr>
    <w:rPr>
      <w:sz w:val="22"/>
    </w:rPr>
  </w:style>
  <w:style w:type="character" w:customStyle="1" w:styleId="subsectionChar">
    <w:name w:val="subsection Char"/>
    <w:aliases w:val="ss Char"/>
    <w:basedOn w:val="DefaultParagraphFont"/>
    <w:link w:val="subsection"/>
    <w:locked/>
    <w:rsid w:val="00F11A0D"/>
    <w:rPr>
      <w:rFonts w:ascii="Times New Roman" w:eastAsia="Times New Roman" w:hAnsi="Times New Roman" w:cs="Times New Roman"/>
      <w:szCs w:val="20"/>
      <w:lang w:eastAsia="en-AU"/>
    </w:rPr>
  </w:style>
  <w:style w:type="paragraph" w:styleId="Revision">
    <w:name w:val="Revision"/>
    <w:hidden/>
    <w:uiPriority w:val="99"/>
    <w:semiHidden/>
    <w:rsid w:val="0026381C"/>
    <w:pPr>
      <w:spacing w:after="0" w:line="240" w:lineRule="auto"/>
    </w:pPr>
    <w:rPr>
      <w:rFonts w:ascii="Times New Roman" w:eastAsia="Times New Roman" w:hAnsi="Times New Roman" w:cs="Times New Roman"/>
      <w:sz w:val="24"/>
      <w:szCs w:val="20"/>
      <w:lang w:eastAsia="en-AU"/>
    </w:rPr>
  </w:style>
  <w:style w:type="character" w:customStyle="1" w:styleId="ListParagraphChar">
    <w:name w:val="List Paragraph Char"/>
    <w:aliases w:val="CAB - List Bullet Char,List Bullet Cab Char,Recommendation Char,L Char,Bullet Point Char,Bullet point Char,Bullet points Char,Content descriptions Char,List Paragraph1 Char,List Paragraph11 Char,NFP GP Bulleted List Char,列出段落 Char"/>
    <w:link w:val="ListParagraph"/>
    <w:uiPriority w:val="34"/>
    <w:qFormat/>
    <w:locked/>
    <w:rsid w:val="0023207B"/>
    <w:rPr>
      <w:rFonts w:ascii="Times New Roman" w:eastAsia="Times New Roman" w:hAnsi="Times New Roman" w:cs="Times New Roman"/>
      <w:sz w:val="24"/>
      <w:szCs w:val="20"/>
      <w:lang w:eastAsia="en-AU"/>
    </w:rPr>
  </w:style>
  <w:style w:type="paragraph" w:customStyle="1" w:styleId="Numbered">
    <w:name w:val="Numbered"/>
    <w:basedOn w:val="Header"/>
    <w:rsid w:val="00667075"/>
    <w:pPr>
      <w:tabs>
        <w:tab w:val="clear" w:pos="4513"/>
        <w:tab w:val="clear" w:pos="9026"/>
        <w:tab w:val="num" w:pos="0"/>
      </w:tabs>
      <w:spacing w:after="240"/>
    </w:pPr>
    <w:rPr>
      <w:lang w:val="en-US" w:eastAsia="en-US"/>
    </w:rPr>
  </w:style>
  <w:style w:type="character" w:customStyle="1" w:styleId="ui-provider">
    <w:name w:val="ui-provider"/>
    <w:basedOn w:val="DefaultParagraphFont"/>
    <w:rsid w:val="00D17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95788">
      <w:bodyDiv w:val="1"/>
      <w:marLeft w:val="0"/>
      <w:marRight w:val="0"/>
      <w:marTop w:val="0"/>
      <w:marBottom w:val="0"/>
      <w:divBdr>
        <w:top w:val="none" w:sz="0" w:space="0" w:color="auto"/>
        <w:left w:val="none" w:sz="0" w:space="0" w:color="auto"/>
        <w:bottom w:val="none" w:sz="0" w:space="0" w:color="auto"/>
        <w:right w:val="none" w:sz="0" w:space="0" w:color="auto"/>
      </w:divBdr>
    </w:div>
    <w:div w:id="129906669">
      <w:bodyDiv w:val="1"/>
      <w:marLeft w:val="0"/>
      <w:marRight w:val="0"/>
      <w:marTop w:val="0"/>
      <w:marBottom w:val="0"/>
      <w:divBdr>
        <w:top w:val="none" w:sz="0" w:space="0" w:color="auto"/>
        <w:left w:val="none" w:sz="0" w:space="0" w:color="auto"/>
        <w:bottom w:val="none" w:sz="0" w:space="0" w:color="auto"/>
        <w:right w:val="none" w:sz="0" w:space="0" w:color="auto"/>
      </w:divBdr>
    </w:div>
    <w:div w:id="306279459">
      <w:bodyDiv w:val="1"/>
      <w:marLeft w:val="0"/>
      <w:marRight w:val="0"/>
      <w:marTop w:val="0"/>
      <w:marBottom w:val="0"/>
      <w:divBdr>
        <w:top w:val="none" w:sz="0" w:space="0" w:color="auto"/>
        <w:left w:val="none" w:sz="0" w:space="0" w:color="auto"/>
        <w:bottom w:val="none" w:sz="0" w:space="0" w:color="auto"/>
        <w:right w:val="none" w:sz="0" w:space="0" w:color="auto"/>
      </w:divBdr>
    </w:div>
    <w:div w:id="313146371">
      <w:bodyDiv w:val="1"/>
      <w:marLeft w:val="0"/>
      <w:marRight w:val="0"/>
      <w:marTop w:val="0"/>
      <w:marBottom w:val="0"/>
      <w:divBdr>
        <w:top w:val="none" w:sz="0" w:space="0" w:color="auto"/>
        <w:left w:val="none" w:sz="0" w:space="0" w:color="auto"/>
        <w:bottom w:val="none" w:sz="0" w:space="0" w:color="auto"/>
        <w:right w:val="none" w:sz="0" w:space="0" w:color="auto"/>
      </w:divBdr>
    </w:div>
    <w:div w:id="395981643">
      <w:bodyDiv w:val="1"/>
      <w:marLeft w:val="0"/>
      <w:marRight w:val="0"/>
      <w:marTop w:val="0"/>
      <w:marBottom w:val="0"/>
      <w:divBdr>
        <w:top w:val="none" w:sz="0" w:space="0" w:color="auto"/>
        <w:left w:val="none" w:sz="0" w:space="0" w:color="auto"/>
        <w:bottom w:val="none" w:sz="0" w:space="0" w:color="auto"/>
        <w:right w:val="none" w:sz="0" w:space="0" w:color="auto"/>
      </w:divBdr>
    </w:div>
    <w:div w:id="589824366">
      <w:bodyDiv w:val="1"/>
      <w:marLeft w:val="0"/>
      <w:marRight w:val="0"/>
      <w:marTop w:val="0"/>
      <w:marBottom w:val="0"/>
      <w:divBdr>
        <w:top w:val="none" w:sz="0" w:space="0" w:color="auto"/>
        <w:left w:val="none" w:sz="0" w:space="0" w:color="auto"/>
        <w:bottom w:val="none" w:sz="0" w:space="0" w:color="auto"/>
        <w:right w:val="none" w:sz="0" w:space="0" w:color="auto"/>
      </w:divBdr>
      <w:divsChild>
        <w:div w:id="1874532471">
          <w:marLeft w:val="0"/>
          <w:marRight w:val="0"/>
          <w:marTop w:val="0"/>
          <w:marBottom w:val="0"/>
          <w:divBdr>
            <w:top w:val="none" w:sz="0" w:space="0" w:color="auto"/>
            <w:left w:val="none" w:sz="0" w:space="0" w:color="auto"/>
            <w:bottom w:val="none" w:sz="0" w:space="0" w:color="auto"/>
            <w:right w:val="none" w:sz="0" w:space="0" w:color="auto"/>
          </w:divBdr>
          <w:divsChild>
            <w:div w:id="1395153522">
              <w:marLeft w:val="0"/>
              <w:marRight w:val="0"/>
              <w:marTop w:val="0"/>
              <w:marBottom w:val="0"/>
              <w:divBdr>
                <w:top w:val="none" w:sz="0" w:space="0" w:color="auto"/>
                <w:left w:val="none" w:sz="0" w:space="0" w:color="auto"/>
                <w:bottom w:val="none" w:sz="0" w:space="0" w:color="auto"/>
                <w:right w:val="none" w:sz="0" w:space="0" w:color="auto"/>
              </w:divBdr>
              <w:divsChild>
                <w:div w:id="1532455929">
                  <w:marLeft w:val="0"/>
                  <w:marRight w:val="0"/>
                  <w:marTop w:val="0"/>
                  <w:marBottom w:val="0"/>
                  <w:divBdr>
                    <w:top w:val="none" w:sz="0" w:space="0" w:color="auto"/>
                    <w:left w:val="none" w:sz="0" w:space="0" w:color="auto"/>
                    <w:bottom w:val="none" w:sz="0" w:space="0" w:color="auto"/>
                    <w:right w:val="none" w:sz="0" w:space="0" w:color="auto"/>
                  </w:divBdr>
                  <w:divsChild>
                    <w:div w:id="1844978142">
                      <w:marLeft w:val="0"/>
                      <w:marRight w:val="0"/>
                      <w:marTop w:val="0"/>
                      <w:marBottom w:val="0"/>
                      <w:divBdr>
                        <w:top w:val="none" w:sz="0" w:space="0" w:color="auto"/>
                        <w:left w:val="none" w:sz="0" w:space="0" w:color="auto"/>
                        <w:bottom w:val="none" w:sz="0" w:space="0" w:color="auto"/>
                        <w:right w:val="none" w:sz="0" w:space="0" w:color="auto"/>
                      </w:divBdr>
                      <w:divsChild>
                        <w:div w:id="1700012678">
                          <w:marLeft w:val="0"/>
                          <w:marRight w:val="0"/>
                          <w:marTop w:val="0"/>
                          <w:marBottom w:val="0"/>
                          <w:divBdr>
                            <w:top w:val="none" w:sz="0" w:space="0" w:color="auto"/>
                            <w:left w:val="none" w:sz="0" w:space="0" w:color="auto"/>
                            <w:bottom w:val="none" w:sz="0" w:space="0" w:color="auto"/>
                            <w:right w:val="none" w:sz="0" w:space="0" w:color="auto"/>
                          </w:divBdr>
                          <w:divsChild>
                            <w:div w:id="1876312792">
                              <w:marLeft w:val="0"/>
                              <w:marRight w:val="0"/>
                              <w:marTop w:val="0"/>
                              <w:marBottom w:val="0"/>
                              <w:divBdr>
                                <w:top w:val="none" w:sz="0" w:space="0" w:color="auto"/>
                                <w:left w:val="none" w:sz="0" w:space="0" w:color="auto"/>
                                <w:bottom w:val="none" w:sz="0" w:space="0" w:color="auto"/>
                                <w:right w:val="none" w:sz="0" w:space="0" w:color="auto"/>
                              </w:divBdr>
                              <w:divsChild>
                                <w:div w:id="1858275245">
                                  <w:marLeft w:val="0"/>
                                  <w:marRight w:val="0"/>
                                  <w:marTop w:val="0"/>
                                  <w:marBottom w:val="0"/>
                                  <w:divBdr>
                                    <w:top w:val="none" w:sz="0" w:space="0" w:color="auto"/>
                                    <w:left w:val="none" w:sz="0" w:space="0" w:color="auto"/>
                                    <w:bottom w:val="none" w:sz="0" w:space="0" w:color="auto"/>
                                    <w:right w:val="none" w:sz="0" w:space="0" w:color="auto"/>
                                  </w:divBdr>
                                  <w:divsChild>
                                    <w:div w:id="53523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3993685">
      <w:bodyDiv w:val="1"/>
      <w:marLeft w:val="0"/>
      <w:marRight w:val="0"/>
      <w:marTop w:val="0"/>
      <w:marBottom w:val="0"/>
      <w:divBdr>
        <w:top w:val="none" w:sz="0" w:space="0" w:color="auto"/>
        <w:left w:val="none" w:sz="0" w:space="0" w:color="auto"/>
        <w:bottom w:val="none" w:sz="0" w:space="0" w:color="auto"/>
        <w:right w:val="none" w:sz="0" w:space="0" w:color="auto"/>
      </w:divBdr>
    </w:div>
    <w:div w:id="908998379">
      <w:bodyDiv w:val="1"/>
      <w:marLeft w:val="0"/>
      <w:marRight w:val="0"/>
      <w:marTop w:val="0"/>
      <w:marBottom w:val="0"/>
      <w:divBdr>
        <w:top w:val="none" w:sz="0" w:space="0" w:color="auto"/>
        <w:left w:val="none" w:sz="0" w:space="0" w:color="auto"/>
        <w:bottom w:val="none" w:sz="0" w:space="0" w:color="auto"/>
        <w:right w:val="none" w:sz="0" w:space="0" w:color="auto"/>
      </w:divBdr>
    </w:div>
    <w:div w:id="972101126">
      <w:bodyDiv w:val="1"/>
      <w:marLeft w:val="0"/>
      <w:marRight w:val="0"/>
      <w:marTop w:val="0"/>
      <w:marBottom w:val="0"/>
      <w:divBdr>
        <w:top w:val="none" w:sz="0" w:space="0" w:color="auto"/>
        <w:left w:val="none" w:sz="0" w:space="0" w:color="auto"/>
        <w:bottom w:val="none" w:sz="0" w:space="0" w:color="auto"/>
        <w:right w:val="none" w:sz="0" w:space="0" w:color="auto"/>
      </w:divBdr>
    </w:div>
    <w:div w:id="980430148">
      <w:bodyDiv w:val="1"/>
      <w:marLeft w:val="0"/>
      <w:marRight w:val="0"/>
      <w:marTop w:val="0"/>
      <w:marBottom w:val="0"/>
      <w:divBdr>
        <w:top w:val="none" w:sz="0" w:space="0" w:color="auto"/>
        <w:left w:val="none" w:sz="0" w:space="0" w:color="auto"/>
        <w:bottom w:val="none" w:sz="0" w:space="0" w:color="auto"/>
        <w:right w:val="none" w:sz="0" w:space="0" w:color="auto"/>
      </w:divBdr>
    </w:div>
    <w:div w:id="1064374185">
      <w:bodyDiv w:val="1"/>
      <w:marLeft w:val="0"/>
      <w:marRight w:val="0"/>
      <w:marTop w:val="0"/>
      <w:marBottom w:val="0"/>
      <w:divBdr>
        <w:top w:val="none" w:sz="0" w:space="0" w:color="auto"/>
        <w:left w:val="none" w:sz="0" w:space="0" w:color="auto"/>
        <w:bottom w:val="none" w:sz="0" w:space="0" w:color="auto"/>
        <w:right w:val="none" w:sz="0" w:space="0" w:color="auto"/>
      </w:divBdr>
    </w:div>
    <w:div w:id="1196430024">
      <w:bodyDiv w:val="1"/>
      <w:marLeft w:val="0"/>
      <w:marRight w:val="0"/>
      <w:marTop w:val="0"/>
      <w:marBottom w:val="0"/>
      <w:divBdr>
        <w:top w:val="none" w:sz="0" w:space="0" w:color="auto"/>
        <w:left w:val="none" w:sz="0" w:space="0" w:color="auto"/>
        <w:bottom w:val="none" w:sz="0" w:space="0" w:color="auto"/>
        <w:right w:val="none" w:sz="0" w:space="0" w:color="auto"/>
      </w:divBdr>
    </w:div>
    <w:div w:id="1338774204">
      <w:bodyDiv w:val="1"/>
      <w:marLeft w:val="0"/>
      <w:marRight w:val="0"/>
      <w:marTop w:val="0"/>
      <w:marBottom w:val="0"/>
      <w:divBdr>
        <w:top w:val="none" w:sz="0" w:space="0" w:color="auto"/>
        <w:left w:val="none" w:sz="0" w:space="0" w:color="auto"/>
        <w:bottom w:val="none" w:sz="0" w:space="0" w:color="auto"/>
        <w:right w:val="none" w:sz="0" w:space="0" w:color="auto"/>
      </w:divBdr>
    </w:div>
    <w:div w:id="1425110813">
      <w:bodyDiv w:val="1"/>
      <w:marLeft w:val="0"/>
      <w:marRight w:val="0"/>
      <w:marTop w:val="0"/>
      <w:marBottom w:val="0"/>
      <w:divBdr>
        <w:top w:val="none" w:sz="0" w:space="0" w:color="auto"/>
        <w:left w:val="none" w:sz="0" w:space="0" w:color="auto"/>
        <w:bottom w:val="none" w:sz="0" w:space="0" w:color="auto"/>
        <w:right w:val="none" w:sz="0" w:space="0" w:color="auto"/>
      </w:divBdr>
    </w:div>
    <w:div w:id="1568876543">
      <w:bodyDiv w:val="1"/>
      <w:marLeft w:val="0"/>
      <w:marRight w:val="0"/>
      <w:marTop w:val="0"/>
      <w:marBottom w:val="0"/>
      <w:divBdr>
        <w:top w:val="none" w:sz="0" w:space="0" w:color="auto"/>
        <w:left w:val="none" w:sz="0" w:space="0" w:color="auto"/>
        <w:bottom w:val="none" w:sz="0" w:space="0" w:color="auto"/>
        <w:right w:val="none" w:sz="0" w:space="0" w:color="auto"/>
      </w:divBdr>
    </w:div>
    <w:div w:id="1606956463">
      <w:bodyDiv w:val="1"/>
      <w:marLeft w:val="0"/>
      <w:marRight w:val="0"/>
      <w:marTop w:val="0"/>
      <w:marBottom w:val="0"/>
      <w:divBdr>
        <w:top w:val="none" w:sz="0" w:space="0" w:color="auto"/>
        <w:left w:val="none" w:sz="0" w:space="0" w:color="auto"/>
        <w:bottom w:val="none" w:sz="0" w:space="0" w:color="auto"/>
        <w:right w:val="none" w:sz="0" w:space="0" w:color="auto"/>
      </w:divBdr>
    </w:div>
    <w:div w:id="1616137109">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829861287">
      <w:bodyDiv w:val="1"/>
      <w:marLeft w:val="0"/>
      <w:marRight w:val="0"/>
      <w:marTop w:val="0"/>
      <w:marBottom w:val="0"/>
      <w:divBdr>
        <w:top w:val="none" w:sz="0" w:space="0" w:color="auto"/>
        <w:left w:val="none" w:sz="0" w:space="0" w:color="auto"/>
        <w:bottom w:val="none" w:sz="0" w:space="0" w:color="auto"/>
        <w:right w:val="none" w:sz="0" w:space="0" w:color="auto"/>
      </w:divBdr>
      <w:divsChild>
        <w:div w:id="1659578023">
          <w:marLeft w:val="0"/>
          <w:marRight w:val="0"/>
          <w:marTop w:val="0"/>
          <w:marBottom w:val="0"/>
          <w:divBdr>
            <w:top w:val="none" w:sz="0" w:space="0" w:color="auto"/>
            <w:left w:val="none" w:sz="0" w:space="0" w:color="auto"/>
            <w:bottom w:val="none" w:sz="0" w:space="0" w:color="auto"/>
            <w:right w:val="none" w:sz="0" w:space="0" w:color="auto"/>
          </w:divBdr>
          <w:divsChild>
            <w:div w:id="2115133292">
              <w:marLeft w:val="0"/>
              <w:marRight w:val="0"/>
              <w:marTop w:val="0"/>
              <w:marBottom w:val="0"/>
              <w:divBdr>
                <w:top w:val="none" w:sz="0" w:space="0" w:color="auto"/>
                <w:left w:val="none" w:sz="0" w:space="0" w:color="auto"/>
                <w:bottom w:val="none" w:sz="0" w:space="0" w:color="auto"/>
                <w:right w:val="none" w:sz="0" w:space="0" w:color="auto"/>
              </w:divBdr>
              <w:divsChild>
                <w:div w:id="1392001275">
                  <w:marLeft w:val="0"/>
                  <w:marRight w:val="0"/>
                  <w:marTop w:val="0"/>
                  <w:marBottom w:val="0"/>
                  <w:divBdr>
                    <w:top w:val="none" w:sz="0" w:space="0" w:color="auto"/>
                    <w:left w:val="none" w:sz="0" w:space="0" w:color="auto"/>
                    <w:bottom w:val="none" w:sz="0" w:space="0" w:color="auto"/>
                    <w:right w:val="none" w:sz="0" w:space="0" w:color="auto"/>
                  </w:divBdr>
                  <w:divsChild>
                    <w:div w:id="1089621723">
                      <w:marLeft w:val="0"/>
                      <w:marRight w:val="0"/>
                      <w:marTop w:val="0"/>
                      <w:marBottom w:val="0"/>
                      <w:divBdr>
                        <w:top w:val="none" w:sz="0" w:space="0" w:color="auto"/>
                        <w:left w:val="none" w:sz="0" w:space="0" w:color="auto"/>
                        <w:bottom w:val="none" w:sz="0" w:space="0" w:color="auto"/>
                        <w:right w:val="none" w:sz="0" w:space="0" w:color="auto"/>
                      </w:divBdr>
                      <w:divsChild>
                        <w:div w:id="1386103004">
                          <w:marLeft w:val="0"/>
                          <w:marRight w:val="0"/>
                          <w:marTop w:val="0"/>
                          <w:marBottom w:val="0"/>
                          <w:divBdr>
                            <w:top w:val="none" w:sz="0" w:space="0" w:color="auto"/>
                            <w:left w:val="none" w:sz="0" w:space="0" w:color="auto"/>
                            <w:bottom w:val="none" w:sz="0" w:space="0" w:color="auto"/>
                            <w:right w:val="none" w:sz="0" w:space="0" w:color="auto"/>
                          </w:divBdr>
                          <w:divsChild>
                            <w:div w:id="1679186248">
                              <w:marLeft w:val="0"/>
                              <w:marRight w:val="0"/>
                              <w:marTop w:val="0"/>
                              <w:marBottom w:val="0"/>
                              <w:divBdr>
                                <w:top w:val="none" w:sz="0" w:space="0" w:color="auto"/>
                                <w:left w:val="none" w:sz="0" w:space="0" w:color="auto"/>
                                <w:bottom w:val="none" w:sz="0" w:space="0" w:color="auto"/>
                                <w:right w:val="none" w:sz="0" w:space="0" w:color="auto"/>
                              </w:divBdr>
                              <w:divsChild>
                                <w:div w:id="28654549">
                                  <w:marLeft w:val="0"/>
                                  <w:marRight w:val="0"/>
                                  <w:marTop w:val="0"/>
                                  <w:marBottom w:val="0"/>
                                  <w:divBdr>
                                    <w:top w:val="none" w:sz="0" w:space="0" w:color="auto"/>
                                    <w:left w:val="none" w:sz="0" w:space="0" w:color="auto"/>
                                    <w:bottom w:val="none" w:sz="0" w:space="0" w:color="auto"/>
                                    <w:right w:val="none" w:sz="0" w:space="0" w:color="auto"/>
                                  </w:divBdr>
                                  <w:divsChild>
                                    <w:div w:id="1517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174892">
      <w:bodyDiv w:val="1"/>
      <w:marLeft w:val="0"/>
      <w:marRight w:val="0"/>
      <w:marTop w:val="0"/>
      <w:marBottom w:val="0"/>
      <w:divBdr>
        <w:top w:val="none" w:sz="0" w:space="0" w:color="auto"/>
        <w:left w:val="none" w:sz="0" w:space="0" w:color="auto"/>
        <w:bottom w:val="none" w:sz="0" w:space="0" w:color="auto"/>
        <w:right w:val="none" w:sz="0" w:space="0" w:color="auto"/>
      </w:divBdr>
    </w:div>
    <w:div w:id="2002191488">
      <w:bodyDiv w:val="1"/>
      <w:marLeft w:val="0"/>
      <w:marRight w:val="0"/>
      <w:marTop w:val="0"/>
      <w:marBottom w:val="0"/>
      <w:divBdr>
        <w:top w:val="none" w:sz="0" w:space="0" w:color="auto"/>
        <w:left w:val="none" w:sz="0" w:space="0" w:color="auto"/>
        <w:bottom w:val="none" w:sz="0" w:space="0" w:color="auto"/>
        <w:right w:val="none" w:sz="0" w:space="0" w:color="auto"/>
      </w:divBdr>
    </w:div>
    <w:div w:id="2057964944">
      <w:bodyDiv w:val="1"/>
      <w:marLeft w:val="0"/>
      <w:marRight w:val="0"/>
      <w:marTop w:val="0"/>
      <w:marBottom w:val="0"/>
      <w:divBdr>
        <w:top w:val="none" w:sz="0" w:space="0" w:color="auto"/>
        <w:left w:val="none" w:sz="0" w:space="0" w:color="auto"/>
        <w:bottom w:val="none" w:sz="0" w:space="0" w:color="auto"/>
        <w:right w:val="none" w:sz="0" w:space="0" w:color="auto"/>
      </w:divBdr>
    </w:div>
    <w:div w:id="208136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ia.pmc.gov.au/published-impact-analyses-and-reports/abolish-cashless-debit-car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0D889B5652CE54DAFD20077A9DAE834" ma:contentTypeVersion="" ma:contentTypeDescription="PDMS Document Site Content Type" ma:contentTypeScope="" ma:versionID="9e4b518604e796a8b04bf7bde356ca8f">
  <xsd:schema xmlns:xsd="http://www.w3.org/2001/XMLSchema" xmlns:xs="http://www.w3.org/2001/XMLSchema" xmlns:p="http://schemas.microsoft.com/office/2006/metadata/properties" xmlns:ns2="2C99728F-BA3C-4C88-AD8C-C633AD7FD5AB" targetNamespace="http://schemas.microsoft.com/office/2006/metadata/properties" ma:root="true" ma:fieldsID="edd4928a086496aef03b07f73e1bcd9b" ns2:_="">
    <xsd:import namespace="2C99728F-BA3C-4C88-AD8C-C633AD7FD5A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9728F-BA3C-4C88-AD8C-C633AD7FD5A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C99728F-BA3C-4C88-AD8C-C633AD7FD5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B1533-409A-481E-8435-082B067FA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9728F-BA3C-4C88-AD8C-C633AD7FD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929BAB-B55E-48CF-BEB3-9BE54963DC26}">
  <ds:schemaRefs>
    <ds:schemaRef ds:uri="http://schemas.microsoft.com/office/2006/metadata/properties"/>
    <ds:schemaRef ds:uri="http://schemas.microsoft.com/office/infopath/2007/PartnerControls"/>
    <ds:schemaRef ds:uri="2C99728F-BA3C-4C88-AD8C-C633AD7FD5AB"/>
  </ds:schemaRefs>
</ds:datastoreItem>
</file>

<file path=customXml/itemProps3.xml><?xml version="1.0" encoding="utf-8"?>
<ds:datastoreItem xmlns:ds="http://schemas.openxmlformats.org/officeDocument/2006/customXml" ds:itemID="{3540BEF7-EAAB-4741-B0CA-FD8A94818C70}">
  <ds:schemaRefs>
    <ds:schemaRef ds:uri="http://schemas.microsoft.com/sharepoint/v3/contenttype/forms"/>
  </ds:schemaRefs>
</ds:datastoreItem>
</file>

<file path=customXml/itemProps4.xml><?xml version="1.0" encoding="utf-8"?>
<ds:datastoreItem xmlns:ds="http://schemas.openxmlformats.org/officeDocument/2006/customXml" ds:itemID="{64C985F1-B001-4537-9B32-E789976F0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3068</Words>
  <Characters>17322</Characters>
  <Application>Microsoft Office Word</Application>
  <DocSecurity>0</DocSecurity>
  <Lines>357</Lines>
  <Paragraphs>99</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20331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Duncan</dc:creator>
  <cp:keywords>[SEC=OFFICIAL]</cp:keywords>
  <cp:lastModifiedBy>BROWN, Caitlin</cp:lastModifiedBy>
  <cp:revision>4</cp:revision>
  <cp:lastPrinted>2022-12-13T01:45:00Z</cp:lastPrinted>
  <dcterms:created xsi:type="dcterms:W3CDTF">2023-09-01T01:46:00Z</dcterms:created>
  <dcterms:modified xsi:type="dcterms:W3CDTF">2023-09-01T01:54:00Z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0x010100266966F133664895A6EE3632470D45F50050D889B5652CE54DAFD20077A9DAE834</vt:lpwstr>
  </property>
  <property fmtid="{D5CDD505-2E9C-101B-9397-08002B2CF9AE}" pid="3" name="PM_Caveats_Count">
    <vt:lpwstr>0</vt:lpwstr>
  </property>
  <property fmtid="{D5CDD505-2E9C-101B-9397-08002B2CF9AE}" pid="4" name="PM_Display">
    <vt:lpwstr>OFFICIAL</vt:lpwstr>
  </property>
  <property fmtid="{D5CDD505-2E9C-101B-9397-08002B2CF9AE}" pid="5" name="PM_DisplayValueSecClassificationWithQualifier">
    <vt:lpwstr>OFFICIAL</vt:lpwstr>
  </property>
  <property fmtid="{D5CDD505-2E9C-101B-9397-08002B2CF9AE}" pid="6" name="PM_Hash_SHA1">
    <vt:lpwstr>053B662A3F66C18C742C4A0ECC2E3DC29A3D9DF3</vt:lpwstr>
  </property>
  <property fmtid="{D5CDD505-2E9C-101B-9397-08002B2CF9AE}" pid="7" name="PM_Hash_Salt">
    <vt:lpwstr>E73987BA4F48CE86073D4BB050651D2C</vt:lpwstr>
  </property>
  <property fmtid="{D5CDD505-2E9C-101B-9397-08002B2CF9AE}" pid="8" name="PM_Hash_Salt_Prev">
    <vt:lpwstr>E3CC1000CA8EA0E3E2D85318F93F5C24</vt:lpwstr>
  </property>
  <property fmtid="{D5CDD505-2E9C-101B-9397-08002B2CF9AE}" pid="9" name="PM_Hash_Version">
    <vt:lpwstr>2018.0</vt:lpwstr>
  </property>
  <property fmtid="{D5CDD505-2E9C-101B-9397-08002B2CF9AE}" pid="10" name="PM_InsertionValue">
    <vt:lpwstr>OFFICIAL</vt:lpwstr>
  </property>
  <property fmtid="{D5CDD505-2E9C-101B-9397-08002B2CF9AE}" pid="11" name="PM_Markers">
    <vt:lpwstr/>
  </property>
  <property fmtid="{D5CDD505-2E9C-101B-9397-08002B2CF9AE}" pid="12" name="PM_MinimumSecurityClassification">
    <vt:lpwstr/>
  </property>
  <property fmtid="{D5CDD505-2E9C-101B-9397-08002B2CF9AE}" pid="13" name="PM_Namespace">
    <vt:lpwstr>gov.au</vt:lpwstr>
  </property>
  <property fmtid="{D5CDD505-2E9C-101B-9397-08002B2CF9AE}" pid="14" name="PM_Note">
    <vt:lpwstr/>
  </property>
  <property fmtid="{D5CDD505-2E9C-101B-9397-08002B2CF9AE}" pid="15" name="PM_Originating_FileId">
    <vt:lpwstr>7E94FB5F865A4394875C187E12851851</vt:lpwstr>
  </property>
  <property fmtid="{D5CDD505-2E9C-101B-9397-08002B2CF9AE}" pid="16" name="PM_OriginationTimeStamp">
    <vt:lpwstr>2023-09-01T01:54:40Z</vt:lpwstr>
  </property>
  <property fmtid="{D5CDD505-2E9C-101B-9397-08002B2CF9AE}" pid="17" name="PM_OriginatorDomainName_SHA256">
    <vt:lpwstr>E83A2A66C4061446A7E3732E8D44762184B6B377D962B96C83DC624302585857</vt:lpwstr>
  </property>
  <property fmtid="{D5CDD505-2E9C-101B-9397-08002B2CF9AE}" pid="18" name="PM_OriginatorUserAccountName_SHA256">
    <vt:lpwstr>6822F99E6DE5605CCC28832AE3BE61F7B9BB21FD77E47A7F68E0ECE52B8112AE</vt:lpwstr>
  </property>
  <property fmtid="{D5CDD505-2E9C-101B-9397-08002B2CF9AE}" pid="19" name="PM_Originator_Hash_SHA1">
    <vt:lpwstr>3FCA0F279EA2CE1590F710F4D9986086E3F3B88E</vt:lpwstr>
  </property>
  <property fmtid="{D5CDD505-2E9C-101B-9397-08002B2CF9AE}" pid="20" name="PM_ProtectiveMarkingImage_Footer">
    <vt:lpwstr>C:\Program Files (x86)\Common Files\janusNET Shared\janusSEAL\Images\DocumentSlashBlue.png</vt:lpwstr>
  </property>
  <property fmtid="{D5CDD505-2E9C-101B-9397-08002B2CF9AE}" pid="21" name="PM_ProtectiveMarkingImage_Header">
    <vt:lpwstr>C:\Program Files (x86)\Common Files\janusNET Shared\janusSEAL\Images\DocumentSlashBlue.png</vt:lpwstr>
  </property>
  <property fmtid="{D5CDD505-2E9C-101B-9397-08002B2CF9AE}" pid="22" name="PM_ProtectiveMarkingValue_Footer">
    <vt:lpwstr>OFFICIAL</vt:lpwstr>
  </property>
  <property fmtid="{D5CDD505-2E9C-101B-9397-08002B2CF9AE}" pid="23" name="PM_ProtectiveMarkingValue_Header">
    <vt:lpwstr>OFFICIAL</vt:lpwstr>
  </property>
  <property fmtid="{D5CDD505-2E9C-101B-9397-08002B2CF9AE}" pid="24" name="PM_Qualifier">
    <vt:lpwstr/>
  </property>
  <property fmtid="{D5CDD505-2E9C-101B-9397-08002B2CF9AE}" pid="25" name="PM_Qualifier_Prev">
    <vt:lpwstr/>
  </property>
  <property fmtid="{D5CDD505-2E9C-101B-9397-08002B2CF9AE}" pid="26" name="PM_SecurityClassification">
    <vt:lpwstr>OFFICIAL</vt:lpwstr>
  </property>
  <property fmtid="{D5CDD505-2E9C-101B-9397-08002B2CF9AE}" pid="27" name="PM_SecurityClassification_Prev">
    <vt:lpwstr>OFFICIAL</vt:lpwstr>
  </property>
  <property fmtid="{D5CDD505-2E9C-101B-9397-08002B2CF9AE}" pid="28" name="PM_Version">
    <vt:lpwstr>2018.4</vt:lpwstr>
  </property>
</Properties>
</file>