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17D02" w14:textId="77777777" w:rsidR="007279C2" w:rsidRDefault="007279C2" w:rsidP="007279C2">
      <w:pPr>
        <w:spacing w:before="280" w:after="240"/>
        <w:rPr>
          <w:b/>
          <w:sz w:val="32"/>
          <w:szCs w:val="32"/>
        </w:rPr>
      </w:pPr>
    </w:p>
    <w:p w14:paraId="12858228" w14:textId="6424BD3C" w:rsidR="007279C2" w:rsidRPr="00DA10F4" w:rsidRDefault="007279C2" w:rsidP="007279C2">
      <w:pPr>
        <w:spacing w:before="280" w:after="240"/>
        <w:rPr>
          <w:b/>
          <w:sz w:val="32"/>
          <w:szCs w:val="32"/>
        </w:rPr>
      </w:pPr>
      <w:r w:rsidRPr="00DA10F4">
        <w:rPr>
          <w:noProof/>
        </w:rPr>
        <w:drawing>
          <wp:anchor distT="0" distB="0" distL="114300" distR="114300" simplePos="0" relativeHeight="251658240" behindDoc="0" locked="0" layoutInCell="1" allowOverlap="1" wp14:anchorId="06AF65CF" wp14:editId="0372BF62">
            <wp:simplePos x="0" y="0"/>
            <wp:positionH relativeFrom="margin">
              <wp:align>center</wp:align>
            </wp:positionH>
            <wp:positionV relativeFrom="margin">
              <wp:align>top</wp:align>
            </wp:positionV>
            <wp:extent cx="3542030" cy="746760"/>
            <wp:effectExtent l="0" t="0" r="1270" b="0"/>
            <wp:wrapSquare wrapText="bothSides"/>
            <wp:docPr id="1" name="Picture 1"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and ASIC logo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26DEF680" w14:textId="77777777" w:rsidR="007279C2" w:rsidRPr="00DA10F4" w:rsidRDefault="007279C2" w:rsidP="007279C2">
      <w:pPr>
        <w:pStyle w:val="LI-Title"/>
        <w:pBdr>
          <w:top w:val="none" w:sz="0" w:space="0" w:color="auto"/>
        </w:pBdr>
        <w:jc w:val="center"/>
      </w:pPr>
    </w:p>
    <w:p w14:paraId="52A3484B" w14:textId="77777777" w:rsidR="007279C2" w:rsidRPr="00DA10F4" w:rsidRDefault="007279C2" w:rsidP="007279C2">
      <w:pPr>
        <w:pStyle w:val="LI-Title"/>
        <w:pBdr>
          <w:top w:val="none" w:sz="0" w:space="0" w:color="auto"/>
        </w:pBdr>
        <w:jc w:val="center"/>
      </w:pPr>
      <w:r w:rsidRPr="00DA10F4">
        <w:t>Explanatory Statement</w:t>
      </w:r>
    </w:p>
    <w:p w14:paraId="5D193D23" w14:textId="77777777" w:rsidR="007279C2" w:rsidRPr="00DA10F4" w:rsidRDefault="007279C2" w:rsidP="007279C2">
      <w:pPr>
        <w:rPr>
          <w:lang w:eastAsia="en-AU"/>
        </w:rPr>
      </w:pPr>
    </w:p>
    <w:p w14:paraId="2C4B4407" w14:textId="5B30AAD7" w:rsidR="007279C2" w:rsidRPr="00DA10F4" w:rsidRDefault="007279C2" w:rsidP="007279C2">
      <w:pPr>
        <w:jc w:val="center"/>
        <w:rPr>
          <w:b/>
          <w:i/>
          <w:sz w:val="28"/>
          <w:szCs w:val="28"/>
          <w:lang w:eastAsia="en-AU"/>
        </w:rPr>
      </w:pPr>
      <w:r w:rsidRPr="00DA10F4">
        <w:rPr>
          <w:b/>
          <w:i/>
          <w:sz w:val="28"/>
          <w:szCs w:val="28"/>
          <w:lang w:eastAsia="en-AU"/>
        </w:rPr>
        <w:t>ASIC Corporations (Financial Requirements for Custodial or Depository Service Providers) Instrument 2023/</w:t>
      </w:r>
      <w:r w:rsidR="0050434C" w:rsidRPr="00DA10F4">
        <w:rPr>
          <w:b/>
          <w:i/>
          <w:sz w:val="28"/>
          <w:szCs w:val="28"/>
          <w:lang w:eastAsia="en-AU"/>
        </w:rPr>
        <w:t>648</w:t>
      </w:r>
    </w:p>
    <w:p w14:paraId="5E7D91FD" w14:textId="6E7BA6EF" w:rsidR="007279C2" w:rsidRPr="00DA10F4" w:rsidRDefault="007279C2" w:rsidP="007279C2">
      <w:pPr>
        <w:pStyle w:val="LI-BodyTextParaa"/>
        <w:ind w:left="0" w:firstLine="0"/>
      </w:pPr>
      <w:bookmarkStart w:id="0" w:name="BK_S3P1L1C1"/>
      <w:bookmarkEnd w:id="0"/>
      <w:r w:rsidRPr="00DA10F4">
        <w:t>This is the Explanatory Statement for</w:t>
      </w:r>
      <w:r w:rsidRPr="00DA10F4">
        <w:rPr>
          <w:i/>
        </w:rPr>
        <w:t xml:space="preserve"> </w:t>
      </w:r>
      <w:bookmarkStart w:id="1" w:name="_Hlk128487026"/>
      <w:r w:rsidRPr="00DA10F4">
        <w:rPr>
          <w:i/>
        </w:rPr>
        <w:t>ASIC Corporations (Financial Requirements for Custodial or Depository Service Providers) Instrument 2023/</w:t>
      </w:r>
      <w:bookmarkEnd w:id="1"/>
      <w:r w:rsidR="0050434C" w:rsidRPr="00DA10F4">
        <w:rPr>
          <w:i/>
        </w:rPr>
        <w:t>648</w:t>
      </w:r>
      <w:r w:rsidR="0050434C" w:rsidRPr="00DA10F4">
        <w:t xml:space="preserve"> </w:t>
      </w:r>
      <w:r w:rsidR="009D73BA" w:rsidRPr="00DA10F4">
        <w:t>(</w:t>
      </w:r>
      <w:r w:rsidR="00421AB4" w:rsidRPr="00DA10F4">
        <w:t xml:space="preserve">the </w:t>
      </w:r>
      <w:r w:rsidR="009D73BA" w:rsidRPr="00DA10F4">
        <w:rPr>
          <w:b/>
          <w:bCs/>
        </w:rPr>
        <w:t>Instrument</w:t>
      </w:r>
      <w:r w:rsidR="009D73BA" w:rsidRPr="00DA10F4">
        <w:t>)</w:t>
      </w:r>
    </w:p>
    <w:p w14:paraId="125681C3" w14:textId="77777777" w:rsidR="007279C2" w:rsidRPr="00DA10F4" w:rsidRDefault="007279C2" w:rsidP="007279C2">
      <w:pPr>
        <w:pStyle w:val="LI-BodyTextParaa"/>
        <w:ind w:left="0" w:firstLine="0"/>
      </w:pPr>
      <w:r w:rsidRPr="00DA10F4">
        <w:t>The Explanatory Statement is approved by the Australian Securities and Investments Commission (</w:t>
      </w:r>
      <w:r w:rsidRPr="00DA10F4">
        <w:rPr>
          <w:b/>
          <w:i/>
        </w:rPr>
        <w:t>ASIC</w:t>
      </w:r>
      <w:r w:rsidRPr="00DA10F4">
        <w:t>).</w:t>
      </w:r>
    </w:p>
    <w:p w14:paraId="1BBCCA11" w14:textId="77777777" w:rsidR="007279C2" w:rsidRPr="00DA10F4" w:rsidRDefault="007279C2" w:rsidP="007279C2">
      <w:pPr>
        <w:pStyle w:val="LI-BodyTextNumbered"/>
        <w:keepNext/>
        <w:ind w:left="0" w:firstLine="0"/>
        <w:rPr>
          <w:b/>
        </w:rPr>
      </w:pPr>
      <w:r w:rsidRPr="00DA10F4">
        <w:rPr>
          <w:b/>
        </w:rPr>
        <w:t>Summary</w:t>
      </w:r>
    </w:p>
    <w:p w14:paraId="180BB78F" w14:textId="77777777" w:rsidR="0005541E" w:rsidRPr="00DA10F4" w:rsidRDefault="0005541E" w:rsidP="0005541E">
      <w:pPr>
        <w:pStyle w:val="LI-BodyTextParaa"/>
        <w:ind w:left="567"/>
      </w:pPr>
      <w:bookmarkStart w:id="2" w:name="_Ref119572070"/>
      <w:r w:rsidRPr="00DA10F4">
        <w:t xml:space="preserve">1. </w:t>
      </w:r>
      <w:r w:rsidRPr="00DA10F4">
        <w:tab/>
      </w:r>
      <w:r w:rsidR="007279C2" w:rsidRPr="00DA10F4">
        <w:t>The Instrument imposes specific financial requirements on Australian financial services (</w:t>
      </w:r>
      <w:r w:rsidR="007279C2" w:rsidRPr="00DA10F4">
        <w:rPr>
          <w:b/>
          <w:bCs/>
        </w:rPr>
        <w:t>AFS</w:t>
      </w:r>
      <w:r w:rsidR="007279C2" w:rsidRPr="00DA10F4">
        <w:t>) licensees that are custodians or depository service providers. The Instrument modifies the </w:t>
      </w:r>
      <w:r w:rsidR="007279C2" w:rsidRPr="00DA10F4">
        <w:rPr>
          <w:i/>
          <w:iCs/>
        </w:rPr>
        <w:t>Corporations Act 2001</w:t>
      </w:r>
      <w:r w:rsidR="007279C2" w:rsidRPr="00DA10F4">
        <w:t> (the </w:t>
      </w:r>
      <w:r w:rsidR="007279C2" w:rsidRPr="00DA10F4">
        <w:rPr>
          <w:b/>
          <w:bCs/>
        </w:rPr>
        <w:t>Corporations Act</w:t>
      </w:r>
      <w:r w:rsidR="007279C2" w:rsidRPr="00DA10F4">
        <w:t>) by inserting section 912AC. Section 912AC requires custodians and depository service providers to comply with additional provisions set out in the Instrument as part of satisfying the obligation to have adequate financial resources under paragraph 912A(1)(d) of the Corporations Act.</w:t>
      </w:r>
      <w:bookmarkEnd w:id="2"/>
    </w:p>
    <w:p w14:paraId="63CD56F5" w14:textId="00E4DA93" w:rsidR="0005541E" w:rsidRDefault="0005541E" w:rsidP="0005541E">
      <w:pPr>
        <w:pStyle w:val="LI-BodyTextParaa"/>
        <w:ind w:left="567"/>
      </w:pPr>
      <w:r w:rsidRPr="00DA10F4">
        <w:t>2.</w:t>
      </w:r>
      <w:r w:rsidRPr="00DA10F4">
        <w:tab/>
      </w:r>
      <w:r w:rsidR="007279C2" w:rsidRPr="00DA10F4">
        <w:t>The Instrument preserves the effect of Class Order [CO 13/761]</w:t>
      </w:r>
      <w:r w:rsidR="007279C2" w:rsidRPr="00DA10F4">
        <w:rPr>
          <w:i/>
          <w:iCs/>
        </w:rPr>
        <w:t> Financial requirements for custodial or</w:t>
      </w:r>
      <w:r w:rsidR="007279C2" w:rsidRPr="00D7355B">
        <w:rPr>
          <w:i/>
          <w:iCs/>
        </w:rPr>
        <w:t xml:space="preserve"> depository service providers </w:t>
      </w:r>
      <w:r w:rsidR="007279C2" w:rsidRPr="00D7355B">
        <w:t>(</w:t>
      </w:r>
      <w:r w:rsidR="009D1B93" w:rsidRPr="00D7355B">
        <w:rPr>
          <w:b/>
          <w:bCs/>
        </w:rPr>
        <w:t>[</w:t>
      </w:r>
      <w:r w:rsidR="007279C2" w:rsidRPr="00D7355B">
        <w:rPr>
          <w:b/>
          <w:bCs/>
        </w:rPr>
        <w:t>CO 13/761</w:t>
      </w:r>
      <w:r w:rsidR="009D1B93" w:rsidRPr="00D7355B">
        <w:rPr>
          <w:b/>
          <w:bCs/>
        </w:rPr>
        <w:t>]</w:t>
      </w:r>
      <w:r w:rsidR="007279C2" w:rsidRPr="00D7355B">
        <w:t xml:space="preserve">), which was issued in 2013. </w:t>
      </w:r>
      <w:r w:rsidR="000E5B31" w:rsidRPr="00D7355B">
        <w:t>[</w:t>
      </w:r>
      <w:r w:rsidR="007279C2" w:rsidRPr="00D7355B">
        <w:t>CO 13/761</w:t>
      </w:r>
      <w:r w:rsidR="000E5B31" w:rsidRPr="00D7355B">
        <w:t>]</w:t>
      </w:r>
      <w:r w:rsidR="007279C2" w:rsidRPr="00D7355B">
        <w:t xml:space="preserve"> was due to expire or ‘sunset’ on 1 October 2023.  Following consultation, ASIC considered that </w:t>
      </w:r>
      <w:r w:rsidR="00C32C73" w:rsidRPr="00D7355B">
        <w:t>[</w:t>
      </w:r>
      <w:r w:rsidR="007279C2" w:rsidRPr="00D7355B">
        <w:t>CO 13/761</w:t>
      </w:r>
      <w:r w:rsidR="00C32C73" w:rsidRPr="00D7355B">
        <w:t>]</w:t>
      </w:r>
      <w:r w:rsidR="007279C2" w:rsidRPr="00D7355B">
        <w:t xml:space="preserve"> was operating effectively and efficiently to achieve its </w:t>
      </w:r>
      <w:proofErr w:type="gramStart"/>
      <w:r w:rsidR="007279C2" w:rsidRPr="00D7355B">
        <w:t>objectives</w:t>
      </w:r>
      <w:r w:rsidR="000E5B31" w:rsidRPr="00D7355B">
        <w:t>,</w:t>
      </w:r>
      <w:r w:rsidR="007279C2" w:rsidRPr="00D7355B">
        <w:t xml:space="preserve"> and</w:t>
      </w:r>
      <w:proofErr w:type="gramEnd"/>
      <w:r w:rsidR="007279C2" w:rsidRPr="00D7355B">
        <w:t xml:space="preserve"> continued to form a necessary and useful part of the legislative framework.</w:t>
      </w:r>
      <w:r>
        <w:t xml:space="preserve"> </w:t>
      </w:r>
    </w:p>
    <w:p w14:paraId="1FC5D0C3" w14:textId="0E37C704" w:rsidR="0005541E" w:rsidRDefault="0005541E" w:rsidP="0005541E">
      <w:pPr>
        <w:pStyle w:val="LI-BodyTextParaa"/>
        <w:ind w:left="567"/>
      </w:pPr>
      <w:r>
        <w:t>3.</w:t>
      </w:r>
      <w:r>
        <w:tab/>
      </w:r>
      <w:r w:rsidR="007279C2" w:rsidRPr="00EC5841">
        <w:t xml:space="preserve">As a result, </w:t>
      </w:r>
      <w:r w:rsidR="000E5B31">
        <w:t>[</w:t>
      </w:r>
      <w:r w:rsidR="007279C2" w:rsidRPr="00EC5841">
        <w:t xml:space="preserve">CO </w:t>
      </w:r>
      <w:r w:rsidR="007279C2">
        <w:t>13/761</w:t>
      </w:r>
      <w:r w:rsidR="000E5B31">
        <w:t>]</w:t>
      </w:r>
      <w:r w:rsidR="007279C2" w:rsidRPr="00EC5841">
        <w:t xml:space="preserve"> </w:t>
      </w:r>
      <w:r w:rsidR="007279C2">
        <w:t xml:space="preserve">has been remade in a </w:t>
      </w:r>
      <w:r w:rsidR="007279C2" w:rsidRPr="00EC5841">
        <w:t xml:space="preserve">legislative instrument, with only minor drafting changes to reflect ASIC’s current style and format, remove redundant provisions and update definitions, while preserving the current effect of the </w:t>
      </w:r>
      <w:r w:rsidR="00BA5CED">
        <w:t>I</w:t>
      </w:r>
      <w:r w:rsidR="007279C2" w:rsidRPr="00EC5841">
        <w:t xml:space="preserve">nstrument. </w:t>
      </w:r>
      <w:r w:rsidR="007279C2">
        <w:t xml:space="preserve">In light of there being no significant changes to the financial requirements detailed in </w:t>
      </w:r>
      <w:r w:rsidR="00BA5CED">
        <w:t>[</w:t>
      </w:r>
      <w:r w:rsidR="007279C2">
        <w:t>CO 13/761</w:t>
      </w:r>
      <w:r w:rsidR="00BA5CED">
        <w:t>]</w:t>
      </w:r>
      <w:r w:rsidR="007279C2">
        <w:t xml:space="preserve">, this Explanatory Statement should be read in conjunction with the </w:t>
      </w:r>
      <w:hyperlink r:id="rId13" w:history="1">
        <w:r w:rsidR="007279C2" w:rsidRPr="007279C2">
          <w:rPr>
            <w:rStyle w:val="Hyperlink"/>
          </w:rPr>
          <w:t>Explanatory Statement for CO 13/761</w:t>
        </w:r>
      </w:hyperlink>
      <w:r w:rsidR="007279C2">
        <w:t>.</w:t>
      </w:r>
    </w:p>
    <w:p w14:paraId="0FCBFB1E" w14:textId="77777777" w:rsidR="0005541E" w:rsidRDefault="0005541E" w:rsidP="0005541E">
      <w:pPr>
        <w:pStyle w:val="LI-BodyTextParaa"/>
        <w:ind w:left="567"/>
      </w:pPr>
      <w:r>
        <w:t>4.</w:t>
      </w:r>
      <w:r>
        <w:tab/>
      </w:r>
      <w:r w:rsidR="007279C2" w:rsidRPr="007D40B7">
        <w:t>ASIC makes the Instrument under paragraph 926A(2)(c) of the Corporations Act. That paragraph provides that ASIC may declare provisions to which section 926A applies (</w:t>
      </w:r>
      <w:proofErr w:type="gramStart"/>
      <w:r w:rsidR="007279C2" w:rsidRPr="007D40B7">
        <w:t>i.e.</w:t>
      </w:r>
      <w:proofErr w:type="gramEnd"/>
      <w:r w:rsidR="007279C2" w:rsidRPr="007D40B7">
        <w:t xml:space="preserve"> Part 7.6, other than Divisions 4 and 8) in relation to a person or financial product, or a class of persons or financial products, as if specified provisions were omitted, modified or varied as specified in the declaration.</w:t>
      </w:r>
      <w:r>
        <w:t xml:space="preserve"> </w:t>
      </w:r>
    </w:p>
    <w:p w14:paraId="47D2AC67" w14:textId="65F2601A" w:rsidR="007279C2" w:rsidRDefault="0005541E" w:rsidP="00507406">
      <w:pPr>
        <w:pStyle w:val="LI-BodyTextParaa"/>
        <w:ind w:left="567"/>
      </w:pPr>
      <w:r>
        <w:t>5.</w:t>
      </w:r>
      <w:r>
        <w:tab/>
        <w:t>S</w:t>
      </w:r>
      <w:r w:rsidR="007279C2">
        <w:t>ection 912A</w:t>
      </w:r>
      <w:r w:rsidR="003A60D8">
        <w:t>C</w:t>
      </w:r>
      <w:r w:rsidR="007279C2">
        <w:t xml:space="preserve"> contains the following requirements:</w:t>
      </w:r>
    </w:p>
    <w:p w14:paraId="782CBD3D" w14:textId="4B8013C3" w:rsidR="007279C2" w:rsidRDefault="007279C2" w:rsidP="003A60D8">
      <w:pPr>
        <w:pStyle w:val="LI-BodyTextParaa"/>
        <w:ind w:left="1134"/>
      </w:pPr>
      <w:r>
        <w:lastRenderedPageBreak/>
        <w:t>(a)</w:t>
      </w:r>
      <w:r>
        <w:tab/>
      </w:r>
      <w:r w:rsidR="000E5270">
        <w:t xml:space="preserve">tailored </w:t>
      </w:r>
      <w:r>
        <w:t xml:space="preserve">cash needs </w:t>
      </w:r>
      <w:proofErr w:type="gramStart"/>
      <w:r>
        <w:t>requirements;</w:t>
      </w:r>
      <w:proofErr w:type="gramEnd"/>
    </w:p>
    <w:p w14:paraId="6764B47C" w14:textId="77777777" w:rsidR="007279C2" w:rsidRDefault="007279C2" w:rsidP="003A60D8">
      <w:pPr>
        <w:pStyle w:val="LI-BodyTextParaa"/>
        <w:ind w:left="1134"/>
      </w:pPr>
      <w:r>
        <w:t>(b)</w:t>
      </w:r>
      <w:r>
        <w:tab/>
        <w:t xml:space="preserve">net tangible assets </w:t>
      </w:r>
      <w:proofErr w:type="gramStart"/>
      <w:r>
        <w:t>requirements;</w:t>
      </w:r>
      <w:proofErr w:type="gramEnd"/>
    </w:p>
    <w:p w14:paraId="1D6CE578" w14:textId="77777777" w:rsidR="007279C2" w:rsidRDefault="007279C2" w:rsidP="003A60D8">
      <w:pPr>
        <w:pStyle w:val="LI-BodyTextParaa"/>
        <w:ind w:left="1134"/>
      </w:pPr>
      <w:r>
        <w:t>(c)</w:t>
      </w:r>
      <w:r>
        <w:tab/>
        <w:t xml:space="preserve">cash or cash equivalents </w:t>
      </w:r>
      <w:proofErr w:type="gramStart"/>
      <w:r>
        <w:t>requirements;</w:t>
      </w:r>
      <w:proofErr w:type="gramEnd"/>
    </w:p>
    <w:p w14:paraId="34A0B8CE" w14:textId="3D4BC18A" w:rsidR="007279C2" w:rsidRPr="00E026B2" w:rsidRDefault="007279C2" w:rsidP="00E026B2">
      <w:pPr>
        <w:pStyle w:val="LI-BodyTextParaa"/>
        <w:ind w:left="1134"/>
      </w:pPr>
      <w:r>
        <w:t>(d)</w:t>
      </w:r>
      <w:r>
        <w:tab/>
        <w:t>audit opinion requirements in relation to the licensee’s financial requirements.</w:t>
      </w:r>
    </w:p>
    <w:p w14:paraId="14DE8D62" w14:textId="77777777" w:rsidR="007279C2" w:rsidRDefault="007279C2" w:rsidP="007279C2">
      <w:pPr>
        <w:pStyle w:val="LI-BodyTextNumbered"/>
        <w:keepNext/>
        <w:ind w:left="0" w:firstLine="0"/>
        <w:rPr>
          <w:b/>
        </w:rPr>
      </w:pPr>
      <w:r>
        <w:rPr>
          <w:b/>
        </w:rPr>
        <w:t>Purpose of the instrument</w:t>
      </w:r>
    </w:p>
    <w:p w14:paraId="55D652FF" w14:textId="0768CBD9" w:rsidR="0005541E" w:rsidRDefault="0005541E" w:rsidP="0005541E">
      <w:pPr>
        <w:pStyle w:val="LI-BodyTextParaa"/>
        <w:ind w:left="567"/>
      </w:pPr>
      <w:r>
        <w:t>6.</w:t>
      </w:r>
      <w:r>
        <w:tab/>
      </w:r>
      <w:r w:rsidR="003A60D8">
        <w:t xml:space="preserve">The purpose of the Instrument is to continue the financial requirements set out in </w:t>
      </w:r>
      <w:r w:rsidR="00BA5CED">
        <w:t>[</w:t>
      </w:r>
      <w:r w:rsidR="003A60D8">
        <w:t>CO 13/761</w:t>
      </w:r>
      <w:r w:rsidR="00BA5CED">
        <w:t>]</w:t>
      </w:r>
      <w:r w:rsidR="003A60D8">
        <w:t xml:space="preserve"> in substantially the same form.</w:t>
      </w:r>
    </w:p>
    <w:p w14:paraId="66047929" w14:textId="4C6644B3" w:rsidR="0005541E" w:rsidRDefault="0005541E" w:rsidP="00FD1C8C">
      <w:pPr>
        <w:pStyle w:val="LI-BodyTextParaa"/>
        <w:ind w:left="567"/>
      </w:pPr>
      <w:r>
        <w:t>7.</w:t>
      </w:r>
      <w:r>
        <w:tab/>
      </w:r>
      <w:r w:rsidR="003A60D8" w:rsidRPr="00CE28A9">
        <w:t xml:space="preserve">Following consultation, ASIC formed the view that </w:t>
      </w:r>
      <w:r w:rsidR="00BA5CED">
        <w:t>[</w:t>
      </w:r>
      <w:r w:rsidR="003A60D8">
        <w:t>CO 13/761</w:t>
      </w:r>
      <w:r w:rsidR="00BA5CED">
        <w:t>]</w:t>
      </w:r>
      <w:r w:rsidR="003A60D8" w:rsidRPr="00CE28A9">
        <w:t xml:space="preserve"> </w:t>
      </w:r>
      <w:r w:rsidR="00BA5CED">
        <w:t>i</w:t>
      </w:r>
      <w:r w:rsidR="003A60D8">
        <w:t>s</w:t>
      </w:r>
      <w:r w:rsidR="003A60D8" w:rsidRPr="00CE28A9">
        <w:t xml:space="preserve"> operating effectively and efficiently</w:t>
      </w:r>
      <w:r w:rsidR="0065759F">
        <w:t xml:space="preserve"> </w:t>
      </w:r>
      <w:r w:rsidR="003A60D8" w:rsidRPr="00CE28A9">
        <w:t>and continue</w:t>
      </w:r>
      <w:r w:rsidR="00BA5CED">
        <w:t>s</w:t>
      </w:r>
      <w:r w:rsidR="003A60D8" w:rsidRPr="00CE28A9">
        <w:t xml:space="preserve"> to form a necessary and useful part of the legislative framework. Therefore</w:t>
      </w:r>
      <w:r w:rsidR="003A60D8">
        <w:t>,</w:t>
      </w:r>
      <w:r w:rsidR="003A60D8" w:rsidRPr="00CE28A9">
        <w:t xml:space="preserve"> t</w:t>
      </w:r>
      <w:r w:rsidR="003A60D8">
        <w:t>he</w:t>
      </w:r>
      <w:r w:rsidR="003A60D8" w:rsidRPr="00CE28A9">
        <w:t xml:space="preserve"> </w:t>
      </w:r>
      <w:r w:rsidR="003A60D8">
        <w:t>legislative instrument</w:t>
      </w:r>
      <w:r w:rsidR="003A60D8" w:rsidRPr="00CE28A9">
        <w:t xml:space="preserve"> </w:t>
      </w:r>
      <w:r w:rsidR="003A60D8">
        <w:t>was</w:t>
      </w:r>
      <w:r w:rsidR="003A60D8" w:rsidRPr="00CE28A9">
        <w:t xml:space="preserve"> remade using ASIC’s current style and format, while preserving the current effect of the instrument.</w:t>
      </w:r>
    </w:p>
    <w:p w14:paraId="6A18B8E4" w14:textId="18C01883" w:rsidR="003A60D8" w:rsidRDefault="001F1280" w:rsidP="0005541E">
      <w:pPr>
        <w:pStyle w:val="LI-BodyTextParaa"/>
        <w:ind w:left="567"/>
      </w:pPr>
      <w:r>
        <w:t>8</w:t>
      </w:r>
      <w:r w:rsidR="0005541E">
        <w:t>.</w:t>
      </w:r>
      <w:r w:rsidR="0005541E">
        <w:tab/>
      </w:r>
      <w:r w:rsidR="003A60D8" w:rsidRPr="00170CE5">
        <w:t xml:space="preserve">The Instrument remade </w:t>
      </w:r>
      <w:r w:rsidR="00BA5CED">
        <w:t>[</w:t>
      </w:r>
      <w:r w:rsidR="003A60D8">
        <w:t>CO 13/76</w:t>
      </w:r>
      <w:r w:rsidR="0050434C">
        <w:t>1</w:t>
      </w:r>
      <w:r w:rsidR="00BA5CED">
        <w:t>]</w:t>
      </w:r>
      <w:r w:rsidR="003A60D8">
        <w:t xml:space="preserve"> </w:t>
      </w:r>
      <w:r w:rsidR="003A60D8" w:rsidRPr="00170CE5">
        <w:t>subject to the following minor changes:</w:t>
      </w:r>
    </w:p>
    <w:p w14:paraId="5179E4FC" w14:textId="5FBF01C0" w:rsidR="003A60D8" w:rsidRDefault="003A60D8" w:rsidP="003A60D8">
      <w:pPr>
        <w:pStyle w:val="LI-BodyTextParaa"/>
        <w:ind w:left="1134"/>
      </w:pPr>
      <w:r>
        <w:t>(a)</w:t>
      </w:r>
      <w:r>
        <w:tab/>
      </w:r>
      <w:r w:rsidRPr="00170CE5">
        <w:t xml:space="preserve">provided an expiry date of 1 October </w:t>
      </w:r>
      <w:proofErr w:type="gramStart"/>
      <w:r w:rsidRPr="00170CE5">
        <w:t>202</w:t>
      </w:r>
      <w:r>
        <w:t>8</w:t>
      </w:r>
      <w:r w:rsidRPr="00170CE5">
        <w:t>;</w:t>
      </w:r>
      <w:proofErr w:type="gramEnd"/>
    </w:p>
    <w:p w14:paraId="4C526F70" w14:textId="63C14E4F" w:rsidR="003A60D8" w:rsidRDefault="003A60D8" w:rsidP="003A60D8">
      <w:pPr>
        <w:pStyle w:val="LI-BodyTextParaa"/>
        <w:ind w:left="1134"/>
      </w:pPr>
      <w:r>
        <w:t>(b)</w:t>
      </w:r>
      <w:r>
        <w:tab/>
      </w:r>
      <w:r w:rsidRPr="00170CE5">
        <w:t xml:space="preserve">updated the name of the legislative </w:t>
      </w:r>
      <w:proofErr w:type="gramStart"/>
      <w:r w:rsidRPr="00170CE5">
        <w:t>instrument;</w:t>
      </w:r>
      <w:proofErr w:type="gramEnd"/>
    </w:p>
    <w:p w14:paraId="1189F801" w14:textId="219EAC56" w:rsidR="003A60D8" w:rsidRDefault="003A60D8" w:rsidP="003A60D8">
      <w:pPr>
        <w:pStyle w:val="LI-BodyTextParaa"/>
        <w:ind w:left="1134"/>
      </w:pPr>
      <w:r>
        <w:t>(c)</w:t>
      </w:r>
      <w:r>
        <w:tab/>
      </w:r>
      <w:r w:rsidRPr="00170CE5">
        <w:t xml:space="preserve">reflected current drafting practice and updated the format of the current </w:t>
      </w:r>
      <w:proofErr w:type="gramStart"/>
      <w:r w:rsidRPr="00170CE5">
        <w:t>document;</w:t>
      </w:r>
      <w:proofErr w:type="gramEnd"/>
    </w:p>
    <w:p w14:paraId="74FBE972" w14:textId="1F06A5FB" w:rsidR="003A60D8" w:rsidRDefault="003A60D8" w:rsidP="003A60D8">
      <w:pPr>
        <w:pStyle w:val="LI-BodyTextParaa"/>
        <w:ind w:left="1134"/>
      </w:pPr>
      <w:r>
        <w:t>(d)</w:t>
      </w:r>
      <w:r>
        <w:tab/>
      </w:r>
      <w:r w:rsidRPr="00170CE5">
        <w:t xml:space="preserve">simplified the drafting to give greater </w:t>
      </w:r>
      <w:proofErr w:type="gramStart"/>
      <w:r w:rsidRPr="00170CE5">
        <w:t>clarity;</w:t>
      </w:r>
      <w:proofErr w:type="gramEnd"/>
    </w:p>
    <w:p w14:paraId="7F37A542" w14:textId="58800693" w:rsidR="003A60D8" w:rsidRDefault="003A60D8" w:rsidP="003A60D8">
      <w:pPr>
        <w:pStyle w:val="LI-BodyTextParaa"/>
        <w:ind w:left="1134"/>
      </w:pPr>
      <w:r>
        <w:t>(e)</w:t>
      </w:r>
      <w:r>
        <w:tab/>
      </w:r>
      <w:r w:rsidRPr="00170CE5">
        <w:t>updated legislative references and definitions; and</w:t>
      </w:r>
    </w:p>
    <w:p w14:paraId="657667F8" w14:textId="77777777" w:rsidR="0005541E" w:rsidRDefault="003A60D8" w:rsidP="0005541E">
      <w:pPr>
        <w:pStyle w:val="LI-BodyTextParaa"/>
        <w:ind w:left="1134"/>
      </w:pPr>
      <w:r>
        <w:t>(f)</w:t>
      </w:r>
      <w:r>
        <w:tab/>
      </w:r>
      <w:r w:rsidRPr="00170CE5">
        <w:t>corrected any minor drafting errors.</w:t>
      </w:r>
      <w:r w:rsidR="0005541E">
        <w:t xml:space="preserve"> </w:t>
      </w:r>
    </w:p>
    <w:p w14:paraId="6AE095E7" w14:textId="177075DD" w:rsidR="003A60D8" w:rsidRDefault="001F1280" w:rsidP="0005541E">
      <w:pPr>
        <w:pStyle w:val="LI-BodyTextParaa"/>
        <w:ind w:left="567"/>
      </w:pPr>
      <w:r>
        <w:t>9</w:t>
      </w:r>
      <w:r w:rsidR="0005541E">
        <w:t>.</w:t>
      </w:r>
      <w:r w:rsidR="0005541E">
        <w:tab/>
      </w:r>
      <w:r w:rsidR="003A60D8">
        <w:t xml:space="preserve">The financial requirements </w:t>
      </w:r>
      <w:r w:rsidR="003A60D8" w:rsidRPr="009C4B98">
        <w:t>in section 912A</w:t>
      </w:r>
      <w:r w:rsidR="003A60D8">
        <w:t>C</w:t>
      </w:r>
      <w:r w:rsidR="003A60D8" w:rsidRPr="009C4B98">
        <w:t xml:space="preserve"> reflect the general objectives of the AFS licence requirements in </w:t>
      </w:r>
      <w:r w:rsidR="003A60D8" w:rsidRPr="00516EEC">
        <w:rPr>
          <w:i/>
          <w:iCs/>
        </w:rPr>
        <w:t>Regulatory Guide 166 AFS licensing: Financial requirements</w:t>
      </w:r>
      <w:r w:rsidR="003A60D8" w:rsidRPr="009C4B98">
        <w:t xml:space="preserve"> (</w:t>
      </w:r>
      <w:r w:rsidR="003A60D8" w:rsidRPr="009C4B98">
        <w:rPr>
          <w:b/>
          <w:bCs/>
        </w:rPr>
        <w:t>RG 166</w:t>
      </w:r>
      <w:r w:rsidR="003A60D8" w:rsidRPr="009C4B98">
        <w:t>). The requirements aim to</w:t>
      </w:r>
      <w:r w:rsidR="003A60D8">
        <w:t xml:space="preserve"> ensure that</w:t>
      </w:r>
      <w:r w:rsidR="003A60D8" w:rsidRPr="009C4B98">
        <w:t>:</w:t>
      </w:r>
    </w:p>
    <w:p w14:paraId="44E3BA8D" w14:textId="508460E1" w:rsidR="003A60D8" w:rsidRDefault="003A60D8" w:rsidP="007D7D54">
      <w:pPr>
        <w:pStyle w:val="LI-BodyTextParaa"/>
        <w:ind w:left="1134"/>
      </w:pPr>
      <w:r>
        <w:t>(a)</w:t>
      </w:r>
      <w:r>
        <w:tab/>
        <w:t>a licensee</w:t>
      </w:r>
      <w:r w:rsidRPr="009C4B98">
        <w:t xml:space="preserve"> has sufficient financial resources to conduct </w:t>
      </w:r>
      <w:r w:rsidR="00F5093B">
        <w:t>its</w:t>
      </w:r>
      <w:r w:rsidR="00F5093B" w:rsidRPr="009C4B98">
        <w:t xml:space="preserve"> </w:t>
      </w:r>
      <w:r w:rsidRPr="009C4B98">
        <w:t>financial services businesses in compliance with the Corporations Act (including carrying out supervisory arrangements</w:t>
      </w:r>
      <w:proofErr w:type="gramStart"/>
      <w:r w:rsidRPr="009C4B98">
        <w:t>)</w:t>
      </w:r>
      <w:r>
        <w:t>;</w:t>
      </w:r>
      <w:proofErr w:type="gramEnd"/>
    </w:p>
    <w:p w14:paraId="6F7881F8" w14:textId="77777777" w:rsidR="003A60D8" w:rsidRDefault="003A60D8" w:rsidP="007D7D54">
      <w:pPr>
        <w:pStyle w:val="LI-BodyTextParaa"/>
        <w:ind w:left="1134"/>
      </w:pPr>
      <w:r>
        <w:t>(b)</w:t>
      </w:r>
      <w:r>
        <w:tab/>
        <w:t>t</w:t>
      </w:r>
      <w:r w:rsidRPr="00415C2F">
        <w:t>here is a financial buffer that decreases the risk of a disorderly or non</w:t>
      </w:r>
      <w:r>
        <w:t>-</w:t>
      </w:r>
      <w:r w:rsidRPr="00415C2F">
        <w:t>compliant wind-up if the business fails</w:t>
      </w:r>
      <w:r>
        <w:t>; and</w:t>
      </w:r>
    </w:p>
    <w:p w14:paraId="27123DBC" w14:textId="59634614" w:rsidR="0005541E" w:rsidRDefault="003A60D8" w:rsidP="007D7D54">
      <w:pPr>
        <w:pStyle w:val="LI-BodyTextParaa"/>
        <w:ind w:left="1134"/>
      </w:pPr>
      <w:r>
        <w:t>(c)</w:t>
      </w:r>
      <w:r>
        <w:tab/>
      </w:r>
      <w:r w:rsidRPr="00415C2F">
        <w:t>there are incentives</w:t>
      </w:r>
      <w:r w:rsidR="008417CE">
        <w:t xml:space="preserve">, </w:t>
      </w:r>
      <w:r w:rsidR="008417CE" w:rsidRPr="00415C2F">
        <w:t>through risk of financial loss</w:t>
      </w:r>
      <w:r w:rsidR="008417CE">
        <w:t>,</w:t>
      </w:r>
      <w:r w:rsidRPr="00415C2F">
        <w:t xml:space="preserve"> for </w:t>
      </w:r>
      <w:r>
        <w:t>the licensee</w:t>
      </w:r>
      <w:r w:rsidRPr="00415C2F">
        <w:t xml:space="preserve"> owners to comply</w:t>
      </w:r>
      <w:r w:rsidR="008417CE">
        <w:t>.</w:t>
      </w:r>
      <w:r w:rsidRPr="00415C2F">
        <w:t xml:space="preserve"> </w:t>
      </w:r>
    </w:p>
    <w:p w14:paraId="675CAA84" w14:textId="77777777" w:rsidR="007279C2" w:rsidRDefault="007279C2" w:rsidP="007279C2">
      <w:pPr>
        <w:pStyle w:val="LI-BodyTextNumbered"/>
        <w:keepNext/>
        <w:ind w:left="0" w:firstLine="0"/>
        <w:rPr>
          <w:b/>
        </w:rPr>
      </w:pPr>
      <w:bookmarkStart w:id="3" w:name="_Hlk534291624"/>
      <w:r>
        <w:rPr>
          <w:b/>
        </w:rPr>
        <w:lastRenderedPageBreak/>
        <w:t>Consultation</w:t>
      </w:r>
    </w:p>
    <w:p w14:paraId="7360D809" w14:textId="3D3B98D4" w:rsidR="00011CE5" w:rsidRPr="000B2744" w:rsidRDefault="0005541E" w:rsidP="000B2744">
      <w:pPr>
        <w:pStyle w:val="LI-BodyTextParaa"/>
        <w:ind w:left="567"/>
      </w:pPr>
      <w:r>
        <w:t>1</w:t>
      </w:r>
      <w:r w:rsidR="0006771B">
        <w:t>0</w:t>
      </w:r>
      <w:r>
        <w:t>.</w:t>
      </w:r>
      <w:r>
        <w:tab/>
      </w:r>
      <w:r w:rsidR="000B2744">
        <w:t xml:space="preserve">In </w:t>
      </w:r>
      <w:r w:rsidR="000B2744" w:rsidRPr="00325450">
        <w:t>March 2023,</w:t>
      </w:r>
      <w:r w:rsidR="000B2744">
        <w:t xml:space="preserve"> </w:t>
      </w:r>
      <w:r w:rsidR="000B2744" w:rsidRPr="004759B4">
        <w:t xml:space="preserve">ASIC consulted on the remake of </w:t>
      </w:r>
      <w:r w:rsidR="000B2744">
        <w:t>CO 13/760 and LI 2022/449</w:t>
      </w:r>
      <w:r w:rsidR="000B2744" w:rsidRPr="004759B4">
        <w:t xml:space="preserve"> in Consultation Paper</w:t>
      </w:r>
      <w:r w:rsidR="00B81B51">
        <w:t xml:space="preserve"> </w:t>
      </w:r>
      <w:r w:rsidR="000B2744">
        <w:t>367</w:t>
      </w:r>
      <w:r w:rsidR="000B2744" w:rsidRPr="004759B4">
        <w:t>: </w:t>
      </w:r>
      <w:r w:rsidR="000B2744" w:rsidRPr="008932F9">
        <w:rPr>
          <w:i/>
          <w:iCs/>
        </w:rPr>
        <w:fldChar w:fldCharType="begin"/>
      </w:r>
      <w:r w:rsidR="000B2744" w:rsidRPr="008932F9">
        <w:rPr>
          <w:i/>
          <w:iCs/>
        </w:rPr>
        <w:instrText xml:space="preserve"> DOCPROPERTY  "Document title"  \* charformat </w:instrText>
      </w:r>
      <w:r w:rsidR="000B2744" w:rsidRPr="008932F9">
        <w:rPr>
          <w:i/>
          <w:iCs/>
        </w:rPr>
        <w:fldChar w:fldCharType="separate"/>
      </w:r>
      <w:r w:rsidR="000B2744" w:rsidRPr="008932F9">
        <w:rPr>
          <w:i/>
          <w:iCs/>
        </w:rPr>
        <w:t>Remaking ASIC class orders: [CO 13/760], [CO 13/761] and ASIC Instrument 2022/449</w:t>
      </w:r>
      <w:r w:rsidR="000B2744" w:rsidRPr="008932F9">
        <w:rPr>
          <w:i/>
          <w:iCs/>
        </w:rPr>
        <w:fldChar w:fldCharType="end"/>
      </w:r>
      <w:r w:rsidR="000B2744" w:rsidRPr="004759B4">
        <w:rPr>
          <w:i/>
          <w:iCs/>
        </w:rPr>
        <w:t> </w:t>
      </w:r>
      <w:r w:rsidR="000B2744" w:rsidRPr="004759B4">
        <w:t>(</w:t>
      </w:r>
      <w:r w:rsidR="000B2744" w:rsidRPr="004759B4">
        <w:rPr>
          <w:b/>
          <w:bCs/>
        </w:rPr>
        <w:t>CP</w:t>
      </w:r>
      <w:r w:rsidR="00A3645F">
        <w:rPr>
          <w:b/>
          <w:bCs/>
        </w:rPr>
        <w:t xml:space="preserve"> </w:t>
      </w:r>
      <w:r w:rsidR="000B2744">
        <w:rPr>
          <w:b/>
          <w:bCs/>
        </w:rPr>
        <w:t>367</w:t>
      </w:r>
      <w:r w:rsidR="000B2744" w:rsidRPr="004759B4">
        <w:t>). In CP</w:t>
      </w:r>
      <w:r w:rsidR="00A3645F">
        <w:t xml:space="preserve"> </w:t>
      </w:r>
      <w:r w:rsidR="000B2744">
        <w:t>367</w:t>
      </w:r>
      <w:r w:rsidR="000B2744" w:rsidRPr="004759B4">
        <w:t xml:space="preserve">, ASIC proposed the remake of </w:t>
      </w:r>
      <w:r w:rsidR="00A3645F">
        <w:t>[</w:t>
      </w:r>
      <w:r w:rsidR="000B2744">
        <w:t>CO 13/760</w:t>
      </w:r>
      <w:r w:rsidR="00A3645F">
        <w:t>]</w:t>
      </w:r>
      <w:r w:rsidR="000B2744">
        <w:t xml:space="preserve"> and LI 2022/449</w:t>
      </w:r>
      <w:r w:rsidR="000B2744" w:rsidRPr="004759B4">
        <w:t>, without significant changes, and for a period of five years.</w:t>
      </w:r>
    </w:p>
    <w:p w14:paraId="2B4C1491" w14:textId="131BD547" w:rsidR="00011CE5" w:rsidRPr="00507406" w:rsidRDefault="0005541E" w:rsidP="00507406">
      <w:pPr>
        <w:pStyle w:val="LI-BodyTextParaa"/>
        <w:ind w:left="567"/>
        <w:rPr>
          <w:sz w:val="22"/>
          <w:szCs w:val="22"/>
        </w:rPr>
      </w:pPr>
      <w:r>
        <w:t>1</w:t>
      </w:r>
      <w:r w:rsidR="0006771B">
        <w:t>1</w:t>
      </w:r>
      <w:r>
        <w:t>.</w:t>
      </w:r>
      <w:r>
        <w:tab/>
      </w:r>
      <w:r w:rsidR="00011CE5" w:rsidRPr="00EE4423">
        <w:t xml:space="preserve">ASIC received </w:t>
      </w:r>
      <w:r w:rsidR="00F12518">
        <w:t xml:space="preserve">seven </w:t>
      </w:r>
      <w:r w:rsidR="00011CE5" w:rsidRPr="00EE4423">
        <w:t>submissions in response to CP</w:t>
      </w:r>
      <w:r w:rsidR="00945EE6">
        <w:t>367</w:t>
      </w:r>
      <w:r w:rsidR="00011CE5" w:rsidRPr="00EE4423">
        <w:t xml:space="preserve">. </w:t>
      </w:r>
      <w:r w:rsidR="00E051DD" w:rsidRPr="000C4629">
        <w:t>The feedback on CP 367 generally supported our proposals to remake the financial requirements legislative instruments without substantive changes.</w:t>
      </w:r>
      <w:r w:rsidR="00E051DD">
        <w:t xml:space="preserve"> </w:t>
      </w:r>
      <w:r w:rsidR="00011CE5" w:rsidRPr="00EE4423">
        <w:t xml:space="preserve">Report </w:t>
      </w:r>
      <w:r w:rsidR="00CC1F45">
        <w:t>769</w:t>
      </w:r>
      <w:r w:rsidR="00CC1F45" w:rsidRPr="00EE4423">
        <w:t> </w:t>
      </w:r>
      <w:r w:rsidR="00075679" w:rsidRPr="000C4629">
        <w:rPr>
          <w:i/>
          <w:iCs/>
        </w:rPr>
        <w:t>Response to submissions on CP 367 Remaking ASIC class orders on financial requirements</w:t>
      </w:r>
      <w:r w:rsidR="00075679" w:rsidRPr="00EE4423">
        <w:t> </w:t>
      </w:r>
      <w:r w:rsidR="0051761E">
        <w:t xml:space="preserve">(Report </w:t>
      </w:r>
      <w:r w:rsidR="00CC1F45">
        <w:t>769</w:t>
      </w:r>
      <w:r w:rsidR="0051761E">
        <w:t xml:space="preserve">) </w:t>
      </w:r>
      <w:r w:rsidR="00011CE5" w:rsidRPr="00EE4423">
        <w:t xml:space="preserve">summarises the key issues </w:t>
      </w:r>
      <w:r w:rsidR="006921E0">
        <w:t xml:space="preserve">raised in </w:t>
      </w:r>
      <w:r w:rsidR="00011CE5" w:rsidRPr="00EE4423">
        <w:t>the submissions and ASIC’s responses</w:t>
      </w:r>
      <w:r w:rsidR="00011CE5" w:rsidRPr="00011CE5">
        <w:rPr>
          <w:sz w:val="22"/>
          <w:szCs w:val="22"/>
        </w:rPr>
        <w:t>.</w:t>
      </w:r>
      <w:r w:rsidR="00912351">
        <w:rPr>
          <w:sz w:val="22"/>
          <w:szCs w:val="22"/>
        </w:rPr>
        <w:t xml:space="preserve"> </w:t>
      </w:r>
      <w:r w:rsidR="00912351" w:rsidRPr="000C4629">
        <w:t>As outline</w:t>
      </w:r>
      <w:r w:rsidR="00912351">
        <w:t xml:space="preserve">d in Report </w:t>
      </w:r>
      <w:r w:rsidR="00CC1F45">
        <w:t>769</w:t>
      </w:r>
      <w:r w:rsidR="00912351">
        <w:t xml:space="preserve">, ASIC has provided additional explanation in this explanatory statement and additional guidance in </w:t>
      </w:r>
      <w:r w:rsidR="00834C97">
        <w:t>RG 166</w:t>
      </w:r>
      <w:r w:rsidR="00912351" w:rsidRPr="006E261B">
        <w:rPr>
          <w:i/>
          <w:iCs/>
        </w:rPr>
        <w:t xml:space="preserve"> </w:t>
      </w:r>
      <w:r w:rsidR="00912351">
        <w:t xml:space="preserve">in response to some of the issues raised. </w:t>
      </w:r>
      <w:r w:rsidR="00827140">
        <w:t xml:space="preserve">The </w:t>
      </w:r>
      <w:r w:rsidR="00B44BAA">
        <w:t>I</w:t>
      </w:r>
      <w:r w:rsidR="00827140">
        <w:t xml:space="preserve">nstrument also </w:t>
      </w:r>
      <w:r w:rsidR="00943A57">
        <w:t>corrects the definition of ‘</w:t>
      </w:r>
      <w:r w:rsidR="004542E1">
        <w:t xml:space="preserve">excluded assets’ and </w:t>
      </w:r>
      <w:r w:rsidR="00827140">
        <w:t xml:space="preserve">amends the </w:t>
      </w:r>
      <w:r w:rsidR="005A355A">
        <w:t>definition of ‘revenue’</w:t>
      </w:r>
      <w:r w:rsidR="003A2A77">
        <w:t xml:space="preserve">. </w:t>
      </w:r>
    </w:p>
    <w:p w14:paraId="0BF0FFAF" w14:textId="398A80E4" w:rsidR="00011CE5" w:rsidRPr="00011CE5" w:rsidRDefault="00474206" w:rsidP="00474206">
      <w:pPr>
        <w:pStyle w:val="LI-BodyTextParaa"/>
        <w:ind w:left="567"/>
        <w:rPr>
          <w:bCs/>
          <w:szCs w:val="22"/>
        </w:rPr>
      </w:pPr>
      <w:r>
        <w:rPr>
          <w:bCs/>
          <w:szCs w:val="22"/>
        </w:rPr>
        <w:t>1</w:t>
      </w:r>
      <w:r w:rsidR="009953B1">
        <w:rPr>
          <w:bCs/>
          <w:szCs w:val="22"/>
        </w:rPr>
        <w:t>2</w:t>
      </w:r>
      <w:r>
        <w:rPr>
          <w:bCs/>
          <w:szCs w:val="22"/>
        </w:rPr>
        <w:t>.</w:t>
      </w:r>
      <w:r>
        <w:rPr>
          <w:bCs/>
          <w:szCs w:val="22"/>
        </w:rPr>
        <w:tab/>
      </w:r>
      <w:r w:rsidR="004E1A39" w:rsidRPr="0046352A">
        <w:rPr>
          <w:bCs/>
          <w:szCs w:val="22"/>
        </w:rPr>
        <w:t xml:space="preserve">ASIC has self-certified that it is not required to prepare </w:t>
      </w:r>
      <w:r w:rsidR="00C672D9">
        <w:rPr>
          <w:bCs/>
          <w:szCs w:val="22"/>
        </w:rPr>
        <w:t>an Impact Analysis</w:t>
      </w:r>
      <w:r w:rsidR="004E1A39" w:rsidRPr="0046352A">
        <w:rPr>
          <w:bCs/>
          <w:szCs w:val="22"/>
        </w:rPr>
        <w:t xml:space="preserve"> for the Instrument. This is because following a formal consultation process with affected stakeholders, ASIC has assessed that </w:t>
      </w:r>
      <w:r w:rsidR="004E1A39">
        <w:rPr>
          <w:bCs/>
          <w:szCs w:val="22"/>
        </w:rPr>
        <w:t xml:space="preserve">[CO 13/761] </w:t>
      </w:r>
      <w:r w:rsidR="004E1A39" w:rsidRPr="0046352A">
        <w:rPr>
          <w:bCs/>
          <w:szCs w:val="22"/>
        </w:rPr>
        <w:t>is operating effectively and efficiently.</w:t>
      </w:r>
    </w:p>
    <w:p w14:paraId="36B902B4" w14:textId="0244294C" w:rsidR="007279C2" w:rsidRDefault="007279C2" w:rsidP="007279C2">
      <w:pPr>
        <w:pStyle w:val="LI-BodyTextNumbered"/>
        <w:keepNext/>
        <w:ind w:left="0" w:firstLine="0"/>
        <w:rPr>
          <w:b/>
        </w:rPr>
      </w:pPr>
      <w:r>
        <w:rPr>
          <w:b/>
        </w:rPr>
        <w:t>Operation of the instrument</w:t>
      </w:r>
    </w:p>
    <w:p w14:paraId="1128489E" w14:textId="79A5B6AA" w:rsidR="00474206" w:rsidRPr="0088253A" w:rsidRDefault="00474206" w:rsidP="00474206">
      <w:pPr>
        <w:pStyle w:val="LI-BodyTextNumbered"/>
        <w:ind w:left="0" w:firstLine="0"/>
        <w:rPr>
          <w:b/>
          <w:i/>
          <w:iCs/>
        </w:rPr>
      </w:pPr>
      <w:r w:rsidRPr="0088253A">
        <w:rPr>
          <w:b/>
          <w:i/>
          <w:iCs/>
        </w:rPr>
        <w:t>General</w:t>
      </w:r>
    </w:p>
    <w:p w14:paraId="51768786" w14:textId="60FAE95B" w:rsidR="00474206" w:rsidRPr="003B556C" w:rsidRDefault="00474206" w:rsidP="00474206">
      <w:pPr>
        <w:pStyle w:val="LI-BodyTextParaa"/>
        <w:ind w:left="567"/>
      </w:pPr>
      <w:r>
        <w:t>1</w:t>
      </w:r>
      <w:r w:rsidR="009953B1">
        <w:t>3</w:t>
      </w:r>
      <w:r>
        <w:t>.</w:t>
      </w:r>
      <w:r>
        <w:tab/>
        <w:t xml:space="preserve">Section 5 of the Instrument inserts </w:t>
      </w:r>
      <w:r w:rsidRPr="003B556C">
        <w:t>section 912A</w:t>
      </w:r>
      <w:r>
        <w:t>C</w:t>
      </w:r>
      <w:r w:rsidRPr="003B556C">
        <w:t xml:space="preserve"> of the Corporations Act which, under subsection 912A</w:t>
      </w:r>
      <w:r>
        <w:t>C</w:t>
      </w:r>
      <w:r w:rsidRPr="003B556C">
        <w:t xml:space="preserve">(1), applies to AFS licensees that are </w:t>
      </w:r>
      <w:r>
        <w:t>custodians and depository service providers</w:t>
      </w:r>
      <w:r w:rsidRPr="003B556C">
        <w:t xml:space="preserve">, other than </w:t>
      </w:r>
      <w:r>
        <w:t>a licensee</w:t>
      </w:r>
      <w:r w:rsidRPr="003B556C">
        <w:t xml:space="preserve"> that is:</w:t>
      </w:r>
    </w:p>
    <w:p w14:paraId="4B3A0D60" w14:textId="77777777" w:rsidR="00474206" w:rsidRDefault="00474206" w:rsidP="00507406">
      <w:pPr>
        <w:pStyle w:val="LI-BodyTextParaa"/>
        <w:ind w:left="1134"/>
      </w:pPr>
      <w:r>
        <w:t>(a)</w:t>
      </w:r>
      <w:r>
        <w:tab/>
      </w:r>
      <w:r w:rsidRPr="003B556C">
        <w:t>a body regulated by the Australian Prudential Regulation Authority (</w:t>
      </w:r>
      <w:r w:rsidRPr="003B556C">
        <w:rPr>
          <w:b/>
          <w:bCs/>
        </w:rPr>
        <w:t>APRA</w:t>
      </w:r>
      <w:r w:rsidRPr="003B556C">
        <w:t>) that is not required to comply with paragraph 912A(1)(d) of the Corporations Act; or</w:t>
      </w:r>
    </w:p>
    <w:p w14:paraId="0D1FF2B8" w14:textId="77777777" w:rsidR="00474206" w:rsidRDefault="00474206" w:rsidP="00507406">
      <w:pPr>
        <w:pStyle w:val="LI-BodyTextParaa"/>
        <w:ind w:left="1134"/>
      </w:pPr>
      <w:r>
        <w:t>(b)</w:t>
      </w:r>
      <w:r>
        <w:tab/>
      </w:r>
      <w:r w:rsidRPr="003B556C">
        <w:t>a market participant; or</w:t>
      </w:r>
    </w:p>
    <w:p w14:paraId="1DAF4454" w14:textId="77777777" w:rsidR="00474206" w:rsidRPr="003B556C" w:rsidRDefault="00474206" w:rsidP="00507406">
      <w:pPr>
        <w:pStyle w:val="LI-BodyTextParaa"/>
        <w:ind w:left="1134"/>
      </w:pPr>
      <w:r>
        <w:t>(c)</w:t>
      </w:r>
      <w:r>
        <w:tab/>
      </w:r>
      <w:r w:rsidRPr="003B556C">
        <w:t>a clearing participant.</w:t>
      </w:r>
    </w:p>
    <w:p w14:paraId="67DD08EE" w14:textId="77777777" w:rsidR="00474206" w:rsidRPr="00B27C66" w:rsidRDefault="00474206" w:rsidP="00474206">
      <w:pPr>
        <w:pStyle w:val="LI-BodyTextParaa"/>
        <w:ind w:left="567" w:firstLine="0"/>
        <w:rPr>
          <w:sz w:val="22"/>
          <w:szCs w:val="22"/>
        </w:rPr>
      </w:pPr>
      <w:r w:rsidRPr="003B556C">
        <w:t>This is because other requirements apply to these AFS licensees under ASIC or APRA policy.</w:t>
      </w:r>
    </w:p>
    <w:p w14:paraId="21D0FDE4" w14:textId="1F47432E" w:rsidR="00620302" w:rsidRDefault="00474206" w:rsidP="004C4902">
      <w:pPr>
        <w:pStyle w:val="LI-BodyTextParaa"/>
        <w:ind w:left="567"/>
        <w:rPr>
          <w:iCs/>
        </w:rPr>
      </w:pPr>
      <w:r>
        <w:t>1</w:t>
      </w:r>
      <w:r w:rsidR="009953B1">
        <w:t>4</w:t>
      </w:r>
      <w:r w:rsidRPr="00474B52">
        <w:t>.</w:t>
      </w:r>
      <w:r>
        <w:rPr>
          <w:i/>
        </w:rPr>
        <w:tab/>
      </w:r>
      <w:r w:rsidRPr="00130E13">
        <w:rPr>
          <w:iCs/>
        </w:rPr>
        <w:t>Subsection 912A</w:t>
      </w:r>
      <w:r>
        <w:rPr>
          <w:iCs/>
        </w:rPr>
        <w:t>C</w:t>
      </w:r>
      <w:r w:rsidRPr="00130E13">
        <w:rPr>
          <w:iCs/>
        </w:rPr>
        <w:t>(2) specifies that a licensee to which section 912A</w:t>
      </w:r>
      <w:r>
        <w:rPr>
          <w:iCs/>
        </w:rPr>
        <w:t>C</w:t>
      </w:r>
      <w:r w:rsidRPr="00130E13">
        <w:rPr>
          <w:iCs/>
        </w:rPr>
        <w:t xml:space="preserve"> applies is taken to have complied with the conditions (if any) of its AFS license that relate to cash needs, </w:t>
      </w:r>
      <w:r>
        <w:rPr>
          <w:iCs/>
        </w:rPr>
        <w:t>net tangible assets</w:t>
      </w:r>
      <w:r w:rsidRPr="00130E13">
        <w:rPr>
          <w:iCs/>
        </w:rPr>
        <w:t xml:space="preserve"> and audit opinion requirements.</w:t>
      </w:r>
    </w:p>
    <w:p w14:paraId="2C6BB0F1" w14:textId="46F544E2" w:rsidR="00474206" w:rsidRPr="0088253A" w:rsidRDefault="002F55D9" w:rsidP="00507406">
      <w:pPr>
        <w:pStyle w:val="LI-BodyTextParaa"/>
        <w:keepNext/>
        <w:ind w:left="567"/>
        <w:rPr>
          <w:b/>
          <w:bCs/>
          <w:i/>
        </w:rPr>
      </w:pPr>
      <w:r>
        <w:rPr>
          <w:b/>
          <w:bCs/>
          <w:i/>
        </w:rPr>
        <w:t>Tailored c</w:t>
      </w:r>
      <w:r w:rsidRPr="0088253A">
        <w:rPr>
          <w:b/>
          <w:bCs/>
          <w:i/>
        </w:rPr>
        <w:t xml:space="preserve">ash </w:t>
      </w:r>
      <w:r w:rsidR="00474206" w:rsidRPr="0088253A">
        <w:rPr>
          <w:b/>
          <w:bCs/>
          <w:i/>
        </w:rPr>
        <w:t>needs requirements</w:t>
      </w:r>
    </w:p>
    <w:p w14:paraId="3A6FC97E" w14:textId="07377C0C" w:rsidR="00474206" w:rsidRDefault="001F1280" w:rsidP="00474206">
      <w:pPr>
        <w:pStyle w:val="LI-BodyTextParaa"/>
        <w:ind w:left="567"/>
        <w:rPr>
          <w:iCs/>
        </w:rPr>
      </w:pPr>
      <w:r>
        <w:rPr>
          <w:iCs/>
        </w:rPr>
        <w:t>1</w:t>
      </w:r>
      <w:r w:rsidR="009953B1">
        <w:rPr>
          <w:iCs/>
        </w:rPr>
        <w:t>5</w:t>
      </w:r>
      <w:r w:rsidR="00474206">
        <w:rPr>
          <w:iCs/>
        </w:rPr>
        <w:t>.</w:t>
      </w:r>
      <w:r w:rsidR="00474206">
        <w:rPr>
          <w:iCs/>
        </w:rPr>
        <w:tab/>
      </w:r>
      <w:r w:rsidR="00474206" w:rsidRPr="00672BC3">
        <w:rPr>
          <w:iCs/>
        </w:rPr>
        <w:t>Subsection 912A</w:t>
      </w:r>
      <w:r w:rsidR="00474206">
        <w:rPr>
          <w:iCs/>
        </w:rPr>
        <w:t>C</w:t>
      </w:r>
      <w:r w:rsidR="00474206" w:rsidRPr="00672BC3">
        <w:rPr>
          <w:iCs/>
        </w:rPr>
        <w:t xml:space="preserve">(3) requires a </w:t>
      </w:r>
      <w:r w:rsidR="00474206">
        <w:rPr>
          <w:iCs/>
        </w:rPr>
        <w:t>licensee</w:t>
      </w:r>
      <w:r w:rsidR="00474206" w:rsidRPr="00672BC3">
        <w:rPr>
          <w:iCs/>
        </w:rPr>
        <w:t xml:space="preserve"> to prepare a cash flow projection covering at least the next 12 months based on what is reasonably likely to </w:t>
      </w:r>
      <w:r w:rsidR="00370DB0">
        <w:rPr>
          <w:iCs/>
        </w:rPr>
        <w:t>happen over this period</w:t>
      </w:r>
      <w:r w:rsidR="00474206" w:rsidRPr="00672BC3">
        <w:rPr>
          <w:iCs/>
        </w:rPr>
        <w:t xml:space="preserve">. The cash flow projection must be approved by directors </w:t>
      </w:r>
      <w:r w:rsidR="00474206" w:rsidRPr="00672BC3">
        <w:rPr>
          <w:iCs/>
        </w:rPr>
        <w:lastRenderedPageBreak/>
        <w:t xml:space="preserve">of the </w:t>
      </w:r>
      <w:r w:rsidR="00474206">
        <w:rPr>
          <w:iCs/>
        </w:rPr>
        <w:t>licensee</w:t>
      </w:r>
      <w:r w:rsidR="00474206" w:rsidRPr="00672BC3">
        <w:rPr>
          <w:iCs/>
        </w:rPr>
        <w:t xml:space="preserve"> </w:t>
      </w:r>
      <w:r w:rsidR="00474206">
        <w:rPr>
          <w:iCs/>
        </w:rPr>
        <w:t xml:space="preserve">at least once a quarter </w:t>
      </w:r>
      <w:r w:rsidR="00474206" w:rsidRPr="00672BC3">
        <w:rPr>
          <w:iCs/>
        </w:rPr>
        <w:t>as satisfying the cash needs requirement. The </w:t>
      </w:r>
      <w:r w:rsidR="00474206">
        <w:rPr>
          <w:iCs/>
        </w:rPr>
        <w:t>licensee</w:t>
      </w:r>
      <w:r w:rsidR="00474206" w:rsidRPr="00672BC3">
        <w:rPr>
          <w:iCs/>
        </w:rPr>
        <w:t xml:space="preserve"> must document the calculations and assumptions used in preparing the projection and describe why those assumptions are appropriate. The cash flow projection must be updated in certain circumstances.</w:t>
      </w:r>
    </w:p>
    <w:p w14:paraId="6D91CC99" w14:textId="2054BF4B" w:rsidR="00474206" w:rsidRPr="00672BC3" w:rsidRDefault="00474206" w:rsidP="00474206">
      <w:pPr>
        <w:pStyle w:val="LI-BodyTextParaa"/>
        <w:ind w:left="567"/>
        <w:rPr>
          <w:b/>
          <w:bCs/>
          <w:i/>
        </w:rPr>
      </w:pPr>
      <w:r w:rsidRPr="00672BC3">
        <w:rPr>
          <w:b/>
          <w:bCs/>
          <w:i/>
        </w:rPr>
        <w:t>N</w:t>
      </w:r>
      <w:r w:rsidR="0065759F">
        <w:rPr>
          <w:b/>
          <w:bCs/>
          <w:i/>
        </w:rPr>
        <w:t xml:space="preserve">et </w:t>
      </w:r>
      <w:r w:rsidRPr="00672BC3">
        <w:rPr>
          <w:b/>
          <w:bCs/>
          <w:i/>
        </w:rPr>
        <w:t>T</w:t>
      </w:r>
      <w:r w:rsidR="0065759F">
        <w:rPr>
          <w:b/>
          <w:bCs/>
          <w:i/>
        </w:rPr>
        <w:t xml:space="preserve">angible </w:t>
      </w:r>
      <w:r w:rsidRPr="00672BC3">
        <w:rPr>
          <w:b/>
          <w:bCs/>
          <w:i/>
        </w:rPr>
        <w:t>A</w:t>
      </w:r>
      <w:r w:rsidR="0065759F">
        <w:rPr>
          <w:b/>
          <w:bCs/>
          <w:i/>
        </w:rPr>
        <w:t>sset</w:t>
      </w:r>
      <w:r w:rsidRPr="00672BC3">
        <w:rPr>
          <w:b/>
          <w:bCs/>
          <w:i/>
        </w:rPr>
        <w:t xml:space="preserve"> requirement</w:t>
      </w:r>
    </w:p>
    <w:p w14:paraId="6240EA7D" w14:textId="3A001295" w:rsidR="007B1706" w:rsidRDefault="00474206" w:rsidP="005D6B18">
      <w:pPr>
        <w:pStyle w:val="LI-BodyTextParaa"/>
        <w:ind w:left="567"/>
        <w:rPr>
          <w:iCs/>
        </w:rPr>
      </w:pPr>
      <w:r>
        <w:rPr>
          <w:iCs/>
        </w:rPr>
        <w:t>1</w:t>
      </w:r>
      <w:r w:rsidR="009953B1">
        <w:rPr>
          <w:iCs/>
        </w:rPr>
        <w:t>6</w:t>
      </w:r>
      <w:r>
        <w:rPr>
          <w:iCs/>
        </w:rPr>
        <w:t>.</w:t>
      </w:r>
      <w:r>
        <w:rPr>
          <w:iCs/>
        </w:rPr>
        <w:tab/>
      </w:r>
      <w:r w:rsidR="006E3F71">
        <w:rPr>
          <w:iCs/>
        </w:rPr>
        <w:t xml:space="preserve">The NTA requirement applies to all licensees that hold a licence authorisation to provide custodial or depository services, whether or not the licensee actually provides </w:t>
      </w:r>
      <w:r w:rsidR="007B1706">
        <w:rPr>
          <w:iCs/>
        </w:rPr>
        <w:t>custody or depository service</w:t>
      </w:r>
      <w:r w:rsidR="00764CC0">
        <w:rPr>
          <w:iCs/>
        </w:rPr>
        <w:t xml:space="preserve">, is an incidental provider only or provides no custodial or depository services at all. </w:t>
      </w:r>
    </w:p>
    <w:p w14:paraId="296C4CA1" w14:textId="31A6DD4E" w:rsidR="0032138B" w:rsidRDefault="001F1280" w:rsidP="005D6B18">
      <w:pPr>
        <w:pStyle w:val="LI-BodyTextParaa"/>
        <w:ind w:left="567"/>
        <w:rPr>
          <w:iCs/>
        </w:rPr>
      </w:pPr>
      <w:r>
        <w:rPr>
          <w:iCs/>
        </w:rPr>
        <w:t>1</w:t>
      </w:r>
      <w:r w:rsidR="009953B1">
        <w:rPr>
          <w:iCs/>
        </w:rPr>
        <w:t>7</w:t>
      </w:r>
      <w:r w:rsidR="007B1706">
        <w:rPr>
          <w:iCs/>
        </w:rPr>
        <w:t xml:space="preserve">. </w:t>
      </w:r>
      <w:r w:rsidR="007B1706">
        <w:rPr>
          <w:iCs/>
        </w:rPr>
        <w:tab/>
      </w:r>
      <w:r w:rsidR="00474206" w:rsidRPr="00695D91">
        <w:rPr>
          <w:iCs/>
        </w:rPr>
        <w:t>Subsection 912A</w:t>
      </w:r>
      <w:r w:rsidR="006060AE">
        <w:rPr>
          <w:iCs/>
        </w:rPr>
        <w:t>C</w:t>
      </w:r>
      <w:r w:rsidR="00474206" w:rsidRPr="00695D91">
        <w:rPr>
          <w:iCs/>
        </w:rPr>
        <w:t>(</w:t>
      </w:r>
      <w:r w:rsidR="0063144B">
        <w:rPr>
          <w:iCs/>
        </w:rPr>
        <w:t>4</w:t>
      </w:r>
      <w:r w:rsidR="00474206" w:rsidRPr="00695D91">
        <w:rPr>
          <w:iCs/>
        </w:rPr>
        <w:t>)</w:t>
      </w:r>
      <w:r w:rsidR="0063144B">
        <w:rPr>
          <w:iCs/>
        </w:rPr>
        <w:t xml:space="preserve"> </w:t>
      </w:r>
      <w:r w:rsidR="0032138B">
        <w:rPr>
          <w:iCs/>
        </w:rPr>
        <w:t xml:space="preserve">requires licensees that provide custodial and depository services to hold </w:t>
      </w:r>
      <w:r w:rsidR="00515D47">
        <w:rPr>
          <w:iCs/>
        </w:rPr>
        <w:t>net tangible assets (</w:t>
      </w:r>
      <w:r w:rsidR="00515D47">
        <w:rPr>
          <w:b/>
          <w:bCs/>
          <w:iCs/>
        </w:rPr>
        <w:t>NTA</w:t>
      </w:r>
      <w:r w:rsidR="00515D47" w:rsidRPr="00515D47">
        <w:rPr>
          <w:iCs/>
        </w:rPr>
        <w:t>)</w:t>
      </w:r>
      <w:r w:rsidR="00515D47">
        <w:rPr>
          <w:iCs/>
        </w:rPr>
        <w:t xml:space="preserve"> requirements </w:t>
      </w:r>
      <w:r w:rsidR="0032138B">
        <w:rPr>
          <w:iCs/>
        </w:rPr>
        <w:t xml:space="preserve">as follows: </w:t>
      </w:r>
    </w:p>
    <w:p w14:paraId="5F4759D6" w14:textId="076408B6" w:rsidR="0032138B" w:rsidRDefault="0032138B" w:rsidP="0032138B">
      <w:pPr>
        <w:pStyle w:val="LI-BodyTextParaa"/>
        <w:ind w:left="1134"/>
        <w:rPr>
          <w:iCs/>
        </w:rPr>
      </w:pPr>
      <w:r>
        <w:rPr>
          <w:iCs/>
        </w:rPr>
        <w:t>(a)</w:t>
      </w:r>
      <w:r>
        <w:rPr>
          <w:iCs/>
        </w:rPr>
        <w:tab/>
      </w:r>
      <w:r w:rsidR="00515D47">
        <w:rPr>
          <w:iCs/>
        </w:rPr>
        <w:t xml:space="preserve">for </w:t>
      </w:r>
      <w:r>
        <w:rPr>
          <w:iCs/>
        </w:rPr>
        <w:t>a l</w:t>
      </w:r>
      <w:r w:rsidR="00515D47">
        <w:rPr>
          <w:iCs/>
        </w:rPr>
        <w:t>icensee</w:t>
      </w:r>
      <w:r>
        <w:rPr>
          <w:iCs/>
        </w:rPr>
        <w:t xml:space="preserve"> </w:t>
      </w:r>
      <w:r w:rsidR="00522E25">
        <w:rPr>
          <w:iCs/>
        </w:rPr>
        <w:t xml:space="preserve">that </w:t>
      </w:r>
      <w:r>
        <w:rPr>
          <w:iCs/>
        </w:rPr>
        <w:t xml:space="preserve">is not an incidental provider, at least the greater of $10 million or 10% of the licensee’s average revenue; and </w:t>
      </w:r>
    </w:p>
    <w:p w14:paraId="0D630405" w14:textId="10E469F2" w:rsidR="00474206" w:rsidRDefault="0032138B" w:rsidP="0032138B">
      <w:pPr>
        <w:pStyle w:val="LI-BodyTextParaa"/>
        <w:ind w:left="1134"/>
        <w:rPr>
          <w:iCs/>
        </w:rPr>
      </w:pPr>
      <w:r>
        <w:rPr>
          <w:iCs/>
        </w:rPr>
        <w:t xml:space="preserve">(b) </w:t>
      </w:r>
      <w:r>
        <w:rPr>
          <w:iCs/>
        </w:rPr>
        <w:tab/>
        <w:t>for a l</w:t>
      </w:r>
      <w:r w:rsidR="000227DC">
        <w:rPr>
          <w:iCs/>
        </w:rPr>
        <w:t xml:space="preserve">icensee that </w:t>
      </w:r>
      <w:r>
        <w:rPr>
          <w:iCs/>
        </w:rPr>
        <w:t xml:space="preserve">is an </w:t>
      </w:r>
      <w:r w:rsidR="000227DC">
        <w:rPr>
          <w:iCs/>
        </w:rPr>
        <w:t>incidental provider</w:t>
      </w:r>
      <w:r>
        <w:rPr>
          <w:iCs/>
        </w:rPr>
        <w:t>, at least the greater of $150,000 or 10% of average revenue</w:t>
      </w:r>
      <w:r w:rsidR="00474206" w:rsidRPr="00695D91">
        <w:rPr>
          <w:iCs/>
        </w:rPr>
        <w:t>.</w:t>
      </w:r>
    </w:p>
    <w:p w14:paraId="5B8DC6A3" w14:textId="27A63705" w:rsidR="00F13642" w:rsidRDefault="001F1280" w:rsidP="0032138B">
      <w:pPr>
        <w:pStyle w:val="BodyText"/>
        <w:shd w:val="clear" w:color="auto" w:fill="FFFFFF"/>
        <w:spacing w:before="200"/>
        <w:ind w:left="570" w:hanging="570"/>
        <w:rPr>
          <w:iCs/>
        </w:rPr>
      </w:pPr>
      <w:r>
        <w:rPr>
          <w:iCs/>
        </w:rPr>
        <w:t>1</w:t>
      </w:r>
      <w:r w:rsidR="009953B1">
        <w:rPr>
          <w:iCs/>
        </w:rPr>
        <w:t>8</w:t>
      </w:r>
      <w:r w:rsidR="00474206">
        <w:rPr>
          <w:iCs/>
        </w:rPr>
        <w:t>.</w:t>
      </w:r>
      <w:r w:rsidR="00474206">
        <w:rPr>
          <w:iCs/>
        </w:rPr>
        <w:tab/>
      </w:r>
      <w:r w:rsidR="0032138B" w:rsidRPr="0032138B">
        <w:rPr>
          <w:iCs/>
        </w:rPr>
        <w:t>A</w:t>
      </w:r>
      <w:r w:rsidR="00E02009">
        <w:rPr>
          <w:iCs/>
        </w:rPr>
        <w:t xml:space="preserve"> licensee which is a</w:t>
      </w:r>
      <w:r w:rsidR="0032138B" w:rsidRPr="0032138B">
        <w:rPr>
          <w:iCs/>
        </w:rPr>
        <w:t xml:space="preserve">n incidental provider </w:t>
      </w:r>
      <w:r w:rsidR="00CD142C">
        <w:rPr>
          <w:iCs/>
        </w:rPr>
        <w:t xml:space="preserve">(first licensee) </w:t>
      </w:r>
      <w:r w:rsidR="0032138B" w:rsidRPr="0032138B">
        <w:rPr>
          <w:iCs/>
        </w:rPr>
        <w:t xml:space="preserve">does not have to meet the NTA requirements in subsection 912AC(4) if subsection 912AC(5) applies. Subsection 912AC(5) applies </w:t>
      </w:r>
      <w:r w:rsidR="0070105C">
        <w:rPr>
          <w:iCs/>
        </w:rPr>
        <w:t>to the first licensee if</w:t>
      </w:r>
      <w:r w:rsidR="0032138B" w:rsidRPr="0032138B">
        <w:rPr>
          <w:iCs/>
        </w:rPr>
        <w:t xml:space="preserve"> all the financial products</w:t>
      </w:r>
      <w:r w:rsidR="00312EAD">
        <w:rPr>
          <w:iCs/>
        </w:rPr>
        <w:t xml:space="preserve"> to which </w:t>
      </w:r>
      <w:r w:rsidR="00746E02">
        <w:rPr>
          <w:iCs/>
        </w:rPr>
        <w:t xml:space="preserve">the </w:t>
      </w:r>
      <w:r w:rsidR="00312EAD">
        <w:rPr>
          <w:iCs/>
        </w:rPr>
        <w:t>custodial or depository services relate,</w:t>
      </w:r>
      <w:r w:rsidR="0032138B" w:rsidRPr="0032138B">
        <w:rPr>
          <w:iCs/>
        </w:rPr>
        <w:t xml:space="preserve"> are held by a</w:t>
      </w:r>
      <w:r w:rsidR="003A531B">
        <w:rPr>
          <w:iCs/>
        </w:rPr>
        <w:t>nother</w:t>
      </w:r>
      <w:r w:rsidR="0032138B" w:rsidRPr="0032138B">
        <w:rPr>
          <w:iCs/>
        </w:rPr>
        <w:t xml:space="preserve"> licensee</w:t>
      </w:r>
      <w:r w:rsidR="003A531B">
        <w:rPr>
          <w:iCs/>
        </w:rPr>
        <w:t xml:space="preserve"> </w:t>
      </w:r>
      <w:r w:rsidR="0070105C">
        <w:rPr>
          <w:iCs/>
        </w:rPr>
        <w:t xml:space="preserve">(second licensee). The second licensee must be </w:t>
      </w:r>
      <w:r w:rsidR="0032138B" w:rsidRPr="0032138B">
        <w:rPr>
          <w:iCs/>
        </w:rPr>
        <w:t>authorised to provide a custodial or depository service</w:t>
      </w:r>
      <w:r w:rsidR="009A5F65">
        <w:rPr>
          <w:iCs/>
        </w:rPr>
        <w:t xml:space="preserve">, </w:t>
      </w:r>
      <w:r w:rsidR="00746E02">
        <w:rPr>
          <w:iCs/>
        </w:rPr>
        <w:t xml:space="preserve">must not be </w:t>
      </w:r>
      <w:r w:rsidR="009A5F65">
        <w:rPr>
          <w:iCs/>
        </w:rPr>
        <w:t xml:space="preserve">an incidental provider and </w:t>
      </w:r>
      <w:r w:rsidR="00746E02">
        <w:rPr>
          <w:iCs/>
        </w:rPr>
        <w:t xml:space="preserve">must </w:t>
      </w:r>
      <w:r w:rsidR="009A5F65">
        <w:rPr>
          <w:iCs/>
        </w:rPr>
        <w:t>compl</w:t>
      </w:r>
      <w:r w:rsidR="00746E02">
        <w:rPr>
          <w:iCs/>
        </w:rPr>
        <w:t>y</w:t>
      </w:r>
      <w:r w:rsidR="009A5F65">
        <w:rPr>
          <w:iCs/>
        </w:rPr>
        <w:t xml:space="preserve"> with the NTA requirements</w:t>
      </w:r>
      <w:r w:rsidR="0032138B" w:rsidRPr="0032138B">
        <w:rPr>
          <w:iCs/>
        </w:rPr>
        <w:t>.</w:t>
      </w:r>
      <w:r w:rsidR="000227DC">
        <w:rPr>
          <w:iCs/>
        </w:rPr>
        <w:t xml:space="preserve"> </w:t>
      </w:r>
    </w:p>
    <w:p w14:paraId="7B077F45" w14:textId="0DFE81AB" w:rsidR="00474206" w:rsidRDefault="009953B1" w:rsidP="0032138B">
      <w:pPr>
        <w:pStyle w:val="BodyText"/>
        <w:shd w:val="clear" w:color="auto" w:fill="FFFFFF"/>
        <w:spacing w:before="200"/>
        <w:ind w:left="570" w:hanging="570"/>
        <w:rPr>
          <w:iCs/>
        </w:rPr>
      </w:pPr>
      <w:r>
        <w:rPr>
          <w:iCs/>
        </w:rPr>
        <w:t>19</w:t>
      </w:r>
      <w:r w:rsidR="00F13642">
        <w:rPr>
          <w:iCs/>
        </w:rPr>
        <w:t>.</w:t>
      </w:r>
      <w:r w:rsidR="00F13642">
        <w:rPr>
          <w:iCs/>
        </w:rPr>
        <w:tab/>
      </w:r>
      <w:r w:rsidR="008305D2">
        <w:rPr>
          <w:iCs/>
        </w:rPr>
        <w:t xml:space="preserve">Subsection 912AC(5) may also apply to a </w:t>
      </w:r>
      <w:r w:rsidR="009A237E">
        <w:rPr>
          <w:iCs/>
        </w:rPr>
        <w:t>licensee that provides no financial services at all</w:t>
      </w:r>
      <w:r w:rsidR="000119A4">
        <w:rPr>
          <w:iCs/>
        </w:rPr>
        <w:t xml:space="preserve">. In order to rely on s912AC(5), </w:t>
      </w:r>
      <w:r w:rsidR="0080151C">
        <w:rPr>
          <w:iCs/>
        </w:rPr>
        <w:t xml:space="preserve">the licensee must </w:t>
      </w:r>
      <w:r w:rsidR="00F743EB">
        <w:rPr>
          <w:iCs/>
        </w:rPr>
        <w:t xml:space="preserve">appoint </w:t>
      </w:r>
      <w:r w:rsidR="005335B4">
        <w:rPr>
          <w:iCs/>
        </w:rPr>
        <w:t xml:space="preserve">a </w:t>
      </w:r>
      <w:r w:rsidR="00CF26D7">
        <w:rPr>
          <w:iCs/>
        </w:rPr>
        <w:t>second licensee</w:t>
      </w:r>
      <w:r w:rsidR="0080151C">
        <w:rPr>
          <w:iCs/>
        </w:rPr>
        <w:t xml:space="preserve"> under paragraph </w:t>
      </w:r>
      <w:r w:rsidR="00724231">
        <w:rPr>
          <w:iCs/>
        </w:rPr>
        <w:t>s912AC(5)</w:t>
      </w:r>
      <w:r w:rsidR="0080151C">
        <w:rPr>
          <w:iCs/>
        </w:rPr>
        <w:t xml:space="preserve">(a). </w:t>
      </w:r>
    </w:p>
    <w:p w14:paraId="3C038998" w14:textId="77777777" w:rsidR="00790B39" w:rsidRDefault="00790B39" w:rsidP="0032138B">
      <w:pPr>
        <w:pStyle w:val="BodyText"/>
        <w:shd w:val="clear" w:color="auto" w:fill="FFFFFF"/>
        <w:spacing w:before="200"/>
        <w:ind w:left="570" w:hanging="570"/>
        <w:rPr>
          <w:b/>
          <w:bCs/>
          <w:i/>
        </w:rPr>
      </w:pPr>
      <w:r>
        <w:rPr>
          <w:b/>
          <w:bCs/>
          <w:i/>
        </w:rPr>
        <w:t>Revenue</w:t>
      </w:r>
    </w:p>
    <w:p w14:paraId="30907099" w14:textId="4A8622D7" w:rsidR="00624594" w:rsidRPr="00BE6B89" w:rsidRDefault="001F1280" w:rsidP="000D0E8D">
      <w:pPr>
        <w:pStyle w:val="BodyText"/>
        <w:shd w:val="clear" w:color="auto" w:fill="FFFFFF"/>
        <w:spacing w:before="200"/>
        <w:ind w:left="570" w:hanging="570"/>
        <w:rPr>
          <w:rStyle w:val="eop"/>
          <w:shd w:val="clear" w:color="auto" w:fill="FFFFFF"/>
        </w:rPr>
      </w:pPr>
      <w:r>
        <w:rPr>
          <w:iCs/>
        </w:rPr>
        <w:t>2</w:t>
      </w:r>
      <w:r w:rsidR="009953B1">
        <w:rPr>
          <w:iCs/>
        </w:rPr>
        <w:t>0</w:t>
      </w:r>
      <w:r>
        <w:rPr>
          <w:iCs/>
        </w:rPr>
        <w:t>.</w:t>
      </w:r>
      <w:r>
        <w:rPr>
          <w:iCs/>
        </w:rPr>
        <w:tab/>
      </w:r>
      <w:r w:rsidR="007C2F1C">
        <w:rPr>
          <w:iCs/>
        </w:rPr>
        <w:t xml:space="preserve">The NTA requirement </w:t>
      </w:r>
      <w:r w:rsidR="00ED7C28">
        <w:rPr>
          <w:iCs/>
        </w:rPr>
        <w:t xml:space="preserve">requires a calculation of the licensee’s average revenue. </w:t>
      </w:r>
      <w:r w:rsidR="00CF4679">
        <w:rPr>
          <w:i/>
        </w:rPr>
        <w:t>Revenue</w:t>
      </w:r>
      <w:r w:rsidR="00CF4679">
        <w:rPr>
          <w:iCs/>
        </w:rPr>
        <w:t xml:space="preserve"> </w:t>
      </w:r>
      <w:r w:rsidR="00D946B2">
        <w:rPr>
          <w:iCs/>
        </w:rPr>
        <w:t xml:space="preserve">is defined in s912AC(12) to include </w:t>
      </w:r>
      <w:r w:rsidR="005E3BA0">
        <w:rPr>
          <w:iCs/>
        </w:rPr>
        <w:t>the licensee’s revenue (within the meaning given by the accounting standards) and</w:t>
      </w:r>
      <w:r w:rsidR="00256CA9">
        <w:rPr>
          <w:iCs/>
        </w:rPr>
        <w:t>,</w:t>
      </w:r>
      <w:r w:rsidR="005E3BA0">
        <w:rPr>
          <w:iCs/>
        </w:rPr>
        <w:t xml:space="preserve"> </w:t>
      </w:r>
      <w:r w:rsidR="001D4B60">
        <w:rPr>
          <w:iCs/>
        </w:rPr>
        <w:t xml:space="preserve">to the extent it is not the licensee’s revenue, </w:t>
      </w:r>
      <w:r w:rsidR="001D4B60">
        <w:rPr>
          <w:rStyle w:val="normaltextrun"/>
          <w:shd w:val="clear" w:color="auto" w:fill="FFFFFF"/>
        </w:rPr>
        <w:t xml:space="preserve">any amount paid </w:t>
      </w:r>
      <w:r w:rsidR="001D4B60" w:rsidRPr="00CF7AC5">
        <w:rPr>
          <w:rStyle w:val="normaltextrun"/>
          <w:shd w:val="clear" w:color="auto" w:fill="FFFFFF"/>
        </w:rPr>
        <w:t xml:space="preserve">or payable </w:t>
      </w:r>
      <w:r w:rsidR="001D4B60">
        <w:rPr>
          <w:rStyle w:val="normaltextrun"/>
          <w:shd w:val="clear" w:color="auto" w:fill="FFFFFF"/>
        </w:rPr>
        <w:t>for the performance of the obligations imposed on the licensee to provide custodial or depository services, even if those obligations are performed by another entity.</w:t>
      </w:r>
      <w:r w:rsidR="001D4B60">
        <w:rPr>
          <w:rStyle w:val="eop"/>
          <w:shd w:val="clear" w:color="auto" w:fill="FFFFFF"/>
        </w:rPr>
        <w:t> </w:t>
      </w:r>
    </w:p>
    <w:p w14:paraId="28D60613" w14:textId="6D28BBF2" w:rsidR="009953B1" w:rsidRDefault="00624594" w:rsidP="009953B1">
      <w:pPr>
        <w:pStyle w:val="BodyText"/>
        <w:shd w:val="clear" w:color="auto" w:fill="FFFFFF"/>
        <w:spacing w:before="200"/>
        <w:ind w:left="570" w:hanging="570"/>
        <w:rPr>
          <w:rStyle w:val="normaltextrun"/>
          <w:shd w:val="clear" w:color="auto" w:fill="FFFFFF"/>
        </w:rPr>
      </w:pPr>
      <w:r>
        <w:rPr>
          <w:rStyle w:val="eop"/>
          <w:shd w:val="clear" w:color="auto" w:fill="FFFFFF"/>
        </w:rPr>
        <w:t>2</w:t>
      </w:r>
      <w:r w:rsidR="009953B1">
        <w:rPr>
          <w:rStyle w:val="eop"/>
          <w:shd w:val="clear" w:color="auto" w:fill="FFFFFF"/>
        </w:rPr>
        <w:t>1</w:t>
      </w:r>
      <w:r>
        <w:rPr>
          <w:rStyle w:val="eop"/>
          <w:shd w:val="clear" w:color="auto" w:fill="FFFFFF"/>
        </w:rPr>
        <w:t>.</w:t>
      </w:r>
      <w:r>
        <w:rPr>
          <w:rStyle w:val="eop"/>
          <w:shd w:val="clear" w:color="auto" w:fill="FFFFFF"/>
        </w:rPr>
        <w:tab/>
        <w:t xml:space="preserve">The calculation of a licensee’s </w:t>
      </w:r>
      <w:r w:rsidRPr="00624594">
        <w:rPr>
          <w:rStyle w:val="eop"/>
          <w:i/>
          <w:iCs/>
          <w:shd w:val="clear" w:color="auto" w:fill="FFFFFF"/>
        </w:rPr>
        <w:t>r</w:t>
      </w:r>
      <w:r w:rsidR="000D0E8D">
        <w:rPr>
          <w:rStyle w:val="eop"/>
          <w:i/>
          <w:iCs/>
          <w:shd w:val="clear" w:color="auto" w:fill="FFFFFF"/>
        </w:rPr>
        <w:t>evenue</w:t>
      </w:r>
      <w:r w:rsidR="004E25DC">
        <w:rPr>
          <w:rStyle w:val="eop"/>
          <w:shd w:val="clear" w:color="auto" w:fill="FFFFFF"/>
        </w:rPr>
        <w:t>,</w:t>
      </w:r>
      <w:r w:rsidR="000D0E8D">
        <w:rPr>
          <w:rStyle w:val="eop"/>
          <w:shd w:val="clear" w:color="auto" w:fill="FFFFFF"/>
        </w:rPr>
        <w:t xml:space="preserve"> therefore</w:t>
      </w:r>
      <w:r w:rsidR="004E25DC">
        <w:rPr>
          <w:rStyle w:val="eop"/>
          <w:shd w:val="clear" w:color="auto" w:fill="FFFFFF"/>
        </w:rPr>
        <w:t>,</w:t>
      </w:r>
      <w:r w:rsidR="000D0E8D">
        <w:rPr>
          <w:rStyle w:val="eop"/>
          <w:shd w:val="clear" w:color="auto" w:fill="FFFFFF"/>
        </w:rPr>
        <w:t xml:space="preserve"> includes any payments made for the performance of custodial or depository services</w:t>
      </w:r>
      <w:r w:rsidR="00174047">
        <w:rPr>
          <w:rStyle w:val="eop"/>
          <w:shd w:val="clear" w:color="auto" w:fill="FFFFFF"/>
        </w:rPr>
        <w:t>,</w:t>
      </w:r>
      <w:r w:rsidR="000D0E8D">
        <w:rPr>
          <w:rStyle w:val="eop"/>
          <w:shd w:val="clear" w:color="auto" w:fill="FFFFFF"/>
        </w:rPr>
        <w:t xml:space="preserve"> as well as any </w:t>
      </w:r>
      <w:r w:rsidR="00C10CD5">
        <w:rPr>
          <w:rStyle w:val="eop"/>
          <w:shd w:val="clear" w:color="auto" w:fill="FFFFFF"/>
        </w:rPr>
        <w:t xml:space="preserve">other </w:t>
      </w:r>
      <w:r w:rsidR="000D0E8D">
        <w:rPr>
          <w:rStyle w:val="eop"/>
          <w:shd w:val="clear" w:color="auto" w:fill="FFFFFF"/>
        </w:rPr>
        <w:t xml:space="preserve">payments made to an agent or authorised representative of the licensee that provides </w:t>
      </w:r>
      <w:r w:rsidR="000D0E8D">
        <w:rPr>
          <w:rStyle w:val="normaltextrun"/>
          <w:shd w:val="clear" w:color="auto" w:fill="FFFFFF"/>
        </w:rPr>
        <w:t>custodial or depository services on</w:t>
      </w:r>
      <w:r w:rsidR="00D67A95">
        <w:rPr>
          <w:rStyle w:val="normaltextrun"/>
          <w:shd w:val="clear" w:color="auto" w:fill="FFFFFF"/>
        </w:rPr>
        <w:t xml:space="preserve"> the licensee’s behalf. </w:t>
      </w:r>
    </w:p>
    <w:p w14:paraId="4EBF2208" w14:textId="77777777" w:rsidR="009953B1" w:rsidRDefault="009953B1">
      <w:pPr>
        <w:spacing w:after="160" w:line="259" w:lineRule="auto"/>
        <w:rPr>
          <w:rStyle w:val="normaltextrun"/>
          <w:rFonts w:eastAsia="Times New Roman"/>
          <w:color w:val="000000"/>
          <w:sz w:val="24"/>
          <w:shd w:val="clear" w:color="auto" w:fill="FFFFFF"/>
        </w:rPr>
      </w:pPr>
      <w:r>
        <w:rPr>
          <w:rStyle w:val="normaltextrun"/>
          <w:shd w:val="clear" w:color="auto" w:fill="FFFFFF"/>
        </w:rPr>
        <w:br w:type="page"/>
      </w:r>
    </w:p>
    <w:p w14:paraId="79D4A0C6" w14:textId="77777777" w:rsidR="009953B1" w:rsidRPr="000D0E8D" w:rsidRDefault="009953B1" w:rsidP="009953B1">
      <w:pPr>
        <w:pStyle w:val="BodyText"/>
        <w:shd w:val="clear" w:color="auto" w:fill="FFFFFF"/>
        <w:spacing w:before="200"/>
        <w:ind w:left="570" w:hanging="570"/>
        <w:rPr>
          <w:shd w:val="clear" w:color="auto" w:fill="FFFFFF"/>
        </w:rPr>
      </w:pPr>
    </w:p>
    <w:p w14:paraId="0967EA49" w14:textId="30836697" w:rsidR="0032138B" w:rsidRPr="0032138B" w:rsidRDefault="009322EB" w:rsidP="0032138B">
      <w:pPr>
        <w:pStyle w:val="BodyText"/>
        <w:shd w:val="clear" w:color="auto" w:fill="FFFFFF"/>
        <w:spacing w:before="200"/>
        <w:ind w:left="570" w:hanging="570"/>
        <w:rPr>
          <w:b/>
          <w:bCs/>
          <w:i/>
        </w:rPr>
      </w:pPr>
      <w:r>
        <w:rPr>
          <w:b/>
          <w:bCs/>
          <w:i/>
        </w:rPr>
        <w:t xml:space="preserve">Liquidity </w:t>
      </w:r>
      <w:r w:rsidR="0032138B">
        <w:rPr>
          <w:b/>
          <w:bCs/>
          <w:i/>
        </w:rPr>
        <w:t>requirement</w:t>
      </w:r>
    </w:p>
    <w:p w14:paraId="5B2949CA" w14:textId="555F663A" w:rsidR="0032138B" w:rsidRDefault="0032138B" w:rsidP="0032138B">
      <w:pPr>
        <w:pStyle w:val="BodyText"/>
        <w:shd w:val="clear" w:color="auto" w:fill="FFFFFF"/>
        <w:spacing w:before="200"/>
        <w:ind w:left="570" w:hanging="570"/>
        <w:rPr>
          <w:iCs/>
        </w:rPr>
      </w:pPr>
      <w:r>
        <w:rPr>
          <w:iCs/>
        </w:rPr>
        <w:t>2</w:t>
      </w:r>
      <w:r w:rsidR="009953B1">
        <w:rPr>
          <w:iCs/>
        </w:rPr>
        <w:t>2</w:t>
      </w:r>
      <w:r>
        <w:rPr>
          <w:iCs/>
        </w:rPr>
        <w:t xml:space="preserve">. </w:t>
      </w:r>
      <w:r>
        <w:rPr>
          <w:iCs/>
        </w:rPr>
        <w:tab/>
        <w:t xml:space="preserve">Subsection 912AC(7) requires licensees that have to meet NTA requirements under subsection 912AC(4) </w:t>
      </w:r>
      <w:r w:rsidRPr="0032138B">
        <w:rPr>
          <w:iCs/>
        </w:rPr>
        <w:t xml:space="preserve">to hold at least 50% </w:t>
      </w:r>
      <w:r w:rsidR="00E026B2">
        <w:rPr>
          <w:iCs/>
        </w:rPr>
        <w:t>of its</w:t>
      </w:r>
      <w:r w:rsidR="00020123">
        <w:rPr>
          <w:iCs/>
        </w:rPr>
        <w:t xml:space="preserve"> required</w:t>
      </w:r>
      <w:r w:rsidR="00E026B2">
        <w:rPr>
          <w:iCs/>
        </w:rPr>
        <w:t xml:space="preserve"> NTA </w:t>
      </w:r>
      <w:r w:rsidRPr="0032138B">
        <w:rPr>
          <w:iCs/>
        </w:rPr>
        <w:t>in cash or cash equivalents and 100%</w:t>
      </w:r>
      <w:r w:rsidR="00E026B2">
        <w:rPr>
          <w:iCs/>
        </w:rPr>
        <w:t xml:space="preserve"> of its</w:t>
      </w:r>
      <w:r w:rsidR="00020123">
        <w:rPr>
          <w:iCs/>
        </w:rPr>
        <w:t xml:space="preserve"> required NTA</w:t>
      </w:r>
      <w:r w:rsidRPr="0032138B">
        <w:rPr>
          <w:iCs/>
        </w:rPr>
        <w:t xml:space="preserve"> in liquid assets</w:t>
      </w:r>
      <w:r>
        <w:rPr>
          <w:iCs/>
        </w:rPr>
        <w:t xml:space="preserve">. </w:t>
      </w:r>
    </w:p>
    <w:p w14:paraId="36A324CB" w14:textId="3B2DD940" w:rsidR="0005541E" w:rsidRPr="0005541E" w:rsidRDefault="0005541E" w:rsidP="0032138B">
      <w:pPr>
        <w:pStyle w:val="BodyText"/>
        <w:shd w:val="clear" w:color="auto" w:fill="FFFFFF"/>
        <w:spacing w:before="200"/>
        <w:ind w:left="570" w:hanging="570"/>
        <w:rPr>
          <w:b/>
          <w:bCs/>
          <w:i/>
        </w:rPr>
      </w:pPr>
      <w:r>
        <w:rPr>
          <w:b/>
          <w:bCs/>
          <w:i/>
        </w:rPr>
        <w:t>Audit opinion</w:t>
      </w:r>
    </w:p>
    <w:p w14:paraId="63A5B60E" w14:textId="36CA9C43" w:rsidR="007279C2" w:rsidRDefault="0005541E" w:rsidP="0005541E">
      <w:pPr>
        <w:pStyle w:val="BodyText"/>
        <w:shd w:val="clear" w:color="auto" w:fill="FFFFFF"/>
        <w:spacing w:before="200"/>
        <w:ind w:left="570" w:hanging="570"/>
        <w:rPr>
          <w:iCs/>
        </w:rPr>
      </w:pPr>
      <w:r>
        <w:rPr>
          <w:iCs/>
        </w:rPr>
        <w:t>2</w:t>
      </w:r>
      <w:r w:rsidR="009953B1">
        <w:rPr>
          <w:iCs/>
        </w:rPr>
        <w:t>3</w:t>
      </w:r>
      <w:r>
        <w:rPr>
          <w:iCs/>
        </w:rPr>
        <w:t xml:space="preserve">. </w:t>
      </w:r>
      <w:r>
        <w:rPr>
          <w:iCs/>
        </w:rPr>
        <w:tab/>
      </w:r>
      <w:r w:rsidRPr="0005541E">
        <w:rPr>
          <w:iCs/>
        </w:rPr>
        <w:t>Subsection 912AC(10) sets out the requirements for the content of an opinion of a</w:t>
      </w:r>
      <w:r>
        <w:rPr>
          <w:iCs/>
        </w:rPr>
        <w:t xml:space="preserve"> registered company auditor (</w:t>
      </w:r>
      <w:r>
        <w:rPr>
          <w:b/>
          <w:bCs/>
          <w:iCs/>
        </w:rPr>
        <w:t>audit opinion</w:t>
      </w:r>
      <w:r w:rsidRPr="0005541E">
        <w:rPr>
          <w:iCs/>
        </w:rPr>
        <w:t>)</w:t>
      </w:r>
      <w:r>
        <w:rPr>
          <w:iCs/>
        </w:rPr>
        <w:t xml:space="preserve"> </w:t>
      </w:r>
      <w:r w:rsidRPr="0005541E">
        <w:rPr>
          <w:iCs/>
        </w:rPr>
        <w:t xml:space="preserve">covering the period during which the licensee was authorised to provide custodial or depository services. The auditor is required to provide an audit opinion on the matters specified in </w:t>
      </w:r>
      <w:r w:rsidR="0065759F">
        <w:rPr>
          <w:iCs/>
        </w:rPr>
        <w:t>sub</w:t>
      </w:r>
      <w:r w:rsidRPr="0005541E">
        <w:rPr>
          <w:iCs/>
        </w:rPr>
        <w:t>paragraph</w:t>
      </w:r>
      <w:r w:rsidR="0065759F">
        <w:rPr>
          <w:iCs/>
        </w:rPr>
        <w:t>s</w:t>
      </w:r>
      <w:r w:rsidRPr="0005541E">
        <w:rPr>
          <w:iCs/>
        </w:rPr>
        <w:t xml:space="preserve"> 912AC(10)(a) and 912AC(10)(b).</w:t>
      </w:r>
      <w:r>
        <w:rPr>
          <w:iCs/>
        </w:rPr>
        <w:t xml:space="preserve"> </w:t>
      </w:r>
    </w:p>
    <w:p w14:paraId="163402B5" w14:textId="5995DFE8" w:rsidR="00C80737" w:rsidRPr="00507406" w:rsidRDefault="007506B3" w:rsidP="00507406">
      <w:pPr>
        <w:pStyle w:val="BodyText"/>
        <w:shd w:val="clear" w:color="auto" w:fill="FFFFFF"/>
        <w:spacing w:before="200"/>
        <w:ind w:left="570" w:hanging="570"/>
        <w:rPr>
          <w:b/>
          <w:bCs/>
          <w:i/>
        </w:rPr>
      </w:pPr>
      <w:r w:rsidRPr="00330D69">
        <w:rPr>
          <w:b/>
          <w:bCs/>
          <w:i/>
        </w:rPr>
        <w:t>Excluded assets</w:t>
      </w:r>
    </w:p>
    <w:p w14:paraId="4A211062" w14:textId="568885DD" w:rsidR="00F91F9B" w:rsidRDefault="00967C3E" w:rsidP="00A35876">
      <w:pPr>
        <w:pStyle w:val="BodyText"/>
        <w:shd w:val="clear" w:color="auto" w:fill="FFFFFF"/>
        <w:spacing w:before="200"/>
        <w:ind w:left="570" w:hanging="570"/>
        <w:rPr>
          <w:bCs/>
          <w:iCs/>
        </w:rPr>
      </w:pPr>
      <w:r>
        <w:rPr>
          <w:bCs/>
          <w:iCs/>
        </w:rPr>
        <w:t>2</w:t>
      </w:r>
      <w:r w:rsidR="009953B1">
        <w:rPr>
          <w:bCs/>
          <w:iCs/>
        </w:rPr>
        <w:t>4</w:t>
      </w:r>
      <w:r>
        <w:rPr>
          <w:bCs/>
          <w:iCs/>
        </w:rPr>
        <w:t>.</w:t>
      </w:r>
      <w:r>
        <w:rPr>
          <w:bCs/>
          <w:iCs/>
        </w:rPr>
        <w:tab/>
        <w:t>Th</w:t>
      </w:r>
      <w:r w:rsidR="00E31127">
        <w:rPr>
          <w:bCs/>
          <w:iCs/>
        </w:rPr>
        <w:t>e</w:t>
      </w:r>
      <w:r>
        <w:rPr>
          <w:bCs/>
          <w:iCs/>
        </w:rPr>
        <w:t xml:space="preserve"> </w:t>
      </w:r>
      <w:r w:rsidR="00E31127">
        <w:rPr>
          <w:bCs/>
          <w:iCs/>
        </w:rPr>
        <w:t>I</w:t>
      </w:r>
      <w:r>
        <w:rPr>
          <w:bCs/>
          <w:iCs/>
        </w:rPr>
        <w:t xml:space="preserve">nstrument expressly includes ‘deferred tax assets’ in the definition of ‘excluded assets’ in order to bring the requirements in line with the financial requirements for </w:t>
      </w:r>
      <w:r w:rsidR="001963ED">
        <w:rPr>
          <w:bCs/>
          <w:iCs/>
        </w:rPr>
        <w:t>i</w:t>
      </w:r>
      <w:r>
        <w:rPr>
          <w:bCs/>
          <w:iCs/>
        </w:rPr>
        <w:t xml:space="preserve">ssuers of </w:t>
      </w:r>
      <w:r w:rsidR="001963ED">
        <w:rPr>
          <w:bCs/>
          <w:iCs/>
        </w:rPr>
        <w:t>r</w:t>
      </w:r>
      <w:r>
        <w:rPr>
          <w:bCs/>
          <w:iCs/>
        </w:rPr>
        <w:t xml:space="preserve">etail OTC </w:t>
      </w:r>
      <w:r w:rsidR="001963ED">
        <w:rPr>
          <w:bCs/>
          <w:iCs/>
        </w:rPr>
        <w:t>d</w:t>
      </w:r>
      <w:r>
        <w:rPr>
          <w:bCs/>
          <w:iCs/>
        </w:rPr>
        <w:t>erivatives</w:t>
      </w:r>
      <w:r w:rsidR="001963ED">
        <w:rPr>
          <w:bCs/>
          <w:iCs/>
        </w:rPr>
        <w:t xml:space="preserve"> under </w:t>
      </w:r>
      <w:hyperlink r:id="rId14" w:history="1">
        <w:r w:rsidR="001963ED" w:rsidRPr="002E356B">
          <w:rPr>
            <w:rStyle w:val="Hyperlink"/>
            <w:bCs/>
            <w:i/>
          </w:rPr>
          <w:t>ASIC Corporations (Financial Requirements for Issuers of Retail OTC Derivatives) 2022/705</w:t>
        </w:r>
      </w:hyperlink>
      <w:r>
        <w:rPr>
          <w:bCs/>
          <w:iCs/>
        </w:rPr>
        <w:t xml:space="preserve">. </w:t>
      </w:r>
      <w:r w:rsidR="00F91F9B">
        <w:rPr>
          <w:bCs/>
          <w:iCs/>
        </w:rPr>
        <w:t>The effect is that ‘deferred tax assets’</w:t>
      </w:r>
      <w:r w:rsidR="002E356B">
        <w:rPr>
          <w:bCs/>
          <w:iCs/>
        </w:rPr>
        <w:t>,</w:t>
      </w:r>
      <w:r w:rsidR="00F91F9B">
        <w:rPr>
          <w:bCs/>
          <w:iCs/>
        </w:rPr>
        <w:t xml:space="preserve"> like other intangible assets</w:t>
      </w:r>
      <w:r w:rsidR="00567C07">
        <w:rPr>
          <w:bCs/>
          <w:iCs/>
        </w:rPr>
        <w:t>,</w:t>
      </w:r>
      <w:r w:rsidR="00F91F9B">
        <w:rPr>
          <w:bCs/>
          <w:iCs/>
        </w:rPr>
        <w:t xml:space="preserve"> are excluded assets</w:t>
      </w:r>
      <w:r w:rsidR="00A35876">
        <w:rPr>
          <w:bCs/>
          <w:iCs/>
        </w:rPr>
        <w:t xml:space="preserve"> for the purposes of calculating the licensee’s </w:t>
      </w:r>
      <w:r w:rsidR="00EA344F">
        <w:rPr>
          <w:bCs/>
          <w:iCs/>
        </w:rPr>
        <w:t>‘adjusted assets’ when calculating a licensee’s NTA</w:t>
      </w:r>
      <w:r w:rsidR="008B7C7A">
        <w:rPr>
          <w:bCs/>
          <w:iCs/>
        </w:rPr>
        <w:t xml:space="preserve">. </w:t>
      </w:r>
    </w:p>
    <w:p w14:paraId="15C57398" w14:textId="472C3D4F" w:rsidR="004323CD" w:rsidRPr="00AB450D" w:rsidRDefault="004323CD" w:rsidP="00312880">
      <w:pPr>
        <w:pStyle w:val="BodyText"/>
        <w:shd w:val="clear" w:color="auto" w:fill="FFFFFF"/>
        <w:spacing w:before="200"/>
        <w:ind w:left="570" w:hanging="570"/>
        <w:rPr>
          <w:bCs/>
          <w:iCs/>
        </w:rPr>
      </w:pPr>
      <w:r>
        <w:rPr>
          <w:bCs/>
          <w:iCs/>
        </w:rPr>
        <w:t>2</w:t>
      </w:r>
      <w:r w:rsidR="009953B1">
        <w:rPr>
          <w:bCs/>
          <w:iCs/>
        </w:rPr>
        <w:t>5</w:t>
      </w:r>
      <w:r>
        <w:rPr>
          <w:bCs/>
          <w:iCs/>
        </w:rPr>
        <w:t>.</w:t>
      </w:r>
      <w:r>
        <w:rPr>
          <w:bCs/>
          <w:iCs/>
        </w:rPr>
        <w:tab/>
        <w:t xml:space="preserve">This instrument also makes a correction in paragraph (c) of the </w:t>
      </w:r>
      <w:r w:rsidR="0072779D">
        <w:rPr>
          <w:bCs/>
          <w:iCs/>
        </w:rPr>
        <w:t>definition of ‘excluded assets’</w:t>
      </w:r>
      <w:r w:rsidR="00F566D0">
        <w:rPr>
          <w:bCs/>
          <w:iCs/>
        </w:rPr>
        <w:t xml:space="preserve"> so that all categories of assets in pa</w:t>
      </w:r>
      <w:r w:rsidR="00966239">
        <w:rPr>
          <w:bCs/>
          <w:iCs/>
        </w:rPr>
        <w:t xml:space="preserve">ragraph (c) will be </w:t>
      </w:r>
      <w:r w:rsidR="00AC593D">
        <w:rPr>
          <w:bCs/>
          <w:iCs/>
        </w:rPr>
        <w:t xml:space="preserve">excluded where </w:t>
      </w:r>
      <w:r w:rsidR="00EB08B6">
        <w:rPr>
          <w:rStyle w:val="normaltextrun"/>
          <w:bdr w:val="none" w:sz="0" w:space="0" w:color="auto" w:frame="1"/>
        </w:rPr>
        <w:t xml:space="preserve">the licensee may exercise any form of power or control </w:t>
      </w:r>
      <w:r w:rsidR="00312880">
        <w:rPr>
          <w:rStyle w:val="normaltextrun"/>
          <w:bdr w:val="none" w:sz="0" w:space="0" w:color="auto" w:frame="1"/>
        </w:rPr>
        <w:t xml:space="preserve">over them. </w:t>
      </w:r>
    </w:p>
    <w:p w14:paraId="18B0FF04" w14:textId="77777777" w:rsidR="007279C2" w:rsidRPr="006D6079" w:rsidRDefault="007279C2" w:rsidP="007279C2">
      <w:pPr>
        <w:pStyle w:val="LI-BodyTextParaa"/>
        <w:keepNext/>
        <w:ind w:left="567"/>
        <w:rPr>
          <w:b/>
          <w:bCs/>
        </w:rPr>
      </w:pPr>
      <w:r w:rsidRPr="006D6079">
        <w:rPr>
          <w:b/>
          <w:bCs/>
        </w:rPr>
        <w:t xml:space="preserve">Legislative instrument and primary legislation  </w:t>
      </w:r>
    </w:p>
    <w:p w14:paraId="0DC0AB12" w14:textId="2C854338" w:rsidR="00011CE5" w:rsidRDefault="0005541E" w:rsidP="00011CE5">
      <w:pPr>
        <w:pStyle w:val="LI-BodyTextParaa"/>
        <w:ind w:left="567"/>
      </w:pPr>
      <w:r>
        <w:t>2</w:t>
      </w:r>
      <w:r w:rsidR="009953B1">
        <w:t>6</w:t>
      </w:r>
      <w:r>
        <w:t>.</w:t>
      </w:r>
      <w:r w:rsidR="007279C2">
        <w:tab/>
      </w:r>
      <w:r w:rsidR="00011CE5" w:rsidRPr="00426BB7">
        <w:t>The subject matter and policy implemented by th</w:t>
      </w:r>
      <w:r w:rsidR="00287FDF">
        <w:t>e</w:t>
      </w:r>
      <w:r w:rsidR="00011CE5" w:rsidRPr="00426BB7">
        <w:t xml:space="preserve"> </w:t>
      </w:r>
      <w:r w:rsidR="00287FDF">
        <w:t>I</w:t>
      </w:r>
      <w:r w:rsidR="00011CE5" w:rsidRPr="00426BB7">
        <w:t xml:space="preserve">nstrument </w:t>
      </w:r>
      <w:r w:rsidR="00287FDF">
        <w:t>are</w:t>
      </w:r>
      <w:r w:rsidR="00011CE5" w:rsidRPr="00426BB7">
        <w:t xml:space="preserve"> more appropriate for a legislative instrument rather than primary legislation because:</w:t>
      </w:r>
    </w:p>
    <w:p w14:paraId="336F83E4" w14:textId="77777777" w:rsidR="00011CE5" w:rsidRDefault="00011CE5" w:rsidP="00011CE5">
      <w:pPr>
        <w:pStyle w:val="LI-BodyTextParaa"/>
        <w:ind w:left="1418" w:hanging="851"/>
      </w:pPr>
      <w:r>
        <w:t>(a)</w:t>
      </w:r>
      <w:r>
        <w:tab/>
      </w:r>
      <w:r w:rsidRPr="00426BB7">
        <w:t xml:space="preserve">the modifications made by the Instrument are highly specific amendments designed to ensure the application of primary legislation is consistent with the intended policy and the enabling provisions in the primary </w:t>
      </w:r>
      <w:proofErr w:type="gramStart"/>
      <w:r w:rsidRPr="00426BB7">
        <w:t>legislation;</w:t>
      </w:r>
      <w:proofErr w:type="gramEnd"/>
    </w:p>
    <w:p w14:paraId="58239E10" w14:textId="7702E3C4" w:rsidR="00011CE5" w:rsidRDefault="00011CE5" w:rsidP="00011CE5">
      <w:pPr>
        <w:pStyle w:val="LI-BodyTextParaa"/>
        <w:ind w:left="1418" w:hanging="851"/>
      </w:pPr>
      <w:r>
        <w:t>(b)</w:t>
      </w:r>
      <w:r>
        <w:tab/>
      </w:r>
      <w:r w:rsidRPr="00426BB7">
        <w:t xml:space="preserve">the Instrument preserves the effect of </w:t>
      </w:r>
      <w:r w:rsidR="00381C12">
        <w:t>[</w:t>
      </w:r>
      <w:r>
        <w:t>CO 13/761</w:t>
      </w:r>
      <w:r w:rsidR="00381C12">
        <w:t>]</w:t>
      </w:r>
      <w:r>
        <w:t xml:space="preserve"> which was due to sunset on </w:t>
      </w:r>
      <w:r w:rsidRPr="00426BB7">
        <w:t>1 October 202</w:t>
      </w:r>
      <w:r>
        <w:t>3</w:t>
      </w:r>
      <w:r w:rsidRPr="00426BB7">
        <w:t>;</w:t>
      </w:r>
      <w:r w:rsidR="00782B56">
        <w:t xml:space="preserve"> and</w:t>
      </w:r>
    </w:p>
    <w:p w14:paraId="6973BCA7" w14:textId="4504C290" w:rsidR="00011CE5" w:rsidRDefault="00011CE5" w:rsidP="00011CE5">
      <w:pPr>
        <w:pStyle w:val="LI-BodyTextParaa"/>
        <w:ind w:left="1418" w:hanging="851"/>
      </w:pPr>
      <w:r>
        <w:t>(c)</w:t>
      </w:r>
      <w:r>
        <w:tab/>
      </w:r>
      <w:r w:rsidRPr="00426BB7">
        <w:t xml:space="preserve">following consultation, ASIC considered that </w:t>
      </w:r>
      <w:r w:rsidR="00381C12">
        <w:t>[</w:t>
      </w:r>
      <w:r w:rsidRPr="00426BB7">
        <w:t>CO 1</w:t>
      </w:r>
      <w:r>
        <w:t>3/761</w:t>
      </w:r>
      <w:r w:rsidR="00381C12">
        <w:t>]</w:t>
      </w:r>
      <w:r>
        <w:t xml:space="preserve"> was </w:t>
      </w:r>
      <w:r w:rsidRPr="00426BB7">
        <w:t xml:space="preserve">operating effectively and efficiently to achieve </w:t>
      </w:r>
      <w:r>
        <w:t>its</w:t>
      </w:r>
      <w:r w:rsidRPr="00426BB7">
        <w:t xml:space="preserve"> objectives and continued to form necessary and useful part</w:t>
      </w:r>
      <w:r>
        <w:t>s</w:t>
      </w:r>
      <w:r w:rsidRPr="00426BB7">
        <w:t xml:space="preserve"> of the legislative framework;</w:t>
      </w:r>
      <w:r>
        <w:t xml:space="preserve"> and</w:t>
      </w:r>
    </w:p>
    <w:p w14:paraId="205C4050" w14:textId="77777777" w:rsidR="007279C2" w:rsidRDefault="007279C2" w:rsidP="007279C2">
      <w:pPr>
        <w:pStyle w:val="LI-BodyTextParaa"/>
        <w:keepNext/>
        <w:ind w:left="567"/>
        <w:rPr>
          <w:u w:val="single"/>
        </w:rPr>
      </w:pPr>
      <w:r w:rsidRPr="006D6079">
        <w:rPr>
          <w:b/>
          <w:bCs/>
        </w:rPr>
        <w:lastRenderedPageBreak/>
        <w:t>Duration of the instrument</w:t>
      </w:r>
      <w:r>
        <w:rPr>
          <w:u w:val="single"/>
        </w:rPr>
        <w:t xml:space="preserve"> </w:t>
      </w:r>
    </w:p>
    <w:bookmarkEnd w:id="3"/>
    <w:p w14:paraId="6B81B379" w14:textId="6985E6DF" w:rsidR="00011CE5" w:rsidRPr="00C52E7C" w:rsidRDefault="00507406" w:rsidP="00011CE5">
      <w:pPr>
        <w:pStyle w:val="LI-BodyTextParaa"/>
        <w:ind w:left="567"/>
      </w:pPr>
      <w:r>
        <w:t>2</w:t>
      </w:r>
      <w:r w:rsidR="009953B1">
        <w:t>7</w:t>
      </w:r>
      <w:r w:rsidR="001551D1">
        <w:t xml:space="preserve">. </w:t>
      </w:r>
      <w:r w:rsidR="001551D1">
        <w:tab/>
      </w:r>
      <w:r w:rsidR="00011CE5" w:rsidRPr="00426BB7">
        <w:t>ASIC considers that five years is the appropriate duration for the Instrument.</w:t>
      </w:r>
    </w:p>
    <w:p w14:paraId="198EBBF5" w14:textId="77777777" w:rsidR="007279C2" w:rsidRDefault="007279C2" w:rsidP="007279C2">
      <w:pPr>
        <w:pStyle w:val="LI-BodyTextNumbered"/>
        <w:keepNext/>
        <w:ind w:left="0" w:firstLine="0"/>
        <w:rPr>
          <w:b/>
        </w:rPr>
      </w:pPr>
      <w:r>
        <w:rPr>
          <w:b/>
        </w:rPr>
        <w:t>Legislative authority</w:t>
      </w:r>
    </w:p>
    <w:p w14:paraId="3EBA8CBD" w14:textId="28DE3D0A" w:rsidR="001551D1" w:rsidRDefault="00507406" w:rsidP="001551D1">
      <w:pPr>
        <w:pStyle w:val="LI-BodyTextParaa"/>
        <w:ind w:left="567"/>
      </w:pPr>
      <w:r>
        <w:t>2</w:t>
      </w:r>
      <w:r w:rsidR="009953B1">
        <w:t>8</w:t>
      </w:r>
      <w:r w:rsidR="001551D1">
        <w:t>.</w:t>
      </w:r>
      <w:r w:rsidR="001551D1">
        <w:tab/>
      </w:r>
      <w:r w:rsidR="001551D1" w:rsidRPr="003B556C">
        <w:t>The source of power to make the instrument is paragraph 926A(2)(c) of the Corporations Act</w:t>
      </w:r>
      <w:r w:rsidR="001551D1" w:rsidRPr="003B556C">
        <w:rPr>
          <w:i/>
          <w:iCs/>
        </w:rPr>
        <w:t>.</w:t>
      </w:r>
    </w:p>
    <w:p w14:paraId="4CE93446" w14:textId="3D3D1DB7" w:rsidR="007279C2" w:rsidRDefault="009953B1" w:rsidP="001551D1">
      <w:pPr>
        <w:pStyle w:val="LI-BodyTextParaa"/>
        <w:ind w:left="567"/>
      </w:pPr>
      <w:r>
        <w:t>29</w:t>
      </w:r>
      <w:r w:rsidR="001551D1">
        <w:t>.</w:t>
      </w:r>
      <w:r w:rsidR="001551D1">
        <w:tab/>
      </w:r>
      <w:r w:rsidR="001551D1" w:rsidRPr="003B556C">
        <w:t>The instrument is a disallowable legislative instrument.</w:t>
      </w:r>
    </w:p>
    <w:p w14:paraId="298747C9" w14:textId="77777777" w:rsidR="007279C2" w:rsidRPr="00EA17A6" w:rsidRDefault="007279C2" w:rsidP="007279C2">
      <w:pPr>
        <w:pStyle w:val="LI-BodyTextNumbered"/>
        <w:keepNext/>
        <w:ind w:left="0" w:firstLine="0"/>
        <w:rPr>
          <w:b/>
        </w:rPr>
      </w:pPr>
      <w:r w:rsidRPr="00EA17A6">
        <w:rPr>
          <w:b/>
        </w:rPr>
        <w:t xml:space="preserve">Statement of Compatibility with Human Rights  </w:t>
      </w:r>
    </w:p>
    <w:p w14:paraId="45D9A224" w14:textId="48E81572" w:rsidR="007279C2" w:rsidRPr="00EA17A6" w:rsidRDefault="00687588" w:rsidP="007279C2">
      <w:pPr>
        <w:pStyle w:val="LI-BodyTextParaa"/>
        <w:ind w:left="567"/>
      </w:pPr>
      <w:r>
        <w:t>3</w:t>
      </w:r>
      <w:r w:rsidR="009953B1">
        <w:t>0</w:t>
      </w:r>
      <w:r w:rsidR="007279C2" w:rsidRPr="00EA17A6">
        <w:t>.</w:t>
      </w:r>
      <w:r w:rsidR="007279C2" w:rsidRPr="00EA17A6">
        <w:tab/>
        <w:t xml:space="preserve">The Explanatory Statement for a disallowable legislative instrument must contain a Statement of Compatibility with Human Rights under subsection 9(1) of the </w:t>
      </w:r>
      <w:r w:rsidR="007279C2" w:rsidRPr="00EA17A6">
        <w:rPr>
          <w:i/>
          <w:iCs/>
        </w:rPr>
        <w:t>Human Rights (Parliamentary Scrutiny) Act 2011.</w:t>
      </w:r>
      <w:r w:rsidR="007279C2" w:rsidRPr="00EA17A6">
        <w:rPr>
          <w:iCs/>
        </w:rPr>
        <w:t xml:space="preserve"> </w:t>
      </w:r>
      <w:r w:rsidR="007279C2" w:rsidRPr="00EA17A6">
        <w:t xml:space="preserve">A Statement of Compatibility with Human Rights is in the </w:t>
      </w:r>
      <w:r w:rsidR="007279C2" w:rsidRPr="00EA17A6">
        <w:rPr>
          <w:u w:val="single"/>
        </w:rPr>
        <w:t>Attachment</w:t>
      </w:r>
      <w:r w:rsidR="007279C2" w:rsidRPr="00EA17A6">
        <w:t xml:space="preserve">. </w:t>
      </w:r>
    </w:p>
    <w:p w14:paraId="492E1ACA" w14:textId="77777777" w:rsidR="007279C2" w:rsidRPr="00EA17A6" w:rsidRDefault="007279C2" w:rsidP="007279C2">
      <w:pPr>
        <w:pStyle w:val="LI-BodyTextParaa"/>
        <w:ind w:left="567"/>
        <w:jc w:val="right"/>
        <w:rPr>
          <w:u w:val="single"/>
        </w:rPr>
      </w:pPr>
      <w:r>
        <w:rPr>
          <w:color w:val="FF0000"/>
        </w:rPr>
        <w:br w:type="page"/>
      </w:r>
      <w:r w:rsidRPr="00EA17A6">
        <w:rPr>
          <w:u w:val="single"/>
        </w:rPr>
        <w:lastRenderedPageBreak/>
        <w:t xml:space="preserve">Attachment </w:t>
      </w:r>
    </w:p>
    <w:p w14:paraId="08C69DD0" w14:textId="77777777" w:rsidR="007279C2" w:rsidRPr="00EA17A6" w:rsidRDefault="007279C2" w:rsidP="007279C2">
      <w:pPr>
        <w:pStyle w:val="LI-BodyTextParaa"/>
        <w:ind w:left="567"/>
        <w:jc w:val="center"/>
        <w:rPr>
          <w:b/>
          <w:sz w:val="28"/>
          <w:szCs w:val="28"/>
        </w:rPr>
      </w:pPr>
      <w:r w:rsidRPr="00EA17A6">
        <w:rPr>
          <w:b/>
          <w:sz w:val="28"/>
          <w:szCs w:val="28"/>
        </w:rPr>
        <w:t>Statement of Compatibility with Human Rights</w:t>
      </w:r>
    </w:p>
    <w:p w14:paraId="46A0F3A7" w14:textId="77777777" w:rsidR="007279C2" w:rsidRPr="00EA17A6" w:rsidRDefault="007279C2" w:rsidP="007279C2">
      <w:pPr>
        <w:pStyle w:val="LI-BodyTextNumbered"/>
        <w:ind w:left="0" w:firstLine="0"/>
        <w:rPr>
          <w:iCs/>
        </w:rPr>
      </w:pPr>
      <w:bookmarkStart w:id="4" w:name="_Hlk534286677"/>
    </w:p>
    <w:p w14:paraId="27B02543" w14:textId="77777777" w:rsidR="007279C2" w:rsidRPr="00EA17A6" w:rsidRDefault="007279C2" w:rsidP="007279C2">
      <w:pPr>
        <w:pStyle w:val="LI-BodyTextNumbered"/>
        <w:ind w:left="0" w:firstLine="0"/>
        <w:rPr>
          <w:iCs/>
        </w:rPr>
      </w:pPr>
      <w:r w:rsidRPr="00EA17A6">
        <w:rPr>
          <w:iCs/>
        </w:rPr>
        <w:t xml:space="preserve">This Statement of Compatibility with Human Rights is prepared in accordance with Part 3 of </w:t>
      </w:r>
      <w:bookmarkStart w:id="5" w:name="_Hlk4054932"/>
      <w:r w:rsidRPr="00EA17A6">
        <w:rPr>
          <w:iCs/>
        </w:rPr>
        <w:t xml:space="preserve">the </w:t>
      </w:r>
      <w:r w:rsidRPr="00EA17A6">
        <w:rPr>
          <w:i/>
          <w:iCs/>
        </w:rPr>
        <w:t>Human Rights (Parliamentary Scrutiny) Act 2011</w:t>
      </w:r>
      <w:bookmarkEnd w:id="5"/>
      <w:r w:rsidRPr="00EA17A6">
        <w:rPr>
          <w:iCs/>
        </w:rPr>
        <w:t xml:space="preserve">.   </w:t>
      </w:r>
    </w:p>
    <w:p w14:paraId="070A91BF" w14:textId="7F31C795" w:rsidR="00F26501" w:rsidRDefault="009451B0" w:rsidP="007279C2">
      <w:pPr>
        <w:pStyle w:val="LI-BodyTextNumbered"/>
        <w:ind w:left="567"/>
        <w:rPr>
          <w:b/>
          <w:i/>
        </w:rPr>
      </w:pPr>
      <w:r w:rsidRPr="009451B0">
        <w:rPr>
          <w:b/>
          <w:i/>
        </w:rPr>
        <w:t>ASIC Corporations (Financial Requirements for Custodial or Depository Service Providers) Instrument 2023/</w:t>
      </w:r>
      <w:r w:rsidR="00351013">
        <w:rPr>
          <w:b/>
          <w:i/>
        </w:rPr>
        <w:t>648</w:t>
      </w:r>
      <w:r w:rsidR="00351013" w:rsidRPr="009451B0" w:rsidDel="009451B0">
        <w:rPr>
          <w:b/>
          <w:i/>
        </w:rPr>
        <w:t xml:space="preserve"> </w:t>
      </w:r>
    </w:p>
    <w:p w14:paraId="240C233A" w14:textId="128B5A0E" w:rsidR="007279C2" w:rsidRPr="00EA17A6" w:rsidRDefault="007279C2" w:rsidP="007279C2">
      <w:pPr>
        <w:pStyle w:val="LI-BodyTextNumbered"/>
        <w:ind w:left="567"/>
        <w:rPr>
          <w:u w:val="single"/>
        </w:rPr>
      </w:pPr>
      <w:r w:rsidRPr="00EA17A6">
        <w:rPr>
          <w:u w:val="single"/>
        </w:rPr>
        <w:t>Overview</w:t>
      </w:r>
    </w:p>
    <w:p w14:paraId="00B02B0F" w14:textId="25ED1F27" w:rsidR="007279C2" w:rsidRPr="00EA17A6" w:rsidRDefault="007279C2" w:rsidP="001551D1">
      <w:pPr>
        <w:spacing w:before="240" w:line="240" w:lineRule="auto"/>
        <w:ind w:left="567" w:hanging="567"/>
        <w:rPr>
          <w:rFonts w:eastAsia="Times New Roman"/>
          <w:sz w:val="24"/>
          <w:szCs w:val="24"/>
          <w:lang w:eastAsia="en-AU"/>
        </w:rPr>
      </w:pPr>
      <w:r w:rsidRPr="00EA17A6">
        <w:rPr>
          <w:rFonts w:eastAsia="Times New Roman"/>
          <w:sz w:val="24"/>
          <w:szCs w:val="24"/>
          <w:lang w:eastAsia="en-AU"/>
        </w:rPr>
        <w:t>1.</w:t>
      </w:r>
      <w:r w:rsidRPr="00EA17A6">
        <w:rPr>
          <w:rFonts w:eastAsia="Times New Roman"/>
          <w:sz w:val="24"/>
          <w:szCs w:val="24"/>
          <w:lang w:eastAsia="en-AU"/>
        </w:rPr>
        <w:tab/>
      </w:r>
      <w:r w:rsidR="001551D1">
        <w:rPr>
          <w:rFonts w:eastAsia="Times New Roman"/>
          <w:sz w:val="24"/>
          <w:szCs w:val="24"/>
          <w:lang w:eastAsia="en-AU"/>
        </w:rPr>
        <w:t xml:space="preserve">The Instrument imposes financial requirements on </w:t>
      </w:r>
      <w:r w:rsidR="00D419FB">
        <w:rPr>
          <w:rFonts w:eastAsia="Times New Roman"/>
          <w:sz w:val="24"/>
          <w:szCs w:val="24"/>
          <w:lang w:eastAsia="en-AU"/>
        </w:rPr>
        <w:t>Australian financial services licensees that provide custodial or depository services</w:t>
      </w:r>
      <w:r w:rsidR="001551D1">
        <w:rPr>
          <w:rFonts w:eastAsia="Times New Roman"/>
          <w:sz w:val="24"/>
          <w:szCs w:val="24"/>
          <w:lang w:eastAsia="en-AU"/>
        </w:rPr>
        <w:t>. The Instrument continues the financial requirements under its pre</w:t>
      </w:r>
      <w:r w:rsidR="00AC2E32">
        <w:rPr>
          <w:rFonts w:eastAsia="Times New Roman"/>
          <w:sz w:val="24"/>
          <w:szCs w:val="24"/>
          <w:lang w:eastAsia="en-AU"/>
        </w:rPr>
        <w:t>d</w:t>
      </w:r>
      <w:r w:rsidR="001551D1">
        <w:rPr>
          <w:rFonts w:eastAsia="Times New Roman"/>
          <w:sz w:val="24"/>
          <w:szCs w:val="24"/>
          <w:lang w:eastAsia="en-AU"/>
        </w:rPr>
        <w:t>e</w:t>
      </w:r>
      <w:r w:rsidR="00AC2E32">
        <w:rPr>
          <w:rFonts w:eastAsia="Times New Roman"/>
          <w:sz w:val="24"/>
          <w:szCs w:val="24"/>
          <w:lang w:eastAsia="en-AU"/>
        </w:rPr>
        <w:t>c</w:t>
      </w:r>
      <w:r w:rsidR="001551D1">
        <w:rPr>
          <w:rFonts w:eastAsia="Times New Roman"/>
          <w:sz w:val="24"/>
          <w:szCs w:val="24"/>
          <w:lang w:eastAsia="en-AU"/>
        </w:rPr>
        <w:t xml:space="preserve">essor instrument, ASIC Class Order [CO 13/761] </w:t>
      </w:r>
      <w:r w:rsidR="001551D1" w:rsidRPr="00C85C3E">
        <w:rPr>
          <w:rFonts w:eastAsia="Times New Roman"/>
          <w:i/>
          <w:iCs/>
          <w:sz w:val="24"/>
          <w:szCs w:val="24"/>
          <w:lang w:eastAsia="en-AU"/>
        </w:rPr>
        <w:t xml:space="preserve">Financial requirements for </w:t>
      </w:r>
      <w:r w:rsidR="001551D1">
        <w:rPr>
          <w:rFonts w:eastAsia="Times New Roman"/>
          <w:i/>
          <w:iCs/>
          <w:sz w:val="24"/>
          <w:szCs w:val="24"/>
          <w:lang w:eastAsia="en-AU"/>
        </w:rPr>
        <w:t xml:space="preserve">custodial and depository service providers </w:t>
      </w:r>
      <w:r w:rsidR="001551D1">
        <w:rPr>
          <w:rFonts w:eastAsia="Times New Roman"/>
          <w:sz w:val="24"/>
          <w:szCs w:val="24"/>
          <w:lang w:eastAsia="en-AU"/>
        </w:rPr>
        <w:t>(</w:t>
      </w:r>
      <w:r w:rsidR="001551D1">
        <w:rPr>
          <w:rFonts w:eastAsia="Times New Roman"/>
          <w:b/>
          <w:bCs/>
          <w:sz w:val="24"/>
          <w:szCs w:val="24"/>
          <w:lang w:eastAsia="en-AU"/>
        </w:rPr>
        <w:t>CO 13/761</w:t>
      </w:r>
      <w:r w:rsidR="001551D1">
        <w:rPr>
          <w:rFonts w:eastAsia="Times New Roman"/>
          <w:sz w:val="24"/>
          <w:szCs w:val="24"/>
          <w:lang w:eastAsia="en-AU"/>
        </w:rPr>
        <w:t xml:space="preserve">) with minor and technical changes only. </w:t>
      </w:r>
    </w:p>
    <w:p w14:paraId="0170A0C4" w14:textId="77777777" w:rsidR="007279C2" w:rsidRPr="00EA17A6" w:rsidRDefault="007279C2" w:rsidP="007279C2">
      <w:pPr>
        <w:pStyle w:val="LI-BodyTextNumbered"/>
        <w:ind w:left="567"/>
        <w:rPr>
          <w:u w:val="single"/>
        </w:rPr>
      </w:pPr>
      <w:bookmarkStart w:id="6" w:name="_Hlk534286807"/>
      <w:bookmarkEnd w:id="4"/>
      <w:r w:rsidRPr="00EA17A6">
        <w:rPr>
          <w:u w:val="single"/>
        </w:rPr>
        <w:t>Assessment of human rights implications</w:t>
      </w:r>
    </w:p>
    <w:p w14:paraId="58D4292A" w14:textId="04951031" w:rsidR="007279C2" w:rsidRPr="00EA17A6" w:rsidRDefault="007279C2" w:rsidP="007279C2">
      <w:pPr>
        <w:pStyle w:val="LI-BodyTextNumbered"/>
        <w:ind w:left="567"/>
      </w:pPr>
      <w:r w:rsidRPr="00EA17A6">
        <w:t>2.</w:t>
      </w:r>
      <w:r w:rsidRPr="00EA17A6">
        <w:tab/>
      </w:r>
      <w:bookmarkEnd w:id="6"/>
      <w:r w:rsidRPr="00EA17A6">
        <w:t>This instrument does not engage any of the applicable rights or freedoms</w:t>
      </w:r>
      <w:r w:rsidR="0010574F">
        <w:t>.</w:t>
      </w:r>
      <w:r w:rsidRPr="00EA17A6">
        <w:t xml:space="preserve"> </w:t>
      </w:r>
      <w:r w:rsidRPr="00EA17A6">
        <w:br/>
      </w:r>
    </w:p>
    <w:p w14:paraId="5E3C0ACE" w14:textId="77777777" w:rsidR="007279C2" w:rsidRPr="00EA17A6" w:rsidRDefault="007279C2" w:rsidP="007279C2">
      <w:pPr>
        <w:pStyle w:val="LI-BodyTextNumbered"/>
        <w:ind w:left="567"/>
        <w:rPr>
          <w:u w:val="single"/>
        </w:rPr>
      </w:pPr>
      <w:r w:rsidRPr="00EA17A6">
        <w:rPr>
          <w:u w:val="single"/>
        </w:rPr>
        <w:t>Conclusion</w:t>
      </w:r>
    </w:p>
    <w:p w14:paraId="40776A8F" w14:textId="77777777" w:rsidR="007279C2" w:rsidRPr="00EA17A6" w:rsidRDefault="007279C2" w:rsidP="007279C2">
      <w:pPr>
        <w:pStyle w:val="LI-BodyTextNumbered"/>
        <w:ind w:left="567"/>
      </w:pPr>
      <w:r w:rsidRPr="00EA17A6">
        <w:t>3.</w:t>
      </w:r>
      <w:r w:rsidRPr="00EA17A6">
        <w:tab/>
        <w:t xml:space="preserve">This instrument is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p>
    <w:p w14:paraId="403FD51A" w14:textId="77777777" w:rsidR="007279C2" w:rsidRPr="00EA17A6" w:rsidRDefault="007279C2" w:rsidP="007279C2">
      <w:pPr>
        <w:pStyle w:val="LI-BodyTextNumbered"/>
        <w:ind w:left="567"/>
      </w:pPr>
    </w:p>
    <w:p w14:paraId="3782054F" w14:textId="77777777" w:rsidR="007279C2" w:rsidRDefault="007279C2"/>
    <w:sectPr w:rsidR="007279C2" w:rsidSect="009A5F65">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FE78C" w14:textId="77777777" w:rsidR="00B918CF" w:rsidRDefault="00B918CF">
      <w:pPr>
        <w:spacing w:line="240" w:lineRule="auto"/>
      </w:pPr>
      <w:r>
        <w:separator/>
      </w:r>
    </w:p>
  </w:endnote>
  <w:endnote w:type="continuationSeparator" w:id="0">
    <w:p w14:paraId="609AA638" w14:textId="77777777" w:rsidR="00B918CF" w:rsidRDefault="00B918CF">
      <w:pPr>
        <w:spacing w:line="240" w:lineRule="auto"/>
      </w:pPr>
      <w:r>
        <w:continuationSeparator/>
      </w:r>
    </w:p>
  </w:endnote>
  <w:endnote w:type="continuationNotice" w:id="1">
    <w:p w14:paraId="7AF3A1FB" w14:textId="77777777" w:rsidR="00B918CF" w:rsidRDefault="00B918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7F4E" w14:textId="77777777" w:rsidR="009A5F65" w:rsidRDefault="0065759F">
    <w:pPr>
      <w:pStyle w:val="Footer"/>
      <w:jc w:val="center"/>
    </w:pPr>
    <w:r>
      <w:fldChar w:fldCharType="begin"/>
    </w:r>
    <w:r>
      <w:instrText xml:space="preserve"> PAGE   \* MERGEFORMAT </w:instrText>
    </w:r>
    <w:r>
      <w:fldChar w:fldCharType="separate"/>
    </w:r>
    <w:r>
      <w:rPr>
        <w:noProof/>
      </w:rPr>
      <w:t>2</w:t>
    </w:r>
    <w:r>
      <w:rPr>
        <w:noProof/>
      </w:rPr>
      <w:fldChar w:fldCharType="end"/>
    </w:r>
  </w:p>
  <w:p w14:paraId="594DAB00" w14:textId="77777777" w:rsidR="009A5F65" w:rsidRDefault="009A5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C88D5" w14:textId="77777777" w:rsidR="00B918CF" w:rsidRDefault="00B918CF">
      <w:pPr>
        <w:spacing w:line="240" w:lineRule="auto"/>
      </w:pPr>
      <w:r>
        <w:separator/>
      </w:r>
    </w:p>
  </w:footnote>
  <w:footnote w:type="continuationSeparator" w:id="0">
    <w:p w14:paraId="650615F2" w14:textId="77777777" w:rsidR="00B918CF" w:rsidRDefault="00B918CF">
      <w:pPr>
        <w:spacing w:line="240" w:lineRule="auto"/>
      </w:pPr>
      <w:r>
        <w:continuationSeparator/>
      </w:r>
    </w:p>
  </w:footnote>
  <w:footnote w:type="continuationNotice" w:id="1">
    <w:p w14:paraId="42ECA8E3" w14:textId="77777777" w:rsidR="00B918CF" w:rsidRDefault="00B918C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2886" w14:textId="77777777" w:rsidR="009A5F65" w:rsidRPr="00243EC0" w:rsidRDefault="0065759F" w:rsidP="009A5F65">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9A5F65" w:rsidRPr="00E40FF8" w14:paraId="563A73C1" w14:textId="77777777" w:rsidTr="009A5F65">
      <w:tc>
        <w:tcPr>
          <w:tcW w:w="4253" w:type="dxa"/>
          <w:shd w:val="clear" w:color="auto" w:fill="auto"/>
        </w:tcPr>
        <w:p w14:paraId="28934B2A" w14:textId="77777777" w:rsidR="009A5F65" w:rsidRDefault="009A5F65" w:rsidP="009A5F65">
          <w:pPr>
            <w:pStyle w:val="LI-Header"/>
            <w:pBdr>
              <w:bottom w:val="none" w:sz="0" w:space="0" w:color="auto"/>
            </w:pBdr>
            <w:jc w:val="left"/>
          </w:pPr>
        </w:p>
      </w:tc>
      <w:tc>
        <w:tcPr>
          <w:tcW w:w="4060" w:type="dxa"/>
          <w:shd w:val="clear" w:color="auto" w:fill="auto"/>
        </w:tcPr>
        <w:p w14:paraId="35B75B68" w14:textId="77777777" w:rsidR="009A5F65" w:rsidRDefault="009A5F65" w:rsidP="009A5F65">
          <w:pPr>
            <w:pStyle w:val="LI-BodyTextNumbered"/>
          </w:pPr>
        </w:p>
      </w:tc>
    </w:tr>
  </w:tbl>
  <w:p w14:paraId="1B779E30" w14:textId="77777777" w:rsidR="009A5F65" w:rsidRPr="00F4215A" w:rsidRDefault="009A5F65" w:rsidP="009A5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D7171"/>
    <w:multiLevelType w:val="hybridMultilevel"/>
    <w:tmpl w:val="FAD450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7534C61"/>
    <w:multiLevelType w:val="hybridMultilevel"/>
    <w:tmpl w:val="CC989354"/>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 w15:restartNumberingAfterBreak="0">
    <w:nsid w:val="73137CB8"/>
    <w:multiLevelType w:val="hybridMultilevel"/>
    <w:tmpl w:val="A6EE94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62525330">
    <w:abstractNumId w:val="0"/>
  </w:num>
  <w:num w:numId="2" w16cid:durableId="52510911">
    <w:abstractNumId w:val="2"/>
  </w:num>
  <w:num w:numId="3" w16cid:durableId="278489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C2"/>
    <w:rsid w:val="00006478"/>
    <w:rsid w:val="000108C0"/>
    <w:rsid w:val="000119A4"/>
    <w:rsid w:val="00011CE5"/>
    <w:rsid w:val="0001265A"/>
    <w:rsid w:val="00020123"/>
    <w:rsid w:val="000227DC"/>
    <w:rsid w:val="000354BE"/>
    <w:rsid w:val="000413EF"/>
    <w:rsid w:val="00050F96"/>
    <w:rsid w:val="0005541E"/>
    <w:rsid w:val="00065A9A"/>
    <w:rsid w:val="0006771B"/>
    <w:rsid w:val="00072F84"/>
    <w:rsid w:val="0007362C"/>
    <w:rsid w:val="00074449"/>
    <w:rsid w:val="00075679"/>
    <w:rsid w:val="000858B7"/>
    <w:rsid w:val="00095111"/>
    <w:rsid w:val="000A583A"/>
    <w:rsid w:val="000B2744"/>
    <w:rsid w:val="000D0E8D"/>
    <w:rsid w:val="000E5270"/>
    <w:rsid w:val="000E5B31"/>
    <w:rsid w:val="00102C3A"/>
    <w:rsid w:val="00103B0E"/>
    <w:rsid w:val="0010574F"/>
    <w:rsid w:val="001551D1"/>
    <w:rsid w:val="00165953"/>
    <w:rsid w:val="00174047"/>
    <w:rsid w:val="001963ED"/>
    <w:rsid w:val="001C009D"/>
    <w:rsid w:val="001C0BA9"/>
    <w:rsid w:val="001D4B60"/>
    <w:rsid w:val="001E4FF0"/>
    <w:rsid w:val="001F1280"/>
    <w:rsid w:val="002018AD"/>
    <w:rsid w:val="00203E04"/>
    <w:rsid w:val="0021139B"/>
    <w:rsid w:val="002524DD"/>
    <w:rsid w:val="00254E23"/>
    <w:rsid w:val="00256CA9"/>
    <w:rsid w:val="00273901"/>
    <w:rsid w:val="002836FD"/>
    <w:rsid w:val="00287746"/>
    <w:rsid w:val="00287FDF"/>
    <w:rsid w:val="002A4EAB"/>
    <w:rsid w:val="002A6A3F"/>
    <w:rsid w:val="002B2185"/>
    <w:rsid w:val="002B2833"/>
    <w:rsid w:val="002B327C"/>
    <w:rsid w:val="002D4D0C"/>
    <w:rsid w:val="002E0F7A"/>
    <w:rsid w:val="002E356B"/>
    <w:rsid w:val="002F55D9"/>
    <w:rsid w:val="002F75EC"/>
    <w:rsid w:val="00304970"/>
    <w:rsid w:val="00312880"/>
    <w:rsid w:val="00312EAD"/>
    <w:rsid w:val="0032138B"/>
    <w:rsid w:val="00330D69"/>
    <w:rsid w:val="00331872"/>
    <w:rsid w:val="00333731"/>
    <w:rsid w:val="00343D6E"/>
    <w:rsid w:val="00345519"/>
    <w:rsid w:val="00351013"/>
    <w:rsid w:val="00370DB0"/>
    <w:rsid w:val="00381C12"/>
    <w:rsid w:val="00384965"/>
    <w:rsid w:val="00390B41"/>
    <w:rsid w:val="003A0087"/>
    <w:rsid w:val="003A2A77"/>
    <w:rsid w:val="003A531B"/>
    <w:rsid w:val="003A60D8"/>
    <w:rsid w:val="00400790"/>
    <w:rsid w:val="00421AB4"/>
    <w:rsid w:val="0042292D"/>
    <w:rsid w:val="0043114B"/>
    <w:rsid w:val="004323CD"/>
    <w:rsid w:val="004541AC"/>
    <w:rsid w:val="004542E1"/>
    <w:rsid w:val="0045457A"/>
    <w:rsid w:val="00462D26"/>
    <w:rsid w:val="00474206"/>
    <w:rsid w:val="004C4902"/>
    <w:rsid w:val="004E1A39"/>
    <w:rsid w:val="004E25DC"/>
    <w:rsid w:val="0050198D"/>
    <w:rsid w:val="0050434C"/>
    <w:rsid w:val="00507406"/>
    <w:rsid w:val="005158B0"/>
    <w:rsid w:val="00515D47"/>
    <w:rsid w:val="00516EEC"/>
    <w:rsid w:val="00517054"/>
    <w:rsid w:val="0051761E"/>
    <w:rsid w:val="00522E25"/>
    <w:rsid w:val="005335B4"/>
    <w:rsid w:val="00557943"/>
    <w:rsid w:val="0056296C"/>
    <w:rsid w:val="00567C07"/>
    <w:rsid w:val="005756F1"/>
    <w:rsid w:val="005A355A"/>
    <w:rsid w:val="005D6B18"/>
    <w:rsid w:val="005E3BA0"/>
    <w:rsid w:val="005F5E06"/>
    <w:rsid w:val="006060AE"/>
    <w:rsid w:val="00607782"/>
    <w:rsid w:val="006122BD"/>
    <w:rsid w:val="00620302"/>
    <w:rsid w:val="00624594"/>
    <w:rsid w:val="0063144B"/>
    <w:rsid w:val="006517B6"/>
    <w:rsid w:val="0065759F"/>
    <w:rsid w:val="00670A66"/>
    <w:rsid w:val="006712C7"/>
    <w:rsid w:val="006845AD"/>
    <w:rsid w:val="00687588"/>
    <w:rsid w:val="006921E0"/>
    <w:rsid w:val="006970FB"/>
    <w:rsid w:val="006A4202"/>
    <w:rsid w:val="006B6FB6"/>
    <w:rsid w:val="006E3F71"/>
    <w:rsid w:val="006E5FA5"/>
    <w:rsid w:val="006E7351"/>
    <w:rsid w:val="006F463A"/>
    <w:rsid w:val="006F7C5E"/>
    <w:rsid w:val="0070105C"/>
    <w:rsid w:val="00710BE3"/>
    <w:rsid w:val="00724231"/>
    <w:rsid w:val="007246A2"/>
    <w:rsid w:val="00725DE1"/>
    <w:rsid w:val="0072779D"/>
    <w:rsid w:val="007279C2"/>
    <w:rsid w:val="007337BB"/>
    <w:rsid w:val="00746E02"/>
    <w:rsid w:val="007506B3"/>
    <w:rsid w:val="007547D9"/>
    <w:rsid w:val="00764CC0"/>
    <w:rsid w:val="0077237D"/>
    <w:rsid w:val="00776FE0"/>
    <w:rsid w:val="00782B56"/>
    <w:rsid w:val="00790B39"/>
    <w:rsid w:val="007A1CBB"/>
    <w:rsid w:val="007A285C"/>
    <w:rsid w:val="007B1706"/>
    <w:rsid w:val="007B6118"/>
    <w:rsid w:val="007C2F1C"/>
    <w:rsid w:val="007C3D95"/>
    <w:rsid w:val="007D2C49"/>
    <w:rsid w:val="007D7D54"/>
    <w:rsid w:val="007E6091"/>
    <w:rsid w:val="007F6385"/>
    <w:rsid w:val="0080151C"/>
    <w:rsid w:val="00815637"/>
    <w:rsid w:val="00825A21"/>
    <w:rsid w:val="00825E34"/>
    <w:rsid w:val="00827140"/>
    <w:rsid w:val="008305D2"/>
    <w:rsid w:val="00834C97"/>
    <w:rsid w:val="00836451"/>
    <w:rsid w:val="008417CE"/>
    <w:rsid w:val="00850B3E"/>
    <w:rsid w:val="00862F88"/>
    <w:rsid w:val="008700CC"/>
    <w:rsid w:val="008B1DE0"/>
    <w:rsid w:val="008B7C7A"/>
    <w:rsid w:val="008F1DA4"/>
    <w:rsid w:val="008F5B9C"/>
    <w:rsid w:val="0090086F"/>
    <w:rsid w:val="00912351"/>
    <w:rsid w:val="00915477"/>
    <w:rsid w:val="0092643D"/>
    <w:rsid w:val="009319C0"/>
    <w:rsid w:val="009322EB"/>
    <w:rsid w:val="00943A57"/>
    <w:rsid w:val="009451B0"/>
    <w:rsid w:val="00945EE6"/>
    <w:rsid w:val="00966239"/>
    <w:rsid w:val="00967C3E"/>
    <w:rsid w:val="00981562"/>
    <w:rsid w:val="00990899"/>
    <w:rsid w:val="009953B1"/>
    <w:rsid w:val="009A237E"/>
    <w:rsid w:val="009A5460"/>
    <w:rsid w:val="009A5F65"/>
    <w:rsid w:val="009D1B93"/>
    <w:rsid w:val="009D4E66"/>
    <w:rsid w:val="009D73BA"/>
    <w:rsid w:val="009F408B"/>
    <w:rsid w:val="009F7F03"/>
    <w:rsid w:val="00A17377"/>
    <w:rsid w:val="00A35876"/>
    <w:rsid w:val="00A3645F"/>
    <w:rsid w:val="00A53314"/>
    <w:rsid w:val="00A54B8D"/>
    <w:rsid w:val="00A7570D"/>
    <w:rsid w:val="00A85F80"/>
    <w:rsid w:val="00A87EA1"/>
    <w:rsid w:val="00A90DC6"/>
    <w:rsid w:val="00AB09F5"/>
    <w:rsid w:val="00AB450D"/>
    <w:rsid w:val="00AC2E32"/>
    <w:rsid w:val="00AC593D"/>
    <w:rsid w:val="00AD32C1"/>
    <w:rsid w:val="00B13BEC"/>
    <w:rsid w:val="00B152B9"/>
    <w:rsid w:val="00B44BAA"/>
    <w:rsid w:val="00B51CBF"/>
    <w:rsid w:val="00B71A85"/>
    <w:rsid w:val="00B773FD"/>
    <w:rsid w:val="00B81B51"/>
    <w:rsid w:val="00B918CF"/>
    <w:rsid w:val="00BA5CED"/>
    <w:rsid w:val="00BE236D"/>
    <w:rsid w:val="00BE6B89"/>
    <w:rsid w:val="00BF77E9"/>
    <w:rsid w:val="00C10CD5"/>
    <w:rsid w:val="00C20678"/>
    <w:rsid w:val="00C32C73"/>
    <w:rsid w:val="00C5253E"/>
    <w:rsid w:val="00C63E07"/>
    <w:rsid w:val="00C672D9"/>
    <w:rsid w:val="00C80737"/>
    <w:rsid w:val="00CB1DD7"/>
    <w:rsid w:val="00CB505F"/>
    <w:rsid w:val="00CC1F45"/>
    <w:rsid w:val="00CD142C"/>
    <w:rsid w:val="00CD6247"/>
    <w:rsid w:val="00CF26D7"/>
    <w:rsid w:val="00CF4679"/>
    <w:rsid w:val="00CF7AC5"/>
    <w:rsid w:val="00D110DC"/>
    <w:rsid w:val="00D419FB"/>
    <w:rsid w:val="00D67A95"/>
    <w:rsid w:val="00D7355B"/>
    <w:rsid w:val="00D9103E"/>
    <w:rsid w:val="00D946B2"/>
    <w:rsid w:val="00DA10F4"/>
    <w:rsid w:val="00DF5058"/>
    <w:rsid w:val="00DF55B1"/>
    <w:rsid w:val="00E02009"/>
    <w:rsid w:val="00E026B2"/>
    <w:rsid w:val="00E051DD"/>
    <w:rsid w:val="00E173C2"/>
    <w:rsid w:val="00E31127"/>
    <w:rsid w:val="00E330E4"/>
    <w:rsid w:val="00E50484"/>
    <w:rsid w:val="00E9161A"/>
    <w:rsid w:val="00EA344F"/>
    <w:rsid w:val="00EA51B5"/>
    <w:rsid w:val="00EB08B6"/>
    <w:rsid w:val="00EC49A1"/>
    <w:rsid w:val="00EC5857"/>
    <w:rsid w:val="00ED7C28"/>
    <w:rsid w:val="00EE1A11"/>
    <w:rsid w:val="00F033C4"/>
    <w:rsid w:val="00F07CC4"/>
    <w:rsid w:val="00F12518"/>
    <w:rsid w:val="00F13642"/>
    <w:rsid w:val="00F20041"/>
    <w:rsid w:val="00F22639"/>
    <w:rsid w:val="00F26501"/>
    <w:rsid w:val="00F5093B"/>
    <w:rsid w:val="00F566D0"/>
    <w:rsid w:val="00F616F4"/>
    <w:rsid w:val="00F743EB"/>
    <w:rsid w:val="00F8449F"/>
    <w:rsid w:val="00F9060A"/>
    <w:rsid w:val="00F91F9B"/>
    <w:rsid w:val="00F9266D"/>
    <w:rsid w:val="00FD1C8C"/>
    <w:rsid w:val="00FD2BB8"/>
    <w:rsid w:val="00FE2730"/>
    <w:rsid w:val="00FF50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05AB"/>
  <w15:chartTrackingRefBased/>
  <w15:docId w15:val="{AC0884CA-C306-4302-9E77-9E952275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79C2"/>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7279C2"/>
    <w:pPr>
      <w:pBdr>
        <w:top w:val="single" w:sz="4" w:space="1" w:color="auto"/>
      </w:pBdr>
      <w:spacing w:line="240" w:lineRule="auto"/>
    </w:pPr>
    <w:rPr>
      <w:rFonts w:eastAsia="Times New Roman"/>
      <w:b/>
      <w:sz w:val="40"/>
      <w:lang w:eastAsia="en-AU"/>
    </w:rPr>
  </w:style>
  <w:style w:type="paragraph" w:styleId="Header">
    <w:name w:val="header"/>
    <w:basedOn w:val="Normal"/>
    <w:link w:val="HeaderChar"/>
    <w:unhideWhenUsed/>
    <w:rsid w:val="007279C2"/>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7279C2"/>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7279C2"/>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7279C2"/>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7279C2"/>
    <w:rPr>
      <w:rFonts w:ascii="Times New Roman" w:eastAsia="Times New Roman" w:hAnsi="Times New Roman" w:cs="Times New Roman"/>
      <w:szCs w:val="24"/>
      <w:lang w:eastAsia="en-AU"/>
    </w:rPr>
  </w:style>
  <w:style w:type="character" w:customStyle="1" w:styleId="LI-BodyTextParaaChar">
    <w:name w:val="LI - Body Text Para (a) Char"/>
    <w:link w:val="LI-BodyTextParaa"/>
    <w:rsid w:val="007279C2"/>
    <w:rPr>
      <w:rFonts w:ascii="Times New Roman" w:eastAsia="Times New Roman" w:hAnsi="Times New Roman" w:cs="Times New Roman"/>
      <w:sz w:val="24"/>
      <w:szCs w:val="24"/>
      <w:lang w:eastAsia="en-AU"/>
    </w:rPr>
  </w:style>
  <w:style w:type="paragraph" w:customStyle="1" w:styleId="LI-BodyTextNumbered">
    <w:name w:val="LI - Body Text Numbered"/>
    <w:basedOn w:val="Normal"/>
    <w:link w:val="LI-BodyTextNumberedChar"/>
    <w:qFormat/>
    <w:rsid w:val="007279C2"/>
    <w:pPr>
      <w:spacing w:before="240" w:line="240" w:lineRule="auto"/>
      <w:ind w:left="1134" w:hanging="567"/>
    </w:pPr>
    <w:rPr>
      <w:rFonts w:eastAsia="Times New Roman"/>
      <w:sz w:val="24"/>
      <w:szCs w:val="24"/>
      <w:lang w:eastAsia="en-AU"/>
    </w:rPr>
  </w:style>
  <w:style w:type="paragraph" w:customStyle="1" w:styleId="LI-Footer">
    <w:name w:val="LI - Footer"/>
    <w:basedOn w:val="Normal"/>
    <w:link w:val="LI-FooterChar"/>
    <w:qFormat/>
    <w:rsid w:val="007279C2"/>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7279C2"/>
    <w:rPr>
      <w:rFonts w:ascii="Times New Roman" w:eastAsia="Times New Roman" w:hAnsi="Times New Roman" w:cs="Times New Roman"/>
      <w:sz w:val="24"/>
      <w:szCs w:val="24"/>
      <w:lang w:eastAsia="en-AU"/>
    </w:rPr>
  </w:style>
  <w:style w:type="character" w:customStyle="1" w:styleId="LI-FooterChar">
    <w:name w:val="LI - Footer Char"/>
    <w:link w:val="LI-Footer"/>
    <w:rsid w:val="007279C2"/>
    <w:rPr>
      <w:rFonts w:ascii="Times New Roman" w:eastAsia="Calibri" w:hAnsi="Times New Roman" w:cs="Times New Roman"/>
      <w:i/>
      <w:sz w:val="18"/>
      <w:szCs w:val="20"/>
    </w:rPr>
  </w:style>
  <w:style w:type="paragraph" w:customStyle="1" w:styleId="LI-Header">
    <w:name w:val="LI - Header"/>
    <w:basedOn w:val="LI-Footer"/>
    <w:link w:val="LI-HeaderChar"/>
    <w:qFormat/>
    <w:rsid w:val="007279C2"/>
    <w:pPr>
      <w:pBdr>
        <w:top w:val="none" w:sz="0" w:space="0" w:color="auto"/>
        <w:bottom w:val="single" w:sz="4" w:space="1" w:color="auto"/>
      </w:pBdr>
      <w:jc w:val="right"/>
    </w:pPr>
  </w:style>
  <w:style w:type="character" w:customStyle="1" w:styleId="LI-HeaderChar">
    <w:name w:val="LI - Header Char"/>
    <w:basedOn w:val="LI-FooterChar"/>
    <w:link w:val="LI-Header"/>
    <w:rsid w:val="007279C2"/>
    <w:rPr>
      <w:rFonts w:ascii="Times New Roman" w:eastAsia="Calibri" w:hAnsi="Times New Roman" w:cs="Times New Roman"/>
      <w:i/>
      <w:sz w:val="18"/>
      <w:szCs w:val="20"/>
    </w:rPr>
  </w:style>
  <w:style w:type="character" w:styleId="Hyperlink">
    <w:name w:val="Hyperlink"/>
    <w:uiPriority w:val="99"/>
    <w:rsid w:val="007279C2"/>
    <w:rPr>
      <w:color w:val="0000FF"/>
      <w:u w:val="single"/>
    </w:rPr>
  </w:style>
  <w:style w:type="character" w:styleId="UnresolvedMention">
    <w:name w:val="Unresolved Mention"/>
    <w:basedOn w:val="DefaultParagraphFont"/>
    <w:uiPriority w:val="99"/>
    <w:semiHidden/>
    <w:unhideWhenUsed/>
    <w:rsid w:val="007279C2"/>
    <w:rPr>
      <w:color w:val="605E5C"/>
      <w:shd w:val="clear" w:color="auto" w:fill="E1DFDD"/>
    </w:rPr>
  </w:style>
  <w:style w:type="paragraph" w:styleId="BodyText">
    <w:name w:val="Body Text"/>
    <w:link w:val="BodyTextChar"/>
    <w:semiHidden/>
    <w:rsid w:val="00474206"/>
    <w:pPr>
      <w:overflowPunct w:val="0"/>
      <w:autoSpaceDE w:val="0"/>
      <w:autoSpaceDN w:val="0"/>
      <w:adjustRightInd w:val="0"/>
      <w:spacing w:before="40" w:line="300" w:lineRule="atLeast"/>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474206"/>
    <w:rPr>
      <w:rFonts w:ascii="Times New Roman" w:eastAsia="Times New Roman" w:hAnsi="Times New Roman" w:cs="Times New Roman"/>
      <w:color w:val="000000"/>
      <w:sz w:val="24"/>
      <w:szCs w:val="20"/>
    </w:rPr>
  </w:style>
  <w:style w:type="character" w:styleId="CommentReference">
    <w:name w:val="annotation reference"/>
    <w:basedOn w:val="DefaultParagraphFont"/>
    <w:uiPriority w:val="99"/>
    <w:semiHidden/>
    <w:unhideWhenUsed/>
    <w:rsid w:val="006E5FA5"/>
    <w:rPr>
      <w:sz w:val="16"/>
      <w:szCs w:val="16"/>
    </w:rPr>
  </w:style>
  <w:style w:type="paragraph" w:styleId="CommentText">
    <w:name w:val="annotation text"/>
    <w:basedOn w:val="Normal"/>
    <w:link w:val="CommentTextChar"/>
    <w:uiPriority w:val="99"/>
    <w:unhideWhenUsed/>
    <w:rsid w:val="006E5FA5"/>
    <w:pPr>
      <w:spacing w:line="240" w:lineRule="auto"/>
    </w:pPr>
    <w:rPr>
      <w:sz w:val="20"/>
    </w:rPr>
  </w:style>
  <w:style w:type="character" w:customStyle="1" w:styleId="CommentTextChar">
    <w:name w:val="Comment Text Char"/>
    <w:basedOn w:val="DefaultParagraphFont"/>
    <w:link w:val="CommentText"/>
    <w:uiPriority w:val="99"/>
    <w:rsid w:val="006E5FA5"/>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FA5"/>
    <w:rPr>
      <w:b/>
      <w:bCs/>
    </w:rPr>
  </w:style>
  <w:style w:type="character" w:customStyle="1" w:styleId="CommentSubjectChar">
    <w:name w:val="Comment Subject Char"/>
    <w:basedOn w:val="CommentTextChar"/>
    <w:link w:val="CommentSubject"/>
    <w:uiPriority w:val="99"/>
    <w:semiHidden/>
    <w:rsid w:val="006E5FA5"/>
    <w:rPr>
      <w:rFonts w:ascii="Times New Roman" w:eastAsia="Calibri" w:hAnsi="Times New Roman" w:cs="Times New Roman"/>
      <w:b/>
      <w:bCs/>
      <w:sz w:val="20"/>
      <w:szCs w:val="20"/>
    </w:rPr>
  </w:style>
  <w:style w:type="paragraph" w:customStyle="1" w:styleId="LI-SectionSubsectionText">
    <w:name w:val="LI - Section Subsection Text"/>
    <w:basedOn w:val="Normal"/>
    <w:link w:val="LI-SectionSubsectionTextChar"/>
    <w:qFormat/>
    <w:rsid w:val="00AB09F5"/>
    <w:pPr>
      <w:spacing w:before="240" w:line="240" w:lineRule="auto"/>
      <w:ind w:left="2268" w:hanging="567"/>
    </w:pPr>
    <w:rPr>
      <w:rFonts w:eastAsia="Times New Roman"/>
      <w:sz w:val="24"/>
      <w:szCs w:val="24"/>
      <w:lang w:eastAsia="en-AU"/>
    </w:rPr>
  </w:style>
  <w:style w:type="character" w:customStyle="1" w:styleId="LI-SectionSubsectionTextChar">
    <w:name w:val="LI - Section Subsection Text Char"/>
    <w:link w:val="LI-SectionSubsectionText"/>
    <w:rsid w:val="00AB09F5"/>
    <w:rPr>
      <w:rFonts w:ascii="Times New Roman" w:eastAsia="Times New Roman" w:hAnsi="Times New Roman" w:cs="Times New Roman"/>
      <w:sz w:val="24"/>
      <w:szCs w:val="24"/>
      <w:lang w:eastAsia="en-AU"/>
    </w:rPr>
  </w:style>
  <w:style w:type="paragraph" w:customStyle="1" w:styleId="LI-Sectionparaa">
    <w:name w:val="LI - Section para (a)"/>
    <w:basedOn w:val="Normal"/>
    <w:link w:val="LI-SectionparaaChar"/>
    <w:qFormat/>
    <w:rsid w:val="00AB09F5"/>
    <w:pPr>
      <w:spacing w:before="240" w:line="240" w:lineRule="auto"/>
      <w:ind w:left="2835" w:hanging="567"/>
    </w:pPr>
    <w:rPr>
      <w:rFonts w:eastAsia="Times New Roman"/>
      <w:sz w:val="24"/>
      <w:szCs w:val="24"/>
      <w:lang w:eastAsia="en-AU"/>
    </w:rPr>
  </w:style>
  <w:style w:type="paragraph" w:customStyle="1" w:styleId="LI-Sectionsubparai">
    <w:name w:val="LI - Section subpara (i)"/>
    <w:basedOn w:val="Normal"/>
    <w:link w:val="LI-SectionsubparaiChar"/>
    <w:qFormat/>
    <w:rsid w:val="00AB09F5"/>
    <w:pPr>
      <w:spacing w:before="240" w:line="240" w:lineRule="auto"/>
      <w:ind w:left="3402" w:hanging="567"/>
    </w:pPr>
    <w:rPr>
      <w:rFonts w:eastAsia="Times New Roman"/>
      <w:sz w:val="24"/>
      <w:szCs w:val="24"/>
      <w:lang w:eastAsia="en-AU"/>
    </w:rPr>
  </w:style>
  <w:style w:type="character" w:customStyle="1" w:styleId="LI-SectionparaaChar">
    <w:name w:val="LI - Section para (a) Char"/>
    <w:link w:val="LI-Sectionparaa"/>
    <w:rsid w:val="00AB09F5"/>
    <w:rPr>
      <w:rFonts w:ascii="Times New Roman" w:eastAsia="Times New Roman" w:hAnsi="Times New Roman" w:cs="Times New Roman"/>
      <w:sz w:val="24"/>
      <w:szCs w:val="24"/>
      <w:lang w:eastAsia="en-AU"/>
    </w:rPr>
  </w:style>
  <w:style w:type="character" w:customStyle="1" w:styleId="LI-SectionsubparaiChar">
    <w:name w:val="LI - Section subpara (i) Char"/>
    <w:link w:val="LI-Sectionsubparai"/>
    <w:rsid w:val="00AB09F5"/>
    <w:rPr>
      <w:rFonts w:ascii="Times New Roman" w:eastAsia="Times New Roman" w:hAnsi="Times New Roman" w:cs="Times New Roman"/>
      <w:sz w:val="24"/>
      <w:szCs w:val="24"/>
      <w:lang w:eastAsia="en-AU"/>
    </w:rPr>
  </w:style>
  <w:style w:type="paragraph" w:styleId="Revision">
    <w:name w:val="Revision"/>
    <w:hidden/>
    <w:uiPriority w:val="99"/>
    <w:semiHidden/>
    <w:rsid w:val="00B13BEC"/>
    <w:pPr>
      <w:spacing w:after="0" w:line="240" w:lineRule="auto"/>
    </w:pPr>
    <w:rPr>
      <w:rFonts w:ascii="Times New Roman" w:eastAsia="Calibri" w:hAnsi="Times New Roman" w:cs="Times New Roman"/>
      <w:szCs w:val="20"/>
    </w:rPr>
  </w:style>
  <w:style w:type="character" w:customStyle="1" w:styleId="normaltextrun">
    <w:name w:val="normaltextrun"/>
    <w:basedOn w:val="DefaultParagraphFont"/>
    <w:rsid w:val="001D4B60"/>
  </w:style>
  <w:style w:type="character" w:customStyle="1" w:styleId="eop">
    <w:name w:val="eop"/>
    <w:basedOn w:val="DefaultParagraphFont"/>
    <w:rsid w:val="001D4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64071">
      <w:bodyDiv w:val="1"/>
      <w:marLeft w:val="0"/>
      <w:marRight w:val="0"/>
      <w:marTop w:val="0"/>
      <w:marBottom w:val="0"/>
      <w:divBdr>
        <w:top w:val="none" w:sz="0" w:space="0" w:color="auto"/>
        <w:left w:val="none" w:sz="0" w:space="0" w:color="auto"/>
        <w:bottom w:val="none" w:sz="0" w:space="0" w:color="auto"/>
        <w:right w:val="none" w:sz="0" w:space="0" w:color="auto"/>
      </w:divBdr>
      <w:divsChild>
        <w:div w:id="774522940">
          <w:marLeft w:val="0"/>
          <w:marRight w:val="0"/>
          <w:marTop w:val="0"/>
          <w:marBottom w:val="0"/>
          <w:divBdr>
            <w:top w:val="none" w:sz="0" w:space="0" w:color="auto"/>
            <w:left w:val="none" w:sz="0" w:space="0" w:color="auto"/>
            <w:bottom w:val="none" w:sz="0" w:space="0" w:color="auto"/>
            <w:right w:val="none" w:sz="0" w:space="0" w:color="auto"/>
          </w:divBdr>
        </w:div>
        <w:div w:id="889850313">
          <w:marLeft w:val="0"/>
          <w:marRight w:val="0"/>
          <w:marTop w:val="0"/>
          <w:marBottom w:val="0"/>
          <w:divBdr>
            <w:top w:val="none" w:sz="0" w:space="0" w:color="auto"/>
            <w:left w:val="none" w:sz="0" w:space="0" w:color="auto"/>
            <w:bottom w:val="none" w:sz="0" w:space="0" w:color="auto"/>
            <w:right w:val="none" w:sz="0" w:space="0" w:color="auto"/>
          </w:divBdr>
        </w:div>
        <w:div w:id="1631550971">
          <w:marLeft w:val="0"/>
          <w:marRight w:val="0"/>
          <w:marTop w:val="0"/>
          <w:marBottom w:val="0"/>
          <w:divBdr>
            <w:top w:val="none" w:sz="0" w:space="0" w:color="auto"/>
            <w:left w:val="none" w:sz="0" w:space="0" w:color="auto"/>
            <w:bottom w:val="none" w:sz="0" w:space="0" w:color="auto"/>
            <w:right w:val="none" w:sz="0" w:space="0" w:color="auto"/>
          </w:divBdr>
        </w:div>
        <w:div w:id="1169293635">
          <w:marLeft w:val="0"/>
          <w:marRight w:val="0"/>
          <w:marTop w:val="0"/>
          <w:marBottom w:val="0"/>
          <w:divBdr>
            <w:top w:val="none" w:sz="0" w:space="0" w:color="auto"/>
            <w:left w:val="none" w:sz="0" w:space="0" w:color="auto"/>
            <w:bottom w:val="none" w:sz="0" w:space="0" w:color="auto"/>
            <w:right w:val="none" w:sz="0" w:space="0" w:color="auto"/>
          </w:divBdr>
        </w:div>
        <w:div w:id="2090148654">
          <w:marLeft w:val="0"/>
          <w:marRight w:val="0"/>
          <w:marTop w:val="0"/>
          <w:marBottom w:val="0"/>
          <w:divBdr>
            <w:top w:val="none" w:sz="0" w:space="0" w:color="auto"/>
            <w:left w:val="none" w:sz="0" w:space="0" w:color="auto"/>
            <w:bottom w:val="none" w:sz="0" w:space="0" w:color="auto"/>
            <w:right w:val="none" w:sz="0" w:space="0" w:color="auto"/>
          </w:divBdr>
        </w:div>
      </w:divsChild>
    </w:div>
    <w:div w:id="1244989670">
      <w:bodyDiv w:val="1"/>
      <w:marLeft w:val="0"/>
      <w:marRight w:val="0"/>
      <w:marTop w:val="0"/>
      <w:marBottom w:val="0"/>
      <w:divBdr>
        <w:top w:val="none" w:sz="0" w:space="0" w:color="auto"/>
        <w:left w:val="none" w:sz="0" w:space="0" w:color="auto"/>
        <w:bottom w:val="none" w:sz="0" w:space="0" w:color="auto"/>
        <w:right w:val="none" w:sz="0" w:space="0" w:color="auto"/>
      </w:divBdr>
    </w:div>
    <w:div w:id="145208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Details/F2013L01275/Explanatory%20Statement/Tex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22L01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531E83CEAF47843A6710BEADB089E22" ma:contentTypeVersion="19" ma:contentTypeDescription="" ma:contentTypeScope="" ma:versionID="e93bf1010eca81dba060e0a068be41b2">
  <xsd:schema xmlns:xsd="http://www.w3.org/2001/XMLSchema" xmlns:xs="http://www.w3.org/2001/XMLSchema" xmlns:p="http://schemas.microsoft.com/office/2006/metadata/properties" xmlns:ns2="db2b92ca-6ed0-4085-802d-4c686a2e8c3f" xmlns:ns3="5143b441-730d-468e-9e7b-525a5337cbbc" targetNamespace="http://schemas.microsoft.com/office/2006/metadata/properties" ma:root="true" ma:fieldsID="fed2754278ce1c8d9acbb0e20423fec9" ns2:_="" ns3:_="">
    <xsd:import namespace="db2b92ca-6ed0-4085-802d-4c686a2e8c3f"/>
    <xsd:import namespace="5143b441-730d-468e-9e7b-525a5337cbbc"/>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b334f69-45e1-4103-b675-c51b5924abd7}" ma:internalName="TaxCatchAll" ma:showField="CatchAllData" ma:web="5143b441-730d-468e-9e7b-525a5337cb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b334f69-45e1-4103-b675-c51b5924abd7}" ma:internalName="TaxCatchAllLabel" ma:readOnly="true" ma:showField="CatchAllDataLabel" ma:web="5143b441-730d-468e-9e7b-525a5337cbbc">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43b441-730d-468e-9e7b-525a5337cbb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f302855-5de3-48f9-83c2-fc1acc0f760b" ContentTypeId="0x010100B5F685A1365F544391EF8C813B164F3A" PreviousValue="false"/>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TaxCatchAll xmlns="db2b92ca-6ed0-4085-802d-4c686a2e8c3f">
      <Value>3</Value>
    </TaxCatchAll>
    <DocumentNotes xmlns="db2b92ca-6ed0-4085-802d-4c686a2e8c3f" xsi:nil="true"/>
    <NAPReason xmlns="db2b92ca-6ed0-4085-802d-4c686a2e8c3f" xsi:nil="true"/>
    <_dlc_DocId xmlns="5143b441-730d-468e-9e7b-525a5337cbbc">000822-777346250-30018</_dlc_DocId>
    <_dlc_DocIdUrl xmlns="5143b441-730d-468e-9e7b-525a5337cbbc">
      <Url>https://asiclink.sharepoint.com/teams/000822/_layouts/15/DocIdRedir.aspx?ID=000822-777346250-30018</Url>
      <Description>000822-777346250-30018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4A4871-A92F-4732-9571-C76FEE930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5143b441-730d-468e-9e7b-525a5337c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CCB9A1-71C5-4AE7-948A-F05E5405403E}">
  <ds:schemaRefs>
    <ds:schemaRef ds:uri="Microsoft.SharePoint.Taxonomy.ContentTypeSync"/>
  </ds:schemaRefs>
</ds:datastoreItem>
</file>

<file path=customXml/itemProps3.xml><?xml version="1.0" encoding="utf-8"?>
<ds:datastoreItem xmlns:ds="http://schemas.openxmlformats.org/officeDocument/2006/customXml" ds:itemID="{48F96AAA-F119-4ED9-9148-B5BD1C0F598A}">
  <ds:schemaRefs>
    <ds:schemaRef ds:uri="http://schemas.microsoft.com/sharepoint/v3/contenttype/forms"/>
  </ds:schemaRefs>
</ds:datastoreItem>
</file>

<file path=customXml/itemProps4.xml><?xml version="1.0" encoding="utf-8"?>
<ds:datastoreItem xmlns:ds="http://schemas.openxmlformats.org/officeDocument/2006/customXml" ds:itemID="{8EE4D7E7-BADA-44E1-A950-7F1DF13D84D4}">
  <ds:schemaRefs>
    <ds:schemaRef ds:uri="db2b92ca-6ed0-4085-802d-4c686a2e8c3f"/>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5143b441-730d-468e-9e7b-525a5337cbbc"/>
    <ds:schemaRef ds:uri="http://www.w3.org/XML/1998/namespace"/>
    <ds:schemaRef ds:uri="http://purl.org/dc/dcmitype/"/>
  </ds:schemaRefs>
</ds:datastoreItem>
</file>

<file path=customXml/itemProps5.xml><?xml version="1.0" encoding="utf-8"?>
<ds:datastoreItem xmlns:ds="http://schemas.openxmlformats.org/officeDocument/2006/customXml" ds:itemID="{65F36DEE-A91B-41EE-A0DC-169652DB38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1916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Explanatory Statement for LI replacing CO 13-761</dc:title>
  <dc:subject/>
  <dc:creator>Natasha Gomez</dc:creator>
  <cp:keywords/>
  <dc:description/>
  <cp:lastModifiedBy>Narelle Kane</cp:lastModifiedBy>
  <cp:revision>5</cp:revision>
  <dcterms:created xsi:type="dcterms:W3CDTF">2023-08-30T23:55:00Z</dcterms:created>
  <dcterms:modified xsi:type="dcterms:W3CDTF">2023-08-31T00:18:00Z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0x010100B5F685A1365F544391EF8C813B164F3A009531E83CEAF47843A6710BEADB089E22</vt:lpwstr>
  </property>
  <property fmtid="{D5CDD505-2E9C-101B-9397-08002B2CF9AE}" pid="3" name="Fileset search keywords">
    <vt:lpwstr/>
  </property>
  <property fmtid="{D5CDD505-2E9C-101B-9397-08002B2CF9AE}" pid="4" name="IMSFilesetEntity">
    <vt:lpwstr/>
  </property>
  <property fmtid="{D5CDD505-2E9C-101B-9397-08002B2CF9AE}" pid="5" name="IMSFilesetProductType">
    <vt:lpwstr/>
  </property>
  <property fmtid="{D5CDD505-2E9C-101B-9397-08002B2CF9AE}" pid="6" name="_dlc_DocIdItemGuid">
    <vt:lpwstr>217c0825-bb38-4fd0-9bf9-02bf3e7f5ebf</vt:lpwstr>
  </property>
  <property fmtid="{D5CDD505-2E9C-101B-9397-08002B2CF9AE}" pid="7" name="File search keywords">
    <vt:lpwstr/>
  </property>
  <property fmtid="{D5CDD505-2E9C-101B-9397-08002B2CF9AE}" pid="8" name="Order">
    <vt:r8>3001800</vt:r8>
  </property>
  <property fmtid="{D5CDD505-2E9C-101B-9397-08002B2CF9AE}" pid="9" name="IMSEntity">
    <vt:lpwstr/>
  </property>
  <property fmtid="{D5CDD505-2E9C-101B-9397-08002B2CF9AE}" pid="10" name="ga26016f869e4783a544bf28ac019362">
    <vt:lpwstr/>
  </property>
  <property fmtid="{D5CDD505-2E9C-101B-9397-08002B2CF9AE}" pid="11" name="SecurityClassification">
    <vt:lpwstr>3;#OFFICIAL|cffd3088-7a74-4edb-8c9e-fbf79371a422</vt:lpwstr>
  </property>
  <property fmtid="{D5CDD505-2E9C-101B-9397-08002B2CF9AE}" pid="12" name="IMSDocumentType">
    <vt:lpwstr/>
  </property>
  <property fmtid="{D5CDD505-2E9C-101B-9397-08002B2CF9AE}" pid="13" name="IMSProductType">
    <vt:lpwstr/>
  </property>
  <property fmtid="{D5CDD505-2E9C-101B-9397-08002B2CF9AE}" pid="14" name="af3f57e54dba403ca4ebb14e4094a9d8">
    <vt:lpwstr/>
  </property>
  <property fmtid="{D5CDD505-2E9C-101B-9397-08002B2CF9AE}" pid="15" name="IMS Precedent">
    <vt:lpwstr/>
  </property>
  <property fmtid="{D5CDD505-2E9C-101B-9397-08002B2CF9AE}" pid="16" name="PrimaryJurisction">
    <vt:lpwstr/>
  </property>
  <property fmtid="{D5CDD505-2E9C-101B-9397-08002B2CF9AE}" pid="17" name="SecondaryJurisdiction">
    <vt:lpwstr/>
  </property>
  <property fmtid="{D5CDD505-2E9C-101B-9397-08002B2CF9AE}" pid="18" name="j9a53d7fe1554b91b170ef98e3957baf">
    <vt:lpwstr/>
  </property>
  <property fmtid="{D5CDD505-2E9C-101B-9397-08002B2CF9AE}" pid="19" name="e3d6af94617946d9813caf87b95826d7">
    <vt:lpwstr/>
  </property>
  <property fmtid="{D5CDD505-2E9C-101B-9397-08002B2CF9AE}" pid="20" name="k9c390b121b84919acb0b9151690da40">
    <vt:lpwstr/>
  </property>
  <property fmtid="{D5CDD505-2E9C-101B-9397-08002B2CF9AE}" pid="21" name="f51ae816e01b4965a21cde6183109b29">
    <vt:lpwstr/>
  </property>
  <property fmtid="{D5CDD505-2E9C-101B-9397-08002B2CF9AE}" pid="22" name="f4c29409d90b4a578b768720fd07bb93">
    <vt:lpwstr/>
  </property>
  <property fmtid="{D5CDD505-2E9C-101B-9397-08002B2CF9AE}" pid="23" name="o370174a30b54570b9bc2a9201a399da">
    <vt:lpwstr/>
  </property>
  <property fmtid="{D5CDD505-2E9C-101B-9397-08002B2CF9AE}" pid="24" name="n984d001a78f4b1f81661dbc6638eecd">
    <vt:lpwstr/>
  </property>
  <property fmtid="{D5CDD505-2E9C-101B-9397-08002B2CF9AE}" pid="25" name="hb3476fe0c25428da9d0464ead195eef">
    <vt:lpwstr/>
  </property>
  <property fmtid="{D5CDD505-2E9C-101B-9397-08002B2CF9AE}" pid="26" name="MSIP_Label_3fc05eff-3b8c-46ad-aa9b-c46174c68b39_Enabled">
    <vt:lpwstr>True</vt:lpwstr>
  </property>
  <property fmtid="{D5CDD505-2E9C-101B-9397-08002B2CF9AE}" pid="27" name="MSIP_Label_3fc05eff-3b8c-46ad-aa9b-c46174c68b39_SiteId">
    <vt:lpwstr>5f1de7c6-55cd-4bb2-902d-514c78cf10f4</vt:lpwstr>
  </property>
  <property fmtid="{D5CDD505-2E9C-101B-9397-08002B2CF9AE}" pid="28" name="MSIP_Label_3fc05eff-3b8c-46ad-aa9b-c46174c68b39_SetDate">
    <vt:lpwstr>2023-02-28T23:58:23Z</vt:lpwstr>
  </property>
  <property fmtid="{D5CDD505-2E9C-101B-9397-08002B2CF9AE}" pid="29" name="MSIP_Label_3fc05eff-3b8c-46ad-aa9b-c46174c68b39_Name">
    <vt:lpwstr>OFFICIAL Sensitive</vt:lpwstr>
  </property>
  <property fmtid="{D5CDD505-2E9C-101B-9397-08002B2CF9AE}" pid="30" name="MSIP_Label_3fc05eff-3b8c-46ad-aa9b-c46174c68b39_ActionId">
    <vt:lpwstr>e5ccae08-d503-4623-906f-42792d45f469</vt:lpwstr>
  </property>
  <property fmtid="{D5CDD505-2E9C-101B-9397-08002B2CF9AE}" pid="31" name="MSIP_Label_3fc05eff-3b8c-46ad-aa9b-c46174c68b39_Removed">
    <vt:lpwstr>False</vt:lpwstr>
  </property>
  <property fmtid="{D5CDD505-2E9C-101B-9397-08002B2CF9AE}" pid="32" name="MSIP_Label_3fc05eff-3b8c-46ad-aa9b-c46174c68b39_Extended_MSFT_Method">
    <vt:lpwstr>Standard</vt:lpwstr>
  </property>
  <property fmtid="{D5CDD505-2E9C-101B-9397-08002B2CF9AE}" pid="33" name="Sensitivity">
    <vt:lpwstr>OFFICIAL Sensitive</vt:lpwstr>
  </property>
  <property fmtid="{D5CDD505-2E9C-101B-9397-08002B2CF9AE}" pid="34" name="_docset_NoMedatataSyncRequired">
    <vt:lpwstr>False</vt:lpwstr>
  </property>
  <property fmtid="{D5CDD505-2E9C-101B-9397-08002B2CF9AE}" pid="35" name="IMSFilesetOrganisationID">
    <vt:lpwstr/>
  </property>
</Properties>
</file>