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EB3D" w14:textId="77777777" w:rsidR="00955175" w:rsidRDefault="00955175" w:rsidP="00E2168B">
      <w:pPr>
        <w:spacing w:before="280" w:after="240"/>
        <w:rPr>
          <w:b/>
          <w:sz w:val="32"/>
          <w:szCs w:val="32"/>
        </w:rPr>
      </w:pPr>
    </w:p>
    <w:p w14:paraId="0AAC3FC8" w14:textId="781C253F" w:rsidR="00955175" w:rsidRPr="008E6A9C" w:rsidRDefault="00FC6D88" w:rsidP="00E2168B">
      <w:pPr>
        <w:spacing w:before="280" w:after="240"/>
        <w:rPr>
          <w:b/>
          <w:sz w:val="32"/>
          <w:szCs w:val="32"/>
        </w:rPr>
      </w:pPr>
      <w:r w:rsidRPr="008E6A9C">
        <w:rPr>
          <w:noProof/>
        </w:rPr>
        <w:drawing>
          <wp:anchor distT="0" distB="0" distL="114300" distR="114300" simplePos="0" relativeHeight="251657728" behindDoc="0" locked="0" layoutInCell="1" allowOverlap="1" wp14:anchorId="7F506AFA" wp14:editId="5DCC0D03">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D178D1D" w14:textId="77777777" w:rsidR="00955175" w:rsidRPr="008E6A9C" w:rsidRDefault="00955175" w:rsidP="00955175">
      <w:pPr>
        <w:pStyle w:val="LI-Title"/>
        <w:pBdr>
          <w:top w:val="none" w:sz="0" w:space="0" w:color="auto"/>
        </w:pBdr>
        <w:jc w:val="center"/>
      </w:pPr>
    </w:p>
    <w:p w14:paraId="5B8D4084" w14:textId="77777777" w:rsidR="00955175" w:rsidRPr="008E6A9C" w:rsidRDefault="00955175" w:rsidP="00955175">
      <w:pPr>
        <w:pStyle w:val="LI-Title"/>
        <w:pBdr>
          <w:top w:val="none" w:sz="0" w:space="0" w:color="auto"/>
        </w:pBdr>
        <w:jc w:val="center"/>
      </w:pPr>
      <w:r w:rsidRPr="008E6A9C">
        <w:t>Explanatory Statement</w:t>
      </w:r>
    </w:p>
    <w:p w14:paraId="54F0DD85" w14:textId="77777777" w:rsidR="00955175" w:rsidRPr="008E6A9C" w:rsidRDefault="00955175" w:rsidP="00955175">
      <w:pPr>
        <w:rPr>
          <w:lang w:eastAsia="en-AU"/>
        </w:rPr>
      </w:pPr>
    </w:p>
    <w:p w14:paraId="376F21CA" w14:textId="74F6261C" w:rsidR="00C4170B" w:rsidRPr="008E6A9C" w:rsidRDefault="0094442B" w:rsidP="00C4170B">
      <w:pPr>
        <w:jc w:val="center"/>
        <w:rPr>
          <w:b/>
          <w:i/>
          <w:sz w:val="28"/>
          <w:szCs w:val="28"/>
          <w:lang w:eastAsia="en-AU"/>
        </w:rPr>
      </w:pPr>
      <w:r w:rsidRPr="008E6A9C">
        <w:rPr>
          <w:b/>
          <w:i/>
          <w:sz w:val="28"/>
          <w:szCs w:val="28"/>
          <w:lang w:eastAsia="en-AU"/>
        </w:rPr>
        <w:t>ASIC Corporations (Amendment) Instrument 2023/504</w:t>
      </w:r>
    </w:p>
    <w:p w14:paraId="3D70207E" w14:textId="1DB111EE" w:rsidR="00863657" w:rsidRPr="008E6A9C" w:rsidRDefault="00F800C9" w:rsidP="00F800C9">
      <w:pPr>
        <w:pStyle w:val="LI-BodyTextParaa"/>
        <w:ind w:left="0" w:firstLine="0"/>
      </w:pPr>
      <w:r w:rsidRPr="008E6A9C">
        <w:t xml:space="preserve">This is the Explanatory Statement for </w:t>
      </w:r>
      <w:r w:rsidR="0094442B" w:rsidRPr="008E6A9C">
        <w:t>ASIC Corporations (Amendment) Instrument 2023/504 (</w:t>
      </w:r>
      <w:r w:rsidR="00183376" w:rsidRPr="008E6A9C">
        <w:rPr>
          <w:b/>
          <w:bCs/>
          <w:i/>
          <w:iCs/>
        </w:rPr>
        <w:t xml:space="preserve">Legislative </w:t>
      </w:r>
      <w:r w:rsidR="0094442B" w:rsidRPr="008E6A9C">
        <w:rPr>
          <w:b/>
          <w:bCs/>
          <w:i/>
          <w:iCs/>
        </w:rPr>
        <w:t>Instrument</w:t>
      </w:r>
      <w:r w:rsidR="0094442B" w:rsidRPr="008E6A9C">
        <w:t>).</w:t>
      </w:r>
    </w:p>
    <w:p w14:paraId="119B6103" w14:textId="77777777" w:rsidR="00F800C9" w:rsidRPr="008E6A9C" w:rsidRDefault="00863657" w:rsidP="00F800C9">
      <w:pPr>
        <w:pStyle w:val="LI-BodyTextParaa"/>
        <w:ind w:left="0" w:firstLine="0"/>
      </w:pPr>
      <w:r w:rsidRPr="008E6A9C">
        <w:t>Th</w:t>
      </w:r>
      <w:r w:rsidR="00F800C9" w:rsidRPr="008E6A9C">
        <w:t>e</w:t>
      </w:r>
      <w:r w:rsidRPr="008E6A9C">
        <w:t xml:space="preserve"> </w:t>
      </w:r>
      <w:r w:rsidR="00F800C9" w:rsidRPr="008E6A9C">
        <w:t>Explanatory Statement is approved by the Australian Securities and Investments Commission (</w:t>
      </w:r>
      <w:r w:rsidR="00F800C9" w:rsidRPr="008E6A9C">
        <w:rPr>
          <w:b/>
          <w:i/>
        </w:rPr>
        <w:t>ASIC</w:t>
      </w:r>
      <w:r w:rsidR="00F800C9" w:rsidRPr="008E6A9C">
        <w:t>).</w:t>
      </w:r>
    </w:p>
    <w:p w14:paraId="10E55E66" w14:textId="77777777" w:rsidR="00F800C9" w:rsidRPr="008E6A9C" w:rsidRDefault="005D1FEA" w:rsidP="006D6079">
      <w:pPr>
        <w:pStyle w:val="LI-BodyTextNumbered"/>
        <w:keepNext/>
        <w:ind w:left="0" w:firstLine="0"/>
        <w:rPr>
          <w:b/>
        </w:rPr>
      </w:pPr>
      <w:r w:rsidRPr="008E6A9C">
        <w:rPr>
          <w:b/>
        </w:rPr>
        <w:t>Summary</w:t>
      </w:r>
    </w:p>
    <w:p w14:paraId="4A632C45" w14:textId="553C9FFA" w:rsidR="00F800C9" w:rsidRPr="008E6A9C" w:rsidRDefault="00F800C9" w:rsidP="00F800C9">
      <w:pPr>
        <w:pStyle w:val="LI-BodyTextParaa"/>
        <w:ind w:left="567"/>
      </w:pPr>
      <w:r w:rsidRPr="008E6A9C">
        <w:t>1</w:t>
      </w:r>
      <w:r w:rsidR="005D1FEA" w:rsidRPr="008E6A9C">
        <w:t>.</w:t>
      </w:r>
      <w:r w:rsidRPr="008E6A9C">
        <w:tab/>
      </w:r>
      <w:r w:rsidR="00183376" w:rsidRPr="008E6A9C">
        <w:t xml:space="preserve">The Legislative Instrument is made under paragraph 907D(2)(a) of the </w:t>
      </w:r>
      <w:r w:rsidR="00183376" w:rsidRPr="008E6A9C">
        <w:rPr>
          <w:i/>
          <w:iCs/>
        </w:rPr>
        <w:t xml:space="preserve">Corporations Act 2001 </w:t>
      </w:r>
      <w:r w:rsidR="00183376" w:rsidRPr="008E6A9C">
        <w:t xml:space="preserve">(the </w:t>
      </w:r>
      <w:r w:rsidR="00183376" w:rsidRPr="008E6A9C">
        <w:rPr>
          <w:b/>
          <w:bCs/>
          <w:i/>
          <w:iCs/>
        </w:rPr>
        <w:t>Act</w:t>
      </w:r>
      <w:r w:rsidR="00183376" w:rsidRPr="008E6A9C">
        <w:t xml:space="preserve">) and amends </w:t>
      </w:r>
      <w:r w:rsidR="00183376" w:rsidRPr="008E6A9C">
        <w:rPr>
          <w:color w:val="000000"/>
          <w:shd w:val="clear" w:color="auto" w:fill="FFFFFF"/>
        </w:rPr>
        <w:t>the </w:t>
      </w:r>
      <w:r w:rsidR="00183376" w:rsidRPr="008E6A9C">
        <w:rPr>
          <w:i/>
          <w:iCs/>
          <w:color w:val="000000"/>
          <w:shd w:val="clear" w:color="auto" w:fill="FFFFFF"/>
        </w:rPr>
        <w:t>ASIC Corporations (Derivative Transaction Reporting Exemption) Instrument 2015/844</w:t>
      </w:r>
      <w:r w:rsidR="00183376" w:rsidRPr="008E6A9C">
        <w:rPr>
          <w:color w:val="000000"/>
          <w:shd w:val="clear" w:color="auto" w:fill="FFFFFF"/>
        </w:rPr>
        <w:t> (</w:t>
      </w:r>
      <w:r w:rsidR="00183376" w:rsidRPr="008E6A9C">
        <w:rPr>
          <w:b/>
          <w:bCs/>
          <w:i/>
          <w:iCs/>
          <w:color w:val="000000"/>
          <w:shd w:val="clear" w:color="auto" w:fill="FFFFFF"/>
        </w:rPr>
        <w:t>Principal Instrument</w:t>
      </w:r>
      <w:r w:rsidR="00183376" w:rsidRPr="008E6A9C">
        <w:rPr>
          <w:color w:val="000000"/>
          <w:shd w:val="clear" w:color="auto" w:fill="FFFFFF"/>
        </w:rPr>
        <w:t>)</w:t>
      </w:r>
      <w:r w:rsidR="001B729E" w:rsidRPr="008E6A9C">
        <w:rPr>
          <w:color w:val="000000"/>
          <w:shd w:val="clear" w:color="auto" w:fill="FFFFFF"/>
        </w:rPr>
        <w:t xml:space="preserve"> to insert </w:t>
      </w:r>
      <w:r w:rsidR="007C450A" w:rsidRPr="008E6A9C">
        <w:rPr>
          <w:color w:val="000000"/>
          <w:shd w:val="clear" w:color="auto" w:fill="FFFFFF"/>
        </w:rPr>
        <w:t xml:space="preserve">a new conditional </w:t>
      </w:r>
      <w:r w:rsidR="001512CA" w:rsidRPr="008E6A9C">
        <w:rPr>
          <w:color w:val="000000"/>
          <w:shd w:val="clear" w:color="auto" w:fill="FFFFFF"/>
        </w:rPr>
        <w:t xml:space="preserve">time-limited </w:t>
      </w:r>
      <w:r w:rsidR="007C450A" w:rsidRPr="008E6A9C">
        <w:rPr>
          <w:color w:val="000000"/>
          <w:shd w:val="clear" w:color="auto" w:fill="FFFFFF"/>
        </w:rPr>
        <w:t>exemption.</w:t>
      </w:r>
      <w:r w:rsidR="00183376" w:rsidRPr="008E6A9C">
        <w:rPr>
          <w:color w:val="000000"/>
          <w:shd w:val="clear" w:color="auto" w:fill="FFFFFF"/>
        </w:rPr>
        <w:t xml:space="preserve"> The purpose of the Principal Instrument </w:t>
      </w:r>
      <w:r w:rsidR="00491E0D" w:rsidRPr="008E6A9C">
        <w:rPr>
          <w:color w:val="000000"/>
          <w:shd w:val="clear" w:color="auto" w:fill="FFFFFF"/>
        </w:rPr>
        <w:t xml:space="preserve">(as amended) </w:t>
      </w:r>
      <w:r w:rsidR="00183376" w:rsidRPr="008E6A9C">
        <w:rPr>
          <w:color w:val="000000"/>
          <w:shd w:val="clear" w:color="auto" w:fill="FFFFFF"/>
        </w:rPr>
        <w:t xml:space="preserve">is to provide </w:t>
      </w:r>
      <w:r w:rsidR="00E66EAA" w:rsidRPr="008E6A9C">
        <w:rPr>
          <w:color w:val="000000"/>
          <w:shd w:val="clear" w:color="auto" w:fill="FFFFFF"/>
        </w:rPr>
        <w:t xml:space="preserve">conditional exemptions </w:t>
      </w:r>
      <w:r w:rsidR="00183376" w:rsidRPr="008E6A9C">
        <w:rPr>
          <w:color w:val="000000"/>
          <w:shd w:val="clear" w:color="auto" w:fill="FFFFFF"/>
        </w:rPr>
        <w:t>to reporting entities from certain reporting requirements under the </w:t>
      </w:r>
      <w:r w:rsidR="00183376" w:rsidRPr="008E6A9C">
        <w:rPr>
          <w:i/>
          <w:iCs/>
          <w:color w:val="000000"/>
          <w:shd w:val="clear" w:color="auto" w:fill="FFFFFF"/>
        </w:rPr>
        <w:t>ASIC Derivative Transaction Rules (Reporting) 20</w:t>
      </w:r>
      <w:r w:rsidR="00517058" w:rsidRPr="008E6A9C">
        <w:rPr>
          <w:i/>
          <w:iCs/>
          <w:color w:val="000000"/>
          <w:shd w:val="clear" w:color="auto" w:fill="FFFFFF"/>
        </w:rPr>
        <w:t>22</w:t>
      </w:r>
      <w:r w:rsidR="00183376" w:rsidRPr="008E6A9C">
        <w:rPr>
          <w:color w:val="000000"/>
          <w:shd w:val="clear" w:color="auto" w:fill="FFFFFF"/>
        </w:rPr>
        <w:t> (</w:t>
      </w:r>
      <w:r w:rsidR="00E40E9C" w:rsidRPr="008E6A9C">
        <w:rPr>
          <w:b/>
          <w:bCs/>
          <w:i/>
          <w:iCs/>
          <w:color w:val="000000"/>
          <w:shd w:val="clear" w:color="auto" w:fill="FFFFFF"/>
        </w:rPr>
        <w:t>2022 TRRs</w:t>
      </w:r>
      <w:r w:rsidR="00183376" w:rsidRPr="008E6A9C">
        <w:rPr>
          <w:color w:val="000000"/>
          <w:shd w:val="clear" w:color="auto" w:fill="FFFFFF"/>
        </w:rPr>
        <w:t xml:space="preserve">). </w:t>
      </w:r>
      <w:r w:rsidR="00BE68DD" w:rsidRPr="008E6A9C">
        <w:rPr>
          <w:color w:val="000000"/>
          <w:shd w:val="clear" w:color="auto" w:fill="FFFFFF"/>
        </w:rPr>
        <w:t>Broadly, t</w:t>
      </w:r>
      <w:r w:rsidR="00183376" w:rsidRPr="008E6A9C">
        <w:rPr>
          <w:color w:val="000000"/>
          <w:shd w:val="clear" w:color="auto" w:fill="FFFFFF"/>
        </w:rPr>
        <w:t xml:space="preserve">he </w:t>
      </w:r>
      <w:r w:rsidR="00724A91" w:rsidRPr="008E6A9C">
        <w:rPr>
          <w:color w:val="000000"/>
          <w:shd w:val="clear" w:color="auto" w:fill="FFFFFF"/>
        </w:rPr>
        <w:t xml:space="preserve">exemption inserted by the </w:t>
      </w:r>
      <w:r w:rsidR="00183376" w:rsidRPr="008E6A9C">
        <w:rPr>
          <w:color w:val="000000"/>
          <w:shd w:val="clear" w:color="auto" w:fill="FFFFFF"/>
        </w:rPr>
        <w:t xml:space="preserve">Legislative Instrument exempts reporting entities from </w:t>
      </w:r>
      <w:r w:rsidR="00BE68DD" w:rsidRPr="008E6A9C">
        <w:rPr>
          <w:color w:val="000000"/>
          <w:shd w:val="clear" w:color="auto" w:fill="FFFFFF"/>
        </w:rPr>
        <w:t xml:space="preserve">reporting </w:t>
      </w:r>
      <w:r w:rsidR="00754BFC" w:rsidRPr="008E6A9C">
        <w:rPr>
          <w:color w:val="000000"/>
          <w:shd w:val="clear" w:color="auto" w:fill="FFFFFF"/>
        </w:rPr>
        <w:t xml:space="preserve">certain </w:t>
      </w:r>
      <w:r w:rsidR="00E55FAF" w:rsidRPr="008E6A9C">
        <w:rPr>
          <w:color w:val="000000"/>
          <w:shd w:val="clear" w:color="auto" w:fill="FFFFFF"/>
        </w:rPr>
        <w:t xml:space="preserve">items of </w:t>
      </w:r>
      <w:r w:rsidR="00754BFC" w:rsidRPr="008E6A9C">
        <w:rPr>
          <w:color w:val="000000"/>
          <w:shd w:val="clear" w:color="auto" w:fill="FFFFFF"/>
        </w:rPr>
        <w:t xml:space="preserve">derivative </w:t>
      </w:r>
      <w:r w:rsidR="0012326F" w:rsidRPr="008E6A9C">
        <w:rPr>
          <w:color w:val="000000"/>
          <w:shd w:val="clear" w:color="auto" w:fill="FFFFFF"/>
        </w:rPr>
        <w:t>trade data</w:t>
      </w:r>
      <w:r w:rsidR="00754BFC" w:rsidRPr="008E6A9C">
        <w:rPr>
          <w:color w:val="000000"/>
          <w:shd w:val="clear" w:color="auto" w:fill="FFFFFF"/>
        </w:rPr>
        <w:t xml:space="preserve"> under the 2022 TRRs that will not be required to be reported from the commencement of the </w:t>
      </w:r>
      <w:r w:rsidR="00754BFC" w:rsidRPr="008E6A9C">
        <w:rPr>
          <w:i/>
          <w:iCs/>
          <w:color w:val="000000"/>
          <w:shd w:val="clear" w:color="auto" w:fill="FFFFFF"/>
        </w:rPr>
        <w:t>ASIC Derivative Transaction Rules (Reporting) 2024</w:t>
      </w:r>
      <w:r w:rsidR="000E0BE5" w:rsidRPr="008E6A9C">
        <w:rPr>
          <w:i/>
          <w:iCs/>
          <w:color w:val="000000"/>
          <w:shd w:val="clear" w:color="auto" w:fill="FFFFFF"/>
        </w:rPr>
        <w:t xml:space="preserve"> </w:t>
      </w:r>
      <w:r w:rsidR="000E0BE5" w:rsidRPr="008E6A9C">
        <w:rPr>
          <w:color w:val="000000"/>
          <w:shd w:val="clear" w:color="auto" w:fill="FFFFFF"/>
        </w:rPr>
        <w:t>(</w:t>
      </w:r>
      <w:r w:rsidR="000E0BE5" w:rsidRPr="008E6A9C">
        <w:rPr>
          <w:b/>
          <w:bCs/>
          <w:i/>
          <w:iCs/>
          <w:color w:val="000000"/>
          <w:shd w:val="clear" w:color="auto" w:fill="FFFFFF"/>
        </w:rPr>
        <w:t>2024 TRRs</w:t>
      </w:r>
      <w:r w:rsidR="000E0BE5" w:rsidRPr="008E6A9C">
        <w:rPr>
          <w:color w:val="000000"/>
          <w:shd w:val="clear" w:color="auto" w:fill="FFFFFF"/>
        </w:rPr>
        <w:t>)</w:t>
      </w:r>
      <w:r w:rsidR="00860C42" w:rsidRPr="008E6A9C">
        <w:rPr>
          <w:color w:val="000000"/>
          <w:shd w:val="clear" w:color="auto" w:fill="FFFFFF"/>
        </w:rPr>
        <w:t xml:space="preserve"> on 21 October 2024</w:t>
      </w:r>
      <w:r w:rsidR="001C305B" w:rsidRPr="008E6A9C">
        <w:rPr>
          <w:color w:val="000000"/>
          <w:shd w:val="clear" w:color="auto" w:fill="FFFFFF"/>
        </w:rPr>
        <w:t>.</w:t>
      </w:r>
    </w:p>
    <w:p w14:paraId="59A63C44" w14:textId="77777777" w:rsidR="005D1FEA" w:rsidRPr="008E6A9C" w:rsidRDefault="005D1FEA" w:rsidP="006D6079">
      <w:pPr>
        <w:pStyle w:val="LI-BodyTextNumbered"/>
        <w:keepNext/>
        <w:ind w:left="0" w:firstLine="0"/>
        <w:rPr>
          <w:b/>
        </w:rPr>
      </w:pPr>
      <w:r w:rsidRPr="008E6A9C">
        <w:rPr>
          <w:b/>
        </w:rPr>
        <w:t>Purpose of the instrument</w:t>
      </w:r>
    </w:p>
    <w:p w14:paraId="5962D771" w14:textId="00FDA122" w:rsidR="005D1FEA" w:rsidRPr="008E6A9C" w:rsidRDefault="00863657" w:rsidP="005D1FEA">
      <w:pPr>
        <w:pStyle w:val="LI-BodyTextParaa"/>
        <w:ind w:left="567"/>
      </w:pPr>
      <w:r w:rsidRPr="008E6A9C">
        <w:t>2</w:t>
      </w:r>
      <w:r w:rsidR="00F03BB5" w:rsidRPr="008E6A9C">
        <w:t>.</w:t>
      </w:r>
      <w:r w:rsidR="005D1FEA" w:rsidRPr="008E6A9C">
        <w:tab/>
      </w:r>
      <w:r w:rsidR="00183376" w:rsidRPr="008E6A9C">
        <w:t xml:space="preserve">The purpose of the </w:t>
      </w:r>
      <w:r w:rsidR="001E786E" w:rsidRPr="008E6A9C">
        <w:t xml:space="preserve">Legislative </w:t>
      </w:r>
      <w:r w:rsidR="00183376" w:rsidRPr="008E6A9C">
        <w:t>Instrument is to introduce</w:t>
      </w:r>
      <w:r w:rsidR="001B729E" w:rsidRPr="008E6A9C">
        <w:t xml:space="preserve"> conditional</w:t>
      </w:r>
      <w:r w:rsidR="001512CA" w:rsidRPr="008E6A9C">
        <w:t xml:space="preserve"> time-limited</w:t>
      </w:r>
      <w:r w:rsidR="00183376" w:rsidRPr="008E6A9C">
        <w:t xml:space="preserve"> exemptive relief in new section 13B (Exemption 11) of the Principal Instrument</w:t>
      </w:r>
      <w:r w:rsidR="00632B54" w:rsidRPr="008E6A9C">
        <w:t xml:space="preserve">. </w:t>
      </w:r>
      <w:r w:rsidR="000732FE" w:rsidRPr="008E6A9C">
        <w:t>Section 13B provides conditional time-limited exemptive relief to Reporting Entities from the reporting requirement in Rule 2.2.1 of the 2022 TRRs for certain items of Derivative Transaction Information defined as the 2024 Transitional Information</w:t>
      </w:r>
      <w:r w:rsidR="00805EB0" w:rsidRPr="008E6A9C">
        <w:t xml:space="preserve"> and item 21</w:t>
      </w:r>
      <w:r w:rsidR="003165F8" w:rsidRPr="008E6A9C">
        <w:t xml:space="preserve"> (‘Whether the Derivative has been confirmed’)</w:t>
      </w:r>
      <w:r w:rsidR="00805EB0" w:rsidRPr="008E6A9C">
        <w:t xml:space="preserve"> or item 22 </w:t>
      </w:r>
      <w:r w:rsidR="003165F8" w:rsidRPr="008E6A9C">
        <w:t xml:space="preserve">(‘Form of confirmation’) </w:t>
      </w:r>
      <w:r w:rsidR="00805EB0" w:rsidRPr="008E6A9C">
        <w:t>of Table S2.1(1) in Schedule 2 to the 2022 TRRs</w:t>
      </w:r>
      <w:r w:rsidR="000732FE" w:rsidRPr="008E6A9C">
        <w:t xml:space="preserve">. </w:t>
      </w:r>
      <w:r w:rsidR="00895977" w:rsidRPr="008E6A9C">
        <w:t xml:space="preserve">The 2024 Transitional Information are items of Derivative </w:t>
      </w:r>
      <w:r w:rsidR="00FC3D95" w:rsidRPr="008E6A9C">
        <w:t>Trade Data</w:t>
      </w:r>
      <w:r w:rsidR="00895977" w:rsidRPr="008E6A9C">
        <w:t xml:space="preserve"> in</w:t>
      </w:r>
      <w:r w:rsidR="004B1C87" w:rsidRPr="008E6A9C">
        <w:t xml:space="preserve"> Table S2.1(1)</w:t>
      </w:r>
      <w:r w:rsidR="00644C70" w:rsidRPr="008E6A9C">
        <w:t xml:space="preserve"> a</w:t>
      </w:r>
      <w:r w:rsidR="00670248" w:rsidRPr="008E6A9C">
        <w:t>nd</w:t>
      </w:r>
      <w:r w:rsidR="00644C70" w:rsidRPr="008E6A9C">
        <w:t xml:space="preserve"> Table S2.2(1)</w:t>
      </w:r>
      <w:r w:rsidR="004B1C87" w:rsidRPr="008E6A9C">
        <w:t xml:space="preserve"> of</w:t>
      </w:r>
      <w:r w:rsidR="00895977" w:rsidRPr="008E6A9C">
        <w:t xml:space="preserve"> the 2022 TRRs that are not specified </w:t>
      </w:r>
      <w:r w:rsidR="0074579D" w:rsidRPr="008E6A9C">
        <w:t xml:space="preserve">as items of Derivative </w:t>
      </w:r>
      <w:r w:rsidR="0087333A" w:rsidRPr="008E6A9C">
        <w:t>Transaction Information</w:t>
      </w:r>
      <w:r w:rsidR="00895977" w:rsidRPr="008E6A9C">
        <w:t xml:space="preserve"> under the </w:t>
      </w:r>
      <w:r w:rsidR="000E0BE5" w:rsidRPr="008E6A9C">
        <w:t>2024 TRRs.</w:t>
      </w:r>
    </w:p>
    <w:p w14:paraId="1022951C" w14:textId="11197015" w:rsidR="001264B1" w:rsidRPr="008E6A9C" w:rsidRDefault="003D0499" w:rsidP="001264B1">
      <w:pPr>
        <w:pStyle w:val="LI-BodyTextParaa"/>
        <w:ind w:left="567"/>
        <w:rPr>
          <w:bCs/>
        </w:rPr>
      </w:pPr>
      <w:r w:rsidRPr="008E6A9C">
        <w:rPr>
          <w:bCs/>
        </w:rPr>
        <w:t>3.</w:t>
      </w:r>
      <w:r w:rsidRPr="008E6A9C">
        <w:rPr>
          <w:bCs/>
        </w:rPr>
        <w:tab/>
      </w:r>
      <w:r w:rsidR="009563E0" w:rsidRPr="008E6A9C">
        <w:rPr>
          <w:bCs/>
        </w:rPr>
        <w:t>The items of 2024 Transitional Information are set out below:</w:t>
      </w:r>
    </w:p>
    <w:p w14:paraId="4043BA30" w14:textId="77777777" w:rsidR="001264B1" w:rsidRPr="008E6A9C" w:rsidRDefault="001264B1" w:rsidP="001264B1">
      <w:pPr>
        <w:pStyle w:val="tabletitlefullwidth"/>
        <w:ind w:hanging="142"/>
      </w:pPr>
      <w:r w:rsidRPr="008E6A9C">
        <w:lastRenderedPageBreak/>
        <w:t>Table S2.1(1): Common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791"/>
        <w:gridCol w:w="1967"/>
        <w:gridCol w:w="4697"/>
      </w:tblGrid>
      <w:tr w:rsidR="001264B1" w:rsidRPr="008E6A9C" w14:paraId="5A451CDC" w14:textId="77777777" w:rsidTr="001264B1">
        <w:trPr>
          <w:tblHeader/>
        </w:trPr>
        <w:tc>
          <w:tcPr>
            <w:tcW w:w="791" w:type="dxa"/>
            <w:shd w:val="clear" w:color="auto" w:fill="C2E3FA"/>
          </w:tcPr>
          <w:p w14:paraId="014AA765" w14:textId="77777777" w:rsidR="001264B1" w:rsidRPr="008E6A9C" w:rsidRDefault="001264B1" w:rsidP="00897427">
            <w:pPr>
              <w:pStyle w:val="tablehead"/>
            </w:pPr>
            <w:r w:rsidRPr="008E6A9C">
              <w:t>1. Item</w:t>
            </w:r>
          </w:p>
        </w:tc>
        <w:tc>
          <w:tcPr>
            <w:tcW w:w="1967" w:type="dxa"/>
            <w:shd w:val="clear" w:color="auto" w:fill="C2E3FA"/>
          </w:tcPr>
          <w:p w14:paraId="28048D02" w14:textId="77777777" w:rsidR="001264B1" w:rsidRPr="008E6A9C" w:rsidRDefault="001264B1" w:rsidP="00897427">
            <w:pPr>
              <w:pStyle w:val="tablehead"/>
            </w:pPr>
            <w:r w:rsidRPr="008E6A9C">
              <w:t>2. Label</w:t>
            </w:r>
          </w:p>
        </w:tc>
        <w:tc>
          <w:tcPr>
            <w:tcW w:w="4697" w:type="dxa"/>
            <w:shd w:val="clear" w:color="auto" w:fill="C2E3FA"/>
          </w:tcPr>
          <w:p w14:paraId="51A24BDC" w14:textId="77777777" w:rsidR="001264B1" w:rsidRPr="008E6A9C" w:rsidRDefault="001264B1" w:rsidP="00897427">
            <w:pPr>
              <w:pStyle w:val="tablehead"/>
            </w:pPr>
            <w:r w:rsidRPr="008E6A9C">
              <w:t>3. Derivative Transaction Information</w:t>
            </w:r>
          </w:p>
        </w:tc>
      </w:tr>
      <w:tr w:rsidR="001264B1" w:rsidRPr="008E6A9C" w14:paraId="4588351F" w14:textId="77777777" w:rsidTr="001264B1">
        <w:tc>
          <w:tcPr>
            <w:tcW w:w="791" w:type="dxa"/>
          </w:tcPr>
          <w:p w14:paraId="332478F5" w14:textId="77777777" w:rsidR="001264B1" w:rsidRPr="008E6A9C" w:rsidRDefault="001264B1" w:rsidP="00897427">
            <w:pPr>
              <w:pStyle w:val="tbltext"/>
            </w:pPr>
            <w:r w:rsidRPr="008E6A9C">
              <w:t>9</w:t>
            </w:r>
          </w:p>
        </w:tc>
        <w:tc>
          <w:tcPr>
            <w:tcW w:w="1967" w:type="dxa"/>
          </w:tcPr>
          <w:p w14:paraId="19411058" w14:textId="77777777" w:rsidR="001264B1" w:rsidRPr="008E6A9C" w:rsidRDefault="001264B1" w:rsidP="00897427">
            <w:pPr>
              <w:pStyle w:val="tbltext"/>
            </w:pPr>
            <w:r w:rsidRPr="008E6A9C">
              <w:t xml:space="preserve">Trading capacity of Reporting Counterparty </w:t>
            </w:r>
          </w:p>
        </w:tc>
        <w:tc>
          <w:tcPr>
            <w:tcW w:w="4697" w:type="dxa"/>
          </w:tcPr>
          <w:p w14:paraId="701CC26D" w14:textId="77777777" w:rsidR="001264B1" w:rsidRPr="008E6A9C" w:rsidRDefault="001264B1" w:rsidP="00897427">
            <w:pPr>
              <w:pStyle w:val="tbltext"/>
            </w:pPr>
            <w:r w:rsidRPr="008E6A9C">
              <w:t>A notation to indicate whether the Reporting Counterparty has concluded the Derivative to which the Reportable Transaction relates:</w:t>
            </w:r>
          </w:p>
          <w:p w14:paraId="1A5BD439" w14:textId="77777777" w:rsidR="001264B1" w:rsidRPr="008E6A9C" w:rsidRDefault="001264B1" w:rsidP="001264B1">
            <w:pPr>
              <w:pStyle w:val="tbltext"/>
              <w:numPr>
                <w:ilvl w:val="0"/>
                <w:numId w:val="24"/>
              </w:numPr>
            </w:pPr>
            <w:r w:rsidRPr="008E6A9C">
              <w:t xml:space="preserve">as principal on its own account (on its own behalf or on behalf of a client); or </w:t>
            </w:r>
          </w:p>
          <w:p w14:paraId="4FE955AA" w14:textId="77777777" w:rsidR="001264B1" w:rsidRPr="008E6A9C" w:rsidRDefault="001264B1" w:rsidP="001264B1">
            <w:pPr>
              <w:pStyle w:val="tbltext"/>
              <w:numPr>
                <w:ilvl w:val="0"/>
                <w:numId w:val="24"/>
              </w:numPr>
            </w:pPr>
            <w:r w:rsidRPr="008E6A9C">
              <w:t>as agent for the account of and on behalf of a client.</w:t>
            </w:r>
          </w:p>
        </w:tc>
      </w:tr>
      <w:tr w:rsidR="001264B1" w:rsidRPr="008E6A9C" w14:paraId="03791265" w14:textId="77777777" w:rsidTr="001264B1">
        <w:tc>
          <w:tcPr>
            <w:tcW w:w="791" w:type="dxa"/>
          </w:tcPr>
          <w:p w14:paraId="68A684C7" w14:textId="77777777" w:rsidR="001264B1" w:rsidRPr="008E6A9C" w:rsidRDefault="001264B1" w:rsidP="00897427">
            <w:pPr>
              <w:pStyle w:val="tbltext"/>
            </w:pPr>
            <w:r w:rsidRPr="008E6A9C">
              <w:t>23</w:t>
            </w:r>
          </w:p>
        </w:tc>
        <w:tc>
          <w:tcPr>
            <w:tcW w:w="1967" w:type="dxa"/>
          </w:tcPr>
          <w:p w14:paraId="5740B004" w14:textId="77777777" w:rsidR="001264B1" w:rsidRPr="008E6A9C" w:rsidRDefault="001264B1" w:rsidP="00897427">
            <w:pPr>
              <w:pStyle w:val="tbltext"/>
            </w:pPr>
            <w:r w:rsidRPr="008E6A9C">
              <w:t>Confirmation timestamp</w:t>
            </w:r>
          </w:p>
        </w:tc>
        <w:tc>
          <w:tcPr>
            <w:tcW w:w="4697" w:type="dxa"/>
          </w:tcPr>
          <w:p w14:paraId="67AD6E9B" w14:textId="77777777" w:rsidR="001264B1" w:rsidRPr="008E6A9C" w:rsidRDefault="001264B1" w:rsidP="00897427">
            <w:pPr>
              <w:pStyle w:val="tbltext"/>
            </w:pPr>
            <w:r w:rsidRPr="008E6A9C">
              <w:t>The time and date (expressed as AEDT/AEST as applicable – see Rule 1.2.1) the terms of the Derivative to which the Reportable Transaction relates were confirmed by both counterparties (if applicable).</w:t>
            </w:r>
          </w:p>
        </w:tc>
      </w:tr>
      <w:tr w:rsidR="001264B1" w:rsidRPr="008E6A9C" w14:paraId="368AC519" w14:textId="77777777" w:rsidTr="001264B1">
        <w:tc>
          <w:tcPr>
            <w:tcW w:w="791" w:type="dxa"/>
          </w:tcPr>
          <w:p w14:paraId="66BC0A10" w14:textId="77777777" w:rsidR="001264B1" w:rsidRPr="008E6A9C" w:rsidRDefault="001264B1" w:rsidP="00897427">
            <w:pPr>
              <w:pStyle w:val="tbltext"/>
            </w:pPr>
            <w:r w:rsidRPr="008E6A9C">
              <w:t>25</w:t>
            </w:r>
          </w:p>
        </w:tc>
        <w:tc>
          <w:tcPr>
            <w:tcW w:w="1967" w:type="dxa"/>
          </w:tcPr>
          <w:p w14:paraId="56DAF415" w14:textId="77777777" w:rsidR="001264B1" w:rsidRPr="008E6A9C" w:rsidRDefault="001264B1" w:rsidP="00897427">
            <w:pPr>
              <w:pStyle w:val="tbltext"/>
            </w:pPr>
            <w:r w:rsidRPr="008E6A9C">
              <w:t>Master agreement type</w:t>
            </w:r>
          </w:p>
        </w:tc>
        <w:tc>
          <w:tcPr>
            <w:tcW w:w="4697" w:type="dxa"/>
          </w:tcPr>
          <w:p w14:paraId="28D2B587" w14:textId="77777777" w:rsidR="001264B1" w:rsidRPr="008E6A9C" w:rsidRDefault="001264B1" w:rsidP="00897427">
            <w:pPr>
              <w:pStyle w:val="tbltext"/>
            </w:pPr>
            <w:r w:rsidRPr="008E6A9C">
              <w:t>The type of master agreement that was executed in relation to the Derivative to which the Reportable Transaction relates (</w:t>
            </w:r>
            <w:proofErr w:type="gramStart"/>
            <w:r w:rsidRPr="008E6A9C">
              <w:t>e.g.</w:t>
            </w:r>
            <w:proofErr w:type="gramEnd"/>
            <w:r w:rsidRPr="008E6A9C">
              <w:t xml:space="preserve"> ISDA Master Agreement, Master Power Purchase and Sale Agreement, International </w:t>
            </w:r>
            <w:proofErr w:type="spellStart"/>
            <w:r w:rsidRPr="008E6A9C">
              <w:t>ForEx</w:t>
            </w:r>
            <w:proofErr w:type="spellEnd"/>
            <w:r w:rsidRPr="008E6A9C">
              <w:t xml:space="preserve"> Master Agreement, European Master Agreement or any local Master Agreements).</w:t>
            </w:r>
          </w:p>
        </w:tc>
      </w:tr>
      <w:tr w:rsidR="001264B1" w:rsidRPr="008E6A9C" w14:paraId="143E678E" w14:textId="77777777" w:rsidTr="001264B1">
        <w:tc>
          <w:tcPr>
            <w:tcW w:w="791" w:type="dxa"/>
          </w:tcPr>
          <w:p w14:paraId="04B82DBF" w14:textId="77777777" w:rsidR="001264B1" w:rsidRPr="008E6A9C" w:rsidRDefault="001264B1" w:rsidP="00897427">
            <w:pPr>
              <w:pStyle w:val="tbltext"/>
            </w:pPr>
            <w:r w:rsidRPr="008E6A9C">
              <w:t>26</w:t>
            </w:r>
          </w:p>
        </w:tc>
        <w:tc>
          <w:tcPr>
            <w:tcW w:w="1967" w:type="dxa"/>
          </w:tcPr>
          <w:p w14:paraId="28BFADD0" w14:textId="77777777" w:rsidR="001264B1" w:rsidRPr="008E6A9C" w:rsidRDefault="001264B1" w:rsidP="00897427">
            <w:pPr>
              <w:pStyle w:val="tbltext"/>
            </w:pPr>
            <w:r w:rsidRPr="008E6A9C">
              <w:t>Master agreement date</w:t>
            </w:r>
          </w:p>
        </w:tc>
        <w:tc>
          <w:tcPr>
            <w:tcW w:w="4697" w:type="dxa"/>
          </w:tcPr>
          <w:p w14:paraId="5C7BCB98" w14:textId="77777777" w:rsidR="001264B1" w:rsidRPr="008E6A9C" w:rsidRDefault="001264B1" w:rsidP="00897427">
            <w:pPr>
              <w:pStyle w:val="tbltext"/>
            </w:pPr>
            <w:r w:rsidRPr="008E6A9C">
              <w:t>The year of the version of the master agreement identified under item 25.</w:t>
            </w:r>
          </w:p>
        </w:tc>
      </w:tr>
      <w:tr w:rsidR="001264B1" w:rsidRPr="008E6A9C" w14:paraId="0F65408B" w14:textId="77777777" w:rsidTr="001264B1">
        <w:tc>
          <w:tcPr>
            <w:tcW w:w="791" w:type="dxa"/>
          </w:tcPr>
          <w:p w14:paraId="3EF4D8C1" w14:textId="77777777" w:rsidR="001264B1" w:rsidRPr="008E6A9C" w:rsidRDefault="001264B1" w:rsidP="00897427">
            <w:pPr>
              <w:pStyle w:val="tbltext"/>
            </w:pPr>
            <w:r w:rsidRPr="008E6A9C">
              <w:t>36</w:t>
            </w:r>
          </w:p>
        </w:tc>
        <w:tc>
          <w:tcPr>
            <w:tcW w:w="1967" w:type="dxa"/>
          </w:tcPr>
          <w:p w14:paraId="522C339D" w14:textId="77777777" w:rsidR="001264B1" w:rsidRPr="008E6A9C" w:rsidRDefault="001264B1" w:rsidP="00897427">
            <w:pPr>
              <w:pStyle w:val="tbltext"/>
            </w:pPr>
            <w:r w:rsidRPr="008E6A9C">
              <w:t>Expiry conventions/cut</w:t>
            </w:r>
          </w:p>
        </w:tc>
        <w:tc>
          <w:tcPr>
            <w:tcW w:w="4697" w:type="dxa"/>
          </w:tcPr>
          <w:p w14:paraId="04C4DD2A" w14:textId="77777777" w:rsidR="001264B1" w:rsidRPr="008E6A9C" w:rsidRDefault="001264B1" w:rsidP="00897427">
            <w:pPr>
              <w:pStyle w:val="tbltext"/>
            </w:pPr>
            <w:r w:rsidRPr="008E6A9C">
              <w:t>Place of time zone and time of expiry of the Derivative to which the Reportable Transaction relates (</w:t>
            </w:r>
            <w:proofErr w:type="gramStart"/>
            <w:r w:rsidRPr="008E6A9C">
              <w:t>e.g.</w:t>
            </w:r>
            <w:proofErr w:type="gramEnd"/>
            <w:r w:rsidRPr="008E6A9C">
              <w:t xml:space="preserve"> 3 pm, Tokyo; 10 am, New York).</w:t>
            </w:r>
          </w:p>
        </w:tc>
      </w:tr>
      <w:tr w:rsidR="001264B1" w:rsidRPr="008E6A9C" w14:paraId="145C0F2A" w14:textId="77777777" w:rsidTr="001264B1">
        <w:tc>
          <w:tcPr>
            <w:tcW w:w="791" w:type="dxa"/>
          </w:tcPr>
          <w:p w14:paraId="563C571B" w14:textId="2684ABAD" w:rsidR="001264B1" w:rsidRPr="008E6A9C" w:rsidRDefault="00597FD8" w:rsidP="00897427">
            <w:pPr>
              <w:pStyle w:val="tbltext"/>
            </w:pPr>
            <w:r w:rsidRPr="008E6A9C">
              <w:t>51</w:t>
            </w:r>
          </w:p>
        </w:tc>
        <w:tc>
          <w:tcPr>
            <w:tcW w:w="1967" w:type="dxa"/>
          </w:tcPr>
          <w:p w14:paraId="63E69AB9" w14:textId="4ABAD01B" w:rsidR="001264B1" w:rsidRPr="008E6A9C" w:rsidRDefault="00597FD8" w:rsidP="00897427">
            <w:pPr>
              <w:pStyle w:val="tbltext"/>
            </w:pPr>
            <w:r w:rsidRPr="008E6A9C">
              <w:t>Barrier type</w:t>
            </w:r>
          </w:p>
        </w:tc>
        <w:tc>
          <w:tcPr>
            <w:tcW w:w="4697" w:type="dxa"/>
          </w:tcPr>
          <w:p w14:paraId="20CA84F9" w14:textId="3D3EB38D" w:rsidR="001264B1" w:rsidRPr="008E6A9C" w:rsidRDefault="007C59C6" w:rsidP="007C59C6">
            <w:pPr>
              <w:pStyle w:val="tbltext"/>
            </w:pPr>
            <w:r w:rsidRPr="008E6A9C">
              <w:t>If the Derivative to which the Reportable Transaction relates includes a barrier, the type of barrier in the Derivative (“European”, “American”, “Bermudan” or “other”).</w:t>
            </w:r>
          </w:p>
        </w:tc>
      </w:tr>
      <w:tr w:rsidR="001264B1" w:rsidRPr="008E6A9C" w14:paraId="244FAE36" w14:textId="77777777" w:rsidTr="001264B1">
        <w:tc>
          <w:tcPr>
            <w:tcW w:w="791" w:type="dxa"/>
          </w:tcPr>
          <w:p w14:paraId="2ABE7568" w14:textId="297AFDB8" w:rsidR="001264B1" w:rsidRPr="008E6A9C" w:rsidRDefault="00597FD8" w:rsidP="00897427">
            <w:pPr>
              <w:pStyle w:val="tbltext"/>
            </w:pPr>
            <w:r w:rsidRPr="008E6A9C">
              <w:t>52</w:t>
            </w:r>
          </w:p>
        </w:tc>
        <w:tc>
          <w:tcPr>
            <w:tcW w:w="1967" w:type="dxa"/>
          </w:tcPr>
          <w:p w14:paraId="67AAE4A1" w14:textId="6E6438FC" w:rsidR="001264B1" w:rsidRPr="008E6A9C" w:rsidRDefault="00597FD8" w:rsidP="00897427">
            <w:pPr>
              <w:pStyle w:val="tbltext"/>
            </w:pPr>
            <w:r w:rsidRPr="008E6A9C">
              <w:t>Barrier value</w:t>
            </w:r>
          </w:p>
        </w:tc>
        <w:tc>
          <w:tcPr>
            <w:tcW w:w="4697" w:type="dxa"/>
          </w:tcPr>
          <w:p w14:paraId="2211EA21" w14:textId="4527823B" w:rsidR="001264B1" w:rsidRPr="008E6A9C" w:rsidRDefault="007C59C6" w:rsidP="00897427">
            <w:pPr>
              <w:pStyle w:val="tbltext"/>
            </w:pPr>
            <w:r w:rsidRPr="008E6A9C">
              <w:t>If the Derivative to which the Reportable Transaction relates includes a barrier or barriers, the rate or level of the barrier or barriers.</w:t>
            </w:r>
          </w:p>
        </w:tc>
      </w:tr>
      <w:tr w:rsidR="001264B1" w:rsidRPr="008E6A9C" w14:paraId="01C33188" w14:textId="77777777" w:rsidTr="001264B1">
        <w:tc>
          <w:tcPr>
            <w:tcW w:w="791" w:type="dxa"/>
          </w:tcPr>
          <w:p w14:paraId="10AC513F" w14:textId="77777777" w:rsidR="001264B1" w:rsidRPr="008E6A9C" w:rsidRDefault="001264B1" w:rsidP="00897427">
            <w:pPr>
              <w:pStyle w:val="tbltext"/>
            </w:pPr>
            <w:r w:rsidRPr="008E6A9C">
              <w:t>54</w:t>
            </w:r>
          </w:p>
        </w:tc>
        <w:tc>
          <w:tcPr>
            <w:tcW w:w="1967" w:type="dxa"/>
          </w:tcPr>
          <w:p w14:paraId="3DB586A6" w14:textId="77777777" w:rsidR="001264B1" w:rsidRPr="008E6A9C" w:rsidRDefault="001264B1" w:rsidP="00897427">
            <w:pPr>
              <w:pStyle w:val="tbltext"/>
            </w:pPr>
            <w:r w:rsidRPr="008E6A9C">
              <w:t>Hedging transaction</w:t>
            </w:r>
          </w:p>
        </w:tc>
        <w:tc>
          <w:tcPr>
            <w:tcW w:w="4697" w:type="dxa"/>
          </w:tcPr>
          <w:p w14:paraId="77FB60F3" w14:textId="77777777" w:rsidR="001264B1" w:rsidRPr="008E6A9C" w:rsidRDefault="001264B1" w:rsidP="00897427">
            <w:pPr>
              <w:pStyle w:val="tbltext"/>
            </w:pPr>
            <w:r w:rsidRPr="008E6A9C">
              <w:t>If the Reporting Entity is not an Australian ADI, an AFS Licensee, a CS Facility Licensee, an Exempt Foreign Licensee or a Foreign ADI, an indication of whether the Derivative</w:t>
            </w:r>
            <w:r w:rsidRPr="008E6A9C">
              <w:rPr>
                <w:rFonts w:ascii="Times New Roman" w:hAnsi="Times New Roman" w:cs="Times New Roman"/>
                <w:sz w:val="22"/>
                <w:szCs w:val="22"/>
              </w:rPr>
              <w:t xml:space="preserve"> </w:t>
            </w:r>
            <w:r w:rsidRPr="008E6A9C">
              <w:t>to which the Reportable Transaction relates is entered into by the Reporting Entity for the purpose of managing a financial risk that arises in the ordinary course of business.</w:t>
            </w:r>
          </w:p>
        </w:tc>
      </w:tr>
    </w:tbl>
    <w:p w14:paraId="51418CCA" w14:textId="77777777" w:rsidR="003516F5" w:rsidRPr="008E6A9C" w:rsidRDefault="003516F5" w:rsidP="003516F5">
      <w:pPr>
        <w:pStyle w:val="tabletitlefullwidth"/>
        <w:ind w:left="851" w:firstLine="0"/>
      </w:pPr>
      <w:r w:rsidRPr="008E6A9C">
        <w:t>Table S2.1(2): Commodity derivative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06"/>
        <w:gridCol w:w="1945"/>
        <w:gridCol w:w="4704"/>
      </w:tblGrid>
      <w:tr w:rsidR="003516F5" w:rsidRPr="008E6A9C" w14:paraId="43F2150A" w14:textId="77777777" w:rsidTr="003516F5">
        <w:trPr>
          <w:cantSplit/>
          <w:tblHeader/>
        </w:trPr>
        <w:tc>
          <w:tcPr>
            <w:tcW w:w="806" w:type="dxa"/>
            <w:shd w:val="clear" w:color="auto" w:fill="C2E3FA"/>
          </w:tcPr>
          <w:p w14:paraId="5AC2FEAB" w14:textId="77777777" w:rsidR="003516F5" w:rsidRPr="008E6A9C" w:rsidRDefault="003516F5" w:rsidP="008954FF">
            <w:pPr>
              <w:pStyle w:val="tablehead"/>
            </w:pPr>
            <w:r w:rsidRPr="008E6A9C">
              <w:t>1. Item</w:t>
            </w:r>
          </w:p>
        </w:tc>
        <w:tc>
          <w:tcPr>
            <w:tcW w:w="1945" w:type="dxa"/>
            <w:shd w:val="clear" w:color="auto" w:fill="C2E3FA"/>
          </w:tcPr>
          <w:p w14:paraId="05B0C56F" w14:textId="77777777" w:rsidR="003516F5" w:rsidRPr="008E6A9C" w:rsidRDefault="003516F5" w:rsidP="008954FF">
            <w:pPr>
              <w:pStyle w:val="tablehead"/>
            </w:pPr>
            <w:r w:rsidRPr="008E6A9C">
              <w:t>2. Label</w:t>
            </w:r>
          </w:p>
        </w:tc>
        <w:tc>
          <w:tcPr>
            <w:tcW w:w="4704" w:type="dxa"/>
            <w:shd w:val="clear" w:color="auto" w:fill="C2E3FA"/>
          </w:tcPr>
          <w:p w14:paraId="6992E899" w14:textId="77777777" w:rsidR="003516F5" w:rsidRPr="008E6A9C" w:rsidRDefault="003516F5" w:rsidP="008954FF">
            <w:pPr>
              <w:pStyle w:val="tablehead"/>
            </w:pPr>
            <w:r w:rsidRPr="008E6A9C">
              <w:t>3. Derivative Transaction Information</w:t>
            </w:r>
          </w:p>
        </w:tc>
      </w:tr>
      <w:tr w:rsidR="003516F5" w:rsidRPr="008E6A9C" w14:paraId="408515E2" w14:textId="77777777" w:rsidTr="003516F5">
        <w:trPr>
          <w:cantSplit/>
        </w:trPr>
        <w:tc>
          <w:tcPr>
            <w:tcW w:w="806" w:type="dxa"/>
          </w:tcPr>
          <w:p w14:paraId="51051251" w14:textId="77777777" w:rsidR="003516F5" w:rsidRPr="008E6A9C" w:rsidRDefault="003516F5" w:rsidP="008954FF">
            <w:pPr>
              <w:pStyle w:val="tbltext"/>
            </w:pPr>
            <w:r w:rsidRPr="008E6A9C">
              <w:t>3</w:t>
            </w:r>
          </w:p>
        </w:tc>
        <w:tc>
          <w:tcPr>
            <w:tcW w:w="1945" w:type="dxa"/>
            <w:vAlign w:val="bottom"/>
          </w:tcPr>
          <w:p w14:paraId="4A9C7BE0" w14:textId="77777777" w:rsidR="003516F5" w:rsidRPr="008E6A9C" w:rsidRDefault="003516F5" w:rsidP="008954FF">
            <w:pPr>
              <w:pStyle w:val="tbltext"/>
            </w:pPr>
            <w:r w:rsidRPr="008E6A9C">
              <w:t>Grade</w:t>
            </w:r>
          </w:p>
        </w:tc>
        <w:tc>
          <w:tcPr>
            <w:tcW w:w="4704" w:type="dxa"/>
          </w:tcPr>
          <w:p w14:paraId="70492108" w14:textId="77777777" w:rsidR="003516F5" w:rsidRPr="008E6A9C" w:rsidRDefault="003516F5" w:rsidP="008954FF">
            <w:pPr>
              <w:pStyle w:val="tbltext"/>
            </w:pPr>
            <w:r w:rsidRPr="008E6A9C">
              <w:t>The grade of product being delivered.</w:t>
            </w:r>
          </w:p>
        </w:tc>
      </w:tr>
      <w:tr w:rsidR="003516F5" w:rsidRPr="008E6A9C" w14:paraId="70187485" w14:textId="77777777" w:rsidTr="003516F5">
        <w:trPr>
          <w:cantSplit/>
        </w:trPr>
        <w:tc>
          <w:tcPr>
            <w:tcW w:w="806" w:type="dxa"/>
          </w:tcPr>
          <w:p w14:paraId="0787B226" w14:textId="77777777" w:rsidR="003516F5" w:rsidRPr="008E6A9C" w:rsidRDefault="003516F5" w:rsidP="008954FF">
            <w:pPr>
              <w:pStyle w:val="tbltext"/>
            </w:pPr>
            <w:r w:rsidRPr="008E6A9C">
              <w:lastRenderedPageBreak/>
              <w:t>10</w:t>
            </w:r>
          </w:p>
        </w:tc>
        <w:tc>
          <w:tcPr>
            <w:tcW w:w="1945" w:type="dxa"/>
          </w:tcPr>
          <w:p w14:paraId="7BCA02EA" w14:textId="77777777" w:rsidR="003516F5" w:rsidRPr="008E6A9C" w:rsidRDefault="003516F5" w:rsidP="008954FF">
            <w:pPr>
              <w:pStyle w:val="tbltext"/>
            </w:pPr>
            <w:r w:rsidRPr="008E6A9C">
              <w:t xml:space="preserve">Delivery point or zone </w:t>
            </w:r>
          </w:p>
        </w:tc>
        <w:tc>
          <w:tcPr>
            <w:tcW w:w="4704" w:type="dxa"/>
          </w:tcPr>
          <w:p w14:paraId="0FDEC42C" w14:textId="77777777" w:rsidR="003516F5" w:rsidRPr="008E6A9C" w:rsidRDefault="003516F5" w:rsidP="008954FF">
            <w:pPr>
              <w:pStyle w:val="tbltext"/>
            </w:pPr>
            <w:r w:rsidRPr="008E6A9C">
              <w:t xml:space="preserve">The location of the delivery of the commodity underlying the Derivative to which the Reportable Transaction relates. </w:t>
            </w:r>
          </w:p>
        </w:tc>
      </w:tr>
      <w:tr w:rsidR="003516F5" w:rsidRPr="008E6A9C" w14:paraId="71A4E41A" w14:textId="77777777" w:rsidTr="003516F5">
        <w:trPr>
          <w:cantSplit/>
        </w:trPr>
        <w:tc>
          <w:tcPr>
            <w:tcW w:w="806" w:type="dxa"/>
          </w:tcPr>
          <w:p w14:paraId="753AF66B" w14:textId="77777777" w:rsidR="003516F5" w:rsidRPr="008E6A9C" w:rsidRDefault="003516F5" w:rsidP="008954FF">
            <w:pPr>
              <w:pStyle w:val="tbltext"/>
            </w:pPr>
            <w:r w:rsidRPr="008E6A9C">
              <w:t>11</w:t>
            </w:r>
          </w:p>
        </w:tc>
        <w:tc>
          <w:tcPr>
            <w:tcW w:w="1945" w:type="dxa"/>
          </w:tcPr>
          <w:p w14:paraId="720C5A7C" w14:textId="77777777" w:rsidR="003516F5" w:rsidRPr="008E6A9C" w:rsidRDefault="003516F5" w:rsidP="008954FF">
            <w:pPr>
              <w:pStyle w:val="tbltext"/>
            </w:pPr>
            <w:r w:rsidRPr="008E6A9C">
              <w:t xml:space="preserve">Delivery </w:t>
            </w:r>
            <w:proofErr w:type="gramStart"/>
            <w:r w:rsidRPr="008E6A9C">
              <w:t>start</w:t>
            </w:r>
            <w:proofErr w:type="gramEnd"/>
            <w:r w:rsidRPr="008E6A9C">
              <w:t xml:space="preserve"> date and time </w:t>
            </w:r>
          </w:p>
        </w:tc>
        <w:tc>
          <w:tcPr>
            <w:tcW w:w="4704" w:type="dxa"/>
          </w:tcPr>
          <w:p w14:paraId="5EF82B60" w14:textId="77777777" w:rsidR="003516F5" w:rsidRPr="008E6A9C" w:rsidRDefault="003516F5" w:rsidP="008954FF">
            <w:pPr>
              <w:pStyle w:val="tbltext"/>
            </w:pPr>
            <w:r w:rsidRPr="008E6A9C">
              <w:t>The start date and time (expressed as AEDT/AEST as applicable - see Rule 1.2.1) of delivery</w:t>
            </w:r>
            <w:r w:rsidRPr="008E6A9C">
              <w:rPr>
                <w:rFonts w:ascii="Times New Roman" w:hAnsi="Times New Roman" w:cs="Times New Roman"/>
                <w:sz w:val="22"/>
                <w:szCs w:val="22"/>
              </w:rPr>
              <w:t xml:space="preserve"> </w:t>
            </w:r>
            <w:r w:rsidRPr="008E6A9C">
              <w:t>of the commodity underlying the Derivative to which the Reportable Transaction relates.</w:t>
            </w:r>
          </w:p>
        </w:tc>
      </w:tr>
      <w:tr w:rsidR="003516F5" w:rsidRPr="008E6A9C" w14:paraId="799D5D35" w14:textId="77777777" w:rsidTr="003516F5">
        <w:trPr>
          <w:cantSplit/>
        </w:trPr>
        <w:tc>
          <w:tcPr>
            <w:tcW w:w="806" w:type="dxa"/>
          </w:tcPr>
          <w:p w14:paraId="5DCFBEAB" w14:textId="77777777" w:rsidR="003516F5" w:rsidRPr="008E6A9C" w:rsidRDefault="003516F5" w:rsidP="008954FF">
            <w:pPr>
              <w:pStyle w:val="tbltext"/>
            </w:pPr>
            <w:r w:rsidRPr="008E6A9C">
              <w:t>12</w:t>
            </w:r>
          </w:p>
        </w:tc>
        <w:tc>
          <w:tcPr>
            <w:tcW w:w="1945" w:type="dxa"/>
          </w:tcPr>
          <w:p w14:paraId="05D27E77" w14:textId="77777777" w:rsidR="003516F5" w:rsidRPr="008E6A9C" w:rsidRDefault="003516F5" w:rsidP="008954FF">
            <w:pPr>
              <w:pStyle w:val="tbltext"/>
            </w:pPr>
            <w:r w:rsidRPr="008E6A9C">
              <w:t xml:space="preserve">Delivery end date and time </w:t>
            </w:r>
          </w:p>
        </w:tc>
        <w:tc>
          <w:tcPr>
            <w:tcW w:w="4704" w:type="dxa"/>
          </w:tcPr>
          <w:p w14:paraId="774A549F" w14:textId="77777777" w:rsidR="003516F5" w:rsidRPr="008E6A9C" w:rsidRDefault="003516F5" w:rsidP="008954FF">
            <w:pPr>
              <w:pStyle w:val="tbltext"/>
            </w:pPr>
            <w:r w:rsidRPr="008E6A9C">
              <w:t>The end date and time (expressed as AEDT/AEST as applicable -</w:t>
            </w:r>
            <w:r w:rsidRPr="008E6A9C">
              <w:rPr>
                <w:rFonts w:ascii="Times New Roman" w:hAnsi="Times New Roman" w:cs="Times New Roman"/>
                <w:sz w:val="22"/>
                <w:szCs w:val="20"/>
              </w:rPr>
              <w:t xml:space="preserve"> </w:t>
            </w:r>
            <w:r w:rsidRPr="008E6A9C">
              <w:t>see Rule 1.2.1) of delivery</w:t>
            </w:r>
            <w:r w:rsidRPr="008E6A9C">
              <w:rPr>
                <w:rFonts w:ascii="Times New Roman" w:hAnsi="Times New Roman" w:cs="Times New Roman"/>
                <w:sz w:val="22"/>
                <w:szCs w:val="22"/>
              </w:rPr>
              <w:t xml:space="preserve"> </w:t>
            </w:r>
            <w:r w:rsidRPr="008E6A9C">
              <w:t>of the commodity underlying the Derivative to which the Reportable Transaction relates.</w:t>
            </w:r>
          </w:p>
        </w:tc>
      </w:tr>
      <w:tr w:rsidR="003516F5" w:rsidRPr="008E6A9C" w14:paraId="1C1B1E47" w14:textId="77777777" w:rsidTr="003516F5">
        <w:trPr>
          <w:cantSplit/>
        </w:trPr>
        <w:tc>
          <w:tcPr>
            <w:tcW w:w="806" w:type="dxa"/>
          </w:tcPr>
          <w:p w14:paraId="250DA76D" w14:textId="77777777" w:rsidR="003516F5" w:rsidRPr="008E6A9C" w:rsidRDefault="003516F5" w:rsidP="008954FF">
            <w:pPr>
              <w:pStyle w:val="tbltext"/>
            </w:pPr>
            <w:r w:rsidRPr="008E6A9C">
              <w:t>13</w:t>
            </w:r>
          </w:p>
        </w:tc>
        <w:tc>
          <w:tcPr>
            <w:tcW w:w="1945" w:type="dxa"/>
          </w:tcPr>
          <w:p w14:paraId="17DCCD1A" w14:textId="77777777" w:rsidR="003516F5" w:rsidRPr="008E6A9C" w:rsidRDefault="003516F5" w:rsidP="008954FF">
            <w:pPr>
              <w:pStyle w:val="tbltext"/>
            </w:pPr>
            <w:r w:rsidRPr="008E6A9C">
              <w:t xml:space="preserve">Derivative capacity </w:t>
            </w:r>
          </w:p>
        </w:tc>
        <w:tc>
          <w:tcPr>
            <w:tcW w:w="4704" w:type="dxa"/>
          </w:tcPr>
          <w:p w14:paraId="0CB52362" w14:textId="77777777" w:rsidR="003516F5" w:rsidRPr="008E6A9C" w:rsidRDefault="003516F5" w:rsidP="008954FF">
            <w:pPr>
              <w:pStyle w:val="tbltext"/>
            </w:pPr>
            <w:r w:rsidRPr="008E6A9C">
              <w:t>The quantity per delivery time interval</w:t>
            </w:r>
            <w:r w:rsidRPr="008E6A9C">
              <w:rPr>
                <w:rFonts w:ascii="Times New Roman" w:hAnsi="Times New Roman" w:cs="Times New Roman"/>
                <w:sz w:val="22"/>
                <w:szCs w:val="22"/>
              </w:rPr>
              <w:t xml:space="preserve"> </w:t>
            </w:r>
            <w:r w:rsidRPr="008E6A9C">
              <w:t>of the commodity underlying the Derivative to which the Reportable Transaction relates.</w:t>
            </w:r>
          </w:p>
        </w:tc>
      </w:tr>
    </w:tbl>
    <w:p w14:paraId="5C1641C2" w14:textId="5C5EBF6F" w:rsidR="00EA7316" w:rsidRPr="008E6A9C" w:rsidRDefault="00EA7316" w:rsidP="006E26C1">
      <w:pPr>
        <w:keepNext/>
        <w:keepLines/>
        <w:shd w:val="clear" w:color="auto" w:fill="FFFFFF"/>
        <w:spacing w:before="360" w:after="120" w:line="240" w:lineRule="atLeast"/>
        <w:ind w:left="851" w:firstLine="1"/>
        <w:rPr>
          <w:rFonts w:ascii="Arial" w:eastAsia="Times New Roman" w:hAnsi="Arial" w:cs="Arial"/>
          <w:b/>
          <w:bCs/>
          <w:color w:val="000000"/>
          <w:sz w:val="20"/>
          <w:lang w:eastAsia="en-AU"/>
        </w:rPr>
      </w:pPr>
      <w:r w:rsidRPr="008E6A9C">
        <w:rPr>
          <w:rFonts w:ascii="Arial" w:eastAsia="Times New Roman" w:hAnsi="Arial" w:cs="Arial"/>
          <w:b/>
          <w:bCs/>
          <w:color w:val="000000"/>
          <w:sz w:val="20"/>
          <w:lang w:eastAsia="en-AU"/>
        </w:rPr>
        <w:t>Table S2.2(1): Common data</w:t>
      </w:r>
    </w:p>
    <w:tbl>
      <w:tblPr>
        <w:tblW w:w="4450" w:type="pct"/>
        <w:tblInd w:w="959" w:type="dxa"/>
        <w:shd w:val="clear" w:color="auto" w:fill="FFFFFF"/>
        <w:tblCellMar>
          <w:left w:w="0" w:type="dxa"/>
          <w:right w:w="0" w:type="dxa"/>
        </w:tblCellMar>
        <w:tblLook w:val="04A0" w:firstRow="1" w:lastRow="0" w:firstColumn="1" w:lastColumn="0" w:noHBand="0" w:noVBand="1"/>
      </w:tblPr>
      <w:tblGrid>
        <w:gridCol w:w="786"/>
        <w:gridCol w:w="1968"/>
        <w:gridCol w:w="4645"/>
      </w:tblGrid>
      <w:tr w:rsidR="00EA7316" w:rsidRPr="008E6A9C" w14:paraId="487CAE38" w14:textId="77777777" w:rsidTr="00EA7316">
        <w:trPr>
          <w:tblHeader/>
        </w:trPr>
        <w:tc>
          <w:tcPr>
            <w:tcW w:w="786" w:type="dxa"/>
            <w:tcBorders>
              <w:top w:val="single" w:sz="8" w:space="0" w:color="999999"/>
              <w:left w:val="nil"/>
              <w:bottom w:val="single" w:sz="8" w:space="0" w:color="999999"/>
              <w:right w:val="nil"/>
            </w:tcBorders>
            <w:shd w:val="clear" w:color="auto" w:fill="C2E3FA"/>
            <w:tcMar>
              <w:top w:w="0" w:type="dxa"/>
              <w:left w:w="108" w:type="dxa"/>
              <w:bottom w:w="113" w:type="dxa"/>
              <w:right w:w="108" w:type="dxa"/>
            </w:tcMar>
            <w:hideMark/>
          </w:tcPr>
          <w:p w14:paraId="5CE5A56A" w14:textId="77777777" w:rsidR="00EA7316" w:rsidRPr="008E6A9C" w:rsidRDefault="00EA7316" w:rsidP="006E26C1">
            <w:pPr>
              <w:keepNext/>
              <w:keepLines/>
              <w:spacing w:before="120" w:line="240" w:lineRule="atLeast"/>
              <w:rPr>
                <w:rFonts w:ascii="Arial" w:eastAsia="Times New Roman" w:hAnsi="Arial" w:cs="Arial"/>
                <w:b/>
                <w:bCs/>
                <w:color w:val="000000"/>
                <w:sz w:val="18"/>
                <w:szCs w:val="18"/>
                <w:lang w:eastAsia="en-AU"/>
              </w:rPr>
            </w:pPr>
            <w:r w:rsidRPr="008E6A9C">
              <w:rPr>
                <w:rFonts w:ascii="Arial" w:eastAsia="Times New Roman" w:hAnsi="Arial" w:cs="Arial"/>
                <w:b/>
                <w:bCs/>
                <w:color w:val="000000"/>
                <w:sz w:val="18"/>
                <w:szCs w:val="18"/>
                <w:lang w:eastAsia="en-AU"/>
              </w:rPr>
              <w:t>1. Item</w:t>
            </w:r>
          </w:p>
        </w:tc>
        <w:tc>
          <w:tcPr>
            <w:tcW w:w="1968" w:type="dxa"/>
            <w:tcBorders>
              <w:top w:val="single" w:sz="8" w:space="0" w:color="999999"/>
              <w:left w:val="nil"/>
              <w:bottom w:val="single" w:sz="8" w:space="0" w:color="999999"/>
              <w:right w:val="nil"/>
            </w:tcBorders>
            <w:shd w:val="clear" w:color="auto" w:fill="C2E3FA"/>
            <w:tcMar>
              <w:top w:w="0" w:type="dxa"/>
              <w:left w:w="108" w:type="dxa"/>
              <w:bottom w:w="113" w:type="dxa"/>
              <w:right w:w="108" w:type="dxa"/>
            </w:tcMar>
            <w:hideMark/>
          </w:tcPr>
          <w:p w14:paraId="7107A999" w14:textId="77777777" w:rsidR="00EA7316" w:rsidRPr="008E6A9C" w:rsidRDefault="00EA7316" w:rsidP="006E26C1">
            <w:pPr>
              <w:keepNext/>
              <w:keepLines/>
              <w:spacing w:before="120" w:line="240" w:lineRule="atLeast"/>
              <w:rPr>
                <w:rFonts w:ascii="Arial" w:eastAsia="Times New Roman" w:hAnsi="Arial" w:cs="Arial"/>
                <w:b/>
                <w:bCs/>
                <w:color w:val="000000"/>
                <w:sz w:val="18"/>
                <w:szCs w:val="18"/>
                <w:lang w:eastAsia="en-AU"/>
              </w:rPr>
            </w:pPr>
            <w:r w:rsidRPr="008E6A9C">
              <w:rPr>
                <w:rFonts w:ascii="Arial" w:eastAsia="Times New Roman" w:hAnsi="Arial" w:cs="Arial"/>
                <w:b/>
                <w:bCs/>
                <w:color w:val="000000"/>
                <w:sz w:val="18"/>
                <w:szCs w:val="18"/>
                <w:lang w:eastAsia="en-AU"/>
              </w:rPr>
              <w:t>2. Label</w:t>
            </w:r>
          </w:p>
        </w:tc>
        <w:tc>
          <w:tcPr>
            <w:tcW w:w="4645" w:type="dxa"/>
            <w:tcBorders>
              <w:top w:val="single" w:sz="8" w:space="0" w:color="999999"/>
              <w:left w:val="nil"/>
              <w:bottom w:val="single" w:sz="8" w:space="0" w:color="999999"/>
              <w:right w:val="nil"/>
            </w:tcBorders>
            <w:shd w:val="clear" w:color="auto" w:fill="C2E3FA"/>
            <w:tcMar>
              <w:top w:w="0" w:type="dxa"/>
              <w:left w:w="108" w:type="dxa"/>
              <w:bottom w:w="113" w:type="dxa"/>
              <w:right w:w="108" w:type="dxa"/>
            </w:tcMar>
            <w:hideMark/>
          </w:tcPr>
          <w:p w14:paraId="4E024778" w14:textId="77777777" w:rsidR="00EA7316" w:rsidRPr="008E6A9C" w:rsidRDefault="00EA7316" w:rsidP="006E26C1">
            <w:pPr>
              <w:keepNext/>
              <w:keepLines/>
              <w:spacing w:before="120" w:line="240" w:lineRule="atLeast"/>
              <w:rPr>
                <w:rFonts w:ascii="Arial" w:eastAsia="Times New Roman" w:hAnsi="Arial" w:cs="Arial"/>
                <w:b/>
                <w:bCs/>
                <w:color w:val="000000"/>
                <w:sz w:val="18"/>
                <w:szCs w:val="18"/>
                <w:lang w:eastAsia="en-AU"/>
              </w:rPr>
            </w:pPr>
            <w:r w:rsidRPr="008E6A9C">
              <w:rPr>
                <w:rFonts w:ascii="Arial" w:eastAsia="Times New Roman" w:hAnsi="Arial" w:cs="Arial"/>
                <w:b/>
                <w:bCs/>
                <w:color w:val="000000"/>
                <w:sz w:val="18"/>
                <w:szCs w:val="18"/>
                <w:lang w:eastAsia="en-AU"/>
              </w:rPr>
              <w:t>3. Derivative Position Information</w:t>
            </w:r>
          </w:p>
        </w:tc>
      </w:tr>
      <w:tr w:rsidR="00EA7316" w:rsidRPr="008E6A9C" w14:paraId="1B985F96" w14:textId="77777777" w:rsidTr="00EA7316">
        <w:tc>
          <w:tcPr>
            <w:tcW w:w="786" w:type="dxa"/>
            <w:tcBorders>
              <w:top w:val="nil"/>
              <w:left w:val="nil"/>
              <w:bottom w:val="single" w:sz="8" w:space="0" w:color="999999"/>
              <w:right w:val="nil"/>
            </w:tcBorders>
            <w:shd w:val="clear" w:color="auto" w:fill="FFFFFF"/>
            <w:tcMar>
              <w:top w:w="0" w:type="dxa"/>
              <w:left w:w="108" w:type="dxa"/>
              <w:bottom w:w="113" w:type="dxa"/>
              <w:right w:w="108" w:type="dxa"/>
            </w:tcMar>
            <w:hideMark/>
          </w:tcPr>
          <w:p w14:paraId="413DE673" w14:textId="77777777" w:rsidR="00EA7316" w:rsidRPr="008E6A9C" w:rsidRDefault="00EA7316" w:rsidP="006E26C1">
            <w:pPr>
              <w:keepNext/>
              <w:keepLines/>
              <w:spacing w:before="120" w:line="240" w:lineRule="atLeast"/>
              <w:rPr>
                <w:rFonts w:ascii="Arial" w:eastAsia="Times New Roman" w:hAnsi="Arial" w:cs="Arial"/>
                <w:color w:val="000000"/>
                <w:sz w:val="18"/>
                <w:szCs w:val="18"/>
                <w:lang w:eastAsia="en-AU"/>
              </w:rPr>
            </w:pPr>
            <w:r w:rsidRPr="008E6A9C">
              <w:rPr>
                <w:rFonts w:ascii="Arial" w:eastAsia="Times New Roman" w:hAnsi="Arial" w:cs="Arial"/>
                <w:color w:val="000000"/>
                <w:sz w:val="18"/>
                <w:szCs w:val="18"/>
                <w:lang w:eastAsia="en-AU"/>
              </w:rPr>
              <w:t>17</w:t>
            </w:r>
          </w:p>
        </w:tc>
        <w:tc>
          <w:tcPr>
            <w:tcW w:w="1968" w:type="dxa"/>
            <w:tcBorders>
              <w:top w:val="nil"/>
              <w:left w:val="nil"/>
              <w:bottom w:val="single" w:sz="8" w:space="0" w:color="999999"/>
              <w:right w:val="nil"/>
            </w:tcBorders>
            <w:shd w:val="clear" w:color="auto" w:fill="FFFFFF"/>
            <w:tcMar>
              <w:top w:w="0" w:type="dxa"/>
              <w:left w:w="108" w:type="dxa"/>
              <w:bottom w:w="113" w:type="dxa"/>
              <w:right w:w="108" w:type="dxa"/>
            </w:tcMar>
            <w:hideMark/>
          </w:tcPr>
          <w:p w14:paraId="7EBEAACE" w14:textId="77777777" w:rsidR="00EA7316" w:rsidRPr="008E6A9C" w:rsidRDefault="00EA7316" w:rsidP="006E26C1">
            <w:pPr>
              <w:keepNext/>
              <w:keepLines/>
              <w:spacing w:before="120" w:line="240" w:lineRule="atLeast"/>
              <w:rPr>
                <w:rFonts w:ascii="Arial" w:eastAsia="Times New Roman" w:hAnsi="Arial" w:cs="Arial"/>
                <w:color w:val="000000"/>
                <w:sz w:val="18"/>
                <w:szCs w:val="18"/>
                <w:lang w:eastAsia="en-AU"/>
              </w:rPr>
            </w:pPr>
            <w:r w:rsidRPr="008E6A9C">
              <w:rPr>
                <w:rFonts w:ascii="Arial" w:eastAsia="Times New Roman" w:hAnsi="Arial" w:cs="Arial"/>
                <w:color w:val="000000"/>
                <w:sz w:val="18"/>
                <w:szCs w:val="18"/>
                <w:lang w:eastAsia="en-AU"/>
              </w:rPr>
              <w:t>Whether the Derivative has been confirmed</w:t>
            </w:r>
          </w:p>
        </w:tc>
        <w:tc>
          <w:tcPr>
            <w:tcW w:w="4645" w:type="dxa"/>
            <w:tcBorders>
              <w:top w:val="nil"/>
              <w:left w:val="nil"/>
              <w:bottom w:val="single" w:sz="8" w:space="0" w:color="999999"/>
              <w:right w:val="nil"/>
            </w:tcBorders>
            <w:shd w:val="clear" w:color="auto" w:fill="FFFFFF"/>
            <w:tcMar>
              <w:top w:w="0" w:type="dxa"/>
              <w:left w:w="108" w:type="dxa"/>
              <w:bottom w:w="113" w:type="dxa"/>
              <w:right w:w="108" w:type="dxa"/>
            </w:tcMar>
            <w:hideMark/>
          </w:tcPr>
          <w:p w14:paraId="73ABA9A7" w14:textId="77777777" w:rsidR="00EA7316" w:rsidRPr="008E6A9C" w:rsidRDefault="00EA7316" w:rsidP="006E26C1">
            <w:pPr>
              <w:keepNext/>
              <w:keepLines/>
              <w:spacing w:before="120" w:line="240" w:lineRule="atLeast"/>
              <w:rPr>
                <w:rFonts w:ascii="Arial" w:eastAsia="Times New Roman" w:hAnsi="Arial" w:cs="Arial"/>
                <w:color w:val="000000"/>
                <w:sz w:val="18"/>
                <w:szCs w:val="18"/>
                <w:lang w:eastAsia="en-AU"/>
              </w:rPr>
            </w:pPr>
            <w:r w:rsidRPr="008E6A9C">
              <w:rPr>
                <w:rFonts w:ascii="Arial" w:eastAsia="Times New Roman" w:hAnsi="Arial" w:cs="Arial"/>
                <w:color w:val="000000"/>
                <w:sz w:val="18"/>
                <w:szCs w:val="18"/>
                <w:lang w:eastAsia="en-AU"/>
              </w:rPr>
              <w:t>A notation to indicate whether the terms of the Derivative to which the Reportable Position relates have been confirmed by both counterparties to the Derivative.</w:t>
            </w:r>
          </w:p>
        </w:tc>
      </w:tr>
      <w:tr w:rsidR="00EA7316" w:rsidRPr="008E6A9C" w14:paraId="3FFA9685" w14:textId="77777777" w:rsidTr="00EA7316">
        <w:tc>
          <w:tcPr>
            <w:tcW w:w="786" w:type="dxa"/>
            <w:tcBorders>
              <w:top w:val="nil"/>
              <w:left w:val="nil"/>
              <w:bottom w:val="single" w:sz="8" w:space="0" w:color="999999"/>
              <w:right w:val="nil"/>
            </w:tcBorders>
            <w:shd w:val="clear" w:color="auto" w:fill="FFFFFF"/>
            <w:tcMar>
              <w:top w:w="0" w:type="dxa"/>
              <w:left w:w="108" w:type="dxa"/>
              <w:bottom w:w="113" w:type="dxa"/>
              <w:right w:w="108" w:type="dxa"/>
            </w:tcMar>
            <w:hideMark/>
          </w:tcPr>
          <w:p w14:paraId="5E6E61E3" w14:textId="77777777" w:rsidR="00EA7316" w:rsidRPr="008E6A9C" w:rsidRDefault="00EA7316" w:rsidP="006E26C1">
            <w:pPr>
              <w:keepNext/>
              <w:keepLines/>
              <w:spacing w:before="120" w:line="240" w:lineRule="atLeast"/>
              <w:rPr>
                <w:rFonts w:ascii="Arial" w:eastAsia="Times New Roman" w:hAnsi="Arial" w:cs="Arial"/>
                <w:color w:val="000000"/>
                <w:sz w:val="18"/>
                <w:szCs w:val="18"/>
                <w:lang w:eastAsia="en-AU"/>
              </w:rPr>
            </w:pPr>
            <w:r w:rsidRPr="008E6A9C">
              <w:rPr>
                <w:rFonts w:ascii="Arial" w:eastAsia="Times New Roman" w:hAnsi="Arial" w:cs="Arial"/>
                <w:color w:val="000000"/>
                <w:sz w:val="18"/>
                <w:szCs w:val="18"/>
                <w:lang w:eastAsia="en-AU"/>
              </w:rPr>
              <w:t>26</w:t>
            </w:r>
          </w:p>
        </w:tc>
        <w:tc>
          <w:tcPr>
            <w:tcW w:w="1968" w:type="dxa"/>
            <w:tcBorders>
              <w:top w:val="nil"/>
              <w:left w:val="nil"/>
              <w:bottom w:val="single" w:sz="8" w:space="0" w:color="999999"/>
              <w:right w:val="nil"/>
            </w:tcBorders>
            <w:shd w:val="clear" w:color="auto" w:fill="FFFFFF"/>
            <w:tcMar>
              <w:top w:w="0" w:type="dxa"/>
              <w:left w:w="108" w:type="dxa"/>
              <w:bottom w:w="113" w:type="dxa"/>
              <w:right w:w="108" w:type="dxa"/>
            </w:tcMar>
            <w:hideMark/>
          </w:tcPr>
          <w:p w14:paraId="4BAE35C1" w14:textId="77777777" w:rsidR="00EA7316" w:rsidRPr="008E6A9C" w:rsidRDefault="00EA7316" w:rsidP="006E26C1">
            <w:pPr>
              <w:keepNext/>
              <w:keepLines/>
              <w:spacing w:before="120" w:line="240" w:lineRule="atLeast"/>
              <w:rPr>
                <w:rFonts w:ascii="Arial" w:eastAsia="Times New Roman" w:hAnsi="Arial" w:cs="Arial"/>
                <w:color w:val="000000"/>
                <w:sz w:val="18"/>
                <w:szCs w:val="18"/>
                <w:lang w:eastAsia="en-AU"/>
              </w:rPr>
            </w:pPr>
            <w:r w:rsidRPr="008E6A9C">
              <w:rPr>
                <w:rFonts w:ascii="Arial" w:eastAsia="Times New Roman" w:hAnsi="Arial" w:cs="Arial"/>
                <w:color w:val="000000"/>
                <w:sz w:val="18"/>
                <w:szCs w:val="18"/>
                <w:lang w:eastAsia="en-AU"/>
              </w:rPr>
              <w:t>Expiry Conventions/Cut</w:t>
            </w:r>
          </w:p>
        </w:tc>
        <w:tc>
          <w:tcPr>
            <w:tcW w:w="4645" w:type="dxa"/>
            <w:tcBorders>
              <w:top w:val="nil"/>
              <w:left w:val="nil"/>
              <w:bottom w:val="single" w:sz="8" w:space="0" w:color="999999"/>
              <w:right w:val="nil"/>
            </w:tcBorders>
            <w:shd w:val="clear" w:color="auto" w:fill="FFFFFF"/>
            <w:tcMar>
              <w:top w:w="0" w:type="dxa"/>
              <w:left w:w="108" w:type="dxa"/>
              <w:bottom w:w="113" w:type="dxa"/>
              <w:right w:w="108" w:type="dxa"/>
            </w:tcMar>
            <w:hideMark/>
          </w:tcPr>
          <w:p w14:paraId="7551035A" w14:textId="77777777" w:rsidR="00EA7316" w:rsidRPr="008E6A9C" w:rsidRDefault="00EA7316" w:rsidP="006E26C1">
            <w:pPr>
              <w:keepNext/>
              <w:keepLines/>
              <w:spacing w:before="120" w:line="240" w:lineRule="atLeast"/>
              <w:rPr>
                <w:rFonts w:ascii="Arial" w:eastAsia="Times New Roman" w:hAnsi="Arial" w:cs="Arial"/>
                <w:color w:val="000000"/>
                <w:sz w:val="18"/>
                <w:szCs w:val="18"/>
                <w:lang w:eastAsia="en-AU"/>
              </w:rPr>
            </w:pPr>
            <w:r w:rsidRPr="008E6A9C">
              <w:rPr>
                <w:rFonts w:ascii="Arial" w:eastAsia="Times New Roman" w:hAnsi="Arial" w:cs="Arial"/>
                <w:color w:val="000000"/>
                <w:sz w:val="18"/>
                <w:szCs w:val="18"/>
                <w:lang w:eastAsia="en-AU"/>
              </w:rPr>
              <w:t>Place of time zone and time of expiry of the Derivative to which the Reportable Position relates (</w:t>
            </w:r>
            <w:proofErr w:type="gramStart"/>
            <w:r w:rsidRPr="008E6A9C">
              <w:rPr>
                <w:rFonts w:ascii="Arial" w:eastAsia="Times New Roman" w:hAnsi="Arial" w:cs="Arial"/>
                <w:color w:val="000000"/>
                <w:sz w:val="18"/>
                <w:szCs w:val="18"/>
                <w:lang w:eastAsia="en-AU"/>
              </w:rPr>
              <w:t>e.g.</w:t>
            </w:r>
            <w:proofErr w:type="gramEnd"/>
            <w:r w:rsidRPr="008E6A9C">
              <w:rPr>
                <w:rFonts w:ascii="Arial" w:eastAsia="Times New Roman" w:hAnsi="Arial" w:cs="Arial"/>
                <w:color w:val="000000"/>
                <w:sz w:val="18"/>
                <w:szCs w:val="18"/>
                <w:lang w:eastAsia="en-AU"/>
              </w:rPr>
              <w:t xml:space="preserve"> 3 pm, Tokyo; 10 am, New York).</w:t>
            </w:r>
          </w:p>
        </w:tc>
      </w:tr>
    </w:tbl>
    <w:p w14:paraId="3FEFE29E" w14:textId="77777777" w:rsidR="009A3F74" w:rsidRPr="008E6A9C" w:rsidRDefault="009A3F74" w:rsidP="006D6079">
      <w:pPr>
        <w:pStyle w:val="LI-BodyTextNumbered"/>
        <w:keepNext/>
        <w:ind w:left="0" w:firstLine="0"/>
        <w:rPr>
          <w:b/>
        </w:rPr>
      </w:pPr>
      <w:bookmarkStart w:id="0" w:name="_Hlk534291624"/>
      <w:r w:rsidRPr="008E6A9C">
        <w:rPr>
          <w:b/>
        </w:rPr>
        <w:t>Consultation</w:t>
      </w:r>
    </w:p>
    <w:p w14:paraId="05D625F9" w14:textId="17BBDF49" w:rsidR="004D2AD3" w:rsidRPr="008E6A9C" w:rsidRDefault="004D2AD3" w:rsidP="004D2AD3">
      <w:pPr>
        <w:pStyle w:val="LI-BodyTextParaa"/>
        <w:ind w:left="567"/>
      </w:pPr>
      <w:r w:rsidRPr="008E6A9C">
        <w:t xml:space="preserve">4. </w:t>
      </w:r>
      <w:r w:rsidRPr="008E6A9C">
        <w:tab/>
        <w:t xml:space="preserve">ASIC received an application for relief from the industry associations seeking relief for reporting entities to report certain fields under the 2022 TRRs that will no longer be required under the 2024 TRRs. </w:t>
      </w:r>
    </w:p>
    <w:p w14:paraId="7F8BE29A" w14:textId="6EB56CEE" w:rsidR="00C5589F" w:rsidRPr="008E6A9C" w:rsidRDefault="004D2AD3" w:rsidP="009A3F74">
      <w:pPr>
        <w:pStyle w:val="LI-BodyTextParaa"/>
        <w:ind w:left="567"/>
      </w:pPr>
      <w:r w:rsidRPr="008E6A9C">
        <w:t>5</w:t>
      </w:r>
      <w:r w:rsidR="009A3F74" w:rsidRPr="008E6A9C">
        <w:t>.</w:t>
      </w:r>
      <w:r w:rsidR="009A3F74" w:rsidRPr="008E6A9C">
        <w:tab/>
      </w:r>
      <w:r w:rsidR="001E6E0A" w:rsidRPr="008E6A9C">
        <w:t>In making the Legislative Instrument, ASIC has consulted bilaterally with industry associations (</w:t>
      </w:r>
      <w:r w:rsidR="00F2640E" w:rsidRPr="008E6A9C">
        <w:t xml:space="preserve">the International Swaps and Derivative </w:t>
      </w:r>
      <w:r w:rsidR="004C5667" w:rsidRPr="008E6A9C">
        <w:t>Association, Australian</w:t>
      </w:r>
      <w:r w:rsidR="00F2640E" w:rsidRPr="008E6A9C">
        <w:t xml:space="preserve"> Financial Markets </w:t>
      </w:r>
      <w:proofErr w:type="gramStart"/>
      <w:r w:rsidR="00F2640E" w:rsidRPr="008E6A9C">
        <w:t>Association</w:t>
      </w:r>
      <w:proofErr w:type="gramEnd"/>
      <w:r w:rsidR="007A5EB6" w:rsidRPr="008E6A9C">
        <w:t xml:space="preserve"> and the Global Financial Markets Association-FX division</w:t>
      </w:r>
      <w:r w:rsidR="001E6E0A" w:rsidRPr="008E6A9C">
        <w:t xml:space="preserve">), </w:t>
      </w:r>
      <w:r w:rsidR="007A5EB6" w:rsidRPr="008E6A9C">
        <w:t>reporting entities</w:t>
      </w:r>
      <w:r w:rsidR="001E6E0A" w:rsidRPr="008E6A9C">
        <w:t xml:space="preserve">, and the sole Australian derivative trade repository. </w:t>
      </w:r>
    </w:p>
    <w:p w14:paraId="02CB1159" w14:textId="2E1B9156" w:rsidR="0006482F" w:rsidRPr="008E6A9C" w:rsidRDefault="00366786" w:rsidP="009A3F74">
      <w:pPr>
        <w:pStyle w:val="LI-BodyTextParaa"/>
        <w:ind w:left="567"/>
        <w:rPr>
          <w:bCs/>
        </w:rPr>
      </w:pPr>
      <w:r w:rsidRPr="008E6A9C">
        <w:t>6.</w:t>
      </w:r>
      <w:r w:rsidR="0006482F" w:rsidRPr="008E6A9C">
        <w:tab/>
        <w:t>ASIC has consulted with the Office of Impact Analysis (</w:t>
      </w:r>
      <w:proofErr w:type="spellStart"/>
      <w:r w:rsidR="0006482F" w:rsidRPr="008E6A9C">
        <w:rPr>
          <w:b/>
          <w:bCs/>
          <w:i/>
          <w:iCs/>
        </w:rPr>
        <w:t>OIA</w:t>
      </w:r>
      <w:proofErr w:type="spellEnd"/>
      <w:r w:rsidR="0006482F" w:rsidRPr="008E6A9C">
        <w:t>) in relation to whether an Impact Analysis (</w:t>
      </w:r>
      <w:r w:rsidR="0006482F" w:rsidRPr="008E6A9C">
        <w:rPr>
          <w:b/>
          <w:bCs/>
          <w:i/>
          <w:iCs/>
        </w:rPr>
        <w:t>IA</w:t>
      </w:r>
      <w:r w:rsidR="0006482F" w:rsidRPr="008E6A9C">
        <w:t xml:space="preserve">) would be required. </w:t>
      </w:r>
      <w:proofErr w:type="spellStart"/>
      <w:r w:rsidR="0006482F" w:rsidRPr="008E6A9C">
        <w:t>OIA</w:t>
      </w:r>
      <w:proofErr w:type="spellEnd"/>
      <w:r w:rsidR="0006482F" w:rsidRPr="008E6A9C">
        <w:t xml:space="preserve"> advised that the preparation of an IA was not required because it assessed the proposal as unlikely to have a more than minor regulatory impact.</w:t>
      </w:r>
    </w:p>
    <w:p w14:paraId="4CDCC6BF" w14:textId="0169DD5C" w:rsidR="005D1FEA" w:rsidRPr="008E6A9C" w:rsidRDefault="005D1FEA" w:rsidP="006D6079">
      <w:pPr>
        <w:pStyle w:val="LI-BodyTextNumbered"/>
        <w:keepNext/>
        <w:ind w:left="0" w:firstLine="0"/>
        <w:rPr>
          <w:b/>
        </w:rPr>
      </w:pPr>
      <w:r w:rsidRPr="008E6A9C">
        <w:rPr>
          <w:b/>
        </w:rPr>
        <w:lastRenderedPageBreak/>
        <w:t>Operation of the instrument</w:t>
      </w:r>
    </w:p>
    <w:p w14:paraId="555DB44A" w14:textId="5ED509D5" w:rsidR="00154330" w:rsidRPr="008E6A9C" w:rsidRDefault="00154330" w:rsidP="006D6079">
      <w:pPr>
        <w:pStyle w:val="LI-BodyTextNumbered"/>
        <w:keepNext/>
        <w:ind w:left="0" w:firstLine="0"/>
        <w:rPr>
          <w:b/>
        </w:rPr>
      </w:pPr>
      <w:r w:rsidRPr="008E6A9C">
        <w:rPr>
          <w:b/>
        </w:rPr>
        <w:t>Part 1 – Preliminary</w:t>
      </w:r>
    </w:p>
    <w:p w14:paraId="4CC17B9B" w14:textId="013DC3E9" w:rsidR="00474B52" w:rsidRPr="008E6A9C" w:rsidRDefault="00366786" w:rsidP="005D1FEA">
      <w:pPr>
        <w:pStyle w:val="LI-BodyTextParaa"/>
        <w:ind w:left="567"/>
        <w:rPr>
          <w:iCs/>
        </w:rPr>
      </w:pPr>
      <w:r w:rsidRPr="008E6A9C">
        <w:t>7</w:t>
      </w:r>
      <w:r w:rsidR="005D1FEA" w:rsidRPr="008E6A9C">
        <w:t>.</w:t>
      </w:r>
      <w:r w:rsidR="005D1FEA" w:rsidRPr="008E6A9C">
        <w:tab/>
      </w:r>
      <w:r w:rsidR="00154330" w:rsidRPr="008E6A9C">
        <w:t>Section</w:t>
      </w:r>
      <w:r w:rsidR="00474B52" w:rsidRPr="008E6A9C">
        <w:rPr>
          <w:i/>
        </w:rPr>
        <w:t xml:space="preserve"> </w:t>
      </w:r>
      <w:r w:rsidR="00B049F1" w:rsidRPr="008E6A9C">
        <w:rPr>
          <w:iCs/>
        </w:rPr>
        <w:t>2 of Part 1 of the instrument provides for a staggered commencement of the amendments such that:</w:t>
      </w:r>
    </w:p>
    <w:p w14:paraId="6DB58BE3" w14:textId="466F4942" w:rsidR="00B049F1" w:rsidRPr="008E6A9C" w:rsidRDefault="00B049F1" w:rsidP="00644128">
      <w:pPr>
        <w:pStyle w:val="LI-BodyTextParaa"/>
        <w:ind w:left="1287"/>
        <w:rPr>
          <w:iCs/>
        </w:rPr>
      </w:pPr>
      <w:r w:rsidRPr="008E6A9C">
        <w:rPr>
          <w:iCs/>
        </w:rPr>
        <w:t>(a)</w:t>
      </w:r>
      <w:r w:rsidR="000B0749" w:rsidRPr="008E6A9C">
        <w:rPr>
          <w:iCs/>
        </w:rPr>
        <w:tab/>
      </w:r>
      <w:r w:rsidRPr="008E6A9C">
        <w:rPr>
          <w:iCs/>
        </w:rPr>
        <w:t>the amendments in schedule 1 of the instrument commences on the day after the instrument is registered on the Federal Register of Legislation; and</w:t>
      </w:r>
    </w:p>
    <w:p w14:paraId="4D0AE475" w14:textId="05F8BEC6" w:rsidR="007855A0" w:rsidRPr="008E6A9C" w:rsidRDefault="00B049F1" w:rsidP="00644128">
      <w:pPr>
        <w:pStyle w:val="LI-BodyTextParaa"/>
        <w:ind w:left="1287"/>
        <w:rPr>
          <w:iCs/>
        </w:rPr>
      </w:pPr>
      <w:r w:rsidRPr="008E6A9C">
        <w:rPr>
          <w:iCs/>
        </w:rPr>
        <w:t>(b)</w:t>
      </w:r>
      <w:r w:rsidR="000B0749" w:rsidRPr="008E6A9C">
        <w:rPr>
          <w:iCs/>
        </w:rPr>
        <w:tab/>
      </w:r>
      <w:r w:rsidRPr="008E6A9C">
        <w:rPr>
          <w:iCs/>
        </w:rPr>
        <w:t>the amendment in schedule 2 of the instrument commences on 21 October 2024.</w:t>
      </w:r>
    </w:p>
    <w:p w14:paraId="05F83507" w14:textId="407545FD" w:rsidR="00154330" w:rsidRPr="008E6A9C" w:rsidRDefault="00154330" w:rsidP="00154330">
      <w:pPr>
        <w:pStyle w:val="LI-BodyTextNumbered"/>
        <w:keepNext/>
        <w:ind w:left="0" w:firstLine="0"/>
        <w:rPr>
          <w:b/>
        </w:rPr>
      </w:pPr>
      <w:r w:rsidRPr="008E6A9C">
        <w:rPr>
          <w:b/>
        </w:rPr>
        <w:t>Schedule 1 – Amendments</w:t>
      </w:r>
    </w:p>
    <w:p w14:paraId="6E0ACADB" w14:textId="5B5938DB" w:rsidR="008128ED" w:rsidRPr="008E6A9C" w:rsidRDefault="008128ED" w:rsidP="008128ED">
      <w:pPr>
        <w:pStyle w:val="LI-BodyTextParaa"/>
        <w:ind w:left="0" w:firstLine="0"/>
        <w:rPr>
          <w:b/>
          <w:bCs/>
          <w:i/>
          <w:iCs/>
        </w:rPr>
      </w:pPr>
      <w:r w:rsidRPr="008E6A9C">
        <w:rPr>
          <w:b/>
          <w:bCs/>
          <w:i/>
          <w:iCs/>
        </w:rPr>
        <w:t>ASIC Corporations (Derivative Transaction Reporting Exemption) Instrument 2015/844</w:t>
      </w:r>
    </w:p>
    <w:p w14:paraId="35AFCA91" w14:textId="62010607" w:rsidR="00D20A4B" w:rsidRPr="008E6A9C" w:rsidRDefault="00366786" w:rsidP="005D1FEA">
      <w:pPr>
        <w:pStyle w:val="LI-BodyTextParaa"/>
        <w:ind w:left="567"/>
        <w:rPr>
          <w:iCs/>
        </w:rPr>
      </w:pPr>
      <w:r w:rsidRPr="008E6A9C">
        <w:t>8</w:t>
      </w:r>
      <w:r w:rsidR="00474B52" w:rsidRPr="008E6A9C">
        <w:t>.</w:t>
      </w:r>
      <w:r w:rsidR="00474B52" w:rsidRPr="008E6A9C">
        <w:rPr>
          <w:i/>
        </w:rPr>
        <w:tab/>
      </w:r>
      <w:r w:rsidR="00530B89" w:rsidRPr="008E6A9C">
        <w:rPr>
          <w:iCs/>
        </w:rPr>
        <w:t>Item</w:t>
      </w:r>
      <w:r w:rsidR="002918B8" w:rsidRPr="008E6A9C">
        <w:rPr>
          <w:iCs/>
        </w:rPr>
        <w:t xml:space="preserve"> 1 of Schedule 1 of the instrument </w:t>
      </w:r>
      <w:r w:rsidR="00AA3D0D" w:rsidRPr="008E6A9C">
        <w:rPr>
          <w:iCs/>
        </w:rPr>
        <w:t xml:space="preserve">amends the Principal Instrument to </w:t>
      </w:r>
      <w:r w:rsidR="002918B8" w:rsidRPr="008E6A9C">
        <w:rPr>
          <w:iCs/>
        </w:rPr>
        <w:t>insert the definition of 2024 Transitional Information in subsection 4(1).</w:t>
      </w:r>
      <w:r w:rsidR="008C3851" w:rsidRPr="008E6A9C">
        <w:rPr>
          <w:iCs/>
        </w:rPr>
        <w:t xml:space="preserve"> 2024 Transitional Information means </w:t>
      </w:r>
      <w:r w:rsidR="007A5EB6" w:rsidRPr="008E6A9C">
        <w:rPr>
          <w:iCs/>
        </w:rPr>
        <w:t xml:space="preserve">specified </w:t>
      </w:r>
      <w:r w:rsidR="008C3851" w:rsidRPr="008E6A9C">
        <w:rPr>
          <w:iCs/>
        </w:rPr>
        <w:t xml:space="preserve">items of Derivative Trade Data set out in Table </w:t>
      </w:r>
      <w:r w:rsidR="00C42F14" w:rsidRPr="008E6A9C">
        <w:rPr>
          <w:iCs/>
        </w:rPr>
        <w:t>S</w:t>
      </w:r>
      <w:r w:rsidR="008C3851" w:rsidRPr="008E6A9C">
        <w:rPr>
          <w:iCs/>
        </w:rPr>
        <w:t>2.1(1)</w:t>
      </w:r>
      <w:r w:rsidR="00C42F14" w:rsidRPr="008E6A9C">
        <w:rPr>
          <w:iCs/>
        </w:rPr>
        <w:t>, S2.1(2)</w:t>
      </w:r>
      <w:r w:rsidR="008C3851" w:rsidRPr="008E6A9C">
        <w:rPr>
          <w:iCs/>
        </w:rPr>
        <w:t xml:space="preserve"> and S.2.2(1) of the 2022 TRRs.</w:t>
      </w:r>
    </w:p>
    <w:p w14:paraId="6230A076" w14:textId="181F7021" w:rsidR="00AA3D0D" w:rsidRPr="008E6A9C" w:rsidRDefault="00366786" w:rsidP="005D1FEA">
      <w:pPr>
        <w:pStyle w:val="LI-BodyTextParaa"/>
        <w:ind w:left="567"/>
        <w:rPr>
          <w:iCs/>
        </w:rPr>
      </w:pPr>
      <w:r w:rsidRPr="008E6A9C">
        <w:rPr>
          <w:iCs/>
        </w:rPr>
        <w:t>9</w:t>
      </w:r>
      <w:r w:rsidR="00AA3D0D" w:rsidRPr="008E6A9C">
        <w:rPr>
          <w:iCs/>
        </w:rPr>
        <w:t>.</w:t>
      </w:r>
      <w:r w:rsidR="00AA3D0D" w:rsidRPr="008E6A9C">
        <w:rPr>
          <w:iCs/>
        </w:rPr>
        <w:tab/>
      </w:r>
      <w:r w:rsidR="00530B89" w:rsidRPr="008E6A9C">
        <w:rPr>
          <w:iCs/>
        </w:rPr>
        <w:t>Item</w:t>
      </w:r>
      <w:r w:rsidR="00AA3D0D" w:rsidRPr="008E6A9C">
        <w:rPr>
          <w:iCs/>
        </w:rPr>
        <w:t xml:space="preserve"> 2 of Schedule 2 of the instrument amends the Principal Instrument to insert a new section 13B.</w:t>
      </w:r>
      <w:r w:rsidR="007B7585" w:rsidRPr="008E6A9C">
        <w:rPr>
          <w:iCs/>
        </w:rPr>
        <w:t xml:space="preserve"> </w:t>
      </w:r>
      <w:r w:rsidR="000732FE" w:rsidRPr="008E6A9C">
        <w:rPr>
          <w:iCs/>
        </w:rPr>
        <w:t>Section 13B provides conditional time-limited exemptive relief to Reporting Entities from the reporting requirement in Rule 2.2.1 of the 2022 TRRs for certain items of Derivative Transaction Information defined as the 2024 Transitional Information</w:t>
      </w:r>
      <w:r w:rsidR="009C328E" w:rsidRPr="008E6A9C">
        <w:rPr>
          <w:iCs/>
        </w:rPr>
        <w:t xml:space="preserve"> and item 21 or item 22 of Table S2.1(1) in Schedule 2 to the 2022 TRRs</w:t>
      </w:r>
      <w:r w:rsidR="000732FE" w:rsidRPr="008E6A9C">
        <w:rPr>
          <w:iCs/>
        </w:rPr>
        <w:t>.</w:t>
      </w:r>
    </w:p>
    <w:p w14:paraId="22B52ACD" w14:textId="6011AA94" w:rsidR="00AA3D0D" w:rsidRPr="008E6A9C" w:rsidRDefault="00F96CBC" w:rsidP="00F96CBC">
      <w:pPr>
        <w:pStyle w:val="LI-BodyTextParaa"/>
        <w:ind w:left="567"/>
        <w:rPr>
          <w:iCs/>
        </w:rPr>
      </w:pPr>
      <w:r w:rsidRPr="008E6A9C">
        <w:rPr>
          <w:iCs/>
        </w:rPr>
        <w:t>10.</w:t>
      </w:r>
      <w:r w:rsidRPr="008E6A9C">
        <w:rPr>
          <w:iCs/>
        </w:rPr>
        <w:tab/>
      </w:r>
      <w:r w:rsidR="00AA3D0D" w:rsidRPr="008E6A9C">
        <w:rPr>
          <w:iCs/>
        </w:rPr>
        <w:t xml:space="preserve">Subsection 13B(1) provides </w:t>
      </w:r>
      <w:r w:rsidR="00700C6F" w:rsidRPr="008E6A9C">
        <w:rPr>
          <w:iCs/>
        </w:rPr>
        <w:t>a Reporting Entity does not have to comply with Rule 2.2.1 of the Rules to the extent that Rule requires the Reporting Entity to report 2024 Transitional Information.</w:t>
      </w:r>
    </w:p>
    <w:p w14:paraId="14CC3B08" w14:textId="06D02702" w:rsidR="00F96CBC" w:rsidRPr="008E6A9C" w:rsidRDefault="00F96CBC" w:rsidP="00F96CBC">
      <w:pPr>
        <w:pStyle w:val="LI-BodyTextParaa"/>
        <w:ind w:left="567"/>
        <w:rPr>
          <w:iCs/>
        </w:rPr>
      </w:pPr>
      <w:r w:rsidRPr="008E6A9C">
        <w:rPr>
          <w:iCs/>
        </w:rPr>
        <w:t>11.</w:t>
      </w:r>
      <w:r w:rsidRPr="008E6A9C">
        <w:rPr>
          <w:iCs/>
        </w:rPr>
        <w:tab/>
      </w:r>
      <w:r w:rsidR="00AA3D0D" w:rsidRPr="008E6A9C">
        <w:rPr>
          <w:iCs/>
        </w:rPr>
        <w:t xml:space="preserve">Subsection 13B(2) </w:t>
      </w:r>
      <w:r w:rsidRPr="008E6A9C">
        <w:rPr>
          <w:iCs/>
        </w:rPr>
        <w:t xml:space="preserve">provides that the exemption in subsection </w:t>
      </w:r>
      <w:r w:rsidR="00640377" w:rsidRPr="008E6A9C">
        <w:rPr>
          <w:iCs/>
        </w:rPr>
        <w:t>13B</w:t>
      </w:r>
      <w:r w:rsidRPr="008E6A9C">
        <w:rPr>
          <w:iCs/>
        </w:rPr>
        <w:t xml:space="preserve">(1) does not apply in relation to an item (relevant item) of 2024 Transitional Information if the systems of the Derivative Trade Repository to which the Reporting Entity reports Derivative Trade Data require the reporting of: </w:t>
      </w:r>
    </w:p>
    <w:p w14:paraId="3771121F" w14:textId="6FE15A39" w:rsidR="00F96CBC" w:rsidRPr="008E6A9C" w:rsidRDefault="00F96CBC" w:rsidP="00644128">
      <w:pPr>
        <w:pStyle w:val="LI-BodyTextParaa"/>
        <w:ind w:left="567" w:firstLine="153"/>
        <w:rPr>
          <w:iCs/>
        </w:rPr>
      </w:pPr>
      <w:r w:rsidRPr="008E6A9C">
        <w:rPr>
          <w:iCs/>
        </w:rPr>
        <w:t>(a)</w:t>
      </w:r>
      <w:r w:rsidR="00897526" w:rsidRPr="008E6A9C">
        <w:rPr>
          <w:iCs/>
        </w:rPr>
        <w:tab/>
      </w:r>
      <w:r w:rsidRPr="008E6A9C">
        <w:rPr>
          <w:iCs/>
        </w:rPr>
        <w:t>the relevant item; or</w:t>
      </w:r>
    </w:p>
    <w:p w14:paraId="592B2A62" w14:textId="55B78BBC" w:rsidR="00AA3D0D" w:rsidRPr="008E6A9C" w:rsidRDefault="00F96CBC" w:rsidP="00644128">
      <w:pPr>
        <w:pStyle w:val="LI-BodyTextParaa"/>
        <w:ind w:left="1437" w:hanging="717"/>
        <w:rPr>
          <w:iCs/>
        </w:rPr>
      </w:pPr>
      <w:r w:rsidRPr="008E6A9C">
        <w:rPr>
          <w:iCs/>
        </w:rPr>
        <w:t>(b)</w:t>
      </w:r>
      <w:r w:rsidR="003732ED" w:rsidRPr="008E6A9C">
        <w:rPr>
          <w:iCs/>
        </w:rPr>
        <w:tab/>
      </w:r>
      <w:r w:rsidR="003732ED" w:rsidRPr="008E6A9C">
        <w:rPr>
          <w:iCs/>
        </w:rPr>
        <w:tab/>
      </w:r>
      <w:r w:rsidRPr="008E6A9C">
        <w:rPr>
          <w:iCs/>
        </w:rPr>
        <w:t>another item of Derivative Trade Data, the reporting of which requires the reporting of the relevant item.</w:t>
      </w:r>
    </w:p>
    <w:p w14:paraId="6009205B" w14:textId="4F3466F0" w:rsidR="00AA3D0D" w:rsidRPr="008E6A9C" w:rsidRDefault="00F96CBC" w:rsidP="00F96CBC">
      <w:pPr>
        <w:pStyle w:val="LI-BodyTextParaa"/>
        <w:ind w:left="567"/>
        <w:rPr>
          <w:iCs/>
        </w:rPr>
      </w:pPr>
      <w:r w:rsidRPr="008E6A9C">
        <w:rPr>
          <w:iCs/>
        </w:rPr>
        <w:t>12.</w:t>
      </w:r>
      <w:r w:rsidRPr="008E6A9C">
        <w:rPr>
          <w:iCs/>
        </w:rPr>
        <w:tab/>
      </w:r>
      <w:r w:rsidR="00D016E4" w:rsidRPr="008E6A9C">
        <w:rPr>
          <w:iCs/>
        </w:rPr>
        <w:t xml:space="preserve">Subsection 13B(3) provides that </w:t>
      </w:r>
      <w:r w:rsidRPr="008E6A9C">
        <w:rPr>
          <w:iCs/>
        </w:rPr>
        <w:t>a Reporting Entity does not have to comply with Rule 2.2.1 of the Rules to the extent that Rule requires the Reporting Entity to report Derivative Trade Data referred to</w:t>
      </w:r>
      <w:r w:rsidR="00683335" w:rsidRPr="008E6A9C">
        <w:rPr>
          <w:iCs/>
        </w:rPr>
        <w:t xml:space="preserve"> as</w:t>
      </w:r>
      <w:r w:rsidRPr="008E6A9C">
        <w:rPr>
          <w:iCs/>
        </w:rPr>
        <w:t xml:space="preserve"> item 21 (‘Whether the Derivative has been confirmed’) or item 22 (Form of confirmation) of Table S2.1(1) in Schedule 2 to the Rules.</w:t>
      </w:r>
    </w:p>
    <w:p w14:paraId="349BD925" w14:textId="3AF13460" w:rsidR="00F96CBC" w:rsidRPr="008E6A9C" w:rsidRDefault="00F96CBC" w:rsidP="00F96CBC">
      <w:pPr>
        <w:pStyle w:val="LI-BodyTextParaa"/>
        <w:ind w:left="567"/>
        <w:rPr>
          <w:iCs/>
        </w:rPr>
      </w:pPr>
      <w:r w:rsidRPr="008E6A9C">
        <w:rPr>
          <w:iCs/>
        </w:rPr>
        <w:t>13.</w:t>
      </w:r>
      <w:r w:rsidRPr="008E6A9C">
        <w:rPr>
          <w:iCs/>
        </w:rPr>
        <w:tab/>
      </w:r>
      <w:r w:rsidR="00877390" w:rsidRPr="008E6A9C">
        <w:rPr>
          <w:iCs/>
        </w:rPr>
        <w:t xml:space="preserve">Subsection 13B(4) provides that </w:t>
      </w:r>
      <w:r w:rsidRPr="008E6A9C">
        <w:rPr>
          <w:iCs/>
        </w:rPr>
        <w:t xml:space="preserve">the exemption in subsection </w:t>
      </w:r>
      <w:r w:rsidR="00C93506" w:rsidRPr="008E6A9C">
        <w:rPr>
          <w:iCs/>
        </w:rPr>
        <w:t>13B</w:t>
      </w:r>
      <w:r w:rsidRPr="008E6A9C">
        <w:rPr>
          <w:iCs/>
        </w:rPr>
        <w:t xml:space="preserve">(3) applies if: </w:t>
      </w:r>
    </w:p>
    <w:p w14:paraId="59E626A6" w14:textId="1F11CA56" w:rsidR="00F96CBC" w:rsidRPr="008E6A9C" w:rsidRDefault="00F96CBC" w:rsidP="00252DF0">
      <w:pPr>
        <w:pStyle w:val="LI-BodyTextParaa"/>
        <w:ind w:left="1287"/>
        <w:rPr>
          <w:iCs/>
        </w:rPr>
      </w:pPr>
      <w:r w:rsidRPr="008E6A9C">
        <w:rPr>
          <w:iCs/>
        </w:rPr>
        <w:lastRenderedPageBreak/>
        <w:t>(a)</w:t>
      </w:r>
      <w:r w:rsidR="00897526" w:rsidRPr="008E6A9C">
        <w:rPr>
          <w:iCs/>
        </w:rPr>
        <w:tab/>
      </w:r>
      <w:r w:rsidRPr="008E6A9C">
        <w:rPr>
          <w:iCs/>
        </w:rPr>
        <w:t xml:space="preserve">the systems of the Derivative Trade Repository to which the Reporting Entity reports Derivative Trade Data do not require the reporting of item 21 or item 22 (as applicable); or </w:t>
      </w:r>
    </w:p>
    <w:p w14:paraId="3ED668F8" w14:textId="186BC20B" w:rsidR="00257AF5" w:rsidRPr="008E6A9C" w:rsidRDefault="00F96CBC" w:rsidP="00257AF5">
      <w:pPr>
        <w:pStyle w:val="LI-BodyTextParaa"/>
        <w:ind w:left="1287"/>
        <w:rPr>
          <w:iCs/>
        </w:rPr>
      </w:pPr>
      <w:r w:rsidRPr="008E6A9C">
        <w:rPr>
          <w:iCs/>
        </w:rPr>
        <w:t xml:space="preserve">(b) </w:t>
      </w:r>
      <w:r w:rsidR="00897526" w:rsidRPr="008E6A9C">
        <w:rPr>
          <w:iCs/>
        </w:rPr>
        <w:tab/>
      </w:r>
      <w:r w:rsidRPr="008E6A9C">
        <w:rPr>
          <w:iCs/>
        </w:rPr>
        <w:t>the Reporting Entity has reported ‘not confirmed’ in relation to item 21 or item 22 (as applicable) to the Derivative Trade Repository.</w:t>
      </w:r>
    </w:p>
    <w:p w14:paraId="48DB66AB" w14:textId="659C78E2" w:rsidR="00F96CBC" w:rsidRPr="008E6A9C" w:rsidRDefault="00F33C33" w:rsidP="00F33C33">
      <w:pPr>
        <w:pStyle w:val="LI-BodyTextParaa"/>
        <w:ind w:left="567"/>
        <w:rPr>
          <w:i/>
        </w:rPr>
      </w:pPr>
      <w:r w:rsidRPr="008E6A9C">
        <w:rPr>
          <w:iCs/>
        </w:rPr>
        <w:t>14.</w:t>
      </w:r>
      <w:r w:rsidRPr="008E6A9C">
        <w:rPr>
          <w:iCs/>
        </w:rPr>
        <w:tab/>
      </w:r>
      <w:r w:rsidR="00F96CBC" w:rsidRPr="008E6A9C">
        <w:rPr>
          <w:iCs/>
        </w:rPr>
        <w:t xml:space="preserve">Subsection 13B(5) provides that a Reporting Entity that relies on the exemption in subsection </w:t>
      </w:r>
      <w:r w:rsidR="00DD639E" w:rsidRPr="008E6A9C">
        <w:rPr>
          <w:iCs/>
        </w:rPr>
        <w:t>13B</w:t>
      </w:r>
      <w:r w:rsidR="00F96CBC" w:rsidRPr="008E6A9C">
        <w:rPr>
          <w:iCs/>
        </w:rPr>
        <w:t xml:space="preserve">(1) must maintain records of the 2024 Transitional Information in accordance with Rule 2.3.1 of the Rules.  </w:t>
      </w:r>
    </w:p>
    <w:p w14:paraId="4A82C1FD" w14:textId="346E6A72" w:rsidR="00F96CBC" w:rsidRPr="008E6A9C" w:rsidRDefault="00F96CBC" w:rsidP="00506958">
      <w:pPr>
        <w:pStyle w:val="LI-BodyTextParaa"/>
        <w:ind w:left="567"/>
        <w:rPr>
          <w:iCs/>
        </w:rPr>
      </w:pPr>
      <w:r w:rsidRPr="008E6A9C">
        <w:rPr>
          <w:iCs/>
        </w:rPr>
        <w:t>15.</w:t>
      </w:r>
      <w:r w:rsidRPr="008E6A9C">
        <w:rPr>
          <w:iCs/>
        </w:rPr>
        <w:tab/>
        <w:t xml:space="preserve">Subsection 13B(6) provides that a Reporting Entity that relies on the exemption in subsection </w:t>
      </w:r>
      <w:r w:rsidR="00DD639E" w:rsidRPr="008E6A9C">
        <w:rPr>
          <w:iCs/>
        </w:rPr>
        <w:t>13B</w:t>
      </w:r>
      <w:r w:rsidRPr="008E6A9C">
        <w:rPr>
          <w:iCs/>
        </w:rPr>
        <w:t xml:space="preserve">(3) must maintain records of the Derivative Trade Data referred to in item 21 or item 22 (as applicable) in accordance with Rule 2.3.1 of the Rules.  </w:t>
      </w:r>
    </w:p>
    <w:p w14:paraId="3CA3E89C" w14:textId="6119B985" w:rsidR="00954C7B" w:rsidRPr="008E6A9C" w:rsidRDefault="007A5EB6" w:rsidP="00D138CA">
      <w:pPr>
        <w:pStyle w:val="LI-BodyTextParaa"/>
        <w:ind w:left="567"/>
        <w:rPr>
          <w:iCs/>
        </w:rPr>
      </w:pPr>
      <w:r w:rsidRPr="008E6A9C">
        <w:t>1</w:t>
      </w:r>
      <w:r w:rsidR="00F96CBC" w:rsidRPr="008E6A9C">
        <w:t>6</w:t>
      </w:r>
      <w:r w:rsidRPr="008E6A9C">
        <w:t>.</w:t>
      </w:r>
      <w:r w:rsidRPr="008E6A9C">
        <w:tab/>
        <w:t xml:space="preserve">This instrument does not compel a Derivative Trade Repository to </w:t>
      </w:r>
      <w:r w:rsidR="003C3130" w:rsidRPr="008E6A9C">
        <w:t xml:space="preserve">set </w:t>
      </w:r>
      <w:r w:rsidRPr="008E6A9C">
        <w:t xml:space="preserve">its systems </w:t>
      </w:r>
      <w:r w:rsidR="003C3130" w:rsidRPr="008E6A9C">
        <w:t xml:space="preserve">in such a way as </w:t>
      </w:r>
      <w:r w:rsidRPr="008E6A9C">
        <w:t xml:space="preserve">to ensure that items of 2024 Transitional Information </w:t>
      </w:r>
      <w:r w:rsidR="003C3130" w:rsidRPr="008E6A9C">
        <w:t>are not required to be reported. If a Derivative Trade Repository’s systems continue to require reporting of an item of 2024 Transitional Information in order to accept a report</w:t>
      </w:r>
      <w:r w:rsidR="00954C7B" w:rsidRPr="008E6A9C">
        <w:t xml:space="preserve"> as validly complete</w:t>
      </w:r>
      <w:r w:rsidR="003C3130" w:rsidRPr="008E6A9C">
        <w:t>, subsection 13B(2) provides that Reporting Entities must continue to report such items.</w:t>
      </w:r>
    </w:p>
    <w:p w14:paraId="5A09DF53" w14:textId="0955A899" w:rsidR="007A5EB6" w:rsidRPr="008E6A9C" w:rsidRDefault="00954C7B" w:rsidP="00D138CA">
      <w:pPr>
        <w:pStyle w:val="LI-BodyTextParaa"/>
        <w:ind w:left="567"/>
        <w:rPr>
          <w:iCs/>
        </w:rPr>
      </w:pPr>
      <w:r w:rsidRPr="008E6A9C">
        <w:rPr>
          <w:iCs/>
        </w:rPr>
        <w:t>1</w:t>
      </w:r>
      <w:r w:rsidR="00F96CBC" w:rsidRPr="008E6A9C">
        <w:rPr>
          <w:iCs/>
        </w:rPr>
        <w:t>7.</w:t>
      </w:r>
      <w:r w:rsidRPr="008E6A9C">
        <w:rPr>
          <w:iCs/>
        </w:rPr>
        <w:tab/>
      </w:r>
      <w:r w:rsidR="003C3130" w:rsidRPr="008E6A9C">
        <w:rPr>
          <w:iCs/>
        </w:rPr>
        <w:t>Similarly, subsection 13B(</w:t>
      </w:r>
      <w:r w:rsidR="008A208E" w:rsidRPr="008E6A9C">
        <w:rPr>
          <w:iCs/>
        </w:rPr>
        <w:t>4</w:t>
      </w:r>
      <w:r w:rsidR="003C3130" w:rsidRPr="008E6A9C">
        <w:rPr>
          <w:iCs/>
        </w:rPr>
        <w:t xml:space="preserve">) provides that an indicator of ‘not </w:t>
      </w:r>
      <w:r w:rsidR="008A208E" w:rsidRPr="008E6A9C">
        <w:rPr>
          <w:iCs/>
        </w:rPr>
        <w:t>confirmed</w:t>
      </w:r>
      <w:r w:rsidR="003C3130" w:rsidRPr="008E6A9C">
        <w:rPr>
          <w:iCs/>
        </w:rPr>
        <w:t>’ may be reported in relation to confirmation information as this is</w:t>
      </w:r>
      <w:r w:rsidR="009F734A" w:rsidRPr="008E6A9C">
        <w:rPr>
          <w:iCs/>
        </w:rPr>
        <w:t xml:space="preserve"> the</w:t>
      </w:r>
      <w:r w:rsidR="003C3130" w:rsidRPr="008E6A9C">
        <w:rPr>
          <w:iCs/>
        </w:rPr>
        <w:t xml:space="preserve"> least amount of confirmation information that </w:t>
      </w:r>
      <w:r w:rsidRPr="008E6A9C">
        <w:rPr>
          <w:iCs/>
        </w:rPr>
        <w:t xml:space="preserve">a </w:t>
      </w:r>
      <w:proofErr w:type="gramStart"/>
      <w:r w:rsidRPr="008E6A9C">
        <w:rPr>
          <w:iCs/>
        </w:rPr>
        <w:t>Derivative Trade Repository’s systems</w:t>
      </w:r>
      <w:proofErr w:type="gramEnd"/>
      <w:r w:rsidRPr="008E6A9C">
        <w:rPr>
          <w:iCs/>
        </w:rPr>
        <w:t xml:space="preserve"> may continue to require reporting of for confirmation information.</w:t>
      </w:r>
    </w:p>
    <w:p w14:paraId="783407C6" w14:textId="375BD885" w:rsidR="00D138CA" w:rsidRPr="008E6A9C" w:rsidRDefault="00366786" w:rsidP="00D138CA">
      <w:pPr>
        <w:pStyle w:val="LI-BodyTextParaa"/>
        <w:ind w:left="567"/>
        <w:rPr>
          <w:iCs/>
        </w:rPr>
      </w:pPr>
      <w:r w:rsidRPr="008E6A9C">
        <w:rPr>
          <w:iCs/>
        </w:rPr>
        <w:t>1</w:t>
      </w:r>
      <w:r w:rsidR="00F96CBC" w:rsidRPr="008E6A9C">
        <w:rPr>
          <w:iCs/>
        </w:rPr>
        <w:t>8</w:t>
      </w:r>
      <w:r w:rsidR="00D138CA" w:rsidRPr="008E6A9C">
        <w:rPr>
          <w:iCs/>
        </w:rPr>
        <w:t>.</w:t>
      </w:r>
      <w:r w:rsidR="00D138CA" w:rsidRPr="008E6A9C">
        <w:rPr>
          <w:iCs/>
        </w:rPr>
        <w:tab/>
        <w:t>Item 3 of Schedule 2 of the instrument omits ‘10’ and substitutes ‘11’ in the heading of section 14 of the Principal Instrument to reflect the insertion of section 13B</w:t>
      </w:r>
      <w:r w:rsidR="00EB5F05" w:rsidRPr="008E6A9C">
        <w:rPr>
          <w:iCs/>
        </w:rPr>
        <w:t xml:space="preserve"> (Exemption 11)</w:t>
      </w:r>
      <w:r w:rsidR="00D138CA" w:rsidRPr="008E6A9C">
        <w:rPr>
          <w:iCs/>
        </w:rPr>
        <w:t>.</w:t>
      </w:r>
    </w:p>
    <w:p w14:paraId="349D262D" w14:textId="3EBC2D2C" w:rsidR="00D138CA" w:rsidRPr="008E6A9C" w:rsidRDefault="00366786" w:rsidP="00F34F64">
      <w:pPr>
        <w:pStyle w:val="LI-BodyTextParaa"/>
        <w:ind w:left="567"/>
        <w:rPr>
          <w:iCs/>
        </w:rPr>
      </w:pPr>
      <w:r w:rsidRPr="008E6A9C">
        <w:rPr>
          <w:iCs/>
        </w:rPr>
        <w:t>1</w:t>
      </w:r>
      <w:r w:rsidR="00F96CBC" w:rsidRPr="008E6A9C">
        <w:rPr>
          <w:iCs/>
        </w:rPr>
        <w:t>9</w:t>
      </w:r>
      <w:r w:rsidR="00D138CA" w:rsidRPr="008E6A9C">
        <w:rPr>
          <w:iCs/>
        </w:rPr>
        <w:t>.</w:t>
      </w:r>
      <w:r w:rsidR="00D138CA" w:rsidRPr="008E6A9C">
        <w:rPr>
          <w:iCs/>
        </w:rPr>
        <w:tab/>
        <w:t>Item 4 of Schedule 2 of the instrument omits ‘and 11(2)’ and substitutes ‘, 11(2) and 13B(2)’ in paragraph 14(A) of the Principal Instrument to reflect the insertion of the record-keeping condition in subsection 13B(4).</w:t>
      </w:r>
    </w:p>
    <w:p w14:paraId="7310742D" w14:textId="08E70C51" w:rsidR="00154330" w:rsidRPr="008E6A9C" w:rsidRDefault="00154330" w:rsidP="00154330">
      <w:pPr>
        <w:pStyle w:val="LI-BodyTextParaa"/>
        <w:ind w:left="567"/>
        <w:rPr>
          <w:b/>
          <w:bCs/>
        </w:rPr>
      </w:pPr>
      <w:r w:rsidRPr="008E6A9C">
        <w:rPr>
          <w:b/>
          <w:bCs/>
        </w:rPr>
        <w:t xml:space="preserve">Schedule 2 – </w:t>
      </w:r>
      <w:r w:rsidR="00AD7B1C" w:rsidRPr="008E6A9C">
        <w:rPr>
          <w:b/>
          <w:bCs/>
        </w:rPr>
        <w:t>Amendments</w:t>
      </w:r>
    </w:p>
    <w:p w14:paraId="22D04257" w14:textId="239EA4DC" w:rsidR="008128ED" w:rsidRPr="008E6A9C" w:rsidRDefault="008128ED" w:rsidP="008128ED">
      <w:pPr>
        <w:pStyle w:val="LI-BodyTextParaa"/>
        <w:ind w:left="0" w:firstLine="0"/>
        <w:rPr>
          <w:b/>
          <w:bCs/>
          <w:i/>
          <w:iCs/>
        </w:rPr>
      </w:pPr>
      <w:r w:rsidRPr="008E6A9C">
        <w:rPr>
          <w:b/>
          <w:bCs/>
          <w:i/>
          <w:iCs/>
        </w:rPr>
        <w:t>ASIC Corporations (Derivative Transaction Reporting Exemption) Instrument 2015/844</w:t>
      </w:r>
    </w:p>
    <w:p w14:paraId="1BDE796B" w14:textId="058A54B4" w:rsidR="00DC229C" w:rsidRPr="008E6A9C" w:rsidRDefault="00F96CBC" w:rsidP="005D1FEA">
      <w:pPr>
        <w:pStyle w:val="LI-BodyTextParaa"/>
        <w:ind w:left="567"/>
      </w:pPr>
      <w:r w:rsidRPr="008E6A9C">
        <w:t>20</w:t>
      </w:r>
      <w:r w:rsidR="00DC229C" w:rsidRPr="008E6A9C">
        <w:t>.</w:t>
      </w:r>
      <w:r w:rsidR="00DC229C" w:rsidRPr="008E6A9C">
        <w:tab/>
      </w:r>
      <w:r w:rsidR="00530B89" w:rsidRPr="008E6A9C">
        <w:t>Item</w:t>
      </w:r>
      <w:r w:rsidR="00DC229C" w:rsidRPr="008E6A9C">
        <w:t xml:space="preserve"> 1 of Schedule 2 of the instrument repeals the definition of 2024 Transitional Information that was inserted in Section 1 of Schedule 1</w:t>
      </w:r>
      <w:r w:rsidR="007037FC" w:rsidRPr="008E6A9C">
        <w:t>, as this definition is no longer required upon the repeal of section 13B.</w:t>
      </w:r>
    </w:p>
    <w:p w14:paraId="64341127" w14:textId="54BD6EE4" w:rsidR="003D15EF" w:rsidRPr="008E6A9C" w:rsidRDefault="00F96CBC" w:rsidP="005D1FEA">
      <w:pPr>
        <w:pStyle w:val="LI-BodyTextParaa"/>
        <w:ind w:left="567"/>
      </w:pPr>
      <w:r w:rsidRPr="008E6A9C">
        <w:t>21</w:t>
      </w:r>
      <w:r w:rsidR="00474B52" w:rsidRPr="008E6A9C">
        <w:t>.</w:t>
      </w:r>
      <w:r w:rsidR="00474B52" w:rsidRPr="008E6A9C">
        <w:tab/>
      </w:r>
      <w:r w:rsidR="00530B89" w:rsidRPr="008E6A9C">
        <w:t>Item</w:t>
      </w:r>
      <w:r w:rsidR="008128ED" w:rsidRPr="008E6A9C">
        <w:t xml:space="preserve"> </w:t>
      </w:r>
      <w:r w:rsidR="00DC229C" w:rsidRPr="008E6A9C">
        <w:t>2</w:t>
      </w:r>
      <w:r w:rsidR="008128ED" w:rsidRPr="008E6A9C">
        <w:t xml:space="preserve"> of Schedule 2 of the instrument repeals section 13B</w:t>
      </w:r>
      <w:r w:rsidR="002E7DE5" w:rsidRPr="008E6A9C">
        <w:t xml:space="preserve"> that was inserted in Section 2 of Schedule 1</w:t>
      </w:r>
      <w:r w:rsidR="008128ED" w:rsidRPr="008E6A9C">
        <w:t>. This has the effect of repealing Exemption 11 (2024 Transitional Information Reporting) upon the commencement of the 2024 TRRs</w:t>
      </w:r>
      <w:r w:rsidR="00FB78C9" w:rsidRPr="008E6A9C">
        <w:t xml:space="preserve"> on 21 October 2024</w:t>
      </w:r>
      <w:r w:rsidR="008128ED" w:rsidRPr="008E6A9C">
        <w:t>.</w:t>
      </w:r>
    </w:p>
    <w:p w14:paraId="05D5864E" w14:textId="367CAFAE" w:rsidR="003D15EF" w:rsidRPr="008E6A9C" w:rsidRDefault="003D15EF" w:rsidP="005D1FEA">
      <w:pPr>
        <w:pStyle w:val="LI-BodyTextParaa"/>
        <w:ind w:left="567"/>
      </w:pPr>
      <w:r w:rsidRPr="008E6A9C">
        <w:lastRenderedPageBreak/>
        <w:t>22.</w:t>
      </w:r>
      <w:r w:rsidRPr="008E6A9C">
        <w:tab/>
        <w:t>Item 3 of Schedule 2 of the Instrument omits “11” and substitutes “10” in the heading of section 14 of the Principal Instrument</w:t>
      </w:r>
      <w:r w:rsidR="00D85903" w:rsidRPr="008E6A9C">
        <w:t>, to reflect the repeal of section 13B</w:t>
      </w:r>
      <w:r w:rsidR="00AC3D9C" w:rsidRPr="008E6A9C">
        <w:t xml:space="preserve"> (Exemption 11)</w:t>
      </w:r>
      <w:r w:rsidRPr="008E6A9C">
        <w:t>.</w:t>
      </w:r>
    </w:p>
    <w:p w14:paraId="33FAEDAD" w14:textId="49337930" w:rsidR="00474B52" w:rsidRPr="008E6A9C" w:rsidRDefault="003D15EF" w:rsidP="005D1FEA">
      <w:pPr>
        <w:pStyle w:val="LI-BodyTextParaa"/>
        <w:ind w:left="567"/>
        <w:rPr>
          <w:bCs/>
        </w:rPr>
      </w:pPr>
      <w:r w:rsidRPr="008E6A9C">
        <w:t>23.</w:t>
      </w:r>
      <w:r w:rsidR="00E051E7" w:rsidRPr="008E6A9C">
        <w:tab/>
      </w:r>
      <w:r w:rsidRPr="008E6A9C">
        <w:t>Item 4 of Schedule 2 of the Instrument omits “, 11(2), 13B(5) and 13B(6)” and substitutes “and 11(2)” in paragraph 14(a) of the Principal Instrument</w:t>
      </w:r>
      <w:r w:rsidR="000E3496" w:rsidRPr="008E6A9C">
        <w:t>, to reflect the repeal of section 13B (Exemption 11)</w:t>
      </w:r>
      <w:r w:rsidRPr="008E6A9C">
        <w:t>.</w:t>
      </w:r>
    </w:p>
    <w:p w14:paraId="57A93CEC" w14:textId="4E479B09" w:rsidR="00C52E7C" w:rsidRPr="008E6A9C" w:rsidRDefault="00C52E7C" w:rsidP="006D6079">
      <w:pPr>
        <w:pStyle w:val="LI-BodyTextParaa"/>
        <w:keepNext/>
        <w:ind w:left="567"/>
        <w:rPr>
          <w:b/>
          <w:bCs/>
        </w:rPr>
      </w:pPr>
      <w:r w:rsidRPr="008E6A9C">
        <w:rPr>
          <w:b/>
          <w:bCs/>
        </w:rPr>
        <w:t xml:space="preserve">Legislative instrument </w:t>
      </w:r>
      <w:r w:rsidR="00610709" w:rsidRPr="008E6A9C">
        <w:rPr>
          <w:b/>
          <w:bCs/>
        </w:rPr>
        <w:t xml:space="preserve">and </w:t>
      </w:r>
      <w:r w:rsidRPr="008E6A9C">
        <w:rPr>
          <w:b/>
          <w:bCs/>
        </w:rPr>
        <w:t>primary legislation</w:t>
      </w:r>
    </w:p>
    <w:p w14:paraId="1292FC75" w14:textId="7E81168C" w:rsidR="001E7E2B" w:rsidRPr="008E6A9C" w:rsidRDefault="00F96CBC" w:rsidP="001E7E2B">
      <w:pPr>
        <w:pStyle w:val="LI-BodyTextParaa"/>
        <w:ind w:left="567"/>
      </w:pPr>
      <w:r w:rsidRPr="008E6A9C">
        <w:t>22</w:t>
      </w:r>
      <w:r w:rsidR="00C52E7C" w:rsidRPr="008E6A9C">
        <w:t>.</w:t>
      </w:r>
      <w:r w:rsidR="00C52E7C" w:rsidRPr="008E6A9C">
        <w:tab/>
        <w:t xml:space="preserve">The </w:t>
      </w:r>
      <w:r w:rsidR="00ED796D" w:rsidRPr="008E6A9C">
        <w:t xml:space="preserve">subject matter and </w:t>
      </w:r>
      <w:r w:rsidR="00C52E7C" w:rsidRPr="008E6A9C">
        <w:t xml:space="preserve">policy implemented by this instrument is more appropriate for </w:t>
      </w:r>
      <w:r w:rsidR="00ED796D" w:rsidRPr="008E6A9C">
        <w:t>a legislative instrument rather than primary legislation because:</w:t>
      </w:r>
    </w:p>
    <w:p w14:paraId="2BEBDC5D" w14:textId="24BF5175" w:rsidR="00C52E7C" w:rsidRPr="008E6A9C" w:rsidRDefault="00ED796D" w:rsidP="001E7E2B">
      <w:pPr>
        <w:pStyle w:val="LI-BodyTextParaa"/>
        <w:ind w:left="1134"/>
      </w:pPr>
      <w:r w:rsidRPr="008E6A9C">
        <w:t>(a)</w:t>
      </w:r>
      <w:r w:rsidRPr="008E6A9C">
        <w:tab/>
      </w:r>
      <w:r w:rsidR="009669C1" w:rsidRPr="008E6A9C">
        <w:t>the effect of the instrument is to insert a new conditional</w:t>
      </w:r>
      <w:r w:rsidR="00AA0F1D" w:rsidRPr="008E6A9C">
        <w:t xml:space="preserve"> time-limited</w:t>
      </w:r>
      <w:r w:rsidR="009669C1" w:rsidRPr="008E6A9C">
        <w:t xml:space="preserve"> exemption from requirements in the 2022 TRRs. The 2022 TRRs are themselves a legislative instrument rather than primary </w:t>
      </w:r>
      <w:proofErr w:type="gramStart"/>
      <w:r w:rsidR="009669C1" w:rsidRPr="008E6A9C">
        <w:t>legislation;</w:t>
      </w:r>
      <w:proofErr w:type="gramEnd"/>
      <w:r w:rsidR="00C52E7C" w:rsidRPr="008E6A9C">
        <w:t xml:space="preserve"> </w:t>
      </w:r>
    </w:p>
    <w:p w14:paraId="127196AF" w14:textId="5DD25E93" w:rsidR="00F46947" w:rsidRPr="008E6A9C" w:rsidRDefault="00F46947" w:rsidP="001E7E2B">
      <w:pPr>
        <w:pStyle w:val="LI-BodyTextParaa"/>
        <w:ind w:left="1134"/>
      </w:pPr>
      <w:r w:rsidRPr="008E6A9C">
        <w:t>(b)</w:t>
      </w:r>
      <w:r w:rsidRPr="008E6A9C">
        <w:tab/>
      </w:r>
      <w:r w:rsidR="009669C1" w:rsidRPr="008E6A9C">
        <w:t>the instrument utilises powers given by Parliament to ASIC that allow ASIC to affect the operation of the 2022 TRRs to provide a tailored and flexible regulatory environment that is fit for purpose; and</w:t>
      </w:r>
    </w:p>
    <w:p w14:paraId="4828665D" w14:textId="631F4983" w:rsidR="009A2319" w:rsidRPr="008E6A9C" w:rsidRDefault="00610709" w:rsidP="002D36F2">
      <w:pPr>
        <w:pStyle w:val="LI-BodyTextParaa"/>
        <w:ind w:left="1134"/>
      </w:pPr>
      <w:r w:rsidRPr="008E6A9C">
        <w:t>(</w:t>
      </w:r>
      <w:r w:rsidR="00F46947" w:rsidRPr="008E6A9C">
        <w:t>c</w:t>
      </w:r>
      <w:r w:rsidRPr="008E6A9C">
        <w:t>)</w:t>
      </w:r>
      <w:r w:rsidRPr="008E6A9C">
        <w:tab/>
      </w:r>
      <w:r w:rsidR="009669C1" w:rsidRPr="008E6A9C">
        <w:t>the matters contained in the instrument are designed to ensure the application of the 2022 TRRs remained flexible to adapt to market developments (in particular, changes to reporting systems of reporting entities to prepare for commencement of the 2024 TRRs) and applied in a way consistent with the intended policy of the 2022 TRRs</w:t>
      </w:r>
      <w:r w:rsidR="00C204E1" w:rsidRPr="008E6A9C">
        <w:t>.</w:t>
      </w:r>
    </w:p>
    <w:bookmarkEnd w:id="0"/>
    <w:p w14:paraId="6E228E05" w14:textId="77777777" w:rsidR="00F03BB5" w:rsidRPr="008E6A9C" w:rsidRDefault="00474B52" w:rsidP="006D6079">
      <w:pPr>
        <w:pStyle w:val="LI-BodyTextNumbered"/>
        <w:keepNext/>
        <w:ind w:left="0" w:firstLine="0"/>
        <w:rPr>
          <w:b/>
        </w:rPr>
      </w:pPr>
      <w:r w:rsidRPr="008E6A9C">
        <w:rPr>
          <w:b/>
        </w:rPr>
        <w:t>Legislative authority</w:t>
      </w:r>
    </w:p>
    <w:p w14:paraId="3EAF355A" w14:textId="7791657A" w:rsidR="009A3F74" w:rsidRPr="008E6A9C" w:rsidRDefault="00F96CBC" w:rsidP="00F03BB5">
      <w:pPr>
        <w:pStyle w:val="LI-BodyTextParaa"/>
        <w:ind w:left="567"/>
      </w:pPr>
      <w:r w:rsidRPr="008E6A9C">
        <w:t>23</w:t>
      </w:r>
      <w:r w:rsidR="00F03BB5" w:rsidRPr="008E6A9C">
        <w:t>.</w:t>
      </w:r>
      <w:r w:rsidR="00F03BB5" w:rsidRPr="008E6A9C">
        <w:tab/>
      </w:r>
      <w:r w:rsidR="00FA70C4" w:rsidRPr="008E6A9C">
        <w:rPr>
          <w:color w:val="000000"/>
          <w:shd w:val="clear" w:color="auto" w:fill="FFFFFF"/>
        </w:rPr>
        <w:t>ASIC makes the Legislative Instrument under paragraph 907D(2)(a) of the Act. Under paragraph 907D(2)(a) of the Act, ASIC may exempt a person or class of persons from all or specified provisions of the Rules made under Part 7.5A of the Act.</w:t>
      </w:r>
    </w:p>
    <w:p w14:paraId="629E87F3" w14:textId="391F886E" w:rsidR="009A3F74" w:rsidRPr="008E6A9C" w:rsidRDefault="00F96CBC" w:rsidP="00F03BB5">
      <w:pPr>
        <w:pStyle w:val="LI-BodyTextParaa"/>
        <w:ind w:left="567"/>
      </w:pPr>
      <w:r w:rsidRPr="008E6A9C">
        <w:t>24</w:t>
      </w:r>
      <w:r w:rsidR="009A3F74" w:rsidRPr="008E6A9C">
        <w:t>.</w:t>
      </w:r>
      <w:r w:rsidR="009A3F74" w:rsidRPr="008E6A9C">
        <w:tab/>
      </w:r>
      <w:r w:rsidR="00FA70C4" w:rsidRPr="008E6A9C">
        <w:rPr>
          <w:color w:val="000000"/>
          <w:shd w:val="clear" w:color="auto" w:fill="FFFFFF"/>
        </w:rPr>
        <w:t>Under subsection 33(3) of the </w:t>
      </w:r>
      <w:r w:rsidR="00FA70C4" w:rsidRPr="008E6A9C">
        <w:rPr>
          <w:i/>
          <w:iCs/>
          <w:color w:val="000000"/>
          <w:shd w:val="clear" w:color="auto" w:fill="FFFFFF"/>
        </w:rPr>
        <w:t>Acts Interpretations Act 1901</w:t>
      </w:r>
      <w:r w:rsidR="00FA70C4" w:rsidRPr="008E6A9C">
        <w:rPr>
          <w:color w:val="000000"/>
          <w:shd w:val="clear" w:color="auto" w:fill="FFFFFF"/>
        </w:rPr>
        <w:t>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7D3AA32E" w14:textId="21B49822" w:rsidR="00435EEF" w:rsidRPr="008E6A9C" w:rsidRDefault="00F96CBC" w:rsidP="00435EEF">
      <w:pPr>
        <w:pStyle w:val="LI-BodyTextParaa"/>
        <w:ind w:left="567"/>
      </w:pPr>
      <w:r w:rsidRPr="008E6A9C">
        <w:t>25</w:t>
      </w:r>
      <w:r w:rsidR="00946759" w:rsidRPr="008E6A9C">
        <w:t>.</w:t>
      </w:r>
      <w:r w:rsidR="00946759" w:rsidRPr="008E6A9C">
        <w:tab/>
      </w:r>
      <w:r w:rsidR="005B0166" w:rsidRPr="008E6A9C">
        <w:t>An exemption may apply unconditionally or subject to specified conditions, and a person to whom a condition specified in an exemption applies must comply with the condition (see subsection 907D(3) of the Act). An exemption under paragraph 907D(2)(a) of the Act is a disallowable legislative instrument if it is expressed to apply in relation to a class of persons (see subsection 907D(4) of the Act).</w:t>
      </w:r>
    </w:p>
    <w:p w14:paraId="4D930F2D" w14:textId="64326A72" w:rsidR="00EA17A6" w:rsidRPr="008E6A9C" w:rsidRDefault="00EA17A6" w:rsidP="006D6079">
      <w:pPr>
        <w:pStyle w:val="LI-BodyTextNumbered"/>
        <w:keepNext/>
        <w:ind w:left="0" w:firstLine="0"/>
        <w:rPr>
          <w:b/>
        </w:rPr>
      </w:pPr>
      <w:r w:rsidRPr="008E6A9C">
        <w:rPr>
          <w:b/>
        </w:rPr>
        <w:lastRenderedPageBreak/>
        <w:t>Statement of Compatibility with Human Rights</w:t>
      </w:r>
    </w:p>
    <w:p w14:paraId="1DBA07BE" w14:textId="56D272DA" w:rsidR="00223DCF" w:rsidRPr="008E6A9C" w:rsidRDefault="00F96CBC" w:rsidP="00435EEF">
      <w:pPr>
        <w:pStyle w:val="LI-BodyTextParaa"/>
        <w:ind w:left="567"/>
      </w:pPr>
      <w:r w:rsidRPr="008E6A9C">
        <w:t>26</w:t>
      </w:r>
      <w:r w:rsidR="00223DCF" w:rsidRPr="008E6A9C">
        <w:t>.</w:t>
      </w:r>
      <w:r w:rsidR="00223DCF" w:rsidRPr="008E6A9C">
        <w:tab/>
        <w:t xml:space="preserve">The Explanatory Statement for a disallowable legislative instrument must contain a Statement of Compatibility with Human Rights under subsection 9(1) of the </w:t>
      </w:r>
      <w:r w:rsidR="00223DCF" w:rsidRPr="008E6A9C">
        <w:rPr>
          <w:i/>
          <w:iCs/>
        </w:rPr>
        <w:t>Human Rights (Parliamentary Scrutiny) Act 2011.</w:t>
      </w:r>
      <w:r w:rsidR="00223DCF" w:rsidRPr="008E6A9C">
        <w:rPr>
          <w:iCs/>
        </w:rPr>
        <w:t xml:space="preserve"> </w:t>
      </w:r>
      <w:r w:rsidR="00223DCF" w:rsidRPr="008E6A9C">
        <w:t xml:space="preserve">A Statement of Compatibility with Human Rights is in the </w:t>
      </w:r>
      <w:r w:rsidR="00223DCF" w:rsidRPr="008E6A9C">
        <w:rPr>
          <w:u w:val="single"/>
        </w:rPr>
        <w:t>Attachment</w:t>
      </w:r>
      <w:r w:rsidR="00223DCF" w:rsidRPr="008E6A9C">
        <w:t xml:space="preserve">. </w:t>
      </w:r>
    </w:p>
    <w:p w14:paraId="04C7C810" w14:textId="77777777" w:rsidR="00223DCF" w:rsidRPr="008E6A9C" w:rsidRDefault="00223DCF" w:rsidP="00223DCF">
      <w:pPr>
        <w:pStyle w:val="LI-BodyTextParaa"/>
        <w:ind w:left="567"/>
        <w:jc w:val="right"/>
        <w:rPr>
          <w:u w:val="single"/>
        </w:rPr>
      </w:pPr>
      <w:r w:rsidRPr="008E6A9C">
        <w:rPr>
          <w:color w:val="FF0000"/>
        </w:rPr>
        <w:br w:type="page"/>
      </w:r>
      <w:r w:rsidRPr="008E6A9C">
        <w:rPr>
          <w:u w:val="single"/>
        </w:rPr>
        <w:lastRenderedPageBreak/>
        <w:t xml:space="preserve">Attachment </w:t>
      </w:r>
    </w:p>
    <w:p w14:paraId="7F52BE96" w14:textId="77777777" w:rsidR="00A15512" w:rsidRPr="008E6A9C" w:rsidRDefault="001E77ED" w:rsidP="00223DCF">
      <w:pPr>
        <w:pStyle w:val="LI-BodyTextParaa"/>
        <w:ind w:left="567"/>
        <w:jc w:val="center"/>
        <w:rPr>
          <w:b/>
          <w:sz w:val="28"/>
          <w:szCs w:val="28"/>
        </w:rPr>
      </w:pPr>
      <w:r w:rsidRPr="008E6A9C">
        <w:rPr>
          <w:b/>
          <w:sz w:val="28"/>
          <w:szCs w:val="28"/>
        </w:rPr>
        <w:t xml:space="preserve">Statement of </w:t>
      </w:r>
      <w:r w:rsidR="00223DCF" w:rsidRPr="008E6A9C">
        <w:rPr>
          <w:b/>
          <w:sz w:val="28"/>
          <w:szCs w:val="28"/>
        </w:rPr>
        <w:t>C</w:t>
      </w:r>
      <w:r w:rsidRPr="008E6A9C">
        <w:rPr>
          <w:b/>
          <w:sz w:val="28"/>
          <w:szCs w:val="28"/>
        </w:rPr>
        <w:t xml:space="preserve">ompatibility with </w:t>
      </w:r>
      <w:r w:rsidR="00223DCF" w:rsidRPr="008E6A9C">
        <w:rPr>
          <w:b/>
          <w:sz w:val="28"/>
          <w:szCs w:val="28"/>
        </w:rPr>
        <w:t>H</w:t>
      </w:r>
      <w:r w:rsidRPr="008E6A9C">
        <w:rPr>
          <w:b/>
          <w:sz w:val="28"/>
          <w:szCs w:val="28"/>
        </w:rPr>
        <w:t xml:space="preserve">uman </w:t>
      </w:r>
      <w:r w:rsidR="00223DCF" w:rsidRPr="008E6A9C">
        <w:rPr>
          <w:b/>
          <w:sz w:val="28"/>
          <w:szCs w:val="28"/>
        </w:rPr>
        <w:t>R</w:t>
      </w:r>
      <w:r w:rsidRPr="008E6A9C">
        <w:rPr>
          <w:b/>
          <w:sz w:val="28"/>
          <w:szCs w:val="28"/>
        </w:rPr>
        <w:t>ights</w:t>
      </w:r>
    </w:p>
    <w:p w14:paraId="24668A36" w14:textId="77777777" w:rsidR="00AE787B" w:rsidRPr="008E6A9C" w:rsidRDefault="00AE787B" w:rsidP="00223DCF">
      <w:pPr>
        <w:pStyle w:val="LI-BodyTextNumbered"/>
        <w:ind w:left="0" w:firstLine="0"/>
        <w:rPr>
          <w:iCs/>
        </w:rPr>
      </w:pPr>
      <w:bookmarkStart w:id="1" w:name="_Hlk534286677"/>
    </w:p>
    <w:p w14:paraId="0CD10E11" w14:textId="77777777" w:rsidR="00223DCF" w:rsidRPr="008E6A9C" w:rsidRDefault="00223DCF" w:rsidP="00223DCF">
      <w:pPr>
        <w:pStyle w:val="LI-BodyTextNumbered"/>
        <w:ind w:left="0" w:firstLine="0"/>
        <w:rPr>
          <w:iCs/>
        </w:rPr>
      </w:pPr>
      <w:r w:rsidRPr="008E6A9C">
        <w:rPr>
          <w:iCs/>
        </w:rPr>
        <w:t xml:space="preserve">This Statement of Compatibility with Human Rights is prepared in accordance with Part 3 of </w:t>
      </w:r>
      <w:bookmarkStart w:id="2" w:name="_Hlk4054932"/>
      <w:r w:rsidRPr="008E6A9C">
        <w:rPr>
          <w:iCs/>
        </w:rPr>
        <w:t xml:space="preserve">the </w:t>
      </w:r>
      <w:r w:rsidRPr="008E6A9C">
        <w:rPr>
          <w:i/>
          <w:iCs/>
        </w:rPr>
        <w:t>Human Rights (Parliamentary Scrutiny) Act 2011</w:t>
      </w:r>
      <w:bookmarkEnd w:id="2"/>
      <w:r w:rsidRPr="008E6A9C">
        <w:rPr>
          <w:iCs/>
        </w:rPr>
        <w:t xml:space="preserve">.   </w:t>
      </w:r>
    </w:p>
    <w:p w14:paraId="4B154A7D" w14:textId="176EDF0D" w:rsidR="00223DCF" w:rsidRPr="008E6A9C" w:rsidRDefault="003315F2" w:rsidP="00223DCF">
      <w:pPr>
        <w:pStyle w:val="LI-BodyTextNumbered"/>
        <w:ind w:left="0" w:firstLine="0"/>
        <w:rPr>
          <w:b/>
          <w:i/>
        </w:rPr>
      </w:pPr>
      <w:r w:rsidRPr="008E6A9C">
        <w:rPr>
          <w:b/>
          <w:i/>
        </w:rPr>
        <w:t>ASIC Corporations (Amendment) Instrument 2023/504</w:t>
      </w:r>
    </w:p>
    <w:p w14:paraId="0AD76C9D" w14:textId="77777777" w:rsidR="00223DCF" w:rsidRPr="008E6A9C" w:rsidRDefault="00223DCF" w:rsidP="001872DC">
      <w:pPr>
        <w:pStyle w:val="LI-BodyTextNumbered"/>
        <w:ind w:left="567"/>
        <w:rPr>
          <w:u w:val="single"/>
        </w:rPr>
      </w:pPr>
      <w:r w:rsidRPr="008E6A9C">
        <w:rPr>
          <w:u w:val="single"/>
        </w:rPr>
        <w:t>Overview</w:t>
      </w:r>
    </w:p>
    <w:p w14:paraId="056E764A" w14:textId="125A9036" w:rsidR="00CB2D96" w:rsidRPr="008E6A9C" w:rsidRDefault="00CB2D96" w:rsidP="00CB2D96">
      <w:pPr>
        <w:spacing w:before="240" w:line="240" w:lineRule="auto"/>
        <w:ind w:left="567" w:hanging="567"/>
        <w:rPr>
          <w:rFonts w:eastAsia="Times New Roman"/>
          <w:sz w:val="24"/>
          <w:szCs w:val="24"/>
          <w:lang w:eastAsia="en-AU"/>
        </w:rPr>
      </w:pPr>
      <w:r w:rsidRPr="008E6A9C">
        <w:rPr>
          <w:rFonts w:eastAsia="Times New Roman"/>
          <w:sz w:val="24"/>
          <w:szCs w:val="24"/>
          <w:lang w:eastAsia="en-AU"/>
        </w:rPr>
        <w:t>1.</w:t>
      </w:r>
      <w:r w:rsidRPr="008E6A9C">
        <w:rPr>
          <w:rFonts w:eastAsia="Times New Roman"/>
          <w:sz w:val="24"/>
          <w:szCs w:val="24"/>
          <w:lang w:eastAsia="en-AU"/>
        </w:rPr>
        <w:tab/>
      </w:r>
      <w:r w:rsidR="009B5ECB" w:rsidRPr="008E6A9C">
        <w:rPr>
          <w:rFonts w:eastAsia="Times New Roman"/>
          <w:sz w:val="24"/>
          <w:szCs w:val="24"/>
          <w:lang w:eastAsia="en-AU"/>
        </w:rPr>
        <w:t xml:space="preserve">The </w:t>
      </w:r>
      <w:r w:rsidR="009B5ECB" w:rsidRPr="008E6A9C">
        <w:rPr>
          <w:rFonts w:eastAsia="Times New Roman"/>
          <w:i/>
          <w:iCs/>
          <w:sz w:val="24"/>
          <w:szCs w:val="24"/>
          <w:lang w:eastAsia="en-AU"/>
        </w:rPr>
        <w:t>ASIC Corporations (Amendment) Instrument 2023/504</w:t>
      </w:r>
      <w:r w:rsidR="009B5ECB" w:rsidRPr="008E6A9C">
        <w:rPr>
          <w:rFonts w:eastAsia="Times New Roman"/>
          <w:sz w:val="24"/>
          <w:szCs w:val="24"/>
          <w:lang w:eastAsia="en-AU"/>
        </w:rPr>
        <w:t xml:space="preserve"> (the </w:t>
      </w:r>
      <w:r w:rsidR="009B5ECB" w:rsidRPr="008E6A9C">
        <w:rPr>
          <w:rFonts w:eastAsia="Times New Roman"/>
          <w:b/>
          <w:bCs/>
          <w:i/>
          <w:iCs/>
          <w:sz w:val="24"/>
          <w:szCs w:val="24"/>
          <w:lang w:eastAsia="en-AU"/>
        </w:rPr>
        <w:t>Instrument</w:t>
      </w:r>
      <w:r w:rsidR="009B5ECB" w:rsidRPr="008E6A9C">
        <w:rPr>
          <w:rFonts w:eastAsia="Times New Roman"/>
          <w:sz w:val="24"/>
          <w:szCs w:val="24"/>
          <w:lang w:eastAsia="en-AU"/>
        </w:rPr>
        <w:t xml:space="preserve">) is made under paragraph 907D(2)(a) of the Corporations Act 2001 </w:t>
      </w:r>
      <w:r w:rsidR="00152214" w:rsidRPr="008E6A9C">
        <w:rPr>
          <w:rFonts w:eastAsia="Times New Roman"/>
          <w:sz w:val="24"/>
          <w:szCs w:val="24"/>
          <w:lang w:eastAsia="en-AU"/>
        </w:rPr>
        <w:t xml:space="preserve">and </w:t>
      </w:r>
      <w:r w:rsidR="003D2B9A" w:rsidRPr="008E6A9C">
        <w:rPr>
          <w:rFonts w:eastAsia="Times New Roman"/>
          <w:sz w:val="24"/>
          <w:szCs w:val="24"/>
          <w:lang w:eastAsia="en-AU"/>
        </w:rPr>
        <w:t>provides</w:t>
      </w:r>
      <w:r w:rsidR="009B5ECB" w:rsidRPr="008E6A9C">
        <w:rPr>
          <w:rFonts w:eastAsia="Times New Roman"/>
          <w:sz w:val="24"/>
          <w:szCs w:val="24"/>
          <w:lang w:eastAsia="en-AU"/>
        </w:rPr>
        <w:t xml:space="preserve"> conditional </w:t>
      </w:r>
      <w:r w:rsidR="00EB15A6" w:rsidRPr="008E6A9C">
        <w:rPr>
          <w:rFonts w:eastAsia="Times New Roman"/>
          <w:sz w:val="24"/>
          <w:szCs w:val="24"/>
          <w:lang w:eastAsia="en-AU"/>
        </w:rPr>
        <w:t xml:space="preserve">time-limited </w:t>
      </w:r>
      <w:r w:rsidR="009B5ECB" w:rsidRPr="008E6A9C">
        <w:rPr>
          <w:rFonts w:eastAsia="Times New Roman"/>
          <w:sz w:val="24"/>
          <w:szCs w:val="24"/>
          <w:lang w:eastAsia="en-AU"/>
        </w:rPr>
        <w:t xml:space="preserve">exemptive relief to reporting entities from reporting </w:t>
      </w:r>
      <w:r w:rsidR="00384A0A" w:rsidRPr="008E6A9C">
        <w:rPr>
          <w:rFonts w:eastAsia="Times New Roman"/>
          <w:sz w:val="24"/>
          <w:szCs w:val="24"/>
          <w:lang w:eastAsia="en-AU"/>
        </w:rPr>
        <w:t xml:space="preserve">specified items of Derivative </w:t>
      </w:r>
      <w:r w:rsidR="00E617B0" w:rsidRPr="008E6A9C">
        <w:rPr>
          <w:rFonts w:eastAsia="Times New Roman"/>
          <w:sz w:val="24"/>
          <w:szCs w:val="24"/>
          <w:lang w:eastAsia="en-AU"/>
        </w:rPr>
        <w:t>Trade Data</w:t>
      </w:r>
      <w:r w:rsidR="009B5ECB" w:rsidRPr="008E6A9C">
        <w:rPr>
          <w:rFonts w:eastAsia="Times New Roman"/>
          <w:sz w:val="24"/>
          <w:szCs w:val="24"/>
          <w:lang w:eastAsia="en-AU"/>
        </w:rPr>
        <w:t xml:space="preserve"> under the </w:t>
      </w:r>
      <w:r w:rsidR="009B5ECB" w:rsidRPr="008E6A9C">
        <w:rPr>
          <w:rFonts w:eastAsia="Times New Roman"/>
          <w:i/>
          <w:iCs/>
          <w:sz w:val="24"/>
          <w:szCs w:val="24"/>
          <w:lang w:eastAsia="en-AU"/>
        </w:rPr>
        <w:t>ASIC Derivative Transaction Rules (Reporting) 2022</w:t>
      </w:r>
      <w:r w:rsidR="004244FD" w:rsidRPr="008E6A9C">
        <w:rPr>
          <w:rFonts w:eastAsia="Times New Roman"/>
          <w:i/>
          <w:iCs/>
          <w:sz w:val="24"/>
          <w:szCs w:val="24"/>
          <w:lang w:eastAsia="en-AU"/>
        </w:rPr>
        <w:t xml:space="preserve"> </w:t>
      </w:r>
      <w:r w:rsidR="004244FD" w:rsidRPr="008E6A9C">
        <w:rPr>
          <w:rFonts w:eastAsia="Times New Roman"/>
          <w:sz w:val="24"/>
          <w:szCs w:val="24"/>
          <w:lang w:eastAsia="en-AU"/>
        </w:rPr>
        <w:t>(</w:t>
      </w:r>
      <w:r w:rsidR="004244FD" w:rsidRPr="008E6A9C">
        <w:rPr>
          <w:rFonts w:eastAsia="Times New Roman"/>
          <w:b/>
          <w:bCs/>
          <w:i/>
          <w:iCs/>
          <w:sz w:val="24"/>
          <w:szCs w:val="24"/>
          <w:lang w:eastAsia="en-AU"/>
        </w:rPr>
        <w:t>2022 TRRs</w:t>
      </w:r>
      <w:r w:rsidR="004244FD" w:rsidRPr="008E6A9C">
        <w:rPr>
          <w:rFonts w:eastAsia="Times New Roman"/>
          <w:sz w:val="24"/>
          <w:szCs w:val="24"/>
          <w:lang w:eastAsia="en-AU"/>
        </w:rPr>
        <w:t>)</w:t>
      </w:r>
      <w:r w:rsidR="00384A0A" w:rsidRPr="008E6A9C">
        <w:rPr>
          <w:rFonts w:eastAsia="Times New Roman"/>
          <w:sz w:val="24"/>
          <w:szCs w:val="24"/>
          <w:lang w:eastAsia="en-AU"/>
        </w:rPr>
        <w:t xml:space="preserve"> that are not specified as items of Derivative Transaction Information under the ASIC Derivative Transaction Rules (Reporting) 2024</w:t>
      </w:r>
      <w:r w:rsidR="009B5ECB" w:rsidRPr="008E6A9C">
        <w:rPr>
          <w:rFonts w:eastAsia="Times New Roman"/>
          <w:sz w:val="24"/>
          <w:szCs w:val="24"/>
          <w:lang w:eastAsia="en-AU"/>
        </w:rPr>
        <w:t>.</w:t>
      </w:r>
    </w:p>
    <w:p w14:paraId="159E6C26" w14:textId="406EE71D" w:rsidR="004244FD" w:rsidRPr="008E6A9C" w:rsidRDefault="004244FD" w:rsidP="00CB2D96">
      <w:pPr>
        <w:spacing w:before="240" w:line="240" w:lineRule="auto"/>
        <w:ind w:left="567" w:hanging="567"/>
        <w:rPr>
          <w:rFonts w:eastAsia="Times New Roman"/>
          <w:sz w:val="24"/>
          <w:szCs w:val="24"/>
          <w:lang w:eastAsia="en-AU"/>
        </w:rPr>
      </w:pPr>
      <w:r w:rsidRPr="008E6A9C">
        <w:rPr>
          <w:rFonts w:eastAsia="Times New Roman"/>
          <w:sz w:val="24"/>
          <w:szCs w:val="24"/>
          <w:lang w:eastAsia="en-AU"/>
        </w:rPr>
        <w:t>2.</w:t>
      </w:r>
      <w:r w:rsidRPr="008E6A9C">
        <w:rPr>
          <w:rFonts w:eastAsia="Times New Roman"/>
          <w:sz w:val="24"/>
          <w:szCs w:val="24"/>
          <w:lang w:eastAsia="en-AU"/>
        </w:rPr>
        <w:tab/>
      </w:r>
      <w:r w:rsidR="00EC420C" w:rsidRPr="008E6A9C">
        <w:rPr>
          <w:rFonts w:eastAsia="Times New Roman"/>
          <w:sz w:val="24"/>
          <w:szCs w:val="24"/>
          <w:lang w:eastAsia="en-AU"/>
        </w:rPr>
        <w:t>The 2022 TRRs requires reporting entities to report Derivative Transaction Information for Reportable Transactions, as set out in Schedule 2 of the 2022 TRRs.</w:t>
      </w:r>
    </w:p>
    <w:p w14:paraId="564950D5" w14:textId="324D69DB" w:rsidR="004244FD" w:rsidRPr="008E6A9C" w:rsidRDefault="00366786" w:rsidP="00CB2D96">
      <w:pPr>
        <w:spacing w:before="240" w:line="240" w:lineRule="auto"/>
        <w:ind w:left="567" w:hanging="567"/>
        <w:rPr>
          <w:rFonts w:eastAsia="Times New Roman"/>
          <w:sz w:val="24"/>
          <w:szCs w:val="24"/>
          <w:lang w:eastAsia="en-AU"/>
        </w:rPr>
      </w:pPr>
      <w:r w:rsidRPr="008E6A9C">
        <w:rPr>
          <w:rFonts w:eastAsia="Times New Roman"/>
          <w:sz w:val="24"/>
          <w:szCs w:val="24"/>
          <w:lang w:eastAsia="en-AU"/>
        </w:rPr>
        <w:t>3</w:t>
      </w:r>
      <w:r w:rsidR="004244FD" w:rsidRPr="008E6A9C">
        <w:rPr>
          <w:rFonts w:eastAsia="Times New Roman"/>
          <w:sz w:val="24"/>
          <w:szCs w:val="24"/>
          <w:lang w:eastAsia="en-AU"/>
        </w:rPr>
        <w:t>.</w:t>
      </w:r>
      <w:r w:rsidR="004244FD" w:rsidRPr="008E6A9C">
        <w:rPr>
          <w:rFonts w:eastAsia="Times New Roman"/>
          <w:sz w:val="24"/>
          <w:szCs w:val="24"/>
          <w:lang w:eastAsia="en-AU"/>
        </w:rPr>
        <w:tab/>
        <w:t xml:space="preserve">The purpose of the Legislative Instrument is to introduce </w:t>
      </w:r>
      <w:r w:rsidR="005200B2" w:rsidRPr="008E6A9C">
        <w:rPr>
          <w:rFonts w:eastAsia="Times New Roman"/>
          <w:sz w:val="24"/>
          <w:szCs w:val="24"/>
          <w:lang w:eastAsia="en-AU"/>
        </w:rPr>
        <w:t xml:space="preserve">conditional </w:t>
      </w:r>
      <w:r w:rsidR="00EB15A6" w:rsidRPr="008E6A9C">
        <w:rPr>
          <w:rFonts w:eastAsia="Times New Roman"/>
          <w:sz w:val="24"/>
          <w:szCs w:val="24"/>
          <w:lang w:eastAsia="en-AU"/>
        </w:rPr>
        <w:t xml:space="preserve">time-limited </w:t>
      </w:r>
      <w:r w:rsidR="004244FD" w:rsidRPr="008E6A9C">
        <w:rPr>
          <w:rFonts w:eastAsia="Times New Roman"/>
          <w:sz w:val="24"/>
          <w:szCs w:val="24"/>
          <w:lang w:eastAsia="en-AU"/>
        </w:rPr>
        <w:t xml:space="preserve">exemptive relief in new section 13B (Exemption 11) of </w:t>
      </w:r>
      <w:r w:rsidR="00C63610" w:rsidRPr="008E6A9C">
        <w:rPr>
          <w:rFonts w:eastAsia="Times New Roman"/>
          <w:sz w:val="24"/>
          <w:szCs w:val="24"/>
          <w:lang w:eastAsia="en-AU"/>
        </w:rPr>
        <w:t xml:space="preserve">the </w:t>
      </w:r>
      <w:r w:rsidR="00C63610" w:rsidRPr="008E6A9C">
        <w:rPr>
          <w:i/>
          <w:iCs/>
          <w:color w:val="000000"/>
          <w:sz w:val="24"/>
          <w:szCs w:val="22"/>
          <w:shd w:val="clear" w:color="auto" w:fill="FFFFFF"/>
        </w:rPr>
        <w:t>ASIC Corporations (Derivative Transaction Reporting Exemption) Instrument 2015/844</w:t>
      </w:r>
      <w:r w:rsidR="005200B2" w:rsidRPr="008E6A9C">
        <w:rPr>
          <w:i/>
          <w:iCs/>
          <w:color w:val="000000"/>
          <w:shd w:val="clear" w:color="auto" w:fill="FFFFFF"/>
        </w:rPr>
        <w:t xml:space="preserve">. </w:t>
      </w:r>
      <w:r w:rsidR="005200B2" w:rsidRPr="008E6A9C">
        <w:rPr>
          <w:rFonts w:eastAsia="Times New Roman"/>
          <w:sz w:val="24"/>
          <w:szCs w:val="24"/>
          <w:lang w:eastAsia="en-AU"/>
        </w:rPr>
        <w:t xml:space="preserve">Section 13B provides conditional </w:t>
      </w:r>
      <w:r w:rsidR="0075191A" w:rsidRPr="008E6A9C">
        <w:rPr>
          <w:rFonts w:eastAsia="Times New Roman"/>
          <w:sz w:val="24"/>
          <w:szCs w:val="24"/>
          <w:lang w:eastAsia="en-AU"/>
        </w:rPr>
        <w:t xml:space="preserve">time-limited </w:t>
      </w:r>
      <w:r w:rsidR="005200B2" w:rsidRPr="008E6A9C">
        <w:rPr>
          <w:rFonts w:eastAsia="Times New Roman"/>
          <w:sz w:val="24"/>
          <w:szCs w:val="24"/>
          <w:lang w:eastAsia="en-AU"/>
        </w:rPr>
        <w:t xml:space="preserve">exemptive relief </w:t>
      </w:r>
      <w:r w:rsidR="005A49DE" w:rsidRPr="008E6A9C">
        <w:rPr>
          <w:rFonts w:eastAsia="Times New Roman"/>
          <w:sz w:val="24"/>
          <w:szCs w:val="24"/>
          <w:lang w:eastAsia="en-AU"/>
        </w:rPr>
        <w:t xml:space="preserve">to Reporting Entities </w:t>
      </w:r>
      <w:r w:rsidR="00C34E3E" w:rsidRPr="008E6A9C">
        <w:rPr>
          <w:rFonts w:eastAsia="Times New Roman"/>
          <w:sz w:val="24"/>
          <w:szCs w:val="24"/>
          <w:lang w:eastAsia="en-AU"/>
        </w:rPr>
        <w:t xml:space="preserve">from </w:t>
      </w:r>
      <w:r w:rsidR="004244FD" w:rsidRPr="008E6A9C">
        <w:rPr>
          <w:rFonts w:eastAsia="Times New Roman"/>
          <w:sz w:val="24"/>
          <w:szCs w:val="24"/>
          <w:lang w:eastAsia="en-AU"/>
        </w:rPr>
        <w:t xml:space="preserve">the </w:t>
      </w:r>
      <w:r w:rsidR="005F2641" w:rsidRPr="008E6A9C">
        <w:rPr>
          <w:rFonts w:eastAsia="Times New Roman"/>
          <w:sz w:val="24"/>
          <w:szCs w:val="24"/>
          <w:lang w:eastAsia="en-AU"/>
        </w:rPr>
        <w:t>reporting requirement in Rule 2.2.1 of the 2022 TRRs for</w:t>
      </w:r>
      <w:r w:rsidR="004244FD" w:rsidRPr="008E6A9C">
        <w:rPr>
          <w:rFonts w:eastAsia="Times New Roman"/>
          <w:sz w:val="24"/>
          <w:szCs w:val="24"/>
          <w:lang w:eastAsia="en-AU"/>
        </w:rPr>
        <w:t xml:space="preserve"> certain items of </w:t>
      </w:r>
      <w:r w:rsidR="00731C3E" w:rsidRPr="008E6A9C">
        <w:rPr>
          <w:rFonts w:eastAsia="Times New Roman"/>
          <w:sz w:val="24"/>
          <w:szCs w:val="24"/>
          <w:lang w:eastAsia="en-AU"/>
        </w:rPr>
        <w:t>D</w:t>
      </w:r>
      <w:r w:rsidR="004244FD" w:rsidRPr="008E6A9C">
        <w:rPr>
          <w:rFonts w:eastAsia="Times New Roman"/>
          <w:sz w:val="24"/>
          <w:szCs w:val="24"/>
          <w:lang w:eastAsia="en-AU"/>
        </w:rPr>
        <w:t xml:space="preserve">erivative </w:t>
      </w:r>
      <w:r w:rsidR="00731C3E" w:rsidRPr="008E6A9C">
        <w:rPr>
          <w:rFonts w:eastAsia="Times New Roman"/>
          <w:sz w:val="24"/>
          <w:szCs w:val="24"/>
          <w:lang w:eastAsia="en-AU"/>
        </w:rPr>
        <w:t>T</w:t>
      </w:r>
      <w:r w:rsidR="004244FD" w:rsidRPr="008E6A9C">
        <w:rPr>
          <w:rFonts w:eastAsia="Times New Roman"/>
          <w:sz w:val="24"/>
          <w:szCs w:val="24"/>
          <w:lang w:eastAsia="en-AU"/>
        </w:rPr>
        <w:t xml:space="preserve">ransaction </w:t>
      </w:r>
      <w:r w:rsidR="00731C3E" w:rsidRPr="008E6A9C">
        <w:rPr>
          <w:rFonts w:eastAsia="Times New Roman"/>
          <w:sz w:val="24"/>
          <w:szCs w:val="24"/>
          <w:lang w:eastAsia="en-AU"/>
        </w:rPr>
        <w:t>I</w:t>
      </w:r>
      <w:r w:rsidR="004244FD" w:rsidRPr="008E6A9C">
        <w:rPr>
          <w:rFonts w:eastAsia="Times New Roman"/>
          <w:sz w:val="24"/>
          <w:szCs w:val="24"/>
          <w:lang w:eastAsia="en-AU"/>
        </w:rPr>
        <w:t>nformation defined as the 2024 Transitional Information</w:t>
      </w:r>
      <w:r w:rsidR="00C1034F" w:rsidRPr="008E6A9C">
        <w:rPr>
          <w:rFonts w:eastAsia="Times New Roman"/>
          <w:sz w:val="24"/>
          <w:szCs w:val="24"/>
          <w:lang w:eastAsia="en-AU"/>
        </w:rPr>
        <w:t xml:space="preserve"> and item 21 or item 22 of Table S2.1(1) in Schedule 2 to the 2022 TRRs. </w:t>
      </w:r>
      <w:r w:rsidR="004244FD" w:rsidRPr="008E6A9C">
        <w:rPr>
          <w:rFonts w:eastAsia="Times New Roman"/>
          <w:sz w:val="24"/>
          <w:szCs w:val="24"/>
          <w:lang w:eastAsia="en-AU"/>
        </w:rPr>
        <w:t>The 2024 Transitional Information are items of Derivative Trade Data in Table S2.1(1)</w:t>
      </w:r>
      <w:r w:rsidR="00D21FEB" w:rsidRPr="008E6A9C">
        <w:rPr>
          <w:rFonts w:eastAsia="Times New Roman"/>
          <w:sz w:val="24"/>
          <w:szCs w:val="24"/>
          <w:lang w:eastAsia="en-AU"/>
        </w:rPr>
        <w:t xml:space="preserve"> and Table S2.1(2)</w:t>
      </w:r>
      <w:r w:rsidR="004244FD" w:rsidRPr="008E6A9C">
        <w:rPr>
          <w:rFonts w:eastAsia="Times New Roman"/>
          <w:sz w:val="24"/>
          <w:szCs w:val="24"/>
          <w:lang w:eastAsia="en-AU"/>
        </w:rPr>
        <w:t xml:space="preserve"> </w:t>
      </w:r>
      <w:r w:rsidR="005B084E" w:rsidRPr="008E6A9C">
        <w:rPr>
          <w:rFonts w:eastAsia="Times New Roman"/>
          <w:sz w:val="24"/>
          <w:szCs w:val="24"/>
          <w:lang w:eastAsia="en-AU"/>
        </w:rPr>
        <w:t>and Derivative Position Information in Table S2.</w:t>
      </w:r>
      <w:r w:rsidR="00824601" w:rsidRPr="008E6A9C">
        <w:rPr>
          <w:rFonts w:eastAsia="Times New Roman"/>
          <w:sz w:val="24"/>
          <w:szCs w:val="24"/>
          <w:lang w:eastAsia="en-AU"/>
        </w:rPr>
        <w:t xml:space="preserve">2(1) </w:t>
      </w:r>
      <w:r w:rsidR="004244FD" w:rsidRPr="008E6A9C">
        <w:rPr>
          <w:rFonts w:eastAsia="Times New Roman"/>
          <w:sz w:val="24"/>
          <w:szCs w:val="24"/>
          <w:lang w:eastAsia="en-AU"/>
        </w:rPr>
        <w:t xml:space="preserve">of the 2022 TRRs that are not specified as items of Derivative </w:t>
      </w:r>
      <w:r w:rsidR="006825AA" w:rsidRPr="008E6A9C">
        <w:rPr>
          <w:rFonts w:eastAsia="Times New Roman"/>
          <w:sz w:val="24"/>
          <w:szCs w:val="24"/>
          <w:lang w:eastAsia="en-AU"/>
        </w:rPr>
        <w:t>Transaction Information</w:t>
      </w:r>
      <w:r w:rsidR="004244FD" w:rsidRPr="008E6A9C">
        <w:rPr>
          <w:rFonts w:eastAsia="Times New Roman"/>
          <w:sz w:val="24"/>
          <w:szCs w:val="24"/>
          <w:lang w:eastAsia="en-AU"/>
        </w:rPr>
        <w:t xml:space="preserve"> under the ASIC Derivative Transaction Rules (Reporting) 2024.  </w:t>
      </w:r>
    </w:p>
    <w:p w14:paraId="79BCB1A5" w14:textId="77777777" w:rsidR="001872DC" w:rsidRPr="008E6A9C" w:rsidRDefault="001872DC" w:rsidP="001872DC">
      <w:pPr>
        <w:pStyle w:val="LI-BodyTextNumbered"/>
        <w:ind w:left="567"/>
        <w:rPr>
          <w:u w:val="single"/>
        </w:rPr>
      </w:pPr>
      <w:bookmarkStart w:id="3" w:name="_Hlk534286807"/>
      <w:bookmarkEnd w:id="1"/>
      <w:r w:rsidRPr="008E6A9C">
        <w:rPr>
          <w:u w:val="single"/>
        </w:rPr>
        <w:t>Assessment of human rights implications</w:t>
      </w:r>
    </w:p>
    <w:p w14:paraId="56F8130E" w14:textId="49E29186" w:rsidR="00946759" w:rsidRPr="008E6A9C" w:rsidRDefault="00366786" w:rsidP="00D306F8">
      <w:pPr>
        <w:pStyle w:val="LI-BodyTextNumbered"/>
        <w:ind w:left="567"/>
      </w:pPr>
      <w:r w:rsidRPr="008E6A9C">
        <w:t>4</w:t>
      </w:r>
      <w:r w:rsidR="001872DC" w:rsidRPr="008E6A9C">
        <w:t>.</w:t>
      </w:r>
      <w:r w:rsidR="001872DC" w:rsidRPr="008E6A9C">
        <w:tab/>
      </w:r>
      <w:bookmarkEnd w:id="3"/>
      <w:r w:rsidR="001872DC" w:rsidRPr="008E6A9C">
        <w:t xml:space="preserve">This instrument </w:t>
      </w:r>
      <w:r w:rsidR="00D306F8" w:rsidRPr="008E6A9C">
        <w:t>does not engage any of the applicable rights or freedoms</w:t>
      </w:r>
      <w:r w:rsidR="00F94688" w:rsidRPr="008E6A9C">
        <w:t>.</w:t>
      </w:r>
    </w:p>
    <w:p w14:paraId="05FFF3B4" w14:textId="77777777" w:rsidR="00CB2D96" w:rsidRPr="008E6A9C" w:rsidRDefault="00CB2D96" w:rsidP="00D306F8">
      <w:pPr>
        <w:pStyle w:val="LI-BodyTextNumbered"/>
        <w:ind w:left="567"/>
        <w:rPr>
          <w:u w:val="single"/>
        </w:rPr>
      </w:pPr>
      <w:r w:rsidRPr="008E6A9C">
        <w:rPr>
          <w:u w:val="single"/>
        </w:rPr>
        <w:t>Conclusion</w:t>
      </w:r>
    </w:p>
    <w:p w14:paraId="4734FE48" w14:textId="50B24B1C" w:rsidR="00CB2D96" w:rsidRPr="00EA17A6" w:rsidRDefault="00366786" w:rsidP="00CB2D96">
      <w:pPr>
        <w:pStyle w:val="LI-BodyTextNumbered"/>
        <w:ind w:left="567"/>
      </w:pPr>
      <w:r w:rsidRPr="008E6A9C">
        <w:t>5</w:t>
      </w:r>
      <w:r w:rsidR="00CB2D96" w:rsidRPr="008E6A9C">
        <w:t>.</w:t>
      </w:r>
      <w:r w:rsidR="00CB2D96" w:rsidRPr="008E6A9C">
        <w:tab/>
        <w:t xml:space="preserve">This instrument is compatible with the human rights and freedoms recognised or declared in the international instruments listed in section 3 of </w:t>
      </w:r>
      <w:r w:rsidR="00CB2D96" w:rsidRPr="008E6A9C">
        <w:rPr>
          <w:iCs/>
        </w:rPr>
        <w:t xml:space="preserve">the </w:t>
      </w:r>
      <w:r w:rsidR="00CB2D96" w:rsidRPr="008E6A9C">
        <w:rPr>
          <w:i/>
          <w:iCs/>
        </w:rPr>
        <w:t>Human Rights (Parliamentary Scrutiny) Act 2011</w:t>
      </w:r>
      <w:r w:rsidR="00CB2D96" w:rsidRPr="008E6A9C">
        <w:t>.</w:t>
      </w:r>
    </w:p>
    <w:p w14:paraId="570BEB58" w14:textId="77777777" w:rsidR="00CB2D96" w:rsidRPr="00EA17A6" w:rsidRDefault="00CB2D96" w:rsidP="00D306F8">
      <w:pPr>
        <w:pStyle w:val="LI-BodyTextNumbered"/>
        <w:ind w:left="567"/>
      </w:pPr>
    </w:p>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10488" w14:textId="77777777" w:rsidR="008339DE" w:rsidRDefault="008339DE" w:rsidP="00715914">
      <w:pPr>
        <w:spacing w:line="240" w:lineRule="auto"/>
      </w:pPr>
      <w:r>
        <w:separator/>
      </w:r>
    </w:p>
  </w:endnote>
  <w:endnote w:type="continuationSeparator" w:id="0">
    <w:p w14:paraId="0EDA2345" w14:textId="77777777" w:rsidR="008339DE" w:rsidRDefault="008339D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3F61"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ED3D50"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DB424" w14:textId="77777777" w:rsidR="008339DE" w:rsidRDefault="008339DE" w:rsidP="00715914">
      <w:pPr>
        <w:spacing w:line="240" w:lineRule="auto"/>
      </w:pPr>
      <w:r>
        <w:separator/>
      </w:r>
    </w:p>
  </w:footnote>
  <w:footnote w:type="continuationSeparator" w:id="0">
    <w:p w14:paraId="3F6DF493" w14:textId="77777777" w:rsidR="008339DE" w:rsidRDefault="008339D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3CE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43A6639" w14:textId="77777777" w:rsidTr="001E77ED">
      <w:tc>
        <w:tcPr>
          <w:tcW w:w="4253" w:type="dxa"/>
          <w:shd w:val="clear" w:color="auto" w:fill="auto"/>
        </w:tcPr>
        <w:p w14:paraId="4D19EF3A" w14:textId="77777777" w:rsidR="00F4215A" w:rsidRDefault="00F4215A" w:rsidP="00E40FF8">
          <w:pPr>
            <w:pStyle w:val="LI-Header"/>
            <w:pBdr>
              <w:bottom w:val="none" w:sz="0" w:space="0" w:color="auto"/>
            </w:pBdr>
            <w:jc w:val="left"/>
          </w:pPr>
        </w:p>
      </w:tc>
      <w:tc>
        <w:tcPr>
          <w:tcW w:w="4060" w:type="dxa"/>
          <w:shd w:val="clear" w:color="auto" w:fill="auto"/>
        </w:tcPr>
        <w:p w14:paraId="76FB5D62" w14:textId="77777777" w:rsidR="00F4215A" w:rsidRDefault="00F4215A" w:rsidP="00F03BB5">
          <w:pPr>
            <w:pStyle w:val="LI-BodyTextNumbered"/>
          </w:pPr>
        </w:p>
      </w:tc>
    </w:tr>
  </w:tbl>
  <w:p w14:paraId="6F7068A7"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A032DC"/>
    <w:multiLevelType w:val="hybridMultilevel"/>
    <w:tmpl w:val="6E40F6A0"/>
    <w:lvl w:ilvl="0" w:tplc="03EA6404">
      <w:start w:val="1"/>
      <w:numFmt w:val="lowerLetter"/>
      <w:lvlText w:val="(%1)"/>
      <w:lvlJc w:val="left"/>
      <w:pPr>
        <w:ind w:left="360" w:hanging="360"/>
      </w:pPr>
      <w:rPr>
        <w:rFonts w:hint="default"/>
      </w:rPr>
    </w:lvl>
    <w:lvl w:ilvl="1" w:tplc="CFA2019C">
      <w:start w:val="1"/>
      <w:numFmt w:val="lowerRoman"/>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BF6930"/>
    <w:multiLevelType w:val="hybridMultilevel"/>
    <w:tmpl w:val="D9A416E4"/>
    <w:lvl w:ilvl="0" w:tplc="B8F2CDA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9446BA3"/>
    <w:multiLevelType w:val="hybridMultilevel"/>
    <w:tmpl w:val="6E40F6A0"/>
    <w:lvl w:ilvl="0" w:tplc="03EA6404">
      <w:start w:val="1"/>
      <w:numFmt w:val="lowerLetter"/>
      <w:lvlText w:val="(%1)"/>
      <w:lvlJc w:val="left"/>
      <w:pPr>
        <w:ind w:left="360" w:hanging="360"/>
      </w:pPr>
      <w:rPr>
        <w:rFonts w:hint="default"/>
      </w:rPr>
    </w:lvl>
    <w:lvl w:ilvl="1" w:tplc="CFA2019C">
      <w:start w:val="1"/>
      <w:numFmt w:val="lowerRoman"/>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A526736"/>
    <w:multiLevelType w:val="hybridMultilevel"/>
    <w:tmpl w:val="54EA0C76"/>
    <w:lvl w:ilvl="0" w:tplc="A0844E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47E394D"/>
    <w:multiLevelType w:val="hybridMultilevel"/>
    <w:tmpl w:val="5B202FD0"/>
    <w:lvl w:ilvl="0" w:tplc="A0FEA65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D6D75C8"/>
    <w:multiLevelType w:val="hybridMultilevel"/>
    <w:tmpl w:val="76E46330"/>
    <w:lvl w:ilvl="0" w:tplc="C5468F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6AA6017"/>
    <w:multiLevelType w:val="hybridMultilevel"/>
    <w:tmpl w:val="5B202FD0"/>
    <w:lvl w:ilvl="0" w:tplc="A0FEA65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980101C"/>
    <w:multiLevelType w:val="hybridMultilevel"/>
    <w:tmpl w:val="76E46330"/>
    <w:lvl w:ilvl="0" w:tplc="C5468F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F031762"/>
    <w:multiLevelType w:val="hybridMultilevel"/>
    <w:tmpl w:val="9FC0EEE8"/>
    <w:lvl w:ilvl="0" w:tplc="B4604A4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4C206E4"/>
    <w:multiLevelType w:val="hybridMultilevel"/>
    <w:tmpl w:val="92042724"/>
    <w:lvl w:ilvl="0" w:tplc="C48239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4C0AB8"/>
    <w:multiLevelType w:val="hybridMultilevel"/>
    <w:tmpl w:val="54EA0C76"/>
    <w:lvl w:ilvl="0" w:tplc="A0844E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8A427B7"/>
    <w:multiLevelType w:val="hybridMultilevel"/>
    <w:tmpl w:val="F8DA8B34"/>
    <w:lvl w:ilvl="0" w:tplc="8604BE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5D07FCD"/>
    <w:multiLevelType w:val="hybridMultilevel"/>
    <w:tmpl w:val="F8DA8B34"/>
    <w:lvl w:ilvl="0" w:tplc="8604BE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8162430"/>
    <w:multiLevelType w:val="hybridMultilevel"/>
    <w:tmpl w:val="D9A416E4"/>
    <w:lvl w:ilvl="0" w:tplc="B8F2CDA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D9B7AC6"/>
    <w:multiLevelType w:val="hybridMultilevel"/>
    <w:tmpl w:val="A66E5704"/>
    <w:lvl w:ilvl="0" w:tplc="CFDE05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E530C7C"/>
    <w:multiLevelType w:val="hybridMultilevel"/>
    <w:tmpl w:val="92042724"/>
    <w:lvl w:ilvl="0" w:tplc="C48239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59868421">
    <w:abstractNumId w:val="9"/>
  </w:num>
  <w:num w:numId="2" w16cid:durableId="223107082">
    <w:abstractNumId w:val="7"/>
  </w:num>
  <w:num w:numId="3" w16cid:durableId="738407609">
    <w:abstractNumId w:val="6"/>
  </w:num>
  <w:num w:numId="4" w16cid:durableId="917132900">
    <w:abstractNumId w:val="5"/>
  </w:num>
  <w:num w:numId="5" w16cid:durableId="464547238">
    <w:abstractNumId w:val="4"/>
  </w:num>
  <w:num w:numId="6" w16cid:durableId="1346859651">
    <w:abstractNumId w:val="8"/>
  </w:num>
  <w:num w:numId="7" w16cid:durableId="846990079">
    <w:abstractNumId w:val="3"/>
  </w:num>
  <w:num w:numId="8" w16cid:durableId="697703092">
    <w:abstractNumId w:val="2"/>
  </w:num>
  <w:num w:numId="9" w16cid:durableId="1148012361">
    <w:abstractNumId w:val="1"/>
  </w:num>
  <w:num w:numId="10" w16cid:durableId="166410172">
    <w:abstractNumId w:val="0"/>
  </w:num>
  <w:num w:numId="11" w16cid:durableId="330446348">
    <w:abstractNumId w:val="20"/>
  </w:num>
  <w:num w:numId="12" w16cid:durableId="1380130046">
    <w:abstractNumId w:val="10"/>
  </w:num>
  <w:num w:numId="13" w16cid:durableId="1614940614">
    <w:abstractNumId w:val="11"/>
  </w:num>
  <w:num w:numId="14" w16cid:durableId="1573616542">
    <w:abstractNumId w:val="23"/>
  </w:num>
  <w:num w:numId="15" w16cid:durableId="624232629">
    <w:abstractNumId w:val="24"/>
  </w:num>
  <w:num w:numId="16" w16cid:durableId="983311661">
    <w:abstractNumId w:val="19"/>
  </w:num>
  <w:num w:numId="17" w16cid:durableId="2031449204">
    <w:abstractNumId w:val="14"/>
  </w:num>
  <w:num w:numId="18" w16cid:durableId="1228415936">
    <w:abstractNumId w:val="25"/>
  </w:num>
  <w:num w:numId="19" w16cid:durableId="1157646691">
    <w:abstractNumId w:val="16"/>
  </w:num>
  <w:num w:numId="20" w16cid:durableId="589391093">
    <w:abstractNumId w:val="13"/>
  </w:num>
  <w:num w:numId="21" w16cid:durableId="1756197512">
    <w:abstractNumId w:val="22"/>
  </w:num>
  <w:num w:numId="22" w16cid:durableId="1720519060">
    <w:abstractNumId w:val="15"/>
  </w:num>
  <w:num w:numId="23" w16cid:durableId="444541633">
    <w:abstractNumId w:val="17"/>
  </w:num>
  <w:num w:numId="24" w16cid:durableId="1669401509">
    <w:abstractNumId w:val="21"/>
  </w:num>
  <w:num w:numId="25" w16cid:durableId="2019765536">
    <w:abstractNumId w:val="26"/>
  </w:num>
  <w:num w:numId="26" w16cid:durableId="1721394119">
    <w:abstractNumId w:val="28"/>
  </w:num>
  <w:num w:numId="27" w16cid:durableId="227614733">
    <w:abstractNumId w:val="18"/>
  </w:num>
  <w:num w:numId="28" w16cid:durableId="1350183061">
    <w:abstractNumId w:val="12"/>
  </w:num>
  <w:num w:numId="29" w16cid:durableId="319505381">
    <w:abstractNumId w:val="27"/>
  </w:num>
  <w:num w:numId="30" w16cid:durableId="16656653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23D53"/>
    <w:rsid w:val="000437C1"/>
    <w:rsid w:val="0005365D"/>
    <w:rsid w:val="000614BF"/>
    <w:rsid w:val="0006250C"/>
    <w:rsid w:val="0006482F"/>
    <w:rsid w:val="00072DF9"/>
    <w:rsid w:val="000732FE"/>
    <w:rsid w:val="00081794"/>
    <w:rsid w:val="00084FF4"/>
    <w:rsid w:val="000A0396"/>
    <w:rsid w:val="000A142F"/>
    <w:rsid w:val="000A6C39"/>
    <w:rsid w:val="000B0749"/>
    <w:rsid w:val="000B58FA"/>
    <w:rsid w:val="000C4813"/>
    <w:rsid w:val="000C55A0"/>
    <w:rsid w:val="000D041F"/>
    <w:rsid w:val="000D05EF"/>
    <w:rsid w:val="000E0BE5"/>
    <w:rsid w:val="000E2261"/>
    <w:rsid w:val="000E3496"/>
    <w:rsid w:val="000E3C2E"/>
    <w:rsid w:val="000F03F6"/>
    <w:rsid w:val="000F21C1"/>
    <w:rsid w:val="00102CA6"/>
    <w:rsid w:val="0010745C"/>
    <w:rsid w:val="0012326F"/>
    <w:rsid w:val="00125141"/>
    <w:rsid w:val="001264B1"/>
    <w:rsid w:val="00132CEB"/>
    <w:rsid w:val="00142B62"/>
    <w:rsid w:val="001512CA"/>
    <w:rsid w:val="00152214"/>
    <w:rsid w:val="00153B32"/>
    <w:rsid w:val="00154330"/>
    <w:rsid w:val="00157B8B"/>
    <w:rsid w:val="001624E1"/>
    <w:rsid w:val="00166C2F"/>
    <w:rsid w:val="00171A6E"/>
    <w:rsid w:val="001809D7"/>
    <w:rsid w:val="00183376"/>
    <w:rsid w:val="001863C3"/>
    <w:rsid w:val="0018659E"/>
    <w:rsid w:val="001872DC"/>
    <w:rsid w:val="00190B83"/>
    <w:rsid w:val="001939E1"/>
    <w:rsid w:val="00194C3E"/>
    <w:rsid w:val="00195382"/>
    <w:rsid w:val="00195BD4"/>
    <w:rsid w:val="001A523E"/>
    <w:rsid w:val="001B729E"/>
    <w:rsid w:val="001C305B"/>
    <w:rsid w:val="001C61C5"/>
    <w:rsid w:val="001C69C4"/>
    <w:rsid w:val="001D1383"/>
    <w:rsid w:val="001D37EF"/>
    <w:rsid w:val="001E3590"/>
    <w:rsid w:val="001E6E0A"/>
    <w:rsid w:val="001E7407"/>
    <w:rsid w:val="001E77ED"/>
    <w:rsid w:val="001E786E"/>
    <w:rsid w:val="001E7E2B"/>
    <w:rsid w:val="001F02B1"/>
    <w:rsid w:val="001F5D5E"/>
    <w:rsid w:val="001F6219"/>
    <w:rsid w:val="001F6CD4"/>
    <w:rsid w:val="00206C4D"/>
    <w:rsid w:val="0021053C"/>
    <w:rsid w:val="00215AF1"/>
    <w:rsid w:val="0022087F"/>
    <w:rsid w:val="00220A36"/>
    <w:rsid w:val="00223DCF"/>
    <w:rsid w:val="002321E8"/>
    <w:rsid w:val="00236EEC"/>
    <w:rsid w:val="0024010F"/>
    <w:rsid w:val="00240749"/>
    <w:rsid w:val="00240C8F"/>
    <w:rsid w:val="00243018"/>
    <w:rsid w:val="00243EC0"/>
    <w:rsid w:val="0024425A"/>
    <w:rsid w:val="00244742"/>
    <w:rsid w:val="00252DF0"/>
    <w:rsid w:val="002564A4"/>
    <w:rsid w:val="00257AF5"/>
    <w:rsid w:val="0026736C"/>
    <w:rsid w:val="0027183E"/>
    <w:rsid w:val="00281308"/>
    <w:rsid w:val="00281813"/>
    <w:rsid w:val="00284719"/>
    <w:rsid w:val="002918B8"/>
    <w:rsid w:val="00296153"/>
    <w:rsid w:val="00297ECB"/>
    <w:rsid w:val="002A4F2A"/>
    <w:rsid w:val="002A7328"/>
    <w:rsid w:val="002A7BCF"/>
    <w:rsid w:val="002B19F3"/>
    <w:rsid w:val="002B1A91"/>
    <w:rsid w:val="002B4A0D"/>
    <w:rsid w:val="002B6555"/>
    <w:rsid w:val="002C7B6F"/>
    <w:rsid w:val="002D043A"/>
    <w:rsid w:val="002D36F2"/>
    <w:rsid w:val="002D6224"/>
    <w:rsid w:val="002D6F3F"/>
    <w:rsid w:val="002E3F4B"/>
    <w:rsid w:val="002E7DE5"/>
    <w:rsid w:val="00304F8B"/>
    <w:rsid w:val="003165F8"/>
    <w:rsid w:val="003264D3"/>
    <w:rsid w:val="00327DDF"/>
    <w:rsid w:val="003315F2"/>
    <w:rsid w:val="00332F9D"/>
    <w:rsid w:val="003354D2"/>
    <w:rsid w:val="00335BC6"/>
    <w:rsid w:val="00337D34"/>
    <w:rsid w:val="003415D3"/>
    <w:rsid w:val="00344701"/>
    <w:rsid w:val="003516F5"/>
    <w:rsid w:val="003528DA"/>
    <w:rsid w:val="00352B0F"/>
    <w:rsid w:val="003530AB"/>
    <w:rsid w:val="00356690"/>
    <w:rsid w:val="00357DD0"/>
    <w:rsid w:val="00360459"/>
    <w:rsid w:val="00365497"/>
    <w:rsid w:val="00366786"/>
    <w:rsid w:val="003732ED"/>
    <w:rsid w:val="00377D73"/>
    <w:rsid w:val="003802F5"/>
    <w:rsid w:val="0038351D"/>
    <w:rsid w:val="00384A0A"/>
    <w:rsid w:val="00387A96"/>
    <w:rsid w:val="003A2178"/>
    <w:rsid w:val="003A2A48"/>
    <w:rsid w:val="003B28C3"/>
    <w:rsid w:val="003B732F"/>
    <w:rsid w:val="003C3130"/>
    <w:rsid w:val="003C6231"/>
    <w:rsid w:val="003D0499"/>
    <w:rsid w:val="003D0BFE"/>
    <w:rsid w:val="003D15EF"/>
    <w:rsid w:val="003D2B9A"/>
    <w:rsid w:val="003D5700"/>
    <w:rsid w:val="003D6A99"/>
    <w:rsid w:val="003E0F99"/>
    <w:rsid w:val="003E341B"/>
    <w:rsid w:val="003F3EFD"/>
    <w:rsid w:val="0040053F"/>
    <w:rsid w:val="004116CD"/>
    <w:rsid w:val="004144EC"/>
    <w:rsid w:val="00417EB9"/>
    <w:rsid w:val="004244FD"/>
    <w:rsid w:val="00424CA9"/>
    <w:rsid w:val="00431E9B"/>
    <w:rsid w:val="00435EEF"/>
    <w:rsid w:val="004379E3"/>
    <w:rsid w:val="0044015E"/>
    <w:rsid w:val="0044291A"/>
    <w:rsid w:val="00444ABD"/>
    <w:rsid w:val="00447DB4"/>
    <w:rsid w:val="0045007F"/>
    <w:rsid w:val="00460F1D"/>
    <w:rsid w:val="00465DC1"/>
    <w:rsid w:val="00467661"/>
    <w:rsid w:val="004705B7"/>
    <w:rsid w:val="00472DBE"/>
    <w:rsid w:val="00474A19"/>
    <w:rsid w:val="00474B52"/>
    <w:rsid w:val="00481C24"/>
    <w:rsid w:val="00481F6A"/>
    <w:rsid w:val="004823C0"/>
    <w:rsid w:val="0048276B"/>
    <w:rsid w:val="00491E0D"/>
    <w:rsid w:val="00495D4D"/>
    <w:rsid w:val="00496B5F"/>
    <w:rsid w:val="00496F97"/>
    <w:rsid w:val="004A44FC"/>
    <w:rsid w:val="004B1C87"/>
    <w:rsid w:val="004B5B44"/>
    <w:rsid w:val="004C1CB1"/>
    <w:rsid w:val="004C5667"/>
    <w:rsid w:val="004D2AD3"/>
    <w:rsid w:val="004D7E7F"/>
    <w:rsid w:val="004E063A"/>
    <w:rsid w:val="004E7BEC"/>
    <w:rsid w:val="004F6CC0"/>
    <w:rsid w:val="0050044F"/>
    <w:rsid w:val="00505D3D"/>
    <w:rsid w:val="00506958"/>
    <w:rsid w:val="00506AF6"/>
    <w:rsid w:val="00507335"/>
    <w:rsid w:val="00516B8D"/>
    <w:rsid w:val="00517058"/>
    <w:rsid w:val="00517E56"/>
    <w:rsid w:val="005200B2"/>
    <w:rsid w:val="00530B89"/>
    <w:rsid w:val="00532049"/>
    <w:rsid w:val="005356A7"/>
    <w:rsid w:val="00536184"/>
    <w:rsid w:val="00537FBC"/>
    <w:rsid w:val="005574D1"/>
    <w:rsid w:val="00561ABB"/>
    <w:rsid w:val="005657FE"/>
    <w:rsid w:val="00567EF6"/>
    <w:rsid w:val="00572BB1"/>
    <w:rsid w:val="0057670F"/>
    <w:rsid w:val="00584811"/>
    <w:rsid w:val="00585784"/>
    <w:rsid w:val="00593AA6"/>
    <w:rsid w:val="00594161"/>
    <w:rsid w:val="00594749"/>
    <w:rsid w:val="00595748"/>
    <w:rsid w:val="00597FD8"/>
    <w:rsid w:val="005A49DE"/>
    <w:rsid w:val="005B0166"/>
    <w:rsid w:val="005B084E"/>
    <w:rsid w:val="005B4067"/>
    <w:rsid w:val="005B4FC3"/>
    <w:rsid w:val="005B780C"/>
    <w:rsid w:val="005C0E41"/>
    <w:rsid w:val="005C3F41"/>
    <w:rsid w:val="005D0489"/>
    <w:rsid w:val="005D1770"/>
    <w:rsid w:val="005D1FEA"/>
    <w:rsid w:val="005D2D09"/>
    <w:rsid w:val="005D3D41"/>
    <w:rsid w:val="005E4810"/>
    <w:rsid w:val="005F1DB6"/>
    <w:rsid w:val="005F2641"/>
    <w:rsid w:val="005F4140"/>
    <w:rsid w:val="005F65CD"/>
    <w:rsid w:val="00600219"/>
    <w:rsid w:val="00601955"/>
    <w:rsid w:val="00603DC4"/>
    <w:rsid w:val="00607A71"/>
    <w:rsid w:val="00610709"/>
    <w:rsid w:val="006117CB"/>
    <w:rsid w:val="00620076"/>
    <w:rsid w:val="00632B54"/>
    <w:rsid w:val="00634044"/>
    <w:rsid w:val="00640161"/>
    <w:rsid w:val="00640377"/>
    <w:rsid w:val="00644128"/>
    <w:rsid w:val="00644C70"/>
    <w:rsid w:val="00652769"/>
    <w:rsid w:val="006541FF"/>
    <w:rsid w:val="0065542F"/>
    <w:rsid w:val="006554FF"/>
    <w:rsid w:val="006578F3"/>
    <w:rsid w:val="00670248"/>
    <w:rsid w:val="00670752"/>
    <w:rsid w:val="00670EA1"/>
    <w:rsid w:val="00673695"/>
    <w:rsid w:val="00677CC2"/>
    <w:rsid w:val="006825AA"/>
    <w:rsid w:val="0068261B"/>
    <w:rsid w:val="00683335"/>
    <w:rsid w:val="006905DE"/>
    <w:rsid w:val="0069207B"/>
    <w:rsid w:val="00693F29"/>
    <w:rsid w:val="006943E9"/>
    <w:rsid w:val="006B5789"/>
    <w:rsid w:val="006C30C5"/>
    <w:rsid w:val="006C3E6D"/>
    <w:rsid w:val="006C48FA"/>
    <w:rsid w:val="006C7F8C"/>
    <w:rsid w:val="006D6079"/>
    <w:rsid w:val="006E26C1"/>
    <w:rsid w:val="006E4678"/>
    <w:rsid w:val="006E5320"/>
    <w:rsid w:val="006E6246"/>
    <w:rsid w:val="006F318F"/>
    <w:rsid w:val="006F4226"/>
    <w:rsid w:val="0070017E"/>
    <w:rsid w:val="00700B2C"/>
    <w:rsid w:val="00700C6F"/>
    <w:rsid w:val="00702EFD"/>
    <w:rsid w:val="007037FC"/>
    <w:rsid w:val="007050A2"/>
    <w:rsid w:val="00713084"/>
    <w:rsid w:val="0071399B"/>
    <w:rsid w:val="00714F20"/>
    <w:rsid w:val="0071590F"/>
    <w:rsid w:val="00715914"/>
    <w:rsid w:val="00724A91"/>
    <w:rsid w:val="007274DA"/>
    <w:rsid w:val="00731C3E"/>
    <w:rsid w:val="00731E00"/>
    <w:rsid w:val="00741EE8"/>
    <w:rsid w:val="007440B7"/>
    <w:rsid w:val="0074579D"/>
    <w:rsid w:val="007500C8"/>
    <w:rsid w:val="0075191A"/>
    <w:rsid w:val="00754BFC"/>
    <w:rsid w:val="00756272"/>
    <w:rsid w:val="00765001"/>
    <w:rsid w:val="007662B5"/>
    <w:rsid w:val="0076681A"/>
    <w:rsid w:val="007715C9"/>
    <w:rsid w:val="00771613"/>
    <w:rsid w:val="00774EDD"/>
    <w:rsid w:val="0077506D"/>
    <w:rsid w:val="007757EC"/>
    <w:rsid w:val="00776CF7"/>
    <w:rsid w:val="00783E89"/>
    <w:rsid w:val="007842CE"/>
    <w:rsid w:val="007855A0"/>
    <w:rsid w:val="00785A9E"/>
    <w:rsid w:val="00793915"/>
    <w:rsid w:val="007A5EB6"/>
    <w:rsid w:val="007B4C4F"/>
    <w:rsid w:val="007B7585"/>
    <w:rsid w:val="007C2253"/>
    <w:rsid w:val="007C450A"/>
    <w:rsid w:val="007C59C6"/>
    <w:rsid w:val="007D230B"/>
    <w:rsid w:val="007E163D"/>
    <w:rsid w:val="007E667A"/>
    <w:rsid w:val="007F28C9"/>
    <w:rsid w:val="007F7E4E"/>
    <w:rsid w:val="0080312D"/>
    <w:rsid w:val="00803587"/>
    <w:rsid w:val="00805EB0"/>
    <w:rsid w:val="008117E9"/>
    <w:rsid w:val="008128ED"/>
    <w:rsid w:val="00824498"/>
    <w:rsid w:val="00824601"/>
    <w:rsid w:val="008339DE"/>
    <w:rsid w:val="008346A0"/>
    <w:rsid w:val="00835179"/>
    <w:rsid w:val="008356AC"/>
    <w:rsid w:val="00840442"/>
    <w:rsid w:val="008527C0"/>
    <w:rsid w:val="00856A31"/>
    <w:rsid w:val="00860B58"/>
    <w:rsid w:val="00860C42"/>
    <w:rsid w:val="00863657"/>
    <w:rsid w:val="00867B37"/>
    <w:rsid w:val="008718DD"/>
    <w:rsid w:val="0087333A"/>
    <w:rsid w:val="008754D0"/>
    <w:rsid w:val="00877390"/>
    <w:rsid w:val="008855C9"/>
    <w:rsid w:val="00886456"/>
    <w:rsid w:val="008945E0"/>
    <w:rsid w:val="0089527F"/>
    <w:rsid w:val="00895977"/>
    <w:rsid w:val="00897526"/>
    <w:rsid w:val="008A208E"/>
    <w:rsid w:val="008A362B"/>
    <w:rsid w:val="008A46E1"/>
    <w:rsid w:val="008A4F43"/>
    <w:rsid w:val="008B2706"/>
    <w:rsid w:val="008C0F29"/>
    <w:rsid w:val="008C3851"/>
    <w:rsid w:val="008C7B8B"/>
    <w:rsid w:val="008D0EE0"/>
    <w:rsid w:val="008D3422"/>
    <w:rsid w:val="008E6067"/>
    <w:rsid w:val="008E6A9C"/>
    <w:rsid w:val="008F54E7"/>
    <w:rsid w:val="009016BE"/>
    <w:rsid w:val="00903422"/>
    <w:rsid w:val="00912A58"/>
    <w:rsid w:val="009157B9"/>
    <w:rsid w:val="00915DF9"/>
    <w:rsid w:val="009254C3"/>
    <w:rsid w:val="00926940"/>
    <w:rsid w:val="00930A0A"/>
    <w:rsid w:val="00932377"/>
    <w:rsid w:val="0094442B"/>
    <w:rsid w:val="009460DC"/>
    <w:rsid w:val="00946759"/>
    <w:rsid w:val="00947D5A"/>
    <w:rsid w:val="009532A5"/>
    <w:rsid w:val="00954C7B"/>
    <w:rsid w:val="00955175"/>
    <w:rsid w:val="0095528E"/>
    <w:rsid w:val="009563E0"/>
    <w:rsid w:val="009669C1"/>
    <w:rsid w:val="0096753E"/>
    <w:rsid w:val="00982242"/>
    <w:rsid w:val="009868E9"/>
    <w:rsid w:val="009944E6"/>
    <w:rsid w:val="009A2319"/>
    <w:rsid w:val="009A3A6F"/>
    <w:rsid w:val="009A3F74"/>
    <w:rsid w:val="009A49C9"/>
    <w:rsid w:val="009B5ECB"/>
    <w:rsid w:val="009C2791"/>
    <w:rsid w:val="009C328E"/>
    <w:rsid w:val="009D1818"/>
    <w:rsid w:val="009D195A"/>
    <w:rsid w:val="009D7993"/>
    <w:rsid w:val="009E5CFC"/>
    <w:rsid w:val="009E75A7"/>
    <w:rsid w:val="009F734A"/>
    <w:rsid w:val="00A02CE4"/>
    <w:rsid w:val="00A03AF1"/>
    <w:rsid w:val="00A079CB"/>
    <w:rsid w:val="00A12128"/>
    <w:rsid w:val="00A12F48"/>
    <w:rsid w:val="00A14F6A"/>
    <w:rsid w:val="00A15512"/>
    <w:rsid w:val="00A22C98"/>
    <w:rsid w:val="00A231E2"/>
    <w:rsid w:val="00A33D55"/>
    <w:rsid w:val="00A34412"/>
    <w:rsid w:val="00A40424"/>
    <w:rsid w:val="00A44C99"/>
    <w:rsid w:val="00A52B0F"/>
    <w:rsid w:val="00A559B3"/>
    <w:rsid w:val="00A5632E"/>
    <w:rsid w:val="00A5783F"/>
    <w:rsid w:val="00A64912"/>
    <w:rsid w:val="00A70A74"/>
    <w:rsid w:val="00A91966"/>
    <w:rsid w:val="00A9388D"/>
    <w:rsid w:val="00AA0F1D"/>
    <w:rsid w:val="00AA3D0D"/>
    <w:rsid w:val="00AA66AC"/>
    <w:rsid w:val="00AB1DE8"/>
    <w:rsid w:val="00AB69D9"/>
    <w:rsid w:val="00AC0886"/>
    <w:rsid w:val="00AC3D9C"/>
    <w:rsid w:val="00AD02B8"/>
    <w:rsid w:val="00AD1F73"/>
    <w:rsid w:val="00AD5315"/>
    <w:rsid w:val="00AD5641"/>
    <w:rsid w:val="00AD57D1"/>
    <w:rsid w:val="00AD7889"/>
    <w:rsid w:val="00AD7B1C"/>
    <w:rsid w:val="00AE3BD9"/>
    <w:rsid w:val="00AE787B"/>
    <w:rsid w:val="00AF021B"/>
    <w:rsid w:val="00AF06CF"/>
    <w:rsid w:val="00AF1042"/>
    <w:rsid w:val="00B04305"/>
    <w:rsid w:val="00B049F1"/>
    <w:rsid w:val="00B07CDB"/>
    <w:rsid w:val="00B16A31"/>
    <w:rsid w:val="00B17DFD"/>
    <w:rsid w:val="00B2001B"/>
    <w:rsid w:val="00B2799D"/>
    <w:rsid w:val="00B308FE"/>
    <w:rsid w:val="00B33709"/>
    <w:rsid w:val="00B33B3C"/>
    <w:rsid w:val="00B33BD1"/>
    <w:rsid w:val="00B436FB"/>
    <w:rsid w:val="00B50ADC"/>
    <w:rsid w:val="00B55B12"/>
    <w:rsid w:val="00B566B1"/>
    <w:rsid w:val="00B577C8"/>
    <w:rsid w:val="00B63834"/>
    <w:rsid w:val="00B72734"/>
    <w:rsid w:val="00B80199"/>
    <w:rsid w:val="00B82D81"/>
    <w:rsid w:val="00B83204"/>
    <w:rsid w:val="00B9126E"/>
    <w:rsid w:val="00BA220B"/>
    <w:rsid w:val="00BA3A57"/>
    <w:rsid w:val="00BB4DB6"/>
    <w:rsid w:val="00BB4E1A"/>
    <w:rsid w:val="00BB5C17"/>
    <w:rsid w:val="00BC015E"/>
    <w:rsid w:val="00BC7183"/>
    <w:rsid w:val="00BC76AC"/>
    <w:rsid w:val="00BD0ECB"/>
    <w:rsid w:val="00BD5AC3"/>
    <w:rsid w:val="00BE12BE"/>
    <w:rsid w:val="00BE2155"/>
    <w:rsid w:val="00BE2213"/>
    <w:rsid w:val="00BE5D22"/>
    <w:rsid w:val="00BE68DD"/>
    <w:rsid w:val="00BE6EF9"/>
    <w:rsid w:val="00BE719A"/>
    <w:rsid w:val="00BE720A"/>
    <w:rsid w:val="00BF0D73"/>
    <w:rsid w:val="00BF2465"/>
    <w:rsid w:val="00BF75C9"/>
    <w:rsid w:val="00C0544A"/>
    <w:rsid w:val="00C06AC9"/>
    <w:rsid w:val="00C1034F"/>
    <w:rsid w:val="00C11452"/>
    <w:rsid w:val="00C17457"/>
    <w:rsid w:val="00C204E1"/>
    <w:rsid w:val="00C25E7F"/>
    <w:rsid w:val="00C2746F"/>
    <w:rsid w:val="00C324A0"/>
    <w:rsid w:val="00C3300F"/>
    <w:rsid w:val="00C34884"/>
    <w:rsid w:val="00C34E3E"/>
    <w:rsid w:val="00C34E77"/>
    <w:rsid w:val="00C35875"/>
    <w:rsid w:val="00C35DAF"/>
    <w:rsid w:val="00C4170B"/>
    <w:rsid w:val="00C42BF8"/>
    <w:rsid w:val="00C42F14"/>
    <w:rsid w:val="00C45171"/>
    <w:rsid w:val="00C47D01"/>
    <w:rsid w:val="00C50043"/>
    <w:rsid w:val="00C50B97"/>
    <w:rsid w:val="00C52E7C"/>
    <w:rsid w:val="00C5589F"/>
    <w:rsid w:val="00C57D07"/>
    <w:rsid w:val="00C63610"/>
    <w:rsid w:val="00C6434E"/>
    <w:rsid w:val="00C70CA8"/>
    <w:rsid w:val="00C7573B"/>
    <w:rsid w:val="00C7761F"/>
    <w:rsid w:val="00C8088F"/>
    <w:rsid w:val="00C86B32"/>
    <w:rsid w:val="00C93506"/>
    <w:rsid w:val="00C93C03"/>
    <w:rsid w:val="00CA66DC"/>
    <w:rsid w:val="00CB2A42"/>
    <w:rsid w:val="00CB2C8E"/>
    <w:rsid w:val="00CB2D96"/>
    <w:rsid w:val="00CB602E"/>
    <w:rsid w:val="00CC3AEC"/>
    <w:rsid w:val="00CD2E90"/>
    <w:rsid w:val="00CE0149"/>
    <w:rsid w:val="00CE051D"/>
    <w:rsid w:val="00CE1335"/>
    <w:rsid w:val="00CE3D2A"/>
    <w:rsid w:val="00CE493D"/>
    <w:rsid w:val="00CE541A"/>
    <w:rsid w:val="00CE6D42"/>
    <w:rsid w:val="00CF07FA"/>
    <w:rsid w:val="00CF0BB2"/>
    <w:rsid w:val="00CF3EE8"/>
    <w:rsid w:val="00CF5313"/>
    <w:rsid w:val="00D016E4"/>
    <w:rsid w:val="00D050E6"/>
    <w:rsid w:val="00D13441"/>
    <w:rsid w:val="00D138CA"/>
    <w:rsid w:val="00D1432B"/>
    <w:rsid w:val="00D150E7"/>
    <w:rsid w:val="00D20A4B"/>
    <w:rsid w:val="00D21FEB"/>
    <w:rsid w:val="00D306F8"/>
    <w:rsid w:val="00D31ACF"/>
    <w:rsid w:val="00D32F65"/>
    <w:rsid w:val="00D341C4"/>
    <w:rsid w:val="00D345A4"/>
    <w:rsid w:val="00D41A47"/>
    <w:rsid w:val="00D442A2"/>
    <w:rsid w:val="00D52DC2"/>
    <w:rsid w:val="00D53BCC"/>
    <w:rsid w:val="00D60AEE"/>
    <w:rsid w:val="00D648BB"/>
    <w:rsid w:val="00D702DE"/>
    <w:rsid w:val="00D70DFB"/>
    <w:rsid w:val="00D732EC"/>
    <w:rsid w:val="00D73C22"/>
    <w:rsid w:val="00D766DF"/>
    <w:rsid w:val="00D85903"/>
    <w:rsid w:val="00DA186E"/>
    <w:rsid w:val="00DA4116"/>
    <w:rsid w:val="00DB251C"/>
    <w:rsid w:val="00DB38AD"/>
    <w:rsid w:val="00DB4630"/>
    <w:rsid w:val="00DB51FD"/>
    <w:rsid w:val="00DC1135"/>
    <w:rsid w:val="00DC229C"/>
    <w:rsid w:val="00DC4445"/>
    <w:rsid w:val="00DC4F88"/>
    <w:rsid w:val="00DD5E01"/>
    <w:rsid w:val="00DD639E"/>
    <w:rsid w:val="00DE0A85"/>
    <w:rsid w:val="00DE79F9"/>
    <w:rsid w:val="00E051E7"/>
    <w:rsid w:val="00E05704"/>
    <w:rsid w:val="00E06CC3"/>
    <w:rsid w:val="00E11E44"/>
    <w:rsid w:val="00E13AFA"/>
    <w:rsid w:val="00E2168B"/>
    <w:rsid w:val="00E21F03"/>
    <w:rsid w:val="00E338EF"/>
    <w:rsid w:val="00E40E9C"/>
    <w:rsid w:val="00E40FF8"/>
    <w:rsid w:val="00E544BB"/>
    <w:rsid w:val="00E55FAF"/>
    <w:rsid w:val="00E578EC"/>
    <w:rsid w:val="00E60423"/>
    <w:rsid w:val="00E617B0"/>
    <w:rsid w:val="00E649D7"/>
    <w:rsid w:val="00E662CB"/>
    <w:rsid w:val="00E66EAA"/>
    <w:rsid w:val="00E74DC7"/>
    <w:rsid w:val="00E8075A"/>
    <w:rsid w:val="00E818A6"/>
    <w:rsid w:val="00E85A91"/>
    <w:rsid w:val="00E87718"/>
    <w:rsid w:val="00E94D5E"/>
    <w:rsid w:val="00EA0BF6"/>
    <w:rsid w:val="00EA17A6"/>
    <w:rsid w:val="00EA7100"/>
    <w:rsid w:val="00EA7316"/>
    <w:rsid w:val="00EA7F9F"/>
    <w:rsid w:val="00EB0E70"/>
    <w:rsid w:val="00EB1274"/>
    <w:rsid w:val="00EB15A6"/>
    <w:rsid w:val="00EB5F05"/>
    <w:rsid w:val="00EC420C"/>
    <w:rsid w:val="00EC4757"/>
    <w:rsid w:val="00EC7EDB"/>
    <w:rsid w:val="00ED14FB"/>
    <w:rsid w:val="00ED2BB6"/>
    <w:rsid w:val="00ED34E1"/>
    <w:rsid w:val="00ED3B8D"/>
    <w:rsid w:val="00ED796D"/>
    <w:rsid w:val="00EE4C94"/>
    <w:rsid w:val="00EF15D3"/>
    <w:rsid w:val="00EF2E3A"/>
    <w:rsid w:val="00F02EF9"/>
    <w:rsid w:val="00F03BB5"/>
    <w:rsid w:val="00F047D8"/>
    <w:rsid w:val="00F072A7"/>
    <w:rsid w:val="00F078DC"/>
    <w:rsid w:val="00F14593"/>
    <w:rsid w:val="00F148AC"/>
    <w:rsid w:val="00F171A1"/>
    <w:rsid w:val="00F202DA"/>
    <w:rsid w:val="00F2640E"/>
    <w:rsid w:val="00F32BA8"/>
    <w:rsid w:val="00F33C33"/>
    <w:rsid w:val="00F349F1"/>
    <w:rsid w:val="00F34F64"/>
    <w:rsid w:val="00F4215A"/>
    <w:rsid w:val="00F4350D"/>
    <w:rsid w:val="00F45C97"/>
    <w:rsid w:val="00F46947"/>
    <w:rsid w:val="00F50532"/>
    <w:rsid w:val="00F52CA6"/>
    <w:rsid w:val="00F567F7"/>
    <w:rsid w:val="00F61A66"/>
    <w:rsid w:val="00F61B09"/>
    <w:rsid w:val="00F62036"/>
    <w:rsid w:val="00F65B52"/>
    <w:rsid w:val="00F67BCA"/>
    <w:rsid w:val="00F73BD6"/>
    <w:rsid w:val="00F800C9"/>
    <w:rsid w:val="00F83989"/>
    <w:rsid w:val="00F85099"/>
    <w:rsid w:val="00F87E83"/>
    <w:rsid w:val="00F9379C"/>
    <w:rsid w:val="00F94688"/>
    <w:rsid w:val="00F9632C"/>
    <w:rsid w:val="00F96CBC"/>
    <w:rsid w:val="00FA13A8"/>
    <w:rsid w:val="00FA1E52"/>
    <w:rsid w:val="00FA31DE"/>
    <w:rsid w:val="00FA70C4"/>
    <w:rsid w:val="00FA7D17"/>
    <w:rsid w:val="00FB78C9"/>
    <w:rsid w:val="00FC3D95"/>
    <w:rsid w:val="00FC3EB8"/>
    <w:rsid w:val="00FC6D88"/>
    <w:rsid w:val="00FC7D25"/>
    <w:rsid w:val="00FD13CC"/>
    <w:rsid w:val="00FD2E53"/>
    <w:rsid w:val="00FE2FB8"/>
    <w:rsid w:val="00FE4688"/>
    <w:rsid w:val="00FE72D6"/>
    <w:rsid w:val="00FE79D0"/>
    <w:rsid w:val="00FF3858"/>
    <w:rsid w:val="00FF7490"/>
    <w:rsid w:val="459750C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39DB"/>
  <w15:chartTrackingRefBased/>
  <w15:docId w15:val="{ACABBCC2-DCBB-4D2A-8496-CD3B77F3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customStyle="1" w:styleId="tbltext">
    <w:name w:val="tbl text"/>
    <w:basedOn w:val="Normal"/>
    <w:rsid w:val="001264B1"/>
    <w:pPr>
      <w:widowControl w:val="0"/>
      <w:spacing w:before="120" w:line="240" w:lineRule="atLeast"/>
    </w:pPr>
    <w:rPr>
      <w:rFonts w:ascii="Arial" w:eastAsia="Times New Roman" w:hAnsi="Arial" w:cs="Arial"/>
      <w:sz w:val="18"/>
      <w:szCs w:val="18"/>
      <w:lang w:eastAsia="en-AU"/>
    </w:rPr>
  </w:style>
  <w:style w:type="paragraph" w:customStyle="1" w:styleId="tabletitlefullwidth">
    <w:name w:val="table title full width"/>
    <w:basedOn w:val="Normal"/>
    <w:rsid w:val="001264B1"/>
    <w:pPr>
      <w:keepNext/>
      <w:spacing w:before="360" w:after="120" w:line="240" w:lineRule="atLeast"/>
      <w:ind w:left="992" w:hanging="992"/>
    </w:pPr>
    <w:rPr>
      <w:rFonts w:ascii="Arial" w:eastAsia="Times New Roman" w:hAnsi="Arial" w:cs="Arial"/>
      <w:b/>
      <w:sz w:val="20"/>
      <w:lang w:eastAsia="en-AU"/>
    </w:rPr>
  </w:style>
  <w:style w:type="paragraph" w:customStyle="1" w:styleId="tablehead">
    <w:name w:val="table head"/>
    <w:basedOn w:val="Normal"/>
    <w:rsid w:val="001264B1"/>
    <w:pPr>
      <w:keepNext/>
      <w:spacing w:before="120" w:line="240" w:lineRule="atLeast"/>
    </w:pPr>
    <w:rPr>
      <w:rFonts w:ascii="Arial" w:eastAsia="Times New Roman" w:hAnsi="Arial" w:cs="Arial"/>
      <w:b/>
      <w:sz w:val="18"/>
      <w:szCs w:val="18"/>
      <w:lang w:eastAsia="en-AU"/>
    </w:rPr>
  </w:style>
  <w:style w:type="paragraph" w:customStyle="1" w:styleId="tabletext0">
    <w:name w:val="table text"/>
    <w:basedOn w:val="tablehead"/>
    <w:rsid w:val="001264B1"/>
    <w:pPr>
      <w:keepNext w:val="0"/>
    </w:pPr>
    <w:rPr>
      <w:b w:val="0"/>
    </w:rPr>
  </w:style>
  <w:style w:type="paragraph" w:styleId="ListParagraph">
    <w:name w:val="List Paragraph"/>
    <w:basedOn w:val="Normal"/>
    <w:uiPriority w:val="34"/>
    <w:qFormat/>
    <w:rsid w:val="004244FD"/>
    <w:pPr>
      <w:ind w:left="720"/>
      <w:contextualSpacing/>
    </w:pPr>
  </w:style>
  <w:style w:type="paragraph" w:styleId="Revision">
    <w:name w:val="Revision"/>
    <w:hidden/>
    <w:uiPriority w:val="99"/>
    <w:semiHidden/>
    <w:rsid w:val="0038351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F47466A5CC0C5D48A446AD5782D8375F" ma:contentTypeVersion="19" ma:contentTypeDescription="" ma:contentTypeScope="" ma:versionID="7164cff521b33b1a3d8b4bbda24068e8">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89f1f8534702cedee2ae90c1e0d8b0fe"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fce34cc-bad1-49e6-aa59-6651be61fae6}"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fce34cc-bad1-49e6-aa59-6651be61fae6}"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DocumentNotes xmlns="db2b92ca-6ed0-4085-802d-4c686a2e8c3f" xsi:nil="true"/>
    <NAPReason xmlns="db2b92ca-6ed0-4085-802d-4c686a2e8c3f" xsi:nil="true"/>
    <_dlc_DocId xmlns="eb44715b-cd74-4c79-92c4-f0e9f1a86440">001055-1122178031-2752</_dlc_DocId>
    <_dlc_DocIdUrl xmlns="eb44715b-cd74-4c79-92c4-f0e9f1a86440">
      <Url>https://asiclink.sharepoint.com/teams/001055/_layouts/15/DocIdRedir.aspx?ID=001055-1122178031-2752</Url>
      <Description>001055-1122178031-2752</Description>
    </_dlc_DocIdUrl>
    <TaxCatchAll xmlns="db2b92ca-6ed0-4085-802d-4c686a2e8c3f">
      <Value>2</Value>
    </TaxCatchAll>
  </documentManagement>
</p:properties>
</file>

<file path=customXml/item3.xml><?xml version="1.0" encoding="utf-8"?>
<?mso-contentType ?>
<FormTemplates xmlns="http://schemas.microsoft.com/sharepoint/v3/contenttype/forms"/>
</file>

<file path=customXml/item4.xml><?xml version="1.0" encoding="utf-8"?>
<?mso-contentType ?>
<SharedContentType xmlns="Microsoft.SharePoint.Taxonomy.ContentTypeSync" SourceId="af302855-5de3-48f9-83c2-fc1acc0f760b" ContentTypeId="0x010100B5F685A1365F544391EF8C813B164F3A" PreviousValue="fals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85BB9D-FAB4-4341-BF93-BE50A801C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4CD4F-4ADE-45EC-8760-0728E2692B40}">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eb44715b-cd74-4c79-92c4-f0e9f1a86440"/>
    <ds:schemaRef ds:uri="http://purl.org/dc/terms/"/>
    <ds:schemaRef ds:uri="http://schemas.openxmlformats.org/package/2006/metadata/core-properties"/>
    <ds:schemaRef ds:uri="db2b92ca-6ed0-4085-802d-4c686a2e8c3f"/>
    <ds:schemaRef ds:uri="http://www.w3.org/XML/1998/namespace"/>
    <ds:schemaRef ds:uri="http://purl.org/dc/dcmitype/"/>
  </ds:schemaRefs>
</ds:datastoreItem>
</file>

<file path=customXml/itemProps3.xml><?xml version="1.0" encoding="utf-8"?>
<ds:datastoreItem xmlns:ds="http://schemas.openxmlformats.org/officeDocument/2006/customXml" ds:itemID="{E0E2C6BD-7D30-4413-B8D0-F8E0B4E537CD}">
  <ds:schemaRefs>
    <ds:schemaRef ds:uri="http://schemas.microsoft.com/sharepoint/v3/contenttype/forms"/>
  </ds:schemaRefs>
</ds:datastoreItem>
</file>

<file path=customXml/itemProps4.xml><?xml version="1.0" encoding="utf-8"?>
<ds:datastoreItem xmlns:ds="http://schemas.openxmlformats.org/officeDocument/2006/customXml" ds:itemID="{792339E6-EAA3-49C8-B7B5-AE33569E28AE}">
  <ds:schemaRefs>
    <ds:schemaRef ds:uri="Microsoft.SharePoint.Taxonomy.ContentTypeSync"/>
  </ds:schemaRefs>
</ds:datastoreItem>
</file>

<file path=customXml/itemProps5.xml><?xml version="1.0" encoding="utf-8"?>
<ds:datastoreItem xmlns:ds="http://schemas.openxmlformats.org/officeDocument/2006/customXml" ds:itemID="{FD751942-C67F-4D0C-9A01-EDA69EE9D211}">
  <ds:schemaRefs>
    <ds:schemaRef ds:uri="http://schemas.microsoft.com/office/2006/metadata/longProperties"/>
  </ds:schemaRefs>
</ds:datastoreItem>
</file>

<file path=customXml/itemProps6.xml><?xml version="1.0" encoding="utf-8"?>
<ds:datastoreItem xmlns:ds="http://schemas.openxmlformats.org/officeDocument/2006/customXml" ds:itemID="{DFF62D22-A1E5-4B55-8E5F-394F06BC6000}">
  <ds:schemaRefs>
    <ds:schemaRef ds:uri="http://schemas.openxmlformats.org/officeDocument/2006/bibliography"/>
  </ds:schemaRefs>
</ds:datastoreItem>
</file>

<file path=customXml/itemProps7.xml><?xml version="1.0" encoding="utf-8"?>
<ds:datastoreItem xmlns:ds="http://schemas.openxmlformats.org/officeDocument/2006/customXml" ds:itemID="{E2CA826B-73E7-4F17-9BA1-76589DEFEB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8</Pages>
  <Words>2344</Words>
  <Characters>13365</Characters>
  <Application>Microsoft Office Word</Application>
  <DocSecurity>0</DocSecurity>
  <PresentationFormat/>
  <Lines>111</Lines>
  <Paragraphs>31</Paragraphs>
  <ScaleCrop>false</ScaleCrop>
  <Company>ASIC</Company>
  <LinksUpToDate>false</LinksUpToDate>
  <CharactersWithSpaces>15678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ASIC Corporations (Amendment) Instrument 2023-504</dc:title>
  <dc:subject/>
  <dc:creator>Liang Chen</dc:creator>
  <cp:keywords/>
  <cp:lastModifiedBy>Narelle Kane</cp:lastModifiedBy>
  <cp:revision>4</cp:revision>
  <cp:lastPrinted>2019-01-03T02:56:00Z</cp:lastPrinted>
  <dcterms:created xsi:type="dcterms:W3CDTF">2023-08-31T02:46:00Z</dcterms:created>
  <dcterms:modified xsi:type="dcterms:W3CDTF">2023-08-31T03:13:00Z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2;#OFFICIAL|cffd3088-7a74-4edb-8c9e-fbf79371a422</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000853-1726373233-1250</vt:lpwstr>
  </property>
  <property fmtid="{D5CDD505-2E9C-101B-9397-08002B2CF9AE}" pid="62" name="_dlc_DocIdItemGuid">
    <vt:lpwstr>8813707b-2aeb-4d2d-8330-bf879ab6fc2a</vt:lpwstr>
  </property>
  <property fmtid="{D5CDD505-2E9C-101B-9397-08002B2CF9AE}" pid="63" name="_dlc_DocIdUrl">
    <vt:lpwstr>https://asiclink.sharepoint.com/teams/000853/_layouts/15/DocIdRedir.aspx?ID=000853-1726373233-1250, 000853-1726373233-1250</vt:lpwstr>
  </property>
  <property fmtid="{D5CDD505-2E9C-101B-9397-08002B2CF9AE}" pid="64" name="ContentTypeId">
    <vt:lpwstr>0x010100B5F685A1365F544391EF8C813B164F3A00F47466A5CC0C5D48A446AD5782D8375F</vt:lpwstr>
  </property>
  <property fmtid="{D5CDD505-2E9C-101B-9397-08002B2CF9AE}" pid="65" name="MSIP_Label_a6aead41-07f8-4767-ac8e-ef1c9c793766_Enabled">
    <vt:lpwstr>true</vt:lpwstr>
  </property>
  <property fmtid="{D5CDD505-2E9C-101B-9397-08002B2CF9AE}" pid="66" name="MSIP_Label_a6aead41-07f8-4767-ac8e-ef1c9c793766_SetDate">
    <vt:lpwstr>2023-07-21T02:05:38Z</vt:lpwstr>
  </property>
  <property fmtid="{D5CDD505-2E9C-101B-9397-08002B2CF9AE}" pid="67" name="MSIP_Label_a6aead41-07f8-4767-ac8e-ef1c9c793766_Method">
    <vt:lpwstr>Standard</vt:lpwstr>
  </property>
  <property fmtid="{D5CDD505-2E9C-101B-9397-08002B2CF9AE}" pid="68" name="MSIP_Label_a6aead41-07f8-4767-ac8e-ef1c9c793766_Name">
    <vt:lpwstr>OFFICIAL</vt:lpwstr>
  </property>
  <property fmtid="{D5CDD505-2E9C-101B-9397-08002B2CF9AE}" pid="69" name="MSIP_Label_a6aead41-07f8-4767-ac8e-ef1c9c793766_SiteId">
    <vt:lpwstr>5f1de7c6-55cd-4bb2-902d-514c78cf10f4</vt:lpwstr>
  </property>
  <property fmtid="{D5CDD505-2E9C-101B-9397-08002B2CF9AE}" pid="70" name="MSIP_Label_a6aead41-07f8-4767-ac8e-ef1c9c793766_ActionId">
    <vt:lpwstr>59538b45-0da9-4ad6-a28d-b86ecde4c0ff</vt:lpwstr>
  </property>
  <property fmtid="{D5CDD505-2E9C-101B-9397-08002B2CF9AE}" pid="71" name="MSIP_Label_a6aead41-07f8-4767-ac8e-ef1c9c793766_ContentBits">
    <vt:lpwstr>0</vt:lpwstr>
  </property>
  <property fmtid="{D5CDD505-2E9C-101B-9397-08002B2CF9AE}" pid="72" name="bdf3bab5a81c426f8b5cbfa0265a271c">
    <vt:lpwstr/>
  </property>
  <property fmtid="{D5CDD505-2E9C-101B-9397-08002B2CF9AE}" pid="73" name="PolicyWorkDocumentType">
    <vt:lpwstr/>
  </property>
</Properties>
</file>