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81C3" w14:textId="3BC01248" w:rsidR="00B0677D" w:rsidRDefault="00BD3A37" w:rsidP="00B0677D">
      <w:pPr>
        <w:ind w:left="-142" w:firstLine="142"/>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0AC2D379" w14:textId="509E2653" w:rsidR="00B0677D" w:rsidRDefault="00FA1230" w:rsidP="00B0677D">
      <w:pPr>
        <w:jc w:val="center"/>
        <w:rPr>
          <w:rFonts w:ascii="Times New Roman" w:hAnsi="Times New Roman" w:cs="Times New Roman"/>
        </w:rPr>
      </w:pPr>
      <w:r>
        <w:rPr>
          <w:rFonts w:ascii="Times New Roman" w:hAnsi="Times New Roman" w:cs="Times New Roman"/>
        </w:rPr>
        <w:t>Issued</w:t>
      </w:r>
      <w:r w:rsidR="00B0677D">
        <w:rPr>
          <w:rFonts w:ascii="Times New Roman" w:hAnsi="Times New Roman" w:cs="Times New Roman"/>
        </w:rPr>
        <w:t xml:space="preserve"> by the Australian Communications and Media Authority</w:t>
      </w:r>
    </w:p>
    <w:p w14:paraId="35E8926C" w14:textId="77777777" w:rsidR="00BD3A37" w:rsidRDefault="00BD3A37" w:rsidP="00BD3A37">
      <w:pPr>
        <w:jc w:val="center"/>
        <w:rPr>
          <w:rFonts w:ascii="Times New Roman" w:hAnsi="Times New Roman" w:cs="Times New Roman"/>
          <w:i/>
        </w:rPr>
      </w:pPr>
      <w:r>
        <w:rPr>
          <w:rFonts w:ascii="Times New Roman" w:hAnsi="Times New Roman" w:cs="Times New Roman"/>
          <w:i/>
        </w:rPr>
        <w:t>Telecommunications (Consumer Protection and Service Standards) Act 1999</w:t>
      </w:r>
    </w:p>
    <w:p w14:paraId="1CC41404" w14:textId="77777777" w:rsidR="00FA1230" w:rsidRPr="003F1DDB" w:rsidRDefault="00FA1230" w:rsidP="00FA1230">
      <w:pPr>
        <w:jc w:val="center"/>
        <w:rPr>
          <w:rFonts w:ascii="Times New Roman" w:hAnsi="Times New Roman" w:cs="Times New Roman"/>
          <w:b/>
          <w:i/>
        </w:rPr>
      </w:pPr>
      <w:r w:rsidRPr="003F1DDB">
        <w:rPr>
          <w:rFonts w:ascii="Times New Roman" w:hAnsi="Times New Roman" w:cs="Times New Roman"/>
          <w:b/>
          <w:i/>
        </w:rPr>
        <w:t>Telecommunications (Customer Service Guarantee) Standard 2023</w:t>
      </w:r>
    </w:p>
    <w:p w14:paraId="73A321F4" w14:textId="77777777" w:rsidR="00B0677D" w:rsidRDefault="00B0677D" w:rsidP="00B0677D">
      <w:pPr>
        <w:spacing w:before="280"/>
        <w:rPr>
          <w:rFonts w:ascii="Times New Roman" w:hAnsi="Times New Roman" w:cs="Times New Roman"/>
          <w:b/>
        </w:rPr>
      </w:pPr>
      <w:r>
        <w:rPr>
          <w:rFonts w:ascii="Times New Roman" w:hAnsi="Times New Roman" w:cs="Times New Roman"/>
          <w:b/>
        </w:rPr>
        <w:t>Authority</w:t>
      </w:r>
    </w:p>
    <w:p w14:paraId="545A7D48" w14:textId="08DF126A" w:rsidR="00B0677D" w:rsidRDefault="00B0677D" w:rsidP="00B0677D">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Pr="00756E7D">
        <w:rPr>
          <w:rFonts w:ascii="Times New Roman" w:hAnsi="Times New Roman" w:cs="Times New Roman"/>
          <w:i/>
          <w:iCs/>
        </w:rPr>
        <w:t xml:space="preserve">Telecommunications </w:t>
      </w:r>
      <w:r w:rsidR="00DA308D" w:rsidRPr="00756E7D">
        <w:rPr>
          <w:rFonts w:ascii="Times New Roman" w:hAnsi="Times New Roman" w:cs="Times New Roman"/>
          <w:i/>
          <w:iCs/>
        </w:rPr>
        <w:t>(</w:t>
      </w:r>
      <w:r w:rsidR="0018349E" w:rsidRPr="00756E7D">
        <w:rPr>
          <w:rFonts w:ascii="Times New Roman" w:hAnsi="Times New Roman" w:cs="Times New Roman"/>
          <w:i/>
          <w:iCs/>
        </w:rPr>
        <w:t>Customer Service Guarantee</w:t>
      </w:r>
      <w:r w:rsidR="00DA308D" w:rsidRPr="00756E7D">
        <w:rPr>
          <w:rFonts w:ascii="Times New Roman" w:hAnsi="Times New Roman" w:cs="Times New Roman"/>
          <w:i/>
          <w:iCs/>
        </w:rPr>
        <w:t>)</w:t>
      </w:r>
      <w:r w:rsidRPr="00756E7D">
        <w:rPr>
          <w:rFonts w:ascii="Times New Roman" w:hAnsi="Times New Roman" w:cs="Times New Roman"/>
          <w:i/>
          <w:iCs/>
        </w:rPr>
        <w:t xml:space="preserve"> Standard 202</w:t>
      </w:r>
      <w:r w:rsidR="0018349E" w:rsidRPr="00756E7D">
        <w:rPr>
          <w:rFonts w:ascii="Times New Roman" w:hAnsi="Times New Roman" w:cs="Times New Roman"/>
          <w:i/>
          <w:iCs/>
        </w:rPr>
        <w:t>3</w:t>
      </w:r>
      <w:r>
        <w:rPr>
          <w:rFonts w:ascii="Times New Roman" w:hAnsi="Times New Roman" w:cs="Times New Roman"/>
          <w:i/>
        </w:rPr>
        <w:t xml:space="preserve"> </w:t>
      </w:r>
      <w:r>
        <w:rPr>
          <w:rFonts w:ascii="Times New Roman" w:hAnsi="Times New Roman" w:cs="Times New Roman"/>
        </w:rPr>
        <w:t>(</w:t>
      </w:r>
      <w:r w:rsidR="0016481E">
        <w:rPr>
          <w:rFonts w:ascii="Times New Roman" w:hAnsi="Times New Roman" w:cs="Times New Roman"/>
          <w:b/>
        </w:rPr>
        <w:t>the CSG Standard</w:t>
      </w:r>
      <w:r>
        <w:rPr>
          <w:rFonts w:ascii="Times New Roman" w:hAnsi="Times New Roman" w:cs="Times New Roman"/>
        </w:rPr>
        <w:t>) under section</w:t>
      </w:r>
      <w:r w:rsidR="00AC5BA5">
        <w:rPr>
          <w:rFonts w:ascii="Times New Roman" w:hAnsi="Times New Roman" w:cs="Times New Roman"/>
        </w:rPr>
        <w:t>s</w:t>
      </w:r>
      <w:r>
        <w:rPr>
          <w:rFonts w:ascii="Times New Roman" w:hAnsi="Times New Roman" w:cs="Times New Roman"/>
        </w:rPr>
        <w:t xml:space="preserve"> </w:t>
      </w:r>
      <w:r w:rsidR="00AC5BA5">
        <w:rPr>
          <w:rFonts w:ascii="Times New Roman" w:hAnsi="Times New Roman" w:cs="Times New Roman"/>
        </w:rPr>
        <w:t>115,</w:t>
      </w:r>
      <w:r w:rsidR="00CA41E4">
        <w:rPr>
          <w:rFonts w:ascii="Times New Roman" w:hAnsi="Times New Roman" w:cs="Times New Roman"/>
        </w:rPr>
        <w:t xml:space="preserve"> 117</w:t>
      </w:r>
      <w:r w:rsidR="00BA116D">
        <w:rPr>
          <w:rFonts w:ascii="Times New Roman" w:hAnsi="Times New Roman" w:cs="Times New Roman"/>
        </w:rPr>
        <w:t xml:space="preserve"> and 120 </w:t>
      </w:r>
      <w:r>
        <w:rPr>
          <w:rFonts w:ascii="Times New Roman" w:hAnsi="Times New Roman" w:cs="Times New Roman"/>
        </w:rPr>
        <w:t xml:space="preserve">of the </w:t>
      </w:r>
      <w:r w:rsidRPr="00691FF2">
        <w:rPr>
          <w:rFonts w:ascii="Times New Roman" w:hAnsi="Times New Roman" w:cs="Times New Roman"/>
          <w:i/>
          <w:iCs/>
        </w:rPr>
        <w:t xml:space="preserve">Telecommunications </w:t>
      </w:r>
      <w:r w:rsidR="00895A37">
        <w:rPr>
          <w:rFonts w:ascii="Times New Roman" w:hAnsi="Times New Roman" w:cs="Times New Roman"/>
          <w:i/>
          <w:iCs/>
        </w:rPr>
        <w:t xml:space="preserve">(Consumer Protection and Service Standards) </w:t>
      </w:r>
      <w:r w:rsidRPr="00691FF2">
        <w:rPr>
          <w:rFonts w:ascii="Times New Roman" w:hAnsi="Times New Roman" w:cs="Times New Roman"/>
          <w:i/>
          <w:iCs/>
        </w:rPr>
        <w:t>Act 199</w:t>
      </w:r>
      <w:r w:rsidR="00895A37">
        <w:rPr>
          <w:rFonts w:ascii="Times New Roman" w:hAnsi="Times New Roman" w:cs="Times New Roman"/>
          <w:i/>
          <w:iCs/>
        </w:rPr>
        <w:t>9</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Pr="004A165D">
        <w:rPr>
          <w:rFonts w:ascii="Times New Roman" w:hAnsi="Times New Roman" w:cs="Times New Roman"/>
        </w:rPr>
        <w:t xml:space="preserve"> </w:t>
      </w:r>
      <w:r>
        <w:rPr>
          <w:rFonts w:ascii="Times New Roman" w:hAnsi="Times New Roman" w:cs="Times New Roman"/>
        </w:rPr>
        <w:t xml:space="preserve">and subsection 33(3) of the </w:t>
      </w:r>
      <w:r>
        <w:rPr>
          <w:rFonts w:ascii="Times New Roman" w:hAnsi="Times New Roman" w:cs="Times New Roman"/>
          <w:i/>
        </w:rPr>
        <w:t>Acts Interpretation Act 1901</w:t>
      </w:r>
      <w:r>
        <w:rPr>
          <w:rFonts w:ascii="Times New Roman" w:hAnsi="Times New Roman" w:cs="Times New Roman"/>
        </w:rPr>
        <w:t xml:space="preserve"> (</w:t>
      </w:r>
      <w:r>
        <w:rPr>
          <w:rFonts w:ascii="Times New Roman" w:hAnsi="Times New Roman" w:cs="Times New Roman"/>
          <w:b/>
        </w:rPr>
        <w:t>the AIA</w:t>
      </w:r>
      <w:r>
        <w:rPr>
          <w:rFonts w:ascii="Times New Roman" w:hAnsi="Times New Roman" w:cs="Times New Roman"/>
        </w:rPr>
        <w:t>).</w:t>
      </w:r>
    </w:p>
    <w:p w14:paraId="2DDFC211" w14:textId="08820DEA" w:rsidR="00DF1F96" w:rsidRDefault="00EC4B08" w:rsidP="00B0677D">
      <w:pPr>
        <w:pStyle w:val="ACMABodyText"/>
        <w:rPr>
          <w:sz w:val="22"/>
          <w:szCs w:val="18"/>
        </w:rPr>
      </w:pPr>
      <w:r>
        <w:rPr>
          <w:sz w:val="22"/>
          <w:szCs w:val="18"/>
        </w:rPr>
        <w:t>Under section 124 of the Act</w:t>
      </w:r>
      <w:r w:rsidR="00093776">
        <w:rPr>
          <w:sz w:val="22"/>
          <w:szCs w:val="18"/>
        </w:rPr>
        <w:t>, the Minister may give a direction to the ACMA</w:t>
      </w:r>
      <w:r w:rsidR="00587563">
        <w:rPr>
          <w:sz w:val="22"/>
          <w:szCs w:val="18"/>
        </w:rPr>
        <w:t xml:space="preserve"> in relation to the use of its powers under Part 5 of the Act</w:t>
      </w:r>
      <w:r w:rsidR="00426820">
        <w:rPr>
          <w:sz w:val="22"/>
          <w:szCs w:val="18"/>
        </w:rPr>
        <w:t xml:space="preserve"> (including its powers under sections 115, 117 and 120 of the Act)</w:t>
      </w:r>
      <w:r w:rsidR="00587563">
        <w:rPr>
          <w:sz w:val="22"/>
          <w:szCs w:val="18"/>
        </w:rPr>
        <w:t xml:space="preserve">. </w:t>
      </w:r>
      <w:r w:rsidR="00835449">
        <w:rPr>
          <w:sz w:val="22"/>
          <w:szCs w:val="18"/>
        </w:rPr>
        <w:t xml:space="preserve">Part </w:t>
      </w:r>
      <w:r w:rsidR="00A824B5">
        <w:rPr>
          <w:sz w:val="22"/>
          <w:szCs w:val="18"/>
        </w:rPr>
        <w:t xml:space="preserve">5 </w:t>
      </w:r>
      <w:r w:rsidR="00835449">
        <w:rPr>
          <w:sz w:val="22"/>
          <w:szCs w:val="18"/>
        </w:rPr>
        <w:t>of the Act deals with the Customer Service Guarantee</w:t>
      </w:r>
      <w:r w:rsidR="00DF1F96">
        <w:rPr>
          <w:sz w:val="22"/>
          <w:szCs w:val="18"/>
        </w:rPr>
        <w:t xml:space="preserve"> (</w:t>
      </w:r>
      <w:r w:rsidR="00DF1F96" w:rsidRPr="00DF1F96">
        <w:rPr>
          <w:b/>
          <w:bCs/>
          <w:sz w:val="22"/>
          <w:szCs w:val="18"/>
        </w:rPr>
        <w:t>CSG</w:t>
      </w:r>
      <w:r w:rsidR="00DF1F96">
        <w:rPr>
          <w:sz w:val="22"/>
          <w:szCs w:val="18"/>
        </w:rPr>
        <w:t>)</w:t>
      </w:r>
      <w:r w:rsidR="00FA2BD4">
        <w:rPr>
          <w:sz w:val="22"/>
          <w:szCs w:val="18"/>
        </w:rPr>
        <w:t xml:space="preserve">, which </w:t>
      </w:r>
      <w:r w:rsidR="00E353AC">
        <w:rPr>
          <w:sz w:val="22"/>
          <w:szCs w:val="18"/>
        </w:rPr>
        <w:t xml:space="preserve">is the term used to describe a </w:t>
      </w:r>
      <w:r w:rsidR="00286C01">
        <w:rPr>
          <w:sz w:val="22"/>
          <w:szCs w:val="18"/>
        </w:rPr>
        <w:t xml:space="preserve">range of </w:t>
      </w:r>
      <w:r w:rsidR="004F64F9">
        <w:rPr>
          <w:sz w:val="22"/>
          <w:szCs w:val="18"/>
        </w:rPr>
        <w:t xml:space="preserve">customer service </w:t>
      </w:r>
      <w:r w:rsidR="00286C01">
        <w:rPr>
          <w:sz w:val="22"/>
          <w:szCs w:val="18"/>
        </w:rPr>
        <w:t>performance standards which</w:t>
      </w:r>
      <w:r w:rsidR="006623AD">
        <w:rPr>
          <w:sz w:val="22"/>
          <w:szCs w:val="18"/>
        </w:rPr>
        <w:t xml:space="preserve"> carriage service providers (</w:t>
      </w:r>
      <w:r w:rsidR="006623AD" w:rsidRPr="00E4509C">
        <w:rPr>
          <w:b/>
          <w:bCs/>
          <w:sz w:val="22"/>
          <w:szCs w:val="18"/>
        </w:rPr>
        <w:t>CSPs</w:t>
      </w:r>
      <w:r w:rsidR="006623AD">
        <w:rPr>
          <w:sz w:val="22"/>
          <w:szCs w:val="18"/>
        </w:rPr>
        <w:t>) are required to</w:t>
      </w:r>
      <w:r w:rsidR="004F64F9">
        <w:rPr>
          <w:sz w:val="22"/>
          <w:szCs w:val="18"/>
        </w:rPr>
        <w:t xml:space="preserve"> comply with.</w:t>
      </w:r>
      <w:r w:rsidR="00407331">
        <w:rPr>
          <w:sz w:val="22"/>
          <w:szCs w:val="18"/>
        </w:rPr>
        <w:t xml:space="preserve"> </w:t>
      </w:r>
    </w:p>
    <w:p w14:paraId="41D82770" w14:textId="053958FB" w:rsidR="00EC4B08" w:rsidRPr="0016481E" w:rsidRDefault="00407331" w:rsidP="00B0677D">
      <w:pPr>
        <w:pStyle w:val="ACMABodyText"/>
        <w:rPr>
          <w:sz w:val="22"/>
          <w:szCs w:val="22"/>
        </w:rPr>
      </w:pPr>
      <w:r w:rsidRPr="0016481E">
        <w:rPr>
          <w:sz w:val="22"/>
          <w:szCs w:val="22"/>
        </w:rPr>
        <w:t xml:space="preserve">The Minister made the </w:t>
      </w:r>
      <w:r w:rsidRPr="0016481E">
        <w:rPr>
          <w:i/>
          <w:iCs/>
          <w:sz w:val="22"/>
          <w:szCs w:val="22"/>
        </w:rPr>
        <w:t>Telecommunications</w:t>
      </w:r>
      <w:r w:rsidR="004B5D90" w:rsidRPr="0016481E">
        <w:rPr>
          <w:i/>
          <w:iCs/>
          <w:sz w:val="22"/>
          <w:szCs w:val="22"/>
        </w:rPr>
        <w:t xml:space="preserve"> (Customer Service Guarantee) Direction </w:t>
      </w:r>
      <w:r w:rsidR="00081F5C" w:rsidRPr="0016481E">
        <w:rPr>
          <w:i/>
          <w:iCs/>
          <w:sz w:val="22"/>
          <w:szCs w:val="22"/>
        </w:rPr>
        <w:t>2023</w:t>
      </w:r>
      <w:r w:rsidR="000F01F3" w:rsidRPr="0016481E">
        <w:rPr>
          <w:sz w:val="22"/>
          <w:szCs w:val="22"/>
        </w:rPr>
        <w:t xml:space="preserve"> </w:t>
      </w:r>
      <w:r w:rsidR="00897E36" w:rsidRPr="0016481E">
        <w:rPr>
          <w:sz w:val="22"/>
          <w:szCs w:val="22"/>
        </w:rPr>
        <w:t>(</w:t>
      </w:r>
      <w:r w:rsidR="0036293E" w:rsidRPr="0016481E">
        <w:rPr>
          <w:b/>
          <w:bCs/>
          <w:sz w:val="22"/>
          <w:szCs w:val="22"/>
        </w:rPr>
        <w:t>the CSG Direction</w:t>
      </w:r>
      <w:r w:rsidR="00897E36" w:rsidRPr="0016481E">
        <w:rPr>
          <w:sz w:val="22"/>
          <w:szCs w:val="22"/>
        </w:rPr>
        <w:t xml:space="preserve">) </w:t>
      </w:r>
      <w:r w:rsidR="0040545F" w:rsidRPr="005A5C37">
        <w:rPr>
          <w:sz w:val="22"/>
          <w:szCs w:val="22"/>
        </w:rPr>
        <w:t xml:space="preserve">on </w:t>
      </w:r>
      <w:r w:rsidR="007D0A96" w:rsidRPr="00014CDC">
        <w:rPr>
          <w:sz w:val="22"/>
          <w:szCs w:val="22"/>
        </w:rPr>
        <w:t>17 July</w:t>
      </w:r>
      <w:r w:rsidR="005D7690" w:rsidRPr="00014CDC">
        <w:rPr>
          <w:sz w:val="22"/>
          <w:szCs w:val="22"/>
        </w:rPr>
        <w:t xml:space="preserve"> 2023</w:t>
      </w:r>
      <w:r w:rsidR="00E4558F">
        <w:rPr>
          <w:sz w:val="22"/>
          <w:szCs w:val="22"/>
        </w:rPr>
        <w:t xml:space="preserve"> and it came into effect on </w:t>
      </w:r>
      <w:r w:rsidR="00A824B5">
        <w:rPr>
          <w:sz w:val="22"/>
          <w:szCs w:val="22"/>
        </w:rPr>
        <w:t>20 July 2023</w:t>
      </w:r>
      <w:r w:rsidR="00A1299F" w:rsidRPr="0016481E">
        <w:rPr>
          <w:sz w:val="22"/>
          <w:szCs w:val="22"/>
        </w:rPr>
        <w:t>.</w:t>
      </w:r>
      <w:r w:rsidR="00D83ECD" w:rsidRPr="0016481E">
        <w:rPr>
          <w:sz w:val="22"/>
          <w:szCs w:val="22"/>
        </w:rPr>
        <w:t xml:space="preserve"> </w:t>
      </w:r>
      <w:r w:rsidR="0036293E" w:rsidRPr="0016481E">
        <w:rPr>
          <w:sz w:val="22"/>
          <w:szCs w:val="22"/>
        </w:rPr>
        <w:t>The CSG Direction</w:t>
      </w:r>
      <w:r w:rsidR="004107B7" w:rsidRPr="0016481E">
        <w:rPr>
          <w:sz w:val="22"/>
          <w:szCs w:val="22"/>
        </w:rPr>
        <w:t xml:space="preserve"> </w:t>
      </w:r>
      <w:r w:rsidR="00505CAD" w:rsidRPr="0016481E">
        <w:rPr>
          <w:sz w:val="22"/>
          <w:szCs w:val="22"/>
        </w:rPr>
        <w:t xml:space="preserve">requires the ACMA </w:t>
      </w:r>
      <w:r w:rsidR="005E32E3" w:rsidRPr="0016481E">
        <w:rPr>
          <w:sz w:val="22"/>
          <w:szCs w:val="22"/>
        </w:rPr>
        <w:t xml:space="preserve">to </w:t>
      </w:r>
      <w:r w:rsidR="00505CAD" w:rsidRPr="0016481E">
        <w:rPr>
          <w:sz w:val="22"/>
          <w:szCs w:val="22"/>
        </w:rPr>
        <w:t>make a</w:t>
      </w:r>
      <w:r w:rsidR="0036293E" w:rsidRPr="0016481E">
        <w:rPr>
          <w:sz w:val="22"/>
          <w:szCs w:val="22"/>
        </w:rPr>
        <w:t xml:space="preserve"> new</w:t>
      </w:r>
      <w:r w:rsidR="00505CAD" w:rsidRPr="0016481E">
        <w:rPr>
          <w:sz w:val="22"/>
          <w:szCs w:val="22"/>
        </w:rPr>
        <w:t xml:space="preserve"> standard</w:t>
      </w:r>
      <w:r w:rsidR="005E32E3" w:rsidRPr="0016481E">
        <w:rPr>
          <w:sz w:val="22"/>
          <w:szCs w:val="22"/>
        </w:rPr>
        <w:t xml:space="preserve"> in </w:t>
      </w:r>
      <w:r w:rsidR="00E041CA" w:rsidRPr="0016481E">
        <w:rPr>
          <w:sz w:val="22"/>
          <w:szCs w:val="22"/>
        </w:rPr>
        <w:t xml:space="preserve">substantially </w:t>
      </w:r>
      <w:r w:rsidR="005E32E3" w:rsidRPr="0016481E">
        <w:rPr>
          <w:sz w:val="22"/>
          <w:szCs w:val="22"/>
        </w:rPr>
        <w:t xml:space="preserve">the same terms as </w:t>
      </w:r>
      <w:r w:rsidR="00A2330E" w:rsidRPr="0016481E">
        <w:rPr>
          <w:sz w:val="22"/>
          <w:szCs w:val="22"/>
        </w:rPr>
        <w:t xml:space="preserve">the </w:t>
      </w:r>
      <w:r w:rsidR="00A2330E" w:rsidRPr="0016481E">
        <w:rPr>
          <w:i/>
          <w:iCs/>
          <w:sz w:val="22"/>
          <w:szCs w:val="22"/>
        </w:rPr>
        <w:t xml:space="preserve">Telecommunications (Customer Service Guarantee) Standard </w:t>
      </w:r>
      <w:r w:rsidR="00E041CA" w:rsidRPr="0016481E">
        <w:rPr>
          <w:i/>
          <w:iCs/>
          <w:sz w:val="22"/>
          <w:szCs w:val="22"/>
        </w:rPr>
        <w:t>2011</w:t>
      </w:r>
      <w:r w:rsidR="00FA6DAC" w:rsidRPr="0016481E">
        <w:rPr>
          <w:i/>
          <w:iCs/>
          <w:sz w:val="22"/>
          <w:szCs w:val="22"/>
        </w:rPr>
        <w:t xml:space="preserve"> </w:t>
      </w:r>
      <w:r w:rsidR="00FA6DAC" w:rsidRPr="0016481E">
        <w:rPr>
          <w:sz w:val="22"/>
          <w:szCs w:val="22"/>
        </w:rPr>
        <w:t>(</w:t>
      </w:r>
      <w:r w:rsidR="00FA6DAC" w:rsidRPr="0016481E">
        <w:rPr>
          <w:b/>
          <w:bCs/>
          <w:sz w:val="22"/>
          <w:szCs w:val="22"/>
        </w:rPr>
        <w:t xml:space="preserve">the </w:t>
      </w:r>
      <w:r w:rsidR="0036293E" w:rsidRPr="0016481E">
        <w:rPr>
          <w:b/>
          <w:bCs/>
          <w:sz w:val="22"/>
          <w:szCs w:val="22"/>
        </w:rPr>
        <w:t>2011 CSG Standard</w:t>
      </w:r>
      <w:r w:rsidR="00FA6DAC" w:rsidRPr="0016481E">
        <w:rPr>
          <w:sz w:val="22"/>
          <w:szCs w:val="22"/>
        </w:rPr>
        <w:t>)</w:t>
      </w:r>
      <w:r w:rsidR="002834AE" w:rsidRPr="0016481E">
        <w:rPr>
          <w:sz w:val="22"/>
          <w:szCs w:val="22"/>
        </w:rPr>
        <w:t xml:space="preserve"> </w:t>
      </w:r>
      <w:r w:rsidR="00575C6B">
        <w:rPr>
          <w:sz w:val="22"/>
          <w:szCs w:val="22"/>
        </w:rPr>
        <w:t>(</w:t>
      </w:r>
      <w:r w:rsidR="002834AE" w:rsidRPr="0016481E">
        <w:rPr>
          <w:sz w:val="22"/>
          <w:szCs w:val="22"/>
        </w:rPr>
        <w:t xml:space="preserve">as amended by the </w:t>
      </w:r>
      <w:r w:rsidR="002834AE" w:rsidRPr="00014CDC">
        <w:rPr>
          <w:i/>
          <w:iCs/>
          <w:sz w:val="22"/>
          <w:szCs w:val="22"/>
        </w:rPr>
        <w:t xml:space="preserve">Telecommunications (Customer Service Guarantee) Amendment Standard 2011 (No. 1) </w:t>
      </w:r>
      <w:r w:rsidR="002834AE" w:rsidRPr="00014CDC">
        <w:rPr>
          <w:sz w:val="22"/>
          <w:szCs w:val="22"/>
        </w:rPr>
        <w:t>(</w:t>
      </w:r>
      <w:r w:rsidR="002834AE" w:rsidRPr="00014CDC">
        <w:rPr>
          <w:b/>
          <w:bCs/>
          <w:sz w:val="22"/>
          <w:szCs w:val="22"/>
        </w:rPr>
        <w:t xml:space="preserve">the </w:t>
      </w:r>
      <w:r w:rsidR="0036293E" w:rsidRPr="00014CDC">
        <w:rPr>
          <w:b/>
          <w:bCs/>
          <w:sz w:val="22"/>
          <w:szCs w:val="22"/>
        </w:rPr>
        <w:t>2011 CSG Amendment Standard</w:t>
      </w:r>
      <w:r w:rsidR="002834AE" w:rsidRPr="00014CDC">
        <w:rPr>
          <w:sz w:val="22"/>
          <w:szCs w:val="22"/>
        </w:rPr>
        <w:t>)</w:t>
      </w:r>
      <w:r w:rsidR="00575C6B">
        <w:rPr>
          <w:sz w:val="22"/>
          <w:szCs w:val="22"/>
        </w:rPr>
        <w:t>)</w:t>
      </w:r>
      <w:r w:rsidR="00EF42D4">
        <w:rPr>
          <w:sz w:val="22"/>
          <w:szCs w:val="22"/>
        </w:rPr>
        <w:t xml:space="preserve">, </w:t>
      </w:r>
      <w:r w:rsidR="00A34C3A">
        <w:rPr>
          <w:sz w:val="22"/>
          <w:szCs w:val="22"/>
        </w:rPr>
        <w:t>to be in place for a three year period</w:t>
      </w:r>
      <w:r w:rsidR="00A2330E" w:rsidRPr="0016481E">
        <w:rPr>
          <w:sz w:val="22"/>
          <w:szCs w:val="22"/>
        </w:rPr>
        <w:t>.</w:t>
      </w:r>
      <w:r w:rsidR="00505CAD" w:rsidRPr="0016481E">
        <w:rPr>
          <w:sz w:val="22"/>
          <w:szCs w:val="22"/>
        </w:rPr>
        <w:t xml:space="preserve"> </w:t>
      </w:r>
      <w:r w:rsidR="00D35FCE">
        <w:rPr>
          <w:sz w:val="22"/>
          <w:szCs w:val="22"/>
        </w:rPr>
        <w:t>The</w:t>
      </w:r>
      <w:r w:rsidR="00B54354">
        <w:rPr>
          <w:sz w:val="22"/>
          <w:szCs w:val="22"/>
        </w:rPr>
        <w:t xml:space="preserve"> 2011 CSG Standard </w:t>
      </w:r>
      <w:r w:rsidR="00DC7A03">
        <w:rPr>
          <w:sz w:val="22"/>
          <w:szCs w:val="22"/>
        </w:rPr>
        <w:t>wa</w:t>
      </w:r>
      <w:r w:rsidR="00B54354">
        <w:rPr>
          <w:sz w:val="22"/>
          <w:szCs w:val="22"/>
        </w:rPr>
        <w:t xml:space="preserve">s made under </w:t>
      </w:r>
      <w:r w:rsidR="00EF42D4">
        <w:rPr>
          <w:sz w:val="22"/>
          <w:szCs w:val="22"/>
        </w:rPr>
        <w:t>sections 115, 117 and 120 of the Act</w:t>
      </w:r>
      <w:r w:rsidR="00EF2E17">
        <w:rPr>
          <w:sz w:val="22"/>
          <w:szCs w:val="22"/>
        </w:rPr>
        <w:t>.</w:t>
      </w:r>
    </w:p>
    <w:p w14:paraId="55AD3231" w14:textId="7DB7873B" w:rsidR="00575989" w:rsidRDefault="00343E33" w:rsidP="00B0677D">
      <w:pPr>
        <w:pStyle w:val="ACMABodyText"/>
        <w:rPr>
          <w:sz w:val="22"/>
          <w:szCs w:val="18"/>
        </w:rPr>
      </w:pPr>
      <w:r>
        <w:rPr>
          <w:sz w:val="22"/>
          <w:szCs w:val="18"/>
        </w:rPr>
        <w:t xml:space="preserve">Under section 124 of the Act, the ACMA must comply with </w:t>
      </w:r>
      <w:r w:rsidR="0036293E">
        <w:rPr>
          <w:sz w:val="22"/>
          <w:szCs w:val="18"/>
        </w:rPr>
        <w:t>the CSG Direction</w:t>
      </w:r>
      <w:r>
        <w:rPr>
          <w:sz w:val="22"/>
          <w:szCs w:val="18"/>
        </w:rPr>
        <w:t xml:space="preserve"> in exercising its powers under Part 5 of the Act</w:t>
      </w:r>
      <w:r w:rsidR="000F6CB9">
        <w:rPr>
          <w:sz w:val="22"/>
          <w:szCs w:val="18"/>
        </w:rPr>
        <w:t>. Th</w:t>
      </w:r>
      <w:r w:rsidR="00AA0888">
        <w:rPr>
          <w:sz w:val="22"/>
          <w:szCs w:val="18"/>
        </w:rPr>
        <w:t>e ACMA cannot make a standard under section 115 of the Act unless it has been directed to do so by the Minister</w:t>
      </w:r>
      <w:r w:rsidR="0055438C">
        <w:rPr>
          <w:sz w:val="22"/>
          <w:szCs w:val="18"/>
        </w:rPr>
        <w:t>.</w:t>
      </w:r>
    </w:p>
    <w:p w14:paraId="2E8525DF" w14:textId="030919E2" w:rsidR="00B0677D" w:rsidRPr="008F0967" w:rsidRDefault="00764D24" w:rsidP="00B0677D">
      <w:pPr>
        <w:pStyle w:val="ACMABodyText"/>
        <w:rPr>
          <w:sz w:val="22"/>
          <w:szCs w:val="18"/>
        </w:rPr>
      </w:pPr>
      <w:r>
        <w:rPr>
          <w:sz w:val="22"/>
          <w:szCs w:val="18"/>
        </w:rPr>
        <w:t>Section 115 of the Act</w:t>
      </w:r>
      <w:r w:rsidR="00B4680D">
        <w:rPr>
          <w:sz w:val="22"/>
          <w:szCs w:val="18"/>
        </w:rPr>
        <w:t xml:space="preserve"> provides for </w:t>
      </w:r>
      <w:r w:rsidR="00CE6A01">
        <w:rPr>
          <w:sz w:val="22"/>
          <w:szCs w:val="18"/>
        </w:rPr>
        <w:t xml:space="preserve">the </w:t>
      </w:r>
      <w:r w:rsidR="0016481E">
        <w:rPr>
          <w:sz w:val="22"/>
          <w:szCs w:val="18"/>
        </w:rPr>
        <w:t xml:space="preserve">ACMA </w:t>
      </w:r>
      <w:r w:rsidR="00CE6A01">
        <w:rPr>
          <w:sz w:val="22"/>
          <w:szCs w:val="18"/>
        </w:rPr>
        <w:t xml:space="preserve">to make </w:t>
      </w:r>
      <w:r w:rsidR="0015647F">
        <w:rPr>
          <w:sz w:val="22"/>
          <w:szCs w:val="18"/>
        </w:rPr>
        <w:t>standards</w:t>
      </w:r>
      <w:r w:rsidR="00B0677D" w:rsidRPr="008F0967">
        <w:rPr>
          <w:sz w:val="22"/>
          <w:szCs w:val="18"/>
        </w:rPr>
        <w:t xml:space="preserve"> t</w:t>
      </w:r>
      <w:r w:rsidR="0015647F">
        <w:rPr>
          <w:sz w:val="22"/>
          <w:szCs w:val="18"/>
        </w:rPr>
        <w:t xml:space="preserve">o be complied with by </w:t>
      </w:r>
      <w:r w:rsidR="0015647F" w:rsidRPr="00E4509C">
        <w:rPr>
          <w:sz w:val="22"/>
          <w:szCs w:val="18"/>
        </w:rPr>
        <w:t>CSP</w:t>
      </w:r>
      <w:r w:rsidR="0015647F" w:rsidRPr="00BD3A37">
        <w:rPr>
          <w:b/>
          <w:bCs/>
          <w:sz w:val="22"/>
          <w:szCs w:val="18"/>
        </w:rPr>
        <w:t>s</w:t>
      </w:r>
      <w:r w:rsidR="0015647F">
        <w:rPr>
          <w:sz w:val="22"/>
          <w:szCs w:val="18"/>
        </w:rPr>
        <w:t xml:space="preserve"> in relation to</w:t>
      </w:r>
      <w:r w:rsidR="00B0677D" w:rsidRPr="008F0967">
        <w:rPr>
          <w:sz w:val="22"/>
          <w:szCs w:val="18"/>
        </w:rPr>
        <w:t xml:space="preserve">: </w:t>
      </w:r>
    </w:p>
    <w:p w14:paraId="450AB95F" w14:textId="5E553935" w:rsidR="00B0677D" w:rsidRPr="008F0967" w:rsidRDefault="00BF0DB1" w:rsidP="00BA638B">
      <w:pPr>
        <w:pStyle w:val="ACMABodyText"/>
        <w:numPr>
          <w:ilvl w:val="0"/>
          <w:numId w:val="30"/>
        </w:numPr>
        <w:snapToGrid w:val="0"/>
        <w:spacing w:after="200"/>
        <w:rPr>
          <w:sz w:val="22"/>
          <w:szCs w:val="18"/>
        </w:rPr>
      </w:pPr>
      <w:r>
        <w:rPr>
          <w:sz w:val="22"/>
          <w:szCs w:val="18"/>
        </w:rPr>
        <w:t>the making of arrangements with customers about the period taken to comply with requests to connect customers</w:t>
      </w:r>
      <w:r w:rsidR="007203EC">
        <w:rPr>
          <w:sz w:val="22"/>
          <w:szCs w:val="18"/>
        </w:rPr>
        <w:t xml:space="preserve"> to specified kinds of carriage services</w:t>
      </w:r>
      <w:r w:rsidR="00B0677D" w:rsidRPr="008F0967">
        <w:rPr>
          <w:sz w:val="22"/>
          <w:szCs w:val="18"/>
        </w:rPr>
        <w:t>; and</w:t>
      </w:r>
    </w:p>
    <w:p w14:paraId="477657CA" w14:textId="0F535CF9" w:rsidR="00B0677D" w:rsidRDefault="007203EC" w:rsidP="00BA638B">
      <w:pPr>
        <w:pStyle w:val="ACMABodyText"/>
        <w:numPr>
          <w:ilvl w:val="0"/>
          <w:numId w:val="30"/>
        </w:numPr>
        <w:snapToGrid w:val="0"/>
        <w:spacing w:after="200"/>
        <w:rPr>
          <w:sz w:val="22"/>
          <w:szCs w:val="18"/>
        </w:rPr>
      </w:pPr>
      <w:r>
        <w:rPr>
          <w:sz w:val="22"/>
          <w:szCs w:val="18"/>
        </w:rPr>
        <w:t>the periods that CSPs may offer to customers when making those arrangements</w:t>
      </w:r>
      <w:r w:rsidR="007778C3">
        <w:rPr>
          <w:sz w:val="22"/>
          <w:szCs w:val="18"/>
        </w:rPr>
        <w:t>; and</w:t>
      </w:r>
    </w:p>
    <w:p w14:paraId="23D32B78" w14:textId="3DCC0C26" w:rsidR="007778C3" w:rsidRDefault="007778C3" w:rsidP="00BA638B">
      <w:pPr>
        <w:pStyle w:val="ACMABodyText"/>
        <w:numPr>
          <w:ilvl w:val="0"/>
          <w:numId w:val="30"/>
        </w:numPr>
        <w:snapToGrid w:val="0"/>
        <w:spacing w:after="200"/>
        <w:rPr>
          <w:sz w:val="22"/>
          <w:szCs w:val="18"/>
        </w:rPr>
      </w:pPr>
      <w:r>
        <w:rPr>
          <w:sz w:val="22"/>
          <w:szCs w:val="18"/>
        </w:rPr>
        <w:t>the compliance by CSPs with the terms of those arrangements</w:t>
      </w:r>
      <w:r w:rsidR="00BF154E">
        <w:rPr>
          <w:sz w:val="22"/>
          <w:szCs w:val="18"/>
        </w:rPr>
        <w:t>; and</w:t>
      </w:r>
    </w:p>
    <w:p w14:paraId="50926B3B" w14:textId="45B09AB7" w:rsidR="00BF154E" w:rsidRDefault="00BF154E" w:rsidP="00BA638B">
      <w:pPr>
        <w:pStyle w:val="ACMABodyText"/>
        <w:numPr>
          <w:ilvl w:val="0"/>
          <w:numId w:val="30"/>
        </w:numPr>
        <w:snapToGrid w:val="0"/>
        <w:spacing w:after="200"/>
        <w:rPr>
          <w:sz w:val="22"/>
          <w:szCs w:val="18"/>
        </w:rPr>
      </w:pPr>
      <w:r>
        <w:rPr>
          <w:sz w:val="22"/>
          <w:szCs w:val="18"/>
        </w:rPr>
        <w:t>the period taken to comply with requests to rectify faults or service difficulties relating to specified kinds of carriage services, where the rectification follows the making of a customer report about a fault or service difficulty</w:t>
      </w:r>
      <w:r w:rsidR="005E2628">
        <w:rPr>
          <w:sz w:val="22"/>
          <w:szCs w:val="18"/>
        </w:rPr>
        <w:t>; and</w:t>
      </w:r>
    </w:p>
    <w:p w14:paraId="6FBC1304" w14:textId="4A3D2145" w:rsidR="005E2628" w:rsidRPr="008F0967" w:rsidRDefault="005E2628" w:rsidP="00BA638B">
      <w:pPr>
        <w:pStyle w:val="ACMABodyText"/>
        <w:numPr>
          <w:ilvl w:val="0"/>
          <w:numId w:val="30"/>
        </w:numPr>
        <w:snapToGrid w:val="0"/>
        <w:spacing w:after="200"/>
        <w:rPr>
          <w:sz w:val="22"/>
          <w:szCs w:val="18"/>
        </w:rPr>
      </w:pPr>
      <w:r>
        <w:rPr>
          <w:sz w:val="22"/>
          <w:szCs w:val="18"/>
        </w:rPr>
        <w:t xml:space="preserve">the keeping of appointments to meet customers, </w:t>
      </w:r>
      <w:r w:rsidR="00652AFB">
        <w:rPr>
          <w:sz w:val="22"/>
          <w:szCs w:val="18"/>
        </w:rPr>
        <w:t>or representatives of customers, where the appointment relates to:</w:t>
      </w:r>
    </w:p>
    <w:p w14:paraId="2212B7E7" w14:textId="7E57F47D" w:rsidR="00B0677D" w:rsidRDefault="00652AFB" w:rsidP="004C7CF1">
      <w:pPr>
        <w:pStyle w:val="paragraphsub"/>
        <w:numPr>
          <w:ilvl w:val="1"/>
          <w:numId w:val="19"/>
        </w:numPr>
        <w:tabs>
          <w:tab w:val="right" w:pos="0"/>
        </w:tabs>
        <w:spacing w:after="200"/>
        <w:ind w:left="1434" w:hanging="357"/>
      </w:pPr>
      <w:r>
        <w:t>a connection of a kind covered by paragraph (a); or</w:t>
      </w:r>
    </w:p>
    <w:p w14:paraId="4325D263" w14:textId="595D1424" w:rsidR="00B0677D" w:rsidRDefault="007300BD" w:rsidP="00B0677D">
      <w:pPr>
        <w:pStyle w:val="paragraphsub"/>
        <w:numPr>
          <w:ilvl w:val="1"/>
          <w:numId w:val="19"/>
        </w:numPr>
        <w:spacing w:after="200"/>
      </w:pPr>
      <w:r>
        <w:t>a rectification of a kind covered by paragraph (d)</w:t>
      </w:r>
      <w:r w:rsidR="00B0677D">
        <w:t>;</w:t>
      </w:r>
      <w:r>
        <w:t xml:space="preserve"> and</w:t>
      </w:r>
    </w:p>
    <w:p w14:paraId="64C4B06D" w14:textId="34305115" w:rsidR="00B0677D" w:rsidRPr="005F3F40" w:rsidRDefault="005730D2" w:rsidP="00BA638B">
      <w:pPr>
        <w:pStyle w:val="ACMABodyText"/>
        <w:numPr>
          <w:ilvl w:val="0"/>
          <w:numId w:val="30"/>
        </w:numPr>
        <w:snapToGrid w:val="0"/>
        <w:spacing w:after="200"/>
        <w:rPr>
          <w:sz w:val="22"/>
          <w:szCs w:val="18"/>
        </w:rPr>
      </w:pPr>
      <w:r>
        <w:rPr>
          <w:sz w:val="22"/>
          <w:szCs w:val="18"/>
        </w:rPr>
        <w:t>any other matter concerning the supply, or proposed supply, of a carriage service to a customer.</w:t>
      </w:r>
    </w:p>
    <w:p w14:paraId="4312FAA0" w14:textId="77777777" w:rsidR="0071469F" w:rsidRDefault="00E81505" w:rsidP="00B0677D">
      <w:pPr>
        <w:pStyle w:val="paragraphsub"/>
        <w:spacing w:after="200"/>
        <w:ind w:left="0" w:firstLine="0"/>
      </w:pPr>
      <w:r>
        <w:lastRenderedPageBreak/>
        <w:t xml:space="preserve">Section 117 of the Act </w:t>
      </w:r>
      <w:r w:rsidR="007D0CF2">
        <w:t>provides for the ACMA to specify a scale of damages for contraventions of standards under section 115 of the Act</w:t>
      </w:r>
      <w:r w:rsidR="00D0690E">
        <w:t>.</w:t>
      </w:r>
      <w:r w:rsidR="00D13AF7">
        <w:t xml:space="preserve"> </w:t>
      </w:r>
    </w:p>
    <w:p w14:paraId="5BA0F002" w14:textId="22EB7579" w:rsidR="000241D4" w:rsidRDefault="00203E1E" w:rsidP="00B0677D">
      <w:pPr>
        <w:pStyle w:val="paragraphsub"/>
        <w:spacing w:after="200"/>
        <w:ind w:left="0" w:firstLine="0"/>
        <w:rPr>
          <w:szCs w:val="18"/>
        </w:rPr>
      </w:pPr>
      <w:r>
        <w:t xml:space="preserve">Section 120 of the Act </w:t>
      </w:r>
      <w:r w:rsidR="00C24813">
        <w:t>allows</w:t>
      </w:r>
      <w:r>
        <w:t xml:space="preserve"> </w:t>
      </w:r>
      <w:r w:rsidR="00F9697C">
        <w:t xml:space="preserve">that </w:t>
      </w:r>
      <w:r>
        <w:t xml:space="preserve">the ACMA may </w:t>
      </w:r>
      <w:r w:rsidR="0055438C">
        <w:t xml:space="preserve">make </w:t>
      </w:r>
      <w:r w:rsidR="0055438C" w:rsidRPr="00A23B97">
        <w:rPr>
          <w:szCs w:val="18"/>
        </w:rPr>
        <w:t xml:space="preserve">provision for customers of </w:t>
      </w:r>
      <w:r w:rsidR="0055438C">
        <w:rPr>
          <w:szCs w:val="18"/>
        </w:rPr>
        <w:t>CSPs</w:t>
      </w:r>
      <w:r w:rsidR="0055438C" w:rsidRPr="00A23B97">
        <w:rPr>
          <w:szCs w:val="18"/>
        </w:rPr>
        <w:t xml:space="preserve"> to waive, in whole or in part, their protection and rights under Part</w:t>
      </w:r>
      <w:r w:rsidR="0055438C">
        <w:rPr>
          <w:szCs w:val="18"/>
        </w:rPr>
        <w:t xml:space="preserve"> 5 of the Act. </w:t>
      </w:r>
    </w:p>
    <w:p w14:paraId="6AFF7ED1" w14:textId="19CF8792" w:rsidR="00E330DC" w:rsidRPr="00683C55" w:rsidRDefault="00B0677D" w:rsidP="00B0677D">
      <w:pPr>
        <w:pStyle w:val="paragraphsub"/>
        <w:tabs>
          <w:tab w:val="clear" w:pos="1985"/>
          <w:tab w:val="right" w:pos="0"/>
        </w:tabs>
        <w:spacing w:after="200"/>
        <w:ind w:left="0" w:firstLine="0"/>
        <w:rPr>
          <w:snapToGrid w:val="0"/>
          <w:szCs w:val="18"/>
          <w:lang w:eastAsia="en-US"/>
        </w:rPr>
      </w:pPr>
      <w:r w:rsidRPr="00683C55">
        <w:rPr>
          <w:snapToGrid w:val="0"/>
          <w:szCs w:val="18"/>
          <w:lang w:eastAsia="en-US"/>
        </w:rPr>
        <w:t>Th</w:t>
      </w:r>
      <w:r w:rsidR="00DE01C7">
        <w:rPr>
          <w:snapToGrid w:val="0"/>
          <w:szCs w:val="18"/>
          <w:lang w:eastAsia="en-US"/>
        </w:rPr>
        <w:t>e CSG Standard</w:t>
      </w:r>
      <w:r w:rsidRPr="00683C55">
        <w:rPr>
          <w:snapToGrid w:val="0"/>
          <w:szCs w:val="18"/>
          <w:lang w:eastAsia="en-US"/>
        </w:rPr>
        <w:t xml:space="preserve"> r</w:t>
      </w:r>
      <w:r>
        <w:rPr>
          <w:snapToGrid w:val="0"/>
          <w:szCs w:val="18"/>
          <w:lang w:eastAsia="en-US"/>
        </w:rPr>
        <w:t>epeals</w:t>
      </w:r>
      <w:r w:rsidRPr="00683C55">
        <w:rPr>
          <w:snapToGrid w:val="0"/>
          <w:szCs w:val="18"/>
          <w:lang w:eastAsia="en-US"/>
        </w:rPr>
        <w:t xml:space="preserve"> the </w:t>
      </w:r>
      <w:r w:rsidR="0036293E">
        <w:rPr>
          <w:snapToGrid w:val="0"/>
          <w:szCs w:val="18"/>
          <w:lang w:eastAsia="en-US"/>
        </w:rPr>
        <w:t>2011 CSG Standard</w:t>
      </w:r>
      <w:r w:rsidRPr="00683C55">
        <w:rPr>
          <w:snapToGrid w:val="0"/>
          <w:szCs w:val="18"/>
          <w:lang w:eastAsia="en-US"/>
        </w:rPr>
        <w:t xml:space="preserve">, which </w:t>
      </w:r>
      <w:r w:rsidR="00DE01C7">
        <w:rPr>
          <w:snapToGrid w:val="0"/>
          <w:szCs w:val="18"/>
          <w:lang w:eastAsia="en-US"/>
        </w:rPr>
        <w:t>wa</w:t>
      </w:r>
      <w:r w:rsidR="004B30DE">
        <w:rPr>
          <w:snapToGrid w:val="0"/>
          <w:szCs w:val="18"/>
          <w:lang w:eastAsia="en-US"/>
        </w:rPr>
        <w:t>s</w:t>
      </w:r>
      <w:r w:rsidR="004B30DE" w:rsidRPr="00683C55">
        <w:rPr>
          <w:snapToGrid w:val="0"/>
          <w:szCs w:val="18"/>
          <w:lang w:eastAsia="en-US"/>
        </w:rPr>
        <w:t xml:space="preserve"> </w:t>
      </w:r>
      <w:r w:rsidRPr="00683C55">
        <w:rPr>
          <w:snapToGrid w:val="0"/>
          <w:szCs w:val="18"/>
          <w:lang w:eastAsia="en-US"/>
        </w:rPr>
        <w:t xml:space="preserve">due to sunset on </w:t>
      </w:r>
      <w:r>
        <w:rPr>
          <w:snapToGrid w:val="0"/>
          <w:szCs w:val="18"/>
          <w:lang w:eastAsia="en-US"/>
        </w:rPr>
        <w:t xml:space="preserve">1 </w:t>
      </w:r>
      <w:r w:rsidRPr="00683C55">
        <w:rPr>
          <w:snapToGrid w:val="0"/>
          <w:szCs w:val="18"/>
          <w:lang w:eastAsia="en-US"/>
        </w:rPr>
        <w:t xml:space="preserve">October </w:t>
      </w:r>
      <w:r>
        <w:rPr>
          <w:snapToGrid w:val="0"/>
          <w:szCs w:val="18"/>
          <w:lang w:eastAsia="en-US"/>
        </w:rPr>
        <w:t>202</w:t>
      </w:r>
      <w:r w:rsidR="00CA70D7">
        <w:rPr>
          <w:snapToGrid w:val="0"/>
          <w:szCs w:val="18"/>
          <w:lang w:eastAsia="en-US"/>
        </w:rPr>
        <w:t>3</w:t>
      </w:r>
      <w:r w:rsidR="00514455">
        <w:rPr>
          <w:snapToGrid w:val="0"/>
          <w:szCs w:val="18"/>
          <w:lang w:eastAsia="en-US"/>
        </w:rPr>
        <w:t>.</w:t>
      </w:r>
    </w:p>
    <w:p w14:paraId="7B0F4305" w14:textId="7CED8DE1" w:rsidR="00B0677D" w:rsidRDefault="00B0677D" w:rsidP="00B0677D">
      <w:pPr>
        <w:rPr>
          <w:rFonts w:ascii="Times New Roman" w:hAnsi="Times New Roman" w:cs="Times New Roman"/>
          <w:b/>
        </w:rPr>
      </w:pPr>
      <w:r>
        <w:rPr>
          <w:rFonts w:ascii="Times New Roman" w:hAnsi="Times New Roman" w:cs="Times New Roman"/>
          <w:b/>
        </w:rPr>
        <w:t xml:space="preserve">Purpose and operation of </w:t>
      </w:r>
      <w:r w:rsidR="0016481E">
        <w:rPr>
          <w:rFonts w:ascii="Times New Roman" w:hAnsi="Times New Roman" w:cs="Times New Roman"/>
          <w:b/>
        </w:rPr>
        <w:t>the CSG Standard</w:t>
      </w:r>
    </w:p>
    <w:p w14:paraId="2FDBF727" w14:textId="39B19115" w:rsidR="00895B76" w:rsidRDefault="0016481E" w:rsidP="00B0677D">
      <w:pPr>
        <w:rPr>
          <w:rFonts w:ascii="Times New Roman" w:hAnsi="Times New Roman" w:cs="Times New Roman"/>
          <w:bCs/>
        </w:rPr>
      </w:pPr>
      <w:r>
        <w:rPr>
          <w:rFonts w:ascii="Times New Roman" w:hAnsi="Times New Roman" w:cs="Times New Roman"/>
          <w:bCs/>
        </w:rPr>
        <w:t>The CSG Standard</w:t>
      </w:r>
      <w:r w:rsidR="00DD40FC">
        <w:rPr>
          <w:rFonts w:ascii="Times New Roman" w:hAnsi="Times New Roman" w:cs="Times New Roman"/>
          <w:bCs/>
        </w:rPr>
        <w:t xml:space="preserve"> </w:t>
      </w:r>
      <w:r w:rsidR="009C2618">
        <w:rPr>
          <w:rFonts w:ascii="Times New Roman" w:hAnsi="Times New Roman" w:cs="Times New Roman"/>
          <w:bCs/>
        </w:rPr>
        <w:t xml:space="preserve">sets out </w:t>
      </w:r>
      <w:r w:rsidR="008069D3">
        <w:rPr>
          <w:rFonts w:ascii="Times New Roman" w:hAnsi="Times New Roman" w:cs="Times New Roman"/>
          <w:bCs/>
        </w:rPr>
        <w:t xml:space="preserve">the applicable </w:t>
      </w:r>
      <w:r w:rsidR="00DD40FC">
        <w:rPr>
          <w:rFonts w:ascii="Times New Roman" w:hAnsi="Times New Roman" w:cs="Times New Roman"/>
          <w:bCs/>
        </w:rPr>
        <w:t>CSG</w:t>
      </w:r>
      <w:r w:rsidR="00895B76">
        <w:rPr>
          <w:rFonts w:ascii="Times New Roman" w:hAnsi="Times New Roman" w:cs="Times New Roman"/>
          <w:bCs/>
        </w:rPr>
        <w:t xml:space="preserve"> </w:t>
      </w:r>
      <w:r w:rsidR="008069D3">
        <w:rPr>
          <w:rFonts w:ascii="Times New Roman" w:hAnsi="Times New Roman" w:cs="Times New Roman"/>
          <w:bCs/>
        </w:rPr>
        <w:t xml:space="preserve">performance standards </w:t>
      </w:r>
      <w:r w:rsidR="00895B76">
        <w:rPr>
          <w:rFonts w:ascii="Times New Roman" w:hAnsi="Times New Roman" w:cs="Times New Roman"/>
          <w:bCs/>
        </w:rPr>
        <w:t>for telephone users</w:t>
      </w:r>
      <w:r w:rsidR="00CF57EC">
        <w:rPr>
          <w:rFonts w:ascii="Times New Roman" w:hAnsi="Times New Roman" w:cs="Times New Roman"/>
          <w:bCs/>
        </w:rPr>
        <w:t xml:space="preserve">, and </w:t>
      </w:r>
      <w:r w:rsidR="001307D5">
        <w:rPr>
          <w:rFonts w:ascii="Times New Roman" w:hAnsi="Times New Roman" w:cs="Times New Roman"/>
          <w:bCs/>
        </w:rPr>
        <w:t xml:space="preserve">therefore is a </w:t>
      </w:r>
      <w:r w:rsidR="00CF57EC">
        <w:rPr>
          <w:rFonts w:ascii="Times New Roman" w:hAnsi="Times New Roman" w:cs="Times New Roman"/>
          <w:bCs/>
        </w:rPr>
        <w:t xml:space="preserve">key </w:t>
      </w:r>
      <w:r w:rsidR="001307D5">
        <w:rPr>
          <w:rFonts w:ascii="Times New Roman" w:hAnsi="Times New Roman" w:cs="Times New Roman"/>
          <w:bCs/>
        </w:rPr>
        <w:t xml:space="preserve">telecommunications consumer </w:t>
      </w:r>
      <w:r w:rsidR="00CF57EC">
        <w:rPr>
          <w:rFonts w:ascii="Times New Roman" w:hAnsi="Times New Roman" w:cs="Times New Roman"/>
          <w:bCs/>
        </w:rPr>
        <w:t>safeguard</w:t>
      </w:r>
      <w:r w:rsidR="002F0640">
        <w:rPr>
          <w:rFonts w:ascii="Times New Roman" w:hAnsi="Times New Roman" w:cs="Times New Roman"/>
          <w:bCs/>
        </w:rPr>
        <w:t>.</w:t>
      </w:r>
      <w:r w:rsidR="00895B76">
        <w:rPr>
          <w:rFonts w:ascii="Times New Roman" w:hAnsi="Times New Roman" w:cs="Times New Roman"/>
          <w:bCs/>
        </w:rPr>
        <w:t xml:space="preserve"> The CSG </w:t>
      </w:r>
      <w:r w:rsidR="00753C12">
        <w:rPr>
          <w:rFonts w:ascii="Times New Roman" w:hAnsi="Times New Roman" w:cs="Times New Roman"/>
          <w:bCs/>
        </w:rPr>
        <w:t xml:space="preserve">Standard </w:t>
      </w:r>
      <w:r w:rsidR="00895B76">
        <w:rPr>
          <w:rFonts w:ascii="Times New Roman" w:hAnsi="Times New Roman" w:cs="Times New Roman"/>
          <w:bCs/>
        </w:rPr>
        <w:t xml:space="preserve">sets out the </w:t>
      </w:r>
      <w:r w:rsidR="00C0667B">
        <w:rPr>
          <w:rFonts w:ascii="Times New Roman" w:hAnsi="Times New Roman" w:cs="Times New Roman"/>
          <w:bCs/>
        </w:rPr>
        <w:t xml:space="preserve">standards </w:t>
      </w:r>
      <w:r w:rsidR="00895B76">
        <w:rPr>
          <w:rFonts w:ascii="Times New Roman" w:hAnsi="Times New Roman" w:cs="Times New Roman"/>
          <w:bCs/>
        </w:rPr>
        <w:t xml:space="preserve">for connection, </w:t>
      </w:r>
      <w:r w:rsidR="004B30DE">
        <w:rPr>
          <w:rFonts w:ascii="Times New Roman" w:hAnsi="Times New Roman" w:cs="Times New Roman"/>
          <w:bCs/>
        </w:rPr>
        <w:t xml:space="preserve">appointment keeping, and </w:t>
      </w:r>
      <w:r w:rsidR="00895B76">
        <w:rPr>
          <w:rFonts w:ascii="Times New Roman" w:hAnsi="Times New Roman" w:cs="Times New Roman"/>
          <w:bCs/>
        </w:rPr>
        <w:t xml:space="preserve">fault </w:t>
      </w:r>
      <w:r w:rsidR="004B30DE">
        <w:rPr>
          <w:rFonts w:ascii="Times New Roman" w:hAnsi="Times New Roman" w:cs="Times New Roman"/>
          <w:bCs/>
        </w:rPr>
        <w:t xml:space="preserve">or service difficulty </w:t>
      </w:r>
      <w:r w:rsidR="00895B76">
        <w:rPr>
          <w:rFonts w:ascii="Times New Roman" w:hAnsi="Times New Roman" w:cs="Times New Roman"/>
          <w:bCs/>
        </w:rPr>
        <w:t>repair</w:t>
      </w:r>
      <w:r w:rsidR="0050081C">
        <w:rPr>
          <w:rFonts w:ascii="Times New Roman" w:hAnsi="Times New Roman" w:cs="Times New Roman"/>
          <w:bCs/>
        </w:rPr>
        <w:t xml:space="preserve">. It also </w:t>
      </w:r>
      <w:r w:rsidR="00310467">
        <w:rPr>
          <w:rFonts w:ascii="Times New Roman" w:hAnsi="Times New Roman" w:cs="Times New Roman"/>
          <w:bCs/>
        </w:rPr>
        <w:t xml:space="preserve">specifies the </w:t>
      </w:r>
      <w:r w:rsidR="0050081C">
        <w:rPr>
          <w:rFonts w:ascii="Times New Roman" w:hAnsi="Times New Roman" w:cs="Times New Roman"/>
          <w:bCs/>
        </w:rPr>
        <w:t xml:space="preserve">compensation </w:t>
      </w:r>
      <w:r w:rsidR="00310467">
        <w:rPr>
          <w:rFonts w:ascii="Times New Roman" w:hAnsi="Times New Roman" w:cs="Times New Roman"/>
          <w:bCs/>
        </w:rPr>
        <w:t xml:space="preserve">available </w:t>
      </w:r>
      <w:r w:rsidR="0050081C">
        <w:rPr>
          <w:rFonts w:ascii="Times New Roman" w:hAnsi="Times New Roman" w:cs="Times New Roman"/>
          <w:bCs/>
        </w:rPr>
        <w:t xml:space="preserve">to customers </w:t>
      </w:r>
      <w:r w:rsidR="00310467">
        <w:rPr>
          <w:rFonts w:ascii="Times New Roman" w:hAnsi="Times New Roman" w:cs="Times New Roman"/>
          <w:bCs/>
        </w:rPr>
        <w:t xml:space="preserve">under the Act </w:t>
      </w:r>
      <w:r w:rsidR="0050081C">
        <w:rPr>
          <w:rFonts w:ascii="Times New Roman" w:hAnsi="Times New Roman" w:cs="Times New Roman"/>
          <w:bCs/>
        </w:rPr>
        <w:t xml:space="preserve">when these </w:t>
      </w:r>
      <w:r w:rsidR="004B30DE">
        <w:rPr>
          <w:rFonts w:ascii="Times New Roman" w:hAnsi="Times New Roman" w:cs="Times New Roman"/>
          <w:bCs/>
        </w:rPr>
        <w:t xml:space="preserve">standards </w:t>
      </w:r>
      <w:r w:rsidR="0050081C">
        <w:rPr>
          <w:rFonts w:ascii="Times New Roman" w:hAnsi="Times New Roman" w:cs="Times New Roman"/>
          <w:bCs/>
        </w:rPr>
        <w:t>are not met</w:t>
      </w:r>
      <w:r w:rsidR="00840C65">
        <w:rPr>
          <w:rFonts w:ascii="Times New Roman" w:hAnsi="Times New Roman" w:cs="Times New Roman"/>
          <w:bCs/>
        </w:rPr>
        <w:t>, and sets out the circumstances in which a consumer can agree to waive their rights under the CSG Standard</w:t>
      </w:r>
      <w:r w:rsidR="00503439">
        <w:rPr>
          <w:rFonts w:ascii="Times New Roman" w:hAnsi="Times New Roman" w:cs="Times New Roman"/>
          <w:bCs/>
        </w:rPr>
        <w:t>.</w:t>
      </w:r>
      <w:r w:rsidR="00895B76">
        <w:rPr>
          <w:rFonts w:ascii="Times New Roman" w:hAnsi="Times New Roman" w:cs="Times New Roman"/>
          <w:bCs/>
        </w:rPr>
        <w:t xml:space="preserve"> </w:t>
      </w:r>
    </w:p>
    <w:p w14:paraId="138B1A9E" w14:textId="03DBBA76" w:rsidR="00B0677D" w:rsidRDefault="004869E6" w:rsidP="00B0677D">
      <w:pPr>
        <w:rPr>
          <w:rFonts w:ascii="Times New Roman" w:eastAsia="Times New Roman" w:hAnsi="Times New Roman" w:cs="Times New Roman"/>
          <w:snapToGrid w:val="0"/>
          <w:szCs w:val="18"/>
        </w:rPr>
      </w:pPr>
      <w:r>
        <w:rPr>
          <w:rFonts w:ascii="Times New Roman" w:eastAsia="Times New Roman" w:hAnsi="Times New Roman" w:cs="Times New Roman"/>
          <w:snapToGrid w:val="0"/>
          <w:szCs w:val="18"/>
        </w:rPr>
        <w:t>The su</w:t>
      </w:r>
      <w:r w:rsidR="00C70450">
        <w:rPr>
          <w:rFonts w:ascii="Times New Roman" w:eastAsia="Times New Roman" w:hAnsi="Times New Roman" w:cs="Times New Roman"/>
          <w:snapToGrid w:val="0"/>
          <w:szCs w:val="18"/>
        </w:rPr>
        <w:t xml:space="preserve">nset date of both the </w:t>
      </w:r>
      <w:r w:rsidR="0036293E">
        <w:rPr>
          <w:rFonts w:ascii="Times New Roman" w:eastAsia="Times New Roman" w:hAnsi="Times New Roman" w:cs="Times New Roman"/>
          <w:snapToGrid w:val="0"/>
          <w:szCs w:val="18"/>
        </w:rPr>
        <w:t>2011 CSG Standard</w:t>
      </w:r>
      <w:r w:rsidR="00C70450">
        <w:rPr>
          <w:rFonts w:ascii="Times New Roman" w:eastAsia="Times New Roman" w:hAnsi="Times New Roman" w:cs="Times New Roman"/>
          <w:snapToGrid w:val="0"/>
          <w:szCs w:val="18"/>
        </w:rPr>
        <w:t xml:space="preserve"> and </w:t>
      </w:r>
      <w:r w:rsidR="0036293E">
        <w:rPr>
          <w:rFonts w:ascii="Times New Roman" w:eastAsia="Times New Roman" w:hAnsi="Times New Roman" w:cs="Times New Roman"/>
          <w:snapToGrid w:val="0"/>
          <w:szCs w:val="18"/>
        </w:rPr>
        <w:t>2011 CSG Amendment Standard</w:t>
      </w:r>
      <w:r w:rsidR="00C70450">
        <w:rPr>
          <w:rFonts w:ascii="Times New Roman" w:eastAsia="Times New Roman" w:hAnsi="Times New Roman" w:cs="Times New Roman"/>
          <w:snapToGrid w:val="0"/>
          <w:szCs w:val="18"/>
        </w:rPr>
        <w:t xml:space="preserve"> </w:t>
      </w:r>
      <w:r w:rsidR="00BE1A50">
        <w:rPr>
          <w:rFonts w:ascii="Times New Roman" w:eastAsia="Times New Roman" w:hAnsi="Times New Roman" w:cs="Times New Roman"/>
          <w:snapToGrid w:val="0"/>
          <w:szCs w:val="18"/>
        </w:rPr>
        <w:t xml:space="preserve">were aligned </w:t>
      </w:r>
      <w:r w:rsidR="00E26DA2">
        <w:rPr>
          <w:rFonts w:ascii="Times New Roman" w:eastAsia="Times New Roman" w:hAnsi="Times New Roman" w:cs="Times New Roman"/>
          <w:snapToGrid w:val="0"/>
          <w:szCs w:val="18"/>
        </w:rPr>
        <w:t xml:space="preserve">to </w:t>
      </w:r>
      <w:r w:rsidR="00B11AC6">
        <w:rPr>
          <w:rFonts w:ascii="Times New Roman" w:eastAsia="Times New Roman" w:hAnsi="Times New Roman" w:cs="Times New Roman"/>
          <w:snapToGrid w:val="0"/>
          <w:szCs w:val="18"/>
        </w:rPr>
        <w:t xml:space="preserve">1 October 2023 </w:t>
      </w:r>
      <w:r w:rsidR="00125504">
        <w:rPr>
          <w:rFonts w:ascii="Times New Roman" w:eastAsia="Times New Roman" w:hAnsi="Times New Roman" w:cs="Times New Roman"/>
          <w:snapToGrid w:val="0"/>
          <w:szCs w:val="18"/>
        </w:rPr>
        <w:t xml:space="preserve">by the </w:t>
      </w:r>
      <w:r w:rsidR="00125504">
        <w:rPr>
          <w:rFonts w:ascii="Times New Roman" w:eastAsia="Times New Roman" w:hAnsi="Times New Roman" w:cs="Times New Roman"/>
          <w:i/>
          <w:iCs/>
          <w:snapToGrid w:val="0"/>
          <w:szCs w:val="18"/>
        </w:rPr>
        <w:t>Legislation (Telecommunications Customer Service Guarantee Instruments) Sunset-altering Declaration 2021</w:t>
      </w:r>
      <w:r w:rsidR="00125504">
        <w:rPr>
          <w:rFonts w:ascii="Times New Roman" w:eastAsia="Times New Roman" w:hAnsi="Times New Roman" w:cs="Times New Roman"/>
          <w:snapToGrid w:val="0"/>
          <w:szCs w:val="18"/>
        </w:rPr>
        <w:t xml:space="preserve"> on 18 March 2021</w:t>
      </w:r>
      <w:r w:rsidR="00E26DA2">
        <w:rPr>
          <w:rFonts w:ascii="Times New Roman" w:eastAsia="Times New Roman" w:hAnsi="Times New Roman" w:cs="Times New Roman"/>
          <w:snapToGrid w:val="0"/>
          <w:szCs w:val="18"/>
        </w:rPr>
        <w:t xml:space="preserve"> to enable a thematic review</w:t>
      </w:r>
      <w:r w:rsidR="00DB405F">
        <w:rPr>
          <w:rFonts w:ascii="Times New Roman" w:eastAsia="Times New Roman" w:hAnsi="Times New Roman" w:cs="Times New Roman"/>
          <w:snapToGrid w:val="0"/>
          <w:szCs w:val="18"/>
        </w:rPr>
        <w:t xml:space="preserve"> of CSG arrangements</w:t>
      </w:r>
      <w:r w:rsidR="00125504">
        <w:rPr>
          <w:rFonts w:ascii="Times New Roman" w:eastAsia="Times New Roman" w:hAnsi="Times New Roman" w:cs="Times New Roman"/>
          <w:snapToGrid w:val="0"/>
          <w:szCs w:val="18"/>
        </w:rPr>
        <w:t>.</w:t>
      </w:r>
    </w:p>
    <w:p w14:paraId="7374156A" w14:textId="0AF20FEE" w:rsidR="003F4510" w:rsidRPr="00125504" w:rsidRDefault="0096326F" w:rsidP="00B0677D">
      <w:pPr>
        <w:rPr>
          <w:rFonts w:ascii="Times New Roman" w:hAnsi="Times New Roman" w:cs="Times New Roman"/>
          <w:bCs/>
        </w:rPr>
      </w:pPr>
      <w:r>
        <w:rPr>
          <w:rFonts w:ascii="Times New Roman" w:eastAsia="Times New Roman" w:hAnsi="Times New Roman" w:cs="Times New Roman"/>
          <w:snapToGrid w:val="0"/>
          <w:szCs w:val="18"/>
        </w:rPr>
        <w:t>The</w:t>
      </w:r>
      <w:r w:rsidR="00B77A1A">
        <w:rPr>
          <w:rFonts w:ascii="Times New Roman" w:eastAsia="Times New Roman" w:hAnsi="Times New Roman" w:cs="Times New Roman"/>
          <w:snapToGrid w:val="0"/>
          <w:szCs w:val="18"/>
        </w:rPr>
        <w:t xml:space="preserve"> </w:t>
      </w:r>
      <w:r w:rsidR="009F1672">
        <w:rPr>
          <w:rFonts w:ascii="Times New Roman" w:eastAsia="Times New Roman" w:hAnsi="Times New Roman" w:cs="Times New Roman"/>
          <w:snapToGrid w:val="0"/>
          <w:szCs w:val="18"/>
        </w:rPr>
        <w:t>Department of Infrastructure, Transport, Regional Development, Communications and the Arts</w:t>
      </w:r>
      <w:r w:rsidR="00462384">
        <w:rPr>
          <w:rFonts w:ascii="Times New Roman" w:eastAsia="Times New Roman" w:hAnsi="Times New Roman" w:cs="Times New Roman"/>
          <w:snapToGrid w:val="0"/>
          <w:szCs w:val="18"/>
        </w:rPr>
        <w:t xml:space="preserve"> (</w:t>
      </w:r>
      <w:r w:rsidR="00462384">
        <w:rPr>
          <w:rFonts w:ascii="Times New Roman" w:eastAsia="Times New Roman" w:hAnsi="Times New Roman" w:cs="Times New Roman"/>
          <w:b/>
          <w:bCs/>
          <w:snapToGrid w:val="0"/>
          <w:szCs w:val="18"/>
        </w:rPr>
        <w:t>the Department</w:t>
      </w:r>
      <w:r w:rsidR="00462384">
        <w:rPr>
          <w:rFonts w:ascii="Times New Roman" w:eastAsia="Times New Roman" w:hAnsi="Times New Roman" w:cs="Times New Roman"/>
          <w:snapToGrid w:val="0"/>
          <w:szCs w:val="18"/>
        </w:rPr>
        <w:t>)</w:t>
      </w:r>
      <w:r w:rsidR="00C7331C" w:rsidRPr="00F81BD5">
        <w:rPr>
          <w:rFonts w:ascii="Times New Roman" w:eastAsia="Times New Roman" w:hAnsi="Times New Roman" w:cs="Times New Roman"/>
          <w:snapToGrid w:val="0"/>
          <w:szCs w:val="18"/>
        </w:rPr>
        <w:t xml:space="preserve"> </w:t>
      </w:r>
      <w:r w:rsidR="00F81BD5" w:rsidRPr="00F81BD5">
        <w:rPr>
          <w:rFonts w:ascii="Times New Roman" w:eastAsia="Times New Roman" w:hAnsi="Times New Roman" w:cs="Times New Roman"/>
          <w:snapToGrid w:val="0"/>
          <w:szCs w:val="18"/>
        </w:rPr>
        <w:t xml:space="preserve">completed the thematic review </w:t>
      </w:r>
      <w:r w:rsidR="00E6084A">
        <w:rPr>
          <w:rFonts w:ascii="Times New Roman" w:eastAsia="Times New Roman" w:hAnsi="Times New Roman" w:cs="Times New Roman"/>
          <w:snapToGrid w:val="0"/>
          <w:szCs w:val="18"/>
        </w:rPr>
        <w:t xml:space="preserve">in </w:t>
      </w:r>
      <w:r w:rsidR="00E6084A" w:rsidRPr="00FC6CC5">
        <w:rPr>
          <w:rFonts w:ascii="Times New Roman" w:eastAsia="Times New Roman" w:hAnsi="Times New Roman" w:cs="Times New Roman"/>
          <w:snapToGrid w:val="0"/>
          <w:szCs w:val="18"/>
        </w:rPr>
        <w:t>June 2023.</w:t>
      </w:r>
      <w:r w:rsidR="00FA0D3C">
        <w:rPr>
          <w:rFonts w:ascii="Times New Roman" w:eastAsia="Times New Roman" w:hAnsi="Times New Roman" w:cs="Times New Roman"/>
          <w:snapToGrid w:val="0"/>
          <w:szCs w:val="18"/>
        </w:rPr>
        <w:t xml:space="preserve"> The </w:t>
      </w:r>
      <w:r w:rsidR="00A208CC">
        <w:rPr>
          <w:rFonts w:ascii="Times New Roman" w:eastAsia="Times New Roman" w:hAnsi="Times New Roman" w:cs="Times New Roman"/>
          <w:snapToGrid w:val="0"/>
          <w:szCs w:val="18"/>
        </w:rPr>
        <w:t xml:space="preserve">CSG Direction </w:t>
      </w:r>
      <w:r w:rsidR="00CB2FEF">
        <w:rPr>
          <w:rFonts w:ascii="Times New Roman" w:eastAsia="Times New Roman" w:hAnsi="Times New Roman" w:cs="Times New Roman"/>
          <w:snapToGrid w:val="0"/>
          <w:szCs w:val="18"/>
        </w:rPr>
        <w:t xml:space="preserve">was made following the thematic review, to provide for </w:t>
      </w:r>
      <w:r w:rsidR="00823A86">
        <w:rPr>
          <w:rFonts w:ascii="Times New Roman" w:eastAsia="Times New Roman" w:hAnsi="Times New Roman" w:cs="Times New Roman"/>
          <w:snapToGrid w:val="0"/>
          <w:szCs w:val="18"/>
        </w:rPr>
        <w:t>C</w:t>
      </w:r>
      <w:r w:rsidR="00CB2FEF">
        <w:rPr>
          <w:rFonts w:ascii="Times New Roman" w:eastAsia="Times New Roman" w:hAnsi="Times New Roman" w:cs="Times New Roman"/>
          <w:snapToGrid w:val="0"/>
          <w:szCs w:val="18"/>
        </w:rPr>
        <w:t xml:space="preserve">SG arrangements </w:t>
      </w:r>
      <w:r w:rsidR="00823A86">
        <w:rPr>
          <w:rFonts w:ascii="Times New Roman" w:eastAsia="Times New Roman" w:hAnsi="Times New Roman" w:cs="Times New Roman"/>
          <w:snapToGrid w:val="0"/>
          <w:szCs w:val="18"/>
        </w:rPr>
        <w:t xml:space="preserve">to continue for an interim period of three years, </w:t>
      </w:r>
      <w:r w:rsidR="00D672A2">
        <w:rPr>
          <w:rFonts w:ascii="Times New Roman" w:eastAsia="Times New Roman" w:hAnsi="Times New Roman" w:cs="Times New Roman"/>
          <w:snapToGrid w:val="0"/>
          <w:szCs w:val="18"/>
        </w:rPr>
        <w:t xml:space="preserve">while </w:t>
      </w:r>
      <w:r w:rsidR="00514455">
        <w:rPr>
          <w:rFonts w:ascii="Times New Roman" w:eastAsia="Times New Roman" w:hAnsi="Times New Roman" w:cs="Times New Roman"/>
          <w:snapToGrid w:val="0"/>
          <w:szCs w:val="18"/>
        </w:rPr>
        <w:t xml:space="preserve">the </w:t>
      </w:r>
      <w:r w:rsidR="008063A2">
        <w:rPr>
          <w:rFonts w:ascii="Times New Roman" w:eastAsia="Times New Roman" w:hAnsi="Times New Roman" w:cs="Times New Roman"/>
          <w:snapToGrid w:val="0"/>
          <w:szCs w:val="18"/>
        </w:rPr>
        <w:t>G</w:t>
      </w:r>
      <w:r w:rsidR="00D36AF7">
        <w:rPr>
          <w:rFonts w:ascii="Times New Roman" w:eastAsia="Times New Roman" w:hAnsi="Times New Roman" w:cs="Times New Roman"/>
          <w:snapToGrid w:val="0"/>
          <w:szCs w:val="18"/>
        </w:rPr>
        <w:t xml:space="preserve">overnment considers long-term </w:t>
      </w:r>
      <w:r w:rsidR="00823A86">
        <w:rPr>
          <w:rFonts w:ascii="Times New Roman" w:eastAsia="Times New Roman" w:hAnsi="Times New Roman" w:cs="Times New Roman"/>
          <w:snapToGrid w:val="0"/>
          <w:szCs w:val="18"/>
        </w:rPr>
        <w:t>arrangements.</w:t>
      </w:r>
    </w:p>
    <w:p w14:paraId="23950A53" w14:textId="7113F47B" w:rsidR="00B0677D" w:rsidRDefault="00B0677D" w:rsidP="00B0677D">
      <w:pPr>
        <w:rPr>
          <w:rFonts w:ascii="Times New Roman" w:hAnsi="Times New Roman" w:cs="Times New Roman"/>
        </w:rPr>
      </w:pPr>
      <w:r>
        <w:rPr>
          <w:rFonts w:ascii="Times New Roman" w:hAnsi="Times New Roman" w:cs="Times New Roman"/>
        </w:rPr>
        <w:t xml:space="preserve">A provision-by-provision description of </w:t>
      </w:r>
      <w:r w:rsidR="0016481E">
        <w:rPr>
          <w:rFonts w:ascii="Times New Roman" w:hAnsi="Times New Roman" w:cs="Times New Roman"/>
        </w:rPr>
        <w:t>the CSG Standard</w:t>
      </w:r>
      <w:r>
        <w:rPr>
          <w:rFonts w:ascii="Times New Roman" w:hAnsi="Times New Roman" w:cs="Times New Roman"/>
        </w:rPr>
        <w:t xml:space="preserve"> is set out in </w:t>
      </w:r>
      <w:r>
        <w:rPr>
          <w:rFonts w:ascii="Times New Roman" w:hAnsi="Times New Roman" w:cs="Times New Roman"/>
          <w:b/>
        </w:rPr>
        <w:t>Attachment A</w:t>
      </w:r>
      <w:r>
        <w:rPr>
          <w:rFonts w:ascii="Times New Roman" w:hAnsi="Times New Roman" w:cs="Times New Roman"/>
        </w:rPr>
        <w:t>.</w:t>
      </w:r>
    </w:p>
    <w:p w14:paraId="27B9CEB2" w14:textId="17926260" w:rsidR="00B0677D" w:rsidRDefault="0016481E" w:rsidP="00B0677D">
      <w:pPr>
        <w:rPr>
          <w:rFonts w:ascii="Times New Roman" w:hAnsi="Times New Roman" w:cs="Times New Roman"/>
        </w:rPr>
      </w:pPr>
      <w:r>
        <w:rPr>
          <w:rFonts w:ascii="Times New Roman" w:hAnsi="Times New Roman" w:cs="Times New Roman"/>
        </w:rPr>
        <w:t>The CSG Standard</w:t>
      </w:r>
      <w:r w:rsidR="00B0677D">
        <w:rPr>
          <w:rFonts w:ascii="Times New Roman" w:hAnsi="Times New Roman" w:cs="Times New Roman"/>
        </w:rPr>
        <w:t xml:space="preserve"> is a </w:t>
      </w:r>
      <w:r w:rsidR="006969A4">
        <w:rPr>
          <w:rFonts w:ascii="Times New Roman" w:hAnsi="Times New Roman" w:cs="Times New Roman"/>
        </w:rPr>
        <w:t xml:space="preserve">disallowable </w:t>
      </w:r>
      <w:r w:rsidR="00B0677D">
        <w:rPr>
          <w:rFonts w:ascii="Times New Roman" w:hAnsi="Times New Roman" w:cs="Times New Roman"/>
        </w:rPr>
        <w:t xml:space="preserve">legislative instrument for the purposes of the </w:t>
      </w:r>
      <w:r w:rsidR="00B0677D" w:rsidRPr="004963B3">
        <w:rPr>
          <w:rFonts w:ascii="Times New Roman" w:hAnsi="Times New Roman" w:cs="Times New Roman"/>
          <w:i/>
        </w:rPr>
        <w:t xml:space="preserve">Legislation Act 2003 </w:t>
      </w:r>
      <w:r w:rsidR="00B0677D" w:rsidRPr="004963B3">
        <w:rPr>
          <w:rFonts w:ascii="Times New Roman" w:hAnsi="Times New Roman" w:cs="Times New Roman"/>
        </w:rPr>
        <w:t>(</w:t>
      </w:r>
      <w:r w:rsidR="00B0677D" w:rsidRPr="004963B3">
        <w:rPr>
          <w:rFonts w:ascii="Times New Roman" w:hAnsi="Times New Roman" w:cs="Times New Roman"/>
          <w:b/>
        </w:rPr>
        <w:t>the LA</w:t>
      </w:r>
      <w:r w:rsidR="00B0677D" w:rsidRPr="004963B3">
        <w:rPr>
          <w:rFonts w:ascii="Times New Roman" w:hAnsi="Times New Roman" w:cs="Times New Roman"/>
        </w:rPr>
        <w:t>).</w:t>
      </w:r>
    </w:p>
    <w:p w14:paraId="1E3B5384" w14:textId="77777777" w:rsidR="00B0677D" w:rsidRDefault="00B0677D" w:rsidP="00B0677D">
      <w:pPr>
        <w:rPr>
          <w:rFonts w:ascii="Times New Roman" w:hAnsi="Times New Roman" w:cs="Times New Roman"/>
          <w:b/>
        </w:rPr>
      </w:pPr>
      <w:r>
        <w:rPr>
          <w:rFonts w:ascii="Times New Roman" w:hAnsi="Times New Roman" w:cs="Times New Roman"/>
          <w:b/>
        </w:rPr>
        <w:t>Documents incorporated by reference</w:t>
      </w:r>
    </w:p>
    <w:p w14:paraId="3E9F7AFD" w14:textId="36D9D786" w:rsidR="00BE4E8C" w:rsidRDefault="0016481E" w:rsidP="00B0677D">
      <w:pPr>
        <w:rPr>
          <w:rFonts w:ascii="Times New Roman" w:hAnsi="Times New Roman" w:cs="Times New Roman"/>
        </w:rPr>
      </w:pPr>
      <w:r>
        <w:rPr>
          <w:rFonts w:ascii="Times New Roman" w:hAnsi="Times New Roman" w:cs="Times New Roman"/>
        </w:rPr>
        <w:t>The CSG Standard</w:t>
      </w:r>
      <w:r w:rsidR="00B0677D" w:rsidRPr="003D08F6">
        <w:rPr>
          <w:rFonts w:ascii="Times New Roman" w:hAnsi="Times New Roman" w:cs="Times New Roman"/>
        </w:rPr>
        <w:t xml:space="preserve"> incorporates </w:t>
      </w:r>
      <w:r w:rsidR="00510E08">
        <w:rPr>
          <w:rFonts w:ascii="Times New Roman" w:hAnsi="Times New Roman" w:cs="Times New Roman"/>
        </w:rPr>
        <w:t xml:space="preserve">the following </w:t>
      </w:r>
      <w:r w:rsidR="00BE4E8C">
        <w:rPr>
          <w:rFonts w:ascii="Times New Roman" w:hAnsi="Times New Roman" w:cs="Times New Roman"/>
        </w:rPr>
        <w:t>Acts and legislative instruments (including by adoption of definitions), or otherwise refers to them:</w:t>
      </w:r>
    </w:p>
    <w:p w14:paraId="3DB863D1" w14:textId="07ED1CBF" w:rsidR="00C220B3" w:rsidRDefault="00C220B3" w:rsidP="00BE4E8C">
      <w:pPr>
        <w:pStyle w:val="ListParagraph"/>
        <w:numPr>
          <w:ilvl w:val="0"/>
          <w:numId w:val="36"/>
        </w:numPr>
        <w:rPr>
          <w:rFonts w:ascii="Times New Roman" w:hAnsi="Times New Roman" w:cs="Times New Roman"/>
        </w:rPr>
      </w:pPr>
      <w:r>
        <w:rPr>
          <w:rFonts w:ascii="Times New Roman" w:hAnsi="Times New Roman" w:cs="Times New Roman"/>
        </w:rPr>
        <w:t>the Act</w:t>
      </w:r>
      <w:r w:rsidR="004650E7">
        <w:rPr>
          <w:rFonts w:ascii="Times New Roman" w:hAnsi="Times New Roman" w:cs="Times New Roman"/>
        </w:rPr>
        <w:t>;</w:t>
      </w:r>
    </w:p>
    <w:p w14:paraId="7FA52216" w14:textId="1CD01C8A" w:rsidR="00BE4E8C" w:rsidRDefault="00BE4E8C" w:rsidP="00BE4E8C">
      <w:pPr>
        <w:pStyle w:val="ListParagraph"/>
        <w:numPr>
          <w:ilvl w:val="0"/>
          <w:numId w:val="36"/>
        </w:numPr>
        <w:rPr>
          <w:rFonts w:ascii="Times New Roman" w:hAnsi="Times New Roman" w:cs="Times New Roman"/>
        </w:rPr>
      </w:pPr>
      <w:r>
        <w:rPr>
          <w:rFonts w:ascii="Times New Roman" w:hAnsi="Times New Roman" w:cs="Times New Roman"/>
        </w:rPr>
        <w:t>the A</w:t>
      </w:r>
      <w:r w:rsidR="006C6DF1">
        <w:rPr>
          <w:rFonts w:ascii="Times New Roman" w:hAnsi="Times New Roman" w:cs="Times New Roman"/>
        </w:rPr>
        <w:t>IA</w:t>
      </w:r>
      <w:r>
        <w:rPr>
          <w:rFonts w:ascii="Times New Roman" w:hAnsi="Times New Roman" w:cs="Times New Roman"/>
        </w:rPr>
        <w:t>;</w:t>
      </w:r>
    </w:p>
    <w:p w14:paraId="65294321" w14:textId="4E432C77" w:rsidR="006C6DF1" w:rsidRDefault="006C6DF1" w:rsidP="00BE4E8C">
      <w:pPr>
        <w:pStyle w:val="ListParagraph"/>
        <w:numPr>
          <w:ilvl w:val="0"/>
          <w:numId w:val="36"/>
        </w:numPr>
        <w:rPr>
          <w:rFonts w:ascii="Times New Roman" w:hAnsi="Times New Roman" w:cs="Times New Roman"/>
        </w:rPr>
      </w:pPr>
      <w:r>
        <w:rPr>
          <w:rFonts w:ascii="Times New Roman" w:hAnsi="Times New Roman" w:cs="Times New Roman"/>
        </w:rPr>
        <w:t>the LA</w:t>
      </w:r>
      <w:r w:rsidR="009308A8">
        <w:rPr>
          <w:rFonts w:ascii="Times New Roman" w:hAnsi="Times New Roman" w:cs="Times New Roman"/>
        </w:rPr>
        <w:t>;</w:t>
      </w:r>
    </w:p>
    <w:p w14:paraId="49477B24" w14:textId="25F32AFA" w:rsidR="00AD050B" w:rsidRDefault="00C220B3" w:rsidP="00B0677D">
      <w:pPr>
        <w:pStyle w:val="ListParagraph"/>
        <w:numPr>
          <w:ilvl w:val="0"/>
          <w:numId w:val="36"/>
        </w:numPr>
        <w:rPr>
          <w:rFonts w:ascii="Times New Roman" w:hAnsi="Times New Roman" w:cs="Times New Roman"/>
        </w:rPr>
      </w:pPr>
      <w:r>
        <w:rPr>
          <w:rFonts w:ascii="Times New Roman" w:hAnsi="Times New Roman" w:cs="Times New Roman"/>
        </w:rPr>
        <w:t xml:space="preserve">the </w:t>
      </w:r>
      <w:r w:rsidR="00971837" w:rsidRPr="00E4509C">
        <w:rPr>
          <w:rFonts w:ascii="Times New Roman" w:hAnsi="Times New Roman" w:cs="Times New Roman"/>
          <w:i/>
          <w:iCs/>
        </w:rPr>
        <w:t>Telecommunications Act 1997</w:t>
      </w:r>
      <w:r w:rsidR="00646934">
        <w:rPr>
          <w:rFonts w:ascii="Times New Roman" w:hAnsi="Times New Roman" w:cs="Times New Roman"/>
        </w:rPr>
        <w:t xml:space="preserve"> (</w:t>
      </w:r>
      <w:r w:rsidR="00646934" w:rsidRPr="00E4509C">
        <w:rPr>
          <w:rFonts w:ascii="Times New Roman" w:hAnsi="Times New Roman" w:cs="Times New Roman"/>
          <w:b/>
          <w:bCs/>
        </w:rPr>
        <w:t>Telecommunications Act</w:t>
      </w:r>
      <w:r w:rsidR="00646934">
        <w:rPr>
          <w:rFonts w:ascii="Times New Roman" w:hAnsi="Times New Roman" w:cs="Times New Roman"/>
        </w:rPr>
        <w:t>)</w:t>
      </w:r>
      <w:r w:rsidR="00AD050B">
        <w:rPr>
          <w:rFonts w:ascii="Times New Roman" w:hAnsi="Times New Roman" w:cs="Times New Roman"/>
        </w:rPr>
        <w:t>;</w:t>
      </w:r>
      <w:r w:rsidR="00385419">
        <w:rPr>
          <w:rFonts w:ascii="Times New Roman" w:hAnsi="Times New Roman" w:cs="Times New Roman"/>
        </w:rPr>
        <w:t xml:space="preserve"> and</w:t>
      </w:r>
    </w:p>
    <w:p w14:paraId="21BA1E72" w14:textId="18AA0A72" w:rsidR="004046F2" w:rsidRPr="00E4509C" w:rsidRDefault="00AD050B" w:rsidP="00E4509C">
      <w:pPr>
        <w:pStyle w:val="ListParagraph"/>
        <w:numPr>
          <w:ilvl w:val="0"/>
          <w:numId w:val="36"/>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Telecommunications (Emergency Call Service) Determination 2019</w:t>
      </w:r>
      <w:r w:rsidR="005C1876">
        <w:rPr>
          <w:rFonts w:ascii="Times New Roman" w:hAnsi="Times New Roman" w:cs="Times New Roman"/>
        </w:rPr>
        <w:t>.</w:t>
      </w:r>
      <w:r w:rsidR="00B0677D" w:rsidRPr="00E4509C">
        <w:rPr>
          <w:rFonts w:ascii="Times New Roman" w:hAnsi="Times New Roman" w:cs="Times New Roman"/>
        </w:rPr>
        <w:t xml:space="preserve"> </w:t>
      </w:r>
    </w:p>
    <w:p w14:paraId="4A588AFE" w14:textId="631B7EC5" w:rsidR="00386287" w:rsidRDefault="00386287" w:rsidP="00B0677D">
      <w:pPr>
        <w:rPr>
          <w:rFonts w:ascii="Times New Roman" w:hAnsi="Times New Roman" w:cs="Times New Roman"/>
        </w:rPr>
      </w:pPr>
      <w:r>
        <w:rPr>
          <w:rFonts w:ascii="Times New Roman" w:hAnsi="Times New Roman" w:cs="Times New Roman"/>
        </w:rPr>
        <w:t xml:space="preserve">The Acts and legislative instruments listed above may be accessed, free of charge, from the Federal Register of Legislation </w:t>
      </w:r>
      <w:r w:rsidR="00384777">
        <w:rPr>
          <w:rFonts w:ascii="Times New Roman" w:hAnsi="Times New Roman" w:cs="Times New Roman"/>
        </w:rPr>
        <w:t>(</w:t>
      </w:r>
      <w:hyperlink r:id="rId12" w:history="1">
        <w:r w:rsidR="00384777" w:rsidRPr="004F0917">
          <w:rPr>
            <w:rStyle w:val="Hyperlink"/>
            <w:rFonts w:ascii="Times New Roman" w:hAnsi="Times New Roman" w:cs="Times New Roman"/>
          </w:rPr>
          <w:t>www.legislation.gov.au</w:t>
        </w:r>
      </w:hyperlink>
      <w:r w:rsidR="00384777">
        <w:rPr>
          <w:rFonts w:ascii="Times New Roman" w:hAnsi="Times New Roman" w:cs="Times New Roman"/>
        </w:rPr>
        <w:t xml:space="preserve">). The Acts </w:t>
      </w:r>
      <w:r w:rsidR="00B53427">
        <w:rPr>
          <w:rFonts w:ascii="Times New Roman" w:hAnsi="Times New Roman" w:cs="Times New Roman"/>
        </w:rPr>
        <w:t xml:space="preserve">and instruments </w:t>
      </w:r>
      <w:r w:rsidR="00384777">
        <w:rPr>
          <w:rFonts w:ascii="Times New Roman" w:hAnsi="Times New Roman" w:cs="Times New Roman"/>
        </w:rPr>
        <w:t>listed above</w:t>
      </w:r>
      <w:r w:rsidR="005C1876">
        <w:rPr>
          <w:rFonts w:ascii="Times New Roman" w:hAnsi="Times New Roman" w:cs="Times New Roman"/>
        </w:rPr>
        <w:t>, where they are incorporated,</w:t>
      </w:r>
      <w:r w:rsidR="00384777">
        <w:rPr>
          <w:rFonts w:ascii="Times New Roman" w:hAnsi="Times New Roman" w:cs="Times New Roman"/>
        </w:rPr>
        <w:t xml:space="preserve"> are incorporated as in force from time to time</w:t>
      </w:r>
      <w:r w:rsidR="006C6DF1">
        <w:rPr>
          <w:rFonts w:ascii="Times New Roman" w:hAnsi="Times New Roman" w:cs="Times New Roman"/>
        </w:rPr>
        <w:t xml:space="preserve">, in accordance with </w:t>
      </w:r>
      <w:r w:rsidR="00B53427">
        <w:rPr>
          <w:rFonts w:ascii="Times New Roman" w:hAnsi="Times New Roman" w:cs="Times New Roman"/>
        </w:rPr>
        <w:t xml:space="preserve">section </w:t>
      </w:r>
      <w:r w:rsidR="00646934">
        <w:rPr>
          <w:rFonts w:ascii="Times New Roman" w:hAnsi="Times New Roman" w:cs="Times New Roman"/>
        </w:rPr>
        <w:t>589 of the Telecommunications Act</w:t>
      </w:r>
      <w:r w:rsidR="00005DA1">
        <w:rPr>
          <w:rFonts w:ascii="Times New Roman" w:hAnsi="Times New Roman" w:cs="Times New Roman"/>
        </w:rPr>
        <w:t>.</w:t>
      </w:r>
      <w:r w:rsidR="00384777">
        <w:rPr>
          <w:rFonts w:ascii="Times New Roman" w:hAnsi="Times New Roman" w:cs="Times New Roman"/>
        </w:rPr>
        <w:t xml:space="preserve"> </w:t>
      </w:r>
    </w:p>
    <w:p w14:paraId="314F67D8" w14:textId="67053FD3" w:rsidR="00080BD6" w:rsidRDefault="009F461D" w:rsidP="00B0677D">
      <w:pPr>
        <w:rPr>
          <w:rFonts w:ascii="Times New Roman" w:hAnsi="Times New Roman" w:cs="Times New Roman"/>
        </w:rPr>
      </w:pPr>
      <w:r>
        <w:rPr>
          <w:rFonts w:ascii="Times New Roman" w:hAnsi="Times New Roman" w:cs="Times New Roman"/>
        </w:rPr>
        <w:t xml:space="preserve">An </w:t>
      </w:r>
      <w:r w:rsidR="005C1876">
        <w:rPr>
          <w:rFonts w:ascii="Times New Roman" w:hAnsi="Times New Roman" w:cs="Times New Roman"/>
        </w:rPr>
        <w:t>“</w:t>
      </w:r>
      <w:r>
        <w:rPr>
          <w:rFonts w:ascii="Times New Roman" w:hAnsi="Times New Roman" w:cs="Times New Roman"/>
        </w:rPr>
        <w:t>urban centre</w:t>
      </w:r>
      <w:r w:rsidR="005C1876">
        <w:rPr>
          <w:rFonts w:ascii="Times New Roman" w:hAnsi="Times New Roman" w:cs="Times New Roman"/>
        </w:rPr>
        <w:t>”</w:t>
      </w:r>
      <w:r>
        <w:rPr>
          <w:rFonts w:ascii="Times New Roman" w:hAnsi="Times New Roman" w:cs="Times New Roman"/>
        </w:rPr>
        <w:t xml:space="preserve"> and a </w:t>
      </w:r>
      <w:r w:rsidR="005C1876">
        <w:rPr>
          <w:rFonts w:ascii="Times New Roman" w:hAnsi="Times New Roman" w:cs="Times New Roman"/>
        </w:rPr>
        <w:t>“</w:t>
      </w:r>
      <w:r>
        <w:rPr>
          <w:rFonts w:ascii="Times New Roman" w:hAnsi="Times New Roman" w:cs="Times New Roman"/>
        </w:rPr>
        <w:t>locality</w:t>
      </w:r>
      <w:r w:rsidR="005C1876">
        <w:rPr>
          <w:rFonts w:ascii="Times New Roman" w:hAnsi="Times New Roman" w:cs="Times New Roman"/>
        </w:rPr>
        <w:t>”</w:t>
      </w:r>
      <w:r>
        <w:rPr>
          <w:rFonts w:ascii="Times New Roman" w:hAnsi="Times New Roman" w:cs="Times New Roman"/>
        </w:rPr>
        <w:t xml:space="preserve"> are defined for the purposes of section 14 and Part 2 of Schedule 1 to the CSG Standard, in subsection 14(6)</w:t>
      </w:r>
      <w:r w:rsidR="004650E7">
        <w:rPr>
          <w:rFonts w:ascii="Times New Roman" w:hAnsi="Times New Roman" w:cs="Times New Roman"/>
        </w:rPr>
        <w:t xml:space="preserve"> </w:t>
      </w:r>
      <w:r w:rsidR="00B13B45">
        <w:rPr>
          <w:rFonts w:ascii="Times New Roman" w:hAnsi="Times New Roman" w:cs="Times New Roman"/>
        </w:rPr>
        <w:t xml:space="preserve">of, </w:t>
      </w:r>
      <w:r>
        <w:rPr>
          <w:rFonts w:ascii="Times New Roman" w:hAnsi="Times New Roman" w:cs="Times New Roman"/>
        </w:rPr>
        <w:t xml:space="preserve">and </w:t>
      </w:r>
      <w:r w:rsidR="00F345A9">
        <w:rPr>
          <w:rFonts w:ascii="Times New Roman" w:hAnsi="Times New Roman" w:cs="Times New Roman"/>
        </w:rPr>
        <w:t>item</w:t>
      </w:r>
      <w:r>
        <w:rPr>
          <w:rFonts w:ascii="Times New Roman" w:hAnsi="Times New Roman" w:cs="Times New Roman"/>
        </w:rPr>
        <w:t xml:space="preserve"> 102 of Schedule 1 to</w:t>
      </w:r>
      <w:r w:rsidR="00B13B45">
        <w:rPr>
          <w:rFonts w:ascii="Times New Roman" w:hAnsi="Times New Roman" w:cs="Times New Roman"/>
        </w:rPr>
        <w:t>,</w:t>
      </w:r>
      <w:r>
        <w:rPr>
          <w:rFonts w:ascii="Times New Roman" w:hAnsi="Times New Roman" w:cs="Times New Roman"/>
        </w:rPr>
        <w:t xml:space="preserve"> the CSG Standard. Both are to be determined in accordance with criteria used by the Australian Bureau of Statistics </w:t>
      </w:r>
      <w:r w:rsidR="00CE6AF3">
        <w:rPr>
          <w:rFonts w:ascii="Times New Roman" w:hAnsi="Times New Roman" w:cs="Times New Roman"/>
        </w:rPr>
        <w:t>(</w:t>
      </w:r>
      <w:r w:rsidR="00CE6AF3" w:rsidRPr="003F1DDB">
        <w:rPr>
          <w:rFonts w:ascii="Times New Roman" w:hAnsi="Times New Roman" w:cs="Times New Roman"/>
          <w:b/>
          <w:bCs/>
        </w:rPr>
        <w:t>ABS</w:t>
      </w:r>
      <w:r w:rsidR="00CE6AF3">
        <w:rPr>
          <w:rFonts w:ascii="Times New Roman" w:hAnsi="Times New Roman" w:cs="Times New Roman"/>
        </w:rPr>
        <w:t xml:space="preserve">) </w:t>
      </w:r>
      <w:r>
        <w:rPr>
          <w:rFonts w:ascii="Times New Roman" w:hAnsi="Times New Roman" w:cs="Times New Roman"/>
        </w:rPr>
        <w:t xml:space="preserve">for the most recent Australian Census. </w:t>
      </w:r>
      <w:r w:rsidR="00DE61B7">
        <w:rPr>
          <w:rFonts w:ascii="Times New Roman" w:hAnsi="Times New Roman" w:cs="Times New Roman"/>
        </w:rPr>
        <w:t>A note to each of those provisions refers to t</w:t>
      </w:r>
      <w:r w:rsidR="00C0667B">
        <w:rPr>
          <w:rFonts w:ascii="Times New Roman" w:hAnsi="Times New Roman" w:cs="Times New Roman"/>
        </w:rPr>
        <w:t>he</w:t>
      </w:r>
      <w:r w:rsidR="00F05B79">
        <w:rPr>
          <w:rFonts w:ascii="Times New Roman" w:hAnsi="Times New Roman" w:cs="Times New Roman"/>
        </w:rPr>
        <w:t xml:space="preserve"> </w:t>
      </w:r>
      <w:r w:rsidR="00C0667B">
        <w:rPr>
          <w:rFonts w:ascii="Times New Roman" w:hAnsi="Times New Roman" w:cs="Times New Roman"/>
        </w:rPr>
        <w:t>publication “</w:t>
      </w:r>
      <w:r w:rsidR="00F05B79">
        <w:rPr>
          <w:rFonts w:ascii="Times New Roman" w:hAnsi="Times New Roman" w:cs="Times New Roman"/>
        </w:rPr>
        <w:t xml:space="preserve">Australian Statistical Geography Standard </w:t>
      </w:r>
      <w:r w:rsidR="00C0667B">
        <w:rPr>
          <w:rFonts w:ascii="Times New Roman" w:hAnsi="Times New Roman" w:cs="Times New Roman"/>
        </w:rPr>
        <w:t xml:space="preserve">(ASGS) </w:t>
      </w:r>
      <w:r w:rsidR="00F05B79">
        <w:rPr>
          <w:rFonts w:ascii="Times New Roman" w:hAnsi="Times New Roman" w:cs="Times New Roman"/>
        </w:rPr>
        <w:t>Edition 3</w:t>
      </w:r>
      <w:r w:rsidR="00C0667B">
        <w:rPr>
          <w:rFonts w:ascii="Times New Roman" w:hAnsi="Times New Roman" w:cs="Times New Roman"/>
        </w:rPr>
        <w:t>”</w:t>
      </w:r>
      <w:r w:rsidR="00F05B79">
        <w:rPr>
          <w:rFonts w:ascii="Times New Roman" w:hAnsi="Times New Roman" w:cs="Times New Roman"/>
        </w:rPr>
        <w:t xml:space="preserve"> as published by the ABS</w:t>
      </w:r>
      <w:r w:rsidR="00DE61B7">
        <w:rPr>
          <w:rFonts w:ascii="Times New Roman" w:hAnsi="Times New Roman" w:cs="Times New Roman"/>
        </w:rPr>
        <w:t xml:space="preserve">, which provides information about the method of delineation of urban centres and localities used </w:t>
      </w:r>
      <w:r w:rsidR="00E4509C">
        <w:rPr>
          <w:rFonts w:ascii="Times New Roman" w:hAnsi="Times New Roman" w:cs="Times New Roman"/>
        </w:rPr>
        <w:t>b</w:t>
      </w:r>
      <w:r w:rsidR="00DE61B7">
        <w:rPr>
          <w:rFonts w:ascii="Times New Roman" w:hAnsi="Times New Roman" w:cs="Times New Roman"/>
        </w:rPr>
        <w:t>y the ABS, together with a listing of current urban centres and localities.</w:t>
      </w:r>
      <w:r w:rsidR="00F05B79">
        <w:rPr>
          <w:rFonts w:ascii="Times New Roman" w:hAnsi="Times New Roman" w:cs="Times New Roman"/>
        </w:rPr>
        <w:t xml:space="preserve"> </w:t>
      </w:r>
      <w:r w:rsidR="006A3EDA">
        <w:rPr>
          <w:rFonts w:ascii="Times New Roman" w:hAnsi="Times New Roman" w:cs="Times New Roman"/>
        </w:rPr>
        <w:t xml:space="preserve">The criteria used by the ABS and the publication referred to are incorporated as in force </w:t>
      </w:r>
      <w:r w:rsidR="002A04F6">
        <w:rPr>
          <w:rFonts w:ascii="Times New Roman" w:hAnsi="Times New Roman" w:cs="Times New Roman"/>
        </w:rPr>
        <w:t xml:space="preserve">or existing </w:t>
      </w:r>
      <w:r w:rsidR="006A3EDA">
        <w:rPr>
          <w:rFonts w:ascii="Times New Roman" w:hAnsi="Times New Roman" w:cs="Times New Roman"/>
        </w:rPr>
        <w:t xml:space="preserve">from time to time, in accordance with </w:t>
      </w:r>
      <w:r w:rsidR="006A3EDA">
        <w:rPr>
          <w:rFonts w:ascii="Times New Roman" w:hAnsi="Times New Roman" w:cs="Times New Roman"/>
        </w:rPr>
        <w:lastRenderedPageBreak/>
        <w:t>section 589 of the Telecommunications Act.</w:t>
      </w:r>
      <w:r w:rsidR="00FC357E">
        <w:rPr>
          <w:rFonts w:ascii="Times New Roman" w:hAnsi="Times New Roman" w:cs="Times New Roman"/>
        </w:rPr>
        <w:t xml:space="preserve"> </w:t>
      </w:r>
      <w:r w:rsidR="00CE6AF3">
        <w:rPr>
          <w:rFonts w:ascii="Times New Roman" w:hAnsi="Times New Roman" w:cs="Times New Roman"/>
        </w:rPr>
        <w:t xml:space="preserve">The </w:t>
      </w:r>
      <w:r w:rsidR="008C3D46">
        <w:rPr>
          <w:rFonts w:ascii="Times New Roman" w:hAnsi="Times New Roman" w:cs="Times New Roman"/>
        </w:rPr>
        <w:t xml:space="preserve">publication referred to </w:t>
      </w:r>
      <w:r w:rsidR="00DE61B7">
        <w:rPr>
          <w:rFonts w:ascii="Times New Roman" w:hAnsi="Times New Roman" w:cs="Times New Roman"/>
        </w:rPr>
        <w:t>is</w:t>
      </w:r>
      <w:r w:rsidR="008C3D46">
        <w:rPr>
          <w:rFonts w:ascii="Times New Roman" w:hAnsi="Times New Roman" w:cs="Times New Roman"/>
        </w:rPr>
        <w:t xml:space="preserve"> available, free of change, from the ABS website: </w:t>
      </w:r>
      <w:hyperlink r:id="rId13" w:history="1">
        <w:r w:rsidR="008C3D46" w:rsidRPr="004F0917">
          <w:rPr>
            <w:rStyle w:val="Hyperlink"/>
            <w:rFonts w:ascii="Times New Roman" w:hAnsi="Times New Roman" w:cs="Times New Roman"/>
          </w:rPr>
          <w:t>www.abs.gov.au</w:t>
        </w:r>
      </w:hyperlink>
      <w:r w:rsidR="008C3D46">
        <w:rPr>
          <w:rFonts w:ascii="Times New Roman" w:hAnsi="Times New Roman" w:cs="Times New Roman"/>
        </w:rPr>
        <w:t xml:space="preserve">. </w:t>
      </w:r>
    </w:p>
    <w:p w14:paraId="6959A4AB" w14:textId="72E7E3E7" w:rsidR="00EF6E63" w:rsidRPr="00EF6E63" w:rsidRDefault="00EF6E63" w:rsidP="00B0677D">
      <w:pPr>
        <w:rPr>
          <w:rFonts w:ascii="Times New Roman" w:hAnsi="Times New Roman" w:cs="Times New Roman"/>
        </w:rPr>
      </w:pPr>
      <w:r>
        <w:rPr>
          <w:rFonts w:ascii="Times New Roman" w:hAnsi="Times New Roman" w:cs="Times New Roman"/>
        </w:rPr>
        <w:t xml:space="preserve">The </w:t>
      </w:r>
      <w:r w:rsidR="006A3EDA">
        <w:rPr>
          <w:rFonts w:ascii="Times New Roman" w:hAnsi="Times New Roman" w:cs="Times New Roman"/>
        </w:rPr>
        <w:t xml:space="preserve">2011 </w:t>
      </w:r>
      <w:r w:rsidR="00131284">
        <w:rPr>
          <w:rFonts w:ascii="Times New Roman" w:hAnsi="Times New Roman" w:cs="Times New Roman"/>
        </w:rPr>
        <w:t xml:space="preserve">CSG Standard is </w:t>
      </w:r>
      <w:r w:rsidR="00AF78DE">
        <w:rPr>
          <w:rFonts w:ascii="Times New Roman" w:hAnsi="Times New Roman" w:cs="Times New Roman"/>
        </w:rPr>
        <w:t xml:space="preserve">also </w:t>
      </w:r>
      <w:r>
        <w:rPr>
          <w:rFonts w:ascii="Times New Roman" w:hAnsi="Times New Roman" w:cs="Times New Roman"/>
        </w:rPr>
        <w:t>incorporated by reference</w:t>
      </w:r>
      <w:r w:rsidR="00131284">
        <w:rPr>
          <w:rFonts w:ascii="Times New Roman" w:hAnsi="Times New Roman" w:cs="Times New Roman"/>
        </w:rPr>
        <w:t xml:space="preserve">, as in force </w:t>
      </w:r>
      <w:r w:rsidR="00E56780">
        <w:rPr>
          <w:rFonts w:ascii="Times New Roman" w:hAnsi="Times New Roman" w:cs="Times New Roman"/>
        </w:rPr>
        <w:t>i</w:t>
      </w:r>
      <w:r w:rsidR="00F030EF">
        <w:rPr>
          <w:rFonts w:ascii="Times New Roman" w:hAnsi="Times New Roman" w:cs="Times New Roman"/>
        </w:rPr>
        <w:t>mmediately before the day on which the New CSG Standard commences</w:t>
      </w:r>
      <w:r w:rsidR="00AF78DE">
        <w:rPr>
          <w:rFonts w:ascii="Times New Roman" w:hAnsi="Times New Roman" w:cs="Times New Roman"/>
        </w:rPr>
        <w:t xml:space="preserve">, to support transitional arrangements as set out in Part </w:t>
      </w:r>
      <w:r w:rsidR="00005DA1">
        <w:rPr>
          <w:rFonts w:ascii="Times New Roman" w:hAnsi="Times New Roman" w:cs="Times New Roman"/>
        </w:rPr>
        <w:t>6 of the CSG Standard</w:t>
      </w:r>
      <w:r>
        <w:rPr>
          <w:rFonts w:ascii="Times New Roman" w:hAnsi="Times New Roman" w:cs="Times New Roman"/>
        </w:rPr>
        <w:t>.</w:t>
      </w:r>
      <w:r w:rsidR="008C3D46">
        <w:rPr>
          <w:rFonts w:ascii="Times New Roman" w:hAnsi="Times New Roman" w:cs="Times New Roman"/>
        </w:rPr>
        <w:t xml:space="preserve"> The 2011 CSG Standard is available, free of change, from the </w:t>
      </w:r>
      <w:r w:rsidR="00DB7814">
        <w:rPr>
          <w:rFonts w:ascii="Times New Roman" w:hAnsi="Times New Roman" w:cs="Times New Roman"/>
        </w:rPr>
        <w:t>Federal Register of Legislation (</w:t>
      </w:r>
      <w:hyperlink r:id="rId14" w:history="1">
        <w:r w:rsidR="00DB7814" w:rsidRPr="004F0917">
          <w:rPr>
            <w:rStyle w:val="Hyperlink"/>
            <w:rFonts w:ascii="Times New Roman" w:hAnsi="Times New Roman" w:cs="Times New Roman"/>
          </w:rPr>
          <w:t>www.legislation.gov.au</w:t>
        </w:r>
      </w:hyperlink>
      <w:r w:rsidR="00DB7814">
        <w:rPr>
          <w:rFonts w:ascii="Times New Roman" w:hAnsi="Times New Roman" w:cs="Times New Roman"/>
        </w:rPr>
        <w:t xml:space="preserve">). </w:t>
      </w:r>
    </w:p>
    <w:p w14:paraId="3DF8C848" w14:textId="77777777" w:rsidR="00B0677D" w:rsidRDefault="00B0677D" w:rsidP="00B0677D">
      <w:pPr>
        <w:rPr>
          <w:rFonts w:ascii="Times New Roman" w:hAnsi="Times New Roman" w:cs="Times New Roman"/>
          <w:b/>
        </w:rPr>
      </w:pPr>
      <w:r>
        <w:rPr>
          <w:rFonts w:ascii="Times New Roman" w:hAnsi="Times New Roman" w:cs="Times New Roman"/>
          <w:b/>
        </w:rPr>
        <w:t>Consultation</w:t>
      </w:r>
    </w:p>
    <w:p w14:paraId="4D7CA363" w14:textId="2A02A543" w:rsidR="00820766" w:rsidRDefault="00820766" w:rsidP="00820766">
      <w:pPr>
        <w:rPr>
          <w:rFonts w:ascii="Times New Roman" w:hAnsi="Times New Roman" w:cs="Times New Roman"/>
        </w:rPr>
      </w:pPr>
      <w:r>
        <w:rPr>
          <w:rFonts w:ascii="Times New Roman" w:hAnsi="Times New Roman" w:cs="Times New Roman"/>
        </w:rPr>
        <w:t xml:space="preserve">Before </w:t>
      </w:r>
      <w:r w:rsidR="0016481E">
        <w:rPr>
          <w:rFonts w:ascii="Times New Roman" w:hAnsi="Times New Roman" w:cs="Times New Roman"/>
        </w:rPr>
        <w:t>the CSG Standard</w:t>
      </w:r>
      <w:r>
        <w:rPr>
          <w:rFonts w:ascii="Times New Roman" w:hAnsi="Times New Roman" w:cs="Times New Roman"/>
        </w:rPr>
        <w:t xml:space="preserve"> was made, the ACMA was satisfied that consultation was undertaken to the extent appropriate and reasonably practicable, in accordance with section 17 of the </w:t>
      </w:r>
      <w:r w:rsidR="006F7979">
        <w:rPr>
          <w:rFonts w:ascii="Times New Roman" w:hAnsi="Times New Roman" w:cs="Times New Roman"/>
        </w:rPr>
        <w:t>LA</w:t>
      </w:r>
      <w:r>
        <w:rPr>
          <w:rFonts w:ascii="Times New Roman" w:hAnsi="Times New Roman" w:cs="Times New Roman"/>
        </w:rPr>
        <w:t>.</w:t>
      </w:r>
    </w:p>
    <w:p w14:paraId="0D689C8C" w14:textId="13BFB7D9" w:rsidR="00F14090" w:rsidRPr="002E1E46" w:rsidRDefault="00F14090" w:rsidP="00820766">
      <w:pPr>
        <w:rPr>
          <w:rFonts w:ascii="Times New Roman" w:hAnsi="Times New Roman" w:cs="Times New Roman"/>
          <w:i/>
          <w:iCs/>
        </w:rPr>
      </w:pPr>
      <w:r>
        <w:rPr>
          <w:rFonts w:ascii="Times New Roman" w:hAnsi="Times New Roman" w:cs="Times New Roman"/>
          <w:i/>
          <w:iCs/>
        </w:rPr>
        <w:t>Department CSG Thematic Review</w:t>
      </w:r>
    </w:p>
    <w:p w14:paraId="0B588441" w14:textId="70A2B1A3" w:rsidR="00F14090" w:rsidRDefault="00B13B45" w:rsidP="00F14090">
      <w:pPr>
        <w:rPr>
          <w:rFonts w:ascii="Times New Roman" w:hAnsi="Times New Roman" w:cs="Times New Roman"/>
        </w:rPr>
      </w:pPr>
      <w:r>
        <w:rPr>
          <w:rFonts w:ascii="Times New Roman" w:hAnsi="Times New Roman" w:cs="Times New Roman"/>
        </w:rPr>
        <w:t>T</w:t>
      </w:r>
      <w:r w:rsidR="00F14090">
        <w:rPr>
          <w:rFonts w:ascii="Times New Roman" w:hAnsi="Times New Roman" w:cs="Times New Roman"/>
        </w:rPr>
        <w:t xml:space="preserve">he CSG Direction is prescriptive and limits the discretion </w:t>
      </w:r>
      <w:r w:rsidR="004E4180">
        <w:rPr>
          <w:rFonts w:ascii="Times New Roman" w:hAnsi="Times New Roman" w:cs="Times New Roman"/>
        </w:rPr>
        <w:t>the ACMA</w:t>
      </w:r>
      <w:r w:rsidR="00F14090">
        <w:rPr>
          <w:rFonts w:ascii="Times New Roman" w:hAnsi="Times New Roman" w:cs="Times New Roman"/>
        </w:rPr>
        <w:t xml:space="preserve"> may exercise in making the CSG Standard. The prescriptive nature of the Direction means consultation on the substantive issues </w:t>
      </w:r>
      <w:r w:rsidR="004E4180">
        <w:rPr>
          <w:rFonts w:ascii="Times New Roman" w:hAnsi="Times New Roman" w:cs="Times New Roman"/>
        </w:rPr>
        <w:t xml:space="preserve">associated with </w:t>
      </w:r>
      <w:r w:rsidR="00F14090">
        <w:rPr>
          <w:rFonts w:ascii="Times New Roman" w:hAnsi="Times New Roman" w:cs="Times New Roman"/>
        </w:rPr>
        <w:t>the CSG occurred in relation to the Direction.</w:t>
      </w:r>
    </w:p>
    <w:p w14:paraId="2E22D335" w14:textId="75A56FDB" w:rsidR="005A5C37" w:rsidRDefault="00A71EC3" w:rsidP="007D0A96">
      <w:pPr>
        <w:rPr>
          <w:rFonts w:ascii="Times New Roman" w:hAnsi="Times New Roman" w:cs="Times New Roman"/>
        </w:rPr>
      </w:pPr>
      <w:r>
        <w:rPr>
          <w:rFonts w:ascii="Times New Roman" w:hAnsi="Times New Roman" w:cs="Times New Roman"/>
        </w:rPr>
        <w:t xml:space="preserve">The </w:t>
      </w:r>
      <w:r w:rsidR="00F14090">
        <w:rPr>
          <w:rFonts w:ascii="Times New Roman" w:hAnsi="Times New Roman" w:cs="Times New Roman"/>
        </w:rPr>
        <w:t>Department undertook</w:t>
      </w:r>
      <w:r w:rsidR="00160CAE">
        <w:rPr>
          <w:rFonts w:ascii="Times New Roman" w:hAnsi="Times New Roman" w:cs="Times New Roman"/>
        </w:rPr>
        <w:t xml:space="preserve"> a 6-week</w:t>
      </w:r>
      <w:r w:rsidR="00F14090">
        <w:rPr>
          <w:rFonts w:ascii="Times New Roman" w:hAnsi="Times New Roman" w:cs="Times New Roman"/>
        </w:rPr>
        <w:t xml:space="preserve"> public consultation on </w:t>
      </w:r>
      <w:r w:rsidR="003611AE">
        <w:rPr>
          <w:rFonts w:ascii="Times New Roman" w:hAnsi="Times New Roman" w:cs="Times New Roman"/>
        </w:rPr>
        <w:t xml:space="preserve">the CSG </w:t>
      </w:r>
      <w:r w:rsidR="00F14090">
        <w:rPr>
          <w:rFonts w:ascii="Times New Roman" w:hAnsi="Times New Roman" w:cs="Times New Roman"/>
        </w:rPr>
        <w:t>from 17 February to 27 March 2023. The thematic review received 14 submissions from industry, consumer and government groups and individuals</w:t>
      </w:r>
      <w:r w:rsidR="004459E1">
        <w:rPr>
          <w:rFonts w:ascii="Times New Roman" w:hAnsi="Times New Roman" w:cs="Times New Roman"/>
        </w:rPr>
        <w:t>.</w:t>
      </w:r>
      <w:r w:rsidR="00F14090">
        <w:rPr>
          <w:rFonts w:ascii="Times New Roman" w:hAnsi="Times New Roman" w:cs="Times New Roman"/>
        </w:rPr>
        <w:t xml:space="preserve"> As a result of the consultative process, the Minister decided to issue the CSG Direction to the ACMA to remake the sunsetting CSG Standard instrument for a period of three years, with necessary updates and minor amendments. During that period, further consideration by the Department of the long-term future of the CSG and how consumers can best be protected is to take place. </w:t>
      </w:r>
    </w:p>
    <w:p w14:paraId="6608E822" w14:textId="5F6A468F" w:rsidR="007D0A96" w:rsidRDefault="00F14090" w:rsidP="007D0A96">
      <w:r>
        <w:rPr>
          <w:rFonts w:ascii="Times New Roman" w:hAnsi="Times New Roman" w:cs="Times New Roman"/>
        </w:rPr>
        <w:t>The public consultation and outcome is available online at</w:t>
      </w:r>
      <w:r w:rsidR="00A71EC3">
        <w:rPr>
          <w:rFonts w:ascii="Times New Roman" w:hAnsi="Times New Roman" w:cs="Times New Roman"/>
        </w:rPr>
        <w:t xml:space="preserve"> </w:t>
      </w:r>
      <w:hyperlink r:id="rId15" w:history="1">
        <w:r w:rsidRPr="00F14090">
          <w:rPr>
            <w:rStyle w:val="Hyperlink"/>
          </w:rPr>
          <w:t>www.infrastructure.gov.au/have-your-say/thematic-review-customer-service-guarantee-csg</w:t>
        </w:r>
      </w:hyperlink>
      <w:r w:rsidRPr="00C22A1F">
        <w:t>.</w:t>
      </w:r>
    </w:p>
    <w:p w14:paraId="206B3D9D" w14:textId="164BD1E3" w:rsidR="00F14090" w:rsidRDefault="004459E1" w:rsidP="00820766">
      <w:pPr>
        <w:rPr>
          <w:rFonts w:ascii="Times New Roman" w:hAnsi="Times New Roman" w:cs="Times New Roman"/>
        </w:rPr>
      </w:pPr>
      <w:r>
        <w:rPr>
          <w:rFonts w:ascii="Times New Roman" w:hAnsi="Times New Roman" w:cs="Times New Roman"/>
        </w:rPr>
        <w:t>T</w:t>
      </w:r>
      <w:r w:rsidR="00A71EC3" w:rsidRPr="004459E1">
        <w:rPr>
          <w:rFonts w:ascii="Times New Roman" w:hAnsi="Times New Roman" w:cs="Times New Roman"/>
        </w:rPr>
        <w:t xml:space="preserve">he </w:t>
      </w:r>
      <w:r>
        <w:rPr>
          <w:rFonts w:ascii="Times New Roman" w:hAnsi="Times New Roman" w:cs="Times New Roman"/>
        </w:rPr>
        <w:t>Department</w:t>
      </w:r>
      <w:r w:rsidR="004369BA">
        <w:rPr>
          <w:rFonts w:ascii="Times New Roman" w:hAnsi="Times New Roman" w:cs="Times New Roman"/>
        </w:rPr>
        <w:t xml:space="preserve"> announced the outcomes of the thematic review on </w:t>
      </w:r>
      <w:r w:rsidR="00FE6346">
        <w:rPr>
          <w:rFonts w:ascii="Times New Roman" w:hAnsi="Times New Roman" w:cs="Times New Roman"/>
        </w:rPr>
        <w:t>7</w:t>
      </w:r>
      <w:r>
        <w:rPr>
          <w:rFonts w:ascii="Times New Roman" w:hAnsi="Times New Roman" w:cs="Times New Roman"/>
        </w:rPr>
        <w:t xml:space="preserve"> </w:t>
      </w:r>
      <w:r w:rsidR="00A71EC3" w:rsidRPr="004459E1">
        <w:rPr>
          <w:rFonts w:ascii="Times New Roman" w:hAnsi="Times New Roman" w:cs="Times New Roman"/>
        </w:rPr>
        <w:t>June 2023</w:t>
      </w:r>
      <w:r w:rsidR="004369BA">
        <w:rPr>
          <w:rFonts w:ascii="Times New Roman" w:hAnsi="Times New Roman" w:cs="Times New Roman"/>
        </w:rPr>
        <w:t xml:space="preserve">. </w:t>
      </w:r>
      <w:r w:rsidR="00A71EC3">
        <w:rPr>
          <w:rFonts w:ascii="Times New Roman" w:hAnsi="Times New Roman" w:cs="Times New Roman"/>
        </w:rPr>
        <w:t xml:space="preserve"> </w:t>
      </w:r>
    </w:p>
    <w:p w14:paraId="144D90DF" w14:textId="3F624799" w:rsidR="00F14090" w:rsidRPr="00C22A1F" w:rsidRDefault="00F14090" w:rsidP="00820766">
      <w:pPr>
        <w:rPr>
          <w:rFonts w:ascii="Times New Roman" w:hAnsi="Times New Roman" w:cs="Times New Roman"/>
          <w:i/>
          <w:iCs/>
        </w:rPr>
      </w:pPr>
      <w:r>
        <w:rPr>
          <w:rFonts w:ascii="Times New Roman" w:hAnsi="Times New Roman" w:cs="Times New Roman"/>
          <w:i/>
          <w:iCs/>
        </w:rPr>
        <w:t>ACMA targeted CSG Standard consultation</w:t>
      </w:r>
    </w:p>
    <w:p w14:paraId="082A4B2B" w14:textId="2B26F6E2" w:rsidR="00F5445E" w:rsidRDefault="007D0A96" w:rsidP="00820766">
      <w:pPr>
        <w:rPr>
          <w:rFonts w:ascii="Times New Roman" w:hAnsi="Times New Roman" w:cs="Times New Roman"/>
        </w:rPr>
      </w:pPr>
      <w:r>
        <w:rPr>
          <w:rFonts w:ascii="Times New Roman" w:hAnsi="Times New Roman" w:cs="Times New Roman"/>
        </w:rPr>
        <w:t>The ACMA conducted</w:t>
      </w:r>
      <w:r w:rsidR="00C31AA4">
        <w:rPr>
          <w:rFonts w:ascii="Times New Roman" w:hAnsi="Times New Roman" w:cs="Times New Roman"/>
        </w:rPr>
        <w:t xml:space="preserve"> targeted consultation </w:t>
      </w:r>
      <w:r>
        <w:rPr>
          <w:rFonts w:ascii="Times New Roman" w:hAnsi="Times New Roman" w:cs="Times New Roman"/>
        </w:rPr>
        <w:t xml:space="preserve">between 28 July and 4 August 2023 </w:t>
      </w:r>
      <w:r w:rsidR="00C31AA4">
        <w:rPr>
          <w:rFonts w:ascii="Times New Roman" w:hAnsi="Times New Roman" w:cs="Times New Roman"/>
        </w:rPr>
        <w:t>with Telstra, Optus and the Australian Communications Consumer Action Network</w:t>
      </w:r>
      <w:r>
        <w:rPr>
          <w:rFonts w:ascii="Times New Roman" w:hAnsi="Times New Roman" w:cs="Times New Roman"/>
        </w:rPr>
        <w:t xml:space="preserve"> </w:t>
      </w:r>
      <w:r w:rsidR="00F5445E">
        <w:rPr>
          <w:rFonts w:ascii="Times New Roman" w:hAnsi="Times New Roman" w:cs="Times New Roman"/>
        </w:rPr>
        <w:t>(</w:t>
      </w:r>
      <w:r w:rsidR="00F5445E" w:rsidRPr="003F1DDB">
        <w:rPr>
          <w:rFonts w:ascii="Times New Roman" w:hAnsi="Times New Roman" w:cs="Times New Roman"/>
          <w:b/>
          <w:bCs/>
        </w:rPr>
        <w:t>ACCAN</w:t>
      </w:r>
      <w:r w:rsidR="00F5445E">
        <w:rPr>
          <w:rFonts w:ascii="Times New Roman" w:hAnsi="Times New Roman" w:cs="Times New Roman"/>
        </w:rPr>
        <w:t xml:space="preserve">) </w:t>
      </w:r>
      <w:r>
        <w:rPr>
          <w:rFonts w:ascii="Times New Roman" w:hAnsi="Times New Roman" w:cs="Times New Roman"/>
        </w:rPr>
        <w:t>on the proposed CSG Standard</w:t>
      </w:r>
      <w:r w:rsidR="0033542E">
        <w:rPr>
          <w:rFonts w:ascii="Times New Roman" w:hAnsi="Times New Roman" w:cs="Times New Roman"/>
        </w:rPr>
        <w:t>’s suitability to meet the Direction</w:t>
      </w:r>
      <w:r>
        <w:rPr>
          <w:rFonts w:ascii="Times New Roman" w:hAnsi="Times New Roman" w:cs="Times New Roman"/>
        </w:rPr>
        <w:t>.</w:t>
      </w:r>
      <w:r w:rsidR="00C31AA4">
        <w:rPr>
          <w:rFonts w:ascii="Times New Roman" w:hAnsi="Times New Roman" w:cs="Times New Roman"/>
        </w:rPr>
        <w:t xml:space="preserve"> </w:t>
      </w:r>
    </w:p>
    <w:p w14:paraId="5EC793C3" w14:textId="6C0E3810" w:rsidR="00F5445E" w:rsidRDefault="00F5445E" w:rsidP="00820766">
      <w:pPr>
        <w:rPr>
          <w:rFonts w:ascii="Times New Roman" w:hAnsi="Times New Roman" w:cs="Times New Roman"/>
        </w:rPr>
      </w:pPr>
      <w:r>
        <w:rPr>
          <w:rFonts w:ascii="Times New Roman" w:hAnsi="Times New Roman" w:cs="Times New Roman"/>
        </w:rPr>
        <w:t>Based on the prescriptive nature of the Direction, ACMA’s extensive consultation and interaction with stakeholders broadly on telecommunications consumer protection in recent times, and the public consultation undertaken as part of the thematic review by the Department, a targeted consultation on the CSG Standard was considered suitable. Telstra was included</w:t>
      </w:r>
      <w:r w:rsidR="0054463B">
        <w:rPr>
          <w:rFonts w:ascii="Times New Roman" w:hAnsi="Times New Roman" w:cs="Times New Roman"/>
        </w:rPr>
        <w:t>,</w:t>
      </w:r>
      <w:r>
        <w:rPr>
          <w:rFonts w:ascii="Times New Roman" w:hAnsi="Times New Roman" w:cs="Times New Roman"/>
        </w:rPr>
        <w:t xml:space="preserve"> as </w:t>
      </w:r>
      <w:r w:rsidR="0054463B">
        <w:rPr>
          <w:rFonts w:ascii="Times New Roman" w:hAnsi="Times New Roman" w:cs="Times New Roman"/>
        </w:rPr>
        <w:t xml:space="preserve">it is </w:t>
      </w:r>
      <w:r>
        <w:rPr>
          <w:rFonts w:ascii="Times New Roman" w:hAnsi="Times New Roman" w:cs="Times New Roman"/>
        </w:rPr>
        <w:t xml:space="preserve">the primary universal service provider </w:t>
      </w:r>
      <w:r w:rsidR="0054463B">
        <w:rPr>
          <w:rFonts w:ascii="Times New Roman" w:hAnsi="Times New Roman" w:cs="Times New Roman"/>
        </w:rPr>
        <w:t xml:space="preserve">and therefore </w:t>
      </w:r>
      <w:r w:rsidR="00F32D2C">
        <w:rPr>
          <w:rFonts w:ascii="Times New Roman" w:hAnsi="Times New Roman" w:cs="Times New Roman"/>
        </w:rPr>
        <w:t>the CSP which is most affected by the obligations set out in the CSG Standard</w:t>
      </w:r>
      <w:r>
        <w:rPr>
          <w:rFonts w:ascii="Times New Roman" w:hAnsi="Times New Roman" w:cs="Times New Roman"/>
        </w:rPr>
        <w:t xml:space="preserve"> </w:t>
      </w:r>
      <w:r w:rsidR="008B63B3">
        <w:rPr>
          <w:rFonts w:ascii="Times New Roman" w:hAnsi="Times New Roman" w:cs="Times New Roman"/>
        </w:rPr>
        <w:t>(</w:t>
      </w:r>
      <w:r w:rsidR="00B341B4">
        <w:rPr>
          <w:rFonts w:ascii="Times New Roman" w:hAnsi="Times New Roman" w:cs="Times New Roman"/>
        </w:rPr>
        <w:t xml:space="preserve">noting that services supplied in </w:t>
      </w:r>
      <w:r w:rsidR="00440904">
        <w:rPr>
          <w:rFonts w:ascii="Times New Roman" w:hAnsi="Times New Roman" w:cs="Times New Roman"/>
        </w:rPr>
        <w:t>fulfilment of the universal service obligation</w:t>
      </w:r>
      <w:r w:rsidR="00DC6AF5">
        <w:rPr>
          <w:rFonts w:ascii="Times New Roman" w:hAnsi="Times New Roman" w:cs="Times New Roman"/>
        </w:rPr>
        <w:t xml:space="preserve">, which requires </w:t>
      </w:r>
      <w:r w:rsidR="00D81A4E">
        <w:rPr>
          <w:rFonts w:ascii="Times New Roman" w:hAnsi="Times New Roman" w:cs="Times New Roman"/>
        </w:rPr>
        <w:t>certain public interest telecommunications services to be supplied to consumers</w:t>
      </w:r>
      <w:r w:rsidR="008226F8">
        <w:rPr>
          <w:rFonts w:ascii="Times New Roman" w:hAnsi="Times New Roman" w:cs="Times New Roman"/>
        </w:rPr>
        <w:t xml:space="preserve">, cannot be subject to any waiver of the protections in the CSG Standard). </w:t>
      </w:r>
      <w:r>
        <w:rPr>
          <w:rFonts w:ascii="Times New Roman" w:hAnsi="Times New Roman" w:cs="Times New Roman"/>
        </w:rPr>
        <w:t xml:space="preserve">ACCAN </w:t>
      </w:r>
      <w:r w:rsidR="008226F8">
        <w:rPr>
          <w:rFonts w:ascii="Times New Roman" w:hAnsi="Times New Roman" w:cs="Times New Roman"/>
        </w:rPr>
        <w:t xml:space="preserve">was consulted </w:t>
      </w:r>
      <w:r>
        <w:rPr>
          <w:rFonts w:ascii="Times New Roman" w:hAnsi="Times New Roman" w:cs="Times New Roman"/>
        </w:rPr>
        <w:t xml:space="preserve">as the peak telecommunications consumer group representing the consumers the CSG is designed to protect. Optus had previously </w:t>
      </w:r>
      <w:r w:rsidR="0033542E">
        <w:rPr>
          <w:rFonts w:ascii="Times New Roman" w:hAnsi="Times New Roman" w:cs="Times New Roman"/>
        </w:rPr>
        <w:t>indicated a preference to be consulted on the CSG as an affected stakeholder based on their legacy CSG customers.</w:t>
      </w:r>
    </w:p>
    <w:p w14:paraId="37E5D827" w14:textId="08EE6193" w:rsidR="0033542E" w:rsidRDefault="00D83E60" w:rsidP="00820766">
      <w:pPr>
        <w:rPr>
          <w:rFonts w:ascii="Times New Roman" w:hAnsi="Times New Roman" w:cs="Times New Roman"/>
        </w:rPr>
      </w:pPr>
      <w:r w:rsidRPr="00D83E60">
        <w:rPr>
          <w:rFonts w:ascii="Times New Roman" w:hAnsi="Times New Roman" w:cs="Times New Roman"/>
        </w:rPr>
        <w:t>None of the above stakeholders objected to the consultation draft CSG Standard. ACCAN provided a response stating it consider</w:t>
      </w:r>
      <w:r w:rsidR="00C74161">
        <w:rPr>
          <w:rFonts w:ascii="Times New Roman" w:hAnsi="Times New Roman" w:cs="Times New Roman"/>
        </w:rPr>
        <w:t>ed</w:t>
      </w:r>
      <w:r w:rsidRPr="00D83E60">
        <w:rPr>
          <w:rFonts w:ascii="Times New Roman" w:hAnsi="Times New Roman" w:cs="Times New Roman"/>
        </w:rPr>
        <w:t xml:space="preserve"> the consultation draft met the requirements of the Direction. </w:t>
      </w:r>
      <w:r w:rsidR="00C74161">
        <w:rPr>
          <w:rFonts w:ascii="Times New Roman" w:hAnsi="Times New Roman" w:cs="Times New Roman"/>
        </w:rPr>
        <w:t>Each of</w:t>
      </w:r>
      <w:r w:rsidRPr="00D83E60">
        <w:rPr>
          <w:rFonts w:ascii="Times New Roman" w:hAnsi="Times New Roman" w:cs="Times New Roman"/>
        </w:rPr>
        <w:t xml:space="preserve"> Telstra </w:t>
      </w:r>
      <w:r w:rsidR="00C74161">
        <w:rPr>
          <w:rFonts w:ascii="Times New Roman" w:hAnsi="Times New Roman" w:cs="Times New Roman"/>
        </w:rPr>
        <w:t>and</w:t>
      </w:r>
      <w:r w:rsidRPr="00D83E60">
        <w:rPr>
          <w:rFonts w:ascii="Times New Roman" w:hAnsi="Times New Roman" w:cs="Times New Roman"/>
        </w:rPr>
        <w:t xml:space="preserve"> Optus replied indicating they did not have concerns to raise </w:t>
      </w:r>
      <w:r w:rsidR="003D7242">
        <w:rPr>
          <w:rFonts w:ascii="Times New Roman" w:hAnsi="Times New Roman" w:cs="Times New Roman"/>
        </w:rPr>
        <w:t>regarding the CSG Standard</w:t>
      </w:r>
      <w:r w:rsidRPr="00D83E60">
        <w:rPr>
          <w:rFonts w:ascii="Times New Roman" w:hAnsi="Times New Roman" w:cs="Times New Roman"/>
        </w:rPr>
        <w:t>.</w:t>
      </w:r>
    </w:p>
    <w:p w14:paraId="74D18803" w14:textId="19922481" w:rsidR="00A71EC3" w:rsidRDefault="007D0A96" w:rsidP="00820766">
      <w:pPr>
        <w:rPr>
          <w:rFonts w:ascii="Times New Roman" w:hAnsi="Times New Roman" w:cs="Times New Roman"/>
        </w:rPr>
      </w:pPr>
      <w:r>
        <w:rPr>
          <w:rFonts w:ascii="Times New Roman" w:hAnsi="Times New Roman" w:cs="Times New Roman"/>
        </w:rPr>
        <w:lastRenderedPageBreak/>
        <w:t xml:space="preserve">Given the prescriptive nature of the CSG Direction, </w:t>
      </w:r>
      <w:r w:rsidR="00F5445E">
        <w:rPr>
          <w:rFonts w:ascii="Times New Roman" w:hAnsi="Times New Roman" w:cs="Times New Roman"/>
        </w:rPr>
        <w:t xml:space="preserve">the </w:t>
      </w:r>
      <w:r>
        <w:rPr>
          <w:rFonts w:ascii="Times New Roman" w:hAnsi="Times New Roman" w:cs="Times New Roman"/>
        </w:rPr>
        <w:t xml:space="preserve">minor or machinery nature of changes from the 2011 CSG Standard, and the flagged prospect of </w:t>
      </w:r>
      <w:r w:rsidR="00D83E60">
        <w:rPr>
          <w:rFonts w:ascii="Times New Roman" w:hAnsi="Times New Roman" w:cs="Times New Roman"/>
        </w:rPr>
        <w:t>near-</w:t>
      </w:r>
      <w:r>
        <w:rPr>
          <w:rFonts w:ascii="Times New Roman" w:hAnsi="Times New Roman" w:cs="Times New Roman"/>
        </w:rPr>
        <w:t xml:space="preserve">term reconsideration of the CSG, </w:t>
      </w:r>
      <w:r w:rsidR="00F5445E">
        <w:rPr>
          <w:rFonts w:ascii="Times New Roman" w:hAnsi="Times New Roman" w:cs="Times New Roman"/>
        </w:rPr>
        <w:t xml:space="preserve">ACMA’s targeted </w:t>
      </w:r>
      <w:r>
        <w:rPr>
          <w:rFonts w:ascii="Times New Roman" w:hAnsi="Times New Roman" w:cs="Times New Roman"/>
        </w:rPr>
        <w:t>consultation indicated general acceptance of  the CSG Standard</w:t>
      </w:r>
      <w:r w:rsidR="00C31AA4">
        <w:rPr>
          <w:rFonts w:ascii="Times New Roman" w:hAnsi="Times New Roman" w:cs="Times New Roman"/>
        </w:rPr>
        <w:t>.</w:t>
      </w:r>
    </w:p>
    <w:p w14:paraId="50C71CCF" w14:textId="77777777" w:rsidR="00B0677D" w:rsidRDefault="00B0677D" w:rsidP="00B0677D">
      <w:pPr>
        <w:rPr>
          <w:rFonts w:ascii="Times New Roman" w:hAnsi="Times New Roman" w:cs="Times New Roman"/>
          <w:b/>
        </w:rPr>
      </w:pPr>
      <w:r>
        <w:rPr>
          <w:rFonts w:ascii="Times New Roman" w:hAnsi="Times New Roman" w:cs="Times New Roman"/>
          <w:b/>
        </w:rPr>
        <w:t>Regulatory impact assessment</w:t>
      </w:r>
    </w:p>
    <w:p w14:paraId="7718863F" w14:textId="61F2DBFC" w:rsidR="00B77871" w:rsidRDefault="00B0677D" w:rsidP="00A45075">
      <w:pPr>
        <w:rPr>
          <w:rFonts w:ascii="Times New Roman" w:hAnsi="Times New Roman" w:cs="Times New Roman"/>
        </w:rPr>
      </w:pPr>
      <w:r w:rsidRPr="002E15B6">
        <w:rPr>
          <w:rFonts w:ascii="Times New Roman" w:hAnsi="Times New Roman" w:cs="Times New Roman"/>
        </w:rPr>
        <w:t xml:space="preserve">The </w:t>
      </w:r>
      <w:r w:rsidR="00757511">
        <w:rPr>
          <w:rFonts w:ascii="Times New Roman" w:hAnsi="Times New Roman" w:cs="Times New Roman"/>
        </w:rPr>
        <w:t>Department</w:t>
      </w:r>
      <w:r w:rsidRPr="002E15B6">
        <w:rPr>
          <w:rFonts w:ascii="Times New Roman" w:hAnsi="Times New Roman" w:cs="Times New Roman"/>
        </w:rPr>
        <w:t xml:space="preserve"> considered whether a regulatory impact analysis process was required by </w:t>
      </w:r>
      <w:r w:rsidR="00757511">
        <w:rPr>
          <w:rFonts w:ascii="Times New Roman" w:hAnsi="Times New Roman" w:cs="Times New Roman"/>
        </w:rPr>
        <w:t xml:space="preserve">engaging with </w:t>
      </w:r>
      <w:r w:rsidR="00FF1C00">
        <w:rPr>
          <w:rFonts w:ascii="Times New Roman" w:hAnsi="Times New Roman" w:cs="Times New Roman"/>
        </w:rPr>
        <w:t xml:space="preserve">the </w:t>
      </w:r>
      <w:r w:rsidRPr="002E15B6">
        <w:rPr>
          <w:rFonts w:ascii="Times New Roman" w:hAnsi="Times New Roman" w:cs="Times New Roman"/>
        </w:rPr>
        <w:t xml:space="preserve">Office of </w:t>
      </w:r>
      <w:r w:rsidR="004D37A7">
        <w:rPr>
          <w:rFonts w:ascii="Times New Roman" w:hAnsi="Times New Roman" w:cs="Times New Roman"/>
        </w:rPr>
        <w:t>Impact Assessment</w:t>
      </w:r>
      <w:r w:rsidRPr="002E15B6">
        <w:rPr>
          <w:rFonts w:ascii="Times New Roman" w:hAnsi="Times New Roman" w:cs="Times New Roman"/>
        </w:rPr>
        <w:t xml:space="preserve"> (</w:t>
      </w:r>
      <w:r w:rsidRPr="006969A4">
        <w:rPr>
          <w:rFonts w:ascii="Times New Roman" w:hAnsi="Times New Roman" w:cs="Times New Roman"/>
          <w:b/>
          <w:bCs/>
        </w:rPr>
        <w:t>O</w:t>
      </w:r>
      <w:r w:rsidR="004D37A7">
        <w:rPr>
          <w:rFonts w:ascii="Times New Roman" w:hAnsi="Times New Roman" w:cs="Times New Roman"/>
          <w:b/>
          <w:bCs/>
        </w:rPr>
        <w:t>IA</w:t>
      </w:r>
      <w:r w:rsidRPr="002E15B6">
        <w:rPr>
          <w:rFonts w:ascii="Times New Roman" w:hAnsi="Times New Roman" w:cs="Times New Roman"/>
        </w:rPr>
        <w:t xml:space="preserve">) </w:t>
      </w:r>
      <w:r w:rsidR="00BD615D">
        <w:rPr>
          <w:rFonts w:ascii="Times New Roman" w:hAnsi="Times New Roman" w:cs="Times New Roman"/>
        </w:rPr>
        <w:t xml:space="preserve">in </w:t>
      </w:r>
      <w:r w:rsidR="00FF1C00" w:rsidRPr="002E15B6">
        <w:rPr>
          <w:rFonts w:ascii="Times New Roman" w:hAnsi="Times New Roman" w:cs="Times New Roman"/>
        </w:rPr>
        <w:t xml:space="preserve">undertaking a preliminary assessment </w:t>
      </w:r>
      <w:r w:rsidR="00BD615D">
        <w:rPr>
          <w:rFonts w:ascii="Times New Roman" w:hAnsi="Times New Roman" w:cs="Times New Roman"/>
        </w:rPr>
        <w:t xml:space="preserve">in relation to the </w:t>
      </w:r>
      <w:r w:rsidR="00D83E60">
        <w:rPr>
          <w:rFonts w:ascii="Times New Roman" w:hAnsi="Times New Roman" w:cs="Times New Roman"/>
        </w:rPr>
        <w:t xml:space="preserve">Direction to make the CSG </w:t>
      </w:r>
      <w:r w:rsidR="00B77871">
        <w:rPr>
          <w:rFonts w:ascii="Times New Roman" w:hAnsi="Times New Roman" w:cs="Times New Roman"/>
        </w:rPr>
        <w:t xml:space="preserve">Standard. As </w:t>
      </w:r>
      <w:r w:rsidR="0036293E">
        <w:rPr>
          <w:rFonts w:ascii="Times New Roman" w:hAnsi="Times New Roman" w:cs="Times New Roman"/>
        </w:rPr>
        <w:t>the CSG Direction</w:t>
      </w:r>
      <w:r w:rsidR="00B77871">
        <w:rPr>
          <w:rFonts w:ascii="Times New Roman" w:hAnsi="Times New Roman" w:cs="Times New Roman"/>
        </w:rPr>
        <w:t xml:space="preserve"> is prescriptive in nature and directs the ACMA to make minor or machinery changes, the OIA clarified that no regulatory impact analysis was required for the </w:t>
      </w:r>
      <w:r w:rsidR="00D83E60">
        <w:rPr>
          <w:rFonts w:ascii="Times New Roman" w:hAnsi="Times New Roman" w:cs="Times New Roman"/>
        </w:rPr>
        <w:t xml:space="preserve">CSG </w:t>
      </w:r>
      <w:r w:rsidR="00B77871">
        <w:rPr>
          <w:rFonts w:ascii="Times New Roman" w:hAnsi="Times New Roman" w:cs="Times New Roman"/>
        </w:rPr>
        <w:t>Standard</w:t>
      </w:r>
      <w:r w:rsidR="0018748E">
        <w:rPr>
          <w:rFonts w:ascii="Times New Roman" w:hAnsi="Times New Roman" w:cs="Times New Roman"/>
        </w:rPr>
        <w:t xml:space="preserve"> </w:t>
      </w:r>
      <w:r w:rsidR="000B0BF7" w:rsidRPr="00F33FCA">
        <w:rPr>
          <w:rFonts w:ascii="Times New Roman" w:hAnsi="Times New Roman" w:cs="Times New Roman"/>
        </w:rPr>
        <w:t xml:space="preserve">– </w:t>
      </w:r>
      <w:r w:rsidR="0018748E">
        <w:rPr>
          <w:rFonts w:ascii="Times New Roman" w:hAnsi="Times New Roman"/>
        </w:rPr>
        <w:t>OIA reference: 23-04883</w:t>
      </w:r>
      <w:r w:rsidR="00B77871">
        <w:rPr>
          <w:rFonts w:ascii="Times New Roman" w:hAnsi="Times New Roman" w:cs="Times New Roman"/>
        </w:rPr>
        <w:t>.</w:t>
      </w:r>
    </w:p>
    <w:p w14:paraId="10037F0C" w14:textId="1F61C697" w:rsidR="008C5F4D" w:rsidRDefault="008C5F4D" w:rsidP="0076182E">
      <w:pPr>
        <w:rPr>
          <w:rFonts w:ascii="Times New Roman" w:hAnsi="Times New Roman" w:cs="Times New Roman"/>
          <w:b/>
        </w:rPr>
      </w:pPr>
      <w:r>
        <w:rPr>
          <w:rFonts w:ascii="Times New Roman" w:hAnsi="Times New Roman" w:cs="Times New Roman"/>
          <w:b/>
        </w:rPr>
        <w:br w:type="page"/>
      </w:r>
    </w:p>
    <w:p w14:paraId="4363C978" w14:textId="4F411D07" w:rsidR="00B0677D" w:rsidRDefault="00B0677D" w:rsidP="00B0677D">
      <w:pPr>
        <w:rPr>
          <w:rFonts w:ascii="Times New Roman" w:hAnsi="Times New Roman" w:cs="Times New Roman"/>
          <w:b/>
        </w:rPr>
      </w:pPr>
      <w:r>
        <w:rPr>
          <w:rFonts w:ascii="Times New Roman" w:hAnsi="Times New Roman" w:cs="Times New Roman"/>
          <w:b/>
        </w:rPr>
        <w:lastRenderedPageBreak/>
        <w:t>Statement of compatibility with human rights</w:t>
      </w:r>
    </w:p>
    <w:p w14:paraId="6634CBD2" w14:textId="2FFF4A7F" w:rsidR="00B0677D" w:rsidRDefault="00B0677D" w:rsidP="00B0677D">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3D7242">
        <w:rPr>
          <w:rFonts w:ascii="Times New Roman" w:hAnsi="Times New Roman" w:cs="Times New Roman"/>
        </w:rPr>
        <w:t xml:space="preserve">with human rights </w:t>
      </w:r>
      <w:r>
        <w:rPr>
          <w:rFonts w:ascii="Times New Roman" w:hAnsi="Times New Roman" w:cs="Times New Roman"/>
        </w:rPr>
        <w:t>to be prepared in respect of that legislative instrument.</w:t>
      </w:r>
    </w:p>
    <w:p w14:paraId="127C1F38" w14:textId="77777777" w:rsidR="00B0677D" w:rsidRDefault="00B0677D" w:rsidP="00B0677D">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3EC65859" w14:textId="2E578FE5" w:rsidR="00B0677D" w:rsidRDefault="00B0677D" w:rsidP="00B0677D">
      <w:pPr>
        <w:rPr>
          <w:rFonts w:ascii="Times New Roman" w:hAnsi="Times New Roman" w:cs="Times New Roman"/>
          <w:b/>
          <w:i/>
        </w:rPr>
      </w:pPr>
      <w:r>
        <w:rPr>
          <w:rFonts w:ascii="Times New Roman" w:hAnsi="Times New Roman" w:cs="Times New Roman"/>
          <w:b/>
          <w:i/>
        </w:rPr>
        <w:t xml:space="preserve">Overview of </w:t>
      </w:r>
      <w:r w:rsidR="0016481E">
        <w:rPr>
          <w:rFonts w:ascii="Times New Roman" w:hAnsi="Times New Roman" w:cs="Times New Roman"/>
          <w:b/>
          <w:i/>
        </w:rPr>
        <w:t>the CSG Standard</w:t>
      </w:r>
    </w:p>
    <w:p w14:paraId="3F6A6D21" w14:textId="4EC57018" w:rsidR="008231B9" w:rsidRPr="004F62C1" w:rsidRDefault="0016481E" w:rsidP="00B0677D">
      <w:pPr>
        <w:rPr>
          <w:rFonts w:ascii="Times New Roman" w:eastAsia="Times New Roman" w:hAnsi="Times New Roman" w:cs="Times New Roman"/>
          <w:snapToGrid w:val="0"/>
          <w:szCs w:val="18"/>
        </w:rPr>
      </w:pPr>
      <w:r>
        <w:rPr>
          <w:rFonts w:ascii="Times New Roman" w:hAnsi="Times New Roman" w:cs="Times New Roman"/>
          <w:bCs/>
        </w:rPr>
        <w:t>The CSG Standard</w:t>
      </w:r>
      <w:r w:rsidR="00B0677D">
        <w:rPr>
          <w:rFonts w:ascii="Times New Roman" w:hAnsi="Times New Roman" w:cs="Times New Roman"/>
          <w:bCs/>
        </w:rPr>
        <w:t xml:space="preserve"> replaces the </w:t>
      </w:r>
      <w:r w:rsidR="0036293E">
        <w:rPr>
          <w:rFonts w:ascii="Times New Roman" w:hAnsi="Times New Roman" w:cs="Times New Roman"/>
          <w:bCs/>
        </w:rPr>
        <w:t>2011 CSG Standard</w:t>
      </w:r>
      <w:r w:rsidR="00B22E09">
        <w:rPr>
          <w:rFonts w:ascii="Times New Roman" w:hAnsi="Times New Roman" w:cs="Times New Roman"/>
          <w:bCs/>
        </w:rPr>
        <w:t xml:space="preserve"> </w:t>
      </w:r>
      <w:r w:rsidR="00E01999">
        <w:rPr>
          <w:rFonts w:ascii="Times New Roman" w:hAnsi="Times New Roman" w:cs="Times New Roman"/>
          <w:bCs/>
        </w:rPr>
        <w:t xml:space="preserve">(as amended by the </w:t>
      </w:r>
      <w:r w:rsidR="0036293E">
        <w:rPr>
          <w:rFonts w:ascii="Times New Roman" w:hAnsi="Times New Roman" w:cs="Times New Roman"/>
          <w:bCs/>
        </w:rPr>
        <w:t>2011 CSG Amendment Standard</w:t>
      </w:r>
      <w:r w:rsidR="00382EF4">
        <w:rPr>
          <w:rFonts w:ascii="Times New Roman" w:hAnsi="Times New Roman" w:cs="Times New Roman"/>
          <w:bCs/>
        </w:rPr>
        <w:t xml:space="preserve">). Both the 2011 CSG Standard and the </w:t>
      </w:r>
      <w:r w:rsidR="00D24FB9">
        <w:rPr>
          <w:rFonts w:ascii="Times New Roman" w:hAnsi="Times New Roman" w:cs="Times New Roman"/>
          <w:bCs/>
        </w:rPr>
        <w:t xml:space="preserve">2011 CSG Amendment Standard </w:t>
      </w:r>
      <w:r w:rsidR="00B22E09">
        <w:rPr>
          <w:rFonts w:ascii="Times New Roman" w:eastAsia="Times New Roman" w:hAnsi="Times New Roman" w:cs="Times New Roman"/>
          <w:snapToGrid w:val="0"/>
          <w:szCs w:val="18"/>
        </w:rPr>
        <w:t>are</w:t>
      </w:r>
      <w:r w:rsidR="00B0677D">
        <w:rPr>
          <w:rFonts w:ascii="Times New Roman" w:eastAsia="Times New Roman" w:hAnsi="Times New Roman" w:cs="Times New Roman"/>
          <w:snapToGrid w:val="0"/>
          <w:szCs w:val="18"/>
        </w:rPr>
        <w:t xml:space="preserve"> due to sunset on 1 October 202</w:t>
      </w:r>
      <w:r w:rsidR="00567D29">
        <w:rPr>
          <w:rFonts w:ascii="Times New Roman" w:eastAsia="Times New Roman" w:hAnsi="Times New Roman" w:cs="Times New Roman"/>
          <w:snapToGrid w:val="0"/>
          <w:szCs w:val="18"/>
        </w:rPr>
        <w:t>3</w:t>
      </w:r>
      <w:r w:rsidR="00B0677D">
        <w:rPr>
          <w:rFonts w:ascii="Times New Roman" w:eastAsia="Times New Roman" w:hAnsi="Times New Roman" w:cs="Times New Roman"/>
          <w:snapToGrid w:val="0"/>
          <w:szCs w:val="18"/>
        </w:rPr>
        <w:t xml:space="preserve">. The anticipated outcome is the ongoing effective and efficient operation of the </w:t>
      </w:r>
      <w:r>
        <w:rPr>
          <w:rFonts w:ascii="Times New Roman" w:eastAsia="Times New Roman" w:hAnsi="Times New Roman" w:cs="Times New Roman"/>
          <w:snapToGrid w:val="0"/>
          <w:szCs w:val="18"/>
        </w:rPr>
        <w:t xml:space="preserve">CSG </w:t>
      </w:r>
      <w:r w:rsidR="008F594B">
        <w:rPr>
          <w:rFonts w:ascii="Times New Roman" w:eastAsia="Times New Roman" w:hAnsi="Times New Roman" w:cs="Times New Roman"/>
          <w:snapToGrid w:val="0"/>
          <w:szCs w:val="18"/>
        </w:rPr>
        <w:t xml:space="preserve">performance standards </w:t>
      </w:r>
      <w:r w:rsidR="00B0677D">
        <w:rPr>
          <w:rFonts w:ascii="Times New Roman" w:eastAsia="Times New Roman" w:hAnsi="Times New Roman" w:cs="Times New Roman"/>
          <w:snapToGrid w:val="0"/>
          <w:szCs w:val="18"/>
        </w:rPr>
        <w:t xml:space="preserve">which the ACMA is required, by </w:t>
      </w:r>
      <w:r w:rsidR="0036293E">
        <w:rPr>
          <w:rFonts w:ascii="Times New Roman" w:eastAsia="Times New Roman" w:hAnsi="Times New Roman" w:cs="Times New Roman"/>
          <w:snapToGrid w:val="0"/>
          <w:szCs w:val="18"/>
        </w:rPr>
        <w:t>the CSG Direction</w:t>
      </w:r>
      <w:r w:rsidR="00071CD5">
        <w:rPr>
          <w:rFonts w:ascii="Times New Roman" w:eastAsia="Times New Roman" w:hAnsi="Times New Roman" w:cs="Times New Roman"/>
          <w:snapToGrid w:val="0"/>
          <w:szCs w:val="18"/>
        </w:rPr>
        <w:t xml:space="preserve"> </w:t>
      </w:r>
      <w:r w:rsidR="002A5F50">
        <w:rPr>
          <w:rFonts w:ascii="Times New Roman" w:eastAsia="Times New Roman" w:hAnsi="Times New Roman" w:cs="Times New Roman"/>
          <w:snapToGrid w:val="0"/>
          <w:szCs w:val="18"/>
        </w:rPr>
        <w:t xml:space="preserve">made </w:t>
      </w:r>
      <w:r w:rsidR="00071CD5">
        <w:rPr>
          <w:rFonts w:ascii="Times New Roman" w:eastAsia="Times New Roman" w:hAnsi="Times New Roman" w:cs="Times New Roman"/>
          <w:snapToGrid w:val="0"/>
          <w:szCs w:val="18"/>
        </w:rPr>
        <w:t>under section 124 of the Act</w:t>
      </w:r>
      <w:r w:rsidR="00B0677D">
        <w:rPr>
          <w:rFonts w:ascii="Times New Roman" w:eastAsia="Times New Roman" w:hAnsi="Times New Roman" w:cs="Times New Roman"/>
          <w:snapToGrid w:val="0"/>
          <w:szCs w:val="18"/>
        </w:rPr>
        <w:t>, to</w:t>
      </w:r>
      <w:r w:rsidR="007D1969">
        <w:rPr>
          <w:rFonts w:ascii="Times New Roman" w:eastAsia="Times New Roman" w:hAnsi="Times New Roman" w:cs="Times New Roman"/>
          <w:snapToGrid w:val="0"/>
          <w:szCs w:val="18"/>
        </w:rPr>
        <w:t xml:space="preserve"> make and</w:t>
      </w:r>
      <w:r w:rsidR="00B0677D">
        <w:rPr>
          <w:rFonts w:ascii="Times New Roman" w:eastAsia="Times New Roman" w:hAnsi="Times New Roman" w:cs="Times New Roman"/>
          <w:snapToGrid w:val="0"/>
          <w:szCs w:val="18"/>
        </w:rPr>
        <w:t xml:space="preserve"> have in place</w:t>
      </w:r>
      <w:r w:rsidR="007D1969">
        <w:rPr>
          <w:rFonts w:ascii="Times New Roman" w:eastAsia="Times New Roman" w:hAnsi="Times New Roman" w:cs="Times New Roman"/>
          <w:snapToGrid w:val="0"/>
          <w:szCs w:val="18"/>
        </w:rPr>
        <w:t xml:space="preserve"> on or before 1 October 2023</w:t>
      </w:r>
      <w:r w:rsidR="00B0677D">
        <w:rPr>
          <w:rFonts w:ascii="Times New Roman" w:eastAsia="Times New Roman" w:hAnsi="Times New Roman" w:cs="Times New Roman"/>
          <w:snapToGrid w:val="0"/>
          <w:szCs w:val="18"/>
        </w:rPr>
        <w:t>.</w:t>
      </w:r>
    </w:p>
    <w:p w14:paraId="36393F5E" w14:textId="77777777" w:rsidR="00B0677D" w:rsidRDefault="00B0677D" w:rsidP="00B0677D">
      <w:pPr>
        <w:rPr>
          <w:rFonts w:ascii="Times New Roman" w:hAnsi="Times New Roman" w:cs="Times New Roman"/>
          <w:b/>
          <w:i/>
        </w:rPr>
      </w:pPr>
      <w:r>
        <w:rPr>
          <w:rFonts w:ascii="Times New Roman" w:hAnsi="Times New Roman" w:cs="Times New Roman"/>
          <w:b/>
          <w:i/>
        </w:rPr>
        <w:t>Human rights implications</w:t>
      </w:r>
    </w:p>
    <w:p w14:paraId="4D40BB03" w14:textId="01494A97" w:rsidR="00B0677D" w:rsidRDefault="00B0677D" w:rsidP="00B0677D">
      <w:pPr>
        <w:rPr>
          <w:rFonts w:ascii="Times New Roman" w:hAnsi="Times New Roman" w:cs="Times New Roman"/>
        </w:rPr>
      </w:pPr>
      <w:r>
        <w:rPr>
          <w:rFonts w:ascii="Times New Roman" w:hAnsi="Times New Roman" w:cs="Times New Roman"/>
        </w:rPr>
        <w:t xml:space="preserve">The ACMA has assessed whether </w:t>
      </w:r>
      <w:r w:rsidR="0016481E">
        <w:rPr>
          <w:rFonts w:ascii="Times New Roman" w:hAnsi="Times New Roman" w:cs="Times New Roman"/>
        </w:rPr>
        <w:t>the CSG Standard</w:t>
      </w:r>
      <w:r>
        <w:rPr>
          <w:rFonts w:ascii="Times New Roman" w:hAnsi="Times New Roman" w:cs="Times New Roman"/>
        </w:rPr>
        <w:t xml:space="preserve">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47532EF7" w14:textId="2151A8AF" w:rsidR="00B0677D" w:rsidRDefault="00B0677D" w:rsidP="00B0677D">
      <w:pPr>
        <w:rPr>
          <w:rFonts w:ascii="Times New Roman" w:hAnsi="Times New Roman" w:cs="Times New Roman"/>
        </w:rPr>
      </w:pPr>
      <w:r>
        <w:rPr>
          <w:rFonts w:ascii="Times New Roman" w:hAnsi="Times New Roman" w:cs="Times New Roman"/>
        </w:rPr>
        <w:t xml:space="preserve">Having considered the likely impact of </w:t>
      </w:r>
      <w:r w:rsidR="0016481E">
        <w:rPr>
          <w:rFonts w:ascii="Times New Roman" w:hAnsi="Times New Roman" w:cs="Times New Roman"/>
        </w:rPr>
        <w:t>the CSG Standard</w:t>
      </w:r>
      <w:r>
        <w:rPr>
          <w:rFonts w:ascii="Times New Roman" w:hAnsi="Times New Roman" w:cs="Times New Roman"/>
        </w:rPr>
        <w:t xml:space="preserve"> and the nature of the applicable rights and freedoms, the ACMA has formed the view that </w:t>
      </w:r>
      <w:r w:rsidR="0016481E">
        <w:rPr>
          <w:rFonts w:ascii="Times New Roman" w:hAnsi="Times New Roman" w:cs="Times New Roman"/>
        </w:rPr>
        <w:t>the CSG Standard</w:t>
      </w:r>
      <w:r>
        <w:rPr>
          <w:rFonts w:ascii="Times New Roman" w:hAnsi="Times New Roman" w:cs="Times New Roman"/>
        </w:rPr>
        <w:t xml:space="preserve"> does not engage any of those rights or freedoms.</w:t>
      </w:r>
    </w:p>
    <w:p w14:paraId="5D3DA181" w14:textId="77777777" w:rsidR="00B0677D" w:rsidRDefault="00B0677D" w:rsidP="00B0677D">
      <w:pPr>
        <w:rPr>
          <w:rFonts w:ascii="Times New Roman" w:hAnsi="Times New Roman" w:cs="Times New Roman"/>
          <w:b/>
          <w:i/>
        </w:rPr>
      </w:pPr>
      <w:r>
        <w:rPr>
          <w:rFonts w:ascii="Times New Roman" w:hAnsi="Times New Roman" w:cs="Times New Roman"/>
          <w:b/>
          <w:i/>
        </w:rPr>
        <w:t>Conclusion</w:t>
      </w:r>
    </w:p>
    <w:p w14:paraId="2069C1A9" w14:textId="3424380C" w:rsidR="00B0677D" w:rsidRDefault="0016481E" w:rsidP="00B0677D">
      <w:pPr>
        <w:rPr>
          <w:rFonts w:ascii="Times New Roman" w:hAnsi="Times New Roman" w:cs="Times New Roman"/>
        </w:rPr>
      </w:pPr>
      <w:r>
        <w:rPr>
          <w:rFonts w:ascii="Times New Roman" w:hAnsi="Times New Roman" w:cs="Times New Roman"/>
        </w:rPr>
        <w:t>The CSG Standard</w:t>
      </w:r>
      <w:r w:rsidR="00B0677D">
        <w:rPr>
          <w:rFonts w:ascii="Times New Roman" w:hAnsi="Times New Roman" w:cs="Times New Roman"/>
        </w:rPr>
        <w:t xml:space="preserve"> is compatible with human rights as it does not raise any human rights issues.</w:t>
      </w:r>
    </w:p>
    <w:p w14:paraId="1437242C" w14:textId="77777777" w:rsidR="00B0677D" w:rsidRDefault="00B0677D" w:rsidP="00B0677D">
      <w:pPr>
        <w:rPr>
          <w:rFonts w:ascii="Times New Roman" w:hAnsi="Times New Roman" w:cs="Times New Roman"/>
          <w:b/>
        </w:rPr>
      </w:pPr>
      <w:r>
        <w:rPr>
          <w:rFonts w:ascii="Times New Roman" w:hAnsi="Times New Roman" w:cs="Times New Roman"/>
          <w:b/>
        </w:rPr>
        <w:br w:type="page"/>
      </w:r>
    </w:p>
    <w:p w14:paraId="2273732B" w14:textId="79F892FD" w:rsidR="00B0677D" w:rsidRDefault="00B0677D" w:rsidP="00B0677D">
      <w:pPr>
        <w:jc w:val="right"/>
        <w:rPr>
          <w:rFonts w:ascii="Times New Roman" w:hAnsi="Times New Roman" w:cs="Times New Roman"/>
          <w:b/>
          <w:sz w:val="28"/>
          <w:szCs w:val="28"/>
        </w:rPr>
      </w:pPr>
      <w:r>
        <w:rPr>
          <w:rFonts w:ascii="Times New Roman" w:hAnsi="Times New Roman" w:cs="Times New Roman"/>
          <w:b/>
          <w:sz w:val="28"/>
          <w:szCs w:val="28"/>
        </w:rPr>
        <w:lastRenderedPageBreak/>
        <w:t>Attachment</w:t>
      </w:r>
    </w:p>
    <w:p w14:paraId="42160187" w14:textId="07C87860" w:rsidR="00B0677D" w:rsidRDefault="00B0677D" w:rsidP="00B0677D">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Pr>
          <w:rFonts w:ascii="Times New Roman" w:hAnsi="Times New Roman" w:cs="Times New Roman"/>
          <w:b/>
          <w:i/>
          <w:sz w:val="28"/>
          <w:szCs w:val="28"/>
        </w:rPr>
        <w:t xml:space="preserve">Telecommunications </w:t>
      </w:r>
      <w:r w:rsidR="0095215C">
        <w:rPr>
          <w:rFonts w:ascii="Times New Roman" w:hAnsi="Times New Roman" w:cs="Times New Roman"/>
          <w:b/>
          <w:i/>
          <w:sz w:val="28"/>
          <w:szCs w:val="28"/>
        </w:rPr>
        <w:t>(</w:t>
      </w:r>
      <w:r w:rsidR="008C5F4D">
        <w:rPr>
          <w:rFonts w:ascii="Times New Roman" w:hAnsi="Times New Roman" w:cs="Times New Roman"/>
          <w:b/>
          <w:i/>
          <w:sz w:val="28"/>
          <w:szCs w:val="28"/>
        </w:rPr>
        <w:t>Customer Service Guarantee)</w:t>
      </w:r>
      <w:r>
        <w:rPr>
          <w:rFonts w:ascii="Times New Roman" w:hAnsi="Times New Roman" w:cs="Times New Roman"/>
          <w:b/>
          <w:i/>
          <w:sz w:val="28"/>
          <w:szCs w:val="28"/>
        </w:rPr>
        <w:t xml:space="preserve"> Standard 202</w:t>
      </w:r>
      <w:r w:rsidR="008C5F4D">
        <w:rPr>
          <w:rFonts w:ascii="Times New Roman" w:hAnsi="Times New Roman" w:cs="Times New Roman"/>
          <w:b/>
          <w:i/>
          <w:sz w:val="28"/>
          <w:szCs w:val="28"/>
        </w:rPr>
        <w:t>3</w:t>
      </w:r>
    </w:p>
    <w:p w14:paraId="614567C4" w14:textId="51090378" w:rsidR="00B0677D" w:rsidRDefault="00B0677D" w:rsidP="00B0677D">
      <w:pPr>
        <w:spacing w:before="280"/>
        <w:rPr>
          <w:rFonts w:ascii="Times New Roman" w:hAnsi="Times New Roman" w:cs="Times New Roman"/>
          <w:b/>
        </w:rPr>
      </w:pPr>
      <w:r>
        <w:rPr>
          <w:rFonts w:ascii="Times New Roman" w:hAnsi="Times New Roman" w:cs="Times New Roman"/>
          <w:b/>
        </w:rPr>
        <w:t>Part 1</w:t>
      </w:r>
      <w:r w:rsidR="00AA7670">
        <w:rPr>
          <w:rFonts w:ascii="Times New Roman" w:hAnsi="Times New Roman" w:cs="Times New Roman"/>
          <w:b/>
        </w:rPr>
        <w:t xml:space="preserve"> </w:t>
      </w:r>
      <w:r>
        <w:rPr>
          <w:rFonts w:ascii="Times New Roman" w:hAnsi="Times New Roman" w:cs="Times New Roman"/>
          <w:b/>
        </w:rPr>
        <w:t>–</w:t>
      </w:r>
      <w:r w:rsidR="00AA7670">
        <w:rPr>
          <w:rFonts w:ascii="Times New Roman" w:hAnsi="Times New Roman" w:cs="Times New Roman"/>
          <w:b/>
        </w:rPr>
        <w:t xml:space="preserve"> </w:t>
      </w:r>
      <w:r w:rsidR="00CD11A1">
        <w:rPr>
          <w:rFonts w:ascii="Times New Roman" w:hAnsi="Times New Roman" w:cs="Times New Roman"/>
          <w:b/>
        </w:rPr>
        <w:t>Preliminary</w:t>
      </w:r>
    </w:p>
    <w:p w14:paraId="3EAAAE3C" w14:textId="466837F3" w:rsidR="00B0677D" w:rsidRDefault="00B0677D" w:rsidP="00B0677D">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34EAFA15" w14:textId="20558F71" w:rsidR="00B0677D" w:rsidRDefault="00B0677D" w:rsidP="00B0677D">
      <w:pPr>
        <w:rPr>
          <w:rFonts w:ascii="Times New Roman" w:hAnsi="Times New Roman" w:cs="Times New Roman"/>
        </w:rPr>
      </w:pPr>
      <w:r>
        <w:rPr>
          <w:rFonts w:ascii="Times New Roman" w:hAnsi="Times New Roman" w:cs="Times New Roman"/>
        </w:rPr>
        <w:t>This section provides the</w:t>
      </w:r>
      <w:r w:rsidR="00B93DF5">
        <w:rPr>
          <w:rFonts w:ascii="Times New Roman" w:hAnsi="Times New Roman" w:cs="Times New Roman"/>
        </w:rPr>
        <w:t xml:space="preserve"> name of the</w:t>
      </w:r>
      <w:r>
        <w:rPr>
          <w:rFonts w:ascii="Times New Roman" w:hAnsi="Times New Roman" w:cs="Times New Roman"/>
        </w:rPr>
        <w:t xml:space="preserve"> instrument </w:t>
      </w:r>
      <w:r w:rsidR="00B93DF5">
        <w:rPr>
          <w:rFonts w:ascii="Times New Roman" w:hAnsi="Times New Roman" w:cs="Times New Roman"/>
        </w:rPr>
        <w:t>i</w:t>
      </w:r>
      <w:r>
        <w:rPr>
          <w:rFonts w:ascii="Times New Roman" w:hAnsi="Times New Roman" w:cs="Times New Roman"/>
        </w:rPr>
        <w:t xml:space="preserve">s the </w:t>
      </w:r>
      <w:r>
        <w:rPr>
          <w:rFonts w:ascii="Times New Roman" w:hAnsi="Times New Roman" w:cs="Times New Roman"/>
          <w:i/>
          <w:iCs/>
        </w:rPr>
        <w:t xml:space="preserve">Telecommunications </w:t>
      </w:r>
      <w:r w:rsidR="00E926E6">
        <w:rPr>
          <w:rFonts w:ascii="Times New Roman" w:hAnsi="Times New Roman" w:cs="Times New Roman"/>
          <w:i/>
          <w:iCs/>
        </w:rPr>
        <w:t>(</w:t>
      </w:r>
      <w:r w:rsidR="00B93DF5">
        <w:rPr>
          <w:rFonts w:ascii="Times New Roman" w:hAnsi="Times New Roman" w:cs="Times New Roman"/>
          <w:i/>
        </w:rPr>
        <w:t>Customer Service Guarantee</w:t>
      </w:r>
      <w:r w:rsidR="00E926E6">
        <w:rPr>
          <w:rFonts w:ascii="Times New Roman" w:hAnsi="Times New Roman" w:cs="Times New Roman"/>
          <w:i/>
        </w:rPr>
        <w:t>)</w:t>
      </w:r>
      <w:r>
        <w:rPr>
          <w:rFonts w:ascii="Times New Roman" w:hAnsi="Times New Roman" w:cs="Times New Roman"/>
          <w:i/>
        </w:rPr>
        <w:t xml:space="preserve"> Standard 202</w:t>
      </w:r>
      <w:r w:rsidR="00B93DF5">
        <w:rPr>
          <w:rFonts w:ascii="Times New Roman" w:hAnsi="Times New Roman" w:cs="Times New Roman"/>
          <w:i/>
        </w:rPr>
        <w:t>3</w:t>
      </w:r>
      <w:r>
        <w:rPr>
          <w:rFonts w:ascii="Times New Roman" w:hAnsi="Times New Roman" w:cs="Times New Roman"/>
          <w:i/>
        </w:rPr>
        <w:t>.</w:t>
      </w:r>
    </w:p>
    <w:p w14:paraId="3588B9A4" w14:textId="77777777" w:rsidR="00B0677D" w:rsidRDefault="00B0677D" w:rsidP="00B0677D">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946A364" w14:textId="6D37D6A0" w:rsidR="00B0677D" w:rsidRDefault="00B0677D" w:rsidP="00B0677D">
      <w:pPr>
        <w:rPr>
          <w:rFonts w:ascii="Times New Roman" w:hAnsi="Times New Roman" w:cs="Times New Roman"/>
        </w:rPr>
      </w:pPr>
      <w:r>
        <w:rPr>
          <w:rFonts w:ascii="Times New Roman" w:hAnsi="Times New Roman" w:cs="Times New Roman"/>
        </w:rPr>
        <w:t>This section provides for the instrument to commence at the start of the day after the day it is registered on the Federal Register of Legislation.</w:t>
      </w:r>
    </w:p>
    <w:p w14:paraId="05F712DE" w14:textId="77777777" w:rsidR="00B0677D" w:rsidRDefault="00B0677D" w:rsidP="00B0677D">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6" w:history="1">
        <w:r>
          <w:rPr>
            <w:rStyle w:val="Hyperlink"/>
            <w:rFonts w:ascii="Times New Roman" w:hAnsi="Times New Roman" w:cs="Times New Roman"/>
          </w:rPr>
          <w:t>www.legislation.gov.au</w:t>
        </w:r>
      </w:hyperlink>
      <w:r>
        <w:rPr>
          <w:rFonts w:ascii="Times New Roman" w:hAnsi="Times New Roman" w:cs="Times New Roman"/>
        </w:rPr>
        <w:t>.</w:t>
      </w:r>
    </w:p>
    <w:p w14:paraId="729B7276" w14:textId="2B5AAD33" w:rsidR="00B0677D" w:rsidRDefault="00B0677D" w:rsidP="00B0677D">
      <w:pPr>
        <w:rPr>
          <w:rFonts w:ascii="Times New Roman" w:hAnsi="Times New Roman" w:cs="Times New Roman"/>
          <w:b/>
        </w:rPr>
      </w:pPr>
      <w:r>
        <w:rPr>
          <w:rFonts w:ascii="Times New Roman" w:hAnsi="Times New Roman" w:cs="Times New Roman"/>
          <w:b/>
        </w:rPr>
        <w:t xml:space="preserve">Section </w:t>
      </w:r>
      <w:r w:rsidR="00AA279F">
        <w:rPr>
          <w:rFonts w:ascii="Times New Roman" w:hAnsi="Times New Roman" w:cs="Times New Roman"/>
          <w:b/>
        </w:rPr>
        <w:t>3</w:t>
      </w:r>
      <w:r>
        <w:rPr>
          <w:rFonts w:ascii="Times New Roman" w:hAnsi="Times New Roman" w:cs="Times New Roman"/>
          <w:b/>
        </w:rPr>
        <w:tab/>
        <w:t>Authority</w:t>
      </w:r>
    </w:p>
    <w:p w14:paraId="50831253" w14:textId="21BF7006" w:rsidR="00B0677D" w:rsidRDefault="00B0677D" w:rsidP="00B0677D">
      <w:pPr>
        <w:rPr>
          <w:rFonts w:ascii="Times New Roman" w:hAnsi="Times New Roman" w:cs="Times New Roman"/>
        </w:rPr>
      </w:pPr>
      <w:r>
        <w:rPr>
          <w:rFonts w:ascii="Times New Roman" w:hAnsi="Times New Roman" w:cs="Times New Roman"/>
        </w:rPr>
        <w:t>This section identifies the provision</w:t>
      </w:r>
      <w:r w:rsidR="00AE0A30">
        <w:rPr>
          <w:rFonts w:ascii="Times New Roman" w:hAnsi="Times New Roman" w:cs="Times New Roman"/>
        </w:rPr>
        <w:t>s</w:t>
      </w:r>
      <w:r>
        <w:rPr>
          <w:rFonts w:ascii="Times New Roman" w:hAnsi="Times New Roman" w:cs="Times New Roman"/>
        </w:rPr>
        <w:t xml:space="preserve"> that authorise the making of the instrument, namely section</w:t>
      </w:r>
      <w:r w:rsidR="001F77D7">
        <w:rPr>
          <w:rFonts w:ascii="Times New Roman" w:hAnsi="Times New Roman" w:cs="Times New Roman"/>
        </w:rPr>
        <w:t>s</w:t>
      </w:r>
      <w:r>
        <w:rPr>
          <w:rFonts w:ascii="Times New Roman" w:hAnsi="Times New Roman" w:cs="Times New Roman"/>
        </w:rPr>
        <w:t xml:space="preserve"> 1</w:t>
      </w:r>
      <w:r w:rsidR="00B93DF5">
        <w:rPr>
          <w:rFonts w:ascii="Times New Roman" w:hAnsi="Times New Roman" w:cs="Times New Roman"/>
        </w:rPr>
        <w:t>15</w:t>
      </w:r>
      <w:r w:rsidR="001F77D7">
        <w:rPr>
          <w:rFonts w:ascii="Times New Roman" w:hAnsi="Times New Roman" w:cs="Times New Roman"/>
        </w:rPr>
        <w:t>, 117 and 120</w:t>
      </w:r>
      <w:r>
        <w:rPr>
          <w:rFonts w:ascii="Times New Roman" w:hAnsi="Times New Roman" w:cs="Times New Roman"/>
        </w:rPr>
        <w:t xml:space="preserve"> of the </w:t>
      </w:r>
      <w:r w:rsidRPr="00757853">
        <w:rPr>
          <w:rFonts w:ascii="Times New Roman" w:hAnsi="Times New Roman" w:cs="Times New Roman"/>
          <w:i/>
          <w:iCs/>
        </w:rPr>
        <w:t xml:space="preserve">Telecommunications </w:t>
      </w:r>
      <w:r w:rsidR="00B93DF5">
        <w:rPr>
          <w:rFonts w:ascii="Times New Roman" w:hAnsi="Times New Roman" w:cs="Times New Roman"/>
          <w:i/>
          <w:iCs/>
        </w:rPr>
        <w:t xml:space="preserve">(Consumer Protection and Service Standards) </w:t>
      </w:r>
      <w:r w:rsidRPr="00757853">
        <w:rPr>
          <w:rFonts w:ascii="Times New Roman" w:hAnsi="Times New Roman" w:cs="Times New Roman"/>
          <w:i/>
          <w:iCs/>
        </w:rPr>
        <w:t>Act 199</w:t>
      </w:r>
      <w:r w:rsidR="00B93DF5">
        <w:rPr>
          <w:rFonts w:ascii="Times New Roman" w:hAnsi="Times New Roman" w:cs="Times New Roman"/>
          <w:i/>
          <w:iCs/>
        </w:rPr>
        <w:t>9</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4F62E4ED" w14:textId="69443078" w:rsidR="00B0677D" w:rsidRPr="00B47908" w:rsidRDefault="00B0677D" w:rsidP="00B0677D">
      <w:pPr>
        <w:rPr>
          <w:rFonts w:ascii="Times New Roman" w:hAnsi="Times New Roman" w:cs="Times New Roman"/>
          <w:b/>
          <w:iCs/>
        </w:rPr>
      </w:pPr>
      <w:r>
        <w:rPr>
          <w:rFonts w:ascii="Times New Roman" w:hAnsi="Times New Roman" w:cs="Times New Roman"/>
          <w:b/>
        </w:rPr>
        <w:t xml:space="preserve">Section </w:t>
      </w:r>
      <w:r w:rsidR="0087112B">
        <w:rPr>
          <w:rFonts w:ascii="Times New Roman" w:hAnsi="Times New Roman" w:cs="Times New Roman"/>
          <w:b/>
        </w:rPr>
        <w:t>4</w:t>
      </w:r>
      <w:r>
        <w:rPr>
          <w:rFonts w:ascii="Times New Roman" w:hAnsi="Times New Roman" w:cs="Times New Roman"/>
          <w:b/>
        </w:rPr>
        <w:tab/>
      </w:r>
      <w:r w:rsidR="006375D5">
        <w:rPr>
          <w:rFonts w:ascii="Times New Roman" w:hAnsi="Times New Roman" w:cs="Times New Roman"/>
          <w:b/>
        </w:rPr>
        <w:t xml:space="preserve">Repeal </w:t>
      </w:r>
      <w:r>
        <w:rPr>
          <w:rFonts w:ascii="Times New Roman" w:hAnsi="Times New Roman" w:cs="Times New Roman"/>
          <w:b/>
        </w:rPr>
        <w:t>of</w:t>
      </w:r>
      <w:r w:rsidR="003D7242">
        <w:rPr>
          <w:rFonts w:ascii="Times New Roman" w:hAnsi="Times New Roman" w:cs="Times New Roman"/>
          <w:b/>
        </w:rPr>
        <w:t xml:space="preserve"> the</w:t>
      </w:r>
      <w:r>
        <w:rPr>
          <w:rFonts w:ascii="Times New Roman" w:hAnsi="Times New Roman" w:cs="Times New Roman"/>
          <w:b/>
        </w:rPr>
        <w:t xml:space="preserve"> </w:t>
      </w:r>
      <w:r w:rsidR="006375D5" w:rsidRPr="006375D5">
        <w:rPr>
          <w:rFonts w:ascii="Times New Roman" w:hAnsi="Times New Roman" w:cs="Times New Roman"/>
          <w:b/>
          <w:i/>
        </w:rPr>
        <w:t>Telecommunications (Customer Service Guarantee) Standard 2011</w:t>
      </w:r>
    </w:p>
    <w:p w14:paraId="1FF52BB8" w14:textId="60476CBC" w:rsidR="00B0677D" w:rsidRDefault="00B0677D" w:rsidP="00B0677D">
      <w:pPr>
        <w:rPr>
          <w:rFonts w:ascii="Times New Roman" w:hAnsi="Times New Roman" w:cs="Times New Roman"/>
        </w:rPr>
      </w:pPr>
      <w:r>
        <w:rPr>
          <w:rFonts w:ascii="Times New Roman" w:hAnsi="Times New Roman" w:cs="Times New Roman"/>
        </w:rPr>
        <w:t xml:space="preserve">This section provides that the </w:t>
      </w:r>
      <w:bookmarkStart w:id="0" w:name="_Hlk139383343"/>
      <w:r w:rsidR="00B93DF5">
        <w:rPr>
          <w:rFonts w:ascii="Times New Roman" w:hAnsi="Times New Roman" w:cs="Times New Roman"/>
          <w:i/>
        </w:rPr>
        <w:t>Telecommunications (Customer Service Guarantee) Standard 2011</w:t>
      </w:r>
      <w:r>
        <w:rPr>
          <w:rFonts w:ascii="Times New Roman" w:hAnsi="Times New Roman" w:cs="Times New Roman"/>
          <w:i/>
        </w:rPr>
        <w:t xml:space="preserve"> </w:t>
      </w:r>
      <w:bookmarkEnd w:id="0"/>
      <w:r>
        <w:rPr>
          <w:rFonts w:ascii="Times New Roman" w:hAnsi="Times New Roman" w:cs="Times New Roman"/>
        </w:rPr>
        <w:t>(F2011</w:t>
      </w:r>
      <w:r w:rsidR="00B93DF5">
        <w:rPr>
          <w:rFonts w:ascii="Times New Roman" w:hAnsi="Times New Roman" w:cs="Times New Roman"/>
        </w:rPr>
        <w:t>C00791</w:t>
      </w:r>
      <w:r>
        <w:rPr>
          <w:rFonts w:ascii="Times New Roman" w:hAnsi="Times New Roman" w:cs="Times New Roman"/>
        </w:rPr>
        <w:t>)</w:t>
      </w:r>
      <w:r w:rsidR="007F2E59">
        <w:rPr>
          <w:rFonts w:ascii="Times New Roman" w:hAnsi="Times New Roman" w:cs="Times New Roman"/>
        </w:rPr>
        <w:t xml:space="preserve"> </w:t>
      </w:r>
      <w:r w:rsidR="006375D5">
        <w:rPr>
          <w:rFonts w:ascii="Times New Roman" w:hAnsi="Times New Roman" w:cs="Times New Roman"/>
        </w:rPr>
        <w:t>is</w:t>
      </w:r>
      <w:r>
        <w:rPr>
          <w:rFonts w:ascii="Times New Roman" w:hAnsi="Times New Roman" w:cs="Times New Roman"/>
        </w:rPr>
        <w:t xml:space="preserve"> </w:t>
      </w:r>
      <w:r w:rsidR="006375D5">
        <w:rPr>
          <w:rFonts w:ascii="Times New Roman" w:hAnsi="Times New Roman" w:cs="Times New Roman"/>
        </w:rPr>
        <w:t>repealed</w:t>
      </w:r>
      <w:r w:rsidR="00933A1C">
        <w:rPr>
          <w:rFonts w:ascii="Times New Roman" w:hAnsi="Times New Roman" w:cs="Times New Roman"/>
        </w:rPr>
        <w:t>.</w:t>
      </w:r>
    </w:p>
    <w:p w14:paraId="24087F54" w14:textId="4A9E35DC" w:rsidR="006375D5" w:rsidRDefault="006375D5" w:rsidP="006375D5">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 xml:space="preserve">Repeal of this </w:t>
      </w:r>
      <w:r w:rsidR="00EC236F">
        <w:rPr>
          <w:rFonts w:ascii="Times New Roman" w:hAnsi="Times New Roman" w:cs="Times New Roman"/>
          <w:b/>
        </w:rPr>
        <w:t>standard</w:t>
      </w:r>
    </w:p>
    <w:p w14:paraId="75098E1B" w14:textId="301D2DCB" w:rsidR="006375D5" w:rsidRDefault="006375D5" w:rsidP="006375D5">
      <w:pPr>
        <w:rPr>
          <w:rFonts w:ascii="Times New Roman" w:hAnsi="Times New Roman" w:cs="Times New Roman"/>
        </w:rPr>
      </w:pPr>
      <w:r>
        <w:rPr>
          <w:rFonts w:ascii="Times New Roman" w:hAnsi="Times New Roman" w:cs="Times New Roman"/>
        </w:rPr>
        <w:t>This section provides that th</w:t>
      </w:r>
      <w:r w:rsidR="00EC236F">
        <w:rPr>
          <w:rFonts w:ascii="Times New Roman" w:hAnsi="Times New Roman" w:cs="Times New Roman"/>
        </w:rPr>
        <w:t>e</w:t>
      </w:r>
      <w:r>
        <w:rPr>
          <w:rFonts w:ascii="Times New Roman" w:hAnsi="Times New Roman" w:cs="Times New Roman"/>
        </w:rPr>
        <w:t xml:space="preserve"> </w:t>
      </w:r>
      <w:r w:rsidR="00EC236F">
        <w:rPr>
          <w:rFonts w:ascii="Times New Roman" w:hAnsi="Times New Roman" w:cs="Times New Roman"/>
        </w:rPr>
        <w:t>standard</w:t>
      </w:r>
      <w:r>
        <w:rPr>
          <w:rFonts w:ascii="Times New Roman" w:hAnsi="Times New Roman" w:cs="Times New Roman"/>
        </w:rPr>
        <w:t xml:space="preserve"> is repealed the day after </w:t>
      </w:r>
      <w:r w:rsidR="003C2ECA">
        <w:rPr>
          <w:rFonts w:ascii="Times New Roman" w:hAnsi="Times New Roman" w:cs="Times New Roman"/>
        </w:rPr>
        <w:t xml:space="preserve">the end of the period </w:t>
      </w:r>
      <w:r w:rsidR="004650E7">
        <w:rPr>
          <w:rFonts w:ascii="Times New Roman" w:hAnsi="Times New Roman" w:cs="Times New Roman"/>
        </w:rPr>
        <w:t xml:space="preserve">of </w:t>
      </w:r>
      <w:r>
        <w:rPr>
          <w:rFonts w:ascii="Times New Roman" w:hAnsi="Times New Roman" w:cs="Times New Roman"/>
        </w:rPr>
        <w:t>36 months from the day of commencement.</w:t>
      </w:r>
      <w:r w:rsidR="008D5E6E">
        <w:rPr>
          <w:rFonts w:ascii="Times New Roman" w:hAnsi="Times New Roman" w:cs="Times New Roman"/>
        </w:rPr>
        <w:t xml:space="preserve"> </w:t>
      </w:r>
    </w:p>
    <w:p w14:paraId="769EB4AD" w14:textId="58CB3B0E" w:rsidR="006375D5" w:rsidRDefault="006375D5" w:rsidP="006375D5">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Definitions</w:t>
      </w:r>
    </w:p>
    <w:p w14:paraId="4186376D" w14:textId="77777777" w:rsidR="006375D5" w:rsidRDefault="006375D5" w:rsidP="006375D5">
      <w:pPr>
        <w:rPr>
          <w:rFonts w:ascii="Times New Roman" w:hAnsi="Times New Roman" w:cs="Times New Roman"/>
        </w:rPr>
      </w:pPr>
      <w:r>
        <w:rPr>
          <w:rFonts w:ascii="Times New Roman" w:hAnsi="Times New Roman" w:cs="Times New Roman"/>
        </w:rPr>
        <w:t>This section defines key terms used throughout the instrument.</w:t>
      </w:r>
    </w:p>
    <w:p w14:paraId="5C0CB475" w14:textId="4BDCCA22" w:rsidR="00B0677D" w:rsidRPr="00D60F4A" w:rsidRDefault="006D2200" w:rsidP="00B0677D">
      <w:pPr>
        <w:rPr>
          <w:rFonts w:ascii="Times New Roman" w:hAnsi="Times New Roman" w:cs="Times New Roman"/>
        </w:rPr>
      </w:pPr>
      <w:r>
        <w:rPr>
          <w:rFonts w:ascii="Times New Roman" w:hAnsi="Times New Roman" w:cs="Times New Roman"/>
        </w:rPr>
        <w:t>O</w:t>
      </w:r>
      <w:r w:rsidR="00B0677D">
        <w:rPr>
          <w:rFonts w:ascii="Times New Roman" w:hAnsi="Times New Roman" w:cs="Times New Roman"/>
        </w:rPr>
        <w:t>ther expressions used in the instrument are defined in the Act</w:t>
      </w:r>
      <w:r w:rsidR="00EF6E63">
        <w:rPr>
          <w:rFonts w:ascii="Times New Roman" w:hAnsi="Times New Roman" w:cs="Times New Roman"/>
        </w:rPr>
        <w:t>,</w:t>
      </w:r>
      <w:r w:rsidR="00B0677D">
        <w:rPr>
          <w:rFonts w:ascii="Times New Roman" w:hAnsi="Times New Roman" w:cs="Times New Roman"/>
        </w:rPr>
        <w:t xml:space="preserve"> the</w:t>
      </w:r>
      <w:r w:rsidR="00E926E6">
        <w:rPr>
          <w:rFonts w:ascii="Times New Roman" w:hAnsi="Times New Roman" w:cs="Times New Roman"/>
        </w:rPr>
        <w:t xml:space="preserve"> </w:t>
      </w:r>
      <w:r w:rsidR="00971837" w:rsidRPr="00971837">
        <w:rPr>
          <w:rFonts w:ascii="Times New Roman" w:hAnsi="Times New Roman" w:cs="Times New Roman"/>
          <w:i/>
          <w:iCs/>
        </w:rPr>
        <w:t>Telecommunications</w:t>
      </w:r>
      <w:r w:rsidR="007B02C2" w:rsidRPr="00971837">
        <w:rPr>
          <w:rFonts w:ascii="Times New Roman" w:hAnsi="Times New Roman" w:cs="Times New Roman"/>
          <w:i/>
          <w:iCs/>
        </w:rPr>
        <w:t xml:space="preserve"> Act</w:t>
      </w:r>
      <w:r w:rsidR="00B0677D" w:rsidRPr="00971837">
        <w:rPr>
          <w:rFonts w:ascii="Times New Roman" w:hAnsi="Times New Roman" w:cs="Times New Roman"/>
          <w:i/>
          <w:iCs/>
        </w:rPr>
        <w:t xml:space="preserve"> </w:t>
      </w:r>
      <w:r w:rsidR="00971837" w:rsidRPr="00971837">
        <w:rPr>
          <w:rFonts w:ascii="Times New Roman" w:hAnsi="Times New Roman" w:cs="Times New Roman"/>
          <w:i/>
          <w:iCs/>
        </w:rPr>
        <w:t>1997</w:t>
      </w:r>
      <w:r w:rsidR="00EF6E63">
        <w:rPr>
          <w:rFonts w:ascii="Times New Roman" w:hAnsi="Times New Roman" w:cs="Times New Roman"/>
        </w:rPr>
        <w:t xml:space="preserve">, and the </w:t>
      </w:r>
      <w:r w:rsidR="00EF6E63">
        <w:rPr>
          <w:rFonts w:ascii="Times New Roman" w:hAnsi="Times New Roman" w:cs="Times New Roman"/>
          <w:i/>
          <w:iCs/>
        </w:rPr>
        <w:t>Acts Interpretation Act 1901</w:t>
      </w:r>
      <w:r w:rsidR="00B0677D">
        <w:rPr>
          <w:rFonts w:ascii="Times New Roman" w:hAnsi="Times New Roman" w:cs="Times New Roman"/>
        </w:rPr>
        <w:t>.</w:t>
      </w:r>
    </w:p>
    <w:p w14:paraId="6E73D002" w14:textId="3EA525AA" w:rsidR="00B0677D" w:rsidRDefault="00B0677D" w:rsidP="00B0677D">
      <w:pPr>
        <w:rPr>
          <w:rFonts w:ascii="Times New Roman" w:hAnsi="Times New Roman" w:cs="Times New Roman"/>
          <w:b/>
        </w:rPr>
      </w:pPr>
      <w:r>
        <w:rPr>
          <w:rFonts w:ascii="Times New Roman" w:hAnsi="Times New Roman" w:cs="Times New Roman"/>
          <w:b/>
        </w:rPr>
        <w:t xml:space="preserve">Section </w:t>
      </w:r>
      <w:r w:rsidR="006375D5">
        <w:rPr>
          <w:rFonts w:ascii="Times New Roman" w:hAnsi="Times New Roman" w:cs="Times New Roman"/>
          <w:b/>
        </w:rPr>
        <w:t>7</w:t>
      </w:r>
      <w:r>
        <w:rPr>
          <w:rFonts w:ascii="Times New Roman" w:hAnsi="Times New Roman" w:cs="Times New Roman"/>
          <w:b/>
        </w:rPr>
        <w:tab/>
        <w:t>References to other instruments</w:t>
      </w:r>
    </w:p>
    <w:p w14:paraId="6BFFBEF5" w14:textId="408CC9EE" w:rsidR="00B0677D" w:rsidRDefault="00B0677D" w:rsidP="00B0677D">
      <w:pPr>
        <w:spacing w:after="40"/>
        <w:rPr>
          <w:rFonts w:ascii="Times New Roman" w:hAnsi="Times New Roman" w:cs="Times New Roman"/>
        </w:rPr>
      </w:pPr>
      <w:r>
        <w:rPr>
          <w:rFonts w:ascii="Times New Roman" w:hAnsi="Times New Roman" w:cs="Times New Roman"/>
        </w:rPr>
        <w:t xml:space="preserve">This section </w:t>
      </w:r>
      <w:r w:rsidR="007B02C2">
        <w:rPr>
          <w:rFonts w:ascii="Times New Roman" w:hAnsi="Times New Roman" w:cs="Times New Roman"/>
        </w:rPr>
        <w:t>has the effect that</w:t>
      </w:r>
      <w:r>
        <w:rPr>
          <w:rFonts w:ascii="Times New Roman" w:hAnsi="Times New Roman" w:cs="Times New Roman"/>
        </w:rPr>
        <w:t xml:space="preserve"> in the instrument, unless the contrary intention appears:</w:t>
      </w:r>
    </w:p>
    <w:p w14:paraId="4D4D9BF0" w14:textId="77777777" w:rsidR="00B0677D" w:rsidRDefault="00B0677D" w:rsidP="00B0677D">
      <w:pPr>
        <w:pStyle w:val="ListParagraph"/>
        <w:numPr>
          <w:ilvl w:val="0"/>
          <w:numId w:val="7"/>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3564256C" w14:textId="0377E5E6" w:rsidR="00B0677D" w:rsidRDefault="00B0677D" w:rsidP="00B0677D">
      <w:pPr>
        <w:pStyle w:val="ListParagraph"/>
        <w:numPr>
          <w:ilvl w:val="0"/>
          <w:numId w:val="7"/>
        </w:numPr>
        <w:rPr>
          <w:rFonts w:ascii="Times New Roman" w:hAnsi="Times New Roman" w:cs="Times New Roman"/>
        </w:rPr>
      </w:pPr>
      <w:r>
        <w:rPr>
          <w:rFonts w:ascii="Times New Roman" w:hAnsi="Times New Roman" w:cs="Times New Roman"/>
        </w:rPr>
        <w:t xml:space="preserve">a reference to any other kind of instrument </w:t>
      </w:r>
      <w:r w:rsidR="00A85496">
        <w:rPr>
          <w:rFonts w:ascii="Times New Roman" w:hAnsi="Times New Roman" w:cs="Times New Roman"/>
        </w:rPr>
        <w:t xml:space="preserve">or writing </w:t>
      </w:r>
      <w:r>
        <w:rPr>
          <w:rFonts w:ascii="Times New Roman" w:hAnsi="Times New Roman" w:cs="Times New Roman"/>
        </w:rPr>
        <w:t xml:space="preserve">is a reference to that other instrument </w:t>
      </w:r>
      <w:r w:rsidR="00A85496">
        <w:rPr>
          <w:rFonts w:ascii="Times New Roman" w:hAnsi="Times New Roman" w:cs="Times New Roman"/>
        </w:rPr>
        <w:t xml:space="preserve">or writing </w:t>
      </w:r>
      <w:r>
        <w:rPr>
          <w:rFonts w:ascii="Times New Roman" w:hAnsi="Times New Roman" w:cs="Times New Roman"/>
        </w:rPr>
        <w:t>as in force from time to time.</w:t>
      </w:r>
    </w:p>
    <w:p w14:paraId="6F26308F" w14:textId="77777777" w:rsidR="000C5238" w:rsidRDefault="000C5238">
      <w:pPr>
        <w:spacing w:line="259" w:lineRule="auto"/>
        <w:rPr>
          <w:rFonts w:ascii="Times New Roman" w:hAnsi="Times New Roman" w:cs="Times New Roman"/>
          <w:b/>
        </w:rPr>
      </w:pPr>
      <w:r>
        <w:rPr>
          <w:rFonts w:ascii="Times New Roman" w:hAnsi="Times New Roman" w:cs="Times New Roman"/>
          <w:b/>
        </w:rPr>
        <w:br w:type="page"/>
      </w:r>
    </w:p>
    <w:p w14:paraId="2181A7D9" w14:textId="2EE70136" w:rsidR="00971837" w:rsidRDefault="00971837" w:rsidP="00B0677D">
      <w:pPr>
        <w:rPr>
          <w:rFonts w:ascii="Times New Roman" w:hAnsi="Times New Roman" w:cs="Times New Roman"/>
          <w:b/>
        </w:rPr>
      </w:pPr>
      <w:r>
        <w:rPr>
          <w:rFonts w:ascii="Times New Roman" w:hAnsi="Times New Roman" w:cs="Times New Roman"/>
          <w:b/>
        </w:rPr>
        <w:lastRenderedPageBreak/>
        <w:t>Part 2</w:t>
      </w:r>
      <w:r w:rsidR="00AA7670">
        <w:rPr>
          <w:rFonts w:ascii="Times New Roman" w:hAnsi="Times New Roman" w:cs="Times New Roman"/>
          <w:b/>
        </w:rPr>
        <w:t xml:space="preserve"> – </w:t>
      </w:r>
      <w:r>
        <w:rPr>
          <w:rFonts w:ascii="Times New Roman" w:hAnsi="Times New Roman" w:cs="Times New Roman"/>
          <w:b/>
        </w:rPr>
        <w:t>Performance Standards</w:t>
      </w:r>
    </w:p>
    <w:p w14:paraId="5938CD7C" w14:textId="1CD5D635" w:rsidR="00D74C7D" w:rsidRDefault="00D74C7D" w:rsidP="00B0677D">
      <w:pPr>
        <w:rPr>
          <w:rFonts w:ascii="Times New Roman" w:hAnsi="Times New Roman" w:cs="Times New Roman"/>
          <w:b/>
        </w:rPr>
      </w:pPr>
      <w:r>
        <w:rPr>
          <w:rFonts w:ascii="Times New Roman" w:hAnsi="Times New Roman" w:cs="Times New Roman"/>
          <w:b/>
        </w:rPr>
        <w:t>Division 1</w:t>
      </w:r>
      <w:r w:rsidR="00AA7670">
        <w:rPr>
          <w:rFonts w:ascii="Times New Roman" w:hAnsi="Times New Roman" w:cs="Times New Roman"/>
          <w:b/>
        </w:rPr>
        <w:t xml:space="preserve"> </w:t>
      </w:r>
      <w:r w:rsidR="005B055A">
        <w:rPr>
          <w:rFonts w:ascii="Times New Roman" w:hAnsi="Times New Roman" w:cs="Times New Roman"/>
          <w:b/>
        </w:rPr>
        <w:t>–</w:t>
      </w:r>
      <w:r>
        <w:rPr>
          <w:rFonts w:ascii="Times New Roman" w:hAnsi="Times New Roman" w:cs="Times New Roman"/>
          <w:b/>
        </w:rPr>
        <w:t xml:space="preserve"> Preliminary</w:t>
      </w:r>
    </w:p>
    <w:p w14:paraId="4162E256" w14:textId="011AE0E8" w:rsidR="00B0677D" w:rsidRPr="003F1DDB" w:rsidRDefault="00B0677D"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AA279F" w:rsidRPr="003F1DDB">
        <w:rPr>
          <w:rFonts w:ascii="Times New Roman" w:eastAsia="Times New Roman" w:hAnsi="Times New Roman" w:cs="Times New Roman"/>
          <w:b/>
          <w:lang w:eastAsia="en-AU"/>
        </w:rPr>
        <w:t>8</w:t>
      </w:r>
      <w:r w:rsidR="00FC6CC5" w:rsidRPr="003F1DDB">
        <w:rPr>
          <w:rFonts w:ascii="Times New Roman" w:eastAsia="Times New Roman" w:hAnsi="Times New Roman" w:cs="Times New Roman"/>
          <w:b/>
          <w:lang w:eastAsia="en-AU"/>
        </w:rPr>
        <w:t xml:space="preserve"> –</w:t>
      </w:r>
      <w:r w:rsidR="00074598" w:rsidRPr="003F1DDB">
        <w:rPr>
          <w:rFonts w:ascii="Times New Roman" w:eastAsia="Times New Roman" w:hAnsi="Times New Roman" w:cs="Times New Roman"/>
          <w:b/>
          <w:lang w:eastAsia="en-AU"/>
        </w:rPr>
        <w:t>Arrangements with customers</w:t>
      </w:r>
    </w:p>
    <w:p w14:paraId="26640FE0" w14:textId="2B51FC54"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8 provides that, in its dealings with customers, a CSP must make reasonable efforts to obtain the agreement of the customer, particularly in regard to the connection period and to the rectification period for faults or service difficulties. It is intended that CSPs should offer reasonable arrangements in relation to the period that may be taken by the CSP to connect a customer to a service and to rectify faults or service difficulties for the customer. Subsection 8(3) requires a CSP to comply with arrangements it has made under this section.</w:t>
      </w:r>
    </w:p>
    <w:p w14:paraId="67C1CC3B" w14:textId="45EF78CA"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8(4) provides that CSPs must keep a record of the arrangements made with customers and must retain a copy of that record for a period of </w:t>
      </w:r>
      <w:r w:rsidR="00946E1E">
        <w:rPr>
          <w:rFonts w:ascii="Times New Roman" w:eastAsia="Times New Roman" w:hAnsi="Times New Roman" w:cs="Times New Roman"/>
          <w:lang w:eastAsia="en-AU"/>
        </w:rPr>
        <w:t xml:space="preserve">at least </w:t>
      </w:r>
      <w:r w:rsidRPr="003F1DDB">
        <w:rPr>
          <w:rFonts w:ascii="Times New Roman" w:eastAsia="Times New Roman" w:hAnsi="Times New Roman" w:cs="Times New Roman"/>
          <w:lang w:eastAsia="en-AU"/>
        </w:rPr>
        <w:t xml:space="preserve">two years. This retention period has been selected as it is consistent with subsection 116(6) of the Act, which requires an action for damages to be instituted within a two-year period. See also subsection </w:t>
      </w:r>
      <w:r w:rsidR="008D2566" w:rsidRPr="003F1DDB">
        <w:rPr>
          <w:rFonts w:ascii="Times New Roman" w:eastAsia="Times New Roman" w:hAnsi="Times New Roman" w:cs="Times New Roman"/>
          <w:lang w:eastAsia="en-AU"/>
        </w:rPr>
        <w:t>35</w:t>
      </w:r>
      <w:r w:rsidRPr="003F1DDB">
        <w:rPr>
          <w:rFonts w:ascii="Times New Roman" w:eastAsia="Times New Roman" w:hAnsi="Times New Roman" w:cs="Times New Roman"/>
          <w:lang w:eastAsia="en-AU"/>
        </w:rPr>
        <w:t>(</w:t>
      </w:r>
      <w:r w:rsidR="008D2566" w:rsidRPr="003F1DDB">
        <w:rPr>
          <w:rFonts w:ascii="Times New Roman" w:eastAsia="Times New Roman" w:hAnsi="Times New Roman" w:cs="Times New Roman"/>
          <w:lang w:eastAsia="en-AU"/>
        </w:rPr>
        <w:t>1</w:t>
      </w:r>
      <w:r w:rsidRPr="003F1DDB">
        <w:rPr>
          <w:rFonts w:ascii="Times New Roman" w:eastAsia="Times New Roman" w:hAnsi="Times New Roman" w:cs="Times New Roman"/>
          <w:lang w:eastAsia="en-AU"/>
        </w:rPr>
        <w:t>)</w:t>
      </w:r>
      <w:r w:rsidR="006C4B87" w:rsidRPr="003F1DDB">
        <w:rPr>
          <w:rFonts w:ascii="Times New Roman" w:eastAsia="Times New Roman" w:hAnsi="Times New Roman" w:cs="Times New Roman"/>
          <w:lang w:eastAsia="en-AU"/>
        </w:rPr>
        <w:t xml:space="preserve"> </w:t>
      </w:r>
      <w:r w:rsidR="007968E7" w:rsidRPr="003F1DDB">
        <w:rPr>
          <w:rFonts w:ascii="Times New Roman" w:eastAsia="Times New Roman" w:hAnsi="Times New Roman" w:cs="Times New Roman"/>
          <w:lang w:eastAsia="en-AU"/>
        </w:rPr>
        <w:t>of the CSG Standard</w:t>
      </w:r>
      <w:r w:rsidRPr="003F1DDB">
        <w:rPr>
          <w:rFonts w:ascii="Times New Roman" w:eastAsia="Times New Roman" w:hAnsi="Times New Roman" w:cs="Times New Roman"/>
          <w:lang w:eastAsia="en-AU"/>
        </w:rPr>
        <w:t xml:space="preserve">, which requires the retention of records relating to the waiver by a customer of protection and rights under Part 5 of the Act for a period of </w:t>
      </w:r>
      <w:r w:rsidR="00946E1E">
        <w:rPr>
          <w:rFonts w:ascii="Times New Roman" w:eastAsia="Times New Roman" w:hAnsi="Times New Roman" w:cs="Times New Roman"/>
          <w:lang w:eastAsia="en-AU"/>
        </w:rPr>
        <w:t xml:space="preserve">at least </w:t>
      </w:r>
      <w:r w:rsidRPr="003F1DDB">
        <w:rPr>
          <w:rFonts w:ascii="Times New Roman" w:eastAsia="Times New Roman" w:hAnsi="Times New Roman" w:cs="Times New Roman"/>
          <w:lang w:eastAsia="en-AU"/>
        </w:rPr>
        <w:t>two years.</w:t>
      </w:r>
    </w:p>
    <w:p w14:paraId="10C4D4B2" w14:textId="3E85976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1B1642"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 xml:space="preserve">(5) provides that if, when making arrangements with a customer, a CSP has relied on or is likely to rely on an exemption from compliance with the CSG Standard, the CSP must inform the customer of its reliance or likely reliance on the exemption. This is intended to achieve the objective of customers being informed of when a CSP is relying on or likely to rely on an exemption. See also sections </w:t>
      </w:r>
      <w:r w:rsidR="008D2566" w:rsidRPr="003F1DDB">
        <w:rPr>
          <w:rFonts w:ascii="Times New Roman" w:eastAsia="Times New Roman" w:hAnsi="Times New Roman" w:cs="Times New Roman"/>
          <w:lang w:eastAsia="en-AU"/>
        </w:rPr>
        <w:t xml:space="preserve">26 </w:t>
      </w:r>
      <w:r w:rsidRPr="003F1DDB">
        <w:rPr>
          <w:rFonts w:ascii="Times New Roman" w:eastAsia="Times New Roman" w:hAnsi="Times New Roman" w:cs="Times New Roman"/>
          <w:lang w:eastAsia="en-AU"/>
        </w:rPr>
        <w:t xml:space="preserve">and </w:t>
      </w:r>
      <w:r w:rsidR="008D2566" w:rsidRPr="003F1DDB">
        <w:rPr>
          <w:rFonts w:ascii="Times New Roman" w:eastAsia="Times New Roman" w:hAnsi="Times New Roman" w:cs="Times New Roman"/>
          <w:lang w:eastAsia="en-AU"/>
        </w:rPr>
        <w:t>27</w:t>
      </w:r>
      <w:r w:rsidR="007968E7" w:rsidRPr="003F1DDB">
        <w:rPr>
          <w:rFonts w:ascii="Times New Roman" w:eastAsia="Times New Roman" w:hAnsi="Times New Roman" w:cs="Times New Roman"/>
          <w:lang w:eastAsia="en-AU"/>
        </w:rPr>
        <w:t xml:space="preserve"> of the CSG Standard</w:t>
      </w:r>
      <w:r w:rsidRPr="003F1DDB">
        <w:rPr>
          <w:rFonts w:ascii="Times New Roman" w:eastAsia="Times New Roman" w:hAnsi="Times New Roman" w:cs="Times New Roman"/>
          <w:lang w:eastAsia="en-AU"/>
        </w:rPr>
        <w:t xml:space="preserve">, which deal with </w:t>
      </w:r>
      <w:r w:rsidR="001A1C29" w:rsidRPr="003F1DDB">
        <w:rPr>
          <w:rFonts w:ascii="Times New Roman" w:eastAsia="Times New Roman" w:hAnsi="Times New Roman" w:cs="Times New Roman"/>
          <w:lang w:eastAsia="en-AU"/>
        </w:rPr>
        <w:t xml:space="preserve">notification requirements </w:t>
      </w:r>
      <w:r w:rsidRPr="003F1DDB">
        <w:rPr>
          <w:rFonts w:ascii="Times New Roman" w:eastAsia="Times New Roman" w:hAnsi="Times New Roman" w:cs="Times New Roman"/>
          <w:lang w:eastAsia="en-AU"/>
        </w:rPr>
        <w:t xml:space="preserve">CSPs must follow </w:t>
      </w:r>
      <w:r w:rsidR="001A1C29" w:rsidRPr="003F1DDB">
        <w:rPr>
          <w:rFonts w:ascii="Times New Roman" w:eastAsia="Times New Roman" w:hAnsi="Times New Roman" w:cs="Times New Roman"/>
          <w:lang w:eastAsia="en-AU"/>
        </w:rPr>
        <w:t>in relation to reliance on an</w:t>
      </w:r>
      <w:r w:rsidRPr="003F1DDB">
        <w:rPr>
          <w:rFonts w:ascii="Times New Roman" w:eastAsia="Times New Roman" w:hAnsi="Times New Roman" w:cs="Times New Roman"/>
          <w:lang w:eastAsia="en-AU"/>
        </w:rPr>
        <w:t xml:space="preserve"> exemption.</w:t>
      </w:r>
    </w:p>
    <w:p w14:paraId="6A205B4C" w14:textId="38D0C1CE"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1A1C29" w:rsidRPr="003F1DDB">
        <w:rPr>
          <w:rFonts w:ascii="Times New Roman" w:eastAsia="Times New Roman" w:hAnsi="Times New Roman" w:cs="Times New Roman"/>
          <w:b/>
          <w:lang w:eastAsia="en-AU"/>
        </w:rPr>
        <w:t xml:space="preserve">9 </w:t>
      </w:r>
      <w:r w:rsidRPr="003F1DDB">
        <w:rPr>
          <w:rFonts w:ascii="Times New Roman" w:eastAsia="Times New Roman" w:hAnsi="Times New Roman" w:cs="Times New Roman"/>
          <w:b/>
          <w:lang w:eastAsia="en-AU"/>
        </w:rPr>
        <w:t>– Information to be given to customers</w:t>
      </w:r>
    </w:p>
    <w:p w14:paraId="765B5A02" w14:textId="63580B6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1A1C29" w:rsidRPr="003F1DDB">
        <w:rPr>
          <w:rFonts w:ascii="Times New Roman" w:eastAsia="Times New Roman" w:hAnsi="Times New Roman" w:cs="Times New Roman"/>
          <w:lang w:eastAsia="en-AU"/>
        </w:rPr>
        <w:t xml:space="preserve">9 </w:t>
      </w:r>
      <w:r w:rsidRPr="003F1DDB">
        <w:rPr>
          <w:rFonts w:ascii="Times New Roman" w:eastAsia="Times New Roman" w:hAnsi="Times New Roman" w:cs="Times New Roman"/>
          <w:lang w:eastAsia="en-AU"/>
        </w:rPr>
        <w:t xml:space="preserve">places obligations on CSPs to inform customers about the CSG. Subsection </w:t>
      </w:r>
      <w:r w:rsidR="001A1C29" w:rsidRPr="003F1DDB">
        <w:rPr>
          <w:rFonts w:ascii="Times New Roman" w:eastAsia="Times New Roman" w:hAnsi="Times New Roman" w:cs="Times New Roman"/>
          <w:lang w:eastAsia="en-AU"/>
        </w:rPr>
        <w:t>9</w:t>
      </w:r>
      <w:r w:rsidRPr="003F1DDB">
        <w:rPr>
          <w:rFonts w:ascii="Times New Roman" w:eastAsia="Times New Roman" w:hAnsi="Times New Roman" w:cs="Times New Roman"/>
          <w:lang w:eastAsia="en-AU"/>
        </w:rPr>
        <w:t>(1) requires a CSP to provide written information to customers about the applicable performance standards, the CSP’s obligations under those standards and the customer’s entitlements to damages for contravention of a performance standard, as soon as practicable after connecting the customer to a CSG service. Subsection</w:t>
      </w:r>
      <w:r w:rsidR="00E7269D">
        <w:rPr>
          <w:rFonts w:ascii="Times New Roman" w:eastAsia="Times New Roman" w:hAnsi="Times New Roman" w:cs="Times New Roman"/>
          <w:lang w:eastAsia="en-AU"/>
        </w:rPr>
        <w:t>s</w:t>
      </w:r>
      <w:r w:rsidRPr="003F1DDB">
        <w:rPr>
          <w:rFonts w:ascii="Times New Roman" w:eastAsia="Times New Roman" w:hAnsi="Times New Roman" w:cs="Times New Roman"/>
          <w:lang w:eastAsia="en-AU"/>
        </w:rPr>
        <w:t xml:space="preserve"> </w:t>
      </w:r>
      <w:r w:rsidR="001A1C29" w:rsidRPr="003F1DDB">
        <w:rPr>
          <w:rFonts w:ascii="Times New Roman" w:eastAsia="Times New Roman" w:hAnsi="Times New Roman" w:cs="Times New Roman"/>
          <w:lang w:eastAsia="en-AU"/>
        </w:rPr>
        <w:t>9</w:t>
      </w:r>
      <w:r w:rsidRPr="003F1DDB">
        <w:rPr>
          <w:rFonts w:ascii="Times New Roman" w:eastAsia="Times New Roman" w:hAnsi="Times New Roman" w:cs="Times New Roman"/>
          <w:lang w:eastAsia="en-AU"/>
        </w:rPr>
        <w:t xml:space="preserve">(2) </w:t>
      </w:r>
      <w:r w:rsidR="00E7269D">
        <w:rPr>
          <w:rFonts w:ascii="Times New Roman" w:eastAsia="Times New Roman" w:hAnsi="Times New Roman" w:cs="Times New Roman"/>
          <w:lang w:eastAsia="en-AU"/>
        </w:rPr>
        <w:t xml:space="preserve">and (3) </w:t>
      </w:r>
      <w:r w:rsidRPr="003F1DDB">
        <w:rPr>
          <w:rFonts w:ascii="Times New Roman" w:eastAsia="Times New Roman" w:hAnsi="Times New Roman" w:cs="Times New Roman"/>
          <w:lang w:eastAsia="en-AU"/>
        </w:rPr>
        <w:t xml:space="preserve">require a CSP to make the same information available to its customers </w:t>
      </w:r>
      <w:r w:rsidR="00AA5542">
        <w:rPr>
          <w:rFonts w:ascii="Times New Roman" w:eastAsia="Times New Roman" w:hAnsi="Times New Roman" w:cs="Times New Roman"/>
          <w:lang w:eastAsia="en-AU"/>
        </w:rPr>
        <w:t xml:space="preserve">at least </w:t>
      </w:r>
      <w:r w:rsidRPr="003F1DDB">
        <w:rPr>
          <w:rFonts w:ascii="Times New Roman" w:eastAsia="Times New Roman" w:hAnsi="Times New Roman" w:cs="Times New Roman"/>
          <w:lang w:eastAsia="en-AU"/>
        </w:rPr>
        <w:t xml:space="preserve">every two years </w:t>
      </w:r>
      <w:r w:rsidR="00AA5542">
        <w:rPr>
          <w:rFonts w:ascii="Times New Roman" w:eastAsia="Times New Roman" w:hAnsi="Times New Roman" w:cs="Times New Roman"/>
          <w:lang w:eastAsia="en-AU"/>
        </w:rPr>
        <w:t>and</w:t>
      </w:r>
      <w:r w:rsidRPr="003F1DDB">
        <w:rPr>
          <w:rFonts w:ascii="Times New Roman" w:eastAsia="Times New Roman" w:hAnsi="Times New Roman" w:cs="Times New Roman"/>
          <w:lang w:eastAsia="en-AU"/>
        </w:rPr>
        <w:t xml:space="preserve"> on request by the customer.</w:t>
      </w:r>
    </w:p>
    <w:p w14:paraId="6B8A5873" w14:textId="5EB73D7D"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1A1C29" w:rsidRPr="003F1DDB">
        <w:rPr>
          <w:rFonts w:ascii="Times New Roman" w:eastAsia="Times New Roman" w:hAnsi="Times New Roman" w:cs="Times New Roman"/>
          <w:b/>
          <w:lang w:eastAsia="en-AU"/>
        </w:rPr>
        <w:t xml:space="preserve">10 </w:t>
      </w:r>
      <w:r w:rsidRPr="003F1DDB">
        <w:rPr>
          <w:rFonts w:ascii="Times New Roman" w:eastAsia="Times New Roman" w:hAnsi="Times New Roman" w:cs="Times New Roman"/>
          <w:b/>
          <w:lang w:eastAsia="en-AU"/>
        </w:rPr>
        <w:t>– Cooperation of customers with carriage service providers</w:t>
      </w:r>
    </w:p>
    <w:p w14:paraId="2A7EAD6A" w14:textId="25FDC7F4"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w:t>
      </w:r>
      <w:r w:rsidR="00CD34B2" w:rsidRPr="003F1DDB">
        <w:rPr>
          <w:rFonts w:ascii="Times New Roman" w:eastAsia="Times New Roman" w:hAnsi="Times New Roman" w:cs="Times New Roman"/>
          <w:lang w:eastAsia="en-AU"/>
        </w:rPr>
        <w:t>ubs</w:t>
      </w:r>
      <w:r w:rsidRPr="003F1DDB">
        <w:rPr>
          <w:rFonts w:ascii="Times New Roman" w:eastAsia="Times New Roman" w:hAnsi="Times New Roman" w:cs="Times New Roman"/>
          <w:lang w:eastAsia="en-AU"/>
        </w:rPr>
        <w:t xml:space="preserve">ection </w:t>
      </w:r>
      <w:r w:rsidR="001A1C29" w:rsidRPr="003F1DDB">
        <w:rPr>
          <w:rFonts w:ascii="Times New Roman" w:eastAsia="Times New Roman" w:hAnsi="Times New Roman" w:cs="Times New Roman"/>
          <w:lang w:eastAsia="en-AU"/>
        </w:rPr>
        <w:t>10</w:t>
      </w:r>
      <w:r w:rsidR="00CD34B2" w:rsidRPr="003F1DDB">
        <w:rPr>
          <w:rFonts w:ascii="Times New Roman" w:eastAsia="Times New Roman" w:hAnsi="Times New Roman" w:cs="Times New Roman"/>
          <w:lang w:eastAsia="en-AU"/>
        </w:rPr>
        <w:t>(1)</w:t>
      </w:r>
      <w:r w:rsidR="001A1C29"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sets out matters intended to </w:t>
      </w:r>
      <w:r w:rsidR="001A1C29" w:rsidRPr="003F1DDB">
        <w:rPr>
          <w:rFonts w:ascii="Times New Roman" w:eastAsia="Times New Roman" w:hAnsi="Times New Roman" w:cs="Times New Roman"/>
          <w:lang w:eastAsia="en-AU"/>
        </w:rPr>
        <w:t>provide reasonable exemptions to the performance standard</w:t>
      </w:r>
      <w:r w:rsidR="004D09AA" w:rsidRPr="003F1DDB">
        <w:rPr>
          <w:rFonts w:ascii="Times New Roman" w:eastAsia="Times New Roman" w:hAnsi="Times New Roman" w:cs="Times New Roman"/>
          <w:lang w:eastAsia="en-AU"/>
        </w:rPr>
        <w:t>s</w:t>
      </w:r>
      <w:r w:rsidR="001A1C29" w:rsidRPr="003F1DDB">
        <w:rPr>
          <w:rFonts w:ascii="Times New Roman" w:eastAsia="Times New Roman" w:hAnsi="Times New Roman" w:cs="Times New Roman"/>
          <w:lang w:eastAsia="en-AU"/>
        </w:rPr>
        <w:t xml:space="preserve"> for </w:t>
      </w:r>
      <w:r w:rsidRPr="003F1DDB">
        <w:rPr>
          <w:rFonts w:ascii="Times New Roman" w:eastAsia="Times New Roman" w:hAnsi="Times New Roman" w:cs="Times New Roman"/>
          <w:lang w:eastAsia="en-AU"/>
        </w:rPr>
        <w:t xml:space="preserve">a CSP in </w:t>
      </w:r>
      <w:r w:rsidR="00586ADD" w:rsidRPr="003F1DDB">
        <w:rPr>
          <w:rFonts w:ascii="Times New Roman" w:eastAsia="Times New Roman" w:hAnsi="Times New Roman" w:cs="Times New Roman"/>
          <w:lang w:eastAsia="en-AU"/>
        </w:rPr>
        <w:t>certain cases</w:t>
      </w:r>
      <w:r w:rsidR="00EF5FA8" w:rsidRPr="003F1DDB">
        <w:rPr>
          <w:rFonts w:ascii="Times New Roman" w:eastAsia="Times New Roman" w:hAnsi="Times New Roman" w:cs="Times New Roman"/>
          <w:lang w:eastAsia="en-AU"/>
        </w:rPr>
        <w:t xml:space="preserve"> – i.e. where a reasonable offer of an alternative or interim service has been made but declined by the customer, or where the </w:t>
      </w:r>
      <w:r w:rsidR="003A2FF5" w:rsidRPr="003F1DDB">
        <w:rPr>
          <w:rFonts w:ascii="Times New Roman" w:eastAsia="Times New Roman" w:hAnsi="Times New Roman" w:cs="Times New Roman"/>
          <w:lang w:eastAsia="en-AU"/>
        </w:rPr>
        <w:t>customer accepts that offer and has been given</w:t>
      </w:r>
      <w:r w:rsidR="00CD34B2" w:rsidRPr="003F1DDB">
        <w:rPr>
          <w:rFonts w:ascii="Times New Roman" w:eastAsia="Times New Roman" w:hAnsi="Times New Roman" w:cs="Times New Roman"/>
          <w:lang w:eastAsia="en-AU"/>
        </w:rPr>
        <w:t xml:space="preserve"> </w:t>
      </w:r>
      <w:r w:rsidR="00EB0BC3" w:rsidRPr="003F1DDB">
        <w:rPr>
          <w:rFonts w:ascii="Times New Roman" w:eastAsia="Times New Roman" w:hAnsi="Times New Roman" w:cs="Times New Roman"/>
          <w:lang w:eastAsia="en-AU"/>
        </w:rPr>
        <w:t xml:space="preserve"> sufficient information </w:t>
      </w:r>
      <w:r w:rsidR="00D84DBF" w:rsidRPr="003F1DDB">
        <w:rPr>
          <w:rFonts w:ascii="Times New Roman" w:eastAsia="Times New Roman" w:hAnsi="Times New Roman" w:cs="Times New Roman"/>
          <w:lang w:eastAsia="en-AU"/>
        </w:rPr>
        <w:t xml:space="preserve">by the CSP </w:t>
      </w:r>
      <w:r w:rsidR="00EB0BC3" w:rsidRPr="003F1DDB">
        <w:rPr>
          <w:rFonts w:ascii="Times New Roman" w:eastAsia="Times New Roman" w:hAnsi="Times New Roman" w:cs="Times New Roman"/>
          <w:lang w:eastAsia="en-AU"/>
        </w:rPr>
        <w:t>about the service for the customer to make an informed judgment</w:t>
      </w:r>
      <w:r w:rsidR="0079338B" w:rsidRPr="003F1DDB">
        <w:rPr>
          <w:rFonts w:ascii="Times New Roman" w:eastAsia="Times New Roman" w:hAnsi="Times New Roman" w:cs="Times New Roman"/>
          <w:lang w:eastAsia="en-AU"/>
        </w:rPr>
        <w:t xml:space="preserve"> about whether to accept that offer</w:t>
      </w:r>
      <w:r w:rsidR="00EB0BC3"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Definitions for interim and alternative service are included in section </w:t>
      </w:r>
      <w:r w:rsidR="008D2566" w:rsidRPr="003F1DDB">
        <w:rPr>
          <w:rFonts w:ascii="Times New Roman" w:eastAsia="Times New Roman" w:hAnsi="Times New Roman" w:cs="Times New Roman"/>
          <w:lang w:eastAsia="en-AU"/>
        </w:rPr>
        <w:t xml:space="preserve">6 </w:t>
      </w:r>
      <w:r w:rsidRPr="003F1DDB">
        <w:rPr>
          <w:rFonts w:ascii="Times New Roman" w:eastAsia="Times New Roman" w:hAnsi="Times New Roman" w:cs="Times New Roman"/>
          <w:lang w:eastAsia="en-AU"/>
        </w:rPr>
        <w:t xml:space="preserve">of the CSG Standard. </w:t>
      </w:r>
      <w:r w:rsidR="0079338B" w:rsidRPr="003F1DDB">
        <w:rPr>
          <w:rFonts w:ascii="Times New Roman" w:eastAsia="Times New Roman" w:hAnsi="Times New Roman" w:cs="Times New Roman"/>
          <w:lang w:eastAsia="en-AU"/>
        </w:rPr>
        <w:t xml:space="preserve">Subsection 10(1) </w:t>
      </w:r>
      <w:r w:rsidRPr="003F1DDB">
        <w:rPr>
          <w:rFonts w:ascii="Times New Roman" w:eastAsia="Times New Roman" w:hAnsi="Times New Roman" w:cs="Times New Roman"/>
          <w:lang w:eastAsia="en-AU"/>
        </w:rPr>
        <w:t xml:space="preserve">is intended to allow CSPs to provide a customer with a temporary </w:t>
      </w:r>
      <w:r w:rsidR="00FF6BF1" w:rsidRPr="003F1DDB">
        <w:rPr>
          <w:rFonts w:ascii="Times New Roman" w:eastAsia="Times New Roman" w:hAnsi="Times New Roman" w:cs="Times New Roman"/>
          <w:lang w:eastAsia="en-AU"/>
        </w:rPr>
        <w:t xml:space="preserve">or alternative </w:t>
      </w:r>
      <w:r w:rsidRPr="003F1DDB">
        <w:rPr>
          <w:rFonts w:ascii="Times New Roman" w:eastAsia="Times New Roman" w:hAnsi="Times New Roman" w:cs="Times New Roman"/>
          <w:lang w:eastAsia="en-AU"/>
        </w:rPr>
        <w:t>service in cases where they are unable to meet the CSG performance standard associated with the connection or rectification of a service.</w:t>
      </w:r>
    </w:p>
    <w:p w14:paraId="58CF8D7A" w14:textId="69CF43B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Subsections </w:t>
      </w:r>
      <w:r w:rsidR="00FF6BF1" w:rsidRPr="003F1DDB">
        <w:rPr>
          <w:rFonts w:ascii="Times New Roman" w:eastAsia="Times New Roman" w:hAnsi="Times New Roman" w:cs="Times New Roman"/>
          <w:lang w:eastAsia="en-AU"/>
        </w:rPr>
        <w:t>10</w:t>
      </w:r>
      <w:r w:rsidRPr="003F1DDB">
        <w:rPr>
          <w:rFonts w:ascii="Times New Roman" w:eastAsia="Times New Roman" w:hAnsi="Times New Roman" w:cs="Times New Roman"/>
          <w:lang w:eastAsia="en-AU"/>
        </w:rPr>
        <w:t xml:space="preserve">(2) and </w:t>
      </w:r>
      <w:r w:rsidR="00FF6BF1" w:rsidRPr="003F1DDB">
        <w:rPr>
          <w:rFonts w:ascii="Times New Roman" w:eastAsia="Times New Roman" w:hAnsi="Times New Roman" w:cs="Times New Roman"/>
          <w:lang w:eastAsia="en-AU"/>
        </w:rPr>
        <w:t>10</w:t>
      </w:r>
      <w:r w:rsidRPr="003F1DDB">
        <w:rPr>
          <w:rFonts w:ascii="Times New Roman" w:eastAsia="Times New Roman" w:hAnsi="Times New Roman" w:cs="Times New Roman"/>
          <w:lang w:eastAsia="en-AU"/>
        </w:rPr>
        <w:t xml:space="preserve">(3) define a reasonable offer to supply an interim or alternative service </w:t>
      </w:r>
      <w:r w:rsidR="00FF6BF1" w:rsidRPr="003F1DDB">
        <w:rPr>
          <w:rFonts w:ascii="Times New Roman" w:eastAsia="Times New Roman" w:hAnsi="Times New Roman" w:cs="Times New Roman"/>
          <w:lang w:eastAsia="en-AU"/>
        </w:rPr>
        <w:t xml:space="preserve">including </w:t>
      </w:r>
      <w:r w:rsidRPr="003F1DDB">
        <w:rPr>
          <w:rFonts w:ascii="Times New Roman" w:eastAsia="Times New Roman" w:hAnsi="Times New Roman" w:cs="Times New Roman"/>
          <w:lang w:eastAsia="en-AU"/>
        </w:rPr>
        <w:t xml:space="preserve">what </w:t>
      </w:r>
      <w:r w:rsidR="00FF6BF1" w:rsidRPr="003F1DDB">
        <w:rPr>
          <w:rFonts w:ascii="Times New Roman" w:eastAsia="Times New Roman" w:hAnsi="Times New Roman" w:cs="Times New Roman"/>
          <w:lang w:eastAsia="en-AU"/>
        </w:rPr>
        <w:t xml:space="preserve">options and </w:t>
      </w:r>
      <w:r w:rsidRPr="003F1DDB">
        <w:rPr>
          <w:rFonts w:ascii="Times New Roman" w:eastAsia="Times New Roman" w:hAnsi="Times New Roman" w:cs="Times New Roman"/>
          <w:lang w:eastAsia="en-AU"/>
        </w:rPr>
        <w:t xml:space="preserve">information must be given to a customer regarding the </w:t>
      </w:r>
      <w:r w:rsidR="00FF6BF1" w:rsidRPr="003F1DDB">
        <w:rPr>
          <w:rFonts w:ascii="Times New Roman" w:eastAsia="Times New Roman" w:hAnsi="Times New Roman" w:cs="Times New Roman"/>
          <w:lang w:eastAsia="en-AU"/>
        </w:rPr>
        <w:t xml:space="preserve">benefits of the </w:t>
      </w:r>
      <w:r w:rsidRPr="003F1DDB">
        <w:rPr>
          <w:rFonts w:ascii="Times New Roman" w:eastAsia="Times New Roman" w:hAnsi="Times New Roman" w:cs="Times New Roman"/>
          <w:lang w:eastAsia="en-AU"/>
        </w:rPr>
        <w:t xml:space="preserve">functionality and the terms and conditions of supply </w:t>
      </w:r>
      <w:r w:rsidR="00E87F94">
        <w:rPr>
          <w:rFonts w:ascii="Times New Roman" w:eastAsia="Times New Roman" w:hAnsi="Times New Roman" w:cs="Times New Roman"/>
          <w:lang w:eastAsia="en-AU"/>
        </w:rPr>
        <w:t>of</w:t>
      </w:r>
      <w:r w:rsidRPr="003F1DDB">
        <w:rPr>
          <w:rFonts w:ascii="Times New Roman" w:eastAsia="Times New Roman" w:hAnsi="Times New Roman" w:cs="Times New Roman"/>
          <w:lang w:eastAsia="en-AU"/>
        </w:rPr>
        <w:t xml:space="preserve"> that service. The intention of these provisions is that a CSP must supply a customer with sufficient information about </w:t>
      </w:r>
      <w:r w:rsidR="006340EA" w:rsidRPr="003F1DDB">
        <w:rPr>
          <w:rFonts w:ascii="Times New Roman" w:eastAsia="Times New Roman" w:hAnsi="Times New Roman" w:cs="Times New Roman"/>
          <w:lang w:eastAsia="en-AU"/>
        </w:rPr>
        <w:t xml:space="preserve">a </w:t>
      </w:r>
      <w:r w:rsidRPr="003F1DDB">
        <w:rPr>
          <w:rFonts w:ascii="Times New Roman" w:eastAsia="Times New Roman" w:hAnsi="Times New Roman" w:cs="Times New Roman"/>
          <w:lang w:eastAsia="en-AU"/>
        </w:rPr>
        <w:t>proposal for the supply of an interim or alternative service so that a customer is able to make an informed choice.</w:t>
      </w:r>
    </w:p>
    <w:p w14:paraId="2D737696" w14:textId="67CC2A6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6B4483" w:rsidRPr="003F1DDB">
        <w:rPr>
          <w:rFonts w:ascii="Times New Roman" w:eastAsia="Times New Roman" w:hAnsi="Times New Roman" w:cs="Times New Roman"/>
          <w:lang w:eastAsia="en-AU"/>
        </w:rPr>
        <w:t>10</w:t>
      </w:r>
      <w:r w:rsidRPr="003F1DDB">
        <w:rPr>
          <w:rFonts w:ascii="Times New Roman" w:eastAsia="Times New Roman" w:hAnsi="Times New Roman" w:cs="Times New Roman"/>
          <w:lang w:eastAsia="en-AU"/>
        </w:rPr>
        <w:t xml:space="preserve">(4) </w:t>
      </w:r>
      <w:r w:rsidR="0002426F" w:rsidRPr="003F1DDB">
        <w:rPr>
          <w:rFonts w:ascii="Times New Roman" w:eastAsia="Times New Roman" w:hAnsi="Times New Roman" w:cs="Times New Roman"/>
          <w:lang w:eastAsia="en-AU"/>
        </w:rPr>
        <w:t xml:space="preserve">sets out factors </w:t>
      </w:r>
      <w:r w:rsidR="00747755" w:rsidRPr="003F1DDB">
        <w:rPr>
          <w:rFonts w:ascii="Times New Roman" w:eastAsia="Times New Roman" w:hAnsi="Times New Roman" w:cs="Times New Roman"/>
          <w:lang w:eastAsia="en-AU"/>
        </w:rPr>
        <w:t>rel</w:t>
      </w:r>
      <w:r w:rsidR="0025774E" w:rsidRPr="003F1DDB">
        <w:rPr>
          <w:rFonts w:ascii="Times New Roman" w:eastAsia="Times New Roman" w:hAnsi="Times New Roman" w:cs="Times New Roman"/>
          <w:lang w:eastAsia="en-AU"/>
        </w:rPr>
        <w:t>a</w:t>
      </w:r>
      <w:r w:rsidR="00747755" w:rsidRPr="003F1DDB">
        <w:rPr>
          <w:rFonts w:ascii="Times New Roman" w:eastAsia="Times New Roman" w:hAnsi="Times New Roman" w:cs="Times New Roman"/>
          <w:lang w:eastAsia="en-AU"/>
        </w:rPr>
        <w:t xml:space="preserve">ting to the </w:t>
      </w:r>
      <w:r w:rsidR="0025774E" w:rsidRPr="003F1DDB">
        <w:rPr>
          <w:rFonts w:ascii="Times New Roman" w:eastAsia="Times New Roman" w:hAnsi="Times New Roman" w:cs="Times New Roman"/>
          <w:lang w:eastAsia="en-AU"/>
        </w:rPr>
        <w:t xml:space="preserve">conduct of the customer </w:t>
      </w:r>
      <w:r w:rsidR="0002426F" w:rsidRPr="003F1DDB">
        <w:rPr>
          <w:rFonts w:ascii="Times New Roman" w:eastAsia="Times New Roman" w:hAnsi="Times New Roman" w:cs="Times New Roman"/>
          <w:lang w:eastAsia="en-AU"/>
        </w:rPr>
        <w:t xml:space="preserve">which must be considered </w:t>
      </w:r>
      <w:r w:rsidRPr="003F1DDB">
        <w:rPr>
          <w:rFonts w:ascii="Times New Roman" w:eastAsia="Times New Roman" w:hAnsi="Times New Roman" w:cs="Times New Roman"/>
          <w:lang w:eastAsia="en-AU"/>
        </w:rPr>
        <w:t>whe</w:t>
      </w:r>
      <w:r w:rsidR="003646F3" w:rsidRPr="003F1DDB">
        <w:rPr>
          <w:rFonts w:ascii="Times New Roman" w:eastAsia="Times New Roman" w:hAnsi="Times New Roman" w:cs="Times New Roman"/>
          <w:lang w:eastAsia="en-AU"/>
        </w:rPr>
        <w:t xml:space="preserve">n determining whether </w:t>
      </w:r>
      <w:r w:rsidRPr="003F1DDB">
        <w:rPr>
          <w:rFonts w:ascii="Times New Roman" w:eastAsia="Times New Roman" w:hAnsi="Times New Roman" w:cs="Times New Roman"/>
          <w:lang w:eastAsia="en-AU"/>
        </w:rPr>
        <w:t xml:space="preserve">a CSP </w:t>
      </w:r>
      <w:r w:rsidR="00747755" w:rsidRPr="003F1DDB">
        <w:rPr>
          <w:rFonts w:ascii="Times New Roman" w:eastAsia="Times New Roman" w:hAnsi="Times New Roman" w:cs="Times New Roman"/>
          <w:lang w:eastAsia="en-AU"/>
        </w:rPr>
        <w:t xml:space="preserve">has contravened </w:t>
      </w:r>
      <w:r w:rsidRPr="003F1DDB">
        <w:rPr>
          <w:rFonts w:ascii="Times New Roman" w:eastAsia="Times New Roman" w:hAnsi="Times New Roman" w:cs="Times New Roman"/>
          <w:lang w:eastAsia="en-AU"/>
        </w:rPr>
        <w:t xml:space="preserve">a CSG performance </w:t>
      </w:r>
      <w:r w:rsidR="00F96C7A" w:rsidRPr="003F1DDB">
        <w:rPr>
          <w:rFonts w:ascii="Times New Roman" w:eastAsia="Times New Roman" w:hAnsi="Times New Roman" w:cs="Times New Roman"/>
          <w:lang w:eastAsia="en-AU"/>
        </w:rPr>
        <w:t xml:space="preserve">standard </w:t>
      </w:r>
      <w:r w:rsidR="0025774E" w:rsidRPr="003F1DDB">
        <w:rPr>
          <w:rFonts w:ascii="Times New Roman" w:eastAsia="Times New Roman" w:hAnsi="Times New Roman" w:cs="Times New Roman"/>
          <w:lang w:eastAsia="en-AU"/>
        </w:rPr>
        <w:t>in relation to the customer</w:t>
      </w:r>
      <w:r w:rsidRPr="003F1DDB">
        <w:rPr>
          <w:rFonts w:ascii="Times New Roman" w:eastAsia="Times New Roman" w:hAnsi="Times New Roman" w:cs="Times New Roman"/>
          <w:lang w:eastAsia="en-AU"/>
        </w:rPr>
        <w:t>.</w:t>
      </w:r>
    </w:p>
    <w:p w14:paraId="4199163C" w14:textId="15A58EEF"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lastRenderedPageBreak/>
        <w:t xml:space="preserve">Subsection </w:t>
      </w:r>
      <w:r w:rsidR="006B4483" w:rsidRPr="003F1DDB">
        <w:rPr>
          <w:rFonts w:ascii="Times New Roman" w:eastAsia="Times New Roman" w:hAnsi="Times New Roman" w:cs="Times New Roman"/>
          <w:lang w:eastAsia="en-AU"/>
        </w:rPr>
        <w:t>10</w:t>
      </w:r>
      <w:r w:rsidRPr="003F1DDB">
        <w:rPr>
          <w:rFonts w:ascii="Times New Roman" w:eastAsia="Times New Roman" w:hAnsi="Times New Roman" w:cs="Times New Roman"/>
          <w:lang w:eastAsia="en-AU"/>
        </w:rPr>
        <w:t>(5) provides that a CSP must not supply the customer with an interim service for a period of more than six months in lieu of the connection of a standard telephone service, unless the customer agrees with th</w:t>
      </w:r>
      <w:r w:rsidR="007B6347">
        <w:rPr>
          <w:rFonts w:ascii="Times New Roman" w:eastAsia="Times New Roman" w:hAnsi="Times New Roman" w:cs="Times New Roman"/>
          <w:lang w:eastAsia="en-AU"/>
        </w:rPr>
        <w:t>at</w:t>
      </w:r>
      <w:r w:rsidRPr="003F1DDB">
        <w:rPr>
          <w:rFonts w:ascii="Times New Roman" w:eastAsia="Times New Roman" w:hAnsi="Times New Roman" w:cs="Times New Roman"/>
          <w:lang w:eastAsia="en-AU"/>
        </w:rPr>
        <w:t xml:space="preserve"> arrangement.</w:t>
      </w:r>
    </w:p>
    <w:p w14:paraId="1E8BB59E" w14:textId="77777777"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Division 2 – Connection to specified services</w:t>
      </w:r>
    </w:p>
    <w:p w14:paraId="092B1DB9" w14:textId="670AB334"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6B4483" w:rsidRPr="003F1DDB">
        <w:rPr>
          <w:rFonts w:ascii="Times New Roman" w:eastAsia="Times New Roman" w:hAnsi="Times New Roman" w:cs="Times New Roman"/>
          <w:b/>
          <w:lang w:eastAsia="en-AU"/>
        </w:rPr>
        <w:t xml:space="preserve">11 </w:t>
      </w:r>
      <w:r w:rsidRPr="003F1DDB">
        <w:rPr>
          <w:rFonts w:ascii="Times New Roman" w:eastAsia="Times New Roman" w:hAnsi="Times New Roman" w:cs="Times New Roman"/>
          <w:b/>
          <w:lang w:eastAsia="en-AU"/>
        </w:rPr>
        <w:t>– Guaranteed maximum connection periods</w:t>
      </w:r>
    </w:p>
    <w:p w14:paraId="237188A1" w14:textId="5DB3296A"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6B4483" w:rsidRPr="003F1DDB">
        <w:rPr>
          <w:rFonts w:ascii="Times New Roman" w:eastAsia="Times New Roman" w:hAnsi="Times New Roman" w:cs="Times New Roman"/>
          <w:lang w:eastAsia="en-AU"/>
        </w:rPr>
        <w:t>11</w:t>
      </w:r>
      <w:r w:rsidRPr="003F1DDB">
        <w:rPr>
          <w:rFonts w:ascii="Times New Roman" w:eastAsia="Times New Roman" w:hAnsi="Times New Roman" w:cs="Times New Roman"/>
          <w:lang w:eastAsia="en-AU"/>
        </w:rPr>
        <w:t xml:space="preserve">(1) provides for the guaranteed maximum connection period for connections for sites where the service to be connected is in close proximity to an external plant facility used to supply the service and the facility has sufficient available capacity, to be determined under Part 2 of Schedule 1. </w:t>
      </w:r>
    </w:p>
    <w:p w14:paraId="55933B37" w14:textId="245DC7A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Where the site is not in close proximity to an external plant facility or where there is insufficient available capacity to supply the service, subsection </w:t>
      </w:r>
      <w:r w:rsidR="006B4483" w:rsidRPr="003F1DDB">
        <w:rPr>
          <w:rFonts w:ascii="Times New Roman" w:eastAsia="Times New Roman" w:hAnsi="Times New Roman" w:cs="Times New Roman"/>
          <w:lang w:eastAsia="en-AU"/>
        </w:rPr>
        <w:t>11</w:t>
      </w:r>
      <w:r w:rsidRPr="003F1DDB">
        <w:rPr>
          <w:rFonts w:ascii="Times New Roman" w:eastAsia="Times New Roman" w:hAnsi="Times New Roman" w:cs="Times New Roman"/>
          <w:lang w:eastAsia="en-AU"/>
        </w:rPr>
        <w:t xml:space="preserve">(2) provides that the guaranteed maximum connection period for a customer is </w:t>
      </w:r>
      <w:r w:rsidR="008D2566" w:rsidRPr="003F1DDB">
        <w:rPr>
          <w:rFonts w:ascii="Times New Roman" w:eastAsia="Times New Roman" w:hAnsi="Times New Roman" w:cs="Times New Roman"/>
          <w:lang w:eastAsia="en-AU"/>
        </w:rPr>
        <w:t xml:space="preserve">20 </w:t>
      </w:r>
      <w:r w:rsidR="00A16F1C" w:rsidRPr="003F1DDB">
        <w:rPr>
          <w:rFonts w:ascii="Times New Roman" w:eastAsia="Times New Roman" w:hAnsi="Times New Roman" w:cs="Times New Roman"/>
          <w:lang w:eastAsia="en-AU"/>
        </w:rPr>
        <w:t>business</w:t>
      </w:r>
      <w:r w:rsidR="008D2566" w:rsidRPr="003F1DDB">
        <w:rPr>
          <w:rFonts w:ascii="Times New Roman" w:eastAsia="Times New Roman" w:hAnsi="Times New Roman" w:cs="Times New Roman"/>
          <w:lang w:eastAsia="en-AU"/>
        </w:rPr>
        <w:t xml:space="preserve"> days</w:t>
      </w:r>
      <w:r w:rsidRPr="003F1DDB">
        <w:rPr>
          <w:rFonts w:ascii="Times New Roman" w:eastAsia="Times New Roman" w:hAnsi="Times New Roman" w:cs="Times New Roman"/>
          <w:lang w:eastAsia="en-AU"/>
        </w:rPr>
        <w:t>.</w:t>
      </w:r>
    </w:p>
    <w:p w14:paraId="0C5385B3" w14:textId="50A051F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6B4483" w:rsidRPr="003F1DDB">
        <w:rPr>
          <w:rFonts w:ascii="Times New Roman" w:eastAsia="Times New Roman" w:hAnsi="Times New Roman" w:cs="Times New Roman"/>
          <w:lang w:eastAsia="en-AU"/>
        </w:rPr>
        <w:t>11</w:t>
      </w:r>
      <w:r w:rsidRPr="003F1DDB">
        <w:rPr>
          <w:rFonts w:ascii="Times New Roman" w:eastAsia="Times New Roman" w:hAnsi="Times New Roman" w:cs="Times New Roman"/>
          <w:lang w:eastAsia="en-AU"/>
        </w:rPr>
        <w:t xml:space="preserve">(3) requires a CSP to comply with a request for connection by a customer within the guaranteed maximum connection period, unless arrangements for a shorter or longer connection period have been made with the customer under section </w:t>
      </w:r>
      <w:r w:rsidR="006B4483" w:rsidRPr="003F1DDB">
        <w:rPr>
          <w:rFonts w:ascii="Times New Roman" w:eastAsia="Times New Roman" w:hAnsi="Times New Roman" w:cs="Times New Roman"/>
          <w:lang w:eastAsia="en-AU"/>
        </w:rPr>
        <w:t>12</w:t>
      </w:r>
      <w:r w:rsidRPr="003F1DDB">
        <w:rPr>
          <w:rFonts w:ascii="Times New Roman" w:eastAsia="Times New Roman" w:hAnsi="Times New Roman" w:cs="Times New Roman"/>
          <w:lang w:eastAsia="en-AU"/>
        </w:rPr>
        <w:t>.</w:t>
      </w:r>
    </w:p>
    <w:p w14:paraId="7B3CD9E6" w14:textId="2B297C4D"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6B4483" w:rsidRPr="003F1DDB">
        <w:rPr>
          <w:rFonts w:ascii="Times New Roman" w:eastAsia="Times New Roman" w:hAnsi="Times New Roman" w:cs="Times New Roman"/>
          <w:lang w:eastAsia="en-AU"/>
        </w:rPr>
        <w:t>11</w:t>
      </w:r>
      <w:r w:rsidRPr="003F1DDB">
        <w:rPr>
          <w:rFonts w:ascii="Times New Roman" w:eastAsia="Times New Roman" w:hAnsi="Times New Roman" w:cs="Times New Roman"/>
          <w:lang w:eastAsia="en-AU"/>
        </w:rPr>
        <w:t xml:space="preserve">(4) </w:t>
      </w:r>
      <w:r w:rsidR="00443FD7" w:rsidRPr="003F1DDB">
        <w:rPr>
          <w:rFonts w:ascii="Times New Roman" w:eastAsia="Times New Roman" w:hAnsi="Times New Roman" w:cs="Times New Roman"/>
          <w:lang w:eastAsia="en-AU"/>
        </w:rPr>
        <w:t xml:space="preserve">provides that a request to connect is only taken to have </w:t>
      </w:r>
      <w:r w:rsidR="00A803AA" w:rsidRPr="003F1DDB">
        <w:rPr>
          <w:rFonts w:ascii="Times New Roman" w:eastAsia="Times New Roman" w:hAnsi="Times New Roman" w:cs="Times New Roman"/>
          <w:lang w:eastAsia="en-AU"/>
        </w:rPr>
        <w:t xml:space="preserve">occurred when the customer has given the CSP </w:t>
      </w:r>
      <w:r w:rsidR="00EC20CD" w:rsidRPr="003F1DDB">
        <w:rPr>
          <w:rFonts w:ascii="Times New Roman" w:eastAsia="Times New Roman" w:hAnsi="Times New Roman" w:cs="Times New Roman"/>
          <w:lang w:eastAsia="en-AU"/>
        </w:rPr>
        <w:t>the information it reasonably requires</w:t>
      </w:r>
      <w:r w:rsidR="000015A7" w:rsidRPr="003F1DDB">
        <w:rPr>
          <w:rFonts w:ascii="Times New Roman" w:eastAsia="Times New Roman" w:hAnsi="Times New Roman" w:cs="Times New Roman"/>
          <w:lang w:eastAsia="en-AU"/>
        </w:rPr>
        <w:t xml:space="preserve"> for those purposes</w:t>
      </w:r>
      <w:r w:rsidRPr="003F1DDB">
        <w:rPr>
          <w:rFonts w:ascii="Times New Roman" w:eastAsia="Times New Roman" w:hAnsi="Times New Roman" w:cs="Times New Roman"/>
          <w:lang w:eastAsia="en-AU"/>
        </w:rPr>
        <w:t>.</w:t>
      </w:r>
    </w:p>
    <w:p w14:paraId="68803D65" w14:textId="0335722D"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6B4483" w:rsidRPr="003F1DDB">
        <w:rPr>
          <w:rFonts w:ascii="Times New Roman" w:eastAsia="Times New Roman" w:hAnsi="Times New Roman" w:cs="Times New Roman"/>
          <w:lang w:eastAsia="en-AU"/>
        </w:rPr>
        <w:t>11</w:t>
      </w:r>
      <w:r w:rsidRPr="003F1DDB">
        <w:rPr>
          <w:rFonts w:ascii="Times New Roman" w:eastAsia="Times New Roman" w:hAnsi="Times New Roman" w:cs="Times New Roman"/>
          <w:lang w:eastAsia="en-AU"/>
        </w:rPr>
        <w:t xml:space="preserve">(5) has been included to make it clear that the guaranteed maximum connection period is not intended to apply if a customer who is connected by a CSP to a specified service requests another CSP to supply the service. This provision is intended to </w:t>
      </w:r>
      <w:r w:rsidR="00FB2902" w:rsidRPr="003F1DDB">
        <w:rPr>
          <w:rFonts w:ascii="Times New Roman" w:eastAsia="Times New Roman" w:hAnsi="Times New Roman" w:cs="Times New Roman"/>
          <w:lang w:eastAsia="en-AU"/>
        </w:rPr>
        <w:t xml:space="preserve">clarify </w:t>
      </w:r>
      <w:r w:rsidRPr="003F1DDB">
        <w:rPr>
          <w:rFonts w:ascii="Times New Roman" w:eastAsia="Times New Roman" w:hAnsi="Times New Roman" w:cs="Times New Roman"/>
          <w:lang w:eastAsia="en-AU"/>
        </w:rPr>
        <w:t xml:space="preserve">that this </w:t>
      </w:r>
      <w:r w:rsidR="00FB2902" w:rsidRPr="003F1DDB">
        <w:rPr>
          <w:rFonts w:ascii="Times New Roman" w:eastAsia="Times New Roman" w:hAnsi="Times New Roman" w:cs="Times New Roman"/>
          <w:lang w:eastAsia="en-AU"/>
        </w:rPr>
        <w:t xml:space="preserve">section </w:t>
      </w:r>
      <w:r w:rsidRPr="003F1DDB">
        <w:rPr>
          <w:rFonts w:ascii="Times New Roman" w:eastAsia="Times New Roman" w:hAnsi="Times New Roman" w:cs="Times New Roman"/>
          <w:lang w:eastAsia="en-AU"/>
        </w:rPr>
        <w:t>does not apply to the transfer of services between CSPs — known more generally in the industry as ‘churn’.</w:t>
      </w:r>
    </w:p>
    <w:p w14:paraId="5B9CFF59" w14:textId="0C212CC6"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FB2902" w:rsidRPr="003F1DDB">
        <w:rPr>
          <w:rFonts w:ascii="Times New Roman" w:eastAsia="Times New Roman" w:hAnsi="Times New Roman" w:cs="Times New Roman"/>
          <w:b/>
          <w:lang w:eastAsia="en-AU"/>
        </w:rPr>
        <w:t xml:space="preserve">12 </w:t>
      </w:r>
      <w:r w:rsidRPr="003F1DDB">
        <w:rPr>
          <w:rFonts w:ascii="Times New Roman" w:eastAsia="Times New Roman" w:hAnsi="Times New Roman" w:cs="Times New Roman"/>
          <w:b/>
          <w:lang w:eastAsia="en-AU"/>
        </w:rPr>
        <w:t>– Arrangements about connection periods</w:t>
      </w:r>
    </w:p>
    <w:p w14:paraId="30FCE59B" w14:textId="2063C934"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w:t>
      </w:r>
      <w:r w:rsidR="00D97503" w:rsidRPr="003F1DDB">
        <w:rPr>
          <w:rFonts w:ascii="Times New Roman" w:eastAsia="Times New Roman" w:hAnsi="Times New Roman" w:cs="Times New Roman"/>
          <w:lang w:eastAsia="en-AU"/>
        </w:rPr>
        <w:t>ubs</w:t>
      </w:r>
      <w:r w:rsidRPr="003F1DDB">
        <w:rPr>
          <w:rFonts w:ascii="Times New Roman" w:eastAsia="Times New Roman" w:hAnsi="Times New Roman" w:cs="Times New Roman"/>
          <w:lang w:eastAsia="en-AU"/>
        </w:rPr>
        <w:t xml:space="preserve">ection </w:t>
      </w:r>
      <w:r w:rsidR="00FB2902" w:rsidRPr="003F1DDB">
        <w:rPr>
          <w:rFonts w:ascii="Times New Roman" w:eastAsia="Times New Roman" w:hAnsi="Times New Roman" w:cs="Times New Roman"/>
          <w:lang w:eastAsia="en-AU"/>
        </w:rPr>
        <w:t>12</w:t>
      </w:r>
      <w:r w:rsidR="00442053" w:rsidRPr="003F1DDB">
        <w:rPr>
          <w:rFonts w:ascii="Times New Roman" w:eastAsia="Times New Roman" w:hAnsi="Times New Roman" w:cs="Times New Roman"/>
          <w:lang w:eastAsia="en-AU"/>
        </w:rPr>
        <w:t>(1)</w:t>
      </w:r>
      <w:r w:rsidR="00FB2902"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provides that </w:t>
      </w:r>
      <w:r w:rsidR="005B1AEC" w:rsidRPr="003F1DDB">
        <w:rPr>
          <w:rFonts w:ascii="Times New Roman" w:eastAsia="Times New Roman" w:hAnsi="Times New Roman" w:cs="Times New Roman"/>
          <w:lang w:eastAsia="en-AU"/>
        </w:rPr>
        <w:t>a</w:t>
      </w:r>
      <w:r w:rsidRPr="003F1DDB">
        <w:rPr>
          <w:rFonts w:ascii="Times New Roman" w:eastAsia="Times New Roman" w:hAnsi="Times New Roman" w:cs="Times New Roman"/>
          <w:lang w:eastAsia="en-AU"/>
        </w:rPr>
        <w:t xml:space="preserve"> CSP may make arrangements with a customer for a shorter connection period than the </w:t>
      </w:r>
      <w:r w:rsidR="00970461" w:rsidRPr="003F1DDB">
        <w:rPr>
          <w:rFonts w:ascii="Times New Roman" w:eastAsia="Times New Roman" w:hAnsi="Times New Roman" w:cs="Times New Roman"/>
          <w:lang w:eastAsia="en-AU"/>
        </w:rPr>
        <w:t xml:space="preserve">guaranteed maximum </w:t>
      </w:r>
      <w:r w:rsidRPr="003F1DDB">
        <w:rPr>
          <w:rFonts w:ascii="Times New Roman" w:eastAsia="Times New Roman" w:hAnsi="Times New Roman" w:cs="Times New Roman"/>
          <w:lang w:eastAsia="en-AU"/>
        </w:rPr>
        <w:t xml:space="preserve">connection period </w:t>
      </w:r>
      <w:r w:rsidR="00970461" w:rsidRPr="003F1DDB">
        <w:rPr>
          <w:rFonts w:ascii="Times New Roman" w:eastAsia="Times New Roman" w:hAnsi="Times New Roman" w:cs="Times New Roman"/>
          <w:lang w:eastAsia="en-AU"/>
        </w:rPr>
        <w:t xml:space="preserve">which would otherwise apply under the </w:t>
      </w:r>
      <w:r w:rsidRPr="003F1DDB">
        <w:rPr>
          <w:rFonts w:ascii="Times New Roman" w:eastAsia="Times New Roman" w:hAnsi="Times New Roman" w:cs="Times New Roman"/>
          <w:lang w:eastAsia="en-AU"/>
        </w:rPr>
        <w:t xml:space="preserve">CSG Standard. Subsection </w:t>
      </w:r>
      <w:r w:rsidR="00FB2902" w:rsidRPr="003F1DDB">
        <w:rPr>
          <w:rFonts w:ascii="Times New Roman" w:eastAsia="Times New Roman" w:hAnsi="Times New Roman" w:cs="Times New Roman"/>
          <w:lang w:eastAsia="en-AU"/>
        </w:rPr>
        <w:t>12</w:t>
      </w:r>
      <w:r w:rsidRPr="003F1DDB">
        <w:rPr>
          <w:rFonts w:ascii="Times New Roman" w:eastAsia="Times New Roman" w:hAnsi="Times New Roman" w:cs="Times New Roman"/>
          <w:lang w:eastAsia="en-AU"/>
        </w:rPr>
        <w:t xml:space="preserve">(2) provides that a CSP may make arrangements </w:t>
      </w:r>
      <w:r w:rsidR="001A0A47" w:rsidRPr="003F1DDB">
        <w:rPr>
          <w:rFonts w:ascii="Times New Roman" w:eastAsia="Times New Roman" w:hAnsi="Times New Roman" w:cs="Times New Roman"/>
          <w:lang w:eastAsia="en-AU"/>
        </w:rPr>
        <w:t xml:space="preserve">with a customer </w:t>
      </w:r>
      <w:r w:rsidRPr="003F1DDB">
        <w:rPr>
          <w:rFonts w:ascii="Times New Roman" w:eastAsia="Times New Roman" w:hAnsi="Times New Roman" w:cs="Times New Roman"/>
          <w:lang w:eastAsia="en-AU"/>
        </w:rPr>
        <w:t xml:space="preserve">for a longer connection period than the guaranteed maximum connection period </w:t>
      </w:r>
      <w:r w:rsidR="00276065" w:rsidRPr="003F1DDB">
        <w:rPr>
          <w:rFonts w:ascii="Times New Roman" w:eastAsia="Times New Roman" w:hAnsi="Times New Roman" w:cs="Times New Roman"/>
          <w:lang w:eastAsia="en-AU"/>
        </w:rPr>
        <w:t xml:space="preserve">which would otherwise apply under the CSG </w:t>
      </w:r>
      <w:r w:rsidR="009F4C2A" w:rsidRPr="003F1DDB">
        <w:rPr>
          <w:rFonts w:ascii="Times New Roman" w:eastAsia="Times New Roman" w:hAnsi="Times New Roman" w:cs="Times New Roman"/>
          <w:lang w:eastAsia="en-AU"/>
        </w:rPr>
        <w:t>Standard</w:t>
      </w:r>
      <w:r w:rsidR="006D3598" w:rsidRPr="003F1DDB">
        <w:rPr>
          <w:rFonts w:ascii="Times New Roman" w:eastAsia="Times New Roman" w:hAnsi="Times New Roman" w:cs="Times New Roman"/>
          <w:lang w:eastAsia="en-AU"/>
        </w:rPr>
        <w:t xml:space="preserve"> if that is what the customer wants</w:t>
      </w:r>
      <w:r w:rsidR="00B37316" w:rsidRPr="003F1DDB">
        <w:rPr>
          <w:rFonts w:ascii="Times New Roman" w:eastAsia="Times New Roman" w:hAnsi="Times New Roman" w:cs="Times New Roman"/>
          <w:lang w:eastAsia="en-AU"/>
        </w:rPr>
        <w:t xml:space="preserve">, or in certain </w:t>
      </w:r>
      <w:r w:rsidR="00976E82" w:rsidRPr="003F1DDB">
        <w:rPr>
          <w:rFonts w:ascii="Times New Roman" w:eastAsia="Times New Roman" w:hAnsi="Times New Roman" w:cs="Times New Roman"/>
          <w:lang w:eastAsia="en-AU"/>
        </w:rPr>
        <w:t xml:space="preserve">other </w:t>
      </w:r>
      <w:r w:rsidR="00320D26" w:rsidRPr="003F1DDB">
        <w:rPr>
          <w:rFonts w:ascii="Times New Roman" w:eastAsia="Times New Roman" w:hAnsi="Times New Roman" w:cs="Times New Roman"/>
          <w:lang w:eastAsia="en-AU"/>
        </w:rPr>
        <w:t xml:space="preserve">(limited) </w:t>
      </w:r>
      <w:r w:rsidR="00B37316" w:rsidRPr="003F1DDB">
        <w:rPr>
          <w:rFonts w:ascii="Times New Roman" w:eastAsia="Times New Roman" w:hAnsi="Times New Roman" w:cs="Times New Roman"/>
          <w:lang w:eastAsia="en-AU"/>
        </w:rPr>
        <w:t xml:space="preserve">circumstances where the customer </w:t>
      </w:r>
      <w:r w:rsidR="00976E82" w:rsidRPr="003F1DDB">
        <w:rPr>
          <w:rFonts w:ascii="Times New Roman" w:eastAsia="Times New Roman" w:hAnsi="Times New Roman" w:cs="Times New Roman"/>
          <w:lang w:eastAsia="en-AU"/>
        </w:rPr>
        <w:t xml:space="preserve">has been made an offer to </w:t>
      </w:r>
      <w:r w:rsidR="00320D26" w:rsidRPr="003F1DDB">
        <w:rPr>
          <w:rFonts w:ascii="Times New Roman" w:eastAsia="Times New Roman" w:hAnsi="Times New Roman" w:cs="Times New Roman"/>
          <w:lang w:eastAsia="en-AU"/>
        </w:rPr>
        <w:t xml:space="preserve">agree to a longer connection period. </w:t>
      </w:r>
      <w:r w:rsidR="00FB2902" w:rsidRPr="003F1DDB">
        <w:rPr>
          <w:rFonts w:ascii="Times New Roman" w:eastAsia="Times New Roman" w:hAnsi="Times New Roman" w:cs="Times New Roman"/>
          <w:lang w:eastAsia="en-AU"/>
        </w:rPr>
        <w:t xml:space="preserve">Before or when </w:t>
      </w:r>
      <w:r w:rsidRPr="003F1DDB">
        <w:rPr>
          <w:rFonts w:ascii="Times New Roman" w:eastAsia="Times New Roman" w:hAnsi="Times New Roman" w:cs="Times New Roman"/>
          <w:lang w:eastAsia="en-AU"/>
        </w:rPr>
        <w:t xml:space="preserve">a customer accepts the CSP’s offer of a longer connection period, under subsection </w:t>
      </w:r>
      <w:r w:rsidR="00FB2902" w:rsidRPr="003F1DDB">
        <w:rPr>
          <w:rFonts w:ascii="Times New Roman" w:eastAsia="Times New Roman" w:hAnsi="Times New Roman" w:cs="Times New Roman"/>
          <w:lang w:eastAsia="en-AU"/>
        </w:rPr>
        <w:t>12</w:t>
      </w:r>
      <w:r w:rsidRPr="003F1DDB">
        <w:rPr>
          <w:rFonts w:ascii="Times New Roman" w:eastAsia="Times New Roman" w:hAnsi="Times New Roman" w:cs="Times New Roman"/>
          <w:lang w:eastAsia="en-AU"/>
        </w:rPr>
        <w:t>(3)</w:t>
      </w:r>
      <w:r w:rsidR="00FB2902"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the CSP must inform the customer that the arrangement will result in a connection being made outside the guaranteed maximum connection period and </w:t>
      </w:r>
      <w:r w:rsidR="00FB2902" w:rsidRPr="003F1DDB">
        <w:rPr>
          <w:rFonts w:ascii="Times New Roman" w:eastAsia="Times New Roman" w:hAnsi="Times New Roman" w:cs="Times New Roman"/>
          <w:lang w:eastAsia="en-AU"/>
        </w:rPr>
        <w:t xml:space="preserve">that the </w:t>
      </w:r>
      <w:r w:rsidRPr="003F1DDB">
        <w:rPr>
          <w:rFonts w:ascii="Times New Roman" w:eastAsia="Times New Roman" w:hAnsi="Times New Roman" w:cs="Times New Roman"/>
          <w:lang w:eastAsia="en-AU"/>
        </w:rPr>
        <w:t xml:space="preserve">protections and rights under Part 5 of the Act </w:t>
      </w:r>
      <w:r w:rsidR="003E2950">
        <w:rPr>
          <w:rFonts w:ascii="Times New Roman" w:eastAsia="Times New Roman" w:hAnsi="Times New Roman" w:cs="Times New Roman"/>
          <w:lang w:eastAsia="en-AU"/>
        </w:rPr>
        <w:t>will</w:t>
      </w:r>
      <w:r w:rsidR="00FB2902" w:rsidRPr="003F1DDB">
        <w:rPr>
          <w:rFonts w:ascii="Times New Roman" w:eastAsia="Times New Roman" w:hAnsi="Times New Roman" w:cs="Times New Roman"/>
          <w:lang w:eastAsia="en-AU"/>
        </w:rPr>
        <w:t xml:space="preserve"> otherwise </w:t>
      </w:r>
      <w:r w:rsidRPr="003F1DDB">
        <w:rPr>
          <w:rFonts w:ascii="Times New Roman" w:eastAsia="Times New Roman" w:hAnsi="Times New Roman" w:cs="Times New Roman"/>
          <w:lang w:eastAsia="en-AU"/>
        </w:rPr>
        <w:t>apply to the service being supplied.</w:t>
      </w:r>
    </w:p>
    <w:p w14:paraId="55BB9786" w14:textId="77777777"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Division 3 – Rectification of faults or service difficulties</w:t>
      </w:r>
    </w:p>
    <w:p w14:paraId="51C53E43" w14:textId="0DE462BC"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FB2902" w:rsidRPr="003F1DDB">
        <w:rPr>
          <w:rFonts w:ascii="Times New Roman" w:eastAsia="Times New Roman" w:hAnsi="Times New Roman" w:cs="Times New Roman"/>
          <w:b/>
          <w:lang w:eastAsia="en-AU"/>
        </w:rPr>
        <w:t xml:space="preserve">13 </w:t>
      </w:r>
      <w:r w:rsidRPr="003F1DDB">
        <w:rPr>
          <w:rFonts w:ascii="Times New Roman" w:eastAsia="Times New Roman" w:hAnsi="Times New Roman" w:cs="Times New Roman"/>
          <w:b/>
          <w:lang w:eastAsia="en-AU"/>
        </w:rPr>
        <w:t>– Application of Division 3</w:t>
      </w:r>
    </w:p>
    <w:p w14:paraId="16F2799E" w14:textId="0DAC8AEF"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FB2902" w:rsidRPr="003F1DDB">
        <w:rPr>
          <w:rFonts w:ascii="Times New Roman" w:eastAsia="Times New Roman" w:hAnsi="Times New Roman" w:cs="Times New Roman"/>
          <w:lang w:eastAsia="en-AU"/>
        </w:rPr>
        <w:t xml:space="preserve">13 </w:t>
      </w:r>
      <w:r w:rsidRPr="003F1DDB">
        <w:rPr>
          <w:rFonts w:ascii="Times New Roman" w:eastAsia="Times New Roman" w:hAnsi="Times New Roman" w:cs="Times New Roman"/>
          <w:lang w:eastAsia="en-AU"/>
        </w:rPr>
        <w:t>provides that Division 3 does not apply to a fault or service difficulty in relation to call barring or a limitation on the making of external calls if the service was supplied by the CSP with that feature because of the customer’s credit standing.</w:t>
      </w:r>
    </w:p>
    <w:p w14:paraId="2D891678" w14:textId="59D01728"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140625" w:rsidRPr="003F1DDB">
        <w:rPr>
          <w:rFonts w:ascii="Times New Roman" w:eastAsia="Times New Roman" w:hAnsi="Times New Roman" w:cs="Times New Roman"/>
          <w:b/>
          <w:lang w:eastAsia="en-AU"/>
        </w:rPr>
        <w:t xml:space="preserve">14 </w:t>
      </w:r>
      <w:r w:rsidRPr="003F1DDB">
        <w:rPr>
          <w:rFonts w:ascii="Times New Roman" w:eastAsia="Times New Roman" w:hAnsi="Times New Roman" w:cs="Times New Roman"/>
          <w:b/>
          <w:lang w:eastAsia="en-AU"/>
        </w:rPr>
        <w:t>– Guaranteed maximum rectification periods</w:t>
      </w:r>
    </w:p>
    <w:p w14:paraId="7F2FC857" w14:textId="1F152D9A"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1</w:t>
      </w:r>
      <w:r w:rsidR="00140625" w:rsidRPr="003F1DDB">
        <w:rPr>
          <w:rFonts w:ascii="Times New Roman" w:eastAsia="Times New Roman" w:hAnsi="Times New Roman" w:cs="Times New Roman"/>
          <w:lang w:eastAsia="en-AU"/>
        </w:rPr>
        <w:t>4</w:t>
      </w:r>
      <w:r w:rsidRPr="003F1DDB">
        <w:rPr>
          <w:rFonts w:ascii="Times New Roman" w:eastAsia="Times New Roman" w:hAnsi="Times New Roman" w:cs="Times New Roman"/>
          <w:lang w:eastAsia="en-AU"/>
        </w:rPr>
        <w:t xml:space="preserve"> requires a CSP to rectify a fault or service difficulty reported to the CSP by a customer within the applicable guaranteed maximum rectification period. </w:t>
      </w:r>
    </w:p>
    <w:p w14:paraId="6725AE22" w14:textId="4347AC45" w:rsidR="00423910" w:rsidRPr="003F1DDB" w:rsidRDefault="00306EBF"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14(</w:t>
      </w:r>
      <w:r w:rsidR="004B438E" w:rsidRPr="003F1DDB">
        <w:rPr>
          <w:rFonts w:ascii="Times New Roman" w:eastAsia="Times New Roman" w:hAnsi="Times New Roman" w:cs="Times New Roman"/>
          <w:lang w:eastAsia="en-AU"/>
        </w:rPr>
        <w:t>2</w:t>
      </w:r>
      <w:r w:rsidRPr="003F1DDB">
        <w:rPr>
          <w:rFonts w:ascii="Times New Roman" w:eastAsia="Times New Roman" w:hAnsi="Times New Roman" w:cs="Times New Roman"/>
          <w:lang w:eastAsia="en-AU"/>
        </w:rPr>
        <w:t>) provides that t</w:t>
      </w:r>
      <w:r w:rsidR="00423910" w:rsidRPr="003F1DDB">
        <w:rPr>
          <w:rFonts w:ascii="Times New Roman" w:eastAsia="Times New Roman" w:hAnsi="Times New Roman" w:cs="Times New Roman"/>
          <w:lang w:eastAsia="en-AU"/>
        </w:rPr>
        <w:t xml:space="preserve">he guaranteed maximum rectification period for an urban centre with a population equal to or greater than 10,000 people, is set at the end of the first full </w:t>
      </w:r>
      <w:r w:rsidR="00E505FE" w:rsidRPr="003F1DDB">
        <w:rPr>
          <w:rFonts w:ascii="Times New Roman" w:eastAsia="Times New Roman" w:hAnsi="Times New Roman" w:cs="Times New Roman"/>
          <w:lang w:eastAsia="en-AU"/>
        </w:rPr>
        <w:t xml:space="preserve">business </w:t>
      </w:r>
      <w:r w:rsidR="00423910" w:rsidRPr="003F1DDB">
        <w:rPr>
          <w:rFonts w:ascii="Times New Roman" w:eastAsia="Times New Roman" w:hAnsi="Times New Roman" w:cs="Times New Roman"/>
          <w:lang w:eastAsia="en-AU"/>
        </w:rPr>
        <w:t>day after a customer report of a fault or service difficulty is received by the CSP.</w:t>
      </w:r>
    </w:p>
    <w:p w14:paraId="2B964A5C" w14:textId="286D5022"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The rectification of faults or service difficulties in an urban centre with a population of fewer than 10,000 people or a locality with a population of greater than 200 people, may take longer to rectify </w:t>
      </w:r>
      <w:r w:rsidRPr="003F1DDB">
        <w:rPr>
          <w:rFonts w:ascii="Times New Roman" w:eastAsia="Times New Roman" w:hAnsi="Times New Roman" w:cs="Times New Roman"/>
          <w:lang w:eastAsia="en-AU"/>
        </w:rPr>
        <w:lastRenderedPageBreak/>
        <w:t xml:space="preserve">because of the distances involved and possible need to transport specialist staff and equipment to the service site concerned. Due to this, </w:t>
      </w:r>
      <w:r w:rsidR="004B438E" w:rsidRPr="003F1DDB">
        <w:rPr>
          <w:rFonts w:ascii="Times New Roman" w:eastAsia="Times New Roman" w:hAnsi="Times New Roman" w:cs="Times New Roman"/>
          <w:lang w:eastAsia="en-AU"/>
        </w:rPr>
        <w:t xml:space="preserve">subsection 14(3) provides that, </w:t>
      </w:r>
      <w:r w:rsidRPr="003F1DDB">
        <w:rPr>
          <w:rFonts w:ascii="Times New Roman" w:eastAsia="Times New Roman" w:hAnsi="Times New Roman" w:cs="Times New Roman"/>
          <w:lang w:eastAsia="en-AU"/>
        </w:rPr>
        <w:t>except where section</w:t>
      </w:r>
      <w:r w:rsidR="009F10F8" w:rsidRPr="003F1DDB">
        <w:rPr>
          <w:rFonts w:ascii="Times New Roman" w:eastAsia="Times New Roman" w:hAnsi="Times New Roman" w:cs="Times New Roman"/>
          <w:lang w:eastAsia="en-AU"/>
        </w:rPr>
        <w:t>s</w:t>
      </w:r>
      <w:r w:rsidRPr="003F1DDB">
        <w:rPr>
          <w:rFonts w:ascii="Times New Roman" w:eastAsia="Times New Roman" w:hAnsi="Times New Roman" w:cs="Times New Roman"/>
          <w:lang w:eastAsia="en-AU"/>
        </w:rPr>
        <w:t xml:space="preserve"> </w:t>
      </w:r>
      <w:r w:rsidR="00331A29" w:rsidRPr="003F1DDB">
        <w:rPr>
          <w:rFonts w:ascii="Times New Roman" w:eastAsia="Times New Roman" w:hAnsi="Times New Roman" w:cs="Times New Roman"/>
          <w:lang w:eastAsia="en-AU"/>
        </w:rPr>
        <w:t xml:space="preserve">15 </w:t>
      </w:r>
      <w:r w:rsidR="009F10F8" w:rsidRPr="003F1DDB">
        <w:rPr>
          <w:rFonts w:ascii="Times New Roman" w:eastAsia="Times New Roman" w:hAnsi="Times New Roman" w:cs="Times New Roman"/>
          <w:lang w:eastAsia="en-AU"/>
        </w:rPr>
        <w:t xml:space="preserve">or 17 </w:t>
      </w:r>
      <w:r w:rsidRPr="003F1DDB">
        <w:rPr>
          <w:rFonts w:ascii="Times New Roman" w:eastAsia="Times New Roman" w:hAnsi="Times New Roman" w:cs="Times New Roman"/>
          <w:lang w:eastAsia="en-AU"/>
        </w:rPr>
        <w:t>appl</w:t>
      </w:r>
      <w:r w:rsidR="009F10F8" w:rsidRPr="003F1DDB">
        <w:rPr>
          <w:rFonts w:ascii="Times New Roman" w:eastAsia="Times New Roman" w:hAnsi="Times New Roman" w:cs="Times New Roman"/>
          <w:lang w:eastAsia="en-AU"/>
        </w:rPr>
        <w:t>y</w:t>
      </w:r>
      <w:r w:rsidRPr="003F1DDB">
        <w:rPr>
          <w:rFonts w:ascii="Times New Roman" w:eastAsia="Times New Roman" w:hAnsi="Times New Roman" w:cs="Times New Roman"/>
          <w:lang w:eastAsia="en-AU"/>
        </w:rPr>
        <w:t xml:space="preserve">, the maximum guaranteed rectification period in these areas is 2 full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 xml:space="preserve">days after the </w:t>
      </w:r>
      <w:r w:rsidR="00857EFC" w:rsidRPr="003F1DDB">
        <w:rPr>
          <w:rFonts w:ascii="Times New Roman" w:eastAsia="Times New Roman" w:hAnsi="Times New Roman" w:cs="Times New Roman"/>
          <w:lang w:eastAsia="en-AU"/>
        </w:rPr>
        <w:t xml:space="preserve">CSP receives the </w:t>
      </w:r>
      <w:r w:rsidRPr="003F1DDB">
        <w:rPr>
          <w:rFonts w:ascii="Times New Roman" w:eastAsia="Times New Roman" w:hAnsi="Times New Roman" w:cs="Times New Roman"/>
          <w:lang w:eastAsia="en-AU"/>
        </w:rPr>
        <w:t>customer report of a fault or service difficulty.</w:t>
      </w:r>
    </w:p>
    <w:p w14:paraId="3FAF7680" w14:textId="4CEB6381" w:rsidR="00423910" w:rsidRPr="003F1DDB" w:rsidRDefault="00331A29"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ED2F04" w:rsidRPr="003F1DDB">
        <w:rPr>
          <w:rFonts w:ascii="Times New Roman" w:eastAsia="Times New Roman" w:hAnsi="Times New Roman" w:cs="Times New Roman"/>
          <w:lang w:eastAsia="en-AU"/>
        </w:rPr>
        <w:t>14</w:t>
      </w:r>
      <w:r w:rsidRPr="003F1DDB">
        <w:rPr>
          <w:rFonts w:ascii="Times New Roman" w:eastAsia="Times New Roman" w:hAnsi="Times New Roman" w:cs="Times New Roman"/>
          <w:lang w:eastAsia="en-AU"/>
        </w:rPr>
        <w:t>(4) sets out that, f</w:t>
      </w:r>
      <w:r w:rsidR="00423910" w:rsidRPr="003F1DDB">
        <w:rPr>
          <w:rFonts w:ascii="Times New Roman" w:eastAsia="Times New Roman" w:hAnsi="Times New Roman" w:cs="Times New Roman"/>
          <w:lang w:eastAsia="en-AU"/>
        </w:rPr>
        <w:t xml:space="preserve">or sites other than those described in subsections </w:t>
      </w:r>
      <w:r w:rsidR="00ED2F04" w:rsidRPr="003F1DDB">
        <w:rPr>
          <w:rFonts w:ascii="Times New Roman" w:eastAsia="Times New Roman" w:hAnsi="Times New Roman" w:cs="Times New Roman"/>
          <w:lang w:eastAsia="en-AU"/>
        </w:rPr>
        <w:t>14</w:t>
      </w:r>
      <w:r w:rsidR="00423910" w:rsidRPr="003F1DDB">
        <w:rPr>
          <w:rFonts w:ascii="Times New Roman" w:eastAsia="Times New Roman" w:hAnsi="Times New Roman" w:cs="Times New Roman"/>
          <w:lang w:eastAsia="en-AU"/>
        </w:rPr>
        <w:t xml:space="preserve">(2) and </w:t>
      </w:r>
      <w:r w:rsidR="00ED2F04" w:rsidRPr="003F1DDB">
        <w:rPr>
          <w:rFonts w:ascii="Times New Roman" w:eastAsia="Times New Roman" w:hAnsi="Times New Roman" w:cs="Times New Roman"/>
          <w:lang w:eastAsia="en-AU"/>
        </w:rPr>
        <w:t>14</w:t>
      </w:r>
      <w:r w:rsidR="00423910" w:rsidRPr="003F1DDB">
        <w:rPr>
          <w:rFonts w:ascii="Times New Roman" w:eastAsia="Times New Roman" w:hAnsi="Times New Roman" w:cs="Times New Roman"/>
          <w:lang w:eastAsia="en-AU"/>
        </w:rPr>
        <w:t>(3), unless section</w:t>
      </w:r>
      <w:r w:rsidR="009F10F8" w:rsidRPr="003F1DDB">
        <w:rPr>
          <w:rFonts w:ascii="Times New Roman" w:eastAsia="Times New Roman" w:hAnsi="Times New Roman" w:cs="Times New Roman"/>
          <w:lang w:eastAsia="en-AU"/>
        </w:rPr>
        <w:t>s</w:t>
      </w:r>
      <w:r w:rsidR="00423910"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15 </w:t>
      </w:r>
      <w:r w:rsidR="009F10F8" w:rsidRPr="003F1DDB">
        <w:rPr>
          <w:rFonts w:ascii="Times New Roman" w:eastAsia="Times New Roman" w:hAnsi="Times New Roman" w:cs="Times New Roman"/>
          <w:lang w:eastAsia="en-AU"/>
        </w:rPr>
        <w:t>or 17 apply</w:t>
      </w:r>
      <w:r w:rsidR="00423910" w:rsidRPr="003F1DDB">
        <w:rPr>
          <w:rFonts w:ascii="Times New Roman" w:eastAsia="Times New Roman" w:hAnsi="Times New Roman" w:cs="Times New Roman"/>
          <w:lang w:eastAsia="en-AU"/>
        </w:rPr>
        <w:t xml:space="preserve">, the maximum guaranteed connection period is 3 full </w:t>
      </w:r>
      <w:r w:rsidR="00E505FE" w:rsidRPr="003F1DDB">
        <w:rPr>
          <w:rFonts w:ascii="Times New Roman" w:eastAsia="Times New Roman" w:hAnsi="Times New Roman" w:cs="Times New Roman"/>
          <w:lang w:eastAsia="en-AU"/>
        </w:rPr>
        <w:t>business</w:t>
      </w:r>
      <w:r w:rsidR="00423910" w:rsidRPr="003F1DDB">
        <w:rPr>
          <w:rFonts w:ascii="Times New Roman" w:eastAsia="Times New Roman" w:hAnsi="Times New Roman" w:cs="Times New Roman"/>
          <w:lang w:eastAsia="en-AU"/>
        </w:rPr>
        <w:t xml:space="preserve"> days after the </w:t>
      </w:r>
      <w:r w:rsidR="00857EFC" w:rsidRPr="003F1DDB">
        <w:rPr>
          <w:rFonts w:ascii="Times New Roman" w:eastAsia="Times New Roman" w:hAnsi="Times New Roman" w:cs="Times New Roman"/>
          <w:lang w:eastAsia="en-AU"/>
        </w:rPr>
        <w:t xml:space="preserve">CSP receives the </w:t>
      </w:r>
      <w:r w:rsidR="00423910" w:rsidRPr="003F1DDB">
        <w:rPr>
          <w:rFonts w:ascii="Times New Roman" w:eastAsia="Times New Roman" w:hAnsi="Times New Roman" w:cs="Times New Roman"/>
          <w:lang w:eastAsia="en-AU"/>
        </w:rPr>
        <w:t>report of the fault or service difficulty.</w:t>
      </w:r>
    </w:p>
    <w:p w14:paraId="49202CA7" w14:textId="17057D2F" w:rsidR="00331A29" w:rsidRPr="003F1DDB" w:rsidRDefault="00331A29"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(5) requires the CSP to rectify the fault or service difficulty within the relevant guaranteed maximum rectification period for the site</w:t>
      </w:r>
      <w:r w:rsidR="00CF2EB2">
        <w:rPr>
          <w:rFonts w:ascii="Times New Roman" w:eastAsia="Times New Roman" w:hAnsi="Times New Roman" w:cs="Times New Roman"/>
          <w:lang w:eastAsia="en-AU"/>
        </w:rPr>
        <w:t xml:space="preserve"> (subject to section 17)</w:t>
      </w:r>
      <w:r w:rsidRPr="003F1DDB">
        <w:rPr>
          <w:rFonts w:ascii="Times New Roman" w:eastAsia="Times New Roman" w:hAnsi="Times New Roman" w:cs="Times New Roman"/>
          <w:lang w:eastAsia="en-AU"/>
        </w:rPr>
        <w:t>.</w:t>
      </w:r>
    </w:p>
    <w:p w14:paraId="4AE1F37F" w14:textId="02A74CE3" w:rsidR="00331A29" w:rsidRPr="003F1DDB" w:rsidRDefault="00331A29"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(6) clarifies that the terms ‘urban centre’ and ‘locality’ are references to geographic areas defined as such by the Australian Bureau of Statistics (ABS) in relation to the most recent Australian Census. A </w:t>
      </w:r>
      <w:r w:rsidR="00CF2EB2">
        <w:rPr>
          <w:rFonts w:ascii="Times New Roman" w:eastAsia="Times New Roman" w:hAnsi="Times New Roman" w:cs="Times New Roman"/>
          <w:lang w:eastAsia="en-AU"/>
        </w:rPr>
        <w:t>n</w:t>
      </w:r>
      <w:r w:rsidRPr="003F1DDB">
        <w:rPr>
          <w:rFonts w:ascii="Times New Roman" w:eastAsia="Times New Roman" w:hAnsi="Times New Roman" w:cs="Times New Roman"/>
          <w:lang w:eastAsia="en-AU"/>
        </w:rPr>
        <w:t xml:space="preserve">ote to the section provides a reference to the relevant ABS publication </w:t>
      </w:r>
      <w:r w:rsidRPr="003F1DDB">
        <w:rPr>
          <w:rFonts w:ascii="Times New Roman" w:eastAsia="Times New Roman" w:hAnsi="Times New Roman" w:cs="Times New Roman"/>
          <w:i/>
          <w:iCs/>
          <w:lang w:eastAsia="en-AU"/>
        </w:rPr>
        <w:t>Australia Standard Geographical Classification (ASGC) Edition 3</w:t>
      </w:r>
      <w:r w:rsidRPr="003F1DDB">
        <w:rPr>
          <w:rFonts w:ascii="Times New Roman" w:eastAsia="Times New Roman" w:hAnsi="Times New Roman" w:cs="Times New Roman"/>
          <w:lang w:eastAsia="en-AU"/>
        </w:rPr>
        <w:t xml:space="preserve">. </w:t>
      </w:r>
    </w:p>
    <w:p w14:paraId="4BD42905" w14:textId="00201321"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331A29" w:rsidRPr="003F1DDB">
        <w:rPr>
          <w:rFonts w:ascii="Times New Roman" w:eastAsia="Times New Roman" w:hAnsi="Times New Roman" w:cs="Times New Roman"/>
          <w:b/>
          <w:lang w:eastAsia="en-AU"/>
        </w:rPr>
        <w:t xml:space="preserve">15 </w:t>
      </w:r>
      <w:r w:rsidRPr="003F1DDB">
        <w:rPr>
          <w:rFonts w:ascii="Times New Roman" w:eastAsia="Times New Roman" w:hAnsi="Times New Roman" w:cs="Times New Roman"/>
          <w:b/>
          <w:lang w:eastAsia="en-AU"/>
        </w:rPr>
        <w:t xml:space="preserve">– Sites to which subsection </w:t>
      </w:r>
      <w:r w:rsidR="00331A29" w:rsidRPr="003F1DDB">
        <w:rPr>
          <w:rFonts w:ascii="Times New Roman" w:eastAsia="Times New Roman" w:hAnsi="Times New Roman" w:cs="Times New Roman"/>
          <w:b/>
          <w:lang w:eastAsia="en-AU"/>
        </w:rPr>
        <w:t>14</w:t>
      </w:r>
      <w:r w:rsidRPr="003F1DDB">
        <w:rPr>
          <w:rFonts w:ascii="Times New Roman" w:eastAsia="Times New Roman" w:hAnsi="Times New Roman" w:cs="Times New Roman"/>
          <w:b/>
          <w:lang w:eastAsia="en-AU"/>
        </w:rPr>
        <w:t>(3) or (4) applies</w:t>
      </w:r>
    </w:p>
    <w:p w14:paraId="253675F7" w14:textId="20E540DC"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331A29" w:rsidRPr="003F1DDB">
        <w:rPr>
          <w:rFonts w:ascii="Times New Roman" w:eastAsia="Times New Roman" w:hAnsi="Times New Roman" w:cs="Times New Roman"/>
          <w:lang w:eastAsia="en-AU"/>
        </w:rPr>
        <w:t xml:space="preserve">15 </w:t>
      </w:r>
      <w:r w:rsidRPr="003F1DDB">
        <w:rPr>
          <w:rFonts w:ascii="Times New Roman" w:eastAsia="Times New Roman" w:hAnsi="Times New Roman" w:cs="Times New Roman"/>
          <w:lang w:eastAsia="en-AU"/>
        </w:rPr>
        <w:t xml:space="preserve">applies to a fault or service difficulty in relation to a site mentioned in subsection </w:t>
      </w:r>
      <w:r w:rsidR="00331A29" w:rsidRPr="003F1DDB">
        <w:rPr>
          <w:rFonts w:ascii="Times New Roman" w:eastAsia="Times New Roman" w:hAnsi="Times New Roman" w:cs="Times New Roman"/>
          <w:lang w:eastAsia="en-AU"/>
        </w:rPr>
        <w:t>14</w:t>
      </w:r>
      <w:r w:rsidRPr="003F1DDB">
        <w:rPr>
          <w:rFonts w:ascii="Times New Roman" w:eastAsia="Times New Roman" w:hAnsi="Times New Roman" w:cs="Times New Roman"/>
          <w:lang w:eastAsia="en-AU"/>
        </w:rPr>
        <w:t xml:space="preserve">(3) or </w:t>
      </w:r>
      <w:r w:rsidR="00331A29" w:rsidRPr="003F1DDB">
        <w:rPr>
          <w:rFonts w:ascii="Times New Roman" w:eastAsia="Times New Roman" w:hAnsi="Times New Roman" w:cs="Times New Roman"/>
          <w:lang w:eastAsia="en-AU"/>
        </w:rPr>
        <w:t>14</w:t>
      </w:r>
      <w:r w:rsidRPr="003F1DDB">
        <w:rPr>
          <w:rFonts w:ascii="Times New Roman" w:eastAsia="Times New Roman" w:hAnsi="Times New Roman" w:cs="Times New Roman"/>
          <w:lang w:eastAsia="en-AU"/>
        </w:rPr>
        <w:t>(4) that can be rectified without external or internal plant work or the CSP attending the premises of the customer</w:t>
      </w:r>
      <w:r w:rsidR="007B2FCD"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or </w:t>
      </w:r>
      <w:r w:rsidR="007B2FCD" w:rsidRPr="003F1DDB">
        <w:rPr>
          <w:rFonts w:ascii="Times New Roman" w:eastAsia="Times New Roman" w:hAnsi="Times New Roman" w:cs="Times New Roman"/>
          <w:lang w:eastAsia="en-AU"/>
        </w:rPr>
        <w:t xml:space="preserve">in circumstances </w:t>
      </w:r>
      <w:r w:rsidRPr="003F1DDB">
        <w:rPr>
          <w:rFonts w:ascii="Times New Roman" w:eastAsia="Times New Roman" w:hAnsi="Times New Roman" w:cs="Times New Roman"/>
          <w:lang w:eastAsia="en-AU"/>
        </w:rPr>
        <w:t>where the service has been disconnected by the CSP due to an administrative error not involving damage to a facility.</w:t>
      </w:r>
    </w:p>
    <w:p w14:paraId="355853B5" w14:textId="007305D6"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856A27" w:rsidRPr="003F1DDB">
        <w:rPr>
          <w:rFonts w:ascii="Times New Roman" w:eastAsia="Times New Roman" w:hAnsi="Times New Roman" w:cs="Times New Roman"/>
          <w:lang w:eastAsia="en-AU"/>
        </w:rPr>
        <w:t>15</w:t>
      </w:r>
      <w:r w:rsidRPr="003F1DDB">
        <w:rPr>
          <w:rFonts w:ascii="Times New Roman" w:eastAsia="Times New Roman" w:hAnsi="Times New Roman" w:cs="Times New Roman"/>
          <w:lang w:eastAsia="en-AU"/>
        </w:rPr>
        <w:t xml:space="preserve">(2) provides that the guaranteed maximum rectification period in these circumstances is the end of the first full </w:t>
      </w:r>
      <w:r w:rsidR="00E505FE" w:rsidRPr="003F1DDB">
        <w:rPr>
          <w:rFonts w:ascii="Times New Roman" w:eastAsia="Times New Roman" w:hAnsi="Times New Roman" w:cs="Times New Roman"/>
          <w:lang w:eastAsia="en-AU"/>
        </w:rPr>
        <w:t>business</w:t>
      </w:r>
      <w:r w:rsidRPr="003F1DDB">
        <w:rPr>
          <w:rFonts w:ascii="Times New Roman" w:eastAsia="Times New Roman" w:hAnsi="Times New Roman" w:cs="Times New Roman"/>
          <w:lang w:eastAsia="en-AU"/>
        </w:rPr>
        <w:t xml:space="preserve"> day after the </w:t>
      </w:r>
      <w:r w:rsidR="00B72D8C" w:rsidRPr="003F1DDB">
        <w:rPr>
          <w:rFonts w:ascii="Times New Roman" w:eastAsia="Times New Roman" w:hAnsi="Times New Roman" w:cs="Times New Roman"/>
          <w:lang w:eastAsia="en-AU"/>
        </w:rPr>
        <w:t xml:space="preserve">CSP receives the report of the </w:t>
      </w:r>
      <w:r w:rsidRPr="003F1DDB">
        <w:rPr>
          <w:rFonts w:ascii="Times New Roman" w:eastAsia="Times New Roman" w:hAnsi="Times New Roman" w:cs="Times New Roman"/>
          <w:lang w:eastAsia="en-AU"/>
        </w:rPr>
        <w:t xml:space="preserve">fault </w:t>
      </w:r>
      <w:r w:rsidR="00B72D8C" w:rsidRPr="003F1DDB">
        <w:rPr>
          <w:rFonts w:ascii="Times New Roman" w:eastAsia="Times New Roman" w:hAnsi="Times New Roman" w:cs="Times New Roman"/>
          <w:lang w:eastAsia="en-AU"/>
        </w:rPr>
        <w:t xml:space="preserve">from </w:t>
      </w:r>
      <w:r w:rsidRPr="003F1DDB">
        <w:rPr>
          <w:rFonts w:ascii="Times New Roman" w:eastAsia="Times New Roman" w:hAnsi="Times New Roman" w:cs="Times New Roman"/>
          <w:lang w:eastAsia="en-AU"/>
        </w:rPr>
        <w:t>the customer.</w:t>
      </w:r>
    </w:p>
    <w:p w14:paraId="18900B77" w14:textId="154FA99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856A27" w:rsidRPr="003F1DDB">
        <w:rPr>
          <w:rFonts w:ascii="Times New Roman" w:eastAsia="Times New Roman" w:hAnsi="Times New Roman" w:cs="Times New Roman"/>
          <w:lang w:eastAsia="en-AU"/>
        </w:rPr>
        <w:t>15</w:t>
      </w:r>
      <w:r w:rsidRPr="003F1DDB">
        <w:rPr>
          <w:rFonts w:ascii="Times New Roman" w:eastAsia="Times New Roman" w:hAnsi="Times New Roman" w:cs="Times New Roman"/>
          <w:lang w:eastAsia="en-AU"/>
        </w:rPr>
        <w:t xml:space="preserve">(3) provides that, if a person other than the customer reports a fault or service difficulty to the CSP on behalf of the customer, the guaranteed maximum rectification period begins when the fault or service difficulty is reported. This provision is intended to </w:t>
      </w:r>
      <w:r w:rsidR="009F10F8" w:rsidRPr="003F1DDB">
        <w:rPr>
          <w:rFonts w:ascii="Times New Roman" w:eastAsia="Times New Roman" w:hAnsi="Times New Roman" w:cs="Times New Roman"/>
          <w:lang w:eastAsia="en-AU"/>
        </w:rPr>
        <w:t xml:space="preserve">ensure the rectification period commences when </w:t>
      </w:r>
      <w:r w:rsidR="00782803" w:rsidRPr="003F1DDB">
        <w:rPr>
          <w:rFonts w:ascii="Times New Roman" w:eastAsia="Times New Roman" w:hAnsi="Times New Roman" w:cs="Times New Roman"/>
          <w:lang w:eastAsia="en-AU"/>
        </w:rPr>
        <w:t xml:space="preserve">the report of </w:t>
      </w:r>
      <w:r w:rsidR="009F10F8" w:rsidRPr="003F1DDB">
        <w:rPr>
          <w:rFonts w:ascii="Times New Roman" w:eastAsia="Times New Roman" w:hAnsi="Times New Roman" w:cs="Times New Roman"/>
          <w:lang w:eastAsia="en-AU"/>
        </w:rPr>
        <w:t>a fault or service difficulty is re</w:t>
      </w:r>
      <w:r w:rsidR="00782803" w:rsidRPr="003F1DDB">
        <w:rPr>
          <w:rFonts w:ascii="Times New Roman" w:eastAsia="Times New Roman" w:hAnsi="Times New Roman" w:cs="Times New Roman"/>
          <w:lang w:eastAsia="en-AU"/>
        </w:rPr>
        <w:t>ceived</w:t>
      </w:r>
      <w:r w:rsidR="009F10F8" w:rsidRPr="003F1DDB">
        <w:rPr>
          <w:rFonts w:ascii="Times New Roman" w:eastAsia="Times New Roman" w:hAnsi="Times New Roman" w:cs="Times New Roman"/>
          <w:lang w:eastAsia="en-AU"/>
        </w:rPr>
        <w:t xml:space="preserve">, </w:t>
      </w:r>
      <w:r w:rsidR="00247C96" w:rsidRPr="003F1DDB">
        <w:rPr>
          <w:rFonts w:ascii="Times New Roman" w:eastAsia="Times New Roman" w:hAnsi="Times New Roman" w:cs="Times New Roman"/>
          <w:lang w:eastAsia="en-AU"/>
        </w:rPr>
        <w:t>regardless of who has made the report</w:t>
      </w:r>
      <w:r w:rsidRPr="003F1DDB">
        <w:rPr>
          <w:rFonts w:ascii="Times New Roman" w:eastAsia="Times New Roman" w:hAnsi="Times New Roman" w:cs="Times New Roman"/>
          <w:lang w:eastAsia="en-AU"/>
        </w:rPr>
        <w:t>.</w:t>
      </w:r>
    </w:p>
    <w:p w14:paraId="56E5B70D" w14:textId="200F664C"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856A27" w:rsidRPr="003F1DDB">
        <w:rPr>
          <w:rFonts w:ascii="Times New Roman" w:eastAsia="Times New Roman" w:hAnsi="Times New Roman" w:cs="Times New Roman"/>
          <w:b/>
          <w:lang w:eastAsia="en-AU"/>
        </w:rPr>
        <w:t xml:space="preserve">16 </w:t>
      </w:r>
      <w:r w:rsidRPr="003F1DDB">
        <w:rPr>
          <w:rFonts w:ascii="Times New Roman" w:eastAsia="Times New Roman" w:hAnsi="Times New Roman" w:cs="Times New Roman"/>
          <w:b/>
          <w:lang w:eastAsia="en-AU"/>
        </w:rPr>
        <w:t>– Reports by carriage service providers of faults etc</w:t>
      </w:r>
    </w:p>
    <w:p w14:paraId="45AC4564" w14:textId="135A8165"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856A27" w:rsidRPr="003F1DDB">
        <w:rPr>
          <w:rFonts w:ascii="Times New Roman" w:eastAsia="Times New Roman" w:hAnsi="Times New Roman" w:cs="Times New Roman"/>
          <w:lang w:eastAsia="en-AU"/>
        </w:rPr>
        <w:t xml:space="preserve">16 </w:t>
      </w:r>
      <w:r w:rsidRPr="003F1DDB">
        <w:rPr>
          <w:rFonts w:ascii="Times New Roman" w:eastAsia="Times New Roman" w:hAnsi="Times New Roman" w:cs="Times New Roman"/>
          <w:lang w:eastAsia="en-AU"/>
        </w:rPr>
        <w:t xml:space="preserve">recognises situations in which </w:t>
      </w:r>
      <w:r w:rsidR="00401B28" w:rsidRPr="003F1DDB">
        <w:rPr>
          <w:rFonts w:ascii="Times New Roman" w:eastAsia="Times New Roman" w:hAnsi="Times New Roman" w:cs="Times New Roman"/>
          <w:lang w:eastAsia="en-AU"/>
        </w:rPr>
        <w:t>one CSP (the first provider)</w:t>
      </w:r>
      <w:r w:rsidRPr="003F1DDB">
        <w:rPr>
          <w:rFonts w:ascii="Times New Roman" w:eastAsia="Times New Roman" w:hAnsi="Times New Roman" w:cs="Times New Roman"/>
          <w:lang w:eastAsia="en-AU"/>
        </w:rPr>
        <w:t xml:space="preserve"> becomes aware that there is a fault or service difficulty in the network of </w:t>
      </w:r>
      <w:r w:rsidR="00401B28" w:rsidRPr="003F1DDB">
        <w:rPr>
          <w:rFonts w:ascii="Times New Roman" w:eastAsia="Times New Roman" w:hAnsi="Times New Roman" w:cs="Times New Roman"/>
          <w:lang w:eastAsia="en-AU"/>
        </w:rPr>
        <w:t>another CSP (the second provider)</w:t>
      </w:r>
      <w:r w:rsidRPr="003F1DDB">
        <w:rPr>
          <w:rFonts w:ascii="Times New Roman" w:eastAsia="Times New Roman" w:hAnsi="Times New Roman" w:cs="Times New Roman"/>
          <w:lang w:eastAsia="en-AU"/>
        </w:rPr>
        <w:t xml:space="preserve"> or that an act or omission of the second provider may contribute to the first provider contravening a CSG performance standard.  Subsection </w:t>
      </w:r>
      <w:r w:rsidR="00856A27" w:rsidRPr="003F1DDB">
        <w:rPr>
          <w:rFonts w:ascii="Times New Roman" w:eastAsia="Times New Roman" w:hAnsi="Times New Roman" w:cs="Times New Roman"/>
          <w:lang w:eastAsia="en-AU"/>
        </w:rPr>
        <w:t>16</w:t>
      </w:r>
      <w:r w:rsidRPr="003F1DDB">
        <w:rPr>
          <w:rFonts w:ascii="Times New Roman" w:eastAsia="Times New Roman" w:hAnsi="Times New Roman" w:cs="Times New Roman"/>
          <w:lang w:eastAsia="en-AU"/>
        </w:rPr>
        <w:t xml:space="preserve">(2) requires the first provider to report the matter to the second provider as soon as practicable after becoming aware of it. </w:t>
      </w:r>
    </w:p>
    <w:p w14:paraId="71640E1B" w14:textId="5867D6FC"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856A27" w:rsidRPr="003F1DDB">
        <w:rPr>
          <w:rFonts w:ascii="Times New Roman" w:eastAsia="Times New Roman" w:hAnsi="Times New Roman" w:cs="Times New Roman"/>
          <w:b/>
          <w:lang w:eastAsia="en-AU"/>
        </w:rPr>
        <w:t xml:space="preserve">17 </w:t>
      </w:r>
      <w:r w:rsidRPr="003F1DDB">
        <w:rPr>
          <w:rFonts w:ascii="Times New Roman" w:eastAsia="Times New Roman" w:hAnsi="Times New Roman" w:cs="Times New Roman"/>
          <w:b/>
          <w:lang w:eastAsia="en-AU"/>
        </w:rPr>
        <w:t>– Arrangements about rectification periods</w:t>
      </w:r>
    </w:p>
    <w:p w14:paraId="267E0B89" w14:textId="083BCAEC"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856A27" w:rsidRPr="003F1DDB">
        <w:rPr>
          <w:rFonts w:ascii="Times New Roman" w:eastAsia="Times New Roman" w:hAnsi="Times New Roman" w:cs="Times New Roman"/>
          <w:lang w:eastAsia="en-AU"/>
        </w:rPr>
        <w:t xml:space="preserve">17 </w:t>
      </w:r>
      <w:r w:rsidRPr="003F1DDB">
        <w:rPr>
          <w:rFonts w:ascii="Times New Roman" w:eastAsia="Times New Roman" w:hAnsi="Times New Roman" w:cs="Times New Roman"/>
          <w:lang w:eastAsia="en-AU"/>
        </w:rPr>
        <w:t xml:space="preserve">allows for arrangements to rectify a fault or service difficulty in a period that is shorter than the guaranteed maximum rectification period. Arrangements may also provide for a rectification period that is longer than the maximum rectification period if the customer wants the fault or difficulty to be rectified on a day after the end of that period. These provisions are intended to allow a degree of flexibility </w:t>
      </w:r>
      <w:r w:rsidR="00401B28" w:rsidRPr="003F1DDB">
        <w:rPr>
          <w:rFonts w:ascii="Times New Roman" w:eastAsia="Times New Roman" w:hAnsi="Times New Roman" w:cs="Times New Roman"/>
          <w:lang w:eastAsia="en-AU"/>
        </w:rPr>
        <w:t>for CSPs to arrange faster rectification or for customers to arrange longer periods for rectification when th</w:t>
      </w:r>
      <w:r w:rsidR="00666048" w:rsidRPr="003F1DDB">
        <w:rPr>
          <w:rFonts w:ascii="Times New Roman" w:eastAsia="Times New Roman" w:hAnsi="Times New Roman" w:cs="Times New Roman"/>
          <w:lang w:eastAsia="en-AU"/>
        </w:rPr>
        <w:t xml:space="preserve">at </w:t>
      </w:r>
      <w:r w:rsidR="004274C6" w:rsidRPr="003F1DDB">
        <w:rPr>
          <w:rFonts w:ascii="Times New Roman" w:eastAsia="Times New Roman" w:hAnsi="Times New Roman" w:cs="Times New Roman"/>
          <w:lang w:eastAsia="en-AU"/>
        </w:rPr>
        <w:t>is what the customer prefers</w:t>
      </w:r>
      <w:r w:rsidRPr="003F1DDB">
        <w:rPr>
          <w:rFonts w:ascii="Times New Roman" w:eastAsia="Times New Roman" w:hAnsi="Times New Roman" w:cs="Times New Roman"/>
          <w:lang w:eastAsia="en-AU"/>
        </w:rPr>
        <w:t>.</w:t>
      </w:r>
    </w:p>
    <w:p w14:paraId="62B540E6" w14:textId="77777777"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Division 4 – Appointments with customers</w:t>
      </w:r>
    </w:p>
    <w:p w14:paraId="15AD35A7" w14:textId="4CC73001"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401B28" w:rsidRPr="003F1DDB">
        <w:rPr>
          <w:rFonts w:ascii="Times New Roman" w:eastAsia="Times New Roman" w:hAnsi="Times New Roman" w:cs="Times New Roman"/>
          <w:b/>
          <w:lang w:eastAsia="en-AU"/>
        </w:rPr>
        <w:t xml:space="preserve">18 </w:t>
      </w:r>
      <w:r w:rsidRPr="003F1DDB">
        <w:rPr>
          <w:rFonts w:ascii="Times New Roman" w:eastAsia="Times New Roman" w:hAnsi="Times New Roman" w:cs="Times New Roman"/>
          <w:b/>
          <w:lang w:eastAsia="en-AU"/>
        </w:rPr>
        <w:t>– Interpretation</w:t>
      </w:r>
    </w:p>
    <w:p w14:paraId="30F01538" w14:textId="04FB3D0C"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F460B1" w:rsidRPr="003F1DDB">
        <w:rPr>
          <w:rFonts w:ascii="Times New Roman" w:eastAsia="Times New Roman" w:hAnsi="Times New Roman" w:cs="Times New Roman"/>
          <w:lang w:eastAsia="en-AU"/>
        </w:rPr>
        <w:t>18</w:t>
      </w:r>
      <w:r w:rsidRPr="003F1DDB">
        <w:rPr>
          <w:rFonts w:ascii="Times New Roman" w:eastAsia="Times New Roman" w:hAnsi="Times New Roman" w:cs="Times New Roman"/>
          <w:lang w:eastAsia="en-AU"/>
        </w:rPr>
        <w:t xml:space="preserve">(1) provides that a reference to a customer of a CSP </w:t>
      </w:r>
      <w:r w:rsidR="00C1139E" w:rsidRPr="003F1DDB">
        <w:rPr>
          <w:rFonts w:ascii="Times New Roman" w:eastAsia="Times New Roman" w:hAnsi="Times New Roman" w:cs="Times New Roman"/>
          <w:lang w:eastAsia="en-AU"/>
        </w:rPr>
        <w:t xml:space="preserve">in Division 4 </w:t>
      </w:r>
      <w:r w:rsidRPr="003F1DDB">
        <w:rPr>
          <w:rFonts w:ascii="Times New Roman" w:eastAsia="Times New Roman" w:hAnsi="Times New Roman" w:cs="Times New Roman"/>
          <w:lang w:eastAsia="en-AU"/>
        </w:rPr>
        <w:t>includes a reference to someone who represents the customer.</w:t>
      </w:r>
    </w:p>
    <w:p w14:paraId="056ADF1D" w14:textId="0892C96F"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F460B1" w:rsidRPr="003F1DDB">
        <w:rPr>
          <w:rFonts w:ascii="Times New Roman" w:eastAsia="Times New Roman" w:hAnsi="Times New Roman" w:cs="Times New Roman"/>
          <w:lang w:eastAsia="en-AU"/>
        </w:rPr>
        <w:t>18</w:t>
      </w:r>
      <w:r w:rsidRPr="003F1DDB">
        <w:rPr>
          <w:rFonts w:ascii="Times New Roman" w:eastAsia="Times New Roman" w:hAnsi="Times New Roman" w:cs="Times New Roman"/>
          <w:lang w:eastAsia="en-AU"/>
        </w:rPr>
        <w:t xml:space="preserve">(2) provides that a reference to a proposed appointment </w:t>
      </w:r>
      <w:r w:rsidR="00C1139E" w:rsidRPr="003F1DDB">
        <w:rPr>
          <w:rFonts w:ascii="Times New Roman" w:eastAsia="Times New Roman" w:hAnsi="Times New Roman" w:cs="Times New Roman"/>
          <w:lang w:eastAsia="en-AU"/>
        </w:rPr>
        <w:t xml:space="preserve">in Division 4 </w:t>
      </w:r>
      <w:r w:rsidRPr="003F1DDB">
        <w:rPr>
          <w:rFonts w:ascii="Times New Roman" w:eastAsia="Times New Roman" w:hAnsi="Times New Roman" w:cs="Times New Roman"/>
          <w:lang w:eastAsia="en-AU"/>
        </w:rPr>
        <w:t xml:space="preserve">includes reference to an appointment that is changed in accordance with subsection </w:t>
      </w:r>
      <w:r w:rsidR="00F460B1" w:rsidRPr="003F1DDB">
        <w:rPr>
          <w:rFonts w:ascii="Times New Roman" w:eastAsia="Times New Roman" w:hAnsi="Times New Roman" w:cs="Times New Roman"/>
          <w:lang w:eastAsia="en-AU"/>
        </w:rPr>
        <w:t>19</w:t>
      </w:r>
      <w:r w:rsidRPr="003F1DDB">
        <w:rPr>
          <w:rFonts w:ascii="Times New Roman" w:eastAsia="Times New Roman" w:hAnsi="Times New Roman" w:cs="Times New Roman"/>
          <w:lang w:eastAsia="en-AU"/>
        </w:rPr>
        <w:t>(4).</w:t>
      </w:r>
    </w:p>
    <w:p w14:paraId="6FFDFFDF" w14:textId="7E976C7A"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lastRenderedPageBreak/>
        <w:t xml:space="preserve">Section </w:t>
      </w:r>
      <w:r w:rsidR="00F460B1" w:rsidRPr="003F1DDB">
        <w:rPr>
          <w:rFonts w:ascii="Times New Roman" w:eastAsia="Times New Roman" w:hAnsi="Times New Roman" w:cs="Times New Roman"/>
          <w:b/>
          <w:lang w:eastAsia="en-AU"/>
        </w:rPr>
        <w:t xml:space="preserve">19 </w:t>
      </w:r>
      <w:r w:rsidRPr="003F1DDB">
        <w:rPr>
          <w:rFonts w:ascii="Times New Roman" w:eastAsia="Times New Roman" w:hAnsi="Times New Roman" w:cs="Times New Roman"/>
          <w:b/>
          <w:lang w:eastAsia="en-AU"/>
        </w:rPr>
        <w:t>– Making and changing appointments</w:t>
      </w:r>
    </w:p>
    <w:p w14:paraId="7E4E11E2" w14:textId="1229751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F460B1" w:rsidRPr="003F1DDB">
        <w:rPr>
          <w:rFonts w:ascii="Times New Roman" w:eastAsia="Times New Roman" w:hAnsi="Times New Roman" w:cs="Times New Roman"/>
          <w:lang w:eastAsia="en-AU"/>
        </w:rPr>
        <w:t xml:space="preserve">19 </w:t>
      </w:r>
      <w:r w:rsidRPr="003F1DDB">
        <w:rPr>
          <w:rFonts w:ascii="Times New Roman" w:eastAsia="Times New Roman" w:hAnsi="Times New Roman" w:cs="Times New Roman"/>
          <w:lang w:eastAsia="en-AU"/>
        </w:rPr>
        <w:t>deals with the making and changing of appointments for connecting a specified service or for rectifying a fault or service difficulty, and requires a CSP to keep an appointment to which the CSP is a party.</w:t>
      </w:r>
    </w:p>
    <w:p w14:paraId="14543DC2" w14:textId="7746B92D" w:rsidR="00465774"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130EFD" w:rsidRPr="003F1DDB">
        <w:rPr>
          <w:rFonts w:ascii="Times New Roman" w:eastAsia="Times New Roman" w:hAnsi="Times New Roman" w:cs="Times New Roman"/>
          <w:lang w:eastAsia="en-AU"/>
        </w:rPr>
        <w:t>19</w:t>
      </w:r>
      <w:r w:rsidRPr="003F1DDB">
        <w:rPr>
          <w:rFonts w:ascii="Times New Roman" w:eastAsia="Times New Roman" w:hAnsi="Times New Roman" w:cs="Times New Roman"/>
          <w:lang w:eastAsia="en-AU"/>
        </w:rPr>
        <w:t>(2) require</w:t>
      </w:r>
      <w:r w:rsidR="0001676A" w:rsidRPr="003F1DDB">
        <w:rPr>
          <w:rFonts w:ascii="Times New Roman" w:eastAsia="Times New Roman" w:hAnsi="Times New Roman" w:cs="Times New Roman"/>
          <w:lang w:eastAsia="en-AU"/>
        </w:rPr>
        <w:t>s</w:t>
      </w:r>
      <w:r w:rsidRPr="003F1DDB">
        <w:rPr>
          <w:rFonts w:ascii="Times New Roman" w:eastAsia="Times New Roman" w:hAnsi="Times New Roman" w:cs="Times New Roman"/>
          <w:lang w:eastAsia="en-AU"/>
        </w:rPr>
        <w:t xml:space="preserve"> that the day and time proposed by the CSP for an appointment must be convenient for the customer</w:t>
      </w:r>
      <w:r w:rsidR="0001676A"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w:t>
      </w:r>
    </w:p>
    <w:p w14:paraId="1410FF51" w14:textId="10127DF3" w:rsidR="00423910" w:rsidRPr="003F1DDB" w:rsidRDefault="00FB0F25"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1</w:t>
      </w:r>
      <w:r w:rsidR="00130EFD" w:rsidRPr="003F1DDB">
        <w:rPr>
          <w:rFonts w:ascii="Times New Roman" w:eastAsia="Times New Roman" w:hAnsi="Times New Roman" w:cs="Times New Roman"/>
          <w:lang w:eastAsia="en-AU"/>
        </w:rPr>
        <w:t>9</w:t>
      </w:r>
      <w:r w:rsidRPr="003F1DDB">
        <w:rPr>
          <w:rFonts w:ascii="Times New Roman" w:eastAsia="Times New Roman" w:hAnsi="Times New Roman" w:cs="Times New Roman"/>
          <w:lang w:eastAsia="en-AU"/>
        </w:rPr>
        <w:t xml:space="preserve">(3) </w:t>
      </w:r>
      <w:r w:rsidR="000B203E" w:rsidRPr="003F1DDB">
        <w:rPr>
          <w:rFonts w:ascii="Times New Roman" w:eastAsia="Times New Roman" w:hAnsi="Times New Roman" w:cs="Times New Roman"/>
          <w:lang w:eastAsia="en-AU"/>
        </w:rPr>
        <w:t xml:space="preserve">provides </w:t>
      </w:r>
      <w:r w:rsidR="00423910" w:rsidRPr="003F1DDB">
        <w:rPr>
          <w:rFonts w:ascii="Times New Roman" w:eastAsia="Times New Roman" w:hAnsi="Times New Roman" w:cs="Times New Roman"/>
          <w:lang w:eastAsia="en-AU"/>
        </w:rPr>
        <w:t xml:space="preserve">that the CSP may propose an appointment </w:t>
      </w:r>
      <w:r w:rsidR="004A796C" w:rsidRPr="003F1DDB">
        <w:rPr>
          <w:rFonts w:ascii="Times New Roman" w:eastAsia="Times New Roman" w:hAnsi="Times New Roman" w:cs="Times New Roman"/>
          <w:lang w:eastAsia="en-AU"/>
        </w:rPr>
        <w:t xml:space="preserve">for </w:t>
      </w:r>
      <w:r w:rsidR="00423910" w:rsidRPr="003F1DDB">
        <w:rPr>
          <w:rFonts w:ascii="Times New Roman" w:eastAsia="Times New Roman" w:hAnsi="Times New Roman" w:cs="Times New Roman"/>
          <w:lang w:eastAsia="en-AU"/>
        </w:rPr>
        <w:t>a particular time of day or between 2 particular times of day not more than 5 hours apart.</w:t>
      </w:r>
      <w:r w:rsidR="000F4666" w:rsidRPr="003F1DDB">
        <w:rPr>
          <w:rFonts w:ascii="Times New Roman" w:eastAsia="Times New Roman" w:hAnsi="Times New Roman" w:cs="Times New Roman"/>
          <w:lang w:eastAsia="en-AU"/>
        </w:rPr>
        <w:t xml:space="preserve"> </w:t>
      </w:r>
    </w:p>
    <w:p w14:paraId="6B1F95C6" w14:textId="26EC354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1</w:t>
      </w:r>
      <w:r w:rsidR="00CE3C28">
        <w:rPr>
          <w:rFonts w:ascii="Times New Roman" w:eastAsia="Times New Roman" w:hAnsi="Times New Roman" w:cs="Times New Roman"/>
          <w:lang w:eastAsia="en-AU"/>
        </w:rPr>
        <w:t>9</w:t>
      </w:r>
      <w:r w:rsidRPr="003F1DDB">
        <w:rPr>
          <w:rFonts w:ascii="Times New Roman" w:eastAsia="Times New Roman" w:hAnsi="Times New Roman" w:cs="Times New Roman"/>
          <w:lang w:eastAsia="en-AU"/>
        </w:rPr>
        <w:t xml:space="preserve">(4) </w:t>
      </w:r>
      <w:r w:rsidR="005D7527" w:rsidRPr="003F1DDB">
        <w:rPr>
          <w:rFonts w:ascii="Times New Roman" w:eastAsia="Times New Roman" w:hAnsi="Times New Roman" w:cs="Times New Roman"/>
          <w:lang w:eastAsia="en-AU"/>
        </w:rPr>
        <w:t xml:space="preserve">sets out the circumstances in </w:t>
      </w:r>
      <w:r w:rsidR="009102F9" w:rsidRPr="003F1DDB">
        <w:rPr>
          <w:rFonts w:ascii="Times New Roman" w:eastAsia="Times New Roman" w:hAnsi="Times New Roman" w:cs="Times New Roman"/>
          <w:lang w:eastAsia="en-AU"/>
        </w:rPr>
        <w:t>which either party may change the day, time or location of the appointment – i.e.</w:t>
      </w:r>
      <w:r w:rsidRPr="003F1DDB">
        <w:rPr>
          <w:rFonts w:ascii="Times New Roman" w:eastAsia="Times New Roman" w:hAnsi="Times New Roman" w:cs="Times New Roman"/>
          <w:lang w:eastAsia="en-AU"/>
        </w:rPr>
        <w:t>by giving at least 24 hours</w:t>
      </w:r>
      <w:r w:rsidR="00CF13A3"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notice of the change or by obtaining the agreement of the other party.</w:t>
      </w:r>
    </w:p>
    <w:p w14:paraId="35C1B47B" w14:textId="36BEEEA6"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1</w:t>
      </w:r>
      <w:r w:rsidR="00CE3C28">
        <w:rPr>
          <w:rFonts w:ascii="Times New Roman" w:eastAsia="Times New Roman" w:hAnsi="Times New Roman" w:cs="Times New Roman"/>
          <w:lang w:eastAsia="en-AU"/>
        </w:rPr>
        <w:t>9</w:t>
      </w:r>
      <w:r w:rsidRPr="003F1DDB">
        <w:rPr>
          <w:rFonts w:ascii="Times New Roman" w:eastAsia="Times New Roman" w:hAnsi="Times New Roman" w:cs="Times New Roman"/>
          <w:lang w:eastAsia="en-AU"/>
        </w:rPr>
        <w:t xml:space="preserve">(5) requires a CSP to keep an appointment to which it is a party.  </w:t>
      </w:r>
    </w:p>
    <w:p w14:paraId="1D566049" w14:textId="4F380875"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465774" w:rsidRPr="003F1DDB">
        <w:rPr>
          <w:rFonts w:ascii="Times New Roman" w:eastAsia="Times New Roman" w:hAnsi="Times New Roman" w:cs="Times New Roman"/>
          <w:b/>
          <w:lang w:eastAsia="en-AU"/>
        </w:rPr>
        <w:t>20</w:t>
      </w:r>
      <w:r w:rsidRPr="003F1DDB">
        <w:rPr>
          <w:rFonts w:ascii="Times New Roman" w:eastAsia="Times New Roman" w:hAnsi="Times New Roman" w:cs="Times New Roman"/>
          <w:b/>
          <w:lang w:eastAsia="en-AU"/>
        </w:rPr>
        <w:t xml:space="preserve"> – Criteria for determining whether an appointment is kept</w:t>
      </w:r>
    </w:p>
    <w:p w14:paraId="15B88E57" w14:textId="5C8C0DBD"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465774" w:rsidRPr="003F1DDB">
        <w:rPr>
          <w:rFonts w:ascii="Times New Roman" w:eastAsia="Times New Roman" w:hAnsi="Times New Roman" w:cs="Times New Roman"/>
          <w:lang w:eastAsia="en-AU"/>
        </w:rPr>
        <w:t>20</w:t>
      </w:r>
      <w:r w:rsidRPr="003F1DDB">
        <w:rPr>
          <w:rFonts w:ascii="Times New Roman" w:eastAsia="Times New Roman" w:hAnsi="Times New Roman" w:cs="Times New Roman"/>
          <w:lang w:eastAsia="en-AU"/>
        </w:rPr>
        <w:t xml:space="preserve"> sets out the criteria for determining whether an appointment has been kept by a CSP. The criteria vary depending on whether the CSP makes an appointment for a particular time of day or for a period between two particular times of day and make allowances for circumstances where a CSP may have to travel a long distance to attend an appointment at a site located in a community with a population equal to or less than 2,500 people.  </w:t>
      </w:r>
    </w:p>
    <w:p w14:paraId="64394D76" w14:textId="2C1DA22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Under subsections </w:t>
      </w:r>
      <w:r w:rsidR="00465774" w:rsidRPr="003F1DDB">
        <w:rPr>
          <w:rFonts w:ascii="Times New Roman" w:eastAsia="Times New Roman" w:hAnsi="Times New Roman" w:cs="Times New Roman"/>
          <w:lang w:eastAsia="en-AU"/>
        </w:rPr>
        <w:t>20</w:t>
      </w:r>
      <w:r w:rsidRPr="003F1DDB">
        <w:rPr>
          <w:rFonts w:ascii="Times New Roman" w:eastAsia="Times New Roman" w:hAnsi="Times New Roman" w:cs="Times New Roman"/>
          <w:lang w:eastAsia="en-AU"/>
        </w:rPr>
        <w:t xml:space="preserve">(1) and </w:t>
      </w:r>
      <w:r w:rsidR="00465774" w:rsidRPr="003F1DDB">
        <w:rPr>
          <w:rFonts w:ascii="Times New Roman" w:eastAsia="Times New Roman" w:hAnsi="Times New Roman" w:cs="Times New Roman"/>
          <w:lang w:eastAsia="en-AU"/>
        </w:rPr>
        <w:t>20</w:t>
      </w:r>
      <w:r w:rsidRPr="003F1DDB">
        <w:rPr>
          <w:rFonts w:ascii="Times New Roman" w:eastAsia="Times New Roman" w:hAnsi="Times New Roman" w:cs="Times New Roman"/>
          <w:lang w:eastAsia="en-AU"/>
        </w:rPr>
        <w:t xml:space="preserve">(2), if a CSP makes an appointment for a particular time of day or for a period between two particular times of day that are not more than four hours apart, the CSP is taken to have kept the appointment if the provider is present at the site of the appointment not later than 15 minute after the time of the appointment or after the end of the period, as the case may be. </w:t>
      </w:r>
    </w:p>
    <w:p w14:paraId="055D8801" w14:textId="11EEEDF6"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If a CSP makes an appointment for a period between two particular times of day that are more than four but not more than five hours apart, the CSP is taken to have kept the appointment if the provider is present at the site of the appointment within that period (subsection </w:t>
      </w:r>
      <w:r w:rsidR="00465774" w:rsidRPr="003F1DDB">
        <w:rPr>
          <w:rFonts w:ascii="Times New Roman" w:eastAsia="Times New Roman" w:hAnsi="Times New Roman" w:cs="Times New Roman"/>
          <w:lang w:eastAsia="en-AU"/>
        </w:rPr>
        <w:t>20</w:t>
      </w:r>
      <w:r w:rsidRPr="003F1DDB">
        <w:rPr>
          <w:rFonts w:ascii="Times New Roman" w:eastAsia="Times New Roman" w:hAnsi="Times New Roman" w:cs="Times New Roman"/>
          <w:lang w:eastAsia="en-AU"/>
        </w:rPr>
        <w:t>(3)).</w:t>
      </w:r>
    </w:p>
    <w:p w14:paraId="7037438F" w14:textId="348AD4A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20</w:t>
      </w:r>
      <w:r w:rsidRPr="003F1DDB">
        <w:rPr>
          <w:rFonts w:ascii="Times New Roman" w:eastAsia="Times New Roman" w:hAnsi="Times New Roman" w:cs="Times New Roman"/>
          <w:lang w:eastAsia="en-AU"/>
        </w:rPr>
        <w:t>(4) provides that if the CSP makes an appointment for a period between two particular times of day that are more than four but not more than five hours apart and the appointment is at a site located in a community with a population equal to or less than 2,500 people and the CSP has to travel a long distance to attend the site, the provider is taken to have kept the appointment if the provider is present at the site not later than 45 minutes after the end of the period.</w:t>
      </w:r>
    </w:p>
    <w:p w14:paraId="1327C3CE" w14:textId="24A0F4A5"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20</w:t>
      </w:r>
      <w:r w:rsidRPr="003F1DDB">
        <w:rPr>
          <w:rFonts w:ascii="Times New Roman" w:eastAsia="Times New Roman" w:hAnsi="Times New Roman" w:cs="Times New Roman"/>
          <w:lang w:eastAsia="en-AU"/>
        </w:rPr>
        <w:t>(5) provides that if a CSP does not keep an appointment in accordance with section</w:t>
      </w:r>
      <w:r w:rsidR="0057114C" w:rsidRPr="003F1DDB">
        <w:rPr>
          <w:rFonts w:ascii="Times New Roman" w:eastAsia="Times New Roman" w:hAnsi="Times New Roman" w:cs="Times New Roman"/>
          <w:lang w:eastAsia="en-AU"/>
        </w:rPr>
        <w:t xml:space="preserve"> 20</w:t>
      </w:r>
      <w:r w:rsidRPr="003F1DDB">
        <w:rPr>
          <w:rFonts w:ascii="Times New Roman" w:eastAsia="Times New Roman" w:hAnsi="Times New Roman" w:cs="Times New Roman"/>
          <w:lang w:eastAsia="en-AU"/>
        </w:rPr>
        <w:t xml:space="preserve">, the CSP is taken to have missed the appointment. </w:t>
      </w:r>
      <w:r w:rsidR="0026603C" w:rsidRPr="003F1DDB">
        <w:rPr>
          <w:rFonts w:ascii="Times New Roman" w:eastAsia="Times New Roman" w:hAnsi="Times New Roman" w:cs="Times New Roman"/>
          <w:lang w:eastAsia="en-AU"/>
        </w:rPr>
        <w:t>The note to subsection 20(5) makes it clear that, i</w:t>
      </w:r>
      <w:r w:rsidRPr="003F1DDB">
        <w:rPr>
          <w:rFonts w:ascii="Times New Roman" w:eastAsia="Times New Roman" w:hAnsi="Times New Roman" w:cs="Times New Roman"/>
          <w:lang w:eastAsia="en-AU"/>
        </w:rPr>
        <w:t>n determining whether a CSP has contravened section</w:t>
      </w:r>
      <w:r w:rsidR="0057114C" w:rsidRPr="003F1DDB">
        <w:rPr>
          <w:rFonts w:ascii="Times New Roman" w:eastAsia="Times New Roman" w:hAnsi="Times New Roman" w:cs="Times New Roman"/>
          <w:lang w:eastAsia="en-AU"/>
        </w:rPr>
        <w:t xml:space="preserve"> 20</w:t>
      </w:r>
      <w:r w:rsidRPr="003F1DDB">
        <w:rPr>
          <w:rFonts w:ascii="Times New Roman" w:eastAsia="Times New Roman" w:hAnsi="Times New Roman" w:cs="Times New Roman"/>
          <w:lang w:eastAsia="en-AU"/>
        </w:rPr>
        <w:t xml:space="preserve">, </w:t>
      </w:r>
      <w:r w:rsidR="00A72DC4" w:rsidRPr="003F1DDB">
        <w:rPr>
          <w:rFonts w:ascii="Times New Roman" w:eastAsia="Times New Roman" w:hAnsi="Times New Roman" w:cs="Times New Roman"/>
          <w:lang w:eastAsia="en-AU"/>
        </w:rPr>
        <w:t xml:space="preserve">section 10 of the CSG Standard is relevant (i.e. </w:t>
      </w:r>
      <w:r w:rsidRPr="003F1DDB">
        <w:rPr>
          <w:rFonts w:ascii="Times New Roman" w:eastAsia="Times New Roman" w:hAnsi="Times New Roman" w:cs="Times New Roman"/>
          <w:lang w:eastAsia="en-AU"/>
        </w:rPr>
        <w:t>regard must be had to whether the customer cooperated with the CSP</w:t>
      </w:r>
      <w:r w:rsidR="00A72DC4" w:rsidRPr="003F1DDB">
        <w:rPr>
          <w:rFonts w:ascii="Times New Roman" w:eastAsia="Times New Roman" w:hAnsi="Times New Roman" w:cs="Times New Roman"/>
          <w:lang w:eastAsia="en-AU"/>
        </w:rPr>
        <w:t>, taking into account the factors set out in subsection 10(4))</w:t>
      </w:r>
      <w:r w:rsidRPr="003F1DDB">
        <w:rPr>
          <w:rFonts w:ascii="Times New Roman" w:eastAsia="Times New Roman" w:hAnsi="Times New Roman" w:cs="Times New Roman"/>
          <w:lang w:eastAsia="en-AU"/>
        </w:rPr>
        <w:t>.</w:t>
      </w:r>
    </w:p>
    <w:p w14:paraId="56C49155" w14:textId="761CAE31"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3 – Exemption from performance standards</w:t>
      </w:r>
    </w:p>
    <w:p w14:paraId="307C201A" w14:textId="7995C73D"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465774" w:rsidRPr="003F1DDB">
        <w:rPr>
          <w:rFonts w:ascii="Times New Roman" w:eastAsia="Times New Roman" w:hAnsi="Times New Roman" w:cs="Times New Roman"/>
          <w:b/>
          <w:lang w:eastAsia="en-AU"/>
        </w:rPr>
        <w:t>21</w:t>
      </w:r>
      <w:r w:rsidRPr="003F1DDB">
        <w:rPr>
          <w:rFonts w:ascii="Times New Roman" w:eastAsia="Times New Roman" w:hAnsi="Times New Roman" w:cs="Times New Roman"/>
          <w:b/>
          <w:lang w:eastAsia="en-AU"/>
        </w:rPr>
        <w:t xml:space="preserve"> – Supply of more than 5 eligible telephone services</w:t>
      </w:r>
    </w:p>
    <w:p w14:paraId="24E8412A" w14:textId="440B528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Th</w:t>
      </w:r>
      <w:r w:rsidR="00E80EFA" w:rsidRPr="003F1DDB">
        <w:rPr>
          <w:rFonts w:ascii="Times New Roman" w:eastAsia="Times New Roman" w:hAnsi="Times New Roman" w:cs="Times New Roman"/>
          <w:lang w:eastAsia="en-AU"/>
        </w:rPr>
        <w:t>is</w:t>
      </w:r>
      <w:r w:rsidRPr="003F1DDB">
        <w:rPr>
          <w:rFonts w:ascii="Times New Roman" w:eastAsia="Times New Roman" w:hAnsi="Times New Roman" w:cs="Times New Roman"/>
          <w:lang w:eastAsia="en-AU"/>
        </w:rPr>
        <w:t xml:space="preserve"> section limits the CSG to circumstances where a CSP supplies a customer with five or less eligible telephone services on separate lines.</w:t>
      </w:r>
    </w:p>
    <w:p w14:paraId="7D18B92D" w14:textId="60705A89"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21</w:t>
      </w:r>
      <w:r w:rsidRPr="003F1DDB">
        <w:rPr>
          <w:rFonts w:ascii="Times New Roman" w:eastAsia="Times New Roman" w:hAnsi="Times New Roman" w:cs="Times New Roman"/>
          <w:lang w:eastAsia="en-AU"/>
        </w:rPr>
        <w:t>(1) exempts a CSP from compliance with a CSG performance standard if the CSP is supplying the customer with more than five eligible telephone services at one time.</w:t>
      </w:r>
    </w:p>
    <w:p w14:paraId="3884FA25" w14:textId="0A16D849"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21</w:t>
      </w:r>
      <w:r w:rsidRPr="003F1DDB">
        <w:rPr>
          <w:rFonts w:ascii="Times New Roman" w:eastAsia="Times New Roman" w:hAnsi="Times New Roman" w:cs="Times New Roman"/>
          <w:lang w:eastAsia="en-AU"/>
        </w:rPr>
        <w:t xml:space="preserve">(2) exempts a CSP from compliance with a CSG performance standard (for all services provided to the customer) if the CSP is already supplying a customer with five eligible services and arrangements are made for the supply of one or more additional services to the customer. </w:t>
      </w:r>
    </w:p>
    <w:p w14:paraId="3D7125D5" w14:textId="583DE56C"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lastRenderedPageBreak/>
        <w:t xml:space="preserve">Section </w:t>
      </w:r>
      <w:r w:rsidR="00465774" w:rsidRPr="003F1DDB">
        <w:rPr>
          <w:rFonts w:ascii="Times New Roman" w:eastAsia="Times New Roman" w:hAnsi="Times New Roman" w:cs="Times New Roman"/>
          <w:b/>
          <w:lang w:eastAsia="en-AU"/>
        </w:rPr>
        <w:t>22</w:t>
      </w:r>
      <w:r w:rsidRPr="003F1DDB">
        <w:rPr>
          <w:rFonts w:ascii="Times New Roman" w:eastAsia="Times New Roman" w:hAnsi="Times New Roman" w:cs="Times New Roman"/>
          <w:b/>
          <w:lang w:eastAsia="en-AU"/>
        </w:rPr>
        <w:t xml:space="preserve"> – Maintenance and upgrades</w:t>
      </w:r>
    </w:p>
    <w:p w14:paraId="38C52117" w14:textId="24853382"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465774" w:rsidRPr="003F1DDB">
        <w:rPr>
          <w:rFonts w:ascii="Times New Roman" w:eastAsia="Times New Roman" w:hAnsi="Times New Roman" w:cs="Times New Roman"/>
          <w:lang w:eastAsia="en-AU"/>
        </w:rPr>
        <w:t>22</w:t>
      </w:r>
      <w:r w:rsidRPr="003F1DDB">
        <w:rPr>
          <w:rFonts w:ascii="Times New Roman" w:eastAsia="Times New Roman" w:hAnsi="Times New Roman" w:cs="Times New Roman"/>
          <w:lang w:eastAsia="en-AU"/>
        </w:rPr>
        <w:t xml:space="preserve"> provides that a CSP is exempt from complying with a CSG performance standard (in relation to the supply of a specified service to a customer) to the extent that non-compliance with the standard is the result of maintenance or upgrading of a facility or network used to provide the service.</w:t>
      </w:r>
    </w:p>
    <w:p w14:paraId="7D93387B" w14:textId="3B4D9F8F"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However, under subsection </w:t>
      </w:r>
      <w:r w:rsidR="00465774" w:rsidRPr="003F1DDB">
        <w:rPr>
          <w:rFonts w:ascii="Times New Roman" w:eastAsia="Times New Roman" w:hAnsi="Times New Roman" w:cs="Times New Roman"/>
          <w:lang w:eastAsia="en-AU"/>
        </w:rPr>
        <w:t>22</w:t>
      </w:r>
      <w:r w:rsidRPr="003F1DDB">
        <w:rPr>
          <w:rFonts w:ascii="Times New Roman" w:eastAsia="Times New Roman" w:hAnsi="Times New Roman" w:cs="Times New Roman"/>
          <w:lang w:eastAsia="en-AU"/>
        </w:rPr>
        <w:t xml:space="preserve">(2), an exemption under section </w:t>
      </w:r>
      <w:r w:rsidR="00465774" w:rsidRPr="003F1DDB">
        <w:rPr>
          <w:rFonts w:ascii="Times New Roman" w:eastAsia="Times New Roman" w:hAnsi="Times New Roman" w:cs="Times New Roman"/>
          <w:lang w:eastAsia="en-AU"/>
        </w:rPr>
        <w:t>22</w:t>
      </w:r>
      <w:r w:rsidRPr="003F1DDB">
        <w:rPr>
          <w:rFonts w:ascii="Times New Roman" w:eastAsia="Times New Roman" w:hAnsi="Times New Roman" w:cs="Times New Roman"/>
          <w:lang w:eastAsia="en-AU"/>
        </w:rPr>
        <w:t xml:space="preserve"> can only be claimed for non-supply of a service where the CSP has given the customer reasonable notice of the non-compliance. </w:t>
      </w:r>
    </w:p>
    <w:p w14:paraId="13EAD1AE" w14:textId="7777777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This exemption has been included to ensure that CSPs are not unfairly penalised for planned outages to complete maintenance work or facility upgrades and to ensure they give customers reasonable notice of the non-compliance.</w:t>
      </w:r>
    </w:p>
    <w:p w14:paraId="27FBBC3B" w14:textId="035F1251"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465774" w:rsidRPr="003F1DDB">
        <w:rPr>
          <w:rFonts w:ascii="Times New Roman" w:eastAsia="Times New Roman" w:hAnsi="Times New Roman" w:cs="Times New Roman"/>
          <w:b/>
          <w:lang w:eastAsia="en-AU"/>
        </w:rPr>
        <w:t>23</w:t>
      </w:r>
      <w:r w:rsidRPr="003F1DDB">
        <w:rPr>
          <w:rFonts w:ascii="Times New Roman" w:eastAsia="Times New Roman" w:hAnsi="Times New Roman" w:cs="Times New Roman"/>
          <w:b/>
          <w:lang w:eastAsia="en-AU"/>
        </w:rPr>
        <w:t xml:space="preserve"> – Credit standing of customers</w:t>
      </w:r>
    </w:p>
    <w:p w14:paraId="7F70FD1F" w14:textId="2BD377B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465774" w:rsidRPr="003F1DDB">
        <w:rPr>
          <w:rFonts w:ascii="Times New Roman" w:eastAsia="Times New Roman" w:hAnsi="Times New Roman" w:cs="Times New Roman"/>
          <w:lang w:eastAsia="en-AU"/>
        </w:rPr>
        <w:t>23</w:t>
      </w:r>
      <w:r w:rsidRPr="003F1DDB">
        <w:rPr>
          <w:rFonts w:ascii="Times New Roman" w:eastAsia="Times New Roman" w:hAnsi="Times New Roman" w:cs="Times New Roman"/>
          <w:lang w:eastAsia="en-AU"/>
        </w:rPr>
        <w:t xml:space="preserve"> provides that a CSP is exempt from compliance with the CSG performance standards where:</w:t>
      </w:r>
    </w:p>
    <w:p w14:paraId="2CAB785D" w14:textId="77777777" w:rsidR="00423910" w:rsidRPr="003F1DDB" w:rsidRDefault="00423910" w:rsidP="00423910">
      <w:pPr>
        <w:numPr>
          <w:ilvl w:val="0"/>
          <w:numId w:val="33"/>
        </w:num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a CSP has reasonable grounds to believe that the customer would be unable or unwilling to pay for a charge for connection or use of the service; or </w:t>
      </w:r>
    </w:p>
    <w:p w14:paraId="08C7ACFB" w14:textId="730E128C" w:rsidR="007F35B3" w:rsidRPr="003F1DDB" w:rsidRDefault="000021EA" w:rsidP="00CE1395">
      <w:pPr>
        <w:numPr>
          <w:ilvl w:val="0"/>
          <w:numId w:val="33"/>
        </w:num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subject to compliance by the CSP with various notification</w:t>
      </w:r>
      <w:r w:rsidR="00CE1395" w:rsidRPr="003F1DDB">
        <w:rPr>
          <w:rFonts w:ascii="Times New Roman" w:eastAsia="Times New Roman" w:hAnsi="Times New Roman" w:cs="Times New Roman"/>
          <w:lang w:eastAsia="en-AU"/>
        </w:rPr>
        <w:t>, procedural</w:t>
      </w:r>
      <w:r w:rsidRPr="003F1DDB">
        <w:rPr>
          <w:rFonts w:ascii="Times New Roman" w:eastAsia="Times New Roman" w:hAnsi="Times New Roman" w:cs="Times New Roman"/>
          <w:lang w:eastAsia="en-AU"/>
        </w:rPr>
        <w:t xml:space="preserve"> and review rights requirements, </w:t>
      </w:r>
      <w:r w:rsidR="00423910" w:rsidRPr="003F1DDB">
        <w:rPr>
          <w:rFonts w:ascii="Times New Roman" w:eastAsia="Times New Roman" w:hAnsi="Times New Roman" w:cs="Times New Roman"/>
          <w:lang w:eastAsia="en-AU"/>
        </w:rPr>
        <w:t xml:space="preserve">where the customer’s service was disconnected </w:t>
      </w:r>
      <w:r w:rsidR="00FF76F1" w:rsidRPr="003F1DDB">
        <w:rPr>
          <w:rFonts w:ascii="Times New Roman" w:eastAsia="Times New Roman" w:hAnsi="Times New Roman" w:cs="Times New Roman"/>
          <w:lang w:eastAsia="en-AU"/>
        </w:rPr>
        <w:t xml:space="preserve">(and remains disconnected) </w:t>
      </w:r>
      <w:r w:rsidR="00423910" w:rsidRPr="003F1DDB">
        <w:rPr>
          <w:rFonts w:ascii="Times New Roman" w:eastAsia="Times New Roman" w:hAnsi="Times New Roman" w:cs="Times New Roman"/>
          <w:lang w:eastAsia="en-AU"/>
        </w:rPr>
        <w:t>due to non-payment of a charge for the connection or use of the service.</w:t>
      </w:r>
    </w:p>
    <w:p w14:paraId="6FF8901B" w14:textId="7702C17D"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465774" w:rsidRPr="003F1DDB">
        <w:rPr>
          <w:rFonts w:ascii="Times New Roman" w:eastAsia="Times New Roman" w:hAnsi="Times New Roman" w:cs="Times New Roman"/>
          <w:b/>
          <w:lang w:eastAsia="en-AU"/>
        </w:rPr>
        <w:t>24</w:t>
      </w:r>
      <w:r w:rsidRPr="003F1DDB">
        <w:rPr>
          <w:rFonts w:ascii="Times New Roman" w:eastAsia="Times New Roman" w:hAnsi="Times New Roman" w:cs="Times New Roman"/>
          <w:b/>
          <w:lang w:eastAsia="en-AU"/>
        </w:rPr>
        <w:t xml:space="preserve"> – Circumstances beyond the control of carriage service providers</w:t>
      </w:r>
    </w:p>
    <w:p w14:paraId="2DBD50FF" w14:textId="360062FA"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465774" w:rsidRPr="003F1DDB">
        <w:rPr>
          <w:rFonts w:ascii="Times New Roman" w:eastAsia="Times New Roman" w:hAnsi="Times New Roman" w:cs="Times New Roman"/>
          <w:lang w:eastAsia="en-AU"/>
        </w:rPr>
        <w:t>24</w:t>
      </w:r>
      <w:r w:rsidRPr="003F1DDB">
        <w:rPr>
          <w:rFonts w:ascii="Times New Roman" w:eastAsia="Times New Roman" w:hAnsi="Times New Roman" w:cs="Times New Roman"/>
          <w:lang w:eastAsia="en-AU"/>
        </w:rPr>
        <w:t xml:space="preserve"> recognises that circumstances may arise which are beyond the control of CSPs and prevent compliance with the CSG Standard. It provides, under such circumstances, for affected CSPs to rely on an exemption from compliance with the CSG Standard and sets out procedures that they must comply with when relying on an exemption.</w:t>
      </w:r>
    </w:p>
    <w:p w14:paraId="52D923C6" w14:textId="00DF6444"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24</w:t>
      </w:r>
      <w:r w:rsidRPr="003F1DDB">
        <w:rPr>
          <w:rFonts w:ascii="Times New Roman" w:eastAsia="Times New Roman" w:hAnsi="Times New Roman" w:cs="Times New Roman"/>
          <w:lang w:eastAsia="en-AU"/>
        </w:rPr>
        <w:t>(1) provides that a CSP is exempt from complying with the CSG Standard to the extent that non-compliance is a result of circumstances beyond the control of the CSP or where the non-compliance is the result of the need to move staff or equipment to an area affected by circumstances beyond the CSP’s control.</w:t>
      </w:r>
    </w:p>
    <w:p w14:paraId="6F3E344D" w14:textId="3FEA5F0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24</w:t>
      </w:r>
      <w:r w:rsidRPr="003F1DDB">
        <w:rPr>
          <w:rFonts w:ascii="Times New Roman" w:eastAsia="Times New Roman" w:hAnsi="Times New Roman" w:cs="Times New Roman"/>
          <w:lang w:eastAsia="en-AU"/>
        </w:rPr>
        <w:t xml:space="preserve">(2) provides a non-exhaustive list of circumstances which may be considered beyond the control of the provider including: damage to a facility not caused by the CSP; natural disasters; extreme weather conditions; requests by public authorities to provide emergency communications to assist emergency action thus restricting connections and rectification of faults and service difficulties; inability to obtain lawful access to land; and the operation of a law of the Commonwealth, or a State or Territory preventing the CSP from complying with the </w:t>
      </w:r>
      <w:r w:rsidR="007E18F4" w:rsidRPr="003F1DDB">
        <w:rPr>
          <w:rFonts w:ascii="Times New Roman" w:eastAsia="Times New Roman" w:hAnsi="Times New Roman" w:cs="Times New Roman"/>
          <w:lang w:eastAsia="en-AU"/>
        </w:rPr>
        <w:t xml:space="preserve">CSG </w:t>
      </w:r>
      <w:r w:rsidRPr="003F1DDB">
        <w:rPr>
          <w:rFonts w:ascii="Times New Roman" w:eastAsia="Times New Roman" w:hAnsi="Times New Roman" w:cs="Times New Roman"/>
          <w:lang w:eastAsia="en-AU"/>
        </w:rPr>
        <w:t>Standard.</w:t>
      </w:r>
    </w:p>
    <w:p w14:paraId="406951DA" w14:textId="6D4961EC"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24</w:t>
      </w:r>
      <w:r w:rsidRPr="003F1DDB">
        <w:rPr>
          <w:rFonts w:ascii="Times New Roman" w:eastAsia="Times New Roman" w:hAnsi="Times New Roman" w:cs="Times New Roman"/>
          <w:lang w:eastAsia="en-AU"/>
        </w:rPr>
        <w:t>(3) provides that a CSP (the first provider) is not exempt from compliance with the CSG Standard to the extent that the first provider’s non-compliance is due wholly or partly to acts or omissions of another provider (the second provider), and the exemption is not applicable to the second provider.</w:t>
      </w:r>
    </w:p>
    <w:p w14:paraId="2375F6FB" w14:textId="41A0804D"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465774" w:rsidRPr="003F1DDB">
        <w:rPr>
          <w:rFonts w:ascii="Times New Roman" w:eastAsia="Times New Roman" w:hAnsi="Times New Roman" w:cs="Times New Roman"/>
          <w:lang w:eastAsia="en-AU"/>
        </w:rPr>
        <w:t>24</w:t>
      </w:r>
      <w:r w:rsidRPr="003F1DDB">
        <w:rPr>
          <w:rFonts w:ascii="Times New Roman" w:eastAsia="Times New Roman" w:hAnsi="Times New Roman" w:cs="Times New Roman"/>
          <w:lang w:eastAsia="en-AU"/>
        </w:rPr>
        <w:t xml:space="preserve">(4) provides that a CSP is not exempt from compliance with the CSG Standard unless it has procedures in place for the purpose of ensuring that it does not rely on the exemption in circumstances that are not beyond its control. This section is intended to ensure providers have in place procedures to </w:t>
      </w:r>
      <w:r w:rsidR="00AB5EE4" w:rsidRPr="003F1DDB">
        <w:rPr>
          <w:rFonts w:ascii="Times New Roman" w:eastAsia="Times New Roman" w:hAnsi="Times New Roman" w:cs="Times New Roman"/>
          <w:lang w:eastAsia="en-AU"/>
        </w:rPr>
        <w:t xml:space="preserve">help </w:t>
      </w:r>
      <w:r w:rsidRPr="003F1DDB">
        <w:rPr>
          <w:rFonts w:ascii="Times New Roman" w:eastAsia="Times New Roman" w:hAnsi="Times New Roman" w:cs="Times New Roman"/>
          <w:lang w:eastAsia="en-AU"/>
        </w:rPr>
        <w:t>ensure th</w:t>
      </w:r>
      <w:r w:rsidR="008955F5" w:rsidRPr="003F1DDB">
        <w:rPr>
          <w:rFonts w:ascii="Times New Roman" w:eastAsia="Times New Roman" w:hAnsi="Times New Roman" w:cs="Times New Roman"/>
          <w:lang w:eastAsia="en-AU"/>
        </w:rPr>
        <w:t>at the section 24 exemption is not mistakenly or improperly relied on</w:t>
      </w:r>
      <w:r w:rsidRPr="003F1DDB">
        <w:rPr>
          <w:rFonts w:ascii="Times New Roman" w:eastAsia="Times New Roman" w:hAnsi="Times New Roman" w:cs="Times New Roman"/>
          <w:lang w:eastAsia="en-AU"/>
        </w:rPr>
        <w:t>.</w:t>
      </w:r>
    </w:p>
    <w:p w14:paraId="70FE87B9" w14:textId="4C1C161D"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2</w:t>
      </w:r>
      <w:r w:rsidR="00465774" w:rsidRPr="003F1DDB">
        <w:rPr>
          <w:rFonts w:ascii="Times New Roman" w:eastAsia="Times New Roman" w:hAnsi="Times New Roman" w:cs="Times New Roman"/>
          <w:b/>
          <w:lang w:eastAsia="en-AU"/>
        </w:rPr>
        <w:t>5</w:t>
      </w:r>
      <w:r w:rsidRPr="003F1DDB">
        <w:rPr>
          <w:rFonts w:ascii="Times New Roman" w:eastAsia="Times New Roman" w:hAnsi="Times New Roman" w:cs="Times New Roman"/>
          <w:b/>
          <w:lang w:eastAsia="en-AU"/>
        </w:rPr>
        <w:t xml:space="preserve"> – Provisional exemption under section 2</w:t>
      </w:r>
      <w:r w:rsidR="00465774" w:rsidRPr="003F1DDB">
        <w:rPr>
          <w:rFonts w:ascii="Times New Roman" w:eastAsia="Times New Roman" w:hAnsi="Times New Roman" w:cs="Times New Roman"/>
          <w:b/>
          <w:lang w:eastAsia="en-AU"/>
        </w:rPr>
        <w:t>4</w:t>
      </w:r>
    </w:p>
    <w:p w14:paraId="5B1AED58" w14:textId="54FEC3D5" w:rsidR="00423910" w:rsidRPr="003F1DDB" w:rsidRDefault="00423910" w:rsidP="0020503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2</w:t>
      </w:r>
      <w:r w:rsidR="00465774" w:rsidRPr="003F1DDB">
        <w:rPr>
          <w:rFonts w:ascii="Times New Roman" w:eastAsia="Times New Roman" w:hAnsi="Times New Roman" w:cs="Times New Roman"/>
          <w:lang w:eastAsia="en-AU"/>
        </w:rPr>
        <w:t>5</w:t>
      </w:r>
      <w:r w:rsidRPr="003F1DDB">
        <w:rPr>
          <w:rFonts w:ascii="Times New Roman" w:eastAsia="Times New Roman" w:hAnsi="Times New Roman" w:cs="Times New Roman"/>
          <w:lang w:eastAsia="en-AU"/>
        </w:rPr>
        <w:t xml:space="preserve"> provides for CSPs to claim an exemption </w:t>
      </w:r>
      <w:r w:rsidR="00172860" w:rsidRPr="003F1DDB">
        <w:rPr>
          <w:rFonts w:ascii="Times New Roman" w:eastAsia="Times New Roman" w:hAnsi="Times New Roman" w:cs="Times New Roman"/>
          <w:lang w:eastAsia="en-AU"/>
        </w:rPr>
        <w:t>(as described in subsection 2</w:t>
      </w:r>
      <w:r w:rsidR="00465774" w:rsidRPr="003F1DDB">
        <w:rPr>
          <w:rFonts w:ascii="Times New Roman" w:eastAsia="Times New Roman" w:hAnsi="Times New Roman" w:cs="Times New Roman"/>
          <w:lang w:eastAsia="en-AU"/>
        </w:rPr>
        <w:t>4</w:t>
      </w:r>
      <w:r w:rsidR="00172860" w:rsidRPr="003F1DDB">
        <w:rPr>
          <w:rFonts w:ascii="Times New Roman" w:eastAsia="Times New Roman" w:hAnsi="Times New Roman" w:cs="Times New Roman"/>
          <w:lang w:eastAsia="en-AU"/>
        </w:rPr>
        <w:t xml:space="preserve">(1)) </w:t>
      </w:r>
      <w:r w:rsidRPr="003F1DDB">
        <w:rPr>
          <w:rFonts w:ascii="Times New Roman" w:eastAsia="Times New Roman" w:hAnsi="Times New Roman" w:cs="Times New Roman"/>
          <w:lang w:eastAsia="en-AU"/>
        </w:rPr>
        <w:t xml:space="preserve">from compliance with the CSG Standard on a provisional basis from the time the CSP seeks to rely on the </w:t>
      </w:r>
      <w:r w:rsidRPr="003F1DDB">
        <w:rPr>
          <w:rFonts w:ascii="Times New Roman" w:eastAsia="Times New Roman" w:hAnsi="Times New Roman" w:cs="Times New Roman"/>
          <w:lang w:eastAsia="en-AU"/>
        </w:rPr>
        <w:lastRenderedPageBreak/>
        <w:t>exemption claimed until the CSP complies with the customer notification provisions in relation to the exemption set out in section 2</w:t>
      </w:r>
      <w:r w:rsidR="00465774"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w:t>
      </w:r>
      <w:r w:rsidR="005B0C15">
        <w:rPr>
          <w:rFonts w:ascii="Times New Roman" w:eastAsia="Times New Roman" w:hAnsi="Times New Roman" w:cs="Times New Roman"/>
          <w:lang w:eastAsia="en-AU"/>
        </w:rPr>
        <w:t>or</w:t>
      </w:r>
      <w:r w:rsidRPr="003F1DDB">
        <w:rPr>
          <w:rFonts w:ascii="Times New Roman" w:eastAsia="Times New Roman" w:hAnsi="Times New Roman" w:cs="Times New Roman"/>
          <w:lang w:eastAsia="en-AU"/>
        </w:rPr>
        <w:t xml:space="preserve"> 2</w:t>
      </w:r>
      <w:r w:rsidR="00465774" w:rsidRPr="003F1DDB">
        <w:rPr>
          <w:rFonts w:ascii="Times New Roman" w:eastAsia="Times New Roman" w:hAnsi="Times New Roman" w:cs="Times New Roman"/>
          <w:lang w:eastAsia="en-AU"/>
        </w:rPr>
        <w:t>7</w:t>
      </w:r>
      <w:r w:rsidR="00172860"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w:t>
      </w:r>
    </w:p>
    <w:p w14:paraId="0E9B1F49" w14:textId="0C9A8A6C" w:rsidR="00423910" w:rsidRPr="003F1DDB" w:rsidRDefault="00423910" w:rsidP="0020503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Where a CSP does not comply with either section 2</w:t>
      </w:r>
      <w:r w:rsidR="00465774"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or 2</w:t>
      </w:r>
      <w:r w:rsidR="00465774"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 under subsection 2</w:t>
      </w:r>
      <w:r w:rsidR="00465774" w:rsidRPr="003F1DDB">
        <w:rPr>
          <w:rFonts w:ascii="Times New Roman" w:eastAsia="Times New Roman" w:hAnsi="Times New Roman" w:cs="Times New Roman"/>
          <w:lang w:eastAsia="en-AU"/>
        </w:rPr>
        <w:t>5</w:t>
      </w:r>
      <w:r w:rsidRPr="003F1DDB">
        <w:rPr>
          <w:rFonts w:ascii="Times New Roman" w:eastAsia="Times New Roman" w:hAnsi="Times New Roman" w:cs="Times New Roman"/>
          <w:lang w:eastAsia="en-AU"/>
        </w:rPr>
        <w:t>(2), the exemption claimed under section 2</w:t>
      </w:r>
      <w:r w:rsidR="00465774" w:rsidRPr="003F1DDB">
        <w:rPr>
          <w:rFonts w:ascii="Times New Roman" w:eastAsia="Times New Roman" w:hAnsi="Times New Roman" w:cs="Times New Roman"/>
          <w:lang w:eastAsia="en-AU"/>
        </w:rPr>
        <w:t>4</w:t>
      </w:r>
      <w:r w:rsidRPr="003F1DDB">
        <w:rPr>
          <w:rFonts w:ascii="Times New Roman" w:eastAsia="Times New Roman" w:hAnsi="Times New Roman" w:cs="Times New Roman"/>
          <w:lang w:eastAsia="en-AU"/>
        </w:rPr>
        <w:t xml:space="preserve"> will cease to apply and will be taken never to have applied in relation to the CSP’s non-compliance with the CSG performance standard.</w:t>
      </w:r>
    </w:p>
    <w:p w14:paraId="15D73D39" w14:textId="6F563B81"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2</w:t>
      </w:r>
      <w:r w:rsidR="00C6674E" w:rsidRPr="003F1DDB">
        <w:rPr>
          <w:rFonts w:ascii="Times New Roman" w:eastAsia="Times New Roman" w:hAnsi="Times New Roman" w:cs="Times New Roman"/>
          <w:b/>
          <w:lang w:eastAsia="en-AU"/>
        </w:rPr>
        <w:t>6</w:t>
      </w:r>
      <w:r w:rsidRPr="003F1DDB">
        <w:rPr>
          <w:rFonts w:ascii="Times New Roman" w:eastAsia="Times New Roman" w:hAnsi="Times New Roman" w:cs="Times New Roman"/>
          <w:b/>
          <w:lang w:eastAsia="en-AU"/>
        </w:rPr>
        <w:t xml:space="preserve"> – Notice to particular customers of provisional exemption under section 2</w:t>
      </w:r>
      <w:r w:rsidR="00C6674E" w:rsidRPr="003F1DDB">
        <w:rPr>
          <w:rFonts w:ascii="Times New Roman" w:eastAsia="Times New Roman" w:hAnsi="Times New Roman" w:cs="Times New Roman"/>
          <w:b/>
          <w:lang w:eastAsia="en-AU"/>
        </w:rPr>
        <w:t>4</w:t>
      </w:r>
    </w:p>
    <w:p w14:paraId="7D546CE0" w14:textId="7777777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This provision is intended to ensure that customers are kept informed when a CSP seeks to claim an exemption from a CSG performance standard due to circumstances beyond its control.</w:t>
      </w:r>
    </w:p>
    <w:p w14:paraId="2AE1BDEB" w14:textId="2D8928F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A CSP wh</w:t>
      </w:r>
      <w:r w:rsidR="00224980">
        <w:rPr>
          <w:rFonts w:ascii="Times New Roman" w:eastAsia="Times New Roman" w:hAnsi="Times New Roman" w:cs="Times New Roman"/>
          <w:lang w:eastAsia="en-AU"/>
        </w:rPr>
        <w:t>ich</w:t>
      </w:r>
      <w:r w:rsidRPr="003F1DDB">
        <w:rPr>
          <w:rFonts w:ascii="Times New Roman" w:eastAsia="Times New Roman" w:hAnsi="Times New Roman" w:cs="Times New Roman"/>
          <w:lang w:eastAsia="en-AU"/>
        </w:rPr>
        <w:t xml:space="preserve"> proposes to rely on an exemption from compliance with the CSG Standard must either comply with the notification requirements set out in section 2</w:t>
      </w:r>
      <w:r w:rsidR="00C6674E"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of the CSG Standard relating to direct notification of a customer, or with the general notification procedures specified under section 2</w:t>
      </w:r>
      <w:r w:rsidR="00C6674E"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 These notification requirements prescribe the information that a CSP must provide to customers, the manner in which the information is to be provided and the time frames for the provision of the information.</w:t>
      </w:r>
    </w:p>
    <w:p w14:paraId="313FB39E" w14:textId="29A11F5F"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Where a CSP</w:t>
      </w:r>
      <w:r w:rsidR="007B7756" w:rsidRPr="003F1DDB">
        <w:rPr>
          <w:rFonts w:ascii="Times New Roman" w:eastAsia="Times New Roman" w:hAnsi="Times New Roman" w:cs="Times New Roman"/>
          <w:lang w:eastAsia="en-AU"/>
        </w:rPr>
        <w:t xml:space="preserve"> seeks to rely on a provisional exemption under section 24, </w:t>
      </w:r>
      <w:r w:rsidRPr="003F1DDB">
        <w:rPr>
          <w:rFonts w:ascii="Times New Roman" w:eastAsia="Times New Roman" w:hAnsi="Times New Roman" w:cs="Times New Roman"/>
          <w:lang w:eastAsia="en-AU"/>
        </w:rPr>
        <w:t>each customer to whom the exemption relates must be given a statement in writing setting out</w:t>
      </w:r>
      <w:r w:rsidR="002462ED" w:rsidRPr="003F1DDB">
        <w:rPr>
          <w:rFonts w:ascii="Times New Roman" w:eastAsia="Times New Roman" w:hAnsi="Times New Roman" w:cs="Times New Roman"/>
          <w:lang w:eastAsia="en-AU"/>
        </w:rPr>
        <w:t xml:space="preserve"> various matters </w:t>
      </w:r>
      <w:r w:rsidR="00D1143A" w:rsidRPr="003F1DDB">
        <w:rPr>
          <w:rFonts w:ascii="Times New Roman" w:eastAsia="Times New Roman" w:hAnsi="Times New Roman" w:cs="Times New Roman"/>
          <w:lang w:eastAsia="en-AU"/>
        </w:rPr>
        <w:t>relating to the exemption claim</w:t>
      </w:r>
      <w:r w:rsidR="00DB4F1F" w:rsidRPr="003F1DDB">
        <w:rPr>
          <w:rFonts w:ascii="Times New Roman" w:eastAsia="Times New Roman" w:hAnsi="Times New Roman" w:cs="Times New Roman"/>
          <w:lang w:eastAsia="en-AU"/>
        </w:rPr>
        <w:t xml:space="preserve"> including how the customer can dispute the claim</w:t>
      </w:r>
      <w:r w:rsidRPr="003F1DDB">
        <w:rPr>
          <w:rFonts w:ascii="Times New Roman" w:eastAsia="Times New Roman" w:hAnsi="Times New Roman" w:cs="Times New Roman"/>
          <w:lang w:eastAsia="en-AU"/>
        </w:rPr>
        <w:t>.</w:t>
      </w:r>
    </w:p>
    <w:p w14:paraId="73DA86AB" w14:textId="4EC64B30"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C6674E"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(2) prescribes the timing for notice</w:t>
      </w:r>
      <w:r w:rsidR="00224980">
        <w:rPr>
          <w:rFonts w:ascii="Times New Roman" w:eastAsia="Times New Roman" w:hAnsi="Times New Roman" w:cs="Times New Roman"/>
          <w:lang w:eastAsia="en-AU"/>
        </w:rPr>
        <w:t>s</w:t>
      </w:r>
      <w:r w:rsidRPr="003F1DDB">
        <w:rPr>
          <w:rFonts w:ascii="Times New Roman" w:eastAsia="Times New Roman" w:hAnsi="Times New Roman" w:cs="Times New Roman"/>
          <w:lang w:eastAsia="en-AU"/>
        </w:rPr>
        <w:t xml:space="preserve"> given under section 2</w:t>
      </w:r>
      <w:r w:rsidR="00C6674E"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Where the exemption relates to the CSP’s inability to obtain lawful access to a site or where the operation of the law of the Commonwealth, a State or a Territory prevents compliance with the CSG performance standard, notice must be given to the affected customer as soon as practicable, but no later than 14 weeks after the first day on which the exemption becomes available to the CSP. For all other circumstances, the CSP is required to give notice to the affected customer </w:t>
      </w:r>
      <w:r w:rsidR="00B22BBD">
        <w:rPr>
          <w:rFonts w:ascii="Times New Roman" w:eastAsia="Times New Roman" w:hAnsi="Times New Roman" w:cs="Times New Roman"/>
          <w:lang w:eastAsia="en-AU"/>
        </w:rPr>
        <w:t xml:space="preserve">as soon as practicable, but in any event </w:t>
      </w:r>
      <w:r w:rsidRPr="003F1DDB">
        <w:rPr>
          <w:rFonts w:ascii="Times New Roman" w:eastAsia="Times New Roman" w:hAnsi="Times New Roman" w:cs="Times New Roman"/>
          <w:lang w:eastAsia="en-AU"/>
        </w:rPr>
        <w:t xml:space="preserve">within 10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 xml:space="preserve">days after the first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day on which the exemption becomes available.</w:t>
      </w:r>
      <w:r w:rsidRPr="003F1DDB" w:rsidDel="00E124BC">
        <w:rPr>
          <w:rFonts w:ascii="Times New Roman" w:eastAsia="Times New Roman" w:hAnsi="Times New Roman" w:cs="Times New Roman"/>
          <w:lang w:eastAsia="en-AU"/>
        </w:rPr>
        <w:t xml:space="preserve"> </w:t>
      </w:r>
    </w:p>
    <w:p w14:paraId="216D38E5" w14:textId="46005065"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C6674E"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(3) sets out matters that a CSP must consider in estimating the duration of the exemption. These include the resources that the CSP would have to commit to mitigate the consequences and minimise the duration of the circumstances on which the exemption is based. This provision has been included to ensure that as far as practicable, exemption claims are not open-ended.</w:t>
      </w:r>
    </w:p>
    <w:p w14:paraId="762C7CE2" w14:textId="5185E7E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C6674E"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(4) provides that compliance with section 2</w:t>
      </w:r>
      <w:r w:rsidR="00C6674E"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does not prevent a customer from disputing the exemption claimed by the CSP.  </w:t>
      </w:r>
    </w:p>
    <w:p w14:paraId="13EE6B20" w14:textId="7C95E9AC"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2</w:t>
      </w:r>
      <w:r w:rsidR="00C6674E" w:rsidRPr="003F1DDB">
        <w:rPr>
          <w:rFonts w:ascii="Times New Roman" w:eastAsia="Times New Roman" w:hAnsi="Times New Roman" w:cs="Times New Roman"/>
          <w:b/>
          <w:lang w:eastAsia="en-AU"/>
        </w:rPr>
        <w:t>7</w:t>
      </w:r>
      <w:r w:rsidRPr="003F1DDB">
        <w:rPr>
          <w:rFonts w:ascii="Times New Roman" w:eastAsia="Times New Roman" w:hAnsi="Times New Roman" w:cs="Times New Roman"/>
          <w:b/>
          <w:lang w:eastAsia="en-AU"/>
        </w:rPr>
        <w:t xml:space="preserve"> – General notice of exemptions</w:t>
      </w:r>
    </w:p>
    <w:p w14:paraId="3C905A21" w14:textId="7777777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This provision is intended to provide a CSP with flexibility in regard to notifying its customers of its intention to claim an exemption from the CSG performance standards when a large number of its customers may have been affected by the circumstances which resulted in the exemption being claimed. </w:t>
      </w:r>
    </w:p>
    <w:p w14:paraId="08DE83FA" w14:textId="655756F9"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2</w:t>
      </w:r>
      <w:r w:rsidR="00C6674E"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 xml:space="preserve"> provides that a CSP is not required to comply with the notification provisions set out in section 2</w:t>
      </w:r>
      <w:r w:rsidR="00505B47">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if the CSP:</w:t>
      </w:r>
    </w:p>
    <w:p w14:paraId="5B79B515" w14:textId="11CF5E82" w:rsidR="00423910" w:rsidRPr="003F1DDB" w:rsidRDefault="00423910" w:rsidP="00423910">
      <w:pPr>
        <w:numPr>
          <w:ilvl w:val="0"/>
          <w:numId w:val="32"/>
        </w:num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publi</w:t>
      </w:r>
      <w:r w:rsidR="00665A9F" w:rsidRPr="003F1DDB">
        <w:rPr>
          <w:rFonts w:ascii="Times New Roman" w:eastAsia="Times New Roman" w:hAnsi="Times New Roman" w:cs="Times New Roman"/>
          <w:lang w:eastAsia="en-AU"/>
        </w:rPr>
        <w:t>shes</w:t>
      </w:r>
      <w:r w:rsidRPr="003F1DDB">
        <w:rPr>
          <w:rFonts w:ascii="Times New Roman" w:eastAsia="Times New Roman" w:hAnsi="Times New Roman" w:cs="Times New Roman"/>
          <w:lang w:eastAsia="en-AU"/>
        </w:rPr>
        <w:t xml:space="preserve"> a notice as set out in subsection 2</w:t>
      </w:r>
      <w:r w:rsidR="00C6674E"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 xml:space="preserve">(1) </w:t>
      </w:r>
      <w:r w:rsidR="00754ADD" w:rsidRPr="003F1DDB">
        <w:rPr>
          <w:rFonts w:ascii="Times New Roman" w:eastAsia="Times New Roman" w:hAnsi="Times New Roman" w:cs="Times New Roman"/>
          <w:lang w:eastAsia="en-AU"/>
        </w:rPr>
        <w:t xml:space="preserve">(the notice) </w:t>
      </w:r>
      <w:r w:rsidRPr="003F1DDB">
        <w:rPr>
          <w:rFonts w:ascii="Times New Roman" w:eastAsia="Times New Roman" w:hAnsi="Times New Roman" w:cs="Times New Roman"/>
          <w:lang w:eastAsia="en-AU"/>
        </w:rPr>
        <w:t xml:space="preserve">no later than 9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days after the first day on which the exemption becomes available to the CSP;</w:t>
      </w:r>
    </w:p>
    <w:p w14:paraId="6724C75C" w14:textId="69470E50" w:rsidR="00423910" w:rsidRPr="003F1DDB" w:rsidRDefault="00423910" w:rsidP="00423910">
      <w:pPr>
        <w:numPr>
          <w:ilvl w:val="0"/>
          <w:numId w:val="32"/>
        </w:num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provides the ACMA and the TIO with a copy of the notice and details of the telephone numbers of customers to whom the exemption relates within 8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 xml:space="preserve">days after the first day on which the exemption becomes available to the CSP; </w:t>
      </w:r>
    </w:p>
    <w:p w14:paraId="0901015F" w14:textId="13152EED" w:rsidR="00423910" w:rsidRPr="003F1DDB" w:rsidRDefault="00423910" w:rsidP="00423910">
      <w:pPr>
        <w:numPr>
          <w:ilvl w:val="0"/>
          <w:numId w:val="32"/>
        </w:num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provides on the internet, the information that is to be published in the notice within 8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days after the first day on which the exemption becomes available to the CSP; and</w:t>
      </w:r>
    </w:p>
    <w:p w14:paraId="069E510A" w14:textId="0104A435" w:rsidR="00423910" w:rsidRPr="003F1DDB" w:rsidRDefault="00423910" w:rsidP="00423910">
      <w:pPr>
        <w:numPr>
          <w:ilvl w:val="0"/>
          <w:numId w:val="32"/>
        </w:num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lastRenderedPageBreak/>
        <w:t xml:space="preserve">provides each of its resellers (with customers likely to be affected), a copy of the notice within 9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 xml:space="preserve">days after the first day on which the exemption becomes available to the CSP. </w:t>
      </w:r>
    </w:p>
    <w:p w14:paraId="0297909A" w14:textId="7529D372"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C6674E"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(2) provides that a reseller may comply with the general notice provisions of section 2</w:t>
      </w:r>
      <w:r w:rsidR="00C6674E"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 xml:space="preserve"> by publishing a notice, advising the ACMA and the TIO of the reliance upon the exemption and </w:t>
      </w:r>
      <w:r w:rsidR="004977FE" w:rsidRPr="003F1DDB">
        <w:rPr>
          <w:rFonts w:ascii="Times New Roman" w:eastAsia="Times New Roman" w:hAnsi="Times New Roman" w:cs="Times New Roman"/>
          <w:lang w:eastAsia="en-AU"/>
        </w:rPr>
        <w:t xml:space="preserve">publishing </w:t>
      </w:r>
      <w:r w:rsidRPr="003F1DDB">
        <w:rPr>
          <w:rFonts w:ascii="Times New Roman" w:eastAsia="Times New Roman" w:hAnsi="Times New Roman" w:cs="Times New Roman"/>
          <w:lang w:eastAsia="en-AU"/>
        </w:rPr>
        <w:t xml:space="preserve">the notice </w:t>
      </w:r>
      <w:r w:rsidR="004977FE" w:rsidRPr="003F1DDB">
        <w:rPr>
          <w:rFonts w:ascii="Times New Roman" w:eastAsia="Times New Roman" w:hAnsi="Times New Roman" w:cs="Times New Roman"/>
          <w:lang w:eastAsia="en-AU"/>
        </w:rPr>
        <w:t xml:space="preserve">information </w:t>
      </w:r>
      <w:r w:rsidRPr="003F1DDB">
        <w:rPr>
          <w:rFonts w:ascii="Times New Roman" w:eastAsia="Times New Roman" w:hAnsi="Times New Roman" w:cs="Times New Roman"/>
          <w:lang w:eastAsia="en-AU"/>
        </w:rPr>
        <w:t xml:space="preserve">on the internet within 2 </w:t>
      </w:r>
      <w:r w:rsidR="00E505FE"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 xml:space="preserve">days of receiving the notice from its supplier. This provision is intended to give resellers additional time to assess their potential liability and claim an exemption from the CSG performance standards in circumstances where a supplier (which supplies services to the reseller on a resale basis) has claimed an exemption. </w:t>
      </w:r>
    </w:p>
    <w:p w14:paraId="0B931E9E" w14:textId="2C7E3C4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C6674E"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(3) requires that, where a CSP becomes aware that the information provided to the ACMA and the TIO is no longer current or is otherwise inaccurate, the CSP must provide revised information to the ACMA and the TIO, give revised information to its affected resellers and provide on the internet the information that is contained in the revised notice.</w:t>
      </w:r>
    </w:p>
    <w:p w14:paraId="7498792A" w14:textId="55F8FF09"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2</w:t>
      </w:r>
      <w:r w:rsidR="00C6674E" w:rsidRPr="003F1DDB">
        <w:rPr>
          <w:rFonts w:ascii="Times New Roman" w:eastAsia="Times New Roman" w:hAnsi="Times New Roman" w:cs="Times New Roman"/>
          <w:b/>
          <w:lang w:eastAsia="en-AU"/>
        </w:rPr>
        <w:t>8</w:t>
      </w:r>
      <w:r w:rsidRPr="003F1DDB">
        <w:rPr>
          <w:rFonts w:ascii="Times New Roman" w:eastAsia="Times New Roman" w:hAnsi="Times New Roman" w:cs="Times New Roman"/>
          <w:b/>
          <w:lang w:eastAsia="en-AU"/>
        </w:rPr>
        <w:t xml:space="preserve"> – Public notification</w:t>
      </w:r>
    </w:p>
    <w:p w14:paraId="186D4080" w14:textId="6ED5100B"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The intention of this provision is to ensure that the notice (as set out in </w:t>
      </w:r>
      <w:r w:rsidR="00C76E6B" w:rsidRPr="003F1DDB">
        <w:rPr>
          <w:rFonts w:ascii="Times New Roman" w:eastAsia="Times New Roman" w:hAnsi="Times New Roman" w:cs="Times New Roman"/>
          <w:lang w:eastAsia="en-AU"/>
        </w:rPr>
        <w:t>paragraph</w:t>
      </w:r>
      <w:r w:rsidRPr="003F1DDB">
        <w:rPr>
          <w:rFonts w:ascii="Times New Roman" w:eastAsia="Times New Roman" w:hAnsi="Times New Roman" w:cs="Times New Roman"/>
          <w:lang w:eastAsia="en-AU"/>
        </w:rPr>
        <w:t xml:space="preserve"> 2</w:t>
      </w:r>
      <w:r w:rsidR="00C76E6B"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(1)</w:t>
      </w:r>
      <w:r w:rsidR="00C76E6B" w:rsidRPr="003F1DDB">
        <w:rPr>
          <w:rFonts w:ascii="Times New Roman" w:eastAsia="Times New Roman" w:hAnsi="Times New Roman" w:cs="Times New Roman"/>
          <w:lang w:eastAsia="en-AU"/>
        </w:rPr>
        <w:t>(a)</w:t>
      </w:r>
      <w:r w:rsidRPr="003F1DDB">
        <w:rPr>
          <w:rFonts w:ascii="Times New Roman" w:eastAsia="Times New Roman" w:hAnsi="Times New Roman" w:cs="Times New Roman"/>
          <w:lang w:eastAsia="en-AU"/>
        </w:rPr>
        <w:t xml:space="preserve">) is published </w:t>
      </w:r>
      <w:r w:rsidR="00C6674E" w:rsidRPr="003F1DDB">
        <w:rPr>
          <w:rFonts w:ascii="Times New Roman" w:eastAsia="Times New Roman" w:hAnsi="Times New Roman" w:cs="Times New Roman"/>
          <w:lang w:eastAsia="en-AU"/>
        </w:rPr>
        <w:t>on the carriage service provider’s website that is</w:t>
      </w:r>
      <w:r w:rsidRPr="003F1DDB">
        <w:rPr>
          <w:rFonts w:ascii="Times New Roman" w:eastAsia="Times New Roman" w:hAnsi="Times New Roman" w:cs="Times New Roman"/>
          <w:lang w:eastAsia="en-AU"/>
        </w:rPr>
        <w:t xml:space="preserve"> easily accessible to the customer and that the notice contains sufficient information to inform the affected customer of the circumstances surrounding, and the details of, the exemption claimed.</w:t>
      </w:r>
    </w:p>
    <w:p w14:paraId="32503083" w14:textId="3F0592B9"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2</w:t>
      </w:r>
      <w:r w:rsidR="00C6674E"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 xml:space="preserve"> applies where a CSP is relying upon the general notice provisions set out in section 2</w:t>
      </w:r>
      <w:r w:rsidR="00C6674E" w:rsidRPr="003F1DDB">
        <w:rPr>
          <w:rFonts w:ascii="Times New Roman" w:eastAsia="Times New Roman" w:hAnsi="Times New Roman" w:cs="Times New Roman"/>
          <w:lang w:eastAsia="en-AU"/>
        </w:rPr>
        <w:t>7</w:t>
      </w:r>
      <w:r w:rsidRPr="003F1DDB">
        <w:rPr>
          <w:rFonts w:ascii="Times New Roman" w:eastAsia="Times New Roman" w:hAnsi="Times New Roman" w:cs="Times New Roman"/>
          <w:lang w:eastAsia="en-AU"/>
        </w:rPr>
        <w:t xml:space="preserve"> and is publishing a notice.</w:t>
      </w:r>
    </w:p>
    <w:p w14:paraId="4961EC67" w14:textId="68FA7FA6"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C6674E"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 xml:space="preserve">(1) provides that the notice must be published </w:t>
      </w:r>
      <w:r w:rsidR="00C6674E" w:rsidRPr="003F1DDB">
        <w:rPr>
          <w:rFonts w:ascii="Times New Roman" w:eastAsia="Times New Roman" w:hAnsi="Times New Roman" w:cs="Times New Roman"/>
          <w:lang w:eastAsia="en-AU"/>
        </w:rPr>
        <w:t>on the carriage service provider’s website that is accessible by each of its customer</w:t>
      </w:r>
      <w:r w:rsidR="00AD7D8A" w:rsidRPr="003F1DDB">
        <w:rPr>
          <w:rFonts w:ascii="Times New Roman" w:eastAsia="Times New Roman" w:hAnsi="Times New Roman" w:cs="Times New Roman"/>
          <w:lang w:eastAsia="en-AU"/>
        </w:rPr>
        <w:t>s</w:t>
      </w:r>
      <w:r w:rsidRPr="003F1DDB">
        <w:rPr>
          <w:rFonts w:ascii="Times New Roman" w:eastAsia="Times New Roman" w:hAnsi="Times New Roman" w:cs="Times New Roman"/>
          <w:lang w:eastAsia="en-AU"/>
        </w:rPr>
        <w:t>.</w:t>
      </w:r>
    </w:p>
    <w:p w14:paraId="4CB70AF3" w14:textId="06CEB182"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AD7D8A"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(2) provides that the notice must contain the same information provided in a notice under section 2</w:t>
      </w:r>
      <w:r w:rsidR="00AD7D8A"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as well as details of the specific services and ranges of telephone numbers to which the exemption relates, the approximate number of affected services, location information and details of how a customer may contact the CSP in relation to the exemption claimed.</w:t>
      </w:r>
    </w:p>
    <w:p w14:paraId="252BFCD2" w14:textId="5252453B"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2</w:t>
      </w:r>
      <w:r w:rsidR="00AD7D8A"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(3) provides that each notice must be given a unique identifier and subsection 2</w:t>
      </w:r>
      <w:r w:rsidR="00AD7D8A" w:rsidRPr="003F1DDB">
        <w:rPr>
          <w:rFonts w:ascii="Times New Roman" w:eastAsia="Times New Roman" w:hAnsi="Times New Roman" w:cs="Times New Roman"/>
          <w:lang w:eastAsia="en-AU"/>
        </w:rPr>
        <w:t>8</w:t>
      </w:r>
      <w:r w:rsidRPr="003F1DDB">
        <w:rPr>
          <w:rFonts w:ascii="Times New Roman" w:eastAsia="Times New Roman" w:hAnsi="Times New Roman" w:cs="Times New Roman"/>
          <w:lang w:eastAsia="en-AU"/>
        </w:rPr>
        <w:t>(4) provides that a CSP must provide a customer with a copy of a notice under this section on request.</w:t>
      </w:r>
    </w:p>
    <w:p w14:paraId="55DD17A0" w14:textId="53FF43B1"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2</w:t>
      </w:r>
      <w:r w:rsidR="00AD7D8A" w:rsidRPr="003F1DDB">
        <w:rPr>
          <w:rFonts w:ascii="Times New Roman" w:eastAsia="Times New Roman" w:hAnsi="Times New Roman" w:cs="Times New Roman"/>
          <w:b/>
          <w:lang w:eastAsia="en-AU"/>
        </w:rPr>
        <w:t>9</w:t>
      </w:r>
      <w:r w:rsidRPr="003F1DDB">
        <w:rPr>
          <w:rFonts w:ascii="Times New Roman" w:eastAsia="Times New Roman" w:hAnsi="Times New Roman" w:cs="Times New Roman"/>
          <w:b/>
          <w:lang w:eastAsia="en-AU"/>
        </w:rPr>
        <w:t xml:space="preserve"> – Cessation of exemptions</w:t>
      </w:r>
    </w:p>
    <w:p w14:paraId="1DE02800" w14:textId="0554836F"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2</w:t>
      </w:r>
      <w:r w:rsidR="00AD7D8A" w:rsidRPr="003F1DDB">
        <w:rPr>
          <w:rFonts w:ascii="Times New Roman" w:eastAsia="Times New Roman" w:hAnsi="Times New Roman" w:cs="Times New Roman"/>
          <w:lang w:eastAsia="en-AU"/>
        </w:rPr>
        <w:t>9</w:t>
      </w:r>
      <w:r w:rsidRPr="003F1DDB">
        <w:rPr>
          <w:rFonts w:ascii="Times New Roman" w:eastAsia="Times New Roman" w:hAnsi="Times New Roman" w:cs="Times New Roman"/>
          <w:lang w:eastAsia="en-AU"/>
        </w:rPr>
        <w:t xml:space="preserve"> provides</w:t>
      </w:r>
      <w:r w:rsidR="003B5B53">
        <w:rPr>
          <w:rFonts w:ascii="Times New Roman" w:eastAsia="Times New Roman" w:hAnsi="Times New Roman" w:cs="Times New Roman"/>
          <w:lang w:eastAsia="en-AU"/>
        </w:rPr>
        <w:t>, in effect,</w:t>
      </w:r>
      <w:r w:rsidRPr="003F1DDB">
        <w:rPr>
          <w:rFonts w:ascii="Times New Roman" w:eastAsia="Times New Roman" w:hAnsi="Times New Roman" w:cs="Times New Roman"/>
          <w:lang w:eastAsia="en-AU"/>
        </w:rPr>
        <w:t xml:space="preserve"> that where the circumstances giving rise to the availability of an exemption cease to exist, the exemption will cease to exist.</w:t>
      </w:r>
    </w:p>
    <w:p w14:paraId="1B3A4FFA" w14:textId="21812DB0" w:rsidR="00423910" w:rsidRPr="003F1DDB" w:rsidRDefault="00423910" w:rsidP="00205030">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AD7D8A" w:rsidRPr="003F1DDB">
        <w:rPr>
          <w:rFonts w:ascii="Times New Roman" w:eastAsia="Times New Roman" w:hAnsi="Times New Roman" w:cs="Times New Roman"/>
          <w:b/>
          <w:lang w:eastAsia="en-AU"/>
        </w:rPr>
        <w:t>30</w:t>
      </w:r>
      <w:r w:rsidRPr="003F1DDB">
        <w:rPr>
          <w:rFonts w:ascii="Times New Roman" w:eastAsia="Times New Roman" w:hAnsi="Times New Roman" w:cs="Times New Roman"/>
          <w:b/>
          <w:lang w:eastAsia="en-AU"/>
        </w:rPr>
        <w:t xml:space="preserve"> – Review of circumstances of certain exemptions</w:t>
      </w:r>
    </w:p>
    <w:p w14:paraId="271AFB92" w14:textId="08A3530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AD7D8A" w:rsidRPr="003F1DDB">
        <w:rPr>
          <w:rFonts w:ascii="Times New Roman" w:eastAsia="Times New Roman" w:hAnsi="Times New Roman" w:cs="Times New Roman"/>
          <w:lang w:eastAsia="en-AU"/>
        </w:rPr>
        <w:t>30</w:t>
      </w:r>
      <w:r w:rsidRPr="003F1DDB">
        <w:rPr>
          <w:rFonts w:ascii="Times New Roman" w:eastAsia="Times New Roman" w:hAnsi="Times New Roman" w:cs="Times New Roman"/>
          <w:lang w:eastAsia="en-AU"/>
        </w:rPr>
        <w:t xml:space="preserve"> provides that, where a CSP is relying upon an exemption due to circumstances beyond the CSP</w:t>
      </w:r>
      <w:r w:rsidR="003B5B53">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s control (as provided for in section 2</w:t>
      </w:r>
      <w:r w:rsidR="00AD7D8A" w:rsidRPr="003F1DDB">
        <w:rPr>
          <w:rFonts w:ascii="Times New Roman" w:eastAsia="Times New Roman" w:hAnsi="Times New Roman" w:cs="Times New Roman"/>
          <w:lang w:eastAsia="en-AU"/>
        </w:rPr>
        <w:t>4</w:t>
      </w:r>
      <w:r w:rsidRPr="003F1DDB">
        <w:rPr>
          <w:rFonts w:ascii="Times New Roman" w:eastAsia="Times New Roman" w:hAnsi="Times New Roman" w:cs="Times New Roman"/>
          <w:lang w:eastAsia="en-AU"/>
        </w:rPr>
        <w:t>), the CSP must review the grounds for the exemption as regularly as practicable, to ensure that the estimated duration of the exemption is no longer than is necessary.</w:t>
      </w:r>
    </w:p>
    <w:p w14:paraId="7E20855F" w14:textId="2907859D" w:rsidR="00423910" w:rsidRPr="003F1DDB" w:rsidRDefault="00423910" w:rsidP="001078DA">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AD7D8A" w:rsidRPr="003F1DDB">
        <w:rPr>
          <w:rFonts w:ascii="Times New Roman" w:eastAsia="Times New Roman" w:hAnsi="Times New Roman" w:cs="Times New Roman"/>
          <w:b/>
          <w:lang w:eastAsia="en-AU"/>
        </w:rPr>
        <w:t>31</w:t>
      </w:r>
      <w:r w:rsidRPr="003F1DDB">
        <w:rPr>
          <w:rFonts w:ascii="Times New Roman" w:eastAsia="Times New Roman" w:hAnsi="Times New Roman" w:cs="Times New Roman"/>
          <w:b/>
          <w:lang w:eastAsia="en-AU"/>
        </w:rPr>
        <w:t xml:space="preserve"> – Temporary exemptions</w:t>
      </w:r>
    </w:p>
    <w:p w14:paraId="41A06ED2" w14:textId="7AAB4AF3"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 xml:space="preserve"> provides for certain CSPs to apply for, and for the ACMA to grant, temporary exemptions from compliance with the CSG Standard. The intent of this section is to mitigate the possible negative impacts, for both industry members and consumers, of a general application of the performance standards preventing new CSPs entering the market for CSG services. </w:t>
      </w:r>
    </w:p>
    <w:p w14:paraId="167BA312" w14:textId="4A1F996A"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(2) sets out th</w:t>
      </w:r>
      <w:r w:rsidR="002D25C1" w:rsidRPr="003F1DDB">
        <w:rPr>
          <w:rFonts w:ascii="Times New Roman" w:eastAsia="Times New Roman" w:hAnsi="Times New Roman" w:cs="Times New Roman"/>
          <w:lang w:eastAsia="en-AU"/>
        </w:rPr>
        <w:t xml:space="preserve">e requirements </w:t>
      </w:r>
      <w:r w:rsidR="00B32F58" w:rsidRPr="003F1DDB">
        <w:rPr>
          <w:rFonts w:ascii="Times New Roman" w:eastAsia="Times New Roman" w:hAnsi="Times New Roman" w:cs="Times New Roman"/>
          <w:lang w:eastAsia="en-AU"/>
        </w:rPr>
        <w:t xml:space="preserve">for an application for a </w:t>
      </w:r>
      <w:r w:rsidRPr="003F1DDB">
        <w:rPr>
          <w:rFonts w:ascii="Times New Roman" w:eastAsia="Times New Roman" w:hAnsi="Times New Roman" w:cs="Times New Roman"/>
          <w:lang w:eastAsia="en-AU"/>
        </w:rPr>
        <w:t>temporary exemption.</w:t>
      </w:r>
    </w:p>
    <w:p w14:paraId="46AEB78B" w14:textId="710B6789"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lastRenderedPageBreak/>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(3) provides that the ACMA may only grant a temporary exemption from the CSG Standard where it is satisfied that: the CSP is not the primary universal service provider; the CSP only has a small share of the market in the geographic area for which the exemption is sought; and the proposed exemption is likely to result in a net benefit to the end-users in the geographic area for which the exemption is sought.</w:t>
      </w:r>
    </w:p>
    <w:p w14:paraId="7CDFA97C" w14:textId="6A794B3C"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(4) sets out the matters that the ACMA must consider in determining whether there is a net benefit to end-users to be derived from the proposed exemption.</w:t>
      </w:r>
    </w:p>
    <w:p w14:paraId="6A0B0407" w14:textId="0F9AE531"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(5) sets out that a temporary exemption must be in writing, must describe the geographic area for which it is granted and the period for which it is granted (no longer than 5 years)</w:t>
      </w:r>
      <w:r w:rsidR="007E465F">
        <w:rPr>
          <w:rFonts w:ascii="Times New Roman" w:eastAsia="Times New Roman" w:hAnsi="Times New Roman" w:cs="Times New Roman"/>
          <w:lang w:eastAsia="en-AU"/>
        </w:rPr>
        <w:t xml:space="preserve">; may be subject to conditions; and must </w:t>
      </w:r>
      <w:r w:rsidR="00C13816">
        <w:rPr>
          <w:rFonts w:ascii="Times New Roman" w:eastAsia="Times New Roman" w:hAnsi="Times New Roman" w:cs="Times New Roman"/>
          <w:lang w:eastAsia="en-AU"/>
        </w:rPr>
        <w:t>be subject to a condition requiring compliance with subsection 31(8)</w:t>
      </w:r>
      <w:r w:rsidRPr="003F1DDB">
        <w:rPr>
          <w:rFonts w:ascii="Times New Roman" w:eastAsia="Times New Roman" w:hAnsi="Times New Roman" w:cs="Times New Roman"/>
          <w:lang w:eastAsia="en-AU"/>
        </w:rPr>
        <w:t>.</w:t>
      </w:r>
    </w:p>
    <w:p w14:paraId="658092BD" w14:textId="4113ED68"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(6) provides that the period for which the exemption is granted by the ACMA may differ from that specified in the application.</w:t>
      </w:r>
    </w:p>
    <w:p w14:paraId="238FE4B2" w14:textId="7FBD6C13"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(7) provides that a temporary exemption takes effect on the later date of either the time of the grant or a date specified in the grant and does not affect rights, obligations and liabilities that arose before the exemption took effect.</w:t>
      </w:r>
    </w:p>
    <w:p w14:paraId="18AE040C" w14:textId="0C9379E4"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 xml:space="preserve">(8) provides that a CSP that has been granted a temporary exemption must notify the </w:t>
      </w:r>
      <w:r w:rsidR="00D0225B">
        <w:rPr>
          <w:rFonts w:ascii="Times New Roman" w:eastAsia="Times New Roman" w:hAnsi="Times New Roman" w:cs="Times New Roman"/>
          <w:lang w:eastAsia="en-AU"/>
        </w:rPr>
        <w:t xml:space="preserve">affected </w:t>
      </w:r>
      <w:r w:rsidRPr="003F1DDB">
        <w:rPr>
          <w:rFonts w:ascii="Times New Roman" w:eastAsia="Times New Roman" w:hAnsi="Times New Roman" w:cs="Times New Roman"/>
          <w:lang w:eastAsia="en-AU"/>
        </w:rPr>
        <w:t xml:space="preserve">customers </w:t>
      </w:r>
      <w:r w:rsidR="00D0225B">
        <w:rPr>
          <w:rFonts w:ascii="Times New Roman" w:eastAsia="Times New Roman" w:hAnsi="Times New Roman" w:cs="Times New Roman"/>
          <w:lang w:eastAsia="en-AU"/>
        </w:rPr>
        <w:t xml:space="preserve">and prospective customers </w:t>
      </w:r>
      <w:r w:rsidRPr="003F1DDB">
        <w:rPr>
          <w:rFonts w:ascii="Times New Roman" w:eastAsia="Times New Roman" w:hAnsi="Times New Roman" w:cs="Times New Roman"/>
          <w:lang w:eastAsia="en-AU"/>
        </w:rPr>
        <w:t xml:space="preserve">to whom it supplies </w:t>
      </w:r>
      <w:r w:rsidR="00F87B34">
        <w:rPr>
          <w:rFonts w:ascii="Times New Roman" w:eastAsia="Times New Roman" w:hAnsi="Times New Roman" w:cs="Times New Roman"/>
          <w:lang w:eastAsia="en-AU"/>
        </w:rPr>
        <w:t xml:space="preserve">or may supply </w:t>
      </w:r>
      <w:r w:rsidRPr="003F1DDB">
        <w:rPr>
          <w:rFonts w:ascii="Times New Roman" w:eastAsia="Times New Roman" w:hAnsi="Times New Roman" w:cs="Times New Roman"/>
          <w:lang w:eastAsia="en-AU"/>
        </w:rPr>
        <w:t>a CSG service with details of the exemption including the rights and protections foregone by the customer as a result of entering into a contract with the supplier, the period of the exemption and how the customer can get more details about the exemption.</w:t>
      </w:r>
    </w:p>
    <w:p w14:paraId="6F07E612" w14:textId="4CD08A6C"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 xml:space="preserve">(9) sets out how the information referred to in 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(8) must be provided.</w:t>
      </w:r>
    </w:p>
    <w:p w14:paraId="5F2837E8" w14:textId="21676E51"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 xml:space="preserve">(10) provides that the ACMA may renew a temporary exemption upon application from the CSP for a further period of </w:t>
      </w:r>
      <w:r w:rsidR="002702F0" w:rsidRPr="003F1DDB">
        <w:rPr>
          <w:rFonts w:ascii="Times New Roman" w:eastAsia="Times New Roman" w:hAnsi="Times New Roman" w:cs="Times New Roman"/>
          <w:lang w:eastAsia="en-AU"/>
        </w:rPr>
        <w:t xml:space="preserve">up to </w:t>
      </w:r>
      <w:r w:rsidRPr="003F1DDB">
        <w:rPr>
          <w:rFonts w:ascii="Times New Roman" w:eastAsia="Times New Roman" w:hAnsi="Times New Roman" w:cs="Times New Roman"/>
          <w:lang w:eastAsia="en-AU"/>
        </w:rPr>
        <w:t>5 years.</w:t>
      </w:r>
    </w:p>
    <w:p w14:paraId="7E281E9C" w14:textId="18BAFB84" w:rsidR="00423910" w:rsidRPr="003F1DDB" w:rsidRDefault="00423910" w:rsidP="001078D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AD7D8A"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 xml:space="preserve">(11) </w:t>
      </w:r>
      <w:r w:rsidR="00F87B34">
        <w:rPr>
          <w:rFonts w:ascii="Times New Roman" w:eastAsia="Times New Roman" w:hAnsi="Times New Roman" w:cs="Times New Roman"/>
          <w:lang w:eastAsia="en-AU"/>
        </w:rPr>
        <w:t>has the effect</w:t>
      </w:r>
      <w:r w:rsidRPr="003F1DDB">
        <w:rPr>
          <w:rFonts w:ascii="Times New Roman" w:eastAsia="Times New Roman" w:hAnsi="Times New Roman" w:cs="Times New Roman"/>
          <w:lang w:eastAsia="en-AU"/>
        </w:rPr>
        <w:t xml:space="preserve"> that, in considering an application for an extension of a temporary exemption, the ACMA must take into account the same factors as it did in its consideration of the grant of the original temporary exemption.</w:t>
      </w:r>
    </w:p>
    <w:p w14:paraId="6D0651D4" w14:textId="6DD24F5C" w:rsidR="007B7C25" w:rsidRPr="003F1DDB" w:rsidRDefault="007B7C25" w:rsidP="00C7054B">
      <w:pPr>
        <w:spacing w:line="240" w:lineRule="auto"/>
        <w:rPr>
          <w:rFonts w:ascii="Times New Roman" w:eastAsia="Times New Roman" w:hAnsi="Times New Roman" w:cs="Times New Roman"/>
          <w:i/>
          <w:iCs/>
          <w:lang w:eastAsia="en-AU"/>
        </w:rPr>
      </w:pPr>
      <w:r w:rsidRPr="003F1DDB">
        <w:rPr>
          <w:rFonts w:ascii="Times New Roman" w:eastAsia="Times New Roman" w:hAnsi="Times New Roman" w:cs="Times New Roman"/>
          <w:i/>
          <w:iCs/>
          <w:lang w:eastAsia="en-AU"/>
        </w:rPr>
        <w:t>Reconsideration of refusal</w:t>
      </w:r>
    </w:p>
    <w:p w14:paraId="4FABF0FC" w14:textId="701E97C8" w:rsidR="007B7C25" w:rsidRPr="003F1DDB" w:rsidRDefault="007B7C25" w:rsidP="00C7054B">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C255C1"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12</w:t>
      </w:r>
      <w:r w:rsidR="00C255C1"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introduces a mechanism for a carriage service provider to apply in writing for the ACMA to reconsider a decision to refuse to grant an exemption under subsection (</w:t>
      </w:r>
      <w:r w:rsidR="00F87B34">
        <w:rPr>
          <w:rFonts w:ascii="Times New Roman" w:eastAsia="Times New Roman" w:hAnsi="Times New Roman" w:cs="Times New Roman"/>
          <w:lang w:eastAsia="en-AU"/>
        </w:rPr>
        <w:t>1</w:t>
      </w:r>
      <w:r w:rsidRPr="003F1DDB">
        <w:rPr>
          <w:rFonts w:ascii="Times New Roman" w:eastAsia="Times New Roman" w:hAnsi="Times New Roman" w:cs="Times New Roman"/>
          <w:lang w:eastAsia="en-AU"/>
        </w:rPr>
        <w:t xml:space="preserve">) or to </w:t>
      </w:r>
      <w:r w:rsidR="00C255C1" w:rsidRPr="003F1DDB">
        <w:rPr>
          <w:rFonts w:ascii="Times New Roman" w:eastAsia="Times New Roman" w:hAnsi="Times New Roman" w:cs="Times New Roman"/>
          <w:lang w:eastAsia="en-AU"/>
        </w:rPr>
        <w:t xml:space="preserve">refuse to </w:t>
      </w:r>
      <w:r w:rsidRPr="003F1DDB">
        <w:rPr>
          <w:rFonts w:ascii="Times New Roman" w:eastAsia="Times New Roman" w:hAnsi="Times New Roman" w:cs="Times New Roman"/>
          <w:lang w:eastAsia="en-AU"/>
        </w:rPr>
        <w:t>renew an exemption under subsection (10).</w:t>
      </w:r>
    </w:p>
    <w:p w14:paraId="5C1230C9" w14:textId="2A0629BD" w:rsidR="007B7C25" w:rsidRPr="003F1DDB" w:rsidRDefault="007B7C25" w:rsidP="00C7054B">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C255C1"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13</w:t>
      </w:r>
      <w:r w:rsidR="000F67D2" w:rsidRPr="003F1DDB">
        <w:rPr>
          <w:rFonts w:ascii="Times New Roman" w:eastAsia="Times New Roman" w:hAnsi="Times New Roman" w:cs="Times New Roman"/>
          <w:lang w:eastAsia="en-AU"/>
        </w:rPr>
        <w:t>)</w:t>
      </w:r>
      <w:r w:rsidR="00E14EB4" w:rsidRPr="003F1DDB">
        <w:rPr>
          <w:rFonts w:ascii="Times New Roman" w:eastAsia="Times New Roman" w:hAnsi="Times New Roman" w:cs="Times New Roman"/>
          <w:lang w:eastAsia="en-AU"/>
        </w:rPr>
        <w:t xml:space="preserve"> sets out the form and timing requirements for a request under subsection (12).</w:t>
      </w:r>
    </w:p>
    <w:p w14:paraId="17A36084" w14:textId="63FBD72B" w:rsidR="00E14EB4" w:rsidRPr="003F1DDB" w:rsidRDefault="00D01DF2" w:rsidP="00C7054B">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Where an application is made under subsection 31(</w:t>
      </w:r>
      <w:r w:rsidR="0014655D" w:rsidRPr="003F1DDB">
        <w:rPr>
          <w:rFonts w:ascii="Times New Roman" w:eastAsia="Times New Roman" w:hAnsi="Times New Roman" w:cs="Times New Roman"/>
          <w:lang w:eastAsia="en-AU"/>
        </w:rPr>
        <w:t>13), s</w:t>
      </w:r>
      <w:r w:rsidR="00E14EB4" w:rsidRPr="003F1DDB">
        <w:rPr>
          <w:rFonts w:ascii="Times New Roman" w:eastAsia="Times New Roman" w:hAnsi="Times New Roman" w:cs="Times New Roman"/>
          <w:lang w:eastAsia="en-AU"/>
        </w:rPr>
        <w:t xml:space="preserve">ubsection </w:t>
      </w:r>
      <w:r w:rsidR="000F67D2" w:rsidRPr="003F1DDB">
        <w:rPr>
          <w:rFonts w:ascii="Times New Roman" w:eastAsia="Times New Roman" w:hAnsi="Times New Roman" w:cs="Times New Roman"/>
          <w:lang w:eastAsia="en-AU"/>
        </w:rPr>
        <w:t>31(</w:t>
      </w:r>
      <w:r w:rsidR="00E14EB4" w:rsidRPr="003F1DDB">
        <w:rPr>
          <w:rFonts w:ascii="Times New Roman" w:eastAsia="Times New Roman" w:hAnsi="Times New Roman" w:cs="Times New Roman"/>
          <w:lang w:eastAsia="en-AU"/>
        </w:rPr>
        <w:t>14</w:t>
      </w:r>
      <w:r w:rsidR="000F67D2" w:rsidRPr="003F1DDB">
        <w:rPr>
          <w:rFonts w:ascii="Times New Roman" w:eastAsia="Times New Roman" w:hAnsi="Times New Roman" w:cs="Times New Roman"/>
          <w:lang w:eastAsia="en-AU"/>
        </w:rPr>
        <w:t>)</w:t>
      </w:r>
      <w:r w:rsidR="00E14EB4" w:rsidRPr="003F1DDB">
        <w:rPr>
          <w:rFonts w:ascii="Times New Roman" w:eastAsia="Times New Roman" w:hAnsi="Times New Roman" w:cs="Times New Roman"/>
          <w:lang w:eastAsia="en-AU"/>
        </w:rPr>
        <w:t xml:space="preserve"> </w:t>
      </w:r>
      <w:r w:rsidR="000F67D2" w:rsidRPr="003F1DDB">
        <w:rPr>
          <w:rFonts w:ascii="Times New Roman" w:eastAsia="Times New Roman" w:hAnsi="Times New Roman" w:cs="Times New Roman"/>
          <w:lang w:eastAsia="en-AU"/>
        </w:rPr>
        <w:t xml:space="preserve">requires </w:t>
      </w:r>
      <w:r w:rsidR="00E14EB4" w:rsidRPr="003F1DDB">
        <w:rPr>
          <w:rFonts w:ascii="Times New Roman" w:eastAsia="Times New Roman" w:hAnsi="Times New Roman" w:cs="Times New Roman"/>
          <w:lang w:eastAsia="en-AU"/>
        </w:rPr>
        <w:t xml:space="preserve">the ACMA to reconsider </w:t>
      </w:r>
      <w:r w:rsidR="0014655D" w:rsidRPr="003F1DDB">
        <w:rPr>
          <w:rFonts w:ascii="Times New Roman" w:eastAsia="Times New Roman" w:hAnsi="Times New Roman" w:cs="Times New Roman"/>
          <w:lang w:eastAsia="en-AU"/>
        </w:rPr>
        <w:t xml:space="preserve">the original decision </w:t>
      </w:r>
      <w:r w:rsidR="0081150A" w:rsidRPr="003F1DDB">
        <w:rPr>
          <w:rFonts w:ascii="Times New Roman" w:eastAsia="Times New Roman" w:hAnsi="Times New Roman" w:cs="Times New Roman"/>
          <w:lang w:eastAsia="en-AU"/>
        </w:rPr>
        <w:t xml:space="preserve">within </w:t>
      </w:r>
      <w:r w:rsidRPr="003F1DDB">
        <w:rPr>
          <w:rFonts w:ascii="Times New Roman" w:eastAsia="Times New Roman" w:hAnsi="Times New Roman" w:cs="Times New Roman"/>
          <w:lang w:eastAsia="en-AU"/>
        </w:rPr>
        <w:t>90 days</w:t>
      </w:r>
      <w:r w:rsidR="00E63703" w:rsidRPr="003F1DDB">
        <w:rPr>
          <w:rFonts w:ascii="Times New Roman" w:eastAsia="Times New Roman" w:hAnsi="Times New Roman" w:cs="Times New Roman"/>
          <w:lang w:eastAsia="en-AU"/>
        </w:rPr>
        <w:t xml:space="preserve"> and </w:t>
      </w:r>
      <w:r w:rsidR="00E14EB4" w:rsidRPr="003F1DDB">
        <w:rPr>
          <w:rFonts w:ascii="Times New Roman" w:eastAsia="Times New Roman" w:hAnsi="Times New Roman" w:cs="Times New Roman"/>
          <w:lang w:eastAsia="en-AU"/>
        </w:rPr>
        <w:t xml:space="preserve">either affirm </w:t>
      </w:r>
      <w:r w:rsidR="00C5087B" w:rsidRPr="003F1DDB">
        <w:rPr>
          <w:rFonts w:ascii="Times New Roman" w:eastAsia="Times New Roman" w:hAnsi="Times New Roman" w:cs="Times New Roman"/>
          <w:lang w:eastAsia="en-AU"/>
        </w:rPr>
        <w:t xml:space="preserve">the original decision, </w:t>
      </w:r>
      <w:r w:rsidR="00E14EB4" w:rsidRPr="003F1DDB">
        <w:rPr>
          <w:rFonts w:ascii="Times New Roman" w:eastAsia="Times New Roman" w:hAnsi="Times New Roman" w:cs="Times New Roman"/>
          <w:lang w:eastAsia="en-AU"/>
        </w:rPr>
        <w:t xml:space="preserve">or revoke the original decision </w:t>
      </w:r>
      <w:r w:rsidR="00C5087B" w:rsidRPr="003F1DDB">
        <w:rPr>
          <w:rFonts w:ascii="Times New Roman" w:eastAsia="Times New Roman" w:hAnsi="Times New Roman" w:cs="Times New Roman"/>
          <w:lang w:eastAsia="en-AU"/>
        </w:rPr>
        <w:t>and grant the exemption or renew th</w:t>
      </w:r>
      <w:r w:rsidR="002702F0" w:rsidRPr="003F1DDB">
        <w:rPr>
          <w:rFonts w:ascii="Times New Roman" w:eastAsia="Times New Roman" w:hAnsi="Times New Roman" w:cs="Times New Roman"/>
          <w:lang w:eastAsia="en-AU"/>
        </w:rPr>
        <w:t>e</w:t>
      </w:r>
      <w:r w:rsidR="00C5087B" w:rsidRPr="003F1DDB">
        <w:rPr>
          <w:rFonts w:ascii="Times New Roman" w:eastAsia="Times New Roman" w:hAnsi="Times New Roman" w:cs="Times New Roman"/>
          <w:lang w:eastAsia="en-AU"/>
        </w:rPr>
        <w:t xml:space="preserve"> exemption</w:t>
      </w:r>
      <w:r w:rsidR="00E14EB4" w:rsidRPr="003F1DDB">
        <w:rPr>
          <w:rFonts w:ascii="Times New Roman" w:eastAsia="Times New Roman" w:hAnsi="Times New Roman" w:cs="Times New Roman"/>
          <w:lang w:eastAsia="en-AU"/>
        </w:rPr>
        <w:t>.</w:t>
      </w:r>
    </w:p>
    <w:p w14:paraId="6DCAF29C" w14:textId="75661D0A" w:rsidR="00E14EB4" w:rsidRPr="003F1DDB" w:rsidRDefault="00E14EB4" w:rsidP="00C7054B">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C5087B"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15</w:t>
      </w:r>
      <w:r w:rsidR="00C5087B"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sets out the requirement for the ACMA to provide written notice to the </w:t>
      </w:r>
      <w:r w:rsidR="00C5087B" w:rsidRPr="003F1DDB">
        <w:rPr>
          <w:rFonts w:ascii="Times New Roman" w:eastAsia="Times New Roman" w:hAnsi="Times New Roman" w:cs="Times New Roman"/>
          <w:lang w:eastAsia="en-AU"/>
        </w:rPr>
        <w:t xml:space="preserve">CSP </w:t>
      </w:r>
      <w:r w:rsidRPr="003F1DDB">
        <w:rPr>
          <w:rFonts w:ascii="Times New Roman" w:eastAsia="Times New Roman" w:hAnsi="Times New Roman" w:cs="Times New Roman"/>
          <w:lang w:eastAsia="en-AU"/>
        </w:rPr>
        <w:t xml:space="preserve">of its decision under subsection (14) and, if its decision is to affirm the original decision, of the </w:t>
      </w:r>
      <w:r w:rsidR="00B762C5" w:rsidRPr="003F1DDB">
        <w:rPr>
          <w:rFonts w:ascii="Times New Roman" w:eastAsia="Times New Roman" w:hAnsi="Times New Roman" w:cs="Times New Roman"/>
          <w:lang w:eastAsia="en-AU"/>
        </w:rPr>
        <w:t>CSP</w:t>
      </w:r>
      <w:r w:rsidRPr="003F1DDB">
        <w:rPr>
          <w:rFonts w:ascii="Times New Roman" w:eastAsia="Times New Roman" w:hAnsi="Times New Roman" w:cs="Times New Roman"/>
          <w:lang w:eastAsia="en-AU"/>
        </w:rPr>
        <w:t xml:space="preserve">’s right to </w:t>
      </w:r>
      <w:r w:rsidR="00B762C5" w:rsidRPr="003F1DDB">
        <w:rPr>
          <w:rFonts w:ascii="Times New Roman" w:eastAsia="Times New Roman" w:hAnsi="Times New Roman" w:cs="Times New Roman"/>
          <w:lang w:eastAsia="en-AU"/>
        </w:rPr>
        <w:t xml:space="preserve">seek review of </w:t>
      </w:r>
      <w:r w:rsidRPr="003F1DDB">
        <w:rPr>
          <w:rFonts w:ascii="Times New Roman" w:eastAsia="Times New Roman" w:hAnsi="Times New Roman" w:cs="Times New Roman"/>
          <w:lang w:eastAsia="en-AU"/>
        </w:rPr>
        <w:t xml:space="preserve">that decision under subsection </w:t>
      </w:r>
      <w:r w:rsidR="00B762C5"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(16).</w:t>
      </w:r>
    </w:p>
    <w:p w14:paraId="7422B59B" w14:textId="54502119" w:rsidR="00E14EB4" w:rsidRPr="003F1DDB" w:rsidRDefault="00E14EB4" w:rsidP="00C7054B">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w:t>
      </w:r>
      <w:r w:rsidR="00564779"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16</w:t>
      </w:r>
      <w:r w:rsidR="00A508B6"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provides </w:t>
      </w:r>
      <w:r w:rsidR="00A508B6" w:rsidRPr="003F1DDB">
        <w:rPr>
          <w:rFonts w:ascii="Times New Roman" w:eastAsia="Times New Roman" w:hAnsi="Times New Roman" w:cs="Times New Roman"/>
          <w:lang w:eastAsia="en-AU"/>
        </w:rPr>
        <w:t xml:space="preserve">that a CSP may </w:t>
      </w:r>
      <w:r w:rsidR="00EA2BDB" w:rsidRPr="003F1DDB">
        <w:rPr>
          <w:rFonts w:ascii="Times New Roman" w:eastAsia="Times New Roman" w:hAnsi="Times New Roman" w:cs="Times New Roman"/>
          <w:lang w:eastAsia="en-AU"/>
        </w:rPr>
        <w:t xml:space="preserve">apply to </w:t>
      </w:r>
      <w:r w:rsidR="002702F0" w:rsidRPr="003F1DDB">
        <w:rPr>
          <w:rFonts w:ascii="Times New Roman" w:eastAsia="Times New Roman" w:hAnsi="Times New Roman" w:cs="Times New Roman"/>
          <w:lang w:eastAsia="en-AU"/>
        </w:rPr>
        <w:t>t</w:t>
      </w:r>
      <w:r w:rsidR="00EA2BDB" w:rsidRPr="003F1DDB">
        <w:rPr>
          <w:rFonts w:ascii="Times New Roman" w:eastAsia="Times New Roman" w:hAnsi="Times New Roman" w:cs="Times New Roman"/>
          <w:lang w:eastAsia="en-AU"/>
        </w:rPr>
        <w:t xml:space="preserve">he </w:t>
      </w:r>
      <w:r w:rsidRPr="003F1DDB">
        <w:rPr>
          <w:rFonts w:ascii="Times New Roman" w:eastAsia="Times New Roman" w:hAnsi="Times New Roman" w:cs="Times New Roman"/>
          <w:lang w:eastAsia="en-AU"/>
        </w:rPr>
        <w:t xml:space="preserve">Administrative Appeals Tribunal for review of a decision by the ACMA under subsection </w:t>
      </w:r>
      <w:r w:rsidR="00EA2BDB" w:rsidRPr="003F1DDB">
        <w:rPr>
          <w:rFonts w:ascii="Times New Roman" w:eastAsia="Times New Roman" w:hAnsi="Times New Roman" w:cs="Times New Roman"/>
          <w:lang w:eastAsia="en-AU"/>
        </w:rPr>
        <w:t>31(</w:t>
      </w:r>
      <w:r w:rsidRPr="003F1DDB">
        <w:rPr>
          <w:rFonts w:ascii="Times New Roman" w:eastAsia="Times New Roman" w:hAnsi="Times New Roman" w:cs="Times New Roman"/>
          <w:lang w:eastAsia="en-AU"/>
        </w:rPr>
        <w:t>14</w:t>
      </w:r>
      <w:r w:rsidR="00EA2BDB"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to affirm an original decision.</w:t>
      </w:r>
    </w:p>
    <w:p w14:paraId="6ADAB617" w14:textId="77777777" w:rsidR="00423910" w:rsidRPr="003F1DDB" w:rsidRDefault="00423910" w:rsidP="00C7054B">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4 – Damages</w:t>
      </w:r>
    </w:p>
    <w:p w14:paraId="04646639" w14:textId="7FF7212D" w:rsidR="00423910" w:rsidRPr="003F1DDB" w:rsidRDefault="00423910" w:rsidP="00C7054B">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AD7D8A" w:rsidRPr="003F1DDB">
        <w:rPr>
          <w:rFonts w:ascii="Times New Roman" w:eastAsia="Times New Roman" w:hAnsi="Times New Roman" w:cs="Times New Roman"/>
          <w:b/>
          <w:lang w:eastAsia="en-AU"/>
        </w:rPr>
        <w:t>32</w:t>
      </w:r>
      <w:r w:rsidRPr="003F1DDB">
        <w:rPr>
          <w:rFonts w:ascii="Times New Roman" w:eastAsia="Times New Roman" w:hAnsi="Times New Roman" w:cs="Times New Roman"/>
          <w:b/>
          <w:lang w:eastAsia="en-AU"/>
        </w:rPr>
        <w:t xml:space="preserve"> – Categories of contraventions and damages</w:t>
      </w:r>
    </w:p>
    <w:p w14:paraId="42B1B4CF" w14:textId="2F29E5D8" w:rsidR="00423910" w:rsidRPr="003F1DDB" w:rsidRDefault="00423910" w:rsidP="00BB36DD">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AD7D8A" w:rsidRPr="003F1DDB">
        <w:rPr>
          <w:rFonts w:ascii="Times New Roman" w:eastAsia="Times New Roman" w:hAnsi="Times New Roman" w:cs="Times New Roman"/>
          <w:lang w:eastAsia="en-AU"/>
        </w:rPr>
        <w:t>32</w:t>
      </w:r>
      <w:r w:rsidRPr="003F1DDB">
        <w:rPr>
          <w:rFonts w:ascii="Times New Roman" w:eastAsia="Times New Roman" w:hAnsi="Times New Roman" w:cs="Times New Roman"/>
          <w:lang w:eastAsia="en-AU"/>
        </w:rPr>
        <w:t xml:space="preserve"> is made under section 117 of the Act, which provides that the ACMA may specify a scale of damages for contravention of service standards under section 115 of the Act, and provides that the </w:t>
      </w:r>
      <w:r w:rsidRPr="003F1DDB">
        <w:rPr>
          <w:rFonts w:ascii="Times New Roman" w:eastAsia="Times New Roman" w:hAnsi="Times New Roman" w:cs="Times New Roman"/>
          <w:lang w:eastAsia="en-AU"/>
        </w:rPr>
        <w:lastRenderedPageBreak/>
        <w:t xml:space="preserve">categories </w:t>
      </w:r>
      <w:r w:rsidR="00A677E5">
        <w:rPr>
          <w:rFonts w:ascii="Times New Roman" w:eastAsia="Times New Roman" w:hAnsi="Times New Roman" w:cs="Times New Roman"/>
          <w:lang w:eastAsia="en-AU"/>
        </w:rPr>
        <w:t>of</w:t>
      </w:r>
      <w:r w:rsidRPr="003F1DDB">
        <w:rPr>
          <w:rFonts w:ascii="Times New Roman" w:eastAsia="Times New Roman" w:hAnsi="Times New Roman" w:cs="Times New Roman"/>
          <w:lang w:eastAsia="en-AU"/>
        </w:rPr>
        <w:t xml:space="preserve"> contraventions and corresponding damages payable are set out in Part 2 of Schedule 2 of the CSG Standard.</w:t>
      </w:r>
    </w:p>
    <w:p w14:paraId="57BE9318" w14:textId="77777777" w:rsidR="003F1DDB" w:rsidRDefault="003F1DDB">
      <w:pPr>
        <w:spacing w:line="259" w:lineRule="auto"/>
        <w:rPr>
          <w:rFonts w:ascii="Times New Roman" w:eastAsia="Times New Roman" w:hAnsi="Times New Roman" w:cs="Times New Roman"/>
          <w:b/>
          <w:lang w:eastAsia="en-AU"/>
        </w:rPr>
      </w:pPr>
      <w:r>
        <w:rPr>
          <w:rFonts w:ascii="Times New Roman" w:eastAsia="Times New Roman" w:hAnsi="Times New Roman" w:cs="Times New Roman"/>
          <w:b/>
          <w:lang w:eastAsia="en-AU"/>
        </w:rPr>
        <w:br w:type="page"/>
      </w:r>
    </w:p>
    <w:p w14:paraId="5A3A7484" w14:textId="4BC17551" w:rsidR="00423910" w:rsidRPr="003F1DDB" w:rsidRDefault="00423910" w:rsidP="00BB36DD">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5 – Waiver of protection and rights by customers</w:t>
      </w:r>
    </w:p>
    <w:p w14:paraId="5E63DB35" w14:textId="094075D6" w:rsidR="00E624BE" w:rsidRPr="003F1DDB" w:rsidRDefault="00E624BE" w:rsidP="00E624BE">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The note under the heading to Part 5 reiterates the content of subsection 120(1) of the Act which provides that the ACMA may, by written instrument, make provision for customers of CSPs to waive their protection and rights under Part 5 of the Act in relation to specified services supplied or </w:t>
      </w:r>
      <w:r w:rsidR="005C17D9">
        <w:rPr>
          <w:rFonts w:ascii="Times New Roman" w:eastAsia="Times New Roman" w:hAnsi="Times New Roman" w:cs="Times New Roman"/>
          <w:lang w:eastAsia="en-AU"/>
        </w:rPr>
        <w:t>proposed</w:t>
      </w:r>
      <w:r w:rsidRPr="003F1DDB">
        <w:rPr>
          <w:rFonts w:ascii="Times New Roman" w:eastAsia="Times New Roman" w:hAnsi="Times New Roman" w:cs="Times New Roman"/>
          <w:lang w:eastAsia="en-AU"/>
        </w:rPr>
        <w:t xml:space="preserve"> to be supplied by </w:t>
      </w:r>
      <w:r w:rsidR="00241F70" w:rsidRPr="003F1DDB">
        <w:rPr>
          <w:rFonts w:ascii="Times New Roman" w:eastAsia="Times New Roman" w:hAnsi="Times New Roman" w:cs="Times New Roman"/>
          <w:lang w:eastAsia="en-AU"/>
        </w:rPr>
        <w:t xml:space="preserve">a </w:t>
      </w:r>
      <w:r w:rsidRPr="003F1DDB">
        <w:rPr>
          <w:rFonts w:ascii="Times New Roman" w:eastAsia="Times New Roman" w:hAnsi="Times New Roman" w:cs="Times New Roman"/>
          <w:lang w:eastAsia="en-AU"/>
        </w:rPr>
        <w:t>CSP.</w:t>
      </w:r>
    </w:p>
    <w:p w14:paraId="582FBE67" w14:textId="7488BC7E" w:rsidR="00E624BE" w:rsidRPr="003F1DDB" w:rsidRDefault="00E624BE" w:rsidP="00BB36DD">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33 – Application</w:t>
      </w:r>
    </w:p>
    <w:p w14:paraId="41280C2A" w14:textId="61358E34" w:rsidR="00E624BE" w:rsidRPr="003F1DDB" w:rsidRDefault="00E624BE" w:rsidP="00BB36DD">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33 provides that </w:t>
      </w:r>
      <w:r w:rsidR="00241F70" w:rsidRPr="003F1DDB">
        <w:rPr>
          <w:rFonts w:ascii="Times New Roman" w:eastAsia="Times New Roman" w:hAnsi="Times New Roman" w:cs="Times New Roman"/>
          <w:lang w:eastAsia="en-AU"/>
        </w:rPr>
        <w:t>the waiver provisions in Part 5 of the Standard</w:t>
      </w:r>
      <w:r w:rsidRPr="003F1DDB">
        <w:rPr>
          <w:rFonts w:ascii="Times New Roman" w:eastAsia="Times New Roman" w:hAnsi="Times New Roman" w:cs="Times New Roman"/>
          <w:lang w:eastAsia="en-AU"/>
        </w:rPr>
        <w:t xml:space="preserve"> do</w:t>
      </w:r>
      <w:r w:rsidR="00241F70"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not apply to standard telephone services supplied, or proposed to be supplied, in fulfilment of the universal service obligation. Th</w:t>
      </w:r>
      <w:r w:rsidR="00241F70" w:rsidRPr="003F1DDB">
        <w:rPr>
          <w:rFonts w:ascii="Times New Roman" w:eastAsia="Times New Roman" w:hAnsi="Times New Roman" w:cs="Times New Roman"/>
          <w:lang w:eastAsia="en-AU"/>
        </w:rPr>
        <w:t>is reflects the wording of</w:t>
      </w:r>
      <w:r w:rsidRPr="003F1DDB">
        <w:rPr>
          <w:rFonts w:ascii="Times New Roman" w:eastAsia="Times New Roman" w:hAnsi="Times New Roman" w:cs="Times New Roman"/>
          <w:lang w:eastAsia="en-AU"/>
        </w:rPr>
        <w:t xml:space="preserve"> subsection 120(7) of the Act.</w:t>
      </w:r>
      <w:r w:rsidR="007A21D0" w:rsidRPr="003F1DDB">
        <w:rPr>
          <w:rFonts w:ascii="Times New Roman" w:eastAsia="Times New Roman" w:hAnsi="Times New Roman" w:cs="Times New Roman"/>
          <w:lang w:eastAsia="en-AU"/>
        </w:rPr>
        <w:t xml:space="preserve"> The universal service obligation requires that certain public interest telecommunications services be supplied by the primary universal service provider and </w:t>
      </w:r>
      <w:r w:rsidR="00780492" w:rsidRPr="003F1DDB">
        <w:rPr>
          <w:rFonts w:ascii="Times New Roman" w:eastAsia="Times New Roman" w:hAnsi="Times New Roman" w:cs="Times New Roman"/>
          <w:lang w:eastAsia="en-AU"/>
        </w:rPr>
        <w:t>it is not intended that customers of these services be able to waive their CSG rights.</w:t>
      </w:r>
    </w:p>
    <w:p w14:paraId="5CA249D1" w14:textId="6BC0ABB1" w:rsidR="00423910" w:rsidRPr="003F1DDB" w:rsidRDefault="00423910" w:rsidP="00BB36DD">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3</w:t>
      </w:r>
      <w:r w:rsidR="00E624BE" w:rsidRPr="003F1DDB">
        <w:rPr>
          <w:rFonts w:ascii="Times New Roman" w:eastAsia="Times New Roman" w:hAnsi="Times New Roman" w:cs="Times New Roman"/>
          <w:b/>
          <w:lang w:eastAsia="en-AU"/>
        </w:rPr>
        <w:t>4</w:t>
      </w:r>
      <w:r w:rsidRPr="003F1DDB">
        <w:rPr>
          <w:rFonts w:ascii="Times New Roman" w:eastAsia="Times New Roman" w:hAnsi="Times New Roman" w:cs="Times New Roman"/>
          <w:b/>
          <w:lang w:eastAsia="en-AU"/>
        </w:rPr>
        <w:t xml:space="preserve"> – Waivers</w:t>
      </w:r>
    </w:p>
    <w:p w14:paraId="4B2D5A3E" w14:textId="77777777" w:rsidR="00241F7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3</w:t>
      </w:r>
      <w:r w:rsidR="00E624BE" w:rsidRPr="003F1DDB">
        <w:rPr>
          <w:rFonts w:ascii="Times New Roman" w:eastAsia="Times New Roman" w:hAnsi="Times New Roman" w:cs="Times New Roman"/>
          <w:lang w:eastAsia="en-AU"/>
        </w:rPr>
        <w:t>4</w:t>
      </w:r>
      <w:r w:rsidRPr="003F1DDB">
        <w:rPr>
          <w:rFonts w:ascii="Times New Roman" w:eastAsia="Times New Roman" w:hAnsi="Times New Roman" w:cs="Times New Roman"/>
          <w:lang w:eastAsia="en-AU"/>
        </w:rPr>
        <w:t xml:space="preserve"> </w:t>
      </w:r>
      <w:r w:rsidR="00241F70" w:rsidRPr="003F1DDB">
        <w:rPr>
          <w:rFonts w:ascii="Times New Roman" w:eastAsia="Times New Roman" w:hAnsi="Times New Roman" w:cs="Times New Roman"/>
          <w:lang w:eastAsia="en-AU"/>
        </w:rPr>
        <w:t>sets out detailed requirements in relation to customer waivers</w:t>
      </w:r>
      <w:r w:rsidRPr="003F1DDB">
        <w:rPr>
          <w:rFonts w:ascii="Times New Roman" w:eastAsia="Times New Roman" w:hAnsi="Times New Roman" w:cs="Times New Roman"/>
          <w:lang w:eastAsia="en-AU"/>
        </w:rPr>
        <w:t>.</w:t>
      </w:r>
      <w:r w:rsidR="00241F70" w:rsidRPr="003F1DDB">
        <w:rPr>
          <w:rFonts w:ascii="Times New Roman" w:eastAsia="Times New Roman" w:hAnsi="Times New Roman" w:cs="Times New Roman"/>
          <w:lang w:eastAsia="en-AU"/>
        </w:rPr>
        <w:t xml:space="preserve"> </w:t>
      </w:r>
    </w:p>
    <w:p w14:paraId="58F6C751" w14:textId="1B37EA89" w:rsidR="00423910" w:rsidRPr="003F1DDB" w:rsidRDefault="00241F7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34(1) provides that, subject to section 33, a customer is entitled to waive, in whole or in part, their CSG protections and rights in relation to a carriage service supplied by a CSP.</w:t>
      </w:r>
      <w:r w:rsidR="00423910" w:rsidRPr="003F1DDB">
        <w:rPr>
          <w:rFonts w:ascii="Times New Roman" w:eastAsia="Times New Roman" w:hAnsi="Times New Roman" w:cs="Times New Roman"/>
          <w:lang w:eastAsia="en-AU"/>
        </w:rPr>
        <w:t xml:space="preserve"> </w:t>
      </w:r>
    </w:p>
    <w:p w14:paraId="0AA53959" w14:textId="32C9299B" w:rsidR="00241F70" w:rsidRPr="003F1DDB" w:rsidRDefault="00241F7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34(2) specifies that customers may waive their protections and rights under Part 5 of the Act in writing or orally</w:t>
      </w:r>
      <w:r w:rsidR="00FC51E7" w:rsidRPr="003F1DDB">
        <w:rPr>
          <w:rFonts w:ascii="Times New Roman" w:eastAsia="Times New Roman" w:hAnsi="Times New Roman" w:cs="Times New Roman"/>
          <w:lang w:eastAsia="en-AU"/>
        </w:rPr>
        <w:t>.</w:t>
      </w:r>
    </w:p>
    <w:p w14:paraId="7536D9EB" w14:textId="77777777" w:rsidR="00241F70" w:rsidRPr="003F1DDB" w:rsidRDefault="00241F70" w:rsidP="00423910">
      <w:pPr>
        <w:autoSpaceDE w:val="0"/>
        <w:autoSpaceDN w:val="0"/>
        <w:adjustRightInd w:val="0"/>
        <w:spacing w:before="80" w:after="120" w:line="240" w:lineRule="auto"/>
        <w:rPr>
          <w:rFonts w:ascii="Times New Roman" w:eastAsia="Times New Roman" w:hAnsi="Times New Roman" w:cs="Times New Roman"/>
          <w:i/>
          <w:iCs/>
          <w:lang w:eastAsia="en-AU"/>
        </w:rPr>
      </w:pPr>
      <w:r w:rsidRPr="003F1DDB">
        <w:rPr>
          <w:rFonts w:ascii="Times New Roman" w:eastAsia="Times New Roman" w:hAnsi="Times New Roman" w:cs="Times New Roman"/>
          <w:i/>
          <w:iCs/>
          <w:lang w:eastAsia="en-AU"/>
        </w:rPr>
        <w:t>Waivers in writing</w:t>
      </w:r>
    </w:p>
    <w:p w14:paraId="3D961068" w14:textId="5902DBFA" w:rsidR="00241F70" w:rsidRPr="003F1DDB" w:rsidRDefault="00241F70" w:rsidP="00BD5725">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34(3) specifies th</w:t>
      </w:r>
      <w:r w:rsidR="008A1F89" w:rsidRPr="003F1DDB">
        <w:rPr>
          <w:rFonts w:ascii="Times New Roman" w:eastAsia="Times New Roman" w:hAnsi="Times New Roman" w:cs="Times New Roman"/>
          <w:lang w:eastAsia="en-AU"/>
        </w:rPr>
        <w:t xml:space="preserve">e requirements for a valid </w:t>
      </w:r>
      <w:r w:rsidRPr="003F1DDB">
        <w:rPr>
          <w:rFonts w:ascii="Times New Roman" w:eastAsia="Times New Roman" w:hAnsi="Times New Roman" w:cs="Times New Roman"/>
          <w:lang w:eastAsia="en-AU"/>
        </w:rPr>
        <w:t xml:space="preserve">waiver </w:t>
      </w:r>
      <w:r w:rsidR="008A1F89" w:rsidRPr="003F1DDB">
        <w:rPr>
          <w:rFonts w:ascii="Times New Roman" w:eastAsia="Times New Roman" w:hAnsi="Times New Roman" w:cs="Times New Roman"/>
          <w:lang w:eastAsia="en-AU"/>
        </w:rPr>
        <w:t xml:space="preserve">provided </w:t>
      </w:r>
      <w:r w:rsidRPr="003F1DDB">
        <w:rPr>
          <w:rFonts w:ascii="Times New Roman" w:eastAsia="Times New Roman" w:hAnsi="Times New Roman" w:cs="Times New Roman"/>
          <w:lang w:eastAsia="en-AU"/>
        </w:rPr>
        <w:t>in writing</w:t>
      </w:r>
      <w:r w:rsidR="008A1F89"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 </w:t>
      </w:r>
    </w:p>
    <w:p w14:paraId="27034D67" w14:textId="1423D47D" w:rsidR="005E0721" w:rsidRPr="003F1DDB" w:rsidRDefault="005E0721"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Written waivers take effect on the day the customer consents to the waiver under paragraph 34(8)(a).</w:t>
      </w:r>
    </w:p>
    <w:p w14:paraId="3D9B6AB8" w14:textId="0AC043D3" w:rsidR="005E0721" w:rsidRPr="003F1DDB" w:rsidRDefault="005E0721" w:rsidP="00423910">
      <w:pPr>
        <w:autoSpaceDE w:val="0"/>
        <w:autoSpaceDN w:val="0"/>
        <w:adjustRightInd w:val="0"/>
        <w:spacing w:before="80" w:after="120" w:line="240" w:lineRule="auto"/>
        <w:rPr>
          <w:rFonts w:ascii="Times New Roman" w:eastAsia="Times New Roman" w:hAnsi="Times New Roman" w:cs="Times New Roman"/>
          <w:i/>
          <w:iCs/>
          <w:lang w:eastAsia="en-AU"/>
        </w:rPr>
      </w:pPr>
      <w:r w:rsidRPr="003F1DDB">
        <w:rPr>
          <w:rFonts w:ascii="Times New Roman" w:eastAsia="Times New Roman" w:hAnsi="Times New Roman" w:cs="Times New Roman"/>
          <w:i/>
          <w:iCs/>
          <w:lang w:eastAsia="en-AU"/>
        </w:rPr>
        <w:t>Oral waivers</w:t>
      </w:r>
    </w:p>
    <w:p w14:paraId="0CF6B2F2" w14:textId="0012D9DE" w:rsidR="005E0721" w:rsidRPr="003F1DDB" w:rsidRDefault="005E0721"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34(4) </w:t>
      </w:r>
      <w:r w:rsidR="00010DBB" w:rsidRPr="003F1DDB">
        <w:rPr>
          <w:rFonts w:ascii="Times New Roman" w:eastAsia="Times New Roman" w:hAnsi="Times New Roman" w:cs="Times New Roman"/>
          <w:lang w:eastAsia="en-AU"/>
        </w:rPr>
        <w:t>sets out the circumstances in which a</w:t>
      </w:r>
      <w:r w:rsidR="00752A0F" w:rsidRPr="003F1DDB">
        <w:rPr>
          <w:rFonts w:ascii="Times New Roman" w:eastAsia="Times New Roman" w:hAnsi="Times New Roman" w:cs="Times New Roman"/>
          <w:lang w:eastAsia="en-AU"/>
        </w:rPr>
        <w:t xml:space="preserve">n </w:t>
      </w:r>
      <w:r w:rsidRPr="003F1DDB">
        <w:rPr>
          <w:rFonts w:ascii="Times New Roman" w:eastAsia="Times New Roman" w:hAnsi="Times New Roman" w:cs="Times New Roman"/>
          <w:lang w:eastAsia="en-AU"/>
        </w:rPr>
        <w:t>oral waiver is valid</w:t>
      </w:r>
      <w:r w:rsidR="00752A0F" w:rsidRPr="003F1DDB">
        <w:rPr>
          <w:rFonts w:ascii="Times New Roman" w:eastAsia="Times New Roman" w:hAnsi="Times New Roman" w:cs="Times New Roman"/>
          <w:lang w:eastAsia="en-AU"/>
        </w:rPr>
        <w:t>.</w:t>
      </w:r>
      <w:r w:rsidR="005A02CB" w:rsidRPr="003F1DDB">
        <w:rPr>
          <w:rFonts w:ascii="Times New Roman" w:eastAsia="Times New Roman" w:hAnsi="Times New Roman" w:cs="Times New Roman"/>
          <w:lang w:eastAsia="en-AU"/>
        </w:rPr>
        <w:t xml:space="preserve"> </w:t>
      </w:r>
      <w:r w:rsidR="0065131F" w:rsidRPr="003F1DDB">
        <w:rPr>
          <w:rFonts w:ascii="Times New Roman" w:eastAsia="Times New Roman" w:hAnsi="Times New Roman" w:cs="Times New Roman"/>
          <w:lang w:eastAsia="en-AU"/>
        </w:rPr>
        <w:t>Oral waivers</w:t>
      </w:r>
      <w:r w:rsidR="002F74E7" w:rsidRPr="003F1DDB">
        <w:rPr>
          <w:rFonts w:ascii="Times New Roman" w:eastAsia="Times New Roman" w:hAnsi="Times New Roman" w:cs="Times New Roman"/>
          <w:lang w:eastAsia="en-AU"/>
        </w:rPr>
        <w:t xml:space="preserve"> take effect 5 business days after the day on which the customer consents to the waiver under subsection 34(4)</w:t>
      </w:r>
      <w:r w:rsidR="00831576" w:rsidRPr="003F1DDB">
        <w:rPr>
          <w:rFonts w:ascii="Times New Roman" w:eastAsia="Times New Roman" w:hAnsi="Times New Roman" w:cs="Times New Roman"/>
          <w:lang w:eastAsia="en-AU"/>
        </w:rPr>
        <w:t xml:space="preserve"> unless the customer withdraws their consent prior to the end of that period (see paragraph 3</w:t>
      </w:r>
      <w:r w:rsidR="002760A9" w:rsidRPr="003F1DDB">
        <w:rPr>
          <w:rFonts w:ascii="Times New Roman" w:eastAsia="Times New Roman" w:hAnsi="Times New Roman" w:cs="Times New Roman"/>
          <w:lang w:eastAsia="en-AU"/>
        </w:rPr>
        <w:t>4(8)(b)).</w:t>
      </w:r>
    </w:p>
    <w:p w14:paraId="3214691C" w14:textId="0EB8ECE0" w:rsidR="005E0721" w:rsidRPr="003F1DDB" w:rsidRDefault="005E0721" w:rsidP="00423910">
      <w:pPr>
        <w:autoSpaceDE w:val="0"/>
        <w:autoSpaceDN w:val="0"/>
        <w:adjustRightInd w:val="0"/>
        <w:spacing w:before="80" w:after="120" w:line="240" w:lineRule="auto"/>
        <w:rPr>
          <w:rFonts w:ascii="Times New Roman" w:eastAsia="Times New Roman" w:hAnsi="Times New Roman" w:cs="Times New Roman"/>
          <w:i/>
          <w:iCs/>
          <w:lang w:eastAsia="en-AU"/>
        </w:rPr>
      </w:pPr>
      <w:r w:rsidRPr="003F1DDB">
        <w:rPr>
          <w:rFonts w:ascii="Times New Roman" w:eastAsia="Times New Roman" w:hAnsi="Times New Roman" w:cs="Times New Roman"/>
          <w:i/>
          <w:iCs/>
          <w:lang w:eastAsia="en-AU"/>
        </w:rPr>
        <w:t>Information to be given</w:t>
      </w:r>
    </w:p>
    <w:p w14:paraId="2F0C8BDB" w14:textId="0F5F0B93" w:rsidR="00423910" w:rsidRPr="003F1DDB" w:rsidRDefault="005E0721"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Subsection 34(5) </w:t>
      </w:r>
      <w:r w:rsidR="00EA289A" w:rsidRPr="003F1DDB">
        <w:rPr>
          <w:rFonts w:ascii="Times New Roman" w:eastAsia="Times New Roman" w:hAnsi="Times New Roman" w:cs="Times New Roman"/>
          <w:lang w:eastAsia="en-AU"/>
        </w:rPr>
        <w:t xml:space="preserve">sets out </w:t>
      </w:r>
      <w:r w:rsidRPr="003F1DDB">
        <w:rPr>
          <w:rFonts w:ascii="Times New Roman" w:eastAsia="Times New Roman" w:hAnsi="Times New Roman" w:cs="Times New Roman"/>
          <w:lang w:eastAsia="en-AU"/>
        </w:rPr>
        <w:t xml:space="preserve">the information that must be provided to a customer </w:t>
      </w:r>
      <w:r w:rsidR="00EA289A" w:rsidRPr="003F1DDB">
        <w:rPr>
          <w:rFonts w:ascii="Times New Roman" w:eastAsia="Times New Roman" w:hAnsi="Times New Roman" w:cs="Times New Roman"/>
          <w:lang w:eastAsia="en-AU"/>
        </w:rPr>
        <w:t xml:space="preserve">regarding </w:t>
      </w:r>
      <w:r w:rsidRPr="003F1DDB">
        <w:rPr>
          <w:rFonts w:ascii="Times New Roman" w:eastAsia="Times New Roman" w:hAnsi="Times New Roman" w:cs="Times New Roman"/>
          <w:lang w:eastAsia="en-AU"/>
        </w:rPr>
        <w:t>a written or oral waiver (as applicable)</w:t>
      </w:r>
      <w:r w:rsidR="00423910"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This is intended to enhance the customer’s understanding of the CSG Standard, the service to which the waiver applies and the consequences of a waiver and </w:t>
      </w:r>
      <w:r w:rsidR="002F2C17">
        <w:rPr>
          <w:rFonts w:ascii="Times New Roman" w:eastAsia="Times New Roman" w:hAnsi="Times New Roman" w:cs="Times New Roman"/>
          <w:lang w:eastAsia="en-AU"/>
        </w:rPr>
        <w:t xml:space="preserve">to </w:t>
      </w:r>
      <w:r w:rsidRPr="003F1DDB">
        <w:rPr>
          <w:rFonts w:ascii="Times New Roman" w:eastAsia="Times New Roman" w:hAnsi="Times New Roman" w:cs="Times New Roman"/>
          <w:lang w:eastAsia="en-AU"/>
        </w:rPr>
        <w:t>assist in the provision of informed consent.</w:t>
      </w:r>
    </w:p>
    <w:p w14:paraId="05A7C6F3" w14:textId="39F6C61E" w:rsidR="005E0721" w:rsidRPr="003F1DDB" w:rsidRDefault="005E0721"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The purpose of paragraph 34(5)(e)</w:t>
      </w:r>
      <w:r w:rsidR="001A262F" w:rsidRPr="003F1DDB">
        <w:rPr>
          <w:rFonts w:ascii="Times New Roman" w:eastAsia="Times New Roman" w:hAnsi="Times New Roman" w:cs="Times New Roman"/>
          <w:lang w:eastAsia="en-AU"/>
        </w:rPr>
        <w:t xml:space="preserve">, which requires the provision of a statement summarising the consequences of the waiver, is to provide the customer with information directly related to the service to which the waiver applies. More detail about what a statement summarising the consequences of a waiver must include is specified at subsection 34(6). This information is </w:t>
      </w:r>
      <w:r w:rsidR="005A02CB" w:rsidRPr="003F1DDB">
        <w:rPr>
          <w:rFonts w:ascii="Times New Roman" w:eastAsia="Times New Roman" w:hAnsi="Times New Roman" w:cs="Times New Roman"/>
          <w:lang w:eastAsia="en-AU"/>
        </w:rPr>
        <w:t xml:space="preserve">required to be </w:t>
      </w:r>
      <w:r w:rsidR="001A262F" w:rsidRPr="003F1DDB">
        <w:rPr>
          <w:rFonts w:ascii="Times New Roman" w:eastAsia="Times New Roman" w:hAnsi="Times New Roman" w:cs="Times New Roman"/>
          <w:lang w:eastAsia="en-AU"/>
        </w:rPr>
        <w:t>provided to customers who consent to a waiver in written form at the time they sign up (immediately before they consent to the waiver). For customers who consent to a waiver orally, this information is</w:t>
      </w:r>
      <w:r w:rsidR="005A02CB" w:rsidRPr="003F1DDB">
        <w:rPr>
          <w:rFonts w:ascii="Times New Roman" w:eastAsia="Times New Roman" w:hAnsi="Times New Roman" w:cs="Times New Roman"/>
          <w:lang w:eastAsia="en-AU"/>
        </w:rPr>
        <w:t xml:space="preserve"> required to be</w:t>
      </w:r>
      <w:r w:rsidR="001A262F" w:rsidRPr="003F1DDB">
        <w:rPr>
          <w:rFonts w:ascii="Times New Roman" w:eastAsia="Times New Roman" w:hAnsi="Times New Roman" w:cs="Times New Roman"/>
          <w:lang w:eastAsia="en-AU"/>
        </w:rPr>
        <w:t xml:space="preserve"> provided to them immediately before they consent to the waiver and in writing within three </w:t>
      </w:r>
      <w:r w:rsidR="002F2C17">
        <w:rPr>
          <w:rFonts w:ascii="Times New Roman" w:eastAsia="Times New Roman" w:hAnsi="Times New Roman" w:cs="Times New Roman"/>
          <w:lang w:eastAsia="en-AU"/>
        </w:rPr>
        <w:t xml:space="preserve">business </w:t>
      </w:r>
      <w:r w:rsidR="001A262F" w:rsidRPr="003F1DDB">
        <w:rPr>
          <w:rFonts w:ascii="Times New Roman" w:eastAsia="Times New Roman" w:hAnsi="Times New Roman" w:cs="Times New Roman"/>
          <w:lang w:eastAsia="en-AU"/>
        </w:rPr>
        <w:t>days of their consent, along with the other information outlined in paragraph 34(7)(b).</w:t>
      </w:r>
    </w:p>
    <w:p w14:paraId="2876B4C8" w14:textId="62908D99" w:rsidR="00423910" w:rsidRPr="003F1DDB" w:rsidRDefault="00423910" w:rsidP="00BB36DD">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3</w:t>
      </w:r>
      <w:r w:rsidR="001A262F" w:rsidRPr="003F1DDB">
        <w:rPr>
          <w:rFonts w:ascii="Times New Roman" w:eastAsia="Times New Roman" w:hAnsi="Times New Roman" w:cs="Times New Roman"/>
          <w:b/>
          <w:lang w:eastAsia="en-AU"/>
        </w:rPr>
        <w:t>5</w:t>
      </w:r>
      <w:r w:rsidRPr="003F1DDB">
        <w:rPr>
          <w:rFonts w:ascii="Times New Roman" w:eastAsia="Times New Roman" w:hAnsi="Times New Roman" w:cs="Times New Roman"/>
          <w:b/>
          <w:lang w:eastAsia="en-AU"/>
        </w:rPr>
        <w:t xml:space="preserve"> – </w:t>
      </w:r>
      <w:r w:rsidR="001A262F" w:rsidRPr="003F1DDB">
        <w:rPr>
          <w:rFonts w:ascii="Times New Roman" w:eastAsia="Times New Roman" w:hAnsi="Times New Roman" w:cs="Times New Roman"/>
          <w:b/>
          <w:lang w:eastAsia="en-AU"/>
        </w:rPr>
        <w:t>Record keeping</w:t>
      </w:r>
    </w:p>
    <w:p w14:paraId="6D02354B" w14:textId="25E118B8" w:rsidR="00423910" w:rsidRPr="003F1DDB" w:rsidRDefault="001A262F"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35 imposes record keeping requirements on CSPs in relation to both written and oral waivers</w:t>
      </w:r>
      <w:r w:rsidR="00423910" w:rsidRPr="003F1DDB">
        <w:rPr>
          <w:rFonts w:ascii="Times New Roman" w:eastAsia="Times New Roman" w:hAnsi="Times New Roman" w:cs="Times New Roman"/>
          <w:lang w:eastAsia="en-AU"/>
        </w:rPr>
        <w:t>.</w:t>
      </w:r>
      <w:r w:rsidRPr="003F1DDB">
        <w:rPr>
          <w:rFonts w:ascii="Times New Roman" w:eastAsia="Times New Roman" w:hAnsi="Times New Roman" w:cs="Times New Roman"/>
          <w:lang w:eastAsia="en-AU"/>
        </w:rPr>
        <w:t xml:space="preserve"> The purpose of section 35(1) is to ensure service providers keep a copy of the record of a customer’s </w:t>
      </w:r>
      <w:r w:rsidRPr="003F1DDB">
        <w:rPr>
          <w:rFonts w:ascii="Times New Roman" w:eastAsia="Times New Roman" w:hAnsi="Times New Roman" w:cs="Times New Roman"/>
          <w:lang w:eastAsia="en-AU"/>
        </w:rPr>
        <w:lastRenderedPageBreak/>
        <w:t>waiver in accordance with subsection 35(2) or 35(3) (as the case may be) for a minimum of two years from the day on which the waiver takes effect.</w:t>
      </w:r>
    </w:p>
    <w:p w14:paraId="477E097C" w14:textId="16BA04E1" w:rsidR="001A262F" w:rsidRPr="003F1DDB" w:rsidRDefault="001A262F"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35(2) specifies the record and information to be retained for written waivers</w:t>
      </w:r>
      <w:r w:rsidR="001561D3" w:rsidRPr="003F1DDB">
        <w:rPr>
          <w:rFonts w:ascii="Times New Roman" w:eastAsia="Times New Roman" w:hAnsi="Times New Roman" w:cs="Times New Roman"/>
          <w:lang w:eastAsia="en-AU"/>
        </w:rPr>
        <w:t>.</w:t>
      </w:r>
    </w:p>
    <w:p w14:paraId="6085153D" w14:textId="07C6B34D" w:rsidR="001A262F" w:rsidRPr="003F1DDB" w:rsidRDefault="001A262F"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Subsection 35(3) specifies the record and information to be retained for oral waivers.</w:t>
      </w:r>
    </w:p>
    <w:p w14:paraId="7D4236E9" w14:textId="77777777" w:rsidR="00423910" w:rsidRPr="003F1DDB" w:rsidRDefault="00423910" w:rsidP="00BB36DD">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Part 6 – Transitional arrangements </w:t>
      </w:r>
    </w:p>
    <w:p w14:paraId="2AC0625A" w14:textId="77777777" w:rsidR="00FC6CC5" w:rsidRPr="003F1DDB" w:rsidRDefault="00FC6CC5" w:rsidP="00BB36DD">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Section 36 – Definitions for Part 6</w:t>
      </w:r>
    </w:p>
    <w:p w14:paraId="022DFD4E" w14:textId="2F235219" w:rsidR="00FC6CC5" w:rsidRPr="003F1DDB" w:rsidRDefault="00FC6CC5" w:rsidP="00890EB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Section 36 provides a definition for commencement da</w:t>
      </w:r>
      <w:r w:rsidR="007B7C25" w:rsidRPr="003F1DDB">
        <w:rPr>
          <w:rFonts w:ascii="Times New Roman" w:eastAsia="Times New Roman" w:hAnsi="Times New Roman" w:cs="Times New Roman"/>
          <w:lang w:eastAsia="en-AU"/>
        </w:rPr>
        <w:t xml:space="preserve">y </w:t>
      </w:r>
      <w:r w:rsidR="00341BF2" w:rsidRPr="003F1DDB">
        <w:rPr>
          <w:rFonts w:ascii="Times New Roman" w:eastAsia="Times New Roman" w:hAnsi="Times New Roman" w:cs="Times New Roman"/>
          <w:lang w:eastAsia="en-AU"/>
        </w:rPr>
        <w:t xml:space="preserve">(in respect of </w:t>
      </w:r>
      <w:r w:rsidR="007B7C25" w:rsidRPr="003F1DDB">
        <w:rPr>
          <w:rFonts w:ascii="Times New Roman" w:eastAsia="Times New Roman" w:hAnsi="Times New Roman" w:cs="Times New Roman"/>
          <w:lang w:eastAsia="en-AU"/>
        </w:rPr>
        <w:t>the CSG Standard</w:t>
      </w:r>
      <w:r w:rsidR="00341BF2" w:rsidRPr="003F1DDB">
        <w:rPr>
          <w:rFonts w:ascii="Times New Roman" w:eastAsia="Times New Roman" w:hAnsi="Times New Roman" w:cs="Times New Roman"/>
          <w:lang w:eastAsia="en-AU"/>
        </w:rPr>
        <w:t>) to support the transitional provisions in Part 6</w:t>
      </w:r>
      <w:r w:rsidR="007B7C25" w:rsidRPr="003F1DDB">
        <w:rPr>
          <w:rFonts w:ascii="Times New Roman" w:eastAsia="Times New Roman" w:hAnsi="Times New Roman" w:cs="Times New Roman"/>
          <w:lang w:eastAsia="en-AU"/>
        </w:rPr>
        <w:t>.</w:t>
      </w:r>
    </w:p>
    <w:p w14:paraId="1AC1FB02" w14:textId="31760A67" w:rsidR="00423910" w:rsidRPr="003F1DDB" w:rsidRDefault="00423910" w:rsidP="00890EBA">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3C58EF" w:rsidRPr="003F1DDB">
        <w:rPr>
          <w:rFonts w:ascii="Times New Roman" w:eastAsia="Times New Roman" w:hAnsi="Times New Roman" w:cs="Times New Roman"/>
          <w:b/>
          <w:lang w:eastAsia="en-AU"/>
        </w:rPr>
        <w:t>3</w:t>
      </w:r>
      <w:r w:rsidR="007B7C25" w:rsidRPr="003F1DDB">
        <w:rPr>
          <w:rFonts w:ascii="Times New Roman" w:eastAsia="Times New Roman" w:hAnsi="Times New Roman" w:cs="Times New Roman"/>
          <w:b/>
          <w:lang w:eastAsia="en-AU"/>
        </w:rPr>
        <w:t>7</w:t>
      </w:r>
      <w:r w:rsidR="003C58EF" w:rsidRPr="003F1DDB">
        <w:rPr>
          <w:rFonts w:ascii="Times New Roman" w:eastAsia="Times New Roman" w:hAnsi="Times New Roman" w:cs="Times New Roman"/>
          <w:b/>
          <w:lang w:eastAsia="en-AU"/>
        </w:rPr>
        <w:t xml:space="preserve"> </w:t>
      </w:r>
      <w:r w:rsidRPr="003F1DDB">
        <w:rPr>
          <w:rFonts w:ascii="Times New Roman" w:eastAsia="Times New Roman" w:hAnsi="Times New Roman" w:cs="Times New Roman"/>
          <w:b/>
          <w:lang w:eastAsia="en-AU"/>
        </w:rPr>
        <w:t xml:space="preserve">– Exemptions relied upon under </w:t>
      </w:r>
      <w:r w:rsidR="003C58EF" w:rsidRPr="003F1DDB">
        <w:rPr>
          <w:rFonts w:ascii="Times New Roman" w:eastAsia="Times New Roman" w:hAnsi="Times New Roman" w:cs="Times New Roman"/>
          <w:b/>
          <w:lang w:eastAsia="en-AU"/>
        </w:rPr>
        <w:t xml:space="preserve">2011 CSG </w:t>
      </w:r>
      <w:r w:rsidRPr="003F1DDB">
        <w:rPr>
          <w:rFonts w:ascii="Times New Roman" w:eastAsia="Times New Roman" w:hAnsi="Times New Roman" w:cs="Times New Roman"/>
          <w:b/>
          <w:lang w:eastAsia="en-AU"/>
        </w:rPr>
        <w:t>Standard</w:t>
      </w:r>
    </w:p>
    <w:p w14:paraId="5AAFAC75" w14:textId="7350C199" w:rsidR="00423910" w:rsidRPr="003F1DDB" w:rsidRDefault="00423910" w:rsidP="00890EB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3C58EF" w:rsidRPr="003F1DDB">
        <w:rPr>
          <w:rFonts w:ascii="Times New Roman" w:eastAsia="Times New Roman" w:hAnsi="Times New Roman" w:cs="Times New Roman"/>
          <w:lang w:eastAsia="en-AU"/>
        </w:rPr>
        <w:t>3</w:t>
      </w:r>
      <w:r w:rsidR="007B7C25" w:rsidRPr="003F1DDB">
        <w:rPr>
          <w:rFonts w:ascii="Times New Roman" w:eastAsia="Times New Roman" w:hAnsi="Times New Roman" w:cs="Times New Roman"/>
          <w:lang w:eastAsia="en-AU"/>
        </w:rPr>
        <w:t xml:space="preserve">7 </w:t>
      </w:r>
      <w:r w:rsidR="002F2C17">
        <w:rPr>
          <w:rFonts w:ascii="Times New Roman" w:eastAsia="Times New Roman" w:hAnsi="Times New Roman" w:cs="Times New Roman"/>
          <w:lang w:eastAsia="en-AU"/>
        </w:rPr>
        <w:t>has the effect</w:t>
      </w:r>
      <w:r w:rsidR="002F2C17"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that where an exemption was available under the </w:t>
      </w:r>
      <w:r w:rsidR="003C58EF" w:rsidRPr="003F1DDB">
        <w:rPr>
          <w:rFonts w:ascii="Times New Roman" w:eastAsia="Times New Roman" w:hAnsi="Times New Roman" w:cs="Times New Roman"/>
          <w:lang w:eastAsia="en-AU"/>
        </w:rPr>
        <w:t xml:space="preserve">2011 CSG </w:t>
      </w:r>
      <w:r w:rsidRPr="003F1DDB">
        <w:rPr>
          <w:rFonts w:ascii="Times New Roman" w:eastAsia="Times New Roman" w:hAnsi="Times New Roman" w:cs="Times New Roman"/>
          <w:lang w:eastAsia="en-AU"/>
        </w:rPr>
        <w:t xml:space="preserve">Standard, it will continue to be available under the </w:t>
      </w:r>
      <w:r w:rsidR="003C58EF" w:rsidRPr="003F1DDB">
        <w:rPr>
          <w:rFonts w:ascii="Times New Roman" w:eastAsia="Times New Roman" w:hAnsi="Times New Roman" w:cs="Times New Roman"/>
          <w:lang w:eastAsia="en-AU"/>
        </w:rPr>
        <w:t xml:space="preserve">CSG </w:t>
      </w:r>
      <w:r w:rsidRPr="003F1DDB">
        <w:rPr>
          <w:rFonts w:ascii="Times New Roman" w:eastAsia="Times New Roman" w:hAnsi="Times New Roman" w:cs="Times New Roman"/>
          <w:lang w:eastAsia="en-AU"/>
        </w:rPr>
        <w:t>Standard.</w:t>
      </w:r>
    </w:p>
    <w:p w14:paraId="33F54C7C" w14:textId="77A86F79" w:rsidR="00423910" w:rsidRPr="003F1DDB" w:rsidRDefault="00423910" w:rsidP="00890EBA">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3C58EF" w:rsidRPr="003F1DDB">
        <w:rPr>
          <w:rFonts w:ascii="Times New Roman" w:eastAsia="Times New Roman" w:hAnsi="Times New Roman" w:cs="Times New Roman"/>
          <w:b/>
          <w:lang w:eastAsia="en-AU"/>
        </w:rPr>
        <w:t>3</w:t>
      </w:r>
      <w:r w:rsidR="007B7C25" w:rsidRPr="003F1DDB">
        <w:rPr>
          <w:rFonts w:ascii="Times New Roman" w:eastAsia="Times New Roman" w:hAnsi="Times New Roman" w:cs="Times New Roman"/>
          <w:b/>
          <w:lang w:eastAsia="en-AU"/>
        </w:rPr>
        <w:t>8</w:t>
      </w:r>
      <w:r w:rsidR="003C58EF" w:rsidRPr="003F1DDB">
        <w:rPr>
          <w:rFonts w:ascii="Times New Roman" w:eastAsia="Times New Roman" w:hAnsi="Times New Roman" w:cs="Times New Roman"/>
          <w:b/>
          <w:lang w:eastAsia="en-AU"/>
        </w:rPr>
        <w:t xml:space="preserve"> </w:t>
      </w:r>
      <w:r w:rsidRPr="003F1DDB">
        <w:rPr>
          <w:rFonts w:ascii="Times New Roman" w:eastAsia="Times New Roman" w:hAnsi="Times New Roman" w:cs="Times New Roman"/>
          <w:b/>
          <w:lang w:eastAsia="en-AU"/>
        </w:rPr>
        <w:t xml:space="preserve">– General notice of exemptions under </w:t>
      </w:r>
      <w:r w:rsidR="003C58EF" w:rsidRPr="003F1DDB">
        <w:rPr>
          <w:rFonts w:ascii="Times New Roman" w:eastAsia="Times New Roman" w:hAnsi="Times New Roman" w:cs="Times New Roman"/>
          <w:b/>
          <w:lang w:eastAsia="en-AU"/>
        </w:rPr>
        <w:t xml:space="preserve">2011 CSG </w:t>
      </w:r>
      <w:r w:rsidRPr="003F1DDB">
        <w:rPr>
          <w:rFonts w:ascii="Times New Roman" w:eastAsia="Times New Roman" w:hAnsi="Times New Roman" w:cs="Times New Roman"/>
          <w:b/>
          <w:lang w:eastAsia="en-AU"/>
        </w:rPr>
        <w:t>Standard</w:t>
      </w:r>
    </w:p>
    <w:p w14:paraId="355B1DE7" w14:textId="4D448E61" w:rsidR="00423910" w:rsidRPr="003F1DDB" w:rsidRDefault="00423910" w:rsidP="00890EBA">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3C58EF" w:rsidRPr="003F1DDB">
        <w:rPr>
          <w:rFonts w:ascii="Times New Roman" w:eastAsia="Times New Roman" w:hAnsi="Times New Roman" w:cs="Times New Roman"/>
          <w:lang w:eastAsia="en-AU"/>
        </w:rPr>
        <w:t>3</w:t>
      </w:r>
      <w:r w:rsidR="007B7C25" w:rsidRPr="003F1DDB">
        <w:rPr>
          <w:rFonts w:ascii="Times New Roman" w:eastAsia="Times New Roman" w:hAnsi="Times New Roman" w:cs="Times New Roman"/>
          <w:lang w:eastAsia="en-AU"/>
        </w:rPr>
        <w:t>8</w:t>
      </w:r>
      <w:r w:rsidR="003C58EF" w:rsidRPr="003F1DDB">
        <w:rPr>
          <w:rFonts w:ascii="Times New Roman" w:eastAsia="Times New Roman" w:hAnsi="Times New Roman" w:cs="Times New Roman"/>
          <w:lang w:eastAsia="en-AU"/>
        </w:rPr>
        <w:t xml:space="preserve"> </w:t>
      </w:r>
      <w:r w:rsidRPr="003F1DDB">
        <w:rPr>
          <w:rFonts w:ascii="Times New Roman" w:eastAsia="Times New Roman" w:hAnsi="Times New Roman" w:cs="Times New Roman"/>
          <w:lang w:eastAsia="en-AU"/>
        </w:rPr>
        <w:t xml:space="preserve">provides that information given under </w:t>
      </w:r>
      <w:r w:rsidR="007B7C25" w:rsidRPr="003F1DDB">
        <w:rPr>
          <w:rFonts w:ascii="Times New Roman" w:eastAsia="Times New Roman" w:hAnsi="Times New Roman" w:cs="Times New Roman"/>
          <w:lang w:eastAsia="en-AU"/>
        </w:rPr>
        <w:t xml:space="preserve">paragraph </w:t>
      </w:r>
      <w:r w:rsidRPr="003F1DDB">
        <w:rPr>
          <w:rFonts w:ascii="Times New Roman" w:eastAsia="Times New Roman" w:hAnsi="Times New Roman" w:cs="Times New Roman"/>
          <w:lang w:eastAsia="en-AU"/>
        </w:rPr>
        <w:t>24</w:t>
      </w:r>
      <w:r w:rsidR="007B7C25" w:rsidRPr="003F1DDB">
        <w:rPr>
          <w:rFonts w:ascii="Times New Roman" w:eastAsia="Times New Roman" w:hAnsi="Times New Roman" w:cs="Times New Roman"/>
          <w:lang w:eastAsia="en-AU"/>
        </w:rPr>
        <w:t>(1)(b)</w:t>
      </w:r>
      <w:r w:rsidRPr="003F1DDB">
        <w:rPr>
          <w:rFonts w:ascii="Times New Roman" w:eastAsia="Times New Roman" w:hAnsi="Times New Roman" w:cs="Times New Roman"/>
          <w:lang w:eastAsia="en-AU"/>
        </w:rPr>
        <w:t xml:space="preserve"> of the </w:t>
      </w:r>
      <w:r w:rsidR="00DD46CB" w:rsidRPr="003F1DDB">
        <w:rPr>
          <w:rFonts w:ascii="Times New Roman" w:eastAsia="Times New Roman" w:hAnsi="Times New Roman" w:cs="Times New Roman"/>
          <w:lang w:eastAsia="en-AU"/>
        </w:rPr>
        <w:t xml:space="preserve">2011 CSG </w:t>
      </w:r>
      <w:r w:rsidRPr="003F1DDB">
        <w:rPr>
          <w:rFonts w:ascii="Times New Roman" w:eastAsia="Times New Roman" w:hAnsi="Times New Roman" w:cs="Times New Roman"/>
          <w:lang w:eastAsia="en-AU"/>
        </w:rPr>
        <w:t xml:space="preserve">Standard will be taken to have been given under </w:t>
      </w:r>
      <w:r w:rsidR="00635D13" w:rsidRPr="003F1DDB">
        <w:rPr>
          <w:rFonts w:ascii="Times New Roman" w:eastAsia="Times New Roman" w:hAnsi="Times New Roman" w:cs="Times New Roman"/>
          <w:lang w:eastAsia="en-AU"/>
        </w:rPr>
        <w:t xml:space="preserve">paragraph </w:t>
      </w:r>
      <w:r w:rsidRPr="003F1DDB">
        <w:rPr>
          <w:rFonts w:ascii="Times New Roman" w:eastAsia="Times New Roman" w:hAnsi="Times New Roman" w:cs="Times New Roman"/>
          <w:lang w:eastAsia="en-AU"/>
        </w:rPr>
        <w:t>2</w:t>
      </w:r>
      <w:r w:rsidR="007432A3" w:rsidRPr="003F1DDB">
        <w:rPr>
          <w:rFonts w:ascii="Times New Roman" w:eastAsia="Times New Roman" w:hAnsi="Times New Roman" w:cs="Times New Roman"/>
          <w:lang w:eastAsia="en-AU"/>
        </w:rPr>
        <w:t>7</w:t>
      </w:r>
      <w:r w:rsidR="007B7C25" w:rsidRPr="003F1DDB">
        <w:rPr>
          <w:rFonts w:ascii="Times New Roman" w:eastAsia="Times New Roman" w:hAnsi="Times New Roman" w:cs="Times New Roman"/>
          <w:lang w:eastAsia="en-AU"/>
        </w:rPr>
        <w:t>(1)(b)</w:t>
      </w:r>
      <w:r w:rsidRPr="003F1DDB">
        <w:rPr>
          <w:rFonts w:ascii="Times New Roman" w:eastAsia="Times New Roman" w:hAnsi="Times New Roman" w:cs="Times New Roman"/>
          <w:lang w:eastAsia="en-AU"/>
        </w:rPr>
        <w:t xml:space="preserve"> of the </w:t>
      </w:r>
      <w:r w:rsidR="00DD46CB" w:rsidRPr="003F1DDB">
        <w:rPr>
          <w:rFonts w:ascii="Times New Roman" w:eastAsia="Times New Roman" w:hAnsi="Times New Roman" w:cs="Times New Roman"/>
          <w:lang w:eastAsia="en-AU"/>
        </w:rPr>
        <w:t xml:space="preserve">CSG </w:t>
      </w:r>
      <w:r w:rsidRPr="003F1DDB">
        <w:rPr>
          <w:rFonts w:ascii="Times New Roman" w:eastAsia="Times New Roman" w:hAnsi="Times New Roman" w:cs="Times New Roman"/>
          <w:lang w:eastAsia="en-AU"/>
        </w:rPr>
        <w:t>Standard.</w:t>
      </w:r>
    </w:p>
    <w:p w14:paraId="06BFE17C" w14:textId="437A85A2" w:rsidR="00423910" w:rsidRPr="003F1DDB" w:rsidRDefault="00423910" w:rsidP="00635D13">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 xml:space="preserve">Section </w:t>
      </w:r>
      <w:r w:rsidR="003C58EF" w:rsidRPr="003F1DDB">
        <w:rPr>
          <w:rFonts w:ascii="Times New Roman" w:eastAsia="Times New Roman" w:hAnsi="Times New Roman" w:cs="Times New Roman"/>
          <w:b/>
          <w:lang w:eastAsia="en-AU"/>
        </w:rPr>
        <w:t>3</w:t>
      </w:r>
      <w:r w:rsidR="007B7C25" w:rsidRPr="003F1DDB">
        <w:rPr>
          <w:rFonts w:ascii="Times New Roman" w:eastAsia="Times New Roman" w:hAnsi="Times New Roman" w:cs="Times New Roman"/>
          <w:b/>
          <w:lang w:eastAsia="en-AU"/>
        </w:rPr>
        <w:t>9</w:t>
      </w:r>
      <w:r w:rsidR="003C58EF" w:rsidRPr="003F1DDB">
        <w:rPr>
          <w:rFonts w:ascii="Times New Roman" w:eastAsia="Times New Roman" w:hAnsi="Times New Roman" w:cs="Times New Roman"/>
          <w:b/>
          <w:lang w:eastAsia="en-AU"/>
        </w:rPr>
        <w:t xml:space="preserve"> </w:t>
      </w:r>
      <w:r w:rsidRPr="003F1DDB">
        <w:rPr>
          <w:rFonts w:ascii="Times New Roman" w:eastAsia="Times New Roman" w:hAnsi="Times New Roman" w:cs="Times New Roman"/>
          <w:b/>
          <w:lang w:eastAsia="en-AU"/>
        </w:rPr>
        <w:t xml:space="preserve">– Contraventions and damages payable under </w:t>
      </w:r>
      <w:r w:rsidR="003C58EF" w:rsidRPr="003F1DDB">
        <w:rPr>
          <w:rFonts w:ascii="Times New Roman" w:eastAsia="Times New Roman" w:hAnsi="Times New Roman" w:cs="Times New Roman"/>
          <w:b/>
          <w:lang w:eastAsia="en-AU"/>
        </w:rPr>
        <w:t xml:space="preserve">2011 CSG </w:t>
      </w:r>
      <w:r w:rsidRPr="003F1DDB">
        <w:rPr>
          <w:rFonts w:ascii="Times New Roman" w:eastAsia="Times New Roman" w:hAnsi="Times New Roman" w:cs="Times New Roman"/>
          <w:b/>
          <w:lang w:eastAsia="en-AU"/>
        </w:rPr>
        <w:t>Standard</w:t>
      </w:r>
    </w:p>
    <w:p w14:paraId="6F5A32B1" w14:textId="3871A0E0" w:rsidR="00423910" w:rsidRPr="003F1DDB" w:rsidRDefault="00423910" w:rsidP="00635D13">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Section </w:t>
      </w:r>
      <w:r w:rsidR="003C58EF" w:rsidRPr="003F1DDB">
        <w:rPr>
          <w:rFonts w:ascii="Times New Roman" w:eastAsia="Times New Roman" w:hAnsi="Times New Roman" w:cs="Times New Roman"/>
          <w:lang w:eastAsia="en-AU"/>
        </w:rPr>
        <w:t xml:space="preserve">38 </w:t>
      </w:r>
      <w:r w:rsidRPr="003F1DDB">
        <w:rPr>
          <w:rFonts w:ascii="Times New Roman" w:eastAsia="Times New Roman" w:hAnsi="Times New Roman" w:cs="Times New Roman"/>
          <w:lang w:eastAsia="en-AU"/>
        </w:rPr>
        <w:t xml:space="preserve">provides that where damages were available in respect of a contravention of the </w:t>
      </w:r>
      <w:r w:rsidR="00DD46CB" w:rsidRPr="003F1DDB">
        <w:rPr>
          <w:rFonts w:ascii="Times New Roman" w:eastAsia="Times New Roman" w:hAnsi="Times New Roman" w:cs="Times New Roman"/>
          <w:lang w:eastAsia="en-AU"/>
        </w:rPr>
        <w:t xml:space="preserve">2011 CSG </w:t>
      </w:r>
      <w:r w:rsidRPr="003F1DDB">
        <w:rPr>
          <w:rFonts w:ascii="Times New Roman" w:eastAsia="Times New Roman" w:hAnsi="Times New Roman" w:cs="Times New Roman"/>
          <w:lang w:eastAsia="en-AU"/>
        </w:rPr>
        <w:t xml:space="preserve">Standard, </w:t>
      </w:r>
      <w:r w:rsidR="006B6E81" w:rsidRPr="003F1DDB">
        <w:rPr>
          <w:rFonts w:ascii="Times New Roman" w:eastAsia="Times New Roman" w:hAnsi="Times New Roman" w:cs="Times New Roman"/>
          <w:lang w:eastAsia="en-AU"/>
        </w:rPr>
        <w:t xml:space="preserve">and were not paid prior to the commencement of the CSG Standard, </w:t>
      </w:r>
      <w:r w:rsidRPr="003F1DDB">
        <w:rPr>
          <w:rFonts w:ascii="Times New Roman" w:eastAsia="Times New Roman" w:hAnsi="Times New Roman" w:cs="Times New Roman"/>
          <w:lang w:eastAsia="en-AU"/>
        </w:rPr>
        <w:t xml:space="preserve">the </w:t>
      </w:r>
      <w:r w:rsidR="00DD46CB" w:rsidRPr="003F1DDB">
        <w:rPr>
          <w:rFonts w:ascii="Times New Roman" w:eastAsia="Times New Roman" w:hAnsi="Times New Roman" w:cs="Times New Roman"/>
          <w:lang w:eastAsia="en-AU"/>
        </w:rPr>
        <w:t xml:space="preserve">2011 CSG </w:t>
      </w:r>
      <w:r w:rsidRPr="003F1DDB">
        <w:rPr>
          <w:rFonts w:ascii="Times New Roman" w:eastAsia="Times New Roman" w:hAnsi="Times New Roman" w:cs="Times New Roman"/>
          <w:lang w:eastAsia="en-AU"/>
        </w:rPr>
        <w:t>Standard appl</w:t>
      </w:r>
      <w:r w:rsidR="00825C47" w:rsidRPr="003F1DDB">
        <w:rPr>
          <w:rFonts w:ascii="Times New Roman" w:eastAsia="Times New Roman" w:hAnsi="Times New Roman" w:cs="Times New Roman"/>
          <w:lang w:eastAsia="en-AU"/>
        </w:rPr>
        <w:t xml:space="preserve">ies in respect of that contravention, </w:t>
      </w:r>
      <w:r w:rsidRPr="003F1DDB">
        <w:rPr>
          <w:rFonts w:ascii="Times New Roman" w:eastAsia="Times New Roman" w:hAnsi="Times New Roman" w:cs="Times New Roman"/>
          <w:lang w:eastAsia="en-AU"/>
        </w:rPr>
        <w:t xml:space="preserve">so that damages will continue to be available and will be calculated in accordance with the </w:t>
      </w:r>
      <w:r w:rsidR="00DD46CB" w:rsidRPr="003F1DDB">
        <w:rPr>
          <w:rFonts w:ascii="Times New Roman" w:eastAsia="Times New Roman" w:hAnsi="Times New Roman" w:cs="Times New Roman"/>
          <w:lang w:eastAsia="en-AU"/>
        </w:rPr>
        <w:t xml:space="preserve">2011 CSG </w:t>
      </w:r>
      <w:r w:rsidRPr="003F1DDB">
        <w:rPr>
          <w:rFonts w:ascii="Times New Roman" w:eastAsia="Times New Roman" w:hAnsi="Times New Roman" w:cs="Times New Roman"/>
          <w:lang w:eastAsia="en-AU"/>
        </w:rPr>
        <w:t>Standard.</w:t>
      </w:r>
    </w:p>
    <w:p w14:paraId="29CD4E98" w14:textId="5C6A5033" w:rsidR="00423910" w:rsidRPr="003F1DDB" w:rsidRDefault="00423910" w:rsidP="00635D13">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Schedule 1 – Guaranteed maximum connection periods – sites in close proximity to external plant facilities</w:t>
      </w:r>
    </w:p>
    <w:p w14:paraId="54E02C74" w14:textId="77777777" w:rsidR="00423910" w:rsidRPr="003F1DDB" w:rsidRDefault="00423910" w:rsidP="00635D13">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1 – Interpretation</w:t>
      </w:r>
    </w:p>
    <w:p w14:paraId="69887433" w14:textId="77777777" w:rsidR="00423910" w:rsidRPr="003F1DDB" w:rsidRDefault="00423910" w:rsidP="00635D13">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101 – References to in-place connections</w:t>
      </w:r>
    </w:p>
    <w:p w14:paraId="32DEB8B2" w14:textId="7777777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Item 101 explains the meaning of an ‘in-place’ connection as referred to in Part 2 of Schedule 1 as the connection of a specified service at a site where a previous working CSG service has been cancelled and is available for automatic reconnection or reactivation by a CSP.  </w:t>
      </w:r>
    </w:p>
    <w:p w14:paraId="7C9AB218"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102 – References to geographic areas</w:t>
      </w:r>
    </w:p>
    <w:p w14:paraId="55AF33DC" w14:textId="1133D235"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Item 102 explains the meaning of ‘urban centre’ and a ‘locality’ referred to in Part 2 of Schedule 1</w:t>
      </w:r>
      <w:r w:rsidR="00B540E6" w:rsidRPr="003F1DDB">
        <w:rPr>
          <w:rFonts w:ascii="Times New Roman" w:eastAsia="Times New Roman" w:hAnsi="Times New Roman" w:cs="Times New Roman"/>
          <w:lang w:eastAsia="en-AU"/>
        </w:rPr>
        <w:t xml:space="preserve">, noting that both are </w:t>
      </w:r>
      <w:r w:rsidR="000C0599" w:rsidRPr="003F1DDB">
        <w:rPr>
          <w:rFonts w:ascii="Times New Roman" w:eastAsia="Times New Roman" w:hAnsi="Times New Roman" w:cs="Times New Roman"/>
          <w:lang w:eastAsia="en-AU"/>
        </w:rPr>
        <w:t xml:space="preserve">geographic areas defined as such by the Australian Bureau of Statistics (ABS) in relation to the most recent Australian Census. A </w:t>
      </w:r>
      <w:r w:rsidR="00B540E6" w:rsidRPr="003F1DDB">
        <w:rPr>
          <w:rFonts w:ascii="Times New Roman" w:eastAsia="Times New Roman" w:hAnsi="Times New Roman" w:cs="Times New Roman"/>
          <w:lang w:eastAsia="en-AU"/>
        </w:rPr>
        <w:t>n</w:t>
      </w:r>
      <w:r w:rsidR="000C0599" w:rsidRPr="003F1DDB">
        <w:rPr>
          <w:rFonts w:ascii="Times New Roman" w:eastAsia="Times New Roman" w:hAnsi="Times New Roman" w:cs="Times New Roman"/>
          <w:lang w:eastAsia="en-AU"/>
        </w:rPr>
        <w:t xml:space="preserve">ote to the </w:t>
      </w:r>
      <w:r w:rsidR="00FD65E8" w:rsidRPr="003F1DDB">
        <w:rPr>
          <w:rFonts w:ascii="Times New Roman" w:eastAsia="Times New Roman" w:hAnsi="Times New Roman" w:cs="Times New Roman"/>
          <w:lang w:eastAsia="en-AU"/>
        </w:rPr>
        <w:t xml:space="preserve">item </w:t>
      </w:r>
      <w:r w:rsidR="000C0599" w:rsidRPr="003F1DDB">
        <w:rPr>
          <w:rFonts w:ascii="Times New Roman" w:eastAsia="Times New Roman" w:hAnsi="Times New Roman" w:cs="Times New Roman"/>
          <w:lang w:eastAsia="en-AU"/>
        </w:rPr>
        <w:t xml:space="preserve">provides a reference to the relevant ABS publication </w:t>
      </w:r>
      <w:r w:rsidR="000C0599" w:rsidRPr="003F1DDB">
        <w:rPr>
          <w:rFonts w:ascii="Times New Roman" w:eastAsia="Times New Roman" w:hAnsi="Times New Roman" w:cs="Times New Roman"/>
          <w:i/>
          <w:iCs/>
          <w:lang w:eastAsia="en-AU"/>
        </w:rPr>
        <w:t>Australia Standard Geographical Classification (ASGC) Edition</w:t>
      </w:r>
      <w:r w:rsidR="005A02CB" w:rsidRPr="003F1DDB">
        <w:rPr>
          <w:rFonts w:ascii="Times New Roman" w:eastAsia="Times New Roman" w:hAnsi="Times New Roman" w:cs="Times New Roman"/>
          <w:i/>
          <w:iCs/>
          <w:lang w:eastAsia="en-AU"/>
        </w:rPr>
        <w:t xml:space="preserve"> 3.</w:t>
      </w:r>
      <w:r w:rsidR="000C0599" w:rsidRPr="003F1DDB">
        <w:rPr>
          <w:rFonts w:ascii="Times New Roman" w:eastAsia="Times New Roman" w:hAnsi="Times New Roman" w:cs="Times New Roman"/>
          <w:i/>
          <w:iCs/>
          <w:lang w:eastAsia="en-AU"/>
        </w:rPr>
        <w:t xml:space="preserve"> </w:t>
      </w:r>
    </w:p>
    <w:p w14:paraId="75A8EFE3"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2 – Guaranteed maximum connection periods</w:t>
      </w:r>
    </w:p>
    <w:p w14:paraId="5E266CAE"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201 – Sites with in-place connections</w:t>
      </w:r>
    </w:p>
    <w:p w14:paraId="03243FFB" w14:textId="2CA5AD71"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Item 201 specifies that the guaranteed maximum connection period for an ‘in-place’ connection is within two </w:t>
      </w:r>
      <w:r w:rsidR="00E203A2"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days after the CSP receives the customer request.</w:t>
      </w:r>
    </w:p>
    <w:p w14:paraId="3164F3A1"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202 – Other sites</w:t>
      </w:r>
    </w:p>
    <w:p w14:paraId="08E325E8" w14:textId="7777777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Item 202 specifies the guaranteed maximum connection periods for four site categories according to population parameters. These are specified for areas where an ‘in-place’ connection is not applicable.</w:t>
      </w:r>
    </w:p>
    <w:p w14:paraId="0D31F486" w14:textId="2D7D006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lastRenderedPageBreak/>
        <w:t xml:space="preserve">Paragraph 202(a) provides that the guaranteed maximum connection period for sites with a population of equal to or greater than 10,000 people is not later than 5 </w:t>
      </w:r>
      <w:r w:rsidR="00E203A2" w:rsidRPr="003F1DDB">
        <w:rPr>
          <w:rFonts w:ascii="Times New Roman" w:eastAsia="Times New Roman" w:hAnsi="Times New Roman" w:cs="Times New Roman"/>
          <w:lang w:eastAsia="en-AU"/>
        </w:rPr>
        <w:t xml:space="preserve">business </w:t>
      </w:r>
      <w:r w:rsidRPr="003F1DDB">
        <w:rPr>
          <w:rFonts w:ascii="Times New Roman" w:eastAsia="Times New Roman" w:hAnsi="Times New Roman" w:cs="Times New Roman"/>
          <w:lang w:eastAsia="en-AU"/>
        </w:rPr>
        <w:t xml:space="preserve">days after the CSP receives the request. </w:t>
      </w:r>
    </w:p>
    <w:p w14:paraId="507E77D8" w14:textId="761F7173"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Paragraph 202(b) provides that the guaranteed maximum connection period for sites with a population of greater than 2,500 people but less than 10,000 is not later than 10 </w:t>
      </w:r>
      <w:r w:rsidR="00E203A2" w:rsidRPr="003F1DDB">
        <w:rPr>
          <w:rFonts w:ascii="Times New Roman" w:eastAsia="Times New Roman" w:hAnsi="Times New Roman" w:cs="Times New Roman"/>
          <w:lang w:eastAsia="en-AU"/>
        </w:rPr>
        <w:t>business</w:t>
      </w:r>
      <w:r w:rsidRPr="003F1DDB">
        <w:rPr>
          <w:rFonts w:ascii="Times New Roman" w:eastAsia="Times New Roman" w:hAnsi="Times New Roman" w:cs="Times New Roman"/>
          <w:lang w:eastAsia="en-AU"/>
        </w:rPr>
        <w:t xml:space="preserve"> days after the CSP receives the request.</w:t>
      </w:r>
    </w:p>
    <w:p w14:paraId="1EC87808" w14:textId="77377EAD"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Paragraphs 202(c) and (d) provide that the guaranteed maximum connection period for sites with a population between 200 and 2,500 people, and </w:t>
      </w:r>
      <w:r w:rsidR="00C03596" w:rsidRPr="003F1DDB">
        <w:rPr>
          <w:rFonts w:ascii="Times New Roman" w:eastAsia="Times New Roman" w:hAnsi="Times New Roman" w:cs="Times New Roman"/>
          <w:lang w:eastAsia="en-AU"/>
        </w:rPr>
        <w:t xml:space="preserve">any other </w:t>
      </w:r>
      <w:r w:rsidRPr="003F1DDB">
        <w:rPr>
          <w:rFonts w:ascii="Times New Roman" w:eastAsia="Times New Roman" w:hAnsi="Times New Roman" w:cs="Times New Roman"/>
          <w:lang w:eastAsia="en-AU"/>
        </w:rPr>
        <w:t xml:space="preserve">sites </w:t>
      </w:r>
      <w:r w:rsidR="00747202" w:rsidRPr="003F1DDB">
        <w:rPr>
          <w:rFonts w:ascii="Times New Roman" w:eastAsia="Times New Roman" w:hAnsi="Times New Roman" w:cs="Times New Roman"/>
          <w:lang w:eastAsia="en-AU"/>
        </w:rPr>
        <w:t xml:space="preserve">not covered by paragraphs (a) or (b), </w:t>
      </w:r>
      <w:r w:rsidRPr="003F1DDB">
        <w:rPr>
          <w:rFonts w:ascii="Times New Roman" w:eastAsia="Times New Roman" w:hAnsi="Times New Roman" w:cs="Times New Roman"/>
          <w:lang w:eastAsia="en-AU"/>
        </w:rPr>
        <w:t xml:space="preserve">is within 15 </w:t>
      </w:r>
      <w:r w:rsidR="00E203A2" w:rsidRPr="003F1DDB">
        <w:rPr>
          <w:rFonts w:ascii="Times New Roman" w:eastAsia="Times New Roman" w:hAnsi="Times New Roman" w:cs="Times New Roman"/>
          <w:lang w:eastAsia="en-AU"/>
        </w:rPr>
        <w:t>business</w:t>
      </w:r>
      <w:r w:rsidRPr="003F1DDB">
        <w:rPr>
          <w:rFonts w:ascii="Times New Roman" w:eastAsia="Times New Roman" w:hAnsi="Times New Roman" w:cs="Times New Roman"/>
          <w:lang w:eastAsia="en-AU"/>
        </w:rPr>
        <w:t xml:space="preserve"> days of the customer’s request.</w:t>
      </w:r>
    </w:p>
    <w:p w14:paraId="349D7804"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Schedule 2 – Categories of contravention of performance standards and damages</w:t>
      </w:r>
    </w:p>
    <w:p w14:paraId="03543B72" w14:textId="2F950FAA"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1 – Interpretation</w:t>
      </w:r>
    </w:p>
    <w:p w14:paraId="692E4258" w14:textId="5255354E" w:rsidR="007B7C25" w:rsidRPr="003F1DDB" w:rsidRDefault="007B7C25"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101 – References to delays</w:t>
      </w:r>
    </w:p>
    <w:p w14:paraId="5179303F" w14:textId="2477321C"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Item 101 explains the meaning of ‘delay’ when referred to in Part 2 of Schedule 2 in relation to the connection of service, rectification of service, and the keeping of appointments, with a delay referring to the CSP exceeding the guaranteed maximum connection </w:t>
      </w:r>
      <w:r w:rsidR="00DD46CB" w:rsidRPr="003F1DDB">
        <w:rPr>
          <w:rFonts w:ascii="Times New Roman" w:eastAsia="Times New Roman" w:hAnsi="Times New Roman" w:cs="Times New Roman"/>
          <w:lang w:eastAsia="en-AU"/>
        </w:rPr>
        <w:t xml:space="preserve">period </w:t>
      </w:r>
      <w:r w:rsidRPr="003F1DDB">
        <w:rPr>
          <w:rFonts w:ascii="Times New Roman" w:eastAsia="Times New Roman" w:hAnsi="Times New Roman" w:cs="Times New Roman"/>
          <w:lang w:eastAsia="en-AU"/>
        </w:rPr>
        <w:t xml:space="preserve">or </w:t>
      </w:r>
      <w:r w:rsidR="00DD46CB" w:rsidRPr="003F1DDB">
        <w:rPr>
          <w:rFonts w:ascii="Times New Roman" w:eastAsia="Times New Roman" w:hAnsi="Times New Roman" w:cs="Times New Roman"/>
          <w:lang w:eastAsia="en-AU"/>
        </w:rPr>
        <w:t xml:space="preserve">guaranteed maximum </w:t>
      </w:r>
      <w:r w:rsidRPr="003F1DDB">
        <w:rPr>
          <w:rFonts w:ascii="Times New Roman" w:eastAsia="Times New Roman" w:hAnsi="Times New Roman" w:cs="Times New Roman"/>
          <w:lang w:eastAsia="en-AU"/>
        </w:rPr>
        <w:t xml:space="preserve">rectification period for a specified service or the CSP failing to comply with an arrangement made by the CSP with the customer for a connection or fault rectification on a particular day or in a particular period. </w:t>
      </w:r>
      <w:r w:rsidR="002F116F">
        <w:rPr>
          <w:rFonts w:ascii="Times New Roman" w:eastAsia="Times New Roman" w:hAnsi="Times New Roman" w:cs="Times New Roman"/>
          <w:lang w:eastAsia="en-AU"/>
        </w:rPr>
        <w:t>Subitem</w:t>
      </w:r>
      <w:r w:rsidRPr="003F1DDB">
        <w:rPr>
          <w:rFonts w:ascii="Times New Roman" w:eastAsia="Times New Roman" w:hAnsi="Times New Roman" w:cs="Times New Roman"/>
          <w:lang w:eastAsia="en-AU"/>
        </w:rPr>
        <w:t xml:space="preserve"> </w:t>
      </w:r>
      <w:r w:rsidR="002F116F">
        <w:rPr>
          <w:rFonts w:ascii="Times New Roman" w:eastAsia="Times New Roman" w:hAnsi="Times New Roman" w:cs="Times New Roman"/>
          <w:lang w:eastAsia="en-AU"/>
        </w:rPr>
        <w:t>101</w:t>
      </w:r>
      <w:r w:rsidRPr="003F1DDB">
        <w:rPr>
          <w:rFonts w:ascii="Times New Roman" w:eastAsia="Times New Roman" w:hAnsi="Times New Roman" w:cs="Times New Roman"/>
          <w:lang w:eastAsia="en-AU"/>
        </w:rPr>
        <w:t xml:space="preserve">(2) </w:t>
      </w:r>
      <w:r w:rsidR="000939A1" w:rsidRPr="003F1DDB">
        <w:rPr>
          <w:rFonts w:ascii="Times New Roman" w:eastAsia="Times New Roman" w:hAnsi="Times New Roman" w:cs="Times New Roman"/>
          <w:lang w:eastAsia="en-AU"/>
        </w:rPr>
        <w:t>provides</w:t>
      </w:r>
      <w:r w:rsidRPr="003F1DDB">
        <w:rPr>
          <w:rFonts w:ascii="Times New Roman" w:eastAsia="Times New Roman" w:hAnsi="Times New Roman" w:cs="Times New Roman"/>
          <w:lang w:eastAsia="en-AU"/>
        </w:rPr>
        <w:t xml:space="preserve"> that, where a carriage service provider provides an interim service for the duration of the delay, a reference to a delay will not be reference to a contravention of the CSG Standard.</w:t>
      </w:r>
    </w:p>
    <w:p w14:paraId="05A31CE1" w14:textId="3A151052" w:rsidR="007B7C25" w:rsidRPr="003F1DDB" w:rsidRDefault="007B7C25"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102 – References to residential/charity customers</w:t>
      </w:r>
    </w:p>
    <w:p w14:paraId="313CC4B2" w14:textId="574E32AB"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Item 102 </w:t>
      </w:r>
      <w:r w:rsidR="007B7C25" w:rsidRPr="003F1DDB">
        <w:rPr>
          <w:rFonts w:ascii="Times New Roman" w:eastAsia="Times New Roman" w:hAnsi="Times New Roman" w:cs="Times New Roman"/>
          <w:lang w:eastAsia="en-AU"/>
        </w:rPr>
        <w:t>defines</w:t>
      </w:r>
      <w:r w:rsidRPr="003F1DDB">
        <w:rPr>
          <w:rFonts w:ascii="Times New Roman" w:eastAsia="Times New Roman" w:hAnsi="Times New Roman" w:cs="Times New Roman"/>
          <w:lang w:eastAsia="en-AU"/>
        </w:rPr>
        <w:t xml:space="preserve"> </w:t>
      </w:r>
      <w:r w:rsidR="007B7C25" w:rsidRPr="003F1DDB">
        <w:rPr>
          <w:rFonts w:ascii="Times New Roman" w:eastAsia="Times New Roman" w:hAnsi="Times New Roman" w:cs="Times New Roman"/>
          <w:lang w:eastAsia="en-AU"/>
        </w:rPr>
        <w:t>two of the three</w:t>
      </w:r>
      <w:r w:rsidRPr="003F1DDB">
        <w:rPr>
          <w:rFonts w:ascii="Times New Roman" w:eastAsia="Times New Roman" w:hAnsi="Times New Roman" w:cs="Times New Roman"/>
          <w:lang w:eastAsia="en-AU"/>
        </w:rPr>
        <w:t xml:space="preserve"> categories of customers referred to in Part 2 of Schedule 2.</w:t>
      </w:r>
    </w:p>
    <w:p w14:paraId="33FAD2BC" w14:textId="0467E5DD" w:rsidR="007B7C25" w:rsidRPr="003F1DDB" w:rsidRDefault="007B7C25"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Item 103 – References to business customers</w:t>
      </w:r>
    </w:p>
    <w:p w14:paraId="56B7E3F9" w14:textId="088C92C7" w:rsidR="007B7C25" w:rsidRPr="003F1DDB" w:rsidRDefault="007B7C25" w:rsidP="007B7C25">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Item 103 defines the remaining category of customer referred to in Part 2 of Schedule 2.</w:t>
      </w:r>
    </w:p>
    <w:p w14:paraId="52A2D8A3"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Part 2 – Contraventions and damages</w:t>
      </w:r>
    </w:p>
    <w:p w14:paraId="4C5DBFE1" w14:textId="77777777" w:rsidR="00423910" w:rsidRPr="003F1DDB" w:rsidRDefault="00423910" w:rsidP="00423910">
      <w:pPr>
        <w:autoSpaceDE w:val="0"/>
        <w:autoSpaceDN w:val="0"/>
        <w:adjustRightInd w:val="0"/>
        <w:spacing w:before="80" w:after="120" w:line="240" w:lineRule="auto"/>
        <w:rPr>
          <w:rFonts w:ascii="Times New Roman" w:eastAsia="Times New Roman" w:hAnsi="Times New Roman" w:cs="Times New Roman"/>
          <w:lang w:eastAsia="en-AU"/>
        </w:rPr>
      </w:pPr>
      <w:r w:rsidRPr="003F1DDB">
        <w:rPr>
          <w:rFonts w:ascii="Times New Roman" w:eastAsia="Times New Roman" w:hAnsi="Times New Roman" w:cs="Times New Roman"/>
          <w:lang w:eastAsia="en-AU"/>
        </w:rPr>
        <w:t xml:space="preserve">This Part sets out the categories of contraventions for which damages are payable and the corresponding damages payable. </w:t>
      </w:r>
    </w:p>
    <w:p w14:paraId="0FF571AB" w14:textId="77777777" w:rsidR="00423910" w:rsidRPr="003F1DDB" w:rsidRDefault="00423910" w:rsidP="007226FE">
      <w:pPr>
        <w:spacing w:line="240" w:lineRule="auto"/>
        <w:rPr>
          <w:rFonts w:ascii="Times New Roman" w:eastAsia="Times New Roman" w:hAnsi="Times New Roman" w:cs="Times New Roman"/>
          <w:b/>
          <w:lang w:eastAsia="en-AU"/>
        </w:rPr>
      </w:pPr>
      <w:r w:rsidRPr="003F1DDB">
        <w:rPr>
          <w:rFonts w:ascii="Times New Roman" w:eastAsia="Times New Roman" w:hAnsi="Times New Roman" w:cs="Times New Roman"/>
          <w:b/>
          <w:lang w:eastAsia="en-AU"/>
        </w:rPr>
        <w:t>Schedule 3 – Criteria for extreme weather conditions</w:t>
      </w:r>
    </w:p>
    <w:p w14:paraId="1A004ED8" w14:textId="48FFD9F8" w:rsidR="00B368BE" w:rsidRPr="00BB1B68" w:rsidRDefault="00423910" w:rsidP="00E864A0">
      <w:pPr>
        <w:spacing w:after="0" w:line="240" w:lineRule="auto"/>
      </w:pPr>
      <w:r w:rsidRPr="003F1DDB">
        <w:rPr>
          <w:rFonts w:ascii="Times New Roman" w:eastAsia="Times New Roman" w:hAnsi="Times New Roman" w:cs="Times New Roman"/>
          <w:lang w:eastAsia="en-AU"/>
        </w:rPr>
        <w:t xml:space="preserve">Schedule 3 contains the criteria for the definition of extreme weather conditions in section </w:t>
      </w:r>
      <w:r w:rsidR="00DD46CB" w:rsidRPr="003F1DDB">
        <w:rPr>
          <w:rFonts w:ascii="Times New Roman" w:eastAsia="Times New Roman" w:hAnsi="Times New Roman" w:cs="Times New Roman"/>
          <w:lang w:eastAsia="en-AU"/>
        </w:rPr>
        <w:t>6</w:t>
      </w:r>
      <w:r w:rsidRPr="003F1DDB">
        <w:rPr>
          <w:rFonts w:ascii="Times New Roman" w:eastAsia="Times New Roman" w:hAnsi="Times New Roman" w:cs="Times New Roman"/>
          <w:lang w:eastAsia="en-AU"/>
        </w:rPr>
        <w:t xml:space="preserve">. This Schedule is intended to provide clarity around the exemption declaration process by providing empirical definitions </w:t>
      </w:r>
      <w:r w:rsidR="002F116F">
        <w:rPr>
          <w:rFonts w:ascii="Times New Roman" w:eastAsia="Times New Roman" w:hAnsi="Times New Roman" w:cs="Times New Roman"/>
          <w:lang w:eastAsia="en-AU"/>
        </w:rPr>
        <w:t>of</w:t>
      </w:r>
      <w:r w:rsidRPr="003F1DDB">
        <w:rPr>
          <w:rFonts w:ascii="Times New Roman" w:eastAsia="Times New Roman" w:hAnsi="Times New Roman" w:cs="Times New Roman"/>
          <w:lang w:eastAsia="en-AU"/>
        </w:rPr>
        <w:t xml:space="preserve"> what constitutes extreme</w:t>
      </w:r>
      <w:r w:rsidRPr="00423910">
        <w:rPr>
          <w:rFonts w:ascii="Times New Roman" w:eastAsia="Times New Roman" w:hAnsi="Times New Roman" w:cs="Times New Roman"/>
          <w:sz w:val="24"/>
          <w:szCs w:val="24"/>
          <w:lang w:eastAsia="en-AU"/>
        </w:rPr>
        <w:t xml:space="preserve"> weather. </w:t>
      </w:r>
    </w:p>
    <w:sectPr w:rsidR="00B368BE" w:rsidRPr="00BB1B68" w:rsidSect="00082354">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0EBD" w14:textId="77777777" w:rsidR="00043E4D" w:rsidRDefault="00043E4D" w:rsidP="00025ACE">
      <w:pPr>
        <w:spacing w:after="0" w:line="240" w:lineRule="auto"/>
      </w:pPr>
      <w:r>
        <w:separator/>
      </w:r>
    </w:p>
  </w:endnote>
  <w:endnote w:type="continuationSeparator" w:id="0">
    <w:p w14:paraId="77F7F6F4" w14:textId="77777777" w:rsidR="00043E4D" w:rsidRDefault="00043E4D"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7A9CDA51" w14:textId="592C440E" w:rsidR="00AD3414" w:rsidRPr="00AD3414" w:rsidRDefault="00AD3414" w:rsidP="00232EA2">
        <w:pPr>
          <w:pStyle w:val="Footer"/>
          <w:pBdr>
            <w:top w:val="single" w:sz="4" w:space="10" w:color="auto"/>
          </w:pBdr>
          <w:spacing w:before="240" w:after="240"/>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D86CB7">
          <w:rPr>
            <w:rFonts w:ascii="Times New Roman" w:hAnsi="Times New Roman" w:cs="Times New Roman"/>
            <w:i/>
          </w:rPr>
          <w:t xml:space="preserve">Telecommunications </w:t>
        </w:r>
        <w:r w:rsidR="00FF0AF0">
          <w:rPr>
            <w:rFonts w:ascii="Times New Roman" w:hAnsi="Times New Roman" w:cs="Times New Roman"/>
            <w:i/>
          </w:rPr>
          <w:t>(Customer Service Guarantee)</w:t>
        </w:r>
        <w:r w:rsidR="00D86CB7">
          <w:rPr>
            <w:rFonts w:ascii="Times New Roman" w:hAnsi="Times New Roman" w:cs="Times New Roman"/>
            <w:i/>
          </w:rPr>
          <w:t xml:space="preserve"> Standard 202</w:t>
        </w:r>
        <w:r w:rsidR="00FF0AF0">
          <w:rPr>
            <w:rFonts w:ascii="Times New Roman" w:hAnsi="Times New Roman" w:cs="Times New Roman"/>
            <w:i/>
          </w:rPr>
          <w:t>3</w:t>
        </w:r>
      </w:p>
      <w:p w14:paraId="4E36910F" w14:textId="23275338"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9338" w14:textId="77777777" w:rsidR="00043E4D" w:rsidRDefault="00043E4D" w:rsidP="00025ACE">
      <w:pPr>
        <w:spacing w:after="0" w:line="240" w:lineRule="auto"/>
      </w:pPr>
      <w:r>
        <w:separator/>
      </w:r>
    </w:p>
  </w:footnote>
  <w:footnote w:type="continuationSeparator" w:id="0">
    <w:p w14:paraId="1BAC0CF9" w14:textId="77777777" w:rsidR="00043E4D" w:rsidRDefault="00043E4D"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D49F" w14:textId="7718E212" w:rsidR="0036293E" w:rsidRDefault="00362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2A2D" w14:textId="10A5B3CB" w:rsidR="0036293E" w:rsidRDefault="0036293E" w:rsidP="005A5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F6F"/>
    <w:multiLevelType w:val="hybridMultilevel"/>
    <w:tmpl w:val="AA3687F4"/>
    <w:lvl w:ilvl="0" w:tplc="2E90C87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44567"/>
    <w:multiLevelType w:val="hybridMultilevel"/>
    <w:tmpl w:val="D6589B20"/>
    <w:lvl w:ilvl="0" w:tplc="B0287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875EB"/>
    <w:multiLevelType w:val="hybridMultilevel"/>
    <w:tmpl w:val="A0902742"/>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5D54A6"/>
    <w:multiLevelType w:val="hybridMultilevel"/>
    <w:tmpl w:val="21BA5276"/>
    <w:lvl w:ilvl="0" w:tplc="310273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22B89"/>
    <w:multiLevelType w:val="hybridMultilevel"/>
    <w:tmpl w:val="BB38D9E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F68B7"/>
    <w:multiLevelType w:val="hybridMultilevel"/>
    <w:tmpl w:val="DE5E3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FE48EC"/>
    <w:multiLevelType w:val="hybridMultilevel"/>
    <w:tmpl w:val="9EF81C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311893"/>
    <w:multiLevelType w:val="hybridMultilevel"/>
    <w:tmpl w:val="D5688F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C2C186A"/>
    <w:multiLevelType w:val="hybridMultilevel"/>
    <w:tmpl w:val="D5688FF8"/>
    <w:lvl w:ilvl="0" w:tplc="A7F6133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EE200D3"/>
    <w:multiLevelType w:val="hybridMultilevel"/>
    <w:tmpl w:val="A322DE44"/>
    <w:lvl w:ilvl="0" w:tplc="130407F8">
      <w:start w:val="1"/>
      <w:numFmt w:val="lowerRoman"/>
      <w:lvlText w:val="(%1)"/>
      <w:lvlJc w:val="left"/>
      <w:pPr>
        <w:ind w:left="720" w:hanging="360"/>
      </w:pPr>
    </w:lvl>
    <w:lvl w:ilvl="1" w:tplc="ECB21B44">
      <w:start w:val="1"/>
      <w:numFmt w:val="lowerLetter"/>
      <w:lvlText w:val="(%2)"/>
      <w:lvlJc w:val="left"/>
      <w:pPr>
        <w:ind w:left="1440" w:hanging="360"/>
      </w:pPr>
    </w:lvl>
    <w:lvl w:ilvl="2" w:tplc="D0DC20A0">
      <w:start w:val="1"/>
      <w:numFmt w:val="lowerRoman"/>
      <w:suff w:val="space"/>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3FB0408"/>
    <w:multiLevelType w:val="hybridMultilevel"/>
    <w:tmpl w:val="FD8A5A08"/>
    <w:lvl w:ilvl="0" w:tplc="678E0D14">
      <w:start w:val="1"/>
      <w:numFmt w:val="lowerLetter"/>
      <w:lvlText w:val="(%1)"/>
      <w:lvlJc w:val="left"/>
      <w:pPr>
        <w:ind w:left="3196" w:hanging="360"/>
      </w:pPr>
    </w:lvl>
    <w:lvl w:ilvl="1" w:tplc="0C090019">
      <w:start w:val="1"/>
      <w:numFmt w:val="lowerLetter"/>
      <w:lvlText w:val="%2."/>
      <w:lvlJc w:val="left"/>
      <w:pPr>
        <w:ind w:left="3916" w:hanging="360"/>
      </w:pPr>
    </w:lvl>
    <w:lvl w:ilvl="2" w:tplc="0C09001B">
      <w:start w:val="1"/>
      <w:numFmt w:val="lowerRoman"/>
      <w:lvlText w:val="%3."/>
      <w:lvlJc w:val="right"/>
      <w:pPr>
        <w:ind w:left="4636" w:hanging="180"/>
      </w:pPr>
    </w:lvl>
    <w:lvl w:ilvl="3" w:tplc="0C09000F">
      <w:start w:val="1"/>
      <w:numFmt w:val="decimal"/>
      <w:lvlText w:val="%4."/>
      <w:lvlJc w:val="left"/>
      <w:pPr>
        <w:ind w:left="5356" w:hanging="360"/>
      </w:pPr>
    </w:lvl>
    <w:lvl w:ilvl="4" w:tplc="0C090019">
      <w:start w:val="1"/>
      <w:numFmt w:val="lowerLetter"/>
      <w:lvlText w:val="%5."/>
      <w:lvlJc w:val="left"/>
      <w:pPr>
        <w:ind w:left="6076" w:hanging="360"/>
      </w:pPr>
    </w:lvl>
    <w:lvl w:ilvl="5" w:tplc="0C09001B">
      <w:start w:val="1"/>
      <w:numFmt w:val="lowerRoman"/>
      <w:lvlText w:val="%6."/>
      <w:lvlJc w:val="right"/>
      <w:pPr>
        <w:ind w:left="6796" w:hanging="180"/>
      </w:pPr>
    </w:lvl>
    <w:lvl w:ilvl="6" w:tplc="0C09000F">
      <w:start w:val="1"/>
      <w:numFmt w:val="decimal"/>
      <w:lvlText w:val="%7."/>
      <w:lvlJc w:val="left"/>
      <w:pPr>
        <w:ind w:left="7516" w:hanging="360"/>
      </w:pPr>
    </w:lvl>
    <w:lvl w:ilvl="7" w:tplc="0C090019">
      <w:start w:val="1"/>
      <w:numFmt w:val="lowerLetter"/>
      <w:lvlText w:val="%8."/>
      <w:lvlJc w:val="left"/>
      <w:pPr>
        <w:ind w:left="8236" w:hanging="360"/>
      </w:pPr>
    </w:lvl>
    <w:lvl w:ilvl="8" w:tplc="0C09001B">
      <w:start w:val="1"/>
      <w:numFmt w:val="lowerRoman"/>
      <w:lvlText w:val="%9."/>
      <w:lvlJc w:val="right"/>
      <w:pPr>
        <w:ind w:left="8956" w:hanging="180"/>
      </w:pPr>
    </w:lvl>
  </w:abstractNum>
  <w:abstractNum w:abstractNumId="1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DD6DD5"/>
    <w:multiLevelType w:val="hybridMultilevel"/>
    <w:tmpl w:val="9C38BDC2"/>
    <w:lvl w:ilvl="0" w:tplc="A7DC2F7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9454980"/>
    <w:multiLevelType w:val="hybridMultilevel"/>
    <w:tmpl w:val="2A9CF526"/>
    <w:lvl w:ilvl="0" w:tplc="A7F6133E">
      <w:start w:val="1"/>
      <w:numFmt w:val="lowerLetter"/>
      <w:lvlText w:val="(%1)"/>
      <w:lvlJc w:val="left"/>
      <w:pPr>
        <w:ind w:left="720" w:hanging="360"/>
      </w:pPr>
    </w:lvl>
    <w:lvl w:ilvl="1" w:tplc="130407F8">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FA83CB5"/>
    <w:multiLevelType w:val="hybridMultilevel"/>
    <w:tmpl w:val="E46C921A"/>
    <w:lvl w:ilvl="0" w:tplc="2306DE96">
      <w:start w:val="12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F272C9"/>
    <w:multiLevelType w:val="hybridMultilevel"/>
    <w:tmpl w:val="BD9E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4372909">
    <w:abstractNumId w:val="18"/>
  </w:num>
  <w:num w:numId="2" w16cid:durableId="790980549">
    <w:abstractNumId w:val="13"/>
  </w:num>
  <w:num w:numId="3" w16cid:durableId="785932303">
    <w:abstractNumId w:val="4"/>
  </w:num>
  <w:num w:numId="4" w16cid:durableId="1448622133">
    <w:abstractNumId w:val="10"/>
  </w:num>
  <w:num w:numId="5" w16cid:durableId="371273790">
    <w:abstractNumId w:val="9"/>
  </w:num>
  <w:num w:numId="6" w16cid:durableId="337273120">
    <w:abstractNumId w:val="3"/>
  </w:num>
  <w:num w:numId="7" w16cid:durableId="441002164">
    <w:abstractNumId w:val="6"/>
  </w:num>
  <w:num w:numId="8" w16cid:durableId="41101565">
    <w:abstractNumId w:val="18"/>
  </w:num>
  <w:num w:numId="9" w16cid:durableId="1578631906">
    <w:abstractNumId w:val="4"/>
  </w:num>
  <w:num w:numId="10" w16cid:durableId="1244997535">
    <w:abstractNumId w:val="6"/>
  </w:num>
  <w:num w:numId="11" w16cid:durableId="991566740">
    <w:abstractNumId w:val="10"/>
  </w:num>
  <w:num w:numId="12" w16cid:durableId="858588624">
    <w:abstractNumId w:val="9"/>
  </w:num>
  <w:num w:numId="13" w16cid:durableId="928150974">
    <w:abstractNumId w:val="18"/>
  </w:num>
  <w:num w:numId="14" w16cid:durableId="946741461">
    <w:abstractNumId w:val="4"/>
  </w:num>
  <w:num w:numId="15" w16cid:durableId="2061590385">
    <w:abstractNumId w:val="6"/>
  </w:num>
  <w:num w:numId="16" w16cid:durableId="746923014">
    <w:abstractNumId w:val="10"/>
  </w:num>
  <w:num w:numId="17" w16cid:durableId="1364407289">
    <w:abstractNumId w:val="9"/>
  </w:num>
  <w:num w:numId="18" w16cid:durableId="31156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096046">
    <w:abstractNumId w:val="20"/>
  </w:num>
  <w:num w:numId="20" w16cid:durableId="1692603931">
    <w:abstractNumId w:val="8"/>
  </w:num>
  <w:num w:numId="21" w16cid:durableId="1911844746">
    <w:abstractNumId w:val="2"/>
  </w:num>
  <w:num w:numId="22" w16cid:durableId="1675453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527684">
    <w:abstractNumId w:val="19"/>
  </w:num>
  <w:num w:numId="24" w16cid:durableId="1362511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3876329">
    <w:abstractNumId w:val="21"/>
  </w:num>
  <w:num w:numId="26" w16cid:durableId="913122328">
    <w:abstractNumId w:val="19"/>
  </w:num>
  <w:num w:numId="27" w16cid:durableId="2017227083">
    <w:abstractNumId w:val="16"/>
  </w:num>
  <w:num w:numId="28" w16cid:durableId="699934296">
    <w:abstractNumId w:val="7"/>
  </w:num>
  <w:num w:numId="29" w16cid:durableId="776682303">
    <w:abstractNumId w:val="15"/>
  </w:num>
  <w:num w:numId="30" w16cid:durableId="1816684511">
    <w:abstractNumId w:val="14"/>
  </w:num>
  <w:num w:numId="31" w16cid:durableId="249387267">
    <w:abstractNumId w:val="22"/>
  </w:num>
  <w:num w:numId="32" w16cid:durableId="259337153">
    <w:abstractNumId w:val="11"/>
  </w:num>
  <w:num w:numId="33" w16cid:durableId="1379741863">
    <w:abstractNumId w:val="12"/>
  </w:num>
  <w:num w:numId="34" w16cid:durableId="271325038">
    <w:abstractNumId w:val="5"/>
  </w:num>
  <w:num w:numId="35" w16cid:durableId="164975289">
    <w:abstractNumId w:val="1"/>
  </w:num>
  <w:num w:numId="36" w16cid:durableId="138054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5A7"/>
    <w:rsid w:val="000021EA"/>
    <w:rsid w:val="00002640"/>
    <w:rsid w:val="00003720"/>
    <w:rsid w:val="00004CC1"/>
    <w:rsid w:val="00005DA1"/>
    <w:rsid w:val="00010519"/>
    <w:rsid w:val="00010DBB"/>
    <w:rsid w:val="000124F9"/>
    <w:rsid w:val="00013079"/>
    <w:rsid w:val="000132A7"/>
    <w:rsid w:val="00014CDC"/>
    <w:rsid w:val="00015F0B"/>
    <w:rsid w:val="0001676A"/>
    <w:rsid w:val="00017BFD"/>
    <w:rsid w:val="00020E76"/>
    <w:rsid w:val="000236D3"/>
    <w:rsid w:val="000241D4"/>
    <w:rsid w:val="0002426F"/>
    <w:rsid w:val="00024A5B"/>
    <w:rsid w:val="00025ACE"/>
    <w:rsid w:val="00027AD0"/>
    <w:rsid w:val="00031703"/>
    <w:rsid w:val="00032D6A"/>
    <w:rsid w:val="00032DA9"/>
    <w:rsid w:val="000331C5"/>
    <w:rsid w:val="00035A08"/>
    <w:rsid w:val="0003681B"/>
    <w:rsid w:val="00036F4A"/>
    <w:rsid w:val="00037DEA"/>
    <w:rsid w:val="00037F0E"/>
    <w:rsid w:val="0004197B"/>
    <w:rsid w:val="00043E4D"/>
    <w:rsid w:val="000455E6"/>
    <w:rsid w:val="00045CFD"/>
    <w:rsid w:val="00047CC5"/>
    <w:rsid w:val="000547B5"/>
    <w:rsid w:val="00057E0F"/>
    <w:rsid w:val="00065CEE"/>
    <w:rsid w:val="00070D91"/>
    <w:rsid w:val="00071CD5"/>
    <w:rsid w:val="000726C7"/>
    <w:rsid w:val="00074598"/>
    <w:rsid w:val="00074A8D"/>
    <w:rsid w:val="00080BD6"/>
    <w:rsid w:val="00081F5C"/>
    <w:rsid w:val="00082354"/>
    <w:rsid w:val="00083FBB"/>
    <w:rsid w:val="00093776"/>
    <w:rsid w:val="000939A1"/>
    <w:rsid w:val="000953CE"/>
    <w:rsid w:val="00095AB3"/>
    <w:rsid w:val="000975F0"/>
    <w:rsid w:val="000A04AD"/>
    <w:rsid w:val="000A152B"/>
    <w:rsid w:val="000A3A94"/>
    <w:rsid w:val="000A43F0"/>
    <w:rsid w:val="000A4E49"/>
    <w:rsid w:val="000A6051"/>
    <w:rsid w:val="000A65E4"/>
    <w:rsid w:val="000B05F2"/>
    <w:rsid w:val="000B0A07"/>
    <w:rsid w:val="000B0BA7"/>
    <w:rsid w:val="000B0BF7"/>
    <w:rsid w:val="000B1E62"/>
    <w:rsid w:val="000B203E"/>
    <w:rsid w:val="000B33B6"/>
    <w:rsid w:val="000B375C"/>
    <w:rsid w:val="000B4B6C"/>
    <w:rsid w:val="000C0599"/>
    <w:rsid w:val="000C4E45"/>
    <w:rsid w:val="000C5238"/>
    <w:rsid w:val="000C6436"/>
    <w:rsid w:val="000D2BAE"/>
    <w:rsid w:val="000D40D7"/>
    <w:rsid w:val="000D4ECE"/>
    <w:rsid w:val="000D73F8"/>
    <w:rsid w:val="000E1F80"/>
    <w:rsid w:val="000E3327"/>
    <w:rsid w:val="000E38C9"/>
    <w:rsid w:val="000E6F58"/>
    <w:rsid w:val="000F01F3"/>
    <w:rsid w:val="000F3532"/>
    <w:rsid w:val="000F4666"/>
    <w:rsid w:val="000F6255"/>
    <w:rsid w:val="000F67D2"/>
    <w:rsid w:val="000F6CB9"/>
    <w:rsid w:val="001033C6"/>
    <w:rsid w:val="00104130"/>
    <w:rsid w:val="001042F2"/>
    <w:rsid w:val="00106523"/>
    <w:rsid w:val="001078DA"/>
    <w:rsid w:val="001101AC"/>
    <w:rsid w:val="0011195D"/>
    <w:rsid w:val="00112987"/>
    <w:rsid w:val="001144A3"/>
    <w:rsid w:val="00116B9B"/>
    <w:rsid w:val="0011720E"/>
    <w:rsid w:val="00117351"/>
    <w:rsid w:val="00117A06"/>
    <w:rsid w:val="00121B9E"/>
    <w:rsid w:val="00122072"/>
    <w:rsid w:val="00122C7B"/>
    <w:rsid w:val="00125504"/>
    <w:rsid w:val="001307D5"/>
    <w:rsid w:val="00130EFD"/>
    <w:rsid w:val="00131284"/>
    <w:rsid w:val="00134705"/>
    <w:rsid w:val="00140625"/>
    <w:rsid w:val="00142CF9"/>
    <w:rsid w:val="00143D1B"/>
    <w:rsid w:val="0014655D"/>
    <w:rsid w:val="00146A0C"/>
    <w:rsid w:val="001512CC"/>
    <w:rsid w:val="00151FFC"/>
    <w:rsid w:val="001561D3"/>
    <w:rsid w:val="0015647F"/>
    <w:rsid w:val="00160CAE"/>
    <w:rsid w:val="00161C73"/>
    <w:rsid w:val="00162A04"/>
    <w:rsid w:val="00163ADA"/>
    <w:rsid w:val="0016481E"/>
    <w:rsid w:val="00167B1F"/>
    <w:rsid w:val="00172860"/>
    <w:rsid w:val="0018349E"/>
    <w:rsid w:val="001844D9"/>
    <w:rsid w:val="00185BDC"/>
    <w:rsid w:val="00186FE3"/>
    <w:rsid w:val="0018748E"/>
    <w:rsid w:val="00190E24"/>
    <w:rsid w:val="001A0A47"/>
    <w:rsid w:val="001A0AFF"/>
    <w:rsid w:val="001A1C29"/>
    <w:rsid w:val="001A262F"/>
    <w:rsid w:val="001A313C"/>
    <w:rsid w:val="001A76DD"/>
    <w:rsid w:val="001B13B9"/>
    <w:rsid w:val="001B1642"/>
    <w:rsid w:val="001B43C8"/>
    <w:rsid w:val="001B68BE"/>
    <w:rsid w:val="001B7D9A"/>
    <w:rsid w:val="001C0DEC"/>
    <w:rsid w:val="001C4BF8"/>
    <w:rsid w:val="001C5421"/>
    <w:rsid w:val="001C77DF"/>
    <w:rsid w:val="001D38D5"/>
    <w:rsid w:val="001D5C25"/>
    <w:rsid w:val="001D66E3"/>
    <w:rsid w:val="001E0F54"/>
    <w:rsid w:val="001E343E"/>
    <w:rsid w:val="001E4702"/>
    <w:rsid w:val="001F0DEE"/>
    <w:rsid w:val="001F1791"/>
    <w:rsid w:val="001F77D7"/>
    <w:rsid w:val="001F7978"/>
    <w:rsid w:val="0020146F"/>
    <w:rsid w:val="00203E1E"/>
    <w:rsid w:val="00205030"/>
    <w:rsid w:val="002056A1"/>
    <w:rsid w:val="002073A1"/>
    <w:rsid w:val="00210B3B"/>
    <w:rsid w:val="00212847"/>
    <w:rsid w:val="00212E84"/>
    <w:rsid w:val="002130ED"/>
    <w:rsid w:val="0022361E"/>
    <w:rsid w:val="00224980"/>
    <w:rsid w:val="002279B0"/>
    <w:rsid w:val="00231083"/>
    <w:rsid w:val="00232EA2"/>
    <w:rsid w:val="00233F2A"/>
    <w:rsid w:val="00241F70"/>
    <w:rsid w:val="002462ED"/>
    <w:rsid w:val="00247C96"/>
    <w:rsid w:val="002508F7"/>
    <w:rsid w:val="0025457B"/>
    <w:rsid w:val="00255787"/>
    <w:rsid w:val="0025774E"/>
    <w:rsid w:val="00260837"/>
    <w:rsid w:val="00260DFD"/>
    <w:rsid w:val="00261931"/>
    <w:rsid w:val="00262873"/>
    <w:rsid w:val="00262A26"/>
    <w:rsid w:val="002634A7"/>
    <w:rsid w:val="00264CF7"/>
    <w:rsid w:val="0026603C"/>
    <w:rsid w:val="002660DF"/>
    <w:rsid w:val="00266102"/>
    <w:rsid w:val="002674E7"/>
    <w:rsid w:val="002702F0"/>
    <w:rsid w:val="002718A6"/>
    <w:rsid w:val="00276065"/>
    <w:rsid w:val="002760A9"/>
    <w:rsid w:val="002800A7"/>
    <w:rsid w:val="002832C6"/>
    <w:rsid w:val="002834AE"/>
    <w:rsid w:val="002856FA"/>
    <w:rsid w:val="00286C01"/>
    <w:rsid w:val="00291BCD"/>
    <w:rsid w:val="00293212"/>
    <w:rsid w:val="00294C19"/>
    <w:rsid w:val="002A0053"/>
    <w:rsid w:val="002A04F6"/>
    <w:rsid w:val="002A3B19"/>
    <w:rsid w:val="002A4E10"/>
    <w:rsid w:val="002A5F50"/>
    <w:rsid w:val="002A60C8"/>
    <w:rsid w:val="002B0A61"/>
    <w:rsid w:val="002B1157"/>
    <w:rsid w:val="002B1948"/>
    <w:rsid w:val="002B4744"/>
    <w:rsid w:val="002B5BCE"/>
    <w:rsid w:val="002B6048"/>
    <w:rsid w:val="002B6452"/>
    <w:rsid w:val="002B6699"/>
    <w:rsid w:val="002B7974"/>
    <w:rsid w:val="002C0A74"/>
    <w:rsid w:val="002C2256"/>
    <w:rsid w:val="002C35BC"/>
    <w:rsid w:val="002C4CA6"/>
    <w:rsid w:val="002D25C1"/>
    <w:rsid w:val="002D2CE5"/>
    <w:rsid w:val="002D335B"/>
    <w:rsid w:val="002E0055"/>
    <w:rsid w:val="002E057A"/>
    <w:rsid w:val="002E0584"/>
    <w:rsid w:val="002E0A09"/>
    <w:rsid w:val="002E1E46"/>
    <w:rsid w:val="002E3B2A"/>
    <w:rsid w:val="002E5803"/>
    <w:rsid w:val="002E6FD9"/>
    <w:rsid w:val="002F0640"/>
    <w:rsid w:val="002F116F"/>
    <w:rsid w:val="002F2C17"/>
    <w:rsid w:val="002F3156"/>
    <w:rsid w:val="002F36E0"/>
    <w:rsid w:val="002F4EF4"/>
    <w:rsid w:val="002F74E7"/>
    <w:rsid w:val="00303EE9"/>
    <w:rsid w:val="00306AA6"/>
    <w:rsid w:val="00306EBF"/>
    <w:rsid w:val="00310467"/>
    <w:rsid w:val="00312C84"/>
    <w:rsid w:val="003135AE"/>
    <w:rsid w:val="003200D0"/>
    <w:rsid w:val="003209B3"/>
    <w:rsid w:val="00320D26"/>
    <w:rsid w:val="00324303"/>
    <w:rsid w:val="00324C29"/>
    <w:rsid w:val="00326F3E"/>
    <w:rsid w:val="00327856"/>
    <w:rsid w:val="003318CF"/>
    <w:rsid w:val="00331A29"/>
    <w:rsid w:val="00332D63"/>
    <w:rsid w:val="00332EFD"/>
    <w:rsid w:val="00333824"/>
    <w:rsid w:val="0033542E"/>
    <w:rsid w:val="00335519"/>
    <w:rsid w:val="00335D33"/>
    <w:rsid w:val="00341BF2"/>
    <w:rsid w:val="00342352"/>
    <w:rsid w:val="00342A07"/>
    <w:rsid w:val="003434D4"/>
    <w:rsid w:val="00343E33"/>
    <w:rsid w:val="00347C2F"/>
    <w:rsid w:val="00353238"/>
    <w:rsid w:val="00356315"/>
    <w:rsid w:val="003611AE"/>
    <w:rsid w:val="0036293E"/>
    <w:rsid w:val="00363025"/>
    <w:rsid w:val="00363234"/>
    <w:rsid w:val="00363B5B"/>
    <w:rsid w:val="003646F3"/>
    <w:rsid w:val="0036752E"/>
    <w:rsid w:val="00370620"/>
    <w:rsid w:val="00370759"/>
    <w:rsid w:val="00370E96"/>
    <w:rsid w:val="00375FA7"/>
    <w:rsid w:val="00380019"/>
    <w:rsid w:val="00380D34"/>
    <w:rsid w:val="003815CA"/>
    <w:rsid w:val="00382EF4"/>
    <w:rsid w:val="00384777"/>
    <w:rsid w:val="00385419"/>
    <w:rsid w:val="00385EF1"/>
    <w:rsid w:val="00386287"/>
    <w:rsid w:val="0039792A"/>
    <w:rsid w:val="003A019C"/>
    <w:rsid w:val="003A03D0"/>
    <w:rsid w:val="003A2FF5"/>
    <w:rsid w:val="003A3635"/>
    <w:rsid w:val="003A7407"/>
    <w:rsid w:val="003B08E1"/>
    <w:rsid w:val="003B3D92"/>
    <w:rsid w:val="003B5B53"/>
    <w:rsid w:val="003B5BFC"/>
    <w:rsid w:val="003B7010"/>
    <w:rsid w:val="003C2ECA"/>
    <w:rsid w:val="003C2F82"/>
    <w:rsid w:val="003C3E41"/>
    <w:rsid w:val="003C44B4"/>
    <w:rsid w:val="003C58EF"/>
    <w:rsid w:val="003C6D9A"/>
    <w:rsid w:val="003D078E"/>
    <w:rsid w:val="003D08F6"/>
    <w:rsid w:val="003D288B"/>
    <w:rsid w:val="003D46E1"/>
    <w:rsid w:val="003D7242"/>
    <w:rsid w:val="003D74BE"/>
    <w:rsid w:val="003E0D0D"/>
    <w:rsid w:val="003E2950"/>
    <w:rsid w:val="003E4F0A"/>
    <w:rsid w:val="003E5D34"/>
    <w:rsid w:val="003E64A2"/>
    <w:rsid w:val="003F1DDB"/>
    <w:rsid w:val="003F28BB"/>
    <w:rsid w:val="003F4510"/>
    <w:rsid w:val="003F63B1"/>
    <w:rsid w:val="003F796C"/>
    <w:rsid w:val="00400507"/>
    <w:rsid w:val="00400BA0"/>
    <w:rsid w:val="00401B28"/>
    <w:rsid w:val="004029D5"/>
    <w:rsid w:val="004046F2"/>
    <w:rsid w:val="0040545F"/>
    <w:rsid w:val="00406EA8"/>
    <w:rsid w:val="00407331"/>
    <w:rsid w:val="00407343"/>
    <w:rsid w:val="0041003E"/>
    <w:rsid w:val="004107B7"/>
    <w:rsid w:val="00417A5E"/>
    <w:rsid w:val="004233DE"/>
    <w:rsid w:val="00423910"/>
    <w:rsid w:val="00426820"/>
    <w:rsid w:val="00426F58"/>
    <w:rsid w:val="004274C6"/>
    <w:rsid w:val="004301B9"/>
    <w:rsid w:val="004362E3"/>
    <w:rsid w:val="004369BA"/>
    <w:rsid w:val="00440904"/>
    <w:rsid w:val="00442053"/>
    <w:rsid w:val="00443FD7"/>
    <w:rsid w:val="004459E1"/>
    <w:rsid w:val="00446B58"/>
    <w:rsid w:val="00446CB7"/>
    <w:rsid w:val="00450F48"/>
    <w:rsid w:val="00451574"/>
    <w:rsid w:val="00451DCC"/>
    <w:rsid w:val="00452AE9"/>
    <w:rsid w:val="00454562"/>
    <w:rsid w:val="0045489F"/>
    <w:rsid w:val="004602FB"/>
    <w:rsid w:val="00462384"/>
    <w:rsid w:val="004650E7"/>
    <w:rsid w:val="00465774"/>
    <w:rsid w:val="004705AE"/>
    <w:rsid w:val="00470BEC"/>
    <w:rsid w:val="0047246D"/>
    <w:rsid w:val="00473DFD"/>
    <w:rsid w:val="00474889"/>
    <w:rsid w:val="00477571"/>
    <w:rsid w:val="0048233E"/>
    <w:rsid w:val="004826DD"/>
    <w:rsid w:val="00482B38"/>
    <w:rsid w:val="0048506F"/>
    <w:rsid w:val="004869E6"/>
    <w:rsid w:val="0049289F"/>
    <w:rsid w:val="004963B3"/>
    <w:rsid w:val="004971D6"/>
    <w:rsid w:val="004977B2"/>
    <w:rsid w:val="004977FE"/>
    <w:rsid w:val="004A1064"/>
    <w:rsid w:val="004A165D"/>
    <w:rsid w:val="004A737D"/>
    <w:rsid w:val="004A796C"/>
    <w:rsid w:val="004B13DE"/>
    <w:rsid w:val="004B30DE"/>
    <w:rsid w:val="004B438E"/>
    <w:rsid w:val="004B4B3E"/>
    <w:rsid w:val="004B5D90"/>
    <w:rsid w:val="004C1C39"/>
    <w:rsid w:val="004C27EF"/>
    <w:rsid w:val="004C33B8"/>
    <w:rsid w:val="004C3B4F"/>
    <w:rsid w:val="004C413D"/>
    <w:rsid w:val="004C58B9"/>
    <w:rsid w:val="004C7CF1"/>
    <w:rsid w:val="004C7EE7"/>
    <w:rsid w:val="004D09AA"/>
    <w:rsid w:val="004D280E"/>
    <w:rsid w:val="004D2843"/>
    <w:rsid w:val="004D37A7"/>
    <w:rsid w:val="004E21B3"/>
    <w:rsid w:val="004E4180"/>
    <w:rsid w:val="004E790E"/>
    <w:rsid w:val="004F07A9"/>
    <w:rsid w:val="004F3805"/>
    <w:rsid w:val="004F62C1"/>
    <w:rsid w:val="004F64F9"/>
    <w:rsid w:val="0050081C"/>
    <w:rsid w:val="00501BD4"/>
    <w:rsid w:val="005022FF"/>
    <w:rsid w:val="00502A7F"/>
    <w:rsid w:val="00503439"/>
    <w:rsid w:val="0050389F"/>
    <w:rsid w:val="00503C67"/>
    <w:rsid w:val="00505B47"/>
    <w:rsid w:val="00505CAD"/>
    <w:rsid w:val="00507A30"/>
    <w:rsid w:val="00510E08"/>
    <w:rsid w:val="00514455"/>
    <w:rsid w:val="00516505"/>
    <w:rsid w:val="00516C1A"/>
    <w:rsid w:val="005177C5"/>
    <w:rsid w:val="0052687A"/>
    <w:rsid w:val="00526F9F"/>
    <w:rsid w:val="00532874"/>
    <w:rsid w:val="005414B3"/>
    <w:rsid w:val="00542039"/>
    <w:rsid w:val="00542D47"/>
    <w:rsid w:val="0054463B"/>
    <w:rsid w:val="00546174"/>
    <w:rsid w:val="00546F3F"/>
    <w:rsid w:val="005529B2"/>
    <w:rsid w:val="0055438C"/>
    <w:rsid w:val="00555AA7"/>
    <w:rsid w:val="00556AF0"/>
    <w:rsid w:val="00560269"/>
    <w:rsid w:val="00560F44"/>
    <w:rsid w:val="00564779"/>
    <w:rsid w:val="00566BF9"/>
    <w:rsid w:val="00567D29"/>
    <w:rsid w:val="00570722"/>
    <w:rsid w:val="00570974"/>
    <w:rsid w:val="0057114C"/>
    <w:rsid w:val="00572B6C"/>
    <w:rsid w:val="005730D2"/>
    <w:rsid w:val="00574594"/>
    <w:rsid w:val="00574912"/>
    <w:rsid w:val="00575120"/>
    <w:rsid w:val="0057520A"/>
    <w:rsid w:val="00575989"/>
    <w:rsid w:val="00575C6B"/>
    <w:rsid w:val="00583EA8"/>
    <w:rsid w:val="005842AF"/>
    <w:rsid w:val="005859F6"/>
    <w:rsid w:val="00586ADD"/>
    <w:rsid w:val="00587563"/>
    <w:rsid w:val="005958D6"/>
    <w:rsid w:val="00595EBD"/>
    <w:rsid w:val="005964CF"/>
    <w:rsid w:val="00597029"/>
    <w:rsid w:val="005A02A3"/>
    <w:rsid w:val="005A02CB"/>
    <w:rsid w:val="005A1AA1"/>
    <w:rsid w:val="005A1E08"/>
    <w:rsid w:val="005A3F5C"/>
    <w:rsid w:val="005A4266"/>
    <w:rsid w:val="005A5C37"/>
    <w:rsid w:val="005B055A"/>
    <w:rsid w:val="005B0C15"/>
    <w:rsid w:val="005B1AEC"/>
    <w:rsid w:val="005B1B41"/>
    <w:rsid w:val="005B4863"/>
    <w:rsid w:val="005B4BFD"/>
    <w:rsid w:val="005B7019"/>
    <w:rsid w:val="005C040A"/>
    <w:rsid w:val="005C11A9"/>
    <w:rsid w:val="005C17D9"/>
    <w:rsid w:val="005C1876"/>
    <w:rsid w:val="005C65EB"/>
    <w:rsid w:val="005C6FC1"/>
    <w:rsid w:val="005D3289"/>
    <w:rsid w:val="005D7527"/>
    <w:rsid w:val="005D7690"/>
    <w:rsid w:val="005E0721"/>
    <w:rsid w:val="005E22CA"/>
    <w:rsid w:val="005E2628"/>
    <w:rsid w:val="005E32E3"/>
    <w:rsid w:val="005E65D0"/>
    <w:rsid w:val="005F20D9"/>
    <w:rsid w:val="005F23A3"/>
    <w:rsid w:val="005F3594"/>
    <w:rsid w:val="005F3F40"/>
    <w:rsid w:val="005F5824"/>
    <w:rsid w:val="005F5BE6"/>
    <w:rsid w:val="00600393"/>
    <w:rsid w:val="00600C16"/>
    <w:rsid w:val="00603B3F"/>
    <w:rsid w:val="0060630E"/>
    <w:rsid w:val="006067D5"/>
    <w:rsid w:val="0061009E"/>
    <w:rsid w:val="0061015A"/>
    <w:rsid w:val="006109BE"/>
    <w:rsid w:val="006129F4"/>
    <w:rsid w:val="00613837"/>
    <w:rsid w:val="006236D6"/>
    <w:rsid w:val="00623AEB"/>
    <w:rsid w:val="00624336"/>
    <w:rsid w:val="00627383"/>
    <w:rsid w:val="00627F0D"/>
    <w:rsid w:val="006340EA"/>
    <w:rsid w:val="00635D13"/>
    <w:rsid w:val="006375D5"/>
    <w:rsid w:val="00640EEC"/>
    <w:rsid w:val="00641906"/>
    <w:rsid w:val="00641FF6"/>
    <w:rsid w:val="00645CD3"/>
    <w:rsid w:val="00646114"/>
    <w:rsid w:val="00646934"/>
    <w:rsid w:val="00646BAB"/>
    <w:rsid w:val="00651273"/>
    <w:rsid w:val="0065131F"/>
    <w:rsid w:val="00652AFB"/>
    <w:rsid w:val="00653883"/>
    <w:rsid w:val="00656001"/>
    <w:rsid w:val="00656DCA"/>
    <w:rsid w:val="006623AD"/>
    <w:rsid w:val="00663AF2"/>
    <w:rsid w:val="00665A9F"/>
    <w:rsid w:val="00666048"/>
    <w:rsid w:val="00666E9D"/>
    <w:rsid w:val="00670716"/>
    <w:rsid w:val="00671216"/>
    <w:rsid w:val="00676289"/>
    <w:rsid w:val="00676BC9"/>
    <w:rsid w:val="00681986"/>
    <w:rsid w:val="0068238C"/>
    <w:rsid w:val="00683C55"/>
    <w:rsid w:val="00683D49"/>
    <w:rsid w:val="00684A37"/>
    <w:rsid w:val="00686CC9"/>
    <w:rsid w:val="00686F06"/>
    <w:rsid w:val="00687290"/>
    <w:rsid w:val="006916E6"/>
    <w:rsid w:val="00691FF2"/>
    <w:rsid w:val="006940DB"/>
    <w:rsid w:val="00694587"/>
    <w:rsid w:val="00696659"/>
    <w:rsid w:val="006969A4"/>
    <w:rsid w:val="00696B8D"/>
    <w:rsid w:val="006A0BDF"/>
    <w:rsid w:val="006A3EDA"/>
    <w:rsid w:val="006A53BB"/>
    <w:rsid w:val="006A5459"/>
    <w:rsid w:val="006A6AE8"/>
    <w:rsid w:val="006A75AF"/>
    <w:rsid w:val="006B2AED"/>
    <w:rsid w:val="006B4483"/>
    <w:rsid w:val="006B6E81"/>
    <w:rsid w:val="006C3B62"/>
    <w:rsid w:val="006C4B87"/>
    <w:rsid w:val="006C59D5"/>
    <w:rsid w:val="006C6DF1"/>
    <w:rsid w:val="006C7FFE"/>
    <w:rsid w:val="006D030D"/>
    <w:rsid w:val="006D0C44"/>
    <w:rsid w:val="006D2200"/>
    <w:rsid w:val="006D3598"/>
    <w:rsid w:val="006D52E9"/>
    <w:rsid w:val="006D7652"/>
    <w:rsid w:val="006E3784"/>
    <w:rsid w:val="006E7C36"/>
    <w:rsid w:val="006F0497"/>
    <w:rsid w:val="006F32BF"/>
    <w:rsid w:val="006F6F7E"/>
    <w:rsid w:val="006F7979"/>
    <w:rsid w:val="006F797E"/>
    <w:rsid w:val="006F7BE5"/>
    <w:rsid w:val="00700177"/>
    <w:rsid w:val="00700A02"/>
    <w:rsid w:val="00701524"/>
    <w:rsid w:val="00706F43"/>
    <w:rsid w:val="0070719C"/>
    <w:rsid w:val="0071469F"/>
    <w:rsid w:val="00714C17"/>
    <w:rsid w:val="007203EC"/>
    <w:rsid w:val="007226FE"/>
    <w:rsid w:val="0072292A"/>
    <w:rsid w:val="00727072"/>
    <w:rsid w:val="007279B1"/>
    <w:rsid w:val="007300BD"/>
    <w:rsid w:val="00735317"/>
    <w:rsid w:val="00742111"/>
    <w:rsid w:val="007432A3"/>
    <w:rsid w:val="0074591A"/>
    <w:rsid w:val="0074661C"/>
    <w:rsid w:val="00747202"/>
    <w:rsid w:val="00747755"/>
    <w:rsid w:val="007501D4"/>
    <w:rsid w:val="00750397"/>
    <w:rsid w:val="00752A0F"/>
    <w:rsid w:val="00753C12"/>
    <w:rsid w:val="00754ADD"/>
    <w:rsid w:val="00756E7D"/>
    <w:rsid w:val="00757511"/>
    <w:rsid w:val="00757853"/>
    <w:rsid w:val="0076182E"/>
    <w:rsid w:val="00764D24"/>
    <w:rsid w:val="00766475"/>
    <w:rsid w:val="0076656F"/>
    <w:rsid w:val="007673BC"/>
    <w:rsid w:val="007677A8"/>
    <w:rsid w:val="00772693"/>
    <w:rsid w:val="0077364D"/>
    <w:rsid w:val="00773A8F"/>
    <w:rsid w:val="00773C68"/>
    <w:rsid w:val="00774F84"/>
    <w:rsid w:val="0077770D"/>
    <w:rsid w:val="007778C3"/>
    <w:rsid w:val="00780492"/>
    <w:rsid w:val="00782803"/>
    <w:rsid w:val="00784579"/>
    <w:rsid w:val="00790A85"/>
    <w:rsid w:val="007920CB"/>
    <w:rsid w:val="00793139"/>
    <w:rsid w:val="0079338B"/>
    <w:rsid w:val="00794C5F"/>
    <w:rsid w:val="007968E7"/>
    <w:rsid w:val="007A0103"/>
    <w:rsid w:val="007A21D0"/>
    <w:rsid w:val="007A2277"/>
    <w:rsid w:val="007A2EE9"/>
    <w:rsid w:val="007A4E61"/>
    <w:rsid w:val="007A7E39"/>
    <w:rsid w:val="007B02C2"/>
    <w:rsid w:val="007B0E81"/>
    <w:rsid w:val="007B2A7F"/>
    <w:rsid w:val="007B2FCD"/>
    <w:rsid w:val="007B3A72"/>
    <w:rsid w:val="007B6347"/>
    <w:rsid w:val="007B7756"/>
    <w:rsid w:val="007B7B06"/>
    <w:rsid w:val="007B7C25"/>
    <w:rsid w:val="007B7CBD"/>
    <w:rsid w:val="007C34CD"/>
    <w:rsid w:val="007C7142"/>
    <w:rsid w:val="007D0367"/>
    <w:rsid w:val="007D0A96"/>
    <w:rsid w:val="007D0CF2"/>
    <w:rsid w:val="007D1969"/>
    <w:rsid w:val="007D19EA"/>
    <w:rsid w:val="007D1A8F"/>
    <w:rsid w:val="007D2E97"/>
    <w:rsid w:val="007D5644"/>
    <w:rsid w:val="007D6203"/>
    <w:rsid w:val="007D7CEC"/>
    <w:rsid w:val="007E1279"/>
    <w:rsid w:val="007E18F4"/>
    <w:rsid w:val="007E24D0"/>
    <w:rsid w:val="007E2774"/>
    <w:rsid w:val="007E28DE"/>
    <w:rsid w:val="007E3EBF"/>
    <w:rsid w:val="007E42F1"/>
    <w:rsid w:val="007E465F"/>
    <w:rsid w:val="007E7336"/>
    <w:rsid w:val="007F206B"/>
    <w:rsid w:val="007F2573"/>
    <w:rsid w:val="007F2E59"/>
    <w:rsid w:val="007F35B3"/>
    <w:rsid w:val="007F38F0"/>
    <w:rsid w:val="00804001"/>
    <w:rsid w:val="00805358"/>
    <w:rsid w:val="008063A2"/>
    <w:rsid w:val="008069D3"/>
    <w:rsid w:val="008070A8"/>
    <w:rsid w:val="00810499"/>
    <w:rsid w:val="0081150A"/>
    <w:rsid w:val="0081166D"/>
    <w:rsid w:val="0081203C"/>
    <w:rsid w:val="00816C94"/>
    <w:rsid w:val="0082029C"/>
    <w:rsid w:val="00820766"/>
    <w:rsid w:val="00821F3F"/>
    <w:rsid w:val="008226F8"/>
    <w:rsid w:val="008231B9"/>
    <w:rsid w:val="00823A86"/>
    <w:rsid w:val="00825C47"/>
    <w:rsid w:val="0082604D"/>
    <w:rsid w:val="00827091"/>
    <w:rsid w:val="008306C9"/>
    <w:rsid w:val="00831576"/>
    <w:rsid w:val="00835449"/>
    <w:rsid w:val="00840C65"/>
    <w:rsid w:val="008414AF"/>
    <w:rsid w:val="00842593"/>
    <w:rsid w:val="00843589"/>
    <w:rsid w:val="008436C7"/>
    <w:rsid w:val="008441CF"/>
    <w:rsid w:val="0084470A"/>
    <w:rsid w:val="00844F57"/>
    <w:rsid w:val="00847B43"/>
    <w:rsid w:val="00847D96"/>
    <w:rsid w:val="00851A3A"/>
    <w:rsid w:val="00855A96"/>
    <w:rsid w:val="00856A27"/>
    <w:rsid w:val="00857286"/>
    <w:rsid w:val="00857EFC"/>
    <w:rsid w:val="00864811"/>
    <w:rsid w:val="0087112B"/>
    <w:rsid w:val="0087234E"/>
    <w:rsid w:val="00876B21"/>
    <w:rsid w:val="0087707C"/>
    <w:rsid w:val="0087728C"/>
    <w:rsid w:val="0087777D"/>
    <w:rsid w:val="00877FFE"/>
    <w:rsid w:val="008837E8"/>
    <w:rsid w:val="00890EBA"/>
    <w:rsid w:val="008955F5"/>
    <w:rsid w:val="00895A37"/>
    <w:rsid w:val="00895B76"/>
    <w:rsid w:val="00897E36"/>
    <w:rsid w:val="008A1F89"/>
    <w:rsid w:val="008A1FDF"/>
    <w:rsid w:val="008A42FA"/>
    <w:rsid w:val="008A4C47"/>
    <w:rsid w:val="008A51A5"/>
    <w:rsid w:val="008A5FB6"/>
    <w:rsid w:val="008B0FA5"/>
    <w:rsid w:val="008B142E"/>
    <w:rsid w:val="008B63B3"/>
    <w:rsid w:val="008C3D46"/>
    <w:rsid w:val="008C584E"/>
    <w:rsid w:val="008C5F4D"/>
    <w:rsid w:val="008C791E"/>
    <w:rsid w:val="008D1041"/>
    <w:rsid w:val="008D2566"/>
    <w:rsid w:val="008D5E6E"/>
    <w:rsid w:val="008E167F"/>
    <w:rsid w:val="008E2642"/>
    <w:rsid w:val="008E320B"/>
    <w:rsid w:val="008E3483"/>
    <w:rsid w:val="008F05AD"/>
    <w:rsid w:val="008F0967"/>
    <w:rsid w:val="008F0A9D"/>
    <w:rsid w:val="008F4387"/>
    <w:rsid w:val="008F4C58"/>
    <w:rsid w:val="008F594B"/>
    <w:rsid w:val="0090572C"/>
    <w:rsid w:val="009064BD"/>
    <w:rsid w:val="00907AC1"/>
    <w:rsid w:val="009102F9"/>
    <w:rsid w:val="0091080B"/>
    <w:rsid w:val="00912465"/>
    <w:rsid w:val="00913393"/>
    <w:rsid w:val="00915A33"/>
    <w:rsid w:val="00920871"/>
    <w:rsid w:val="00924765"/>
    <w:rsid w:val="00926833"/>
    <w:rsid w:val="009308A8"/>
    <w:rsid w:val="00933A1C"/>
    <w:rsid w:val="00942942"/>
    <w:rsid w:val="00945A5D"/>
    <w:rsid w:val="00946E1E"/>
    <w:rsid w:val="009502CD"/>
    <w:rsid w:val="0095215C"/>
    <w:rsid w:val="009534B5"/>
    <w:rsid w:val="00953C9C"/>
    <w:rsid w:val="0095757F"/>
    <w:rsid w:val="00961193"/>
    <w:rsid w:val="0096326F"/>
    <w:rsid w:val="009670B7"/>
    <w:rsid w:val="00970461"/>
    <w:rsid w:val="00970F6A"/>
    <w:rsid w:val="0097145B"/>
    <w:rsid w:val="00971837"/>
    <w:rsid w:val="009723D1"/>
    <w:rsid w:val="009732C1"/>
    <w:rsid w:val="00973F24"/>
    <w:rsid w:val="009745DD"/>
    <w:rsid w:val="009756DE"/>
    <w:rsid w:val="00975D0B"/>
    <w:rsid w:val="00975EEB"/>
    <w:rsid w:val="00976E82"/>
    <w:rsid w:val="00977705"/>
    <w:rsid w:val="00981667"/>
    <w:rsid w:val="00983CA6"/>
    <w:rsid w:val="009859B2"/>
    <w:rsid w:val="00990787"/>
    <w:rsid w:val="009A5675"/>
    <w:rsid w:val="009A6711"/>
    <w:rsid w:val="009A6B5B"/>
    <w:rsid w:val="009A76BD"/>
    <w:rsid w:val="009B038A"/>
    <w:rsid w:val="009B39C1"/>
    <w:rsid w:val="009B5866"/>
    <w:rsid w:val="009B7386"/>
    <w:rsid w:val="009C2618"/>
    <w:rsid w:val="009C49E6"/>
    <w:rsid w:val="009D04CD"/>
    <w:rsid w:val="009D5783"/>
    <w:rsid w:val="009D5CBD"/>
    <w:rsid w:val="009D67A8"/>
    <w:rsid w:val="009E0D9D"/>
    <w:rsid w:val="009F0BCB"/>
    <w:rsid w:val="009F0F49"/>
    <w:rsid w:val="009F10F8"/>
    <w:rsid w:val="009F1672"/>
    <w:rsid w:val="009F2984"/>
    <w:rsid w:val="009F368F"/>
    <w:rsid w:val="009F461D"/>
    <w:rsid w:val="009F4C2A"/>
    <w:rsid w:val="009F7219"/>
    <w:rsid w:val="00A00452"/>
    <w:rsid w:val="00A031A2"/>
    <w:rsid w:val="00A047F8"/>
    <w:rsid w:val="00A053BC"/>
    <w:rsid w:val="00A07A2F"/>
    <w:rsid w:val="00A1299F"/>
    <w:rsid w:val="00A12E2E"/>
    <w:rsid w:val="00A13D40"/>
    <w:rsid w:val="00A14BC4"/>
    <w:rsid w:val="00A14F1C"/>
    <w:rsid w:val="00A15B3A"/>
    <w:rsid w:val="00A16F1C"/>
    <w:rsid w:val="00A178F9"/>
    <w:rsid w:val="00A208CC"/>
    <w:rsid w:val="00A213A8"/>
    <w:rsid w:val="00A21F3E"/>
    <w:rsid w:val="00A2330E"/>
    <w:rsid w:val="00A23B97"/>
    <w:rsid w:val="00A30135"/>
    <w:rsid w:val="00A31FFE"/>
    <w:rsid w:val="00A32E4A"/>
    <w:rsid w:val="00A34C3A"/>
    <w:rsid w:val="00A36749"/>
    <w:rsid w:val="00A36B09"/>
    <w:rsid w:val="00A42AA8"/>
    <w:rsid w:val="00A44A2D"/>
    <w:rsid w:val="00A44A80"/>
    <w:rsid w:val="00A45075"/>
    <w:rsid w:val="00A451CC"/>
    <w:rsid w:val="00A508B6"/>
    <w:rsid w:val="00A55ABC"/>
    <w:rsid w:val="00A55F43"/>
    <w:rsid w:val="00A57BC8"/>
    <w:rsid w:val="00A607C7"/>
    <w:rsid w:val="00A637E8"/>
    <w:rsid w:val="00A63F9D"/>
    <w:rsid w:val="00A64EC4"/>
    <w:rsid w:val="00A677E5"/>
    <w:rsid w:val="00A7023B"/>
    <w:rsid w:val="00A71EC3"/>
    <w:rsid w:val="00A72929"/>
    <w:rsid w:val="00A72DC4"/>
    <w:rsid w:val="00A7705C"/>
    <w:rsid w:val="00A77687"/>
    <w:rsid w:val="00A803AA"/>
    <w:rsid w:val="00A824B5"/>
    <w:rsid w:val="00A85496"/>
    <w:rsid w:val="00A856FC"/>
    <w:rsid w:val="00A86D3E"/>
    <w:rsid w:val="00A903A1"/>
    <w:rsid w:val="00A9046C"/>
    <w:rsid w:val="00A905F5"/>
    <w:rsid w:val="00AA0888"/>
    <w:rsid w:val="00AA279F"/>
    <w:rsid w:val="00AA5542"/>
    <w:rsid w:val="00AA6088"/>
    <w:rsid w:val="00AA7670"/>
    <w:rsid w:val="00AB09B1"/>
    <w:rsid w:val="00AB0AE9"/>
    <w:rsid w:val="00AB1F62"/>
    <w:rsid w:val="00AB34DC"/>
    <w:rsid w:val="00AB40CF"/>
    <w:rsid w:val="00AB42EA"/>
    <w:rsid w:val="00AB5EE4"/>
    <w:rsid w:val="00AB65E7"/>
    <w:rsid w:val="00AC010D"/>
    <w:rsid w:val="00AC3600"/>
    <w:rsid w:val="00AC4089"/>
    <w:rsid w:val="00AC5BA5"/>
    <w:rsid w:val="00AD050B"/>
    <w:rsid w:val="00AD061E"/>
    <w:rsid w:val="00AD3414"/>
    <w:rsid w:val="00AD38CE"/>
    <w:rsid w:val="00AD45E0"/>
    <w:rsid w:val="00AD500F"/>
    <w:rsid w:val="00AD6AA0"/>
    <w:rsid w:val="00AD7352"/>
    <w:rsid w:val="00AD7D8A"/>
    <w:rsid w:val="00AE0A30"/>
    <w:rsid w:val="00AE12AD"/>
    <w:rsid w:val="00AE2CB4"/>
    <w:rsid w:val="00AE6898"/>
    <w:rsid w:val="00AF080D"/>
    <w:rsid w:val="00AF1962"/>
    <w:rsid w:val="00AF2316"/>
    <w:rsid w:val="00AF3707"/>
    <w:rsid w:val="00AF6545"/>
    <w:rsid w:val="00AF6849"/>
    <w:rsid w:val="00AF78DE"/>
    <w:rsid w:val="00B00FC3"/>
    <w:rsid w:val="00B06707"/>
    <w:rsid w:val="00B0677D"/>
    <w:rsid w:val="00B109DF"/>
    <w:rsid w:val="00B10A80"/>
    <w:rsid w:val="00B117C6"/>
    <w:rsid w:val="00B11957"/>
    <w:rsid w:val="00B11AC6"/>
    <w:rsid w:val="00B13B45"/>
    <w:rsid w:val="00B159CD"/>
    <w:rsid w:val="00B16EBF"/>
    <w:rsid w:val="00B17565"/>
    <w:rsid w:val="00B22BBD"/>
    <w:rsid w:val="00B22E09"/>
    <w:rsid w:val="00B2720C"/>
    <w:rsid w:val="00B32F58"/>
    <w:rsid w:val="00B341B4"/>
    <w:rsid w:val="00B364D4"/>
    <w:rsid w:val="00B368BE"/>
    <w:rsid w:val="00B36CF5"/>
    <w:rsid w:val="00B37316"/>
    <w:rsid w:val="00B4014E"/>
    <w:rsid w:val="00B4318A"/>
    <w:rsid w:val="00B4680D"/>
    <w:rsid w:val="00B47908"/>
    <w:rsid w:val="00B51B38"/>
    <w:rsid w:val="00B5205B"/>
    <w:rsid w:val="00B52584"/>
    <w:rsid w:val="00B52F5E"/>
    <w:rsid w:val="00B53427"/>
    <w:rsid w:val="00B540E6"/>
    <w:rsid w:val="00B54354"/>
    <w:rsid w:val="00B56D14"/>
    <w:rsid w:val="00B625C6"/>
    <w:rsid w:val="00B644ED"/>
    <w:rsid w:val="00B665E6"/>
    <w:rsid w:val="00B66FE0"/>
    <w:rsid w:val="00B673D6"/>
    <w:rsid w:val="00B6799A"/>
    <w:rsid w:val="00B7058B"/>
    <w:rsid w:val="00B727F3"/>
    <w:rsid w:val="00B72D8C"/>
    <w:rsid w:val="00B762C5"/>
    <w:rsid w:val="00B77871"/>
    <w:rsid w:val="00B77A1A"/>
    <w:rsid w:val="00B82D41"/>
    <w:rsid w:val="00B83D84"/>
    <w:rsid w:val="00B90F17"/>
    <w:rsid w:val="00B93DF5"/>
    <w:rsid w:val="00B94B30"/>
    <w:rsid w:val="00BA116D"/>
    <w:rsid w:val="00BA638B"/>
    <w:rsid w:val="00BA7D17"/>
    <w:rsid w:val="00BA7D2D"/>
    <w:rsid w:val="00BB076E"/>
    <w:rsid w:val="00BB0FD6"/>
    <w:rsid w:val="00BB1B68"/>
    <w:rsid w:val="00BB1CF2"/>
    <w:rsid w:val="00BB36DD"/>
    <w:rsid w:val="00BB5E66"/>
    <w:rsid w:val="00BB7A25"/>
    <w:rsid w:val="00BB7C20"/>
    <w:rsid w:val="00BC0A3C"/>
    <w:rsid w:val="00BC0DC6"/>
    <w:rsid w:val="00BC5916"/>
    <w:rsid w:val="00BC621F"/>
    <w:rsid w:val="00BD3A37"/>
    <w:rsid w:val="00BD4532"/>
    <w:rsid w:val="00BD5725"/>
    <w:rsid w:val="00BD615D"/>
    <w:rsid w:val="00BD6D25"/>
    <w:rsid w:val="00BD782F"/>
    <w:rsid w:val="00BD7965"/>
    <w:rsid w:val="00BE1A50"/>
    <w:rsid w:val="00BE24FD"/>
    <w:rsid w:val="00BE4E8C"/>
    <w:rsid w:val="00BF01A1"/>
    <w:rsid w:val="00BF0DB1"/>
    <w:rsid w:val="00BF154E"/>
    <w:rsid w:val="00BF18E7"/>
    <w:rsid w:val="00BF4767"/>
    <w:rsid w:val="00BF5104"/>
    <w:rsid w:val="00BF687B"/>
    <w:rsid w:val="00C032F0"/>
    <w:rsid w:val="00C0349F"/>
    <w:rsid w:val="00C03503"/>
    <w:rsid w:val="00C03596"/>
    <w:rsid w:val="00C0667B"/>
    <w:rsid w:val="00C1025A"/>
    <w:rsid w:val="00C10E3A"/>
    <w:rsid w:val="00C1139E"/>
    <w:rsid w:val="00C13816"/>
    <w:rsid w:val="00C14388"/>
    <w:rsid w:val="00C14BF0"/>
    <w:rsid w:val="00C1515F"/>
    <w:rsid w:val="00C20621"/>
    <w:rsid w:val="00C21933"/>
    <w:rsid w:val="00C220B3"/>
    <w:rsid w:val="00C2299B"/>
    <w:rsid w:val="00C22A1F"/>
    <w:rsid w:val="00C24813"/>
    <w:rsid w:val="00C25511"/>
    <w:rsid w:val="00C255C1"/>
    <w:rsid w:val="00C27230"/>
    <w:rsid w:val="00C30A70"/>
    <w:rsid w:val="00C31AA4"/>
    <w:rsid w:val="00C33C97"/>
    <w:rsid w:val="00C364FE"/>
    <w:rsid w:val="00C40309"/>
    <w:rsid w:val="00C40859"/>
    <w:rsid w:val="00C44136"/>
    <w:rsid w:val="00C4724A"/>
    <w:rsid w:val="00C5087B"/>
    <w:rsid w:val="00C520C2"/>
    <w:rsid w:val="00C52681"/>
    <w:rsid w:val="00C57E29"/>
    <w:rsid w:val="00C63E8C"/>
    <w:rsid w:val="00C652B3"/>
    <w:rsid w:val="00C659A7"/>
    <w:rsid w:val="00C6674E"/>
    <w:rsid w:val="00C70450"/>
    <w:rsid w:val="00C7054B"/>
    <w:rsid w:val="00C706EA"/>
    <w:rsid w:val="00C7122B"/>
    <w:rsid w:val="00C7331C"/>
    <w:rsid w:val="00C74161"/>
    <w:rsid w:val="00C76BDE"/>
    <w:rsid w:val="00C76CB4"/>
    <w:rsid w:val="00C76E6B"/>
    <w:rsid w:val="00C76FFC"/>
    <w:rsid w:val="00C843D5"/>
    <w:rsid w:val="00C8659B"/>
    <w:rsid w:val="00C9092A"/>
    <w:rsid w:val="00C910FE"/>
    <w:rsid w:val="00C9259F"/>
    <w:rsid w:val="00C92F97"/>
    <w:rsid w:val="00CA2DEF"/>
    <w:rsid w:val="00CA3398"/>
    <w:rsid w:val="00CA3FA6"/>
    <w:rsid w:val="00CA40FA"/>
    <w:rsid w:val="00CA41E4"/>
    <w:rsid w:val="00CA4E47"/>
    <w:rsid w:val="00CA56BE"/>
    <w:rsid w:val="00CA5F96"/>
    <w:rsid w:val="00CA6926"/>
    <w:rsid w:val="00CA70D7"/>
    <w:rsid w:val="00CA735C"/>
    <w:rsid w:val="00CB0541"/>
    <w:rsid w:val="00CB2E23"/>
    <w:rsid w:val="00CB2FEF"/>
    <w:rsid w:val="00CB3AD5"/>
    <w:rsid w:val="00CB7014"/>
    <w:rsid w:val="00CC007C"/>
    <w:rsid w:val="00CC3FBD"/>
    <w:rsid w:val="00CC56C3"/>
    <w:rsid w:val="00CC7926"/>
    <w:rsid w:val="00CD07B6"/>
    <w:rsid w:val="00CD0D86"/>
    <w:rsid w:val="00CD11A1"/>
    <w:rsid w:val="00CD1B36"/>
    <w:rsid w:val="00CD34B2"/>
    <w:rsid w:val="00CD71EB"/>
    <w:rsid w:val="00CE1395"/>
    <w:rsid w:val="00CE3C28"/>
    <w:rsid w:val="00CE3CC8"/>
    <w:rsid w:val="00CE5710"/>
    <w:rsid w:val="00CE5861"/>
    <w:rsid w:val="00CE58C9"/>
    <w:rsid w:val="00CE6295"/>
    <w:rsid w:val="00CE6A01"/>
    <w:rsid w:val="00CE6AF3"/>
    <w:rsid w:val="00CF13A3"/>
    <w:rsid w:val="00CF2EB2"/>
    <w:rsid w:val="00CF4E25"/>
    <w:rsid w:val="00CF57EC"/>
    <w:rsid w:val="00CF6CBF"/>
    <w:rsid w:val="00D01DF2"/>
    <w:rsid w:val="00D0225B"/>
    <w:rsid w:val="00D040F5"/>
    <w:rsid w:val="00D059F0"/>
    <w:rsid w:val="00D0690E"/>
    <w:rsid w:val="00D1143A"/>
    <w:rsid w:val="00D12860"/>
    <w:rsid w:val="00D12BF9"/>
    <w:rsid w:val="00D13AF7"/>
    <w:rsid w:val="00D13D39"/>
    <w:rsid w:val="00D16505"/>
    <w:rsid w:val="00D212FA"/>
    <w:rsid w:val="00D21B74"/>
    <w:rsid w:val="00D23BD5"/>
    <w:rsid w:val="00D24FB9"/>
    <w:rsid w:val="00D2518B"/>
    <w:rsid w:val="00D26BCD"/>
    <w:rsid w:val="00D27A26"/>
    <w:rsid w:val="00D32460"/>
    <w:rsid w:val="00D32667"/>
    <w:rsid w:val="00D32E4E"/>
    <w:rsid w:val="00D33B36"/>
    <w:rsid w:val="00D35790"/>
    <w:rsid w:val="00D35FCE"/>
    <w:rsid w:val="00D36AF7"/>
    <w:rsid w:val="00D37552"/>
    <w:rsid w:val="00D412F7"/>
    <w:rsid w:val="00D413B3"/>
    <w:rsid w:val="00D45817"/>
    <w:rsid w:val="00D4743E"/>
    <w:rsid w:val="00D5385A"/>
    <w:rsid w:val="00D57387"/>
    <w:rsid w:val="00D607EA"/>
    <w:rsid w:val="00D60F4A"/>
    <w:rsid w:val="00D62009"/>
    <w:rsid w:val="00D62400"/>
    <w:rsid w:val="00D62DC7"/>
    <w:rsid w:val="00D665DA"/>
    <w:rsid w:val="00D672A2"/>
    <w:rsid w:val="00D70B22"/>
    <w:rsid w:val="00D7215E"/>
    <w:rsid w:val="00D74936"/>
    <w:rsid w:val="00D74C7D"/>
    <w:rsid w:val="00D759B5"/>
    <w:rsid w:val="00D765FF"/>
    <w:rsid w:val="00D76D94"/>
    <w:rsid w:val="00D81989"/>
    <w:rsid w:val="00D81A4E"/>
    <w:rsid w:val="00D81D52"/>
    <w:rsid w:val="00D839D7"/>
    <w:rsid w:val="00D83E37"/>
    <w:rsid w:val="00D83E60"/>
    <w:rsid w:val="00D83ECD"/>
    <w:rsid w:val="00D84DBF"/>
    <w:rsid w:val="00D84E5D"/>
    <w:rsid w:val="00D86CB7"/>
    <w:rsid w:val="00D90DC5"/>
    <w:rsid w:val="00D92A6C"/>
    <w:rsid w:val="00D93391"/>
    <w:rsid w:val="00D940DD"/>
    <w:rsid w:val="00D9536C"/>
    <w:rsid w:val="00D97503"/>
    <w:rsid w:val="00DA0D39"/>
    <w:rsid w:val="00DA308D"/>
    <w:rsid w:val="00DA32D2"/>
    <w:rsid w:val="00DA44C0"/>
    <w:rsid w:val="00DA54F5"/>
    <w:rsid w:val="00DB3378"/>
    <w:rsid w:val="00DB405F"/>
    <w:rsid w:val="00DB4A50"/>
    <w:rsid w:val="00DB4F1F"/>
    <w:rsid w:val="00DB5C51"/>
    <w:rsid w:val="00DB7814"/>
    <w:rsid w:val="00DC25CB"/>
    <w:rsid w:val="00DC58D9"/>
    <w:rsid w:val="00DC69BF"/>
    <w:rsid w:val="00DC6AF5"/>
    <w:rsid w:val="00DC7A03"/>
    <w:rsid w:val="00DC7BB9"/>
    <w:rsid w:val="00DD3EBA"/>
    <w:rsid w:val="00DD40FC"/>
    <w:rsid w:val="00DD46CB"/>
    <w:rsid w:val="00DD724F"/>
    <w:rsid w:val="00DD7EA5"/>
    <w:rsid w:val="00DE01C7"/>
    <w:rsid w:val="00DE61B7"/>
    <w:rsid w:val="00DF1F96"/>
    <w:rsid w:val="00DF2758"/>
    <w:rsid w:val="00DF38EA"/>
    <w:rsid w:val="00E01999"/>
    <w:rsid w:val="00E041CA"/>
    <w:rsid w:val="00E1090B"/>
    <w:rsid w:val="00E14EB4"/>
    <w:rsid w:val="00E203A2"/>
    <w:rsid w:val="00E23400"/>
    <w:rsid w:val="00E2572D"/>
    <w:rsid w:val="00E262C7"/>
    <w:rsid w:val="00E26DA2"/>
    <w:rsid w:val="00E273BF"/>
    <w:rsid w:val="00E3044A"/>
    <w:rsid w:val="00E31EB3"/>
    <w:rsid w:val="00E330DC"/>
    <w:rsid w:val="00E353AC"/>
    <w:rsid w:val="00E44757"/>
    <w:rsid w:val="00E4509C"/>
    <w:rsid w:val="00E4558F"/>
    <w:rsid w:val="00E505FE"/>
    <w:rsid w:val="00E50F81"/>
    <w:rsid w:val="00E533E4"/>
    <w:rsid w:val="00E54314"/>
    <w:rsid w:val="00E54C1E"/>
    <w:rsid w:val="00E56780"/>
    <w:rsid w:val="00E6084A"/>
    <w:rsid w:val="00E60EBA"/>
    <w:rsid w:val="00E6115C"/>
    <w:rsid w:val="00E622C1"/>
    <w:rsid w:val="00E624BE"/>
    <w:rsid w:val="00E63703"/>
    <w:rsid w:val="00E6781F"/>
    <w:rsid w:val="00E71B6F"/>
    <w:rsid w:val="00E72636"/>
    <w:rsid w:val="00E7269D"/>
    <w:rsid w:val="00E745A8"/>
    <w:rsid w:val="00E80EFA"/>
    <w:rsid w:val="00E81505"/>
    <w:rsid w:val="00E81A3A"/>
    <w:rsid w:val="00E833DA"/>
    <w:rsid w:val="00E83A9D"/>
    <w:rsid w:val="00E860CC"/>
    <w:rsid w:val="00E864A0"/>
    <w:rsid w:val="00E87A86"/>
    <w:rsid w:val="00E87F94"/>
    <w:rsid w:val="00E90571"/>
    <w:rsid w:val="00E926E6"/>
    <w:rsid w:val="00E94A5D"/>
    <w:rsid w:val="00E97BC3"/>
    <w:rsid w:val="00EA289A"/>
    <w:rsid w:val="00EA2B67"/>
    <w:rsid w:val="00EA2BDB"/>
    <w:rsid w:val="00EA31AD"/>
    <w:rsid w:val="00EA3688"/>
    <w:rsid w:val="00EB0BC3"/>
    <w:rsid w:val="00EB0C79"/>
    <w:rsid w:val="00EB36D2"/>
    <w:rsid w:val="00EC0EE9"/>
    <w:rsid w:val="00EC20CD"/>
    <w:rsid w:val="00EC236F"/>
    <w:rsid w:val="00EC2EAC"/>
    <w:rsid w:val="00EC4B08"/>
    <w:rsid w:val="00EC54C3"/>
    <w:rsid w:val="00EC761A"/>
    <w:rsid w:val="00EC76A0"/>
    <w:rsid w:val="00ED2F04"/>
    <w:rsid w:val="00ED4035"/>
    <w:rsid w:val="00ED48C8"/>
    <w:rsid w:val="00ED57E2"/>
    <w:rsid w:val="00ED6790"/>
    <w:rsid w:val="00EE2161"/>
    <w:rsid w:val="00EE224D"/>
    <w:rsid w:val="00EE3EEC"/>
    <w:rsid w:val="00EE5E7F"/>
    <w:rsid w:val="00EF2E17"/>
    <w:rsid w:val="00EF42D4"/>
    <w:rsid w:val="00EF4EE9"/>
    <w:rsid w:val="00EF523E"/>
    <w:rsid w:val="00EF5FA8"/>
    <w:rsid w:val="00EF6E63"/>
    <w:rsid w:val="00F00050"/>
    <w:rsid w:val="00F0055F"/>
    <w:rsid w:val="00F01566"/>
    <w:rsid w:val="00F030EF"/>
    <w:rsid w:val="00F05B79"/>
    <w:rsid w:val="00F106BE"/>
    <w:rsid w:val="00F1192C"/>
    <w:rsid w:val="00F13252"/>
    <w:rsid w:val="00F13D97"/>
    <w:rsid w:val="00F14090"/>
    <w:rsid w:val="00F215D4"/>
    <w:rsid w:val="00F2379A"/>
    <w:rsid w:val="00F2788E"/>
    <w:rsid w:val="00F32D2C"/>
    <w:rsid w:val="00F33BD8"/>
    <w:rsid w:val="00F33FCA"/>
    <w:rsid w:val="00F340A1"/>
    <w:rsid w:val="00F345A9"/>
    <w:rsid w:val="00F406BB"/>
    <w:rsid w:val="00F4414D"/>
    <w:rsid w:val="00F4440B"/>
    <w:rsid w:val="00F460B1"/>
    <w:rsid w:val="00F516AE"/>
    <w:rsid w:val="00F520BC"/>
    <w:rsid w:val="00F5445E"/>
    <w:rsid w:val="00F54DB1"/>
    <w:rsid w:val="00F56AE5"/>
    <w:rsid w:val="00F6029F"/>
    <w:rsid w:val="00F602BA"/>
    <w:rsid w:val="00F663A2"/>
    <w:rsid w:val="00F675AA"/>
    <w:rsid w:val="00F73DCA"/>
    <w:rsid w:val="00F764A1"/>
    <w:rsid w:val="00F76815"/>
    <w:rsid w:val="00F77219"/>
    <w:rsid w:val="00F80CB3"/>
    <w:rsid w:val="00F81BD5"/>
    <w:rsid w:val="00F81D22"/>
    <w:rsid w:val="00F871FC"/>
    <w:rsid w:val="00F87B34"/>
    <w:rsid w:val="00F87B55"/>
    <w:rsid w:val="00F968BA"/>
    <w:rsid w:val="00F9697C"/>
    <w:rsid w:val="00F96C7A"/>
    <w:rsid w:val="00F97F59"/>
    <w:rsid w:val="00FA0D3C"/>
    <w:rsid w:val="00FA1230"/>
    <w:rsid w:val="00FA1C5A"/>
    <w:rsid w:val="00FA2BD4"/>
    <w:rsid w:val="00FA3FF4"/>
    <w:rsid w:val="00FA6DAC"/>
    <w:rsid w:val="00FB0F25"/>
    <w:rsid w:val="00FB0F70"/>
    <w:rsid w:val="00FB23F5"/>
    <w:rsid w:val="00FB2902"/>
    <w:rsid w:val="00FB4437"/>
    <w:rsid w:val="00FB4E78"/>
    <w:rsid w:val="00FC0BF3"/>
    <w:rsid w:val="00FC2062"/>
    <w:rsid w:val="00FC2C00"/>
    <w:rsid w:val="00FC357E"/>
    <w:rsid w:val="00FC3B9A"/>
    <w:rsid w:val="00FC51E7"/>
    <w:rsid w:val="00FC631F"/>
    <w:rsid w:val="00FC67DA"/>
    <w:rsid w:val="00FC6CC5"/>
    <w:rsid w:val="00FD65E8"/>
    <w:rsid w:val="00FD6A58"/>
    <w:rsid w:val="00FE01B9"/>
    <w:rsid w:val="00FE20C2"/>
    <w:rsid w:val="00FE3539"/>
    <w:rsid w:val="00FE412D"/>
    <w:rsid w:val="00FE6346"/>
    <w:rsid w:val="00FE730C"/>
    <w:rsid w:val="00FE7E1D"/>
    <w:rsid w:val="00FE7F4C"/>
    <w:rsid w:val="00FF0AF0"/>
    <w:rsid w:val="00FF1C00"/>
    <w:rsid w:val="00FF2F9B"/>
    <w:rsid w:val="00FF3819"/>
    <w:rsid w:val="00FF5BE6"/>
    <w:rsid w:val="00FF6BF1"/>
    <w:rsid w:val="00FF7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ub">
    <w:name w:val="paragraph(sub)"/>
    <w:aliases w:val="aa"/>
    <w:basedOn w:val="Normal"/>
    <w:rsid w:val="008F0967"/>
    <w:pPr>
      <w:tabs>
        <w:tab w:val="right" w:pos="1985"/>
      </w:tabs>
      <w:spacing w:before="40" w:after="0" w:line="240" w:lineRule="auto"/>
      <w:ind w:left="2098" w:hanging="2098"/>
    </w:pPr>
    <w:rPr>
      <w:rFonts w:ascii="Times New Roman" w:eastAsia="Times New Roman" w:hAnsi="Times New Roman" w:cs="Times New Roman"/>
      <w:szCs w:val="24"/>
      <w:lang w:eastAsia="en-AU"/>
    </w:rPr>
  </w:style>
  <w:style w:type="paragraph" w:customStyle="1" w:styleId="ACMANumberedList">
    <w:name w:val="ACMA Numbered List"/>
    <w:rsid w:val="00844F57"/>
    <w:pPr>
      <w:numPr>
        <w:numId w:val="20"/>
      </w:numPr>
      <w:spacing w:before="20" w:after="20" w:line="240" w:lineRule="auto"/>
    </w:pPr>
    <w:rPr>
      <w:rFonts w:ascii="Times New Roman" w:eastAsia="Times New Roman" w:hAnsi="Times New Roman" w:cs="Times New Roman"/>
      <w:sz w:val="24"/>
      <w:szCs w:val="20"/>
    </w:rPr>
  </w:style>
  <w:style w:type="character" w:styleId="FootnoteReference">
    <w:name w:val="footnote reference"/>
    <w:basedOn w:val="DefaultParagraphFont"/>
    <w:semiHidden/>
    <w:rsid w:val="00847B43"/>
    <w:rPr>
      <w:rFonts w:ascii="Arial" w:hAnsi="Arial"/>
      <w:vertAlign w:val="superscript"/>
    </w:rPr>
  </w:style>
  <w:style w:type="paragraph" w:styleId="FootnoteText">
    <w:name w:val="footnote text"/>
    <w:aliases w:val="Footnote text"/>
    <w:basedOn w:val="Normal"/>
    <w:link w:val="FootnoteTextChar"/>
    <w:uiPriority w:val="23"/>
    <w:rsid w:val="00847B43"/>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
    <w:basedOn w:val="DefaultParagraphFont"/>
    <w:link w:val="FootnoteText"/>
    <w:uiPriority w:val="23"/>
    <w:rsid w:val="00847B43"/>
    <w:rPr>
      <w:rFonts w:ascii="Arial" w:eastAsia="Times New Roman" w:hAnsi="Arial" w:cs="Times New Roman"/>
      <w:sz w:val="16"/>
      <w:szCs w:val="16"/>
      <w:lang w:eastAsia="en-AU"/>
    </w:rPr>
  </w:style>
  <w:style w:type="paragraph" w:customStyle="1" w:styleId="Paragraph">
    <w:name w:val="Paragraph"/>
    <w:basedOn w:val="Normal"/>
    <w:qFormat/>
    <w:rsid w:val="00847B43"/>
    <w:pPr>
      <w:spacing w:after="240" w:line="240" w:lineRule="atLeast"/>
    </w:pPr>
    <w:rPr>
      <w:rFonts w:ascii="Arial" w:eastAsia="Times New Roman" w:hAnsi="Arial" w:cs="Arial"/>
      <w:sz w:val="20"/>
      <w:szCs w:val="24"/>
      <w:lang w:eastAsia="en-AU"/>
    </w:rPr>
  </w:style>
  <w:style w:type="paragraph" w:styleId="NormalWeb">
    <w:name w:val="Normal (Web)"/>
    <w:basedOn w:val="Normal"/>
    <w:uiPriority w:val="99"/>
    <w:semiHidden/>
    <w:unhideWhenUsed/>
    <w:rsid w:val="00847B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B0541"/>
    <w:rPr>
      <w:color w:val="605E5C"/>
      <w:shd w:val="clear" w:color="auto" w:fill="E1DFDD"/>
    </w:rPr>
  </w:style>
  <w:style w:type="paragraph" w:styleId="Revision">
    <w:name w:val="Revision"/>
    <w:hidden/>
    <w:uiPriority w:val="99"/>
    <w:semiHidden/>
    <w:rsid w:val="00074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609">
      <w:bodyDiv w:val="1"/>
      <w:marLeft w:val="0"/>
      <w:marRight w:val="0"/>
      <w:marTop w:val="0"/>
      <w:marBottom w:val="0"/>
      <w:divBdr>
        <w:top w:val="none" w:sz="0" w:space="0" w:color="auto"/>
        <w:left w:val="none" w:sz="0" w:space="0" w:color="auto"/>
        <w:bottom w:val="none" w:sz="0" w:space="0" w:color="auto"/>
        <w:right w:val="none" w:sz="0" w:space="0" w:color="auto"/>
      </w:divBdr>
    </w:div>
    <w:div w:id="272710651">
      <w:bodyDiv w:val="1"/>
      <w:marLeft w:val="0"/>
      <w:marRight w:val="0"/>
      <w:marTop w:val="0"/>
      <w:marBottom w:val="0"/>
      <w:divBdr>
        <w:top w:val="none" w:sz="0" w:space="0" w:color="auto"/>
        <w:left w:val="none" w:sz="0" w:space="0" w:color="auto"/>
        <w:bottom w:val="none" w:sz="0" w:space="0" w:color="auto"/>
        <w:right w:val="none" w:sz="0" w:space="0" w:color="auto"/>
      </w:divBdr>
    </w:div>
    <w:div w:id="348411480">
      <w:bodyDiv w:val="1"/>
      <w:marLeft w:val="0"/>
      <w:marRight w:val="0"/>
      <w:marTop w:val="0"/>
      <w:marBottom w:val="0"/>
      <w:divBdr>
        <w:top w:val="none" w:sz="0" w:space="0" w:color="auto"/>
        <w:left w:val="none" w:sz="0" w:space="0" w:color="auto"/>
        <w:bottom w:val="none" w:sz="0" w:space="0" w:color="auto"/>
        <w:right w:val="none" w:sz="0" w:space="0" w:color="auto"/>
      </w:divBdr>
    </w:div>
    <w:div w:id="363946742">
      <w:bodyDiv w:val="1"/>
      <w:marLeft w:val="0"/>
      <w:marRight w:val="0"/>
      <w:marTop w:val="0"/>
      <w:marBottom w:val="0"/>
      <w:divBdr>
        <w:top w:val="none" w:sz="0" w:space="0" w:color="auto"/>
        <w:left w:val="none" w:sz="0" w:space="0" w:color="auto"/>
        <w:bottom w:val="none" w:sz="0" w:space="0" w:color="auto"/>
        <w:right w:val="none" w:sz="0" w:space="0" w:color="auto"/>
      </w:divBdr>
    </w:div>
    <w:div w:id="370765649">
      <w:bodyDiv w:val="1"/>
      <w:marLeft w:val="0"/>
      <w:marRight w:val="0"/>
      <w:marTop w:val="0"/>
      <w:marBottom w:val="0"/>
      <w:divBdr>
        <w:top w:val="none" w:sz="0" w:space="0" w:color="auto"/>
        <w:left w:val="none" w:sz="0" w:space="0" w:color="auto"/>
        <w:bottom w:val="none" w:sz="0" w:space="0" w:color="auto"/>
        <w:right w:val="none" w:sz="0" w:space="0" w:color="auto"/>
      </w:divBdr>
    </w:div>
    <w:div w:id="444547269">
      <w:bodyDiv w:val="1"/>
      <w:marLeft w:val="0"/>
      <w:marRight w:val="0"/>
      <w:marTop w:val="0"/>
      <w:marBottom w:val="0"/>
      <w:divBdr>
        <w:top w:val="none" w:sz="0" w:space="0" w:color="auto"/>
        <w:left w:val="none" w:sz="0" w:space="0" w:color="auto"/>
        <w:bottom w:val="none" w:sz="0" w:space="0" w:color="auto"/>
        <w:right w:val="none" w:sz="0" w:space="0" w:color="auto"/>
      </w:divBdr>
    </w:div>
    <w:div w:id="453059360">
      <w:bodyDiv w:val="1"/>
      <w:marLeft w:val="0"/>
      <w:marRight w:val="0"/>
      <w:marTop w:val="0"/>
      <w:marBottom w:val="0"/>
      <w:divBdr>
        <w:top w:val="none" w:sz="0" w:space="0" w:color="auto"/>
        <w:left w:val="none" w:sz="0" w:space="0" w:color="auto"/>
        <w:bottom w:val="none" w:sz="0" w:space="0" w:color="auto"/>
        <w:right w:val="none" w:sz="0" w:space="0" w:color="auto"/>
      </w:divBdr>
    </w:div>
    <w:div w:id="762530477">
      <w:bodyDiv w:val="1"/>
      <w:marLeft w:val="0"/>
      <w:marRight w:val="0"/>
      <w:marTop w:val="0"/>
      <w:marBottom w:val="0"/>
      <w:divBdr>
        <w:top w:val="none" w:sz="0" w:space="0" w:color="auto"/>
        <w:left w:val="none" w:sz="0" w:space="0" w:color="auto"/>
        <w:bottom w:val="none" w:sz="0" w:space="0" w:color="auto"/>
        <w:right w:val="none" w:sz="0" w:space="0" w:color="auto"/>
      </w:divBdr>
    </w:div>
    <w:div w:id="765811568">
      <w:bodyDiv w:val="1"/>
      <w:marLeft w:val="0"/>
      <w:marRight w:val="0"/>
      <w:marTop w:val="0"/>
      <w:marBottom w:val="0"/>
      <w:divBdr>
        <w:top w:val="none" w:sz="0" w:space="0" w:color="auto"/>
        <w:left w:val="none" w:sz="0" w:space="0" w:color="auto"/>
        <w:bottom w:val="none" w:sz="0" w:space="0" w:color="auto"/>
        <w:right w:val="none" w:sz="0" w:space="0" w:color="auto"/>
      </w:divBdr>
    </w:div>
    <w:div w:id="837306990">
      <w:bodyDiv w:val="1"/>
      <w:marLeft w:val="0"/>
      <w:marRight w:val="0"/>
      <w:marTop w:val="0"/>
      <w:marBottom w:val="0"/>
      <w:divBdr>
        <w:top w:val="none" w:sz="0" w:space="0" w:color="auto"/>
        <w:left w:val="none" w:sz="0" w:space="0" w:color="auto"/>
        <w:bottom w:val="none" w:sz="0" w:space="0" w:color="auto"/>
        <w:right w:val="none" w:sz="0" w:space="0" w:color="auto"/>
      </w:divBdr>
    </w:div>
    <w:div w:id="838350217">
      <w:bodyDiv w:val="1"/>
      <w:marLeft w:val="0"/>
      <w:marRight w:val="0"/>
      <w:marTop w:val="0"/>
      <w:marBottom w:val="0"/>
      <w:divBdr>
        <w:top w:val="none" w:sz="0" w:space="0" w:color="auto"/>
        <w:left w:val="none" w:sz="0" w:space="0" w:color="auto"/>
        <w:bottom w:val="none" w:sz="0" w:space="0" w:color="auto"/>
        <w:right w:val="none" w:sz="0" w:space="0" w:color="auto"/>
      </w:divBdr>
    </w:div>
    <w:div w:id="916549364">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24788557">
      <w:bodyDiv w:val="1"/>
      <w:marLeft w:val="0"/>
      <w:marRight w:val="0"/>
      <w:marTop w:val="0"/>
      <w:marBottom w:val="0"/>
      <w:divBdr>
        <w:top w:val="none" w:sz="0" w:space="0" w:color="auto"/>
        <w:left w:val="none" w:sz="0" w:space="0" w:color="auto"/>
        <w:bottom w:val="none" w:sz="0" w:space="0" w:color="auto"/>
        <w:right w:val="none" w:sz="0" w:space="0" w:color="auto"/>
      </w:divBdr>
    </w:div>
    <w:div w:id="1253662248">
      <w:bodyDiv w:val="1"/>
      <w:marLeft w:val="0"/>
      <w:marRight w:val="0"/>
      <w:marTop w:val="0"/>
      <w:marBottom w:val="0"/>
      <w:divBdr>
        <w:top w:val="none" w:sz="0" w:space="0" w:color="auto"/>
        <w:left w:val="none" w:sz="0" w:space="0" w:color="auto"/>
        <w:bottom w:val="none" w:sz="0" w:space="0" w:color="auto"/>
        <w:right w:val="none" w:sz="0" w:space="0" w:color="auto"/>
      </w:divBdr>
    </w:div>
    <w:div w:id="1276713401">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505821011">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71452423">
      <w:bodyDiv w:val="1"/>
      <w:marLeft w:val="0"/>
      <w:marRight w:val="0"/>
      <w:marTop w:val="0"/>
      <w:marBottom w:val="0"/>
      <w:divBdr>
        <w:top w:val="none" w:sz="0" w:space="0" w:color="auto"/>
        <w:left w:val="none" w:sz="0" w:space="0" w:color="auto"/>
        <w:bottom w:val="none" w:sz="0" w:space="0" w:color="auto"/>
        <w:right w:val="none" w:sz="0" w:space="0" w:color="auto"/>
      </w:divBdr>
    </w:div>
    <w:div w:id="1901094140">
      <w:bodyDiv w:val="1"/>
      <w:marLeft w:val="0"/>
      <w:marRight w:val="0"/>
      <w:marTop w:val="0"/>
      <w:marBottom w:val="0"/>
      <w:divBdr>
        <w:top w:val="none" w:sz="0" w:space="0" w:color="auto"/>
        <w:left w:val="none" w:sz="0" w:space="0" w:color="auto"/>
        <w:bottom w:val="none" w:sz="0" w:space="0" w:color="auto"/>
        <w:right w:val="none" w:sz="0" w:space="0" w:color="auto"/>
      </w:divBdr>
    </w:div>
    <w:div w:id="19235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b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frastructure.gov.au/have-your-say/thematic-review-customer-service-guarantee-cs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UQVA7MFFXVNW-850449931-943</_dlc_DocId>
    <_dlc_DocIdUrl xmlns="04b8ec43-391f-4ce4-8841-d6a482add564">
      <Url>http://collaboration/organisation/auth/Chair/Auth/_layouts/15/DocIdRedir.aspx?ID=UQVA7MFFXVNW-850449931-943</Url>
      <Description>UQVA7MFFXVNW-850449931-943</Description>
    </_dlc_DocIdUrl>
    <Category xmlns="026d8262-4725-4a9c-834e-3f991ab17ffd">(none)</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d71819ef-55b9-420a-86a4-d36bc037540e"/>
    <ds:schemaRef ds:uri="http://schemas.microsoft.com/sharepoint/v3"/>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88248D86-EE5A-43C0-851F-29DE4C284B5E}">
  <ds:schemaRefs>
    <ds:schemaRef ds:uri="http://schemas.microsoft.com/sharepoint/events"/>
  </ds:schemaRefs>
</ds:datastoreItem>
</file>

<file path=customXml/itemProps4.xml><?xml version="1.0" encoding="utf-8"?>
<ds:datastoreItem xmlns:ds="http://schemas.openxmlformats.org/officeDocument/2006/customXml" ds:itemID="{E1097D78-0B49-4E5A-859D-30BB7EA7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7768</Words>
  <Characters>43579</Characters>
  <Application>Microsoft Office Word</Application>
  <DocSecurity>4</DocSecurity>
  <Lines>2075</Lines>
  <Paragraphs>1387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49960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Suzanne Atkins</cp:lastModifiedBy>
  <cp:revision>2</cp:revision>
  <cp:lastPrinted>2016-07-25T00:08:00Z</cp:lastPrinted>
  <dcterms:created xsi:type="dcterms:W3CDTF">2023-08-22T23:30:00Z</dcterms:created>
  <dcterms:modified xsi:type="dcterms:W3CDTF">2023-08-22T23:30:00Z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a3ae236a-f04b-4cb0-8812-6dc26fcd901b</vt:lpwstr>
  </property>
  <property fmtid="{D5CDD505-2E9C-101B-9397-08002B2CF9AE}" pid="4" name="TitusGUID">
    <vt:lpwstr>c5b1cadb-f381-4d41-b2e0-e6e5e441f2f3</vt:lpwstr>
  </property>
</Properties>
</file>