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08CB" w14:textId="527208B4" w:rsidR="00BF2508" w:rsidRDefault="00657206" w:rsidP="00BF2508">
      <w:pPr>
        <w:pStyle w:val="Heading1"/>
        <w:spacing w:before="0" w:after="0" w:line="240" w:lineRule="auto"/>
        <w:jc w:val="center"/>
        <w:rPr>
          <w:rFonts w:ascii="Times New Roman" w:hAnsi="Times New Roman"/>
          <w:b/>
          <w:sz w:val="24"/>
          <w:szCs w:val="24"/>
          <w:u w:val="single"/>
        </w:rPr>
      </w:pPr>
      <w:r>
        <w:rPr>
          <w:rFonts w:ascii="Times New Roman" w:hAnsi="Times New Roman"/>
          <w:b/>
          <w:sz w:val="24"/>
          <w:szCs w:val="24"/>
          <w:u w:val="single"/>
        </w:rPr>
        <w:t>Telecommunications (interception and access – independe</w:t>
      </w:r>
      <w:r w:rsidR="0048512A">
        <w:rPr>
          <w:rFonts w:ascii="Times New Roman" w:hAnsi="Times New Roman"/>
          <w:b/>
          <w:sz w:val="24"/>
          <w:szCs w:val="24"/>
          <w:u w:val="single"/>
        </w:rPr>
        <w:t>n</w:t>
      </w:r>
      <w:r>
        <w:rPr>
          <w:rFonts w:ascii="Times New Roman" w:hAnsi="Times New Roman"/>
          <w:b/>
          <w:sz w:val="24"/>
          <w:szCs w:val="24"/>
          <w:u w:val="single"/>
        </w:rPr>
        <w:t>t commission against corruption of south australia) declaration 2023</w:t>
      </w:r>
    </w:p>
    <w:p w14:paraId="7BC4D035" w14:textId="487473E5" w:rsidR="006643F8" w:rsidRDefault="006643F8" w:rsidP="006643F8">
      <w:pPr>
        <w:rPr>
          <w:lang w:eastAsia="en-US"/>
        </w:rPr>
      </w:pPr>
    </w:p>
    <w:p w14:paraId="368EEEBC" w14:textId="77777777" w:rsidR="006643F8" w:rsidRPr="006643F8" w:rsidRDefault="006643F8" w:rsidP="006643F8">
      <w:pPr>
        <w:rPr>
          <w:lang w:eastAsia="en-US"/>
        </w:rPr>
      </w:pPr>
    </w:p>
    <w:p w14:paraId="7EB0CEA9" w14:textId="24697445" w:rsidR="00BF2508" w:rsidRDefault="00BF2508" w:rsidP="006643F8">
      <w:pPr>
        <w:pStyle w:val="Heading1"/>
        <w:spacing w:before="0" w:after="0" w:line="240" w:lineRule="auto"/>
        <w:jc w:val="center"/>
        <w:rPr>
          <w:b/>
          <w:sz w:val="24"/>
          <w:u w:val="single"/>
        </w:rPr>
      </w:pPr>
      <w:r w:rsidRPr="797FDF2D">
        <w:rPr>
          <w:rFonts w:ascii="Times New Roman" w:hAnsi="Times New Roman"/>
          <w:b/>
          <w:sz w:val="24"/>
          <w:szCs w:val="24"/>
          <w:u w:val="single"/>
        </w:rPr>
        <w:t xml:space="preserve">EXPLANATORY STATEMENT </w:t>
      </w:r>
      <w:r>
        <w:br/>
      </w:r>
    </w:p>
    <w:p w14:paraId="7C9E49F6" w14:textId="77777777" w:rsidR="006643F8" w:rsidRPr="006643F8" w:rsidRDefault="006643F8" w:rsidP="006643F8">
      <w:pPr>
        <w:rPr>
          <w:lang w:eastAsia="en-US"/>
        </w:rPr>
      </w:pPr>
    </w:p>
    <w:p w14:paraId="5FF5203B" w14:textId="77777777" w:rsidR="00271CAE" w:rsidRDefault="00BF2508" w:rsidP="00271CAE">
      <w:pPr>
        <w:spacing w:line="360" w:lineRule="auto"/>
        <w:jc w:val="center"/>
        <w:rPr>
          <w:sz w:val="22"/>
        </w:rPr>
      </w:pPr>
      <w:r w:rsidRPr="00271CAE">
        <w:rPr>
          <w:sz w:val="22"/>
        </w:rPr>
        <w:t xml:space="preserve">Issued by authority of the Attorney-General </w:t>
      </w:r>
    </w:p>
    <w:p w14:paraId="59E25491" w14:textId="77777777" w:rsidR="00BF2508" w:rsidRPr="00271CAE" w:rsidRDefault="00BF2508" w:rsidP="00271CAE">
      <w:pPr>
        <w:spacing w:line="360" w:lineRule="auto"/>
        <w:jc w:val="center"/>
        <w:rPr>
          <w:sz w:val="22"/>
        </w:rPr>
      </w:pPr>
      <w:r w:rsidRPr="00271CAE">
        <w:rPr>
          <w:sz w:val="22"/>
        </w:rPr>
        <w:t xml:space="preserve">in compliance with section 15J of the </w:t>
      </w:r>
      <w:r w:rsidRPr="00271CAE">
        <w:rPr>
          <w:i/>
          <w:iCs/>
          <w:sz w:val="22"/>
        </w:rPr>
        <w:t xml:space="preserve">Legislation Act 2003 </w:t>
      </w:r>
    </w:p>
    <w:p w14:paraId="5AD33669" w14:textId="77777777" w:rsidR="00271CAE" w:rsidRDefault="00271CAE" w:rsidP="00271CAE">
      <w:pPr>
        <w:autoSpaceDE w:val="0"/>
        <w:autoSpaceDN w:val="0"/>
        <w:adjustRightInd w:val="0"/>
        <w:spacing w:before="240"/>
        <w:ind w:right="-626"/>
        <w:rPr>
          <w:sz w:val="24"/>
          <w:szCs w:val="24"/>
        </w:rPr>
      </w:pPr>
    </w:p>
    <w:p w14:paraId="73DB3E05" w14:textId="77777777" w:rsidR="009441EA" w:rsidRPr="009441EA" w:rsidRDefault="009441EA" w:rsidP="00271CAE">
      <w:pPr>
        <w:autoSpaceDE w:val="0"/>
        <w:autoSpaceDN w:val="0"/>
        <w:adjustRightInd w:val="0"/>
        <w:spacing w:before="240"/>
        <w:ind w:right="-626"/>
        <w:rPr>
          <w:b/>
          <w:sz w:val="24"/>
          <w:szCs w:val="24"/>
        </w:rPr>
      </w:pPr>
      <w:r w:rsidRPr="009441EA">
        <w:rPr>
          <w:b/>
          <w:sz w:val="24"/>
          <w:szCs w:val="24"/>
        </w:rPr>
        <w:t>PURPOSE AND OPERATION OF THE INSTRUMENT</w:t>
      </w:r>
    </w:p>
    <w:p w14:paraId="3CE74AE4" w14:textId="67429FA1" w:rsidR="0048512A" w:rsidRPr="00271CAE" w:rsidRDefault="0048512A" w:rsidP="00271CAE">
      <w:pPr>
        <w:autoSpaceDE w:val="0"/>
        <w:autoSpaceDN w:val="0"/>
        <w:adjustRightInd w:val="0"/>
        <w:spacing w:before="240"/>
        <w:ind w:right="-626"/>
        <w:rPr>
          <w:sz w:val="24"/>
          <w:szCs w:val="24"/>
        </w:rPr>
      </w:pPr>
      <w:r w:rsidRPr="00271CAE">
        <w:rPr>
          <w:sz w:val="24"/>
          <w:szCs w:val="24"/>
        </w:rPr>
        <w:t xml:space="preserve">The purpose of the </w:t>
      </w:r>
      <w:r w:rsidRPr="00271CAE">
        <w:rPr>
          <w:i/>
          <w:sz w:val="24"/>
          <w:szCs w:val="24"/>
        </w:rPr>
        <w:t xml:space="preserve">Telecommunications (Interception and Access – Independent Commission Against Corruption of South Australia) Declaration 2023 </w:t>
      </w:r>
      <w:r w:rsidRPr="00271CAE">
        <w:rPr>
          <w:sz w:val="24"/>
          <w:szCs w:val="24"/>
        </w:rPr>
        <w:t xml:space="preserve">(the Declaration) is </w:t>
      </w:r>
      <w:r w:rsidR="00511386" w:rsidRPr="00271CAE">
        <w:rPr>
          <w:sz w:val="24"/>
          <w:szCs w:val="24"/>
        </w:rPr>
        <w:t xml:space="preserve">to declare the Independent Commission Against Corruption of South Australia (SA ICAC) an agency </w:t>
      </w:r>
      <w:r w:rsidR="0029316A">
        <w:rPr>
          <w:sz w:val="24"/>
          <w:szCs w:val="24"/>
        </w:rPr>
        <w:t>that may apply for and execute telecommunication interception warrants under</w:t>
      </w:r>
      <w:r w:rsidR="00511386" w:rsidRPr="00271CAE">
        <w:rPr>
          <w:sz w:val="24"/>
          <w:szCs w:val="24"/>
        </w:rPr>
        <w:t xml:space="preserve"> the </w:t>
      </w:r>
      <w:r w:rsidR="00511386" w:rsidRPr="00271CAE">
        <w:rPr>
          <w:i/>
          <w:sz w:val="24"/>
          <w:szCs w:val="24"/>
        </w:rPr>
        <w:t>Telecommunications</w:t>
      </w:r>
      <w:r w:rsidR="006402DC">
        <w:rPr>
          <w:i/>
          <w:sz w:val="24"/>
          <w:szCs w:val="24"/>
        </w:rPr>
        <w:t> </w:t>
      </w:r>
      <w:r w:rsidR="00511386" w:rsidRPr="00271CAE">
        <w:rPr>
          <w:i/>
          <w:sz w:val="24"/>
          <w:szCs w:val="24"/>
        </w:rPr>
        <w:t xml:space="preserve">(Interception and Access) Act </w:t>
      </w:r>
      <w:r w:rsidR="00511386" w:rsidRPr="00271CAE">
        <w:rPr>
          <w:sz w:val="24"/>
          <w:szCs w:val="24"/>
        </w:rPr>
        <w:t xml:space="preserve">1979 (the TIA Act). </w:t>
      </w:r>
    </w:p>
    <w:p w14:paraId="269A17C5" w14:textId="09DE2C41" w:rsidR="0082567F" w:rsidRDefault="00126E25" w:rsidP="00271CAE">
      <w:pPr>
        <w:autoSpaceDE w:val="0"/>
        <w:autoSpaceDN w:val="0"/>
        <w:adjustRightInd w:val="0"/>
        <w:spacing w:before="240"/>
        <w:ind w:right="-626"/>
        <w:rPr>
          <w:b/>
          <w:sz w:val="24"/>
          <w:szCs w:val="24"/>
        </w:rPr>
      </w:pPr>
      <w:r>
        <w:rPr>
          <w:b/>
          <w:sz w:val="24"/>
          <w:szCs w:val="24"/>
        </w:rPr>
        <w:t>Backgroun</w:t>
      </w:r>
      <w:r w:rsidR="0082567F">
        <w:rPr>
          <w:b/>
          <w:sz w:val="24"/>
          <w:szCs w:val="24"/>
        </w:rPr>
        <w:t>d</w:t>
      </w:r>
    </w:p>
    <w:p w14:paraId="2AE26307" w14:textId="32ED758F" w:rsidR="00B56C89" w:rsidRDefault="0082567F" w:rsidP="0082567F">
      <w:pPr>
        <w:autoSpaceDE w:val="0"/>
        <w:autoSpaceDN w:val="0"/>
        <w:adjustRightInd w:val="0"/>
        <w:spacing w:before="240"/>
        <w:ind w:right="-626"/>
        <w:rPr>
          <w:sz w:val="24"/>
          <w:szCs w:val="24"/>
        </w:rPr>
      </w:pPr>
      <w:r>
        <w:rPr>
          <w:sz w:val="24"/>
          <w:szCs w:val="24"/>
        </w:rPr>
        <w:t xml:space="preserve">On 7 October 2021, the </w:t>
      </w:r>
      <w:r w:rsidRPr="00271CAE">
        <w:rPr>
          <w:i/>
          <w:sz w:val="24"/>
          <w:szCs w:val="24"/>
        </w:rPr>
        <w:t>Independent Commission Against Corruption (CPIPC Recommendations) Amendment Act 2021</w:t>
      </w:r>
      <w:r w:rsidRPr="00271CAE">
        <w:rPr>
          <w:sz w:val="24"/>
          <w:szCs w:val="24"/>
        </w:rPr>
        <w:t xml:space="preserve"> (SA)</w:t>
      </w:r>
      <w:r w:rsidR="009B0D47">
        <w:rPr>
          <w:sz w:val="24"/>
          <w:szCs w:val="24"/>
        </w:rPr>
        <w:t xml:space="preserve"> amended the </w:t>
      </w:r>
      <w:r w:rsidR="009B0D47">
        <w:rPr>
          <w:i/>
          <w:sz w:val="24"/>
          <w:szCs w:val="24"/>
        </w:rPr>
        <w:t xml:space="preserve">Independent Commissioner Against Corruption Act 2012 (SA), </w:t>
      </w:r>
      <w:r w:rsidR="009B0D47">
        <w:rPr>
          <w:sz w:val="24"/>
          <w:szCs w:val="24"/>
        </w:rPr>
        <w:t xml:space="preserve">to become the </w:t>
      </w:r>
      <w:r w:rsidR="009B0D47">
        <w:rPr>
          <w:i/>
          <w:sz w:val="24"/>
          <w:szCs w:val="24"/>
        </w:rPr>
        <w:t>Independent Commission Against Corruption Act 2012 (SA).</w:t>
      </w:r>
      <w:r w:rsidR="00D02C41">
        <w:rPr>
          <w:i/>
          <w:sz w:val="24"/>
          <w:szCs w:val="24"/>
        </w:rPr>
        <w:t xml:space="preserve"> </w:t>
      </w:r>
      <w:r w:rsidR="009B0D47">
        <w:rPr>
          <w:sz w:val="24"/>
          <w:szCs w:val="24"/>
        </w:rPr>
        <w:t xml:space="preserve">As a result, the entity previously known at the </w:t>
      </w:r>
      <w:r w:rsidR="00463E94">
        <w:rPr>
          <w:sz w:val="24"/>
          <w:szCs w:val="24"/>
        </w:rPr>
        <w:t xml:space="preserve">Independent Commissioner Against Corruption of South Australia </w:t>
      </w:r>
      <w:r w:rsidR="009B0D47">
        <w:rPr>
          <w:sz w:val="24"/>
          <w:szCs w:val="24"/>
        </w:rPr>
        <w:t xml:space="preserve">is now the </w:t>
      </w:r>
      <w:r w:rsidR="00F465C0">
        <w:rPr>
          <w:sz w:val="24"/>
          <w:szCs w:val="24"/>
        </w:rPr>
        <w:t>SA ICAC</w:t>
      </w:r>
      <w:r>
        <w:rPr>
          <w:sz w:val="24"/>
          <w:szCs w:val="24"/>
        </w:rPr>
        <w:t>.</w:t>
      </w:r>
      <w:r w:rsidR="00BD7DB5">
        <w:rPr>
          <w:sz w:val="24"/>
          <w:szCs w:val="24"/>
        </w:rPr>
        <w:t xml:space="preserve"> </w:t>
      </w:r>
    </w:p>
    <w:p w14:paraId="6EF02342" w14:textId="5AE293D4" w:rsidR="001B11D3" w:rsidRDefault="0082567F" w:rsidP="001B11D3">
      <w:pPr>
        <w:autoSpaceDE w:val="0"/>
        <w:autoSpaceDN w:val="0"/>
        <w:adjustRightInd w:val="0"/>
        <w:spacing w:before="240"/>
        <w:ind w:right="-626"/>
        <w:rPr>
          <w:sz w:val="24"/>
          <w:szCs w:val="24"/>
        </w:rPr>
      </w:pPr>
      <w:r w:rsidRPr="00F07AC4">
        <w:rPr>
          <w:sz w:val="24"/>
          <w:szCs w:val="24"/>
        </w:rPr>
        <w:t xml:space="preserve">The </w:t>
      </w:r>
      <w:r w:rsidRPr="00F07AC4">
        <w:rPr>
          <w:i/>
          <w:sz w:val="24"/>
          <w:szCs w:val="24"/>
        </w:rPr>
        <w:t>Crimes and Other Legislative Amendment (Omnibus) Act 2023</w:t>
      </w:r>
      <w:r w:rsidR="008D10E8">
        <w:rPr>
          <w:i/>
          <w:sz w:val="24"/>
          <w:szCs w:val="24"/>
        </w:rPr>
        <w:t xml:space="preserve"> </w:t>
      </w:r>
      <w:r w:rsidR="001B11D3">
        <w:rPr>
          <w:sz w:val="24"/>
          <w:szCs w:val="24"/>
        </w:rPr>
        <w:t xml:space="preserve">amended </w:t>
      </w:r>
      <w:r w:rsidRPr="00F07AC4">
        <w:rPr>
          <w:sz w:val="24"/>
          <w:szCs w:val="24"/>
        </w:rPr>
        <w:t xml:space="preserve">references </w:t>
      </w:r>
      <w:r w:rsidR="001B11D3">
        <w:rPr>
          <w:sz w:val="24"/>
          <w:szCs w:val="24"/>
        </w:rPr>
        <w:t xml:space="preserve">to the </w:t>
      </w:r>
      <w:r w:rsidR="001B11D3" w:rsidRPr="008F32E4">
        <w:rPr>
          <w:sz w:val="24"/>
          <w:szCs w:val="24"/>
        </w:rPr>
        <w:t>Independent Commissioner Against Corruption</w:t>
      </w:r>
      <w:r w:rsidR="001B11D3">
        <w:rPr>
          <w:sz w:val="24"/>
          <w:szCs w:val="24"/>
        </w:rPr>
        <w:t xml:space="preserve"> of South Australia</w:t>
      </w:r>
      <w:r w:rsidR="001B11D3" w:rsidRPr="008F32E4">
        <w:rPr>
          <w:sz w:val="24"/>
          <w:szCs w:val="24"/>
        </w:rPr>
        <w:t xml:space="preserve"> </w:t>
      </w:r>
      <w:r w:rsidRPr="00F07AC4">
        <w:rPr>
          <w:sz w:val="24"/>
          <w:szCs w:val="24"/>
        </w:rPr>
        <w:t xml:space="preserve">in the </w:t>
      </w:r>
      <w:r w:rsidRPr="00F07AC4">
        <w:rPr>
          <w:i/>
          <w:sz w:val="24"/>
          <w:szCs w:val="24"/>
        </w:rPr>
        <w:t>Crimes Act</w:t>
      </w:r>
      <w:r w:rsidR="002841C1" w:rsidRPr="00F07AC4">
        <w:rPr>
          <w:i/>
          <w:sz w:val="24"/>
          <w:szCs w:val="24"/>
        </w:rPr>
        <w:t xml:space="preserve"> 1914</w:t>
      </w:r>
      <w:r w:rsidR="002841C1" w:rsidRPr="00F07AC4">
        <w:rPr>
          <w:sz w:val="24"/>
          <w:szCs w:val="24"/>
        </w:rPr>
        <w:t xml:space="preserve">, </w:t>
      </w:r>
      <w:r w:rsidR="002841C1" w:rsidRPr="00F07AC4">
        <w:rPr>
          <w:i/>
          <w:sz w:val="24"/>
          <w:szCs w:val="24"/>
        </w:rPr>
        <w:t>Criminal</w:t>
      </w:r>
      <w:r w:rsidR="006402DC">
        <w:rPr>
          <w:i/>
          <w:sz w:val="24"/>
          <w:szCs w:val="24"/>
        </w:rPr>
        <w:t> </w:t>
      </w:r>
      <w:r w:rsidR="002841C1" w:rsidRPr="00F07AC4">
        <w:rPr>
          <w:i/>
          <w:sz w:val="24"/>
          <w:szCs w:val="24"/>
        </w:rPr>
        <w:t>Code Act 1995</w:t>
      </w:r>
      <w:r w:rsidR="002841C1" w:rsidRPr="00F07AC4">
        <w:rPr>
          <w:sz w:val="24"/>
          <w:szCs w:val="24"/>
        </w:rPr>
        <w:t xml:space="preserve">, </w:t>
      </w:r>
      <w:r w:rsidR="002841C1" w:rsidRPr="00F07AC4">
        <w:rPr>
          <w:i/>
          <w:sz w:val="24"/>
          <w:szCs w:val="24"/>
        </w:rPr>
        <w:t>Privacy Act 1988</w:t>
      </w:r>
      <w:r w:rsidR="002841C1" w:rsidRPr="00F07AC4">
        <w:rPr>
          <w:sz w:val="24"/>
          <w:szCs w:val="24"/>
        </w:rPr>
        <w:t xml:space="preserve">, </w:t>
      </w:r>
      <w:r w:rsidR="002841C1" w:rsidRPr="00F07AC4">
        <w:rPr>
          <w:i/>
          <w:sz w:val="24"/>
          <w:szCs w:val="24"/>
        </w:rPr>
        <w:t>Surveillance Devices Act 2004</w:t>
      </w:r>
      <w:r w:rsidR="002841C1" w:rsidRPr="00F07AC4">
        <w:rPr>
          <w:sz w:val="24"/>
          <w:szCs w:val="24"/>
        </w:rPr>
        <w:t xml:space="preserve"> and the TIA Act</w:t>
      </w:r>
      <w:r w:rsidR="001B11D3">
        <w:rPr>
          <w:sz w:val="24"/>
          <w:szCs w:val="24"/>
        </w:rPr>
        <w:t xml:space="preserve"> to reflect the new name of the body.</w:t>
      </w:r>
    </w:p>
    <w:p w14:paraId="1849DDC5" w14:textId="0C409BA2" w:rsidR="00AE752D" w:rsidRDefault="00BD7DB5" w:rsidP="00271CAE">
      <w:pPr>
        <w:autoSpaceDE w:val="0"/>
        <w:autoSpaceDN w:val="0"/>
        <w:adjustRightInd w:val="0"/>
        <w:spacing w:before="240"/>
        <w:ind w:right="-626"/>
        <w:rPr>
          <w:sz w:val="24"/>
          <w:szCs w:val="24"/>
        </w:rPr>
      </w:pPr>
      <w:r>
        <w:rPr>
          <w:sz w:val="24"/>
          <w:szCs w:val="24"/>
        </w:rPr>
        <w:t>The</w:t>
      </w:r>
      <w:r w:rsidR="00AE752D">
        <w:rPr>
          <w:sz w:val="24"/>
          <w:szCs w:val="24"/>
        </w:rPr>
        <w:t xml:space="preserve"> power to intercept telecommunications under a warrant for the purposes of law enforcement is confined to the Australian Federal Police, the Australian Crime Commission or an ‘eligible authority’ of a State in relation to which a declaration under section 34 is in force. </w:t>
      </w:r>
    </w:p>
    <w:p w14:paraId="50472AC4" w14:textId="59CD2554" w:rsidR="00126E25" w:rsidRPr="00271CAE" w:rsidRDefault="002174FB" w:rsidP="00271CAE">
      <w:pPr>
        <w:autoSpaceDE w:val="0"/>
        <w:autoSpaceDN w:val="0"/>
        <w:adjustRightInd w:val="0"/>
        <w:spacing w:before="240"/>
        <w:ind w:right="-626"/>
        <w:rPr>
          <w:sz w:val="24"/>
          <w:szCs w:val="24"/>
        </w:rPr>
      </w:pPr>
      <w:r>
        <w:rPr>
          <w:sz w:val="24"/>
          <w:szCs w:val="24"/>
        </w:rPr>
        <w:t xml:space="preserve">Under </w:t>
      </w:r>
      <w:r w:rsidR="00186598">
        <w:rPr>
          <w:sz w:val="24"/>
          <w:szCs w:val="24"/>
        </w:rPr>
        <w:t>section 34</w:t>
      </w:r>
      <w:r>
        <w:rPr>
          <w:sz w:val="24"/>
          <w:szCs w:val="24"/>
        </w:rPr>
        <w:t>, t</w:t>
      </w:r>
      <w:r w:rsidR="00126E25" w:rsidRPr="00271CAE">
        <w:rPr>
          <w:sz w:val="24"/>
          <w:szCs w:val="24"/>
        </w:rPr>
        <w:t xml:space="preserve">he Attorney-General </w:t>
      </w:r>
      <w:r w:rsidR="002B6580">
        <w:rPr>
          <w:sz w:val="24"/>
          <w:szCs w:val="24"/>
        </w:rPr>
        <w:t>may</w:t>
      </w:r>
      <w:r w:rsidR="00126E25" w:rsidRPr="00271CAE">
        <w:rPr>
          <w:sz w:val="24"/>
          <w:szCs w:val="24"/>
        </w:rPr>
        <w:t xml:space="preserve"> declare an eligible authority of a State to be an agency for the purposes of the TIA Act</w:t>
      </w:r>
      <w:r w:rsidR="0029316A">
        <w:rPr>
          <w:sz w:val="24"/>
          <w:szCs w:val="24"/>
        </w:rPr>
        <w:t xml:space="preserve"> if</w:t>
      </w:r>
      <w:r w:rsidR="002B6580">
        <w:rPr>
          <w:sz w:val="24"/>
          <w:szCs w:val="24"/>
        </w:rPr>
        <w:t xml:space="preserve"> </w:t>
      </w:r>
      <w:r w:rsidR="002360A6" w:rsidRPr="00271CAE">
        <w:rPr>
          <w:sz w:val="24"/>
          <w:szCs w:val="24"/>
        </w:rPr>
        <w:t>the</w:t>
      </w:r>
      <w:r w:rsidR="002360A6">
        <w:rPr>
          <w:sz w:val="24"/>
          <w:szCs w:val="24"/>
        </w:rPr>
        <w:t xml:space="preserve"> relevant </w:t>
      </w:r>
      <w:r w:rsidR="00126E25" w:rsidRPr="00271CAE">
        <w:rPr>
          <w:sz w:val="24"/>
          <w:szCs w:val="24"/>
        </w:rPr>
        <w:t xml:space="preserve">law of the State </w:t>
      </w:r>
      <w:r w:rsidR="0029316A">
        <w:rPr>
          <w:sz w:val="24"/>
          <w:szCs w:val="24"/>
        </w:rPr>
        <w:t xml:space="preserve">provides for certain matters relating to keeping and inspecting records, and the State has </w:t>
      </w:r>
      <w:r w:rsidR="00126E25" w:rsidRPr="00271CAE">
        <w:rPr>
          <w:sz w:val="24"/>
          <w:szCs w:val="24"/>
        </w:rPr>
        <w:t>enter</w:t>
      </w:r>
      <w:r w:rsidR="0029316A">
        <w:rPr>
          <w:sz w:val="24"/>
          <w:szCs w:val="24"/>
        </w:rPr>
        <w:t>ed</w:t>
      </w:r>
      <w:r w:rsidR="00126E25" w:rsidRPr="00271CAE">
        <w:rPr>
          <w:sz w:val="24"/>
          <w:szCs w:val="24"/>
        </w:rPr>
        <w:t xml:space="preserve"> into an agreement </w:t>
      </w:r>
      <w:r w:rsidR="002360A6">
        <w:rPr>
          <w:sz w:val="24"/>
          <w:szCs w:val="24"/>
        </w:rPr>
        <w:t>to pay all</w:t>
      </w:r>
      <w:r w:rsidR="00126E25" w:rsidRPr="00271CAE">
        <w:rPr>
          <w:sz w:val="24"/>
          <w:szCs w:val="24"/>
        </w:rPr>
        <w:t xml:space="preserve"> costs </w:t>
      </w:r>
      <w:r w:rsidR="002360A6">
        <w:rPr>
          <w:sz w:val="24"/>
          <w:szCs w:val="24"/>
        </w:rPr>
        <w:t xml:space="preserve">connected with </w:t>
      </w:r>
      <w:r w:rsidR="00126E25" w:rsidRPr="00271CAE">
        <w:rPr>
          <w:sz w:val="24"/>
          <w:szCs w:val="24"/>
        </w:rPr>
        <w:t>the issue of warrants.</w:t>
      </w:r>
      <w:r w:rsidR="0029316A">
        <w:rPr>
          <w:sz w:val="24"/>
          <w:szCs w:val="24"/>
        </w:rPr>
        <w:t xml:space="preserve"> Both of these conditions </w:t>
      </w:r>
      <w:r w:rsidR="00D9163B">
        <w:rPr>
          <w:sz w:val="24"/>
          <w:szCs w:val="24"/>
        </w:rPr>
        <w:t>have been</w:t>
      </w:r>
      <w:r w:rsidR="0029316A">
        <w:rPr>
          <w:sz w:val="24"/>
          <w:szCs w:val="24"/>
        </w:rPr>
        <w:t xml:space="preserve"> satisfied</w:t>
      </w:r>
      <w:r w:rsidR="00D9163B">
        <w:rPr>
          <w:sz w:val="24"/>
          <w:szCs w:val="24"/>
        </w:rPr>
        <w:t xml:space="preserve"> in this instance</w:t>
      </w:r>
      <w:r w:rsidR="0029316A">
        <w:rPr>
          <w:sz w:val="24"/>
          <w:szCs w:val="24"/>
        </w:rPr>
        <w:t>.</w:t>
      </w:r>
    </w:p>
    <w:p w14:paraId="45851272" w14:textId="01C0B4B1" w:rsidR="005E10F4" w:rsidRPr="00271CAE" w:rsidRDefault="009441EA" w:rsidP="00271CAE">
      <w:pPr>
        <w:autoSpaceDE w:val="0"/>
        <w:autoSpaceDN w:val="0"/>
        <w:adjustRightInd w:val="0"/>
        <w:spacing w:before="240"/>
        <w:ind w:right="-626"/>
        <w:rPr>
          <w:sz w:val="24"/>
          <w:szCs w:val="24"/>
        </w:rPr>
      </w:pPr>
      <w:r w:rsidRPr="00271CAE">
        <w:rPr>
          <w:sz w:val="24"/>
          <w:szCs w:val="24"/>
        </w:rPr>
        <w:t>Under section 37 of the TIA Act a declaration of an eligible authority as an agency which is in force under section 34 may be revoked if requested by the Premier of a State.</w:t>
      </w:r>
    </w:p>
    <w:p w14:paraId="596DDB3D" w14:textId="79F1E542" w:rsidR="005E10F4" w:rsidRDefault="005E10F4" w:rsidP="00271CAE">
      <w:pPr>
        <w:autoSpaceDE w:val="0"/>
        <w:autoSpaceDN w:val="0"/>
        <w:adjustRightInd w:val="0"/>
        <w:spacing w:before="240"/>
        <w:ind w:right="-626"/>
        <w:rPr>
          <w:b/>
          <w:sz w:val="24"/>
          <w:szCs w:val="24"/>
        </w:rPr>
      </w:pPr>
      <w:bookmarkStart w:id="0" w:name="_Hlk138410752"/>
      <w:r>
        <w:rPr>
          <w:sz w:val="24"/>
          <w:szCs w:val="24"/>
        </w:rPr>
        <w:t xml:space="preserve">Details of the Declaration are set out in </w:t>
      </w:r>
      <w:r w:rsidRPr="00F07AC4">
        <w:rPr>
          <w:b/>
          <w:sz w:val="24"/>
          <w:szCs w:val="24"/>
        </w:rPr>
        <w:t xml:space="preserve">Attachment </w:t>
      </w:r>
      <w:r w:rsidR="00BD7DB5" w:rsidRPr="003F38F4">
        <w:rPr>
          <w:b/>
          <w:sz w:val="24"/>
          <w:szCs w:val="24"/>
        </w:rPr>
        <w:t>A</w:t>
      </w:r>
      <w:r w:rsidR="00BD7DB5">
        <w:rPr>
          <w:sz w:val="24"/>
          <w:szCs w:val="24"/>
        </w:rPr>
        <w:t>.</w:t>
      </w:r>
      <w:bookmarkEnd w:id="0"/>
    </w:p>
    <w:p w14:paraId="024B0C76" w14:textId="6C567407" w:rsidR="00EE6685" w:rsidRDefault="00EE6685" w:rsidP="00615038">
      <w:pPr>
        <w:keepNext/>
        <w:autoSpaceDE w:val="0"/>
        <w:autoSpaceDN w:val="0"/>
        <w:adjustRightInd w:val="0"/>
        <w:spacing w:before="240"/>
        <w:ind w:right="-624"/>
        <w:rPr>
          <w:b/>
          <w:sz w:val="24"/>
          <w:szCs w:val="24"/>
        </w:rPr>
      </w:pPr>
      <w:bookmarkStart w:id="1" w:name="_Hlk138410814"/>
      <w:bookmarkStart w:id="2" w:name="_GoBack"/>
      <w:bookmarkEnd w:id="2"/>
      <w:r>
        <w:rPr>
          <w:b/>
          <w:sz w:val="24"/>
          <w:szCs w:val="24"/>
        </w:rPr>
        <w:lastRenderedPageBreak/>
        <w:t>Exemption from sunsetting</w:t>
      </w:r>
    </w:p>
    <w:p w14:paraId="225AF1EB" w14:textId="301D3D52" w:rsidR="00EE6685" w:rsidRDefault="00EE6685" w:rsidP="00EE6685">
      <w:pPr>
        <w:autoSpaceDE w:val="0"/>
        <w:autoSpaceDN w:val="0"/>
        <w:adjustRightInd w:val="0"/>
        <w:spacing w:before="240"/>
        <w:ind w:right="-626"/>
        <w:rPr>
          <w:i/>
          <w:sz w:val="24"/>
          <w:szCs w:val="24"/>
        </w:rPr>
      </w:pPr>
      <w:r>
        <w:rPr>
          <w:sz w:val="24"/>
          <w:szCs w:val="24"/>
        </w:rPr>
        <w:t xml:space="preserve">The Declaration is exempt from sunsetting as it is made pursuant to section 34 of the TIA Act, which is listed at item 62 of section 12 of the </w:t>
      </w:r>
      <w:r>
        <w:rPr>
          <w:i/>
          <w:sz w:val="24"/>
          <w:szCs w:val="24"/>
        </w:rPr>
        <w:t xml:space="preserve">Legislation (Exemptions and Other Matters) Regulation 2015 </w:t>
      </w:r>
      <w:r>
        <w:rPr>
          <w:sz w:val="24"/>
          <w:szCs w:val="24"/>
        </w:rPr>
        <w:t xml:space="preserve">as a particular legislative instrument for the purposes of paragraph 54(2)(b) of the </w:t>
      </w:r>
      <w:r>
        <w:rPr>
          <w:i/>
          <w:sz w:val="24"/>
          <w:szCs w:val="24"/>
        </w:rPr>
        <w:t xml:space="preserve">Legislation Act 2003. </w:t>
      </w:r>
    </w:p>
    <w:p w14:paraId="7D24A7EC" w14:textId="14AD0874" w:rsidR="00EE6685" w:rsidRPr="00E45834" w:rsidRDefault="0029316A" w:rsidP="00271CAE">
      <w:pPr>
        <w:autoSpaceDE w:val="0"/>
        <w:autoSpaceDN w:val="0"/>
        <w:adjustRightInd w:val="0"/>
        <w:spacing w:before="240"/>
        <w:ind w:right="-626"/>
        <w:rPr>
          <w:sz w:val="24"/>
          <w:szCs w:val="24"/>
        </w:rPr>
      </w:pPr>
      <w:r>
        <w:rPr>
          <w:sz w:val="24"/>
          <w:szCs w:val="24"/>
        </w:rPr>
        <w:t>D</w:t>
      </w:r>
      <w:r w:rsidR="00EE6685">
        <w:rPr>
          <w:sz w:val="24"/>
          <w:szCs w:val="24"/>
        </w:rPr>
        <w:t>eclarations made pursuant to section 34 of the TIA Act are not intended to be remade frequently. They are important for allowing agencies with a central role in investigating criminal offences to maintain their legislative functions</w:t>
      </w:r>
      <w:r w:rsidR="00D9163B">
        <w:rPr>
          <w:sz w:val="24"/>
          <w:szCs w:val="24"/>
        </w:rPr>
        <w:t>. S</w:t>
      </w:r>
      <w:r w:rsidR="00930295">
        <w:rPr>
          <w:sz w:val="24"/>
          <w:szCs w:val="24"/>
        </w:rPr>
        <w:t>ignificant uncertainty and disruption would result if they were to sunset</w:t>
      </w:r>
      <w:r w:rsidR="00EE6685">
        <w:rPr>
          <w:sz w:val="24"/>
          <w:szCs w:val="24"/>
        </w:rPr>
        <w:t xml:space="preserve">. </w:t>
      </w:r>
    </w:p>
    <w:p w14:paraId="2A6A2F44" w14:textId="1E960AAF" w:rsidR="00271CAE" w:rsidRPr="00271CAE" w:rsidRDefault="00271CAE" w:rsidP="00271CAE">
      <w:pPr>
        <w:autoSpaceDE w:val="0"/>
        <w:autoSpaceDN w:val="0"/>
        <w:adjustRightInd w:val="0"/>
        <w:spacing w:before="240"/>
        <w:ind w:right="-626"/>
        <w:rPr>
          <w:b/>
          <w:sz w:val="24"/>
          <w:szCs w:val="24"/>
        </w:rPr>
      </w:pPr>
      <w:r w:rsidRPr="00271CAE">
        <w:rPr>
          <w:b/>
          <w:sz w:val="24"/>
          <w:szCs w:val="24"/>
        </w:rPr>
        <w:t>CONSULTATION</w:t>
      </w:r>
      <w:bookmarkEnd w:id="1"/>
    </w:p>
    <w:p w14:paraId="46A418D2" w14:textId="72D2AB5E" w:rsidR="00271CAE" w:rsidRPr="00271CAE" w:rsidRDefault="00127B8F" w:rsidP="00271CAE">
      <w:pPr>
        <w:autoSpaceDE w:val="0"/>
        <w:autoSpaceDN w:val="0"/>
        <w:adjustRightInd w:val="0"/>
        <w:spacing w:before="240"/>
        <w:ind w:right="-626"/>
        <w:rPr>
          <w:sz w:val="24"/>
          <w:szCs w:val="24"/>
        </w:rPr>
      </w:pPr>
      <w:r w:rsidRPr="00271CAE">
        <w:rPr>
          <w:sz w:val="24"/>
          <w:szCs w:val="24"/>
        </w:rPr>
        <w:t xml:space="preserve">The Office of Impact Analysis </w:t>
      </w:r>
      <w:r w:rsidR="00BB47A3">
        <w:rPr>
          <w:sz w:val="24"/>
          <w:szCs w:val="24"/>
        </w:rPr>
        <w:t>(OIA)</w:t>
      </w:r>
      <w:r w:rsidR="00CD36B7">
        <w:rPr>
          <w:sz w:val="24"/>
          <w:szCs w:val="24"/>
        </w:rPr>
        <w:t xml:space="preserve"> </w:t>
      </w:r>
      <w:r w:rsidR="00DB34A4" w:rsidRPr="00271CAE">
        <w:rPr>
          <w:sz w:val="24"/>
          <w:szCs w:val="24"/>
        </w:rPr>
        <w:t>has advised that a Regulation Impact Statement is not required</w:t>
      </w:r>
      <w:r w:rsidR="00DB34A4">
        <w:rPr>
          <w:sz w:val="24"/>
          <w:szCs w:val="24"/>
        </w:rPr>
        <w:t xml:space="preserve"> (</w:t>
      </w:r>
      <w:r w:rsidR="00DB34A4" w:rsidRPr="00271CAE">
        <w:rPr>
          <w:sz w:val="24"/>
          <w:szCs w:val="24"/>
        </w:rPr>
        <w:t>OBPR consultation reference number</w:t>
      </w:r>
      <w:r w:rsidR="00DB34A4">
        <w:rPr>
          <w:sz w:val="24"/>
          <w:szCs w:val="24"/>
        </w:rPr>
        <w:t xml:space="preserve">: OIA23-05181). The OIA considered </w:t>
      </w:r>
      <w:r w:rsidR="00BB47A3">
        <w:rPr>
          <w:sz w:val="24"/>
          <w:szCs w:val="24"/>
        </w:rPr>
        <w:t>th</w:t>
      </w:r>
      <w:r w:rsidR="00326978">
        <w:rPr>
          <w:sz w:val="24"/>
          <w:szCs w:val="24"/>
        </w:rPr>
        <w:t xml:space="preserve">is </w:t>
      </w:r>
      <w:r w:rsidR="00BB47A3">
        <w:rPr>
          <w:sz w:val="24"/>
          <w:szCs w:val="24"/>
        </w:rPr>
        <w:t xml:space="preserve">Declaration is unlikely to have a more than minor impact, </w:t>
      </w:r>
      <w:r w:rsidR="00DB34A4">
        <w:rPr>
          <w:sz w:val="24"/>
          <w:szCs w:val="24"/>
        </w:rPr>
        <w:t>introducing</w:t>
      </w:r>
      <w:r w:rsidR="00BB47A3">
        <w:rPr>
          <w:sz w:val="24"/>
          <w:szCs w:val="24"/>
        </w:rPr>
        <w:t xml:space="preserve"> no significant regulatory burden or impact for Australian individuals, businesses, or community organisations. </w:t>
      </w:r>
    </w:p>
    <w:p w14:paraId="14E04EE7" w14:textId="1A2521BC" w:rsidR="00271CAE" w:rsidRPr="00271CAE" w:rsidRDefault="00126A7C" w:rsidP="00271CAE">
      <w:pPr>
        <w:autoSpaceDE w:val="0"/>
        <w:autoSpaceDN w:val="0"/>
        <w:adjustRightInd w:val="0"/>
        <w:spacing w:before="240"/>
        <w:ind w:right="-626"/>
        <w:rPr>
          <w:sz w:val="24"/>
          <w:szCs w:val="24"/>
        </w:rPr>
      </w:pPr>
      <w:r w:rsidRPr="00271CAE">
        <w:rPr>
          <w:sz w:val="24"/>
          <w:szCs w:val="24"/>
        </w:rPr>
        <w:t xml:space="preserve">This Declaration was made on request from the </w:t>
      </w:r>
      <w:r w:rsidR="000B26E3">
        <w:rPr>
          <w:sz w:val="24"/>
          <w:szCs w:val="24"/>
        </w:rPr>
        <w:t>Premier of South Australia</w:t>
      </w:r>
      <w:r w:rsidRPr="00271CAE">
        <w:rPr>
          <w:sz w:val="24"/>
          <w:szCs w:val="24"/>
        </w:rPr>
        <w:t xml:space="preserve">. </w:t>
      </w:r>
      <w:r w:rsidR="00894236">
        <w:rPr>
          <w:sz w:val="24"/>
          <w:szCs w:val="24"/>
        </w:rPr>
        <w:t xml:space="preserve">The Commonwealth Attorney-General’s Department consulted the </w:t>
      </w:r>
      <w:r w:rsidR="000B26E3">
        <w:rPr>
          <w:sz w:val="24"/>
          <w:szCs w:val="24"/>
        </w:rPr>
        <w:t xml:space="preserve">South Australia Attorney-General’s Department </w:t>
      </w:r>
      <w:r w:rsidR="00894236">
        <w:rPr>
          <w:sz w:val="24"/>
          <w:szCs w:val="24"/>
        </w:rPr>
        <w:t>and SA ICAC to ensure all legislative requirements have been met.</w:t>
      </w:r>
      <w:r w:rsidR="00A03BC2">
        <w:rPr>
          <w:sz w:val="24"/>
          <w:szCs w:val="24"/>
        </w:rPr>
        <w:t xml:space="preserve"> Additional consultation was not required as the instrument is technical in its operation and merely update</w:t>
      </w:r>
      <w:r w:rsidR="0029316A">
        <w:rPr>
          <w:sz w:val="24"/>
          <w:szCs w:val="24"/>
        </w:rPr>
        <w:t>s</w:t>
      </w:r>
      <w:r w:rsidR="00A03BC2">
        <w:rPr>
          <w:sz w:val="24"/>
          <w:szCs w:val="24"/>
        </w:rPr>
        <w:t xml:space="preserve"> the reference to the SA agency to reflect its new name.</w:t>
      </w:r>
    </w:p>
    <w:p w14:paraId="3FB4A94C" w14:textId="49AF8DDB" w:rsidR="00BD7DB5" w:rsidRDefault="00DB34A4" w:rsidP="00930295">
      <w:pPr>
        <w:autoSpaceDE w:val="0"/>
        <w:autoSpaceDN w:val="0"/>
        <w:adjustRightInd w:val="0"/>
        <w:spacing w:before="240"/>
        <w:ind w:right="-626"/>
        <w:rPr>
          <w:sz w:val="24"/>
          <w:szCs w:val="24"/>
        </w:rPr>
        <w:sectPr w:rsidR="00BD7DB5" w:rsidSect="00F53C52">
          <w:headerReference w:type="default" r:id="rId11"/>
          <w:pgSz w:w="11906" w:h="16838"/>
          <w:pgMar w:top="1440" w:right="1440" w:bottom="1440" w:left="1440" w:header="720" w:footer="720" w:gutter="0"/>
          <w:cols w:space="720"/>
          <w:docGrid w:linePitch="272"/>
        </w:sectPr>
      </w:pPr>
      <w:r w:rsidRPr="00271CAE">
        <w:rPr>
          <w:sz w:val="24"/>
          <w:szCs w:val="24"/>
        </w:rPr>
        <w:t xml:space="preserve">The Declaration is an instrument subject to disallowance under section 42 of the </w:t>
      </w:r>
      <w:r w:rsidRPr="00271CAE">
        <w:rPr>
          <w:i/>
          <w:sz w:val="24"/>
          <w:szCs w:val="24"/>
        </w:rPr>
        <w:t xml:space="preserve">Legislation Act 2003 </w:t>
      </w:r>
      <w:r w:rsidRPr="00271CAE">
        <w:rPr>
          <w:sz w:val="24"/>
          <w:szCs w:val="24"/>
        </w:rPr>
        <w:t xml:space="preserve">and therefore a Statement of Compatibility with Human Rights has been provided at </w:t>
      </w:r>
      <w:r w:rsidR="00F07AC4" w:rsidRPr="00615038">
        <w:rPr>
          <w:b/>
          <w:sz w:val="24"/>
          <w:szCs w:val="24"/>
        </w:rPr>
        <w:t>Attachment B</w:t>
      </w:r>
      <w:r w:rsidR="00441084">
        <w:rPr>
          <w:sz w:val="24"/>
          <w:szCs w:val="24"/>
        </w:rPr>
        <w:t>.</w:t>
      </w:r>
    </w:p>
    <w:p w14:paraId="606CC2C4" w14:textId="464ACECB" w:rsidR="00930295" w:rsidRPr="00BD7DB5" w:rsidRDefault="00930295" w:rsidP="00BD7DB5">
      <w:pPr>
        <w:autoSpaceDE w:val="0"/>
        <w:autoSpaceDN w:val="0"/>
        <w:adjustRightInd w:val="0"/>
        <w:spacing w:before="240"/>
        <w:ind w:right="-626"/>
        <w:jc w:val="center"/>
        <w:rPr>
          <w:b/>
          <w:sz w:val="24"/>
          <w:szCs w:val="24"/>
        </w:rPr>
      </w:pPr>
      <w:r w:rsidRPr="00BD7DB5">
        <w:rPr>
          <w:b/>
          <w:sz w:val="24"/>
          <w:szCs w:val="24"/>
        </w:rPr>
        <w:lastRenderedPageBreak/>
        <w:t>DETAILS OF DECLARATION</w:t>
      </w:r>
    </w:p>
    <w:p w14:paraId="65395593" w14:textId="153635F0" w:rsidR="00930295" w:rsidRPr="00BD7DB5" w:rsidRDefault="00930295" w:rsidP="00930295">
      <w:pPr>
        <w:autoSpaceDE w:val="0"/>
        <w:autoSpaceDN w:val="0"/>
        <w:adjustRightInd w:val="0"/>
        <w:spacing w:before="240"/>
        <w:ind w:right="-626"/>
        <w:rPr>
          <w:b/>
          <w:sz w:val="24"/>
          <w:szCs w:val="24"/>
        </w:rPr>
      </w:pPr>
      <w:r w:rsidRPr="00BD7DB5">
        <w:rPr>
          <w:b/>
          <w:sz w:val="24"/>
          <w:szCs w:val="24"/>
        </w:rPr>
        <w:t xml:space="preserve">Item 1 </w:t>
      </w:r>
      <w:r w:rsidR="00BD7DB5">
        <w:rPr>
          <w:b/>
          <w:sz w:val="24"/>
          <w:szCs w:val="24"/>
        </w:rPr>
        <w:t>–</w:t>
      </w:r>
      <w:r w:rsidRPr="00BD7DB5">
        <w:rPr>
          <w:b/>
          <w:sz w:val="24"/>
          <w:szCs w:val="24"/>
        </w:rPr>
        <w:t xml:space="preserve"> </w:t>
      </w:r>
      <w:r w:rsidR="00BD7DB5">
        <w:rPr>
          <w:b/>
          <w:sz w:val="24"/>
          <w:szCs w:val="24"/>
        </w:rPr>
        <w:t>Name of declaration</w:t>
      </w:r>
    </w:p>
    <w:p w14:paraId="6241F8C4" w14:textId="4FF51062" w:rsidR="00930295" w:rsidRDefault="00930295" w:rsidP="00930295">
      <w:pPr>
        <w:autoSpaceDE w:val="0"/>
        <w:autoSpaceDN w:val="0"/>
        <w:adjustRightInd w:val="0"/>
        <w:spacing w:before="240"/>
        <w:ind w:right="-626"/>
        <w:rPr>
          <w:i/>
          <w:sz w:val="24"/>
          <w:szCs w:val="24"/>
        </w:rPr>
      </w:pPr>
      <w:r>
        <w:rPr>
          <w:sz w:val="24"/>
          <w:szCs w:val="24"/>
        </w:rPr>
        <w:t xml:space="preserve">Item 1 states that the Declaration is the </w:t>
      </w:r>
      <w:r>
        <w:rPr>
          <w:i/>
          <w:sz w:val="24"/>
          <w:szCs w:val="24"/>
        </w:rPr>
        <w:t>Telecommunications (Interception and Access – Independent Commissioner Against Corruption of South Australia) Declaration 2023.</w:t>
      </w:r>
    </w:p>
    <w:p w14:paraId="16B55110" w14:textId="5F3898C5" w:rsidR="00930295" w:rsidRPr="00BD7DB5" w:rsidRDefault="00930295" w:rsidP="00930295">
      <w:pPr>
        <w:autoSpaceDE w:val="0"/>
        <w:autoSpaceDN w:val="0"/>
        <w:adjustRightInd w:val="0"/>
        <w:spacing w:before="240"/>
        <w:ind w:right="-626"/>
        <w:rPr>
          <w:b/>
          <w:sz w:val="24"/>
          <w:szCs w:val="24"/>
        </w:rPr>
      </w:pPr>
      <w:r w:rsidRPr="00F07AC4">
        <w:rPr>
          <w:b/>
          <w:sz w:val="24"/>
          <w:szCs w:val="24"/>
        </w:rPr>
        <w:t>Item 2 - Commencement</w:t>
      </w:r>
    </w:p>
    <w:p w14:paraId="381B8F75" w14:textId="3BC5E3FD" w:rsidR="00BD7DB5" w:rsidRDefault="00BD7DB5" w:rsidP="00930295">
      <w:pPr>
        <w:autoSpaceDE w:val="0"/>
        <w:autoSpaceDN w:val="0"/>
        <w:adjustRightInd w:val="0"/>
        <w:spacing w:before="240"/>
        <w:ind w:right="-626"/>
        <w:rPr>
          <w:sz w:val="24"/>
          <w:szCs w:val="24"/>
        </w:rPr>
      </w:pPr>
      <w:r>
        <w:rPr>
          <w:sz w:val="24"/>
          <w:szCs w:val="24"/>
        </w:rPr>
        <w:t>Item 2 states that the declaration will commence on the</w:t>
      </w:r>
      <w:r w:rsidR="008D10E8">
        <w:rPr>
          <w:sz w:val="24"/>
          <w:szCs w:val="24"/>
        </w:rPr>
        <w:t xml:space="preserve"> later of the date after this instrument is registered and the </w:t>
      </w:r>
      <w:r w:rsidR="0029316A" w:rsidRPr="00F07AC4">
        <w:rPr>
          <w:i/>
          <w:sz w:val="24"/>
          <w:szCs w:val="24"/>
        </w:rPr>
        <w:t>Crimes and Other Legislative Amendment (Omnibus) Act 2023</w:t>
      </w:r>
      <w:r w:rsidR="0029316A">
        <w:rPr>
          <w:i/>
          <w:sz w:val="24"/>
          <w:szCs w:val="24"/>
        </w:rPr>
        <w:t xml:space="preserve"> </w:t>
      </w:r>
      <w:r w:rsidR="008D10E8">
        <w:rPr>
          <w:sz w:val="24"/>
          <w:szCs w:val="24"/>
        </w:rPr>
        <w:t>receives Royal</w:t>
      </w:r>
      <w:r w:rsidR="00FA342C">
        <w:rPr>
          <w:sz w:val="24"/>
          <w:szCs w:val="24"/>
        </w:rPr>
        <w:t> </w:t>
      </w:r>
      <w:r w:rsidR="008D10E8">
        <w:rPr>
          <w:sz w:val="24"/>
          <w:szCs w:val="24"/>
        </w:rPr>
        <w:t xml:space="preserve">Assent. </w:t>
      </w:r>
      <w:r w:rsidR="0029316A">
        <w:rPr>
          <w:sz w:val="24"/>
          <w:szCs w:val="24"/>
        </w:rPr>
        <w:t>This guards against retrospective commencement.</w:t>
      </w:r>
    </w:p>
    <w:p w14:paraId="2A0F4374" w14:textId="45378D37" w:rsidR="00BD7DB5" w:rsidRDefault="00BD7DB5" w:rsidP="00271CAE">
      <w:pPr>
        <w:autoSpaceDE w:val="0"/>
        <w:autoSpaceDN w:val="0"/>
        <w:adjustRightInd w:val="0"/>
        <w:spacing w:before="240"/>
        <w:ind w:right="-626"/>
        <w:rPr>
          <w:b/>
          <w:sz w:val="24"/>
          <w:szCs w:val="24"/>
        </w:rPr>
      </w:pPr>
      <w:r>
        <w:rPr>
          <w:b/>
          <w:sz w:val="24"/>
          <w:szCs w:val="24"/>
        </w:rPr>
        <w:t>Item 3 – Declaration of agency</w:t>
      </w:r>
    </w:p>
    <w:p w14:paraId="7F316186" w14:textId="62553C0A" w:rsidR="00BD7DB5" w:rsidRPr="00BE0ACF" w:rsidRDefault="00BD7DB5" w:rsidP="00271CAE">
      <w:pPr>
        <w:autoSpaceDE w:val="0"/>
        <w:autoSpaceDN w:val="0"/>
        <w:adjustRightInd w:val="0"/>
        <w:spacing w:before="240"/>
        <w:ind w:right="-626"/>
        <w:rPr>
          <w:sz w:val="24"/>
          <w:szCs w:val="24"/>
        </w:rPr>
      </w:pPr>
      <w:r>
        <w:rPr>
          <w:sz w:val="24"/>
          <w:szCs w:val="24"/>
        </w:rPr>
        <w:t>Item 3 declares that the Independent Commission Against Corruption of South Australia (SA</w:t>
      </w:r>
      <w:r w:rsidR="006402DC">
        <w:rPr>
          <w:sz w:val="24"/>
          <w:szCs w:val="24"/>
        </w:rPr>
        <w:t> </w:t>
      </w:r>
      <w:r>
        <w:rPr>
          <w:sz w:val="24"/>
          <w:szCs w:val="24"/>
        </w:rPr>
        <w:t xml:space="preserve">ICAC) </w:t>
      </w:r>
      <w:r w:rsidR="00B26990">
        <w:rPr>
          <w:sz w:val="24"/>
          <w:szCs w:val="24"/>
        </w:rPr>
        <w:t xml:space="preserve">is an agency for the purposes of the </w:t>
      </w:r>
      <w:r w:rsidR="00B26990">
        <w:rPr>
          <w:i/>
          <w:sz w:val="24"/>
          <w:szCs w:val="24"/>
        </w:rPr>
        <w:t xml:space="preserve">Telecommunications (Interception and Access) Act 1979. </w:t>
      </w:r>
      <w:r w:rsidR="00E52EBE">
        <w:rPr>
          <w:sz w:val="24"/>
          <w:szCs w:val="24"/>
        </w:rPr>
        <w:t xml:space="preserve">As a declared agency, the SA ICAC will be eligible to apply for and execute interception warrants under Part 2-5 of the </w:t>
      </w:r>
      <w:r w:rsidR="00E52EBE">
        <w:rPr>
          <w:i/>
          <w:sz w:val="24"/>
          <w:szCs w:val="24"/>
        </w:rPr>
        <w:t>Telecommunications (Interception and Access) Act 1979.</w:t>
      </w:r>
    </w:p>
    <w:p w14:paraId="13B849B9" w14:textId="15F958A0" w:rsidR="00BD7DB5" w:rsidRPr="00BD7DB5" w:rsidRDefault="00BD7DB5" w:rsidP="00271CAE">
      <w:pPr>
        <w:autoSpaceDE w:val="0"/>
        <w:autoSpaceDN w:val="0"/>
        <w:adjustRightInd w:val="0"/>
        <w:spacing w:before="240"/>
        <w:ind w:right="-626"/>
        <w:rPr>
          <w:b/>
          <w:sz w:val="24"/>
          <w:szCs w:val="24"/>
        </w:rPr>
      </w:pPr>
      <w:r>
        <w:rPr>
          <w:b/>
          <w:sz w:val="24"/>
          <w:szCs w:val="24"/>
        </w:rPr>
        <w:t>Item 4 - Revocation</w:t>
      </w:r>
    </w:p>
    <w:p w14:paraId="16196185" w14:textId="795886E1" w:rsidR="00B26990" w:rsidRPr="00BE0ACF" w:rsidRDefault="00B26990" w:rsidP="00271CAE">
      <w:pPr>
        <w:autoSpaceDE w:val="0"/>
        <w:autoSpaceDN w:val="0"/>
        <w:adjustRightInd w:val="0"/>
        <w:spacing w:before="240"/>
        <w:ind w:right="-626"/>
        <w:rPr>
          <w:i/>
          <w:sz w:val="24"/>
          <w:szCs w:val="24"/>
        </w:rPr>
        <w:sectPr w:rsidR="00B26990" w:rsidRPr="00BE0ACF" w:rsidSect="00F53C52">
          <w:headerReference w:type="default" r:id="rId12"/>
          <w:pgSz w:w="11906" w:h="16838"/>
          <w:pgMar w:top="1440" w:right="1440" w:bottom="1440" w:left="1440" w:header="720" w:footer="720" w:gutter="0"/>
          <w:cols w:space="720"/>
          <w:docGrid w:linePitch="272"/>
        </w:sectPr>
      </w:pPr>
      <w:r>
        <w:rPr>
          <w:sz w:val="24"/>
          <w:szCs w:val="24"/>
        </w:rPr>
        <w:t xml:space="preserve">Item 4 revokes the </w:t>
      </w:r>
      <w:r>
        <w:rPr>
          <w:i/>
          <w:sz w:val="24"/>
          <w:szCs w:val="24"/>
        </w:rPr>
        <w:t>Telecommunications (Interception and Access – Independent Commissioner Against Corruption of South Australia) Declaration 2013</w:t>
      </w:r>
      <w:r>
        <w:rPr>
          <w:sz w:val="24"/>
          <w:szCs w:val="24"/>
        </w:rPr>
        <w:t xml:space="preserve">, which declared the former Independent Commissioner Against Corruption of South Australia </w:t>
      </w:r>
      <w:r w:rsidR="00E52EBE">
        <w:rPr>
          <w:sz w:val="24"/>
          <w:szCs w:val="24"/>
        </w:rPr>
        <w:t>to be</w:t>
      </w:r>
      <w:r>
        <w:rPr>
          <w:sz w:val="24"/>
          <w:szCs w:val="24"/>
        </w:rPr>
        <w:t xml:space="preserve"> an agency for the purposes of the TIA</w:t>
      </w:r>
      <w:r w:rsidR="006402DC">
        <w:rPr>
          <w:sz w:val="24"/>
          <w:szCs w:val="24"/>
        </w:rPr>
        <w:t> </w:t>
      </w:r>
      <w:r>
        <w:rPr>
          <w:sz w:val="24"/>
          <w:szCs w:val="24"/>
        </w:rPr>
        <w:t xml:space="preserve">Act. </w:t>
      </w:r>
      <w:r w:rsidR="00E52EBE">
        <w:rPr>
          <w:sz w:val="24"/>
          <w:szCs w:val="24"/>
        </w:rPr>
        <w:t xml:space="preserve"> </w:t>
      </w:r>
    </w:p>
    <w:p w14:paraId="5FE37289" w14:textId="7405D65A" w:rsidR="00657206" w:rsidRDefault="00657206" w:rsidP="00F465C0">
      <w:pPr>
        <w:autoSpaceDE w:val="0"/>
        <w:autoSpaceDN w:val="0"/>
        <w:adjustRightInd w:val="0"/>
        <w:spacing w:before="240"/>
        <w:ind w:right="-626"/>
        <w:jc w:val="center"/>
        <w:rPr>
          <w:b/>
          <w:i/>
          <w:sz w:val="24"/>
          <w:szCs w:val="24"/>
        </w:rPr>
      </w:pPr>
      <w:r w:rsidRPr="797FDF2D">
        <w:rPr>
          <w:b/>
          <w:bCs/>
          <w:caps/>
          <w:sz w:val="24"/>
          <w:szCs w:val="24"/>
        </w:rPr>
        <w:lastRenderedPageBreak/>
        <w:t>Statement of Compatibility with Human Rights</w:t>
      </w:r>
    </w:p>
    <w:p w14:paraId="33ADD653" w14:textId="77777777" w:rsidR="00657206" w:rsidRDefault="00657206" w:rsidP="00657206">
      <w:pPr>
        <w:spacing w:before="180"/>
        <w:jc w:val="center"/>
        <w:rPr>
          <w:i/>
          <w:sz w:val="24"/>
          <w:szCs w:val="24"/>
        </w:rPr>
      </w:pPr>
      <w:r>
        <w:rPr>
          <w:i/>
          <w:sz w:val="24"/>
          <w:szCs w:val="24"/>
        </w:rPr>
        <w:t>Prepared in accordance with Part 3 of the Human Rights (Parliamentary Scrutiny) Act 2011</w:t>
      </w:r>
    </w:p>
    <w:p w14:paraId="2F03FEDA" w14:textId="77777777" w:rsidR="00894236" w:rsidRPr="00894236" w:rsidRDefault="00894236" w:rsidP="00657206">
      <w:pPr>
        <w:spacing w:before="180"/>
        <w:jc w:val="center"/>
        <w:rPr>
          <w:b/>
          <w:i/>
          <w:sz w:val="24"/>
          <w:szCs w:val="24"/>
        </w:rPr>
      </w:pPr>
      <w:r>
        <w:rPr>
          <w:b/>
          <w:i/>
          <w:sz w:val="24"/>
          <w:szCs w:val="24"/>
        </w:rPr>
        <w:t>Telecommunications (Interception and Access – Independent Commission Against Corruption of South Australia) Declaration 2023</w:t>
      </w:r>
    </w:p>
    <w:p w14:paraId="4754BCB9" w14:textId="096FC944" w:rsidR="00DD6988" w:rsidRDefault="00894236" w:rsidP="00F07AC4">
      <w:pPr>
        <w:spacing w:before="180"/>
        <w:rPr>
          <w:sz w:val="24"/>
          <w:szCs w:val="24"/>
        </w:rPr>
      </w:pPr>
      <w:r>
        <w:rPr>
          <w:sz w:val="24"/>
          <w:szCs w:val="24"/>
        </w:rPr>
        <w:t xml:space="preserve">The </w:t>
      </w:r>
      <w:r>
        <w:rPr>
          <w:i/>
          <w:sz w:val="24"/>
          <w:szCs w:val="24"/>
        </w:rPr>
        <w:t>Telecommunications (Interception and Access – Independent Commission Against Corruption of South Australia) Declaration 2023</w:t>
      </w:r>
      <w:r w:rsidR="00271CAE">
        <w:rPr>
          <w:sz w:val="24"/>
          <w:szCs w:val="24"/>
        </w:rPr>
        <w:t xml:space="preserve"> </w:t>
      </w:r>
      <w:r w:rsidR="00946F3F">
        <w:rPr>
          <w:sz w:val="24"/>
          <w:szCs w:val="24"/>
        </w:rPr>
        <w:t xml:space="preserve">(the Declaration) </w:t>
      </w:r>
      <w:r w:rsidR="00657206">
        <w:rPr>
          <w:sz w:val="24"/>
          <w:szCs w:val="24"/>
        </w:rPr>
        <w:t xml:space="preserve">is compatible with the human rights and freedoms recognised or declared in the international instruments listed in section 3 of the </w:t>
      </w:r>
      <w:r w:rsidR="00657206">
        <w:rPr>
          <w:i/>
          <w:sz w:val="24"/>
          <w:szCs w:val="24"/>
        </w:rPr>
        <w:t>Human Rights (Parliamentary Scrutiny) Act 2011</w:t>
      </w:r>
      <w:r w:rsidR="00657206">
        <w:rPr>
          <w:sz w:val="24"/>
          <w:szCs w:val="24"/>
        </w:rPr>
        <w:t>.</w:t>
      </w:r>
    </w:p>
    <w:p w14:paraId="18D8E2A5" w14:textId="77D5812E" w:rsidR="00894236" w:rsidRDefault="00DD6988" w:rsidP="00F53C52">
      <w:pPr>
        <w:autoSpaceDE w:val="0"/>
        <w:autoSpaceDN w:val="0"/>
        <w:adjustRightInd w:val="0"/>
        <w:spacing w:before="240"/>
        <w:ind w:right="-626"/>
        <w:rPr>
          <w:b/>
          <w:sz w:val="24"/>
          <w:szCs w:val="24"/>
        </w:rPr>
      </w:pPr>
      <w:r w:rsidRPr="00DD6988">
        <w:rPr>
          <w:b/>
          <w:sz w:val="24"/>
          <w:szCs w:val="24"/>
        </w:rPr>
        <w:t>Overview of the Legislative Instrument</w:t>
      </w:r>
    </w:p>
    <w:p w14:paraId="537B9AD3" w14:textId="07608DAE" w:rsidR="00894236" w:rsidRDefault="00946F3F" w:rsidP="00F53C52">
      <w:pPr>
        <w:autoSpaceDE w:val="0"/>
        <w:autoSpaceDN w:val="0"/>
        <w:adjustRightInd w:val="0"/>
        <w:spacing w:before="240"/>
        <w:ind w:right="-626"/>
        <w:rPr>
          <w:sz w:val="24"/>
          <w:szCs w:val="24"/>
        </w:rPr>
      </w:pPr>
      <w:r>
        <w:rPr>
          <w:sz w:val="24"/>
          <w:szCs w:val="24"/>
        </w:rPr>
        <w:t>The Declaration</w:t>
      </w:r>
      <w:r w:rsidR="00894236" w:rsidRPr="00271CAE">
        <w:rPr>
          <w:sz w:val="24"/>
          <w:szCs w:val="24"/>
        </w:rPr>
        <w:t xml:space="preserve"> </w:t>
      </w:r>
      <w:r w:rsidR="00894236">
        <w:rPr>
          <w:sz w:val="24"/>
          <w:szCs w:val="24"/>
        </w:rPr>
        <w:t>declares</w:t>
      </w:r>
      <w:r w:rsidR="00894236" w:rsidRPr="00271CAE">
        <w:rPr>
          <w:sz w:val="24"/>
          <w:szCs w:val="24"/>
        </w:rPr>
        <w:t xml:space="preserve"> the Independent Commission Against Corruption of South Australia (SA</w:t>
      </w:r>
      <w:r w:rsidR="006402DC">
        <w:rPr>
          <w:sz w:val="24"/>
          <w:szCs w:val="24"/>
        </w:rPr>
        <w:t> </w:t>
      </w:r>
      <w:r w:rsidR="00894236" w:rsidRPr="00271CAE">
        <w:rPr>
          <w:sz w:val="24"/>
          <w:szCs w:val="24"/>
        </w:rPr>
        <w:t xml:space="preserve">ICAC) an interception agency for the purposes of the </w:t>
      </w:r>
      <w:r w:rsidR="00894236" w:rsidRPr="00271CAE">
        <w:rPr>
          <w:i/>
          <w:sz w:val="24"/>
          <w:szCs w:val="24"/>
        </w:rPr>
        <w:t xml:space="preserve">Telecommunications (Interception and Access) Act </w:t>
      </w:r>
      <w:r w:rsidR="00894236" w:rsidRPr="00271CAE">
        <w:rPr>
          <w:sz w:val="24"/>
          <w:szCs w:val="24"/>
        </w:rPr>
        <w:t>1979 (the TIA Act)</w:t>
      </w:r>
      <w:r w:rsidR="00894236">
        <w:rPr>
          <w:sz w:val="24"/>
          <w:szCs w:val="24"/>
        </w:rPr>
        <w:t xml:space="preserve">, and revokes the </w:t>
      </w:r>
      <w:r w:rsidR="00894236">
        <w:rPr>
          <w:i/>
          <w:sz w:val="24"/>
          <w:szCs w:val="24"/>
        </w:rPr>
        <w:t xml:space="preserve">Telecommunications (Interception and Access – Independent Commissioner Against Corruption of South Australia) Declaration 2013. </w:t>
      </w:r>
    </w:p>
    <w:p w14:paraId="47EF640C" w14:textId="77777777" w:rsidR="00894236" w:rsidRDefault="00894236" w:rsidP="00F53C52">
      <w:pPr>
        <w:autoSpaceDE w:val="0"/>
        <w:autoSpaceDN w:val="0"/>
        <w:adjustRightInd w:val="0"/>
        <w:spacing w:before="240"/>
        <w:ind w:right="-626"/>
        <w:rPr>
          <w:sz w:val="24"/>
          <w:szCs w:val="24"/>
        </w:rPr>
      </w:pPr>
      <w:r>
        <w:rPr>
          <w:sz w:val="24"/>
          <w:szCs w:val="24"/>
        </w:rPr>
        <w:t xml:space="preserve">The Declaration, made by authority of the Attorney-General, grants the SA ICAC the power to intercept telecommunications under a warrant for the purposes of law enforcement. </w:t>
      </w:r>
    </w:p>
    <w:p w14:paraId="45DE0091" w14:textId="77777777" w:rsidR="002174FB" w:rsidRDefault="002174FB" w:rsidP="00F53C52">
      <w:pPr>
        <w:autoSpaceDE w:val="0"/>
        <w:autoSpaceDN w:val="0"/>
        <w:adjustRightInd w:val="0"/>
        <w:spacing w:before="240"/>
        <w:ind w:right="-626"/>
        <w:rPr>
          <w:b/>
          <w:sz w:val="24"/>
          <w:szCs w:val="24"/>
        </w:rPr>
      </w:pPr>
      <w:r>
        <w:rPr>
          <w:b/>
          <w:sz w:val="24"/>
          <w:szCs w:val="24"/>
        </w:rPr>
        <w:t>Background information</w:t>
      </w:r>
    </w:p>
    <w:p w14:paraId="37D79B76" w14:textId="7684A75D" w:rsidR="00AB5620" w:rsidRDefault="00AB5620" w:rsidP="00F53C52">
      <w:pPr>
        <w:autoSpaceDE w:val="0"/>
        <w:autoSpaceDN w:val="0"/>
        <w:adjustRightInd w:val="0"/>
        <w:spacing w:before="240"/>
        <w:ind w:right="-626"/>
        <w:rPr>
          <w:sz w:val="24"/>
          <w:szCs w:val="24"/>
        </w:rPr>
      </w:pPr>
      <w:r>
        <w:rPr>
          <w:sz w:val="24"/>
          <w:szCs w:val="24"/>
        </w:rPr>
        <w:t xml:space="preserve">Under section 34 the TIA Act, </w:t>
      </w:r>
      <w:r w:rsidR="00AE752D">
        <w:rPr>
          <w:sz w:val="24"/>
          <w:szCs w:val="24"/>
        </w:rPr>
        <w:t>authorised</w:t>
      </w:r>
      <w:r>
        <w:rPr>
          <w:sz w:val="24"/>
          <w:szCs w:val="24"/>
        </w:rPr>
        <w:t xml:space="preserve"> agencies</w:t>
      </w:r>
      <w:r w:rsidR="00AE752D">
        <w:rPr>
          <w:sz w:val="24"/>
          <w:szCs w:val="24"/>
        </w:rPr>
        <w:t xml:space="preserve"> are permitted to</w:t>
      </w:r>
      <w:r>
        <w:rPr>
          <w:sz w:val="24"/>
          <w:szCs w:val="24"/>
        </w:rPr>
        <w:t xml:space="preserve"> </w:t>
      </w:r>
      <w:r w:rsidR="00AE752D">
        <w:rPr>
          <w:sz w:val="24"/>
          <w:szCs w:val="24"/>
        </w:rPr>
        <w:t>intercept telecommunications under a warrant for the purposes of law enforcement.</w:t>
      </w:r>
      <w:r>
        <w:rPr>
          <w:sz w:val="24"/>
          <w:szCs w:val="24"/>
        </w:rPr>
        <w:t xml:space="preserve"> The Independent Commissioner Against Corruption of South Australia </w:t>
      </w:r>
      <w:r w:rsidR="00C651F5">
        <w:rPr>
          <w:sz w:val="24"/>
          <w:szCs w:val="24"/>
        </w:rPr>
        <w:t xml:space="preserve">(the Commissioner) </w:t>
      </w:r>
      <w:r>
        <w:rPr>
          <w:sz w:val="24"/>
          <w:szCs w:val="24"/>
        </w:rPr>
        <w:t>was previously declared an authorised agency for the purposes of the TIA Act.</w:t>
      </w:r>
    </w:p>
    <w:p w14:paraId="70C89D34" w14:textId="35F4FABB" w:rsidR="002174FB" w:rsidRDefault="002174FB" w:rsidP="00F53C52">
      <w:pPr>
        <w:autoSpaceDE w:val="0"/>
        <w:autoSpaceDN w:val="0"/>
        <w:adjustRightInd w:val="0"/>
        <w:spacing w:before="240"/>
        <w:ind w:right="-626"/>
        <w:rPr>
          <w:sz w:val="24"/>
          <w:szCs w:val="24"/>
        </w:rPr>
      </w:pPr>
      <w:r>
        <w:rPr>
          <w:sz w:val="24"/>
          <w:szCs w:val="24"/>
        </w:rPr>
        <w:t xml:space="preserve">On 7 October 2021, the </w:t>
      </w:r>
      <w:r w:rsidRPr="00271CAE">
        <w:rPr>
          <w:i/>
          <w:sz w:val="24"/>
          <w:szCs w:val="24"/>
        </w:rPr>
        <w:t>Independent Commission Against Corruption (CPIPC Recommendations) Amendment Act 2021</w:t>
      </w:r>
      <w:r w:rsidRPr="00271CAE">
        <w:rPr>
          <w:sz w:val="24"/>
          <w:szCs w:val="24"/>
        </w:rPr>
        <w:t xml:space="preserve"> (SA) commenced</w:t>
      </w:r>
      <w:r>
        <w:rPr>
          <w:sz w:val="24"/>
          <w:szCs w:val="24"/>
        </w:rPr>
        <w:t xml:space="preserve"> and replaced </w:t>
      </w:r>
      <w:r w:rsidRPr="00271CAE">
        <w:rPr>
          <w:sz w:val="24"/>
          <w:szCs w:val="24"/>
        </w:rPr>
        <w:t xml:space="preserve">the </w:t>
      </w:r>
      <w:r w:rsidRPr="00271CAE">
        <w:rPr>
          <w:i/>
          <w:sz w:val="24"/>
          <w:szCs w:val="24"/>
        </w:rPr>
        <w:t>Independent Commissioner Against Corruption Act 2012</w:t>
      </w:r>
      <w:r w:rsidRPr="00271CAE">
        <w:rPr>
          <w:sz w:val="24"/>
          <w:szCs w:val="24"/>
        </w:rPr>
        <w:t xml:space="preserve"> (SA).</w:t>
      </w:r>
      <w:r>
        <w:rPr>
          <w:sz w:val="24"/>
          <w:szCs w:val="24"/>
        </w:rPr>
        <w:t xml:space="preserve"> </w:t>
      </w:r>
      <w:r w:rsidR="00AB5620">
        <w:rPr>
          <w:sz w:val="24"/>
          <w:szCs w:val="24"/>
        </w:rPr>
        <w:t xml:space="preserve">This amended the title of the entity to the SA ICAC and transferred some of the functions of the Commissioner to the </w:t>
      </w:r>
      <w:r w:rsidR="00C651F5">
        <w:rPr>
          <w:sz w:val="24"/>
          <w:szCs w:val="24"/>
        </w:rPr>
        <w:t>SA ICAC</w:t>
      </w:r>
      <w:r w:rsidR="00AB5620">
        <w:rPr>
          <w:sz w:val="24"/>
          <w:szCs w:val="24"/>
        </w:rPr>
        <w:t xml:space="preserve">. </w:t>
      </w:r>
      <w:r>
        <w:rPr>
          <w:sz w:val="24"/>
          <w:szCs w:val="24"/>
        </w:rPr>
        <w:t xml:space="preserve">This meant that references to the Independent Commissioner Against Corruption of South Australia in Commonwealth legislation were no longer correct. </w:t>
      </w:r>
    </w:p>
    <w:p w14:paraId="5B43CE9F" w14:textId="1243A556" w:rsidR="002174FB" w:rsidRDefault="002174FB" w:rsidP="00F53C52">
      <w:pPr>
        <w:autoSpaceDE w:val="0"/>
        <w:autoSpaceDN w:val="0"/>
        <w:adjustRightInd w:val="0"/>
        <w:spacing w:before="240"/>
        <w:ind w:right="-626"/>
        <w:rPr>
          <w:sz w:val="24"/>
          <w:szCs w:val="24"/>
        </w:rPr>
      </w:pPr>
      <w:r>
        <w:rPr>
          <w:sz w:val="24"/>
          <w:szCs w:val="24"/>
        </w:rPr>
        <w:t xml:space="preserve">Accordingly, Schedule 10 of the </w:t>
      </w:r>
      <w:r>
        <w:rPr>
          <w:i/>
          <w:sz w:val="24"/>
          <w:szCs w:val="24"/>
        </w:rPr>
        <w:t xml:space="preserve">Crimes and Other Legislative Amendment (Omnibus) Act 2023 </w:t>
      </w:r>
      <w:r>
        <w:rPr>
          <w:sz w:val="24"/>
          <w:szCs w:val="24"/>
        </w:rPr>
        <w:t xml:space="preserve">corrected references in the TIA Act, </w:t>
      </w:r>
      <w:r>
        <w:rPr>
          <w:i/>
          <w:sz w:val="24"/>
          <w:szCs w:val="24"/>
        </w:rPr>
        <w:t xml:space="preserve">Crimes Act 1914, Criminal Code Act 1995, Privacy Act 1988, </w:t>
      </w:r>
      <w:r>
        <w:rPr>
          <w:sz w:val="24"/>
          <w:szCs w:val="24"/>
        </w:rPr>
        <w:t xml:space="preserve">and the </w:t>
      </w:r>
      <w:r>
        <w:rPr>
          <w:i/>
          <w:sz w:val="24"/>
          <w:szCs w:val="24"/>
        </w:rPr>
        <w:t xml:space="preserve">Surveillance Devices Act 2004 </w:t>
      </w:r>
      <w:r>
        <w:rPr>
          <w:sz w:val="24"/>
          <w:szCs w:val="24"/>
        </w:rPr>
        <w:t>to reflect the correct name for the SA ICAC.</w:t>
      </w:r>
    </w:p>
    <w:p w14:paraId="59FA951D" w14:textId="7DD10865" w:rsidR="00AB5620" w:rsidRDefault="00AB5620" w:rsidP="00F53C52">
      <w:pPr>
        <w:autoSpaceDE w:val="0"/>
        <w:autoSpaceDN w:val="0"/>
        <w:adjustRightInd w:val="0"/>
        <w:spacing w:before="240"/>
        <w:ind w:right="-626"/>
        <w:rPr>
          <w:sz w:val="24"/>
          <w:szCs w:val="24"/>
        </w:rPr>
      </w:pPr>
      <w:r w:rsidRPr="00615038">
        <w:rPr>
          <w:sz w:val="24"/>
          <w:szCs w:val="24"/>
        </w:rPr>
        <w:t>In</w:t>
      </w:r>
      <w:r w:rsidR="00DB7CAD" w:rsidRPr="00615038">
        <w:rPr>
          <w:sz w:val="24"/>
          <w:szCs w:val="24"/>
        </w:rPr>
        <w:t xml:space="preserve"> July</w:t>
      </w:r>
      <w:r w:rsidRPr="00615038">
        <w:rPr>
          <w:sz w:val="24"/>
          <w:szCs w:val="24"/>
        </w:rPr>
        <w:t xml:space="preserve"> 2023</w:t>
      </w:r>
      <w:r>
        <w:rPr>
          <w:sz w:val="24"/>
          <w:szCs w:val="24"/>
        </w:rPr>
        <w:t>, the Premier of South Australia wrote to the Attorney-General to request that the SA</w:t>
      </w:r>
      <w:r w:rsidR="006402DC">
        <w:rPr>
          <w:sz w:val="24"/>
          <w:szCs w:val="24"/>
        </w:rPr>
        <w:t> </w:t>
      </w:r>
      <w:r>
        <w:rPr>
          <w:sz w:val="24"/>
          <w:szCs w:val="24"/>
        </w:rPr>
        <w:t>ICAC be declared an agency for the purposes of the TIA Act.</w:t>
      </w:r>
    </w:p>
    <w:p w14:paraId="77C5150C" w14:textId="77777777" w:rsidR="00DD6988" w:rsidRPr="00DD6988" w:rsidRDefault="00DD6988" w:rsidP="00F53C52">
      <w:pPr>
        <w:autoSpaceDE w:val="0"/>
        <w:autoSpaceDN w:val="0"/>
        <w:adjustRightInd w:val="0"/>
        <w:spacing w:before="240"/>
        <w:ind w:right="-626"/>
        <w:rPr>
          <w:b/>
          <w:sz w:val="24"/>
          <w:szCs w:val="24"/>
        </w:rPr>
      </w:pPr>
      <w:r>
        <w:rPr>
          <w:b/>
          <w:sz w:val="24"/>
          <w:szCs w:val="24"/>
        </w:rPr>
        <w:t xml:space="preserve">Human right implications </w:t>
      </w:r>
    </w:p>
    <w:p w14:paraId="5EC554C2" w14:textId="16B9A78E" w:rsidR="00D1099A" w:rsidRPr="00D1099A" w:rsidRDefault="00F465C0" w:rsidP="00F53C52">
      <w:pPr>
        <w:autoSpaceDE w:val="0"/>
        <w:autoSpaceDN w:val="0"/>
        <w:adjustRightInd w:val="0"/>
        <w:spacing w:before="240"/>
        <w:ind w:right="-626"/>
        <w:rPr>
          <w:sz w:val="24"/>
          <w:szCs w:val="24"/>
        </w:rPr>
      </w:pPr>
      <w:r>
        <w:rPr>
          <w:sz w:val="24"/>
          <w:szCs w:val="24"/>
        </w:rPr>
        <w:t>The Declaration</w:t>
      </w:r>
      <w:r w:rsidR="00D1099A">
        <w:rPr>
          <w:i/>
          <w:sz w:val="24"/>
          <w:szCs w:val="24"/>
        </w:rPr>
        <w:t xml:space="preserve"> </w:t>
      </w:r>
      <w:r w:rsidR="00D1099A">
        <w:rPr>
          <w:sz w:val="24"/>
          <w:szCs w:val="24"/>
        </w:rPr>
        <w:t>engages article 17 of the International Covenant on Civil and Political Rights (ICCPR) – privacy.</w:t>
      </w:r>
    </w:p>
    <w:p w14:paraId="535189CA" w14:textId="77777777" w:rsidR="00C96461" w:rsidRPr="0057102D" w:rsidRDefault="00C96461" w:rsidP="00F53C52">
      <w:pPr>
        <w:autoSpaceDE w:val="0"/>
        <w:autoSpaceDN w:val="0"/>
        <w:adjustRightInd w:val="0"/>
        <w:spacing w:before="240"/>
        <w:ind w:right="-626"/>
        <w:rPr>
          <w:i/>
          <w:sz w:val="24"/>
          <w:szCs w:val="24"/>
        </w:rPr>
      </w:pPr>
      <w:r w:rsidRPr="0057102D">
        <w:rPr>
          <w:i/>
          <w:sz w:val="24"/>
          <w:szCs w:val="24"/>
        </w:rPr>
        <w:t>Article 17 - privacy</w:t>
      </w:r>
    </w:p>
    <w:p w14:paraId="7A1FF920" w14:textId="77777777" w:rsidR="00D1099A" w:rsidRDefault="00C96461" w:rsidP="00F53C52">
      <w:pPr>
        <w:autoSpaceDE w:val="0"/>
        <w:autoSpaceDN w:val="0"/>
        <w:adjustRightInd w:val="0"/>
        <w:spacing w:before="240"/>
        <w:ind w:right="-626"/>
        <w:rPr>
          <w:sz w:val="24"/>
          <w:szCs w:val="24"/>
        </w:rPr>
      </w:pPr>
      <w:r w:rsidRPr="009C66C6">
        <w:rPr>
          <w:sz w:val="24"/>
          <w:szCs w:val="24"/>
        </w:rPr>
        <w:t xml:space="preserve">Article 17 of the ICCPR provides that no one shall be subjected to arbitrary or unlawful interference with his privacy, family, home or correspondence, or to unlawful attacks on his honour or </w:t>
      </w:r>
      <w:r w:rsidRPr="009C66C6">
        <w:rPr>
          <w:sz w:val="24"/>
          <w:szCs w:val="24"/>
        </w:rPr>
        <w:lastRenderedPageBreak/>
        <w:t>reputation, and that everyone has the right to the protection of the law against such interference or attac</w:t>
      </w:r>
      <w:r>
        <w:rPr>
          <w:sz w:val="24"/>
          <w:szCs w:val="24"/>
        </w:rPr>
        <w:t xml:space="preserve">ks.  </w:t>
      </w:r>
    </w:p>
    <w:p w14:paraId="37A52C4C" w14:textId="77777777" w:rsidR="007C7C42" w:rsidRDefault="00D1099A" w:rsidP="00F53C52">
      <w:pPr>
        <w:autoSpaceDE w:val="0"/>
        <w:autoSpaceDN w:val="0"/>
        <w:adjustRightInd w:val="0"/>
        <w:spacing w:before="240"/>
        <w:ind w:right="-626"/>
        <w:rPr>
          <w:sz w:val="24"/>
          <w:szCs w:val="24"/>
        </w:rPr>
      </w:pPr>
      <w:r>
        <w:rPr>
          <w:sz w:val="24"/>
          <w:szCs w:val="24"/>
        </w:rPr>
        <w:t xml:space="preserve">The instrument allows the SA ICAC to apply for warrants to intercept a person’s private communications in certain circumstances, limiting the right to privacy under Article 17. </w:t>
      </w:r>
      <w:r w:rsidR="00C96461" w:rsidRPr="009C66C6">
        <w:rPr>
          <w:sz w:val="24"/>
          <w:szCs w:val="24"/>
        </w:rPr>
        <w:t>However, the right to privacy</w:t>
      </w:r>
      <w:r w:rsidR="00C96461">
        <w:rPr>
          <w:sz w:val="24"/>
          <w:szCs w:val="24"/>
        </w:rPr>
        <w:t xml:space="preserve"> under the ICCPR</w:t>
      </w:r>
      <w:r w:rsidR="00C96461" w:rsidRPr="009C66C6">
        <w:rPr>
          <w:sz w:val="24"/>
          <w:szCs w:val="24"/>
        </w:rPr>
        <w:t xml:space="preserve"> can be limited as it is not an absolute right</w:t>
      </w:r>
      <w:r w:rsidR="00C96461">
        <w:rPr>
          <w:sz w:val="24"/>
          <w:szCs w:val="24"/>
        </w:rPr>
        <w:t>.</w:t>
      </w:r>
      <w:r w:rsidR="00C96461" w:rsidRPr="009C66C6">
        <w:rPr>
          <w:sz w:val="24"/>
          <w:szCs w:val="24"/>
        </w:rPr>
        <w:t xml:space="preserve"> </w:t>
      </w:r>
      <w:r w:rsidR="00C96461">
        <w:rPr>
          <w:sz w:val="24"/>
          <w:szCs w:val="24"/>
        </w:rPr>
        <w:t>The right can be limited if the limitation</w:t>
      </w:r>
      <w:r w:rsidR="00C96461" w:rsidRPr="009C66C6">
        <w:rPr>
          <w:sz w:val="24"/>
          <w:szCs w:val="24"/>
        </w:rPr>
        <w:t xml:space="preserve"> </w:t>
      </w:r>
      <w:r w:rsidR="00C96461">
        <w:rPr>
          <w:sz w:val="24"/>
          <w:szCs w:val="24"/>
        </w:rPr>
        <w:t xml:space="preserve">is </w:t>
      </w:r>
      <w:r w:rsidR="00C96461" w:rsidRPr="009C66C6">
        <w:rPr>
          <w:sz w:val="24"/>
          <w:szCs w:val="24"/>
        </w:rPr>
        <w:t>not incompatible with the right itself</w:t>
      </w:r>
      <w:r w:rsidR="00C96461">
        <w:rPr>
          <w:sz w:val="24"/>
          <w:szCs w:val="24"/>
        </w:rPr>
        <w:t xml:space="preserve"> and the</w:t>
      </w:r>
      <w:r w:rsidR="00C96461" w:rsidRPr="00171ADC">
        <w:rPr>
          <w:sz w:val="24"/>
          <w:szCs w:val="24"/>
        </w:rPr>
        <w:t xml:space="preserve"> </w:t>
      </w:r>
      <w:r w:rsidR="00C96461">
        <w:rPr>
          <w:sz w:val="24"/>
          <w:szCs w:val="24"/>
        </w:rPr>
        <w:t>limitation</w:t>
      </w:r>
      <w:r w:rsidR="00C96461" w:rsidRPr="00171ADC">
        <w:rPr>
          <w:sz w:val="24"/>
          <w:szCs w:val="24"/>
        </w:rPr>
        <w:t xml:space="preserve"> </w:t>
      </w:r>
      <w:r w:rsidR="00C96461">
        <w:rPr>
          <w:sz w:val="24"/>
          <w:szCs w:val="24"/>
        </w:rPr>
        <w:t>is</w:t>
      </w:r>
      <w:r w:rsidR="00C96461" w:rsidRPr="00171ADC">
        <w:rPr>
          <w:sz w:val="24"/>
          <w:szCs w:val="24"/>
        </w:rPr>
        <w:t xml:space="preserve"> authorised by law, </w:t>
      </w:r>
      <w:r w:rsidR="00C96461">
        <w:rPr>
          <w:sz w:val="24"/>
          <w:szCs w:val="24"/>
        </w:rPr>
        <w:t>is</w:t>
      </w:r>
      <w:r w:rsidR="00C96461" w:rsidRPr="00171ADC">
        <w:rPr>
          <w:sz w:val="24"/>
          <w:szCs w:val="24"/>
        </w:rPr>
        <w:t xml:space="preserve"> for a </w:t>
      </w:r>
      <w:r w:rsidR="00C96461">
        <w:rPr>
          <w:sz w:val="24"/>
          <w:szCs w:val="24"/>
        </w:rPr>
        <w:t>legitimate objective</w:t>
      </w:r>
      <w:r w:rsidR="00C96461" w:rsidRPr="00171ADC">
        <w:rPr>
          <w:sz w:val="24"/>
          <w:szCs w:val="24"/>
        </w:rPr>
        <w:t xml:space="preserve"> and </w:t>
      </w:r>
      <w:r w:rsidR="00C96461">
        <w:rPr>
          <w:sz w:val="24"/>
          <w:szCs w:val="24"/>
        </w:rPr>
        <w:t>is</w:t>
      </w:r>
      <w:r w:rsidR="00C96461" w:rsidRPr="00171ADC">
        <w:rPr>
          <w:sz w:val="24"/>
          <w:szCs w:val="24"/>
        </w:rPr>
        <w:t xml:space="preserve"> reasonable, necessary and proportionate </w:t>
      </w:r>
      <w:r w:rsidR="00C96461">
        <w:rPr>
          <w:sz w:val="24"/>
          <w:szCs w:val="24"/>
        </w:rPr>
        <w:t>to that objective</w:t>
      </w:r>
      <w:r w:rsidR="00C96461" w:rsidRPr="009C66C6">
        <w:rPr>
          <w:sz w:val="24"/>
          <w:szCs w:val="24"/>
        </w:rPr>
        <w:t xml:space="preserve">. </w:t>
      </w:r>
    </w:p>
    <w:p w14:paraId="56A13A32" w14:textId="77777777" w:rsidR="007C7C42" w:rsidRPr="007C7C42" w:rsidRDefault="007C7C42" w:rsidP="00F53C52">
      <w:pPr>
        <w:autoSpaceDE w:val="0"/>
        <w:autoSpaceDN w:val="0"/>
        <w:adjustRightInd w:val="0"/>
        <w:spacing w:before="240"/>
        <w:ind w:right="-626"/>
        <w:rPr>
          <w:sz w:val="24"/>
          <w:szCs w:val="24"/>
          <w:u w:val="single"/>
        </w:rPr>
      </w:pPr>
      <w:r>
        <w:rPr>
          <w:sz w:val="24"/>
          <w:szCs w:val="24"/>
          <w:u w:val="single"/>
        </w:rPr>
        <w:t>Interception</w:t>
      </w:r>
    </w:p>
    <w:p w14:paraId="02428129" w14:textId="64D37FD0" w:rsidR="00C96461" w:rsidRPr="009C66C6" w:rsidRDefault="00F465C0" w:rsidP="00F53C52">
      <w:pPr>
        <w:autoSpaceDE w:val="0"/>
        <w:autoSpaceDN w:val="0"/>
        <w:adjustRightInd w:val="0"/>
        <w:spacing w:before="240"/>
        <w:ind w:right="-626"/>
        <w:rPr>
          <w:sz w:val="24"/>
          <w:szCs w:val="24"/>
        </w:rPr>
      </w:pPr>
      <w:r>
        <w:rPr>
          <w:sz w:val="24"/>
          <w:szCs w:val="24"/>
        </w:rPr>
        <w:t>The Declaration</w:t>
      </w:r>
      <w:r w:rsidR="00C96461">
        <w:rPr>
          <w:sz w:val="24"/>
          <w:szCs w:val="24"/>
        </w:rPr>
        <w:t xml:space="preserve"> makes the </w:t>
      </w:r>
      <w:r w:rsidR="003A3242">
        <w:rPr>
          <w:sz w:val="24"/>
          <w:szCs w:val="24"/>
        </w:rPr>
        <w:t>SA ICAC</w:t>
      </w:r>
      <w:r w:rsidR="00C96461">
        <w:rPr>
          <w:sz w:val="24"/>
          <w:szCs w:val="24"/>
        </w:rPr>
        <w:t xml:space="preserve"> </w:t>
      </w:r>
      <w:r w:rsidR="00C96461" w:rsidRPr="009C66C6">
        <w:rPr>
          <w:sz w:val="24"/>
          <w:szCs w:val="24"/>
        </w:rPr>
        <w:t xml:space="preserve">eligible to apply for warrants to intercept a person’s private communications in certain circumstances.  </w:t>
      </w:r>
    </w:p>
    <w:p w14:paraId="3F412604" w14:textId="5DE351F3" w:rsidR="00D65923" w:rsidRDefault="00C96461" w:rsidP="00F53C52">
      <w:pPr>
        <w:autoSpaceDE w:val="0"/>
        <w:autoSpaceDN w:val="0"/>
        <w:adjustRightInd w:val="0"/>
        <w:spacing w:before="240"/>
        <w:ind w:right="-626"/>
        <w:rPr>
          <w:sz w:val="24"/>
          <w:szCs w:val="24"/>
        </w:rPr>
      </w:pPr>
      <w:r w:rsidRPr="009C66C6">
        <w:rPr>
          <w:sz w:val="24"/>
          <w:szCs w:val="24"/>
        </w:rPr>
        <w:t>Interception of telecommunications may only occur subject to a warrant issued by a</w:t>
      </w:r>
      <w:r>
        <w:rPr>
          <w:sz w:val="24"/>
          <w:szCs w:val="24"/>
        </w:rPr>
        <w:t>n</w:t>
      </w:r>
      <w:r w:rsidRPr="009C66C6">
        <w:rPr>
          <w:sz w:val="24"/>
          <w:szCs w:val="24"/>
        </w:rPr>
        <w:t xml:space="preserve"> issuing authority, namely a</w:t>
      </w:r>
      <w:r>
        <w:rPr>
          <w:sz w:val="24"/>
          <w:szCs w:val="24"/>
        </w:rPr>
        <w:t>n eligible</w:t>
      </w:r>
      <w:r w:rsidRPr="009C66C6">
        <w:rPr>
          <w:sz w:val="24"/>
          <w:szCs w:val="24"/>
        </w:rPr>
        <w:t xml:space="preserve"> judge or a </w:t>
      </w:r>
      <w:r>
        <w:rPr>
          <w:sz w:val="24"/>
          <w:szCs w:val="24"/>
        </w:rPr>
        <w:t xml:space="preserve">nominated </w:t>
      </w:r>
      <w:r w:rsidRPr="009C66C6">
        <w:rPr>
          <w:sz w:val="24"/>
          <w:szCs w:val="24"/>
        </w:rPr>
        <w:t xml:space="preserve">member of the Administrative Appeals Tribunal.  Before an issuing authority may issue a </w:t>
      </w:r>
      <w:r w:rsidR="00806CD4" w:rsidRPr="009C66C6">
        <w:rPr>
          <w:sz w:val="24"/>
          <w:szCs w:val="24"/>
        </w:rPr>
        <w:t>warrant,</w:t>
      </w:r>
      <w:r w:rsidRPr="009C66C6">
        <w:rPr>
          <w:sz w:val="24"/>
          <w:szCs w:val="24"/>
        </w:rPr>
        <w:t xml:space="preserve"> they must be satisfied that interception is appropriate in the circumstances.  In coming to this conclusion</w:t>
      </w:r>
      <w:r w:rsidR="00D65923">
        <w:rPr>
          <w:sz w:val="24"/>
          <w:szCs w:val="24"/>
        </w:rPr>
        <w:t>,</w:t>
      </w:r>
      <w:r w:rsidRPr="009C66C6">
        <w:rPr>
          <w:sz w:val="24"/>
          <w:szCs w:val="24"/>
        </w:rPr>
        <w:t xml:space="preserve"> the issuing authority must consider several factors, including the privacy impacts of the interception</w:t>
      </w:r>
      <w:r>
        <w:rPr>
          <w:sz w:val="24"/>
          <w:szCs w:val="24"/>
        </w:rPr>
        <w:t>, the gravity of the offence,</w:t>
      </w:r>
      <w:r w:rsidRPr="009C66C6">
        <w:rPr>
          <w:sz w:val="24"/>
          <w:szCs w:val="24"/>
        </w:rPr>
        <w:t xml:space="preserve"> the likely usefulness of interception information to the relevant investigation</w:t>
      </w:r>
      <w:r>
        <w:rPr>
          <w:sz w:val="24"/>
          <w:szCs w:val="24"/>
        </w:rPr>
        <w:t xml:space="preserve"> and the extent to which other methods of investigating the offence have been used or are available.</w:t>
      </w:r>
      <w:r w:rsidRPr="00A25B55">
        <w:rPr>
          <w:sz w:val="24"/>
          <w:szCs w:val="24"/>
        </w:rPr>
        <w:t xml:space="preserve"> </w:t>
      </w:r>
    </w:p>
    <w:p w14:paraId="5AF954E0" w14:textId="322ACB04" w:rsidR="00C96461" w:rsidRDefault="00C96461" w:rsidP="00F53C52">
      <w:pPr>
        <w:autoSpaceDE w:val="0"/>
        <w:autoSpaceDN w:val="0"/>
        <w:adjustRightInd w:val="0"/>
        <w:spacing w:before="240"/>
        <w:ind w:right="-626"/>
        <w:rPr>
          <w:sz w:val="24"/>
          <w:szCs w:val="24"/>
        </w:rPr>
      </w:pPr>
      <w:r>
        <w:rPr>
          <w:sz w:val="24"/>
          <w:szCs w:val="24"/>
        </w:rPr>
        <w:t>The instrument</w:t>
      </w:r>
      <w:r w:rsidRPr="009C66C6">
        <w:rPr>
          <w:sz w:val="24"/>
          <w:szCs w:val="24"/>
        </w:rPr>
        <w:t xml:space="preserve"> will serve the legitimate </w:t>
      </w:r>
      <w:r>
        <w:rPr>
          <w:sz w:val="24"/>
          <w:szCs w:val="24"/>
        </w:rPr>
        <w:t>objective</w:t>
      </w:r>
      <w:r w:rsidRPr="009C66C6">
        <w:rPr>
          <w:sz w:val="24"/>
          <w:szCs w:val="24"/>
        </w:rPr>
        <w:t xml:space="preserve"> of the investigation and prosecution </w:t>
      </w:r>
      <w:r>
        <w:rPr>
          <w:sz w:val="24"/>
          <w:szCs w:val="24"/>
        </w:rPr>
        <w:t xml:space="preserve">of serious crime and corruption and is reasonable, necessary and </w:t>
      </w:r>
      <w:r w:rsidRPr="009C66C6">
        <w:rPr>
          <w:sz w:val="24"/>
          <w:szCs w:val="24"/>
        </w:rPr>
        <w:t>proportiona</w:t>
      </w:r>
      <w:r>
        <w:rPr>
          <w:sz w:val="24"/>
          <w:szCs w:val="24"/>
        </w:rPr>
        <w:t>te</w:t>
      </w:r>
      <w:r w:rsidRPr="009C66C6">
        <w:rPr>
          <w:sz w:val="24"/>
          <w:szCs w:val="24"/>
        </w:rPr>
        <w:t xml:space="preserve"> to </w:t>
      </w:r>
      <w:r>
        <w:rPr>
          <w:sz w:val="24"/>
          <w:szCs w:val="24"/>
        </w:rPr>
        <w:t xml:space="preserve">achieving </w:t>
      </w:r>
      <w:r w:rsidRPr="009C66C6">
        <w:rPr>
          <w:sz w:val="24"/>
          <w:szCs w:val="24"/>
        </w:rPr>
        <w:t xml:space="preserve">this end. </w:t>
      </w:r>
      <w:r w:rsidR="00D65923" w:rsidRPr="009C66C6">
        <w:rPr>
          <w:sz w:val="24"/>
          <w:szCs w:val="24"/>
        </w:rPr>
        <w:t xml:space="preserve">Interception will only be available to the </w:t>
      </w:r>
      <w:r w:rsidR="00D65923">
        <w:rPr>
          <w:sz w:val="24"/>
          <w:szCs w:val="24"/>
        </w:rPr>
        <w:t>SA ICAC</w:t>
      </w:r>
      <w:r w:rsidR="00D65923" w:rsidRPr="009C66C6">
        <w:rPr>
          <w:sz w:val="24"/>
          <w:szCs w:val="24"/>
        </w:rPr>
        <w:t xml:space="preserve"> in relation to the investigation of serious offences, which generally includes offences punishable </w:t>
      </w:r>
      <w:r w:rsidR="00D65923">
        <w:rPr>
          <w:sz w:val="24"/>
          <w:szCs w:val="24"/>
        </w:rPr>
        <w:t xml:space="preserve">by imprisonment </w:t>
      </w:r>
      <w:r w:rsidR="00D65923" w:rsidRPr="009C66C6">
        <w:rPr>
          <w:sz w:val="24"/>
          <w:szCs w:val="24"/>
        </w:rPr>
        <w:t xml:space="preserve">for a maximum period of at least seven years.  </w:t>
      </w:r>
      <w:r w:rsidRPr="009C66C6">
        <w:rPr>
          <w:sz w:val="24"/>
          <w:szCs w:val="24"/>
        </w:rPr>
        <w:t xml:space="preserve">Other </w:t>
      </w:r>
      <w:r>
        <w:rPr>
          <w:sz w:val="24"/>
          <w:szCs w:val="24"/>
        </w:rPr>
        <w:t>S</w:t>
      </w:r>
      <w:r w:rsidRPr="009C66C6">
        <w:rPr>
          <w:sz w:val="24"/>
          <w:szCs w:val="24"/>
        </w:rPr>
        <w:t xml:space="preserve">tate integrity agencies </w:t>
      </w:r>
      <w:r w:rsidR="007C7C42">
        <w:rPr>
          <w:sz w:val="24"/>
          <w:szCs w:val="24"/>
        </w:rPr>
        <w:t xml:space="preserve">also </w:t>
      </w:r>
      <w:r w:rsidRPr="009C66C6">
        <w:rPr>
          <w:sz w:val="24"/>
          <w:szCs w:val="24"/>
        </w:rPr>
        <w:t>have i</w:t>
      </w:r>
      <w:r>
        <w:rPr>
          <w:sz w:val="24"/>
          <w:szCs w:val="24"/>
        </w:rPr>
        <w:t>nterception powers under the TIA</w:t>
      </w:r>
      <w:r w:rsidR="006402DC">
        <w:rPr>
          <w:sz w:val="24"/>
          <w:szCs w:val="24"/>
        </w:rPr>
        <w:t> </w:t>
      </w:r>
      <w:r>
        <w:rPr>
          <w:sz w:val="24"/>
          <w:szCs w:val="24"/>
        </w:rPr>
        <w:t>Act</w:t>
      </w:r>
      <w:r w:rsidR="007C7C42">
        <w:rPr>
          <w:sz w:val="24"/>
          <w:szCs w:val="24"/>
        </w:rPr>
        <w:t>,</w:t>
      </w:r>
      <w:r w:rsidRPr="009C66C6">
        <w:rPr>
          <w:sz w:val="24"/>
          <w:szCs w:val="24"/>
        </w:rPr>
        <w:t xml:space="preserve"> and </w:t>
      </w:r>
      <w:r w:rsidR="00D65923">
        <w:rPr>
          <w:sz w:val="24"/>
          <w:szCs w:val="24"/>
        </w:rPr>
        <w:t>this</w:t>
      </w:r>
      <w:r w:rsidRPr="009C66C6">
        <w:rPr>
          <w:sz w:val="24"/>
          <w:szCs w:val="24"/>
        </w:rPr>
        <w:t xml:space="preserve"> </w:t>
      </w:r>
      <w:r>
        <w:rPr>
          <w:sz w:val="24"/>
          <w:szCs w:val="24"/>
        </w:rPr>
        <w:t xml:space="preserve">instrument </w:t>
      </w:r>
      <w:r w:rsidR="00D65923">
        <w:rPr>
          <w:sz w:val="24"/>
          <w:szCs w:val="24"/>
        </w:rPr>
        <w:t xml:space="preserve">will </w:t>
      </w:r>
      <w:r w:rsidRPr="009C66C6">
        <w:rPr>
          <w:sz w:val="24"/>
          <w:szCs w:val="24"/>
        </w:rPr>
        <w:t xml:space="preserve">ensure the </w:t>
      </w:r>
      <w:r w:rsidR="003A3242">
        <w:rPr>
          <w:sz w:val="24"/>
          <w:szCs w:val="24"/>
        </w:rPr>
        <w:t>SA ICAC</w:t>
      </w:r>
      <w:r w:rsidRPr="009C66C6">
        <w:rPr>
          <w:sz w:val="24"/>
          <w:szCs w:val="24"/>
        </w:rPr>
        <w:t xml:space="preserve"> ha</w:t>
      </w:r>
      <w:r>
        <w:rPr>
          <w:sz w:val="24"/>
          <w:szCs w:val="24"/>
        </w:rPr>
        <w:t>s</w:t>
      </w:r>
      <w:r w:rsidRPr="009C66C6">
        <w:rPr>
          <w:sz w:val="24"/>
          <w:szCs w:val="24"/>
        </w:rPr>
        <w:t xml:space="preserve"> access to </w:t>
      </w:r>
      <w:r>
        <w:rPr>
          <w:sz w:val="24"/>
          <w:szCs w:val="24"/>
        </w:rPr>
        <w:t>the same</w:t>
      </w:r>
      <w:r w:rsidRPr="009C66C6">
        <w:rPr>
          <w:sz w:val="24"/>
          <w:szCs w:val="24"/>
        </w:rPr>
        <w:t xml:space="preserve"> powers</w:t>
      </w:r>
      <w:r>
        <w:rPr>
          <w:sz w:val="24"/>
          <w:szCs w:val="24"/>
        </w:rPr>
        <w:t xml:space="preserve"> and is subject to the same obligations</w:t>
      </w:r>
      <w:r w:rsidRPr="009C66C6">
        <w:rPr>
          <w:sz w:val="24"/>
          <w:szCs w:val="24"/>
        </w:rPr>
        <w:t xml:space="preserve">.  </w:t>
      </w:r>
    </w:p>
    <w:p w14:paraId="2A39FB47" w14:textId="77777777" w:rsidR="00C96461" w:rsidRDefault="00C96461" w:rsidP="00F53C52">
      <w:pPr>
        <w:autoSpaceDE w:val="0"/>
        <w:autoSpaceDN w:val="0"/>
        <w:adjustRightInd w:val="0"/>
        <w:spacing w:before="240"/>
        <w:ind w:right="-626"/>
        <w:rPr>
          <w:sz w:val="24"/>
          <w:szCs w:val="24"/>
          <w:u w:val="single"/>
        </w:rPr>
      </w:pPr>
      <w:r>
        <w:rPr>
          <w:sz w:val="24"/>
          <w:szCs w:val="24"/>
          <w:u w:val="single"/>
        </w:rPr>
        <w:t>Use of information</w:t>
      </w:r>
    </w:p>
    <w:p w14:paraId="0D69ADD6" w14:textId="5CAAEE41" w:rsidR="00C96461" w:rsidRDefault="00F53C52" w:rsidP="00F53C52">
      <w:pPr>
        <w:spacing w:before="240"/>
        <w:rPr>
          <w:sz w:val="24"/>
          <w:szCs w:val="24"/>
        </w:rPr>
      </w:pPr>
      <w:r>
        <w:rPr>
          <w:sz w:val="24"/>
          <w:szCs w:val="24"/>
        </w:rPr>
        <w:t>T</w:t>
      </w:r>
      <w:r w:rsidR="00C96461">
        <w:rPr>
          <w:sz w:val="24"/>
          <w:szCs w:val="24"/>
        </w:rPr>
        <w:t xml:space="preserve">he TIA Act strictly regulates the use and communication of information obtained by law enforcement agencies under interception warrants.  Any information collected by the </w:t>
      </w:r>
      <w:r w:rsidR="003A3242">
        <w:rPr>
          <w:sz w:val="24"/>
          <w:szCs w:val="24"/>
        </w:rPr>
        <w:t>SA</w:t>
      </w:r>
      <w:r w:rsidR="006402DC">
        <w:rPr>
          <w:sz w:val="24"/>
          <w:szCs w:val="24"/>
        </w:rPr>
        <w:t> </w:t>
      </w:r>
      <w:r w:rsidR="003A3242">
        <w:rPr>
          <w:sz w:val="24"/>
          <w:szCs w:val="24"/>
        </w:rPr>
        <w:t>ICAC</w:t>
      </w:r>
      <w:r w:rsidR="00C96461">
        <w:rPr>
          <w:sz w:val="24"/>
          <w:szCs w:val="24"/>
        </w:rPr>
        <w:t xml:space="preserve"> may only be used for defined purposes and purposes connected with the investigation of serious offences. Communications are destroyed where the chief officer of the agency is satisfied that the record is no longer required for a purpose permitted by the legislation.</w:t>
      </w:r>
    </w:p>
    <w:p w14:paraId="2A3E9275" w14:textId="77777777" w:rsidR="00C96461" w:rsidRDefault="00C96461" w:rsidP="00F53C52">
      <w:pPr>
        <w:spacing w:before="240"/>
        <w:rPr>
          <w:sz w:val="24"/>
          <w:szCs w:val="24"/>
        </w:rPr>
      </w:pPr>
      <w:r>
        <w:rPr>
          <w:sz w:val="24"/>
          <w:szCs w:val="24"/>
        </w:rPr>
        <w:t xml:space="preserve">Persons affected by an interception warrant have relevant judicial avenues through which to challenge the validity of the interception and the use of any intercepted communications.  They also have the right to access communications being used as evidence against them during prosecution. </w:t>
      </w:r>
    </w:p>
    <w:p w14:paraId="3D855052" w14:textId="77777777" w:rsidR="00C96461" w:rsidRPr="005A188F" w:rsidRDefault="00C96461" w:rsidP="00F53C52">
      <w:pPr>
        <w:spacing w:before="240"/>
        <w:rPr>
          <w:sz w:val="24"/>
          <w:szCs w:val="24"/>
        </w:rPr>
      </w:pPr>
      <w:r>
        <w:rPr>
          <w:sz w:val="24"/>
          <w:szCs w:val="24"/>
        </w:rPr>
        <w:t xml:space="preserve">The instrument does not affect rights to a fair trial and fair hearing, the presumption of innocence and minimum guarantees in criminal proceedings, or existing legislation relating to procedural fairness.  </w:t>
      </w:r>
    </w:p>
    <w:p w14:paraId="3E672E02" w14:textId="77777777" w:rsidR="00C96461" w:rsidRPr="0057102D" w:rsidRDefault="00C96461" w:rsidP="00F53C52">
      <w:pPr>
        <w:autoSpaceDE w:val="0"/>
        <w:autoSpaceDN w:val="0"/>
        <w:adjustRightInd w:val="0"/>
        <w:spacing w:before="240"/>
        <w:ind w:right="-626"/>
        <w:rPr>
          <w:sz w:val="24"/>
          <w:szCs w:val="24"/>
          <w:u w:val="single"/>
        </w:rPr>
      </w:pPr>
      <w:r w:rsidRPr="0057102D">
        <w:rPr>
          <w:sz w:val="24"/>
          <w:szCs w:val="24"/>
          <w:u w:val="single"/>
        </w:rPr>
        <w:t xml:space="preserve">Record-keeping and </w:t>
      </w:r>
      <w:r>
        <w:rPr>
          <w:sz w:val="24"/>
          <w:szCs w:val="24"/>
          <w:u w:val="single"/>
        </w:rPr>
        <w:t>r</w:t>
      </w:r>
      <w:r w:rsidRPr="0057102D">
        <w:rPr>
          <w:sz w:val="24"/>
          <w:szCs w:val="24"/>
          <w:u w:val="single"/>
        </w:rPr>
        <w:t>eport</w:t>
      </w:r>
      <w:r>
        <w:rPr>
          <w:sz w:val="24"/>
          <w:szCs w:val="24"/>
          <w:u w:val="single"/>
        </w:rPr>
        <w:t>ing</w:t>
      </w:r>
    </w:p>
    <w:p w14:paraId="175CE2DD" w14:textId="16E63B08" w:rsidR="00C96461" w:rsidRPr="009C66C6" w:rsidRDefault="00C96461" w:rsidP="00F53C52">
      <w:pPr>
        <w:autoSpaceDE w:val="0"/>
        <w:autoSpaceDN w:val="0"/>
        <w:adjustRightInd w:val="0"/>
        <w:spacing w:before="240"/>
        <w:ind w:right="-626"/>
        <w:rPr>
          <w:sz w:val="24"/>
          <w:szCs w:val="24"/>
        </w:rPr>
      </w:pPr>
      <w:r w:rsidRPr="009C66C6">
        <w:rPr>
          <w:sz w:val="24"/>
          <w:szCs w:val="24"/>
        </w:rPr>
        <w:t xml:space="preserve">The </w:t>
      </w:r>
      <w:r w:rsidR="003A3242">
        <w:rPr>
          <w:sz w:val="24"/>
          <w:szCs w:val="24"/>
        </w:rPr>
        <w:t>SA ICAC</w:t>
      </w:r>
      <w:r w:rsidRPr="009C66C6">
        <w:rPr>
          <w:sz w:val="24"/>
          <w:szCs w:val="24"/>
        </w:rPr>
        <w:t xml:space="preserve"> will be subject to </w:t>
      </w:r>
      <w:r>
        <w:rPr>
          <w:sz w:val="24"/>
          <w:szCs w:val="24"/>
        </w:rPr>
        <w:t xml:space="preserve">stringent </w:t>
      </w:r>
      <w:r w:rsidRPr="009C66C6">
        <w:rPr>
          <w:sz w:val="24"/>
          <w:szCs w:val="24"/>
        </w:rPr>
        <w:t>recordkeeping and reporting oblig</w:t>
      </w:r>
      <w:r>
        <w:rPr>
          <w:sz w:val="24"/>
          <w:szCs w:val="24"/>
        </w:rPr>
        <w:t>ations. Subsection 35(1) of the TIA Act</w:t>
      </w:r>
      <w:r w:rsidRPr="009C66C6">
        <w:rPr>
          <w:sz w:val="24"/>
          <w:szCs w:val="24"/>
        </w:rPr>
        <w:t xml:space="preserve"> requires </w:t>
      </w:r>
      <w:r>
        <w:rPr>
          <w:sz w:val="24"/>
          <w:szCs w:val="24"/>
        </w:rPr>
        <w:t>the relevant State to make satisfactory provision for</w:t>
      </w:r>
      <w:r w:rsidRPr="009C66C6">
        <w:rPr>
          <w:sz w:val="24"/>
          <w:szCs w:val="24"/>
        </w:rPr>
        <w:t xml:space="preserve"> these obligations prior </w:t>
      </w:r>
      <w:r w:rsidRPr="009C66C6">
        <w:rPr>
          <w:sz w:val="24"/>
          <w:szCs w:val="24"/>
        </w:rPr>
        <w:lastRenderedPageBreak/>
        <w:t xml:space="preserve">to </w:t>
      </w:r>
      <w:r>
        <w:rPr>
          <w:sz w:val="24"/>
          <w:szCs w:val="24"/>
        </w:rPr>
        <w:t>the instrument being made</w:t>
      </w:r>
      <w:r w:rsidR="00DE35B2">
        <w:rPr>
          <w:sz w:val="24"/>
          <w:szCs w:val="24"/>
        </w:rPr>
        <w:t xml:space="preserve"> and these are contained in the </w:t>
      </w:r>
      <w:r w:rsidR="00DE35B2">
        <w:rPr>
          <w:i/>
          <w:sz w:val="24"/>
          <w:szCs w:val="24"/>
        </w:rPr>
        <w:t xml:space="preserve">Telecommunications (Interception) Act 2012 </w:t>
      </w:r>
      <w:r w:rsidR="00DE35B2">
        <w:rPr>
          <w:sz w:val="24"/>
          <w:szCs w:val="24"/>
        </w:rPr>
        <w:t>(SA)</w:t>
      </w:r>
      <w:r>
        <w:rPr>
          <w:sz w:val="24"/>
          <w:szCs w:val="24"/>
        </w:rPr>
        <w:t xml:space="preserve">.  </w:t>
      </w:r>
      <w:r w:rsidRPr="009C66C6">
        <w:rPr>
          <w:sz w:val="24"/>
          <w:szCs w:val="24"/>
        </w:rPr>
        <w:t>These</w:t>
      </w:r>
      <w:r>
        <w:rPr>
          <w:sz w:val="24"/>
          <w:szCs w:val="24"/>
        </w:rPr>
        <w:t xml:space="preserve"> requirements</w:t>
      </w:r>
      <w:r w:rsidRPr="009C66C6">
        <w:rPr>
          <w:sz w:val="24"/>
          <w:szCs w:val="24"/>
        </w:rPr>
        <w:t xml:space="preserve"> include requiring regular inspection of records to</w:t>
      </w:r>
      <w:r>
        <w:rPr>
          <w:sz w:val="24"/>
          <w:szCs w:val="24"/>
        </w:rPr>
        <w:t xml:space="preserve"> ensure compliance with the </w:t>
      </w:r>
      <w:r w:rsidRPr="009C66C6">
        <w:rPr>
          <w:sz w:val="24"/>
          <w:szCs w:val="24"/>
        </w:rPr>
        <w:t xml:space="preserve">Act </w:t>
      </w:r>
      <w:r>
        <w:rPr>
          <w:sz w:val="24"/>
          <w:szCs w:val="24"/>
        </w:rPr>
        <w:t>and</w:t>
      </w:r>
      <w:r w:rsidRPr="009C66C6">
        <w:rPr>
          <w:sz w:val="24"/>
          <w:szCs w:val="24"/>
        </w:rPr>
        <w:t xml:space="preserve"> regular reporting to the responsible Minister. Agencies must also report annually to the Attorney-General on the effectiveness of warrants.  </w:t>
      </w:r>
    </w:p>
    <w:p w14:paraId="6177ED7C" w14:textId="77777777" w:rsidR="00C96461" w:rsidRPr="0057102D" w:rsidRDefault="00C96461" w:rsidP="00F53C52">
      <w:pPr>
        <w:autoSpaceDE w:val="0"/>
        <w:autoSpaceDN w:val="0"/>
        <w:adjustRightInd w:val="0"/>
        <w:spacing w:before="240"/>
        <w:ind w:right="-626"/>
        <w:rPr>
          <w:b/>
          <w:i/>
          <w:sz w:val="24"/>
          <w:szCs w:val="24"/>
        </w:rPr>
      </w:pPr>
      <w:r w:rsidRPr="0057102D">
        <w:rPr>
          <w:b/>
          <w:i/>
          <w:sz w:val="24"/>
          <w:szCs w:val="24"/>
        </w:rPr>
        <w:t xml:space="preserve">Conclusion </w:t>
      </w:r>
    </w:p>
    <w:p w14:paraId="50DE8689" w14:textId="77777777" w:rsidR="00C96461" w:rsidRDefault="00C96461" w:rsidP="00F53C52">
      <w:pPr>
        <w:autoSpaceDE w:val="0"/>
        <w:autoSpaceDN w:val="0"/>
        <w:adjustRightInd w:val="0"/>
        <w:spacing w:before="240"/>
        <w:ind w:right="-626"/>
        <w:rPr>
          <w:sz w:val="24"/>
          <w:szCs w:val="24"/>
        </w:rPr>
      </w:pPr>
      <w:r w:rsidRPr="009C66C6">
        <w:rPr>
          <w:sz w:val="24"/>
          <w:szCs w:val="24"/>
        </w:rPr>
        <w:t>Th</w:t>
      </w:r>
      <w:r>
        <w:rPr>
          <w:sz w:val="24"/>
          <w:szCs w:val="24"/>
        </w:rPr>
        <w:t>e in</w:t>
      </w:r>
      <w:r w:rsidRPr="009C66C6">
        <w:rPr>
          <w:sz w:val="24"/>
          <w:szCs w:val="24"/>
        </w:rPr>
        <w:t>strument is compatible with human rights because to the extent that it limits human rights, those limitations are authorised by law, reasonable</w:t>
      </w:r>
      <w:r>
        <w:rPr>
          <w:sz w:val="24"/>
          <w:szCs w:val="24"/>
        </w:rPr>
        <w:t>, necessary</w:t>
      </w:r>
      <w:r w:rsidRPr="009C66C6">
        <w:rPr>
          <w:sz w:val="24"/>
          <w:szCs w:val="24"/>
        </w:rPr>
        <w:t xml:space="preserve"> and proportionate.  </w:t>
      </w:r>
    </w:p>
    <w:p w14:paraId="03DC2378" w14:textId="77777777" w:rsidR="00C96461" w:rsidRDefault="00C96461" w:rsidP="00F53C52">
      <w:pPr>
        <w:autoSpaceDE w:val="0"/>
        <w:autoSpaceDN w:val="0"/>
        <w:adjustRightInd w:val="0"/>
        <w:spacing w:before="240"/>
        <w:ind w:right="-626"/>
        <w:rPr>
          <w:sz w:val="24"/>
          <w:szCs w:val="24"/>
        </w:rPr>
      </w:pPr>
      <w:r>
        <w:rPr>
          <w:sz w:val="24"/>
          <w:szCs w:val="24"/>
        </w:rPr>
        <w:t>The details of previous declarations under section 34 of the TIA Act are as follows:</w:t>
      </w:r>
    </w:p>
    <w:p w14:paraId="2F496313" w14:textId="77777777" w:rsidR="00C96461" w:rsidRDefault="00C96461" w:rsidP="00C96461">
      <w:pPr>
        <w:autoSpaceDE w:val="0"/>
        <w:autoSpaceDN w:val="0"/>
        <w:adjustRightInd w:val="0"/>
        <w:ind w:left="-567" w:right="-626"/>
        <w:rPr>
          <w:sz w:val="24"/>
          <w:szCs w:val="24"/>
        </w:rPr>
      </w:pPr>
    </w:p>
    <w:tbl>
      <w:tblPr>
        <w:tblStyle w:val="TableGrid"/>
        <w:tblW w:w="10456" w:type="dxa"/>
        <w:tblBorders>
          <w:top w:val="nil"/>
          <w:left w:val="nil"/>
          <w:bottom w:val="nil"/>
          <w:right w:val="nil"/>
          <w:insideH w:val="nil"/>
          <w:insideV w:val="nil"/>
        </w:tblBorders>
        <w:tblLook w:val="04A0" w:firstRow="1" w:lastRow="0" w:firstColumn="1" w:lastColumn="0" w:noHBand="0" w:noVBand="1"/>
      </w:tblPr>
      <w:tblGrid>
        <w:gridCol w:w="7338"/>
        <w:gridCol w:w="3118"/>
      </w:tblGrid>
      <w:tr w:rsidR="00C96461" w14:paraId="5792790C" w14:textId="77777777" w:rsidTr="00B26990">
        <w:tc>
          <w:tcPr>
            <w:tcW w:w="7338" w:type="dxa"/>
          </w:tcPr>
          <w:p w14:paraId="2D6A9763" w14:textId="77777777" w:rsidR="00C96461" w:rsidRDefault="00C96461" w:rsidP="006E2099">
            <w:pPr>
              <w:autoSpaceDE w:val="0"/>
              <w:autoSpaceDN w:val="0"/>
              <w:adjustRightInd w:val="0"/>
              <w:spacing w:before="60"/>
              <w:ind w:right="-624"/>
              <w:rPr>
                <w:sz w:val="24"/>
                <w:szCs w:val="24"/>
              </w:rPr>
            </w:pPr>
            <w:r>
              <w:rPr>
                <w:sz w:val="24"/>
                <w:szCs w:val="24"/>
              </w:rPr>
              <w:t>Victoria Police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D3E6F61" w14:textId="77777777" w:rsidR="00C96461" w:rsidRDefault="00C96461" w:rsidP="006E2099">
            <w:pPr>
              <w:autoSpaceDE w:val="0"/>
              <w:autoSpaceDN w:val="0"/>
              <w:adjustRightInd w:val="0"/>
              <w:spacing w:before="60"/>
              <w:ind w:right="-624"/>
              <w:rPr>
                <w:sz w:val="24"/>
                <w:szCs w:val="24"/>
              </w:rPr>
            </w:pPr>
            <w:r>
              <w:rPr>
                <w:sz w:val="24"/>
                <w:szCs w:val="24"/>
              </w:rPr>
              <w:t>New South Wales Crime Commission</w:t>
            </w:r>
            <w:r>
              <w:rPr>
                <w:sz w:val="24"/>
                <w:szCs w:val="24"/>
              </w:rPr>
              <w:tab/>
            </w:r>
            <w:r>
              <w:rPr>
                <w:sz w:val="24"/>
                <w:szCs w:val="24"/>
              </w:rPr>
              <w:tab/>
            </w:r>
            <w:r>
              <w:rPr>
                <w:sz w:val="24"/>
                <w:szCs w:val="24"/>
              </w:rPr>
              <w:tab/>
            </w:r>
          </w:p>
          <w:p w14:paraId="0F43C1D8" w14:textId="77777777" w:rsidR="00C96461" w:rsidRDefault="00C96461" w:rsidP="006E2099">
            <w:pPr>
              <w:autoSpaceDE w:val="0"/>
              <w:autoSpaceDN w:val="0"/>
              <w:adjustRightInd w:val="0"/>
              <w:spacing w:before="60"/>
              <w:ind w:right="-624"/>
              <w:rPr>
                <w:sz w:val="24"/>
                <w:szCs w:val="24"/>
              </w:rPr>
            </w:pPr>
            <w:r>
              <w:rPr>
                <w:sz w:val="24"/>
                <w:szCs w:val="24"/>
              </w:rPr>
              <w:t>New South Wales Police Force</w:t>
            </w:r>
            <w:r>
              <w:rPr>
                <w:sz w:val="24"/>
                <w:szCs w:val="24"/>
              </w:rPr>
              <w:tab/>
            </w:r>
            <w:r>
              <w:rPr>
                <w:sz w:val="24"/>
                <w:szCs w:val="24"/>
              </w:rPr>
              <w:tab/>
            </w:r>
            <w:r>
              <w:rPr>
                <w:sz w:val="24"/>
                <w:szCs w:val="24"/>
              </w:rPr>
              <w:tab/>
            </w:r>
            <w:r>
              <w:rPr>
                <w:sz w:val="24"/>
                <w:szCs w:val="24"/>
              </w:rPr>
              <w:tab/>
            </w:r>
          </w:p>
          <w:p w14:paraId="35703AA2" w14:textId="77777777" w:rsidR="00C96461" w:rsidRDefault="00C96461" w:rsidP="006E2099">
            <w:pPr>
              <w:autoSpaceDE w:val="0"/>
              <w:autoSpaceDN w:val="0"/>
              <w:adjustRightInd w:val="0"/>
              <w:spacing w:before="60"/>
              <w:ind w:right="-624"/>
              <w:rPr>
                <w:sz w:val="24"/>
                <w:szCs w:val="24"/>
              </w:rPr>
            </w:pPr>
            <w:r>
              <w:rPr>
                <w:sz w:val="24"/>
                <w:szCs w:val="24"/>
              </w:rPr>
              <w:t>Independent Commission Against Corruption (NSW)</w:t>
            </w:r>
            <w:r>
              <w:rPr>
                <w:sz w:val="24"/>
                <w:szCs w:val="24"/>
              </w:rPr>
              <w:tab/>
            </w:r>
          </w:p>
          <w:p w14:paraId="2D86376A" w14:textId="77777777" w:rsidR="00C96461" w:rsidRDefault="00C96461" w:rsidP="006E2099">
            <w:pPr>
              <w:autoSpaceDE w:val="0"/>
              <w:autoSpaceDN w:val="0"/>
              <w:adjustRightInd w:val="0"/>
              <w:spacing w:before="60"/>
              <w:ind w:right="-624"/>
              <w:rPr>
                <w:sz w:val="24"/>
                <w:szCs w:val="24"/>
              </w:rPr>
            </w:pPr>
            <w:r>
              <w:rPr>
                <w:sz w:val="24"/>
                <w:szCs w:val="24"/>
              </w:rPr>
              <w:t>South Australia Police</w:t>
            </w:r>
            <w:r>
              <w:rPr>
                <w:sz w:val="24"/>
                <w:szCs w:val="24"/>
              </w:rPr>
              <w:tab/>
            </w:r>
            <w:r>
              <w:rPr>
                <w:sz w:val="24"/>
                <w:szCs w:val="24"/>
              </w:rPr>
              <w:tab/>
            </w:r>
            <w:r>
              <w:rPr>
                <w:sz w:val="24"/>
                <w:szCs w:val="24"/>
              </w:rPr>
              <w:tab/>
            </w:r>
            <w:r>
              <w:rPr>
                <w:sz w:val="24"/>
                <w:szCs w:val="24"/>
              </w:rPr>
              <w:tab/>
            </w:r>
            <w:r>
              <w:rPr>
                <w:sz w:val="24"/>
                <w:szCs w:val="24"/>
              </w:rPr>
              <w:tab/>
            </w:r>
          </w:p>
          <w:p w14:paraId="110899D4" w14:textId="77777777" w:rsidR="00C96461" w:rsidRDefault="00C96461" w:rsidP="006E2099">
            <w:pPr>
              <w:autoSpaceDE w:val="0"/>
              <w:autoSpaceDN w:val="0"/>
              <w:adjustRightInd w:val="0"/>
              <w:spacing w:before="60"/>
              <w:ind w:right="-624"/>
              <w:rPr>
                <w:sz w:val="24"/>
                <w:szCs w:val="24"/>
              </w:rPr>
            </w:pPr>
            <w:r>
              <w:rPr>
                <w:sz w:val="24"/>
                <w:szCs w:val="24"/>
              </w:rPr>
              <w:t>Western Australia Police</w:t>
            </w:r>
            <w:r>
              <w:rPr>
                <w:sz w:val="24"/>
                <w:szCs w:val="24"/>
              </w:rPr>
              <w:tab/>
            </w:r>
            <w:r>
              <w:rPr>
                <w:sz w:val="24"/>
                <w:szCs w:val="24"/>
              </w:rPr>
              <w:tab/>
            </w:r>
            <w:r>
              <w:rPr>
                <w:sz w:val="24"/>
                <w:szCs w:val="24"/>
              </w:rPr>
              <w:tab/>
            </w:r>
            <w:r>
              <w:rPr>
                <w:sz w:val="24"/>
                <w:szCs w:val="24"/>
              </w:rPr>
              <w:tab/>
            </w:r>
            <w:r>
              <w:rPr>
                <w:sz w:val="24"/>
                <w:szCs w:val="24"/>
              </w:rPr>
              <w:tab/>
            </w:r>
          </w:p>
          <w:p w14:paraId="120215F6" w14:textId="77777777" w:rsidR="00C96461" w:rsidRDefault="00C96461" w:rsidP="006E2099">
            <w:pPr>
              <w:autoSpaceDE w:val="0"/>
              <w:autoSpaceDN w:val="0"/>
              <w:adjustRightInd w:val="0"/>
              <w:spacing w:before="60"/>
              <w:ind w:right="-624"/>
              <w:rPr>
                <w:sz w:val="24"/>
                <w:szCs w:val="24"/>
              </w:rPr>
            </w:pPr>
            <w:r>
              <w:rPr>
                <w:sz w:val="24"/>
                <w:szCs w:val="24"/>
              </w:rPr>
              <w:t>New South Wales Police Integrity Commission</w:t>
            </w:r>
            <w:r>
              <w:rPr>
                <w:sz w:val="24"/>
                <w:szCs w:val="24"/>
              </w:rPr>
              <w:tab/>
            </w:r>
            <w:r>
              <w:rPr>
                <w:sz w:val="24"/>
                <w:szCs w:val="24"/>
              </w:rPr>
              <w:tab/>
            </w:r>
          </w:p>
          <w:p w14:paraId="75113DD4" w14:textId="77777777" w:rsidR="00C96461" w:rsidRDefault="00C96461" w:rsidP="006E2099">
            <w:pPr>
              <w:autoSpaceDE w:val="0"/>
              <w:autoSpaceDN w:val="0"/>
              <w:adjustRightInd w:val="0"/>
              <w:spacing w:before="60"/>
              <w:ind w:right="-624"/>
              <w:rPr>
                <w:sz w:val="24"/>
                <w:szCs w:val="24"/>
              </w:rPr>
            </w:pPr>
            <w:r>
              <w:rPr>
                <w:sz w:val="24"/>
                <w:szCs w:val="24"/>
              </w:rPr>
              <w:t>Corruption and Crime Commission of Western Australia</w:t>
            </w:r>
            <w:r>
              <w:rPr>
                <w:sz w:val="24"/>
                <w:szCs w:val="24"/>
              </w:rPr>
              <w:tab/>
            </w:r>
          </w:p>
          <w:p w14:paraId="317DE873" w14:textId="77777777" w:rsidR="00C96461" w:rsidRDefault="00C96461" w:rsidP="006E2099">
            <w:pPr>
              <w:autoSpaceDE w:val="0"/>
              <w:autoSpaceDN w:val="0"/>
              <w:adjustRightInd w:val="0"/>
              <w:spacing w:before="60"/>
              <w:ind w:right="-624"/>
              <w:rPr>
                <w:sz w:val="24"/>
                <w:szCs w:val="24"/>
              </w:rPr>
            </w:pPr>
            <w:r>
              <w:rPr>
                <w:sz w:val="24"/>
                <w:szCs w:val="24"/>
              </w:rPr>
              <w:t>Tasmania Police</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p>
          <w:p w14:paraId="464B5620" w14:textId="77777777" w:rsidR="00C96461" w:rsidRDefault="00C96461" w:rsidP="006E2099">
            <w:pPr>
              <w:autoSpaceDE w:val="0"/>
              <w:autoSpaceDN w:val="0"/>
              <w:adjustRightInd w:val="0"/>
              <w:spacing w:before="60"/>
              <w:ind w:right="-624"/>
              <w:rPr>
                <w:sz w:val="24"/>
                <w:szCs w:val="24"/>
              </w:rPr>
            </w:pPr>
            <w:r>
              <w:rPr>
                <w:sz w:val="24"/>
                <w:szCs w:val="24"/>
              </w:rPr>
              <w:t>Northern Territory Police</w:t>
            </w:r>
            <w:r>
              <w:rPr>
                <w:sz w:val="24"/>
                <w:szCs w:val="24"/>
              </w:rPr>
              <w:tab/>
            </w:r>
            <w:r>
              <w:rPr>
                <w:sz w:val="24"/>
                <w:szCs w:val="24"/>
              </w:rPr>
              <w:tab/>
            </w:r>
            <w:r>
              <w:rPr>
                <w:sz w:val="24"/>
                <w:szCs w:val="24"/>
              </w:rPr>
              <w:tab/>
            </w:r>
            <w:r>
              <w:rPr>
                <w:sz w:val="24"/>
                <w:szCs w:val="24"/>
              </w:rPr>
              <w:tab/>
            </w:r>
            <w:r>
              <w:rPr>
                <w:sz w:val="24"/>
                <w:szCs w:val="24"/>
              </w:rPr>
              <w:tab/>
            </w:r>
          </w:p>
          <w:p w14:paraId="5333D501" w14:textId="77777777" w:rsidR="00C96461" w:rsidRDefault="00C96461" w:rsidP="006E2099">
            <w:pPr>
              <w:autoSpaceDE w:val="0"/>
              <w:autoSpaceDN w:val="0"/>
              <w:adjustRightInd w:val="0"/>
              <w:spacing w:before="60"/>
              <w:ind w:right="-624"/>
              <w:rPr>
                <w:sz w:val="24"/>
                <w:szCs w:val="24"/>
              </w:rPr>
            </w:pPr>
            <w:r>
              <w:rPr>
                <w:sz w:val="24"/>
                <w:szCs w:val="24"/>
              </w:rPr>
              <w:t>Victoria Office of Police Integrity</w:t>
            </w:r>
            <w:r>
              <w:rPr>
                <w:sz w:val="24"/>
                <w:szCs w:val="24"/>
              </w:rPr>
              <w:tab/>
            </w:r>
            <w:r>
              <w:rPr>
                <w:sz w:val="24"/>
                <w:szCs w:val="24"/>
              </w:rPr>
              <w:tab/>
            </w:r>
            <w:r>
              <w:rPr>
                <w:sz w:val="24"/>
                <w:szCs w:val="24"/>
              </w:rPr>
              <w:tab/>
            </w:r>
            <w:r>
              <w:rPr>
                <w:sz w:val="24"/>
                <w:szCs w:val="24"/>
              </w:rPr>
              <w:tab/>
            </w:r>
          </w:p>
          <w:p w14:paraId="067F56DE" w14:textId="77777777" w:rsidR="00C96461" w:rsidRDefault="00C96461" w:rsidP="006E2099">
            <w:pPr>
              <w:autoSpaceDE w:val="0"/>
              <w:autoSpaceDN w:val="0"/>
              <w:adjustRightInd w:val="0"/>
              <w:spacing w:before="60"/>
              <w:ind w:right="-624"/>
              <w:rPr>
                <w:sz w:val="24"/>
                <w:szCs w:val="24"/>
              </w:rPr>
            </w:pPr>
            <w:r>
              <w:rPr>
                <w:sz w:val="24"/>
                <w:szCs w:val="24"/>
              </w:rPr>
              <w:t>Queensland Police Service</w:t>
            </w:r>
            <w:r>
              <w:rPr>
                <w:sz w:val="24"/>
                <w:szCs w:val="24"/>
              </w:rPr>
              <w:tab/>
            </w:r>
            <w:r>
              <w:rPr>
                <w:sz w:val="24"/>
                <w:szCs w:val="24"/>
              </w:rPr>
              <w:tab/>
            </w:r>
            <w:r>
              <w:rPr>
                <w:sz w:val="24"/>
                <w:szCs w:val="24"/>
              </w:rPr>
              <w:tab/>
            </w:r>
            <w:r>
              <w:rPr>
                <w:sz w:val="24"/>
                <w:szCs w:val="24"/>
              </w:rPr>
              <w:tab/>
            </w:r>
            <w:r>
              <w:rPr>
                <w:sz w:val="24"/>
                <w:szCs w:val="24"/>
              </w:rPr>
              <w:tab/>
            </w:r>
          </w:p>
          <w:p w14:paraId="5E342B68" w14:textId="77777777" w:rsidR="00C96461" w:rsidRDefault="00C96461" w:rsidP="006E2099">
            <w:pPr>
              <w:autoSpaceDE w:val="0"/>
              <w:autoSpaceDN w:val="0"/>
              <w:adjustRightInd w:val="0"/>
              <w:spacing w:before="60"/>
              <w:ind w:right="-624"/>
              <w:rPr>
                <w:sz w:val="24"/>
                <w:szCs w:val="24"/>
              </w:rPr>
            </w:pPr>
            <w:r>
              <w:rPr>
                <w:sz w:val="24"/>
                <w:szCs w:val="24"/>
              </w:rPr>
              <w:t>Queensland Crime and Misconduct Commission</w:t>
            </w:r>
            <w:r>
              <w:rPr>
                <w:sz w:val="24"/>
                <w:szCs w:val="24"/>
              </w:rPr>
              <w:tab/>
            </w:r>
            <w:r>
              <w:rPr>
                <w:sz w:val="24"/>
                <w:szCs w:val="24"/>
              </w:rPr>
              <w:tab/>
            </w:r>
          </w:p>
          <w:p w14:paraId="12722DCB" w14:textId="77777777" w:rsidR="00C96461" w:rsidRDefault="00C96461" w:rsidP="006E2099">
            <w:pPr>
              <w:autoSpaceDE w:val="0"/>
              <w:autoSpaceDN w:val="0"/>
              <w:adjustRightInd w:val="0"/>
              <w:spacing w:before="60"/>
              <w:ind w:right="-624"/>
              <w:rPr>
                <w:sz w:val="24"/>
                <w:szCs w:val="24"/>
              </w:rPr>
            </w:pPr>
            <w:r>
              <w:rPr>
                <w:sz w:val="24"/>
                <w:szCs w:val="24"/>
              </w:rPr>
              <w:t>Independent Broad-based Anti-corruption Commission (VIC)</w:t>
            </w:r>
            <w:r>
              <w:rPr>
                <w:sz w:val="24"/>
                <w:szCs w:val="24"/>
              </w:rPr>
              <w:tab/>
            </w:r>
          </w:p>
          <w:p w14:paraId="415385A2" w14:textId="77777777" w:rsidR="003A3242" w:rsidRDefault="00C96461" w:rsidP="006E2099">
            <w:pPr>
              <w:autoSpaceDE w:val="0"/>
              <w:autoSpaceDN w:val="0"/>
              <w:adjustRightInd w:val="0"/>
              <w:spacing w:before="60"/>
              <w:ind w:right="-624"/>
              <w:rPr>
                <w:sz w:val="24"/>
                <w:szCs w:val="24"/>
              </w:rPr>
            </w:pPr>
            <w:r w:rsidRPr="006E7286">
              <w:rPr>
                <w:sz w:val="24"/>
                <w:szCs w:val="24"/>
              </w:rPr>
              <w:t>Independent Commissioner Against Corruption of South Australia (SA)</w:t>
            </w:r>
          </w:p>
          <w:p w14:paraId="2AE3110F" w14:textId="5EAF127A" w:rsidR="00C96461" w:rsidRDefault="003A3242" w:rsidP="006E2099">
            <w:pPr>
              <w:autoSpaceDE w:val="0"/>
              <w:autoSpaceDN w:val="0"/>
              <w:adjustRightInd w:val="0"/>
              <w:spacing w:before="60"/>
              <w:ind w:right="-624"/>
              <w:rPr>
                <w:sz w:val="24"/>
                <w:szCs w:val="24"/>
              </w:rPr>
            </w:pPr>
            <w:r>
              <w:rPr>
                <w:sz w:val="24"/>
                <w:szCs w:val="24"/>
              </w:rPr>
              <w:t>Law Enforcement Conduct Commission (NSW)</w:t>
            </w:r>
            <w:r w:rsidR="00C96461" w:rsidRPr="006E7286">
              <w:rPr>
                <w:sz w:val="24"/>
                <w:szCs w:val="24"/>
              </w:rPr>
              <w:t xml:space="preserve">  </w:t>
            </w:r>
          </w:p>
        </w:tc>
        <w:tc>
          <w:tcPr>
            <w:tcW w:w="3118" w:type="dxa"/>
          </w:tcPr>
          <w:p w14:paraId="64123102" w14:textId="77777777" w:rsidR="00C96461" w:rsidRDefault="00C96461" w:rsidP="006E2099">
            <w:pPr>
              <w:autoSpaceDE w:val="0"/>
              <w:autoSpaceDN w:val="0"/>
              <w:adjustRightInd w:val="0"/>
              <w:spacing w:before="60"/>
              <w:ind w:right="-624"/>
              <w:rPr>
                <w:sz w:val="24"/>
                <w:szCs w:val="24"/>
              </w:rPr>
            </w:pPr>
            <w:r>
              <w:rPr>
                <w:sz w:val="24"/>
                <w:szCs w:val="24"/>
              </w:rPr>
              <w:t>28 October 1988</w:t>
            </w:r>
          </w:p>
          <w:p w14:paraId="28EEFB49" w14:textId="77777777" w:rsidR="00C96461" w:rsidRDefault="00C96461" w:rsidP="006E2099">
            <w:pPr>
              <w:autoSpaceDE w:val="0"/>
              <w:autoSpaceDN w:val="0"/>
              <w:adjustRightInd w:val="0"/>
              <w:spacing w:before="60"/>
              <w:ind w:right="-624"/>
              <w:rPr>
                <w:sz w:val="24"/>
                <w:szCs w:val="24"/>
              </w:rPr>
            </w:pPr>
            <w:r>
              <w:rPr>
                <w:sz w:val="24"/>
                <w:szCs w:val="24"/>
              </w:rPr>
              <w:t>30 January 1989</w:t>
            </w:r>
          </w:p>
          <w:p w14:paraId="732AE606" w14:textId="77777777" w:rsidR="00C96461" w:rsidRDefault="00C96461" w:rsidP="006E2099">
            <w:pPr>
              <w:autoSpaceDE w:val="0"/>
              <w:autoSpaceDN w:val="0"/>
              <w:adjustRightInd w:val="0"/>
              <w:spacing w:before="60"/>
              <w:ind w:right="-624"/>
              <w:rPr>
                <w:sz w:val="24"/>
                <w:szCs w:val="24"/>
              </w:rPr>
            </w:pPr>
            <w:r>
              <w:rPr>
                <w:sz w:val="24"/>
                <w:szCs w:val="24"/>
              </w:rPr>
              <w:t>30 January 1989</w:t>
            </w:r>
          </w:p>
          <w:p w14:paraId="4FC77176" w14:textId="77777777" w:rsidR="00C96461" w:rsidRDefault="00C96461" w:rsidP="006E2099">
            <w:pPr>
              <w:autoSpaceDE w:val="0"/>
              <w:autoSpaceDN w:val="0"/>
              <w:adjustRightInd w:val="0"/>
              <w:spacing w:before="60"/>
              <w:ind w:right="-624"/>
              <w:rPr>
                <w:sz w:val="24"/>
                <w:szCs w:val="24"/>
              </w:rPr>
            </w:pPr>
            <w:r>
              <w:rPr>
                <w:sz w:val="24"/>
                <w:szCs w:val="24"/>
              </w:rPr>
              <w:t>6 June 1990</w:t>
            </w:r>
          </w:p>
          <w:p w14:paraId="31588A51" w14:textId="77777777" w:rsidR="00C96461" w:rsidRDefault="00C96461" w:rsidP="006E2099">
            <w:pPr>
              <w:autoSpaceDE w:val="0"/>
              <w:autoSpaceDN w:val="0"/>
              <w:adjustRightInd w:val="0"/>
              <w:spacing w:before="60"/>
              <w:ind w:right="-624"/>
              <w:rPr>
                <w:sz w:val="24"/>
                <w:szCs w:val="24"/>
              </w:rPr>
            </w:pPr>
            <w:r>
              <w:rPr>
                <w:sz w:val="24"/>
                <w:szCs w:val="24"/>
              </w:rPr>
              <w:t>10 July 1991</w:t>
            </w:r>
          </w:p>
          <w:p w14:paraId="2CBF2616" w14:textId="77777777" w:rsidR="00C96461" w:rsidRDefault="00C96461" w:rsidP="006E2099">
            <w:pPr>
              <w:autoSpaceDE w:val="0"/>
              <w:autoSpaceDN w:val="0"/>
              <w:adjustRightInd w:val="0"/>
              <w:spacing w:before="60"/>
              <w:ind w:right="-624"/>
              <w:rPr>
                <w:sz w:val="24"/>
                <w:szCs w:val="24"/>
              </w:rPr>
            </w:pPr>
            <w:r>
              <w:rPr>
                <w:sz w:val="24"/>
                <w:szCs w:val="24"/>
              </w:rPr>
              <w:t>15 July 1997</w:t>
            </w:r>
          </w:p>
          <w:p w14:paraId="3C24D99B" w14:textId="77777777" w:rsidR="00C96461" w:rsidRDefault="00C96461" w:rsidP="006E2099">
            <w:pPr>
              <w:autoSpaceDE w:val="0"/>
              <w:autoSpaceDN w:val="0"/>
              <w:adjustRightInd w:val="0"/>
              <w:spacing w:before="60"/>
              <w:ind w:right="-624"/>
              <w:rPr>
                <w:sz w:val="24"/>
                <w:szCs w:val="24"/>
              </w:rPr>
            </w:pPr>
            <w:r>
              <w:rPr>
                <w:sz w:val="24"/>
                <w:szCs w:val="24"/>
              </w:rPr>
              <w:t>14 July 1998</w:t>
            </w:r>
          </w:p>
          <w:p w14:paraId="6CBCF150" w14:textId="77777777" w:rsidR="00C96461" w:rsidRDefault="00C96461" w:rsidP="006E2099">
            <w:pPr>
              <w:autoSpaceDE w:val="0"/>
              <w:autoSpaceDN w:val="0"/>
              <w:adjustRightInd w:val="0"/>
              <w:spacing w:before="60"/>
              <w:ind w:right="-624"/>
              <w:rPr>
                <w:sz w:val="24"/>
                <w:szCs w:val="24"/>
              </w:rPr>
            </w:pPr>
            <w:r>
              <w:rPr>
                <w:sz w:val="24"/>
                <w:szCs w:val="24"/>
              </w:rPr>
              <w:t>24 March 2004</w:t>
            </w:r>
          </w:p>
          <w:p w14:paraId="27827A62" w14:textId="77777777" w:rsidR="00C96461" w:rsidRDefault="00C96461" w:rsidP="006E2099">
            <w:pPr>
              <w:autoSpaceDE w:val="0"/>
              <w:autoSpaceDN w:val="0"/>
              <w:adjustRightInd w:val="0"/>
              <w:spacing w:before="60"/>
              <w:ind w:right="-624"/>
              <w:rPr>
                <w:sz w:val="24"/>
                <w:szCs w:val="24"/>
              </w:rPr>
            </w:pPr>
            <w:r>
              <w:rPr>
                <w:sz w:val="24"/>
                <w:szCs w:val="24"/>
              </w:rPr>
              <w:t>5 February 2005</w:t>
            </w:r>
          </w:p>
          <w:p w14:paraId="539DBFDE" w14:textId="77777777" w:rsidR="00C96461" w:rsidRDefault="00C96461" w:rsidP="006E2099">
            <w:pPr>
              <w:autoSpaceDE w:val="0"/>
              <w:autoSpaceDN w:val="0"/>
              <w:adjustRightInd w:val="0"/>
              <w:spacing w:before="60"/>
              <w:ind w:right="-624"/>
              <w:rPr>
                <w:sz w:val="24"/>
                <w:szCs w:val="24"/>
              </w:rPr>
            </w:pPr>
            <w:r>
              <w:rPr>
                <w:sz w:val="24"/>
                <w:szCs w:val="24"/>
              </w:rPr>
              <w:t>25 October 2006</w:t>
            </w:r>
          </w:p>
          <w:p w14:paraId="65D67F50" w14:textId="77777777" w:rsidR="00C96461" w:rsidRDefault="00C96461" w:rsidP="006E2099">
            <w:pPr>
              <w:autoSpaceDE w:val="0"/>
              <w:autoSpaceDN w:val="0"/>
              <w:adjustRightInd w:val="0"/>
              <w:spacing w:before="60"/>
              <w:ind w:right="-624"/>
              <w:rPr>
                <w:sz w:val="24"/>
                <w:szCs w:val="24"/>
              </w:rPr>
            </w:pPr>
            <w:r>
              <w:rPr>
                <w:sz w:val="24"/>
                <w:szCs w:val="24"/>
              </w:rPr>
              <w:t>18 December 2006</w:t>
            </w:r>
          </w:p>
          <w:p w14:paraId="70DF0DD4" w14:textId="77777777" w:rsidR="00C96461" w:rsidRDefault="00C96461" w:rsidP="006E2099">
            <w:pPr>
              <w:autoSpaceDE w:val="0"/>
              <w:autoSpaceDN w:val="0"/>
              <w:adjustRightInd w:val="0"/>
              <w:spacing w:before="60"/>
              <w:ind w:right="-624"/>
              <w:rPr>
                <w:sz w:val="24"/>
                <w:szCs w:val="24"/>
              </w:rPr>
            </w:pPr>
            <w:r>
              <w:rPr>
                <w:sz w:val="24"/>
                <w:szCs w:val="24"/>
              </w:rPr>
              <w:t>8 July 2009</w:t>
            </w:r>
          </w:p>
          <w:p w14:paraId="38228231" w14:textId="77777777" w:rsidR="00C96461" w:rsidRDefault="00C96461" w:rsidP="006E2099">
            <w:pPr>
              <w:autoSpaceDE w:val="0"/>
              <w:autoSpaceDN w:val="0"/>
              <w:adjustRightInd w:val="0"/>
              <w:spacing w:before="60"/>
              <w:ind w:right="-624"/>
              <w:rPr>
                <w:sz w:val="24"/>
                <w:szCs w:val="24"/>
              </w:rPr>
            </w:pPr>
            <w:r>
              <w:rPr>
                <w:sz w:val="24"/>
                <w:szCs w:val="24"/>
              </w:rPr>
              <w:t>8 July 2009</w:t>
            </w:r>
          </w:p>
          <w:p w14:paraId="1EE9552A" w14:textId="77777777" w:rsidR="00C96461" w:rsidRDefault="00C96461" w:rsidP="006E2099">
            <w:pPr>
              <w:autoSpaceDE w:val="0"/>
              <w:autoSpaceDN w:val="0"/>
              <w:adjustRightInd w:val="0"/>
              <w:spacing w:before="60"/>
              <w:ind w:right="-624"/>
              <w:rPr>
                <w:sz w:val="24"/>
                <w:szCs w:val="24"/>
              </w:rPr>
            </w:pPr>
            <w:r>
              <w:rPr>
                <w:sz w:val="24"/>
                <w:szCs w:val="24"/>
              </w:rPr>
              <w:t>18 December 2012</w:t>
            </w:r>
          </w:p>
          <w:p w14:paraId="7874EB0B" w14:textId="77777777" w:rsidR="00C96461" w:rsidRDefault="00C96461" w:rsidP="006E2099">
            <w:pPr>
              <w:autoSpaceDE w:val="0"/>
              <w:autoSpaceDN w:val="0"/>
              <w:adjustRightInd w:val="0"/>
              <w:spacing w:before="60"/>
              <w:ind w:right="-624"/>
              <w:rPr>
                <w:sz w:val="24"/>
                <w:szCs w:val="24"/>
              </w:rPr>
            </w:pPr>
            <w:r w:rsidRPr="006E7286">
              <w:rPr>
                <w:sz w:val="24"/>
                <w:szCs w:val="24"/>
              </w:rPr>
              <w:t>17</w:t>
            </w:r>
            <w:r w:rsidR="003A3242">
              <w:rPr>
                <w:sz w:val="24"/>
                <w:szCs w:val="24"/>
              </w:rPr>
              <w:t xml:space="preserve"> </w:t>
            </w:r>
            <w:r w:rsidRPr="006E7286">
              <w:rPr>
                <w:sz w:val="24"/>
                <w:szCs w:val="24"/>
              </w:rPr>
              <w:t>June 2013</w:t>
            </w:r>
          </w:p>
          <w:p w14:paraId="386A0D71" w14:textId="77777777" w:rsidR="003A3242" w:rsidRDefault="003A3242" w:rsidP="006E2099">
            <w:pPr>
              <w:autoSpaceDE w:val="0"/>
              <w:autoSpaceDN w:val="0"/>
              <w:adjustRightInd w:val="0"/>
              <w:spacing w:before="60"/>
              <w:ind w:right="-624"/>
              <w:rPr>
                <w:sz w:val="24"/>
                <w:szCs w:val="24"/>
              </w:rPr>
            </w:pPr>
            <w:r>
              <w:rPr>
                <w:sz w:val="24"/>
                <w:szCs w:val="24"/>
              </w:rPr>
              <w:t>11 May 2017</w:t>
            </w:r>
          </w:p>
        </w:tc>
      </w:tr>
    </w:tbl>
    <w:p w14:paraId="4A690DCA" w14:textId="77777777" w:rsidR="004B5E4C" w:rsidRPr="00C96461" w:rsidRDefault="004B5E4C" w:rsidP="00C96461"/>
    <w:sectPr w:rsidR="004B5E4C" w:rsidRPr="00C96461" w:rsidSect="00F53C52">
      <w:headerReference w:type="default" r:id="rId13"/>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3075B" w14:textId="77777777" w:rsidR="00085B62" w:rsidRDefault="00085B62" w:rsidP="00657206">
      <w:r>
        <w:separator/>
      </w:r>
    </w:p>
  </w:endnote>
  <w:endnote w:type="continuationSeparator" w:id="0">
    <w:p w14:paraId="42E2DD8A" w14:textId="77777777" w:rsidR="00085B62" w:rsidRDefault="00085B62" w:rsidP="0065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F39EB" w14:textId="77777777" w:rsidR="00085B62" w:rsidRDefault="00085B62" w:rsidP="00657206">
      <w:r>
        <w:separator/>
      </w:r>
    </w:p>
  </w:footnote>
  <w:footnote w:type="continuationSeparator" w:id="0">
    <w:p w14:paraId="5D329802" w14:textId="77777777" w:rsidR="00085B62" w:rsidRDefault="00085B62" w:rsidP="0065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D1E9" w14:textId="2A3AF926" w:rsidR="003F58A5" w:rsidRPr="003F58A5" w:rsidRDefault="003F58A5" w:rsidP="00657206">
    <w:pPr>
      <w:pStyle w:val="Header"/>
      <w:jc w:val="right"/>
      <w:rPr>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6286" w14:textId="49185A3E" w:rsidR="00BD7DB5" w:rsidRPr="003F58A5" w:rsidRDefault="00BD7DB5" w:rsidP="00657206">
    <w:pPr>
      <w:pStyle w:val="Header"/>
      <w:jc w:val="right"/>
      <w:rPr>
        <w:b/>
        <w:u w:val="single"/>
      </w:rPr>
    </w:pPr>
    <w:r>
      <w:rPr>
        <w:b/>
        <w:u w:val="single"/>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3F9F" w14:textId="7A218037" w:rsidR="00F465C0" w:rsidRPr="003F58A5" w:rsidRDefault="00BD7DB5" w:rsidP="00657206">
    <w:pPr>
      <w:pStyle w:val="Header"/>
      <w:jc w:val="right"/>
      <w:rPr>
        <w:b/>
        <w:u w:val="single"/>
      </w:rPr>
    </w:pPr>
    <w:r>
      <w:rPr>
        <w:b/>
        <w:u w:val="single"/>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566E"/>
    <w:multiLevelType w:val="hybridMultilevel"/>
    <w:tmpl w:val="AEA0DA20"/>
    <w:lvl w:ilvl="0" w:tplc="08EC7F72">
      <w:start w:val="1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B34193"/>
    <w:multiLevelType w:val="hybridMultilevel"/>
    <w:tmpl w:val="4EE643D4"/>
    <w:lvl w:ilvl="0" w:tplc="863AF644">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615E19"/>
    <w:multiLevelType w:val="hybridMultilevel"/>
    <w:tmpl w:val="25209A78"/>
    <w:lvl w:ilvl="0" w:tplc="E51CF9A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 w15:restartNumberingAfterBreak="0">
    <w:nsid w:val="4C1037D4"/>
    <w:multiLevelType w:val="hybridMultilevel"/>
    <w:tmpl w:val="FEB64370"/>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15:restartNumberingAfterBreak="0">
    <w:nsid w:val="54A625DC"/>
    <w:multiLevelType w:val="hybridMultilevel"/>
    <w:tmpl w:val="12C698F8"/>
    <w:lvl w:ilvl="0" w:tplc="541C24B8">
      <w:start w:val="1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A634C2"/>
    <w:multiLevelType w:val="hybridMultilevel"/>
    <w:tmpl w:val="64021724"/>
    <w:lvl w:ilvl="0" w:tplc="602E2C1A">
      <w:start w:val="35"/>
      <w:numFmt w:val="bullet"/>
      <w:lvlText w:val="-"/>
      <w:lvlJc w:val="left"/>
      <w:pPr>
        <w:ind w:left="-207" w:hanging="360"/>
      </w:pPr>
      <w:rPr>
        <w:rFonts w:ascii="Times New Roman" w:eastAsia="Times New Roman" w:hAnsi="Times New Roman" w:cs="Times New Roman"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6"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C2B4FE8"/>
    <w:multiLevelType w:val="hybridMultilevel"/>
    <w:tmpl w:val="AEBE566A"/>
    <w:lvl w:ilvl="0" w:tplc="2F6480C6">
      <w:start w:val="35"/>
      <w:numFmt w:val="bullet"/>
      <w:lvlText w:val="-"/>
      <w:lvlJc w:val="left"/>
      <w:pPr>
        <w:ind w:left="-207" w:hanging="360"/>
      </w:pPr>
      <w:rPr>
        <w:rFonts w:ascii="Times New Roman" w:eastAsia="Times New Roman" w:hAnsi="Times New Roman" w:cs="Times New Roman"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D1"/>
    <w:rsid w:val="000140FC"/>
    <w:rsid w:val="000749C6"/>
    <w:rsid w:val="00083620"/>
    <w:rsid w:val="00085B62"/>
    <w:rsid w:val="000877F4"/>
    <w:rsid w:val="000B2225"/>
    <w:rsid w:val="000B26E3"/>
    <w:rsid w:val="00113B6C"/>
    <w:rsid w:val="001250BE"/>
    <w:rsid w:val="00126A7C"/>
    <w:rsid w:val="00126E25"/>
    <w:rsid w:val="00127B8F"/>
    <w:rsid w:val="00175536"/>
    <w:rsid w:val="00186598"/>
    <w:rsid w:val="001B11D3"/>
    <w:rsid w:val="001E5572"/>
    <w:rsid w:val="00211F78"/>
    <w:rsid w:val="002174FB"/>
    <w:rsid w:val="002360A6"/>
    <w:rsid w:val="00271CAE"/>
    <w:rsid w:val="00281F99"/>
    <w:rsid w:val="002841C1"/>
    <w:rsid w:val="00284475"/>
    <w:rsid w:val="0029316A"/>
    <w:rsid w:val="002B6580"/>
    <w:rsid w:val="002C68D4"/>
    <w:rsid w:val="00326978"/>
    <w:rsid w:val="003745D2"/>
    <w:rsid w:val="003A3242"/>
    <w:rsid w:val="003A7687"/>
    <w:rsid w:val="003E630D"/>
    <w:rsid w:val="003F58A5"/>
    <w:rsid w:val="00415869"/>
    <w:rsid w:val="00415A97"/>
    <w:rsid w:val="004351A1"/>
    <w:rsid w:val="00441084"/>
    <w:rsid w:val="00453639"/>
    <w:rsid w:val="004566AA"/>
    <w:rsid w:val="004639F2"/>
    <w:rsid w:val="00463E94"/>
    <w:rsid w:val="0048512A"/>
    <w:rsid w:val="00490658"/>
    <w:rsid w:val="00490DC3"/>
    <w:rsid w:val="004B5E4C"/>
    <w:rsid w:val="00511386"/>
    <w:rsid w:val="0052215C"/>
    <w:rsid w:val="00546A19"/>
    <w:rsid w:val="00593DCF"/>
    <w:rsid w:val="005C3BA3"/>
    <w:rsid w:val="005D2196"/>
    <w:rsid w:val="005D46F6"/>
    <w:rsid w:val="005D5D21"/>
    <w:rsid w:val="005E10F4"/>
    <w:rsid w:val="005E39DC"/>
    <w:rsid w:val="00615038"/>
    <w:rsid w:val="006157CC"/>
    <w:rsid w:val="006402DC"/>
    <w:rsid w:val="006511E0"/>
    <w:rsid w:val="00657206"/>
    <w:rsid w:val="006643F8"/>
    <w:rsid w:val="006808FA"/>
    <w:rsid w:val="006F02D1"/>
    <w:rsid w:val="006F2BCD"/>
    <w:rsid w:val="00742B2C"/>
    <w:rsid w:val="007C0259"/>
    <w:rsid w:val="007C7C42"/>
    <w:rsid w:val="007F277B"/>
    <w:rsid w:val="007F6790"/>
    <w:rsid w:val="00800618"/>
    <w:rsid w:val="0080074C"/>
    <w:rsid w:val="00806CD4"/>
    <w:rsid w:val="0082567F"/>
    <w:rsid w:val="00840F1E"/>
    <w:rsid w:val="008454BD"/>
    <w:rsid w:val="00884AD6"/>
    <w:rsid w:val="00894236"/>
    <w:rsid w:val="008B1EE0"/>
    <w:rsid w:val="008D10E8"/>
    <w:rsid w:val="008E5BA1"/>
    <w:rsid w:val="008F0B69"/>
    <w:rsid w:val="00907C30"/>
    <w:rsid w:val="00930295"/>
    <w:rsid w:val="009374FB"/>
    <w:rsid w:val="009441EA"/>
    <w:rsid w:val="00946F3F"/>
    <w:rsid w:val="00963591"/>
    <w:rsid w:val="00983602"/>
    <w:rsid w:val="009A16A2"/>
    <w:rsid w:val="009B0D47"/>
    <w:rsid w:val="009B102D"/>
    <w:rsid w:val="009E14A5"/>
    <w:rsid w:val="00A03BC2"/>
    <w:rsid w:val="00AB4BD8"/>
    <w:rsid w:val="00AB5620"/>
    <w:rsid w:val="00AB60F0"/>
    <w:rsid w:val="00AE752D"/>
    <w:rsid w:val="00B26990"/>
    <w:rsid w:val="00B56C89"/>
    <w:rsid w:val="00B73646"/>
    <w:rsid w:val="00B911C3"/>
    <w:rsid w:val="00BA5CEF"/>
    <w:rsid w:val="00BB47A3"/>
    <w:rsid w:val="00BC1E5A"/>
    <w:rsid w:val="00BC2F4B"/>
    <w:rsid w:val="00BD7DB5"/>
    <w:rsid w:val="00BE0ACF"/>
    <w:rsid w:val="00BF2508"/>
    <w:rsid w:val="00C237B7"/>
    <w:rsid w:val="00C577FA"/>
    <w:rsid w:val="00C651F5"/>
    <w:rsid w:val="00C8234B"/>
    <w:rsid w:val="00C93622"/>
    <w:rsid w:val="00C941EB"/>
    <w:rsid w:val="00C96461"/>
    <w:rsid w:val="00CD36B7"/>
    <w:rsid w:val="00D02C41"/>
    <w:rsid w:val="00D1099A"/>
    <w:rsid w:val="00D32C22"/>
    <w:rsid w:val="00D430F2"/>
    <w:rsid w:val="00D65923"/>
    <w:rsid w:val="00D9163B"/>
    <w:rsid w:val="00DB34A4"/>
    <w:rsid w:val="00DB5D26"/>
    <w:rsid w:val="00DB7CAD"/>
    <w:rsid w:val="00DD6988"/>
    <w:rsid w:val="00DE35B2"/>
    <w:rsid w:val="00E01EF1"/>
    <w:rsid w:val="00E359E5"/>
    <w:rsid w:val="00E40DEC"/>
    <w:rsid w:val="00E45834"/>
    <w:rsid w:val="00E52EBE"/>
    <w:rsid w:val="00EA5C8B"/>
    <w:rsid w:val="00EC4DA6"/>
    <w:rsid w:val="00EE6685"/>
    <w:rsid w:val="00EF352E"/>
    <w:rsid w:val="00EF7992"/>
    <w:rsid w:val="00F07AC4"/>
    <w:rsid w:val="00F22EF8"/>
    <w:rsid w:val="00F45831"/>
    <w:rsid w:val="00F465C0"/>
    <w:rsid w:val="00F47576"/>
    <w:rsid w:val="00F53C52"/>
    <w:rsid w:val="00F8215B"/>
    <w:rsid w:val="00FA342C"/>
    <w:rsid w:val="00FC15AA"/>
    <w:rsid w:val="00FC4142"/>
    <w:rsid w:val="00FD43EF"/>
    <w:rsid w:val="00FF0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470B2"/>
  <w15:docId w15:val="{F6DAC4B8-10EE-4A5E-9731-B6A44D5E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2D1"/>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BF2508"/>
    <w:pPr>
      <w:keepNext/>
      <w:spacing w:before="240" w:after="60" w:line="276" w:lineRule="auto"/>
      <w:outlineLvl w:val="0"/>
    </w:pPr>
    <w:rPr>
      <w:rFonts w:ascii="Cambria" w:hAnsi="Cambria"/>
      <w:bCs/>
      <w:caps/>
      <w:kern w:val="32"/>
      <w:sz w:val="32"/>
      <w:szCs w:val="32"/>
      <w:lang w:eastAsia="en-US"/>
    </w:rPr>
  </w:style>
  <w:style w:type="paragraph" w:styleId="Heading3">
    <w:name w:val="heading 3"/>
    <w:basedOn w:val="Normal"/>
    <w:next w:val="Normal"/>
    <w:link w:val="Heading3Char"/>
    <w:uiPriority w:val="9"/>
    <w:semiHidden/>
    <w:unhideWhenUsed/>
    <w:qFormat/>
    <w:rsid w:val="00DD69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
    <w:name w:val="R1"/>
    <w:aliases w:val="1. or 1.(1)"/>
    <w:basedOn w:val="Normal"/>
    <w:next w:val="Normal"/>
    <w:rsid w:val="006F02D1"/>
    <w:pPr>
      <w:keepLines/>
      <w:tabs>
        <w:tab w:val="right" w:pos="794"/>
      </w:tabs>
      <w:spacing w:before="120" w:line="260" w:lineRule="exact"/>
      <w:ind w:left="964" w:hanging="964"/>
      <w:jc w:val="both"/>
    </w:pPr>
    <w:rPr>
      <w:sz w:val="24"/>
      <w:szCs w:val="24"/>
    </w:rPr>
  </w:style>
  <w:style w:type="paragraph" w:styleId="BalloonText">
    <w:name w:val="Balloon Text"/>
    <w:basedOn w:val="Normal"/>
    <w:link w:val="BalloonTextChar"/>
    <w:uiPriority w:val="99"/>
    <w:semiHidden/>
    <w:unhideWhenUsed/>
    <w:rsid w:val="00211F78"/>
    <w:rPr>
      <w:rFonts w:ascii="Tahoma" w:hAnsi="Tahoma" w:cs="Tahoma"/>
      <w:sz w:val="16"/>
      <w:szCs w:val="16"/>
    </w:rPr>
  </w:style>
  <w:style w:type="character" w:customStyle="1" w:styleId="BalloonTextChar">
    <w:name w:val="Balloon Text Char"/>
    <w:basedOn w:val="DefaultParagraphFont"/>
    <w:link w:val="BalloonText"/>
    <w:uiPriority w:val="99"/>
    <w:semiHidden/>
    <w:rsid w:val="00211F78"/>
    <w:rPr>
      <w:rFonts w:ascii="Tahoma" w:eastAsia="Times New Roman" w:hAnsi="Tahoma" w:cs="Tahoma"/>
      <w:sz w:val="16"/>
      <w:szCs w:val="16"/>
      <w:lang w:eastAsia="en-AU"/>
    </w:rPr>
  </w:style>
  <w:style w:type="table" w:styleId="TableGrid">
    <w:name w:val="Table Grid"/>
    <w:basedOn w:val="TableNormal"/>
    <w:uiPriority w:val="59"/>
    <w:rsid w:val="0021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2F4B"/>
    <w:rPr>
      <w:sz w:val="16"/>
      <w:szCs w:val="16"/>
    </w:rPr>
  </w:style>
  <w:style w:type="paragraph" w:styleId="CommentText">
    <w:name w:val="annotation text"/>
    <w:basedOn w:val="Normal"/>
    <w:link w:val="CommentTextChar"/>
    <w:uiPriority w:val="99"/>
    <w:semiHidden/>
    <w:unhideWhenUsed/>
    <w:rsid w:val="00BC2F4B"/>
  </w:style>
  <w:style w:type="character" w:customStyle="1" w:styleId="CommentTextChar">
    <w:name w:val="Comment Text Char"/>
    <w:basedOn w:val="DefaultParagraphFont"/>
    <w:link w:val="CommentText"/>
    <w:uiPriority w:val="99"/>
    <w:semiHidden/>
    <w:rsid w:val="00BC2F4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C2F4B"/>
    <w:rPr>
      <w:b/>
      <w:bCs/>
    </w:rPr>
  </w:style>
  <w:style w:type="character" w:customStyle="1" w:styleId="CommentSubjectChar">
    <w:name w:val="Comment Subject Char"/>
    <w:basedOn w:val="CommentTextChar"/>
    <w:link w:val="CommentSubject"/>
    <w:uiPriority w:val="99"/>
    <w:semiHidden/>
    <w:rsid w:val="00BC2F4B"/>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F2508"/>
    <w:rPr>
      <w:rFonts w:ascii="Cambria" w:eastAsia="Times New Roman" w:hAnsi="Cambria" w:cs="Times New Roman"/>
      <w:bCs/>
      <w:caps/>
      <w:kern w:val="32"/>
      <w:sz w:val="32"/>
      <w:szCs w:val="32"/>
    </w:rPr>
  </w:style>
  <w:style w:type="paragraph" w:styleId="Header">
    <w:name w:val="header"/>
    <w:basedOn w:val="Normal"/>
    <w:link w:val="HeaderChar"/>
    <w:uiPriority w:val="99"/>
    <w:unhideWhenUsed/>
    <w:rsid w:val="00657206"/>
    <w:pPr>
      <w:tabs>
        <w:tab w:val="center" w:pos="4513"/>
        <w:tab w:val="right" w:pos="9026"/>
      </w:tabs>
    </w:pPr>
  </w:style>
  <w:style w:type="character" w:customStyle="1" w:styleId="HeaderChar">
    <w:name w:val="Header Char"/>
    <w:basedOn w:val="DefaultParagraphFont"/>
    <w:link w:val="Header"/>
    <w:uiPriority w:val="99"/>
    <w:rsid w:val="00657206"/>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657206"/>
    <w:pPr>
      <w:tabs>
        <w:tab w:val="center" w:pos="4513"/>
        <w:tab w:val="right" w:pos="9026"/>
      </w:tabs>
    </w:pPr>
  </w:style>
  <w:style w:type="character" w:customStyle="1" w:styleId="FooterChar">
    <w:name w:val="Footer Char"/>
    <w:basedOn w:val="DefaultParagraphFont"/>
    <w:link w:val="Footer"/>
    <w:uiPriority w:val="99"/>
    <w:rsid w:val="00657206"/>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65720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DD6988"/>
    <w:rPr>
      <w:rFonts w:asciiTheme="majorHAnsi" w:eastAsiaTheme="majorEastAsia" w:hAnsiTheme="majorHAnsi" w:cstheme="majorBidi"/>
      <w:color w:val="243F60" w:themeColor="accent1" w:themeShade="7F"/>
      <w:sz w:val="24"/>
      <w:szCs w:val="24"/>
      <w:lang w:eastAsia="en-AU"/>
    </w:rPr>
  </w:style>
  <w:style w:type="paragraph" w:styleId="NormalWeb">
    <w:name w:val="Normal (Web)"/>
    <w:basedOn w:val="Normal"/>
    <w:uiPriority w:val="99"/>
    <w:unhideWhenUsed/>
    <w:rsid w:val="00EA5C8B"/>
    <w:pPr>
      <w:spacing w:before="100" w:beforeAutospacing="1" w:after="100" w:afterAutospacing="1"/>
    </w:pPr>
    <w:rPr>
      <w:sz w:val="24"/>
      <w:szCs w:val="24"/>
    </w:rPr>
  </w:style>
  <w:style w:type="character" w:styleId="Hyperlink">
    <w:name w:val="Hyperlink"/>
    <w:basedOn w:val="DefaultParagraphFont"/>
    <w:uiPriority w:val="99"/>
    <w:semiHidden/>
    <w:unhideWhenUsed/>
    <w:rsid w:val="005E10F4"/>
    <w:rPr>
      <w:color w:val="0000FF"/>
      <w:u w:val="single"/>
    </w:rPr>
  </w:style>
  <w:style w:type="character" w:styleId="FollowedHyperlink">
    <w:name w:val="FollowedHyperlink"/>
    <w:basedOn w:val="DefaultParagraphFont"/>
    <w:uiPriority w:val="99"/>
    <w:semiHidden/>
    <w:unhideWhenUsed/>
    <w:rsid w:val="00F07A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809B5E98909574683D77039029A216F" ma:contentTypeVersion="" ma:contentTypeDescription="PDMS Document Site Content Type" ma:contentTypeScope="" ma:versionID="004f0f021dbdf821e71f3621de1e0c97">
  <xsd:schema xmlns:xsd="http://www.w3.org/2001/XMLSchema" xmlns:xs="http://www.w3.org/2001/XMLSchema" xmlns:p="http://schemas.microsoft.com/office/2006/metadata/properties" xmlns:ns2="E10C89BA-8572-4089-A72F-D31EF339AACB" targetNamespace="http://schemas.microsoft.com/office/2006/metadata/properties" ma:root="true" ma:fieldsID="11a37db09ed5cb35cbb2b99478255ef9" ns2:_="">
    <xsd:import namespace="E10C89BA-8572-4089-A72F-D31EF339AAC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89BA-8572-4089-A72F-D31EF339AAC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10C89BA-8572-4089-A72F-D31EF339AA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4BEB-2B19-41A2-8140-9AA34E553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89BA-8572-4089-A72F-D31EF339A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E4A54-F0C3-432B-BCBC-7CA752C70FAB}">
  <ds:schemaRefs>
    <ds:schemaRef ds:uri="http://schemas.microsoft.com/office/2006/metadata/properties"/>
    <ds:schemaRef ds:uri="http://schemas.microsoft.com/office/infopath/2007/PartnerControls"/>
    <ds:schemaRef ds:uri="E10C89BA-8572-4089-A72F-D31EF339AACB"/>
  </ds:schemaRefs>
</ds:datastoreItem>
</file>

<file path=customXml/itemProps3.xml><?xml version="1.0" encoding="utf-8"?>
<ds:datastoreItem xmlns:ds="http://schemas.openxmlformats.org/officeDocument/2006/customXml" ds:itemID="{A6A25292-CA70-47E6-A4C9-F7E908ED13C5}">
  <ds:schemaRefs>
    <ds:schemaRef ds:uri="http://schemas.microsoft.com/sharepoint/v3/contenttype/forms"/>
  </ds:schemaRefs>
</ds:datastoreItem>
</file>

<file path=customXml/itemProps4.xml><?xml version="1.0" encoding="utf-8"?>
<ds:datastoreItem xmlns:ds="http://schemas.openxmlformats.org/officeDocument/2006/customXml" ds:itemID="{7870D403-EEA9-42A0-A887-63C9364C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chaubn</dc:creator>
  <cp:lastModifiedBy>Williams, Neale</cp:lastModifiedBy>
  <cp:revision>2</cp:revision>
  <dcterms:created xsi:type="dcterms:W3CDTF">2023-08-28T23:44:00Z</dcterms:created>
  <dcterms:modified xsi:type="dcterms:W3CDTF">2023-08-28T23:44:00Z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0x010100266966F133664895A6EE3632470D45F5005809B5E98909574683D77039029A216F</vt:lpwstr>
  </property>
</Properties>
</file>