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845E" w14:textId="77777777" w:rsidR="00B5337E" w:rsidRPr="00B5337E" w:rsidRDefault="00B5337E" w:rsidP="00B5337E">
      <w:pPr>
        <w:widowControl w:val="0"/>
        <w:rPr>
          <w:rFonts w:eastAsia="Times New Roman" w:cs="Times New Roman"/>
          <w:szCs w:val="24"/>
        </w:rPr>
      </w:pPr>
    </w:p>
    <w:p w14:paraId="3EC0E9AF" w14:textId="77777777" w:rsidR="00B5337E" w:rsidRPr="00B5337E" w:rsidRDefault="00B5337E" w:rsidP="00B5337E">
      <w:pPr>
        <w:widowControl w:val="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  <w:r w:rsidRPr="00B5337E">
        <w:rPr>
          <w:rFonts w:eastAsia="Times New Roman" w:cs="Times New Roman"/>
          <w:noProof/>
          <w:sz w:val="20"/>
          <w:szCs w:val="24"/>
          <w:lang w:eastAsia="en-GB"/>
        </w:rPr>
        <w:drawing>
          <wp:inline distT="0" distB="0" distL="0" distR="0" wp14:anchorId="4693CDEA" wp14:editId="2F4F7768">
            <wp:extent cx="2657475" cy="438150"/>
            <wp:effectExtent l="0" t="0" r="9525" b="0"/>
            <wp:docPr id="4" name="Picture 4" descr="Food 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Food 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1A8C2" w14:textId="77777777" w:rsidR="00B5337E" w:rsidRPr="00B5337E" w:rsidRDefault="00B5337E" w:rsidP="00B5337E">
      <w:pPr>
        <w:widowControl w:val="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</w:p>
    <w:p w14:paraId="4B43C735" w14:textId="77777777" w:rsidR="00B5337E" w:rsidRPr="00B5337E" w:rsidRDefault="00B5337E" w:rsidP="00B5337E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Cs w:val="24"/>
          <w:lang w:bidi="en-US"/>
        </w:rPr>
      </w:pPr>
    </w:p>
    <w:p w14:paraId="023E26F5" w14:textId="77777777" w:rsidR="00B5337E" w:rsidRPr="00B5337E" w:rsidRDefault="00B5337E" w:rsidP="00B5337E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 w:val="20"/>
          <w:szCs w:val="24"/>
          <w:lang w:bidi="en-US"/>
        </w:rPr>
      </w:pPr>
      <w:r w:rsidRPr="00B5337E">
        <w:rPr>
          <w:rFonts w:eastAsia="Times New Roman" w:cs="Times New Roman"/>
          <w:b/>
          <w:sz w:val="20"/>
          <w:szCs w:val="24"/>
          <w:lang w:bidi="en-US"/>
        </w:rPr>
        <w:t xml:space="preserve">Food Standards (Application A1227 – </w:t>
      </w:r>
      <w:r w:rsidRPr="00B5337E">
        <w:rPr>
          <w:rFonts w:eastAsia="Times New Roman" w:cs="Times New Roman"/>
          <w:b/>
          <w:bCs/>
          <w:sz w:val="20"/>
          <w:szCs w:val="24"/>
          <w:lang w:bidi="en-US"/>
        </w:rPr>
        <w:t xml:space="preserve">Alpha-arabinofuranosidase from GM </w:t>
      </w:r>
      <w:r w:rsidRPr="00B5337E">
        <w:rPr>
          <w:rFonts w:eastAsia="Times New Roman" w:cs="Times New Roman"/>
          <w:b/>
          <w:bCs/>
          <w:i/>
          <w:iCs/>
          <w:sz w:val="20"/>
          <w:szCs w:val="24"/>
          <w:lang w:bidi="en-US"/>
        </w:rPr>
        <w:t xml:space="preserve">Trichoderma </w:t>
      </w:r>
      <w:proofErr w:type="spellStart"/>
      <w:r w:rsidRPr="00B5337E">
        <w:rPr>
          <w:rFonts w:eastAsia="Times New Roman" w:cs="Times New Roman"/>
          <w:b/>
          <w:bCs/>
          <w:i/>
          <w:iCs/>
          <w:sz w:val="20"/>
          <w:szCs w:val="24"/>
          <w:lang w:bidi="en-US"/>
        </w:rPr>
        <w:t>reesei</w:t>
      </w:r>
      <w:proofErr w:type="spellEnd"/>
      <w:r w:rsidRPr="00B5337E">
        <w:rPr>
          <w:rFonts w:eastAsia="Times New Roman" w:cs="Times New Roman"/>
          <w:b/>
          <w:bCs/>
          <w:sz w:val="20"/>
          <w:szCs w:val="24"/>
          <w:lang w:bidi="en-US"/>
        </w:rPr>
        <w:t xml:space="preserve"> as a processing aid) </w:t>
      </w:r>
      <w:r w:rsidRPr="00B5337E">
        <w:rPr>
          <w:rFonts w:eastAsia="Times New Roman" w:cs="Times New Roman"/>
          <w:b/>
          <w:sz w:val="20"/>
          <w:szCs w:val="24"/>
          <w:lang w:bidi="en-US"/>
        </w:rPr>
        <w:t>Variation</w:t>
      </w:r>
    </w:p>
    <w:p w14:paraId="25692B4B" w14:textId="77777777" w:rsidR="00B5337E" w:rsidRPr="00B5337E" w:rsidRDefault="00B5337E" w:rsidP="00B5337E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</w:p>
    <w:p w14:paraId="4EAEAF1E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1E80FEB2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B5337E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B5337E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B5337E">
        <w:rPr>
          <w:rFonts w:eastAsia="Times New Roman" w:cs="Times New Roman"/>
          <w:sz w:val="20"/>
          <w:szCs w:val="24"/>
          <w:lang w:bidi="en-US"/>
        </w:rPr>
        <w:t>.  The variation commences on the date specified in clause 3 of this variation.</w:t>
      </w:r>
    </w:p>
    <w:p w14:paraId="55B7C29D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05E3E1E5" w14:textId="4078A9BC" w:rsidR="00AC6892" w:rsidRPr="0042360F" w:rsidRDefault="00AC6892" w:rsidP="00AC6892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227D6B">
        <w:rPr>
          <w:rFonts w:eastAsia="Times New Roman" w:cs="Times New Roman"/>
          <w:sz w:val="20"/>
          <w:szCs w:val="24"/>
          <w:lang w:bidi="en-US"/>
        </w:rPr>
        <w:t>Dated 24 August 2023</w:t>
      </w:r>
    </w:p>
    <w:p w14:paraId="125DD454" w14:textId="77777777" w:rsidR="00AC6892" w:rsidRPr="0042360F" w:rsidRDefault="00AC6892" w:rsidP="00AC6892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A7A9E6E" w14:textId="08C9D3A7" w:rsidR="00AC6892" w:rsidRPr="0042360F" w:rsidRDefault="00706A5D" w:rsidP="00AC6892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>
        <w:rPr>
          <w:noProof/>
        </w:rPr>
        <w:drawing>
          <wp:inline distT="0" distB="0" distL="0" distR="0" wp14:anchorId="41C964F7" wp14:editId="479AB73D">
            <wp:extent cx="952381" cy="676190"/>
            <wp:effectExtent l="0" t="0" r="635" b="0"/>
            <wp:docPr id="1" name="Picture 1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Delegate of the Board of Food Standards Australia New Zealan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CB32F" w14:textId="77777777" w:rsidR="00AC6892" w:rsidRPr="0042360F" w:rsidRDefault="00AC6892" w:rsidP="00AC6892">
      <w:pPr>
        <w:widowControl w:val="0"/>
        <w:rPr>
          <w:rFonts w:eastAsia="Times New Roman" w:cs="Times New Roman"/>
          <w:color w:val="FF0000"/>
          <w:sz w:val="20"/>
          <w:szCs w:val="24"/>
          <w:lang w:bidi="en-US"/>
        </w:rPr>
      </w:pPr>
      <w:r w:rsidRPr="00227D6B">
        <w:rPr>
          <w:rFonts w:eastAsia="Times New Roman" w:cs="Times New Roman"/>
          <w:sz w:val="20"/>
          <w:szCs w:val="24"/>
          <w:lang w:bidi="en-US"/>
        </w:rPr>
        <w:t>Owen Walsh, Standards Management Officer</w:t>
      </w:r>
    </w:p>
    <w:p w14:paraId="3112E805" w14:textId="77777777" w:rsidR="00AC6892" w:rsidRPr="0042360F" w:rsidRDefault="00AC6892" w:rsidP="00AC6892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42360F">
        <w:rPr>
          <w:rFonts w:eastAsia="Times New Roman" w:cs="Times New Roman"/>
          <w:sz w:val="20"/>
          <w:szCs w:val="24"/>
          <w:lang w:bidi="en-US"/>
        </w:rPr>
        <w:t>Delegate of the Board of Food Standards Australia New Zealand</w:t>
      </w:r>
    </w:p>
    <w:p w14:paraId="4A82DFF8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19D71206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6ADB3D5B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77CDA957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27E6745B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F0A8360" w14:textId="77777777" w:rsidR="00B5337E" w:rsidRPr="00B5337E" w:rsidRDefault="00B5337E" w:rsidP="00B533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 w:val="20"/>
          <w:szCs w:val="24"/>
          <w:lang w:val="en-AU" w:bidi="en-US"/>
        </w:rPr>
      </w:pPr>
      <w:r w:rsidRPr="00B5337E">
        <w:rPr>
          <w:rFonts w:eastAsia="Times New Roman" w:cs="Times New Roman"/>
          <w:b/>
          <w:sz w:val="20"/>
          <w:szCs w:val="24"/>
          <w:lang w:val="en-AU" w:bidi="en-US"/>
        </w:rPr>
        <w:t xml:space="preserve">Note:  </w:t>
      </w:r>
    </w:p>
    <w:p w14:paraId="615EDC2E" w14:textId="77777777" w:rsidR="00B5337E" w:rsidRPr="00C6317E" w:rsidRDefault="00B5337E" w:rsidP="00B533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</w:p>
    <w:p w14:paraId="0F31B68B" w14:textId="709BE36D" w:rsidR="00B5337E" w:rsidRPr="00C6317E" w:rsidRDefault="00B5337E" w:rsidP="00B5337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  <w:r w:rsidRPr="00C6317E">
        <w:rPr>
          <w:rFonts w:eastAsia="Times New Roman" w:cs="Times New Roman"/>
          <w:sz w:val="20"/>
          <w:szCs w:val="24"/>
          <w:lang w:val="en-AU" w:bidi="en-US"/>
        </w:rPr>
        <w:t>This variation will be published in the Commonwealth of Australia Gazette No. FSC 161</w:t>
      </w:r>
      <w:r w:rsidR="00937EF5" w:rsidRPr="00C6317E">
        <w:rPr>
          <w:rFonts w:eastAsia="Times New Roman" w:cs="Times New Roman"/>
          <w:sz w:val="20"/>
          <w:szCs w:val="24"/>
          <w:lang w:val="en-AU" w:bidi="en-US"/>
        </w:rPr>
        <w:t xml:space="preserve"> </w:t>
      </w:r>
      <w:r w:rsidRPr="00C6317E">
        <w:rPr>
          <w:rFonts w:eastAsia="Times New Roman" w:cs="Times New Roman"/>
          <w:sz w:val="20"/>
          <w:szCs w:val="24"/>
          <w:lang w:val="en-AU" w:bidi="en-US"/>
        </w:rPr>
        <w:t xml:space="preserve">on </w:t>
      </w:r>
      <w:r w:rsidR="00937EF5" w:rsidRPr="00C6317E">
        <w:rPr>
          <w:rFonts w:eastAsia="Times New Roman" w:cs="Times New Roman"/>
          <w:sz w:val="20"/>
          <w:szCs w:val="24"/>
          <w:lang w:val="en-AU" w:bidi="en-US"/>
        </w:rPr>
        <w:t>1 September</w:t>
      </w:r>
      <w:r w:rsidRPr="00C6317E">
        <w:rPr>
          <w:rFonts w:eastAsia="Times New Roman" w:cs="Times New Roman"/>
          <w:sz w:val="20"/>
          <w:szCs w:val="24"/>
          <w:lang w:val="en-AU" w:bidi="en-US"/>
        </w:rPr>
        <w:t xml:space="preserve"> 2023. This means that this date is the gazettal date for the purposes of clause 3 of the variation. </w:t>
      </w:r>
    </w:p>
    <w:p w14:paraId="0134A035" w14:textId="77777777" w:rsidR="00B5337E" w:rsidRPr="00B5337E" w:rsidRDefault="00B5337E" w:rsidP="00B5337E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5AF2BD16" w14:textId="77777777" w:rsidR="00B5337E" w:rsidRPr="00B5337E" w:rsidRDefault="00B5337E" w:rsidP="00B5337E">
      <w:pPr>
        <w:rPr>
          <w:rFonts w:eastAsia="Times New Roman" w:cs="Times New Roman"/>
          <w:szCs w:val="24"/>
          <w:lang w:bidi="en-US"/>
        </w:rPr>
      </w:pPr>
      <w:r w:rsidRPr="00B5337E">
        <w:rPr>
          <w:rFonts w:eastAsia="Times New Roman" w:cs="Times New Roman"/>
          <w:szCs w:val="24"/>
          <w:lang w:bidi="en-US"/>
        </w:rPr>
        <w:br w:type="page"/>
      </w:r>
    </w:p>
    <w:p w14:paraId="2D4CD8CD" w14:textId="77777777" w:rsidR="00B5337E" w:rsidRPr="00B5337E" w:rsidRDefault="00B5337E" w:rsidP="00B5337E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5337E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B5337E">
        <w:rPr>
          <w:rFonts w:eastAsia="Times New Roman" w:cs="Times New Roman"/>
          <w:b/>
          <w:sz w:val="20"/>
          <w:szCs w:val="20"/>
        </w:rPr>
        <w:tab/>
        <w:t>Name</w:t>
      </w:r>
    </w:p>
    <w:p w14:paraId="7825ED50" w14:textId="77777777" w:rsidR="00B5337E" w:rsidRPr="00B5337E" w:rsidRDefault="00B5337E" w:rsidP="00B5337E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5337E">
        <w:rPr>
          <w:rFonts w:eastAsia="Times New Roman" w:cs="Times New Roman"/>
          <w:sz w:val="20"/>
          <w:szCs w:val="20"/>
        </w:rPr>
        <w:t xml:space="preserve">This instrument is the </w:t>
      </w:r>
      <w:r w:rsidRPr="00B5337E">
        <w:rPr>
          <w:rFonts w:eastAsia="Times New Roman" w:cs="Times New Roman"/>
          <w:i/>
          <w:sz w:val="20"/>
          <w:szCs w:val="20"/>
        </w:rPr>
        <w:t xml:space="preserve">Food Standards (Application A1227 – Alpha-arabinofuranosidase from GM </w:t>
      </w:r>
      <w:r w:rsidRPr="00B5337E">
        <w:rPr>
          <w:rFonts w:eastAsia="Times New Roman" w:cs="Times New Roman"/>
          <w:iCs/>
          <w:sz w:val="20"/>
          <w:szCs w:val="20"/>
        </w:rPr>
        <w:t xml:space="preserve">Trichoderma </w:t>
      </w:r>
      <w:proofErr w:type="spellStart"/>
      <w:r w:rsidRPr="00B5337E">
        <w:rPr>
          <w:rFonts w:eastAsia="Times New Roman" w:cs="Times New Roman"/>
          <w:iCs/>
          <w:sz w:val="20"/>
          <w:szCs w:val="20"/>
        </w:rPr>
        <w:t>reesei</w:t>
      </w:r>
      <w:proofErr w:type="spellEnd"/>
      <w:r w:rsidRPr="00B5337E">
        <w:rPr>
          <w:rFonts w:eastAsia="Times New Roman" w:cs="Times New Roman"/>
          <w:i/>
          <w:sz w:val="20"/>
          <w:szCs w:val="20"/>
        </w:rPr>
        <w:t xml:space="preserve"> as a processing aid) Variation</w:t>
      </w:r>
      <w:r w:rsidRPr="00B5337E">
        <w:rPr>
          <w:rFonts w:eastAsia="Times New Roman" w:cs="Times New Roman"/>
          <w:sz w:val="20"/>
          <w:szCs w:val="20"/>
        </w:rPr>
        <w:t>.</w:t>
      </w:r>
    </w:p>
    <w:p w14:paraId="620E02C8" w14:textId="77777777" w:rsidR="00B5337E" w:rsidRPr="00B5337E" w:rsidRDefault="00B5337E" w:rsidP="00B5337E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B5337E">
        <w:rPr>
          <w:rFonts w:eastAsia="Times New Roman" w:cs="Times New Roman"/>
          <w:b/>
          <w:sz w:val="20"/>
          <w:szCs w:val="20"/>
        </w:rPr>
        <w:t>2</w:t>
      </w:r>
      <w:r w:rsidRPr="00B5337E">
        <w:rPr>
          <w:rFonts w:eastAsia="Times New Roman" w:cs="Times New Roman"/>
          <w:b/>
          <w:sz w:val="20"/>
          <w:szCs w:val="20"/>
        </w:rPr>
        <w:tab/>
      </w:r>
      <w:r w:rsidRPr="00B5337E">
        <w:rPr>
          <w:rFonts w:eastAsia="Times New Roman" w:cs="Times New Roman"/>
          <w:b/>
          <w:color w:val="000000"/>
          <w:sz w:val="20"/>
          <w:szCs w:val="20"/>
        </w:rPr>
        <w:t xml:space="preserve">Variation to a Standard in the </w:t>
      </w:r>
      <w:r w:rsidRPr="00B5337E">
        <w:rPr>
          <w:rFonts w:eastAsia="Times New Roman" w:cs="Times New Roman"/>
          <w:b/>
          <w:i/>
          <w:color w:val="000000"/>
          <w:sz w:val="20"/>
          <w:szCs w:val="20"/>
        </w:rPr>
        <w:t>Australia New Zealand Food Standards Code</w:t>
      </w:r>
    </w:p>
    <w:p w14:paraId="4E8DA213" w14:textId="77777777" w:rsidR="00B5337E" w:rsidRPr="00B5337E" w:rsidRDefault="00B5337E" w:rsidP="00B5337E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B5337E">
        <w:rPr>
          <w:rFonts w:eastAsia="Times New Roman" w:cs="Times New Roman"/>
          <w:color w:val="000000"/>
          <w:sz w:val="20"/>
          <w:szCs w:val="20"/>
        </w:rPr>
        <w:t xml:space="preserve">The Schedule varies a Standard in the </w:t>
      </w:r>
      <w:r w:rsidRPr="00B5337E">
        <w:rPr>
          <w:rFonts w:eastAsia="Times New Roman" w:cs="Times New Roman"/>
          <w:i/>
          <w:color w:val="000000"/>
          <w:sz w:val="20"/>
          <w:szCs w:val="20"/>
        </w:rPr>
        <w:t>Australia New Zealand Food Standards Code</w:t>
      </w:r>
      <w:r w:rsidRPr="00B5337E">
        <w:rPr>
          <w:rFonts w:eastAsia="Times New Roman" w:cs="Times New Roman"/>
          <w:color w:val="000000"/>
          <w:sz w:val="20"/>
          <w:szCs w:val="20"/>
        </w:rPr>
        <w:t>.</w:t>
      </w:r>
    </w:p>
    <w:p w14:paraId="2A8F9090" w14:textId="77777777" w:rsidR="00B5337E" w:rsidRPr="00B5337E" w:rsidRDefault="00B5337E" w:rsidP="00B5337E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B5337E">
        <w:rPr>
          <w:rFonts w:eastAsia="Times New Roman" w:cs="Times New Roman"/>
          <w:b/>
          <w:color w:val="000000"/>
          <w:sz w:val="20"/>
          <w:szCs w:val="20"/>
        </w:rPr>
        <w:t>3</w:t>
      </w:r>
      <w:r w:rsidRPr="00B5337E">
        <w:rPr>
          <w:rFonts w:eastAsia="Times New Roman" w:cs="Times New Roman"/>
          <w:b/>
          <w:color w:val="000000"/>
          <w:sz w:val="20"/>
          <w:szCs w:val="20"/>
        </w:rPr>
        <w:tab/>
        <w:t>Commencement</w:t>
      </w:r>
    </w:p>
    <w:p w14:paraId="60A9C019" w14:textId="77777777" w:rsidR="00B5337E" w:rsidRPr="00B5337E" w:rsidRDefault="00B5337E" w:rsidP="00B5337E">
      <w:pPr>
        <w:tabs>
          <w:tab w:val="left" w:pos="851"/>
        </w:tabs>
        <w:spacing w:before="120" w:after="120"/>
        <w:rPr>
          <w:rFonts w:eastAsia="Times New Roman" w:cs="Times New Roman"/>
          <w:color w:val="000000"/>
          <w:sz w:val="20"/>
          <w:szCs w:val="20"/>
        </w:rPr>
      </w:pPr>
      <w:r w:rsidRPr="00B5337E">
        <w:rPr>
          <w:rFonts w:eastAsia="Times New Roman" w:cs="Times New Roman"/>
          <w:color w:val="000000"/>
          <w:sz w:val="20"/>
          <w:szCs w:val="20"/>
        </w:rPr>
        <w:t>The variation commences on the date of gazettal.</w:t>
      </w:r>
    </w:p>
    <w:p w14:paraId="6B3B6C7A" w14:textId="77777777" w:rsidR="00B5337E" w:rsidRPr="00B5337E" w:rsidRDefault="00B5337E" w:rsidP="00B5337E">
      <w:pPr>
        <w:widowControl w:val="0"/>
        <w:jc w:val="center"/>
        <w:rPr>
          <w:rFonts w:eastAsia="Times New Roman" w:cs="Times New Roman"/>
          <w:b/>
          <w:color w:val="000000"/>
          <w:sz w:val="20"/>
          <w:szCs w:val="24"/>
          <w:lang w:bidi="en-US"/>
        </w:rPr>
      </w:pPr>
      <w:r w:rsidRPr="00B5337E">
        <w:rPr>
          <w:rFonts w:eastAsia="Times New Roman" w:cs="Times New Roman"/>
          <w:b/>
          <w:color w:val="000000"/>
          <w:sz w:val="20"/>
          <w:szCs w:val="24"/>
          <w:lang w:bidi="en-US"/>
        </w:rPr>
        <w:t>Schedule</w:t>
      </w:r>
    </w:p>
    <w:p w14:paraId="61BD65A7" w14:textId="77777777" w:rsidR="00B5337E" w:rsidRPr="00B5337E" w:rsidRDefault="00B5337E" w:rsidP="00B5337E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B5337E">
        <w:rPr>
          <w:rFonts w:eastAsia="Times New Roman" w:cs="Times New Roman"/>
          <w:b/>
          <w:color w:val="000000"/>
          <w:sz w:val="20"/>
          <w:szCs w:val="20"/>
          <w:lang w:bidi="en-US"/>
        </w:rPr>
        <w:t>Schedule 18</w:t>
      </w:r>
      <w:r w:rsidRPr="00B5337E">
        <w:rPr>
          <w:rFonts w:eastAsia="Times New Roman" w:cs="Times New Roman"/>
          <w:b/>
          <w:sz w:val="20"/>
          <w:szCs w:val="20"/>
          <w:lang w:bidi="en-US"/>
        </w:rPr>
        <w:t>—Processing aids</w:t>
      </w:r>
      <w:r w:rsidRPr="00B5337E">
        <w:rPr>
          <w:rFonts w:eastAsia="Times New Roman" w:cs="Times New Roman"/>
          <w:b/>
          <w:color w:val="000000"/>
          <w:sz w:val="20"/>
          <w:szCs w:val="20"/>
          <w:lang w:bidi="en-US"/>
        </w:rPr>
        <w:t xml:space="preserve"> </w:t>
      </w:r>
    </w:p>
    <w:p w14:paraId="39F18FB6" w14:textId="77777777" w:rsidR="00B5337E" w:rsidRPr="00B5337E" w:rsidRDefault="00B5337E" w:rsidP="00B5337E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5337E">
        <w:rPr>
          <w:rFonts w:eastAsia="Times New Roman" w:cs="Times New Roman"/>
          <w:b/>
          <w:color w:val="000000"/>
          <w:sz w:val="20"/>
          <w:szCs w:val="20"/>
        </w:rPr>
        <w:t>[1]</w:t>
      </w:r>
      <w:r w:rsidRPr="00B5337E">
        <w:rPr>
          <w:rFonts w:eastAsia="Times New Roman" w:cs="Times New Roman"/>
          <w:b/>
          <w:color w:val="000000"/>
          <w:sz w:val="20"/>
          <w:szCs w:val="20"/>
        </w:rPr>
        <w:tab/>
      </w:r>
      <w:r w:rsidRPr="00B5337E">
        <w:rPr>
          <w:rFonts w:eastAsia="Times New Roman" w:cs="Times New Roman"/>
          <w:b/>
          <w:sz w:val="20"/>
          <w:szCs w:val="20"/>
        </w:rPr>
        <w:t>Subsection S18—9(3) (table)</w:t>
      </w:r>
    </w:p>
    <w:p w14:paraId="0322FD02" w14:textId="77777777" w:rsidR="00B5337E" w:rsidRPr="00B5337E" w:rsidRDefault="00B5337E" w:rsidP="00B5337E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5337E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Style w:val="TableGrid2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B5337E" w:rsidRPr="00B5337E" w14:paraId="36BC89B0" w14:textId="77777777" w:rsidTr="004658EC">
        <w:trPr>
          <w:jc w:val="center"/>
        </w:trPr>
        <w:tc>
          <w:tcPr>
            <w:tcW w:w="3120" w:type="dxa"/>
          </w:tcPr>
          <w:p w14:paraId="7050D891" w14:textId="77777777" w:rsidR="00B5337E" w:rsidRPr="00B5337E" w:rsidRDefault="00B5337E" w:rsidP="00B5337E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B5337E">
              <w:rPr>
                <w:rFonts w:ascii="Arial" w:hAnsi="Arial" w:cs="Arial"/>
                <w:sz w:val="18"/>
                <w:lang w:eastAsia="en-AU"/>
              </w:rPr>
              <w:t xml:space="preserve">α-Arabinofuranosidase (EC 3.2.1.55) sourced from </w:t>
            </w:r>
            <w:r w:rsidRPr="00B5337E">
              <w:rPr>
                <w:rFonts w:ascii="Arial" w:hAnsi="Arial" w:cs="Arial"/>
                <w:i/>
                <w:iCs/>
                <w:sz w:val="18"/>
                <w:lang w:val="en-AU" w:eastAsia="en-AU"/>
              </w:rPr>
              <w:t xml:space="preserve">Trichoderma </w:t>
            </w:r>
            <w:proofErr w:type="spellStart"/>
            <w:r w:rsidRPr="00B5337E">
              <w:rPr>
                <w:rFonts w:ascii="Arial" w:hAnsi="Arial" w:cs="Arial"/>
                <w:i/>
                <w:iCs/>
                <w:sz w:val="18"/>
                <w:lang w:val="en-AU" w:eastAsia="en-AU"/>
              </w:rPr>
              <w:t>reesei</w:t>
            </w:r>
            <w:proofErr w:type="spellEnd"/>
            <w:r w:rsidRPr="00B5337E">
              <w:rPr>
                <w:rFonts w:ascii="Arial" w:hAnsi="Arial" w:cs="Arial"/>
                <w:sz w:val="18"/>
                <w:lang w:val="en-AU" w:eastAsia="en-AU"/>
              </w:rPr>
              <w:t xml:space="preserve"> containing the α-arabinofuranosidase gene from </w:t>
            </w:r>
            <w:proofErr w:type="spellStart"/>
            <w:r w:rsidRPr="00B5337E">
              <w:rPr>
                <w:rFonts w:ascii="Arial" w:hAnsi="Arial" w:cs="Arial"/>
                <w:i/>
                <w:iCs/>
                <w:sz w:val="18"/>
                <w:lang w:eastAsia="en-AU"/>
              </w:rPr>
              <w:t>Talaromyces</w:t>
            </w:r>
            <w:proofErr w:type="spellEnd"/>
            <w:r w:rsidRPr="00B5337E">
              <w:rPr>
                <w:rFonts w:ascii="Arial" w:hAnsi="Arial" w:cs="Arial"/>
                <w:i/>
                <w:iCs/>
                <w:sz w:val="18"/>
                <w:lang w:eastAsia="en-AU"/>
              </w:rPr>
              <w:t xml:space="preserve"> </w:t>
            </w:r>
            <w:proofErr w:type="spellStart"/>
            <w:r w:rsidRPr="00B5337E">
              <w:rPr>
                <w:rFonts w:ascii="Arial" w:hAnsi="Arial" w:cs="Arial"/>
                <w:i/>
                <w:iCs/>
                <w:sz w:val="18"/>
                <w:lang w:eastAsia="en-AU"/>
              </w:rPr>
              <w:t>pinophilus</w:t>
            </w:r>
            <w:proofErr w:type="spellEnd"/>
          </w:p>
        </w:tc>
        <w:tc>
          <w:tcPr>
            <w:tcW w:w="3603" w:type="dxa"/>
          </w:tcPr>
          <w:p w14:paraId="68911E46" w14:textId="77777777" w:rsidR="00B5337E" w:rsidRPr="00B5337E" w:rsidRDefault="00B5337E" w:rsidP="00B5337E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bookmarkStart w:id="0" w:name="_Hlk133516379"/>
            <w:r w:rsidRPr="00B5337E">
              <w:rPr>
                <w:rFonts w:ascii="Arial" w:hAnsi="Arial" w:cs="Arial"/>
                <w:sz w:val="18"/>
                <w:lang w:eastAsia="en-AU"/>
              </w:rPr>
              <w:t>For use in:</w:t>
            </w:r>
          </w:p>
          <w:p w14:paraId="22434E0E" w14:textId="77777777" w:rsidR="00B5337E" w:rsidRPr="00B5337E" w:rsidRDefault="00B5337E" w:rsidP="00B5337E">
            <w:pPr>
              <w:keepLines/>
              <w:widowControl w:val="0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B5337E">
              <w:rPr>
                <w:rFonts w:ascii="Arial" w:hAnsi="Arial" w:cs="Arial"/>
                <w:sz w:val="18"/>
                <w:lang w:eastAsia="en-AU"/>
              </w:rPr>
              <w:t>grain processing; and</w:t>
            </w:r>
          </w:p>
          <w:p w14:paraId="0B1634C6" w14:textId="77777777" w:rsidR="00B5337E" w:rsidRPr="00B5337E" w:rsidRDefault="00B5337E" w:rsidP="00B5337E">
            <w:pPr>
              <w:keepLines/>
              <w:widowControl w:val="0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B5337E">
              <w:rPr>
                <w:rFonts w:ascii="Arial" w:hAnsi="Arial" w:cs="Arial"/>
                <w:sz w:val="18"/>
                <w:lang w:eastAsia="en-AU"/>
              </w:rPr>
              <w:t>the production of potable alcohol</w:t>
            </w:r>
            <w:bookmarkEnd w:id="0"/>
            <w:r w:rsidRPr="00B5337E">
              <w:rPr>
                <w:rFonts w:ascii="Arial" w:hAnsi="Arial" w:cs="Arial"/>
                <w:sz w:val="18"/>
                <w:lang w:eastAsia="en-AU"/>
              </w:rPr>
              <w:t>.</w:t>
            </w:r>
          </w:p>
          <w:p w14:paraId="6DF3408E" w14:textId="77777777" w:rsidR="00B5337E" w:rsidRPr="00B5337E" w:rsidRDefault="00B5337E" w:rsidP="00B5337E">
            <w:pPr>
              <w:keepLines/>
              <w:spacing w:before="60" w:after="60"/>
              <w:ind w:left="36"/>
              <w:rPr>
                <w:rFonts w:ascii="Arial" w:hAnsi="Arial" w:cs="Arial"/>
                <w:sz w:val="18"/>
                <w:lang w:eastAsia="en-AU"/>
              </w:rPr>
            </w:pPr>
          </w:p>
        </w:tc>
        <w:tc>
          <w:tcPr>
            <w:tcW w:w="2349" w:type="dxa"/>
          </w:tcPr>
          <w:p w14:paraId="2800835F" w14:textId="77777777" w:rsidR="00B5337E" w:rsidRPr="00B5337E" w:rsidRDefault="00B5337E" w:rsidP="00B5337E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B5337E">
              <w:rPr>
                <w:rFonts w:ascii="Arial" w:hAnsi="Arial" w:cs="Arial"/>
                <w:sz w:val="18"/>
                <w:lang w:eastAsia="en-AU"/>
              </w:rPr>
              <w:t>GMP</w:t>
            </w:r>
          </w:p>
        </w:tc>
      </w:tr>
    </w:tbl>
    <w:p w14:paraId="292D3695" w14:textId="39428121" w:rsidR="00B5337E" w:rsidRPr="00B5337E" w:rsidRDefault="00B5337E" w:rsidP="00B5337E">
      <w:pPr>
        <w:rPr>
          <w:rFonts w:eastAsia="Times New Roman" w:cs="Arial"/>
          <w:sz w:val="20"/>
          <w:szCs w:val="20"/>
        </w:rPr>
      </w:pPr>
    </w:p>
    <w:sectPr w:rsidR="00B5337E" w:rsidRPr="00B5337E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48BD" w14:textId="77777777" w:rsidR="00325131" w:rsidRDefault="00325131" w:rsidP="00B5337E">
      <w:r>
        <w:separator/>
      </w:r>
    </w:p>
  </w:endnote>
  <w:endnote w:type="continuationSeparator" w:id="0">
    <w:p w14:paraId="05A2F1F5" w14:textId="77777777" w:rsidR="00325131" w:rsidRDefault="00325131" w:rsidP="00B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E1F4" w14:textId="77777777" w:rsidR="00325131" w:rsidRDefault="00325131" w:rsidP="00B5337E">
      <w:r>
        <w:separator/>
      </w:r>
    </w:p>
  </w:footnote>
  <w:footnote w:type="continuationSeparator" w:id="0">
    <w:p w14:paraId="3D59908C" w14:textId="77777777" w:rsidR="00325131" w:rsidRDefault="00325131" w:rsidP="00B5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0BEA"/>
    <w:multiLevelType w:val="hybridMultilevel"/>
    <w:tmpl w:val="5EF8BA1E"/>
    <w:lvl w:ilvl="0" w:tplc="A93264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47148501">
    <w:abstractNumId w:val="1"/>
  </w:num>
  <w:num w:numId="2" w16cid:durableId="1793555349">
    <w:abstractNumId w:val="1"/>
  </w:num>
  <w:num w:numId="3" w16cid:durableId="14314230">
    <w:abstractNumId w:val="1"/>
  </w:num>
  <w:num w:numId="4" w16cid:durableId="276177283">
    <w:abstractNumId w:val="1"/>
  </w:num>
  <w:num w:numId="5" w16cid:durableId="291834862">
    <w:abstractNumId w:val="1"/>
  </w:num>
  <w:num w:numId="6" w16cid:durableId="1509254247">
    <w:abstractNumId w:val="1"/>
  </w:num>
  <w:num w:numId="7" w16cid:durableId="1953242450">
    <w:abstractNumId w:val="1"/>
  </w:num>
  <w:num w:numId="8" w16cid:durableId="965963893">
    <w:abstractNumId w:val="4"/>
  </w:num>
  <w:num w:numId="9" w16cid:durableId="894047275">
    <w:abstractNumId w:val="2"/>
  </w:num>
  <w:num w:numId="10" w16cid:durableId="450437592">
    <w:abstractNumId w:val="3"/>
  </w:num>
  <w:num w:numId="11" w16cid:durableId="1253664966">
    <w:abstractNumId w:val="4"/>
  </w:num>
  <w:num w:numId="12" w16cid:durableId="701857588">
    <w:abstractNumId w:val="2"/>
  </w:num>
  <w:num w:numId="13" w16cid:durableId="867177567">
    <w:abstractNumId w:val="3"/>
  </w:num>
  <w:num w:numId="14" w16cid:durableId="8396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7E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51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26AF2"/>
    <w:rsid w:val="0054036E"/>
    <w:rsid w:val="005B578D"/>
    <w:rsid w:val="005C1996"/>
    <w:rsid w:val="006B6900"/>
    <w:rsid w:val="006D473E"/>
    <w:rsid w:val="00706A5D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37EF5"/>
    <w:rsid w:val="009806A5"/>
    <w:rsid w:val="009E265A"/>
    <w:rsid w:val="00A25B29"/>
    <w:rsid w:val="00A26F82"/>
    <w:rsid w:val="00A808E9"/>
    <w:rsid w:val="00AC6892"/>
    <w:rsid w:val="00B53154"/>
    <w:rsid w:val="00B5337E"/>
    <w:rsid w:val="00B72074"/>
    <w:rsid w:val="00BC2133"/>
    <w:rsid w:val="00BE4F3A"/>
    <w:rsid w:val="00C019A6"/>
    <w:rsid w:val="00C572A2"/>
    <w:rsid w:val="00C6317E"/>
    <w:rsid w:val="00CA1DA3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0384"/>
  <w15:chartTrackingRefBased/>
  <w15:docId w15:val="{B5015777-6622-45EE-A6F4-614FD4FF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B5337E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5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D1FD65540778064E8071EC7105C190BC" ma:contentTypeVersion="4" ma:contentTypeDescription="Files created by FSANZ including letters, draft documents and ideas for FSANZ business." ma:contentTypeScope="" ma:versionID="b982cb91b41b2213203c64ad5e0c0bb1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199b3d2e548d4ca1d04624b3ed9463d3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fc2563-04ab-4d7c-a6a2-9c96f2eb2ff6}" ma:internalName="TaxCatchAll" ma:showField="CatchAllData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fc2563-04ab-4d7c-a6a2-9c96f2eb2ff6}" ma:internalName="TaxCatchAllLabel" ma:readOnly="true" ma:showField="CatchAllDataLabel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3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35</Value>
      <Value>3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5029D-0AD9-46FB-9ABC-F3F986E29D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DE507-BF50-4F40-94AE-59DEA52C1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4B49E-3DA6-4BFA-BEF4-FF0A98414AE5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5.xml><?xml version="1.0" encoding="utf-8"?>
<ds:datastoreItem xmlns:ds="http://schemas.openxmlformats.org/officeDocument/2006/customXml" ds:itemID="{B8CE9B09-644D-4A04-87CD-B8FB53046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1173</Characters>
  <Application>Microsoft Office Word</Application>
  <DocSecurity>0</DocSecurity>
  <Lines>51</Lines>
  <Paragraphs>26</Paragraphs>
  <ScaleCrop>false</ScaleCrop>
  <Company>Food Standards Australia New Zealand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7</cp:revision>
  <dcterms:created xsi:type="dcterms:W3CDTF">2023-08-21T22:33:00Z</dcterms:created>
  <dcterms:modified xsi:type="dcterms:W3CDTF">2023-08-28T02:10:00Z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v=2022.1;a=SHA256;h=9602F125D8F3EA6F8DF9F6C1D69F38D77D4A06E97E435A23AB51291B84955F50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2023-08-28T02:09:54Z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2ADBA5F042C24C01A674675572590323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0A90B420BA239C009C6A8334B6525E8D</vt:lpwstr>
  </property>
  <property fmtid="{D5CDD505-2E9C-101B-9397-08002B2CF9AE}" pid="25" name="PM_Hash_Salt">
    <vt:lpwstr>6397527C5038F9858855C754E09175D5</vt:lpwstr>
  </property>
  <property fmtid="{D5CDD505-2E9C-101B-9397-08002B2CF9AE}" pid="26" name="PM_Hash_SHA1">
    <vt:lpwstr>D7A01CDBF4AF3EA199ACC3742BC2D734F6937E03</vt:lpwstr>
  </property>
  <property fmtid="{D5CDD505-2E9C-101B-9397-08002B2CF9AE}" pid="27" name="ContentTypeId">
    <vt:lpwstr>0x010100F5F252698E4843DFA3EBBF7EC57E522A00D1FD65540778064E8071EC7105C190BC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MediaServiceImageTags">
    <vt:lpwstr/>
  </property>
  <property fmtid="{D5CDD505-2E9C-101B-9397-08002B2CF9AE}" pid="31" name="Data_x0020_Privacy">
    <vt:lpwstr/>
  </property>
  <property fmtid="{D5CDD505-2E9C-101B-9397-08002B2CF9AE}" pid="32" name="Access">
    <vt:lpwstr/>
  </property>
  <property fmtid="{D5CDD505-2E9C-101B-9397-08002B2CF9AE}" pid="33" name="Classification">
    <vt:lpwstr>3;#OFFICIAL|3776503d-ed4e-4d70-8dfd-8e17b238523b</vt:lpwstr>
  </property>
  <property fmtid="{D5CDD505-2E9C-101B-9397-08002B2CF9AE}" pid="34" name="Data_x0020_Category">
    <vt:lpwstr/>
  </property>
  <property fmtid="{D5CDD505-2E9C-101B-9397-08002B2CF9AE}" pid="35" name="Data_x0020_Accessibility">
    <vt:lpwstr/>
  </property>
  <property fmtid="{D5CDD505-2E9C-101B-9397-08002B2CF9AE}" pid="36" name="o2e94e0b7bb742308b3aec7384781dc0">
    <vt:lpwstr/>
  </property>
  <property fmtid="{D5CDD505-2E9C-101B-9397-08002B2CF9AE}" pid="37" name="lcf76f155ced4ddcb4097134ff3c332f">
    <vt:lpwstr/>
  </property>
  <property fmtid="{D5CDD505-2E9C-101B-9397-08002B2CF9AE}" pid="38" name="BCS">
    <vt:lpwstr>35;#Instruments|4a8ff5e5-1f0e-4751-ab44-bc0d33b46a80</vt:lpwstr>
  </property>
  <property fmtid="{D5CDD505-2E9C-101B-9397-08002B2CF9AE}" pid="39" name="Data Privacy">
    <vt:lpwstr/>
  </property>
  <property fmtid="{D5CDD505-2E9C-101B-9397-08002B2CF9AE}" pid="40" name="Data Accessibility">
    <vt:lpwstr/>
  </property>
  <property fmtid="{D5CDD505-2E9C-101B-9397-08002B2CF9AE}" pid="41" name="Data Category">
    <vt:lpwstr/>
  </property>
</Properties>
</file>