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3271" w14:textId="092DD86A" w:rsidR="00606501" w:rsidRDefault="294E88F5" w:rsidP="2F35A303">
      <w:pPr>
        <w:spacing w:line="297" w:lineRule="exact"/>
        <w:jc w:val="center"/>
      </w:pPr>
      <w:r w:rsidRPr="2F35A303">
        <w:rPr>
          <w:rFonts w:ascii="Times New Roman" w:eastAsia="Times New Roman" w:hAnsi="Times New Roman" w:cs="Times New Roman"/>
          <w:b/>
          <w:bCs/>
          <w:color w:val="000000" w:themeColor="text1"/>
          <w:sz w:val="28"/>
          <w:szCs w:val="28"/>
          <w:lang w:val="en-AU"/>
        </w:rPr>
        <w:t>EXPLANATORY STATEMENT</w:t>
      </w:r>
    </w:p>
    <w:p w14:paraId="18A6D6A1" w14:textId="4C401B1E" w:rsidR="00606501" w:rsidRDefault="294E88F5" w:rsidP="2F35A303">
      <w:pPr>
        <w:jc w:val="center"/>
      </w:pPr>
      <w:r w:rsidRPr="2F35A303">
        <w:rPr>
          <w:rFonts w:ascii="Times New Roman" w:eastAsia="Times New Roman" w:hAnsi="Times New Roman" w:cs="Times New Roman"/>
          <w:color w:val="000000" w:themeColor="text1"/>
          <w:lang w:val="en-AU"/>
        </w:rPr>
        <w:t>Approved by the Australian Communications and Media Authority</w:t>
      </w:r>
    </w:p>
    <w:p w14:paraId="64A472D6" w14:textId="067C1F87" w:rsidR="00606501" w:rsidRDefault="294E88F5" w:rsidP="2F35A303">
      <w:pPr>
        <w:jc w:val="center"/>
      </w:pPr>
      <w:r w:rsidRPr="2F35A303">
        <w:rPr>
          <w:rFonts w:ascii="Times New Roman" w:eastAsia="Times New Roman" w:hAnsi="Times New Roman" w:cs="Times New Roman"/>
          <w:i/>
          <w:iCs/>
          <w:color w:val="000000" w:themeColor="text1"/>
          <w:lang w:val="en-AU"/>
        </w:rPr>
        <w:t>Radiocommunications (Transmitter Licence Tax) Act 1983</w:t>
      </w:r>
    </w:p>
    <w:p w14:paraId="0EF08BCC" w14:textId="60B9D8E0" w:rsidR="00606501" w:rsidRDefault="294E88F5" w:rsidP="2F35A303">
      <w:pPr>
        <w:jc w:val="center"/>
      </w:pPr>
      <w:r w:rsidRPr="2F35A303">
        <w:rPr>
          <w:rFonts w:ascii="Times New Roman" w:eastAsia="Times New Roman" w:hAnsi="Times New Roman" w:cs="Times New Roman"/>
          <w:b/>
          <w:bCs/>
          <w:i/>
          <w:iCs/>
          <w:color w:val="000000" w:themeColor="text1"/>
          <w:lang w:val="en-AU"/>
        </w:rPr>
        <w:t>Radiocommunications (Transmitter Licence Tax) Amendment Determination 2023 (No. 2)</w:t>
      </w:r>
    </w:p>
    <w:p w14:paraId="49671D40" w14:textId="71F71D2E" w:rsidR="00606501" w:rsidRDefault="294E88F5">
      <w:r w:rsidRPr="2F35A303">
        <w:rPr>
          <w:rFonts w:ascii="Times New Roman" w:eastAsia="Times New Roman" w:hAnsi="Times New Roman" w:cs="Times New Roman"/>
          <w:b/>
          <w:bCs/>
          <w:color w:val="000000" w:themeColor="text1"/>
          <w:lang w:val="en-AU"/>
        </w:rPr>
        <w:t>Authority</w:t>
      </w:r>
    </w:p>
    <w:p w14:paraId="7AFB45D0" w14:textId="159BE864" w:rsidR="00606501" w:rsidRDefault="294E88F5">
      <w:r w:rsidRPr="2F35A303">
        <w:rPr>
          <w:rFonts w:ascii="Times New Roman" w:eastAsia="Times New Roman" w:hAnsi="Times New Roman" w:cs="Times New Roman"/>
          <w:color w:val="000000" w:themeColor="text1"/>
          <w:lang w:val="en-AU"/>
        </w:rPr>
        <w:t>The Australian Communications and Media Authority (</w:t>
      </w:r>
      <w:r w:rsidRPr="2F35A303">
        <w:rPr>
          <w:rFonts w:ascii="Times New Roman" w:eastAsia="Times New Roman" w:hAnsi="Times New Roman" w:cs="Times New Roman"/>
          <w:b/>
          <w:bCs/>
          <w:color w:val="000000" w:themeColor="text1"/>
          <w:lang w:val="en-AU"/>
        </w:rPr>
        <w:t>the ACMA</w:t>
      </w:r>
      <w:r w:rsidRPr="2F35A303">
        <w:rPr>
          <w:rFonts w:ascii="Times New Roman" w:eastAsia="Times New Roman" w:hAnsi="Times New Roman" w:cs="Times New Roman"/>
          <w:color w:val="000000" w:themeColor="text1"/>
          <w:lang w:val="en-AU"/>
        </w:rPr>
        <w:t xml:space="preserve">) has made the </w:t>
      </w:r>
      <w:r w:rsidRPr="2F35A303">
        <w:rPr>
          <w:rFonts w:ascii="Times New Roman" w:eastAsia="Times New Roman" w:hAnsi="Times New Roman" w:cs="Times New Roman"/>
          <w:i/>
          <w:iCs/>
          <w:color w:val="000000" w:themeColor="text1"/>
          <w:lang w:val="en-AU"/>
        </w:rPr>
        <w:t xml:space="preserve">Radiocommunications (Transmitter Licence Tax) Amendment Determination 2023 (No. 2) </w:t>
      </w:r>
      <w:r w:rsidRPr="2F35A303">
        <w:rPr>
          <w:rFonts w:ascii="Times New Roman" w:eastAsia="Times New Roman" w:hAnsi="Times New Roman" w:cs="Times New Roman"/>
          <w:color w:val="000000" w:themeColor="text1"/>
          <w:lang w:val="en-AU"/>
        </w:rPr>
        <w:t>(</w:t>
      </w:r>
      <w:r w:rsidRPr="2F35A303">
        <w:rPr>
          <w:rFonts w:ascii="Times New Roman" w:eastAsia="Times New Roman" w:hAnsi="Times New Roman" w:cs="Times New Roman"/>
          <w:b/>
          <w:bCs/>
          <w:color w:val="000000" w:themeColor="text1"/>
          <w:lang w:val="en-AU"/>
        </w:rPr>
        <w:t>the Amendment Determination</w:t>
      </w:r>
      <w:r w:rsidRPr="2F35A303">
        <w:rPr>
          <w:rFonts w:ascii="Times New Roman" w:eastAsia="Times New Roman" w:hAnsi="Times New Roman" w:cs="Times New Roman"/>
          <w:color w:val="000000" w:themeColor="text1"/>
          <w:lang w:val="en-AU"/>
        </w:rPr>
        <w:t xml:space="preserve">) under subsection 7(1) of the </w:t>
      </w:r>
      <w:r w:rsidRPr="2F35A303">
        <w:rPr>
          <w:rFonts w:ascii="Times New Roman" w:eastAsia="Times New Roman" w:hAnsi="Times New Roman" w:cs="Times New Roman"/>
          <w:i/>
          <w:iCs/>
          <w:color w:val="000000" w:themeColor="text1"/>
          <w:lang w:val="en-AU"/>
        </w:rPr>
        <w:t xml:space="preserve">Radiocommunications (Transmitter Licence Tax) Act 1983 </w:t>
      </w:r>
      <w:r w:rsidRPr="2F35A303">
        <w:rPr>
          <w:rFonts w:ascii="Times New Roman" w:eastAsia="Times New Roman" w:hAnsi="Times New Roman" w:cs="Times New Roman"/>
          <w:color w:val="000000" w:themeColor="text1"/>
          <w:lang w:val="en-AU"/>
        </w:rPr>
        <w:t>(</w:t>
      </w:r>
      <w:r w:rsidRPr="2F35A303">
        <w:rPr>
          <w:rFonts w:ascii="Times New Roman" w:eastAsia="Times New Roman" w:hAnsi="Times New Roman" w:cs="Times New Roman"/>
          <w:b/>
          <w:bCs/>
          <w:color w:val="000000" w:themeColor="text1"/>
          <w:lang w:val="en-AU"/>
        </w:rPr>
        <w:t>the TLT Act</w:t>
      </w:r>
      <w:r w:rsidRPr="2F35A303">
        <w:rPr>
          <w:rFonts w:ascii="Times New Roman" w:eastAsia="Times New Roman" w:hAnsi="Times New Roman" w:cs="Times New Roman"/>
          <w:color w:val="000000" w:themeColor="text1"/>
          <w:lang w:val="en-AU"/>
        </w:rPr>
        <w:t xml:space="preserve">) and subsection 33(3) of the </w:t>
      </w:r>
      <w:r w:rsidRPr="2F35A303">
        <w:rPr>
          <w:rFonts w:ascii="Times New Roman" w:eastAsia="Times New Roman" w:hAnsi="Times New Roman" w:cs="Times New Roman"/>
          <w:i/>
          <w:iCs/>
          <w:color w:val="000000" w:themeColor="text1"/>
          <w:lang w:val="en-AU"/>
        </w:rPr>
        <w:t xml:space="preserve">Acts Interpretation Act 1901 </w:t>
      </w:r>
      <w:r w:rsidRPr="2F35A303">
        <w:rPr>
          <w:rFonts w:ascii="Times New Roman" w:eastAsia="Times New Roman" w:hAnsi="Times New Roman" w:cs="Times New Roman"/>
          <w:color w:val="000000" w:themeColor="text1"/>
          <w:lang w:val="en-AU"/>
        </w:rPr>
        <w:t>(</w:t>
      </w:r>
      <w:r w:rsidRPr="2F35A303">
        <w:rPr>
          <w:rFonts w:ascii="Times New Roman" w:eastAsia="Times New Roman" w:hAnsi="Times New Roman" w:cs="Times New Roman"/>
          <w:b/>
          <w:bCs/>
          <w:color w:val="000000" w:themeColor="text1"/>
          <w:lang w:val="en-AU"/>
        </w:rPr>
        <w:t>the AIA</w:t>
      </w:r>
      <w:r w:rsidRPr="2F35A303">
        <w:rPr>
          <w:rFonts w:ascii="Times New Roman" w:eastAsia="Times New Roman" w:hAnsi="Times New Roman" w:cs="Times New Roman"/>
          <w:color w:val="000000" w:themeColor="text1"/>
          <w:lang w:val="en-AU"/>
        </w:rPr>
        <w:t>).</w:t>
      </w:r>
      <w:r w:rsidRPr="2F35A303">
        <w:rPr>
          <w:rFonts w:ascii="Arial" w:eastAsia="Arial" w:hAnsi="Arial" w:cs="Arial"/>
          <w:color w:val="000000" w:themeColor="text1"/>
          <w:lang w:val="en-AU"/>
        </w:rPr>
        <w:t xml:space="preserve"> </w:t>
      </w:r>
      <w:r w:rsidRPr="2F35A303">
        <w:rPr>
          <w:rFonts w:ascii="Times New Roman" w:eastAsia="Times New Roman" w:hAnsi="Times New Roman" w:cs="Times New Roman"/>
          <w:color w:val="000000" w:themeColor="text1"/>
          <w:lang w:val="en-AU"/>
        </w:rPr>
        <w:t>Subsection 7(1) of the TLT Act provides that the ACMA may determine the amount of tax in respect of:</w:t>
      </w:r>
    </w:p>
    <w:p w14:paraId="3D1DA026" w14:textId="2FB7E14D"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the issue of a transmitter licence;</w:t>
      </w:r>
    </w:p>
    <w:p w14:paraId="17DB3A73" w14:textId="26A17AFB"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the anniversary of a transmitter licence coming into force; or</w:t>
      </w:r>
    </w:p>
    <w:p w14:paraId="58D22810" w14:textId="0A275108"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the holding of a transmitter licence.</w:t>
      </w:r>
    </w:p>
    <w:p w14:paraId="07103E1E" w14:textId="640F7620" w:rsidR="00606501" w:rsidRDefault="294E88F5">
      <w:r w:rsidRPr="2F35A303">
        <w:rPr>
          <w:rFonts w:ascii="Times New Roman" w:eastAsia="Times New Roman" w:hAnsi="Times New Roman" w:cs="Times New Roman"/>
          <w:color w:val="000000" w:themeColor="text1"/>
          <w:lang w:val="en-AU"/>
        </w:rPr>
        <w:t>Subsection 33(3) of the AIA relevantly provides that when an Act confers a power to make an instrument, that power shall, unless the contrary intention appears, be construed as including a power exercisable in a like manner and subject to like conditions, to amend that instrument.</w:t>
      </w:r>
    </w:p>
    <w:p w14:paraId="3FAF7FBA" w14:textId="1806923E" w:rsidR="00606501" w:rsidRDefault="294E88F5">
      <w:r w:rsidRPr="2F35A303">
        <w:rPr>
          <w:rFonts w:ascii="Times New Roman" w:eastAsia="Times New Roman" w:hAnsi="Times New Roman" w:cs="Times New Roman"/>
          <w:b/>
          <w:bCs/>
          <w:color w:val="000000" w:themeColor="text1"/>
          <w:lang w:val="en-AU"/>
        </w:rPr>
        <w:t>Purpose and operation of the instrument</w:t>
      </w:r>
    </w:p>
    <w:p w14:paraId="5316D3A4" w14:textId="1E1BC2C4" w:rsidR="00606501" w:rsidRDefault="294E88F5">
      <w:r w:rsidRPr="2F35A303">
        <w:rPr>
          <w:rFonts w:ascii="Times New Roman" w:eastAsia="Times New Roman" w:hAnsi="Times New Roman" w:cs="Times New Roman"/>
          <w:color w:val="000000" w:themeColor="text1"/>
          <w:lang w:val="en-AU"/>
        </w:rPr>
        <w:t xml:space="preserve">The Amendment Determination amends the </w:t>
      </w:r>
      <w:r w:rsidRPr="2F35A303">
        <w:rPr>
          <w:rFonts w:ascii="Times New Roman" w:eastAsia="Times New Roman" w:hAnsi="Times New Roman" w:cs="Times New Roman"/>
          <w:i/>
          <w:iCs/>
          <w:color w:val="000000" w:themeColor="text1"/>
          <w:lang w:val="en-AU"/>
        </w:rPr>
        <w:t>Radiocommunications (Transmitter Licence Tax) Determination 2015</w:t>
      </w:r>
      <w:r w:rsidRPr="2F35A303">
        <w:rPr>
          <w:rFonts w:ascii="Times New Roman" w:eastAsia="Times New Roman" w:hAnsi="Times New Roman" w:cs="Times New Roman"/>
          <w:color w:val="000000" w:themeColor="text1"/>
          <w:lang w:val="en-AU"/>
        </w:rPr>
        <w:t xml:space="preserve"> (</w:t>
      </w:r>
      <w:r w:rsidRPr="2F35A303">
        <w:rPr>
          <w:rFonts w:ascii="Times New Roman" w:eastAsia="Times New Roman" w:hAnsi="Times New Roman" w:cs="Times New Roman"/>
          <w:b/>
          <w:bCs/>
          <w:color w:val="000000" w:themeColor="text1"/>
          <w:lang w:val="en-AU"/>
        </w:rPr>
        <w:t>the Determination</w:t>
      </w:r>
      <w:r w:rsidRPr="2F35A303">
        <w:rPr>
          <w:rFonts w:ascii="Times New Roman" w:eastAsia="Times New Roman" w:hAnsi="Times New Roman" w:cs="Times New Roman"/>
          <w:color w:val="000000" w:themeColor="text1"/>
          <w:lang w:val="en-AU"/>
        </w:rPr>
        <w:t>), which sets the annual taxes for transmitter licences.</w:t>
      </w:r>
    </w:p>
    <w:p w14:paraId="52140451" w14:textId="1C0E2597" w:rsidR="00606501" w:rsidRDefault="294E88F5" w:rsidP="001015A2">
      <w:r w:rsidRPr="007C7E96">
        <w:rPr>
          <w:rFonts w:ascii="Times New Roman" w:eastAsia="Times New Roman" w:hAnsi="Times New Roman" w:cs="Times New Roman"/>
          <w:color w:val="000000" w:themeColor="text1"/>
          <w:lang w:val="en-AU"/>
        </w:rPr>
        <w:t>The annual tax levied on transmitter licences allows the ACMA to create economic incentives for efficient use of the spectrum. It also encourages licensees to use the minimum amount of bandwidth for their needs, to move to less congested bands, and to surrender licences that are no longer needed.</w:t>
      </w:r>
      <w:r w:rsidR="001015A2" w:rsidRPr="00F128F3">
        <w:rPr>
          <w:rFonts w:ascii="Times New Roman" w:eastAsia="Times New Roman" w:hAnsi="Times New Roman" w:cs="Times New Roman"/>
          <w:color w:val="000000" w:themeColor="text1"/>
          <w:lang w:val="en-AU"/>
        </w:rPr>
        <w:t xml:space="preserve"> These measures are intended</w:t>
      </w:r>
      <w:r w:rsidRPr="007C7E96">
        <w:rPr>
          <w:rFonts w:ascii="Times New Roman" w:eastAsia="Times New Roman" w:hAnsi="Times New Roman" w:cs="Times New Roman"/>
          <w:color w:val="000000" w:themeColor="text1"/>
          <w:lang w:val="en-AU"/>
        </w:rPr>
        <w:t xml:space="preserve"> to</w:t>
      </w:r>
      <w:r w:rsidR="00692C16" w:rsidRPr="007C7E96" w:rsidDel="005622EE">
        <w:rPr>
          <w:rFonts w:ascii="Times New Roman" w:eastAsia="Times New Roman" w:hAnsi="Times New Roman" w:cs="Times New Roman"/>
          <w:color w:val="000000" w:themeColor="text1"/>
          <w:lang w:val="en-AU"/>
        </w:rPr>
        <w:t xml:space="preserve"> </w:t>
      </w:r>
      <w:r w:rsidR="005622EE" w:rsidRPr="00F128F3">
        <w:rPr>
          <w:rFonts w:ascii="Times New Roman" w:eastAsia="Times New Roman" w:hAnsi="Times New Roman" w:cs="Times New Roman"/>
          <w:color w:val="000000" w:themeColor="text1"/>
          <w:lang w:val="en-AU"/>
        </w:rPr>
        <w:t xml:space="preserve">provide incentives for </w:t>
      </w:r>
      <w:r w:rsidRPr="007C7E96">
        <w:rPr>
          <w:rFonts w:ascii="Times New Roman" w:eastAsia="Times New Roman" w:hAnsi="Times New Roman" w:cs="Times New Roman"/>
          <w:color w:val="000000" w:themeColor="text1"/>
          <w:lang w:val="en-AU"/>
        </w:rPr>
        <w:t xml:space="preserve">efficient use of spectrum. </w:t>
      </w:r>
      <w:r w:rsidR="00942CD9" w:rsidRPr="00F128F3">
        <w:rPr>
          <w:rFonts w:ascii="Times New Roman" w:eastAsia="Times New Roman" w:hAnsi="Times New Roman" w:cs="Times New Roman"/>
          <w:color w:val="000000" w:themeColor="text1"/>
          <w:lang w:val="en-AU"/>
        </w:rPr>
        <w:t>T</w:t>
      </w:r>
      <w:r w:rsidR="00685633" w:rsidRPr="00F128F3">
        <w:rPr>
          <w:rFonts w:ascii="Times New Roman" w:eastAsia="Times New Roman" w:hAnsi="Times New Roman" w:cs="Times New Roman"/>
          <w:color w:val="000000" w:themeColor="text1"/>
          <w:lang w:val="en-AU"/>
        </w:rPr>
        <w:t xml:space="preserve">he ACMA </w:t>
      </w:r>
      <w:r w:rsidR="00390271" w:rsidRPr="00F128F3">
        <w:rPr>
          <w:rFonts w:ascii="Times New Roman" w:eastAsia="Times New Roman" w:hAnsi="Times New Roman" w:cs="Times New Roman"/>
          <w:color w:val="000000" w:themeColor="text1"/>
          <w:lang w:val="en-AU"/>
        </w:rPr>
        <w:t>seeks</w:t>
      </w:r>
      <w:r w:rsidR="00685633" w:rsidRPr="00F128F3">
        <w:rPr>
          <w:rFonts w:ascii="Times New Roman" w:eastAsia="Times New Roman" w:hAnsi="Times New Roman" w:cs="Times New Roman"/>
          <w:color w:val="000000" w:themeColor="text1"/>
          <w:lang w:val="en-AU"/>
        </w:rPr>
        <w:t xml:space="preserve"> to adopt</w:t>
      </w:r>
      <w:r w:rsidR="005B4739" w:rsidRPr="00F128F3">
        <w:rPr>
          <w:rFonts w:ascii="Times New Roman" w:eastAsia="Times New Roman" w:hAnsi="Times New Roman" w:cs="Times New Roman"/>
          <w:color w:val="000000" w:themeColor="text1"/>
          <w:lang w:val="en-AU"/>
        </w:rPr>
        <w:t xml:space="preserve"> </w:t>
      </w:r>
      <w:r w:rsidR="00DA59DA" w:rsidRPr="00F128F3">
        <w:rPr>
          <w:rFonts w:ascii="Times New Roman" w:eastAsia="Times New Roman" w:hAnsi="Times New Roman" w:cs="Times New Roman"/>
          <w:color w:val="000000" w:themeColor="text1"/>
          <w:lang w:val="en-AU"/>
        </w:rPr>
        <w:t>tax</w:t>
      </w:r>
      <w:r w:rsidR="00E331AF" w:rsidRPr="00F128F3">
        <w:rPr>
          <w:rFonts w:ascii="Times New Roman" w:eastAsia="Times New Roman" w:hAnsi="Times New Roman" w:cs="Times New Roman"/>
          <w:color w:val="000000" w:themeColor="text1"/>
          <w:lang w:val="en-AU"/>
        </w:rPr>
        <w:t>es</w:t>
      </w:r>
      <w:r w:rsidR="00685633" w:rsidRPr="00F128F3">
        <w:rPr>
          <w:rFonts w:ascii="Times New Roman" w:eastAsia="Times New Roman" w:hAnsi="Times New Roman" w:cs="Times New Roman"/>
          <w:color w:val="000000" w:themeColor="text1"/>
          <w:lang w:val="en-AU"/>
        </w:rPr>
        <w:t xml:space="preserve"> </w:t>
      </w:r>
      <w:r w:rsidR="00D059C8" w:rsidRPr="00F128F3">
        <w:rPr>
          <w:rFonts w:ascii="Times New Roman" w:eastAsia="Times New Roman" w:hAnsi="Times New Roman" w:cs="Times New Roman"/>
          <w:color w:val="000000" w:themeColor="text1"/>
          <w:lang w:val="en-AU"/>
        </w:rPr>
        <w:t xml:space="preserve">that </w:t>
      </w:r>
      <w:r w:rsidR="007136C5" w:rsidRPr="00F128F3">
        <w:rPr>
          <w:rFonts w:ascii="Times New Roman" w:eastAsia="Times New Roman" w:hAnsi="Times New Roman" w:cs="Times New Roman"/>
          <w:color w:val="000000" w:themeColor="text1"/>
          <w:lang w:val="en-AU"/>
        </w:rPr>
        <w:t xml:space="preserve">promote the </w:t>
      </w:r>
      <w:r w:rsidR="009A4C6B" w:rsidRPr="00F128F3">
        <w:rPr>
          <w:rFonts w:ascii="Times New Roman" w:eastAsia="Times New Roman" w:hAnsi="Times New Roman" w:cs="Times New Roman"/>
          <w:color w:val="000000" w:themeColor="text1"/>
          <w:lang w:val="en-AU"/>
        </w:rPr>
        <w:t>best use of spectrum</w:t>
      </w:r>
      <w:r w:rsidR="00C21EBA" w:rsidRPr="00F128F3">
        <w:rPr>
          <w:rFonts w:ascii="Times New Roman" w:eastAsia="Times New Roman" w:hAnsi="Times New Roman" w:cs="Times New Roman"/>
          <w:color w:val="000000" w:themeColor="text1"/>
          <w:lang w:val="en-AU"/>
        </w:rPr>
        <w:t>.</w:t>
      </w:r>
      <w:r w:rsidR="003B71CD" w:rsidRPr="00F128F3">
        <w:rPr>
          <w:rFonts w:ascii="Times New Roman" w:eastAsia="Times New Roman" w:hAnsi="Times New Roman" w:cs="Times New Roman"/>
          <w:color w:val="000000" w:themeColor="text1"/>
          <w:lang w:val="en-AU"/>
        </w:rPr>
        <w:t xml:space="preserve"> </w:t>
      </w:r>
    </w:p>
    <w:p w14:paraId="26F7B3E4" w14:textId="56E8E6E5" w:rsidR="00606501" w:rsidRDefault="294E88F5">
      <w:r w:rsidRPr="2F35A303">
        <w:rPr>
          <w:rFonts w:ascii="Times New Roman" w:eastAsia="Times New Roman" w:hAnsi="Times New Roman" w:cs="Times New Roman"/>
          <w:color w:val="000000" w:themeColor="text1"/>
          <w:lang w:val="en-AU"/>
        </w:rPr>
        <w:t xml:space="preserve">According to the Explanatory Memorandum for the Radiocommunications (Transmitter Licence Tax) Amendment Bill 1992, the amount of tax is determined with the use of a disallowable instrument because of a need for flexibility in setting the level of the taxes and to ensure that the ACMA itself can set the level which equitably recoups the costs of spectrum management across all apparatus licences which are issued under the </w:t>
      </w:r>
      <w:r w:rsidRPr="2F35A303">
        <w:rPr>
          <w:rFonts w:ascii="Times New Roman" w:eastAsia="Times New Roman" w:hAnsi="Times New Roman" w:cs="Times New Roman"/>
          <w:i/>
          <w:iCs/>
          <w:color w:val="000000" w:themeColor="text1"/>
          <w:lang w:val="en-AU"/>
        </w:rPr>
        <w:t>Radiocommunications Act 1992</w:t>
      </w:r>
      <w:r w:rsidRPr="2F35A303">
        <w:rPr>
          <w:rFonts w:ascii="Times New Roman" w:eastAsia="Times New Roman" w:hAnsi="Times New Roman" w:cs="Times New Roman"/>
          <w:color w:val="000000" w:themeColor="text1"/>
          <w:lang w:val="en-AU"/>
        </w:rPr>
        <w:t>.</w:t>
      </w:r>
    </w:p>
    <w:p w14:paraId="738EC216" w14:textId="7D9F4380" w:rsidR="00606501" w:rsidRPr="007613EA" w:rsidRDefault="294E88F5">
      <w:pPr>
        <w:rPr>
          <w:rFonts w:ascii="Times New Roman" w:eastAsia="Times New Roman" w:hAnsi="Times New Roman" w:cs="Times New Roman"/>
          <w:color w:val="000000" w:themeColor="text1"/>
          <w:lang w:val="en-AU"/>
        </w:rPr>
      </w:pPr>
      <w:r w:rsidRPr="2F35A303">
        <w:rPr>
          <w:rFonts w:ascii="Times New Roman" w:eastAsia="Times New Roman" w:hAnsi="Times New Roman" w:cs="Times New Roman"/>
          <w:color w:val="000000" w:themeColor="text1"/>
          <w:lang w:val="en-AU"/>
        </w:rPr>
        <w:t>That Explanatory Memorandum also states that the use of disallowable instruments in the setting of the levels of licence taxes will ensure that there is flexibility to change levels in response to changes in demand for particular parts of the spectrum, and to introduce new tax amounts for new kinds of licences, while also ensuring that accountability to the Parliament remains, as the Determination is subject to Parliamentary disallowance.</w:t>
      </w:r>
    </w:p>
    <w:p w14:paraId="5BA99969" w14:textId="6037A8B6" w:rsidR="00606501" w:rsidRPr="007613EA" w:rsidRDefault="294E88F5" w:rsidP="00FC3D7E">
      <w:pPr>
        <w:rPr>
          <w:rFonts w:ascii="Times New Roman" w:eastAsia="Times New Roman" w:hAnsi="Times New Roman" w:cs="Times New Roman"/>
          <w:color w:val="000000" w:themeColor="text1"/>
          <w:lang w:val="en-AU"/>
        </w:rPr>
      </w:pPr>
      <w:r w:rsidRPr="007613EA">
        <w:rPr>
          <w:rFonts w:ascii="Times New Roman" w:eastAsia="Times New Roman" w:hAnsi="Times New Roman" w:cs="Times New Roman"/>
          <w:color w:val="000000" w:themeColor="text1"/>
          <w:lang w:val="en-AU"/>
        </w:rPr>
        <w:t xml:space="preserve">The Amendment Determination </w:t>
      </w:r>
      <w:r w:rsidR="00AB16D4" w:rsidRPr="007613EA">
        <w:rPr>
          <w:rFonts w:ascii="Times New Roman" w:eastAsia="Times New Roman" w:hAnsi="Times New Roman" w:cs="Times New Roman"/>
          <w:color w:val="000000" w:themeColor="text1"/>
          <w:lang w:val="en-AU"/>
        </w:rPr>
        <w:t xml:space="preserve">reduces </w:t>
      </w:r>
      <w:r w:rsidR="00E92247" w:rsidRPr="007613EA">
        <w:rPr>
          <w:rFonts w:ascii="Times New Roman" w:eastAsia="Times New Roman" w:hAnsi="Times New Roman" w:cs="Times New Roman"/>
          <w:color w:val="000000" w:themeColor="text1"/>
          <w:lang w:val="en-AU"/>
        </w:rPr>
        <w:t>the</w:t>
      </w:r>
      <w:r w:rsidR="00B14FF0">
        <w:rPr>
          <w:rFonts w:ascii="Times New Roman" w:eastAsia="Times New Roman" w:hAnsi="Times New Roman" w:cs="Times New Roman"/>
          <w:color w:val="000000" w:themeColor="text1"/>
          <w:lang w:val="en-AU"/>
        </w:rPr>
        <w:t xml:space="preserve"> tax rate for television</w:t>
      </w:r>
      <w:r w:rsidR="00E92247" w:rsidRPr="007613EA">
        <w:rPr>
          <w:rFonts w:ascii="Times New Roman" w:eastAsia="Times New Roman" w:hAnsi="Times New Roman" w:cs="Times New Roman"/>
          <w:color w:val="000000" w:themeColor="text1"/>
          <w:lang w:val="en-AU"/>
        </w:rPr>
        <w:t xml:space="preserve"> outside broadcast network </w:t>
      </w:r>
      <w:r w:rsidR="00C66531">
        <w:rPr>
          <w:rFonts w:ascii="Times New Roman" w:eastAsia="Times New Roman" w:hAnsi="Times New Roman" w:cs="Times New Roman"/>
          <w:color w:val="000000" w:themeColor="text1"/>
          <w:lang w:val="en-AU"/>
        </w:rPr>
        <w:t>(TOBN)</w:t>
      </w:r>
      <w:r w:rsidR="008B4BE3">
        <w:rPr>
          <w:rFonts w:ascii="Times New Roman" w:eastAsia="Times New Roman" w:hAnsi="Times New Roman" w:cs="Times New Roman"/>
          <w:color w:val="000000" w:themeColor="text1"/>
          <w:lang w:val="en-AU"/>
        </w:rPr>
        <w:t xml:space="preserve"> </w:t>
      </w:r>
      <w:r w:rsidR="00B14FF0">
        <w:rPr>
          <w:rFonts w:ascii="Times New Roman" w:eastAsia="Times New Roman" w:hAnsi="Times New Roman" w:cs="Times New Roman"/>
          <w:color w:val="000000" w:themeColor="text1"/>
          <w:lang w:val="en-AU"/>
        </w:rPr>
        <w:t>licences</w:t>
      </w:r>
      <w:r w:rsidR="00C23EC3" w:rsidRPr="007613EA">
        <w:rPr>
          <w:rFonts w:ascii="Times New Roman" w:eastAsia="Times New Roman" w:hAnsi="Times New Roman" w:cs="Times New Roman"/>
          <w:color w:val="000000" w:themeColor="text1"/>
          <w:lang w:val="en-AU"/>
        </w:rPr>
        <w:t xml:space="preserve"> from </w:t>
      </w:r>
      <w:r w:rsidR="00E42DE9" w:rsidRPr="007613EA">
        <w:rPr>
          <w:rFonts w:ascii="Times New Roman" w:eastAsia="Times New Roman" w:hAnsi="Times New Roman" w:cs="Times New Roman"/>
          <w:color w:val="000000" w:themeColor="text1"/>
          <w:lang w:val="en-AU"/>
        </w:rPr>
        <w:t xml:space="preserve">$415,889 </w:t>
      </w:r>
      <w:r w:rsidR="00C23EC3" w:rsidRPr="007613EA">
        <w:rPr>
          <w:rFonts w:ascii="Times New Roman" w:eastAsia="Times New Roman" w:hAnsi="Times New Roman" w:cs="Times New Roman"/>
          <w:color w:val="000000" w:themeColor="text1"/>
          <w:lang w:val="en-AU"/>
        </w:rPr>
        <w:t xml:space="preserve">to </w:t>
      </w:r>
      <w:r w:rsidR="00FC3D7E" w:rsidRPr="007613EA">
        <w:rPr>
          <w:rFonts w:ascii="Times New Roman" w:eastAsia="Times New Roman" w:hAnsi="Times New Roman" w:cs="Times New Roman"/>
          <w:color w:val="000000" w:themeColor="text1"/>
          <w:lang w:val="en-AU"/>
        </w:rPr>
        <w:t>$211,701.</w:t>
      </w:r>
      <w:r w:rsidR="00C66531">
        <w:rPr>
          <w:rFonts w:ascii="Times New Roman" w:eastAsia="Times New Roman" w:hAnsi="Times New Roman" w:cs="Times New Roman"/>
          <w:color w:val="000000" w:themeColor="text1"/>
          <w:lang w:val="en-AU"/>
        </w:rPr>
        <w:t xml:space="preserve"> TOBN licences are used by television broadcast</w:t>
      </w:r>
      <w:r w:rsidR="008A396E">
        <w:rPr>
          <w:rFonts w:ascii="Times New Roman" w:eastAsia="Times New Roman" w:hAnsi="Times New Roman" w:cs="Times New Roman"/>
          <w:color w:val="000000" w:themeColor="text1"/>
          <w:lang w:val="en-AU"/>
        </w:rPr>
        <w:t>ers</w:t>
      </w:r>
      <w:r w:rsidR="00D222BA">
        <w:rPr>
          <w:rFonts w:ascii="Times New Roman" w:eastAsia="Times New Roman" w:hAnsi="Times New Roman" w:cs="Times New Roman"/>
          <w:color w:val="000000" w:themeColor="text1"/>
          <w:lang w:val="en-AU"/>
        </w:rPr>
        <w:t xml:space="preserve"> to </w:t>
      </w:r>
      <w:r w:rsidR="00C71BC0">
        <w:rPr>
          <w:rFonts w:ascii="Times New Roman" w:eastAsia="Times New Roman" w:hAnsi="Times New Roman" w:cs="Times New Roman"/>
          <w:color w:val="000000" w:themeColor="text1"/>
          <w:lang w:val="en-AU"/>
        </w:rPr>
        <w:t xml:space="preserve">facilitate </w:t>
      </w:r>
      <w:r w:rsidR="004104D4" w:rsidRPr="00880A3E">
        <w:rPr>
          <w:rFonts w:ascii="Times New Roman" w:eastAsia="Times New Roman" w:hAnsi="Times New Roman" w:cs="Times New Roman"/>
          <w:color w:val="000000" w:themeColor="text1"/>
          <w:lang w:val="en-AU"/>
        </w:rPr>
        <w:t>wireless applications used as part of news gathering, special events or media production</w:t>
      </w:r>
      <w:r w:rsidR="008A396E">
        <w:rPr>
          <w:rFonts w:ascii="Times New Roman" w:eastAsia="Times New Roman" w:hAnsi="Times New Roman" w:cs="Times New Roman"/>
          <w:color w:val="000000" w:themeColor="text1"/>
          <w:lang w:val="en-AU"/>
        </w:rPr>
        <w:t>.</w:t>
      </w:r>
      <w:r w:rsidR="0088701E">
        <w:rPr>
          <w:rFonts w:ascii="Times New Roman" w:eastAsia="Times New Roman" w:hAnsi="Times New Roman" w:cs="Times New Roman"/>
          <w:color w:val="000000" w:themeColor="text1"/>
          <w:lang w:val="en-AU"/>
        </w:rPr>
        <w:t xml:space="preserve"> </w:t>
      </w:r>
      <w:r w:rsidR="0088701E" w:rsidRPr="00767F2D">
        <w:rPr>
          <w:rFonts w:ascii="Times New Roman" w:eastAsia="Times New Roman" w:hAnsi="Times New Roman" w:cs="Times New Roman"/>
          <w:color w:val="000000" w:themeColor="text1"/>
          <w:lang w:val="en-AU"/>
        </w:rPr>
        <w:t xml:space="preserve">The </w:t>
      </w:r>
      <w:r w:rsidR="008B4BE3">
        <w:rPr>
          <w:rFonts w:ascii="Times New Roman" w:eastAsia="Times New Roman" w:hAnsi="Times New Roman" w:cs="Times New Roman"/>
          <w:color w:val="000000" w:themeColor="text1"/>
          <w:lang w:val="en-AU"/>
        </w:rPr>
        <w:t>change is</w:t>
      </w:r>
      <w:r w:rsidR="0088701E" w:rsidRPr="00767F2D">
        <w:rPr>
          <w:rFonts w:ascii="Times New Roman" w:eastAsia="Times New Roman" w:hAnsi="Times New Roman" w:cs="Times New Roman"/>
          <w:color w:val="000000" w:themeColor="text1"/>
          <w:lang w:val="en-AU"/>
        </w:rPr>
        <w:t xml:space="preserve"> </w:t>
      </w:r>
      <w:r w:rsidR="00BF20FB" w:rsidRPr="00F128F3">
        <w:rPr>
          <w:rFonts w:ascii="Times New Roman" w:eastAsia="Times New Roman" w:hAnsi="Times New Roman" w:cs="Times New Roman"/>
          <w:color w:val="000000" w:themeColor="text1"/>
          <w:lang w:val="en-AU"/>
        </w:rPr>
        <w:t>intended</w:t>
      </w:r>
      <w:r w:rsidR="0088701E" w:rsidRPr="00F128F3">
        <w:rPr>
          <w:rFonts w:ascii="Times New Roman" w:eastAsia="Times New Roman" w:hAnsi="Times New Roman" w:cs="Times New Roman"/>
          <w:color w:val="000000" w:themeColor="text1"/>
          <w:lang w:val="en-AU"/>
        </w:rPr>
        <w:t xml:space="preserve"> </w:t>
      </w:r>
      <w:r w:rsidR="0088701E" w:rsidRPr="00767F2D">
        <w:rPr>
          <w:rFonts w:ascii="Times New Roman" w:eastAsia="Times New Roman" w:hAnsi="Times New Roman" w:cs="Times New Roman"/>
          <w:color w:val="000000" w:themeColor="text1"/>
          <w:lang w:val="en-AU"/>
        </w:rPr>
        <w:t xml:space="preserve">to better align pricing as a consequence of previous changes that reduced location weightings for </w:t>
      </w:r>
      <w:r w:rsidR="0088701E" w:rsidRPr="00767F2D">
        <w:rPr>
          <w:rFonts w:ascii="Times New Roman" w:eastAsia="Times New Roman" w:hAnsi="Times New Roman" w:cs="Times New Roman"/>
          <w:color w:val="000000" w:themeColor="text1"/>
          <w:lang w:val="en-AU"/>
        </w:rPr>
        <w:lastRenderedPageBreak/>
        <w:t>the parts of the spectrum between 5.0 and 8.5 GHz, and between 8.5 GHz and 14.5 GHz, by 50% and 90%, respectively.</w:t>
      </w:r>
    </w:p>
    <w:p w14:paraId="51140ECA" w14:textId="5B4195B0" w:rsidR="00606501" w:rsidRDefault="294E88F5">
      <w:r w:rsidRPr="2F35A303">
        <w:rPr>
          <w:rFonts w:ascii="Times New Roman" w:eastAsia="Times New Roman" w:hAnsi="Times New Roman" w:cs="Times New Roman"/>
          <w:color w:val="000000" w:themeColor="text1"/>
          <w:lang w:val="en-AU"/>
        </w:rPr>
        <w:t xml:space="preserve">A provision-by-provision description of the </w:t>
      </w:r>
      <w:r w:rsidR="008B4BE3">
        <w:rPr>
          <w:rFonts w:ascii="Times New Roman" w:eastAsia="Times New Roman" w:hAnsi="Times New Roman" w:cs="Times New Roman"/>
          <w:color w:val="000000" w:themeColor="text1"/>
          <w:lang w:val="en-AU"/>
        </w:rPr>
        <w:t>Amendment Determination</w:t>
      </w:r>
      <w:r w:rsidR="008B4BE3" w:rsidRPr="2F35A303">
        <w:rPr>
          <w:rFonts w:ascii="Times New Roman" w:eastAsia="Times New Roman" w:hAnsi="Times New Roman" w:cs="Times New Roman"/>
          <w:color w:val="000000" w:themeColor="text1"/>
          <w:lang w:val="en-AU"/>
        </w:rPr>
        <w:t xml:space="preserve"> </w:t>
      </w:r>
      <w:r w:rsidRPr="2F35A303">
        <w:rPr>
          <w:rFonts w:ascii="Times New Roman" w:eastAsia="Times New Roman" w:hAnsi="Times New Roman" w:cs="Times New Roman"/>
          <w:color w:val="000000" w:themeColor="text1"/>
          <w:lang w:val="en-AU"/>
        </w:rPr>
        <w:t xml:space="preserve">is set out in the notes at </w:t>
      </w:r>
      <w:r w:rsidRPr="2F35A303">
        <w:rPr>
          <w:rFonts w:ascii="Times New Roman" w:eastAsia="Times New Roman" w:hAnsi="Times New Roman" w:cs="Times New Roman"/>
          <w:b/>
          <w:bCs/>
          <w:color w:val="000000" w:themeColor="text1"/>
          <w:lang w:val="en-AU"/>
        </w:rPr>
        <w:t>Attachment A</w:t>
      </w:r>
    </w:p>
    <w:p w14:paraId="59845192" w14:textId="61032E88" w:rsidR="00606501" w:rsidRDefault="294E88F5">
      <w:r w:rsidRPr="2F35A303">
        <w:rPr>
          <w:rFonts w:ascii="Times New Roman" w:eastAsia="Times New Roman" w:hAnsi="Times New Roman" w:cs="Times New Roman"/>
          <w:color w:val="000000" w:themeColor="text1"/>
          <w:lang w:val="en-AU"/>
        </w:rPr>
        <w:t xml:space="preserve">The Amendment Determination is a disallowable legislative instrument for the purposes of the </w:t>
      </w:r>
      <w:r w:rsidRPr="2F35A303">
        <w:rPr>
          <w:rFonts w:ascii="Times New Roman" w:eastAsia="Times New Roman" w:hAnsi="Times New Roman" w:cs="Times New Roman"/>
          <w:i/>
          <w:iCs/>
          <w:color w:val="000000" w:themeColor="text1"/>
          <w:lang w:val="en-AU"/>
        </w:rPr>
        <w:t xml:space="preserve">Legislation Act 2003 </w:t>
      </w:r>
      <w:r w:rsidRPr="2F35A303">
        <w:rPr>
          <w:rFonts w:ascii="Times New Roman" w:eastAsia="Times New Roman" w:hAnsi="Times New Roman" w:cs="Times New Roman"/>
          <w:color w:val="000000" w:themeColor="text1"/>
          <w:lang w:val="en-AU"/>
        </w:rPr>
        <w:t>(</w:t>
      </w:r>
      <w:r w:rsidRPr="2F35A303">
        <w:rPr>
          <w:rFonts w:ascii="Times New Roman" w:eastAsia="Times New Roman" w:hAnsi="Times New Roman" w:cs="Times New Roman"/>
          <w:b/>
          <w:bCs/>
          <w:color w:val="000000" w:themeColor="text1"/>
          <w:lang w:val="en-AU"/>
        </w:rPr>
        <w:t>LA</w:t>
      </w:r>
      <w:r w:rsidRPr="2F35A303">
        <w:rPr>
          <w:rFonts w:ascii="Times New Roman" w:eastAsia="Times New Roman" w:hAnsi="Times New Roman" w:cs="Times New Roman"/>
          <w:color w:val="000000" w:themeColor="text1"/>
          <w:lang w:val="en-AU"/>
        </w:rPr>
        <w:t>).</w:t>
      </w:r>
      <w:r w:rsidR="00B14FF0">
        <w:rPr>
          <w:rFonts w:ascii="Times New Roman" w:eastAsia="Times New Roman" w:hAnsi="Times New Roman" w:cs="Times New Roman"/>
          <w:color w:val="000000" w:themeColor="text1"/>
          <w:lang w:val="en-AU"/>
        </w:rPr>
        <w:t xml:space="preserve"> The Determination is subject to the sunsetting provisions of the LA.</w:t>
      </w:r>
    </w:p>
    <w:p w14:paraId="56166EAC" w14:textId="4E59B9DC" w:rsidR="00606501" w:rsidRDefault="294E88F5">
      <w:r w:rsidRPr="2F35A303">
        <w:rPr>
          <w:rFonts w:ascii="Times New Roman" w:eastAsia="Times New Roman" w:hAnsi="Times New Roman" w:cs="Times New Roman"/>
          <w:b/>
          <w:bCs/>
          <w:color w:val="000000" w:themeColor="text1"/>
          <w:lang w:val="en-AU"/>
        </w:rPr>
        <w:t xml:space="preserve">Documents incorporated by </w:t>
      </w:r>
      <w:proofErr w:type="gramStart"/>
      <w:r w:rsidRPr="2F35A303">
        <w:rPr>
          <w:rFonts w:ascii="Times New Roman" w:eastAsia="Times New Roman" w:hAnsi="Times New Roman" w:cs="Times New Roman"/>
          <w:b/>
          <w:bCs/>
          <w:color w:val="000000" w:themeColor="text1"/>
          <w:lang w:val="en-AU"/>
        </w:rPr>
        <w:t>reference</w:t>
      </w:r>
      <w:proofErr w:type="gramEnd"/>
    </w:p>
    <w:p w14:paraId="1536D20F" w14:textId="46058EC9" w:rsidR="00606501" w:rsidRDefault="00B14FF0">
      <w:r>
        <w:rPr>
          <w:rFonts w:ascii="Times New Roman" w:eastAsia="Times New Roman" w:hAnsi="Times New Roman" w:cs="Times New Roman"/>
          <w:color w:val="000000" w:themeColor="text1"/>
          <w:lang w:val="en-AU"/>
        </w:rPr>
        <w:t xml:space="preserve">The Amendment Determination does not </w:t>
      </w:r>
      <w:r w:rsidR="008939C6">
        <w:rPr>
          <w:rFonts w:ascii="Times New Roman" w:eastAsia="Times New Roman" w:hAnsi="Times New Roman" w:cs="Times New Roman"/>
          <w:color w:val="000000" w:themeColor="text1"/>
          <w:lang w:val="en-AU"/>
        </w:rPr>
        <w:t>amend the Determination to incorporate any documents by reference.</w:t>
      </w:r>
    </w:p>
    <w:p w14:paraId="2D7A617C" w14:textId="3B4FD360" w:rsidR="00606501" w:rsidRDefault="294E88F5">
      <w:r w:rsidRPr="2F35A303">
        <w:rPr>
          <w:rFonts w:ascii="Times New Roman" w:eastAsia="Times New Roman" w:hAnsi="Times New Roman" w:cs="Times New Roman"/>
          <w:b/>
          <w:bCs/>
          <w:color w:val="000000" w:themeColor="text1"/>
          <w:lang w:val="en-AU"/>
        </w:rPr>
        <w:t>Consultation</w:t>
      </w:r>
    </w:p>
    <w:p w14:paraId="581F242D" w14:textId="358C21BC" w:rsidR="00606501" w:rsidRDefault="294E88F5">
      <w:pPr>
        <w:rPr>
          <w:rFonts w:ascii="Times New Roman" w:eastAsia="Times New Roman" w:hAnsi="Times New Roman" w:cs="Times New Roman"/>
          <w:color w:val="000000" w:themeColor="text1"/>
          <w:lang w:val="en-AU"/>
        </w:rPr>
      </w:pPr>
      <w:r w:rsidRPr="2F35A303">
        <w:rPr>
          <w:rFonts w:ascii="Times New Roman" w:eastAsia="Times New Roman" w:hAnsi="Times New Roman" w:cs="Times New Roman"/>
          <w:color w:val="000000" w:themeColor="text1"/>
          <w:lang w:val="en-AU"/>
        </w:rPr>
        <w:t>Before the Amendment Determination was made, the ACMA was satisfied that consultation was undertaken to the extent appropriate and reasonably practicable, in accordance with section 17 of the LA.</w:t>
      </w:r>
    </w:p>
    <w:p w14:paraId="697F976D" w14:textId="5EB1B494" w:rsidR="00FD24D3" w:rsidRDefault="00FD24D3">
      <w:r>
        <w:rPr>
          <w:rFonts w:ascii="Times New Roman" w:eastAsia="Times New Roman" w:hAnsi="Times New Roman" w:cs="Times New Roman"/>
          <w:color w:val="000000" w:themeColor="text1"/>
          <w:lang w:val="en-AU"/>
        </w:rPr>
        <w:t xml:space="preserve">On </w:t>
      </w:r>
      <w:r w:rsidR="00491263">
        <w:rPr>
          <w:rFonts w:ascii="Times New Roman" w:eastAsia="Times New Roman" w:hAnsi="Times New Roman" w:cs="Times New Roman"/>
          <w:color w:val="000000" w:themeColor="text1"/>
          <w:lang w:val="en-AU"/>
        </w:rPr>
        <w:t>23 March 2023</w:t>
      </w:r>
      <w:r>
        <w:rPr>
          <w:rFonts w:ascii="Times New Roman" w:eastAsia="Times New Roman" w:hAnsi="Times New Roman" w:cs="Times New Roman"/>
          <w:color w:val="000000" w:themeColor="text1"/>
          <w:lang w:val="en-AU"/>
        </w:rPr>
        <w:t xml:space="preserve">, the ACMA published a consultation paper </w:t>
      </w:r>
      <w:r w:rsidR="00867BDC">
        <w:rPr>
          <w:rFonts w:ascii="Times New Roman" w:eastAsia="Times New Roman" w:hAnsi="Times New Roman" w:cs="Times New Roman"/>
          <w:color w:val="000000" w:themeColor="text1"/>
          <w:lang w:val="en-AU"/>
        </w:rPr>
        <w:t xml:space="preserve">that set out a number of proposals relating to </w:t>
      </w:r>
      <w:r w:rsidR="00EB7AA8">
        <w:rPr>
          <w:rFonts w:ascii="Times New Roman" w:eastAsia="Times New Roman" w:hAnsi="Times New Roman" w:cs="Times New Roman"/>
          <w:color w:val="000000" w:themeColor="text1"/>
          <w:lang w:val="en-AU"/>
        </w:rPr>
        <w:t>apparatus licence tax</w:t>
      </w:r>
      <w:r w:rsidR="00DD1985">
        <w:rPr>
          <w:rFonts w:ascii="Times New Roman" w:eastAsia="Times New Roman" w:hAnsi="Times New Roman" w:cs="Times New Roman"/>
          <w:color w:val="000000" w:themeColor="text1"/>
          <w:lang w:val="en-AU"/>
        </w:rPr>
        <w:t xml:space="preserve">es, including changes to the </w:t>
      </w:r>
      <w:r w:rsidR="008939C6">
        <w:rPr>
          <w:rFonts w:ascii="Times New Roman" w:eastAsia="Times New Roman" w:hAnsi="Times New Roman" w:cs="Times New Roman"/>
          <w:lang w:val="en-AU"/>
        </w:rPr>
        <w:t>tax</w:t>
      </w:r>
      <w:r w:rsidR="00DD1985">
        <w:rPr>
          <w:rFonts w:ascii="Times New Roman" w:eastAsia="Times New Roman" w:hAnsi="Times New Roman" w:cs="Times New Roman"/>
          <w:lang w:val="en-AU"/>
        </w:rPr>
        <w:t xml:space="preserve"> rate</w:t>
      </w:r>
      <w:r w:rsidR="008939C6">
        <w:rPr>
          <w:rFonts w:ascii="Times New Roman" w:eastAsia="Times New Roman" w:hAnsi="Times New Roman" w:cs="Times New Roman"/>
          <w:lang w:val="en-AU"/>
        </w:rPr>
        <w:t xml:space="preserve"> for TOBN licences</w:t>
      </w:r>
      <w:r w:rsidR="00DD1985">
        <w:rPr>
          <w:rFonts w:ascii="Times New Roman" w:eastAsia="Times New Roman" w:hAnsi="Times New Roman" w:cs="Times New Roman"/>
          <w:lang w:val="en-AU"/>
        </w:rPr>
        <w:t>.</w:t>
      </w:r>
      <w:r w:rsidR="00B76B36">
        <w:rPr>
          <w:rFonts w:ascii="Times New Roman" w:eastAsia="Times New Roman" w:hAnsi="Times New Roman" w:cs="Times New Roman"/>
          <w:lang w:val="en-AU"/>
        </w:rPr>
        <w:t xml:space="preserve"> The ACMA received </w:t>
      </w:r>
      <w:r w:rsidR="00950B66">
        <w:rPr>
          <w:rFonts w:ascii="Times New Roman" w:eastAsia="Times New Roman" w:hAnsi="Times New Roman" w:cs="Times New Roman"/>
          <w:lang w:val="en-AU"/>
        </w:rPr>
        <w:t>11</w:t>
      </w:r>
      <w:r w:rsidR="00B76B36">
        <w:rPr>
          <w:rFonts w:ascii="Times New Roman" w:eastAsia="Times New Roman" w:hAnsi="Times New Roman" w:cs="Times New Roman"/>
          <w:lang w:val="en-AU"/>
        </w:rPr>
        <w:t xml:space="preserve"> submissions to the consultation.</w:t>
      </w:r>
      <w:r w:rsidR="00DD1985">
        <w:rPr>
          <w:rFonts w:ascii="Times New Roman" w:eastAsia="Times New Roman" w:hAnsi="Times New Roman" w:cs="Times New Roman"/>
          <w:lang w:val="en-AU"/>
        </w:rPr>
        <w:t xml:space="preserve"> On </w:t>
      </w:r>
      <w:r w:rsidR="008939C6">
        <w:rPr>
          <w:rFonts w:ascii="Times New Roman" w:eastAsia="Times New Roman" w:hAnsi="Times New Roman" w:cs="Times New Roman"/>
          <w:lang w:val="en-AU"/>
        </w:rPr>
        <w:t>this</w:t>
      </w:r>
      <w:r w:rsidR="001B64F9">
        <w:rPr>
          <w:rFonts w:ascii="Times New Roman" w:eastAsia="Times New Roman" w:hAnsi="Times New Roman" w:cs="Times New Roman"/>
          <w:lang w:val="en-AU"/>
        </w:rPr>
        <w:t xml:space="preserve"> matter, </w:t>
      </w:r>
      <w:r w:rsidR="00562F96">
        <w:rPr>
          <w:rFonts w:ascii="Times New Roman" w:eastAsia="Times New Roman" w:hAnsi="Times New Roman" w:cs="Times New Roman"/>
          <w:lang w:val="en-AU"/>
        </w:rPr>
        <w:t>one submitter</w:t>
      </w:r>
      <w:r w:rsidR="00A22761">
        <w:rPr>
          <w:rFonts w:ascii="Times New Roman" w:eastAsia="Times New Roman" w:hAnsi="Times New Roman" w:cs="Times New Roman"/>
          <w:lang w:val="en-AU"/>
        </w:rPr>
        <w:t xml:space="preserve"> provided comment supporting</w:t>
      </w:r>
      <w:r w:rsidR="001B64F9">
        <w:rPr>
          <w:rFonts w:ascii="Times New Roman" w:eastAsia="Times New Roman" w:hAnsi="Times New Roman" w:cs="Times New Roman"/>
          <w:lang w:val="en-AU"/>
        </w:rPr>
        <w:t xml:space="preserve"> the proposal</w:t>
      </w:r>
      <w:r w:rsidR="00906D2E">
        <w:rPr>
          <w:rFonts w:ascii="Times New Roman" w:eastAsia="Times New Roman" w:hAnsi="Times New Roman" w:cs="Times New Roman"/>
          <w:lang w:val="en-AU"/>
        </w:rPr>
        <w:t xml:space="preserve"> to reduce the rate</w:t>
      </w:r>
      <w:r w:rsidR="001A7F45">
        <w:rPr>
          <w:rFonts w:ascii="Times New Roman" w:eastAsia="Times New Roman" w:hAnsi="Times New Roman" w:cs="Times New Roman"/>
          <w:lang w:val="en-AU"/>
        </w:rPr>
        <w:t>.</w:t>
      </w:r>
    </w:p>
    <w:p w14:paraId="20D4E957" w14:textId="1FC97EFC" w:rsidR="00606501" w:rsidRDefault="294E88F5">
      <w:r w:rsidRPr="2F35A303">
        <w:rPr>
          <w:rFonts w:ascii="Times New Roman" w:eastAsia="Times New Roman" w:hAnsi="Times New Roman" w:cs="Times New Roman"/>
          <w:b/>
          <w:bCs/>
          <w:color w:val="000000" w:themeColor="text1"/>
          <w:lang w:val="en-AU"/>
        </w:rPr>
        <w:t>Regulatory impact assessment</w:t>
      </w:r>
    </w:p>
    <w:p w14:paraId="6D924429" w14:textId="209BC3F4" w:rsidR="00F22176" w:rsidRPr="0029780A" w:rsidRDefault="00F22176">
      <w:pPr>
        <w:rPr>
          <w:rFonts w:ascii="Times New Roman" w:eastAsia="Times New Roman" w:hAnsi="Times New Roman" w:cs="Times New Roman"/>
          <w:lang w:val="en-AU"/>
        </w:rPr>
      </w:pPr>
      <w:r w:rsidRPr="008F380C">
        <w:rPr>
          <w:rFonts w:ascii="Times New Roman" w:eastAsia="Times New Roman" w:hAnsi="Times New Roman" w:cs="Times New Roman"/>
          <w:lang w:val="en-AU"/>
        </w:rPr>
        <w:t>The ACMA submitted a</w:t>
      </w:r>
      <w:r>
        <w:rPr>
          <w:rFonts w:ascii="Times New Roman" w:eastAsia="Times New Roman" w:hAnsi="Times New Roman" w:cs="Times New Roman"/>
          <w:lang w:val="en-AU"/>
        </w:rPr>
        <w:t xml:space="preserve"> certification letter in place of a</w:t>
      </w:r>
      <w:r w:rsidRPr="008F380C">
        <w:rPr>
          <w:rFonts w:ascii="Times New Roman" w:eastAsia="Times New Roman" w:hAnsi="Times New Roman" w:cs="Times New Roman"/>
          <w:lang w:val="en-AU"/>
        </w:rPr>
        <w:t xml:space="preserve"> regulatory impact statement (</w:t>
      </w:r>
      <w:r w:rsidRPr="0029780A">
        <w:rPr>
          <w:rFonts w:ascii="Times New Roman" w:eastAsia="Times New Roman" w:hAnsi="Times New Roman" w:cs="Times New Roman"/>
          <w:lang w:val="en-AU"/>
        </w:rPr>
        <w:t>RIS</w:t>
      </w:r>
      <w:r w:rsidRPr="008F380C">
        <w:rPr>
          <w:rFonts w:ascii="Times New Roman" w:eastAsia="Times New Roman" w:hAnsi="Times New Roman" w:cs="Times New Roman"/>
          <w:lang w:val="en-AU"/>
        </w:rPr>
        <w:t xml:space="preserve">) for changes to ‘location weightings’, which are used in setting the tax rates for a number of different kinds of transmitter licence. Because of those weighting changes, the ACMA considered that the tax rate for TOBN licences should be lowered from $415,889 to $211,701. On </w:t>
      </w:r>
      <w:r>
        <w:rPr>
          <w:rFonts w:ascii="Times New Roman" w:eastAsia="Times New Roman" w:hAnsi="Times New Roman" w:cs="Times New Roman"/>
          <w:lang w:val="en-AU"/>
        </w:rPr>
        <w:t>10</w:t>
      </w:r>
      <w:r w:rsidRPr="008F380C">
        <w:rPr>
          <w:rFonts w:ascii="Times New Roman" w:eastAsia="Times New Roman" w:hAnsi="Times New Roman" w:cs="Times New Roman"/>
          <w:lang w:val="en-AU"/>
        </w:rPr>
        <w:t xml:space="preserve"> July 202</w:t>
      </w:r>
      <w:r>
        <w:rPr>
          <w:rFonts w:ascii="Times New Roman" w:eastAsia="Times New Roman" w:hAnsi="Times New Roman" w:cs="Times New Roman"/>
          <w:lang w:val="en-AU"/>
        </w:rPr>
        <w:t>1</w:t>
      </w:r>
      <w:r w:rsidRPr="008F380C">
        <w:rPr>
          <w:rFonts w:ascii="Times New Roman" w:eastAsia="Times New Roman" w:hAnsi="Times New Roman" w:cs="Times New Roman"/>
          <w:lang w:val="en-AU"/>
        </w:rPr>
        <w:t>, the Office of Impact Analysis (</w:t>
      </w:r>
      <w:r w:rsidRPr="0029780A">
        <w:rPr>
          <w:rFonts w:ascii="Times New Roman" w:eastAsia="Times New Roman" w:hAnsi="Times New Roman" w:cs="Times New Roman"/>
          <w:lang w:val="en-AU"/>
        </w:rPr>
        <w:t>OIA</w:t>
      </w:r>
      <w:r w:rsidRPr="008F380C">
        <w:rPr>
          <w:rFonts w:ascii="Times New Roman" w:eastAsia="Times New Roman" w:hAnsi="Times New Roman" w:cs="Times New Roman"/>
          <w:lang w:val="en-AU"/>
        </w:rPr>
        <w:t xml:space="preserve">) </w:t>
      </w:r>
      <w:r w:rsidR="00786CC2" w:rsidRPr="005841D3">
        <w:rPr>
          <w:rFonts w:ascii="Times New Roman" w:eastAsia="Times New Roman" w:hAnsi="Times New Roman" w:cs="Times New Roman"/>
          <w:lang w:val="en-AU"/>
        </w:rPr>
        <w:t>(previously</w:t>
      </w:r>
      <w:r w:rsidR="008B4BE3">
        <w:rPr>
          <w:rFonts w:ascii="Times New Roman" w:eastAsia="Times New Roman" w:hAnsi="Times New Roman" w:cs="Times New Roman"/>
          <w:lang w:val="en-AU"/>
        </w:rPr>
        <w:t xml:space="preserve"> the</w:t>
      </w:r>
      <w:r w:rsidR="00786CC2" w:rsidRPr="005841D3">
        <w:rPr>
          <w:rFonts w:ascii="Times New Roman" w:eastAsia="Times New Roman" w:hAnsi="Times New Roman" w:cs="Times New Roman"/>
          <w:lang w:val="en-AU"/>
        </w:rPr>
        <w:t xml:space="preserve"> Office of Best Practice Regulation)</w:t>
      </w:r>
      <w:r w:rsidR="005841D3" w:rsidRPr="005841D3">
        <w:rPr>
          <w:rFonts w:ascii="Times New Roman" w:eastAsia="Times New Roman" w:hAnsi="Times New Roman" w:cs="Times New Roman"/>
          <w:lang w:val="en-AU"/>
        </w:rPr>
        <w:t xml:space="preserve"> </w:t>
      </w:r>
      <w:r w:rsidRPr="008F380C">
        <w:rPr>
          <w:rFonts w:ascii="Times New Roman" w:eastAsia="Times New Roman" w:hAnsi="Times New Roman" w:cs="Times New Roman"/>
          <w:lang w:val="en-AU"/>
        </w:rPr>
        <w:t xml:space="preserve">assessed that the options analysed in the independent review </w:t>
      </w:r>
      <w:r w:rsidR="00E35134">
        <w:rPr>
          <w:rFonts w:ascii="Times New Roman" w:eastAsia="Times New Roman" w:hAnsi="Times New Roman" w:cs="Times New Roman"/>
          <w:lang w:val="en-AU"/>
        </w:rPr>
        <w:t>were</w:t>
      </w:r>
      <w:r w:rsidRPr="008F380C">
        <w:rPr>
          <w:rFonts w:ascii="Times New Roman" w:eastAsia="Times New Roman" w:hAnsi="Times New Roman" w:cs="Times New Roman"/>
          <w:lang w:val="en-AU"/>
        </w:rPr>
        <w:t xml:space="preserve"> sufficiently relevant to the regulatory proposal</w:t>
      </w:r>
      <w:r w:rsidR="00FC6CD6">
        <w:rPr>
          <w:rFonts w:ascii="Times New Roman" w:eastAsia="Times New Roman" w:hAnsi="Times New Roman" w:cs="Times New Roman"/>
          <w:lang w:val="en-AU"/>
        </w:rPr>
        <w:t>.</w:t>
      </w:r>
      <w:r w:rsidR="0029780A">
        <w:rPr>
          <w:rFonts w:ascii="Times New Roman" w:eastAsia="Times New Roman" w:hAnsi="Times New Roman" w:cs="Times New Roman"/>
          <w:lang w:val="en-AU"/>
        </w:rPr>
        <w:t xml:space="preserve"> </w:t>
      </w:r>
      <w:r w:rsidR="0029780A" w:rsidRPr="0029780A">
        <w:rPr>
          <w:rFonts w:ascii="Times New Roman" w:eastAsia="Times New Roman" w:hAnsi="Times New Roman" w:cs="Times New Roman"/>
          <w:lang w:val="en-AU"/>
        </w:rPr>
        <w:t xml:space="preserve">Consistent with OIA’s previous decision and based on the information provided, OIA consider the associated tax amendment proposal </w:t>
      </w:r>
      <w:r w:rsidR="008B4BE3">
        <w:rPr>
          <w:rFonts w:ascii="Times New Roman" w:eastAsia="Times New Roman" w:hAnsi="Times New Roman" w:cs="Times New Roman"/>
          <w:lang w:val="en-AU"/>
        </w:rPr>
        <w:t>was</w:t>
      </w:r>
      <w:r w:rsidR="0029780A" w:rsidRPr="0029780A">
        <w:rPr>
          <w:rFonts w:ascii="Times New Roman" w:eastAsia="Times New Roman" w:hAnsi="Times New Roman" w:cs="Times New Roman"/>
          <w:lang w:val="en-AU"/>
        </w:rPr>
        <w:t xml:space="preserve"> unlikely to have a more than minor impact. As such, the preparation of an Impact Analysis (IA) </w:t>
      </w:r>
      <w:r w:rsidR="008B4BE3">
        <w:rPr>
          <w:rFonts w:ascii="Times New Roman" w:eastAsia="Times New Roman" w:hAnsi="Times New Roman" w:cs="Times New Roman"/>
          <w:lang w:val="en-AU"/>
        </w:rPr>
        <w:t>was</w:t>
      </w:r>
      <w:r w:rsidR="0029780A" w:rsidRPr="0029780A">
        <w:rPr>
          <w:rFonts w:ascii="Times New Roman" w:eastAsia="Times New Roman" w:hAnsi="Times New Roman" w:cs="Times New Roman"/>
          <w:lang w:val="en-AU"/>
        </w:rPr>
        <w:t xml:space="preserve"> not required (OIA23-05319).</w:t>
      </w:r>
    </w:p>
    <w:p w14:paraId="03CEDA9E" w14:textId="1F0A51D3" w:rsidR="00606501" w:rsidRDefault="294E88F5">
      <w:r w:rsidRPr="2F35A303">
        <w:rPr>
          <w:rFonts w:ascii="Times New Roman" w:eastAsia="Times New Roman" w:hAnsi="Times New Roman" w:cs="Times New Roman"/>
          <w:b/>
          <w:bCs/>
          <w:color w:val="000000" w:themeColor="text1"/>
          <w:lang w:val="en-AU"/>
        </w:rPr>
        <w:t>Statement of compatibility with human rights</w:t>
      </w:r>
    </w:p>
    <w:p w14:paraId="7F95C33D" w14:textId="6141552F" w:rsidR="00606501" w:rsidRDefault="294E88F5" w:rsidP="2F35A303">
      <w:pPr>
        <w:jc w:val="both"/>
      </w:pPr>
      <w:r w:rsidRPr="2F35A303">
        <w:rPr>
          <w:rFonts w:ascii="Times New Roman" w:eastAsia="Times New Roman" w:hAnsi="Times New Roman" w:cs="Times New Roman"/>
          <w:color w:val="000000" w:themeColor="text1"/>
          <w:lang w:val="en-AU"/>
        </w:rPr>
        <w:t xml:space="preserve">Subsection 9(1) of the </w:t>
      </w:r>
      <w:r w:rsidRPr="2F35A303">
        <w:rPr>
          <w:rFonts w:ascii="Times New Roman" w:eastAsia="Times New Roman" w:hAnsi="Times New Roman" w:cs="Times New Roman"/>
          <w:i/>
          <w:iCs/>
          <w:color w:val="000000" w:themeColor="text1"/>
          <w:lang w:val="en-AU"/>
        </w:rPr>
        <w:t>Human Rights (Parliamentary Scrutiny) Act 2011</w:t>
      </w:r>
      <w:r w:rsidRPr="2F35A303">
        <w:rPr>
          <w:rFonts w:ascii="Times New Roman" w:eastAsia="Times New Roman" w:hAnsi="Times New Roman" w:cs="Times New Roman"/>
          <w:color w:val="000000" w:themeColor="text1"/>
          <w:lang w:val="en-AU"/>
        </w:rPr>
        <w:t xml:space="preserve"> requires a rule maker in relation to a legislative instrument to which section 42 (disallowance) of the LA applies, to cause a statement of compatibility with human rights to be prepared in respect of that legislative instrument.</w:t>
      </w:r>
    </w:p>
    <w:p w14:paraId="107BEE9C" w14:textId="00AA0AFE" w:rsidR="00606501" w:rsidRDefault="294E88F5" w:rsidP="2F35A303">
      <w:pPr>
        <w:jc w:val="both"/>
      </w:pPr>
      <w:r w:rsidRPr="2F35A303">
        <w:rPr>
          <w:rFonts w:ascii="Times New Roman" w:eastAsia="Times New Roman" w:hAnsi="Times New Roman" w:cs="Times New Roman"/>
          <w:color w:val="000000" w:themeColor="text1"/>
          <w:lang w:val="en-AU"/>
        </w:rPr>
        <w:t>This statement of compatibility has been prepared in accordance with that requirement.</w:t>
      </w:r>
    </w:p>
    <w:p w14:paraId="5336BA37" w14:textId="478B324D" w:rsidR="00606501" w:rsidRDefault="294E88F5" w:rsidP="2F35A303">
      <w:pPr>
        <w:jc w:val="both"/>
      </w:pPr>
      <w:r w:rsidRPr="2F35A303">
        <w:rPr>
          <w:rFonts w:ascii="Times New Roman" w:eastAsia="Times New Roman" w:hAnsi="Times New Roman" w:cs="Times New Roman"/>
          <w:b/>
          <w:bCs/>
          <w:i/>
          <w:iCs/>
          <w:color w:val="000000" w:themeColor="text1"/>
          <w:lang w:val="en-AU"/>
        </w:rPr>
        <w:t>Overview of the instrument</w:t>
      </w:r>
    </w:p>
    <w:p w14:paraId="01AA3AB2" w14:textId="5AAE5097" w:rsidR="00606501" w:rsidRPr="00E25979" w:rsidRDefault="294E88F5" w:rsidP="2F35A303">
      <w:pPr>
        <w:jc w:val="both"/>
      </w:pPr>
      <w:r w:rsidRPr="2F35A303">
        <w:rPr>
          <w:rFonts w:ascii="Times New Roman" w:eastAsia="Times New Roman" w:hAnsi="Times New Roman" w:cs="Times New Roman"/>
          <w:color w:val="000000" w:themeColor="text1"/>
          <w:lang w:val="en-AU"/>
        </w:rPr>
        <w:t xml:space="preserve">The purpose of the Amendment Determination is to </w:t>
      </w:r>
      <w:r w:rsidR="00E25979">
        <w:rPr>
          <w:rFonts w:ascii="Times New Roman" w:eastAsia="Times New Roman" w:hAnsi="Times New Roman" w:cs="Times New Roman"/>
          <w:lang w:val="en-AU"/>
        </w:rPr>
        <w:t xml:space="preserve">reduce the </w:t>
      </w:r>
      <w:r w:rsidR="00B15E71">
        <w:rPr>
          <w:rFonts w:ascii="Times New Roman" w:eastAsia="Times New Roman" w:hAnsi="Times New Roman" w:cs="Times New Roman"/>
          <w:lang w:val="en-AU"/>
        </w:rPr>
        <w:t>tax</w:t>
      </w:r>
      <w:r w:rsidR="00E25979">
        <w:rPr>
          <w:rFonts w:ascii="Times New Roman" w:eastAsia="Times New Roman" w:hAnsi="Times New Roman" w:cs="Times New Roman"/>
          <w:lang w:val="en-AU"/>
        </w:rPr>
        <w:t xml:space="preserve"> rate</w:t>
      </w:r>
      <w:r w:rsidR="00C66531">
        <w:rPr>
          <w:rFonts w:ascii="Times New Roman" w:eastAsia="Times New Roman" w:hAnsi="Times New Roman" w:cs="Times New Roman"/>
          <w:lang w:val="en-AU"/>
        </w:rPr>
        <w:t xml:space="preserve"> in relation to television outside broadcasting licences</w:t>
      </w:r>
      <w:r w:rsidR="008A396E">
        <w:rPr>
          <w:rFonts w:ascii="Times New Roman" w:eastAsia="Times New Roman" w:hAnsi="Times New Roman" w:cs="Times New Roman"/>
          <w:lang w:val="en-AU"/>
        </w:rPr>
        <w:t>, which are used by television broadcasters to conduct outside broadcasts</w:t>
      </w:r>
      <w:r w:rsidR="00E25979">
        <w:rPr>
          <w:rFonts w:ascii="Times New Roman" w:eastAsia="Times New Roman" w:hAnsi="Times New Roman" w:cs="Times New Roman"/>
          <w:lang w:val="en-AU"/>
        </w:rPr>
        <w:t>.</w:t>
      </w:r>
      <w:r w:rsidR="008A396E">
        <w:rPr>
          <w:rFonts w:ascii="Times New Roman" w:eastAsia="Times New Roman" w:hAnsi="Times New Roman" w:cs="Times New Roman"/>
          <w:lang w:val="en-AU"/>
        </w:rPr>
        <w:t xml:space="preserve"> </w:t>
      </w:r>
    </w:p>
    <w:p w14:paraId="0BFC3593" w14:textId="16F99618" w:rsidR="00606501" w:rsidRDefault="294E88F5" w:rsidP="007613EA">
      <w:pPr>
        <w:keepNext/>
      </w:pPr>
      <w:r w:rsidRPr="2F35A303">
        <w:rPr>
          <w:rFonts w:ascii="Times New Roman" w:eastAsia="Times New Roman" w:hAnsi="Times New Roman" w:cs="Times New Roman"/>
          <w:b/>
          <w:bCs/>
          <w:i/>
          <w:iCs/>
          <w:color w:val="000000" w:themeColor="text1"/>
          <w:lang w:val="en-AU"/>
        </w:rPr>
        <w:lastRenderedPageBreak/>
        <w:t>Human rights implications</w:t>
      </w:r>
    </w:p>
    <w:p w14:paraId="36EA8966" w14:textId="5612953B" w:rsidR="00606501" w:rsidRDefault="294E88F5">
      <w:r w:rsidRPr="2F35A303">
        <w:rPr>
          <w:rFonts w:ascii="Times New Roman" w:eastAsia="Times New Roman" w:hAnsi="Times New Roman" w:cs="Times New Roman"/>
          <w:color w:val="000000" w:themeColor="text1"/>
          <w:lang w:val="en-AU"/>
        </w:rPr>
        <w:t>The ACMA has assessed whether the Amendment Determination is compatible with human rights, being the rights and freedoms recognised or declared by the international instruments listed in subsection 3(1) of the</w:t>
      </w:r>
      <w:r w:rsidRPr="2F35A303">
        <w:rPr>
          <w:rFonts w:ascii="Times New Roman" w:eastAsia="Times New Roman" w:hAnsi="Times New Roman" w:cs="Times New Roman"/>
          <w:i/>
          <w:iCs/>
          <w:color w:val="000000" w:themeColor="text1"/>
          <w:lang w:val="en-AU"/>
        </w:rPr>
        <w:t xml:space="preserve"> Human Rights (Parliamentary Scrutiny) Act 2011 </w:t>
      </w:r>
      <w:r w:rsidRPr="2F35A303">
        <w:rPr>
          <w:rFonts w:ascii="Times New Roman" w:eastAsia="Times New Roman" w:hAnsi="Times New Roman" w:cs="Times New Roman"/>
          <w:color w:val="000000" w:themeColor="text1"/>
          <w:lang w:val="en-AU"/>
        </w:rPr>
        <w:t>as they apply to Australia.</w:t>
      </w:r>
    </w:p>
    <w:p w14:paraId="6A79F853" w14:textId="38220EF2" w:rsidR="00606501" w:rsidRDefault="294E88F5">
      <w:r w:rsidRPr="2F35A303">
        <w:rPr>
          <w:rFonts w:ascii="Times New Roman" w:eastAsia="Times New Roman" w:hAnsi="Times New Roman" w:cs="Times New Roman"/>
          <w:color w:val="000000" w:themeColor="text1"/>
          <w:lang w:val="en-AU"/>
        </w:rPr>
        <w:t xml:space="preserve">Having considered the likely impact of the Amendment Determination and the nature of the applicable rights and freedoms, the ACMA has formed the view that the instrument does not engage any of those rights or freedoms. </w:t>
      </w:r>
    </w:p>
    <w:p w14:paraId="5F376641" w14:textId="422AEC58" w:rsidR="00606501" w:rsidRDefault="294E88F5" w:rsidP="2F35A303">
      <w:pPr>
        <w:spacing w:line="253" w:lineRule="exact"/>
      </w:pPr>
      <w:r w:rsidRPr="2F35A303">
        <w:rPr>
          <w:rFonts w:ascii="Times New Roman" w:eastAsia="Times New Roman" w:hAnsi="Times New Roman" w:cs="Times New Roman"/>
          <w:b/>
          <w:bCs/>
          <w:i/>
          <w:iCs/>
          <w:color w:val="000000" w:themeColor="text1"/>
          <w:lang w:val="en-AU"/>
        </w:rPr>
        <w:t>Conclusion</w:t>
      </w:r>
    </w:p>
    <w:p w14:paraId="4F155E02" w14:textId="5263E051" w:rsidR="00606501" w:rsidRDefault="294E88F5">
      <w:r w:rsidRPr="2F35A303">
        <w:rPr>
          <w:rFonts w:ascii="Times New Roman" w:eastAsia="Times New Roman" w:hAnsi="Times New Roman" w:cs="Times New Roman"/>
          <w:color w:val="000000" w:themeColor="text1"/>
          <w:lang w:val="en-AU"/>
        </w:rPr>
        <w:t>The Amendment Determination is compatible with human rights and freedoms as it does not raise any human rights issues.</w:t>
      </w:r>
    </w:p>
    <w:p w14:paraId="0ED245D1" w14:textId="2295A966" w:rsidR="00606501" w:rsidRDefault="00643F74">
      <w:r>
        <w:br/>
      </w:r>
    </w:p>
    <w:p w14:paraId="155AFEE4" w14:textId="43E34766" w:rsidR="00606501" w:rsidRDefault="294E88F5">
      <w:r w:rsidRPr="2F35A303">
        <w:rPr>
          <w:rFonts w:ascii="Times New Roman" w:eastAsia="Times New Roman" w:hAnsi="Times New Roman" w:cs="Times New Roman"/>
          <w:color w:val="000000" w:themeColor="text1"/>
          <w:lang w:val="en-AU"/>
        </w:rPr>
        <w:t xml:space="preserve"> </w:t>
      </w:r>
    </w:p>
    <w:p w14:paraId="6EE00942" w14:textId="77777777" w:rsidR="004D0300" w:rsidRDefault="004D0300">
      <w:pP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br w:type="page"/>
      </w:r>
    </w:p>
    <w:p w14:paraId="6C4F02B8" w14:textId="681453CF" w:rsidR="00606501" w:rsidRDefault="294E88F5" w:rsidP="2F35A303">
      <w:pPr>
        <w:jc w:val="right"/>
      </w:pPr>
      <w:r w:rsidRPr="2F35A303">
        <w:rPr>
          <w:rFonts w:ascii="Arial" w:eastAsia="Arial" w:hAnsi="Arial" w:cs="Arial"/>
          <w:b/>
          <w:bCs/>
          <w:color w:val="000000" w:themeColor="text1"/>
          <w:sz w:val="28"/>
          <w:szCs w:val="28"/>
          <w:lang w:val="en-AU"/>
        </w:rPr>
        <w:lastRenderedPageBreak/>
        <w:t>Attachment A</w:t>
      </w:r>
    </w:p>
    <w:p w14:paraId="5FD1D054" w14:textId="77717115" w:rsidR="00606501" w:rsidRDefault="294E88F5" w:rsidP="2F35A303">
      <w:pPr>
        <w:jc w:val="center"/>
      </w:pPr>
      <w:r w:rsidRPr="2F35A303">
        <w:rPr>
          <w:rFonts w:ascii="Times New Roman" w:eastAsia="Times New Roman" w:hAnsi="Times New Roman" w:cs="Times New Roman"/>
          <w:b/>
          <w:bCs/>
          <w:color w:val="000000" w:themeColor="text1"/>
          <w:sz w:val="28"/>
          <w:szCs w:val="28"/>
          <w:lang w:val="en-AU"/>
        </w:rPr>
        <w:t xml:space="preserve">Notes to the </w:t>
      </w:r>
      <w:r w:rsidRPr="2F35A303">
        <w:rPr>
          <w:rFonts w:ascii="Times New Roman" w:eastAsia="Times New Roman" w:hAnsi="Times New Roman" w:cs="Times New Roman"/>
          <w:b/>
          <w:bCs/>
          <w:i/>
          <w:iCs/>
          <w:color w:val="000000" w:themeColor="text1"/>
          <w:sz w:val="28"/>
          <w:szCs w:val="28"/>
          <w:lang w:val="en-AU"/>
        </w:rPr>
        <w:t xml:space="preserve">Radiocommunications (Transmitter Licence Tax) Amendment Determination 2023 (No. </w:t>
      </w:r>
      <w:r w:rsidR="5AF469E2" w:rsidRPr="2F35A303">
        <w:rPr>
          <w:rFonts w:ascii="Times New Roman" w:eastAsia="Times New Roman" w:hAnsi="Times New Roman" w:cs="Times New Roman"/>
          <w:b/>
          <w:bCs/>
          <w:i/>
          <w:iCs/>
          <w:color w:val="000000" w:themeColor="text1"/>
          <w:sz w:val="28"/>
          <w:szCs w:val="28"/>
          <w:lang w:val="en-AU"/>
        </w:rPr>
        <w:t>2</w:t>
      </w:r>
      <w:r w:rsidRPr="2F35A303">
        <w:rPr>
          <w:rFonts w:ascii="Times New Roman" w:eastAsia="Times New Roman" w:hAnsi="Times New Roman" w:cs="Times New Roman"/>
          <w:b/>
          <w:bCs/>
          <w:i/>
          <w:iCs/>
          <w:color w:val="000000" w:themeColor="text1"/>
          <w:sz w:val="28"/>
          <w:szCs w:val="28"/>
          <w:lang w:val="en-AU"/>
        </w:rPr>
        <w:t>)</w:t>
      </w:r>
    </w:p>
    <w:p w14:paraId="54158FFB" w14:textId="6C5697BB"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1</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Name</w:t>
      </w:r>
    </w:p>
    <w:p w14:paraId="5F331F5F" w14:textId="2694D214" w:rsidR="00606501" w:rsidRDefault="294E88F5">
      <w:r w:rsidRPr="2F35A303">
        <w:rPr>
          <w:rFonts w:ascii="Times New Roman" w:eastAsia="Times New Roman" w:hAnsi="Times New Roman" w:cs="Times New Roman"/>
          <w:color w:val="000000" w:themeColor="text1"/>
          <w:lang w:val="en-AU"/>
        </w:rPr>
        <w:t xml:space="preserve">This section provides for the Amendment Determination to be cited as the </w:t>
      </w:r>
      <w:r w:rsidRPr="2F35A303">
        <w:rPr>
          <w:rFonts w:ascii="Times New Roman" w:eastAsia="Times New Roman" w:hAnsi="Times New Roman" w:cs="Times New Roman"/>
          <w:i/>
          <w:iCs/>
          <w:color w:val="000000" w:themeColor="text1"/>
          <w:lang w:val="en-AU"/>
        </w:rPr>
        <w:t xml:space="preserve">Radiocommunications (Transmitter Licence Tax) Amendment Determination 2023 (No. </w:t>
      </w:r>
      <w:r w:rsidR="0D67EB0F" w:rsidRPr="2F35A303">
        <w:rPr>
          <w:rFonts w:ascii="Times New Roman" w:eastAsia="Times New Roman" w:hAnsi="Times New Roman" w:cs="Times New Roman"/>
          <w:i/>
          <w:iCs/>
          <w:color w:val="000000" w:themeColor="text1"/>
          <w:lang w:val="en-AU"/>
        </w:rPr>
        <w:t>2</w:t>
      </w:r>
      <w:r w:rsidRPr="2F35A303">
        <w:rPr>
          <w:rFonts w:ascii="Times New Roman" w:eastAsia="Times New Roman" w:hAnsi="Times New Roman" w:cs="Times New Roman"/>
          <w:i/>
          <w:iCs/>
          <w:color w:val="000000" w:themeColor="text1"/>
          <w:lang w:val="en-AU"/>
        </w:rPr>
        <w:t>)</w:t>
      </w:r>
      <w:r w:rsidRPr="2F35A303">
        <w:rPr>
          <w:rFonts w:ascii="Times New Roman" w:eastAsia="Times New Roman" w:hAnsi="Times New Roman" w:cs="Times New Roman"/>
          <w:color w:val="000000" w:themeColor="text1"/>
          <w:lang w:val="en-AU"/>
        </w:rPr>
        <w:t>.</w:t>
      </w:r>
    </w:p>
    <w:p w14:paraId="6E1A0EFF" w14:textId="5107C9D5"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2</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Commencement</w:t>
      </w:r>
    </w:p>
    <w:p w14:paraId="502481D1" w14:textId="235347E8" w:rsidR="00606501" w:rsidRDefault="294E88F5">
      <w:r w:rsidRPr="2F35A303">
        <w:rPr>
          <w:rFonts w:ascii="Times New Roman" w:eastAsia="Times New Roman" w:hAnsi="Times New Roman" w:cs="Times New Roman"/>
          <w:color w:val="000000" w:themeColor="text1"/>
          <w:lang w:val="en-AU"/>
        </w:rPr>
        <w:t>This section provides for the Amendment Determination to commence at the start of the day after the day it is registered on the Federal Register of Legislation.</w:t>
      </w:r>
    </w:p>
    <w:p w14:paraId="1DAFB2CC" w14:textId="003E4A73" w:rsidR="00606501" w:rsidRDefault="294E88F5">
      <w:r w:rsidRPr="2F35A303">
        <w:rPr>
          <w:rFonts w:ascii="Times New Roman" w:eastAsia="Times New Roman" w:hAnsi="Times New Roman" w:cs="Times New Roman"/>
          <w:color w:val="000000" w:themeColor="text1"/>
          <w:lang w:val="en-AU"/>
        </w:rPr>
        <w:t xml:space="preserve">The Federal Register of Legislation may be accessed free of charge at </w:t>
      </w:r>
      <w:hyperlink r:id="rId11">
        <w:r w:rsidRPr="2F35A303">
          <w:rPr>
            <w:rStyle w:val="Hyperlink"/>
            <w:rFonts w:ascii="Times New Roman" w:eastAsia="Times New Roman" w:hAnsi="Times New Roman" w:cs="Times New Roman"/>
            <w:lang w:val="en-AU"/>
          </w:rPr>
          <w:t>www.legislation.gov.au</w:t>
        </w:r>
      </w:hyperlink>
      <w:r w:rsidRPr="2F35A303">
        <w:rPr>
          <w:rFonts w:ascii="Times New Roman" w:eastAsia="Times New Roman" w:hAnsi="Times New Roman" w:cs="Times New Roman"/>
          <w:color w:val="000000" w:themeColor="text1"/>
          <w:lang w:val="en-AU"/>
        </w:rPr>
        <w:t>.</w:t>
      </w:r>
    </w:p>
    <w:p w14:paraId="4DE97F7F" w14:textId="32D6D59C"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3</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Authority</w:t>
      </w:r>
    </w:p>
    <w:p w14:paraId="2061FDD9" w14:textId="4A41F418" w:rsidR="00606501" w:rsidRDefault="294E88F5">
      <w:r w:rsidRPr="2F35A303">
        <w:rPr>
          <w:rFonts w:ascii="Times New Roman" w:eastAsia="Times New Roman" w:hAnsi="Times New Roman" w:cs="Times New Roman"/>
          <w:color w:val="000000" w:themeColor="text1"/>
          <w:lang w:val="en-AU"/>
        </w:rPr>
        <w:t>Section 3 provides that the Amendment Determination is made under subsection 7(1) of the TLT Act.</w:t>
      </w:r>
    </w:p>
    <w:p w14:paraId="45C127E4" w14:textId="76CD845B"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4</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Amendments</w:t>
      </w:r>
    </w:p>
    <w:p w14:paraId="5B77E121" w14:textId="6F46245C" w:rsidR="00606501" w:rsidRDefault="294E88F5">
      <w:r w:rsidRPr="2F35A303">
        <w:rPr>
          <w:rFonts w:ascii="Times New Roman" w:eastAsia="Times New Roman" w:hAnsi="Times New Roman" w:cs="Times New Roman"/>
          <w:color w:val="000000" w:themeColor="text1"/>
          <w:lang w:val="en-AU"/>
        </w:rPr>
        <w:t>Section 4 provides that the Determination is amended as set out in Schedule 1 to the Amendment Determination.</w:t>
      </w:r>
    </w:p>
    <w:p w14:paraId="0EB8DB81" w14:textId="61D33B0B" w:rsidR="00606501" w:rsidRDefault="294E88F5">
      <w:r w:rsidRPr="2F35A303">
        <w:rPr>
          <w:rFonts w:ascii="Times New Roman" w:eastAsia="Times New Roman" w:hAnsi="Times New Roman" w:cs="Times New Roman"/>
          <w:color w:val="000000" w:themeColor="text1"/>
          <w:lang w:val="en-AU"/>
        </w:rPr>
        <w:t xml:space="preserve"> </w:t>
      </w:r>
    </w:p>
    <w:p w14:paraId="06F65167" w14:textId="43D7439A" w:rsidR="00606501" w:rsidRDefault="294E88F5">
      <w:r w:rsidRPr="2F35A303">
        <w:rPr>
          <w:rFonts w:ascii="Times New Roman" w:eastAsia="Times New Roman" w:hAnsi="Times New Roman" w:cs="Times New Roman"/>
          <w:b/>
          <w:bCs/>
          <w:color w:val="000000" w:themeColor="text1"/>
          <w:lang w:val="en-AU"/>
        </w:rPr>
        <w:t>Schedule 1—Amendments</w:t>
      </w:r>
    </w:p>
    <w:p w14:paraId="4FBDC851" w14:textId="488F79D5" w:rsidR="00606501" w:rsidRDefault="294E88F5">
      <w:r w:rsidRPr="2F35A303">
        <w:rPr>
          <w:rFonts w:ascii="Times New Roman" w:eastAsia="Times New Roman" w:hAnsi="Times New Roman" w:cs="Times New Roman"/>
          <w:b/>
          <w:bCs/>
          <w:color w:val="000000" w:themeColor="text1"/>
          <w:lang w:val="en-AU"/>
        </w:rPr>
        <w:t>Item 1</w:t>
      </w:r>
    </w:p>
    <w:p w14:paraId="672A6659" w14:textId="21115A62" w:rsidR="00606501" w:rsidRDefault="294E88F5" w:rsidP="2F35A303">
      <w:r w:rsidRPr="2F35A303">
        <w:rPr>
          <w:rFonts w:ascii="Times New Roman" w:eastAsia="Times New Roman" w:hAnsi="Times New Roman" w:cs="Times New Roman"/>
          <w:color w:val="000000" w:themeColor="text1"/>
          <w:lang w:val="en-AU"/>
        </w:rPr>
        <w:t xml:space="preserve">Item 1 </w:t>
      </w:r>
      <w:r w:rsidR="00775D04">
        <w:rPr>
          <w:rFonts w:ascii="Times New Roman" w:eastAsia="Times New Roman" w:hAnsi="Times New Roman" w:cs="Times New Roman"/>
          <w:color w:val="000000" w:themeColor="text1"/>
          <w:lang w:val="en-AU"/>
        </w:rPr>
        <w:t>lower</w:t>
      </w:r>
      <w:r w:rsidR="009E12B5">
        <w:rPr>
          <w:rFonts w:ascii="Times New Roman" w:eastAsia="Times New Roman" w:hAnsi="Times New Roman" w:cs="Times New Roman"/>
          <w:color w:val="000000" w:themeColor="text1"/>
          <w:lang w:val="en-AU"/>
        </w:rPr>
        <w:t>s</w:t>
      </w:r>
      <w:r w:rsidR="00775D04">
        <w:rPr>
          <w:rFonts w:ascii="Times New Roman" w:eastAsia="Times New Roman" w:hAnsi="Times New Roman" w:cs="Times New Roman"/>
          <w:color w:val="000000" w:themeColor="text1"/>
          <w:lang w:val="en-AU"/>
        </w:rPr>
        <w:t xml:space="preserve"> the</w:t>
      </w:r>
      <w:r w:rsidR="00A14AF8">
        <w:rPr>
          <w:rFonts w:ascii="Times New Roman" w:eastAsia="Times New Roman" w:hAnsi="Times New Roman" w:cs="Times New Roman"/>
          <w:color w:val="000000" w:themeColor="text1"/>
          <w:lang w:val="en-AU"/>
        </w:rPr>
        <w:t xml:space="preserve"> </w:t>
      </w:r>
      <w:r w:rsidR="009E12B5">
        <w:rPr>
          <w:rFonts w:ascii="Times New Roman" w:eastAsia="Times New Roman" w:hAnsi="Times New Roman" w:cs="Times New Roman"/>
          <w:color w:val="000000" w:themeColor="text1"/>
          <w:lang w:val="en-AU"/>
        </w:rPr>
        <w:t>tax rate for</w:t>
      </w:r>
      <w:r w:rsidR="00775D04">
        <w:rPr>
          <w:rFonts w:ascii="Times New Roman" w:eastAsia="Times New Roman" w:hAnsi="Times New Roman" w:cs="Times New Roman"/>
          <w:color w:val="000000" w:themeColor="text1"/>
          <w:lang w:val="en-AU"/>
        </w:rPr>
        <w:t xml:space="preserve"> TOBN</w:t>
      </w:r>
      <w:r w:rsidR="00A14AF8">
        <w:rPr>
          <w:rFonts w:ascii="Times New Roman" w:eastAsia="Times New Roman" w:hAnsi="Times New Roman" w:cs="Times New Roman"/>
          <w:color w:val="000000" w:themeColor="text1"/>
          <w:lang w:val="en-AU"/>
        </w:rPr>
        <w:t xml:space="preserve"> licence</w:t>
      </w:r>
      <w:r w:rsidR="009E12B5">
        <w:rPr>
          <w:rFonts w:ascii="Times New Roman" w:eastAsia="Times New Roman" w:hAnsi="Times New Roman" w:cs="Times New Roman"/>
          <w:color w:val="000000" w:themeColor="text1"/>
          <w:lang w:val="en-AU"/>
        </w:rPr>
        <w:t>s</w:t>
      </w:r>
      <w:r w:rsidR="00A14AF8">
        <w:rPr>
          <w:rFonts w:ascii="Times New Roman" w:eastAsia="Times New Roman" w:hAnsi="Times New Roman" w:cs="Times New Roman"/>
          <w:color w:val="000000" w:themeColor="text1"/>
          <w:lang w:val="en-AU"/>
        </w:rPr>
        <w:t xml:space="preserve"> to $211,701</w:t>
      </w:r>
      <w:r w:rsidR="009E12B5">
        <w:rPr>
          <w:rFonts w:ascii="Times New Roman" w:eastAsia="Times New Roman" w:hAnsi="Times New Roman" w:cs="Times New Roman"/>
          <w:color w:val="000000" w:themeColor="text1"/>
          <w:lang w:val="en-AU"/>
        </w:rPr>
        <w:t>, down</w:t>
      </w:r>
      <w:r w:rsidR="00A14AF8">
        <w:rPr>
          <w:rFonts w:ascii="Times New Roman" w:eastAsia="Times New Roman" w:hAnsi="Times New Roman" w:cs="Times New Roman"/>
          <w:color w:val="000000" w:themeColor="text1"/>
          <w:lang w:val="en-AU"/>
        </w:rPr>
        <w:t xml:space="preserve"> from $415,889</w:t>
      </w:r>
      <w:r w:rsidR="00B90B7F">
        <w:rPr>
          <w:rFonts w:ascii="Times New Roman" w:eastAsia="Times New Roman" w:hAnsi="Times New Roman" w:cs="Times New Roman"/>
          <w:color w:val="000000" w:themeColor="text1"/>
          <w:lang w:val="en-AU"/>
        </w:rPr>
        <w:t>.</w:t>
      </w:r>
    </w:p>
    <w:sectPr w:rsidR="0060650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CE1A" w14:textId="77777777" w:rsidR="00BF262B" w:rsidRDefault="00BF262B" w:rsidP="004D0300">
      <w:pPr>
        <w:spacing w:after="0" w:line="240" w:lineRule="auto"/>
      </w:pPr>
      <w:r>
        <w:separator/>
      </w:r>
    </w:p>
  </w:endnote>
  <w:endnote w:type="continuationSeparator" w:id="0">
    <w:p w14:paraId="3EA63F71" w14:textId="77777777" w:rsidR="00BF262B" w:rsidRDefault="00BF262B" w:rsidP="004D0300">
      <w:pPr>
        <w:spacing w:after="0" w:line="240" w:lineRule="auto"/>
      </w:pPr>
      <w:r>
        <w:continuationSeparator/>
      </w:r>
    </w:p>
  </w:endnote>
  <w:endnote w:type="continuationNotice" w:id="1">
    <w:p w14:paraId="4E0043E8" w14:textId="77777777" w:rsidR="00BF262B" w:rsidRDefault="00BF2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2820" w14:textId="2A1175AE" w:rsidR="004D0300" w:rsidRPr="00D0621E" w:rsidRDefault="004D0300" w:rsidP="007613EA">
    <w:pPr>
      <w:pStyle w:val="Footer"/>
      <w:pBdr>
        <w:top w:val="single" w:sz="4" w:space="1" w:color="auto"/>
      </w:pBdr>
      <w:jc w:val="center"/>
      <w:rPr>
        <w:rFonts w:ascii="Times New Roman" w:hAnsi="Times New Roman"/>
        <w:i/>
      </w:rPr>
    </w:pPr>
    <w:r w:rsidRPr="00D0621E">
      <w:rPr>
        <w:rFonts w:ascii="Times New Roman" w:hAnsi="Times New Roman"/>
        <w:i/>
      </w:rPr>
      <w:t>Explanatory Statement to the Radiocommunications (</w:t>
    </w:r>
    <w:r>
      <w:rPr>
        <w:rFonts w:ascii="Times New Roman" w:hAnsi="Times New Roman"/>
        <w:i/>
      </w:rPr>
      <w:t xml:space="preserve">Transmitter </w:t>
    </w:r>
    <w:proofErr w:type="spellStart"/>
    <w:r w:rsidRPr="00D0621E">
      <w:rPr>
        <w:rFonts w:ascii="Times New Roman" w:hAnsi="Times New Roman"/>
        <w:i/>
      </w:rPr>
      <w:t>Licence</w:t>
    </w:r>
    <w:proofErr w:type="spellEnd"/>
    <w:r w:rsidRPr="00D0621E">
      <w:rPr>
        <w:rFonts w:ascii="Times New Roman" w:hAnsi="Times New Roman"/>
        <w:i/>
      </w:rPr>
      <w:t xml:space="preserve"> Tax) </w:t>
    </w:r>
    <w:r>
      <w:rPr>
        <w:rFonts w:ascii="Times New Roman" w:hAnsi="Times New Roman"/>
        <w:i/>
      </w:rPr>
      <w:t xml:space="preserve">Amendment </w:t>
    </w:r>
    <w:r w:rsidRPr="00D0621E">
      <w:rPr>
        <w:rFonts w:ascii="Times New Roman" w:hAnsi="Times New Roman"/>
        <w:i/>
      </w:rPr>
      <w:t xml:space="preserve">Determination </w:t>
    </w:r>
    <w:r w:rsidRPr="00921581">
      <w:rPr>
        <w:rFonts w:ascii="Times New Roman" w:hAnsi="Times New Roman"/>
        <w:i/>
      </w:rPr>
      <w:t xml:space="preserve">2023 (No. </w:t>
    </w:r>
    <w:r>
      <w:rPr>
        <w:rFonts w:ascii="Times New Roman" w:hAnsi="Times New Roman"/>
        <w:i/>
      </w:rPr>
      <w:t>2</w:t>
    </w:r>
    <w:r w:rsidRPr="00921581">
      <w:rPr>
        <w:rFonts w:ascii="Times New Roman" w:hAnsi="Times New Roman"/>
        <w:i/>
      </w:rPr>
      <w:t>)</w:t>
    </w:r>
  </w:p>
  <w:p w14:paraId="5E9E606A" w14:textId="77777777" w:rsidR="004D0300" w:rsidRPr="00D0621E" w:rsidRDefault="004D0300" w:rsidP="004D0300">
    <w:pPr>
      <w:pStyle w:val="Footer"/>
      <w:jc w:val="right"/>
      <w:rPr>
        <w:rFonts w:ascii="Times New Roman" w:hAnsi="Times New Roman"/>
        <w:iCs/>
      </w:rPr>
    </w:pPr>
    <w:r w:rsidRPr="00D0621E">
      <w:rPr>
        <w:rFonts w:ascii="Times New Roman" w:hAnsi="Times New Roman"/>
        <w:iCs/>
      </w:rPr>
      <w:fldChar w:fldCharType="begin"/>
    </w:r>
    <w:r w:rsidRPr="00D0621E">
      <w:rPr>
        <w:rFonts w:ascii="Times New Roman" w:hAnsi="Times New Roman"/>
        <w:iCs/>
      </w:rPr>
      <w:instrText xml:space="preserve"> PAGE   \* MERGEFORMAT </w:instrText>
    </w:r>
    <w:r w:rsidRPr="00D0621E">
      <w:rPr>
        <w:rFonts w:ascii="Times New Roman" w:hAnsi="Times New Roman"/>
        <w:iCs/>
      </w:rPr>
      <w:fldChar w:fldCharType="separate"/>
    </w:r>
    <w:r>
      <w:rPr>
        <w:rFonts w:ascii="Times New Roman" w:hAnsi="Times New Roman"/>
        <w:iCs/>
      </w:rPr>
      <w:t>2</w:t>
    </w:r>
    <w:r w:rsidRPr="00D0621E">
      <w:rPr>
        <w:rFonts w:ascii="Times New Roman" w:hAnsi="Times New Roman"/>
        <w:iCs/>
        <w:noProof/>
      </w:rPr>
      <w:fldChar w:fldCharType="end"/>
    </w:r>
  </w:p>
  <w:p w14:paraId="4BBC73EB" w14:textId="77777777" w:rsidR="004D0300" w:rsidRDefault="004D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2683" w14:textId="77777777" w:rsidR="00BF262B" w:rsidRDefault="00BF262B" w:rsidP="004D0300">
      <w:pPr>
        <w:spacing w:after="0" w:line="240" w:lineRule="auto"/>
      </w:pPr>
      <w:r>
        <w:separator/>
      </w:r>
    </w:p>
  </w:footnote>
  <w:footnote w:type="continuationSeparator" w:id="0">
    <w:p w14:paraId="0F295CA7" w14:textId="77777777" w:rsidR="00BF262B" w:rsidRDefault="00BF262B" w:rsidP="004D0300">
      <w:pPr>
        <w:spacing w:after="0" w:line="240" w:lineRule="auto"/>
      </w:pPr>
      <w:r>
        <w:continuationSeparator/>
      </w:r>
    </w:p>
  </w:footnote>
  <w:footnote w:type="continuationNotice" w:id="1">
    <w:p w14:paraId="2751F966" w14:textId="77777777" w:rsidR="00BF262B" w:rsidRDefault="00BF26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65D2F"/>
    <w:multiLevelType w:val="hybridMultilevel"/>
    <w:tmpl w:val="753CE2F6"/>
    <w:lvl w:ilvl="0" w:tplc="6F44128A">
      <w:numFmt w:val="bullet"/>
      <w:lvlText w:val=""/>
      <w:lvlJc w:val="left"/>
      <w:pPr>
        <w:ind w:left="765" w:hanging="405"/>
      </w:pPr>
      <w:rPr>
        <w:rFonts w:ascii="Symbol" w:eastAsia="Symbol" w:hAnsi="Symbol" w:cs="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DB7B3E"/>
    <w:multiLevelType w:val="hybridMultilevel"/>
    <w:tmpl w:val="ACD27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653596">
    <w:abstractNumId w:val="1"/>
  </w:num>
  <w:num w:numId="2" w16cid:durableId="172185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21691E"/>
    <w:rsid w:val="00014C40"/>
    <w:rsid w:val="000251C4"/>
    <w:rsid w:val="00051919"/>
    <w:rsid w:val="00075B17"/>
    <w:rsid w:val="0008235F"/>
    <w:rsid w:val="00096766"/>
    <w:rsid w:val="000A1B55"/>
    <w:rsid w:val="000A53EE"/>
    <w:rsid w:val="000A6947"/>
    <w:rsid w:val="000D3E0E"/>
    <w:rsid w:val="000E042B"/>
    <w:rsid w:val="000E5A92"/>
    <w:rsid w:val="000F1996"/>
    <w:rsid w:val="001015A2"/>
    <w:rsid w:val="00112DA5"/>
    <w:rsid w:val="001133A3"/>
    <w:rsid w:val="00124D65"/>
    <w:rsid w:val="00145519"/>
    <w:rsid w:val="00173CF5"/>
    <w:rsid w:val="00181264"/>
    <w:rsid w:val="001A7F45"/>
    <w:rsid w:val="001B64F9"/>
    <w:rsid w:val="001F1C5B"/>
    <w:rsid w:val="00203653"/>
    <w:rsid w:val="00221361"/>
    <w:rsid w:val="0022784E"/>
    <w:rsid w:val="00252C48"/>
    <w:rsid w:val="00253700"/>
    <w:rsid w:val="00253EC6"/>
    <w:rsid w:val="002617EA"/>
    <w:rsid w:val="00290006"/>
    <w:rsid w:val="0029780A"/>
    <w:rsid w:val="00301927"/>
    <w:rsid w:val="00337D5F"/>
    <w:rsid w:val="00381827"/>
    <w:rsid w:val="003866B3"/>
    <w:rsid w:val="00390133"/>
    <w:rsid w:val="00390271"/>
    <w:rsid w:val="003A4460"/>
    <w:rsid w:val="003B1E38"/>
    <w:rsid w:val="003B71CD"/>
    <w:rsid w:val="00403C7E"/>
    <w:rsid w:val="004104D4"/>
    <w:rsid w:val="00454016"/>
    <w:rsid w:val="00466D4E"/>
    <w:rsid w:val="004841F3"/>
    <w:rsid w:val="00491263"/>
    <w:rsid w:val="00492373"/>
    <w:rsid w:val="00496745"/>
    <w:rsid w:val="004D0300"/>
    <w:rsid w:val="004E4EE2"/>
    <w:rsid w:val="004F02CC"/>
    <w:rsid w:val="004F0BF9"/>
    <w:rsid w:val="00503011"/>
    <w:rsid w:val="0053099B"/>
    <w:rsid w:val="005622EE"/>
    <w:rsid w:val="00562F96"/>
    <w:rsid w:val="005841D3"/>
    <w:rsid w:val="00590FF6"/>
    <w:rsid w:val="005921D8"/>
    <w:rsid w:val="00592823"/>
    <w:rsid w:val="00592A20"/>
    <w:rsid w:val="005B4739"/>
    <w:rsid w:val="005C12DF"/>
    <w:rsid w:val="005C1EAF"/>
    <w:rsid w:val="005C440B"/>
    <w:rsid w:val="005C6952"/>
    <w:rsid w:val="005D0514"/>
    <w:rsid w:val="00602D9D"/>
    <w:rsid w:val="00606501"/>
    <w:rsid w:val="00610D14"/>
    <w:rsid w:val="00626B43"/>
    <w:rsid w:val="00643F74"/>
    <w:rsid w:val="00652AE4"/>
    <w:rsid w:val="00685633"/>
    <w:rsid w:val="00692C16"/>
    <w:rsid w:val="006943E3"/>
    <w:rsid w:val="006B3CDE"/>
    <w:rsid w:val="006C52D0"/>
    <w:rsid w:val="006C5E6B"/>
    <w:rsid w:val="006C686C"/>
    <w:rsid w:val="006F10E8"/>
    <w:rsid w:val="00710552"/>
    <w:rsid w:val="007136C5"/>
    <w:rsid w:val="00730D5F"/>
    <w:rsid w:val="00735D4B"/>
    <w:rsid w:val="00740CBB"/>
    <w:rsid w:val="00743BC7"/>
    <w:rsid w:val="00753318"/>
    <w:rsid w:val="00754D7D"/>
    <w:rsid w:val="007613EA"/>
    <w:rsid w:val="00767F2D"/>
    <w:rsid w:val="00774531"/>
    <w:rsid w:val="00775D04"/>
    <w:rsid w:val="00777F5B"/>
    <w:rsid w:val="00786CC2"/>
    <w:rsid w:val="00795A53"/>
    <w:rsid w:val="007A0B4D"/>
    <w:rsid w:val="007A5595"/>
    <w:rsid w:val="007A5AB4"/>
    <w:rsid w:val="007B3E12"/>
    <w:rsid w:val="007C4DAC"/>
    <w:rsid w:val="007C7E96"/>
    <w:rsid w:val="007D104A"/>
    <w:rsid w:val="007D2A26"/>
    <w:rsid w:val="007D4940"/>
    <w:rsid w:val="007F3A12"/>
    <w:rsid w:val="007F55AD"/>
    <w:rsid w:val="007F5EB9"/>
    <w:rsid w:val="00816EA1"/>
    <w:rsid w:val="00821124"/>
    <w:rsid w:val="00824F2A"/>
    <w:rsid w:val="0082793B"/>
    <w:rsid w:val="00844E54"/>
    <w:rsid w:val="008467FB"/>
    <w:rsid w:val="00867BDC"/>
    <w:rsid w:val="00880A3E"/>
    <w:rsid w:val="0088701E"/>
    <w:rsid w:val="008939C6"/>
    <w:rsid w:val="008A3489"/>
    <w:rsid w:val="008A396E"/>
    <w:rsid w:val="008B4BE3"/>
    <w:rsid w:val="008C238C"/>
    <w:rsid w:val="008E2968"/>
    <w:rsid w:val="008F07FC"/>
    <w:rsid w:val="00900543"/>
    <w:rsid w:val="0090135B"/>
    <w:rsid w:val="00902F6A"/>
    <w:rsid w:val="00906D2E"/>
    <w:rsid w:val="00942CD9"/>
    <w:rsid w:val="00950B66"/>
    <w:rsid w:val="0095778C"/>
    <w:rsid w:val="009A0AE7"/>
    <w:rsid w:val="009A4C6B"/>
    <w:rsid w:val="009E12B5"/>
    <w:rsid w:val="00A0369E"/>
    <w:rsid w:val="00A14AF8"/>
    <w:rsid w:val="00A172D6"/>
    <w:rsid w:val="00A22761"/>
    <w:rsid w:val="00A569FB"/>
    <w:rsid w:val="00A7676F"/>
    <w:rsid w:val="00A829AA"/>
    <w:rsid w:val="00AA7074"/>
    <w:rsid w:val="00AB0BBD"/>
    <w:rsid w:val="00AB16D4"/>
    <w:rsid w:val="00AB625F"/>
    <w:rsid w:val="00AB6F53"/>
    <w:rsid w:val="00AF0C82"/>
    <w:rsid w:val="00B12731"/>
    <w:rsid w:val="00B14FF0"/>
    <w:rsid w:val="00B15E71"/>
    <w:rsid w:val="00B227C4"/>
    <w:rsid w:val="00B41B6A"/>
    <w:rsid w:val="00B76B36"/>
    <w:rsid w:val="00B77E53"/>
    <w:rsid w:val="00B90B7F"/>
    <w:rsid w:val="00B93D69"/>
    <w:rsid w:val="00BA11F6"/>
    <w:rsid w:val="00BB7B35"/>
    <w:rsid w:val="00BF20FB"/>
    <w:rsid w:val="00BF262B"/>
    <w:rsid w:val="00C21EBA"/>
    <w:rsid w:val="00C23EC3"/>
    <w:rsid w:val="00C30BE0"/>
    <w:rsid w:val="00C30C2B"/>
    <w:rsid w:val="00C41178"/>
    <w:rsid w:val="00C5035E"/>
    <w:rsid w:val="00C53D95"/>
    <w:rsid w:val="00C64D78"/>
    <w:rsid w:val="00C66531"/>
    <w:rsid w:val="00C71BC0"/>
    <w:rsid w:val="00C969E6"/>
    <w:rsid w:val="00CB59DE"/>
    <w:rsid w:val="00CB7374"/>
    <w:rsid w:val="00CD46AD"/>
    <w:rsid w:val="00CE4A3D"/>
    <w:rsid w:val="00D059C8"/>
    <w:rsid w:val="00D222BA"/>
    <w:rsid w:val="00D23461"/>
    <w:rsid w:val="00D34472"/>
    <w:rsid w:val="00D52D4F"/>
    <w:rsid w:val="00D54B57"/>
    <w:rsid w:val="00D80479"/>
    <w:rsid w:val="00D85369"/>
    <w:rsid w:val="00D90BCD"/>
    <w:rsid w:val="00DA2D41"/>
    <w:rsid w:val="00DA538E"/>
    <w:rsid w:val="00DA59DA"/>
    <w:rsid w:val="00DA7663"/>
    <w:rsid w:val="00DB6628"/>
    <w:rsid w:val="00DD1985"/>
    <w:rsid w:val="00DE4156"/>
    <w:rsid w:val="00E125E8"/>
    <w:rsid w:val="00E25979"/>
    <w:rsid w:val="00E331AF"/>
    <w:rsid w:val="00E35134"/>
    <w:rsid w:val="00E42DE9"/>
    <w:rsid w:val="00E45C98"/>
    <w:rsid w:val="00E467E5"/>
    <w:rsid w:val="00E630EF"/>
    <w:rsid w:val="00E65AF9"/>
    <w:rsid w:val="00E92247"/>
    <w:rsid w:val="00EB7AA8"/>
    <w:rsid w:val="00EC45BB"/>
    <w:rsid w:val="00EE0CC8"/>
    <w:rsid w:val="00EE3E65"/>
    <w:rsid w:val="00EF309E"/>
    <w:rsid w:val="00F128F3"/>
    <w:rsid w:val="00F174A1"/>
    <w:rsid w:val="00F22176"/>
    <w:rsid w:val="00F336F4"/>
    <w:rsid w:val="00F34A31"/>
    <w:rsid w:val="00F52E08"/>
    <w:rsid w:val="00F5734C"/>
    <w:rsid w:val="00F65F06"/>
    <w:rsid w:val="00F726BA"/>
    <w:rsid w:val="00F81EE1"/>
    <w:rsid w:val="00F85007"/>
    <w:rsid w:val="00F951A3"/>
    <w:rsid w:val="00FC3D7E"/>
    <w:rsid w:val="00FC6CD6"/>
    <w:rsid w:val="00FD24D3"/>
    <w:rsid w:val="00FE6041"/>
    <w:rsid w:val="00FF23EB"/>
    <w:rsid w:val="00FF4764"/>
    <w:rsid w:val="0D67EB0F"/>
    <w:rsid w:val="1FDF498B"/>
    <w:rsid w:val="294E88F5"/>
    <w:rsid w:val="2F35A303"/>
    <w:rsid w:val="38C4BEAD"/>
    <w:rsid w:val="43E6299B"/>
    <w:rsid w:val="4421691E"/>
    <w:rsid w:val="5AF4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691E"/>
  <w15:chartTrackingRefBased/>
  <w15:docId w15:val="{2A88B214-EF81-44CE-B5A4-81795BC0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0F1996"/>
    <w:rPr>
      <w:sz w:val="16"/>
      <w:szCs w:val="16"/>
    </w:rPr>
  </w:style>
  <w:style w:type="paragraph" w:styleId="CommentText">
    <w:name w:val="annotation text"/>
    <w:basedOn w:val="Normal"/>
    <w:link w:val="CommentTextChar"/>
    <w:uiPriority w:val="99"/>
    <w:unhideWhenUsed/>
    <w:rsid w:val="000F1996"/>
    <w:pPr>
      <w:spacing w:line="240" w:lineRule="auto"/>
    </w:pPr>
    <w:rPr>
      <w:sz w:val="20"/>
      <w:szCs w:val="20"/>
    </w:rPr>
  </w:style>
  <w:style w:type="character" w:customStyle="1" w:styleId="CommentTextChar">
    <w:name w:val="Comment Text Char"/>
    <w:basedOn w:val="DefaultParagraphFont"/>
    <w:link w:val="CommentText"/>
    <w:uiPriority w:val="99"/>
    <w:rsid w:val="000F1996"/>
    <w:rPr>
      <w:sz w:val="20"/>
      <w:szCs w:val="20"/>
    </w:rPr>
  </w:style>
  <w:style w:type="paragraph" w:styleId="CommentSubject">
    <w:name w:val="annotation subject"/>
    <w:basedOn w:val="CommentText"/>
    <w:next w:val="CommentText"/>
    <w:link w:val="CommentSubjectChar"/>
    <w:uiPriority w:val="99"/>
    <w:semiHidden/>
    <w:unhideWhenUsed/>
    <w:rsid w:val="000F1996"/>
    <w:rPr>
      <w:b/>
      <w:bCs/>
    </w:rPr>
  </w:style>
  <w:style w:type="character" w:customStyle="1" w:styleId="CommentSubjectChar">
    <w:name w:val="Comment Subject Char"/>
    <w:basedOn w:val="CommentTextChar"/>
    <w:link w:val="CommentSubject"/>
    <w:uiPriority w:val="99"/>
    <w:semiHidden/>
    <w:rsid w:val="000F1996"/>
    <w:rPr>
      <w:b/>
      <w:bCs/>
      <w:sz w:val="20"/>
      <w:szCs w:val="20"/>
    </w:rPr>
  </w:style>
  <w:style w:type="paragraph" w:styleId="Revision">
    <w:name w:val="Revision"/>
    <w:hidden/>
    <w:uiPriority w:val="99"/>
    <w:semiHidden/>
    <w:rsid w:val="006C686C"/>
    <w:pPr>
      <w:spacing w:after="0" w:line="240" w:lineRule="auto"/>
    </w:pPr>
  </w:style>
  <w:style w:type="paragraph" w:styleId="ListParagraph">
    <w:name w:val="List Paragraph"/>
    <w:basedOn w:val="Normal"/>
    <w:uiPriority w:val="34"/>
    <w:qFormat/>
    <w:rsid w:val="006C686C"/>
    <w:pPr>
      <w:ind w:left="720"/>
      <w:contextualSpacing/>
    </w:pPr>
  </w:style>
  <w:style w:type="paragraph" w:styleId="Header">
    <w:name w:val="header"/>
    <w:basedOn w:val="Normal"/>
    <w:link w:val="HeaderChar"/>
    <w:uiPriority w:val="99"/>
    <w:unhideWhenUsed/>
    <w:rsid w:val="004D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300"/>
  </w:style>
  <w:style w:type="paragraph" w:styleId="Footer">
    <w:name w:val="footer"/>
    <w:basedOn w:val="Normal"/>
    <w:link w:val="FooterChar"/>
    <w:uiPriority w:val="99"/>
    <w:unhideWhenUsed/>
    <w:rsid w:val="004D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zampag/AppData/Local/Microsoft/Windows/INetCache/Content.Outlook/9XSPXWMB/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UQVA7MFFXVNW-850449931-850</_dlc_DocId>
    <_dlc_DocIdUrl xmlns="04b8ec43-391f-4ce4-8841-d6a482add564">
      <Url>http://collaboration/organisation/auth/Chair/Auth/_layouts/15/DocIdRedir.aspx?ID=UQVA7MFFXVNW-850449931-850</Url>
      <Description>UQVA7MFFXVNW-850449931-850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977AD2-393C-495E-A800-8A2ECD64AA6E}">
  <ds:schemaRefs>
    <ds:schemaRef ds:uri="http://schemas.microsoft.com/sharepoint/v3/contenttype/forms"/>
  </ds:schemaRefs>
</ds:datastoreItem>
</file>

<file path=customXml/itemProps2.xml><?xml version="1.0" encoding="utf-8"?>
<ds:datastoreItem xmlns:ds="http://schemas.openxmlformats.org/officeDocument/2006/customXml" ds:itemID="{EB9877E8-03AD-4367-8BC1-DD0DC01AE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EC862-6A46-4923-96AA-406D95F3BA26}">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4.xml><?xml version="1.0" encoding="utf-8"?>
<ds:datastoreItem xmlns:ds="http://schemas.openxmlformats.org/officeDocument/2006/customXml" ds:itemID="{5BBB3A56-CF84-4296-A4CB-C134C740CB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6174</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Links>
    <vt:vector size="6" baseType="variant">
      <vt:variant>
        <vt:i4>458783</vt:i4>
      </vt:variant>
      <vt:variant>
        <vt:i4>0</vt:i4>
      </vt:variant>
      <vt:variant>
        <vt:i4>0</vt:i4>
      </vt:variant>
      <vt:variant>
        <vt:i4>5</vt:i4>
      </vt:variant>
      <vt:variant>
        <vt:lpwstr>C:\Users\tzampag\AppData\Local\Microsoft\Windows\INetCache\Content.Outlook\9XSPXWMB\www.legislation.gov.au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O'Neill</dc:creator>
  <cp:keywords/>
  <dc:description/>
  <cp:lastModifiedBy>Patrick Belton</cp:lastModifiedBy>
  <cp:revision>3</cp:revision>
  <dcterms:created xsi:type="dcterms:W3CDTF">2023-08-04T05:59:00Z</dcterms:created>
  <dcterms:modified xsi:type="dcterms:W3CDTF">2023-08-04T05:59:00Z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MediaServiceImageTags">
    <vt:lpwstr/>
  </property>
  <property fmtid="{D5CDD505-2E9C-101B-9397-08002B2CF9AE}" pid="4" name="TitusGUID">
    <vt:lpwstr>ae5f77d8-28e1-40b8-8433-4d9c08aa43db</vt:lpwstr>
  </property>
  <property fmtid="{D5CDD505-2E9C-101B-9397-08002B2CF9AE}" pid="5" name="_dlc_DocIdItemGuid">
    <vt:lpwstr>8466ea99-56b5-4ac4-bbdd-ae999c134335</vt:lpwstr>
  </property>
</Properties>
</file>