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7CBBF626" w:rsidR="00854C33" w:rsidRPr="003F3BDD" w:rsidRDefault="00C550DB" w:rsidP="00854C33">
      <w:pPr>
        <w:pStyle w:val="Heading"/>
        <w:spacing w:after="240"/>
        <w:jc w:val="center"/>
      </w:pPr>
      <w:r w:rsidRPr="00C550DB">
        <w:rPr>
          <w:sz w:val="24"/>
          <w:szCs w:val="24"/>
        </w:rPr>
        <w:t>Superannuation technical</w:t>
      </w:r>
      <w:r w:rsidR="00854C33" w:rsidRPr="00C550DB">
        <w:rPr>
          <w:sz w:val="24"/>
          <w:szCs w:val="24"/>
        </w:rPr>
        <w:t xml:space="preserve"> determination No. </w:t>
      </w:r>
      <w:r w:rsidRPr="00C550DB">
        <w:rPr>
          <w:sz w:val="24"/>
          <w:szCs w:val="24"/>
        </w:rPr>
        <w:t>1</w:t>
      </w:r>
      <w:r w:rsidR="00854C33" w:rsidRPr="00C550DB">
        <w:rPr>
          <w:sz w:val="24"/>
          <w:szCs w:val="24"/>
        </w:rPr>
        <w:t xml:space="preserve"> of 202</w:t>
      </w:r>
      <w:r w:rsidR="00F13B96" w:rsidRPr="00C550DB">
        <w:rPr>
          <w:sz w:val="24"/>
          <w:szCs w:val="24"/>
        </w:rPr>
        <w:t>3</w:t>
      </w:r>
      <w:r w:rsidR="003F54FB">
        <w:rPr>
          <w:sz w:val="24"/>
          <w:szCs w:val="24"/>
        </w:rPr>
        <w:t xml:space="preserve"> </w:t>
      </w:r>
      <w:r w:rsidR="008F15EB" w:rsidRPr="006553B4">
        <w:rPr>
          <w:sz w:val="24"/>
          <w:szCs w:val="24"/>
        </w:rPr>
        <w:t>–</w:t>
      </w:r>
      <w:r w:rsidR="00C048EC" w:rsidRPr="006553B4">
        <w:rPr>
          <w:sz w:val="24"/>
          <w:szCs w:val="24"/>
        </w:rPr>
        <w:t xml:space="preserve"> </w:t>
      </w:r>
      <w:r w:rsidR="008F15EB" w:rsidRPr="006553B4">
        <w:rPr>
          <w:sz w:val="24"/>
          <w:szCs w:val="24"/>
        </w:rPr>
        <w:t xml:space="preserve">Actual and </w:t>
      </w:r>
      <w:r w:rsidR="00B10BC8" w:rsidRPr="006553B4">
        <w:rPr>
          <w:sz w:val="24"/>
          <w:szCs w:val="24"/>
        </w:rPr>
        <w:t>benchmark return formula</w:t>
      </w:r>
      <w:r w:rsidR="00845A74" w:rsidRPr="006553B4">
        <w:rPr>
          <w:sz w:val="24"/>
          <w:szCs w:val="24"/>
        </w:rPr>
        <w:t>e</w:t>
      </w:r>
      <w:r w:rsidR="00B10BC8" w:rsidRPr="006553B4">
        <w:rPr>
          <w:sz w:val="24"/>
          <w:szCs w:val="24"/>
        </w:rPr>
        <w:t xml:space="preserve"> </w:t>
      </w:r>
      <w:r w:rsidR="003F3BDD" w:rsidRPr="006553B4">
        <w:rPr>
          <w:sz w:val="24"/>
          <w:szCs w:val="24"/>
        </w:rPr>
        <w:t>modifications</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45935257" w:rsidR="00854C33" w:rsidRPr="00BC4E97" w:rsidRDefault="00374CD4" w:rsidP="00854C33">
      <w:pPr>
        <w:pStyle w:val="heading0"/>
        <w:spacing w:before="0" w:beforeAutospacing="0" w:after="240" w:afterAutospacing="0"/>
        <w:jc w:val="center"/>
      </w:pPr>
      <w:r>
        <w:rPr>
          <w:i/>
          <w:iCs/>
        </w:rPr>
        <w:t>Superannuation Industry (Supervision) Regulations</w:t>
      </w:r>
      <w:r w:rsidR="00DC2367">
        <w:rPr>
          <w:i/>
          <w:iCs/>
        </w:rPr>
        <w:t xml:space="preserve"> 1994</w:t>
      </w:r>
      <w:r w:rsidR="00854C33">
        <w:t xml:space="preserve">, </w:t>
      </w:r>
      <w:proofErr w:type="spellStart"/>
      <w:r w:rsidR="009F3CF7" w:rsidRPr="00BC4E97">
        <w:t>sub</w:t>
      </w:r>
      <w:r w:rsidR="0084679F" w:rsidRPr="00BC4E97">
        <w:t>regulation</w:t>
      </w:r>
      <w:r w:rsidR="009F3CF7" w:rsidRPr="00BC4E97">
        <w:t>s</w:t>
      </w:r>
      <w:proofErr w:type="spellEnd"/>
      <w:r w:rsidR="0084679F" w:rsidRPr="00BC4E97">
        <w:t xml:space="preserve"> </w:t>
      </w:r>
      <w:r w:rsidR="00DC2367" w:rsidRPr="00BC4E97">
        <w:t>9</w:t>
      </w:r>
      <w:r w:rsidR="009F3CF7" w:rsidRPr="00BC4E97">
        <w:t>AB.12(4A) and 9AB.</w:t>
      </w:r>
      <w:r w:rsidR="00C21C9A" w:rsidRPr="00BC4E97">
        <w:t>14(9A)</w:t>
      </w:r>
    </w:p>
    <w:p w14:paraId="27280F12" w14:textId="21E9FBFD" w:rsidR="006A49D1" w:rsidRPr="008B3FA1" w:rsidRDefault="00244707" w:rsidP="008B3FA1">
      <w:pPr>
        <w:numPr>
          <w:ilvl w:val="0"/>
          <w:numId w:val="0"/>
        </w:numPr>
        <w:autoSpaceDE w:val="0"/>
        <w:autoSpaceDN w:val="0"/>
        <w:adjustRightInd w:val="0"/>
        <w:spacing w:after="0"/>
        <w:jc w:val="left"/>
        <w:rPr>
          <w:rFonts w:ascii="Times New Roman" w:hAnsi="Times New Roman" w:cs="Times New Roman"/>
          <w:sz w:val="24"/>
          <w:szCs w:val="24"/>
        </w:rPr>
      </w:pPr>
      <w:bookmarkStart w:id="1" w:name="bkAct"/>
      <w:bookmarkStart w:id="2" w:name="bkExplanatory"/>
      <w:bookmarkEnd w:id="1"/>
      <w:bookmarkEnd w:id="2"/>
      <w:r w:rsidRPr="00BC4E97">
        <w:rPr>
          <w:rFonts w:ascii="Times New Roman" w:hAnsi="Times New Roman"/>
          <w:sz w:val="24"/>
          <w:szCs w:val="24"/>
        </w:rPr>
        <w:t xml:space="preserve">Under </w:t>
      </w:r>
      <w:proofErr w:type="spellStart"/>
      <w:r w:rsidR="00D34863" w:rsidRPr="00BC4E97">
        <w:rPr>
          <w:rFonts w:ascii="Times New Roman" w:hAnsi="Times New Roman"/>
          <w:sz w:val="24"/>
          <w:szCs w:val="24"/>
        </w:rPr>
        <w:t>subregulations</w:t>
      </w:r>
      <w:proofErr w:type="spellEnd"/>
      <w:r w:rsidR="00915B7E" w:rsidRPr="00BC4E97">
        <w:rPr>
          <w:rFonts w:ascii="Times New Roman" w:hAnsi="Times New Roman"/>
          <w:sz w:val="24"/>
          <w:szCs w:val="24"/>
        </w:rPr>
        <w:t xml:space="preserve"> 9AB.12(4A) and </w:t>
      </w:r>
      <w:r w:rsidR="00D34863" w:rsidRPr="00BC4E97">
        <w:rPr>
          <w:rFonts w:ascii="Times New Roman" w:hAnsi="Times New Roman"/>
          <w:sz w:val="24"/>
          <w:szCs w:val="24"/>
        </w:rPr>
        <w:t xml:space="preserve">9AB.14(9A) </w:t>
      </w:r>
      <w:r w:rsidRPr="00BC4E97">
        <w:rPr>
          <w:rFonts w:ascii="Times New Roman" w:hAnsi="Times New Roman"/>
          <w:sz w:val="24"/>
          <w:szCs w:val="24"/>
        </w:rPr>
        <w:t xml:space="preserve">of the </w:t>
      </w:r>
      <w:r w:rsidRPr="00BC4E97">
        <w:rPr>
          <w:rFonts w:ascii="Times New Roman" w:hAnsi="Times New Roman"/>
          <w:i/>
          <w:sz w:val="24"/>
          <w:szCs w:val="24"/>
        </w:rPr>
        <w:t xml:space="preserve">Superannuation Industry (Supervision) </w:t>
      </w:r>
      <w:r w:rsidR="00770ABA" w:rsidRPr="00BC4E97">
        <w:rPr>
          <w:rFonts w:ascii="Times New Roman" w:hAnsi="Times New Roman"/>
          <w:i/>
          <w:sz w:val="24"/>
          <w:szCs w:val="24"/>
        </w:rPr>
        <w:t>Regulations 1994</w:t>
      </w:r>
      <w:r w:rsidRPr="00BC4E97">
        <w:rPr>
          <w:rFonts w:ascii="Times New Roman" w:hAnsi="Times New Roman"/>
          <w:sz w:val="24"/>
          <w:szCs w:val="24"/>
        </w:rPr>
        <w:t xml:space="preserve"> (the </w:t>
      </w:r>
      <w:r w:rsidR="00970BDC" w:rsidRPr="00BC4E97">
        <w:rPr>
          <w:rFonts w:ascii="Times New Roman" w:hAnsi="Times New Roman"/>
          <w:sz w:val="24"/>
          <w:szCs w:val="24"/>
        </w:rPr>
        <w:t>R</w:t>
      </w:r>
      <w:r w:rsidR="00770ABA" w:rsidRPr="00BC4E97">
        <w:rPr>
          <w:rFonts w:ascii="Times New Roman" w:hAnsi="Times New Roman"/>
          <w:sz w:val="24"/>
          <w:szCs w:val="24"/>
        </w:rPr>
        <w:t>egulations</w:t>
      </w:r>
      <w:r w:rsidRPr="00BC4E97">
        <w:rPr>
          <w:rFonts w:ascii="Times New Roman" w:hAnsi="Times New Roman"/>
          <w:sz w:val="24"/>
          <w:szCs w:val="24"/>
        </w:rPr>
        <w:t xml:space="preserve">), APRA has the power to </w:t>
      </w:r>
      <w:r w:rsidR="00C3328E" w:rsidRPr="00BC4E97">
        <w:rPr>
          <w:rFonts w:ascii="Times New Roman" w:hAnsi="Times New Roman"/>
          <w:sz w:val="24"/>
          <w:szCs w:val="24"/>
        </w:rPr>
        <w:t>modify</w:t>
      </w:r>
      <w:r w:rsidR="00C3328E">
        <w:rPr>
          <w:rFonts w:ascii="Times New Roman" w:hAnsi="Times New Roman"/>
          <w:sz w:val="24"/>
          <w:szCs w:val="24"/>
        </w:rPr>
        <w:t xml:space="preserve"> the ac</w:t>
      </w:r>
      <w:r w:rsidR="00223724">
        <w:rPr>
          <w:rFonts w:ascii="Times New Roman" w:hAnsi="Times New Roman"/>
          <w:sz w:val="24"/>
          <w:szCs w:val="24"/>
        </w:rPr>
        <w:t xml:space="preserve">tual formula and the benchmark return formula </w:t>
      </w:r>
      <w:r w:rsidR="00FB51F3">
        <w:rPr>
          <w:rFonts w:ascii="Times New Roman" w:hAnsi="Times New Roman"/>
          <w:sz w:val="24"/>
          <w:szCs w:val="24"/>
        </w:rPr>
        <w:t>respectively</w:t>
      </w:r>
      <w:r w:rsidR="008B3FA1">
        <w:rPr>
          <w:rFonts w:ascii="Times New Roman" w:hAnsi="Times New Roman"/>
          <w:sz w:val="24"/>
          <w:szCs w:val="24"/>
        </w:rPr>
        <w:t xml:space="preserve">, </w:t>
      </w:r>
      <w:r w:rsidR="008B3FA1" w:rsidRPr="008B3FA1">
        <w:rPr>
          <w:rFonts w:ascii="Times New Roman" w:hAnsi="Times New Roman"/>
          <w:sz w:val="24"/>
          <w:szCs w:val="24"/>
        </w:rPr>
        <w:t>as</w:t>
      </w:r>
      <w:r w:rsidR="008B3FA1" w:rsidRPr="008B3FA1">
        <w:rPr>
          <w:rFonts w:ascii="Times New Roman" w:hAnsi="Times New Roman" w:cs="Times New Roman"/>
          <w:sz w:val="24"/>
          <w:szCs w:val="24"/>
        </w:rPr>
        <w:t xml:space="preserve"> APRA considers reasonably necessary,</w:t>
      </w:r>
      <w:r w:rsidR="00223724" w:rsidRPr="008B3FA1">
        <w:rPr>
          <w:rFonts w:ascii="Times New Roman" w:hAnsi="Times New Roman"/>
          <w:sz w:val="24"/>
          <w:szCs w:val="24"/>
        </w:rPr>
        <w:t xml:space="preserve"> </w:t>
      </w:r>
      <w:r w:rsidR="006A49D1" w:rsidRPr="008B3FA1">
        <w:rPr>
          <w:rFonts w:ascii="Times New Roman" w:hAnsi="Times New Roman" w:cs="Times New Roman"/>
          <w:sz w:val="24"/>
          <w:szCs w:val="24"/>
        </w:rPr>
        <w:t xml:space="preserve">to reflect </w:t>
      </w:r>
      <w:r w:rsidR="00FD3387" w:rsidRPr="008B3FA1">
        <w:rPr>
          <w:rFonts w:ascii="Times New Roman" w:hAnsi="Times New Roman" w:cs="Times New Roman"/>
          <w:sz w:val="24"/>
          <w:szCs w:val="24"/>
        </w:rPr>
        <w:t xml:space="preserve">a change of </w:t>
      </w:r>
      <w:proofErr w:type="spellStart"/>
      <w:r w:rsidR="00FD3387" w:rsidRPr="008B3FA1">
        <w:rPr>
          <w:rFonts w:ascii="Times New Roman" w:hAnsi="Times New Roman" w:cs="Times New Roman"/>
          <w:sz w:val="24"/>
          <w:szCs w:val="24"/>
        </w:rPr>
        <w:t>lifestage</w:t>
      </w:r>
      <w:proofErr w:type="spellEnd"/>
      <w:r w:rsidR="008B3FA1" w:rsidRPr="008B3FA1">
        <w:rPr>
          <w:rFonts w:ascii="Times New Roman" w:hAnsi="Times New Roman" w:cs="Times New Roman"/>
          <w:sz w:val="24"/>
          <w:szCs w:val="24"/>
        </w:rPr>
        <w:t xml:space="preserve"> </w:t>
      </w:r>
      <w:r w:rsidR="008B3FA1">
        <w:rPr>
          <w:rFonts w:ascii="Times New Roman" w:hAnsi="Times New Roman" w:cs="Times New Roman"/>
          <w:sz w:val="24"/>
          <w:szCs w:val="24"/>
        </w:rPr>
        <w:t>for a</w:t>
      </w:r>
      <w:r w:rsidR="008B3FA1" w:rsidRPr="008B3FA1">
        <w:rPr>
          <w:rFonts w:ascii="Times New Roman" w:hAnsi="Times New Roman" w:cs="Times New Roman"/>
          <w:sz w:val="24"/>
          <w:szCs w:val="24"/>
        </w:rPr>
        <w:t xml:space="preserve"> lifecycle Part 6A product</w:t>
      </w:r>
      <w:r w:rsidR="006A49D1" w:rsidRPr="008B3FA1">
        <w:rPr>
          <w:rFonts w:ascii="Times New Roman" w:hAnsi="Times New Roman" w:cs="Times New Roman"/>
          <w:sz w:val="24"/>
          <w:szCs w:val="24"/>
        </w:rPr>
        <w:t>.</w:t>
      </w:r>
    </w:p>
    <w:p w14:paraId="0DD12D19" w14:textId="77777777" w:rsidR="008B3FA1" w:rsidRDefault="008B3FA1" w:rsidP="008B3FA1">
      <w:pPr>
        <w:numPr>
          <w:ilvl w:val="0"/>
          <w:numId w:val="0"/>
        </w:numPr>
        <w:autoSpaceDE w:val="0"/>
        <w:autoSpaceDN w:val="0"/>
        <w:adjustRightInd w:val="0"/>
        <w:spacing w:after="0"/>
        <w:jc w:val="left"/>
        <w:rPr>
          <w:rFonts w:ascii="Times New Roman" w:hAnsi="Times New Roman" w:cs="Times New Roman"/>
        </w:rPr>
      </w:pPr>
    </w:p>
    <w:p w14:paraId="144E8D63" w14:textId="49CBA154" w:rsidR="00244707" w:rsidRPr="00E85B98" w:rsidRDefault="00244707" w:rsidP="006A49D1">
      <w:pPr>
        <w:widowControl w:val="0"/>
        <w:numPr>
          <w:ilvl w:val="0"/>
          <w:numId w:val="0"/>
        </w:numPr>
        <w:rPr>
          <w:rFonts w:ascii="Times New Roman" w:hAnsi="Times New Roman" w:cs="Times New Roman"/>
          <w:sz w:val="24"/>
          <w:szCs w:val="24"/>
        </w:rPr>
      </w:pPr>
      <w:r w:rsidRPr="007D1955">
        <w:rPr>
          <w:rFonts w:ascii="Times New Roman" w:hAnsi="Times New Roman" w:cs="Times New Roman"/>
          <w:sz w:val="24"/>
          <w:szCs w:val="24"/>
        </w:rPr>
        <w:t xml:space="preserve">On </w:t>
      </w:r>
      <w:r w:rsidR="00BC4E97">
        <w:rPr>
          <w:rFonts w:ascii="Times New Roman" w:hAnsi="Times New Roman" w:cs="Times New Roman"/>
          <w:sz w:val="24"/>
          <w:szCs w:val="24"/>
        </w:rPr>
        <w:t>4 August</w:t>
      </w:r>
      <w:r>
        <w:rPr>
          <w:rFonts w:ascii="Times New Roman" w:hAnsi="Times New Roman" w:cs="Times New Roman"/>
          <w:sz w:val="24"/>
          <w:szCs w:val="24"/>
        </w:rPr>
        <w:t xml:space="preserve"> 2023</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Pr="00E85B98">
        <w:rPr>
          <w:rFonts w:ascii="Times New Roman" w:hAnsi="Times New Roman" w:cs="Times New Roman"/>
          <w:sz w:val="24"/>
          <w:szCs w:val="24"/>
        </w:rPr>
        <w:t xml:space="preserve"> </w:t>
      </w:r>
      <w:r w:rsidRPr="006553B4">
        <w:rPr>
          <w:rFonts w:ascii="Times New Roman" w:hAnsi="Times New Roman" w:cs="Times New Roman"/>
          <w:i/>
          <w:sz w:val="24"/>
          <w:szCs w:val="24"/>
        </w:rPr>
        <w:t xml:space="preserve">Superannuation </w:t>
      </w:r>
      <w:r w:rsidR="00B17233" w:rsidRPr="006553B4">
        <w:rPr>
          <w:rFonts w:ascii="Times New Roman" w:hAnsi="Times New Roman" w:cs="Times New Roman"/>
          <w:i/>
          <w:sz w:val="24"/>
          <w:szCs w:val="24"/>
        </w:rPr>
        <w:t>technical</w:t>
      </w:r>
      <w:r w:rsidRPr="006553B4">
        <w:rPr>
          <w:rFonts w:ascii="Times New Roman" w:hAnsi="Times New Roman" w:cs="Times New Roman"/>
          <w:i/>
          <w:sz w:val="24"/>
          <w:szCs w:val="24"/>
        </w:rPr>
        <w:t xml:space="preserve"> determination No 1 of 2023 </w:t>
      </w:r>
      <w:r w:rsidR="006553B4" w:rsidRPr="006553B4">
        <w:rPr>
          <w:rFonts w:ascii="Times New Roman" w:hAnsi="Times New Roman" w:cs="Times New Roman"/>
          <w:i/>
          <w:sz w:val="24"/>
          <w:szCs w:val="24"/>
        </w:rPr>
        <w:t>- Actual and benchmark return formulae modifications</w:t>
      </w:r>
      <w:r w:rsidR="006553B4" w:rsidRPr="00E85B98">
        <w:rPr>
          <w:rFonts w:ascii="Times New Roman" w:hAnsi="Times New Roman" w:cs="Times New Roman"/>
          <w:sz w:val="24"/>
          <w:szCs w:val="24"/>
        </w:rPr>
        <w:t xml:space="preserve"> </w:t>
      </w:r>
      <w:r w:rsidR="006553B4">
        <w:rPr>
          <w:rFonts w:ascii="Times New Roman" w:hAnsi="Times New Roman" w:cs="Times New Roman"/>
          <w:sz w:val="24"/>
          <w:szCs w:val="24"/>
        </w:rPr>
        <w:t xml:space="preserve">(the instrument) </w:t>
      </w:r>
      <w:r w:rsidRPr="00E85B98">
        <w:rPr>
          <w:rFonts w:ascii="Times New Roman" w:hAnsi="Times New Roman" w:cs="Times New Roman"/>
          <w:sz w:val="24"/>
          <w:szCs w:val="24"/>
        </w:rPr>
        <w:t xml:space="preserve">which </w:t>
      </w:r>
      <w:r w:rsidR="001014E2">
        <w:rPr>
          <w:rFonts w:ascii="Times New Roman" w:hAnsi="Times New Roman" w:cs="Times New Roman"/>
          <w:sz w:val="24"/>
          <w:szCs w:val="24"/>
        </w:rPr>
        <w:t xml:space="preserve">modifies the </w:t>
      </w:r>
      <w:r w:rsidR="00BF5C52">
        <w:rPr>
          <w:rFonts w:ascii="Times New Roman" w:hAnsi="Times New Roman" w:cs="Times New Roman"/>
          <w:sz w:val="24"/>
          <w:szCs w:val="24"/>
        </w:rPr>
        <w:t xml:space="preserve">actual and benchmark </w:t>
      </w:r>
      <w:r w:rsidR="001014E2">
        <w:rPr>
          <w:rFonts w:ascii="Times New Roman" w:hAnsi="Times New Roman" w:cs="Times New Roman"/>
          <w:sz w:val="24"/>
          <w:szCs w:val="24"/>
        </w:rPr>
        <w:t xml:space="preserve">formulae used to conduct the annual performance </w:t>
      </w:r>
      <w:r w:rsidR="00A236A8">
        <w:rPr>
          <w:rFonts w:ascii="Times New Roman" w:hAnsi="Times New Roman" w:cs="Times New Roman"/>
          <w:sz w:val="24"/>
          <w:szCs w:val="24"/>
        </w:rPr>
        <w:t>assessment</w:t>
      </w:r>
      <w:r w:rsidR="00733DB4">
        <w:rPr>
          <w:rFonts w:ascii="Times New Roman" w:hAnsi="Times New Roman" w:cs="Times New Roman"/>
          <w:sz w:val="24"/>
          <w:szCs w:val="24"/>
        </w:rPr>
        <w:t xml:space="preserve"> for </w:t>
      </w:r>
      <w:proofErr w:type="spellStart"/>
      <w:r w:rsidR="00BF5C52">
        <w:rPr>
          <w:rFonts w:ascii="Times New Roman" w:hAnsi="Times New Roman" w:cs="Times New Roman"/>
          <w:sz w:val="24"/>
          <w:szCs w:val="24"/>
        </w:rPr>
        <w:t>MySuper</w:t>
      </w:r>
      <w:proofErr w:type="spellEnd"/>
      <w:r w:rsidR="00BF5C52">
        <w:rPr>
          <w:rFonts w:ascii="Times New Roman" w:hAnsi="Times New Roman" w:cs="Times New Roman"/>
          <w:sz w:val="24"/>
          <w:szCs w:val="24"/>
        </w:rPr>
        <w:t xml:space="preserve"> </w:t>
      </w:r>
      <w:r w:rsidR="00733DB4">
        <w:rPr>
          <w:rFonts w:ascii="Times New Roman" w:hAnsi="Times New Roman" w:cs="Times New Roman"/>
          <w:sz w:val="24"/>
          <w:szCs w:val="24"/>
        </w:rPr>
        <w:t>lifecycle Part 6A products</w:t>
      </w:r>
      <w:r w:rsidR="00FC44EB">
        <w:rPr>
          <w:rFonts w:ascii="Times New Roman" w:hAnsi="Times New Roman" w:cs="Times New Roman"/>
          <w:sz w:val="24"/>
          <w:szCs w:val="24"/>
        </w:rPr>
        <w:t xml:space="preserve">. </w:t>
      </w:r>
      <w:r w:rsidR="00FC44EB" w:rsidRPr="00FC44EB">
        <w:rPr>
          <w:rFonts w:ascii="Times New Roman" w:hAnsi="Times New Roman" w:cs="Times New Roman"/>
          <w:sz w:val="24"/>
          <w:szCs w:val="24"/>
        </w:rPr>
        <w:t xml:space="preserve">The modified formulae apply where there has been a change in the structure of a </w:t>
      </w:r>
      <w:proofErr w:type="spellStart"/>
      <w:r w:rsidR="00FC44EB" w:rsidRPr="00FC44EB">
        <w:rPr>
          <w:rFonts w:ascii="Times New Roman" w:hAnsi="Times New Roman" w:cs="Times New Roman"/>
          <w:sz w:val="24"/>
          <w:szCs w:val="24"/>
        </w:rPr>
        <w:t>MySuper</w:t>
      </w:r>
      <w:proofErr w:type="spellEnd"/>
      <w:r w:rsidR="00FC44EB" w:rsidRPr="00FC44EB">
        <w:rPr>
          <w:rFonts w:ascii="Times New Roman" w:hAnsi="Times New Roman" w:cs="Times New Roman"/>
          <w:sz w:val="24"/>
          <w:szCs w:val="24"/>
        </w:rPr>
        <w:t xml:space="preserve"> product that is a lifecycle </w:t>
      </w:r>
      <w:r w:rsidR="008B3FA1">
        <w:rPr>
          <w:rFonts w:ascii="Times New Roman" w:hAnsi="Times New Roman" w:cs="Times New Roman"/>
          <w:sz w:val="24"/>
          <w:szCs w:val="24"/>
        </w:rPr>
        <w:t xml:space="preserve">Part 6A </w:t>
      </w:r>
      <w:r w:rsidR="00FC44EB" w:rsidRPr="00FC44EB">
        <w:rPr>
          <w:rFonts w:ascii="Times New Roman" w:hAnsi="Times New Roman" w:cs="Times New Roman"/>
          <w:sz w:val="24"/>
          <w:szCs w:val="24"/>
        </w:rPr>
        <w:t>product.</w:t>
      </w:r>
    </w:p>
    <w:p w14:paraId="20C71CDB" w14:textId="0D120455" w:rsidR="00023CE3" w:rsidRPr="003E231A" w:rsidRDefault="00023CE3" w:rsidP="00023CE3">
      <w:pPr>
        <w:widowControl w:val="0"/>
        <w:rPr>
          <w:rFonts w:ascii="Times New Roman" w:hAnsi="Times New Roman"/>
          <w:sz w:val="24"/>
          <w:szCs w:val="24"/>
        </w:rPr>
      </w:pPr>
      <w:r>
        <w:rPr>
          <w:rFonts w:ascii="Times New Roman" w:hAnsi="Times New Roman"/>
          <w:sz w:val="24"/>
          <w:szCs w:val="24"/>
        </w:rPr>
        <w:t xml:space="preserve">The instrument </w:t>
      </w:r>
      <w:r w:rsidRPr="00580FC3">
        <w:rPr>
          <w:rFonts w:ascii="Times New Roman" w:hAnsi="Times New Roman"/>
          <w:sz w:val="24"/>
          <w:szCs w:val="24"/>
        </w:rPr>
        <w:t>commence</w:t>
      </w:r>
      <w:r w:rsidR="00244B0A">
        <w:rPr>
          <w:rFonts w:ascii="Times New Roman" w:hAnsi="Times New Roman"/>
          <w:sz w:val="24"/>
          <w:szCs w:val="24"/>
        </w:rPr>
        <w:t>s</w:t>
      </w:r>
      <w:r w:rsidRPr="00580FC3">
        <w:rPr>
          <w:rFonts w:ascii="Times New Roman" w:hAnsi="Times New Roman"/>
          <w:sz w:val="24"/>
          <w:szCs w:val="24"/>
        </w:rPr>
        <w:t xml:space="preserve"> </w:t>
      </w:r>
      <w:r w:rsidR="009C1810">
        <w:rPr>
          <w:rFonts w:ascii="Times New Roman" w:hAnsi="Times New Roman"/>
          <w:sz w:val="24"/>
          <w:szCs w:val="24"/>
        </w:rPr>
        <w:t>on the day after</w:t>
      </w:r>
      <w:r>
        <w:rPr>
          <w:rFonts w:ascii="Times New Roman" w:hAnsi="Times New Roman"/>
          <w:sz w:val="24"/>
          <w:szCs w:val="24"/>
        </w:rPr>
        <w:t xml:space="preserve"> </w:t>
      </w:r>
      <w:r w:rsidRPr="003E231A">
        <w:rPr>
          <w:rFonts w:ascii="Times New Roman" w:hAnsi="Times New Roman"/>
          <w:sz w:val="24"/>
          <w:szCs w:val="24"/>
        </w:rPr>
        <w:t xml:space="preserve">registration on the Federal Register of </w:t>
      </w:r>
      <w:r w:rsidR="1D98027C" w:rsidRPr="003E231A">
        <w:rPr>
          <w:rFonts w:ascii="Times New Roman" w:hAnsi="Times New Roman"/>
          <w:sz w:val="24"/>
          <w:szCs w:val="24"/>
        </w:rPr>
        <w:t>Legislatio</w:t>
      </w:r>
      <w:r w:rsidR="27EE483E" w:rsidRPr="003E231A">
        <w:rPr>
          <w:rFonts w:ascii="Times New Roman" w:hAnsi="Times New Roman"/>
          <w:sz w:val="24"/>
          <w:szCs w:val="24"/>
        </w:rPr>
        <w:t>n</w:t>
      </w:r>
      <w:r w:rsidR="4B34FF05" w:rsidRPr="5924CD18">
        <w:rPr>
          <w:rFonts w:ascii="Times New Roman" w:hAnsi="Times New Roman"/>
          <w:sz w:val="24"/>
          <w:szCs w:val="24"/>
        </w:rPr>
        <w:t xml:space="preserve"> and will apply </w:t>
      </w:r>
      <w:r w:rsidR="38A87044" w:rsidRPr="5924CD18">
        <w:rPr>
          <w:rFonts w:ascii="Times New Roman" w:hAnsi="Times New Roman"/>
          <w:sz w:val="24"/>
          <w:szCs w:val="24"/>
        </w:rPr>
        <w:t xml:space="preserve">for the purposes of </w:t>
      </w:r>
      <w:r w:rsidR="157CC48A" w:rsidRPr="70FE1B52">
        <w:rPr>
          <w:rFonts w:ascii="Times New Roman" w:hAnsi="Times New Roman"/>
          <w:sz w:val="24"/>
          <w:szCs w:val="24"/>
        </w:rPr>
        <w:t xml:space="preserve">performance assessments </w:t>
      </w:r>
      <w:r w:rsidR="7950D151" w:rsidRPr="70FE1B52">
        <w:rPr>
          <w:rFonts w:ascii="Times New Roman" w:hAnsi="Times New Roman"/>
          <w:sz w:val="24"/>
          <w:szCs w:val="24"/>
        </w:rPr>
        <w:t xml:space="preserve">from </w:t>
      </w:r>
      <w:r w:rsidR="38A87044" w:rsidRPr="5924CD18">
        <w:rPr>
          <w:rFonts w:ascii="Times New Roman" w:hAnsi="Times New Roman"/>
          <w:sz w:val="24"/>
          <w:szCs w:val="24"/>
        </w:rPr>
        <w:t>the</w:t>
      </w:r>
      <w:r w:rsidR="7C59F27F" w:rsidRPr="5924CD18">
        <w:rPr>
          <w:rFonts w:ascii="Times New Roman" w:hAnsi="Times New Roman"/>
          <w:sz w:val="24"/>
          <w:szCs w:val="24"/>
        </w:rPr>
        <w:t xml:space="preserve"> 2022/23 </w:t>
      </w:r>
      <w:r w:rsidR="2EAE8366" w:rsidRPr="5924CD18">
        <w:rPr>
          <w:rFonts w:ascii="Times New Roman" w:hAnsi="Times New Roman"/>
          <w:sz w:val="24"/>
          <w:szCs w:val="24"/>
        </w:rPr>
        <w:t xml:space="preserve">performance assessment. </w:t>
      </w:r>
      <w:r w:rsidR="27EE483E" w:rsidRPr="003E231A">
        <w:rPr>
          <w:rFonts w:ascii="Times New Roman" w:hAnsi="Times New Roman"/>
          <w:sz w:val="24"/>
          <w:szCs w:val="24"/>
        </w:rPr>
        <w:t xml:space="preserve"> </w:t>
      </w:r>
    </w:p>
    <w:p w14:paraId="44D216EA" w14:textId="3DF252D7" w:rsidR="00B670E9" w:rsidRPr="009535CD" w:rsidRDefault="00211AFD" w:rsidP="008B3FA1">
      <w:pPr>
        <w:pStyle w:val="List"/>
        <w:rPr>
          <w:rFonts w:ascii="Times New Roman" w:hAnsi="Times New Roman" w:cs="Times New Roman"/>
          <w:b/>
          <w:sz w:val="24"/>
          <w:szCs w:val="24"/>
        </w:rPr>
      </w:pPr>
      <w:r w:rsidRPr="00BC1E70">
        <w:rPr>
          <w:rFonts w:ascii="Times New Roman" w:hAnsi="Times New Roman" w:cs="Times New Roman"/>
          <w:b/>
          <w:sz w:val="24"/>
          <w:szCs w:val="24"/>
        </w:rPr>
        <w:t>Background</w:t>
      </w:r>
    </w:p>
    <w:p w14:paraId="0D16026F" w14:textId="4FA16B6C" w:rsidR="006553B4" w:rsidRDefault="00C764DA" w:rsidP="7BC517BE">
      <w:pPr>
        <w:rPr>
          <w:rFonts w:ascii="Times New Roman" w:hAnsi="Times New Roman" w:cs="Times New Roman"/>
          <w:sz w:val="24"/>
          <w:szCs w:val="24"/>
        </w:rPr>
      </w:pPr>
      <w:r w:rsidRPr="00C764DA">
        <w:rPr>
          <w:rFonts w:ascii="Times New Roman" w:hAnsi="Times New Roman" w:cs="Times New Roman"/>
          <w:sz w:val="24"/>
          <w:szCs w:val="24"/>
        </w:rPr>
        <w:t xml:space="preserve">APRA is required to conduct an annual performance </w:t>
      </w:r>
      <w:r w:rsidR="00A236A8">
        <w:rPr>
          <w:rFonts w:ascii="Times New Roman" w:hAnsi="Times New Roman" w:cs="Times New Roman"/>
          <w:sz w:val="24"/>
          <w:szCs w:val="24"/>
        </w:rPr>
        <w:t xml:space="preserve">assessment </w:t>
      </w:r>
      <w:r w:rsidRPr="00C764DA">
        <w:rPr>
          <w:rFonts w:ascii="Times New Roman" w:hAnsi="Times New Roman" w:cs="Times New Roman"/>
          <w:sz w:val="24"/>
          <w:szCs w:val="24"/>
        </w:rPr>
        <w:t xml:space="preserve">for </w:t>
      </w:r>
      <w:r w:rsidR="003F69CC">
        <w:rPr>
          <w:rFonts w:ascii="Times New Roman" w:hAnsi="Times New Roman" w:cs="Times New Roman"/>
          <w:sz w:val="24"/>
          <w:szCs w:val="24"/>
        </w:rPr>
        <w:t>Part 6A products</w:t>
      </w:r>
      <w:r w:rsidR="001B1166">
        <w:rPr>
          <w:rFonts w:ascii="Times New Roman" w:hAnsi="Times New Roman" w:cs="Times New Roman"/>
          <w:sz w:val="24"/>
          <w:szCs w:val="24"/>
        </w:rPr>
        <w:t>,</w:t>
      </w:r>
      <w:r w:rsidR="003F69CC">
        <w:rPr>
          <w:rFonts w:ascii="Times New Roman" w:hAnsi="Times New Roman" w:cs="Times New Roman"/>
          <w:sz w:val="24"/>
          <w:szCs w:val="24"/>
        </w:rPr>
        <w:t xml:space="preserve"> which ar</w:t>
      </w:r>
      <w:r w:rsidR="001B1166">
        <w:rPr>
          <w:rFonts w:ascii="Times New Roman" w:hAnsi="Times New Roman" w:cs="Times New Roman"/>
          <w:sz w:val="24"/>
          <w:szCs w:val="24"/>
        </w:rPr>
        <w:t>e</w:t>
      </w:r>
      <w:r w:rsidR="003F69CC">
        <w:rPr>
          <w:rFonts w:ascii="Times New Roman" w:hAnsi="Times New Roman" w:cs="Times New Roman"/>
          <w:sz w:val="24"/>
          <w:szCs w:val="24"/>
        </w:rPr>
        <w:t xml:space="preserve"> </w:t>
      </w:r>
      <w:r w:rsidR="00FE7A8B">
        <w:rPr>
          <w:rFonts w:ascii="Times New Roman" w:hAnsi="Times New Roman" w:cs="Times New Roman"/>
          <w:sz w:val="24"/>
          <w:szCs w:val="24"/>
        </w:rPr>
        <w:t xml:space="preserve">defined as </w:t>
      </w:r>
      <w:proofErr w:type="spellStart"/>
      <w:r w:rsidRPr="00C764DA">
        <w:rPr>
          <w:rFonts w:ascii="Times New Roman" w:hAnsi="Times New Roman" w:cs="Times New Roman"/>
          <w:sz w:val="24"/>
          <w:szCs w:val="24"/>
        </w:rPr>
        <w:t>MySuper</w:t>
      </w:r>
      <w:proofErr w:type="spellEnd"/>
      <w:r w:rsidRPr="00C764DA">
        <w:rPr>
          <w:rFonts w:ascii="Times New Roman" w:hAnsi="Times New Roman" w:cs="Times New Roman"/>
          <w:sz w:val="24"/>
          <w:szCs w:val="24"/>
        </w:rPr>
        <w:t xml:space="preserve"> products</w:t>
      </w:r>
      <w:r w:rsidR="0069592A">
        <w:rPr>
          <w:rFonts w:ascii="Times New Roman" w:hAnsi="Times New Roman" w:cs="Times New Roman"/>
          <w:sz w:val="24"/>
          <w:szCs w:val="24"/>
        </w:rPr>
        <w:t xml:space="preserve"> </w:t>
      </w:r>
      <w:r w:rsidR="003F69CC">
        <w:rPr>
          <w:rFonts w:ascii="Times New Roman" w:hAnsi="Times New Roman" w:cs="Times New Roman"/>
          <w:sz w:val="24"/>
          <w:szCs w:val="24"/>
        </w:rPr>
        <w:t>and trustee-directed products</w:t>
      </w:r>
      <w:r w:rsidR="00A810A4">
        <w:rPr>
          <w:rFonts w:ascii="Times New Roman" w:hAnsi="Times New Roman" w:cs="Times New Roman"/>
          <w:sz w:val="24"/>
          <w:szCs w:val="24"/>
        </w:rPr>
        <w:t xml:space="preserve">: see s 60B of the </w:t>
      </w:r>
      <w:r w:rsidR="00A810A4" w:rsidRPr="00A810A4">
        <w:rPr>
          <w:rFonts w:ascii="Times New Roman" w:hAnsi="Times New Roman" w:cs="Times New Roman"/>
          <w:i/>
          <w:sz w:val="24"/>
          <w:szCs w:val="24"/>
        </w:rPr>
        <w:t>Superannuation Industry (Supervision) Act 1993</w:t>
      </w:r>
      <w:r w:rsidR="00A810A4">
        <w:rPr>
          <w:rFonts w:ascii="Times New Roman" w:hAnsi="Times New Roman" w:cs="Times New Roman"/>
          <w:sz w:val="24"/>
          <w:szCs w:val="24"/>
        </w:rPr>
        <w:t xml:space="preserve"> and regulation 9AB.2 of the Regulations</w:t>
      </w:r>
      <w:r w:rsidR="003F69CC">
        <w:rPr>
          <w:rFonts w:ascii="Times New Roman" w:hAnsi="Times New Roman" w:cs="Times New Roman"/>
          <w:sz w:val="24"/>
          <w:szCs w:val="24"/>
        </w:rPr>
        <w:t>.</w:t>
      </w:r>
    </w:p>
    <w:p w14:paraId="406E1FBB" w14:textId="77DCB5D6" w:rsidR="003F69CC" w:rsidRDefault="003F69CC" w:rsidP="00DC0862">
      <w:pPr>
        <w:numPr>
          <w:ilvl w:val="0"/>
          <w:numId w:val="0"/>
        </w:numPr>
        <w:rPr>
          <w:rFonts w:ascii="Times New Roman" w:hAnsi="Times New Roman" w:cs="Times New Roman"/>
          <w:sz w:val="24"/>
          <w:szCs w:val="24"/>
        </w:rPr>
      </w:pPr>
      <w:r>
        <w:rPr>
          <w:rFonts w:ascii="Times New Roman" w:hAnsi="Times New Roman" w:cs="Times New Roman"/>
          <w:sz w:val="24"/>
          <w:szCs w:val="24"/>
        </w:rPr>
        <w:t>The Regulations r</w:t>
      </w:r>
      <w:r w:rsidR="001B1166">
        <w:rPr>
          <w:rFonts w:ascii="Times New Roman" w:hAnsi="Times New Roman" w:cs="Times New Roman"/>
          <w:sz w:val="24"/>
          <w:szCs w:val="24"/>
        </w:rPr>
        <w:t>equire the assessment of</w:t>
      </w:r>
      <w:r w:rsidR="00FE7A8B">
        <w:rPr>
          <w:rFonts w:ascii="Times New Roman" w:hAnsi="Times New Roman" w:cs="Times New Roman"/>
          <w:sz w:val="24"/>
          <w:szCs w:val="24"/>
        </w:rPr>
        <w:t xml:space="preserve"> a Part 6A</w:t>
      </w:r>
      <w:r w:rsidR="001B1166">
        <w:rPr>
          <w:rFonts w:ascii="Times New Roman" w:hAnsi="Times New Roman" w:cs="Times New Roman"/>
          <w:sz w:val="24"/>
          <w:szCs w:val="24"/>
        </w:rPr>
        <w:t xml:space="preserve"> </w:t>
      </w:r>
      <w:r w:rsidR="00961A47">
        <w:rPr>
          <w:rFonts w:ascii="Times New Roman" w:hAnsi="Times New Roman" w:cs="Times New Roman"/>
          <w:sz w:val="24"/>
          <w:szCs w:val="24"/>
        </w:rPr>
        <w:t>product</w:t>
      </w:r>
      <w:r w:rsidR="001B1166">
        <w:rPr>
          <w:rFonts w:ascii="Times New Roman" w:hAnsi="Times New Roman" w:cs="Times New Roman"/>
          <w:sz w:val="24"/>
          <w:szCs w:val="24"/>
        </w:rPr>
        <w:t>’s</w:t>
      </w:r>
      <w:r w:rsidR="00961A47">
        <w:rPr>
          <w:rFonts w:ascii="Times New Roman" w:hAnsi="Times New Roman" w:cs="Times New Roman"/>
          <w:sz w:val="24"/>
          <w:szCs w:val="24"/>
        </w:rPr>
        <w:t xml:space="preserve"> performance </w:t>
      </w:r>
      <w:r w:rsidR="00FA3A42">
        <w:rPr>
          <w:rFonts w:ascii="Times New Roman" w:hAnsi="Times New Roman" w:cs="Times New Roman"/>
          <w:sz w:val="24"/>
          <w:szCs w:val="24"/>
        </w:rPr>
        <w:t xml:space="preserve">relative to a benchmark </w:t>
      </w:r>
      <w:r w:rsidR="00227AD4">
        <w:rPr>
          <w:rFonts w:ascii="Times New Roman" w:hAnsi="Times New Roman" w:cs="Times New Roman"/>
          <w:sz w:val="24"/>
          <w:szCs w:val="24"/>
        </w:rPr>
        <w:t>portfolio</w:t>
      </w:r>
      <w:r w:rsidR="00FA3A42">
        <w:rPr>
          <w:rFonts w:ascii="Times New Roman" w:hAnsi="Times New Roman" w:cs="Times New Roman"/>
          <w:sz w:val="24"/>
          <w:szCs w:val="24"/>
        </w:rPr>
        <w:t xml:space="preserve"> </w:t>
      </w:r>
      <w:r w:rsidR="00664225">
        <w:rPr>
          <w:rFonts w:ascii="Times New Roman" w:hAnsi="Times New Roman" w:cs="Times New Roman"/>
          <w:sz w:val="24"/>
          <w:szCs w:val="24"/>
        </w:rPr>
        <w:t>created using the product’s strategic asset allocation</w:t>
      </w:r>
      <w:r w:rsidR="00D15C7B">
        <w:rPr>
          <w:rFonts w:ascii="Times New Roman" w:hAnsi="Times New Roman" w:cs="Times New Roman"/>
          <w:sz w:val="24"/>
          <w:szCs w:val="24"/>
        </w:rPr>
        <w:t>,</w:t>
      </w:r>
      <w:r w:rsidR="00FA3A42">
        <w:rPr>
          <w:rFonts w:ascii="Times New Roman" w:hAnsi="Times New Roman" w:cs="Times New Roman"/>
          <w:sz w:val="24"/>
          <w:szCs w:val="24"/>
        </w:rPr>
        <w:t xml:space="preserve"> </w:t>
      </w:r>
      <w:r w:rsidR="00961A47">
        <w:rPr>
          <w:rFonts w:ascii="Times New Roman" w:hAnsi="Times New Roman" w:cs="Times New Roman"/>
          <w:sz w:val="24"/>
          <w:szCs w:val="24"/>
        </w:rPr>
        <w:t xml:space="preserve">and </w:t>
      </w:r>
      <w:r w:rsidR="00664225">
        <w:rPr>
          <w:rFonts w:ascii="Times New Roman" w:hAnsi="Times New Roman" w:cs="Times New Roman"/>
          <w:sz w:val="24"/>
          <w:szCs w:val="24"/>
        </w:rPr>
        <w:t xml:space="preserve">administration </w:t>
      </w:r>
      <w:r w:rsidR="00961A47">
        <w:rPr>
          <w:rFonts w:ascii="Times New Roman" w:hAnsi="Times New Roman" w:cs="Times New Roman"/>
          <w:sz w:val="24"/>
          <w:szCs w:val="24"/>
        </w:rPr>
        <w:t xml:space="preserve">fees </w:t>
      </w:r>
      <w:r w:rsidR="00664225">
        <w:rPr>
          <w:rFonts w:ascii="Times New Roman" w:hAnsi="Times New Roman" w:cs="Times New Roman"/>
          <w:sz w:val="24"/>
          <w:szCs w:val="24"/>
        </w:rPr>
        <w:t xml:space="preserve">charged in the last financial year </w:t>
      </w:r>
      <w:r w:rsidR="003E3207">
        <w:rPr>
          <w:rFonts w:ascii="Times New Roman" w:hAnsi="Times New Roman" w:cs="Times New Roman"/>
          <w:sz w:val="24"/>
          <w:szCs w:val="24"/>
        </w:rPr>
        <w:t xml:space="preserve">relative to the median fee </w:t>
      </w:r>
      <w:r w:rsidR="00664225">
        <w:rPr>
          <w:rFonts w:ascii="Times New Roman" w:hAnsi="Times New Roman" w:cs="Times New Roman"/>
          <w:sz w:val="24"/>
          <w:szCs w:val="24"/>
        </w:rPr>
        <w:t>charged</w:t>
      </w:r>
      <w:r w:rsidR="003E3207">
        <w:rPr>
          <w:rFonts w:ascii="Times New Roman" w:hAnsi="Times New Roman" w:cs="Times New Roman"/>
          <w:sz w:val="24"/>
          <w:szCs w:val="24"/>
        </w:rPr>
        <w:t xml:space="preserve"> for the category </w:t>
      </w:r>
      <w:proofErr w:type="gramStart"/>
      <w:r w:rsidR="003E3207">
        <w:rPr>
          <w:rFonts w:ascii="Times New Roman" w:hAnsi="Times New Roman" w:cs="Times New Roman"/>
          <w:sz w:val="24"/>
          <w:szCs w:val="24"/>
        </w:rPr>
        <w:t>of  product</w:t>
      </w:r>
      <w:proofErr w:type="gramEnd"/>
      <w:r w:rsidR="00C764DA" w:rsidRPr="00C764DA">
        <w:rPr>
          <w:rFonts w:ascii="Times New Roman" w:hAnsi="Times New Roman" w:cs="Times New Roman"/>
          <w:sz w:val="24"/>
          <w:szCs w:val="24"/>
        </w:rPr>
        <w:t xml:space="preserve">. The performance </w:t>
      </w:r>
      <w:r w:rsidR="00FE5E50">
        <w:rPr>
          <w:rFonts w:ascii="Times New Roman" w:hAnsi="Times New Roman" w:cs="Times New Roman"/>
          <w:sz w:val="24"/>
          <w:szCs w:val="24"/>
        </w:rPr>
        <w:t>assessment</w:t>
      </w:r>
      <w:r w:rsidR="00C764DA" w:rsidRPr="00C764DA">
        <w:rPr>
          <w:rFonts w:ascii="Times New Roman" w:hAnsi="Times New Roman" w:cs="Times New Roman"/>
          <w:sz w:val="24"/>
          <w:szCs w:val="24"/>
        </w:rPr>
        <w:t xml:space="preserve"> is intended to hold RSE licensees to account for underperformance through greater transparency and </w:t>
      </w:r>
      <w:r w:rsidR="00EC47CB">
        <w:rPr>
          <w:rFonts w:ascii="Times New Roman" w:hAnsi="Times New Roman" w:cs="Times New Roman"/>
          <w:sz w:val="24"/>
          <w:szCs w:val="24"/>
        </w:rPr>
        <w:t xml:space="preserve">prescribed </w:t>
      </w:r>
      <w:r w:rsidR="00C764DA" w:rsidRPr="00C764DA">
        <w:rPr>
          <w:rFonts w:ascii="Times New Roman" w:hAnsi="Times New Roman" w:cs="Times New Roman"/>
          <w:sz w:val="24"/>
          <w:szCs w:val="24"/>
        </w:rPr>
        <w:t>consequences</w:t>
      </w:r>
      <w:r w:rsidR="0031734E">
        <w:rPr>
          <w:rFonts w:ascii="Times New Roman" w:hAnsi="Times New Roman" w:cs="Times New Roman"/>
          <w:sz w:val="24"/>
          <w:szCs w:val="24"/>
        </w:rPr>
        <w:t xml:space="preserve"> </w:t>
      </w:r>
      <w:r w:rsidR="00CE47A4">
        <w:rPr>
          <w:rFonts w:ascii="Times New Roman" w:hAnsi="Times New Roman" w:cs="Times New Roman"/>
          <w:sz w:val="24"/>
          <w:szCs w:val="24"/>
        </w:rPr>
        <w:t>for</w:t>
      </w:r>
      <w:r w:rsidR="00FE7A8B">
        <w:rPr>
          <w:rFonts w:ascii="Times New Roman" w:hAnsi="Times New Roman" w:cs="Times New Roman"/>
          <w:sz w:val="24"/>
          <w:szCs w:val="24"/>
        </w:rPr>
        <w:t xml:space="preserve"> RSE licensees offering</w:t>
      </w:r>
      <w:r w:rsidR="0031734E">
        <w:rPr>
          <w:rFonts w:ascii="Times New Roman" w:hAnsi="Times New Roman" w:cs="Times New Roman"/>
          <w:sz w:val="24"/>
          <w:szCs w:val="24"/>
        </w:rPr>
        <w:t xml:space="preserve"> product</w:t>
      </w:r>
      <w:r w:rsidR="0033468E">
        <w:rPr>
          <w:rFonts w:ascii="Times New Roman" w:hAnsi="Times New Roman" w:cs="Times New Roman"/>
          <w:sz w:val="24"/>
          <w:szCs w:val="24"/>
        </w:rPr>
        <w:t>s</w:t>
      </w:r>
      <w:r w:rsidR="00A810A4">
        <w:rPr>
          <w:rFonts w:ascii="Times New Roman" w:hAnsi="Times New Roman" w:cs="Times New Roman"/>
          <w:sz w:val="24"/>
          <w:szCs w:val="24"/>
        </w:rPr>
        <w:t xml:space="preserve"> that fail the assessment</w:t>
      </w:r>
      <w:r w:rsidR="00992A46">
        <w:rPr>
          <w:rFonts w:ascii="Times New Roman" w:hAnsi="Times New Roman" w:cs="Times New Roman"/>
          <w:sz w:val="24"/>
          <w:szCs w:val="24"/>
        </w:rPr>
        <w:t>.</w:t>
      </w:r>
      <w:r w:rsidR="00C764DA" w:rsidRPr="00C764DA">
        <w:rPr>
          <w:rFonts w:ascii="Times New Roman" w:hAnsi="Times New Roman" w:cs="Times New Roman"/>
          <w:sz w:val="24"/>
          <w:szCs w:val="24"/>
        </w:rPr>
        <w:t xml:space="preserve"> </w:t>
      </w:r>
    </w:p>
    <w:p w14:paraId="2109165B" w14:textId="04E3C39F" w:rsidR="000D41E2" w:rsidRDefault="00C764DA" w:rsidP="43A48E43">
      <w:pPr>
        <w:rPr>
          <w:rFonts w:ascii="Times New Roman" w:hAnsi="Times New Roman" w:cs="Times New Roman"/>
          <w:sz w:val="24"/>
          <w:szCs w:val="24"/>
        </w:rPr>
      </w:pPr>
      <w:r w:rsidRPr="00C764DA">
        <w:rPr>
          <w:rFonts w:ascii="Times New Roman" w:hAnsi="Times New Roman" w:cs="Times New Roman"/>
          <w:sz w:val="24"/>
          <w:szCs w:val="24"/>
        </w:rPr>
        <w:t xml:space="preserve">On </w:t>
      </w:r>
      <w:r w:rsidR="158A1C31" w:rsidRPr="43A48E43">
        <w:rPr>
          <w:rFonts w:ascii="Times New Roman" w:hAnsi="Times New Roman" w:cs="Times New Roman"/>
          <w:sz w:val="24"/>
          <w:szCs w:val="24"/>
        </w:rPr>
        <w:t>4</w:t>
      </w:r>
      <w:r w:rsidR="008F6F93" w:rsidRPr="00BC4E97">
        <w:rPr>
          <w:rFonts w:ascii="Times New Roman" w:hAnsi="Times New Roman" w:cs="Times New Roman"/>
          <w:sz w:val="24"/>
          <w:szCs w:val="24"/>
        </w:rPr>
        <w:t xml:space="preserve"> August</w:t>
      </w:r>
      <w:r w:rsidRPr="00BC4E97">
        <w:rPr>
          <w:rFonts w:ascii="Times New Roman" w:hAnsi="Times New Roman" w:cs="Times New Roman"/>
          <w:sz w:val="24"/>
          <w:szCs w:val="24"/>
        </w:rPr>
        <w:t xml:space="preserve"> 2023,</w:t>
      </w:r>
      <w:r w:rsidR="00CF0E2B" w:rsidRPr="00BC4E97" w:rsidDel="005020E6">
        <w:rPr>
          <w:rFonts w:ascii="Times New Roman" w:hAnsi="Times New Roman" w:cs="Times New Roman"/>
          <w:sz w:val="24"/>
          <w:szCs w:val="24"/>
        </w:rPr>
        <w:t xml:space="preserve"> </w:t>
      </w:r>
      <w:r w:rsidR="00CF0E2B" w:rsidRPr="00BC4E97">
        <w:rPr>
          <w:rFonts w:ascii="Times New Roman" w:hAnsi="Times New Roman" w:cs="Times New Roman"/>
          <w:sz w:val="24"/>
          <w:szCs w:val="24"/>
        </w:rPr>
        <w:t>amendments</w:t>
      </w:r>
      <w:r w:rsidR="00CF0E2B">
        <w:rPr>
          <w:rFonts w:ascii="Times New Roman" w:hAnsi="Times New Roman" w:cs="Times New Roman"/>
          <w:sz w:val="24"/>
          <w:szCs w:val="24"/>
        </w:rPr>
        <w:t xml:space="preserve"> to the </w:t>
      </w:r>
      <w:r w:rsidR="002F232D">
        <w:rPr>
          <w:rFonts w:ascii="Times New Roman" w:hAnsi="Times New Roman" w:cs="Times New Roman"/>
          <w:sz w:val="24"/>
          <w:szCs w:val="24"/>
        </w:rPr>
        <w:t>Regulations</w:t>
      </w:r>
      <w:r w:rsidR="002F232D" w:rsidRPr="002F232D">
        <w:rPr>
          <w:rFonts w:ascii="Times New Roman" w:hAnsi="Times New Roman" w:cs="Times New Roman"/>
          <w:i/>
          <w:sz w:val="24"/>
          <w:szCs w:val="24"/>
        </w:rPr>
        <w:t xml:space="preserve"> </w:t>
      </w:r>
      <w:r w:rsidR="00CF0E2B">
        <w:rPr>
          <w:rFonts w:ascii="Times New Roman" w:hAnsi="Times New Roman" w:cs="Times New Roman"/>
          <w:sz w:val="24"/>
          <w:szCs w:val="24"/>
        </w:rPr>
        <w:t xml:space="preserve">made by the </w:t>
      </w:r>
      <w:r w:rsidR="00667699" w:rsidRPr="00667699">
        <w:rPr>
          <w:rFonts w:ascii="Times New Roman" w:hAnsi="Times New Roman" w:cs="Times New Roman"/>
          <w:i/>
          <w:sz w:val="24"/>
          <w:szCs w:val="24"/>
        </w:rPr>
        <w:t>Superannuation Industry (Supervision) Amendment (Your Future, Your Super – Addressing Underperformance in Superannuation) Regulations 2023</w:t>
      </w:r>
      <w:r w:rsidR="00CF0E2B">
        <w:rPr>
          <w:rFonts w:ascii="Times New Roman" w:hAnsi="Times New Roman" w:cs="Times New Roman"/>
          <w:sz w:val="24"/>
          <w:szCs w:val="24"/>
        </w:rPr>
        <w:t xml:space="preserve"> (YFYS Regs 2023) commenced</w:t>
      </w:r>
      <w:r w:rsidR="001B1166">
        <w:rPr>
          <w:rFonts w:ascii="Times New Roman" w:hAnsi="Times New Roman" w:cs="Times New Roman"/>
          <w:sz w:val="24"/>
          <w:szCs w:val="24"/>
        </w:rPr>
        <w:t>.</w:t>
      </w:r>
    </w:p>
    <w:p w14:paraId="696FD6ED" w14:textId="00227FC5" w:rsidR="004B6FA5" w:rsidRDefault="00CF0E2B" w:rsidP="1E9DABB5">
      <w:pPr>
        <w:rPr>
          <w:rFonts w:ascii="Times New Roman" w:hAnsi="Times New Roman" w:cs="Times New Roman"/>
          <w:sz w:val="24"/>
          <w:szCs w:val="24"/>
        </w:rPr>
      </w:pPr>
      <w:r>
        <w:rPr>
          <w:rFonts w:ascii="Times New Roman" w:hAnsi="Times New Roman" w:cs="Times New Roman"/>
          <w:iCs/>
          <w:sz w:val="24"/>
          <w:szCs w:val="24"/>
        </w:rPr>
        <w:t>The YFYS Regs</w:t>
      </w:r>
      <w:r w:rsidR="00667699">
        <w:rPr>
          <w:rFonts w:ascii="Times New Roman" w:hAnsi="Times New Roman" w:cs="Times New Roman"/>
          <w:iCs/>
          <w:sz w:val="24"/>
          <w:szCs w:val="24"/>
        </w:rPr>
        <w:t xml:space="preserve"> 2023</w:t>
      </w:r>
      <w:r>
        <w:rPr>
          <w:rFonts w:ascii="Times New Roman" w:hAnsi="Times New Roman" w:cs="Times New Roman"/>
          <w:iCs/>
          <w:sz w:val="24"/>
          <w:szCs w:val="24"/>
        </w:rPr>
        <w:t xml:space="preserve"> </w:t>
      </w:r>
      <w:r w:rsidR="00C764DA" w:rsidRPr="00C764DA">
        <w:rPr>
          <w:rFonts w:ascii="Times New Roman" w:hAnsi="Times New Roman" w:cs="Times New Roman"/>
          <w:sz w:val="24"/>
          <w:szCs w:val="24"/>
        </w:rPr>
        <w:t>in</w:t>
      </w:r>
      <w:r w:rsidR="00667699">
        <w:rPr>
          <w:rFonts w:ascii="Times New Roman" w:hAnsi="Times New Roman" w:cs="Times New Roman"/>
          <w:sz w:val="24"/>
          <w:szCs w:val="24"/>
        </w:rPr>
        <w:t xml:space="preserve">serted </w:t>
      </w:r>
      <w:proofErr w:type="spellStart"/>
      <w:r w:rsidR="00667699">
        <w:rPr>
          <w:rFonts w:ascii="Times New Roman" w:hAnsi="Times New Roman" w:cs="Times New Roman"/>
          <w:sz w:val="24"/>
          <w:szCs w:val="24"/>
        </w:rPr>
        <w:t>subregulations</w:t>
      </w:r>
      <w:proofErr w:type="spellEnd"/>
      <w:r w:rsidR="00667699">
        <w:rPr>
          <w:rFonts w:ascii="Times New Roman" w:hAnsi="Times New Roman" w:cs="Times New Roman"/>
          <w:sz w:val="24"/>
          <w:szCs w:val="24"/>
        </w:rPr>
        <w:t xml:space="preserve"> </w:t>
      </w:r>
      <w:r w:rsidR="00667699" w:rsidRPr="00BC4E97">
        <w:rPr>
          <w:rFonts w:ascii="Times New Roman" w:hAnsi="Times New Roman" w:cs="Times New Roman"/>
          <w:sz w:val="24"/>
          <w:szCs w:val="24"/>
        </w:rPr>
        <w:t>9AB.12(4A) and 9AB.14(9A)</w:t>
      </w:r>
      <w:r w:rsidR="00667699">
        <w:rPr>
          <w:rFonts w:ascii="Times New Roman" w:hAnsi="Times New Roman" w:cs="Times New Roman"/>
          <w:sz w:val="24"/>
          <w:szCs w:val="24"/>
        </w:rPr>
        <w:t xml:space="preserve"> t</w:t>
      </w:r>
      <w:r w:rsidR="000D41E2">
        <w:rPr>
          <w:rFonts w:ascii="Times New Roman" w:hAnsi="Times New Roman" w:cs="Times New Roman"/>
          <w:sz w:val="24"/>
          <w:szCs w:val="24"/>
        </w:rPr>
        <w:t>o</w:t>
      </w:r>
      <w:r w:rsidR="00667699">
        <w:rPr>
          <w:rFonts w:ascii="Times New Roman" w:hAnsi="Times New Roman" w:cs="Times New Roman"/>
          <w:sz w:val="24"/>
          <w:szCs w:val="24"/>
        </w:rPr>
        <w:t xml:space="preserve"> </w:t>
      </w:r>
      <w:r w:rsidR="00B522B8">
        <w:rPr>
          <w:rFonts w:ascii="Times New Roman" w:hAnsi="Times New Roman" w:cs="Times New Roman"/>
          <w:sz w:val="24"/>
          <w:szCs w:val="24"/>
        </w:rPr>
        <w:t>allow</w:t>
      </w:r>
      <w:r w:rsidR="00C764DA" w:rsidRPr="00C764DA">
        <w:rPr>
          <w:rFonts w:ascii="Times New Roman" w:hAnsi="Times New Roman" w:cs="Times New Roman"/>
          <w:sz w:val="24"/>
          <w:szCs w:val="24"/>
        </w:rPr>
        <w:t xml:space="preserve"> APRA to make </w:t>
      </w:r>
      <w:r>
        <w:rPr>
          <w:rFonts w:ascii="Times New Roman" w:hAnsi="Times New Roman" w:cs="Times New Roman"/>
          <w:sz w:val="24"/>
          <w:szCs w:val="24"/>
        </w:rPr>
        <w:t>a legislative instrument</w:t>
      </w:r>
      <w:r w:rsidR="00C764DA" w:rsidRPr="00C764DA">
        <w:rPr>
          <w:rFonts w:ascii="Times New Roman" w:hAnsi="Times New Roman" w:cs="Times New Roman"/>
          <w:sz w:val="24"/>
          <w:szCs w:val="24"/>
        </w:rPr>
        <w:t xml:space="preserve"> to </w:t>
      </w:r>
      <w:r w:rsidR="002A1F06">
        <w:rPr>
          <w:rFonts w:ascii="Times New Roman" w:hAnsi="Times New Roman" w:cs="Times New Roman"/>
          <w:sz w:val="24"/>
          <w:szCs w:val="24"/>
        </w:rPr>
        <w:t>modify</w:t>
      </w:r>
      <w:r w:rsidR="00C764DA" w:rsidRPr="00C764DA">
        <w:rPr>
          <w:rFonts w:ascii="Times New Roman" w:hAnsi="Times New Roman" w:cs="Times New Roman"/>
          <w:sz w:val="24"/>
          <w:szCs w:val="24"/>
        </w:rPr>
        <w:t xml:space="preserve"> the performance test formulae where there are changes to the </w:t>
      </w:r>
      <w:proofErr w:type="spellStart"/>
      <w:r w:rsidR="002A1F06">
        <w:rPr>
          <w:rFonts w:ascii="Times New Roman" w:hAnsi="Times New Roman" w:cs="Times New Roman"/>
          <w:sz w:val="24"/>
          <w:szCs w:val="24"/>
        </w:rPr>
        <w:t>lifestages</w:t>
      </w:r>
      <w:proofErr w:type="spellEnd"/>
      <w:r w:rsidR="002A1F06" w:rsidRPr="00C764DA">
        <w:rPr>
          <w:rFonts w:ascii="Times New Roman" w:hAnsi="Times New Roman" w:cs="Times New Roman"/>
          <w:sz w:val="24"/>
          <w:szCs w:val="24"/>
        </w:rPr>
        <w:t xml:space="preserve"> </w:t>
      </w:r>
      <w:r w:rsidR="00C764DA" w:rsidRPr="00C764DA">
        <w:rPr>
          <w:rFonts w:ascii="Times New Roman" w:hAnsi="Times New Roman" w:cs="Times New Roman"/>
          <w:sz w:val="24"/>
          <w:szCs w:val="24"/>
        </w:rPr>
        <w:t>of a</w:t>
      </w:r>
      <w:r>
        <w:rPr>
          <w:rFonts w:ascii="Times New Roman" w:hAnsi="Times New Roman" w:cs="Times New Roman"/>
          <w:sz w:val="24"/>
          <w:szCs w:val="24"/>
        </w:rPr>
        <w:t xml:space="preserve"> lifecycle Part 6A product</w:t>
      </w:r>
      <w:r w:rsidR="004D2EC1">
        <w:rPr>
          <w:rFonts w:ascii="Times New Roman" w:hAnsi="Times New Roman" w:cs="Times New Roman"/>
          <w:sz w:val="24"/>
          <w:szCs w:val="24"/>
        </w:rPr>
        <w:t>. This</w:t>
      </w:r>
      <w:r w:rsidR="00B2727A">
        <w:rPr>
          <w:rFonts w:ascii="Times New Roman" w:hAnsi="Times New Roman" w:cs="Times New Roman"/>
          <w:sz w:val="24"/>
          <w:szCs w:val="24"/>
        </w:rPr>
        <w:t xml:space="preserve"> power supplements the existing </w:t>
      </w:r>
      <w:r w:rsidR="00EE2B87">
        <w:rPr>
          <w:rFonts w:ascii="Times New Roman" w:hAnsi="Times New Roman" w:cs="Times New Roman"/>
          <w:sz w:val="24"/>
          <w:szCs w:val="24"/>
        </w:rPr>
        <w:t xml:space="preserve">ability of </w:t>
      </w:r>
      <w:r w:rsidR="00B2727A">
        <w:rPr>
          <w:rFonts w:ascii="Times New Roman" w:hAnsi="Times New Roman" w:cs="Times New Roman"/>
          <w:sz w:val="24"/>
          <w:szCs w:val="24"/>
        </w:rPr>
        <w:t xml:space="preserve">APRA to </w:t>
      </w:r>
      <w:proofErr w:type="gramStart"/>
      <w:r w:rsidR="00B2727A">
        <w:rPr>
          <w:rFonts w:ascii="Times New Roman" w:hAnsi="Times New Roman" w:cs="Times New Roman"/>
          <w:sz w:val="24"/>
          <w:szCs w:val="24"/>
        </w:rPr>
        <w:t>make</w:t>
      </w:r>
      <w:r w:rsidR="002215DC">
        <w:rPr>
          <w:rFonts w:ascii="Times New Roman" w:hAnsi="Times New Roman" w:cs="Times New Roman"/>
          <w:sz w:val="24"/>
          <w:szCs w:val="24"/>
        </w:rPr>
        <w:t xml:space="preserve"> </w:t>
      </w:r>
      <w:r w:rsidR="00EE2B87">
        <w:rPr>
          <w:rFonts w:ascii="Times New Roman" w:hAnsi="Times New Roman" w:cs="Times New Roman"/>
          <w:sz w:val="24"/>
          <w:szCs w:val="24"/>
        </w:rPr>
        <w:t xml:space="preserve">a </w:t>
      </w:r>
      <w:r w:rsidR="002215DC">
        <w:rPr>
          <w:rFonts w:ascii="Times New Roman" w:hAnsi="Times New Roman" w:cs="Times New Roman"/>
          <w:sz w:val="24"/>
          <w:szCs w:val="24"/>
        </w:rPr>
        <w:t>determination</w:t>
      </w:r>
      <w:proofErr w:type="gramEnd"/>
      <w:r w:rsidR="00667699">
        <w:rPr>
          <w:rFonts w:ascii="Times New Roman" w:hAnsi="Times New Roman" w:cs="Times New Roman"/>
          <w:sz w:val="24"/>
          <w:szCs w:val="24"/>
        </w:rPr>
        <w:t xml:space="preserve"> of this type</w:t>
      </w:r>
      <w:r w:rsidR="002215DC">
        <w:rPr>
          <w:rFonts w:ascii="Times New Roman" w:hAnsi="Times New Roman" w:cs="Times New Roman"/>
          <w:sz w:val="24"/>
          <w:szCs w:val="24"/>
        </w:rPr>
        <w:t xml:space="preserve"> applying to </w:t>
      </w:r>
      <w:r w:rsidR="00EE2B87">
        <w:rPr>
          <w:rFonts w:ascii="Times New Roman" w:hAnsi="Times New Roman" w:cs="Times New Roman"/>
          <w:sz w:val="24"/>
          <w:szCs w:val="24"/>
        </w:rPr>
        <w:t>an</w:t>
      </w:r>
      <w:r w:rsidR="002215DC">
        <w:rPr>
          <w:rFonts w:ascii="Times New Roman" w:hAnsi="Times New Roman" w:cs="Times New Roman"/>
          <w:sz w:val="24"/>
          <w:szCs w:val="24"/>
        </w:rPr>
        <w:t xml:space="preserve"> individual RSE licensee</w:t>
      </w:r>
      <w:r w:rsidR="002A1F06">
        <w:rPr>
          <w:rFonts w:ascii="Times New Roman" w:hAnsi="Times New Roman" w:cs="Times New Roman"/>
          <w:sz w:val="24"/>
          <w:szCs w:val="24"/>
        </w:rPr>
        <w:t xml:space="preserve"> and product</w:t>
      </w:r>
      <w:r w:rsidR="00EE2B87">
        <w:rPr>
          <w:rFonts w:ascii="Times New Roman" w:hAnsi="Times New Roman" w:cs="Times New Roman"/>
          <w:sz w:val="24"/>
          <w:szCs w:val="24"/>
        </w:rPr>
        <w:t xml:space="preserve"> under </w:t>
      </w:r>
      <w:proofErr w:type="spellStart"/>
      <w:r w:rsidR="002D3043">
        <w:rPr>
          <w:rFonts w:ascii="Times New Roman" w:hAnsi="Times New Roman" w:cs="Times New Roman"/>
          <w:sz w:val="24"/>
          <w:szCs w:val="24"/>
        </w:rPr>
        <w:t>subregulations</w:t>
      </w:r>
      <w:proofErr w:type="spellEnd"/>
      <w:r w:rsidR="002D3043">
        <w:rPr>
          <w:rFonts w:ascii="Times New Roman" w:hAnsi="Times New Roman" w:cs="Times New Roman"/>
          <w:sz w:val="24"/>
          <w:szCs w:val="24"/>
        </w:rPr>
        <w:t xml:space="preserve"> </w:t>
      </w:r>
      <w:r w:rsidR="002D3043" w:rsidRPr="00113690">
        <w:rPr>
          <w:rFonts w:ascii="Times New Roman" w:hAnsi="Times New Roman" w:cs="Times New Roman"/>
          <w:sz w:val="24"/>
          <w:szCs w:val="24"/>
        </w:rPr>
        <w:t xml:space="preserve">9AB.12(5) </w:t>
      </w:r>
      <w:r w:rsidR="00EE2B87" w:rsidRPr="00113690">
        <w:rPr>
          <w:rFonts w:ascii="Times New Roman" w:hAnsi="Times New Roman" w:cs="Times New Roman"/>
          <w:sz w:val="24"/>
          <w:szCs w:val="24"/>
        </w:rPr>
        <w:t xml:space="preserve">and </w:t>
      </w:r>
      <w:r w:rsidR="002D3043" w:rsidRPr="00113690">
        <w:rPr>
          <w:rFonts w:ascii="Times New Roman" w:hAnsi="Times New Roman" w:cs="Times New Roman"/>
          <w:sz w:val="24"/>
          <w:szCs w:val="24"/>
        </w:rPr>
        <w:t>9AB.14(10)</w:t>
      </w:r>
      <w:r w:rsidR="00EE2B87" w:rsidRPr="00113690">
        <w:rPr>
          <w:rFonts w:ascii="Times New Roman" w:hAnsi="Times New Roman" w:cs="Times New Roman"/>
          <w:sz w:val="24"/>
          <w:szCs w:val="24"/>
        </w:rPr>
        <w:t xml:space="preserve"> of</w:t>
      </w:r>
      <w:r w:rsidR="00EE2B87">
        <w:rPr>
          <w:rFonts w:ascii="Times New Roman" w:hAnsi="Times New Roman" w:cs="Times New Roman"/>
          <w:sz w:val="24"/>
          <w:szCs w:val="24"/>
        </w:rPr>
        <w:t xml:space="preserve"> the Regulations</w:t>
      </w:r>
      <w:r w:rsidR="002A1F06">
        <w:rPr>
          <w:rFonts w:ascii="Times New Roman" w:hAnsi="Times New Roman" w:cs="Times New Roman"/>
          <w:sz w:val="24"/>
          <w:szCs w:val="24"/>
        </w:rPr>
        <w:t>. For the first two annual</w:t>
      </w:r>
      <w:r w:rsidR="003F3142">
        <w:rPr>
          <w:rFonts w:ascii="Times New Roman" w:hAnsi="Times New Roman" w:cs="Times New Roman"/>
          <w:sz w:val="24"/>
          <w:szCs w:val="24"/>
        </w:rPr>
        <w:t xml:space="preserve"> </w:t>
      </w:r>
      <w:r w:rsidR="00EE2B87">
        <w:rPr>
          <w:rFonts w:ascii="Times New Roman" w:hAnsi="Times New Roman" w:cs="Times New Roman"/>
          <w:sz w:val="24"/>
          <w:szCs w:val="24"/>
        </w:rPr>
        <w:t>p</w:t>
      </w:r>
      <w:r w:rsidR="00EE2B87" w:rsidRPr="00C95018">
        <w:rPr>
          <w:rFonts w:ascii="Times New Roman" w:hAnsi="Times New Roman" w:cs="Times New Roman"/>
          <w:sz w:val="24"/>
          <w:szCs w:val="24"/>
        </w:rPr>
        <w:t xml:space="preserve">erformance </w:t>
      </w:r>
      <w:r w:rsidR="00EE2B87">
        <w:rPr>
          <w:rFonts w:ascii="Times New Roman" w:hAnsi="Times New Roman" w:cs="Times New Roman"/>
          <w:sz w:val="24"/>
          <w:szCs w:val="24"/>
        </w:rPr>
        <w:t>assessment</w:t>
      </w:r>
      <w:r w:rsidR="002A1F06">
        <w:rPr>
          <w:rFonts w:ascii="Times New Roman" w:hAnsi="Times New Roman" w:cs="Times New Roman"/>
          <w:sz w:val="24"/>
          <w:szCs w:val="24"/>
        </w:rPr>
        <w:t>s</w:t>
      </w:r>
      <w:r w:rsidR="000D41E2">
        <w:rPr>
          <w:rFonts w:ascii="Times New Roman" w:hAnsi="Times New Roman" w:cs="Times New Roman"/>
          <w:sz w:val="24"/>
          <w:szCs w:val="24"/>
        </w:rPr>
        <w:t xml:space="preserve"> (</w:t>
      </w:r>
      <w:proofErr w:type="gramStart"/>
      <w:r w:rsidR="000D41E2">
        <w:rPr>
          <w:rFonts w:ascii="Times New Roman" w:hAnsi="Times New Roman" w:cs="Times New Roman"/>
          <w:sz w:val="24"/>
          <w:szCs w:val="24"/>
        </w:rPr>
        <w:t>i.e.</w:t>
      </w:r>
      <w:proofErr w:type="gramEnd"/>
      <w:r w:rsidR="009850E4">
        <w:rPr>
          <w:rFonts w:ascii="Times New Roman" w:hAnsi="Times New Roman" w:cs="Times New Roman"/>
          <w:sz w:val="24"/>
          <w:szCs w:val="24"/>
        </w:rPr>
        <w:t xml:space="preserve"> the 2020-21 and 2021-22 financial years</w:t>
      </w:r>
      <w:r w:rsidR="000D41E2">
        <w:rPr>
          <w:rFonts w:ascii="Times New Roman" w:hAnsi="Times New Roman" w:cs="Times New Roman"/>
          <w:sz w:val="24"/>
          <w:szCs w:val="24"/>
        </w:rPr>
        <w:t>)</w:t>
      </w:r>
      <w:r w:rsidR="00EE2B87" w:rsidRPr="00C95018">
        <w:rPr>
          <w:rFonts w:ascii="Times New Roman" w:hAnsi="Times New Roman" w:cs="Times New Roman"/>
          <w:sz w:val="24"/>
          <w:szCs w:val="24"/>
        </w:rPr>
        <w:t xml:space="preserve">, APRA issued </w:t>
      </w:r>
      <w:r w:rsidR="003F3142">
        <w:rPr>
          <w:rFonts w:ascii="Times New Roman" w:hAnsi="Times New Roman" w:cs="Times New Roman"/>
          <w:sz w:val="24"/>
          <w:szCs w:val="24"/>
        </w:rPr>
        <w:t xml:space="preserve">a number of </w:t>
      </w:r>
      <w:r w:rsidR="00EE2B87" w:rsidRPr="00C95018">
        <w:rPr>
          <w:rFonts w:ascii="Times New Roman" w:hAnsi="Times New Roman" w:cs="Times New Roman"/>
          <w:sz w:val="24"/>
          <w:szCs w:val="24"/>
        </w:rPr>
        <w:t>such individual determinations</w:t>
      </w:r>
      <w:r w:rsidR="00E14C8F">
        <w:rPr>
          <w:rFonts w:ascii="Times New Roman" w:hAnsi="Times New Roman" w:cs="Times New Roman"/>
          <w:sz w:val="24"/>
          <w:szCs w:val="24"/>
        </w:rPr>
        <w:t xml:space="preserve">. </w:t>
      </w:r>
      <w:r w:rsidR="00EE2B87" w:rsidRPr="00C95018">
        <w:rPr>
          <w:rFonts w:ascii="Times New Roman" w:hAnsi="Times New Roman" w:cs="Times New Roman"/>
          <w:sz w:val="24"/>
          <w:szCs w:val="24"/>
        </w:rPr>
        <w:t>Given th</w:t>
      </w:r>
      <w:r w:rsidR="008F648E">
        <w:rPr>
          <w:rFonts w:ascii="Times New Roman" w:hAnsi="Times New Roman" w:cs="Times New Roman"/>
          <w:sz w:val="24"/>
          <w:szCs w:val="24"/>
        </w:rPr>
        <w:t>e</w:t>
      </w:r>
      <w:r w:rsidR="00EE2B87" w:rsidRPr="00C95018">
        <w:rPr>
          <w:rFonts w:ascii="Times New Roman" w:hAnsi="Times New Roman" w:cs="Times New Roman"/>
          <w:sz w:val="24"/>
          <w:szCs w:val="24"/>
        </w:rPr>
        <w:t xml:space="preserve"> methodology </w:t>
      </w:r>
      <w:r w:rsidR="008F648E">
        <w:rPr>
          <w:rFonts w:ascii="Times New Roman" w:hAnsi="Times New Roman" w:cs="Times New Roman"/>
          <w:sz w:val="24"/>
          <w:szCs w:val="24"/>
        </w:rPr>
        <w:t>specified in the</w:t>
      </w:r>
      <w:r w:rsidR="00FE7A8B">
        <w:rPr>
          <w:rFonts w:ascii="Times New Roman" w:hAnsi="Times New Roman" w:cs="Times New Roman"/>
          <w:sz w:val="24"/>
          <w:szCs w:val="24"/>
        </w:rPr>
        <w:t xml:space="preserve"> individual</w:t>
      </w:r>
      <w:r w:rsidR="008F648E">
        <w:rPr>
          <w:rFonts w:ascii="Times New Roman" w:hAnsi="Times New Roman" w:cs="Times New Roman"/>
          <w:sz w:val="24"/>
          <w:szCs w:val="24"/>
        </w:rPr>
        <w:t xml:space="preserve"> determination</w:t>
      </w:r>
      <w:r w:rsidR="00FE7A8B">
        <w:rPr>
          <w:rFonts w:ascii="Times New Roman" w:hAnsi="Times New Roman" w:cs="Times New Roman"/>
          <w:sz w:val="24"/>
          <w:szCs w:val="24"/>
        </w:rPr>
        <w:t>s</w:t>
      </w:r>
      <w:r w:rsidR="008F648E">
        <w:rPr>
          <w:rFonts w:ascii="Times New Roman" w:hAnsi="Times New Roman" w:cs="Times New Roman"/>
          <w:sz w:val="24"/>
          <w:szCs w:val="24"/>
        </w:rPr>
        <w:t xml:space="preserve"> is the same </w:t>
      </w:r>
      <w:r w:rsidR="009850E4">
        <w:rPr>
          <w:rFonts w:ascii="Times New Roman" w:hAnsi="Times New Roman" w:cs="Times New Roman"/>
          <w:sz w:val="24"/>
          <w:szCs w:val="24"/>
        </w:rPr>
        <w:t>across</w:t>
      </w:r>
      <w:r w:rsidR="008F648E">
        <w:rPr>
          <w:rFonts w:ascii="Times New Roman" w:hAnsi="Times New Roman" w:cs="Times New Roman"/>
          <w:sz w:val="24"/>
          <w:szCs w:val="24"/>
        </w:rPr>
        <w:t xml:space="preserve"> all</w:t>
      </w:r>
      <w:r w:rsidR="00EE2B87" w:rsidRPr="00C95018">
        <w:rPr>
          <w:rFonts w:ascii="Times New Roman" w:hAnsi="Times New Roman" w:cs="Times New Roman"/>
          <w:sz w:val="24"/>
          <w:szCs w:val="24"/>
        </w:rPr>
        <w:t xml:space="preserve"> produc</w:t>
      </w:r>
      <w:r w:rsidR="008F648E">
        <w:rPr>
          <w:rFonts w:ascii="Times New Roman" w:hAnsi="Times New Roman" w:cs="Times New Roman"/>
          <w:sz w:val="24"/>
          <w:szCs w:val="24"/>
        </w:rPr>
        <w:t>ts</w:t>
      </w:r>
      <w:r w:rsidR="00EE2B87" w:rsidRPr="00C95018">
        <w:rPr>
          <w:rFonts w:ascii="Times New Roman" w:hAnsi="Times New Roman" w:cs="Times New Roman"/>
          <w:sz w:val="24"/>
          <w:szCs w:val="24"/>
        </w:rPr>
        <w:t>, APRA consider</w:t>
      </w:r>
      <w:r w:rsidR="000D41E2">
        <w:rPr>
          <w:rFonts w:ascii="Times New Roman" w:hAnsi="Times New Roman" w:cs="Times New Roman"/>
          <w:sz w:val="24"/>
          <w:szCs w:val="24"/>
        </w:rPr>
        <w:t>s</w:t>
      </w:r>
      <w:r w:rsidR="00C764DA" w:rsidRPr="00C764DA" w:rsidDel="00AD7243">
        <w:rPr>
          <w:rFonts w:ascii="Times New Roman" w:hAnsi="Times New Roman" w:cs="Times New Roman"/>
          <w:sz w:val="24"/>
          <w:szCs w:val="24"/>
        </w:rPr>
        <w:t xml:space="preserve"> </w:t>
      </w:r>
      <w:r w:rsidR="00EE2B87" w:rsidRPr="00C95018">
        <w:rPr>
          <w:rFonts w:ascii="Times New Roman" w:hAnsi="Times New Roman" w:cs="Times New Roman"/>
          <w:sz w:val="24"/>
          <w:szCs w:val="24"/>
        </w:rPr>
        <w:t xml:space="preserve">it appropriate for the modified methodology to be </w:t>
      </w:r>
      <w:r w:rsidR="00EE2B87">
        <w:rPr>
          <w:rFonts w:ascii="Times New Roman" w:hAnsi="Times New Roman" w:cs="Times New Roman"/>
          <w:sz w:val="24"/>
          <w:szCs w:val="24"/>
        </w:rPr>
        <w:t>applied via a legislative instrument on a</w:t>
      </w:r>
      <w:r w:rsidR="002D3043">
        <w:rPr>
          <w:rFonts w:ascii="Times New Roman" w:hAnsi="Times New Roman" w:cs="Times New Roman"/>
          <w:sz w:val="24"/>
          <w:szCs w:val="24"/>
        </w:rPr>
        <w:t>n</w:t>
      </w:r>
      <w:r w:rsidR="00EE2B87">
        <w:rPr>
          <w:rFonts w:ascii="Times New Roman" w:hAnsi="Times New Roman" w:cs="Times New Roman"/>
          <w:sz w:val="24"/>
          <w:szCs w:val="24"/>
        </w:rPr>
        <w:t xml:space="preserve"> </w:t>
      </w:r>
      <w:r w:rsidR="002D3043">
        <w:rPr>
          <w:rFonts w:ascii="Times New Roman" w:hAnsi="Times New Roman" w:cs="Times New Roman"/>
          <w:sz w:val="24"/>
          <w:szCs w:val="24"/>
        </w:rPr>
        <w:t>industry-wide</w:t>
      </w:r>
      <w:r w:rsidR="00EE2B87">
        <w:rPr>
          <w:rFonts w:ascii="Times New Roman" w:hAnsi="Times New Roman" w:cs="Times New Roman"/>
          <w:sz w:val="24"/>
          <w:szCs w:val="24"/>
        </w:rPr>
        <w:t xml:space="preserve"> basis</w:t>
      </w:r>
      <w:r w:rsidR="000D41E2">
        <w:rPr>
          <w:rFonts w:ascii="Times New Roman" w:hAnsi="Times New Roman" w:cs="Times New Roman"/>
          <w:sz w:val="24"/>
          <w:szCs w:val="24"/>
        </w:rPr>
        <w:t xml:space="preserve"> </w:t>
      </w:r>
      <w:r w:rsidR="000D41E2">
        <w:rPr>
          <w:rFonts w:ascii="Times New Roman" w:hAnsi="Times New Roman" w:cs="Times New Roman"/>
          <w:sz w:val="24"/>
          <w:szCs w:val="24"/>
        </w:rPr>
        <w:lastRenderedPageBreak/>
        <w:t>for product structure changes</w:t>
      </w:r>
      <w:r w:rsidR="64201B2F" w:rsidRPr="1E9DABB5">
        <w:rPr>
          <w:rFonts w:ascii="Times New Roman" w:hAnsi="Times New Roman" w:cs="Times New Roman"/>
          <w:sz w:val="24"/>
          <w:szCs w:val="24"/>
        </w:rPr>
        <w:t xml:space="preserve"> where </w:t>
      </w:r>
      <w:r w:rsidR="64201B2F" w:rsidRPr="44987D6D">
        <w:rPr>
          <w:rFonts w:ascii="Times New Roman" w:hAnsi="Times New Roman" w:cs="Times New Roman"/>
          <w:sz w:val="24"/>
          <w:szCs w:val="24"/>
        </w:rPr>
        <w:t>required</w:t>
      </w:r>
      <w:r w:rsidR="00EE2B87" w:rsidRPr="44987D6D">
        <w:rPr>
          <w:rFonts w:ascii="Times New Roman" w:hAnsi="Times New Roman" w:cs="Times New Roman"/>
          <w:sz w:val="24"/>
          <w:szCs w:val="24"/>
        </w:rPr>
        <w:t>.</w:t>
      </w:r>
      <w:r w:rsidR="00E14C8F">
        <w:rPr>
          <w:rFonts w:ascii="Times New Roman" w:hAnsi="Times New Roman" w:cs="Times New Roman"/>
          <w:sz w:val="24"/>
          <w:szCs w:val="24"/>
        </w:rPr>
        <w:t xml:space="preserve"> Note that individual determinations made by APRA will continue to operate either alone or in conjunction with this instrument</w:t>
      </w:r>
      <w:r w:rsidR="00E14C8F" w:rsidRPr="00C95018">
        <w:rPr>
          <w:rFonts w:ascii="Times New Roman" w:hAnsi="Times New Roman" w:cs="Times New Roman"/>
          <w:sz w:val="24"/>
          <w:szCs w:val="24"/>
        </w:rPr>
        <w:t xml:space="preserve">. </w:t>
      </w:r>
      <w:r w:rsidR="00EE2B87">
        <w:rPr>
          <w:rFonts w:ascii="Times New Roman" w:hAnsi="Times New Roman" w:cs="Times New Roman"/>
          <w:sz w:val="24"/>
          <w:szCs w:val="24"/>
        </w:rPr>
        <w:t xml:space="preserve"> </w:t>
      </w:r>
      <w:r w:rsidR="00EE2B87" w:rsidRPr="00C95018">
        <w:rPr>
          <w:rFonts w:ascii="Times New Roman" w:hAnsi="Times New Roman" w:cs="Times New Roman"/>
          <w:sz w:val="24"/>
          <w:szCs w:val="24"/>
        </w:rPr>
        <w:t xml:space="preserve"> </w:t>
      </w:r>
    </w:p>
    <w:p w14:paraId="349A167C" w14:textId="3E0087E3"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Purpose and operation of the instrument</w:t>
      </w:r>
    </w:p>
    <w:p w14:paraId="165D549D" w14:textId="7723AC1C" w:rsidR="00211AFD"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sidR="00023CE3">
        <w:rPr>
          <w:rFonts w:ascii="Times New Roman" w:hAnsi="Times New Roman" w:cs="Times New Roman"/>
          <w:sz w:val="24"/>
          <w:szCs w:val="24"/>
        </w:rPr>
        <w:t>i</w:t>
      </w:r>
      <w:r w:rsidRPr="00BC1E70">
        <w:rPr>
          <w:rFonts w:ascii="Times New Roman" w:hAnsi="Times New Roman" w:cs="Times New Roman"/>
          <w:sz w:val="24"/>
          <w:szCs w:val="24"/>
        </w:rPr>
        <w:t>nstrument is to</w:t>
      </w:r>
      <w:r w:rsidR="00D42E84">
        <w:rPr>
          <w:rFonts w:ascii="Times New Roman" w:hAnsi="Times New Roman" w:cs="Times New Roman"/>
          <w:sz w:val="24"/>
          <w:szCs w:val="24"/>
        </w:rPr>
        <w:t xml:space="preserve"> </w:t>
      </w:r>
      <w:r w:rsidR="009850E4">
        <w:rPr>
          <w:rFonts w:ascii="Times New Roman" w:hAnsi="Times New Roman" w:cs="Times New Roman"/>
          <w:sz w:val="24"/>
          <w:szCs w:val="24"/>
        </w:rPr>
        <w:t xml:space="preserve">specify modifications to </w:t>
      </w:r>
      <w:r w:rsidR="00BB3E7F" w:rsidDel="009850E4">
        <w:rPr>
          <w:rFonts w:ascii="Times New Roman" w:hAnsi="Times New Roman" w:cs="Times New Roman"/>
          <w:sz w:val="24"/>
          <w:szCs w:val="24"/>
        </w:rPr>
        <w:t>t</w:t>
      </w:r>
      <w:r w:rsidR="00D4236E" w:rsidDel="009850E4">
        <w:rPr>
          <w:rFonts w:ascii="Times New Roman" w:hAnsi="Times New Roman" w:cs="Times New Roman"/>
          <w:sz w:val="24"/>
          <w:szCs w:val="24"/>
        </w:rPr>
        <w:t>he</w:t>
      </w:r>
      <w:r w:rsidR="00BB3E7F">
        <w:rPr>
          <w:rFonts w:ascii="Times New Roman" w:hAnsi="Times New Roman" w:cs="Times New Roman"/>
          <w:sz w:val="24"/>
          <w:szCs w:val="24"/>
        </w:rPr>
        <w:t xml:space="preserve"> </w:t>
      </w:r>
      <w:r w:rsidR="00EE2B87">
        <w:rPr>
          <w:rFonts w:ascii="Times New Roman" w:hAnsi="Times New Roman" w:cs="Times New Roman"/>
          <w:sz w:val="24"/>
          <w:szCs w:val="24"/>
        </w:rPr>
        <w:t>actual</w:t>
      </w:r>
      <w:r w:rsidR="00BB3E7F">
        <w:rPr>
          <w:rFonts w:ascii="Times New Roman" w:hAnsi="Times New Roman" w:cs="Times New Roman"/>
          <w:sz w:val="24"/>
          <w:szCs w:val="24"/>
        </w:rPr>
        <w:t xml:space="preserve"> return and benchmark formulae in the </w:t>
      </w:r>
      <w:r w:rsidR="00EE2B87">
        <w:rPr>
          <w:rFonts w:ascii="Times New Roman" w:hAnsi="Times New Roman" w:cs="Times New Roman"/>
          <w:sz w:val="24"/>
          <w:szCs w:val="24"/>
        </w:rPr>
        <w:t>R</w:t>
      </w:r>
      <w:r w:rsidR="00BB3E7F">
        <w:rPr>
          <w:rFonts w:ascii="Times New Roman" w:hAnsi="Times New Roman" w:cs="Times New Roman"/>
          <w:sz w:val="24"/>
          <w:szCs w:val="24"/>
        </w:rPr>
        <w:t xml:space="preserve">egulations </w:t>
      </w:r>
      <w:r w:rsidR="009850E4">
        <w:rPr>
          <w:rFonts w:ascii="Times New Roman" w:hAnsi="Times New Roman" w:cs="Times New Roman"/>
          <w:sz w:val="24"/>
          <w:szCs w:val="24"/>
        </w:rPr>
        <w:t>that will apply in circumstances where there has been</w:t>
      </w:r>
      <w:r w:rsidR="00BB3E7F">
        <w:rPr>
          <w:rFonts w:ascii="Times New Roman" w:hAnsi="Times New Roman" w:cs="Times New Roman"/>
          <w:sz w:val="24"/>
          <w:szCs w:val="24"/>
        </w:rPr>
        <w:t xml:space="preserve"> </w:t>
      </w:r>
      <w:r w:rsidR="008F648E">
        <w:rPr>
          <w:rFonts w:ascii="Times New Roman" w:hAnsi="Times New Roman" w:cs="Times New Roman"/>
          <w:sz w:val="24"/>
          <w:szCs w:val="24"/>
        </w:rPr>
        <w:t xml:space="preserve">a change of </w:t>
      </w:r>
      <w:proofErr w:type="spellStart"/>
      <w:r w:rsidR="008F648E">
        <w:rPr>
          <w:rFonts w:ascii="Times New Roman" w:hAnsi="Times New Roman" w:cs="Times New Roman"/>
          <w:sz w:val="24"/>
          <w:szCs w:val="24"/>
        </w:rPr>
        <w:t>lifestage</w:t>
      </w:r>
      <w:proofErr w:type="spellEnd"/>
      <w:r w:rsidR="009F5184">
        <w:rPr>
          <w:rFonts w:ascii="Times New Roman" w:hAnsi="Times New Roman" w:cs="Times New Roman"/>
          <w:sz w:val="24"/>
          <w:szCs w:val="24"/>
        </w:rPr>
        <w:t xml:space="preserve"> </w:t>
      </w:r>
      <w:r w:rsidR="009850E4">
        <w:rPr>
          <w:rFonts w:ascii="Times New Roman" w:hAnsi="Times New Roman" w:cs="Times New Roman"/>
          <w:sz w:val="24"/>
          <w:szCs w:val="24"/>
        </w:rPr>
        <w:t xml:space="preserve">for a </w:t>
      </w:r>
      <w:proofErr w:type="spellStart"/>
      <w:r w:rsidR="009850E4">
        <w:rPr>
          <w:rFonts w:ascii="Times New Roman" w:hAnsi="Times New Roman" w:cs="Times New Roman"/>
          <w:sz w:val="24"/>
          <w:szCs w:val="24"/>
        </w:rPr>
        <w:t>MySuper</w:t>
      </w:r>
      <w:proofErr w:type="spellEnd"/>
      <w:r w:rsidR="009850E4">
        <w:rPr>
          <w:rFonts w:ascii="Times New Roman" w:hAnsi="Times New Roman" w:cs="Times New Roman"/>
          <w:sz w:val="24"/>
          <w:szCs w:val="24"/>
        </w:rPr>
        <w:t xml:space="preserve"> product that is</w:t>
      </w:r>
      <w:r w:rsidR="009F5184">
        <w:rPr>
          <w:rFonts w:ascii="Times New Roman" w:hAnsi="Times New Roman" w:cs="Times New Roman"/>
          <w:sz w:val="24"/>
          <w:szCs w:val="24"/>
        </w:rPr>
        <w:t xml:space="preserve"> a lifecycle Part 6A product</w:t>
      </w:r>
      <w:r w:rsidR="008F6560">
        <w:rPr>
          <w:rFonts w:ascii="Times New Roman" w:hAnsi="Times New Roman" w:cs="Times New Roman"/>
          <w:sz w:val="24"/>
          <w:szCs w:val="24"/>
        </w:rPr>
        <w:t xml:space="preserve">. </w:t>
      </w:r>
      <w:r w:rsidR="007F4B56" w:rsidRPr="007F4B56">
        <w:rPr>
          <w:rStyle w:val="normaltextrun"/>
          <w:rFonts w:ascii="Times New Roman" w:hAnsi="Times New Roman" w:cs="Times New Roman"/>
          <w:color w:val="auto"/>
          <w:sz w:val="24"/>
          <w:szCs w:val="24"/>
        </w:rPr>
        <w:t xml:space="preserve">This ensures that any changes to the product are reflected in the performance history used in the performance </w:t>
      </w:r>
      <w:r w:rsidR="006553B4">
        <w:rPr>
          <w:rStyle w:val="normaltextrun"/>
          <w:rFonts w:ascii="Times New Roman" w:hAnsi="Times New Roman" w:cs="Times New Roman"/>
          <w:color w:val="auto"/>
          <w:sz w:val="24"/>
          <w:szCs w:val="24"/>
        </w:rPr>
        <w:t>assessment</w:t>
      </w:r>
      <w:r w:rsidR="00452279" w:rsidRPr="007F4B56">
        <w:rPr>
          <w:rStyle w:val="normaltextrun"/>
          <w:rFonts w:ascii="Times New Roman" w:hAnsi="Times New Roman" w:cs="Times New Roman"/>
          <w:color w:val="auto"/>
          <w:sz w:val="24"/>
          <w:szCs w:val="24"/>
        </w:rPr>
        <w:t>.</w:t>
      </w:r>
    </w:p>
    <w:p w14:paraId="620F2449" w14:textId="04F369A4" w:rsidR="005510C2" w:rsidRDefault="00A97D1D" w:rsidP="000F06C1">
      <w:pPr>
        <w:pStyle w:val="Heading5"/>
      </w:pPr>
      <w:r w:rsidRPr="000F06C1">
        <w:t xml:space="preserve">Explanation of </w:t>
      </w:r>
      <w:r w:rsidR="000F06C1">
        <w:t>each provision</w:t>
      </w:r>
      <w:r w:rsidR="0042373F">
        <w:t xml:space="preserve"> in the instrument</w:t>
      </w:r>
    </w:p>
    <w:p w14:paraId="09285B46" w14:textId="5D894001" w:rsidR="00D225EA" w:rsidRPr="00D225EA" w:rsidRDefault="00D225EA" w:rsidP="00D04D2A">
      <w:pPr>
        <w:numPr>
          <w:ilvl w:val="0"/>
          <w:numId w:val="0"/>
        </w:numPr>
        <w:rPr>
          <w:rFonts w:ascii="Times New Roman" w:hAnsi="Times New Roman" w:cs="Times New Roman"/>
          <w:sz w:val="24"/>
          <w:szCs w:val="24"/>
          <w:u w:val="single"/>
        </w:rPr>
      </w:pPr>
      <w:r w:rsidRPr="00D225EA">
        <w:rPr>
          <w:rFonts w:ascii="Times New Roman" w:hAnsi="Times New Roman" w:cs="Times New Roman"/>
          <w:sz w:val="24"/>
          <w:szCs w:val="24"/>
          <w:u w:val="single"/>
        </w:rPr>
        <w:t xml:space="preserve">Part 1 - </w:t>
      </w:r>
      <w:r w:rsidRPr="00D225EA">
        <w:rPr>
          <w:rStyle w:val="normaltextrun"/>
          <w:rFonts w:ascii="Times New Roman" w:hAnsi="Times New Roman" w:cs="Times New Roman"/>
          <w:bCs/>
          <w:sz w:val="24"/>
          <w:szCs w:val="24"/>
          <w:u w:val="single"/>
          <w:shd w:val="clear" w:color="auto" w:fill="FFFFFF"/>
        </w:rPr>
        <w:t xml:space="preserve">Authority, </w:t>
      </w:r>
      <w:proofErr w:type="gramStart"/>
      <w:r w:rsidRPr="00D225EA">
        <w:rPr>
          <w:rStyle w:val="normaltextrun"/>
          <w:rFonts w:ascii="Times New Roman" w:hAnsi="Times New Roman" w:cs="Times New Roman"/>
          <w:bCs/>
          <w:sz w:val="24"/>
          <w:szCs w:val="24"/>
          <w:u w:val="single"/>
          <w:shd w:val="clear" w:color="auto" w:fill="FFFFFF"/>
        </w:rPr>
        <w:t>commencement</w:t>
      </w:r>
      <w:proofErr w:type="gramEnd"/>
      <w:r w:rsidRPr="00D225EA">
        <w:rPr>
          <w:rStyle w:val="normaltextrun"/>
          <w:rFonts w:ascii="Times New Roman" w:hAnsi="Times New Roman" w:cs="Times New Roman"/>
          <w:bCs/>
          <w:sz w:val="24"/>
          <w:szCs w:val="24"/>
          <w:u w:val="single"/>
          <w:shd w:val="clear" w:color="auto" w:fill="FFFFFF"/>
        </w:rPr>
        <w:t xml:space="preserve"> and interpretation</w:t>
      </w:r>
    </w:p>
    <w:p w14:paraId="3CF9161F" w14:textId="12F272E4" w:rsidR="00F23A01" w:rsidRDefault="00F23A01" w:rsidP="00F23A01">
      <w:pPr>
        <w:numPr>
          <w:ilvl w:val="0"/>
          <w:numId w:val="0"/>
        </w:numPr>
        <w:rPr>
          <w:rFonts w:ascii="Times New Roman" w:hAnsi="Times New Roman" w:cs="Times New Roman"/>
          <w:sz w:val="24"/>
          <w:szCs w:val="24"/>
        </w:rPr>
      </w:pPr>
      <w:r>
        <w:rPr>
          <w:rFonts w:ascii="Times New Roman" w:hAnsi="Times New Roman" w:cs="Times New Roman"/>
          <w:sz w:val="24"/>
          <w:szCs w:val="24"/>
        </w:rPr>
        <w:t>Sections 1 to 4 are the operative provisions relating to the instrument’s name</w:t>
      </w:r>
      <w:r w:rsidR="008F6560">
        <w:rPr>
          <w:rFonts w:ascii="Times New Roman" w:hAnsi="Times New Roman" w:cs="Times New Roman"/>
          <w:sz w:val="24"/>
          <w:szCs w:val="24"/>
        </w:rPr>
        <w:t xml:space="preserve">, the </w:t>
      </w:r>
      <w:r>
        <w:rPr>
          <w:rFonts w:ascii="Times New Roman" w:hAnsi="Times New Roman" w:cs="Times New Roman"/>
          <w:sz w:val="24"/>
          <w:szCs w:val="24"/>
        </w:rPr>
        <w:t xml:space="preserve">commencement date, the legal authority under which it is made and relevant definitions. </w:t>
      </w:r>
    </w:p>
    <w:p w14:paraId="2FE3980D" w14:textId="683E0070" w:rsidR="00F62097" w:rsidRDefault="00F62097" w:rsidP="00C96B83">
      <w:pPr>
        <w:pStyle w:val="subsection"/>
        <w:shd w:val="clear" w:color="auto" w:fill="FFFFFF"/>
        <w:spacing w:before="0" w:beforeAutospacing="0" w:after="180" w:afterAutospacing="0"/>
      </w:pPr>
      <w:r w:rsidRPr="00F62097">
        <w:t xml:space="preserve">Section 5 </w:t>
      </w:r>
      <w:r w:rsidR="00130271">
        <w:t>specifies</w:t>
      </w:r>
      <w:r w:rsidR="00130271" w:rsidRPr="00F62097">
        <w:t xml:space="preserve"> </w:t>
      </w:r>
      <w:r w:rsidR="00097C76">
        <w:t>who</w:t>
      </w:r>
      <w:r w:rsidR="00351DD5">
        <w:t xml:space="preserve"> the</w:t>
      </w:r>
      <w:r w:rsidRPr="00F62097">
        <w:t xml:space="preserve"> instrument applies</w:t>
      </w:r>
      <w:r w:rsidR="00351DD5">
        <w:t xml:space="preserve"> to</w:t>
      </w:r>
      <w:r w:rsidRPr="00F62097">
        <w:t xml:space="preserve">, namely, </w:t>
      </w:r>
      <w:r w:rsidR="004754DE" w:rsidRPr="004754DE">
        <w:t>RSE licensee</w:t>
      </w:r>
      <w:r w:rsidR="004754DE">
        <w:t>s</w:t>
      </w:r>
      <w:r w:rsidR="004754DE" w:rsidRPr="004754DE">
        <w:t xml:space="preserve"> of a superannuation entit</w:t>
      </w:r>
      <w:r w:rsidR="004754DE">
        <w:t>ies</w:t>
      </w:r>
      <w:r w:rsidR="004754DE" w:rsidRPr="004754DE">
        <w:t xml:space="preserve"> that offer a Part 6A product that is both a </w:t>
      </w:r>
      <w:proofErr w:type="spellStart"/>
      <w:r w:rsidR="004754DE" w:rsidRPr="004754DE">
        <w:t>MySuper</w:t>
      </w:r>
      <w:proofErr w:type="spellEnd"/>
      <w:r w:rsidR="004754DE" w:rsidRPr="004754DE">
        <w:t xml:space="preserve"> product and a lifecycle Part 6A product</w:t>
      </w:r>
      <w:r w:rsidRPr="00F62097">
        <w:t>.</w:t>
      </w:r>
      <w:r w:rsidR="005D763C">
        <w:t xml:space="preserve"> A</w:t>
      </w:r>
      <w:r w:rsidR="00E21027">
        <w:t xml:space="preserve"> product is a lifecycle Part 6A product if (</w:t>
      </w:r>
      <w:proofErr w:type="spellStart"/>
      <w:r w:rsidR="00E21027">
        <w:t>i</w:t>
      </w:r>
      <w:proofErr w:type="spellEnd"/>
      <w:r w:rsidR="00E21027">
        <w:t xml:space="preserve">) the investments supporting the Part 6A product are divided into categories and (ii) each such category of investments is referrable to a </w:t>
      </w:r>
      <w:proofErr w:type="spellStart"/>
      <w:r w:rsidR="00E21027">
        <w:t>lifestage</w:t>
      </w:r>
      <w:proofErr w:type="spellEnd"/>
      <w:r w:rsidR="00E21027">
        <w:t xml:space="preserve"> of the Part 6A product</w:t>
      </w:r>
      <w:r w:rsidR="00C96B83">
        <w:t xml:space="preserve">: see regulation </w:t>
      </w:r>
      <w:r w:rsidR="00E21027">
        <w:t>9AB.3 of the Regulations</w:t>
      </w:r>
      <w:r w:rsidR="00C96B83">
        <w:t>.</w:t>
      </w:r>
    </w:p>
    <w:p w14:paraId="62E3C74C" w14:textId="50826794" w:rsidR="00D225EA" w:rsidRPr="00D225EA" w:rsidRDefault="00D225EA" w:rsidP="00C96B83">
      <w:pPr>
        <w:pStyle w:val="subsection"/>
        <w:shd w:val="clear" w:color="auto" w:fill="FFFFFF"/>
        <w:spacing w:before="0" w:beforeAutospacing="0" w:after="180" w:afterAutospacing="0"/>
        <w:rPr>
          <w:rFonts w:ascii="Helvetica" w:hAnsi="Helvetica"/>
          <w:color w:val="333333"/>
          <w:sz w:val="29"/>
          <w:szCs w:val="29"/>
          <w:u w:val="single"/>
        </w:rPr>
      </w:pPr>
      <w:r w:rsidRPr="00D225EA">
        <w:rPr>
          <w:rStyle w:val="normaltextrun"/>
          <w:rFonts w:eastAsiaTheme="majorEastAsia"/>
          <w:bCs/>
          <w:color w:val="000000"/>
          <w:u w:val="single"/>
          <w:shd w:val="clear" w:color="auto" w:fill="FFFFFF"/>
        </w:rPr>
        <w:t>Part 2 - Determination of modifications to the actual return formula and benchmark return formula</w:t>
      </w:r>
      <w:r w:rsidRPr="00D225EA">
        <w:rPr>
          <w:rStyle w:val="eop"/>
          <w:bCs/>
          <w:color w:val="000000"/>
          <w:u w:val="single"/>
          <w:shd w:val="clear" w:color="auto" w:fill="FFFFFF"/>
        </w:rPr>
        <w:t> </w:t>
      </w:r>
    </w:p>
    <w:p w14:paraId="0C28F04B" w14:textId="64FA32DC" w:rsidR="004754DE" w:rsidRDefault="004754DE" w:rsidP="00A63E01">
      <w:pPr>
        <w:pStyle w:val="paragraph"/>
        <w:spacing w:before="0" w:beforeAutospacing="0" w:after="0" w:afterAutospacing="0"/>
        <w:jc w:val="both"/>
        <w:textAlignment w:val="baseline"/>
        <w:rPr>
          <w:rStyle w:val="normaltextrun"/>
        </w:rPr>
      </w:pPr>
      <w:r>
        <w:t>Section 6 details the circumstances</w:t>
      </w:r>
      <w:r w:rsidR="00EA19EF">
        <w:t xml:space="preserve"> in which the altered </w:t>
      </w:r>
      <w:r w:rsidR="00FB51F3">
        <w:t>actual and benchmark</w:t>
      </w:r>
      <w:r w:rsidR="00EA19EF">
        <w:t xml:space="preserve"> </w:t>
      </w:r>
      <w:r w:rsidR="00194633">
        <w:t>return</w:t>
      </w:r>
      <w:r w:rsidR="00EA19EF">
        <w:t xml:space="preserve"> formulae apply, </w:t>
      </w:r>
      <w:r w:rsidR="00FB697A">
        <w:t xml:space="preserve">namely where </w:t>
      </w:r>
      <w:r w:rsidR="00CA50EE">
        <w:t xml:space="preserve">a </w:t>
      </w:r>
      <w:proofErr w:type="spellStart"/>
      <w:r w:rsidR="00607A06">
        <w:t>MySuper</w:t>
      </w:r>
      <w:proofErr w:type="spellEnd"/>
      <w:r w:rsidR="00CA50EE">
        <w:t xml:space="preserve"> lifecycle Part 6A product </w:t>
      </w:r>
      <w:r w:rsidR="00194633">
        <w:t xml:space="preserve">has </w:t>
      </w:r>
      <w:r w:rsidR="00FB697A">
        <w:t>experienced</w:t>
      </w:r>
      <w:r w:rsidR="00194633">
        <w:t xml:space="preserve"> a </w:t>
      </w:r>
      <w:r w:rsidR="00BE1E90">
        <w:t>“</w:t>
      </w:r>
      <w:r w:rsidR="00194633">
        <w:t xml:space="preserve">change of </w:t>
      </w:r>
      <w:proofErr w:type="spellStart"/>
      <w:r w:rsidR="00194633">
        <w:t>lifestage</w:t>
      </w:r>
      <w:proofErr w:type="spellEnd"/>
      <w:r w:rsidR="00BE1E90">
        <w:t>”</w:t>
      </w:r>
      <w:r w:rsidR="00194633">
        <w:t>.</w:t>
      </w:r>
      <w:r w:rsidR="00BE1E90">
        <w:t xml:space="preserve"> A change of </w:t>
      </w:r>
      <w:proofErr w:type="spellStart"/>
      <w:r w:rsidR="00BE1E90">
        <w:t>lifestage</w:t>
      </w:r>
      <w:proofErr w:type="spellEnd"/>
      <w:r w:rsidR="00BE1E90">
        <w:t xml:space="preserve"> will occur if</w:t>
      </w:r>
      <w:r w:rsidR="00BE1E90">
        <w:rPr>
          <w:rStyle w:val="eop"/>
        </w:rPr>
        <w:t> </w:t>
      </w:r>
      <w:r w:rsidR="00BE1E90">
        <w:rPr>
          <w:rStyle w:val="normaltextrun"/>
        </w:rPr>
        <w:t xml:space="preserve">the product has </w:t>
      </w:r>
      <w:proofErr w:type="gramStart"/>
      <w:r w:rsidR="00BE1E90">
        <w:rPr>
          <w:rStyle w:val="normaltextrun"/>
        </w:rPr>
        <w:t xml:space="preserve">particular </w:t>
      </w:r>
      <w:proofErr w:type="spellStart"/>
      <w:r w:rsidR="00BE1E90">
        <w:rPr>
          <w:rStyle w:val="normaltextrun"/>
        </w:rPr>
        <w:t>lifestages</w:t>
      </w:r>
      <w:proofErr w:type="spellEnd"/>
      <w:proofErr w:type="gramEnd"/>
      <w:r w:rsidR="00BE1E90">
        <w:rPr>
          <w:rStyle w:val="normaltextrun"/>
        </w:rPr>
        <w:t xml:space="preserve"> at the end of a quarter in a lookback period for the product in respect of a financial year</w:t>
      </w:r>
      <w:r w:rsidR="00455F29">
        <w:rPr>
          <w:rStyle w:val="normaltextrun"/>
        </w:rPr>
        <w:t xml:space="preserve">, </w:t>
      </w:r>
      <w:r w:rsidR="00BE1E90">
        <w:rPr>
          <w:rStyle w:val="normaltextrun"/>
        </w:rPr>
        <w:t>and</w:t>
      </w:r>
      <w:r w:rsidR="00BE1E90">
        <w:rPr>
          <w:rStyle w:val="eop"/>
        </w:rPr>
        <w:t> </w:t>
      </w:r>
      <w:r w:rsidR="00BE1E90">
        <w:rPr>
          <w:rStyle w:val="normaltextrun"/>
        </w:rPr>
        <w:t xml:space="preserve">the product has different </w:t>
      </w:r>
      <w:proofErr w:type="spellStart"/>
      <w:r w:rsidR="00BE1E90">
        <w:rPr>
          <w:rStyle w:val="normaltextrun"/>
        </w:rPr>
        <w:t>lifestages</w:t>
      </w:r>
      <w:proofErr w:type="spellEnd"/>
      <w:r w:rsidR="00BE1E90">
        <w:rPr>
          <w:rStyle w:val="normaltextrun"/>
        </w:rPr>
        <w:t xml:space="preserve"> at the end of a later quarter in the lookback </w:t>
      </w:r>
      <w:r w:rsidR="00455F29">
        <w:rPr>
          <w:rStyle w:val="normaltextrun"/>
        </w:rPr>
        <w:t xml:space="preserve">period: see definition of “change </w:t>
      </w:r>
      <w:r w:rsidR="00A63E01">
        <w:rPr>
          <w:rStyle w:val="normaltextrun"/>
        </w:rPr>
        <w:t xml:space="preserve">of </w:t>
      </w:r>
      <w:proofErr w:type="spellStart"/>
      <w:r w:rsidR="00A63E01">
        <w:rPr>
          <w:rStyle w:val="normaltextrun"/>
        </w:rPr>
        <w:t>lifestage</w:t>
      </w:r>
      <w:proofErr w:type="spellEnd"/>
      <w:r w:rsidR="00455F29">
        <w:rPr>
          <w:rStyle w:val="normaltextrun"/>
        </w:rPr>
        <w:t xml:space="preserve">” in section 4 of the instrument and paragraphs </w:t>
      </w:r>
      <w:r w:rsidR="00455F29" w:rsidRPr="2874976D">
        <w:rPr>
          <w:rStyle w:val="normaltextrun"/>
        </w:rPr>
        <w:t>9AB.12(3)(a)</w:t>
      </w:r>
      <w:r w:rsidR="00455F29">
        <w:rPr>
          <w:rStyle w:val="normaltextrun"/>
        </w:rPr>
        <w:t xml:space="preserve"> and </w:t>
      </w:r>
      <w:r w:rsidR="00455F29" w:rsidRPr="2874976D">
        <w:rPr>
          <w:rStyle w:val="normaltextrun"/>
        </w:rPr>
        <w:t>9AB.14(8)(a)</w:t>
      </w:r>
      <w:r w:rsidR="00455F29">
        <w:rPr>
          <w:rStyle w:val="normaltextrun"/>
        </w:rPr>
        <w:t xml:space="preserve"> of the Regulations. </w:t>
      </w:r>
    </w:p>
    <w:p w14:paraId="76870474" w14:textId="77777777" w:rsidR="00A63E01" w:rsidRDefault="00A63E01" w:rsidP="00A63E01">
      <w:pPr>
        <w:pStyle w:val="paragraph"/>
        <w:spacing w:before="0" w:beforeAutospacing="0" w:after="0" w:afterAutospacing="0"/>
        <w:jc w:val="both"/>
        <w:textAlignment w:val="baseline"/>
      </w:pPr>
    </w:p>
    <w:p w14:paraId="3BC94104" w14:textId="78717947" w:rsidR="004F2DA8" w:rsidRPr="00194970" w:rsidRDefault="004F2DA8" w:rsidP="00F23A01">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Section 7 describes the </w:t>
      </w:r>
      <w:r w:rsidR="00FB51F3">
        <w:rPr>
          <w:rFonts w:ascii="Times New Roman" w:hAnsi="Times New Roman" w:cs="Times New Roman"/>
          <w:sz w:val="24"/>
          <w:szCs w:val="24"/>
        </w:rPr>
        <w:t>modifications to</w:t>
      </w:r>
      <w:r w:rsidR="00C5001C">
        <w:rPr>
          <w:rFonts w:ascii="Times New Roman" w:hAnsi="Times New Roman" w:cs="Times New Roman"/>
          <w:sz w:val="24"/>
          <w:szCs w:val="24"/>
        </w:rPr>
        <w:t xml:space="preserve"> the actual return formula in </w:t>
      </w:r>
      <w:proofErr w:type="spellStart"/>
      <w:r w:rsidR="007F4B56">
        <w:rPr>
          <w:rFonts w:ascii="Times New Roman" w:hAnsi="Times New Roman" w:cs="Times New Roman"/>
          <w:sz w:val="24"/>
          <w:szCs w:val="24"/>
        </w:rPr>
        <w:t>subregulation</w:t>
      </w:r>
      <w:proofErr w:type="spellEnd"/>
      <w:r w:rsidR="007F4B56">
        <w:rPr>
          <w:rFonts w:ascii="Times New Roman" w:hAnsi="Times New Roman" w:cs="Times New Roman"/>
          <w:sz w:val="24"/>
          <w:szCs w:val="24"/>
        </w:rPr>
        <w:t xml:space="preserve"> </w:t>
      </w:r>
      <w:r w:rsidR="007F4B56" w:rsidRPr="00735EC1">
        <w:rPr>
          <w:rFonts w:ascii="Times New Roman" w:hAnsi="Times New Roman" w:cs="Times New Roman"/>
          <w:sz w:val="24"/>
          <w:szCs w:val="24"/>
        </w:rPr>
        <w:t>9AB.12(2)</w:t>
      </w:r>
      <w:r w:rsidR="007F4B56">
        <w:rPr>
          <w:rFonts w:ascii="Times New Roman" w:hAnsi="Times New Roman" w:cs="Times New Roman"/>
          <w:sz w:val="24"/>
          <w:szCs w:val="24"/>
        </w:rPr>
        <w:t xml:space="preserve"> of the Regulations</w:t>
      </w:r>
      <w:r w:rsidR="00C5001C">
        <w:rPr>
          <w:rFonts w:ascii="Times New Roman" w:hAnsi="Times New Roman" w:cs="Times New Roman"/>
          <w:sz w:val="24"/>
          <w:szCs w:val="24"/>
        </w:rPr>
        <w:t xml:space="preserve"> </w:t>
      </w:r>
      <w:proofErr w:type="gramStart"/>
      <w:r w:rsidR="00C5001C">
        <w:rPr>
          <w:rFonts w:ascii="Times New Roman" w:hAnsi="Times New Roman" w:cs="Times New Roman"/>
          <w:sz w:val="24"/>
          <w:szCs w:val="24"/>
        </w:rPr>
        <w:t>in order to</w:t>
      </w:r>
      <w:proofErr w:type="gramEnd"/>
      <w:r w:rsidR="00C5001C">
        <w:rPr>
          <w:rFonts w:ascii="Times New Roman" w:hAnsi="Times New Roman" w:cs="Times New Roman"/>
          <w:sz w:val="24"/>
          <w:szCs w:val="24"/>
        </w:rPr>
        <w:t xml:space="preserve"> combine </w:t>
      </w:r>
      <w:r w:rsidR="00130271">
        <w:rPr>
          <w:rFonts w:ascii="Times New Roman" w:hAnsi="Times New Roman" w:cs="Times New Roman"/>
          <w:sz w:val="24"/>
          <w:szCs w:val="24"/>
        </w:rPr>
        <w:t xml:space="preserve">a </w:t>
      </w:r>
      <w:r w:rsidR="007C6EB4">
        <w:rPr>
          <w:rFonts w:ascii="Times New Roman" w:hAnsi="Times New Roman" w:cs="Times New Roman"/>
          <w:sz w:val="24"/>
          <w:szCs w:val="24"/>
        </w:rPr>
        <w:t>lifecy</w:t>
      </w:r>
      <w:r w:rsidR="00FB697A">
        <w:rPr>
          <w:rFonts w:ascii="Times New Roman" w:hAnsi="Times New Roman" w:cs="Times New Roman"/>
          <w:sz w:val="24"/>
          <w:szCs w:val="24"/>
        </w:rPr>
        <w:t>c</w:t>
      </w:r>
      <w:r w:rsidR="007C6EB4">
        <w:rPr>
          <w:rFonts w:ascii="Times New Roman" w:hAnsi="Times New Roman" w:cs="Times New Roman"/>
          <w:sz w:val="24"/>
          <w:szCs w:val="24"/>
        </w:rPr>
        <w:t>le</w:t>
      </w:r>
      <w:r w:rsidR="00C5001C">
        <w:rPr>
          <w:rFonts w:ascii="Times New Roman" w:hAnsi="Times New Roman" w:cs="Times New Roman"/>
          <w:sz w:val="24"/>
          <w:szCs w:val="24"/>
        </w:rPr>
        <w:t xml:space="preserve"> </w:t>
      </w:r>
      <w:r w:rsidR="007C6EB4">
        <w:rPr>
          <w:rFonts w:ascii="Times New Roman" w:hAnsi="Times New Roman" w:cs="Times New Roman"/>
          <w:sz w:val="24"/>
          <w:szCs w:val="24"/>
        </w:rPr>
        <w:t xml:space="preserve">Part 6A </w:t>
      </w:r>
      <w:r w:rsidR="00130271">
        <w:rPr>
          <w:rFonts w:ascii="Times New Roman" w:hAnsi="Times New Roman" w:cs="Times New Roman"/>
          <w:sz w:val="24"/>
          <w:szCs w:val="24"/>
        </w:rPr>
        <w:t xml:space="preserve">product’s </w:t>
      </w:r>
      <w:r w:rsidR="007C6EB4">
        <w:rPr>
          <w:rFonts w:ascii="Times New Roman" w:hAnsi="Times New Roman" w:cs="Times New Roman"/>
          <w:sz w:val="24"/>
          <w:szCs w:val="24"/>
        </w:rPr>
        <w:t xml:space="preserve">performance </w:t>
      </w:r>
      <w:r w:rsidR="00130F41">
        <w:rPr>
          <w:rFonts w:ascii="Times New Roman" w:hAnsi="Times New Roman" w:cs="Times New Roman"/>
          <w:sz w:val="24"/>
          <w:szCs w:val="24"/>
        </w:rPr>
        <w:t>in respect of a quarter during which a</w:t>
      </w:r>
      <w:r w:rsidR="005D763C">
        <w:rPr>
          <w:rFonts w:ascii="Times New Roman" w:hAnsi="Times New Roman" w:cs="Times New Roman"/>
          <w:sz w:val="24"/>
          <w:szCs w:val="24"/>
        </w:rPr>
        <w:t xml:space="preserve"> </w:t>
      </w:r>
      <w:r w:rsidR="00455F29">
        <w:rPr>
          <w:rFonts w:ascii="Times New Roman" w:hAnsi="Times New Roman" w:cs="Times New Roman"/>
          <w:sz w:val="24"/>
          <w:szCs w:val="24"/>
        </w:rPr>
        <w:t>“change event”</w:t>
      </w:r>
      <w:r w:rsidR="00130F41">
        <w:rPr>
          <w:rFonts w:ascii="Times New Roman" w:hAnsi="Times New Roman" w:cs="Times New Roman"/>
          <w:sz w:val="24"/>
          <w:szCs w:val="24"/>
        </w:rPr>
        <w:t xml:space="preserve"> occurs</w:t>
      </w:r>
      <w:r w:rsidR="007C6EB4">
        <w:rPr>
          <w:rFonts w:ascii="Times New Roman" w:hAnsi="Times New Roman" w:cs="Times New Roman"/>
          <w:sz w:val="24"/>
          <w:szCs w:val="24"/>
        </w:rPr>
        <w:t xml:space="preserve">. </w:t>
      </w:r>
      <w:r w:rsidR="00D225EA">
        <w:rPr>
          <w:rFonts w:ascii="Times New Roman" w:hAnsi="Times New Roman" w:cs="Times New Roman"/>
          <w:sz w:val="24"/>
          <w:szCs w:val="24"/>
        </w:rPr>
        <w:t xml:space="preserve"> </w:t>
      </w:r>
    </w:p>
    <w:p w14:paraId="33038E19" w14:textId="043F478F" w:rsidR="00843129" w:rsidRPr="00194970" w:rsidRDefault="000C2079" w:rsidP="2874976D">
      <w:pPr>
        <w:rPr>
          <w:rFonts w:ascii="Times New Roman" w:hAnsi="Times New Roman" w:cs="Times New Roman"/>
          <w:sz w:val="24"/>
          <w:szCs w:val="24"/>
        </w:rPr>
      </w:pPr>
      <w:r>
        <w:rPr>
          <w:rFonts w:ascii="Times New Roman" w:hAnsi="Times New Roman" w:cs="Times New Roman"/>
          <w:sz w:val="24"/>
          <w:szCs w:val="24"/>
        </w:rPr>
        <w:t xml:space="preserve">Section 8 describes the changes made to the regulations to modify the benchmark return formula in </w:t>
      </w:r>
      <w:proofErr w:type="spellStart"/>
      <w:r w:rsidR="007F4B56">
        <w:rPr>
          <w:rFonts w:ascii="Times New Roman" w:hAnsi="Times New Roman" w:cs="Times New Roman"/>
          <w:sz w:val="24"/>
          <w:szCs w:val="24"/>
        </w:rPr>
        <w:t>subregulation</w:t>
      </w:r>
      <w:proofErr w:type="spellEnd"/>
      <w:r w:rsidR="007F4B56">
        <w:rPr>
          <w:rFonts w:ascii="Times New Roman" w:hAnsi="Times New Roman" w:cs="Times New Roman"/>
          <w:sz w:val="24"/>
          <w:szCs w:val="24"/>
        </w:rPr>
        <w:t xml:space="preserve"> </w:t>
      </w:r>
      <w:r w:rsidR="007F4B56" w:rsidRPr="2874976D">
        <w:rPr>
          <w:rFonts w:ascii="Times New Roman" w:hAnsi="Times New Roman" w:cs="Times New Roman"/>
          <w:sz w:val="24"/>
          <w:szCs w:val="24"/>
        </w:rPr>
        <w:t>9AB.14(2)</w:t>
      </w:r>
      <w:r w:rsidR="007F4B56">
        <w:rPr>
          <w:rFonts w:ascii="Times New Roman" w:hAnsi="Times New Roman" w:cs="Times New Roman"/>
          <w:sz w:val="24"/>
          <w:szCs w:val="24"/>
        </w:rPr>
        <w:t xml:space="preserve"> of the Regulation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order </w:t>
      </w:r>
      <w:r w:rsidR="00130271">
        <w:rPr>
          <w:rFonts w:ascii="Times New Roman" w:hAnsi="Times New Roman" w:cs="Times New Roman"/>
          <w:sz w:val="24"/>
          <w:szCs w:val="24"/>
        </w:rPr>
        <w:t>to</w:t>
      </w:r>
      <w:proofErr w:type="gramEnd"/>
      <w:r w:rsidR="00130271">
        <w:rPr>
          <w:rFonts w:ascii="Times New Roman" w:hAnsi="Times New Roman" w:cs="Times New Roman"/>
          <w:sz w:val="24"/>
          <w:szCs w:val="24"/>
        </w:rPr>
        <w:t xml:space="preserve"> combine a lifecycle Part 6A product’s performance history</w:t>
      </w:r>
      <w:r w:rsidR="005D763C">
        <w:rPr>
          <w:rFonts w:ascii="Times New Roman" w:hAnsi="Times New Roman" w:cs="Times New Roman"/>
          <w:sz w:val="24"/>
          <w:szCs w:val="24"/>
        </w:rPr>
        <w:t xml:space="preserve"> </w:t>
      </w:r>
      <w:r w:rsidR="00130F41">
        <w:rPr>
          <w:rFonts w:ascii="Times New Roman" w:hAnsi="Times New Roman" w:cs="Times New Roman"/>
          <w:sz w:val="24"/>
          <w:szCs w:val="24"/>
        </w:rPr>
        <w:t xml:space="preserve">in respect of a quarter during which a “change event” occurs.  </w:t>
      </w:r>
    </w:p>
    <w:p w14:paraId="7F9F18F0" w14:textId="0B1D9E7D" w:rsidR="00A63E01" w:rsidRDefault="00A63E01" w:rsidP="00522FC4">
      <w:pPr>
        <w:pStyle w:val="paragraph"/>
        <w:spacing w:before="0" w:beforeAutospacing="0" w:after="0" w:afterAutospacing="0"/>
        <w:textAlignment w:val="baseline"/>
        <w:rPr>
          <w:rStyle w:val="eop"/>
          <w:rFonts w:eastAsiaTheme="majorEastAsia"/>
          <w:color w:val="333333"/>
        </w:rPr>
      </w:pPr>
      <w:r>
        <w:t xml:space="preserve">The definition of “change event” in section 4 of the instrument requires that the following types of a change of </w:t>
      </w:r>
      <w:proofErr w:type="spellStart"/>
      <w:r>
        <w:t>lifestage</w:t>
      </w:r>
      <w:proofErr w:type="spellEnd"/>
      <w:r>
        <w:t xml:space="preserve"> be ignored</w:t>
      </w:r>
      <w:r w:rsidR="00522FC4">
        <w:t xml:space="preserve"> for the purposes of the instrument</w:t>
      </w:r>
      <w:r>
        <w:t>: (</w:t>
      </w:r>
      <w:proofErr w:type="spellStart"/>
      <w:r>
        <w:t>i</w:t>
      </w:r>
      <w:proofErr w:type="spellEnd"/>
      <w:r>
        <w:t xml:space="preserve">) </w:t>
      </w:r>
      <w:r w:rsidRPr="00FE762A">
        <w:t xml:space="preserve">the deletion of a </w:t>
      </w:r>
      <w:proofErr w:type="spellStart"/>
      <w:r w:rsidRPr="00FE762A">
        <w:t>lifestage</w:t>
      </w:r>
      <w:proofErr w:type="spellEnd"/>
      <w:r w:rsidRPr="00FE762A">
        <w:t> catering to an older membership cohort due to insufficient members</w:t>
      </w:r>
      <w:r w:rsidR="00522FC4" w:rsidRPr="00FE762A">
        <w:t xml:space="preserve"> and</w:t>
      </w:r>
      <w:r w:rsidRPr="00FE762A">
        <w:t xml:space="preserve"> (ii) the creation of a </w:t>
      </w:r>
      <w:proofErr w:type="spellStart"/>
      <w:r w:rsidRPr="00FE762A">
        <w:t>lifestage</w:t>
      </w:r>
      <w:proofErr w:type="spellEnd"/>
      <w:r w:rsidRPr="00FE762A">
        <w:t xml:space="preserve"> to cater for a younger membership cohort.</w:t>
      </w:r>
      <w:r w:rsidR="00FE762A">
        <w:t xml:space="preserve"> The reason for this exclusion is because these types of change of </w:t>
      </w:r>
      <w:proofErr w:type="spellStart"/>
      <w:r w:rsidR="00FE762A">
        <w:t>lifestage</w:t>
      </w:r>
      <w:proofErr w:type="spellEnd"/>
      <w:r w:rsidR="00FE762A">
        <w:t xml:space="preserve"> are not a structural change </w:t>
      </w:r>
      <w:r w:rsidR="00535980">
        <w:t xml:space="preserve">to the product </w:t>
      </w:r>
      <w:r w:rsidR="00FE762A">
        <w:t xml:space="preserve">made by the </w:t>
      </w:r>
      <w:proofErr w:type="gramStart"/>
      <w:r w:rsidR="00FE762A">
        <w:t>trustee</w:t>
      </w:r>
      <w:r w:rsidR="00535980">
        <w:t xml:space="preserve"> </w:t>
      </w:r>
      <w:r w:rsidR="00FE762A">
        <w:t xml:space="preserve"> –</w:t>
      </w:r>
      <w:proofErr w:type="gramEnd"/>
      <w:r w:rsidR="00FE762A">
        <w:t xml:space="preserve"> they are instead an expected change arising from the nature of </w:t>
      </w:r>
      <w:r w:rsidR="00535980">
        <w:t xml:space="preserve">a </w:t>
      </w:r>
      <w:r w:rsidR="00FE762A">
        <w:t xml:space="preserve">lifecycle product. </w:t>
      </w:r>
    </w:p>
    <w:p w14:paraId="476E221F" w14:textId="77777777" w:rsidR="00522FC4" w:rsidRDefault="00522FC4" w:rsidP="00522FC4">
      <w:pPr>
        <w:pStyle w:val="paragraph"/>
        <w:spacing w:before="0" w:beforeAutospacing="0" w:after="0" w:afterAutospacing="0"/>
        <w:textAlignment w:val="baseline"/>
      </w:pPr>
    </w:p>
    <w:p w14:paraId="1EFFE5C5" w14:textId="261642DE" w:rsidR="00E9685E" w:rsidRPr="0024183F" w:rsidRDefault="0024183F" w:rsidP="00E9685E">
      <w:pPr>
        <w:pStyle w:val="paragraph"/>
        <w:spacing w:before="0" w:beforeAutospacing="0" w:after="0" w:afterAutospacing="0"/>
        <w:textAlignment w:val="baseline"/>
        <w:rPr>
          <w:rStyle w:val="normaltextrun"/>
          <w:bCs/>
        </w:rPr>
      </w:pPr>
      <w:r w:rsidRPr="0024183F">
        <w:rPr>
          <w:rStyle w:val="normaltextrun"/>
          <w:bCs/>
        </w:rPr>
        <w:lastRenderedPageBreak/>
        <w:t xml:space="preserve">The following example explains the operation of sections 7 and 8 of the </w:t>
      </w:r>
      <w:proofErr w:type="gramStart"/>
      <w:r w:rsidRPr="0024183F">
        <w:rPr>
          <w:rStyle w:val="normaltextrun"/>
          <w:bCs/>
        </w:rPr>
        <w:t>instrument</w:t>
      </w:r>
      <w:proofErr w:type="gramEnd"/>
      <w:r w:rsidRPr="0024183F">
        <w:rPr>
          <w:rStyle w:val="normaltextrun"/>
          <w:bCs/>
        </w:rPr>
        <w:t xml:space="preserve"> in the circumstances where a </w:t>
      </w:r>
      <w:proofErr w:type="spellStart"/>
      <w:r w:rsidR="00E9685E" w:rsidRPr="0024183F">
        <w:rPr>
          <w:rStyle w:val="normaltextrun"/>
          <w:bCs/>
        </w:rPr>
        <w:t>MySuper</w:t>
      </w:r>
      <w:proofErr w:type="spellEnd"/>
      <w:r w:rsidR="00E9685E" w:rsidRPr="0024183F">
        <w:rPr>
          <w:rStyle w:val="normaltextrun"/>
          <w:bCs/>
        </w:rPr>
        <w:t xml:space="preserve"> product </w:t>
      </w:r>
      <w:r w:rsidRPr="0024183F">
        <w:rPr>
          <w:rStyle w:val="normaltextrun"/>
          <w:bCs/>
        </w:rPr>
        <w:t>has</w:t>
      </w:r>
      <w:r w:rsidR="00E9685E" w:rsidRPr="0024183F">
        <w:rPr>
          <w:rStyle w:val="normaltextrun"/>
          <w:bCs/>
        </w:rPr>
        <w:t xml:space="preserve"> change</w:t>
      </w:r>
      <w:r w:rsidRPr="0024183F">
        <w:rPr>
          <w:rStyle w:val="normaltextrun"/>
          <w:bCs/>
        </w:rPr>
        <w:t>d</w:t>
      </w:r>
      <w:r w:rsidR="00E9685E" w:rsidRPr="0024183F">
        <w:rPr>
          <w:rStyle w:val="normaltextrun"/>
          <w:bCs/>
        </w:rPr>
        <w:t xml:space="preserve"> from a single strategy to</w:t>
      </w:r>
      <w:r>
        <w:rPr>
          <w:rStyle w:val="normaltextrun"/>
          <w:bCs/>
        </w:rPr>
        <w:t xml:space="preserve"> a</w:t>
      </w:r>
      <w:r w:rsidR="00E9685E" w:rsidRPr="0024183F">
        <w:rPr>
          <w:rStyle w:val="normaltextrun"/>
          <w:bCs/>
        </w:rPr>
        <w:t xml:space="preserve"> lifecycle strategy</w:t>
      </w:r>
      <w:r w:rsidR="00522FC4">
        <w:rPr>
          <w:rStyle w:val="normaltextrun"/>
          <w:bCs/>
        </w:rPr>
        <w:t xml:space="preserve"> with two </w:t>
      </w:r>
      <w:proofErr w:type="spellStart"/>
      <w:r w:rsidR="00522FC4">
        <w:rPr>
          <w:rStyle w:val="normaltextrun"/>
          <w:bCs/>
        </w:rPr>
        <w:t>lifestages</w:t>
      </w:r>
      <w:proofErr w:type="spellEnd"/>
      <w:r w:rsidRPr="0024183F">
        <w:rPr>
          <w:rStyle w:val="normaltextrun"/>
          <w:bCs/>
        </w:rPr>
        <w:t>:</w:t>
      </w:r>
      <w:r w:rsidR="00E9685E" w:rsidRPr="0024183F" w:rsidDel="0024183F">
        <w:rPr>
          <w:rStyle w:val="normaltextrun"/>
          <w:bCs/>
        </w:rPr>
        <w:t xml:space="preserve"> </w:t>
      </w:r>
      <w:r w:rsidR="00E9685E" w:rsidRPr="0024183F">
        <w:rPr>
          <w:rStyle w:val="normaltextrun"/>
          <w:bCs/>
        </w:rPr>
        <w:t xml:space="preserve"> </w:t>
      </w:r>
    </w:p>
    <w:p w14:paraId="7E9029CF" w14:textId="77777777" w:rsidR="0024183F" w:rsidRPr="00E9685E" w:rsidRDefault="0024183F" w:rsidP="00E9685E">
      <w:pPr>
        <w:pStyle w:val="paragraph"/>
        <w:spacing w:before="0" w:beforeAutospacing="0" w:after="0" w:afterAutospacing="0"/>
        <w:textAlignment w:val="baseline"/>
        <w:rPr>
          <w:rStyle w:val="normaltextrun"/>
          <w:bCs/>
          <w:i/>
        </w:rPr>
      </w:pPr>
    </w:p>
    <w:p w14:paraId="6411B19B" w14:textId="1866BF00" w:rsidR="00E9685E" w:rsidRPr="00E9685E" w:rsidRDefault="0024183F" w:rsidP="0024183F">
      <w:pPr>
        <w:pStyle w:val="paragraph"/>
        <w:spacing w:before="0" w:beforeAutospacing="0" w:after="0" w:afterAutospacing="0"/>
        <w:ind w:left="425"/>
        <w:textAlignment w:val="baseline"/>
        <w:rPr>
          <w:rStyle w:val="normaltextrun"/>
          <w:b/>
          <w:bCs/>
          <w:iCs/>
        </w:rPr>
      </w:pPr>
      <w:r>
        <w:rPr>
          <w:rStyle w:val="normaltextrun"/>
        </w:rPr>
        <w:t>Example</w:t>
      </w:r>
      <w:r w:rsidR="0043375B">
        <w:rPr>
          <w:rStyle w:val="normaltextrun"/>
        </w:rPr>
        <w:t xml:space="preserve">: </w:t>
      </w:r>
      <w:r w:rsidR="00E9685E" w:rsidRPr="00E9685E">
        <w:rPr>
          <w:rStyle w:val="normaltextrun"/>
        </w:rPr>
        <w:t xml:space="preserve">Product A is a single strategy </w:t>
      </w:r>
      <w:proofErr w:type="spellStart"/>
      <w:r w:rsidR="00E9685E" w:rsidRPr="00E9685E">
        <w:rPr>
          <w:rStyle w:val="normaltextrun"/>
        </w:rPr>
        <w:t>MySuper</w:t>
      </w:r>
      <w:proofErr w:type="spellEnd"/>
      <w:r w:rsidR="00E9685E" w:rsidRPr="00E9685E">
        <w:rPr>
          <w:rStyle w:val="normaltextrun"/>
        </w:rPr>
        <w:t xml:space="preserve"> product </w:t>
      </w:r>
      <w:r w:rsidR="0064400E">
        <w:rPr>
          <w:rStyle w:val="normaltextrun"/>
        </w:rPr>
        <w:t>(</w:t>
      </w:r>
      <w:proofErr w:type="gramStart"/>
      <w:r w:rsidR="0064400E">
        <w:rPr>
          <w:rStyle w:val="normaltextrun"/>
        </w:rPr>
        <w:t>i.e.</w:t>
      </w:r>
      <w:proofErr w:type="gramEnd"/>
      <w:r w:rsidR="0064400E">
        <w:rPr>
          <w:rStyle w:val="normaltextrun"/>
        </w:rPr>
        <w:t xml:space="preserve"> </w:t>
      </w:r>
      <w:r w:rsidR="00CC224B">
        <w:rPr>
          <w:rStyle w:val="normaltextrun"/>
        </w:rPr>
        <w:t xml:space="preserve">a </w:t>
      </w:r>
      <w:proofErr w:type="spellStart"/>
      <w:r w:rsidR="00CC224B">
        <w:rPr>
          <w:rStyle w:val="normaltextrun"/>
        </w:rPr>
        <w:t>MySuper</w:t>
      </w:r>
      <w:proofErr w:type="spellEnd"/>
      <w:r w:rsidR="00CC224B">
        <w:rPr>
          <w:rStyle w:val="normaltextrun"/>
        </w:rPr>
        <w:t xml:space="preserve"> product with one </w:t>
      </w:r>
      <w:proofErr w:type="spellStart"/>
      <w:r w:rsidR="00CC224B">
        <w:rPr>
          <w:rStyle w:val="normaltextrun"/>
        </w:rPr>
        <w:t>lifestage</w:t>
      </w:r>
      <w:proofErr w:type="spellEnd"/>
      <w:r w:rsidR="00CC224B">
        <w:rPr>
          <w:rStyle w:val="normaltextrun"/>
        </w:rPr>
        <w:t>)</w:t>
      </w:r>
      <w:r w:rsidR="00E9685E" w:rsidRPr="00E9685E">
        <w:rPr>
          <w:rStyle w:val="normaltextrun"/>
        </w:rPr>
        <w:t xml:space="preserve"> that changes to a lifecycle </w:t>
      </w:r>
      <w:proofErr w:type="spellStart"/>
      <w:r w:rsidR="00E9685E" w:rsidRPr="00E9685E">
        <w:rPr>
          <w:rStyle w:val="normaltextrun"/>
        </w:rPr>
        <w:t>MySuper</w:t>
      </w:r>
      <w:proofErr w:type="spellEnd"/>
      <w:r w:rsidR="00E9685E" w:rsidRPr="00E9685E">
        <w:rPr>
          <w:rStyle w:val="normaltextrun"/>
        </w:rPr>
        <w:t xml:space="preserve"> product with two </w:t>
      </w:r>
      <w:proofErr w:type="spellStart"/>
      <w:r w:rsidR="00E9685E" w:rsidRPr="00E9685E">
        <w:rPr>
          <w:rStyle w:val="normaltextrun"/>
        </w:rPr>
        <w:t>lifestages</w:t>
      </w:r>
      <w:proofErr w:type="spellEnd"/>
      <w:r w:rsidR="00E9685E" w:rsidRPr="00E9685E">
        <w:rPr>
          <w:rStyle w:val="normaltextrun"/>
        </w:rPr>
        <w:t xml:space="preserve"> (“</w:t>
      </w:r>
      <w:proofErr w:type="spellStart"/>
      <w:r w:rsidR="00E9685E" w:rsidRPr="00E9685E">
        <w:rPr>
          <w:rStyle w:val="normaltextrun"/>
        </w:rPr>
        <w:t>Lifestage</w:t>
      </w:r>
      <w:proofErr w:type="spellEnd"/>
      <w:r w:rsidR="00E9685E" w:rsidRPr="00E9685E">
        <w:rPr>
          <w:rStyle w:val="normaltextrun"/>
        </w:rPr>
        <w:t xml:space="preserve"> 1” and “</w:t>
      </w:r>
      <w:proofErr w:type="spellStart"/>
      <w:r w:rsidR="00E9685E" w:rsidRPr="00E9685E">
        <w:rPr>
          <w:rStyle w:val="normaltextrun"/>
        </w:rPr>
        <w:t>Lifestage</w:t>
      </w:r>
      <w:proofErr w:type="spellEnd"/>
      <w:r w:rsidR="00E9685E" w:rsidRPr="00E9685E">
        <w:rPr>
          <w:rStyle w:val="normaltextrun"/>
        </w:rPr>
        <w:t xml:space="preserve"> 2”) effective from 1 March 2023 – this is referred to as </w:t>
      </w:r>
      <w:r w:rsidR="00E9685E" w:rsidRPr="006553B4">
        <w:rPr>
          <w:rStyle w:val="normaltextrun"/>
        </w:rPr>
        <w:t>a “</w:t>
      </w:r>
      <w:r w:rsidR="00E9685E" w:rsidRPr="006553B4">
        <w:rPr>
          <w:rStyle w:val="normaltextrun"/>
          <w:bCs/>
          <w:iCs/>
        </w:rPr>
        <w:t xml:space="preserve">change of </w:t>
      </w:r>
      <w:proofErr w:type="spellStart"/>
      <w:r w:rsidR="00E9685E" w:rsidRPr="006553B4">
        <w:rPr>
          <w:rStyle w:val="normaltextrun"/>
          <w:bCs/>
          <w:iCs/>
        </w:rPr>
        <w:t>lifestage</w:t>
      </w:r>
      <w:proofErr w:type="spellEnd"/>
      <w:r w:rsidR="00E9685E" w:rsidRPr="006553B4">
        <w:rPr>
          <w:rStyle w:val="normaltextrun"/>
          <w:bCs/>
          <w:iCs/>
        </w:rPr>
        <w:t>” in the instrument.</w:t>
      </w:r>
      <w:r w:rsidR="00E9685E" w:rsidRPr="00E9685E">
        <w:rPr>
          <w:rStyle w:val="normaltextrun"/>
          <w:b/>
          <w:bCs/>
          <w:iCs/>
        </w:rPr>
        <w:t xml:space="preserve"> </w:t>
      </w:r>
    </w:p>
    <w:p w14:paraId="5A1E6791" w14:textId="75DAC057" w:rsidR="00E9685E" w:rsidRPr="00E9685E" w:rsidRDefault="00E9685E" w:rsidP="00E9685E">
      <w:pPr>
        <w:pStyle w:val="paragraph"/>
        <w:spacing w:before="0" w:beforeAutospacing="0" w:after="0" w:afterAutospacing="0"/>
        <w:textAlignment w:val="baseline"/>
      </w:pPr>
      <w:r w:rsidRPr="00E9685E">
        <w:rPr>
          <w:rStyle w:val="normaltextrun"/>
        </w:rPr>
        <w:t>.</w:t>
      </w:r>
      <w:r w:rsidRPr="00E9685E">
        <w:rPr>
          <w:rStyle w:val="eop"/>
        </w:rPr>
        <w:t> </w:t>
      </w:r>
    </w:p>
    <w:p w14:paraId="5B781DEF" w14:textId="77777777" w:rsidR="00E9685E" w:rsidRPr="00E9685E" w:rsidRDefault="00E9685E" w:rsidP="0024183F">
      <w:pPr>
        <w:pStyle w:val="paragraph"/>
        <w:spacing w:before="0" w:beforeAutospacing="0" w:after="0" w:afterAutospacing="0"/>
        <w:ind w:left="425"/>
        <w:textAlignment w:val="baseline"/>
      </w:pPr>
      <w:r w:rsidRPr="00E9685E">
        <w:rPr>
          <w:rStyle w:val="normaltextrun"/>
        </w:rPr>
        <w:t>As Product A changed its strategy during a quarter, APRA assesses performance for the March 2023 quarter over two discrete “partial quarter” periods:</w:t>
      </w:r>
      <w:r w:rsidRPr="00E9685E">
        <w:rPr>
          <w:rStyle w:val="eop"/>
        </w:rPr>
        <w:t> </w:t>
      </w:r>
    </w:p>
    <w:p w14:paraId="70E2562A" w14:textId="77777777" w:rsidR="00E9685E" w:rsidRPr="00E9685E" w:rsidRDefault="00E9685E" w:rsidP="00E9685E">
      <w:pPr>
        <w:pStyle w:val="paragraph"/>
        <w:spacing w:before="0" w:beforeAutospacing="0" w:after="0" w:afterAutospacing="0"/>
        <w:textAlignment w:val="baseline"/>
        <w:rPr>
          <w:rStyle w:val="normaltextrun"/>
        </w:rPr>
      </w:pPr>
    </w:p>
    <w:p w14:paraId="2A21481F" w14:textId="76047DB4" w:rsidR="00E9685E" w:rsidRPr="00E9685E" w:rsidRDefault="00E9685E" w:rsidP="00E9685E">
      <w:pPr>
        <w:pStyle w:val="paragraph"/>
        <w:numPr>
          <w:ilvl w:val="0"/>
          <w:numId w:val="31"/>
        </w:numPr>
        <w:spacing w:before="0" w:beforeAutospacing="0" w:after="0" w:afterAutospacing="0"/>
        <w:textAlignment w:val="baseline"/>
      </w:pPr>
      <w:r w:rsidRPr="00E9685E">
        <w:rPr>
          <w:rStyle w:val="normaltextrun"/>
        </w:rPr>
        <w:t>Period A: 1 January 2023 to 28 February 2023 ("</w:t>
      </w:r>
      <w:r w:rsidRPr="00E9685E">
        <w:rPr>
          <w:rStyle w:val="normaltextrun"/>
          <w:b/>
          <w:bCs/>
          <w:i/>
          <w:iCs/>
        </w:rPr>
        <w:t>Day X</w:t>
      </w:r>
      <w:r w:rsidRPr="00E9685E">
        <w:rPr>
          <w:rStyle w:val="normaltextrun"/>
        </w:rPr>
        <w:t xml:space="preserve">" in the </w:t>
      </w:r>
      <w:r w:rsidR="006553B4">
        <w:rPr>
          <w:rStyle w:val="normaltextrun"/>
        </w:rPr>
        <w:t>instrument</w:t>
      </w:r>
      <w:r w:rsidRPr="00E9685E">
        <w:rPr>
          <w:rStyle w:val="normaltextrun"/>
        </w:rPr>
        <w:t>); and </w:t>
      </w:r>
      <w:r w:rsidRPr="00E9685E">
        <w:rPr>
          <w:rStyle w:val="eop"/>
        </w:rPr>
        <w:t> </w:t>
      </w:r>
    </w:p>
    <w:p w14:paraId="59D88F1F" w14:textId="5F7B9402" w:rsidR="00E9685E" w:rsidRPr="00E9685E" w:rsidRDefault="00E9685E" w:rsidP="00E9685E">
      <w:pPr>
        <w:pStyle w:val="paragraph"/>
        <w:numPr>
          <w:ilvl w:val="0"/>
          <w:numId w:val="31"/>
        </w:numPr>
        <w:spacing w:before="0" w:beforeAutospacing="0" w:after="0" w:afterAutospacing="0"/>
        <w:textAlignment w:val="baseline"/>
      </w:pPr>
      <w:r w:rsidRPr="00E9685E">
        <w:rPr>
          <w:rStyle w:val="normaltextrun"/>
        </w:rPr>
        <w:t>Period B: 1 March 2023 ("</w:t>
      </w:r>
      <w:r w:rsidRPr="00E9685E">
        <w:rPr>
          <w:rStyle w:val="normaltextrun"/>
          <w:b/>
          <w:bCs/>
          <w:i/>
          <w:iCs/>
        </w:rPr>
        <w:t>change event</w:t>
      </w:r>
      <w:r w:rsidRPr="00E9685E">
        <w:rPr>
          <w:rStyle w:val="normaltextrun"/>
        </w:rPr>
        <w:t xml:space="preserve">" in the </w:t>
      </w:r>
      <w:r w:rsidR="006553B4">
        <w:rPr>
          <w:rStyle w:val="normaltextrun"/>
        </w:rPr>
        <w:t>instrument</w:t>
      </w:r>
      <w:r w:rsidRPr="00E9685E">
        <w:rPr>
          <w:rStyle w:val="normaltextrun"/>
        </w:rPr>
        <w:t>) to 31 March 2023.</w:t>
      </w:r>
      <w:r w:rsidRPr="00E9685E">
        <w:rPr>
          <w:rStyle w:val="eop"/>
        </w:rPr>
        <w:t> </w:t>
      </w:r>
    </w:p>
    <w:p w14:paraId="400DB815" w14:textId="77777777" w:rsidR="00E9685E" w:rsidRPr="00E9685E" w:rsidRDefault="00E9685E" w:rsidP="00E9685E">
      <w:pPr>
        <w:pStyle w:val="paragraph"/>
        <w:spacing w:before="0" w:beforeAutospacing="0" w:after="0" w:afterAutospacing="0"/>
        <w:textAlignment w:val="baseline"/>
        <w:rPr>
          <w:rStyle w:val="normaltextrun"/>
        </w:rPr>
      </w:pPr>
    </w:p>
    <w:p w14:paraId="63F78B80" w14:textId="10EF8158" w:rsidR="00E9685E" w:rsidRPr="00E9685E" w:rsidRDefault="00E9685E" w:rsidP="0024183F">
      <w:pPr>
        <w:pStyle w:val="paragraph"/>
        <w:spacing w:before="0" w:beforeAutospacing="0" w:after="0" w:afterAutospacing="0"/>
        <w:ind w:left="425"/>
        <w:textAlignment w:val="baseline"/>
      </w:pPr>
      <w:r w:rsidRPr="00E9685E">
        <w:rPr>
          <w:rStyle w:val="normaltextrun"/>
        </w:rPr>
        <w:t xml:space="preserve">The </w:t>
      </w:r>
      <w:r w:rsidR="006553B4">
        <w:rPr>
          <w:rStyle w:val="normaltextrun"/>
        </w:rPr>
        <w:t>instrument</w:t>
      </w:r>
      <w:r w:rsidRPr="00E9685E">
        <w:rPr>
          <w:rStyle w:val="normaltextrun"/>
        </w:rPr>
        <w:t xml:space="preserve"> modifies the actual return and benchmark return formulae specified in the Regulations to enable partial quarter returns to be calculated for Period A and Period B.</w:t>
      </w:r>
      <w:r w:rsidR="0024183F">
        <w:rPr>
          <w:rStyle w:val="normaltextrun"/>
        </w:rPr>
        <w:t xml:space="preserve"> </w:t>
      </w:r>
      <w:r w:rsidRPr="00E9685E">
        <w:rPr>
          <w:rStyle w:val="normaltextrun"/>
        </w:rPr>
        <w:t>These modified formulae are used to calculate the performance measure over the product’s lookback period</w:t>
      </w:r>
      <w:r w:rsidR="0043375B">
        <w:rPr>
          <w:rStyle w:val="normaltextrun"/>
        </w:rPr>
        <w:t xml:space="preserve"> as follows</w:t>
      </w:r>
      <w:r w:rsidRPr="00E9685E">
        <w:rPr>
          <w:rStyle w:val="normaltextrun"/>
        </w:rPr>
        <w:t>:</w:t>
      </w:r>
    </w:p>
    <w:p w14:paraId="2AAF9547" w14:textId="4466B36F" w:rsidR="00E9685E" w:rsidRDefault="00E9685E" w:rsidP="00E9685E">
      <w:pPr>
        <w:pStyle w:val="paragraph"/>
        <w:spacing w:before="0" w:beforeAutospacing="0" w:after="0" w:afterAutospacing="0"/>
        <w:textAlignment w:val="baseline"/>
        <w:rPr>
          <w:rFonts w:ascii="Segoe UI" w:hAnsi="Segoe UI" w:cs="Segoe UI"/>
          <w:color w:val="000000"/>
          <w:sz w:val="18"/>
          <w:szCs w:val="18"/>
        </w:rPr>
      </w:pPr>
    </w:p>
    <w:p w14:paraId="3CA2FAD9" w14:textId="3E42FCBF" w:rsidR="00E9685E" w:rsidRPr="006553B4" w:rsidRDefault="00E9685E" w:rsidP="0024183F">
      <w:pPr>
        <w:pStyle w:val="paragraph"/>
        <w:spacing w:before="0" w:beforeAutospacing="0" w:after="0" w:afterAutospacing="0"/>
        <w:ind w:left="425"/>
        <w:textAlignment w:val="baseline"/>
        <w:rPr>
          <w:rStyle w:val="eop"/>
        </w:rPr>
      </w:pPr>
      <w:r w:rsidRPr="006553B4">
        <w:rPr>
          <w:rStyle w:val="normaltextrun"/>
          <w:u w:val="single"/>
        </w:rPr>
        <w:t>Period A - Partial Quarter Calculation Before Change in Strategy (1 January – 28 February 2023)</w:t>
      </w:r>
      <w:r w:rsidRPr="006553B4">
        <w:rPr>
          <w:rStyle w:val="eop"/>
        </w:rPr>
        <w:t> </w:t>
      </w:r>
    </w:p>
    <w:p w14:paraId="2AE6F066" w14:textId="77777777" w:rsidR="00E9685E" w:rsidRPr="006553B4" w:rsidRDefault="00E9685E" w:rsidP="00E9685E">
      <w:pPr>
        <w:pStyle w:val="paragraph"/>
        <w:spacing w:before="0" w:beforeAutospacing="0" w:after="0" w:afterAutospacing="0"/>
        <w:textAlignment w:val="baseline"/>
      </w:pPr>
    </w:p>
    <w:p w14:paraId="537E1E03" w14:textId="3954D76F" w:rsidR="00E9685E" w:rsidRPr="006553B4" w:rsidRDefault="00E9685E" w:rsidP="0024183F">
      <w:pPr>
        <w:pStyle w:val="paragraph"/>
        <w:spacing w:before="0" w:beforeAutospacing="0" w:after="0" w:afterAutospacing="0"/>
        <w:ind w:left="425"/>
        <w:textAlignment w:val="baseline"/>
        <w:rPr>
          <w:rStyle w:val="eop"/>
        </w:rPr>
      </w:pPr>
      <w:r w:rsidRPr="006553B4">
        <w:rPr>
          <w:rStyle w:val="normaltextrun"/>
          <w:b/>
          <w:bCs/>
        </w:rPr>
        <w:t>Strategic Asset Allocation (SAA) data for benchmark return</w:t>
      </w:r>
      <w:r w:rsidRPr="006553B4">
        <w:rPr>
          <w:rStyle w:val="normaltextrun"/>
        </w:rPr>
        <w:t xml:space="preserve">: Product A is assessed as a product with one single </w:t>
      </w:r>
      <w:proofErr w:type="spellStart"/>
      <w:r w:rsidRPr="006553B4">
        <w:rPr>
          <w:rStyle w:val="normaltextrun"/>
        </w:rPr>
        <w:t>lifestage</w:t>
      </w:r>
      <w:proofErr w:type="spellEnd"/>
      <w:r w:rsidRPr="006553B4">
        <w:rPr>
          <w:rStyle w:val="normaltextrun"/>
        </w:rPr>
        <w:t>, using its strategic asset allocation (SAA) from 31 December 2022 (the end of the previous quarter). </w:t>
      </w:r>
      <w:r w:rsidRPr="006553B4">
        <w:rPr>
          <w:rStyle w:val="eop"/>
        </w:rPr>
        <w:t> </w:t>
      </w:r>
    </w:p>
    <w:p w14:paraId="7A0063D6" w14:textId="77777777" w:rsidR="00E9685E" w:rsidRPr="006553B4" w:rsidRDefault="00E9685E" w:rsidP="00E9685E">
      <w:pPr>
        <w:pStyle w:val="paragraph"/>
        <w:spacing w:before="0" w:beforeAutospacing="0" w:after="0" w:afterAutospacing="0"/>
        <w:textAlignment w:val="baseline"/>
      </w:pPr>
    </w:p>
    <w:p w14:paraId="2852485C" w14:textId="6938CE72" w:rsidR="00E9685E" w:rsidRPr="006553B4" w:rsidRDefault="00E9685E" w:rsidP="0024183F">
      <w:pPr>
        <w:pStyle w:val="paragraph"/>
        <w:spacing w:before="0" w:beforeAutospacing="0" w:after="0" w:afterAutospacing="0"/>
        <w:ind w:left="425"/>
        <w:textAlignment w:val="baseline"/>
        <w:rPr>
          <w:rStyle w:val="eop"/>
        </w:rPr>
      </w:pPr>
      <w:r w:rsidRPr="006553B4">
        <w:rPr>
          <w:rStyle w:val="normaltextrun"/>
          <w:b/>
          <w:bCs/>
        </w:rPr>
        <w:t xml:space="preserve">Total Investments data for determining </w:t>
      </w:r>
      <w:proofErr w:type="spellStart"/>
      <w:r w:rsidRPr="006553B4">
        <w:rPr>
          <w:rStyle w:val="normaltextrun"/>
          <w:b/>
          <w:bCs/>
        </w:rPr>
        <w:t>lifestage</w:t>
      </w:r>
      <w:proofErr w:type="spellEnd"/>
      <w:r w:rsidRPr="006553B4">
        <w:rPr>
          <w:rStyle w:val="normaltextrun"/>
          <w:b/>
          <w:bCs/>
        </w:rPr>
        <w:t xml:space="preserve"> weights in actual return and benchmark return</w:t>
      </w:r>
      <w:r w:rsidRPr="006553B4">
        <w:rPr>
          <w:rStyle w:val="normaltextrun"/>
        </w:rPr>
        <w:t xml:space="preserve">: Calculated with reference to the value of assets in </w:t>
      </w:r>
      <w:r w:rsidR="006F18F5">
        <w:rPr>
          <w:rStyle w:val="normaltextrun"/>
        </w:rPr>
        <w:t>the single</w:t>
      </w:r>
      <w:r w:rsidR="006F18F5" w:rsidRPr="006553B4">
        <w:rPr>
          <w:rStyle w:val="normaltextrun"/>
        </w:rPr>
        <w:t xml:space="preserve"> </w:t>
      </w:r>
      <w:proofErr w:type="spellStart"/>
      <w:r w:rsidRPr="006553B4">
        <w:rPr>
          <w:rStyle w:val="normaltextrun"/>
        </w:rPr>
        <w:t>lifestage</w:t>
      </w:r>
      <w:proofErr w:type="spellEnd"/>
      <w:r w:rsidRPr="006553B4">
        <w:rPr>
          <w:rStyle w:val="normaltextrun"/>
        </w:rPr>
        <w:t xml:space="preserve"> </w:t>
      </w:r>
      <w:proofErr w:type="gramStart"/>
      <w:r w:rsidRPr="006553B4">
        <w:rPr>
          <w:rStyle w:val="normaltextrun"/>
        </w:rPr>
        <w:t>at</w:t>
      </w:r>
      <w:proofErr w:type="gramEnd"/>
      <w:r w:rsidRPr="006553B4">
        <w:rPr>
          <w:rStyle w:val="normaltextrun"/>
        </w:rPr>
        <w:t xml:space="preserve"> 31 December 2022 (the end of the previous quarter).</w:t>
      </w:r>
      <w:r w:rsidRPr="006553B4">
        <w:rPr>
          <w:rStyle w:val="eop"/>
        </w:rPr>
        <w:t> </w:t>
      </w:r>
    </w:p>
    <w:p w14:paraId="2C78BF8E" w14:textId="77777777" w:rsidR="00E9685E" w:rsidRPr="006553B4" w:rsidRDefault="00E9685E" w:rsidP="00E9685E">
      <w:pPr>
        <w:pStyle w:val="paragraph"/>
        <w:spacing w:before="0" w:beforeAutospacing="0" w:after="0" w:afterAutospacing="0"/>
        <w:textAlignment w:val="baseline"/>
      </w:pPr>
    </w:p>
    <w:p w14:paraId="77AEC124" w14:textId="045C925D" w:rsidR="00E9685E" w:rsidRPr="006553B4" w:rsidRDefault="00E9685E" w:rsidP="0024183F">
      <w:pPr>
        <w:pStyle w:val="paragraph"/>
        <w:spacing w:before="0" w:beforeAutospacing="0" w:after="0" w:afterAutospacing="0"/>
        <w:ind w:left="425"/>
        <w:textAlignment w:val="baseline"/>
        <w:rPr>
          <w:rStyle w:val="eop"/>
        </w:rPr>
      </w:pPr>
      <w:r w:rsidRPr="006553B4">
        <w:rPr>
          <w:rStyle w:val="normaltextrun"/>
          <w:u w:val="single"/>
        </w:rPr>
        <w:t>Period B - Partial Quarter Calculation After Change in Strategy (1 March – 31 March 2023)</w:t>
      </w:r>
      <w:r w:rsidRPr="006553B4">
        <w:rPr>
          <w:rStyle w:val="eop"/>
        </w:rPr>
        <w:t> </w:t>
      </w:r>
    </w:p>
    <w:p w14:paraId="6E67B0A1" w14:textId="77777777" w:rsidR="00E9685E" w:rsidRPr="006553B4" w:rsidRDefault="00E9685E" w:rsidP="00E9685E">
      <w:pPr>
        <w:pStyle w:val="paragraph"/>
        <w:spacing w:before="0" w:beforeAutospacing="0" w:after="0" w:afterAutospacing="0"/>
        <w:textAlignment w:val="baseline"/>
      </w:pPr>
    </w:p>
    <w:p w14:paraId="06348C79" w14:textId="77777777" w:rsidR="00E9685E" w:rsidRPr="006553B4" w:rsidRDefault="00E9685E" w:rsidP="0024183F">
      <w:pPr>
        <w:pStyle w:val="paragraph"/>
        <w:spacing w:before="0" w:beforeAutospacing="0" w:after="0" w:afterAutospacing="0"/>
        <w:ind w:left="425"/>
        <w:textAlignment w:val="baseline"/>
      </w:pPr>
      <w:r w:rsidRPr="006553B4">
        <w:rPr>
          <w:rStyle w:val="normaltextrun"/>
          <w:b/>
          <w:bCs/>
        </w:rPr>
        <w:t>SAA data for benchmark return</w:t>
      </w:r>
      <w:r w:rsidRPr="006553B4">
        <w:rPr>
          <w:rStyle w:val="normaltextrun"/>
        </w:rPr>
        <w:t xml:space="preserve">: Product A is assessed as a lifecycle product with two </w:t>
      </w:r>
      <w:proofErr w:type="spellStart"/>
      <w:r w:rsidRPr="006553B4">
        <w:rPr>
          <w:rStyle w:val="normaltextrun"/>
        </w:rPr>
        <w:t>lifestages</w:t>
      </w:r>
      <w:proofErr w:type="spellEnd"/>
      <w:r w:rsidRPr="006553B4">
        <w:rPr>
          <w:rStyle w:val="normaltextrun"/>
        </w:rPr>
        <w:t>, "</w:t>
      </w:r>
      <w:proofErr w:type="spellStart"/>
      <w:r w:rsidRPr="006553B4">
        <w:rPr>
          <w:rStyle w:val="normaltextrun"/>
        </w:rPr>
        <w:t>Lifestage</w:t>
      </w:r>
      <w:proofErr w:type="spellEnd"/>
      <w:r w:rsidRPr="006553B4">
        <w:rPr>
          <w:rStyle w:val="normaltextrun"/>
        </w:rPr>
        <w:t xml:space="preserve"> 1" and "</w:t>
      </w:r>
      <w:proofErr w:type="spellStart"/>
      <w:r w:rsidRPr="006553B4">
        <w:rPr>
          <w:rStyle w:val="normaltextrun"/>
        </w:rPr>
        <w:t>Lifestage</w:t>
      </w:r>
      <w:proofErr w:type="spellEnd"/>
      <w:r w:rsidRPr="006553B4">
        <w:rPr>
          <w:rStyle w:val="normaltextrun"/>
        </w:rPr>
        <w:t xml:space="preserve"> 2". The SAA data reported to APRA </w:t>
      </w:r>
      <w:proofErr w:type="gramStart"/>
      <w:r w:rsidRPr="006553B4">
        <w:rPr>
          <w:rStyle w:val="normaltextrun"/>
        </w:rPr>
        <w:t>at</w:t>
      </w:r>
      <w:proofErr w:type="gramEnd"/>
      <w:r w:rsidRPr="006553B4">
        <w:rPr>
          <w:rStyle w:val="normaltextrun"/>
        </w:rPr>
        <w:t xml:space="preserve"> 31 March 2023, the first SAA applicable to the two </w:t>
      </w:r>
      <w:proofErr w:type="spellStart"/>
      <w:r w:rsidRPr="006553B4">
        <w:rPr>
          <w:rStyle w:val="normaltextrun"/>
        </w:rPr>
        <w:t>lifestages</w:t>
      </w:r>
      <w:proofErr w:type="spellEnd"/>
      <w:r w:rsidRPr="006553B4">
        <w:rPr>
          <w:rStyle w:val="normaltextrun"/>
        </w:rPr>
        <w:t>, is used to create the benchmark return. </w:t>
      </w:r>
      <w:r w:rsidRPr="006553B4">
        <w:rPr>
          <w:rStyle w:val="eop"/>
        </w:rPr>
        <w:t> </w:t>
      </w:r>
    </w:p>
    <w:p w14:paraId="45D42A29" w14:textId="77777777" w:rsidR="0024183F" w:rsidRDefault="0024183F" w:rsidP="00E9685E">
      <w:pPr>
        <w:pStyle w:val="paragraph"/>
        <w:spacing w:before="0" w:beforeAutospacing="0" w:after="0" w:afterAutospacing="0"/>
        <w:textAlignment w:val="baseline"/>
        <w:rPr>
          <w:rStyle w:val="normaltextrun"/>
        </w:rPr>
      </w:pPr>
    </w:p>
    <w:p w14:paraId="28FDC451" w14:textId="4860D4E5" w:rsidR="00E9685E" w:rsidRPr="006553B4" w:rsidRDefault="00E9685E" w:rsidP="0024183F">
      <w:pPr>
        <w:pStyle w:val="paragraph"/>
        <w:spacing w:before="0" w:beforeAutospacing="0" w:after="0" w:afterAutospacing="0"/>
        <w:ind w:left="425"/>
        <w:textAlignment w:val="baseline"/>
        <w:rPr>
          <w:rStyle w:val="eop"/>
        </w:rPr>
      </w:pPr>
      <w:r w:rsidRPr="006553B4">
        <w:rPr>
          <w:rStyle w:val="normaltextrun"/>
        </w:rPr>
        <w:t xml:space="preserve">The </w:t>
      </w:r>
      <w:r w:rsidR="00235E51">
        <w:rPr>
          <w:rStyle w:val="normaltextrun"/>
        </w:rPr>
        <w:t>instrument</w:t>
      </w:r>
      <w:r w:rsidRPr="006553B4">
        <w:rPr>
          <w:rStyle w:val="normaltextrun"/>
        </w:rPr>
        <w:t xml:space="preserve"> modifies the formula specified in the Regulations to reflect the SAA as at the end of the current quarter (</w:t>
      </w:r>
      <w:proofErr w:type="spellStart"/>
      <w:proofErr w:type="gramStart"/>
      <w:r w:rsidRPr="006553B4">
        <w:rPr>
          <w:rStyle w:val="normaltextrun"/>
        </w:rPr>
        <w:t>SAA</w:t>
      </w:r>
      <w:r w:rsidRPr="006553B4">
        <w:rPr>
          <w:rStyle w:val="normaltextrun"/>
          <w:i/>
          <w:iCs/>
        </w:rPr>
        <w:t>a,j</w:t>
      </w:r>
      <w:proofErr w:type="gramEnd"/>
      <w:r w:rsidRPr="006553B4">
        <w:rPr>
          <w:rStyle w:val="normaltextrun"/>
          <w:i/>
          <w:iCs/>
        </w:rPr>
        <w:t>,t</w:t>
      </w:r>
      <w:proofErr w:type="spellEnd"/>
      <w:r w:rsidRPr="006553B4">
        <w:rPr>
          <w:rStyle w:val="normaltextrun"/>
        </w:rPr>
        <w:t>) instead of the SAA at the end of the previous quarter (SAA</w:t>
      </w:r>
      <w:r w:rsidRPr="006553B4">
        <w:rPr>
          <w:rStyle w:val="normaltextrun"/>
          <w:i/>
          <w:iCs/>
        </w:rPr>
        <w:t>a,j,t-1</w:t>
      </w:r>
      <w:r w:rsidRPr="006553B4">
        <w:rPr>
          <w:rStyle w:val="normaltextrun"/>
        </w:rPr>
        <w:t>).</w:t>
      </w:r>
      <w:r w:rsidRPr="006553B4">
        <w:rPr>
          <w:rStyle w:val="eop"/>
        </w:rPr>
        <w:t> </w:t>
      </w:r>
    </w:p>
    <w:p w14:paraId="0117D948" w14:textId="77777777" w:rsidR="00E9685E" w:rsidRPr="006553B4" w:rsidRDefault="00E9685E" w:rsidP="00E9685E">
      <w:pPr>
        <w:pStyle w:val="paragraph"/>
        <w:spacing w:before="0" w:beforeAutospacing="0" w:after="0" w:afterAutospacing="0"/>
        <w:textAlignment w:val="baseline"/>
      </w:pPr>
    </w:p>
    <w:p w14:paraId="2A612068" w14:textId="71B9A4AA" w:rsidR="00E9685E" w:rsidRPr="006553B4" w:rsidRDefault="00E9685E" w:rsidP="0024183F">
      <w:pPr>
        <w:pStyle w:val="paragraph"/>
        <w:spacing w:before="0" w:beforeAutospacing="0" w:after="0" w:afterAutospacing="0"/>
        <w:ind w:left="425"/>
        <w:textAlignment w:val="baseline"/>
      </w:pPr>
      <w:r w:rsidRPr="006553B4">
        <w:rPr>
          <w:rStyle w:val="normaltextrun"/>
          <w:b/>
          <w:bCs/>
        </w:rPr>
        <w:t xml:space="preserve">Total Investments data for determining </w:t>
      </w:r>
      <w:proofErr w:type="spellStart"/>
      <w:r w:rsidRPr="006553B4">
        <w:rPr>
          <w:rStyle w:val="normaltextrun"/>
          <w:b/>
          <w:bCs/>
        </w:rPr>
        <w:t>lifestage</w:t>
      </w:r>
      <w:proofErr w:type="spellEnd"/>
      <w:r w:rsidRPr="006553B4">
        <w:rPr>
          <w:rStyle w:val="normaltextrun"/>
          <w:b/>
          <w:bCs/>
        </w:rPr>
        <w:t xml:space="preserve"> weights in actual return and benchmark return:</w:t>
      </w:r>
      <w:r w:rsidRPr="006553B4">
        <w:rPr>
          <w:rStyle w:val="normaltextrun"/>
        </w:rPr>
        <w:t xml:space="preserve"> The </w:t>
      </w:r>
      <w:r w:rsidR="00235E51">
        <w:rPr>
          <w:rStyle w:val="normaltextrun"/>
        </w:rPr>
        <w:t>instrument</w:t>
      </w:r>
      <w:r w:rsidRPr="006553B4">
        <w:rPr>
          <w:rStyle w:val="normaltextrun"/>
        </w:rPr>
        <w:t xml:space="preserve"> </w:t>
      </w:r>
      <w:r w:rsidR="00235E51">
        <w:rPr>
          <w:rStyle w:val="normaltextrun"/>
        </w:rPr>
        <w:t xml:space="preserve">requires </w:t>
      </w:r>
      <w:r w:rsidRPr="006553B4">
        <w:rPr>
          <w:rStyle w:val="normaltextrun"/>
        </w:rPr>
        <w:t xml:space="preserve">that the product level actual return and benchmark return for each </w:t>
      </w:r>
      <w:proofErr w:type="spellStart"/>
      <w:r w:rsidRPr="006553B4">
        <w:rPr>
          <w:rStyle w:val="normaltextrun"/>
        </w:rPr>
        <w:t>lifestage</w:t>
      </w:r>
      <w:proofErr w:type="spellEnd"/>
      <w:r w:rsidRPr="006553B4">
        <w:rPr>
          <w:rStyle w:val="normaltextrun"/>
        </w:rPr>
        <w:t xml:space="preserve"> are weighted using the </w:t>
      </w:r>
      <w:proofErr w:type="gramStart"/>
      <w:r w:rsidRPr="006553B4">
        <w:rPr>
          <w:rStyle w:val="normaltextrun"/>
        </w:rPr>
        <w:t>amount</w:t>
      </w:r>
      <w:proofErr w:type="gramEnd"/>
      <w:r w:rsidRPr="006553B4">
        <w:rPr>
          <w:rStyle w:val="normaltextrun"/>
        </w:rPr>
        <w:t xml:space="preserve"> of investments in </w:t>
      </w:r>
      <w:proofErr w:type="spellStart"/>
      <w:r w:rsidRPr="006553B4">
        <w:rPr>
          <w:rStyle w:val="normaltextrun"/>
        </w:rPr>
        <w:t>Lifestage</w:t>
      </w:r>
      <w:proofErr w:type="spellEnd"/>
      <w:r w:rsidRPr="006553B4">
        <w:rPr>
          <w:rStyle w:val="normaltextrun"/>
        </w:rPr>
        <w:t xml:space="preserve"> 1 and </w:t>
      </w:r>
      <w:proofErr w:type="spellStart"/>
      <w:r w:rsidRPr="006553B4">
        <w:rPr>
          <w:rStyle w:val="normaltextrun"/>
        </w:rPr>
        <w:t>Lifestage</w:t>
      </w:r>
      <w:proofErr w:type="spellEnd"/>
      <w:r w:rsidRPr="006553B4">
        <w:rPr>
          <w:rStyle w:val="normaltextrun"/>
        </w:rPr>
        <w:t xml:space="preserve"> 2 at the end of the current quarter (i.e. 31 March 2023) for the partial quarter after the change in strategy, instead of at the end of the previous quarter.  </w:t>
      </w:r>
      <w:r w:rsidRPr="006553B4">
        <w:rPr>
          <w:rStyle w:val="eop"/>
        </w:rPr>
        <w:t> </w:t>
      </w:r>
    </w:p>
    <w:p w14:paraId="248C5463" w14:textId="25BCC949" w:rsidR="00E9685E" w:rsidRPr="00E9685E" w:rsidRDefault="00E9685E" w:rsidP="00E9685E">
      <w:pPr>
        <w:pStyle w:val="paragraph"/>
        <w:spacing w:before="0" w:beforeAutospacing="0" w:after="0" w:afterAutospacing="0"/>
        <w:textAlignment w:val="baseline"/>
        <w:rPr>
          <w:rFonts w:ascii="Segoe UI" w:hAnsi="Segoe UI" w:cs="Segoe UI"/>
          <w:color w:val="000000"/>
          <w:sz w:val="18"/>
          <w:szCs w:val="18"/>
        </w:rPr>
      </w:pPr>
      <w:r>
        <w:rPr>
          <w:rStyle w:val="eop"/>
          <w:rFonts w:ascii="DIN OT Light" w:hAnsi="DIN OT Light" w:cs="Segoe UI"/>
          <w:color w:val="000000"/>
          <w:sz w:val="22"/>
          <w:szCs w:val="22"/>
        </w:rPr>
        <w:t> </w:t>
      </w:r>
    </w:p>
    <w:p w14:paraId="5FE0BE86" w14:textId="6EA0D7B1" w:rsidR="00BD4AFF" w:rsidRDefault="00BB45AE" w:rsidP="00BD4AFF">
      <w:pPr>
        <w:pStyle w:val="heading0"/>
        <w:shd w:val="clear" w:color="auto" w:fill="FFFFFF"/>
        <w:spacing w:before="0" w:beforeAutospacing="0" w:after="240" w:afterAutospacing="0"/>
        <w:jc w:val="both"/>
        <w:rPr>
          <w:rFonts w:ascii="Trebuchet MS" w:hAnsi="Trebuchet MS"/>
          <w:b/>
          <w:bCs/>
          <w:sz w:val="26"/>
          <w:szCs w:val="26"/>
        </w:rPr>
      </w:pPr>
      <w:r>
        <w:rPr>
          <w:b/>
          <w:iCs/>
        </w:rPr>
        <w:t>3</w:t>
      </w:r>
      <w:r w:rsidRPr="00BB45AE">
        <w:rPr>
          <w:b/>
          <w:iCs/>
        </w:rPr>
        <w:t>.</w:t>
      </w:r>
      <w:r>
        <w:rPr>
          <w:b/>
          <w:iCs/>
        </w:rPr>
        <w:tab/>
      </w:r>
      <w:r w:rsidRPr="00BB45AE">
        <w:rPr>
          <w:b/>
          <w:iCs/>
        </w:rPr>
        <w:t xml:space="preserve"> </w:t>
      </w:r>
      <w:r w:rsidR="00BD4AFF" w:rsidRPr="00BB45AE">
        <w:rPr>
          <w:b/>
        </w:rPr>
        <w:t>Exemption from disallowance and sunsetting</w:t>
      </w:r>
    </w:p>
    <w:p w14:paraId="4BF9FEF9" w14:textId="77777777" w:rsidR="00BD4AFF" w:rsidRDefault="00BD4AFF" w:rsidP="00BD4AFF">
      <w:pPr>
        <w:pStyle w:val="heading0"/>
        <w:shd w:val="clear" w:color="auto" w:fill="FFFFFF"/>
        <w:spacing w:before="0" w:beforeAutospacing="0" w:after="240" w:afterAutospacing="0"/>
        <w:jc w:val="both"/>
        <w:rPr>
          <w:rFonts w:ascii="Trebuchet MS" w:hAnsi="Trebuchet MS"/>
          <w:b/>
          <w:bCs/>
          <w:sz w:val="26"/>
          <w:szCs w:val="26"/>
        </w:rPr>
      </w:pPr>
      <w:r>
        <w:lastRenderedPageBreak/>
        <w:t>This instrument is exempt from disallowance in accordance with section 44(2)(b) of the </w:t>
      </w:r>
      <w:r>
        <w:rPr>
          <w:i/>
          <w:iCs/>
        </w:rPr>
        <w:t>Legislation Act 2003</w:t>
      </w:r>
      <w:r>
        <w:t> (Legislation Act) and regulation 9 of the </w:t>
      </w:r>
      <w:r>
        <w:rPr>
          <w:i/>
          <w:iCs/>
        </w:rPr>
        <w:t>Legislation (Exemptions and Other Matters) Regulations 2015</w:t>
      </w:r>
      <w:r>
        <w:t> (Legislation Regulations)</w:t>
      </w:r>
      <w:r>
        <w:rPr>
          <w:rStyle w:val="FootnoteReference"/>
          <w:rFonts w:eastAsiaTheme="majorEastAsia"/>
        </w:rPr>
        <w:t> </w:t>
      </w:r>
      <w:r>
        <w:t>as this instrument is an ‘instrument (other than a regulation) relating to superannuation’.</w:t>
      </w:r>
      <w:r>
        <w:rPr>
          <w:rFonts w:ascii="Trebuchet MS" w:hAnsi="Trebuchet MS"/>
          <w:b/>
          <w:bCs/>
          <w:sz w:val="26"/>
          <w:szCs w:val="26"/>
        </w:rPr>
        <w:t xml:space="preserve"> </w:t>
      </w:r>
    </w:p>
    <w:p w14:paraId="50B761FC" w14:textId="77777777" w:rsidR="00BD4AFF" w:rsidRDefault="00BD4AFF" w:rsidP="00BD4AFF">
      <w:pPr>
        <w:pStyle w:val="heading0"/>
        <w:shd w:val="clear" w:color="auto" w:fill="FFFFFF"/>
        <w:spacing w:before="0" w:beforeAutospacing="0" w:after="240" w:afterAutospacing="0"/>
        <w:jc w:val="both"/>
        <w:rPr>
          <w:rFonts w:ascii="Trebuchet MS" w:hAnsi="Trebuchet MS"/>
          <w:b/>
          <w:bCs/>
          <w:sz w:val="26"/>
          <w:szCs w:val="26"/>
        </w:rPr>
      </w:pPr>
      <w:r>
        <w:t>This instrument is also exempt from sunsetting in accordance with section 54(2)(b) of the Legislation Act and regulation 11 of the Legislation Regulations as this instrument is ‘an instrument (other than a regulation) relating to superannuation’.</w:t>
      </w:r>
      <w:r>
        <w:rPr>
          <w:rFonts w:ascii="Trebuchet MS" w:hAnsi="Trebuchet MS"/>
          <w:b/>
          <w:bCs/>
          <w:sz w:val="26"/>
          <w:szCs w:val="26"/>
        </w:rPr>
        <w:t xml:space="preserve"> </w:t>
      </w:r>
    </w:p>
    <w:p w14:paraId="2636DDFC" w14:textId="473BBAFA" w:rsidR="00BD4AFF" w:rsidRDefault="00BD4AFF" w:rsidP="00BD4AFF">
      <w:pPr>
        <w:pStyle w:val="heading0"/>
        <w:shd w:val="clear" w:color="auto" w:fill="FFFFFF"/>
        <w:spacing w:before="0" w:beforeAutospacing="0" w:after="240" w:afterAutospacing="0"/>
        <w:jc w:val="both"/>
        <w:rPr>
          <w:rFonts w:ascii="Trebuchet MS" w:hAnsi="Trebuchet MS"/>
          <w:b/>
          <w:bCs/>
          <w:sz w:val="26"/>
          <w:szCs w:val="26"/>
        </w:rPr>
      </w:pPr>
      <w:r>
        <w:t>As the instrument falls within the above-mentioned exemptions from disallowance and sunsetting, APRA does not have discretion to subject the instrument to disallowance and sunsetting. To mitigate against any adverse impact arising from the above-mentioned exemptions from disallowance and sunsetting, APRA undertook consultation on the proposed exemption (refer to paragraph 3 for further details)</w:t>
      </w:r>
      <w:r w:rsidR="00130271">
        <w:t>. APRA intends to</w:t>
      </w:r>
      <w:r>
        <w:t xml:space="preserve"> review</w:t>
      </w:r>
      <w:bookmarkStart w:id="3" w:name="_Hlk139011138"/>
      <w:r>
        <w:t xml:space="preserve"> the operation of the instrument </w:t>
      </w:r>
      <w:r w:rsidR="00130271">
        <w:t>after each year’s performance assessment</w:t>
      </w:r>
      <w:r>
        <w:t xml:space="preserve"> to ensure it remains applicable and fit for purpose</w:t>
      </w:r>
      <w:bookmarkEnd w:id="3"/>
      <w:r w:rsidR="00130271">
        <w:t xml:space="preserve"> for the next year’s assessment</w:t>
      </w:r>
      <w:r>
        <w:t>.</w:t>
      </w:r>
    </w:p>
    <w:p w14:paraId="3F2697B4" w14:textId="119DEA95" w:rsidR="00211AFD" w:rsidRPr="00BC1E70" w:rsidRDefault="00BB45AE" w:rsidP="00211AFD">
      <w:pPr>
        <w:numPr>
          <w:ilvl w:val="0"/>
          <w:numId w:val="0"/>
        </w:numPr>
        <w:rPr>
          <w:rFonts w:ascii="Times New Roman" w:hAnsi="Times New Roman" w:cs="Times New Roman"/>
          <w:b/>
          <w:sz w:val="24"/>
          <w:szCs w:val="24"/>
        </w:rPr>
      </w:pPr>
      <w:r>
        <w:rPr>
          <w:rFonts w:ascii="Times New Roman" w:hAnsi="Times New Roman" w:cs="Times New Roman"/>
          <w:b/>
          <w:sz w:val="24"/>
          <w:szCs w:val="24"/>
        </w:rPr>
        <w:t>4</w:t>
      </w:r>
      <w:r w:rsidR="00B670E9" w:rsidRPr="00BC1E70">
        <w:rPr>
          <w:rFonts w:ascii="Times New Roman" w:hAnsi="Times New Roman" w:cs="Times New Roman"/>
          <w:b/>
          <w:sz w:val="24"/>
          <w:szCs w:val="24"/>
        </w:rPr>
        <w:t>.</w:t>
      </w:r>
      <w:r w:rsidR="00B670E9"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5E82BCD5" w14:textId="10FC1FDF" w:rsidR="001E5D29" w:rsidRDefault="001E5D29" w:rsidP="001E5D29">
      <w:pPr>
        <w:numPr>
          <w:ilvl w:val="0"/>
          <w:numId w:val="0"/>
        </w:numPr>
        <w:rPr>
          <w:rFonts w:ascii="Times New Roman" w:hAnsi="Times New Roman"/>
          <w:sz w:val="24"/>
          <w:szCs w:val="24"/>
        </w:rPr>
      </w:pPr>
      <w:r>
        <w:rPr>
          <w:rFonts w:ascii="Times New Roman" w:hAnsi="Times New Roman"/>
          <w:sz w:val="24"/>
          <w:szCs w:val="24"/>
        </w:rPr>
        <w:t xml:space="preserve">On </w:t>
      </w:r>
      <w:r w:rsidR="00436EFA">
        <w:rPr>
          <w:rFonts w:ascii="Times New Roman" w:hAnsi="Times New Roman"/>
          <w:sz w:val="24"/>
          <w:szCs w:val="24"/>
        </w:rPr>
        <w:t>20</w:t>
      </w:r>
      <w:r>
        <w:rPr>
          <w:rFonts w:ascii="Times New Roman" w:hAnsi="Times New Roman"/>
          <w:sz w:val="24"/>
          <w:szCs w:val="24"/>
        </w:rPr>
        <w:t xml:space="preserve"> April 2023, APRA released a consultation letter requesting feedback on the draft technical determination by 1</w:t>
      </w:r>
      <w:r w:rsidR="00436EFA">
        <w:rPr>
          <w:rFonts w:ascii="Times New Roman" w:hAnsi="Times New Roman"/>
          <w:sz w:val="24"/>
          <w:szCs w:val="24"/>
        </w:rPr>
        <w:t>1</w:t>
      </w:r>
      <w:r>
        <w:rPr>
          <w:rFonts w:ascii="Times New Roman" w:hAnsi="Times New Roman"/>
          <w:sz w:val="24"/>
          <w:szCs w:val="24"/>
        </w:rPr>
        <w:t xml:space="preserve"> May 2023. The consultation letter sought views on</w:t>
      </w:r>
      <w:r w:rsidR="00374178">
        <w:rPr>
          <w:rFonts w:ascii="Times New Roman" w:hAnsi="Times New Roman"/>
          <w:sz w:val="24"/>
          <w:szCs w:val="24"/>
        </w:rPr>
        <w:t xml:space="preserve"> </w:t>
      </w:r>
      <w:r w:rsidR="00DE1034">
        <w:rPr>
          <w:rFonts w:ascii="Times New Roman" w:hAnsi="Times New Roman"/>
          <w:sz w:val="24"/>
          <w:szCs w:val="24"/>
        </w:rPr>
        <w:t>moving the determination from an individual to a class basis</w:t>
      </w:r>
      <w:r w:rsidR="003A048F">
        <w:rPr>
          <w:rFonts w:ascii="Times New Roman" w:hAnsi="Times New Roman"/>
          <w:sz w:val="24"/>
          <w:szCs w:val="24"/>
        </w:rPr>
        <w:t>,</w:t>
      </w:r>
      <w:r w:rsidR="00DE1034">
        <w:rPr>
          <w:rFonts w:ascii="Times New Roman" w:hAnsi="Times New Roman"/>
          <w:sz w:val="24"/>
          <w:szCs w:val="24"/>
        </w:rPr>
        <w:t xml:space="preserve"> and on the</w:t>
      </w:r>
      <w:r w:rsidR="00374178">
        <w:rPr>
          <w:rFonts w:ascii="Times New Roman" w:hAnsi="Times New Roman"/>
          <w:sz w:val="24"/>
          <w:szCs w:val="24"/>
        </w:rPr>
        <w:t xml:space="preserve"> draft</w:t>
      </w:r>
      <w:r w:rsidR="00DE1034">
        <w:rPr>
          <w:rFonts w:ascii="Times New Roman" w:hAnsi="Times New Roman"/>
          <w:sz w:val="24"/>
          <w:szCs w:val="24"/>
        </w:rPr>
        <w:t>ing of the</w:t>
      </w:r>
      <w:r w:rsidR="00374178">
        <w:rPr>
          <w:rFonts w:ascii="Times New Roman" w:hAnsi="Times New Roman"/>
          <w:sz w:val="24"/>
          <w:szCs w:val="24"/>
        </w:rPr>
        <w:t xml:space="preserve"> technical determination</w:t>
      </w:r>
      <w:r>
        <w:rPr>
          <w:rFonts w:ascii="Times New Roman" w:hAnsi="Times New Roman"/>
          <w:sz w:val="24"/>
          <w:szCs w:val="24"/>
        </w:rPr>
        <w:t xml:space="preserve">. </w:t>
      </w:r>
    </w:p>
    <w:p w14:paraId="5893273F" w14:textId="12742F38" w:rsidR="001E5D29" w:rsidRDefault="001E5D29" w:rsidP="001E5D29">
      <w:pPr>
        <w:numPr>
          <w:ilvl w:val="0"/>
          <w:numId w:val="0"/>
        </w:numPr>
        <w:rPr>
          <w:rFonts w:ascii="Times New Roman" w:hAnsi="Times New Roman"/>
          <w:sz w:val="24"/>
          <w:szCs w:val="24"/>
        </w:rPr>
      </w:pPr>
      <w:r>
        <w:rPr>
          <w:rFonts w:ascii="Times New Roman" w:hAnsi="Times New Roman"/>
          <w:sz w:val="24"/>
          <w:szCs w:val="24"/>
        </w:rPr>
        <w:t xml:space="preserve">APRA received </w:t>
      </w:r>
      <w:r w:rsidR="00DE1034">
        <w:rPr>
          <w:rFonts w:ascii="Times New Roman" w:hAnsi="Times New Roman"/>
          <w:sz w:val="24"/>
          <w:szCs w:val="24"/>
        </w:rPr>
        <w:t xml:space="preserve">one </w:t>
      </w:r>
      <w:r>
        <w:rPr>
          <w:rFonts w:ascii="Times New Roman" w:hAnsi="Times New Roman"/>
          <w:sz w:val="24"/>
          <w:szCs w:val="24"/>
        </w:rPr>
        <w:t>submission, which supported the proposal and suggested some minor technical changes to</w:t>
      </w:r>
      <w:r w:rsidR="00425F0F">
        <w:rPr>
          <w:rFonts w:ascii="Times New Roman" w:hAnsi="Times New Roman"/>
          <w:sz w:val="24"/>
          <w:szCs w:val="24"/>
        </w:rPr>
        <w:t xml:space="preserve"> clarify certain terms used</w:t>
      </w:r>
      <w:r>
        <w:rPr>
          <w:rFonts w:ascii="Times New Roman" w:hAnsi="Times New Roman"/>
          <w:sz w:val="24"/>
          <w:szCs w:val="24"/>
        </w:rPr>
        <w:t>. The submission w</w:t>
      </w:r>
      <w:r w:rsidR="00425F0F">
        <w:rPr>
          <w:rFonts w:ascii="Times New Roman" w:hAnsi="Times New Roman"/>
          <w:sz w:val="24"/>
          <w:szCs w:val="24"/>
        </w:rPr>
        <w:t>as</w:t>
      </w:r>
      <w:r>
        <w:rPr>
          <w:rFonts w:ascii="Times New Roman" w:hAnsi="Times New Roman"/>
          <w:sz w:val="24"/>
          <w:szCs w:val="24"/>
        </w:rPr>
        <w:t xml:space="preserve"> made by </w:t>
      </w:r>
      <w:r w:rsidR="00425F0F">
        <w:rPr>
          <w:rFonts w:ascii="Times New Roman" w:hAnsi="Times New Roman"/>
          <w:sz w:val="24"/>
          <w:szCs w:val="24"/>
        </w:rPr>
        <w:t>an</w:t>
      </w:r>
      <w:r>
        <w:rPr>
          <w:rFonts w:ascii="Times New Roman" w:hAnsi="Times New Roman"/>
          <w:sz w:val="24"/>
          <w:szCs w:val="24"/>
        </w:rPr>
        <w:t xml:space="preserve"> industry bod</w:t>
      </w:r>
      <w:r w:rsidR="00425F0F">
        <w:rPr>
          <w:rFonts w:ascii="Times New Roman" w:hAnsi="Times New Roman"/>
          <w:sz w:val="24"/>
          <w:szCs w:val="24"/>
        </w:rPr>
        <w:t>y</w:t>
      </w:r>
      <w:r>
        <w:rPr>
          <w:rFonts w:ascii="Times New Roman" w:hAnsi="Times New Roman"/>
          <w:sz w:val="24"/>
          <w:szCs w:val="24"/>
        </w:rPr>
        <w:t xml:space="preserve"> which represented </w:t>
      </w:r>
      <w:r w:rsidR="00C90A68">
        <w:rPr>
          <w:rFonts w:ascii="Times New Roman" w:hAnsi="Times New Roman"/>
          <w:sz w:val="24"/>
          <w:szCs w:val="24"/>
        </w:rPr>
        <w:t xml:space="preserve">part of the </w:t>
      </w:r>
      <w:r>
        <w:rPr>
          <w:rFonts w:ascii="Times New Roman" w:hAnsi="Times New Roman"/>
          <w:sz w:val="24"/>
          <w:szCs w:val="24"/>
        </w:rPr>
        <w:t>superannuation industry</w:t>
      </w:r>
      <w:r w:rsidR="00C90A68">
        <w:rPr>
          <w:rFonts w:ascii="Times New Roman" w:hAnsi="Times New Roman"/>
          <w:sz w:val="24"/>
          <w:szCs w:val="24"/>
        </w:rPr>
        <w:t>.</w:t>
      </w:r>
      <w:r>
        <w:rPr>
          <w:rFonts w:ascii="Times New Roman" w:hAnsi="Times New Roman"/>
          <w:sz w:val="24"/>
          <w:szCs w:val="24"/>
        </w:rPr>
        <w:t xml:space="preserve"> </w:t>
      </w:r>
    </w:p>
    <w:p w14:paraId="3F7A95D7" w14:textId="7396C3FC" w:rsidR="00B670E9" w:rsidRPr="004D16C6" w:rsidRDefault="00ED4C82" w:rsidP="00ED4C82">
      <w:pPr>
        <w:numPr>
          <w:ilvl w:val="0"/>
          <w:numId w:val="0"/>
        </w:numPr>
        <w:rPr>
          <w:rFonts w:ascii="Times New Roman" w:hAnsi="Times New Roman" w:cs="Times New Roman"/>
          <w:sz w:val="24"/>
          <w:szCs w:val="24"/>
          <w:highlight w:val="yellow"/>
        </w:rPr>
      </w:pPr>
      <w:r w:rsidRPr="004D16C6">
        <w:rPr>
          <w:rFonts w:ascii="Times New Roman" w:hAnsi="Times New Roman" w:cs="Times New Roman"/>
          <w:sz w:val="24"/>
          <w:szCs w:val="24"/>
        </w:rPr>
        <w:t>APRA is satisfied the consultation was appropriate and reasonably practicable</w:t>
      </w:r>
      <w:r w:rsidR="00E764D3" w:rsidRPr="004D16C6">
        <w:rPr>
          <w:rFonts w:ascii="Times New Roman" w:hAnsi="Times New Roman" w:cs="Times New Roman"/>
          <w:sz w:val="24"/>
          <w:szCs w:val="24"/>
        </w:rPr>
        <w:t>.</w:t>
      </w:r>
    </w:p>
    <w:p w14:paraId="1D2864CC" w14:textId="723D178A" w:rsidR="00211AFD" w:rsidRPr="00F921A4" w:rsidRDefault="00BB45AE" w:rsidP="00211AFD">
      <w:pPr>
        <w:numPr>
          <w:ilvl w:val="0"/>
          <w:numId w:val="0"/>
        </w:numPr>
        <w:rPr>
          <w:rFonts w:ascii="Times New Roman" w:hAnsi="Times New Roman" w:cs="Times New Roman"/>
          <w:b/>
          <w:sz w:val="24"/>
          <w:szCs w:val="24"/>
        </w:rPr>
      </w:pPr>
      <w:r>
        <w:rPr>
          <w:rFonts w:ascii="Times New Roman" w:hAnsi="Times New Roman" w:cs="Times New Roman"/>
          <w:b/>
          <w:sz w:val="24"/>
          <w:szCs w:val="24"/>
        </w:rPr>
        <w:t>5</w:t>
      </w:r>
      <w:r w:rsidR="00B670E9" w:rsidRPr="00F921A4">
        <w:rPr>
          <w:rFonts w:ascii="Times New Roman" w:hAnsi="Times New Roman" w:cs="Times New Roman"/>
          <w:b/>
          <w:sz w:val="24"/>
          <w:szCs w:val="24"/>
        </w:rPr>
        <w:t>.</w:t>
      </w:r>
      <w:r w:rsidR="00B670E9" w:rsidRPr="00F921A4">
        <w:rPr>
          <w:rFonts w:ascii="Times New Roman" w:hAnsi="Times New Roman" w:cs="Times New Roman"/>
          <w:b/>
          <w:sz w:val="24"/>
          <w:szCs w:val="24"/>
        </w:rPr>
        <w:tab/>
      </w:r>
      <w:r w:rsidR="00211AFD" w:rsidRPr="00F921A4">
        <w:rPr>
          <w:rFonts w:ascii="Times New Roman" w:hAnsi="Times New Roman" w:cs="Times New Roman"/>
          <w:b/>
          <w:sz w:val="24"/>
          <w:szCs w:val="24"/>
        </w:rPr>
        <w:t>Regulation Impact Statement</w:t>
      </w:r>
    </w:p>
    <w:p w14:paraId="71FFFEDD" w14:textId="7F40C560" w:rsidR="00A54193" w:rsidRPr="00F921A4" w:rsidRDefault="006B76C6" w:rsidP="00A54193">
      <w:pPr>
        <w:rPr>
          <w:rFonts w:ascii="Times New Roman" w:hAnsi="Times New Roman"/>
          <w:sz w:val="24"/>
          <w:szCs w:val="24"/>
        </w:rPr>
      </w:pPr>
      <w:r w:rsidRPr="00F921A4">
        <w:rPr>
          <w:rFonts w:ascii="Times New Roman" w:hAnsi="Times New Roman"/>
          <w:sz w:val="24"/>
          <w:szCs w:val="24"/>
        </w:rPr>
        <w:t>T</w:t>
      </w:r>
      <w:r w:rsidR="00A54193" w:rsidRPr="00F921A4">
        <w:rPr>
          <w:rFonts w:ascii="Times New Roman" w:hAnsi="Times New Roman"/>
          <w:sz w:val="24"/>
          <w:szCs w:val="24"/>
        </w:rPr>
        <w:t>he Office of Impact Analys</w:t>
      </w:r>
      <w:r w:rsidRPr="00F921A4">
        <w:rPr>
          <w:rFonts w:ascii="Times New Roman" w:hAnsi="Times New Roman"/>
          <w:sz w:val="24"/>
          <w:szCs w:val="24"/>
        </w:rPr>
        <w:t>is confirmed that a Regulation Impact Statement was not required</w:t>
      </w:r>
      <w:r w:rsidR="00A54193" w:rsidRPr="00F921A4">
        <w:rPr>
          <w:rFonts w:ascii="Times New Roman" w:hAnsi="Times New Roman"/>
          <w:sz w:val="24"/>
          <w:szCs w:val="24"/>
        </w:rPr>
        <w:t>.</w:t>
      </w:r>
    </w:p>
    <w:p w14:paraId="476EB71B" w14:textId="2CBCF8ED" w:rsidR="00B670E9" w:rsidRPr="00DE1106" w:rsidRDefault="00BB45AE" w:rsidP="003163CB">
      <w:pPr>
        <w:pStyle w:val="Heading"/>
        <w:spacing w:before="0" w:after="240"/>
        <w:jc w:val="both"/>
        <w:rPr>
          <w:rFonts w:cs="Times New Roman"/>
          <w:i/>
          <w:sz w:val="24"/>
          <w:szCs w:val="24"/>
        </w:rPr>
      </w:pPr>
      <w:r>
        <w:rPr>
          <w:rFonts w:cs="Times New Roman"/>
          <w:sz w:val="24"/>
          <w:szCs w:val="24"/>
        </w:rPr>
        <w:t>6</w:t>
      </w:r>
      <w:r w:rsidR="00B670E9" w:rsidRPr="00BC1E70">
        <w:rPr>
          <w:rFonts w:cs="Times New Roman"/>
          <w:sz w:val="24"/>
          <w:szCs w:val="24"/>
        </w:rPr>
        <w:t>.</w:t>
      </w:r>
      <w:r w:rsidR="00B670E9" w:rsidRPr="00BC1E70">
        <w:rPr>
          <w:rFonts w:cs="Times New Roman"/>
          <w:sz w:val="24"/>
          <w:szCs w:val="24"/>
        </w:rPr>
        <w:tab/>
        <w:t xml:space="preserve">Statement of compatibility prepared in accordance with Part 3 of the </w:t>
      </w:r>
      <w:r w:rsidR="00B670E9" w:rsidRPr="00BC1E70">
        <w:rPr>
          <w:rFonts w:cs="Times New Roman"/>
          <w:i/>
          <w:sz w:val="24"/>
          <w:szCs w:val="24"/>
        </w:rPr>
        <w:t>Human Right</w:t>
      </w:r>
      <w:r w:rsidR="00B670E9" w:rsidRPr="00DE1106">
        <w:rPr>
          <w:rFonts w:cs="Times New Roman"/>
          <w:i/>
          <w:sz w:val="24"/>
          <w:szCs w:val="24"/>
        </w:rPr>
        <w:t>s (Parliamentary Scrutiny) Act 2011</w:t>
      </w:r>
    </w:p>
    <w:p w14:paraId="7D7364B1" w14:textId="77777777" w:rsidR="00B670E9" w:rsidRPr="00D5162F" w:rsidRDefault="00B670E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123286E0" w:rsidR="00D0248E" w:rsidRPr="008234D8" w:rsidRDefault="00C90A68" w:rsidP="00D0248E">
      <w:pPr>
        <w:jc w:val="center"/>
        <w:rPr>
          <w:rFonts w:ascii="Times New Roman" w:hAnsi="Times New Roman" w:cs="Times New Roman"/>
          <w:sz w:val="24"/>
          <w:szCs w:val="24"/>
        </w:rPr>
      </w:pPr>
      <w:r>
        <w:rPr>
          <w:rFonts w:ascii="Times New Roman" w:eastAsia="Times New Roman" w:hAnsi="Times New Roman" w:cs="Times New Roman"/>
          <w:b/>
          <w:sz w:val="24"/>
          <w:szCs w:val="24"/>
          <w:lang w:eastAsia="en-AU"/>
        </w:rPr>
        <w:t>Superannuation technical</w:t>
      </w:r>
      <w:r w:rsidR="00D0248E" w:rsidRPr="008234D8">
        <w:rPr>
          <w:rFonts w:ascii="Times New Roman" w:eastAsia="Times New Roman" w:hAnsi="Times New Roman" w:cs="Times New Roman"/>
          <w:b/>
          <w:sz w:val="24"/>
          <w:szCs w:val="24"/>
          <w:lang w:eastAsia="en-AU"/>
        </w:rPr>
        <w:t xml:space="preserve"> determination No. </w:t>
      </w:r>
      <w:r>
        <w:rPr>
          <w:rFonts w:ascii="Times New Roman" w:eastAsia="Times New Roman" w:hAnsi="Times New Roman" w:cs="Times New Roman"/>
          <w:b/>
          <w:sz w:val="24"/>
          <w:szCs w:val="24"/>
          <w:lang w:eastAsia="en-AU"/>
        </w:rPr>
        <w:t>1</w:t>
      </w:r>
      <w:r w:rsidR="00D0248E" w:rsidRPr="008234D8">
        <w:rPr>
          <w:rFonts w:ascii="Times New Roman" w:eastAsia="Times New Roman" w:hAnsi="Times New Roman" w:cs="Times New Roman"/>
          <w:b/>
          <w:sz w:val="24"/>
          <w:szCs w:val="24"/>
          <w:lang w:eastAsia="en-AU"/>
        </w:rPr>
        <w:t xml:space="preserve"> of 202</w:t>
      </w:r>
      <w:r w:rsidR="006B76C6">
        <w:rPr>
          <w:rFonts w:ascii="Times New Roman" w:eastAsia="Times New Roman" w:hAnsi="Times New Roman" w:cs="Times New Roman"/>
          <w:b/>
          <w:sz w:val="24"/>
          <w:szCs w:val="24"/>
          <w:lang w:eastAsia="en-AU"/>
        </w:rPr>
        <w:t>3</w:t>
      </w:r>
    </w:p>
    <w:p w14:paraId="06CCC3E0" w14:textId="515E3391"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w:t>
      </w:r>
      <w:r w:rsidR="006E0FB8">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sidR="006E0FB8">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394E8EC7"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59E6F465" w14:textId="5FA051A0" w:rsidR="00F95803" w:rsidRPr="00F95803" w:rsidRDefault="00CD1253" w:rsidP="00F95803">
      <w:pPr>
        <w:rPr>
          <w:rFonts w:ascii="Times New Roman" w:hAnsi="Times New Roman" w:cs="Times New Roman"/>
          <w:sz w:val="24"/>
          <w:szCs w:val="24"/>
        </w:rPr>
      </w:pPr>
      <w:r w:rsidRPr="00F95803">
        <w:rPr>
          <w:rFonts w:ascii="Times New Roman" w:hAnsi="Times New Roman" w:cs="Times New Roman"/>
          <w:sz w:val="24"/>
          <w:szCs w:val="24"/>
        </w:rPr>
        <w:t>The</w:t>
      </w:r>
      <w:r w:rsidR="00142132" w:rsidRPr="00F95803">
        <w:rPr>
          <w:rFonts w:ascii="Times New Roman" w:hAnsi="Times New Roman" w:cs="Times New Roman"/>
          <w:sz w:val="24"/>
          <w:szCs w:val="24"/>
        </w:rPr>
        <w:t xml:space="preserve"> </w:t>
      </w:r>
      <w:r w:rsidRPr="00F95803">
        <w:rPr>
          <w:rFonts w:ascii="Times New Roman" w:hAnsi="Times New Roman" w:cs="Times New Roman"/>
          <w:sz w:val="24"/>
          <w:szCs w:val="24"/>
        </w:rPr>
        <w:t xml:space="preserve">purpose </w:t>
      </w:r>
      <w:r w:rsidR="009136D0" w:rsidRPr="00F95803">
        <w:rPr>
          <w:rFonts w:ascii="Times New Roman" w:hAnsi="Times New Roman" w:cs="Times New Roman"/>
          <w:sz w:val="24"/>
          <w:szCs w:val="24"/>
        </w:rPr>
        <w:t xml:space="preserve">of the Legislative Instrument </w:t>
      </w:r>
      <w:r w:rsidRPr="00F95803">
        <w:rPr>
          <w:rFonts w:ascii="Times New Roman" w:hAnsi="Times New Roman" w:cs="Times New Roman"/>
          <w:sz w:val="24"/>
          <w:szCs w:val="24"/>
        </w:rPr>
        <w:t xml:space="preserve">is to </w:t>
      </w:r>
      <w:r w:rsidR="00F95803">
        <w:rPr>
          <w:rFonts w:ascii="Times New Roman" w:hAnsi="Times New Roman" w:cs="Times New Roman"/>
          <w:sz w:val="24"/>
          <w:szCs w:val="24"/>
        </w:rPr>
        <w:t xml:space="preserve">make a technical determination to </w:t>
      </w:r>
      <w:r w:rsidR="00F95803" w:rsidRPr="00F95803">
        <w:rPr>
          <w:rFonts w:ascii="Times New Roman" w:hAnsi="Times New Roman" w:cs="Times New Roman"/>
          <w:sz w:val="24"/>
          <w:szCs w:val="24"/>
        </w:rPr>
        <w:t xml:space="preserve">alter the return and benchmark formulae in the regulations to allow APRA to combine the performance histories of lifecycle Part 6A </w:t>
      </w:r>
      <w:proofErr w:type="spellStart"/>
      <w:r w:rsidR="00F95803" w:rsidRPr="00F95803">
        <w:rPr>
          <w:rFonts w:ascii="Times New Roman" w:hAnsi="Times New Roman" w:cs="Times New Roman"/>
          <w:sz w:val="24"/>
          <w:szCs w:val="24"/>
        </w:rPr>
        <w:t>MySuper</w:t>
      </w:r>
      <w:proofErr w:type="spellEnd"/>
      <w:r w:rsidR="00F95803" w:rsidRPr="00F95803">
        <w:rPr>
          <w:rFonts w:ascii="Times New Roman" w:hAnsi="Times New Roman" w:cs="Times New Roman"/>
          <w:sz w:val="24"/>
          <w:szCs w:val="24"/>
        </w:rPr>
        <w:t xml:space="preserve"> products on a class basis.</w:t>
      </w:r>
    </w:p>
    <w:p w14:paraId="010F0382" w14:textId="0C3AB909" w:rsidR="00B670E9" w:rsidRPr="00F95803" w:rsidRDefault="00B670E9" w:rsidP="005845EA">
      <w:pPr>
        <w:rPr>
          <w:rFonts w:ascii="Times New Roman" w:hAnsi="Times New Roman" w:cs="Times New Roman"/>
          <w:sz w:val="24"/>
          <w:szCs w:val="24"/>
        </w:rPr>
      </w:pPr>
      <w:r w:rsidRPr="00F95803">
        <w:rPr>
          <w:rFonts w:ascii="Times New Roman" w:hAnsi="Times New Roman" w:cs="Times New Roman"/>
          <w:b/>
          <w:sz w:val="24"/>
          <w:szCs w:val="24"/>
        </w:rPr>
        <w:t>Human rights implications</w:t>
      </w:r>
    </w:p>
    <w:p w14:paraId="23D2FE0E" w14:textId="18A70798"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sidR="006212E3">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sidR="006212E3">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sidR="006212E3">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C020371"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w:t>
      </w:r>
      <w:r w:rsidR="006212E3">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sidR="006212E3">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sidR="006212E3">
        <w:rPr>
          <w:rFonts w:ascii="Times New Roman" w:hAnsi="Times New Roman" w:cs="Times New Roman"/>
          <w:sz w:val="24"/>
          <w:szCs w:val="24"/>
        </w:rPr>
        <w:t>it</w:t>
      </w:r>
      <w:r w:rsidRPr="000A1A15">
        <w:rPr>
          <w:rFonts w:ascii="Times New Roman" w:hAnsi="Times New Roman" w:cs="Times New Roman"/>
          <w:sz w:val="24"/>
          <w:szCs w:val="24"/>
        </w:rPr>
        <w:t xml:space="preserve"> do</w:t>
      </w:r>
      <w:r w:rsidR="006212E3">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6F25" w14:textId="77777777" w:rsidR="00655E15" w:rsidRPr="000D4EDE" w:rsidRDefault="00655E15" w:rsidP="000D4EDE">
      <w:r>
        <w:separator/>
      </w:r>
    </w:p>
  </w:endnote>
  <w:endnote w:type="continuationSeparator" w:id="0">
    <w:p w14:paraId="02C2E19D" w14:textId="77777777" w:rsidR="00655E15" w:rsidRPr="000D4EDE" w:rsidRDefault="00655E15" w:rsidP="000D4EDE">
      <w:r>
        <w:continuationSeparator/>
      </w:r>
    </w:p>
  </w:endnote>
  <w:endnote w:type="continuationNotice" w:id="1">
    <w:p w14:paraId="421C2D3B" w14:textId="77777777" w:rsidR="00655E15" w:rsidRDefault="00655E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T Light">
    <w:panose1 w:val="020B0504020201010104"/>
    <w:charset w:val="00"/>
    <w:family w:val="swiss"/>
    <w:pitch w:val="variable"/>
    <w:sig w:usb0="800000EF" w:usb1="4000A47B"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72F5E" w14:textId="77777777" w:rsidR="00655E15" w:rsidRPr="000D4EDE" w:rsidRDefault="00655E15" w:rsidP="000D4EDE">
      <w:r>
        <w:separator/>
      </w:r>
    </w:p>
  </w:footnote>
  <w:footnote w:type="continuationSeparator" w:id="0">
    <w:p w14:paraId="0B94AF86" w14:textId="77777777" w:rsidR="00655E15" w:rsidRPr="000D4EDE" w:rsidRDefault="00655E15" w:rsidP="000D4EDE">
      <w:r>
        <w:continuationSeparator/>
      </w:r>
    </w:p>
  </w:footnote>
  <w:footnote w:type="continuationNotice" w:id="1">
    <w:p w14:paraId="424297B4" w14:textId="77777777" w:rsidR="00655E15" w:rsidRDefault="00655E1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6463545"/>
    <w:multiLevelType w:val="multilevel"/>
    <w:tmpl w:val="F9B6672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844"/>
        </w:tabs>
        <w:ind w:left="1844"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0A2169"/>
    <w:multiLevelType w:val="multilevel"/>
    <w:tmpl w:val="CA2E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2" w15:restartNumberingAfterBreak="0">
    <w:nsid w:val="3322529B"/>
    <w:multiLevelType w:val="hybridMultilevel"/>
    <w:tmpl w:val="C5A283F2"/>
    <w:lvl w:ilvl="0" w:tplc="025CF08C">
      <w:start w:val="8"/>
      <w:numFmt w:val="bullet"/>
      <w:lvlText w:val="-"/>
      <w:lvlJc w:val="left"/>
      <w:pPr>
        <w:ind w:left="720" w:hanging="360"/>
      </w:pPr>
      <w:rPr>
        <w:rFonts w:ascii="DIN OT Light" w:eastAsia="Times New Roman" w:hAnsi="DIN OT Light"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B591414"/>
    <w:multiLevelType w:val="hybridMultilevel"/>
    <w:tmpl w:val="07F2152E"/>
    <w:lvl w:ilvl="0" w:tplc="338869D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0430416"/>
    <w:multiLevelType w:val="multilevel"/>
    <w:tmpl w:val="DF2C52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42016428"/>
    <w:multiLevelType w:val="multilevel"/>
    <w:tmpl w:val="FFFFFFFF"/>
    <w:lvl w:ilvl="0">
      <w:start w:val="1"/>
      <w:numFmt w:val="decimal"/>
      <w:lvlText w:val=""/>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F729D2"/>
    <w:multiLevelType w:val="multilevel"/>
    <w:tmpl w:val="4E06AF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49C4CE0"/>
    <w:multiLevelType w:val="hybridMultilevel"/>
    <w:tmpl w:val="695C4B78"/>
    <w:lvl w:ilvl="0" w:tplc="6F8CE888">
      <w:start w:val="1"/>
      <w:numFmt w:val="decimal"/>
      <w:lvlText w:val="(%1)"/>
      <w:lvlJc w:val="left"/>
      <w:pPr>
        <w:ind w:left="8015" w:hanging="360"/>
      </w:pPr>
      <w:rPr>
        <w:rFonts w:hint="default"/>
      </w:rPr>
    </w:lvl>
    <w:lvl w:ilvl="1" w:tplc="4D424FDA">
      <w:start w:val="1"/>
      <w:numFmt w:val="lowerRoman"/>
      <w:lvlText w:val="(%2)"/>
      <w:lvlJc w:val="left"/>
      <w:pPr>
        <w:ind w:left="8735" w:hanging="360"/>
      </w:pPr>
      <w:rPr>
        <w:rFonts w:hint="default"/>
      </w:rPr>
    </w:lvl>
    <w:lvl w:ilvl="2" w:tplc="0C090005" w:tentative="1">
      <w:start w:val="1"/>
      <w:numFmt w:val="bullet"/>
      <w:lvlText w:val=""/>
      <w:lvlJc w:val="left"/>
      <w:pPr>
        <w:ind w:left="9455" w:hanging="360"/>
      </w:pPr>
      <w:rPr>
        <w:rFonts w:ascii="Wingdings" w:hAnsi="Wingdings" w:hint="default"/>
      </w:rPr>
    </w:lvl>
    <w:lvl w:ilvl="3" w:tplc="0C090001" w:tentative="1">
      <w:start w:val="1"/>
      <w:numFmt w:val="bullet"/>
      <w:lvlText w:val=""/>
      <w:lvlJc w:val="left"/>
      <w:pPr>
        <w:ind w:left="10175" w:hanging="360"/>
      </w:pPr>
      <w:rPr>
        <w:rFonts w:ascii="Symbol" w:hAnsi="Symbol" w:hint="default"/>
      </w:rPr>
    </w:lvl>
    <w:lvl w:ilvl="4" w:tplc="0C090003" w:tentative="1">
      <w:start w:val="1"/>
      <w:numFmt w:val="bullet"/>
      <w:lvlText w:val="o"/>
      <w:lvlJc w:val="left"/>
      <w:pPr>
        <w:ind w:left="10895" w:hanging="360"/>
      </w:pPr>
      <w:rPr>
        <w:rFonts w:ascii="Courier New" w:hAnsi="Courier New" w:cs="Courier New" w:hint="default"/>
      </w:rPr>
    </w:lvl>
    <w:lvl w:ilvl="5" w:tplc="0C090005" w:tentative="1">
      <w:start w:val="1"/>
      <w:numFmt w:val="bullet"/>
      <w:lvlText w:val=""/>
      <w:lvlJc w:val="left"/>
      <w:pPr>
        <w:ind w:left="11615" w:hanging="360"/>
      </w:pPr>
      <w:rPr>
        <w:rFonts w:ascii="Wingdings" w:hAnsi="Wingdings" w:hint="default"/>
      </w:rPr>
    </w:lvl>
    <w:lvl w:ilvl="6" w:tplc="0C090001" w:tentative="1">
      <w:start w:val="1"/>
      <w:numFmt w:val="bullet"/>
      <w:lvlText w:val=""/>
      <w:lvlJc w:val="left"/>
      <w:pPr>
        <w:ind w:left="12335" w:hanging="360"/>
      </w:pPr>
      <w:rPr>
        <w:rFonts w:ascii="Symbol" w:hAnsi="Symbol" w:hint="default"/>
      </w:rPr>
    </w:lvl>
    <w:lvl w:ilvl="7" w:tplc="0C090003" w:tentative="1">
      <w:start w:val="1"/>
      <w:numFmt w:val="bullet"/>
      <w:lvlText w:val="o"/>
      <w:lvlJc w:val="left"/>
      <w:pPr>
        <w:ind w:left="13055" w:hanging="360"/>
      </w:pPr>
      <w:rPr>
        <w:rFonts w:ascii="Courier New" w:hAnsi="Courier New" w:cs="Courier New" w:hint="default"/>
      </w:rPr>
    </w:lvl>
    <w:lvl w:ilvl="8" w:tplc="0C090005" w:tentative="1">
      <w:start w:val="1"/>
      <w:numFmt w:val="bullet"/>
      <w:lvlText w:val=""/>
      <w:lvlJc w:val="left"/>
      <w:pPr>
        <w:ind w:left="13775" w:hanging="360"/>
      </w:pPr>
      <w:rPr>
        <w:rFonts w:ascii="Wingdings" w:hAnsi="Wingdings" w:hint="default"/>
      </w:rPr>
    </w:lvl>
  </w:abstractNum>
  <w:abstractNum w:abstractNumId="22" w15:restartNumberingAfterBreak="0">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3"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B17A3F"/>
    <w:multiLevelType w:val="multilevel"/>
    <w:tmpl w:val="8EA00C60"/>
    <w:styleLink w:val="1ai"/>
    <w:lvl w:ilvl="0">
      <w:start w:val="1"/>
      <w:numFmt w:val="decimal"/>
      <w:pStyle w:val="Normal"/>
      <w:suff w:val="nothing"/>
      <w:lvlText w:val=""/>
      <w:lvlJc w:val="left"/>
      <w:pPr>
        <w:ind w:left="0" w:firstLine="0"/>
      </w:p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69E71603"/>
    <w:multiLevelType w:val="multilevel"/>
    <w:tmpl w:val="576AE0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BA971DF"/>
    <w:multiLevelType w:val="multilevel"/>
    <w:tmpl w:val="780826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FF1428D"/>
    <w:multiLevelType w:val="hybridMultilevel"/>
    <w:tmpl w:val="69566E84"/>
    <w:lvl w:ilvl="0" w:tplc="D0C4A430">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23"/>
  </w:num>
  <w:num w:numId="5" w16cid:durableId="521478323">
    <w:abstractNumId w:val="27"/>
  </w:num>
  <w:num w:numId="6" w16cid:durableId="288823805">
    <w:abstractNumId w:val="18"/>
  </w:num>
  <w:num w:numId="7" w16cid:durableId="13809367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11"/>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9"/>
  </w:num>
  <w:num w:numId="14" w16cid:durableId="168563981">
    <w:abstractNumId w:val="16"/>
  </w:num>
  <w:num w:numId="15" w16cid:durableId="2008093173">
    <w:abstractNumId w:val="9"/>
  </w:num>
  <w:num w:numId="16" w16cid:durableId="844632474">
    <w:abstractNumId w:val="13"/>
  </w:num>
  <w:num w:numId="17" w16cid:durableId="1251620339">
    <w:abstractNumId w:val="24"/>
  </w:num>
  <w:num w:numId="18" w16cid:durableId="1893076358">
    <w:abstractNumId w:val="25"/>
  </w:num>
  <w:num w:numId="19" w16cid:durableId="1667436918">
    <w:abstractNumId w:val="21"/>
  </w:num>
  <w:num w:numId="20" w16cid:durableId="351035494">
    <w:abstractNumId w:val="5"/>
  </w:num>
  <w:num w:numId="21" w16cid:durableId="12404062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8621560">
    <w:abstractNumId w:val="14"/>
  </w:num>
  <w:num w:numId="23" w16cid:durableId="778112549">
    <w:abstractNumId w:val="14"/>
  </w:num>
  <w:num w:numId="24" w16cid:durableId="1537039896">
    <w:abstractNumId w:val="26"/>
  </w:num>
  <w:num w:numId="25" w16cid:durableId="1156723735">
    <w:abstractNumId w:val="15"/>
  </w:num>
  <w:num w:numId="26" w16cid:durableId="1959725291">
    <w:abstractNumId w:val="22"/>
  </w:num>
  <w:num w:numId="27" w16cid:durableId="1125153642">
    <w:abstractNumId w:val="19"/>
  </w:num>
  <w:num w:numId="28" w16cid:durableId="1990595262">
    <w:abstractNumId w:val="8"/>
  </w:num>
  <w:num w:numId="29" w16cid:durableId="636879430">
    <w:abstractNumId w:val="8"/>
    <w:lvlOverride w:ilvl="0">
      <w:startOverride w:val="1"/>
    </w:lvlOverride>
    <w:lvlOverride w:ilvl="1">
      <w:startOverride w:val="1"/>
    </w:lvlOverride>
    <w:lvlOverride w:ilvl="2">
      <w:startOverride w:val="2"/>
    </w:lvlOverride>
  </w:num>
  <w:num w:numId="30" w16cid:durableId="263850351">
    <w:abstractNumId w:val="10"/>
  </w:num>
  <w:num w:numId="31" w16cid:durableId="728766458">
    <w:abstractNumId w:val="12"/>
  </w:num>
  <w:num w:numId="32" w16cid:durableId="319114444">
    <w:abstractNumId w:val="28"/>
  </w:num>
  <w:num w:numId="33" w16cid:durableId="1742751789">
    <w:abstractNumId w:val="20"/>
  </w:num>
  <w:num w:numId="34" w16cid:durableId="936210391">
    <w:abstractNumId w:val="30"/>
  </w:num>
  <w:num w:numId="35" w16cid:durableId="1558544133">
    <w:abstractNumId w:val="17"/>
  </w:num>
  <w:num w:numId="36" w16cid:durableId="927033788">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16AAD"/>
    <w:rsid w:val="00020E4C"/>
    <w:rsid w:val="00023CE3"/>
    <w:rsid w:val="00026AFE"/>
    <w:rsid w:val="00034A19"/>
    <w:rsid w:val="000352C8"/>
    <w:rsid w:val="00036F9E"/>
    <w:rsid w:val="0004119F"/>
    <w:rsid w:val="000413B3"/>
    <w:rsid w:val="0004484D"/>
    <w:rsid w:val="000453D9"/>
    <w:rsid w:val="00045D7D"/>
    <w:rsid w:val="00051C0C"/>
    <w:rsid w:val="00054774"/>
    <w:rsid w:val="000573E5"/>
    <w:rsid w:val="00057445"/>
    <w:rsid w:val="00057B71"/>
    <w:rsid w:val="000622EE"/>
    <w:rsid w:val="0006557C"/>
    <w:rsid w:val="0006638F"/>
    <w:rsid w:val="00066F2B"/>
    <w:rsid w:val="000715B5"/>
    <w:rsid w:val="0007202C"/>
    <w:rsid w:val="000721D5"/>
    <w:rsid w:val="000727C3"/>
    <w:rsid w:val="00072B30"/>
    <w:rsid w:val="0007319C"/>
    <w:rsid w:val="000732AA"/>
    <w:rsid w:val="00073978"/>
    <w:rsid w:val="00073D9D"/>
    <w:rsid w:val="00073F77"/>
    <w:rsid w:val="000761C5"/>
    <w:rsid w:val="000767DD"/>
    <w:rsid w:val="0007717C"/>
    <w:rsid w:val="00077FE1"/>
    <w:rsid w:val="0008011A"/>
    <w:rsid w:val="00080CD4"/>
    <w:rsid w:val="00084F8B"/>
    <w:rsid w:val="000851D0"/>
    <w:rsid w:val="00086D07"/>
    <w:rsid w:val="00086F71"/>
    <w:rsid w:val="00087FC4"/>
    <w:rsid w:val="00091E74"/>
    <w:rsid w:val="00093915"/>
    <w:rsid w:val="000949AD"/>
    <w:rsid w:val="000949DC"/>
    <w:rsid w:val="00095109"/>
    <w:rsid w:val="000967F3"/>
    <w:rsid w:val="00096B0F"/>
    <w:rsid w:val="00097C76"/>
    <w:rsid w:val="000A1A15"/>
    <w:rsid w:val="000A490E"/>
    <w:rsid w:val="000A627F"/>
    <w:rsid w:val="000A7793"/>
    <w:rsid w:val="000B04C5"/>
    <w:rsid w:val="000B63CA"/>
    <w:rsid w:val="000B65EA"/>
    <w:rsid w:val="000B752A"/>
    <w:rsid w:val="000B7BB2"/>
    <w:rsid w:val="000C087C"/>
    <w:rsid w:val="000C14D9"/>
    <w:rsid w:val="000C15C7"/>
    <w:rsid w:val="000C1DE2"/>
    <w:rsid w:val="000C2079"/>
    <w:rsid w:val="000C2CC4"/>
    <w:rsid w:val="000C6B91"/>
    <w:rsid w:val="000D2C7D"/>
    <w:rsid w:val="000D41E2"/>
    <w:rsid w:val="000D4EDE"/>
    <w:rsid w:val="000D760E"/>
    <w:rsid w:val="000E15F7"/>
    <w:rsid w:val="000E2460"/>
    <w:rsid w:val="000E43AC"/>
    <w:rsid w:val="000E49C1"/>
    <w:rsid w:val="000E5809"/>
    <w:rsid w:val="000E6E37"/>
    <w:rsid w:val="000F06C1"/>
    <w:rsid w:val="000F0E6F"/>
    <w:rsid w:val="000F163A"/>
    <w:rsid w:val="000F3912"/>
    <w:rsid w:val="000F62C5"/>
    <w:rsid w:val="001014E2"/>
    <w:rsid w:val="001018A5"/>
    <w:rsid w:val="001024FA"/>
    <w:rsid w:val="00102507"/>
    <w:rsid w:val="00105779"/>
    <w:rsid w:val="00106F56"/>
    <w:rsid w:val="00107D58"/>
    <w:rsid w:val="001104CA"/>
    <w:rsid w:val="0011283F"/>
    <w:rsid w:val="00113690"/>
    <w:rsid w:val="001141D8"/>
    <w:rsid w:val="00115A39"/>
    <w:rsid w:val="00116AEF"/>
    <w:rsid w:val="00117479"/>
    <w:rsid w:val="00121BFC"/>
    <w:rsid w:val="00121F84"/>
    <w:rsid w:val="00122A5F"/>
    <w:rsid w:val="00123576"/>
    <w:rsid w:val="001241CB"/>
    <w:rsid w:val="00124B21"/>
    <w:rsid w:val="00130271"/>
    <w:rsid w:val="0013066C"/>
    <w:rsid w:val="001306C8"/>
    <w:rsid w:val="00130F41"/>
    <w:rsid w:val="001327B8"/>
    <w:rsid w:val="0013471B"/>
    <w:rsid w:val="00134B76"/>
    <w:rsid w:val="001352D4"/>
    <w:rsid w:val="001367EE"/>
    <w:rsid w:val="00140969"/>
    <w:rsid w:val="00142132"/>
    <w:rsid w:val="001446CF"/>
    <w:rsid w:val="001478F5"/>
    <w:rsid w:val="00147967"/>
    <w:rsid w:val="0015137E"/>
    <w:rsid w:val="0015248C"/>
    <w:rsid w:val="001541A7"/>
    <w:rsid w:val="0015538F"/>
    <w:rsid w:val="00155789"/>
    <w:rsid w:val="00157C98"/>
    <w:rsid w:val="00163E00"/>
    <w:rsid w:val="00165276"/>
    <w:rsid w:val="001653B6"/>
    <w:rsid w:val="00165BF6"/>
    <w:rsid w:val="0017179C"/>
    <w:rsid w:val="00174039"/>
    <w:rsid w:val="00174B0F"/>
    <w:rsid w:val="00180361"/>
    <w:rsid w:val="00180DB0"/>
    <w:rsid w:val="0018235E"/>
    <w:rsid w:val="00184187"/>
    <w:rsid w:val="00184A98"/>
    <w:rsid w:val="00184B1B"/>
    <w:rsid w:val="001877AB"/>
    <w:rsid w:val="00194633"/>
    <w:rsid w:val="00194970"/>
    <w:rsid w:val="00197D13"/>
    <w:rsid w:val="001A0A16"/>
    <w:rsid w:val="001A3062"/>
    <w:rsid w:val="001A3D17"/>
    <w:rsid w:val="001A4B9C"/>
    <w:rsid w:val="001A4EA4"/>
    <w:rsid w:val="001A5432"/>
    <w:rsid w:val="001A5658"/>
    <w:rsid w:val="001A664F"/>
    <w:rsid w:val="001A74A7"/>
    <w:rsid w:val="001B1166"/>
    <w:rsid w:val="001B2DB7"/>
    <w:rsid w:val="001B3A9F"/>
    <w:rsid w:val="001C1B20"/>
    <w:rsid w:val="001C1B5D"/>
    <w:rsid w:val="001C21FE"/>
    <w:rsid w:val="001C276D"/>
    <w:rsid w:val="001C3BA9"/>
    <w:rsid w:val="001C6AF3"/>
    <w:rsid w:val="001D0C02"/>
    <w:rsid w:val="001D226B"/>
    <w:rsid w:val="001D3D43"/>
    <w:rsid w:val="001D3E4C"/>
    <w:rsid w:val="001E0F51"/>
    <w:rsid w:val="001E55BF"/>
    <w:rsid w:val="001E5D29"/>
    <w:rsid w:val="001E6BCB"/>
    <w:rsid w:val="001E7425"/>
    <w:rsid w:val="001E7487"/>
    <w:rsid w:val="001F138C"/>
    <w:rsid w:val="001F6E1A"/>
    <w:rsid w:val="001F780A"/>
    <w:rsid w:val="001F7917"/>
    <w:rsid w:val="00200613"/>
    <w:rsid w:val="00200BD0"/>
    <w:rsid w:val="00207CBD"/>
    <w:rsid w:val="00211AFD"/>
    <w:rsid w:val="002134F9"/>
    <w:rsid w:val="002143E2"/>
    <w:rsid w:val="00214883"/>
    <w:rsid w:val="002156F6"/>
    <w:rsid w:val="00220550"/>
    <w:rsid w:val="002215DC"/>
    <w:rsid w:val="00222307"/>
    <w:rsid w:val="00222497"/>
    <w:rsid w:val="0022269D"/>
    <w:rsid w:val="00223724"/>
    <w:rsid w:val="00227AD4"/>
    <w:rsid w:val="002301A2"/>
    <w:rsid w:val="002313C2"/>
    <w:rsid w:val="0023284C"/>
    <w:rsid w:val="00235E51"/>
    <w:rsid w:val="00236C2D"/>
    <w:rsid w:val="00237201"/>
    <w:rsid w:val="002374B7"/>
    <w:rsid w:val="00240126"/>
    <w:rsid w:val="00240DC3"/>
    <w:rsid w:val="002417F8"/>
    <w:rsid w:val="0024183F"/>
    <w:rsid w:val="00241D16"/>
    <w:rsid w:val="00242384"/>
    <w:rsid w:val="0024304D"/>
    <w:rsid w:val="00243639"/>
    <w:rsid w:val="00244707"/>
    <w:rsid w:val="00244826"/>
    <w:rsid w:val="00244B0A"/>
    <w:rsid w:val="00247ACA"/>
    <w:rsid w:val="00251C88"/>
    <w:rsid w:val="00252604"/>
    <w:rsid w:val="0025287F"/>
    <w:rsid w:val="00252E6A"/>
    <w:rsid w:val="00253DD2"/>
    <w:rsid w:val="00255A20"/>
    <w:rsid w:val="002569F1"/>
    <w:rsid w:val="00256D90"/>
    <w:rsid w:val="0025782A"/>
    <w:rsid w:val="00257EA9"/>
    <w:rsid w:val="00262C76"/>
    <w:rsid w:val="00263414"/>
    <w:rsid w:val="00264360"/>
    <w:rsid w:val="00265C53"/>
    <w:rsid w:val="002661A6"/>
    <w:rsid w:val="00266C23"/>
    <w:rsid w:val="00267C9C"/>
    <w:rsid w:val="00275801"/>
    <w:rsid w:val="00275DEA"/>
    <w:rsid w:val="00277988"/>
    <w:rsid w:val="00277D6C"/>
    <w:rsid w:val="002804D5"/>
    <w:rsid w:val="0028408A"/>
    <w:rsid w:val="00286EAD"/>
    <w:rsid w:val="00290176"/>
    <w:rsid w:val="00290789"/>
    <w:rsid w:val="00292A60"/>
    <w:rsid w:val="0029389B"/>
    <w:rsid w:val="00293DD7"/>
    <w:rsid w:val="002945B2"/>
    <w:rsid w:val="002A1894"/>
    <w:rsid w:val="002A1DD1"/>
    <w:rsid w:val="002A1F06"/>
    <w:rsid w:val="002A2188"/>
    <w:rsid w:val="002A36F2"/>
    <w:rsid w:val="002A3E5C"/>
    <w:rsid w:val="002A5C73"/>
    <w:rsid w:val="002A7D14"/>
    <w:rsid w:val="002B0913"/>
    <w:rsid w:val="002B1EDC"/>
    <w:rsid w:val="002B28E4"/>
    <w:rsid w:val="002B2DAD"/>
    <w:rsid w:val="002B49A3"/>
    <w:rsid w:val="002B53E6"/>
    <w:rsid w:val="002B5EBC"/>
    <w:rsid w:val="002B64BC"/>
    <w:rsid w:val="002B7504"/>
    <w:rsid w:val="002C0D97"/>
    <w:rsid w:val="002C0F5F"/>
    <w:rsid w:val="002C2964"/>
    <w:rsid w:val="002C4BD1"/>
    <w:rsid w:val="002C66D1"/>
    <w:rsid w:val="002C7065"/>
    <w:rsid w:val="002C7D73"/>
    <w:rsid w:val="002C7F4A"/>
    <w:rsid w:val="002D2804"/>
    <w:rsid w:val="002D3043"/>
    <w:rsid w:val="002D3B1A"/>
    <w:rsid w:val="002D4B6C"/>
    <w:rsid w:val="002D5274"/>
    <w:rsid w:val="002D7F60"/>
    <w:rsid w:val="002E0C86"/>
    <w:rsid w:val="002E1EE3"/>
    <w:rsid w:val="002E447D"/>
    <w:rsid w:val="002E6D72"/>
    <w:rsid w:val="002F0135"/>
    <w:rsid w:val="002F06BA"/>
    <w:rsid w:val="002F0C2C"/>
    <w:rsid w:val="002F232D"/>
    <w:rsid w:val="00300655"/>
    <w:rsid w:val="0030075D"/>
    <w:rsid w:val="00301BB1"/>
    <w:rsid w:val="00302F26"/>
    <w:rsid w:val="00303085"/>
    <w:rsid w:val="00303383"/>
    <w:rsid w:val="00303D18"/>
    <w:rsid w:val="00307ADD"/>
    <w:rsid w:val="00307E55"/>
    <w:rsid w:val="00312A66"/>
    <w:rsid w:val="003130CA"/>
    <w:rsid w:val="00313C2F"/>
    <w:rsid w:val="00314224"/>
    <w:rsid w:val="003163CB"/>
    <w:rsid w:val="00316C40"/>
    <w:rsid w:val="0031734E"/>
    <w:rsid w:val="00321180"/>
    <w:rsid w:val="00321646"/>
    <w:rsid w:val="0032180D"/>
    <w:rsid w:val="00322D9A"/>
    <w:rsid w:val="00323445"/>
    <w:rsid w:val="00324D88"/>
    <w:rsid w:val="003279FF"/>
    <w:rsid w:val="003306A5"/>
    <w:rsid w:val="0033468E"/>
    <w:rsid w:val="003436E1"/>
    <w:rsid w:val="003454BC"/>
    <w:rsid w:val="00351DD5"/>
    <w:rsid w:val="003527B9"/>
    <w:rsid w:val="00355D40"/>
    <w:rsid w:val="0035642F"/>
    <w:rsid w:val="003576D4"/>
    <w:rsid w:val="00360C79"/>
    <w:rsid w:val="0036543C"/>
    <w:rsid w:val="00371AAC"/>
    <w:rsid w:val="00371F54"/>
    <w:rsid w:val="00374178"/>
    <w:rsid w:val="00374612"/>
    <w:rsid w:val="00374CD4"/>
    <w:rsid w:val="0037770C"/>
    <w:rsid w:val="00377C8B"/>
    <w:rsid w:val="00383A95"/>
    <w:rsid w:val="00385CA0"/>
    <w:rsid w:val="00392BC0"/>
    <w:rsid w:val="0039585F"/>
    <w:rsid w:val="00397FC6"/>
    <w:rsid w:val="003A00E5"/>
    <w:rsid w:val="003A048F"/>
    <w:rsid w:val="003A08B8"/>
    <w:rsid w:val="003A2733"/>
    <w:rsid w:val="003A3021"/>
    <w:rsid w:val="003A3B8F"/>
    <w:rsid w:val="003A4483"/>
    <w:rsid w:val="003A4D41"/>
    <w:rsid w:val="003A627E"/>
    <w:rsid w:val="003A79EE"/>
    <w:rsid w:val="003B2DC9"/>
    <w:rsid w:val="003B45AB"/>
    <w:rsid w:val="003B5039"/>
    <w:rsid w:val="003B6E16"/>
    <w:rsid w:val="003C180A"/>
    <w:rsid w:val="003C1E25"/>
    <w:rsid w:val="003C6850"/>
    <w:rsid w:val="003C76D4"/>
    <w:rsid w:val="003D11D6"/>
    <w:rsid w:val="003D1323"/>
    <w:rsid w:val="003D22E6"/>
    <w:rsid w:val="003D27CB"/>
    <w:rsid w:val="003D292C"/>
    <w:rsid w:val="003D329D"/>
    <w:rsid w:val="003D56EA"/>
    <w:rsid w:val="003D625C"/>
    <w:rsid w:val="003D7AC2"/>
    <w:rsid w:val="003E1863"/>
    <w:rsid w:val="003E1BB3"/>
    <w:rsid w:val="003E204A"/>
    <w:rsid w:val="003E231A"/>
    <w:rsid w:val="003E3207"/>
    <w:rsid w:val="003E6BF6"/>
    <w:rsid w:val="003E72CD"/>
    <w:rsid w:val="003F0F0D"/>
    <w:rsid w:val="003F3142"/>
    <w:rsid w:val="003F3BDD"/>
    <w:rsid w:val="003F54FB"/>
    <w:rsid w:val="003F69CC"/>
    <w:rsid w:val="00400776"/>
    <w:rsid w:val="0040173E"/>
    <w:rsid w:val="00413D78"/>
    <w:rsid w:val="00413E70"/>
    <w:rsid w:val="004146F8"/>
    <w:rsid w:val="004221CA"/>
    <w:rsid w:val="0042373F"/>
    <w:rsid w:val="00423A92"/>
    <w:rsid w:val="00425F0F"/>
    <w:rsid w:val="00426426"/>
    <w:rsid w:val="00426605"/>
    <w:rsid w:val="00433041"/>
    <w:rsid w:val="0043375B"/>
    <w:rsid w:val="00434A5B"/>
    <w:rsid w:val="00434CEF"/>
    <w:rsid w:val="00435339"/>
    <w:rsid w:val="00436EFA"/>
    <w:rsid w:val="004410DC"/>
    <w:rsid w:val="0044447D"/>
    <w:rsid w:val="0044482D"/>
    <w:rsid w:val="00444EDE"/>
    <w:rsid w:val="0044501F"/>
    <w:rsid w:val="00450C67"/>
    <w:rsid w:val="00452279"/>
    <w:rsid w:val="00453602"/>
    <w:rsid w:val="00455BA9"/>
    <w:rsid w:val="00455F29"/>
    <w:rsid w:val="0046020A"/>
    <w:rsid w:val="00460CF7"/>
    <w:rsid w:val="00463172"/>
    <w:rsid w:val="00463FA8"/>
    <w:rsid w:val="00464196"/>
    <w:rsid w:val="00464593"/>
    <w:rsid w:val="00466648"/>
    <w:rsid w:val="004670D3"/>
    <w:rsid w:val="00472CBC"/>
    <w:rsid w:val="004748D5"/>
    <w:rsid w:val="0047492D"/>
    <w:rsid w:val="004754DE"/>
    <w:rsid w:val="004765B3"/>
    <w:rsid w:val="00483C53"/>
    <w:rsid w:val="004843CA"/>
    <w:rsid w:val="00487978"/>
    <w:rsid w:val="00487DDF"/>
    <w:rsid w:val="004903DE"/>
    <w:rsid w:val="0049115C"/>
    <w:rsid w:val="00493DAA"/>
    <w:rsid w:val="00494335"/>
    <w:rsid w:val="00494C23"/>
    <w:rsid w:val="00494E1B"/>
    <w:rsid w:val="00495A4C"/>
    <w:rsid w:val="004964A9"/>
    <w:rsid w:val="004967A1"/>
    <w:rsid w:val="004A0FE7"/>
    <w:rsid w:val="004A104D"/>
    <w:rsid w:val="004A1145"/>
    <w:rsid w:val="004A1269"/>
    <w:rsid w:val="004A1A82"/>
    <w:rsid w:val="004A1AB5"/>
    <w:rsid w:val="004A29F6"/>
    <w:rsid w:val="004A438B"/>
    <w:rsid w:val="004A5DCC"/>
    <w:rsid w:val="004A6D37"/>
    <w:rsid w:val="004B1E9F"/>
    <w:rsid w:val="004B2686"/>
    <w:rsid w:val="004B47DC"/>
    <w:rsid w:val="004B584E"/>
    <w:rsid w:val="004B6FA5"/>
    <w:rsid w:val="004B78DD"/>
    <w:rsid w:val="004C0BE0"/>
    <w:rsid w:val="004C1106"/>
    <w:rsid w:val="004C6D4B"/>
    <w:rsid w:val="004C766B"/>
    <w:rsid w:val="004D16C6"/>
    <w:rsid w:val="004D2DDE"/>
    <w:rsid w:val="004D2EC1"/>
    <w:rsid w:val="004D32BF"/>
    <w:rsid w:val="004D33E3"/>
    <w:rsid w:val="004D37ED"/>
    <w:rsid w:val="004D584E"/>
    <w:rsid w:val="004D76C1"/>
    <w:rsid w:val="004D7C22"/>
    <w:rsid w:val="004E0051"/>
    <w:rsid w:val="004E2269"/>
    <w:rsid w:val="004E451A"/>
    <w:rsid w:val="004F0E3E"/>
    <w:rsid w:val="004F277D"/>
    <w:rsid w:val="004F2DA8"/>
    <w:rsid w:val="004F3339"/>
    <w:rsid w:val="004F72A2"/>
    <w:rsid w:val="004F742C"/>
    <w:rsid w:val="004F78E5"/>
    <w:rsid w:val="005020B3"/>
    <w:rsid w:val="005020E6"/>
    <w:rsid w:val="005026D4"/>
    <w:rsid w:val="00502DB8"/>
    <w:rsid w:val="00503A51"/>
    <w:rsid w:val="005052F0"/>
    <w:rsid w:val="00506774"/>
    <w:rsid w:val="005069AB"/>
    <w:rsid w:val="00512309"/>
    <w:rsid w:val="00517C9A"/>
    <w:rsid w:val="00522FC4"/>
    <w:rsid w:val="005263DC"/>
    <w:rsid w:val="005347D9"/>
    <w:rsid w:val="00534800"/>
    <w:rsid w:val="00535980"/>
    <w:rsid w:val="00541D54"/>
    <w:rsid w:val="00542522"/>
    <w:rsid w:val="00543472"/>
    <w:rsid w:val="00543CE8"/>
    <w:rsid w:val="0054526E"/>
    <w:rsid w:val="00545CE1"/>
    <w:rsid w:val="00546297"/>
    <w:rsid w:val="005476B5"/>
    <w:rsid w:val="0055098E"/>
    <w:rsid w:val="005510C2"/>
    <w:rsid w:val="005549D7"/>
    <w:rsid w:val="005602DA"/>
    <w:rsid w:val="00560CAF"/>
    <w:rsid w:val="00562087"/>
    <w:rsid w:val="005628DB"/>
    <w:rsid w:val="00564AAE"/>
    <w:rsid w:val="00565B34"/>
    <w:rsid w:val="0056702E"/>
    <w:rsid w:val="005678FC"/>
    <w:rsid w:val="005679BD"/>
    <w:rsid w:val="0057138A"/>
    <w:rsid w:val="00573327"/>
    <w:rsid w:val="005736C5"/>
    <w:rsid w:val="00573F5D"/>
    <w:rsid w:val="00574BA1"/>
    <w:rsid w:val="00577D9B"/>
    <w:rsid w:val="005810A6"/>
    <w:rsid w:val="005827D9"/>
    <w:rsid w:val="00584304"/>
    <w:rsid w:val="005845EA"/>
    <w:rsid w:val="0058488A"/>
    <w:rsid w:val="005921A3"/>
    <w:rsid w:val="00592D74"/>
    <w:rsid w:val="00592F64"/>
    <w:rsid w:val="00593A9D"/>
    <w:rsid w:val="00594EC3"/>
    <w:rsid w:val="005A3F63"/>
    <w:rsid w:val="005A59D0"/>
    <w:rsid w:val="005B0551"/>
    <w:rsid w:val="005B073E"/>
    <w:rsid w:val="005B0749"/>
    <w:rsid w:val="005B227F"/>
    <w:rsid w:val="005B254B"/>
    <w:rsid w:val="005B6C87"/>
    <w:rsid w:val="005B7801"/>
    <w:rsid w:val="005C0F32"/>
    <w:rsid w:val="005C23A8"/>
    <w:rsid w:val="005C5891"/>
    <w:rsid w:val="005C5A26"/>
    <w:rsid w:val="005C641B"/>
    <w:rsid w:val="005D04CC"/>
    <w:rsid w:val="005D07AB"/>
    <w:rsid w:val="005D476B"/>
    <w:rsid w:val="005D5711"/>
    <w:rsid w:val="005D5FAE"/>
    <w:rsid w:val="005D73D6"/>
    <w:rsid w:val="005D763C"/>
    <w:rsid w:val="005E07A6"/>
    <w:rsid w:val="005E1E21"/>
    <w:rsid w:val="005E3CD1"/>
    <w:rsid w:val="005E4BC9"/>
    <w:rsid w:val="005E6D81"/>
    <w:rsid w:val="005F0C9F"/>
    <w:rsid w:val="005F250F"/>
    <w:rsid w:val="005F29B7"/>
    <w:rsid w:val="005F353A"/>
    <w:rsid w:val="00600114"/>
    <w:rsid w:val="006008DA"/>
    <w:rsid w:val="00600BF1"/>
    <w:rsid w:val="00601D70"/>
    <w:rsid w:val="0060250D"/>
    <w:rsid w:val="0060360A"/>
    <w:rsid w:val="00603845"/>
    <w:rsid w:val="006060AB"/>
    <w:rsid w:val="00606EB5"/>
    <w:rsid w:val="00606FC8"/>
    <w:rsid w:val="00607A06"/>
    <w:rsid w:val="006121C4"/>
    <w:rsid w:val="00616C90"/>
    <w:rsid w:val="00617FDA"/>
    <w:rsid w:val="0062116F"/>
    <w:rsid w:val="006212E3"/>
    <w:rsid w:val="00623FD7"/>
    <w:rsid w:val="00626087"/>
    <w:rsid w:val="0062738D"/>
    <w:rsid w:val="00634E4C"/>
    <w:rsid w:val="00636B8B"/>
    <w:rsid w:val="00637467"/>
    <w:rsid w:val="00641EAA"/>
    <w:rsid w:val="006427FE"/>
    <w:rsid w:val="0064400E"/>
    <w:rsid w:val="006506C1"/>
    <w:rsid w:val="006553B4"/>
    <w:rsid w:val="00655E15"/>
    <w:rsid w:val="00657459"/>
    <w:rsid w:val="0065747A"/>
    <w:rsid w:val="00662E28"/>
    <w:rsid w:val="00663130"/>
    <w:rsid w:val="00663820"/>
    <w:rsid w:val="00664225"/>
    <w:rsid w:val="0066674D"/>
    <w:rsid w:val="00666A78"/>
    <w:rsid w:val="00667699"/>
    <w:rsid w:val="00670B59"/>
    <w:rsid w:val="006759DC"/>
    <w:rsid w:val="00676106"/>
    <w:rsid w:val="00676C12"/>
    <w:rsid w:val="00680EC6"/>
    <w:rsid w:val="00683006"/>
    <w:rsid w:val="006841C8"/>
    <w:rsid w:val="006846E4"/>
    <w:rsid w:val="00686264"/>
    <w:rsid w:val="00687289"/>
    <w:rsid w:val="006873C2"/>
    <w:rsid w:val="00687AED"/>
    <w:rsid w:val="0069375D"/>
    <w:rsid w:val="0069407C"/>
    <w:rsid w:val="0069574E"/>
    <w:rsid w:val="0069592A"/>
    <w:rsid w:val="006969C0"/>
    <w:rsid w:val="006A1921"/>
    <w:rsid w:val="006A1B8B"/>
    <w:rsid w:val="006A1E63"/>
    <w:rsid w:val="006A2303"/>
    <w:rsid w:val="006A2C82"/>
    <w:rsid w:val="006A49D1"/>
    <w:rsid w:val="006A4F92"/>
    <w:rsid w:val="006A555E"/>
    <w:rsid w:val="006B22AF"/>
    <w:rsid w:val="006B5592"/>
    <w:rsid w:val="006B6226"/>
    <w:rsid w:val="006B62EB"/>
    <w:rsid w:val="006B76C6"/>
    <w:rsid w:val="006C1876"/>
    <w:rsid w:val="006C63A0"/>
    <w:rsid w:val="006C6983"/>
    <w:rsid w:val="006D2A45"/>
    <w:rsid w:val="006D315C"/>
    <w:rsid w:val="006D42B0"/>
    <w:rsid w:val="006D71B8"/>
    <w:rsid w:val="006E02C7"/>
    <w:rsid w:val="006E039F"/>
    <w:rsid w:val="006E0FB8"/>
    <w:rsid w:val="006E4192"/>
    <w:rsid w:val="006E4272"/>
    <w:rsid w:val="006E4338"/>
    <w:rsid w:val="006E4BD9"/>
    <w:rsid w:val="006E5113"/>
    <w:rsid w:val="006E62BE"/>
    <w:rsid w:val="006F145A"/>
    <w:rsid w:val="006F18F5"/>
    <w:rsid w:val="006F27CB"/>
    <w:rsid w:val="006F359B"/>
    <w:rsid w:val="006F4962"/>
    <w:rsid w:val="006F5865"/>
    <w:rsid w:val="006F626A"/>
    <w:rsid w:val="006F6931"/>
    <w:rsid w:val="00700AF2"/>
    <w:rsid w:val="00701EC6"/>
    <w:rsid w:val="00702A78"/>
    <w:rsid w:val="00705F10"/>
    <w:rsid w:val="00706179"/>
    <w:rsid w:val="00713E3C"/>
    <w:rsid w:val="00714F78"/>
    <w:rsid w:val="007152B0"/>
    <w:rsid w:val="00716357"/>
    <w:rsid w:val="007170F7"/>
    <w:rsid w:val="007172D2"/>
    <w:rsid w:val="00717589"/>
    <w:rsid w:val="00721DAE"/>
    <w:rsid w:val="00722236"/>
    <w:rsid w:val="00722F9F"/>
    <w:rsid w:val="007253B8"/>
    <w:rsid w:val="00730D33"/>
    <w:rsid w:val="00732E65"/>
    <w:rsid w:val="00733DB4"/>
    <w:rsid w:val="00735EC1"/>
    <w:rsid w:val="00736A96"/>
    <w:rsid w:val="00736E7D"/>
    <w:rsid w:val="0074164D"/>
    <w:rsid w:val="00741EDB"/>
    <w:rsid w:val="00743AE5"/>
    <w:rsid w:val="00746B11"/>
    <w:rsid w:val="007509A6"/>
    <w:rsid w:val="00752091"/>
    <w:rsid w:val="00753F83"/>
    <w:rsid w:val="007541B0"/>
    <w:rsid w:val="0075469B"/>
    <w:rsid w:val="00755163"/>
    <w:rsid w:val="00756AAB"/>
    <w:rsid w:val="00756AAD"/>
    <w:rsid w:val="00757F63"/>
    <w:rsid w:val="007605EB"/>
    <w:rsid w:val="0076172B"/>
    <w:rsid w:val="0076316E"/>
    <w:rsid w:val="007645AE"/>
    <w:rsid w:val="00764992"/>
    <w:rsid w:val="00765749"/>
    <w:rsid w:val="00767CEB"/>
    <w:rsid w:val="00770ABA"/>
    <w:rsid w:val="00771075"/>
    <w:rsid w:val="00771FC7"/>
    <w:rsid w:val="007720F8"/>
    <w:rsid w:val="0077507F"/>
    <w:rsid w:val="00775AA0"/>
    <w:rsid w:val="007770FA"/>
    <w:rsid w:val="00777D19"/>
    <w:rsid w:val="00780BBC"/>
    <w:rsid w:val="00785756"/>
    <w:rsid w:val="00785A6B"/>
    <w:rsid w:val="00785B5E"/>
    <w:rsid w:val="00785FF9"/>
    <w:rsid w:val="00791738"/>
    <w:rsid w:val="00791780"/>
    <w:rsid w:val="00792D37"/>
    <w:rsid w:val="0079390C"/>
    <w:rsid w:val="00793FD4"/>
    <w:rsid w:val="00795106"/>
    <w:rsid w:val="007A0EB7"/>
    <w:rsid w:val="007A1BED"/>
    <w:rsid w:val="007A719D"/>
    <w:rsid w:val="007B2C90"/>
    <w:rsid w:val="007B321A"/>
    <w:rsid w:val="007B35CD"/>
    <w:rsid w:val="007B578F"/>
    <w:rsid w:val="007B6871"/>
    <w:rsid w:val="007B7899"/>
    <w:rsid w:val="007B7A63"/>
    <w:rsid w:val="007C08B1"/>
    <w:rsid w:val="007C2CC2"/>
    <w:rsid w:val="007C38BD"/>
    <w:rsid w:val="007C6EB4"/>
    <w:rsid w:val="007C79AA"/>
    <w:rsid w:val="007D1255"/>
    <w:rsid w:val="007D1955"/>
    <w:rsid w:val="007D31DA"/>
    <w:rsid w:val="007D67ED"/>
    <w:rsid w:val="007D72C5"/>
    <w:rsid w:val="007E1D1C"/>
    <w:rsid w:val="007E285F"/>
    <w:rsid w:val="007E3F2C"/>
    <w:rsid w:val="007E525D"/>
    <w:rsid w:val="007E5A0D"/>
    <w:rsid w:val="007E7735"/>
    <w:rsid w:val="007F0323"/>
    <w:rsid w:val="007F379E"/>
    <w:rsid w:val="007F3A67"/>
    <w:rsid w:val="007F42C5"/>
    <w:rsid w:val="007F471C"/>
    <w:rsid w:val="007F4B56"/>
    <w:rsid w:val="007F56D2"/>
    <w:rsid w:val="007F65F3"/>
    <w:rsid w:val="00800C90"/>
    <w:rsid w:val="008120A7"/>
    <w:rsid w:val="008125F8"/>
    <w:rsid w:val="00812A01"/>
    <w:rsid w:val="0081387A"/>
    <w:rsid w:val="008208A8"/>
    <w:rsid w:val="00821EFD"/>
    <w:rsid w:val="0082211F"/>
    <w:rsid w:val="008234D8"/>
    <w:rsid w:val="00826012"/>
    <w:rsid w:val="00832B57"/>
    <w:rsid w:val="00832C62"/>
    <w:rsid w:val="0083482E"/>
    <w:rsid w:val="00834CE0"/>
    <w:rsid w:val="0084110F"/>
    <w:rsid w:val="00842FC4"/>
    <w:rsid w:val="00843129"/>
    <w:rsid w:val="008435C8"/>
    <w:rsid w:val="00844B1D"/>
    <w:rsid w:val="00844F5C"/>
    <w:rsid w:val="00845843"/>
    <w:rsid w:val="00845A74"/>
    <w:rsid w:val="0084679F"/>
    <w:rsid w:val="008469A9"/>
    <w:rsid w:val="00846D34"/>
    <w:rsid w:val="00847049"/>
    <w:rsid w:val="00847646"/>
    <w:rsid w:val="00854C33"/>
    <w:rsid w:val="008553D5"/>
    <w:rsid w:val="008567D0"/>
    <w:rsid w:val="00856AF1"/>
    <w:rsid w:val="00861F39"/>
    <w:rsid w:val="00863020"/>
    <w:rsid w:val="008637EC"/>
    <w:rsid w:val="00863D23"/>
    <w:rsid w:val="00863EE7"/>
    <w:rsid w:val="008648A5"/>
    <w:rsid w:val="00870BC6"/>
    <w:rsid w:val="00873384"/>
    <w:rsid w:val="00875DAD"/>
    <w:rsid w:val="00876761"/>
    <w:rsid w:val="00877B84"/>
    <w:rsid w:val="00877E5F"/>
    <w:rsid w:val="0088036D"/>
    <w:rsid w:val="00880D09"/>
    <w:rsid w:val="00881155"/>
    <w:rsid w:val="00882892"/>
    <w:rsid w:val="00885A14"/>
    <w:rsid w:val="008867DC"/>
    <w:rsid w:val="0088689B"/>
    <w:rsid w:val="00890FA0"/>
    <w:rsid w:val="00891ADB"/>
    <w:rsid w:val="00891D9E"/>
    <w:rsid w:val="008947BF"/>
    <w:rsid w:val="00896B2A"/>
    <w:rsid w:val="008A0CAB"/>
    <w:rsid w:val="008A0CBE"/>
    <w:rsid w:val="008A1CA8"/>
    <w:rsid w:val="008A214D"/>
    <w:rsid w:val="008A4A91"/>
    <w:rsid w:val="008A5419"/>
    <w:rsid w:val="008A55D4"/>
    <w:rsid w:val="008A63A9"/>
    <w:rsid w:val="008A6F4A"/>
    <w:rsid w:val="008A72D2"/>
    <w:rsid w:val="008A74A3"/>
    <w:rsid w:val="008B1379"/>
    <w:rsid w:val="008B3FA1"/>
    <w:rsid w:val="008B6868"/>
    <w:rsid w:val="008B6D24"/>
    <w:rsid w:val="008C34F7"/>
    <w:rsid w:val="008C6A43"/>
    <w:rsid w:val="008D080C"/>
    <w:rsid w:val="008D1867"/>
    <w:rsid w:val="008D213B"/>
    <w:rsid w:val="008D5520"/>
    <w:rsid w:val="008D6437"/>
    <w:rsid w:val="008D6EDF"/>
    <w:rsid w:val="008D70F0"/>
    <w:rsid w:val="008E3EF5"/>
    <w:rsid w:val="008E6B46"/>
    <w:rsid w:val="008E712A"/>
    <w:rsid w:val="008F15EB"/>
    <w:rsid w:val="008F33B5"/>
    <w:rsid w:val="008F648E"/>
    <w:rsid w:val="008F6560"/>
    <w:rsid w:val="008F6F93"/>
    <w:rsid w:val="008F77AA"/>
    <w:rsid w:val="00900CB8"/>
    <w:rsid w:val="00901414"/>
    <w:rsid w:val="00901526"/>
    <w:rsid w:val="009021C5"/>
    <w:rsid w:val="00903881"/>
    <w:rsid w:val="00904CC7"/>
    <w:rsid w:val="00906799"/>
    <w:rsid w:val="009074DD"/>
    <w:rsid w:val="009129C3"/>
    <w:rsid w:val="009136D0"/>
    <w:rsid w:val="00913A0A"/>
    <w:rsid w:val="00915B7E"/>
    <w:rsid w:val="009205B7"/>
    <w:rsid w:val="00921181"/>
    <w:rsid w:val="00922193"/>
    <w:rsid w:val="00922C7C"/>
    <w:rsid w:val="009230BE"/>
    <w:rsid w:val="00924152"/>
    <w:rsid w:val="009256E4"/>
    <w:rsid w:val="0093194D"/>
    <w:rsid w:val="009328A5"/>
    <w:rsid w:val="00934C3F"/>
    <w:rsid w:val="00936B48"/>
    <w:rsid w:val="00937846"/>
    <w:rsid w:val="009379E0"/>
    <w:rsid w:val="00937D36"/>
    <w:rsid w:val="009415FC"/>
    <w:rsid w:val="009417AE"/>
    <w:rsid w:val="00943AA5"/>
    <w:rsid w:val="00945B3F"/>
    <w:rsid w:val="00950DCB"/>
    <w:rsid w:val="00952D47"/>
    <w:rsid w:val="00952D4C"/>
    <w:rsid w:val="009535CD"/>
    <w:rsid w:val="009546B7"/>
    <w:rsid w:val="00954E2F"/>
    <w:rsid w:val="0095759C"/>
    <w:rsid w:val="00960246"/>
    <w:rsid w:val="00961A47"/>
    <w:rsid w:val="009702BC"/>
    <w:rsid w:val="00970BDC"/>
    <w:rsid w:val="009720E1"/>
    <w:rsid w:val="00974F0E"/>
    <w:rsid w:val="009750CD"/>
    <w:rsid w:val="009750FB"/>
    <w:rsid w:val="00975CD7"/>
    <w:rsid w:val="00980CA1"/>
    <w:rsid w:val="00981901"/>
    <w:rsid w:val="0098498E"/>
    <w:rsid w:val="009850E4"/>
    <w:rsid w:val="00985E70"/>
    <w:rsid w:val="00986A1A"/>
    <w:rsid w:val="0098783B"/>
    <w:rsid w:val="00991292"/>
    <w:rsid w:val="00992A46"/>
    <w:rsid w:val="00993C2B"/>
    <w:rsid w:val="00995D15"/>
    <w:rsid w:val="00996086"/>
    <w:rsid w:val="0099798A"/>
    <w:rsid w:val="009979F4"/>
    <w:rsid w:val="009A1847"/>
    <w:rsid w:val="009A246D"/>
    <w:rsid w:val="009A45B2"/>
    <w:rsid w:val="009A5585"/>
    <w:rsid w:val="009A59D5"/>
    <w:rsid w:val="009A7E3A"/>
    <w:rsid w:val="009B161B"/>
    <w:rsid w:val="009B26F5"/>
    <w:rsid w:val="009B2931"/>
    <w:rsid w:val="009B2CB7"/>
    <w:rsid w:val="009B53DA"/>
    <w:rsid w:val="009C1810"/>
    <w:rsid w:val="009C2198"/>
    <w:rsid w:val="009C385C"/>
    <w:rsid w:val="009C7AA1"/>
    <w:rsid w:val="009D1DF9"/>
    <w:rsid w:val="009D2AE3"/>
    <w:rsid w:val="009D2DDD"/>
    <w:rsid w:val="009D2F27"/>
    <w:rsid w:val="009D4911"/>
    <w:rsid w:val="009D7F11"/>
    <w:rsid w:val="009E0C10"/>
    <w:rsid w:val="009E2376"/>
    <w:rsid w:val="009E275D"/>
    <w:rsid w:val="009E2F59"/>
    <w:rsid w:val="009E4116"/>
    <w:rsid w:val="009E4267"/>
    <w:rsid w:val="009E529F"/>
    <w:rsid w:val="009E711E"/>
    <w:rsid w:val="009F10F0"/>
    <w:rsid w:val="009F30C2"/>
    <w:rsid w:val="009F3CF7"/>
    <w:rsid w:val="009F5184"/>
    <w:rsid w:val="00A00F43"/>
    <w:rsid w:val="00A07AD2"/>
    <w:rsid w:val="00A10DA6"/>
    <w:rsid w:val="00A11E36"/>
    <w:rsid w:val="00A13252"/>
    <w:rsid w:val="00A151E9"/>
    <w:rsid w:val="00A15DBB"/>
    <w:rsid w:val="00A2366A"/>
    <w:rsid w:val="00A236A8"/>
    <w:rsid w:val="00A259F2"/>
    <w:rsid w:val="00A2758A"/>
    <w:rsid w:val="00A300E1"/>
    <w:rsid w:val="00A31881"/>
    <w:rsid w:val="00A32D89"/>
    <w:rsid w:val="00A33802"/>
    <w:rsid w:val="00A34ADD"/>
    <w:rsid w:val="00A3642E"/>
    <w:rsid w:val="00A37162"/>
    <w:rsid w:val="00A37E51"/>
    <w:rsid w:val="00A4042C"/>
    <w:rsid w:val="00A42646"/>
    <w:rsid w:val="00A503F1"/>
    <w:rsid w:val="00A50B51"/>
    <w:rsid w:val="00A51C23"/>
    <w:rsid w:val="00A51E2D"/>
    <w:rsid w:val="00A5319F"/>
    <w:rsid w:val="00A533A9"/>
    <w:rsid w:val="00A53690"/>
    <w:rsid w:val="00A54193"/>
    <w:rsid w:val="00A54C56"/>
    <w:rsid w:val="00A6099C"/>
    <w:rsid w:val="00A62D31"/>
    <w:rsid w:val="00A63380"/>
    <w:rsid w:val="00A63E01"/>
    <w:rsid w:val="00A64251"/>
    <w:rsid w:val="00A672A4"/>
    <w:rsid w:val="00A717EE"/>
    <w:rsid w:val="00A810A4"/>
    <w:rsid w:val="00A8129D"/>
    <w:rsid w:val="00A82188"/>
    <w:rsid w:val="00A82B7E"/>
    <w:rsid w:val="00A865C7"/>
    <w:rsid w:val="00A909CC"/>
    <w:rsid w:val="00A9123F"/>
    <w:rsid w:val="00A942CA"/>
    <w:rsid w:val="00A964A5"/>
    <w:rsid w:val="00A97D1D"/>
    <w:rsid w:val="00A97E3B"/>
    <w:rsid w:val="00AA00CB"/>
    <w:rsid w:val="00AA20A1"/>
    <w:rsid w:val="00AA31F1"/>
    <w:rsid w:val="00AA330D"/>
    <w:rsid w:val="00AA41F2"/>
    <w:rsid w:val="00AA555F"/>
    <w:rsid w:val="00AA6372"/>
    <w:rsid w:val="00AA6D98"/>
    <w:rsid w:val="00AB039E"/>
    <w:rsid w:val="00AB0D20"/>
    <w:rsid w:val="00AB1362"/>
    <w:rsid w:val="00AB13A5"/>
    <w:rsid w:val="00AB2FFA"/>
    <w:rsid w:val="00AB3B7D"/>
    <w:rsid w:val="00AB4206"/>
    <w:rsid w:val="00AB556C"/>
    <w:rsid w:val="00AB5686"/>
    <w:rsid w:val="00AB6B4C"/>
    <w:rsid w:val="00AB6D78"/>
    <w:rsid w:val="00AC0149"/>
    <w:rsid w:val="00AC07C7"/>
    <w:rsid w:val="00AC1727"/>
    <w:rsid w:val="00AC2313"/>
    <w:rsid w:val="00AC4A97"/>
    <w:rsid w:val="00AC527E"/>
    <w:rsid w:val="00AC6B54"/>
    <w:rsid w:val="00AC7E54"/>
    <w:rsid w:val="00AD077B"/>
    <w:rsid w:val="00AD0FB4"/>
    <w:rsid w:val="00AD3B43"/>
    <w:rsid w:val="00AD51FB"/>
    <w:rsid w:val="00AD5C97"/>
    <w:rsid w:val="00AD62F5"/>
    <w:rsid w:val="00AD7243"/>
    <w:rsid w:val="00AD72D9"/>
    <w:rsid w:val="00AE0594"/>
    <w:rsid w:val="00AE43C8"/>
    <w:rsid w:val="00AE5000"/>
    <w:rsid w:val="00AE5906"/>
    <w:rsid w:val="00AE6A4E"/>
    <w:rsid w:val="00AE7B98"/>
    <w:rsid w:val="00AF129F"/>
    <w:rsid w:val="00AF1C17"/>
    <w:rsid w:val="00AF1F16"/>
    <w:rsid w:val="00AF3609"/>
    <w:rsid w:val="00AF47EF"/>
    <w:rsid w:val="00AF4E7F"/>
    <w:rsid w:val="00AF67D4"/>
    <w:rsid w:val="00AF7BB3"/>
    <w:rsid w:val="00B0480F"/>
    <w:rsid w:val="00B06E21"/>
    <w:rsid w:val="00B07F39"/>
    <w:rsid w:val="00B1074B"/>
    <w:rsid w:val="00B10BC8"/>
    <w:rsid w:val="00B1133D"/>
    <w:rsid w:val="00B12679"/>
    <w:rsid w:val="00B12AEC"/>
    <w:rsid w:val="00B12DC9"/>
    <w:rsid w:val="00B13F84"/>
    <w:rsid w:val="00B14604"/>
    <w:rsid w:val="00B1471C"/>
    <w:rsid w:val="00B147A1"/>
    <w:rsid w:val="00B1542E"/>
    <w:rsid w:val="00B155D3"/>
    <w:rsid w:val="00B15ABA"/>
    <w:rsid w:val="00B17233"/>
    <w:rsid w:val="00B20E42"/>
    <w:rsid w:val="00B20FA0"/>
    <w:rsid w:val="00B24DD4"/>
    <w:rsid w:val="00B2727A"/>
    <w:rsid w:val="00B276E4"/>
    <w:rsid w:val="00B30470"/>
    <w:rsid w:val="00B304C1"/>
    <w:rsid w:val="00B31754"/>
    <w:rsid w:val="00B32175"/>
    <w:rsid w:val="00B33A8A"/>
    <w:rsid w:val="00B34339"/>
    <w:rsid w:val="00B35773"/>
    <w:rsid w:val="00B35828"/>
    <w:rsid w:val="00B40B7D"/>
    <w:rsid w:val="00B41187"/>
    <w:rsid w:val="00B42B2F"/>
    <w:rsid w:val="00B44900"/>
    <w:rsid w:val="00B44D4B"/>
    <w:rsid w:val="00B467F6"/>
    <w:rsid w:val="00B472E1"/>
    <w:rsid w:val="00B50029"/>
    <w:rsid w:val="00B522B8"/>
    <w:rsid w:val="00B52821"/>
    <w:rsid w:val="00B56288"/>
    <w:rsid w:val="00B56C63"/>
    <w:rsid w:val="00B57DCB"/>
    <w:rsid w:val="00B60FDF"/>
    <w:rsid w:val="00B619AD"/>
    <w:rsid w:val="00B63A56"/>
    <w:rsid w:val="00B65E96"/>
    <w:rsid w:val="00B664C7"/>
    <w:rsid w:val="00B666A7"/>
    <w:rsid w:val="00B670E9"/>
    <w:rsid w:val="00B7071C"/>
    <w:rsid w:val="00B71170"/>
    <w:rsid w:val="00B75F05"/>
    <w:rsid w:val="00B77A80"/>
    <w:rsid w:val="00B80BCE"/>
    <w:rsid w:val="00B81210"/>
    <w:rsid w:val="00B81524"/>
    <w:rsid w:val="00B81740"/>
    <w:rsid w:val="00B82726"/>
    <w:rsid w:val="00B83542"/>
    <w:rsid w:val="00B83763"/>
    <w:rsid w:val="00B83E7C"/>
    <w:rsid w:val="00B85D7B"/>
    <w:rsid w:val="00B900EA"/>
    <w:rsid w:val="00B91069"/>
    <w:rsid w:val="00B92842"/>
    <w:rsid w:val="00BA2713"/>
    <w:rsid w:val="00BA2941"/>
    <w:rsid w:val="00BA2E56"/>
    <w:rsid w:val="00BA4C61"/>
    <w:rsid w:val="00BA627A"/>
    <w:rsid w:val="00BB22FA"/>
    <w:rsid w:val="00BB3E7F"/>
    <w:rsid w:val="00BB45AE"/>
    <w:rsid w:val="00BB5E30"/>
    <w:rsid w:val="00BC0D2F"/>
    <w:rsid w:val="00BC1E70"/>
    <w:rsid w:val="00BC3948"/>
    <w:rsid w:val="00BC4D30"/>
    <w:rsid w:val="00BC4E97"/>
    <w:rsid w:val="00BD12A1"/>
    <w:rsid w:val="00BD1D09"/>
    <w:rsid w:val="00BD4AFF"/>
    <w:rsid w:val="00BD62FD"/>
    <w:rsid w:val="00BD7B83"/>
    <w:rsid w:val="00BE0662"/>
    <w:rsid w:val="00BE0C04"/>
    <w:rsid w:val="00BE1E90"/>
    <w:rsid w:val="00BE2306"/>
    <w:rsid w:val="00BE625B"/>
    <w:rsid w:val="00BF1279"/>
    <w:rsid w:val="00BF17C6"/>
    <w:rsid w:val="00BF567C"/>
    <w:rsid w:val="00BF5C52"/>
    <w:rsid w:val="00BF6F09"/>
    <w:rsid w:val="00C00CF9"/>
    <w:rsid w:val="00C00FDA"/>
    <w:rsid w:val="00C01FA8"/>
    <w:rsid w:val="00C02EB9"/>
    <w:rsid w:val="00C0373C"/>
    <w:rsid w:val="00C048EC"/>
    <w:rsid w:val="00C04E4B"/>
    <w:rsid w:val="00C06C91"/>
    <w:rsid w:val="00C0789C"/>
    <w:rsid w:val="00C11531"/>
    <w:rsid w:val="00C11B56"/>
    <w:rsid w:val="00C14C04"/>
    <w:rsid w:val="00C1529E"/>
    <w:rsid w:val="00C16045"/>
    <w:rsid w:val="00C16050"/>
    <w:rsid w:val="00C175CC"/>
    <w:rsid w:val="00C21C9A"/>
    <w:rsid w:val="00C21CD7"/>
    <w:rsid w:val="00C21E27"/>
    <w:rsid w:val="00C2332A"/>
    <w:rsid w:val="00C3328E"/>
    <w:rsid w:val="00C3446D"/>
    <w:rsid w:val="00C3686B"/>
    <w:rsid w:val="00C375AF"/>
    <w:rsid w:val="00C42EA5"/>
    <w:rsid w:val="00C44B57"/>
    <w:rsid w:val="00C45FAA"/>
    <w:rsid w:val="00C478CE"/>
    <w:rsid w:val="00C47A65"/>
    <w:rsid w:val="00C5001C"/>
    <w:rsid w:val="00C505FB"/>
    <w:rsid w:val="00C54D7B"/>
    <w:rsid w:val="00C550DB"/>
    <w:rsid w:val="00C5670D"/>
    <w:rsid w:val="00C56A84"/>
    <w:rsid w:val="00C57BCB"/>
    <w:rsid w:val="00C62BF5"/>
    <w:rsid w:val="00C636DA"/>
    <w:rsid w:val="00C64CBC"/>
    <w:rsid w:val="00C6521B"/>
    <w:rsid w:val="00C65446"/>
    <w:rsid w:val="00C67E22"/>
    <w:rsid w:val="00C67F59"/>
    <w:rsid w:val="00C72271"/>
    <w:rsid w:val="00C725A5"/>
    <w:rsid w:val="00C72A17"/>
    <w:rsid w:val="00C74B17"/>
    <w:rsid w:val="00C764DA"/>
    <w:rsid w:val="00C81356"/>
    <w:rsid w:val="00C813CD"/>
    <w:rsid w:val="00C821EF"/>
    <w:rsid w:val="00C84A72"/>
    <w:rsid w:val="00C858D9"/>
    <w:rsid w:val="00C86A64"/>
    <w:rsid w:val="00C87DA0"/>
    <w:rsid w:val="00C90A68"/>
    <w:rsid w:val="00C91285"/>
    <w:rsid w:val="00C915DA"/>
    <w:rsid w:val="00C944AA"/>
    <w:rsid w:val="00C95018"/>
    <w:rsid w:val="00C96B83"/>
    <w:rsid w:val="00C96BDA"/>
    <w:rsid w:val="00C979E7"/>
    <w:rsid w:val="00CA3001"/>
    <w:rsid w:val="00CA4E4D"/>
    <w:rsid w:val="00CA50EE"/>
    <w:rsid w:val="00CA6FF9"/>
    <w:rsid w:val="00CA73DA"/>
    <w:rsid w:val="00CB1861"/>
    <w:rsid w:val="00CB2E3D"/>
    <w:rsid w:val="00CB4238"/>
    <w:rsid w:val="00CB5451"/>
    <w:rsid w:val="00CB5938"/>
    <w:rsid w:val="00CB5B27"/>
    <w:rsid w:val="00CB76EB"/>
    <w:rsid w:val="00CC13F5"/>
    <w:rsid w:val="00CC1A64"/>
    <w:rsid w:val="00CC224B"/>
    <w:rsid w:val="00CC2929"/>
    <w:rsid w:val="00CC30A1"/>
    <w:rsid w:val="00CC34EB"/>
    <w:rsid w:val="00CC36CE"/>
    <w:rsid w:val="00CC374B"/>
    <w:rsid w:val="00CC4C58"/>
    <w:rsid w:val="00CC66EA"/>
    <w:rsid w:val="00CD1253"/>
    <w:rsid w:val="00CD3C17"/>
    <w:rsid w:val="00CE1F9C"/>
    <w:rsid w:val="00CE2E20"/>
    <w:rsid w:val="00CE2E48"/>
    <w:rsid w:val="00CE47A4"/>
    <w:rsid w:val="00CE783E"/>
    <w:rsid w:val="00CF0184"/>
    <w:rsid w:val="00CF0E2B"/>
    <w:rsid w:val="00CF3E83"/>
    <w:rsid w:val="00CF4E4B"/>
    <w:rsid w:val="00CF55F6"/>
    <w:rsid w:val="00CF59E0"/>
    <w:rsid w:val="00CF6672"/>
    <w:rsid w:val="00D01AFA"/>
    <w:rsid w:val="00D021F7"/>
    <w:rsid w:val="00D0248E"/>
    <w:rsid w:val="00D02D5C"/>
    <w:rsid w:val="00D04D2A"/>
    <w:rsid w:val="00D069C7"/>
    <w:rsid w:val="00D078A2"/>
    <w:rsid w:val="00D07FB6"/>
    <w:rsid w:val="00D14F70"/>
    <w:rsid w:val="00D15C7B"/>
    <w:rsid w:val="00D21123"/>
    <w:rsid w:val="00D21142"/>
    <w:rsid w:val="00D225EA"/>
    <w:rsid w:val="00D22ED5"/>
    <w:rsid w:val="00D233D2"/>
    <w:rsid w:val="00D25265"/>
    <w:rsid w:val="00D26BB7"/>
    <w:rsid w:val="00D32051"/>
    <w:rsid w:val="00D32A4E"/>
    <w:rsid w:val="00D34863"/>
    <w:rsid w:val="00D367EB"/>
    <w:rsid w:val="00D36C91"/>
    <w:rsid w:val="00D40945"/>
    <w:rsid w:val="00D41871"/>
    <w:rsid w:val="00D4236E"/>
    <w:rsid w:val="00D42E84"/>
    <w:rsid w:val="00D4400E"/>
    <w:rsid w:val="00D45954"/>
    <w:rsid w:val="00D4613B"/>
    <w:rsid w:val="00D461C2"/>
    <w:rsid w:val="00D46393"/>
    <w:rsid w:val="00D5162F"/>
    <w:rsid w:val="00D55B27"/>
    <w:rsid w:val="00D56D61"/>
    <w:rsid w:val="00D57491"/>
    <w:rsid w:val="00D575EC"/>
    <w:rsid w:val="00D57A5C"/>
    <w:rsid w:val="00D615C7"/>
    <w:rsid w:val="00D61AAE"/>
    <w:rsid w:val="00D6306C"/>
    <w:rsid w:val="00D63D73"/>
    <w:rsid w:val="00D64CB8"/>
    <w:rsid w:val="00D65117"/>
    <w:rsid w:val="00D6757E"/>
    <w:rsid w:val="00D67BB9"/>
    <w:rsid w:val="00D720AE"/>
    <w:rsid w:val="00D72FD8"/>
    <w:rsid w:val="00D74696"/>
    <w:rsid w:val="00D76023"/>
    <w:rsid w:val="00D800EA"/>
    <w:rsid w:val="00D804DB"/>
    <w:rsid w:val="00D819F6"/>
    <w:rsid w:val="00D8361B"/>
    <w:rsid w:val="00D92A45"/>
    <w:rsid w:val="00D93531"/>
    <w:rsid w:val="00D93BF2"/>
    <w:rsid w:val="00D93D94"/>
    <w:rsid w:val="00D93F21"/>
    <w:rsid w:val="00D9697A"/>
    <w:rsid w:val="00DA0C85"/>
    <w:rsid w:val="00DA2432"/>
    <w:rsid w:val="00DA2B14"/>
    <w:rsid w:val="00DA3023"/>
    <w:rsid w:val="00DA4C48"/>
    <w:rsid w:val="00DA54E8"/>
    <w:rsid w:val="00DA5570"/>
    <w:rsid w:val="00DA727D"/>
    <w:rsid w:val="00DB0C39"/>
    <w:rsid w:val="00DB53A7"/>
    <w:rsid w:val="00DC0862"/>
    <w:rsid w:val="00DC2367"/>
    <w:rsid w:val="00DC3268"/>
    <w:rsid w:val="00DC4928"/>
    <w:rsid w:val="00DC4B8F"/>
    <w:rsid w:val="00DD0D8A"/>
    <w:rsid w:val="00DD170F"/>
    <w:rsid w:val="00DD7F67"/>
    <w:rsid w:val="00DE0352"/>
    <w:rsid w:val="00DE0A8A"/>
    <w:rsid w:val="00DE1034"/>
    <w:rsid w:val="00DE1106"/>
    <w:rsid w:val="00DE3389"/>
    <w:rsid w:val="00DE340C"/>
    <w:rsid w:val="00DF09D1"/>
    <w:rsid w:val="00DF2F8B"/>
    <w:rsid w:val="00DF34AD"/>
    <w:rsid w:val="00DF36B1"/>
    <w:rsid w:val="00DF3891"/>
    <w:rsid w:val="00DF3BC1"/>
    <w:rsid w:val="00DF50A8"/>
    <w:rsid w:val="00DF5EA6"/>
    <w:rsid w:val="00DF6837"/>
    <w:rsid w:val="00DF68E4"/>
    <w:rsid w:val="00DF6E54"/>
    <w:rsid w:val="00E00B37"/>
    <w:rsid w:val="00E015D4"/>
    <w:rsid w:val="00E038CE"/>
    <w:rsid w:val="00E04228"/>
    <w:rsid w:val="00E04457"/>
    <w:rsid w:val="00E04946"/>
    <w:rsid w:val="00E04BBC"/>
    <w:rsid w:val="00E101BE"/>
    <w:rsid w:val="00E10450"/>
    <w:rsid w:val="00E1158A"/>
    <w:rsid w:val="00E1478E"/>
    <w:rsid w:val="00E14C8F"/>
    <w:rsid w:val="00E159D7"/>
    <w:rsid w:val="00E15EAC"/>
    <w:rsid w:val="00E169BF"/>
    <w:rsid w:val="00E16CB8"/>
    <w:rsid w:val="00E17707"/>
    <w:rsid w:val="00E17AA2"/>
    <w:rsid w:val="00E20067"/>
    <w:rsid w:val="00E21027"/>
    <w:rsid w:val="00E213AB"/>
    <w:rsid w:val="00E21653"/>
    <w:rsid w:val="00E21869"/>
    <w:rsid w:val="00E21C9B"/>
    <w:rsid w:val="00E22FD8"/>
    <w:rsid w:val="00E2414E"/>
    <w:rsid w:val="00E25D25"/>
    <w:rsid w:val="00E25E14"/>
    <w:rsid w:val="00E260DB"/>
    <w:rsid w:val="00E26830"/>
    <w:rsid w:val="00E26FAF"/>
    <w:rsid w:val="00E27712"/>
    <w:rsid w:val="00E342A4"/>
    <w:rsid w:val="00E34D25"/>
    <w:rsid w:val="00E361AE"/>
    <w:rsid w:val="00E40B36"/>
    <w:rsid w:val="00E46A9F"/>
    <w:rsid w:val="00E478E9"/>
    <w:rsid w:val="00E5032C"/>
    <w:rsid w:val="00E50D15"/>
    <w:rsid w:val="00E51672"/>
    <w:rsid w:val="00E51C2C"/>
    <w:rsid w:val="00E522FC"/>
    <w:rsid w:val="00E55EE5"/>
    <w:rsid w:val="00E56B1A"/>
    <w:rsid w:val="00E57D2C"/>
    <w:rsid w:val="00E60AA4"/>
    <w:rsid w:val="00E60BB5"/>
    <w:rsid w:val="00E61784"/>
    <w:rsid w:val="00E61921"/>
    <w:rsid w:val="00E625B3"/>
    <w:rsid w:val="00E6423F"/>
    <w:rsid w:val="00E64743"/>
    <w:rsid w:val="00E66512"/>
    <w:rsid w:val="00E71ED2"/>
    <w:rsid w:val="00E7257D"/>
    <w:rsid w:val="00E72860"/>
    <w:rsid w:val="00E728CB"/>
    <w:rsid w:val="00E7336F"/>
    <w:rsid w:val="00E7407B"/>
    <w:rsid w:val="00E746F2"/>
    <w:rsid w:val="00E74F3B"/>
    <w:rsid w:val="00E76262"/>
    <w:rsid w:val="00E764D3"/>
    <w:rsid w:val="00E8459D"/>
    <w:rsid w:val="00E84A6B"/>
    <w:rsid w:val="00E92385"/>
    <w:rsid w:val="00E927CF"/>
    <w:rsid w:val="00E935A4"/>
    <w:rsid w:val="00E93F74"/>
    <w:rsid w:val="00E95C96"/>
    <w:rsid w:val="00E9685E"/>
    <w:rsid w:val="00E96DEA"/>
    <w:rsid w:val="00E97DA6"/>
    <w:rsid w:val="00EA1585"/>
    <w:rsid w:val="00EA19EF"/>
    <w:rsid w:val="00EA332C"/>
    <w:rsid w:val="00EA37E7"/>
    <w:rsid w:val="00EA3E5F"/>
    <w:rsid w:val="00EA48AE"/>
    <w:rsid w:val="00EB00B3"/>
    <w:rsid w:val="00EB04D7"/>
    <w:rsid w:val="00EB09E2"/>
    <w:rsid w:val="00EB15A6"/>
    <w:rsid w:val="00EB72AF"/>
    <w:rsid w:val="00EB74A5"/>
    <w:rsid w:val="00EC1A98"/>
    <w:rsid w:val="00EC378A"/>
    <w:rsid w:val="00EC453D"/>
    <w:rsid w:val="00EC47CB"/>
    <w:rsid w:val="00EC55A8"/>
    <w:rsid w:val="00EC67E3"/>
    <w:rsid w:val="00EC7144"/>
    <w:rsid w:val="00ED4C82"/>
    <w:rsid w:val="00ED5C5F"/>
    <w:rsid w:val="00EE0126"/>
    <w:rsid w:val="00EE0C89"/>
    <w:rsid w:val="00EE2B87"/>
    <w:rsid w:val="00EE47FE"/>
    <w:rsid w:val="00EE4F0F"/>
    <w:rsid w:val="00EE50C6"/>
    <w:rsid w:val="00EE5D41"/>
    <w:rsid w:val="00EE766D"/>
    <w:rsid w:val="00EF2A15"/>
    <w:rsid w:val="00EF3BAB"/>
    <w:rsid w:val="00EF5BFD"/>
    <w:rsid w:val="00EF6717"/>
    <w:rsid w:val="00EF7B33"/>
    <w:rsid w:val="00F00470"/>
    <w:rsid w:val="00F01C6F"/>
    <w:rsid w:val="00F0509B"/>
    <w:rsid w:val="00F06EE2"/>
    <w:rsid w:val="00F074DC"/>
    <w:rsid w:val="00F12F7A"/>
    <w:rsid w:val="00F13B96"/>
    <w:rsid w:val="00F15632"/>
    <w:rsid w:val="00F16191"/>
    <w:rsid w:val="00F17535"/>
    <w:rsid w:val="00F20949"/>
    <w:rsid w:val="00F20B97"/>
    <w:rsid w:val="00F23A01"/>
    <w:rsid w:val="00F24F8F"/>
    <w:rsid w:val="00F303B2"/>
    <w:rsid w:val="00F307E0"/>
    <w:rsid w:val="00F3383E"/>
    <w:rsid w:val="00F34D63"/>
    <w:rsid w:val="00F40DE4"/>
    <w:rsid w:val="00F41BD7"/>
    <w:rsid w:val="00F46978"/>
    <w:rsid w:val="00F47052"/>
    <w:rsid w:val="00F50D05"/>
    <w:rsid w:val="00F571D6"/>
    <w:rsid w:val="00F57F7A"/>
    <w:rsid w:val="00F61295"/>
    <w:rsid w:val="00F617F5"/>
    <w:rsid w:val="00F61DA2"/>
    <w:rsid w:val="00F62097"/>
    <w:rsid w:val="00F62D33"/>
    <w:rsid w:val="00F64AB3"/>
    <w:rsid w:val="00F655AA"/>
    <w:rsid w:val="00F6570B"/>
    <w:rsid w:val="00F66681"/>
    <w:rsid w:val="00F66FEA"/>
    <w:rsid w:val="00F67615"/>
    <w:rsid w:val="00F71A00"/>
    <w:rsid w:val="00F726D1"/>
    <w:rsid w:val="00F74209"/>
    <w:rsid w:val="00F76C98"/>
    <w:rsid w:val="00F804CD"/>
    <w:rsid w:val="00F80750"/>
    <w:rsid w:val="00F813CA"/>
    <w:rsid w:val="00F826F6"/>
    <w:rsid w:val="00F85F59"/>
    <w:rsid w:val="00F86538"/>
    <w:rsid w:val="00F86717"/>
    <w:rsid w:val="00F86AD8"/>
    <w:rsid w:val="00F86DD4"/>
    <w:rsid w:val="00F90B8B"/>
    <w:rsid w:val="00F9116D"/>
    <w:rsid w:val="00F91884"/>
    <w:rsid w:val="00F91FB0"/>
    <w:rsid w:val="00F921A4"/>
    <w:rsid w:val="00F92A4F"/>
    <w:rsid w:val="00F95803"/>
    <w:rsid w:val="00F97C7A"/>
    <w:rsid w:val="00FA1225"/>
    <w:rsid w:val="00FA2909"/>
    <w:rsid w:val="00FA3A42"/>
    <w:rsid w:val="00FA3CEC"/>
    <w:rsid w:val="00FA47A2"/>
    <w:rsid w:val="00FA7028"/>
    <w:rsid w:val="00FB00C9"/>
    <w:rsid w:val="00FB0E4C"/>
    <w:rsid w:val="00FB3AE6"/>
    <w:rsid w:val="00FB4CF2"/>
    <w:rsid w:val="00FB51F3"/>
    <w:rsid w:val="00FB697A"/>
    <w:rsid w:val="00FC071B"/>
    <w:rsid w:val="00FC3A8B"/>
    <w:rsid w:val="00FC44EB"/>
    <w:rsid w:val="00FC4845"/>
    <w:rsid w:val="00FC6B03"/>
    <w:rsid w:val="00FD06D5"/>
    <w:rsid w:val="00FD28FF"/>
    <w:rsid w:val="00FD3387"/>
    <w:rsid w:val="00FD3AE5"/>
    <w:rsid w:val="00FD4272"/>
    <w:rsid w:val="00FD68A1"/>
    <w:rsid w:val="00FD6C6F"/>
    <w:rsid w:val="00FD6E90"/>
    <w:rsid w:val="00FE0985"/>
    <w:rsid w:val="00FE2A58"/>
    <w:rsid w:val="00FE419E"/>
    <w:rsid w:val="00FE4FCB"/>
    <w:rsid w:val="00FE5E50"/>
    <w:rsid w:val="00FE762A"/>
    <w:rsid w:val="00FE7A8B"/>
    <w:rsid w:val="00FF2484"/>
    <w:rsid w:val="00FF3002"/>
    <w:rsid w:val="00FF4201"/>
    <w:rsid w:val="00FF477D"/>
    <w:rsid w:val="00FF48B7"/>
    <w:rsid w:val="00FF58FB"/>
    <w:rsid w:val="00FF6E17"/>
    <w:rsid w:val="03DB3FBE"/>
    <w:rsid w:val="0442D8BA"/>
    <w:rsid w:val="0478FD87"/>
    <w:rsid w:val="04BFDFE6"/>
    <w:rsid w:val="0875D6D6"/>
    <w:rsid w:val="08CF3CE4"/>
    <w:rsid w:val="09F77B2F"/>
    <w:rsid w:val="0A1F9EAE"/>
    <w:rsid w:val="0A617C1C"/>
    <w:rsid w:val="0C5B3222"/>
    <w:rsid w:val="0C60297A"/>
    <w:rsid w:val="0DD5BE2B"/>
    <w:rsid w:val="0FCBD413"/>
    <w:rsid w:val="1054DFCC"/>
    <w:rsid w:val="11BD93B3"/>
    <w:rsid w:val="125780D9"/>
    <w:rsid w:val="1360BFD6"/>
    <w:rsid w:val="1384C3D5"/>
    <w:rsid w:val="13859FCF"/>
    <w:rsid w:val="139A548E"/>
    <w:rsid w:val="157CC48A"/>
    <w:rsid w:val="158A1C31"/>
    <w:rsid w:val="165CD074"/>
    <w:rsid w:val="1717A7B7"/>
    <w:rsid w:val="186FC154"/>
    <w:rsid w:val="18C6C25D"/>
    <w:rsid w:val="18F860C2"/>
    <w:rsid w:val="1A4DFE37"/>
    <w:rsid w:val="1AC1F00B"/>
    <w:rsid w:val="1B053F0D"/>
    <w:rsid w:val="1C0387A3"/>
    <w:rsid w:val="1C91DB02"/>
    <w:rsid w:val="1CAA3F3F"/>
    <w:rsid w:val="1D7C2A1B"/>
    <w:rsid w:val="1D98027C"/>
    <w:rsid w:val="1E0B0F2C"/>
    <w:rsid w:val="1E10CF9E"/>
    <w:rsid w:val="1E9DABB5"/>
    <w:rsid w:val="1EB57360"/>
    <w:rsid w:val="1F3612F2"/>
    <w:rsid w:val="22EEF8B0"/>
    <w:rsid w:val="240EEEBB"/>
    <w:rsid w:val="260D2F77"/>
    <w:rsid w:val="263F7CB4"/>
    <w:rsid w:val="2651F56B"/>
    <w:rsid w:val="271AE2D7"/>
    <w:rsid w:val="27EE483E"/>
    <w:rsid w:val="286161A5"/>
    <w:rsid w:val="2874976D"/>
    <w:rsid w:val="2B1E1600"/>
    <w:rsid w:val="2D524831"/>
    <w:rsid w:val="2DF6325D"/>
    <w:rsid w:val="2EAE8366"/>
    <w:rsid w:val="301A5829"/>
    <w:rsid w:val="3149EFFF"/>
    <w:rsid w:val="33D4FF21"/>
    <w:rsid w:val="3446BEDF"/>
    <w:rsid w:val="3459F8C5"/>
    <w:rsid w:val="3465130C"/>
    <w:rsid w:val="363CAF4A"/>
    <w:rsid w:val="3640EB74"/>
    <w:rsid w:val="36911906"/>
    <w:rsid w:val="38899D31"/>
    <w:rsid w:val="38A87044"/>
    <w:rsid w:val="38E2E16A"/>
    <w:rsid w:val="3AD3D5E4"/>
    <w:rsid w:val="3C7BEEBE"/>
    <w:rsid w:val="3E7DDB27"/>
    <w:rsid w:val="3F19886C"/>
    <w:rsid w:val="407D4F11"/>
    <w:rsid w:val="413E026A"/>
    <w:rsid w:val="42634AD3"/>
    <w:rsid w:val="43499195"/>
    <w:rsid w:val="43A48E43"/>
    <w:rsid w:val="44987D6D"/>
    <w:rsid w:val="45AAC5A6"/>
    <w:rsid w:val="45C16CA1"/>
    <w:rsid w:val="47B2DA66"/>
    <w:rsid w:val="48181F24"/>
    <w:rsid w:val="490BF0B7"/>
    <w:rsid w:val="4B188BC2"/>
    <w:rsid w:val="4B34FF05"/>
    <w:rsid w:val="4B4C7522"/>
    <w:rsid w:val="4B5996C4"/>
    <w:rsid w:val="4EACF2A5"/>
    <w:rsid w:val="4EBBBF07"/>
    <w:rsid w:val="4FC890D0"/>
    <w:rsid w:val="51F8377F"/>
    <w:rsid w:val="542A73F3"/>
    <w:rsid w:val="551BC1AA"/>
    <w:rsid w:val="56AA49D2"/>
    <w:rsid w:val="576E9916"/>
    <w:rsid w:val="5924CD18"/>
    <w:rsid w:val="5950D9DA"/>
    <w:rsid w:val="5BB8CF40"/>
    <w:rsid w:val="5C3C42A7"/>
    <w:rsid w:val="5C84B38A"/>
    <w:rsid w:val="5D360C12"/>
    <w:rsid w:val="5D7FD021"/>
    <w:rsid w:val="5EB8CA8D"/>
    <w:rsid w:val="5F873154"/>
    <w:rsid w:val="5FD42702"/>
    <w:rsid w:val="60519027"/>
    <w:rsid w:val="60906794"/>
    <w:rsid w:val="61804A9C"/>
    <w:rsid w:val="64201B2F"/>
    <w:rsid w:val="65EE890B"/>
    <w:rsid w:val="66D0F74B"/>
    <w:rsid w:val="674D3AE0"/>
    <w:rsid w:val="67656C7F"/>
    <w:rsid w:val="68F3CF93"/>
    <w:rsid w:val="6985698A"/>
    <w:rsid w:val="6AEA03F3"/>
    <w:rsid w:val="6B509350"/>
    <w:rsid w:val="6B5CDC9D"/>
    <w:rsid w:val="6C22B13A"/>
    <w:rsid w:val="6C282CE7"/>
    <w:rsid w:val="6CB1964B"/>
    <w:rsid w:val="6FE6BED4"/>
    <w:rsid w:val="7021BA03"/>
    <w:rsid w:val="70EC357F"/>
    <w:rsid w:val="70FE1B52"/>
    <w:rsid w:val="72A0F73D"/>
    <w:rsid w:val="75720499"/>
    <w:rsid w:val="758365C5"/>
    <w:rsid w:val="7705A1F9"/>
    <w:rsid w:val="78CF2E88"/>
    <w:rsid w:val="7950D151"/>
    <w:rsid w:val="79ABCF18"/>
    <w:rsid w:val="7A346BE8"/>
    <w:rsid w:val="7A5D844B"/>
    <w:rsid w:val="7A72B820"/>
    <w:rsid w:val="7BC517BE"/>
    <w:rsid w:val="7C36026E"/>
    <w:rsid w:val="7C59F27F"/>
    <w:rsid w:val="7CC0128B"/>
    <w:rsid w:val="7D9D5B6D"/>
    <w:rsid w:val="7DB3A7B8"/>
    <w:rsid w:val="7DFC377C"/>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D4A"/>
  <w15:chartTrackingRefBased/>
  <w15:docId w15:val="{55EFC35D-0BCD-4191-BE2D-F076EB8B8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21"/>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0F06C1"/>
    <w:pPr>
      <w:numPr>
        <w:numId w:val="0"/>
      </w:numPr>
      <w:outlineLvl w:val="4"/>
    </w:pPr>
    <w:rPr>
      <w:rFonts w:ascii="Times New Roman" w:hAnsi="Times New Roman" w:cs="Times New Roman"/>
      <w:b/>
      <w:i/>
      <w:sz w:val="24"/>
      <w:szCs w:val="24"/>
    </w:rPr>
  </w:style>
  <w:style w:type="paragraph" w:styleId="Heading6">
    <w:name w:val="heading 6"/>
    <w:basedOn w:val="Normal"/>
    <w:next w:val="Normal"/>
    <w:link w:val="Heading6Char"/>
    <w:uiPriority w:val="9"/>
    <w:qFormat/>
    <w:rsid w:val="005510C2"/>
    <w:pPr>
      <w:numPr>
        <w:numId w:val="0"/>
      </w:numPr>
      <w:outlineLvl w:val="5"/>
    </w:pPr>
    <w:rPr>
      <w:rFonts w:ascii="Times New Roman" w:hAnsi="Times New Roman" w:cs="Times New Roman"/>
      <w:i/>
      <w:sz w:val="24"/>
      <w:szCs w:val="24"/>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nhideWhenUsed/>
    <w:qFormat/>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nhideWhenUsed/>
    <w:qFormat/>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0F06C1"/>
    <w:rPr>
      <w:rFonts w:ascii="Times New Roman" w:hAnsi="Times New Roman" w:cs="Times New Roman"/>
      <w:b/>
      <w:i/>
      <w:sz w:val="24"/>
      <w:szCs w:val="24"/>
    </w:rPr>
  </w:style>
  <w:style w:type="character" w:customStyle="1" w:styleId="Heading6Char">
    <w:name w:val="Heading 6 Char"/>
    <w:basedOn w:val="DefaultParagraphFont"/>
    <w:link w:val="Heading6"/>
    <w:uiPriority w:val="9"/>
    <w:rsid w:val="005510C2"/>
    <w:rPr>
      <w:rFonts w:ascii="Times New Roman" w:hAnsi="Times New Roman" w:cs="Times New Roman"/>
      <w:i/>
      <w:sz w:val="24"/>
      <w:szCs w:val="24"/>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unhideWhenUsed/>
    <w:locked/>
    <w:rsid w:val="006A555E"/>
    <w:rPr>
      <w:color w:val="605E5C"/>
      <w:shd w:val="clear" w:color="auto" w:fill="E1DFDD"/>
    </w:rPr>
  </w:style>
  <w:style w:type="paragraph" w:customStyle="1" w:styleId="Bullet">
    <w:name w:val="Bullet"/>
    <w:basedOn w:val="Normal"/>
    <w:link w:val="BulletChar"/>
    <w:rsid w:val="009074DD"/>
    <w:pPr>
      <w:numPr>
        <w:numId w:val="24"/>
      </w:numPr>
      <w:spacing w:before="240" w:after="120"/>
      <w:jc w:val="left"/>
    </w:pPr>
    <w:rPr>
      <w:rFonts w:ascii="Times New Roman" w:eastAsia="Times New Roman" w:hAnsi="Times New Roman" w:cs="Times New Roman"/>
      <w:color w:val="auto"/>
      <w:sz w:val="24"/>
      <w:szCs w:val="23"/>
      <w:lang w:eastAsia="en-AU"/>
    </w:rPr>
  </w:style>
  <w:style w:type="character" w:customStyle="1" w:styleId="BulletChar">
    <w:name w:val="Bullet Char"/>
    <w:basedOn w:val="DefaultParagraphFont"/>
    <w:link w:val="Bullet"/>
    <w:rsid w:val="009074DD"/>
    <w:rPr>
      <w:rFonts w:ascii="Times New Roman" w:eastAsia="Times New Roman" w:hAnsi="Times New Roman" w:cs="Times New Roman"/>
      <w:color w:val="auto"/>
      <w:sz w:val="24"/>
      <w:szCs w:val="23"/>
      <w:lang w:eastAsia="en-AU"/>
    </w:rPr>
  </w:style>
  <w:style w:type="paragraph" w:customStyle="1" w:styleId="Dash">
    <w:name w:val="Dash"/>
    <w:basedOn w:val="Normal"/>
    <w:rsid w:val="009074DD"/>
    <w:pPr>
      <w:numPr>
        <w:ilvl w:val="1"/>
        <w:numId w:val="24"/>
      </w:numPr>
      <w:tabs>
        <w:tab w:val="clear" w:pos="1134"/>
        <w:tab w:val="num" w:pos="360"/>
      </w:tabs>
      <w:spacing w:before="240" w:after="120"/>
      <w:jc w:val="left"/>
    </w:pPr>
    <w:rPr>
      <w:rFonts w:ascii="Times New Roman" w:eastAsia="Times New Roman" w:hAnsi="Times New Roman" w:cs="Times New Roman"/>
      <w:color w:val="auto"/>
      <w:sz w:val="24"/>
      <w:szCs w:val="23"/>
      <w:lang w:eastAsia="en-AU"/>
    </w:rPr>
  </w:style>
  <w:style w:type="paragraph" w:customStyle="1" w:styleId="DoubleDot">
    <w:name w:val="Double Dot"/>
    <w:basedOn w:val="Normal"/>
    <w:rsid w:val="009074DD"/>
    <w:pPr>
      <w:numPr>
        <w:ilvl w:val="2"/>
        <w:numId w:val="24"/>
      </w:numPr>
      <w:tabs>
        <w:tab w:val="clear" w:pos="1701"/>
        <w:tab w:val="num" w:pos="360"/>
      </w:tabs>
      <w:spacing w:before="240" w:after="120"/>
      <w:jc w:val="left"/>
    </w:pPr>
    <w:rPr>
      <w:rFonts w:ascii="Times New Roman" w:eastAsia="Times New Roman" w:hAnsi="Times New Roman" w:cs="Times New Roman"/>
      <w:color w:val="auto"/>
      <w:sz w:val="24"/>
      <w:szCs w:val="23"/>
      <w:lang w:eastAsia="en-AU"/>
    </w:rPr>
  </w:style>
  <w:style w:type="paragraph" w:customStyle="1" w:styleId="BodyText1">
    <w:name w:val="Body Text 1"/>
    <w:basedOn w:val="Normal"/>
    <w:qFormat/>
    <w:rsid w:val="00FD6E90"/>
    <w:pPr>
      <w:numPr>
        <w:numId w:val="0"/>
      </w:numPr>
      <w:tabs>
        <w:tab w:val="num" w:pos="567"/>
      </w:tabs>
      <w:ind w:left="567" w:hanging="567"/>
    </w:pPr>
    <w:rPr>
      <w:rFonts w:ascii="Times New Roman" w:eastAsia="Times New Roman" w:hAnsi="Times New Roman" w:cs="Times New Roman"/>
      <w:color w:val="auto"/>
      <w:sz w:val="24"/>
      <w:szCs w:val="24"/>
      <w:lang w:eastAsia="en-AU"/>
    </w:rPr>
  </w:style>
  <w:style w:type="character" w:customStyle="1" w:styleId="PSNamefieldtext">
    <w:name w:val="PS Name field text"/>
    <w:basedOn w:val="DefaultParagraphFont"/>
    <w:uiPriority w:val="2"/>
    <w:qFormat/>
    <w:rsid w:val="00FD6E90"/>
    <w:rPr>
      <w:lang w:eastAsia="en-AU"/>
    </w:rPr>
  </w:style>
  <w:style w:type="paragraph" w:customStyle="1" w:styleId="BodyText4">
    <w:name w:val="Body Text 4"/>
    <w:basedOn w:val="Normal"/>
    <w:qFormat/>
    <w:rsid w:val="00FD6E90"/>
    <w:pPr>
      <w:numPr>
        <w:numId w:val="0"/>
      </w:numPr>
      <w:tabs>
        <w:tab w:val="num" w:pos="2268"/>
      </w:tabs>
      <w:ind w:left="2268" w:hanging="567"/>
      <w:jc w:val="left"/>
    </w:pPr>
    <w:rPr>
      <w:rFonts w:ascii="Times New Roman" w:eastAsia="Calibri" w:hAnsi="Times New Roman" w:cs="Times New Roman"/>
      <w:color w:val="auto"/>
      <w:sz w:val="24"/>
      <w:szCs w:val="24"/>
      <w:lang w:eastAsia="en-AU"/>
    </w:rPr>
  </w:style>
  <w:style w:type="paragraph" w:customStyle="1" w:styleId="subsection">
    <w:name w:val="subsection"/>
    <w:basedOn w:val="Normal"/>
    <w:rsid w:val="00FD6E90"/>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customStyle="1" w:styleId="paragraph">
    <w:name w:val="paragraph"/>
    <w:basedOn w:val="Normal"/>
    <w:rsid w:val="00FD6E90"/>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FD6E90"/>
  </w:style>
  <w:style w:type="character" w:customStyle="1" w:styleId="eop">
    <w:name w:val="eop"/>
    <w:basedOn w:val="DefaultParagraphFont"/>
    <w:rsid w:val="00FD6E90"/>
  </w:style>
  <w:style w:type="character" w:styleId="Mention">
    <w:name w:val="Mention"/>
    <w:basedOn w:val="DefaultParagraphFont"/>
    <w:uiPriority w:val="99"/>
    <w:unhideWhenUsed/>
    <w:locked/>
    <w:rsid w:val="00767C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7809">
      <w:bodyDiv w:val="1"/>
      <w:marLeft w:val="0"/>
      <w:marRight w:val="0"/>
      <w:marTop w:val="0"/>
      <w:marBottom w:val="0"/>
      <w:divBdr>
        <w:top w:val="none" w:sz="0" w:space="0" w:color="auto"/>
        <w:left w:val="none" w:sz="0" w:space="0" w:color="auto"/>
        <w:bottom w:val="none" w:sz="0" w:space="0" w:color="auto"/>
        <w:right w:val="none" w:sz="0" w:space="0" w:color="auto"/>
      </w:divBdr>
      <w:divsChild>
        <w:div w:id="37553710">
          <w:marLeft w:val="0"/>
          <w:marRight w:val="0"/>
          <w:marTop w:val="0"/>
          <w:marBottom w:val="0"/>
          <w:divBdr>
            <w:top w:val="none" w:sz="0" w:space="0" w:color="auto"/>
            <w:left w:val="none" w:sz="0" w:space="0" w:color="auto"/>
            <w:bottom w:val="none" w:sz="0" w:space="0" w:color="auto"/>
            <w:right w:val="none" w:sz="0" w:space="0" w:color="auto"/>
          </w:divBdr>
        </w:div>
        <w:div w:id="418019097">
          <w:marLeft w:val="0"/>
          <w:marRight w:val="0"/>
          <w:marTop w:val="0"/>
          <w:marBottom w:val="0"/>
          <w:divBdr>
            <w:top w:val="none" w:sz="0" w:space="0" w:color="auto"/>
            <w:left w:val="none" w:sz="0" w:space="0" w:color="auto"/>
            <w:bottom w:val="none" w:sz="0" w:space="0" w:color="auto"/>
            <w:right w:val="none" w:sz="0" w:space="0" w:color="auto"/>
          </w:divBdr>
        </w:div>
        <w:div w:id="437024880">
          <w:marLeft w:val="0"/>
          <w:marRight w:val="0"/>
          <w:marTop w:val="0"/>
          <w:marBottom w:val="0"/>
          <w:divBdr>
            <w:top w:val="none" w:sz="0" w:space="0" w:color="auto"/>
            <w:left w:val="none" w:sz="0" w:space="0" w:color="auto"/>
            <w:bottom w:val="none" w:sz="0" w:space="0" w:color="auto"/>
            <w:right w:val="none" w:sz="0" w:space="0" w:color="auto"/>
          </w:divBdr>
        </w:div>
        <w:div w:id="732580678">
          <w:marLeft w:val="0"/>
          <w:marRight w:val="0"/>
          <w:marTop w:val="0"/>
          <w:marBottom w:val="0"/>
          <w:divBdr>
            <w:top w:val="none" w:sz="0" w:space="0" w:color="auto"/>
            <w:left w:val="none" w:sz="0" w:space="0" w:color="auto"/>
            <w:bottom w:val="none" w:sz="0" w:space="0" w:color="auto"/>
            <w:right w:val="none" w:sz="0" w:space="0" w:color="auto"/>
          </w:divBdr>
        </w:div>
        <w:div w:id="737749090">
          <w:marLeft w:val="0"/>
          <w:marRight w:val="0"/>
          <w:marTop w:val="0"/>
          <w:marBottom w:val="0"/>
          <w:divBdr>
            <w:top w:val="none" w:sz="0" w:space="0" w:color="auto"/>
            <w:left w:val="none" w:sz="0" w:space="0" w:color="auto"/>
            <w:bottom w:val="none" w:sz="0" w:space="0" w:color="auto"/>
            <w:right w:val="none" w:sz="0" w:space="0" w:color="auto"/>
          </w:divBdr>
        </w:div>
        <w:div w:id="1059598460">
          <w:marLeft w:val="0"/>
          <w:marRight w:val="0"/>
          <w:marTop w:val="0"/>
          <w:marBottom w:val="0"/>
          <w:divBdr>
            <w:top w:val="none" w:sz="0" w:space="0" w:color="auto"/>
            <w:left w:val="none" w:sz="0" w:space="0" w:color="auto"/>
            <w:bottom w:val="none" w:sz="0" w:space="0" w:color="auto"/>
            <w:right w:val="none" w:sz="0" w:space="0" w:color="auto"/>
          </w:divBdr>
          <w:divsChild>
            <w:div w:id="584996564">
              <w:marLeft w:val="0"/>
              <w:marRight w:val="0"/>
              <w:marTop w:val="0"/>
              <w:marBottom w:val="0"/>
              <w:divBdr>
                <w:top w:val="none" w:sz="0" w:space="0" w:color="auto"/>
                <w:left w:val="none" w:sz="0" w:space="0" w:color="auto"/>
                <w:bottom w:val="none" w:sz="0" w:space="0" w:color="auto"/>
                <w:right w:val="none" w:sz="0" w:space="0" w:color="auto"/>
              </w:divBdr>
            </w:div>
            <w:div w:id="763261835">
              <w:marLeft w:val="0"/>
              <w:marRight w:val="0"/>
              <w:marTop w:val="0"/>
              <w:marBottom w:val="0"/>
              <w:divBdr>
                <w:top w:val="none" w:sz="0" w:space="0" w:color="auto"/>
                <w:left w:val="none" w:sz="0" w:space="0" w:color="auto"/>
                <w:bottom w:val="none" w:sz="0" w:space="0" w:color="auto"/>
                <w:right w:val="none" w:sz="0" w:space="0" w:color="auto"/>
              </w:divBdr>
            </w:div>
            <w:div w:id="1126581581">
              <w:marLeft w:val="0"/>
              <w:marRight w:val="0"/>
              <w:marTop w:val="0"/>
              <w:marBottom w:val="0"/>
              <w:divBdr>
                <w:top w:val="none" w:sz="0" w:space="0" w:color="auto"/>
                <w:left w:val="none" w:sz="0" w:space="0" w:color="auto"/>
                <w:bottom w:val="none" w:sz="0" w:space="0" w:color="auto"/>
                <w:right w:val="none" w:sz="0" w:space="0" w:color="auto"/>
              </w:divBdr>
            </w:div>
            <w:div w:id="1589731573">
              <w:marLeft w:val="0"/>
              <w:marRight w:val="0"/>
              <w:marTop w:val="0"/>
              <w:marBottom w:val="0"/>
              <w:divBdr>
                <w:top w:val="none" w:sz="0" w:space="0" w:color="auto"/>
                <w:left w:val="none" w:sz="0" w:space="0" w:color="auto"/>
                <w:bottom w:val="none" w:sz="0" w:space="0" w:color="auto"/>
                <w:right w:val="none" w:sz="0" w:space="0" w:color="auto"/>
              </w:divBdr>
            </w:div>
          </w:divsChild>
        </w:div>
        <w:div w:id="1301691329">
          <w:marLeft w:val="0"/>
          <w:marRight w:val="0"/>
          <w:marTop w:val="0"/>
          <w:marBottom w:val="0"/>
          <w:divBdr>
            <w:top w:val="none" w:sz="0" w:space="0" w:color="auto"/>
            <w:left w:val="none" w:sz="0" w:space="0" w:color="auto"/>
            <w:bottom w:val="none" w:sz="0" w:space="0" w:color="auto"/>
            <w:right w:val="none" w:sz="0" w:space="0" w:color="auto"/>
          </w:divBdr>
        </w:div>
        <w:div w:id="1442644678">
          <w:marLeft w:val="0"/>
          <w:marRight w:val="0"/>
          <w:marTop w:val="0"/>
          <w:marBottom w:val="0"/>
          <w:divBdr>
            <w:top w:val="none" w:sz="0" w:space="0" w:color="auto"/>
            <w:left w:val="none" w:sz="0" w:space="0" w:color="auto"/>
            <w:bottom w:val="none" w:sz="0" w:space="0" w:color="auto"/>
            <w:right w:val="none" w:sz="0" w:space="0" w:color="auto"/>
          </w:divBdr>
        </w:div>
        <w:div w:id="1705518737">
          <w:marLeft w:val="0"/>
          <w:marRight w:val="0"/>
          <w:marTop w:val="0"/>
          <w:marBottom w:val="0"/>
          <w:divBdr>
            <w:top w:val="none" w:sz="0" w:space="0" w:color="auto"/>
            <w:left w:val="none" w:sz="0" w:space="0" w:color="auto"/>
            <w:bottom w:val="none" w:sz="0" w:space="0" w:color="auto"/>
            <w:right w:val="none" w:sz="0" w:space="0" w:color="auto"/>
          </w:divBdr>
        </w:div>
        <w:div w:id="1808815715">
          <w:marLeft w:val="0"/>
          <w:marRight w:val="0"/>
          <w:marTop w:val="0"/>
          <w:marBottom w:val="0"/>
          <w:divBdr>
            <w:top w:val="none" w:sz="0" w:space="0" w:color="auto"/>
            <w:left w:val="none" w:sz="0" w:space="0" w:color="auto"/>
            <w:bottom w:val="none" w:sz="0" w:space="0" w:color="auto"/>
            <w:right w:val="none" w:sz="0" w:space="0" w:color="auto"/>
          </w:divBdr>
        </w:div>
        <w:div w:id="2097438633">
          <w:marLeft w:val="0"/>
          <w:marRight w:val="0"/>
          <w:marTop w:val="0"/>
          <w:marBottom w:val="0"/>
          <w:divBdr>
            <w:top w:val="none" w:sz="0" w:space="0" w:color="auto"/>
            <w:left w:val="none" w:sz="0" w:space="0" w:color="auto"/>
            <w:bottom w:val="none" w:sz="0" w:space="0" w:color="auto"/>
            <w:right w:val="none" w:sz="0" w:space="0" w:color="auto"/>
          </w:divBdr>
        </w:div>
        <w:div w:id="2145585485">
          <w:marLeft w:val="0"/>
          <w:marRight w:val="0"/>
          <w:marTop w:val="0"/>
          <w:marBottom w:val="0"/>
          <w:divBdr>
            <w:top w:val="none" w:sz="0" w:space="0" w:color="auto"/>
            <w:left w:val="none" w:sz="0" w:space="0" w:color="auto"/>
            <w:bottom w:val="none" w:sz="0" w:space="0" w:color="auto"/>
            <w:right w:val="none" w:sz="0" w:space="0" w:color="auto"/>
          </w:divBdr>
        </w:div>
      </w:divsChild>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139199995">
      <w:bodyDiv w:val="1"/>
      <w:marLeft w:val="0"/>
      <w:marRight w:val="0"/>
      <w:marTop w:val="0"/>
      <w:marBottom w:val="0"/>
      <w:divBdr>
        <w:top w:val="none" w:sz="0" w:space="0" w:color="auto"/>
        <w:left w:val="none" w:sz="0" w:space="0" w:color="auto"/>
        <w:bottom w:val="none" w:sz="0" w:space="0" w:color="auto"/>
        <w:right w:val="none" w:sz="0" w:space="0" w:color="auto"/>
      </w:divBdr>
    </w:div>
    <w:div w:id="651063882">
      <w:bodyDiv w:val="1"/>
      <w:marLeft w:val="0"/>
      <w:marRight w:val="0"/>
      <w:marTop w:val="0"/>
      <w:marBottom w:val="0"/>
      <w:divBdr>
        <w:top w:val="none" w:sz="0" w:space="0" w:color="auto"/>
        <w:left w:val="none" w:sz="0" w:space="0" w:color="auto"/>
        <w:bottom w:val="none" w:sz="0" w:space="0" w:color="auto"/>
        <w:right w:val="none" w:sz="0" w:space="0" w:color="auto"/>
      </w:divBdr>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7076128">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069961510">
      <w:bodyDiv w:val="1"/>
      <w:marLeft w:val="0"/>
      <w:marRight w:val="0"/>
      <w:marTop w:val="0"/>
      <w:marBottom w:val="0"/>
      <w:divBdr>
        <w:top w:val="none" w:sz="0" w:space="0" w:color="auto"/>
        <w:left w:val="none" w:sz="0" w:space="0" w:color="auto"/>
        <w:bottom w:val="none" w:sz="0" w:space="0" w:color="auto"/>
        <w:right w:val="none" w:sz="0" w:space="0" w:color="auto"/>
      </w:divBdr>
    </w:div>
    <w:div w:id="1092049144">
      <w:bodyDiv w:val="1"/>
      <w:marLeft w:val="0"/>
      <w:marRight w:val="0"/>
      <w:marTop w:val="0"/>
      <w:marBottom w:val="0"/>
      <w:divBdr>
        <w:top w:val="none" w:sz="0" w:space="0" w:color="auto"/>
        <w:left w:val="none" w:sz="0" w:space="0" w:color="auto"/>
        <w:bottom w:val="none" w:sz="0" w:space="0" w:color="auto"/>
        <w:right w:val="none" w:sz="0" w:space="0" w:color="auto"/>
      </w:divBdr>
    </w:div>
    <w:div w:id="1135491522">
      <w:bodyDiv w:val="1"/>
      <w:marLeft w:val="0"/>
      <w:marRight w:val="0"/>
      <w:marTop w:val="0"/>
      <w:marBottom w:val="0"/>
      <w:divBdr>
        <w:top w:val="none" w:sz="0" w:space="0" w:color="auto"/>
        <w:left w:val="none" w:sz="0" w:space="0" w:color="auto"/>
        <w:bottom w:val="none" w:sz="0" w:space="0" w:color="auto"/>
        <w:right w:val="none" w:sz="0" w:space="0" w:color="auto"/>
      </w:divBdr>
    </w:div>
    <w:div w:id="1274823058">
      <w:bodyDiv w:val="1"/>
      <w:marLeft w:val="0"/>
      <w:marRight w:val="0"/>
      <w:marTop w:val="0"/>
      <w:marBottom w:val="0"/>
      <w:divBdr>
        <w:top w:val="none" w:sz="0" w:space="0" w:color="auto"/>
        <w:left w:val="none" w:sz="0" w:space="0" w:color="auto"/>
        <w:bottom w:val="none" w:sz="0" w:space="0" w:color="auto"/>
        <w:right w:val="none" w:sz="0" w:space="0" w:color="auto"/>
      </w:divBdr>
    </w:div>
    <w:div w:id="1372224428">
      <w:bodyDiv w:val="1"/>
      <w:marLeft w:val="0"/>
      <w:marRight w:val="0"/>
      <w:marTop w:val="0"/>
      <w:marBottom w:val="0"/>
      <w:divBdr>
        <w:top w:val="none" w:sz="0" w:space="0" w:color="auto"/>
        <w:left w:val="none" w:sz="0" w:space="0" w:color="auto"/>
        <w:bottom w:val="none" w:sz="0" w:space="0" w:color="auto"/>
        <w:right w:val="none" w:sz="0" w:space="0" w:color="auto"/>
      </w:divBdr>
    </w:div>
    <w:div w:id="1458833766">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85859922">
      <w:bodyDiv w:val="1"/>
      <w:marLeft w:val="0"/>
      <w:marRight w:val="0"/>
      <w:marTop w:val="0"/>
      <w:marBottom w:val="0"/>
      <w:divBdr>
        <w:top w:val="none" w:sz="0" w:space="0" w:color="auto"/>
        <w:left w:val="none" w:sz="0" w:space="0" w:color="auto"/>
        <w:bottom w:val="none" w:sz="0" w:space="0" w:color="auto"/>
        <w:right w:val="none" w:sz="0" w:space="0" w:color="auto"/>
      </w:divBdr>
    </w:div>
    <w:div w:id="178626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530295-9eea-494d-b82a-9ff74409eafc">
      <UserInfo>
        <DisplayName>Denise Naranjilla</DisplayName>
        <AccountId>289</AccountId>
        <AccountType/>
      </UserInfo>
      <UserInfo>
        <DisplayName>Chan, Cindy</DisplayName>
        <AccountId>199</AccountId>
        <AccountType/>
      </UserInfo>
      <UserInfo>
        <DisplayName>Susan Yee - Kong</DisplayName>
        <AccountId>163</AccountId>
        <AccountType/>
      </UserInfo>
      <UserInfo>
        <DisplayName>Ryan Koh</DisplayName>
        <AccountId>23</AccountId>
        <AccountType/>
      </UserInfo>
      <UserInfo>
        <DisplayName>Sandra Whittle</DisplayName>
        <AccountId>24</AccountId>
        <AccountType/>
      </UserInfo>
      <UserInfo>
        <DisplayName>Shiny Kaur</DisplayName>
        <AccountId>434</AccountId>
        <AccountType/>
      </UserInfo>
      <UserInfo>
        <DisplayName>Jingjing Wu</DisplayName>
        <AccountId>253</AccountId>
        <AccountType/>
      </UserInfo>
      <UserInfo>
        <DisplayName>Katherine Eyre</DisplayName>
        <AccountId>73</AccountId>
        <AccountType/>
      </UserInfo>
      <UserInfo>
        <DisplayName>Carolyn Morris</DisplayName>
        <AccountId>19</AccountId>
        <AccountType/>
      </UserInfo>
      <UserInfo>
        <DisplayName>Aidan Johnson</DisplayName>
        <AccountId>67</AccountId>
        <AccountType/>
      </UserInfo>
      <UserInfo>
        <DisplayName>Greg Simpson</DisplayName>
        <AccountId>114</AccountId>
        <AccountType/>
      </UserInfo>
      <UserInfo>
        <DisplayName>Mairead Loughlin</DisplayName>
        <AccountId>48</AccountId>
        <AccountType/>
      </UserInfo>
      <UserInfo>
        <DisplayName>Valya Prouzos</DisplayName>
        <AccountId>22</AccountId>
        <AccountType/>
      </UserInfo>
      <UserInfo>
        <DisplayName>Stephen Yort</DisplayName>
        <AccountId>267</AccountId>
        <AccountType/>
      </UserInfo>
      <UserInfo>
        <DisplayName>Chris Young</DisplayName>
        <AccountId>49</AccountId>
        <AccountType/>
      </UserInfo>
      <UserInfo>
        <DisplayName>Wayne Fogarty</DisplayName>
        <AccountId>31</AccountId>
        <AccountType/>
      </UserInfo>
    </SharedWithUsers>
    <lcf76f155ced4ddcb4097134ff3c332f xmlns="5664482d-1961-4d38-bfc2-b109b3418834">
      <Terms xmlns="http://schemas.microsoft.com/office/infopath/2007/PartnerControls"/>
    </lcf76f155ced4ddcb4097134ff3c332f>
    <TaxCatchAll xmlns="79530295-9eea-494d-b82a-9ff74409ea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2" ma:contentTypeDescription="Create a new document." ma:contentTypeScope="" ma:versionID="73f009e1593911e42e01b13716c4480a">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03b4b75ba4dbaeab5639c2fe3529531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7071c9f-a590-4a56-a96d-09e59e48fc6a}"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A39F2-5068-45BF-85CC-A816CCABDD3E}">
  <ds:schemaRefs>
    <ds:schemaRef ds:uri="http://schemas.microsoft.com/office/2006/metadata/properties"/>
    <ds:schemaRef ds:uri="http://schemas.microsoft.com/office/infopath/2007/PartnerControls"/>
    <ds:schemaRef ds:uri="79530295-9eea-494d-b82a-9ff74409eafc"/>
    <ds:schemaRef ds:uri="5664482d-1961-4d38-bfc2-b109b3418834"/>
  </ds:schemaRefs>
</ds:datastoreItem>
</file>

<file path=customXml/itemProps2.xml><?xml version="1.0" encoding="utf-8"?>
<ds:datastoreItem xmlns:ds="http://schemas.openxmlformats.org/officeDocument/2006/customXml" ds:itemID="{CE9F5A9E-8A04-48FC-92BA-C5A357F7F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1865</Words>
  <Characters>10283</Characters>
  <Application>Microsoft Office Word</Application>
  <DocSecurity>4</DocSecurity>
  <Lines>181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2023-08-04T08:01:00Z</dcterms:created>
  <dcterms:modified xsi:type="dcterms:W3CDTF">2023-08-04T08:01:00Z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0x010100E5E831F15EEA47429C4A0837D916ED91</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7a1e16a1-e190-4f1d-9499-4b26a8773b3d</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{7a1e16a1-e190-4f1d-9499-4b26a8773b3d}</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4000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OriginatorUserAccountName_SHA256">
    <vt:lpwstr>6E3018F28A186D2E5FF5207C041E7A82E907C3008E071057026A53705873B72E</vt:lpwstr>
  </property>
  <property fmtid="{D5CDD505-2E9C-101B-9397-08002B2CF9AE}" pid="63" name="PM_Hash_Salt_Prev">
    <vt:lpwstr>A1AF9B12839DFD69605B9018CE2BB75D</vt:lpwstr>
  </property>
  <property fmtid="{D5CDD505-2E9C-101B-9397-08002B2CF9AE}" pid="64" name="PM_Hash_Salt">
    <vt:lpwstr>2222635C1C0E579FAF488ABAA8EF4EB1</vt:lpwstr>
  </property>
  <property fmtid="{D5CDD505-2E9C-101B-9397-08002B2CF9AE}" pid="65" name="PM_Hash_SHA1">
    <vt:lpwstr>40CF68BED27EEDA876A7B5F9EF7B11380A6585AA</vt:lpwstr>
  </property>
  <property fmtid="{D5CDD505-2E9C-101B-9397-08002B2CF9AE}" pid="66" name="PMHMAC">
    <vt:lpwstr>v=2022.1;a=SHA256;h=15E885D8A39B174C19C24F19AEF5F69F516B54FD4484245A6D27405A8DBA4846</vt:lpwstr>
  </property>
  <property fmtid="{D5CDD505-2E9C-101B-9397-08002B2CF9AE}" pid="67" name="MSIP_Label_c0129afb-6481-4f92-bc9f-5a4a6346364d_ActionId">
    <vt:lpwstr>70a67f090cc041c9bb50f9a8124722ed</vt:lpwstr>
  </property>
</Properties>
</file>