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BFDCC9" w14:textId="770E31B0" w:rsidR="00670C8D" w:rsidRPr="00521029" w:rsidRDefault="00ED642C" w:rsidP="00670C8D">
      <w:pPr>
        <w:pStyle w:val="Heading1"/>
        <w:spacing w:before="0" w:after="0" w:line="240" w:lineRule="auto"/>
        <w:jc w:val="center"/>
        <w:rPr>
          <w:rFonts w:ascii="Times New Roman" w:hAnsi="Times New Roman"/>
          <w:b/>
          <w:sz w:val="24"/>
          <w:u w:val="single"/>
        </w:rPr>
      </w:pPr>
      <w:r>
        <w:rPr>
          <w:rFonts w:ascii="Times New Roman" w:hAnsi="Times New Roman"/>
          <w:b/>
          <w:sz w:val="24"/>
          <w:u w:val="single"/>
        </w:rPr>
        <w:t>Evidence Amendment</w:t>
      </w:r>
      <w:r w:rsidR="001525FC">
        <w:rPr>
          <w:rFonts w:ascii="Times New Roman" w:hAnsi="Times New Roman"/>
          <w:b/>
          <w:sz w:val="24"/>
          <w:u w:val="single"/>
        </w:rPr>
        <w:t xml:space="preserve"> (</w:t>
      </w:r>
      <w:r w:rsidR="002F71CF">
        <w:rPr>
          <w:rFonts w:ascii="Times New Roman" w:hAnsi="Times New Roman"/>
          <w:b/>
          <w:sz w:val="24"/>
          <w:u w:val="single"/>
        </w:rPr>
        <w:t>self-incrimination</w:t>
      </w:r>
      <w:r w:rsidR="001525FC">
        <w:rPr>
          <w:rFonts w:ascii="Times New Roman" w:hAnsi="Times New Roman"/>
          <w:b/>
          <w:sz w:val="24"/>
          <w:u w:val="single"/>
        </w:rPr>
        <w:t>)</w:t>
      </w:r>
      <w:r>
        <w:rPr>
          <w:rFonts w:ascii="Times New Roman" w:hAnsi="Times New Roman"/>
          <w:b/>
          <w:sz w:val="24"/>
          <w:u w:val="single"/>
        </w:rPr>
        <w:t xml:space="preserve"> regulation</w:t>
      </w:r>
      <w:r w:rsidR="001525FC">
        <w:rPr>
          <w:rFonts w:ascii="Times New Roman" w:hAnsi="Times New Roman"/>
          <w:b/>
          <w:sz w:val="24"/>
          <w:u w:val="single"/>
        </w:rPr>
        <w:t>s</w:t>
      </w:r>
      <w:r>
        <w:rPr>
          <w:rFonts w:ascii="Times New Roman" w:hAnsi="Times New Roman"/>
          <w:b/>
          <w:sz w:val="24"/>
          <w:u w:val="single"/>
        </w:rPr>
        <w:t xml:space="preserve"> 2023 </w:t>
      </w:r>
    </w:p>
    <w:p w14:paraId="09BFDCCA" w14:textId="534941B3" w:rsidR="00670C8D" w:rsidRDefault="00670C8D" w:rsidP="00521029">
      <w:pPr>
        <w:rPr>
          <w:rFonts w:ascii="Times New Roman" w:hAnsi="Times New Roman"/>
        </w:rPr>
      </w:pPr>
    </w:p>
    <w:p w14:paraId="3C6A485E" w14:textId="77777777" w:rsidR="00F310CC" w:rsidRPr="00521029" w:rsidRDefault="00F310CC" w:rsidP="00521029">
      <w:pPr>
        <w:rPr>
          <w:rFonts w:ascii="Times New Roman" w:hAnsi="Times New Roman"/>
        </w:rPr>
      </w:pPr>
      <w:bookmarkStart w:id="0" w:name="_GoBack"/>
      <w:bookmarkEnd w:id="0"/>
    </w:p>
    <w:p w14:paraId="146FF33D" w14:textId="0EA40076" w:rsidR="00012AD6" w:rsidRDefault="002B361E" w:rsidP="00670C8D">
      <w:pPr>
        <w:pStyle w:val="Heading1"/>
        <w:spacing w:before="0" w:after="0" w:line="240" w:lineRule="auto"/>
        <w:jc w:val="center"/>
        <w:rPr>
          <w:rFonts w:ascii="Times New Roman" w:hAnsi="Times New Roman"/>
          <w:caps w:val="0"/>
          <w:color w:val="FF0000"/>
          <w:sz w:val="24"/>
          <w:szCs w:val="24"/>
        </w:rPr>
      </w:pPr>
      <w:r w:rsidRPr="00E81349">
        <w:rPr>
          <w:rFonts w:ascii="Times New Roman" w:hAnsi="Times New Roman"/>
          <w:b/>
          <w:sz w:val="24"/>
          <w:u w:val="single"/>
        </w:rPr>
        <w:t>EXPLANATORY STATEMENT</w:t>
      </w:r>
      <w:r w:rsidR="00670C8D" w:rsidRPr="001D3031">
        <w:rPr>
          <w:rFonts w:ascii="Times New Roman" w:hAnsi="Times New Roman"/>
          <w:b/>
          <w:sz w:val="24"/>
          <w:u w:val="single"/>
        </w:rPr>
        <w:t xml:space="preserve"> </w:t>
      </w:r>
      <w:r w:rsidR="00012AD6">
        <w:rPr>
          <w:rFonts w:ascii="Times New Roman" w:hAnsi="Times New Roman"/>
          <w:b/>
          <w:sz w:val="24"/>
          <w:u w:val="single"/>
        </w:rPr>
        <w:br/>
      </w:r>
    </w:p>
    <w:p w14:paraId="09BFDCCF" w14:textId="77777777" w:rsidR="005D194A" w:rsidRPr="00521029" w:rsidRDefault="00E23B2F" w:rsidP="00CF14E3">
      <w:pPr>
        <w:spacing w:line="360" w:lineRule="auto"/>
        <w:jc w:val="center"/>
        <w:rPr>
          <w:rFonts w:ascii="Times New Roman" w:hAnsi="Times New Roman" w:cs="Times New Roman"/>
        </w:rPr>
      </w:pPr>
      <w:r w:rsidRPr="001D3031">
        <w:rPr>
          <w:rFonts w:ascii="Times New Roman" w:hAnsi="Times New Roman" w:cs="Times New Roman"/>
        </w:rPr>
        <w:t>Issued by authority of the Attorney-General</w:t>
      </w:r>
      <w:r w:rsidR="005D194A" w:rsidRPr="00521029">
        <w:rPr>
          <w:rFonts w:ascii="Times New Roman" w:hAnsi="Times New Roman" w:cs="Times New Roman"/>
        </w:rPr>
        <w:t xml:space="preserve"> </w:t>
      </w:r>
    </w:p>
    <w:p w14:paraId="09BFDCD2" w14:textId="35E820A1" w:rsidR="00AF0C63" w:rsidRPr="001456E8" w:rsidRDefault="00AF0C63" w:rsidP="00CF14E3">
      <w:pPr>
        <w:spacing w:line="360" w:lineRule="auto"/>
        <w:jc w:val="center"/>
        <w:rPr>
          <w:rFonts w:ascii="Times New Roman" w:hAnsi="Times New Roman" w:cs="Times New Roman"/>
        </w:rPr>
      </w:pPr>
      <w:r w:rsidRPr="001456E8">
        <w:rPr>
          <w:rFonts w:ascii="Times New Roman" w:hAnsi="Times New Roman" w:cs="Times New Roman"/>
        </w:rPr>
        <w:t xml:space="preserve">under section </w:t>
      </w:r>
      <w:r w:rsidR="004B3FE4" w:rsidRPr="001456E8">
        <w:rPr>
          <w:rFonts w:ascii="Times New Roman" w:hAnsi="Times New Roman" w:cs="Times New Roman"/>
        </w:rPr>
        <w:t xml:space="preserve">197 of the </w:t>
      </w:r>
      <w:r w:rsidR="004B3FE4" w:rsidRPr="001456E8">
        <w:rPr>
          <w:rFonts w:ascii="Times New Roman" w:hAnsi="Times New Roman" w:cs="Times New Roman"/>
          <w:i/>
        </w:rPr>
        <w:t>Evidence Act 199</w:t>
      </w:r>
      <w:r w:rsidR="001456E8">
        <w:rPr>
          <w:rFonts w:ascii="Times New Roman" w:hAnsi="Times New Roman" w:cs="Times New Roman"/>
          <w:i/>
        </w:rPr>
        <w:t>5</w:t>
      </w:r>
      <w:r w:rsidR="004B3FE4" w:rsidRPr="001456E8">
        <w:rPr>
          <w:rFonts w:ascii="Times New Roman" w:hAnsi="Times New Roman" w:cs="Times New Roman"/>
        </w:rPr>
        <w:t xml:space="preserve"> (Cth)</w:t>
      </w:r>
      <w:r w:rsidRPr="001456E8">
        <w:rPr>
          <w:rFonts w:ascii="Times New Roman" w:hAnsi="Times New Roman" w:cs="Times New Roman"/>
        </w:rPr>
        <w:t xml:space="preserve"> </w:t>
      </w:r>
    </w:p>
    <w:p w14:paraId="09BFDCD4" w14:textId="77777777" w:rsidR="00AF0C63" w:rsidRPr="00521029" w:rsidRDefault="00AF0C63" w:rsidP="00CF14E3">
      <w:pPr>
        <w:spacing w:line="360" w:lineRule="auto"/>
        <w:jc w:val="center"/>
        <w:rPr>
          <w:rFonts w:ascii="Times New Roman" w:hAnsi="Times New Roman" w:cs="Times New Roman"/>
          <w:color w:val="FF0000"/>
        </w:rPr>
      </w:pPr>
    </w:p>
    <w:p w14:paraId="09BFDCD5" w14:textId="77777777" w:rsidR="0026109C" w:rsidRPr="00521029" w:rsidRDefault="0026109C" w:rsidP="00CF14E3">
      <w:pPr>
        <w:spacing w:line="360" w:lineRule="auto"/>
        <w:rPr>
          <w:rFonts w:ascii="Times New Roman" w:hAnsi="Times New Roman" w:cs="Times New Roman"/>
          <w:b/>
          <w:sz w:val="24"/>
          <w:szCs w:val="24"/>
        </w:rPr>
      </w:pPr>
      <w:r w:rsidRPr="00521029">
        <w:rPr>
          <w:rFonts w:ascii="Times New Roman" w:hAnsi="Times New Roman" w:cs="Times New Roman"/>
          <w:b/>
          <w:caps/>
          <w:sz w:val="24"/>
          <w:szCs w:val="24"/>
        </w:rPr>
        <w:t>Purpose and operation of the Instrument</w:t>
      </w:r>
    </w:p>
    <w:p w14:paraId="4D0010B6" w14:textId="1467F18B" w:rsidR="001456E8" w:rsidRPr="00E35983" w:rsidRDefault="001456E8" w:rsidP="009B6322">
      <w:pPr>
        <w:spacing w:line="360" w:lineRule="auto"/>
        <w:rPr>
          <w:rFonts w:ascii="Times New Roman" w:hAnsi="Times New Roman" w:cs="Times New Roman"/>
        </w:rPr>
      </w:pPr>
      <w:r w:rsidRPr="00E35983">
        <w:rPr>
          <w:rFonts w:ascii="Times New Roman" w:hAnsi="Times New Roman" w:cs="Times New Roman"/>
        </w:rPr>
        <w:t xml:space="preserve">Section 197 of the </w:t>
      </w:r>
      <w:r w:rsidRPr="00E35983">
        <w:rPr>
          <w:rFonts w:ascii="Times New Roman" w:hAnsi="Times New Roman" w:cs="Times New Roman"/>
          <w:i/>
        </w:rPr>
        <w:t>Evidence Act 1995</w:t>
      </w:r>
      <w:r w:rsidRPr="00E35983">
        <w:rPr>
          <w:rFonts w:ascii="Times New Roman" w:hAnsi="Times New Roman" w:cs="Times New Roman"/>
        </w:rPr>
        <w:t xml:space="preserve"> (Cth)</w:t>
      </w:r>
      <w:r w:rsidR="00FD3F4C" w:rsidRPr="00E35983">
        <w:rPr>
          <w:rFonts w:ascii="Times New Roman" w:hAnsi="Times New Roman" w:cs="Times New Roman"/>
        </w:rPr>
        <w:t xml:space="preserve"> </w:t>
      </w:r>
      <w:r w:rsidR="00C10876">
        <w:rPr>
          <w:rFonts w:ascii="Times New Roman" w:hAnsi="Times New Roman" w:cs="Times New Roman"/>
        </w:rPr>
        <w:t xml:space="preserve">(Commonwealth Evidence Act) </w:t>
      </w:r>
      <w:r w:rsidRPr="00E35983">
        <w:rPr>
          <w:rFonts w:ascii="Times New Roman" w:hAnsi="Times New Roman" w:cs="Times New Roman"/>
        </w:rPr>
        <w:t xml:space="preserve">provides that the Governor-General may make regulations giving effect to the purposes of the Act. </w:t>
      </w:r>
    </w:p>
    <w:p w14:paraId="0E311D97" w14:textId="7B51D346" w:rsidR="006810A1" w:rsidRPr="00E35983" w:rsidRDefault="00FB37FD" w:rsidP="006810A1">
      <w:pPr>
        <w:spacing w:line="360" w:lineRule="auto"/>
        <w:rPr>
          <w:rFonts w:ascii="Times New Roman" w:hAnsi="Times New Roman"/>
        </w:rPr>
      </w:pPr>
      <w:r w:rsidRPr="00E35983">
        <w:rPr>
          <w:rFonts w:ascii="Times New Roman" w:hAnsi="Times New Roman" w:cs="Times New Roman"/>
        </w:rPr>
        <w:t xml:space="preserve">The </w:t>
      </w:r>
      <w:r w:rsidRPr="00E35983">
        <w:rPr>
          <w:rFonts w:ascii="Times New Roman" w:hAnsi="Times New Roman" w:cs="Times New Roman"/>
          <w:i/>
        </w:rPr>
        <w:t xml:space="preserve">Evidence Amendment </w:t>
      </w:r>
      <w:r w:rsidR="001525FC" w:rsidRPr="00E35983">
        <w:rPr>
          <w:rFonts w:ascii="Times New Roman" w:hAnsi="Times New Roman" w:cs="Times New Roman"/>
          <w:i/>
        </w:rPr>
        <w:t>(</w:t>
      </w:r>
      <w:r w:rsidR="002F71CF">
        <w:rPr>
          <w:rFonts w:ascii="Times New Roman" w:hAnsi="Times New Roman" w:cs="Times New Roman"/>
          <w:i/>
        </w:rPr>
        <w:t>Self-incrimination</w:t>
      </w:r>
      <w:r w:rsidR="001525FC" w:rsidRPr="00E35983">
        <w:rPr>
          <w:rFonts w:ascii="Times New Roman" w:hAnsi="Times New Roman" w:cs="Times New Roman"/>
          <w:i/>
        </w:rPr>
        <w:t xml:space="preserve">) </w:t>
      </w:r>
      <w:r w:rsidRPr="00E35983">
        <w:rPr>
          <w:rFonts w:ascii="Times New Roman" w:hAnsi="Times New Roman" w:cs="Times New Roman"/>
          <w:i/>
        </w:rPr>
        <w:t>Regulation</w:t>
      </w:r>
      <w:r w:rsidR="001525FC" w:rsidRPr="00E35983">
        <w:rPr>
          <w:rFonts w:ascii="Times New Roman" w:hAnsi="Times New Roman" w:cs="Times New Roman"/>
          <w:i/>
        </w:rPr>
        <w:t>s</w:t>
      </w:r>
      <w:r w:rsidRPr="00E35983">
        <w:rPr>
          <w:rFonts w:ascii="Times New Roman" w:hAnsi="Times New Roman" w:cs="Times New Roman"/>
          <w:i/>
        </w:rPr>
        <w:t xml:space="preserve"> 2023</w:t>
      </w:r>
      <w:r w:rsidRPr="00E35983">
        <w:rPr>
          <w:rFonts w:ascii="Times New Roman" w:hAnsi="Times New Roman" w:cs="Times New Roman"/>
        </w:rPr>
        <w:t xml:space="preserve"> (the instrument)</w:t>
      </w:r>
      <w:r w:rsidR="005714FB">
        <w:rPr>
          <w:rFonts w:ascii="Times New Roman" w:hAnsi="Times New Roman" w:cs="Times New Roman"/>
        </w:rPr>
        <w:t xml:space="preserve"> will make amendments to the Evidence Regulations 2018 (Cth) so that </w:t>
      </w:r>
      <w:r w:rsidR="006810A1" w:rsidRPr="00E35983">
        <w:rPr>
          <w:rFonts w:ascii="Times New Roman" w:hAnsi="Times New Roman"/>
        </w:rPr>
        <w:t xml:space="preserve">an evidentiary certificate issued under section 128 of the </w:t>
      </w:r>
      <w:r w:rsidR="006810A1" w:rsidRPr="00E35983">
        <w:rPr>
          <w:rFonts w:ascii="Times New Roman" w:hAnsi="Times New Roman"/>
          <w:i/>
        </w:rPr>
        <w:t>Evidence (National Uniform Legislation) Act 2011</w:t>
      </w:r>
      <w:r w:rsidR="006810A1" w:rsidRPr="00E35983">
        <w:rPr>
          <w:rFonts w:ascii="Times New Roman" w:hAnsi="Times New Roman"/>
        </w:rPr>
        <w:t xml:space="preserve"> (NT) has</w:t>
      </w:r>
      <w:r w:rsidR="005B097F">
        <w:rPr>
          <w:rFonts w:ascii="Times New Roman" w:hAnsi="Times New Roman"/>
        </w:rPr>
        <w:t xml:space="preserve"> the same</w:t>
      </w:r>
      <w:r w:rsidR="006810A1" w:rsidRPr="00E35983">
        <w:rPr>
          <w:rFonts w:ascii="Times New Roman" w:hAnsi="Times New Roman"/>
        </w:rPr>
        <w:t xml:space="preserve"> effect </w:t>
      </w:r>
      <w:r w:rsidR="005B097F">
        <w:rPr>
          <w:rFonts w:ascii="Times New Roman" w:hAnsi="Times New Roman"/>
        </w:rPr>
        <w:t xml:space="preserve">as if it had been issued under </w:t>
      </w:r>
      <w:r w:rsidR="006810A1" w:rsidRPr="00E35983">
        <w:rPr>
          <w:rFonts w:ascii="Times New Roman" w:hAnsi="Times New Roman"/>
        </w:rPr>
        <w:t xml:space="preserve">section 128 of the </w:t>
      </w:r>
      <w:r w:rsidR="00C10876">
        <w:rPr>
          <w:rFonts w:ascii="Times New Roman" w:hAnsi="Times New Roman" w:cs="Times New Roman"/>
        </w:rPr>
        <w:t>Commonwealth Evidence Act</w:t>
      </w:r>
      <w:r w:rsidR="006810A1" w:rsidRPr="00E35983">
        <w:rPr>
          <w:rFonts w:ascii="Times New Roman" w:hAnsi="Times New Roman"/>
        </w:rPr>
        <w:t xml:space="preserve">. This </w:t>
      </w:r>
      <w:r w:rsidR="005714FB">
        <w:rPr>
          <w:rFonts w:ascii="Times New Roman" w:hAnsi="Times New Roman"/>
        </w:rPr>
        <w:t xml:space="preserve">will </w:t>
      </w:r>
      <w:r w:rsidR="006810A1" w:rsidRPr="00E35983">
        <w:rPr>
          <w:rFonts w:ascii="Times New Roman" w:hAnsi="Times New Roman"/>
        </w:rPr>
        <w:t xml:space="preserve">afford appropriate protections to witnesses and facilitate the efficient conduct of prosecutions where issues of the privilege in respect of self-incrimination arise. </w:t>
      </w:r>
    </w:p>
    <w:p w14:paraId="36A7062D" w14:textId="29E04DFF" w:rsidR="00C10876" w:rsidRPr="00C10876" w:rsidRDefault="00C10876" w:rsidP="00C10876">
      <w:pPr>
        <w:spacing w:line="360" w:lineRule="auto"/>
        <w:rPr>
          <w:rFonts w:ascii="Times New Roman" w:hAnsi="Times New Roman"/>
        </w:rPr>
      </w:pPr>
      <w:r w:rsidRPr="00C10876">
        <w:rPr>
          <w:rFonts w:ascii="Times New Roman" w:hAnsi="Times New Roman"/>
        </w:rPr>
        <w:t>Section 128 of the</w:t>
      </w:r>
      <w:r>
        <w:rPr>
          <w:rFonts w:ascii="Times New Roman" w:hAnsi="Times New Roman"/>
        </w:rPr>
        <w:t xml:space="preserve"> </w:t>
      </w:r>
      <w:r>
        <w:rPr>
          <w:rFonts w:ascii="Times New Roman" w:hAnsi="Times New Roman" w:cs="Times New Roman"/>
        </w:rPr>
        <w:t xml:space="preserve">Commonwealth Evidence Act </w:t>
      </w:r>
      <w:r w:rsidRPr="00C10876">
        <w:rPr>
          <w:rFonts w:ascii="Times New Roman" w:hAnsi="Times New Roman"/>
        </w:rPr>
        <w:t xml:space="preserve">allows a court to issue an evidentiary certificate to a witness, with the effect that evidence given by the witness cannot be used against them in other proceedings. This is a way to facilitate the giving of evidence by a witness who might otherwise rely on the privilege against self-incrimination to refuse to give evidence. </w:t>
      </w:r>
    </w:p>
    <w:p w14:paraId="40A4CFA1" w14:textId="7357B820" w:rsidR="00C10876" w:rsidRPr="00E35983" w:rsidRDefault="00C10876" w:rsidP="00C10876">
      <w:pPr>
        <w:spacing w:line="360" w:lineRule="auto"/>
        <w:rPr>
          <w:rFonts w:ascii="Times New Roman" w:hAnsi="Times New Roman"/>
        </w:rPr>
      </w:pPr>
      <w:r w:rsidRPr="00C10876">
        <w:rPr>
          <w:rFonts w:ascii="Times New Roman" w:hAnsi="Times New Roman"/>
        </w:rPr>
        <w:t xml:space="preserve">Some state and territory evidence legislation also provides for a court to issue an evidentiary certificate to a witness. The Commonwealth </w:t>
      </w:r>
      <w:r>
        <w:rPr>
          <w:rFonts w:ascii="Times New Roman" w:hAnsi="Times New Roman"/>
        </w:rPr>
        <w:t xml:space="preserve">Evidence </w:t>
      </w:r>
      <w:r w:rsidRPr="00C10876">
        <w:rPr>
          <w:rFonts w:ascii="Times New Roman" w:hAnsi="Times New Roman"/>
        </w:rPr>
        <w:t xml:space="preserve">Act enables state and territory evidence legislation to be prescribed for the purposes of section 128 of the Commonwealth </w:t>
      </w:r>
      <w:r>
        <w:rPr>
          <w:rFonts w:ascii="Times New Roman" w:hAnsi="Times New Roman"/>
        </w:rPr>
        <w:t xml:space="preserve">Evidence </w:t>
      </w:r>
      <w:r w:rsidRPr="00C10876">
        <w:rPr>
          <w:rFonts w:ascii="Times New Roman" w:hAnsi="Times New Roman"/>
        </w:rPr>
        <w:t xml:space="preserve">Act. Where this occurs, an evidentiary certificate issued under the prescribed state or territory legislation will have the same effect as if issued under the Commonwealth </w:t>
      </w:r>
      <w:r>
        <w:rPr>
          <w:rFonts w:ascii="Times New Roman" w:hAnsi="Times New Roman"/>
        </w:rPr>
        <w:t xml:space="preserve">Evidence </w:t>
      </w:r>
      <w:r w:rsidRPr="00C10876">
        <w:rPr>
          <w:rFonts w:ascii="Times New Roman" w:hAnsi="Times New Roman"/>
        </w:rPr>
        <w:t>Act.</w:t>
      </w:r>
    </w:p>
    <w:p w14:paraId="46FDC67C" w14:textId="5CF036C3" w:rsidR="006810A1" w:rsidRPr="00E35983" w:rsidRDefault="006810A1" w:rsidP="009B6322">
      <w:pPr>
        <w:spacing w:line="360" w:lineRule="auto"/>
        <w:rPr>
          <w:rFonts w:ascii="Times New Roman" w:hAnsi="Times New Roman"/>
        </w:rPr>
      </w:pPr>
      <w:r w:rsidRPr="00E35983">
        <w:rPr>
          <w:rFonts w:ascii="Times New Roman" w:hAnsi="Times New Roman"/>
        </w:rPr>
        <w:t xml:space="preserve">This instrument amends the </w:t>
      </w:r>
      <w:r w:rsidRPr="00E35983">
        <w:rPr>
          <w:rFonts w:ascii="Times New Roman" w:hAnsi="Times New Roman"/>
          <w:i/>
        </w:rPr>
        <w:t>Evidence Regulation</w:t>
      </w:r>
      <w:r w:rsidR="001525FC" w:rsidRPr="00E35983">
        <w:rPr>
          <w:rFonts w:ascii="Times New Roman" w:hAnsi="Times New Roman"/>
          <w:i/>
        </w:rPr>
        <w:t>s</w:t>
      </w:r>
      <w:r w:rsidRPr="00E35983">
        <w:rPr>
          <w:rFonts w:ascii="Times New Roman" w:hAnsi="Times New Roman"/>
          <w:i/>
        </w:rPr>
        <w:t xml:space="preserve"> 2018</w:t>
      </w:r>
      <w:r w:rsidRPr="00E35983">
        <w:rPr>
          <w:rFonts w:ascii="Times New Roman" w:hAnsi="Times New Roman"/>
        </w:rPr>
        <w:t xml:space="preserve"> (Cth) to prescribe s</w:t>
      </w:r>
      <w:r w:rsidR="00DA0C8A" w:rsidRPr="00E35983">
        <w:rPr>
          <w:rFonts w:ascii="Times New Roman" w:hAnsi="Times New Roman"/>
        </w:rPr>
        <w:t>ection</w:t>
      </w:r>
      <w:r w:rsidRPr="00E35983">
        <w:rPr>
          <w:rFonts w:ascii="Times New Roman" w:hAnsi="Times New Roman"/>
        </w:rPr>
        <w:t xml:space="preserve"> 128 of the </w:t>
      </w:r>
      <w:r w:rsidRPr="00E35983">
        <w:rPr>
          <w:rFonts w:ascii="Times New Roman" w:hAnsi="Times New Roman"/>
          <w:i/>
        </w:rPr>
        <w:t>Evidence (National Uniform Legislation) Act 2011</w:t>
      </w:r>
      <w:r w:rsidRPr="00E35983">
        <w:rPr>
          <w:rFonts w:ascii="Times New Roman" w:hAnsi="Times New Roman"/>
        </w:rPr>
        <w:t xml:space="preserve"> (NT)</w:t>
      </w:r>
      <w:r w:rsidR="00C10876">
        <w:rPr>
          <w:rFonts w:ascii="Times New Roman" w:hAnsi="Times New Roman"/>
        </w:rPr>
        <w:t xml:space="preserve"> for the purposes of section 128 of the Commonwealth Evidence Act</w:t>
      </w:r>
      <w:r w:rsidRPr="00E35983">
        <w:rPr>
          <w:rFonts w:ascii="Times New Roman" w:hAnsi="Times New Roman"/>
        </w:rPr>
        <w:t xml:space="preserve">.  </w:t>
      </w:r>
      <w:r w:rsidR="00DA0C8A" w:rsidRPr="00E35983">
        <w:rPr>
          <w:rFonts w:ascii="Times New Roman" w:hAnsi="Times New Roman"/>
        </w:rPr>
        <w:t xml:space="preserve">The instrument is a legislative instrument for the purposes of the </w:t>
      </w:r>
      <w:r w:rsidR="00DA0C8A" w:rsidRPr="00E35983">
        <w:rPr>
          <w:rFonts w:ascii="Times New Roman" w:hAnsi="Times New Roman"/>
          <w:i/>
        </w:rPr>
        <w:t>Legislative Instruments Act 2003</w:t>
      </w:r>
      <w:r w:rsidR="00DA0C8A" w:rsidRPr="00E35983">
        <w:rPr>
          <w:rFonts w:ascii="Times New Roman" w:hAnsi="Times New Roman"/>
        </w:rPr>
        <w:t xml:space="preserve">. </w:t>
      </w:r>
      <w:r w:rsidRPr="00E35983">
        <w:rPr>
          <w:rFonts w:ascii="Times New Roman" w:hAnsi="Times New Roman"/>
        </w:rPr>
        <w:t xml:space="preserve">The instrument commences the day after it is registered on the Federal Registration of Legislation. </w:t>
      </w:r>
    </w:p>
    <w:p w14:paraId="4D63C57A" w14:textId="77777777" w:rsidR="00E53D5E" w:rsidRDefault="00E53D5E" w:rsidP="00CF14E3">
      <w:pPr>
        <w:spacing w:line="360" w:lineRule="auto"/>
        <w:rPr>
          <w:rFonts w:ascii="Times New Roman" w:hAnsi="Times New Roman" w:cs="Times New Roman"/>
          <w:b/>
          <w:caps/>
          <w:sz w:val="24"/>
          <w:szCs w:val="24"/>
        </w:rPr>
      </w:pPr>
    </w:p>
    <w:p w14:paraId="09BFDCE0" w14:textId="025D3916" w:rsidR="0026109C" w:rsidRPr="00521029" w:rsidRDefault="004F430F" w:rsidP="00CF14E3">
      <w:pPr>
        <w:spacing w:line="360" w:lineRule="auto"/>
        <w:rPr>
          <w:rFonts w:ascii="Times New Roman" w:hAnsi="Times New Roman" w:cs="Times New Roman"/>
          <w:b/>
          <w:caps/>
          <w:sz w:val="24"/>
          <w:szCs w:val="24"/>
        </w:rPr>
      </w:pPr>
      <w:r w:rsidRPr="00521029">
        <w:rPr>
          <w:rFonts w:ascii="Times New Roman" w:hAnsi="Times New Roman" w:cs="Times New Roman"/>
          <w:b/>
          <w:caps/>
          <w:sz w:val="24"/>
          <w:szCs w:val="24"/>
        </w:rPr>
        <w:lastRenderedPageBreak/>
        <w:t>Consultation</w:t>
      </w:r>
    </w:p>
    <w:p w14:paraId="2D5341E1" w14:textId="079BB3EA" w:rsidR="00C5431A" w:rsidRPr="004771DE" w:rsidRDefault="004771DE" w:rsidP="009B6322">
      <w:pPr>
        <w:spacing w:line="360" w:lineRule="auto"/>
        <w:rPr>
          <w:rFonts w:ascii="Times New Roman" w:hAnsi="Times New Roman" w:cs="Times New Roman"/>
        </w:rPr>
      </w:pPr>
      <w:r w:rsidRPr="004771DE">
        <w:rPr>
          <w:rFonts w:ascii="Times New Roman" w:hAnsi="Times New Roman" w:cs="Times New Roman"/>
        </w:rPr>
        <w:t>The Attorney-General’s Department undertook consultation with the Commonwealth Director of Public Prosecutions and the Northern Territory</w:t>
      </w:r>
      <w:r w:rsidR="001525FC">
        <w:rPr>
          <w:rFonts w:ascii="Times New Roman" w:hAnsi="Times New Roman" w:cs="Times New Roman"/>
        </w:rPr>
        <w:t xml:space="preserve"> Department of the Attorney-General and Justice</w:t>
      </w:r>
      <w:r w:rsidR="008B66D9">
        <w:rPr>
          <w:rFonts w:ascii="Times New Roman" w:hAnsi="Times New Roman" w:cs="Times New Roman"/>
        </w:rPr>
        <w:t xml:space="preserve"> in relation to the instrument</w:t>
      </w:r>
      <w:r w:rsidRPr="004771DE">
        <w:rPr>
          <w:rFonts w:ascii="Times New Roman" w:hAnsi="Times New Roman" w:cs="Times New Roman"/>
        </w:rPr>
        <w:t xml:space="preserve">. </w:t>
      </w:r>
      <w:r w:rsidR="008B66D9">
        <w:rPr>
          <w:rFonts w:ascii="Times New Roman" w:hAnsi="Times New Roman" w:cs="Times New Roman"/>
        </w:rPr>
        <w:t xml:space="preserve">No feedback was received that required changes to the instrument. </w:t>
      </w:r>
    </w:p>
    <w:p w14:paraId="09BFDCE4" w14:textId="77777777" w:rsidR="00566C9B" w:rsidRPr="00521029" w:rsidRDefault="004F430F" w:rsidP="00CF14E3">
      <w:pPr>
        <w:spacing w:line="360" w:lineRule="auto"/>
        <w:rPr>
          <w:rFonts w:ascii="Times New Roman" w:hAnsi="Times New Roman" w:cs="Times New Roman"/>
          <w:b/>
          <w:caps/>
          <w:sz w:val="24"/>
          <w:szCs w:val="24"/>
        </w:rPr>
      </w:pPr>
      <w:r w:rsidRPr="00521029">
        <w:rPr>
          <w:rFonts w:ascii="Times New Roman" w:hAnsi="Times New Roman" w:cs="Times New Roman"/>
          <w:b/>
          <w:caps/>
          <w:sz w:val="24"/>
          <w:szCs w:val="24"/>
        </w:rPr>
        <w:t>Regulation Impact Statement</w:t>
      </w:r>
    </w:p>
    <w:p w14:paraId="433D6B70" w14:textId="0A9C4510" w:rsidR="00DA0C8A" w:rsidRPr="00DA0C8A" w:rsidRDefault="00DA0C8A" w:rsidP="00CF14E3">
      <w:pPr>
        <w:spacing w:line="360" w:lineRule="auto"/>
        <w:rPr>
          <w:rFonts w:ascii="Times New Roman" w:hAnsi="Times New Roman" w:cs="Times New Roman"/>
        </w:rPr>
      </w:pPr>
      <w:r w:rsidRPr="00DA0C8A">
        <w:rPr>
          <w:rFonts w:ascii="Times New Roman" w:hAnsi="Times New Roman" w:cs="Times New Roman"/>
        </w:rPr>
        <w:t xml:space="preserve">The Office of Best Practice Regulation (OBPR) assessed that a Regulation Impact Statement was not required for the instrument as it is unlikely to have more than a minor regulatory impact (OPBR reference </w:t>
      </w:r>
      <w:r w:rsidR="007C46E4" w:rsidRPr="007C46E4">
        <w:rPr>
          <w:rFonts w:ascii="Times New Roman" w:hAnsi="Times New Roman" w:cs="Times New Roman"/>
        </w:rPr>
        <w:t>OIA23-04998</w:t>
      </w:r>
      <w:r w:rsidRPr="00DA0C8A">
        <w:rPr>
          <w:rFonts w:ascii="Times New Roman" w:hAnsi="Times New Roman" w:cs="Times New Roman"/>
        </w:rPr>
        <w:t>)</w:t>
      </w:r>
      <w:r w:rsidR="005208BC">
        <w:rPr>
          <w:rFonts w:ascii="Times New Roman" w:hAnsi="Times New Roman" w:cs="Times New Roman"/>
        </w:rPr>
        <w:t>.</w:t>
      </w:r>
    </w:p>
    <w:p w14:paraId="09BFDCE7" w14:textId="77777777" w:rsidR="008B2955" w:rsidRPr="00521029" w:rsidRDefault="008B2955" w:rsidP="00CF14E3">
      <w:pPr>
        <w:spacing w:line="360" w:lineRule="auto"/>
        <w:rPr>
          <w:rFonts w:ascii="Times New Roman" w:hAnsi="Times New Roman" w:cs="Times New Roman"/>
          <w:b/>
          <w:caps/>
          <w:sz w:val="24"/>
          <w:szCs w:val="24"/>
        </w:rPr>
      </w:pPr>
      <w:r w:rsidRPr="00521029">
        <w:rPr>
          <w:rFonts w:ascii="Times New Roman" w:hAnsi="Times New Roman" w:cs="Times New Roman"/>
          <w:b/>
          <w:caps/>
          <w:sz w:val="24"/>
          <w:szCs w:val="24"/>
        </w:rPr>
        <w:t>Statement of Compatibility with Human Rights</w:t>
      </w:r>
    </w:p>
    <w:p w14:paraId="09BFDCE8" w14:textId="77777777" w:rsidR="001D3031" w:rsidRPr="00521029" w:rsidRDefault="001D3031" w:rsidP="00CF14E3">
      <w:pPr>
        <w:spacing w:line="360" w:lineRule="auto"/>
        <w:rPr>
          <w:rFonts w:ascii="Times New Roman" w:hAnsi="Times New Roman" w:cs="Times New Roman"/>
          <w:color w:val="FF0000"/>
        </w:rPr>
      </w:pPr>
      <w:r w:rsidRPr="00521029">
        <w:rPr>
          <w:rFonts w:ascii="Times New Roman" w:hAnsi="Times New Roman" w:cs="Times New Roman"/>
          <w:i/>
          <w:iCs/>
          <w:color w:val="000000"/>
        </w:rPr>
        <w:t>Prepared in accordance with Part 3 of the Human Rights (Parliamentary Scrutiny) Act 2011</w:t>
      </w:r>
    </w:p>
    <w:p w14:paraId="54FDB70E" w14:textId="5558DF95" w:rsidR="00DA0C8A" w:rsidRPr="00DA0C8A" w:rsidRDefault="00DA0C8A" w:rsidP="00DA0C8A">
      <w:pPr>
        <w:spacing w:line="360" w:lineRule="auto"/>
        <w:jc w:val="center"/>
        <w:rPr>
          <w:rFonts w:ascii="Times New Roman" w:hAnsi="Times New Roman" w:cs="Times New Roman"/>
          <w:b/>
          <w:sz w:val="24"/>
          <w:szCs w:val="24"/>
        </w:rPr>
      </w:pPr>
      <w:r w:rsidRPr="00DA0C8A">
        <w:rPr>
          <w:rFonts w:ascii="Times New Roman" w:hAnsi="Times New Roman" w:cs="Times New Roman"/>
          <w:b/>
          <w:sz w:val="24"/>
          <w:szCs w:val="24"/>
        </w:rPr>
        <w:t>Evidence Amendment</w:t>
      </w:r>
      <w:r w:rsidR="001525FC">
        <w:rPr>
          <w:rFonts w:ascii="Times New Roman" w:hAnsi="Times New Roman" w:cs="Times New Roman"/>
          <w:b/>
          <w:sz w:val="24"/>
          <w:szCs w:val="24"/>
        </w:rPr>
        <w:t xml:space="preserve"> (</w:t>
      </w:r>
      <w:r w:rsidR="002F71CF">
        <w:rPr>
          <w:rFonts w:ascii="Times New Roman" w:hAnsi="Times New Roman" w:cs="Times New Roman"/>
          <w:b/>
          <w:sz w:val="24"/>
          <w:szCs w:val="24"/>
        </w:rPr>
        <w:t>Self-incrimination</w:t>
      </w:r>
      <w:r w:rsidR="001525FC">
        <w:rPr>
          <w:rFonts w:ascii="Times New Roman" w:hAnsi="Times New Roman" w:cs="Times New Roman"/>
          <w:b/>
          <w:sz w:val="24"/>
          <w:szCs w:val="24"/>
        </w:rPr>
        <w:t>)</w:t>
      </w:r>
      <w:r w:rsidRPr="00DA0C8A">
        <w:rPr>
          <w:rFonts w:ascii="Times New Roman" w:hAnsi="Times New Roman" w:cs="Times New Roman"/>
          <w:b/>
          <w:sz w:val="24"/>
          <w:szCs w:val="24"/>
        </w:rPr>
        <w:t xml:space="preserve"> Regulation</w:t>
      </w:r>
      <w:r w:rsidR="001525FC">
        <w:rPr>
          <w:rFonts w:ascii="Times New Roman" w:hAnsi="Times New Roman" w:cs="Times New Roman"/>
          <w:b/>
          <w:sz w:val="24"/>
          <w:szCs w:val="24"/>
        </w:rPr>
        <w:t>s</w:t>
      </w:r>
      <w:r w:rsidRPr="00DA0C8A">
        <w:rPr>
          <w:rFonts w:ascii="Times New Roman" w:hAnsi="Times New Roman" w:cs="Times New Roman"/>
          <w:b/>
          <w:sz w:val="24"/>
          <w:szCs w:val="24"/>
        </w:rPr>
        <w:t xml:space="preserve"> 2023 (Cth)</w:t>
      </w:r>
    </w:p>
    <w:p w14:paraId="4F8D2BB3" w14:textId="41FA8C79" w:rsidR="00DA0C8A" w:rsidRPr="00DA0C8A" w:rsidRDefault="00DA0C8A" w:rsidP="009B6322">
      <w:pPr>
        <w:spacing w:line="360" w:lineRule="auto"/>
        <w:rPr>
          <w:rFonts w:ascii="Times New Roman" w:hAnsi="Times New Roman" w:cs="Times New Roman"/>
          <w:i/>
        </w:rPr>
      </w:pPr>
      <w:r w:rsidRPr="00DA0C8A">
        <w:rPr>
          <w:rFonts w:ascii="Times New Roman" w:hAnsi="Times New Roman" w:cs="Times New Roman"/>
        </w:rPr>
        <w:t xml:space="preserve">This Disallowable Legislative Instrument is compatible with the human rights and freedoms recognised or declared in the international instruments listed in section 3 of the </w:t>
      </w:r>
      <w:r w:rsidRPr="00DA0C8A">
        <w:rPr>
          <w:rFonts w:ascii="Times New Roman" w:hAnsi="Times New Roman" w:cs="Times New Roman"/>
          <w:i/>
        </w:rPr>
        <w:t>Human Rights (Parliamentary Scrutiny) Act 2011.</w:t>
      </w:r>
    </w:p>
    <w:p w14:paraId="43EBD70C" w14:textId="33F36C0B" w:rsidR="00DA0C8A" w:rsidRPr="00DA0C8A" w:rsidRDefault="00DA0C8A" w:rsidP="009B6322">
      <w:pPr>
        <w:spacing w:line="360" w:lineRule="auto"/>
        <w:rPr>
          <w:rFonts w:ascii="Times New Roman" w:hAnsi="Times New Roman" w:cs="Times New Roman"/>
          <w:b/>
        </w:rPr>
      </w:pPr>
      <w:r w:rsidRPr="00DA0C8A">
        <w:rPr>
          <w:rFonts w:ascii="Times New Roman" w:hAnsi="Times New Roman" w:cs="Times New Roman"/>
          <w:b/>
        </w:rPr>
        <w:t>Overview of the Disallowable Legislative Instrument</w:t>
      </w:r>
    </w:p>
    <w:p w14:paraId="1CA70DDC" w14:textId="0A7D390D" w:rsidR="00C23A5B" w:rsidRPr="00E35983" w:rsidRDefault="00C23A5B" w:rsidP="00C23A5B">
      <w:pPr>
        <w:spacing w:line="360" w:lineRule="auto"/>
        <w:rPr>
          <w:rFonts w:ascii="Times New Roman" w:hAnsi="Times New Roman"/>
        </w:rPr>
      </w:pPr>
      <w:r w:rsidRPr="003337E9">
        <w:rPr>
          <w:rFonts w:ascii="Times New Roman" w:hAnsi="Times New Roman" w:cs="Times New Roman"/>
        </w:rPr>
        <w:t xml:space="preserve">The </w:t>
      </w:r>
      <w:r w:rsidRPr="003337E9">
        <w:rPr>
          <w:rFonts w:ascii="Times New Roman" w:hAnsi="Times New Roman" w:cs="Times New Roman"/>
          <w:i/>
        </w:rPr>
        <w:t>Evidence Amendment</w:t>
      </w:r>
      <w:r w:rsidR="001525FC" w:rsidRPr="003337E9">
        <w:rPr>
          <w:rFonts w:ascii="Times New Roman" w:hAnsi="Times New Roman" w:cs="Times New Roman"/>
          <w:i/>
        </w:rPr>
        <w:t xml:space="preserve"> (</w:t>
      </w:r>
      <w:r w:rsidR="002F71CF">
        <w:rPr>
          <w:rFonts w:ascii="Times New Roman" w:hAnsi="Times New Roman" w:cs="Times New Roman"/>
          <w:i/>
        </w:rPr>
        <w:t>Self-incrimination</w:t>
      </w:r>
      <w:r w:rsidR="001525FC" w:rsidRPr="003337E9">
        <w:rPr>
          <w:rFonts w:ascii="Times New Roman" w:hAnsi="Times New Roman" w:cs="Times New Roman"/>
          <w:i/>
        </w:rPr>
        <w:t xml:space="preserve">) </w:t>
      </w:r>
      <w:r w:rsidRPr="003337E9">
        <w:rPr>
          <w:rFonts w:ascii="Times New Roman" w:hAnsi="Times New Roman" w:cs="Times New Roman"/>
          <w:i/>
        </w:rPr>
        <w:t>Regulation</w:t>
      </w:r>
      <w:r w:rsidR="001525FC" w:rsidRPr="003337E9">
        <w:rPr>
          <w:rFonts w:ascii="Times New Roman" w:hAnsi="Times New Roman" w:cs="Times New Roman"/>
          <w:i/>
        </w:rPr>
        <w:t>s</w:t>
      </w:r>
      <w:r w:rsidRPr="003337E9">
        <w:rPr>
          <w:rFonts w:ascii="Times New Roman" w:hAnsi="Times New Roman" w:cs="Times New Roman"/>
          <w:i/>
        </w:rPr>
        <w:t xml:space="preserve"> 2023</w:t>
      </w:r>
      <w:r w:rsidRPr="00E35983">
        <w:rPr>
          <w:rFonts w:ascii="Times New Roman" w:hAnsi="Times New Roman" w:cs="Times New Roman"/>
        </w:rPr>
        <w:t xml:space="preserve"> (the instrument) provides</w:t>
      </w:r>
      <w:r w:rsidRPr="00E35983">
        <w:rPr>
          <w:rFonts w:ascii="Times New Roman" w:hAnsi="Times New Roman"/>
        </w:rPr>
        <w:t xml:space="preserve"> that an evidentiary certificate issued under section 128 of the </w:t>
      </w:r>
      <w:r w:rsidRPr="00E35983">
        <w:rPr>
          <w:rFonts w:ascii="Times New Roman" w:hAnsi="Times New Roman"/>
          <w:i/>
        </w:rPr>
        <w:t>Evidence (National Uniform Legislation) Act 2011</w:t>
      </w:r>
      <w:r w:rsidRPr="00E35983">
        <w:rPr>
          <w:rFonts w:ascii="Times New Roman" w:hAnsi="Times New Roman"/>
        </w:rPr>
        <w:t xml:space="preserve"> (NT) has effect for the purposes of section 128 of the </w:t>
      </w:r>
      <w:r w:rsidRPr="00E35983">
        <w:rPr>
          <w:rFonts w:ascii="Times New Roman" w:hAnsi="Times New Roman"/>
          <w:i/>
        </w:rPr>
        <w:t>Evidence Act 1995</w:t>
      </w:r>
      <w:r w:rsidRPr="00E35983">
        <w:rPr>
          <w:rFonts w:ascii="Times New Roman" w:hAnsi="Times New Roman"/>
        </w:rPr>
        <w:t xml:space="preserve"> (Cth). This affords appropriate protections to witnesses and facilitates the efficient conduct of prosecutions where issues of the privilege in respect of self-incrimination arise. </w:t>
      </w:r>
    </w:p>
    <w:p w14:paraId="4FCB6260" w14:textId="5848498B" w:rsidR="00C23A5B" w:rsidRPr="00E35983" w:rsidRDefault="00C23A5B" w:rsidP="00C23A5B">
      <w:pPr>
        <w:spacing w:line="360" w:lineRule="auto"/>
        <w:rPr>
          <w:rFonts w:ascii="Times New Roman" w:hAnsi="Times New Roman"/>
        </w:rPr>
      </w:pPr>
      <w:r w:rsidRPr="00E35983">
        <w:rPr>
          <w:rFonts w:ascii="Times New Roman" w:hAnsi="Times New Roman"/>
        </w:rPr>
        <w:t>Th</w:t>
      </w:r>
      <w:r w:rsidR="00D51060" w:rsidRPr="00E35983">
        <w:rPr>
          <w:rFonts w:ascii="Times New Roman" w:hAnsi="Times New Roman"/>
        </w:rPr>
        <w:t>e</w:t>
      </w:r>
      <w:r w:rsidRPr="00E35983">
        <w:rPr>
          <w:rFonts w:ascii="Times New Roman" w:hAnsi="Times New Roman"/>
        </w:rPr>
        <w:t xml:space="preserve"> instrument amends the Evidence Regulation</w:t>
      </w:r>
      <w:r w:rsidR="000F1D07" w:rsidRPr="00E35983">
        <w:rPr>
          <w:rFonts w:ascii="Times New Roman" w:hAnsi="Times New Roman"/>
        </w:rPr>
        <w:t>s</w:t>
      </w:r>
      <w:r w:rsidRPr="00E35983">
        <w:rPr>
          <w:rFonts w:ascii="Times New Roman" w:hAnsi="Times New Roman"/>
        </w:rPr>
        <w:t xml:space="preserve"> 2018 (Cth) to prescribe section 128 of the </w:t>
      </w:r>
      <w:r w:rsidRPr="00E35983">
        <w:rPr>
          <w:rFonts w:ascii="Times New Roman" w:hAnsi="Times New Roman"/>
          <w:i/>
        </w:rPr>
        <w:t>Evidence (National Uniform Legislation) Act 2011</w:t>
      </w:r>
      <w:r w:rsidRPr="00E35983">
        <w:rPr>
          <w:rFonts w:ascii="Times New Roman" w:hAnsi="Times New Roman"/>
        </w:rPr>
        <w:t xml:space="preserve"> (NT).  </w:t>
      </w:r>
    </w:p>
    <w:p w14:paraId="18ECF4D3" w14:textId="77777777" w:rsidR="00C23A5B" w:rsidRPr="00E35983" w:rsidRDefault="00C23A5B" w:rsidP="009B6322">
      <w:pPr>
        <w:spacing w:line="360" w:lineRule="auto"/>
        <w:rPr>
          <w:rFonts w:ascii="Times New Roman" w:hAnsi="Times New Roman"/>
        </w:rPr>
      </w:pPr>
      <w:r w:rsidRPr="00E35983">
        <w:rPr>
          <w:rFonts w:ascii="Times New Roman" w:hAnsi="Times New Roman"/>
        </w:rPr>
        <w:t xml:space="preserve">The instrument is a legislative instrument for the purposes of the </w:t>
      </w:r>
      <w:r w:rsidRPr="00E35983">
        <w:rPr>
          <w:rFonts w:ascii="Times New Roman" w:hAnsi="Times New Roman"/>
          <w:i/>
        </w:rPr>
        <w:t>Legislative Instruments Act 2003</w:t>
      </w:r>
      <w:r w:rsidRPr="00E35983">
        <w:rPr>
          <w:rFonts w:ascii="Times New Roman" w:hAnsi="Times New Roman"/>
        </w:rPr>
        <w:t>. The instrument commences the day after it is registered on the Federal Registration of Legislation.</w:t>
      </w:r>
    </w:p>
    <w:p w14:paraId="0610E8A3" w14:textId="77777777" w:rsidR="00C23A5B" w:rsidRPr="00D51060" w:rsidRDefault="00C23A5B" w:rsidP="009B6322">
      <w:pPr>
        <w:spacing w:line="360" w:lineRule="auto"/>
        <w:rPr>
          <w:rFonts w:ascii="Times New Roman" w:hAnsi="Times New Roman" w:cs="Times New Roman"/>
          <w:b/>
        </w:rPr>
      </w:pPr>
      <w:r w:rsidRPr="00D51060">
        <w:rPr>
          <w:rFonts w:ascii="Times New Roman" w:hAnsi="Times New Roman" w:cs="Times New Roman"/>
          <w:b/>
        </w:rPr>
        <w:t>Human rights implications</w:t>
      </w:r>
    </w:p>
    <w:p w14:paraId="3677CADF" w14:textId="77777777" w:rsidR="00FC488B" w:rsidRDefault="00C23A5B" w:rsidP="009B6322">
      <w:pPr>
        <w:spacing w:line="360" w:lineRule="auto"/>
        <w:rPr>
          <w:rFonts w:ascii="Times New Roman" w:hAnsi="Times New Roman"/>
        </w:rPr>
      </w:pPr>
      <w:r w:rsidRPr="00E35983">
        <w:rPr>
          <w:rFonts w:ascii="Times New Roman" w:hAnsi="Times New Roman"/>
        </w:rPr>
        <w:t xml:space="preserve">The instrument engages with </w:t>
      </w:r>
      <w:r w:rsidR="004771DE" w:rsidRPr="00E35983">
        <w:rPr>
          <w:rFonts w:ascii="Times New Roman" w:hAnsi="Times New Roman"/>
        </w:rPr>
        <w:t xml:space="preserve">the </w:t>
      </w:r>
      <w:r w:rsidR="00D51060" w:rsidRPr="00E35983">
        <w:rPr>
          <w:rFonts w:ascii="Times New Roman" w:hAnsi="Times New Roman"/>
        </w:rPr>
        <w:t xml:space="preserve">common law right to </w:t>
      </w:r>
      <w:r w:rsidR="00FC488B">
        <w:rPr>
          <w:rFonts w:ascii="Times New Roman" w:hAnsi="Times New Roman"/>
        </w:rPr>
        <w:t xml:space="preserve">a fair trial provided for in article 14 of the </w:t>
      </w:r>
      <w:r w:rsidR="00FC488B" w:rsidRPr="00E35983">
        <w:rPr>
          <w:rFonts w:ascii="Times New Roman" w:hAnsi="Times New Roman"/>
          <w:i/>
        </w:rPr>
        <w:t>International Covenant on Civil and Political Rights</w:t>
      </w:r>
      <w:r w:rsidR="00FC488B">
        <w:rPr>
          <w:rFonts w:ascii="Times New Roman" w:hAnsi="Times New Roman"/>
          <w:i/>
        </w:rPr>
        <w:t xml:space="preserve"> </w:t>
      </w:r>
      <w:r w:rsidR="00FC488B">
        <w:rPr>
          <w:rFonts w:ascii="Times New Roman" w:hAnsi="Times New Roman"/>
        </w:rPr>
        <w:t>(ICCPR)</w:t>
      </w:r>
      <w:r w:rsidR="00FC488B" w:rsidRPr="00E35983">
        <w:rPr>
          <w:rFonts w:ascii="Times New Roman" w:hAnsi="Times New Roman"/>
        </w:rPr>
        <w:t xml:space="preserve">. </w:t>
      </w:r>
    </w:p>
    <w:p w14:paraId="77D9A3F3" w14:textId="288C68EF" w:rsidR="00FC488B" w:rsidRDefault="00FC488B" w:rsidP="00FC488B">
      <w:pPr>
        <w:spacing w:line="360" w:lineRule="auto"/>
        <w:rPr>
          <w:rFonts w:ascii="Times New Roman" w:hAnsi="Times New Roman"/>
        </w:rPr>
      </w:pPr>
      <w:r>
        <w:rPr>
          <w:rFonts w:ascii="Times New Roman" w:hAnsi="Times New Roman"/>
        </w:rPr>
        <w:t xml:space="preserve">The instrument promotes the right </w:t>
      </w:r>
      <w:r w:rsidR="00685423">
        <w:rPr>
          <w:rFonts w:ascii="Times New Roman" w:hAnsi="Times New Roman"/>
        </w:rPr>
        <w:t xml:space="preserve">of </w:t>
      </w:r>
      <w:r>
        <w:rPr>
          <w:rFonts w:ascii="Times New Roman" w:hAnsi="Times New Roman"/>
        </w:rPr>
        <w:t xml:space="preserve">a person to examine, or have examined, the witnesses against </w:t>
      </w:r>
      <w:r w:rsidR="00E53D5E">
        <w:rPr>
          <w:rFonts w:ascii="Times New Roman" w:hAnsi="Times New Roman"/>
        </w:rPr>
        <w:t>them</w:t>
      </w:r>
      <w:r>
        <w:rPr>
          <w:rFonts w:ascii="Times New Roman" w:hAnsi="Times New Roman"/>
        </w:rPr>
        <w:t xml:space="preserve"> and to obtain the attendance and examination of witnesses on his behalf under the same </w:t>
      </w:r>
      <w:r>
        <w:rPr>
          <w:rFonts w:ascii="Times New Roman" w:hAnsi="Times New Roman"/>
        </w:rPr>
        <w:lastRenderedPageBreak/>
        <w:t xml:space="preserve">conditions as witnesses against </w:t>
      </w:r>
      <w:r w:rsidR="00E53D5E">
        <w:rPr>
          <w:rFonts w:ascii="Times New Roman" w:hAnsi="Times New Roman"/>
        </w:rPr>
        <w:t>them</w:t>
      </w:r>
      <w:r>
        <w:rPr>
          <w:rFonts w:ascii="Times New Roman" w:hAnsi="Times New Roman"/>
        </w:rPr>
        <w:t>, which is a minimum guarantee in criminal proceedings (articl</w:t>
      </w:r>
      <w:r w:rsidR="00C26833">
        <w:rPr>
          <w:rFonts w:ascii="Times New Roman" w:hAnsi="Times New Roman"/>
        </w:rPr>
        <w:t>e</w:t>
      </w:r>
      <w:r>
        <w:rPr>
          <w:rFonts w:ascii="Times New Roman" w:hAnsi="Times New Roman"/>
        </w:rPr>
        <w:t xml:space="preserve"> 14(3)(e)</w:t>
      </w:r>
      <w:r w:rsidR="00C26833">
        <w:rPr>
          <w:rFonts w:ascii="Times New Roman" w:hAnsi="Times New Roman"/>
        </w:rPr>
        <w:t xml:space="preserve"> of the ICCPR</w:t>
      </w:r>
      <w:r>
        <w:rPr>
          <w:rFonts w:ascii="Times New Roman" w:hAnsi="Times New Roman"/>
        </w:rPr>
        <w:t>). It does this b</w:t>
      </w:r>
      <w:r w:rsidR="00685423">
        <w:rPr>
          <w:rFonts w:ascii="Times New Roman" w:hAnsi="Times New Roman"/>
        </w:rPr>
        <w:t>y</w:t>
      </w:r>
      <w:r>
        <w:rPr>
          <w:rFonts w:ascii="Times New Roman" w:hAnsi="Times New Roman"/>
        </w:rPr>
        <w:t xml:space="preserve"> providing for evidentiary certificates </w:t>
      </w:r>
      <w:r w:rsidR="00C26833">
        <w:rPr>
          <w:rFonts w:ascii="Times New Roman" w:hAnsi="Times New Roman"/>
        </w:rPr>
        <w:t xml:space="preserve">issued under the </w:t>
      </w:r>
      <w:r w:rsidR="00C26833" w:rsidRPr="00E35983">
        <w:rPr>
          <w:rFonts w:ascii="Times New Roman" w:hAnsi="Times New Roman"/>
          <w:i/>
        </w:rPr>
        <w:t>Evidence (National Uniform Legislation) Act 2011</w:t>
      </w:r>
      <w:r w:rsidR="00C26833" w:rsidRPr="00E35983">
        <w:rPr>
          <w:rFonts w:ascii="Times New Roman" w:hAnsi="Times New Roman"/>
        </w:rPr>
        <w:t xml:space="preserve"> (NT) </w:t>
      </w:r>
      <w:r>
        <w:rPr>
          <w:rFonts w:ascii="Times New Roman" w:hAnsi="Times New Roman"/>
        </w:rPr>
        <w:t xml:space="preserve">to be recognised </w:t>
      </w:r>
      <w:r w:rsidR="00C26833">
        <w:rPr>
          <w:rFonts w:ascii="Times New Roman" w:hAnsi="Times New Roman"/>
        </w:rPr>
        <w:t xml:space="preserve">in certain </w:t>
      </w:r>
      <w:r>
        <w:rPr>
          <w:rFonts w:ascii="Times New Roman" w:hAnsi="Times New Roman"/>
        </w:rPr>
        <w:t>proceeding</w:t>
      </w:r>
      <w:r w:rsidR="00C26833">
        <w:rPr>
          <w:rFonts w:ascii="Times New Roman" w:hAnsi="Times New Roman"/>
        </w:rPr>
        <w:t xml:space="preserve">s. This is a way to facilitate the </w:t>
      </w:r>
      <w:r w:rsidR="00C26833" w:rsidRPr="00C26833">
        <w:rPr>
          <w:rFonts w:ascii="Times New Roman" w:hAnsi="Times New Roman"/>
        </w:rPr>
        <w:t>giving of evidence by a witness who might otherwise rely on the privilege against self-incrimination to refuse to give evidence.</w:t>
      </w:r>
    </w:p>
    <w:p w14:paraId="4C5073FD" w14:textId="073AB54C" w:rsidR="00C26833" w:rsidRPr="00E35983" w:rsidRDefault="00C26833" w:rsidP="00C26833">
      <w:pPr>
        <w:spacing w:line="360" w:lineRule="auto"/>
        <w:rPr>
          <w:rFonts w:ascii="Times New Roman" w:hAnsi="Times New Roman"/>
        </w:rPr>
      </w:pPr>
      <w:r>
        <w:rPr>
          <w:rFonts w:ascii="Times New Roman" w:hAnsi="Times New Roman"/>
        </w:rPr>
        <w:t>The instrument also promotes the minimum guarantee in criminal proceedings (article 14(3) of the ICCPR) that a person charged with a criminal offence should not be ‘compelled to testify against himself or to confess guilt’ (article 14(3)(g)).</w:t>
      </w:r>
    </w:p>
    <w:p w14:paraId="3335B887" w14:textId="320557E2" w:rsidR="00FC488B" w:rsidRPr="00E35983" w:rsidRDefault="00FC488B" w:rsidP="00FC488B">
      <w:pPr>
        <w:spacing w:line="360" w:lineRule="auto"/>
        <w:rPr>
          <w:rFonts w:ascii="Times New Roman" w:hAnsi="Times New Roman"/>
        </w:rPr>
      </w:pPr>
      <w:r>
        <w:rPr>
          <w:rFonts w:ascii="Times New Roman" w:hAnsi="Times New Roman"/>
        </w:rPr>
        <w:t xml:space="preserve">The instrument also promotes the </w:t>
      </w:r>
      <w:r w:rsidRPr="00E35983">
        <w:rPr>
          <w:rFonts w:ascii="Times New Roman" w:hAnsi="Times New Roman"/>
        </w:rPr>
        <w:t xml:space="preserve">presumption of innocence in criminal matters in accordance with article 14(2) of the </w:t>
      </w:r>
      <w:r>
        <w:rPr>
          <w:rFonts w:ascii="Times New Roman" w:hAnsi="Times New Roman"/>
        </w:rPr>
        <w:t xml:space="preserve">ICCPR. </w:t>
      </w:r>
      <w:r w:rsidRPr="00E35983">
        <w:rPr>
          <w:rFonts w:ascii="Times New Roman" w:hAnsi="Times New Roman"/>
        </w:rPr>
        <w:t>The presumption of innocence imposes on the prosecution the burden of proving the charge and guarantees that no guilt can be presumed until the charge has been proved beyond reasonable doubt.</w:t>
      </w:r>
    </w:p>
    <w:p w14:paraId="2EF4E5D7" w14:textId="1137FEF4" w:rsidR="00FC488B" w:rsidRDefault="00FC488B" w:rsidP="00FC488B">
      <w:pPr>
        <w:spacing w:line="360" w:lineRule="auto"/>
        <w:rPr>
          <w:rFonts w:ascii="Times New Roman" w:hAnsi="Times New Roman"/>
        </w:rPr>
      </w:pPr>
      <w:r w:rsidRPr="00E35983">
        <w:rPr>
          <w:rFonts w:ascii="Times New Roman" w:hAnsi="Times New Roman"/>
        </w:rPr>
        <w:t xml:space="preserve">The instrument promotes the presumption of innocence by supporting the </w:t>
      </w:r>
      <w:r w:rsidRPr="00E35983">
        <w:rPr>
          <w:rFonts w:ascii="Times New Roman" w:hAnsi="Times New Roman"/>
          <w:i/>
        </w:rPr>
        <w:t>Evidence Act 1995</w:t>
      </w:r>
      <w:r w:rsidRPr="00E35983">
        <w:rPr>
          <w:rFonts w:ascii="Times New Roman" w:hAnsi="Times New Roman"/>
        </w:rPr>
        <w:t xml:space="preserve"> (Cth) to uphold </w:t>
      </w:r>
      <w:r w:rsidR="001831F6">
        <w:rPr>
          <w:rFonts w:ascii="Times New Roman" w:hAnsi="Times New Roman"/>
        </w:rPr>
        <w:t xml:space="preserve">the </w:t>
      </w:r>
      <w:r w:rsidRPr="00E35983">
        <w:rPr>
          <w:rFonts w:ascii="Times New Roman" w:hAnsi="Times New Roman"/>
        </w:rPr>
        <w:t xml:space="preserve">privilege against self-incrimination and provide for a court to issue a certificate confirming </w:t>
      </w:r>
      <w:r>
        <w:rPr>
          <w:rFonts w:ascii="Times New Roman" w:hAnsi="Times New Roman"/>
        </w:rPr>
        <w:t xml:space="preserve">that </w:t>
      </w:r>
      <w:r w:rsidRPr="00E35983">
        <w:rPr>
          <w:rFonts w:ascii="Times New Roman" w:hAnsi="Times New Roman"/>
        </w:rPr>
        <w:t xml:space="preserve">where a </w:t>
      </w:r>
      <w:r>
        <w:rPr>
          <w:rFonts w:ascii="Times New Roman" w:hAnsi="Times New Roman"/>
        </w:rPr>
        <w:t xml:space="preserve">witness </w:t>
      </w:r>
      <w:r w:rsidRPr="00E35983">
        <w:rPr>
          <w:rFonts w:ascii="Times New Roman" w:hAnsi="Times New Roman"/>
        </w:rPr>
        <w:t xml:space="preserve">gives evidence that may be self-incriminating, the evidence cannot be used against them in other proceedings. </w:t>
      </w:r>
    </w:p>
    <w:p w14:paraId="6DA1FBA1" w14:textId="680157AB" w:rsidR="008B7BBC" w:rsidRDefault="008B7BBC" w:rsidP="009B6322">
      <w:pPr>
        <w:spacing w:line="360" w:lineRule="auto"/>
        <w:rPr>
          <w:rFonts w:ascii="Times New Roman" w:hAnsi="Times New Roman"/>
        </w:rPr>
      </w:pPr>
      <w:r w:rsidRPr="00E35983">
        <w:rPr>
          <w:rFonts w:ascii="Times New Roman" w:hAnsi="Times New Roman"/>
        </w:rPr>
        <w:t xml:space="preserve">The instrument is compatible with human rights because it supports the common law right to </w:t>
      </w:r>
      <w:r w:rsidR="00FC488B">
        <w:rPr>
          <w:rFonts w:ascii="Times New Roman" w:hAnsi="Times New Roman"/>
        </w:rPr>
        <w:t xml:space="preserve">a fair trial. </w:t>
      </w:r>
    </w:p>
    <w:p w14:paraId="3EB3574B" w14:textId="77777777" w:rsidR="00C23A5B" w:rsidRDefault="00C23A5B" w:rsidP="009B6322">
      <w:pPr>
        <w:spacing w:line="360" w:lineRule="auto"/>
        <w:rPr>
          <w:rFonts w:ascii="Times New Roman" w:hAnsi="Times New Roman" w:cs="Times New Roman"/>
          <w:color w:val="FF0000"/>
        </w:rPr>
      </w:pPr>
    </w:p>
    <w:p w14:paraId="09BFDCEB" w14:textId="77777777" w:rsidR="009B6322" w:rsidRDefault="009B6322">
      <w:pPr>
        <w:rPr>
          <w:rFonts w:ascii="Times New Roman" w:hAnsi="Times New Roman" w:cs="Times New Roman"/>
          <w:color w:val="FF0000"/>
        </w:rPr>
      </w:pPr>
      <w:r>
        <w:rPr>
          <w:rFonts w:ascii="Times New Roman" w:hAnsi="Times New Roman" w:cs="Times New Roman"/>
          <w:color w:val="FF0000"/>
        </w:rPr>
        <w:br w:type="page"/>
      </w:r>
    </w:p>
    <w:p w14:paraId="121F2E18" w14:textId="77777777" w:rsidR="009C0BE2" w:rsidRPr="00521029" w:rsidRDefault="009C0BE2" w:rsidP="009C0BE2">
      <w:pPr>
        <w:spacing w:line="360" w:lineRule="auto"/>
        <w:jc w:val="right"/>
        <w:rPr>
          <w:rFonts w:ascii="Times New Roman" w:hAnsi="Times New Roman" w:cs="Times New Roman"/>
          <w:b/>
          <w:sz w:val="24"/>
          <w:szCs w:val="24"/>
        </w:rPr>
      </w:pPr>
      <w:r w:rsidRPr="00521029">
        <w:rPr>
          <w:rFonts w:ascii="Times New Roman" w:hAnsi="Times New Roman" w:cs="Times New Roman"/>
          <w:b/>
          <w:sz w:val="24"/>
          <w:szCs w:val="24"/>
        </w:rPr>
        <w:lastRenderedPageBreak/>
        <w:t>Attachment A</w:t>
      </w:r>
    </w:p>
    <w:p w14:paraId="09BFDCED" w14:textId="77777777" w:rsidR="00186EFA" w:rsidRPr="00521029" w:rsidRDefault="001469C7" w:rsidP="00C16B35">
      <w:pPr>
        <w:spacing w:line="360" w:lineRule="auto"/>
        <w:rPr>
          <w:rFonts w:ascii="Times New Roman" w:hAnsi="Times New Roman" w:cs="Times New Roman"/>
          <w:b/>
          <w:sz w:val="24"/>
          <w:szCs w:val="24"/>
        </w:rPr>
      </w:pPr>
      <w:r>
        <w:rPr>
          <w:rFonts w:ascii="Times New Roman" w:hAnsi="Times New Roman" w:cs="Times New Roman"/>
          <w:b/>
          <w:sz w:val="24"/>
          <w:szCs w:val="24"/>
        </w:rPr>
        <w:t>NOTES ON SECTIONS</w:t>
      </w:r>
    </w:p>
    <w:p w14:paraId="39A2B365" w14:textId="334D4685" w:rsidR="004771DE" w:rsidRPr="00ED3D67" w:rsidRDefault="00D313AD" w:rsidP="00521029">
      <w:pPr>
        <w:spacing w:line="360" w:lineRule="auto"/>
        <w:rPr>
          <w:rFonts w:ascii="Times New Roman" w:hAnsi="Times New Roman" w:cs="Times New Roman"/>
          <w:b/>
        </w:rPr>
      </w:pPr>
      <w:r>
        <w:rPr>
          <w:rFonts w:ascii="Times New Roman" w:hAnsi="Times New Roman" w:cs="Times New Roman"/>
          <w:b/>
        </w:rPr>
        <w:t xml:space="preserve">Details of the proposed Evidence Amendment </w:t>
      </w:r>
      <w:r w:rsidR="00C76DA7">
        <w:rPr>
          <w:rFonts w:ascii="Times New Roman" w:hAnsi="Times New Roman" w:cs="Times New Roman"/>
          <w:b/>
        </w:rPr>
        <w:t>(</w:t>
      </w:r>
      <w:r w:rsidR="002F71CF">
        <w:rPr>
          <w:rFonts w:ascii="Times New Roman" w:hAnsi="Times New Roman" w:cs="Times New Roman"/>
          <w:b/>
        </w:rPr>
        <w:t>Self-incrimination</w:t>
      </w:r>
      <w:r w:rsidR="00C76DA7">
        <w:rPr>
          <w:rFonts w:ascii="Times New Roman" w:hAnsi="Times New Roman" w:cs="Times New Roman"/>
          <w:b/>
        </w:rPr>
        <w:t xml:space="preserve">) </w:t>
      </w:r>
      <w:r>
        <w:rPr>
          <w:rFonts w:ascii="Times New Roman" w:hAnsi="Times New Roman" w:cs="Times New Roman"/>
          <w:b/>
        </w:rPr>
        <w:t>Regulations 2023</w:t>
      </w:r>
    </w:p>
    <w:p w14:paraId="1A818158" w14:textId="274FB09F" w:rsidR="004771DE" w:rsidRPr="004771DE" w:rsidRDefault="004771DE" w:rsidP="004771DE">
      <w:pPr>
        <w:spacing w:line="360" w:lineRule="auto"/>
        <w:rPr>
          <w:rFonts w:ascii="Times New Roman" w:hAnsi="Times New Roman" w:cs="Times New Roman"/>
          <w:b/>
        </w:rPr>
      </w:pPr>
      <w:r w:rsidRPr="004771DE">
        <w:rPr>
          <w:rFonts w:ascii="Times New Roman" w:hAnsi="Times New Roman" w:cs="Times New Roman"/>
          <w:b/>
        </w:rPr>
        <w:t xml:space="preserve">Section </w:t>
      </w:r>
      <w:r w:rsidR="00ED3D67">
        <w:rPr>
          <w:rFonts w:ascii="Times New Roman" w:hAnsi="Times New Roman" w:cs="Times New Roman"/>
          <w:b/>
        </w:rPr>
        <w:t>1</w:t>
      </w:r>
      <w:r w:rsidRPr="004771DE">
        <w:rPr>
          <w:rFonts w:ascii="Times New Roman" w:hAnsi="Times New Roman" w:cs="Times New Roman"/>
          <w:b/>
        </w:rPr>
        <w:t xml:space="preserve"> – </w:t>
      </w:r>
      <w:r w:rsidR="00D313AD">
        <w:rPr>
          <w:rFonts w:ascii="Times New Roman" w:hAnsi="Times New Roman" w:cs="Times New Roman"/>
          <w:b/>
        </w:rPr>
        <w:t>Name of Regulations</w:t>
      </w:r>
    </w:p>
    <w:p w14:paraId="72DBF3E8" w14:textId="3697381B" w:rsidR="00D313AD" w:rsidRDefault="00D313AD" w:rsidP="004771DE">
      <w:pPr>
        <w:spacing w:line="360" w:lineRule="auto"/>
        <w:rPr>
          <w:rFonts w:ascii="Times New Roman" w:hAnsi="Times New Roman" w:cs="Times New Roman"/>
        </w:rPr>
      </w:pPr>
      <w:r>
        <w:rPr>
          <w:rFonts w:ascii="Times New Roman" w:hAnsi="Times New Roman" w:cs="Times New Roman"/>
        </w:rPr>
        <w:t xml:space="preserve">This section would provide that the title of the instrument is the Evidence Amendment </w:t>
      </w:r>
      <w:r w:rsidR="00C76DA7">
        <w:rPr>
          <w:rFonts w:ascii="Times New Roman" w:hAnsi="Times New Roman" w:cs="Times New Roman"/>
        </w:rPr>
        <w:t>(</w:t>
      </w:r>
      <w:r w:rsidR="002F71CF">
        <w:rPr>
          <w:rFonts w:ascii="Times New Roman" w:hAnsi="Times New Roman" w:cs="Times New Roman"/>
        </w:rPr>
        <w:t>Self-incrimination</w:t>
      </w:r>
      <w:r w:rsidR="00C76DA7">
        <w:rPr>
          <w:rFonts w:ascii="Times New Roman" w:hAnsi="Times New Roman" w:cs="Times New Roman"/>
        </w:rPr>
        <w:t xml:space="preserve">) </w:t>
      </w:r>
      <w:r>
        <w:rPr>
          <w:rFonts w:ascii="Times New Roman" w:hAnsi="Times New Roman" w:cs="Times New Roman"/>
        </w:rPr>
        <w:t>Regulations 2023.</w:t>
      </w:r>
    </w:p>
    <w:p w14:paraId="638423DE" w14:textId="7E08126F" w:rsidR="00D313AD" w:rsidRPr="00D313AD" w:rsidRDefault="00D313AD" w:rsidP="004771DE">
      <w:pPr>
        <w:spacing w:line="360" w:lineRule="auto"/>
        <w:rPr>
          <w:rFonts w:ascii="Times New Roman" w:hAnsi="Times New Roman" w:cs="Times New Roman"/>
          <w:b/>
        </w:rPr>
      </w:pPr>
      <w:r w:rsidRPr="00D313AD">
        <w:rPr>
          <w:rFonts w:ascii="Times New Roman" w:hAnsi="Times New Roman" w:cs="Times New Roman"/>
          <w:b/>
        </w:rPr>
        <w:t>Section 2 - Commencement</w:t>
      </w:r>
    </w:p>
    <w:p w14:paraId="754BD499" w14:textId="10F96D1E" w:rsidR="004771DE" w:rsidRDefault="004771DE" w:rsidP="004771DE">
      <w:pPr>
        <w:spacing w:line="360" w:lineRule="auto"/>
        <w:rPr>
          <w:rFonts w:ascii="Times New Roman" w:hAnsi="Times New Roman" w:cs="Times New Roman"/>
        </w:rPr>
      </w:pPr>
      <w:r w:rsidRPr="004771DE">
        <w:rPr>
          <w:rFonts w:ascii="Times New Roman" w:hAnsi="Times New Roman" w:cs="Times New Roman"/>
        </w:rPr>
        <w:t>The</w:t>
      </w:r>
      <w:r w:rsidR="00D313AD">
        <w:rPr>
          <w:rFonts w:ascii="Times New Roman" w:hAnsi="Times New Roman" w:cs="Times New Roman"/>
        </w:rPr>
        <w:t xml:space="preserve"> section would provide </w:t>
      </w:r>
      <w:r w:rsidR="008B66D9">
        <w:rPr>
          <w:rFonts w:ascii="Times New Roman" w:hAnsi="Times New Roman" w:cs="Times New Roman"/>
        </w:rPr>
        <w:t xml:space="preserve">that </w:t>
      </w:r>
      <w:r w:rsidR="00D313AD">
        <w:rPr>
          <w:rFonts w:ascii="Times New Roman" w:hAnsi="Times New Roman" w:cs="Times New Roman"/>
        </w:rPr>
        <w:t>the</w:t>
      </w:r>
      <w:r w:rsidRPr="004771DE">
        <w:rPr>
          <w:rFonts w:ascii="Times New Roman" w:hAnsi="Times New Roman" w:cs="Times New Roman"/>
        </w:rPr>
        <w:t xml:space="preserve"> instrument commence</w:t>
      </w:r>
      <w:r w:rsidR="008B66D9">
        <w:rPr>
          <w:rFonts w:ascii="Times New Roman" w:hAnsi="Times New Roman" w:cs="Times New Roman"/>
        </w:rPr>
        <w:t>s</w:t>
      </w:r>
      <w:r w:rsidRPr="004771DE">
        <w:rPr>
          <w:rFonts w:ascii="Times New Roman" w:hAnsi="Times New Roman" w:cs="Times New Roman"/>
        </w:rPr>
        <w:t xml:space="preserve"> the day after </w:t>
      </w:r>
      <w:r w:rsidR="008B66D9">
        <w:rPr>
          <w:rFonts w:ascii="Times New Roman" w:hAnsi="Times New Roman" w:cs="Times New Roman"/>
        </w:rPr>
        <w:t xml:space="preserve">the instrument is registered. </w:t>
      </w:r>
    </w:p>
    <w:p w14:paraId="7C4C8D34" w14:textId="20CCC919" w:rsidR="00D313AD" w:rsidRDefault="00D313AD" w:rsidP="004771DE">
      <w:pPr>
        <w:spacing w:line="360" w:lineRule="auto"/>
        <w:rPr>
          <w:rFonts w:ascii="Times New Roman" w:hAnsi="Times New Roman" w:cs="Times New Roman"/>
          <w:b/>
        </w:rPr>
      </w:pPr>
      <w:r>
        <w:rPr>
          <w:rFonts w:ascii="Times New Roman" w:hAnsi="Times New Roman" w:cs="Times New Roman"/>
          <w:b/>
        </w:rPr>
        <w:t>Section 3 – Authority</w:t>
      </w:r>
    </w:p>
    <w:p w14:paraId="32F89825" w14:textId="4BDBD6EA" w:rsidR="00D313AD" w:rsidRPr="00D313AD" w:rsidRDefault="00D313AD" w:rsidP="004771DE">
      <w:pPr>
        <w:spacing w:line="360" w:lineRule="auto"/>
        <w:rPr>
          <w:rFonts w:ascii="Times New Roman" w:hAnsi="Times New Roman" w:cs="Times New Roman"/>
        </w:rPr>
      </w:pPr>
      <w:r w:rsidRPr="00D313AD">
        <w:rPr>
          <w:rFonts w:ascii="Times New Roman" w:hAnsi="Times New Roman" w:cs="Times New Roman"/>
        </w:rPr>
        <w:t xml:space="preserve">This section </w:t>
      </w:r>
      <w:r>
        <w:rPr>
          <w:rFonts w:ascii="Times New Roman" w:hAnsi="Times New Roman" w:cs="Times New Roman"/>
        </w:rPr>
        <w:t xml:space="preserve">would provide that the Evidence Amendment </w:t>
      </w:r>
      <w:r w:rsidR="001525FC">
        <w:rPr>
          <w:rFonts w:ascii="Times New Roman" w:hAnsi="Times New Roman" w:cs="Times New Roman"/>
        </w:rPr>
        <w:t>(</w:t>
      </w:r>
      <w:r w:rsidR="002F71CF">
        <w:rPr>
          <w:rFonts w:ascii="Times New Roman" w:hAnsi="Times New Roman" w:cs="Times New Roman"/>
        </w:rPr>
        <w:t>Self-incrimination</w:t>
      </w:r>
      <w:r w:rsidR="001525FC">
        <w:rPr>
          <w:rFonts w:ascii="Times New Roman" w:hAnsi="Times New Roman" w:cs="Times New Roman"/>
        </w:rPr>
        <w:t xml:space="preserve">) </w:t>
      </w:r>
      <w:r>
        <w:rPr>
          <w:rFonts w:ascii="Times New Roman" w:hAnsi="Times New Roman" w:cs="Times New Roman"/>
        </w:rPr>
        <w:t xml:space="preserve">Regulations 2023 </w:t>
      </w:r>
      <w:r w:rsidR="001525FC">
        <w:rPr>
          <w:rFonts w:ascii="Times New Roman" w:hAnsi="Times New Roman" w:cs="Times New Roman"/>
        </w:rPr>
        <w:t xml:space="preserve">are </w:t>
      </w:r>
      <w:r>
        <w:rPr>
          <w:rFonts w:ascii="Times New Roman" w:hAnsi="Times New Roman" w:cs="Times New Roman"/>
        </w:rPr>
        <w:t xml:space="preserve">made under the </w:t>
      </w:r>
      <w:r w:rsidRPr="007B6BEB">
        <w:rPr>
          <w:rFonts w:ascii="Times New Roman" w:hAnsi="Times New Roman" w:cs="Times New Roman"/>
          <w:i/>
        </w:rPr>
        <w:t>Evidence Act 1995</w:t>
      </w:r>
      <w:r>
        <w:rPr>
          <w:rFonts w:ascii="Times New Roman" w:hAnsi="Times New Roman" w:cs="Times New Roman"/>
        </w:rPr>
        <w:t>.</w:t>
      </w:r>
    </w:p>
    <w:p w14:paraId="0C0D4CCB" w14:textId="1BFF8718" w:rsidR="00D313AD" w:rsidRDefault="00D313AD" w:rsidP="004771DE">
      <w:pPr>
        <w:spacing w:line="360" w:lineRule="auto"/>
        <w:rPr>
          <w:rFonts w:ascii="Times New Roman" w:hAnsi="Times New Roman" w:cs="Times New Roman"/>
          <w:b/>
        </w:rPr>
      </w:pPr>
      <w:r>
        <w:rPr>
          <w:rFonts w:ascii="Times New Roman" w:hAnsi="Times New Roman" w:cs="Times New Roman"/>
          <w:b/>
        </w:rPr>
        <w:t>Section 4 – Schedule</w:t>
      </w:r>
    </w:p>
    <w:p w14:paraId="4548ED8F" w14:textId="68173D3D" w:rsidR="00D313AD" w:rsidRPr="00D313AD" w:rsidRDefault="00D313AD" w:rsidP="004771DE">
      <w:pPr>
        <w:spacing w:line="360" w:lineRule="auto"/>
        <w:rPr>
          <w:rFonts w:ascii="Times New Roman" w:hAnsi="Times New Roman" w:cs="Times New Roman"/>
        </w:rPr>
      </w:pPr>
      <w:r w:rsidRPr="00D313AD">
        <w:rPr>
          <w:rFonts w:ascii="Times New Roman" w:hAnsi="Times New Roman" w:cs="Times New Roman"/>
        </w:rPr>
        <w:t xml:space="preserve">This section would provide that each </w:t>
      </w:r>
      <w:r>
        <w:rPr>
          <w:rFonts w:ascii="Times New Roman" w:hAnsi="Times New Roman" w:cs="Times New Roman"/>
        </w:rPr>
        <w:t xml:space="preserve">instrument that is specified in the Schedule to this instrument is amended as set out in the applicable items in the Schedule concerned, and any other item in the Schedule to this instrument has effect according to its terms. </w:t>
      </w:r>
    </w:p>
    <w:p w14:paraId="4040680E" w14:textId="0EA932C4" w:rsidR="00ED3D67" w:rsidRDefault="00ED3D67" w:rsidP="004771DE">
      <w:pPr>
        <w:spacing w:line="360" w:lineRule="auto"/>
        <w:rPr>
          <w:rFonts w:ascii="Times New Roman" w:hAnsi="Times New Roman" w:cs="Times New Roman"/>
          <w:b/>
        </w:rPr>
      </w:pPr>
      <w:r>
        <w:rPr>
          <w:rFonts w:ascii="Times New Roman" w:hAnsi="Times New Roman" w:cs="Times New Roman"/>
          <w:b/>
        </w:rPr>
        <w:t>SCHEDULE 1 – Amendments</w:t>
      </w:r>
    </w:p>
    <w:p w14:paraId="058EA98A" w14:textId="38BC3319" w:rsidR="00ED3D67" w:rsidRPr="004771DE" w:rsidRDefault="00D313AD" w:rsidP="00ED3D67">
      <w:pPr>
        <w:spacing w:line="360" w:lineRule="auto"/>
        <w:rPr>
          <w:rFonts w:ascii="Times New Roman" w:hAnsi="Times New Roman" w:cs="Times New Roman"/>
          <w:b/>
        </w:rPr>
      </w:pPr>
      <w:r>
        <w:rPr>
          <w:rFonts w:ascii="Times New Roman" w:hAnsi="Times New Roman" w:cs="Times New Roman"/>
          <w:b/>
        </w:rPr>
        <w:t xml:space="preserve">Item [1] – subsection </w:t>
      </w:r>
      <w:r w:rsidR="001525FC">
        <w:rPr>
          <w:rFonts w:ascii="Times New Roman" w:hAnsi="Times New Roman" w:cs="Times New Roman"/>
          <w:b/>
        </w:rPr>
        <w:t>9</w:t>
      </w:r>
      <w:r w:rsidR="00C9179F">
        <w:rPr>
          <w:rFonts w:ascii="Times New Roman" w:hAnsi="Times New Roman" w:cs="Times New Roman"/>
          <w:b/>
        </w:rPr>
        <w:t>(e)</w:t>
      </w:r>
    </w:p>
    <w:p w14:paraId="21C99515" w14:textId="4D6914A1" w:rsidR="00F310CC" w:rsidRPr="00F310CC" w:rsidRDefault="00D313AD" w:rsidP="00521029">
      <w:pPr>
        <w:spacing w:line="360" w:lineRule="auto"/>
        <w:rPr>
          <w:rFonts w:ascii="Times New Roman" w:hAnsi="Times New Roman"/>
          <w:sz w:val="24"/>
          <w:szCs w:val="24"/>
        </w:rPr>
      </w:pPr>
      <w:r w:rsidRPr="000F1D07">
        <w:rPr>
          <w:rFonts w:ascii="Times New Roman" w:hAnsi="Times New Roman" w:cs="Times New Roman"/>
        </w:rPr>
        <w:t xml:space="preserve">Subsection </w:t>
      </w:r>
      <w:r w:rsidR="001525FC">
        <w:rPr>
          <w:rFonts w:ascii="Times New Roman" w:hAnsi="Times New Roman" w:cs="Times New Roman"/>
        </w:rPr>
        <w:t xml:space="preserve">9(e) </w:t>
      </w:r>
      <w:r w:rsidRPr="000F1D07">
        <w:rPr>
          <w:rFonts w:ascii="Times New Roman" w:hAnsi="Times New Roman" w:cs="Times New Roman"/>
        </w:rPr>
        <w:t>of the instrument would</w:t>
      </w:r>
      <w:r w:rsidR="00ED3D67" w:rsidRPr="000F1D07">
        <w:rPr>
          <w:rFonts w:ascii="Times New Roman" w:hAnsi="Times New Roman" w:cs="Times New Roman"/>
        </w:rPr>
        <w:t xml:space="preserve"> prescribe</w:t>
      </w:r>
      <w:r w:rsidRPr="000F1D07">
        <w:rPr>
          <w:rFonts w:ascii="Times New Roman" w:hAnsi="Times New Roman" w:cs="Times New Roman"/>
        </w:rPr>
        <w:t xml:space="preserve"> </w:t>
      </w:r>
      <w:r w:rsidR="00ED3D67" w:rsidRPr="000F1D07">
        <w:rPr>
          <w:rFonts w:ascii="Times New Roman" w:hAnsi="Times New Roman" w:cs="Times New Roman"/>
        </w:rPr>
        <w:t xml:space="preserve">section 128 of </w:t>
      </w:r>
      <w:r w:rsidR="00ED3D67" w:rsidRPr="000F1D07">
        <w:rPr>
          <w:rFonts w:ascii="Times New Roman" w:hAnsi="Times New Roman" w:cs="Times New Roman"/>
          <w:i/>
        </w:rPr>
        <w:t>the</w:t>
      </w:r>
      <w:r w:rsidR="00ED3D67" w:rsidRPr="00AD189F">
        <w:rPr>
          <w:rFonts w:ascii="Times New Roman" w:hAnsi="Times New Roman"/>
          <w:i/>
        </w:rPr>
        <w:t xml:space="preserve"> Evidence (National Uniform Legislation) Act 2011</w:t>
      </w:r>
      <w:r w:rsidR="00ED3D67" w:rsidRPr="00AD189F">
        <w:rPr>
          <w:rFonts w:ascii="Times New Roman" w:hAnsi="Times New Roman"/>
        </w:rPr>
        <w:t xml:space="preserve"> (NT) </w:t>
      </w:r>
      <w:r w:rsidR="000F1D07">
        <w:rPr>
          <w:rFonts w:ascii="Times New Roman" w:hAnsi="Times New Roman"/>
        </w:rPr>
        <w:t xml:space="preserve">for the purposes of section 128 of the </w:t>
      </w:r>
      <w:r w:rsidR="00ED3D67" w:rsidRPr="00A570D7">
        <w:rPr>
          <w:rFonts w:ascii="Times New Roman" w:hAnsi="Times New Roman"/>
          <w:i/>
          <w:sz w:val="24"/>
          <w:szCs w:val="24"/>
        </w:rPr>
        <w:t>Evidence Act 1995</w:t>
      </w:r>
      <w:r w:rsidR="00ED3D67" w:rsidRPr="0044606B">
        <w:rPr>
          <w:rFonts w:ascii="Times New Roman" w:hAnsi="Times New Roman"/>
          <w:i/>
          <w:sz w:val="24"/>
          <w:szCs w:val="24"/>
        </w:rPr>
        <w:t xml:space="preserve"> </w:t>
      </w:r>
      <w:r w:rsidR="00ED3D67" w:rsidRPr="00D313AD">
        <w:rPr>
          <w:rFonts w:ascii="Times New Roman" w:hAnsi="Times New Roman"/>
          <w:sz w:val="24"/>
          <w:szCs w:val="24"/>
        </w:rPr>
        <w:t>(</w:t>
      </w:r>
      <w:r w:rsidR="00ED3D67" w:rsidRPr="00AD189F">
        <w:rPr>
          <w:rFonts w:ascii="Times New Roman" w:hAnsi="Times New Roman"/>
        </w:rPr>
        <w:t xml:space="preserve">Cth). </w:t>
      </w:r>
      <w:r w:rsidRPr="00AD189F">
        <w:rPr>
          <w:rFonts w:ascii="Times New Roman" w:hAnsi="Times New Roman"/>
        </w:rPr>
        <w:t xml:space="preserve">This </w:t>
      </w:r>
      <w:r w:rsidR="000F1D07" w:rsidRPr="00AD189F">
        <w:rPr>
          <w:rFonts w:ascii="Times New Roman" w:hAnsi="Times New Roman"/>
        </w:rPr>
        <w:t xml:space="preserve">will </w:t>
      </w:r>
      <w:r w:rsidRPr="00AD189F">
        <w:rPr>
          <w:rFonts w:ascii="Times New Roman" w:hAnsi="Times New Roman"/>
        </w:rPr>
        <w:t>afford appropriate protections to witnesses and facilitate the efficient conduct of prosecutions where issues of the privilege in respect of self-incrimination arise.</w:t>
      </w:r>
      <w:r>
        <w:rPr>
          <w:rFonts w:ascii="Times New Roman" w:hAnsi="Times New Roman"/>
          <w:sz w:val="24"/>
          <w:szCs w:val="24"/>
        </w:rPr>
        <w:t xml:space="preserve"> </w:t>
      </w:r>
    </w:p>
    <w:sectPr w:rsidR="00F310CC" w:rsidRPr="00F310CC">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C1C02B" w14:textId="77777777" w:rsidR="00E718EF" w:rsidRDefault="00E718EF" w:rsidP="0002636A">
      <w:pPr>
        <w:spacing w:after="0" w:line="240" w:lineRule="auto"/>
      </w:pPr>
      <w:r>
        <w:separator/>
      </w:r>
    </w:p>
  </w:endnote>
  <w:endnote w:type="continuationSeparator" w:id="0">
    <w:p w14:paraId="767EFDED" w14:textId="77777777" w:rsidR="00E718EF" w:rsidRDefault="00E718EF" w:rsidP="000263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04314554"/>
      <w:docPartObj>
        <w:docPartGallery w:val="Page Numbers (Bottom of Page)"/>
        <w:docPartUnique/>
      </w:docPartObj>
    </w:sdtPr>
    <w:sdtEndPr>
      <w:rPr>
        <w:noProof/>
      </w:rPr>
    </w:sdtEndPr>
    <w:sdtContent>
      <w:p w14:paraId="09BFDD04" w14:textId="77777777" w:rsidR="0002636A" w:rsidRDefault="0002636A">
        <w:pPr>
          <w:pStyle w:val="Footer"/>
          <w:jc w:val="right"/>
        </w:pPr>
        <w:r>
          <w:fldChar w:fldCharType="begin"/>
        </w:r>
        <w:r>
          <w:instrText xml:space="preserve"> PAGE   \* MERGEFORMAT </w:instrText>
        </w:r>
        <w:r>
          <w:fldChar w:fldCharType="separate"/>
        </w:r>
        <w:r w:rsidR="005E2C79">
          <w:rPr>
            <w:noProof/>
          </w:rPr>
          <w:t>1</w:t>
        </w:r>
        <w:r>
          <w:rPr>
            <w:noProof/>
          </w:rPr>
          <w:fldChar w:fldCharType="end"/>
        </w:r>
      </w:p>
    </w:sdtContent>
  </w:sdt>
  <w:p w14:paraId="09BFDD05" w14:textId="77777777" w:rsidR="0002636A" w:rsidRDefault="000263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3A3C28" w14:textId="77777777" w:rsidR="00E718EF" w:rsidRDefault="00E718EF" w:rsidP="0002636A">
      <w:pPr>
        <w:spacing w:after="0" w:line="240" w:lineRule="auto"/>
      </w:pPr>
      <w:r>
        <w:separator/>
      </w:r>
    </w:p>
  </w:footnote>
  <w:footnote w:type="continuationSeparator" w:id="0">
    <w:p w14:paraId="7DBE3C90" w14:textId="77777777" w:rsidR="00E718EF" w:rsidRDefault="00E718EF" w:rsidP="0002636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8918E6"/>
    <w:multiLevelType w:val="hybridMultilevel"/>
    <w:tmpl w:val="DA881898"/>
    <w:lvl w:ilvl="0" w:tplc="169A6140">
      <w:start w:val="1"/>
      <w:numFmt w:val="decimal"/>
      <w:lvlText w:val="%1."/>
      <w:lvlJc w:val="left"/>
      <w:pPr>
        <w:ind w:left="720" w:hanging="360"/>
      </w:pPr>
      <w:rPr>
        <w:rFonts w:hint="default"/>
        <w:b w:val="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26E494D"/>
    <w:multiLevelType w:val="hybridMultilevel"/>
    <w:tmpl w:val="AA1ED3FE"/>
    <w:lvl w:ilvl="0" w:tplc="169A6140">
      <w:start w:val="1"/>
      <w:numFmt w:val="decimal"/>
      <w:lvlText w:val="%1."/>
      <w:lvlJc w:val="left"/>
      <w:pPr>
        <w:ind w:left="720" w:hanging="360"/>
      </w:pPr>
      <w:rPr>
        <w:rFonts w:hint="default"/>
        <w:b w:val="0"/>
      </w:r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21101019"/>
    <w:multiLevelType w:val="hybridMultilevel"/>
    <w:tmpl w:val="746CD1B2"/>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48C3DF9"/>
    <w:multiLevelType w:val="hybridMultilevel"/>
    <w:tmpl w:val="623C0C0C"/>
    <w:lvl w:ilvl="0" w:tplc="B098319C">
      <w:start w:val="3"/>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9A011B4"/>
    <w:multiLevelType w:val="hybridMultilevel"/>
    <w:tmpl w:val="3C4A2FC8"/>
    <w:lvl w:ilvl="0" w:tplc="D552296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56DE484B"/>
    <w:multiLevelType w:val="hybridMultilevel"/>
    <w:tmpl w:val="BDC49336"/>
    <w:lvl w:ilvl="0" w:tplc="169A6140">
      <w:start w:val="1"/>
      <w:numFmt w:val="decimal"/>
      <w:lvlText w:val="%1."/>
      <w:lvlJc w:val="left"/>
      <w:pPr>
        <w:ind w:left="720" w:hanging="360"/>
      </w:pPr>
      <w:rPr>
        <w:rFonts w:hint="default"/>
        <w:b w:val="0"/>
      </w:rPr>
    </w:lvl>
    <w:lvl w:ilvl="1" w:tplc="0C090019">
      <w:start w:val="1"/>
      <w:numFmt w:val="lowerLetter"/>
      <w:lvlText w:val="%2."/>
      <w:lvlJc w:val="left"/>
      <w:pPr>
        <w:ind w:left="1440" w:hanging="360"/>
      </w:pPr>
    </w:lvl>
    <w:lvl w:ilvl="2" w:tplc="EE5CC7EA">
      <w:start w:val="1"/>
      <w:numFmt w:val="lowerLetter"/>
      <w:lvlText w:val="(%3)"/>
      <w:lvlJc w:val="left"/>
      <w:pPr>
        <w:ind w:left="1778" w:hanging="36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59DF172E"/>
    <w:multiLevelType w:val="hybridMultilevel"/>
    <w:tmpl w:val="0814488A"/>
    <w:lvl w:ilvl="0" w:tplc="0C090019">
      <w:start w:val="1"/>
      <w:numFmt w:val="lowerLetter"/>
      <w:lvlText w:val="%1."/>
      <w:lvlJc w:val="left"/>
      <w:pPr>
        <w:ind w:left="720" w:hanging="360"/>
      </w:pPr>
      <w:rPr>
        <w:rFonts w:hint="default"/>
        <w:b w:val="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DB250C5"/>
    <w:multiLevelType w:val="hybridMultilevel"/>
    <w:tmpl w:val="96DAD556"/>
    <w:lvl w:ilvl="0" w:tplc="B098319C">
      <w:start w:val="3"/>
      <w:numFmt w:val="bullet"/>
      <w:lvlText w:val="-"/>
      <w:lvlJc w:val="left"/>
      <w:pPr>
        <w:ind w:left="360" w:hanging="360"/>
      </w:pPr>
      <w:rPr>
        <w:rFonts w:ascii="Calibri" w:eastAsiaTheme="minorHAnsi" w:hAnsi="Calibri" w:cs="Calibr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5F0931BC"/>
    <w:multiLevelType w:val="hybridMultilevel"/>
    <w:tmpl w:val="4DDC4CD4"/>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61362741"/>
    <w:multiLevelType w:val="hybridMultilevel"/>
    <w:tmpl w:val="569AEB26"/>
    <w:lvl w:ilvl="0" w:tplc="88665288">
      <w:start w:val="1"/>
      <w:numFmt w:val="decimal"/>
      <w:lvlText w:val="%1."/>
      <w:lvlJc w:val="left"/>
      <w:pPr>
        <w:ind w:left="360" w:hanging="360"/>
      </w:pPr>
      <w:rPr>
        <w:rFonts w:hint="default"/>
        <w:b w:val="0"/>
        <w:i w:val="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6A0335FE"/>
    <w:multiLevelType w:val="hybridMultilevel"/>
    <w:tmpl w:val="4574E45A"/>
    <w:lvl w:ilvl="0" w:tplc="7988EC9C">
      <w:start w:val="3"/>
      <w:numFmt w:val="bullet"/>
      <w:lvlText w:val="-"/>
      <w:lvlJc w:val="left"/>
      <w:pPr>
        <w:ind w:left="360" w:hanging="360"/>
      </w:pPr>
      <w:rPr>
        <w:rFonts w:ascii="Calibri" w:eastAsiaTheme="minorHAnsi" w:hAnsi="Calibr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70DD0D1A"/>
    <w:multiLevelType w:val="hybridMultilevel"/>
    <w:tmpl w:val="A5F63E44"/>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787F0225"/>
    <w:multiLevelType w:val="hybridMultilevel"/>
    <w:tmpl w:val="C72ED0B6"/>
    <w:lvl w:ilvl="0" w:tplc="B098319C">
      <w:start w:val="3"/>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7"/>
  </w:num>
  <w:num w:numId="4">
    <w:abstractNumId w:val="11"/>
  </w:num>
  <w:num w:numId="5">
    <w:abstractNumId w:val="2"/>
  </w:num>
  <w:num w:numId="6">
    <w:abstractNumId w:val="12"/>
  </w:num>
  <w:num w:numId="7">
    <w:abstractNumId w:val="0"/>
  </w:num>
  <w:num w:numId="8">
    <w:abstractNumId w:val="6"/>
  </w:num>
  <w:num w:numId="9">
    <w:abstractNumId w:val="3"/>
  </w:num>
  <w:num w:numId="10">
    <w:abstractNumId w:val="10"/>
  </w:num>
  <w:num w:numId="11">
    <w:abstractNumId w:val="9"/>
  </w:num>
  <w:num w:numId="12">
    <w:abstractNumId w:val="8"/>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269"/>
    <w:rsid w:val="00001A39"/>
    <w:rsid w:val="00002540"/>
    <w:rsid w:val="00012AD6"/>
    <w:rsid w:val="0002636A"/>
    <w:rsid w:val="000415BA"/>
    <w:rsid w:val="00043840"/>
    <w:rsid w:val="00092565"/>
    <w:rsid w:val="000A66BD"/>
    <w:rsid w:val="000E1EA1"/>
    <w:rsid w:val="000E2C80"/>
    <w:rsid w:val="000F0FB1"/>
    <w:rsid w:val="000F1D07"/>
    <w:rsid w:val="00101DF6"/>
    <w:rsid w:val="0010364C"/>
    <w:rsid w:val="00106CBA"/>
    <w:rsid w:val="00132863"/>
    <w:rsid w:val="001456E8"/>
    <w:rsid w:val="001469C7"/>
    <w:rsid w:val="001525FC"/>
    <w:rsid w:val="0017632E"/>
    <w:rsid w:val="001831F6"/>
    <w:rsid w:val="00186EFA"/>
    <w:rsid w:val="00195A18"/>
    <w:rsid w:val="001C4696"/>
    <w:rsid w:val="001D3031"/>
    <w:rsid w:val="0026109C"/>
    <w:rsid w:val="00262B9E"/>
    <w:rsid w:val="002B361E"/>
    <w:rsid w:val="002C5B76"/>
    <w:rsid w:val="002E2783"/>
    <w:rsid w:val="002F71CF"/>
    <w:rsid w:val="003337E9"/>
    <w:rsid w:val="003516FD"/>
    <w:rsid w:val="00381AEC"/>
    <w:rsid w:val="003B6050"/>
    <w:rsid w:val="003C6789"/>
    <w:rsid w:val="003D7EC2"/>
    <w:rsid w:val="0044606B"/>
    <w:rsid w:val="004518A4"/>
    <w:rsid w:val="004709FE"/>
    <w:rsid w:val="004771DE"/>
    <w:rsid w:val="0049094A"/>
    <w:rsid w:val="004A0438"/>
    <w:rsid w:val="004A4086"/>
    <w:rsid w:val="004B3C03"/>
    <w:rsid w:val="004B3FE4"/>
    <w:rsid w:val="004F430F"/>
    <w:rsid w:val="004F6509"/>
    <w:rsid w:val="0050398F"/>
    <w:rsid w:val="005208BC"/>
    <w:rsid w:val="00521029"/>
    <w:rsid w:val="00566C9B"/>
    <w:rsid w:val="005714FB"/>
    <w:rsid w:val="005A3198"/>
    <w:rsid w:val="005B097F"/>
    <w:rsid w:val="005D194A"/>
    <w:rsid w:val="005E2C79"/>
    <w:rsid w:val="0063239B"/>
    <w:rsid w:val="00634AE9"/>
    <w:rsid w:val="00635C6A"/>
    <w:rsid w:val="00646B9A"/>
    <w:rsid w:val="00670C8D"/>
    <w:rsid w:val="00674543"/>
    <w:rsid w:val="006810A1"/>
    <w:rsid w:val="00685423"/>
    <w:rsid w:val="007870B7"/>
    <w:rsid w:val="007B6BEB"/>
    <w:rsid w:val="007B7195"/>
    <w:rsid w:val="007C46E4"/>
    <w:rsid w:val="007F1D53"/>
    <w:rsid w:val="008240E6"/>
    <w:rsid w:val="00872B27"/>
    <w:rsid w:val="00894D9D"/>
    <w:rsid w:val="008B2955"/>
    <w:rsid w:val="008B66D9"/>
    <w:rsid w:val="008B7BBC"/>
    <w:rsid w:val="00902F3D"/>
    <w:rsid w:val="00911332"/>
    <w:rsid w:val="009227B6"/>
    <w:rsid w:val="00957401"/>
    <w:rsid w:val="009601BB"/>
    <w:rsid w:val="009B1F88"/>
    <w:rsid w:val="009B6322"/>
    <w:rsid w:val="009C0BE2"/>
    <w:rsid w:val="009D2B82"/>
    <w:rsid w:val="00A570D7"/>
    <w:rsid w:val="00AB3F89"/>
    <w:rsid w:val="00AC39E5"/>
    <w:rsid w:val="00AD189F"/>
    <w:rsid w:val="00AF0C63"/>
    <w:rsid w:val="00AF673F"/>
    <w:rsid w:val="00B273E1"/>
    <w:rsid w:val="00B427D5"/>
    <w:rsid w:val="00B50A4D"/>
    <w:rsid w:val="00B57503"/>
    <w:rsid w:val="00B828BC"/>
    <w:rsid w:val="00B85759"/>
    <w:rsid w:val="00BA3F3C"/>
    <w:rsid w:val="00BB13D6"/>
    <w:rsid w:val="00BC12FF"/>
    <w:rsid w:val="00C10876"/>
    <w:rsid w:val="00C16B35"/>
    <w:rsid w:val="00C23A5B"/>
    <w:rsid w:val="00C26833"/>
    <w:rsid w:val="00C30C24"/>
    <w:rsid w:val="00C5431A"/>
    <w:rsid w:val="00C76DA7"/>
    <w:rsid w:val="00C858F4"/>
    <w:rsid w:val="00C9179F"/>
    <w:rsid w:val="00CE6485"/>
    <w:rsid w:val="00CF14E3"/>
    <w:rsid w:val="00D313AD"/>
    <w:rsid w:val="00D51060"/>
    <w:rsid w:val="00D51A2A"/>
    <w:rsid w:val="00DA0C8A"/>
    <w:rsid w:val="00DB2DA6"/>
    <w:rsid w:val="00DB54AF"/>
    <w:rsid w:val="00E23B2F"/>
    <w:rsid w:val="00E35983"/>
    <w:rsid w:val="00E44073"/>
    <w:rsid w:val="00E53D5E"/>
    <w:rsid w:val="00E718EF"/>
    <w:rsid w:val="00E81349"/>
    <w:rsid w:val="00ED357E"/>
    <w:rsid w:val="00ED3D67"/>
    <w:rsid w:val="00ED642C"/>
    <w:rsid w:val="00F10A91"/>
    <w:rsid w:val="00F11561"/>
    <w:rsid w:val="00F26896"/>
    <w:rsid w:val="00F310CC"/>
    <w:rsid w:val="00F33269"/>
    <w:rsid w:val="00F769DC"/>
    <w:rsid w:val="00FB37FD"/>
    <w:rsid w:val="00FC488B"/>
    <w:rsid w:val="00FD3F4C"/>
    <w:rsid w:val="00FE680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BFDCC5"/>
  <w15:docId w15:val="{B8D0FB87-7B07-4D32-8558-195556030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70C8D"/>
    <w:pPr>
      <w:keepNext/>
      <w:spacing w:before="240" w:after="60"/>
      <w:outlineLvl w:val="0"/>
    </w:pPr>
    <w:rPr>
      <w:rFonts w:ascii="Cambria" w:eastAsia="Times New Roman" w:hAnsi="Cambria" w:cs="Times New Roman"/>
      <w:bCs/>
      <w:cap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2B361E"/>
    <w:rPr>
      <w:sz w:val="16"/>
      <w:szCs w:val="16"/>
    </w:rPr>
  </w:style>
  <w:style w:type="paragraph" w:styleId="CommentText">
    <w:name w:val="annotation text"/>
    <w:basedOn w:val="Normal"/>
    <w:link w:val="CommentTextChar"/>
    <w:uiPriority w:val="99"/>
    <w:semiHidden/>
    <w:unhideWhenUsed/>
    <w:rsid w:val="002B361E"/>
    <w:pPr>
      <w:spacing w:line="240" w:lineRule="auto"/>
    </w:pPr>
    <w:rPr>
      <w:sz w:val="20"/>
      <w:szCs w:val="20"/>
    </w:rPr>
  </w:style>
  <w:style w:type="character" w:customStyle="1" w:styleId="CommentTextChar">
    <w:name w:val="Comment Text Char"/>
    <w:basedOn w:val="DefaultParagraphFont"/>
    <w:link w:val="CommentText"/>
    <w:uiPriority w:val="99"/>
    <w:semiHidden/>
    <w:rsid w:val="002B361E"/>
    <w:rPr>
      <w:sz w:val="20"/>
      <w:szCs w:val="20"/>
    </w:rPr>
  </w:style>
  <w:style w:type="paragraph" w:styleId="CommentSubject">
    <w:name w:val="annotation subject"/>
    <w:basedOn w:val="CommentText"/>
    <w:next w:val="CommentText"/>
    <w:link w:val="CommentSubjectChar"/>
    <w:uiPriority w:val="99"/>
    <w:semiHidden/>
    <w:unhideWhenUsed/>
    <w:rsid w:val="002B361E"/>
    <w:rPr>
      <w:b/>
      <w:bCs/>
    </w:rPr>
  </w:style>
  <w:style w:type="character" w:customStyle="1" w:styleId="CommentSubjectChar">
    <w:name w:val="Comment Subject Char"/>
    <w:basedOn w:val="CommentTextChar"/>
    <w:link w:val="CommentSubject"/>
    <w:uiPriority w:val="99"/>
    <w:semiHidden/>
    <w:rsid w:val="002B361E"/>
    <w:rPr>
      <w:b/>
      <w:bCs/>
      <w:sz w:val="20"/>
      <w:szCs w:val="20"/>
    </w:rPr>
  </w:style>
  <w:style w:type="paragraph" w:styleId="BalloonText">
    <w:name w:val="Balloon Text"/>
    <w:basedOn w:val="Normal"/>
    <w:link w:val="BalloonTextChar"/>
    <w:uiPriority w:val="99"/>
    <w:semiHidden/>
    <w:unhideWhenUsed/>
    <w:rsid w:val="002B36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361E"/>
    <w:rPr>
      <w:rFonts w:ascii="Tahoma" w:hAnsi="Tahoma" w:cs="Tahoma"/>
      <w:sz w:val="16"/>
      <w:szCs w:val="16"/>
    </w:rPr>
  </w:style>
  <w:style w:type="paragraph" w:styleId="ListParagraph">
    <w:name w:val="List Paragraph"/>
    <w:basedOn w:val="Normal"/>
    <w:uiPriority w:val="34"/>
    <w:qFormat/>
    <w:rsid w:val="0063239B"/>
    <w:pPr>
      <w:ind w:left="720"/>
      <w:contextualSpacing/>
    </w:pPr>
  </w:style>
  <w:style w:type="character" w:styleId="Hyperlink">
    <w:name w:val="Hyperlink"/>
    <w:basedOn w:val="DefaultParagraphFont"/>
    <w:uiPriority w:val="99"/>
    <w:unhideWhenUsed/>
    <w:rsid w:val="007B7195"/>
    <w:rPr>
      <w:color w:val="0000FF" w:themeColor="hyperlink"/>
      <w:u w:val="single"/>
    </w:rPr>
  </w:style>
  <w:style w:type="character" w:styleId="FollowedHyperlink">
    <w:name w:val="FollowedHyperlink"/>
    <w:basedOn w:val="DefaultParagraphFont"/>
    <w:uiPriority w:val="99"/>
    <w:semiHidden/>
    <w:unhideWhenUsed/>
    <w:rsid w:val="007B7195"/>
    <w:rPr>
      <w:color w:val="800080" w:themeColor="followedHyperlink"/>
      <w:u w:val="single"/>
    </w:rPr>
  </w:style>
  <w:style w:type="character" w:customStyle="1" w:styleId="Heading1Char">
    <w:name w:val="Heading 1 Char"/>
    <w:basedOn w:val="DefaultParagraphFont"/>
    <w:link w:val="Heading1"/>
    <w:uiPriority w:val="9"/>
    <w:rsid w:val="00670C8D"/>
    <w:rPr>
      <w:rFonts w:ascii="Cambria" w:eastAsia="Times New Roman" w:hAnsi="Cambria" w:cs="Times New Roman"/>
      <w:bCs/>
      <w:caps/>
      <w:kern w:val="32"/>
      <w:sz w:val="32"/>
      <w:szCs w:val="32"/>
    </w:rPr>
  </w:style>
  <w:style w:type="paragraph" w:customStyle="1" w:styleId="Paragraph">
    <w:name w:val="Paragraph"/>
    <w:basedOn w:val="Normal"/>
    <w:link w:val="ParagraphChar"/>
    <w:uiPriority w:val="99"/>
    <w:rsid w:val="00C16B35"/>
    <w:pPr>
      <w:numPr>
        <w:ilvl w:val="12"/>
      </w:numPr>
      <w:spacing w:before="240" w:after="0" w:line="240" w:lineRule="auto"/>
    </w:pPr>
    <w:rPr>
      <w:rFonts w:ascii="Times New Roman" w:eastAsia="Times New Roman" w:hAnsi="Times New Roman" w:cs="Times New Roman"/>
      <w:sz w:val="24"/>
      <w:szCs w:val="24"/>
      <w:lang w:eastAsia="en-AU"/>
    </w:rPr>
  </w:style>
  <w:style w:type="character" w:customStyle="1" w:styleId="ParagraphChar">
    <w:name w:val="Paragraph Char"/>
    <w:link w:val="Paragraph"/>
    <w:uiPriority w:val="99"/>
    <w:rsid w:val="00C16B35"/>
    <w:rPr>
      <w:rFonts w:ascii="Times New Roman" w:eastAsia="Times New Roman" w:hAnsi="Times New Roman" w:cs="Times New Roman"/>
      <w:sz w:val="24"/>
      <w:szCs w:val="24"/>
      <w:lang w:eastAsia="en-AU"/>
    </w:rPr>
  </w:style>
  <w:style w:type="paragraph" w:customStyle="1" w:styleId="Default">
    <w:name w:val="Default"/>
    <w:rsid w:val="001D3031"/>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02636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636A"/>
  </w:style>
  <w:style w:type="paragraph" w:styleId="Footer">
    <w:name w:val="footer"/>
    <w:basedOn w:val="Normal"/>
    <w:link w:val="FooterChar"/>
    <w:uiPriority w:val="99"/>
    <w:unhideWhenUsed/>
    <w:rsid w:val="0002636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63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6880889">
      <w:bodyDiv w:val="1"/>
      <w:marLeft w:val="0"/>
      <w:marRight w:val="0"/>
      <w:marTop w:val="0"/>
      <w:marBottom w:val="0"/>
      <w:divBdr>
        <w:top w:val="none" w:sz="0" w:space="0" w:color="auto"/>
        <w:left w:val="none" w:sz="0" w:space="0" w:color="auto"/>
        <w:bottom w:val="none" w:sz="0" w:space="0" w:color="auto"/>
        <w:right w:val="none" w:sz="0" w:space="0" w:color="auto"/>
      </w:divBdr>
    </w:div>
    <w:div w:id="1999310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PDMS Document" ma:contentTypeID="0x010100266966F133664895A6EE3632470D45F500A7B6ED367640E141958A9849FF9A1388" ma:contentTypeVersion="" ma:contentTypeDescription="PDMS Document Site Content Type" ma:contentTypeScope="" ma:versionID="81eeca52d426eb696c4d7275af6834d7">
  <xsd:schema xmlns:xsd="http://www.w3.org/2001/XMLSchema" xmlns:xs="http://www.w3.org/2001/XMLSchema" xmlns:p="http://schemas.microsoft.com/office/2006/metadata/properties" xmlns:ns2="CB1C4476-E9AA-49E2-A18B-3CE1FC80AE5C" targetNamespace="http://schemas.microsoft.com/office/2006/metadata/properties" ma:root="true" ma:fieldsID="296abce7436cd31e23272a7f39da9a38" ns2:_="">
    <xsd:import namespace="CB1C4476-E9AA-49E2-A18B-3CE1FC80AE5C"/>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1C4476-E9AA-49E2-A18B-3CE1FC80AE5C"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ecurityClassification xmlns="CB1C4476-E9AA-49E2-A18B-3CE1FC80AE5C"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CC7741-5064-4B22-9046-019017FF8844}">
  <ds:schemaRefs>
    <ds:schemaRef ds:uri="http://schemas.microsoft.com/sharepoint/v3/contenttype/forms"/>
  </ds:schemaRefs>
</ds:datastoreItem>
</file>

<file path=customXml/itemProps2.xml><?xml version="1.0" encoding="utf-8"?>
<ds:datastoreItem xmlns:ds="http://schemas.openxmlformats.org/officeDocument/2006/customXml" ds:itemID="{100B983D-528C-4352-ABEE-9F62D4DCE9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1C4476-E9AA-49E2-A18B-3CE1FC80AE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D74A69D-22E8-43A8-BB0F-D8E8F3411D3E}">
  <ds:schemaRefs>
    <ds:schemaRef ds:uri="http://schemas.microsoft.com/office/2006/metadata/properties"/>
    <ds:schemaRef ds:uri="http://schemas.microsoft.com/office/infopath/2007/PartnerControls"/>
    <ds:schemaRef ds:uri="CB1C4476-E9AA-49E2-A18B-3CE1FC80AE5C"/>
  </ds:schemaRefs>
</ds:datastoreItem>
</file>

<file path=customXml/itemProps4.xml><?xml version="1.0" encoding="utf-8"?>
<ds:datastoreItem xmlns:ds="http://schemas.openxmlformats.org/officeDocument/2006/customXml" ds:itemID="{C2D0CF29-2A30-4142-AF2E-220A9F0F8A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1056</Words>
  <Characters>6020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Australian Attorney General's Department</Company>
  <LinksUpToDate>false</LinksUpToDate>
  <CharactersWithSpaces>7062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tayloh</dc:creator>
  <cp:keywords/>
  <dc:description/>
  <cp:lastModifiedBy>Hanson-Pou, Shireen</cp:lastModifiedBy>
  <cp:revision>3</cp:revision>
  <dcterms:created xsi:type="dcterms:W3CDTF">2023-07-20T06:44:00Z</dcterms:created>
  <dcterms:modified xsi:type="dcterms:W3CDTF">2023-07-21T01:26:00Z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0x010100266966F133664895A6EE3632470D45F500A7B6ED367640E141958A9849FF9A1388</vt:lpwstr>
  </property>
  <property fmtid="{D5CDD505-2E9C-101B-9397-08002B2CF9AE}" pid="3" name="Order">
    <vt:r8>1900</vt:r8>
  </property>
  <property fmtid="{D5CDD505-2E9C-101B-9397-08002B2CF9AE}" pid="4" name="xd_ProgID">
    <vt:lpwstr/>
  </property>
  <property fmtid="{D5CDD505-2E9C-101B-9397-08002B2CF9AE}" pid="5" name="_CopySource">
    <vt:lpwstr>http://teams.agdnet.ag.gov.au/projects/LegislationToolbox/Templates/ExCo Legislative Instrument Explanatory Statement Template.DOCX</vt:lpwstr>
  </property>
  <property fmtid="{D5CDD505-2E9C-101B-9397-08002B2CF9AE}" pid="6" name="TemplateUrl">
    <vt:lpwstr/>
  </property>
</Properties>
</file>