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B21E66" w14:textId="77777777" w:rsidR="00244324" w:rsidRPr="00B32C2C" w:rsidRDefault="00244324" w:rsidP="00244324">
      <w:pPr>
        <w:rPr>
          <w:rFonts w:cs="Times New Roman"/>
          <w:sz w:val="28"/>
        </w:rPr>
      </w:pPr>
      <w:r w:rsidRPr="00B32C2C">
        <w:rPr>
          <w:rFonts w:cs="Times New Roman"/>
          <w:noProof/>
          <w:lang w:eastAsia="en-AU"/>
        </w:rPr>
        <w:drawing>
          <wp:inline distT="0" distB="0" distL="0" distR="0" wp14:anchorId="006B1060" wp14:editId="265FD186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450BAB" w14:textId="77777777" w:rsidR="00244324" w:rsidRPr="00B32C2C" w:rsidRDefault="00244324" w:rsidP="00244324">
      <w:pPr>
        <w:rPr>
          <w:rFonts w:cs="Times New Roman"/>
          <w:sz w:val="19"/>
        </w:rPr>
      </w:pPr>
    </w:p>
    <w:p w14:paraId="2BDD6614" w14:textId="77777777" w:rsidR="00244324" w:rsidRPr="00B32C2C" w:rsidRDefault="00244324" w:rsidP="00244324">
      <w:pPr>
        <w:pStyle w:val="ShortT"/>
      </w:pPr>
      <w:r w:rsidRPr="00B32C2C">
        <w:t xml:space="preserve">Telecommunications (Customer Service Guarantee) Direction 2023 </w:t>
      </w:r>
    </w:p>
    <w:p w14:paraId="67A1E7A1" w14:textId="77777777" w:rsidR="00244324" w:rsidRPr="00B32C2C" w:rsidRDefault="00244324" w:rsidP="00244324">
      <w:pPr>
        <w:pStyle w:val="SignCoverPageStart"/>
        <w:spacing w:before="240"/>
        <w:ind w:right="91"/>
        <w:rPr>
          <w:szCs w:val="22"/>
        </w:rPr>
      </w:pPr>
      <w:r w:rsidRPr="00B32C2C">
        <w:rPr>
          <w:szCs w:val="22"/>
        </w:rPr>
        <w:t>I, Michelle Rowland, Minister for Communications make the following direction.</w:t>
      </w:r>
    </w:p>
    <w:p w14:paraId="493FE793" w14:textId="12AFF3C4" w:rsidR="00244324" w:rsidRPr="00B32C2C" w:rsidRDefault="00244324" w:rsidP="00244324">
      <w:pPr>
        <w:keepNext/>
        <w:spacing w:before="300" w:line="240" w:lineRule="atLeast"/>
        <w:ind w:right="397"/>
        <w:jc w:val="both"/>
        <w:rPr>
          <w:rFonts w:cs="Times New Roman"/>
          <w:szCs w:val="22"/>
        </w:rPr>
      </w:pPr>
      <w:r w:rsidRPr="00B32C2C">
        <w:rPr>
          <w:rFonts w:cs="Times New Roman"/>
          <w:szCs w:val="22"/>
        </w:rPr>
        <w:t>Dated</w:t>
      </w:r>
      <w:r w:rsidR="00D67CE6">
        <w:rPr>
          <w:rFonts w:cs="Times New Roman"/>
          <w:szCs w:val="22"/>
        </w:rPr>
        <w:t xml:space="preserve"> 17 July 2023</w:t>
      </w:r>
      <w:bookmarkStart w:id="0" w:name="_GoBack"/>
      <w:bookmarkEnd w:id="0"/>
    </w:p>
    <w:p w14:paraId="33A3D54F" w14:textId="77777777" w:rsidR="00244324" w:rsidRPr="00B32C2C" w:rsidRDefault="00244324" w:rsidP="00244324">
      <w:pPr>
        <w:keepNext/>
        <w:tabs>
          <w:tab w:val="left" w:pos="3402"/>
        </w:tabs>
        <w:spacing w:before="1440" w:line="300" w:lineRule="atLeast"/>
        <w:ind w:right="397"/>
        <w:rPr>
          <w:rFonts w:cs="Times New Roman"/>
          <w:b/>
          <w:szCs w:val="22"/>
        </w:rPr>
      </w:pPr>
      <w:r w:rsidRPr="00B32C2C">
        <w:rPr>
          <w:rFonts w:cs="Times New Roman"/>
          <w:szCs w:val="22"/>
        </w:rPr>
        <w:t xml:space="preserve">Michelle Rowland </w:t>
      </w:r>
    </w:p>
    <w:p w14:paraId="2F3B088C" w14:textId="77777777" w:rsidR="00244324" w:rsidRPr="00B32C2C" w:rsidRDefault="00244324" w:rsidP="00244324">
      <w:pPr>
        <w:pStyle w:val="SignCoverPageEnd"/>
        <w:ind w:right="91"/>
        <w:rPr>
          <w:sz w:val="22"/>
        </w:rPr>
      </w:pPr>
      <w:r w:rsidRPr="00B32C2C">
        <w:rPr>
          <w:sz w:val="22"/>
        </w:rPr>
        <w:t xml:space="preserve">Minister for Communications </w:t>
      </w:r>
    </w:p>
    <w:p w14:paraId="06C3BC54" w14:textId="77777777" w:rsidR="00244324" w:rsidRPr="00B32C2C" w:rsidRDefault="00244324" w:rsidP="00244324">
      <w:pPr>
        <w:rPr>
          <w:rFonts w:cs="Times New Roman"/>
        </w:rPr>
      </w:pPr>
    </w:p>
    <w:p w14:paraId="1E1C9159" w14:textId="77777777" w:rsidR="00244324" w:rsidRPr="00B32C2C" w:rsidRDefault="00244324" w:rsidP="00244324">
      <w:pPr>
        <w:rPr>
          <w:rFonts w:cs="Times New Roman"/>
        </w:rPr>
      </w:pPr>
    </w:p>
    <w:p w14:paraId="4900CAF7" w14:textId="77777777" w:rsidR="00244324" w:rsidRPr="00B32C2C" w:rsidRDefault="00244324" w:rsidP="00244324">
      <w:pPr>
        <w:rPr>
          <w:rFonts w:cs="Times New Roman"/>
        </w:rPr>
      </w:pPr>
    </w:p>
    <w:p w14:paraId="3E773215" w14:textId="77777777" w:rsidR="00244324" w:rsidRPr="00B32C2C" w:rsidRDefault="00244324" w:rsidP="00244324">
      <w:pPr>
        <w:rPr>
          <w:rFonts w:cs="Times New Roman"/>
        </w:rPr>
        <w:sectPr w:rsidR="00244324" w:rsidRPr="00B32C2C" w:rsidSect="00ED1AB0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7" w:h="16839" w:code="9"/>
          <w:pgMar w:top="2234" w:right="1797" w:bottom="1440" w:left="1797" w:header="720" w:footer="989" w:gutter="0"/>
          <w:pgNumType w:start="1"/>
          <w:cols w:space="708"/>
          <w:titlePg/>
          <w:docGrid w:linePitch="360"/>
        </w:sectPr>
      </w:pPr>
    </w:p>
    <w:p w14:paraId="7DC92CFC" w14:textId="77777777" w:rsidR="00244324" w:rsidRPr="00B32C2C" w:rsidRDefault="00244324" w:rsidP="00244324">
      <w:pPr>
        <w:outlineLvl w:val="0"/>
        <w:rPr>
          <w:rFonts w:cs="Times New Roman"/>
          <w:sz w:val="36"/>
        </w:rPr>
      </w:pPr>
      <w:r w:rsidRPr="00B32C2C">
        <w:rPr>
          <w:rFonts w:cs="Times New Roman"/>
          <w:sz w:val="36"/>
        </w:rPr>
        <w:lastRenderedPageBreak/>
        <w:t>Contents</w:t>
      </w:r>
    </w:p>
    <w:p w14:paraId="29CFCC30" w14:textId="77777777" w:rsidR="00ED22C3" w:rsidRPr="00B32C2C" w:rsidRDefault="0024432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32C2C">
        <w:fldChar w:fldCharType="begin"/>
      </w:r>
      <w:r w:rsidRPr="00B32C2C">
        <w:instrText xml:space="preserve"> TOC \o "1-9" </w:instrText>
      </w:r>
      <w:r w:rsidRPr="00B32C2C">
        <w:fldChar w:fldCharType="separate"/>
      </w:r>
      <w:r w:rsidR="00ED22C3" w:rsidRPr="00B32C2C">
        <w:rPr>
          <w:noProof/>
        </w:rPr>
        <w:t>1  Name</w:t>
      </w:r>
      <w:r w:rsidR="00ED22C3" w:rsidRPr="00B32C2C">
        <w:rPr>
          <w:noProof/>
        </w:rPr>
        <w:tab/>
      </w:r>
      <w:r w:rsidR="00ED22C3" w:rsidRPr="00B32C2C">
        <w:rPr>
          <w:noProof/>
        </w:rPr>
        <w:fldChar w:fldCharType="begin"/>
      </w:r>
      <w:r w:rsidR="00ED22C3" w:rsidRPr="00B32C2C">
        <w:rPr>
          <w:noProof/>
        </w:rPr>
        <w:instrText xml:space="preserve"> PAGEREF _Toc139905888 \h </w:instrText>
      </w:r>
      <w:r w:rsidR="00ED22C3" w:rsidRPr="00B32C2C">
        <w:rPr>
          <w:noProof/>
        </w:rPr>
      </w:r>
      <w:r w:rsidR="00ED22C3" w:rsidRPr="00B32C2C">
        <w:rPr>
          <w:noProof/>
        </w:rPr>
        <w:fldChar w:fldCharType="separate"/>
      </w:r>
      <w:r w:rsidR="00ED22C3" w:rsidRPr="00B32C2C">
        <w:rPr>
          <w:noProof/>
        </w:rPr>
        <w:t>1</w:t>
      </w:r>
      <w:r w:rsidR="00ED22C3" w:rsidRPr="00B32C2C">
        <w:rPr>
          <w:noProof/>
        </w:rPr>
        <w:fldChar w:fldCharType="end"/>
      </w:r>
    </w:p>
    <w:p w14:paraId="23D92508" w14:textId="77777777" w:rsidR="00ED22C3" w:rsidRPr="00B32C2C" w:rsidRDefault="00ED22C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32C2C">
        <w:rPr>
          <w:noProof/>
        </w:rPr>
        <w:t>2  Commencement</w:t>
      </w:r>
      <w:r w:rsidRPr="00B32C2C">
        <w:rPr>
          <w:noProof/>
        </w:rPr>
        <w:tab/>
      </w:r>
      <w:r w:rsidRPr="00B32C2C">
        <w:rPr>
          <w:noProof/>
        </w:rPr>
        <w:fldChar w:fldCharType="begin"/>
      </w:r>
      <w:r w:rsidRPr="00B32C2C">
        <w:rPr>
          <w:noProof/>
        </w:rPr>
        <w:instrText xml:space="preserve"> PAGEREF _Toc139905889 \h </w:instrText>
      </w:r>
      <w:r w:rsidRPr="00B32C2C">
        <w:rPr>
          <w:noProof/>
        </w:rPr>
      </w:r>
      <w:r w:rsidRPr="00B32C2C">
        <w:rPr>
          <w:noProof/>
        </w:rPr>
        <w:fldChar w:fldCharType="separate"/>
      </w:r>
      <w:r w:rsidRPr="00B32C2C">
        <w:rPr>
          <w:noProof/>
        </w:rPr>
        <w:t>1</w:t>
      </w:r>
      <w:r w:rsidRPr="00B32C2C">
        <w:rPr>
          <w:noProof/>
        </w:rPr>
        <w:fldChar w:fldCharType="end"/>
      </w:r>
    </w:p>
    <w:p w14:paraId="5C6E6458" w14:textId="77777777" w:rsidR="00ED22C3" w:rsidRPr="00B32C2C" w:rsidRDefault="00ED22C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32C2C">
        <w:rPr>
          <w:noProof/>
        </w:rPr>
        <w:t>3  Authority</w:t>
      </w:r>
      <w:r w:rsidRPr="00B32C2C">
        <w:rPr>
          <w:noProof/>
        </w:rPr>
        <w:tab/>
      </w:r>
      <w:r w:rsidRPr="00B32C2C">
        <w:rPr>
          <w:noProof/>
        </w:rPr>
        <w:fldChar w:fldCharType="begin"/>
      </w:r>
      <w:r w:rsidRPr="00B32C2C">
        <w:rPr>
          <w:noProof/>
        </w:rPr>
        <w:instrText xml:space="preserve"> PAGEREF _Toc139905890 \h </w:instrText>
      </w:r>
      <w:r w:rsidRPr="00B32C2C">
        <w:rPr>
          <w:noProof/>
        </w:rPr>
      </w:r>
      <w:r w:rsidRPr="00B32C2C">
        <w:rPr>
          <w:noProof/>
        </w:rPr>
        <w:fldChar w:fldCharType="separate"/>
      </w:r>
      <w:r w:rsidRPr="00B32C2C">
        <w:rPr>
          <w:noProof/>
        </w:rPr>
        <w:t>1</w:t>
      </w:r>
      <w:r w:rsidRPr="00B32C2C">
        <w:rPr>
          <w:noProof/>
        </w:rPr>
        <w:fldChar w:fldCharType="end"/>
      </w:r>
    </w:p>
    <w:p w14:paraId="120C65E7" w14:textId="77777777" w:rsidR="00ED22C3" w:rsidRPr="00B32C2C" w:rsidRDefault="00ED22C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32C2C">
        <w:rPr>
          <w:noProof/>
        </w:rPr>
        <w:t>4  Definitions</w:t>
      </w:r>
      <w:r w:rsidRPr="00B32C2C">
        <w:rPr>
          <w:noProof/>
        </w:rPr>
        <w:tab/>
      </w:r>
      <w:r w:rsidRPr="00B32C2C">
        <w:rPr>
          <w:noProof/>
        </w:rPr>
        <w:fldChar w:fldCharType="begin"/>
      </w:r>
      <w:r w:rsidRPr="00B32C2C">
        <w:rPr>
          <w:noProof/>
        </w:rPr>
        <w:instrText xml:space="preserve"> PAGEREF _Toc139905891 \h </w:instrText>
      </w:r>
      <w:r w:rsidRPr="00B32C2C">
        <w:rPr>
          <w:noProof/>
        </w:rPr>
      </w:r>
      <w:r w:rsidRPr="00B32C2C">
        <w:rPr>
          <w:noProof/>
        </w:rPr>
        <w:fldChar w:fldCharType="separate"/>
      </w:r>
      <w:r w:rsidRPr="00B32C2C">
        <w:rPr>
          <w:noProof/>
        </w:rPr>
        <w:t>1</w:t>
      </w:r>
      <w:r w:rsidRPr="00B32C2C">
        <w:rPr>
          <w:noProof/>
        </w:rPr>
        <w:fldChar w:fldCharType="end"/>
      </w:r>
    </w:p>
    <w:p w14:paraId="00AE11E8" w14:textId="77777777" w:rsidR="00ED22C3" w:rsidRPr="00B32C2C" w:rsidRDefault="00ED22C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32C2C">
        <w:rPr>
          <w:noProof/>
        </w:rPr>
        <w:t>5  Schedules</w:t>
      </w:r>
      <w:r w:rsidRPr="00B32C2C">
        <w:rPr>
          <w:noProof/>
        </w:rPr>
        <w:tab/>
      </w:r>
      <w:r w:rsidRPr="00B32C2C">
        <w:rPr>
          <w:noProof/>
        </w:rPr>
        <w:fldChar w:fldCharType="begin"/>
      </w:r>
      <w:r w:rsidRPr="00B32C2C">
        <w:rPr>
          <w:noProof/>
        </w:rPr>
        <w:instrText xml:space="preserve"> PAGEREF _Toc139905892 \h </w:instrText>
      </w:r>
      <w:r w:rsidRPr="00B32C2C">
        <w:rPr>
          <w:noProof/>
        </w:rPr>
      </w:r>
      <w:r w:rsidRPr="00B32C2C">
        <w:rPr>
          <w:noProof/>
        </w:rPr>
        <w:fldChar w:fldCharType="separate"/>
      </w:r>
      <w:r w:rsidRPr="00B32C2C">
        <w:rPr>
          <w:noProof/>
        </w:rPr>
        <w:t>2</w:t>
      </w:r>
      <w:r w:rsidRPr="00B32C2C">
        <w:rPr>
          <w:noProof/>
        </w:rPr>
        <w:fldChar w:fldCharType="end"/>
      </w:r>
    </w:p>
    <w:p w14:paraId="30F1B398" w14:textId="77777777" w:rsidR="00ED22C3" w:rsidRPr="00B32C2C" w:rsidRDefault="00ED22C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32C2C">
        <w:rPr>
          <w:noProof/>
        </w:rPr>
        <w:t>6  Direction to make a new CSG Standard</w:t>
      </w:r>
      <w:r w:rsidRPr="00B32C2C">
        <w:rPr>
          <w:noProof/>
        </w:rPr>
        <w:tab/>
      </w:r>
      <w:r w:rsidRPr="00B32C2C">
        <w:rPr>
          <w:noProof/>
        </w:rPr>
        <w:fldChar w:fldCharType="begin"/>
      </w:r>
      <w:r w:rsidRPr="00B32C2C">
        <w:rPr>
          <w:noProof/>
        </w:rPr>
        <w:instrText xml:space="preserve"> PAGEREF _Toc139905893 \h </w:instrText>
      </w:r>
      <w:r w:rsidRPr="00B32C2C">
        <w:rPr>
          <w:noProof/>
        </w:rPr>
      </w:r>
      <w:r w:rsidRPr="00B32C2C">
        <w:rPr>
          <w:noProof/>
        </w:rPr>
        <w:fldChar w:fldCharType="separate"/>
      </w:r>
      <w:r w:rsidRPr="00B32C2C">
        <w:rPr>
          <w:noProof/>
        </w:rPr>
        <w:t>2</w:t>
      </w:r>
      <w:r w:rsidRPr="00B32C2C">
        <w:rPr>
          <w:noProof/>
        </w:rPr>
        <w:fldChar w:fldCharType="end"/>
      </w:r>
    </w:p>
    <w:p w14:paraId="43839E8B" w14:textId="77777777" w:rsidR="00ED22C3" w:rsidRPr="00B32C2C" w:rsidRDefault="00ED22C3">
      <w:pPr>
        <w:pStyle w:val="TOC2"/>
        <w:rPr>
          <w:rFonts w:asciiTheme="minorHAnsi" w:eastAsiaTheme="minorEastAsia" w:hAnsiTheme="minorHAnsi"/>
          <w:noProof/>
          <w:szCs w:val="22"/>
          <w:lang w:eastAsia="en-AU"/>
        </w:rPr>
      </w:pPr>
      <w:r w:rsidRPr="00B32C2C">
        <w:rPr>
          <w:noProof/>
        </w:rPr>
        <w:t>Schedule</w:t>
      </w:r>
      <w:r w:rsidR="00403540">
        <w:rPr>
          <w:noProof/>
        </w:rPr>
        <w:t xml:space="preserve"> </w:t>
      </w:r>
      <w:r w:rsidRPr="00B32C2C">
        <w:rPr>
          <w:noProof/>
        </w:rPr>
        <w:t>1— Terms of new CSG Standard</w:t>
      </w:r>
      <w:r w:rsidRPr="00B32C2C">
        <w:rPr>
          <w:noProof/>
        </w:rPr>
        <w:tab/>
      </w:r>
      <w:r w:rsidRPr="00B32C2C">
        <w:rPr>
          <w:noProof/>
        </w:rPr>
        <w:fldChar w:fldCharType="begin"/>
      </w:r>
      <w:r w:rsidRPr="00B32C2C">
        <w:rPr>
          <w:noProof/>
        </w:rPr>
        <w:instrText xml:space="preserve"> PAGEREF _Toc139905894 \h </w:instrText>
      </w:r>
      <w:r w:rsidRPr="00B32C2C">
        <w:rPr>
          <w:noProof/>
        </w:rPr>
      </w:r>
      <w:r w:rsidRPr="00B32C2C">
        <w:rPr>
          <w:noProof/>
        </w:rPr>
        <w:fldChar w:fldCharType="separate"/>
      </w:r>
      <w:r w:rsidRPr="00B32C2C">
        <w:rPr>
          <w:noProof/>
        </w:rPr>
        <w:t>3</w:t>
      </w:r>
      <w:r w:rsidRPr="00B32C2C">
        <w:rPr>
          <w:noProof/>
        </w:rPr>
        <w:fldChar w:fldCharType="end"/>
      </w:r>
    </w:p>
    <w:p w14:paraId="2B66150C" w14:textId="77777777" w:rsidR="00ED22C3" w:rsidRPr="00B32C2C" w:rsidRDefault="00ED22C3">
      <w:pPr>
        <w:pStyle w:val="TOC6"/>
        <w:tabs>
          <w:tab w:val="right" w:leader="dot" w:pos="8303"/>
        </w:tabs>
        <w:rPr>
          <w:rFonts w:asciiTheme="minorHAnsi" w:eastAsiaTheme="minorEastAsia" w:hAnsiTheme="minorHAnsi"/>
          <w:noProof/>
          <w:szCs w:val="22"/>
          <w:lang w:eastAsia="en-AU"/>
        </w:rPr>
      </w:pPr>
      <w:r w:rsidRPr="00B32C2C">
        <w:rPr>
          <w:noProof/>
        </w:rPr>
        <w:t>Schedule</w:t>
      </w:r>
      <w:r w:rsidR="00403540">
        <w:rPr>
          <w:noProof/>
        </w:rPr>
        <w:t xml:space="preserve"> </w:t>
      </w:r>
      <w:r w:rsidRPr="00B32C2C">
        <w:rPr>
          <w:noProof/>
        </w:rPr>
        <w:t>2—Repeals</w:t>
      </w:r>
      <w:r w:rsidRPr="00B32C2C">
        <w:rPr>
          <w:noProof/>
        </w:rPr>
        <w:tab/>
      </w:r>
      <w:r w:rsidRPr="00B32C2C">
        <w:rPr>
          <w:noProof/>
        </w:rPr>
        <w:fldChar w:fldCharType="begin"/>
      </w:r>
      <w:r w:rsidRPr="00B32C2C">
        <w:rPr>
          <w:noProof/>
        </w:rPr>
        <w:instrText xml:space="preserve"> PAGEREF _Toc139905895 \h </w:instrText>
      </w:r>
      <w:r w:rsidRPr="00B32C2C">
        <w:rPr>
          <w:noProof/>
        </w:rPr>
      </w:r>
      <w:r w:rsidRPr="00B32C2C">
        <w:rPr>
          <w:noProof/>
        </w:rPr>
        <w:fldChar w:fldCharType="separate"/>
      </w:r>
      <w:r w:rsidRPr="00B32C2C">
        <w:rPr>
          <w:noProof/>
        </w:rPr>
        <w:t>6</w:t>
      </w:r>
      <w:r w:rsidRPr="00B32C2C">
        <w:rPr>
          <w:noProof/>
        </w:rPr>
        <w:fldChar w:fldCharType="end"/>
      </w:r>
    </w:p>
    <w:p w14:paraId="064247BA" w14:textId="77777777" w:rsidR="00244324" w:rsidRPr="00B32C2C" w:rsidRDefault="00244324" w:rsidP="00244324">
      <w:pPr>
        <w:outlineLvl w:val="0"/>
        <w:rPr>
          <w:rFonts w:cs="Times New Roman"/>
        </w:rPr>
      </w:pPr>
      <w:r w:rsidRPr="00B32C2C">
        <w:rPr>
          <w:rFonts w:cs="Times New Roman"/>
        </w:rPr>
        <w:fldChar w:fldCharType="end"/>
      </w:r>
    </w:p>
    <w:p w14:paraId="37C6604B" w14:textId="77777777" w:rsidR="00244324" w:rsidRPr="00B32C2C" w:rsidRDefault="00244324" w:rsidP="00244324">
      <w:pPr>
        <w:outlineLvl w:val="0"/>
        <w:rPr>
          <w:rFonts w:cs="Times New Roman"/>
          <w:sz w:val="20"/>
        </w:rPr>
      </w:pPr>
    </w:p>
    <w:p w14:paraId="50690027" w14:textId="77777777" w:rsidR="00244324" w:rsidRPr="00B32C2C" w:rsidRDefault="00244324" w:rsidP="00244324">
      <w:pPr>
        <w:rPr>
          <w:rFonts w:cs="Times New Roman"/>
        </w:rPr>
      </w:pPr>
    </w:p>
    <w:p w14:paraId="6737A903" w14:textId="77777777" w:rsidR="00244324" w:rsidRPr="00B32C2C" w:rsidRDefault="00244324" w:rsidP="00244324">
      <w:pPr>
        <w:rPr>
          <w:rFonts w:cs="Times New Roman"/>
        </w:rPr>
      </w:pPr>
    </w:p>
    <w:p w14:paraId="5D5BD7EB" w14:textId="77777777" w:rsidR="00244324" w:rsidRPr="00B32C2C" w:rsidRDefault="00244324" w:rsidP="00244324">
      <w:pPr>
        <w:rPr>
          <w:rFonts w:cs="Times New Roman"/>
        </w:rPr>
      </w:pPr>
    </w:p>
    <w:p w14:paraId="27772791" w14:textId="77777777" w:rsidR="00244324" w:rsidRPr="00B32C2C" w:rsidRDefault="00244324" w:rsidP="00244324">
      <w:pPr>
        <w:rPr>
          <w:rFonts w:cs="Times New Roman"/>
        </w:rPr>
      </w:pPr>
    </w:p>
    <w:p w14:paraId="2135AD4F" w14:textId="77777777" w:rsidR="00244324" w:rsidRPr="00B32C2C" w:rsidRDefault="00244324" w:rsidP="00244324">
      <w:pPr>
        <w:rPr>
          <w:rFonts w:cs="Times New Roman"/>
        </w:rPr>
      </w:pPr>
    </w:p>
    <w:p w14:paraId="23467C0E" w14:textId="77777777" w:rsidR="00244324" w:rsidRPr="00B32C2C" w:rsidRDefault="00244324" w:rsidP="00244324">
      <w:pPr>
        <w:rPr>
          <w:rFonts w:cs="Times New Roman"/>
        </w:rPr>
      </w:pPr>
    </w:p>
    <w:p w14:paraId="6211DC15" w14:textId="77777777" w:rsidR="00244324" w:rsidRPr="00B32C2C" w:rsidRDefault="00244324" w:rsidP="00244324">
      <w:pPr>
        <w:rPr>
          <w:rFonts w:cs="Times New Roman"/>
        </w:rPr>
      </w:pPr>
    </w:p>
    <w:p w14:paraId="6234F7E7" w14:textId="77777777" w:rsidR="00244324" w:rsidRPr="00B32C2C" w:rsidRDefault="00244324" w:rsidP="00244324">
      <w:pPr>
        <w:tabs>
          <w:tab w:val="left" w:pos="2265"/>
        </w:tabs>
        <w:rPr>
          <w:rFonts w:cs="Times New Roman"/>
        </w:rPr>
      </w:pPr>
      <w:r w:rsidRPr="00B32C2C">
        <w:rPr>
          <w:rFonts w:cs="Times New Roman"/>
        </w:rPr>
        <w:tab/>
      </w:r>
    </w:p>
    <w:p w14:paraId="251756CD" w14:textId="77777777" w:rsidR="00244324" w:rsidRPr="00B32C2C" w:rsidRDefault="00244324" w:rsidP="00244324">
      <w:pPr>
        <w:rPr>
          <w:rFonts w:cs="Times New Roman"/>
        </w:rPr>
      </w:pPr>
    </w:p>
    <w:p w14:paraId="0B69AFF2" w14:textId="77777777" w:rsidR="00244324" w:rsidRPr="00B32C2C" w:rsidRDefault="00244324" w:rsidP="00244324">
      <w:pPr>
        <w:rPr>
          <w:rFonts w:cs="Times New Roman"/>
        </w:rPr>
        <w:sectPr w:rsidR="00244324" w:rsidRPr="00B32C2C" w:rsidSect="00ED1AB0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708F969A" w14:textId="77777777" w:rsidR="00244324" w:rsidRPr="00B32C2C" w:rsidRDefault="00244324" w:rsidP="00244324">
      <w:pPr>
        <w:pStyle w:val="ActHead5"/>
      </w:pPr>
      <w:bookmarkStart w:id="1" w:name="_Toc98247076"/>
      <w:bookmarkStart w:id="2" w:name="_Toc139905888"/>
      <w:proofErr w:type="gramStart"/>
      <w:r w:rsidRPr="00B32C2C">
        <w:lastRenderedPageBreak/>
        <w:t>1  Name</w:t>
      </w:r>
      <w:bookmarkEnd w:id="1"/>
      <w:bookmarkEnd w:id="2"/>
      <w:proofErr w:type="gramEnd"/>
    </w:p>
    <w:p w14:paraId="4F917AEB" w14:textId="77777777" w:rsidR="00244324" w:rsidRPr="00B32C2C" w:rsidRDefault="00244324" w:rsidP="00244324">
      <w:pPr>
        <w:pStyle w:val="subsection"/>
      </w:pPr>
      <w:r w:rsidRPr="00B32C2C">
        <w:tab/>
      </w:r>
      <w:r w:rsidRPr="00B32C2C">
        <w:tab/>
        <w:t xml:space="preserve">This instrument is the </w:t>
      </w:r>
      <w:r w:rsidRPr="00B32C2C">
        <w:rPr>
          <w:i/>
        </w:rPr>
        <w:t>Telecommunications (Customer Service Guarantee) Direction 2023</w:t>
      </w:r>
      <w:r w:rsidRPr="00B32C2C">
        <w:t xml:space="preserve">. </w:t>
      </w:r>
    </w:p>
    <w:p w14:paraId="1B2575A5" w14:textId="77777777" w:rsidR="00244324" w:rsidRPr="00B32C2C" w:rsidRDefault="00244324" w:rsidP="00244324">
      <w:pPr>
        <w:pStyle w:val="ActHead5"/>
      </w:pPr>
      <w:bookmarkStart w:id="3" w:name="_Toc98247077"/>
      <w:bookmarkStart w:id="4" w:name="_Toc139905889"/>
      <w:proofErr w:type="gramStart"/>
      <w:r w:rsidRPr="00B32C2C">
        <w:t>2  Commencement</w:t>
      </w:r>
      <w:bookmarkEnd w:id="3"/>
      <w:bookmarkEnd w:id="4"/>
      <w:proofErr w:type="gramEnd"/>
    </w:p>
    <w:p w14:paraId="071F007B" w14:textId="77777777" w:rsidR="00244324" w:rsidRPr="00B32C2C" w:rsidRDefault="00244324" w:rsidP="00244324">
      <w:pPr>
        <w:pStyle w:val="subsection"/>
      </w:pPr>
      <w:r w:rsidRPr="00B32C2C">
        <w:tab/>
        <w:t>(1)</w:t>
      </w:r>
      <w:r w:rsidRPr="00B32C2C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4B621160" w14:textId="77777777" w:rsidR="00244324" w:rsidRPr="00B32C2C" w:rsidRDefault="00244324" w:rsidP="00244324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244324" w:rsidRPr="00B32C2C" w14:paraId="4513FC8F" w14:textId="77777777" w:rsidTr="00ED1AB0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0C416D8A" w14:textId="77777777" w:rsidR="00244324" w:rsidRPr="00B32C2C" w:rsidRDefault="00244324" w:rsidP="00ED1AB0">
            <w:pPr>
              <w:pStyle w:val="TableHeading"/>
            </w:pPr>
            <w:r w:rsidRPr="00B32C2C">
              <w:t>Commencement information</w:t>
            </w:r>
          </w:p>
        </w:tc>
      </w:tr>
      <w:tr w:rsidR="00244324" w:rsidRPr="00B32C2C" w14:paraId="7D4E8BA6" w14:textId="77777777" w:rsidTr="00ED1AB0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2ACCC0FC" w14:textId="77777777" w:rsidR="00244324" w:rsidRPr="00B32C2C" w:rsidRDefault="00244324" w:rsidP="00ED1AB0">
            <w:pPr>
              <w:pStyle w:val="TableHeading"/>
            </w:pPr>
            <w:r w:rsidRPr="00B32C2C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0C143E85" w14:textId="77777777" w:rsidR="00244324" w:rsidRPr="00B32C2C" w:rsidRDefault="00244324" w:rsidP="00ED1AB0">
            <w:pPr>
              <w:pStyle w:val="TableHeading"/>
            </w:pPr>
            <w:r w:rsidRPr="00B32C2C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7FAF25EA" w14:textId="77777777" w:rsidR="00244324" w:rsidRPr="00B32C2C" w:rsidRDefault="00244324" w:rsidP="00ED1AB0">
            <w:pPr>
              <w:pStyle w:val="TableHeading"/>
            </w:pPr>
            <w:r w:rsidRPr="00B32C2C">
              <w:t>Column 3</w:t>
            </w:r>
          </w:p>
        </w:tc>
      </w:tr>
      <w:tr w:rsidR="00244324" w:rsidRPr="00B32C2C" w14:paraId="2A4D115F" w14:textId="77777777" w:rsidTr="00ED1AB0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49505312" w14:textId="77777777" w:rsidR="00244324" w:rsidRPr="00B32C2C" w:rsidRDefault="00244324" w:rsidP="00ED1AB0">
            <w:pPr>
              <w:pStyle w:val="TableHeading"/>
            </w:pPr>
            <w:r w:rsidRPr="00B32C2C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298FA571" w14:textId="77777777" w:rsidR="00244324" w:rsidRPr="00B32C2C" w:rsidRDefault="00244324" w:rsidP="00ED1AB0">
            <w:pPr>
              <w:pStyle w:val="TableHeading"/>
            </w:pPr>
            <w:r w:rsidRPr="00B32C2C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06CAB9F8" w14:textId="77777777" w:rsidR="00244324" w:rsidRPr="00B32C2C" w:rsidRDefault="00244324" w:rsidP="00ED1AB0">
            <w:pPr>
              <w:pStyle w:val="TableHeading"/>
            </w:pPr>
            <w:r w:rsidRPr="00B32C2C">
              <w:t>Date/Details</w:t>
            </w:r>
          </w:p>
        </w:tc>
      </w:tr>
      <w:tr w:rsidR="00244324" w:rsidRPr="00B32C2C" w14:paraId="0CEBBFFE" w14:textId="77777777" w:rsidTr="00ED1AB0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69A03EC7" w14:textId="77777777" w:rsidR="00244324" w:rsidRPr="00B32C2C" w:rsidRDefault="00244324" w:rsidP="00ED1AB0">
            <w:pPr>
              <w:pStyle w:val="Tabletext"/>
            </w:pPr>
            <w:r w:rsidRPr="00B32C2C">
              <w:t xml:space="preserve">1.  The whole of this instrument. 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43954D42" w14:textId="77777777" w:rsidR="00244324" w:rsidRPr="00B32C2C" w:rsidRDefault="00244324" w:rsidP="00ED1AB0">
            <w:pPr>
              <w:pStyle w:val="Tabletext"/>
            </w:pPr>
            <w:r w:rsidRPr="00B32C2C">
              <w:t xml:space="preserve">The day after this instrument is registered. 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1C1A535" w14:textId="77777777" w:rsidR="00244324" w:rsidRPr="00B32C2C" w:rsidRDefault="00244324" w:rsidP="00ED1AB0">
            <w:pPr>
              <w:pStyle w:val="Tabletext"/>
              <w:rPr>
                <w:i/>
              </w:rPr>
            </w:pPr>
          </w:p>
        </w:tc>
      </w:tr>
    </w:tbl>
    <w:p w14:paraId="4B312FAA" w14:textId="77777777" w:rsidR="00244324" w:rsidRPr="00B32C2C" w:rsidRDefault="00244324" w:rsidP="00244324">
      <w:pPr>
        <w:pStyle w:val="notetext"/>
      </w:pPr>
      <w:r w:rsidRPr="00B32C2C">
        <w:rPr>
          <w:snapToGrid w:val="0"/>
          <w:lang w:eastAsia="en-US"/>
        </w:rPr>
        <w:t>Note:</w:t>
      </w:r>
      <w:r w:rsidRPr="00B32C2C">
        <w:rPr>
          <w:snapToGrid w:val="0"/>
          <w:lang w:eastAsia="en-US"/>
        </w:rPr>
        <w:tab/>
        <w:t>This table relates only to the provisions of this instrument</w:t>
      </w:r>
      <w:r w:rsidRPr="00B32C2C">
        <w:t xml:space="preserve"> </w:t>
      </w:r>
      <w:r w:rsidRPr="00B32C2C">
        <w:rPr>
          <w:snapToGrid w:val="0"/>
          <w:lang w:eastAsia="en-US"/>
        </w:rPr>
        <w:t>as originally made. It will not be amended to deal with any later amendments of this instrument.</w:t>
      </w:r>
    </w:p>
    <w:p w14:paraId="38FE7608" w14:textId="77777777" w:rsidR="00244324" w:rsidRPr="00B32C2C" w:rsidRDefault="00244324" w:rsidP="00244324">
      <w:pPr>
        <w:pStyle w:val="subsection"/>
      </w:pPr>
      <w:r w:rsidRPr="00B32C2C">
        <w:tab/>
        <w:t>(2)</w:t>
      </w:r>
      <w:r w:rsidRPr="00B32C2C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1502F29E" w14:textId="77777777" w:rsidR="00244324" w:rsidRPr="00B32C2C" w:rsidRDefault="00244324" w:rsidP="00244324">
      <w:pPr>
        <w:pStyle w:val="ActHead5"/>
      </w:pPr>
      <w:bookmarkStart w:id="5" w:name="_Toc98247078"/>
      <w:bookmarkStart w:id="6" w:name="_Toc139905890"/>
      <w:proofErr w:type="gramStart"/>
      <w:r w:rsidRPr="00B32C2C">
        <w:t>3  Authority</w:t>
      </w:r>
      <w:bookmarkEnd w:id="5"/>
      <w:bookmarkEnd w:id="6"/>
      <w:proofErr w:type="gramEnd"/>
    </w:p>
    <w:p w14:paraId="2D22457B" w14:textId="77777777" w:rsidR="00244324" w:rsidRPr="00B32C2C" w:rsidRDefault="00244324" w:rsidP="00244324">
      <w:pPr>
        <w:pStyle w:val="subsection"/>
      </w:pPr>
      <w:r w:rsidRPr="00B32C2C">
        <w:tab/>
      </w:r>
      <w:r w:rsidRPr="00B32C2C">
        <w:tab/>
        <w:t xml:space="preserve">This instrument is made under section 124 of the </w:t>
      </w:r>
      <w:r w:rsidRPr="00B32C2C">
        <w:rPr>
          <w:i/>
        </w:rPr>
        <w:t>Telecommunications (Consumer Protection and Service Standards) Act 1999</w:t>
      </w:r>
      <w:r w:rsidRPr="00B32C2C">
        <w:t xml:space="preserve">. </w:t>
      </w:r>
    </w:p>
    <w:p w14:paraId="16D04E5C" w14:textId="77777777" w:rsidR="00244324" w:rsidRPr="00B32C2C" w:rsidRDefault="00244324" w:rsidP="00244324">
      <w:pPr>
        <w:pStyle w:val="ActHead5"/>
      </w:pPr>
      <w:bookmarkStart w:id="7" w:name="_Toc98247079"/>
      <w:bookmarkStart w:id="8" w:name="_Toc139905891"/>
      <w:proofErr w:type="gramStart"/>
      <w:r w:rsidRPr="00B32C2C">
        <w:t>4  Definitions</w:t>
      </w:r>
      <w:bookmarkEnd w:id="7"/>
      <w:bookmarkEnd w:id="8"/>
      <w:proofErr w:type="gramEnd"/>
    </w:p>
    <w:p w14:paraId="505AEE9F" w14:textId="77777777" w:rsidR="00244324" w:rsidRPr="00B32C2C" w:rsidRDefault="00244324" w:rsidP="00244324">
      <w:pPr>
        <w:pStyle w:val="subsection"/>
      </w:pPr>
      <w:r w:rsidRPr="00B32C2C">
        <w:tab/>
      </w:r>
      <w:r w:rsidRPr="00B32C2C">
        <w:tab/>
        <w:t>In this instrument:</w:t>
      </w:r>
    </w:p>
    <w:p w14:paraId="4B812360" w14:textId="77777777" w:rsidR="00244324" w:rsidRPr="00B32C2C" w:rsidRDefault="00244324" w:rsidP="00244324">
      <w:pPr>
        <w:pStyle w:val="Definition"/>
      </w:pPr>
      <w:r w:rsidRPr="00B32C2C">
        <w:rPr>
          <w:b/>
          <w:i/>
        </w:rPr>
        <w:t>Act</w:t>
      </w:r>
      <w:r w:rsidRPr="00B32C2C">
        <w:t xml:space="preserve"> means the </w:t>
      </w:r>
      <w:r w:rsidRPr="00B32C2C">
        <w:rPr>
          <w:i/>
        </w:rPr>
        <w:t>Telecommunications (Consumer Protection and Service Standards) Act 1999</w:t>
      </w:r>
      <w:r w:rsidRPr="00B32C2C">
        <w:t>.</w:t>
      </w:r>
    </w:p>
    <w:p w14:paraId="3436FD02" w14:textId="77777777" w:rsidR="00244324" w:rsidRPr="00B32C2C" w:rsidRDefault="00244324" w:rsidP="00244324">
      <w:pPr>
        <w:pStyle w:val="Definition"/>
        <w:tabs>
          <w:tab w:val="right" w:pos="8313"/>
        </w:tabs>
        <w:jc w:val="both"/>
        <w:rPr>
          <w:snapToGrid w:val="0"/>
          <w:lang w:eastAsia="en-US"/>
        </w:rPr>
      </w:pPr>
      <w:r w:rsidRPr="00B32C2C">
        <w:rPr>
          <w:b/>
          <w:i/>
          <w:snapToGrid w:val="0"/>
          <w:lang w:eastAsia="en-US"/>
        </w:rPr>
        <w:t xml:space="preserve">ACMA </w:t>
      </w:r>
      <w:r w:rsidR="001A0912" w:rsidRPr="00B32C2C">
        <w:rPr>
          <w:snapToGrid w:val="0"/>
          <w:lang w:eastAsia="en-US"/>
        </w:rPr>
        <w:t xml:space="preserve">means the Australian Communications and Media Authority. </w:t>
      </w:r>
    </w:p>
    <w:p w14:paraId="3C94F51E" w14:textId="77777777" w:rsidR="00244324" w:rsidRPr="00B32C2C" w:rsidRDefault="00244324" w:rsidP="00244324">
      <w:pPr>
        <w:pStyle w:val="Definition"/>
        <w:tabs>
          <w:tab w:val="right" w:pos="8313"/>
        </w:tabs>
        <w:jc w:val="both"/>
        <w:rPr>
          <w:snapToGrid w:val="0"/>
          <w:lang w:eastAsia="en-US"/>
        </w:rPr>
      </w:pPr>
      <w:r w:rsidRPr="00B32C2C">
        <w:rPr>
          <w:b/>
          <w:i/>
          <w:snapToGrid w:val="0"/>
          <w:lang w:eastAsia="en-US"/>
        </w:rPr>
        <w:t xml:space="preserve">CSG Standard </w:t>
      </w:r>
      <w:r w:rsidRPr="00B32C2C">
        <w:rPr>
          <w:snapToGrid w:val="0"/>
          <w:lang w:eastAsia="en-US"/>
        </w:rPr>
        <w:t xml:space="preserve">means an instrument made under sections 115, 117 and 120 of the Act. </w:t>
      </w:r>
    </w:p>
    <w:p w14:paraId="398C4D00" w14:textId="77777777" w:rsidR="00244324" w:rsidRPr="00B32C2C" w:rsidRDefault="00244324" w:rsidP="00244324">
      <w:pPr>
        <w:pStyle w:val="Definition"/>
        <w:tabs>
          <w:tab w:val="right" w:pos="8313"/>
        </w:tabs>
        <w:jc w:val="both"/>
      </w:pPr>
      <w:r w:rsidRPr="00B32C2C">
        <w:rPr>
          <w:b/>
          <w:i/>
        </w:rPr>
        <w:t>new CSG Standard</w:t>
      </w:r>
      <w:r w:rsidRPr="00B32C2C">
        <w:rPr>
          <w:i/>
        </w:rPr>
        <w:t xml:space="preserve"> </w:t>
      </w:r>
      <w:r w:rsidRPr="00B32C2C">
        <w:t xml:space="preserve">means the legislative instrument to be made by ACMA subject to the direction in section 6. </w:t>
      </w:r>
    </w:p>
    <w:p w14:paraId="5672CF51" w14:textId="77777777" w:rsidR="00244324" w:rsidRPr="00B32C2C" w:rsidRDefault="00244324" w:rsidP="00244324">
      <w:pPr>
        <w:pStyle w:val="Definition"/>
        <w:tabs>
          <w:tab w:val="right" w:pos="8313"/>
        </w:tabs>
        <w:jc w:val="both"/>
      </w:pPr>
      <w:r w:rsidRPr="00B32C2C">
        <w:rPr>
          <w:b/>
          <w:i/>
        </w:rPr>
        <w:t xml:space="preserve">2011 CSG Amendment Standard </w:t>
      </w:r>
      <w:r w:rsidRPr="00B32C2C">
        <w:t xml:space="preserve">means the </w:t>
      </w:r>
      <w:r w:rsidRPr="00B32C2C">
        <w:rPr>
          <w:i/>
        </w:rPr>
        <w:t>Telecommunications (Customer Service Guarantee) Amendment Standard 2011 (No. 1)</w:t>
      </w:r>
      <w:r w:rsidRPr="00B32C2C">
        <w:t xml:space="preserve">. </w:t>
      </w:r>
    </w:p>
    <w:p w14:paraId="0D8839DC" w14:textId="77777777" w:rsidR="00244324" w:rsidRPr="00B32C2C" w:rsidRDefault="00244324" w:rsidP="00244324">
      <w:pPr>
        <w:pStyle w:val="Definition"/>
        <w:tabs>
          <w:tab w:val="right" w:pos="8313"/>
        </w:tabs>
        <w:jc w:val="both"/>
      </w:pPr>
      <w:r w:rsidRPr="00B32C2C">
        <w:rPr>
          <w:b/>
          <w:i/>
        </w:rPr>
        <w:t>2011</w:t>
      </w:r>
      <w:r w:rsidR="00D8082B" w:rsidRPr="00B32C2C">
        <w:rPr>
          <w:b/>
          <w:i/>
        </w:rPr>
        <w:t xml:space="preserve"> </w:t>
      </w:r>
      <w:r w:rsidRPr="00B32C2C">
        <w:rPr>
          <w:b/>
          <w:i/>
          <w:snapToGrid w:val="0"/>
          <w:lang w:eastAsia="en-US"/>
        </w:rPr>
        <w:t>CSG</w:t>
      </w:r>
      <w:r w:rsidRPr="00B32C2C">
        <w:rPr>
          <w:b/>
          <w:i/>
        </w:rPr>
        <w:t xml:space="preserve"> Standard</w:t>
      </w:r>
      <w:r w:rsidRPr="00B32C2C">
        <w:rPr>
          <w:i/>
        </w:rPr>
        <w:t xml:space="preserve"> </w:t>
      </w:r>
      <w:r w:rsidRPr="00B32C2C">
        <w:t xml:space="preserve">means the </w:t>
      </w:r>
      <w:r w:rsidRPr="00B32C2C">
        <w:rPr>
          <w:i/>
        </w:rPr>
        <w:t>Telecommunications (Customer Service Guarantee) Standard 2011</w:t>
      </w:r>
      <w:r w:rsidRPr="00B32C2C">
        <w:t xml:space="preserve">, as in force immediately before the day on which the new CSG Standard commences. </w:t>
      </w:r>
    </w:p>
    <w:p w14:paraId="3E2061D2" w14:textId="77777777" w:rsidR="00244324" w:rsidRPr="00B32C2C" w:rsidRDefault="00ED1AB0" w:rsidP="00244324">
      <w:pPr>
        <w:pStyle w:val="Definition"/>
        <w:tabs>
          <w:tab w:val="right" w:pos="8313"/>
        </w:tabs>
        <w:jc w:val="both"/>
      </w:pPr>
      <w:r w:rsidRPr="00B32C2C">
        <w:rPr>
          <w:b/>
          <w:i/>
        </w:rPr>
        <w:t>TIO</w:t>
      </w:r>
      <w:r w:rsidRPr="00B32C2C">
        <w:rPr>
          <w:i/>
        </w:rPr>
        <w:t xml:space="preserve"> </w:t>
      </w:r>
      <w:r w:rsidRPr="00B32C2C">
        <w:t xml:space="preserve">means the Telecommunications Industry Ombudsman. </w:t>
      </w:r>
    </w:p>
    <w:p w14:paraId="7B559844" w14:textId="77777777" w:rsidR="00244324" w:rsidRPr="00B32C2C" w:rsidRDefault="00244324" w:rsidP="00244324">
      <w:pPr>
        <w:pStyle w:val="ActHead5"/>
      </w:pPr>
      <w:bookmarkStart w:id="9" w:name="_Toc478567690"/>
      <w:bookmarkStart w:id="10" w:name="_Toc139905892"/>
      <w:proofErr w:type="gramStart"/>
      <w:r w:rsidRPr="00B32C2C">
        <w:lastRenderedPageBreak/>
        <w:t>5  Schedules</w:t>
      </w:r>
      <w:bookmarkEnd w:id="9"/>
      <w:bookmarkEnd w:id="10"/>
      <w:proofErr w:type="gramEnd"/>
    </w:p>
    <w:p w14:paraId="1DBF66E3" w14:textId="77777777" w:rsidR="00244324" w:rsidRPr="00B32C2C" w:rsidRDefault="00244324" w:rsidP="00244324">
      <w:pPr>
        <w:pStyle w:val="subsection"/>
      </w:pPr>
      <w:r w:rsidRPr="00B32C2C">
        <w:tab/>
      </w:r>
      <w:r w:rsidRPr="00B32C2C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52DAC172" w14:textId="77777777" w:rsidR="00244324" w:rsidRPr="00B32C2C" w:rsidRDefault="00244324" w:rsidP="00244324">
      <w:pPr>
        <w:pStyle w:val="ActHead5"/>
      </w:pPr>
      <w:bookmarkStart w:id="11" w:name="_Toc98247080"/>
      <w:bookmarkStart w:id="12" w:name="_Toc139905893"/>
      <w:proofErr w:type="gramStart"/>
      <w:r w:rsidRPr="00B32C2C">
        <w:t>6  Direction</w:t>
      </w:r>
      <w:bookmarkEnd w:id="11"/>
      <w:proofErr w:type="gramEnd"/>
      <w:r w:rsidRPr="00B32C2C">
        <w:t xml:space="preserve"> to make a new CSG Standard</w:t>
      </w:r>
      <w:bookmarkEnd w:id="12"/>
      <w:r w:rsidRPr="00B32C2C">
        <w:t xml:space="preserve"> </w:t>
      </w:r>
    </w:p>
    <w:p w14:paraId="2D3C07FC" w14:textId="77777777" w:rsidR="00244324" w:rsidRPr="00B32C2C" w:rsidRDefault="00244324" w:rsidP="00244324">
      <w:pPr>
        <w:pStyle w:val="subsection"/>
        <w:numPr>
          <w:ilvl w:val="0"/>
          <w:numId w:val="1"/>
        </w:numPr>
      </w:pPr>
      <w:r w:rsidRPr="00B32C2C">
        <w:t xml:space="preserve"> I direct ACMA to make a new CSG Standard to commence on or before 1 October 2023 in substantially the same terms as the 2011 CSG Standard (as amended by</w:t>
      </w:r>
      <w:r w:rsidRPr="00B32C2C">
        <w:rPr>
          <w:i/>
        </w:rPr>
        <w:t xml:space="preserve"> </w:t>
      </w:r>
      <w:r w:rsidRPr="00B32C2C">
        <w:t xml:space="preserve">the 2011 CSG Amendment Standard), subject to subsection (2) and the terms as set out in Schedule 1.  </w:t>
      </w:r>
    </w:p>
    <w:p w14:paraId="730B12A7" w14:textId="77777777" w:rsidR="00244324" w:rsidRPr="00B32C2C" w:rsidRDefault="00244324" w:rsidP="00244324">
      <w:pPr>
        <w:pStyle w:val="subsection"/>
        <w:numPr>
          <w:ilvl w:val="0"/>
          <w:numId w:val="1"/>
        </w:numPr>
      </w:pPr>
      <w:r w:rsidRPr="00B32C2C">
        <w:t xml:space="preserve"> A new CSG standard made by ACMA must:</w:t>
      </w:r>
    </w:p>
    <w:p w14:paraId="0AD79525" w14:textId="77777777" w:rsidR="00244324" w:rsidRPr="00B32C2C" w:rsidRDefault="00244324" w:rsidP="00244324">
      <w:pPr>
        <w:pStyle w:val="paragraph"/>
        <w:numPr>
          <w:ilvl w:val="0"/>
          <w:numId w:val="2"/>
        </w:numPr>
      </w:pPr>
      <w:r w:rsidRPr="00B32C2C">
        <w:t xml:space="preserve">repeal the 2011 CSG Standard in accordance with subsection 125(2) of the Act; </w:t>
      </w:r>
    </w:p>
    <w:p w14:paraId="0B816551" w14:textId="77777777" w:rsidR="00244324" w:rsidRPr="00B32C2C" w:rsidRDefault="00244324" w:rsidP="00244324">
      <w:pPr>
        <w:pStyle w:val="paragraph"/>
        <w:numPr>
          <w:ilvl w:val="0"/>
          <w:numId w:val="2"/>
        </w:numPr>
      </w:pPr>
      <w:r w:rsidRPr="00B32C2C">
        <w:t>cease the day after the end of the period of 36 months beginning on the day the standard commences; and</w:t>
      </w:r>
    </w:p>
    <w:p w14:paraId="7E1882BA" w14:textId="77777777" w:rsidR="00244324" w:rsidRPr="00B32C2C" w:rsidRDefault="00244324" w:rsidP="00244324">
      <w:pPr>
        <w:pStyle w:val="paragraph"/>
        <w:numPr>
          <w:ilvl w:val="0"/>
          <w:numId w:val="2"/>
        </w:numPr>
      </w:pPr>
      <w:r w:rsidRPr="00B32C2C">
        <w:t xml:space="preserve">be made in accordance with the directions set out in Schedule 1. </w:t>
      </w:r>
    </w:p>
    <w:p w14:paraId="0D5C2384" w14:textId="77777777" w:rsidR="00244324" w:rsidRPr="00B32C2C" w:rsidRDefault="00244324" w:rsidP="00244324">
      <w:pPr>
        <w:pStyle w:val="subsection"/>
        <w:numPr>
          <w:ilvl w:val="0"/>
          <w:numId w:val="1"/>
        </w:numPr>
      </w:pPr>
      <w:r w:rsidRPr="00B32C2C">
        <w:t xml:space="preserve"> For the avoidance of doubt, in making a new CSG standard: </w:t>
      </w:r>
    </w:p>
    <w:p w14:paraId="22CB41DE" w14:textId="77777777" w:rsidR="00244324" w:rsidRPr="00B32C2C" w:rsidRDefault="00244324" w:rsidP="00244324">
      <w:pPr>
        <w:pStyle w:val="paragraph"/>
        <w:numPr>
          <w:ilvl w:val="0"/>
          <w:numId w:val="5"/>
        </w:numPr>
      </w:pPr>
      <w:r w:rsidRPr="00B32C2C">
        <w:t xml:space="preserve">any corrections of grammatical, typographical or formatting errors in the 2011 CSG Standard; </w:t>
      </w:r>
    </w:p>
    <w:p w14:paraId="6AAA9CFD" w14:textId="77777777" w:rsidR="00244324" w:rsidRPr="00B32C2C" w:rsidRDefault="00244324" w:rsidP="00244324">
      <w:pPr>
        <w:pStyle w:val="paragraph"/>
        <w:numPr>
          <w:ilvl w:val="0"/>
          <w:numId w:val="5"/>
        </w:numPr>
      </w:pPr>
      <w:r w:rsidRPr="00B32C2C">
        <w:t xml:space="preserve">any additional ‘notes’ to a provision ACMA </w:t>
      </w:r>
      <w:proofErr w:type="gramStart"/>
      <w:r w:rsidRPr="00B32C2C">
        <w:t>considers</w:t>
      </w:r>
      <w:proofErr w:type="gramEnd"/>
      <w:r w:rsidRPr="00B32C2C">
        <w:t xml:space="preserve"> reasonable to include to assist with explaining the operation of the provision (including any definitions); </w:t>
      </w:r>
    </w:p>
    <w:p w14:paraId="2E5590B8" w14:textId="77777777" w:rsidR="00244324" w:rsidRPr="00B32C2C" w:rsidRDefault="00244324" w:rsidP="00244324">
      <w:pPr>
        <w:pStyle w:val="paragraph"/>
        <w:numPr>
          <w:ilvl w:val="0"/>
          <w:numId w:val="5"/>
        </w:numPr>
      </w:pPr>
      <w:r w:rsidRPr="00B32C2C">
        <w:t xml:space="preserve">any formatting matters ACMA considers reasonable to make; and </w:t>
      </w:r>
    </w:p>
    <w:p w14:paraId="239DB185" w14:textId="77777777" w:rsidR="00244324" w:rsidRPr="00B32C2C" w:rsidRDefault="00244324" w:rsidP="00244324">
      <w:pPr>
        <w:pStyle w:val="paragraph"/>
        <w:numPr>
          <w:ilvl w:val="0"/>
          <w:numId w:val="5"/>
        </w:numPr>
      </w:pPr>
      <w:r w:rsidRPr="00B32C2C">
        <w:t xml:space="preserve">any transitional matters ACMA considers reasonable to include, including but not limited to, accommodating the repeal of 2011 CSG Standard and the 2011 CSG Amendment Standard,  </w:t>
      </w:r>
    </w:p>
    <w:p w14:paraId="73B00A83" w14:textId="77777777" w:rsidR="00244324" w:rsidRPr="00B32C2C" w:rsidRDefault="00244324" w:rsidP="00244324">
      <w:pPr>
        <w:pStyle w:val="paragraph"/>
        <w:ind w:left="1140" w:firstLine="0"/>
      </w:pPr>
      <w:r w:rsidRPr="00B32C2C">
        <w:t xml:space="preserve">would be consistent with subsection (1). </w:t>
      </w:r>
    </w:p>
    <w:p w14:paraId="43904391" w14:textId="77777777" w:rsidR="00244324" w:rsidRPr="00B32C2C" w:rsidRDefault="00244324" w:rsidP="00244324">
      <w:pPr>
        <w:pStyle w:val="paragraph"/>
      </w:pPr>
    </w:p>
    <w:p w14:paraId="107CF4CF" w14:textId="77777777" w:rsidR="00244324" w:rsidRPr="00B32C2C" w:rsidRDefault="00244324" w:rsidP="00244324">
      <w:pPr>
        <w:pStyle w:val="paragraph"/>
      </w:pPr>
    </w:p>
    <w:p w14:paraId="24C86897" w14:textId="77777777" w:rsidR="00244324" w:rsidRPr="00B32C2C" w:rsidRDefault="00244324" w:rsidP="00244324">
      <w:pPr>
        <w:pStyle w:val="paragraph"/>
      </w:pPr>
    </w:p>
    <w:p w14:paraId="376135F5" w14:textId="77777777" w:rsidR="00244324" w:rsidRPr="00B32C2C" w:rsidRDefault="00244324" w:rsidP="00244324">
      <w:pPr>
        <w:pStyle w:val="paragraph"/>
      </w:pPr>
    </w:p>
    <w:p w14:paraId="275FCE53" w14:textId="77777777" w:rsidR="00244324" w:rsidRPr="00B32C2C" w:rsidRDefault="00244324" w:rsidP="00244324">
      <w:pPr>
        <w:pStyle w:val="paragraph"/>
      </w:pPr>
    </w:p>
    <w:p w14:paraId="217B0339" w14:textId="77777777" w:rsidR="00244324" w:rsidRPr="00B32C2C" w:rsidRDefault="00244324" w:rsidP="00244324">
      <w:pPr>
        <w:pStyle w:val="paragraph"/>
      </w:pPr>
    </w:p>
    <w:p w14:paraId="0737569C" w14:textId="77777777" w:rsidR="00244324" w:rsidRPr="00B32C2C" w:rsidRDefault="00244324" w:rsidP="00244324">
      <w:pPr>
        <w:pStyle w:val="paragraph"/>
      </w:pPr>
    </w:p>
    <w:p w14:paraId="71025B49" w14:textId="77777777" w:rsidR="00244324" w:rsidRPr="00B32C2C" w:rsidRDefault="00244324" w:rsidP="00244324">
      <w:pPr>
        <w:pStyle w:val="paragraph"/>
      </w:pPr>
    </w:p>
    <w:p w14:paraId="0274FDB4" w14:textId="77777777" w:rsidR="00244324" w:rsidRPr="00B32C2C" w:rsidRDefault="00244324" w:rsidP="00244324">
      <w:pPr>
        <w:pStyle w:val="paragraph"/>
      </w:pPr>
    </w:p>
    <w:p w14:paraId="5D35915F" w14:textId="77777777" w:rsidR="00244324" w:rsidRPr="00B32C2C" w:rsidRDefault="00244324" w:rsidP="00244324">
      <w:pPr>
        <w:pStyle w:val="paragraph"/>
      </w:pPr>
    </w:p>
    <w:p w14:paraId="6B16BF14" w14:textId="77777777" w:rsidR="00244324" w:rsidRPr="00B32C2C" w:rsidRDefault="00244324" w:rsidP="00244324">
      <w:pPr>
        <w:pStyle w:val="paragraph"/>
      </w:pPr>
    </w:p>
    <w:p w14:paraId="62AD63BD" w14:textId="77777777" w:rsidR="00244324" w:rsidRPr="00B32C2C" w:rsidRDefault="00244324" w:rsidP="00244324">
      <w:pPr>
        <w:pStyle w:val="paragraph"/>
      </w:pPr>
    </w:p>
    <w:p w14:paraId="30D84511" w14:textId="77777777" w:rsidR="00244324" w:rsidRPr="00B32C2C" w:rsidRDefault="00244324" w:rsidP="00244324">
      <w:pPr>
        <w:pStyle w:val="paragraph"/>
      </w:pPr>
    </w:p>
    <w:p w14:paraId="73DE7D3B" w14:textId="77777777" w:rsidR="00244324" w:rsidRPr="00B32C2C" w:rsidRDefault="00244324" w:rsidP="00244324">
      <w:pPr>
        <w:pStyle w:val="paragraph"/>
      </w:pPr>
    </w:p>
    <w:p w14:paraId="39773B64" w14:textId="77777777" w:rsidR="00244324" w:rsidRPr="00B32C2C" w:rsidRDefault="00244324" w:rsidP="00244324">
      <w:pPr>
        <w:pStyle w:val="paragraph"/>
      </w:pPr>
    </w:p>
    <w:p w14:paraId="2E2E4804" w14:textId="77777777" w:rsidR="00244324" w:rsidRPr="00B32C2C" w:rsidRDefault="00244324" w:rsidP="00244324">
      <w:pPr>
        <w:pStyle w:val="paragraph"/>
      </w:pPr>
    </w:p>
    <w:p w14:paraId="408D8F61" w14:textId="77777777" w:rsidR="00244324" w:rsidRPr="00B32C2C" w:rsidRDefault="00244324" w:rsidP="00244324">
      <w:pPr>
        <w:pStyle w:val="paragraph"/>
      </w:pPr>
    </w:p>
    <w:p w14:paraId="11C2527C" w14:textId="77777777" w:rsidR="00244324" w:rsidRPr="00B32C2C" w:rsidRDefault="00244324" w:rsidP="00244324">
      <w:pPr>
        <w:pStyle w:val="paragraph"/>
      </w:pPr>
    </w:p>
    <w:p w14:paraId="66E31525" w14:textId="77777777" w:rsidR="00244324" w:rsidRPr="00B32C2C" w:rsidRDefault="00244324" w:rsidP="00244324">
      <w:pPr>
        <w:pStyle w:val="paragraph"/>
        <w:ind w:left="0" w:firstLine="0"/>
      </w:pPr>
    </w:p>
    <w:p w14:paraId="30AF0BD4" w14:textId="77777777" w:rsidR="00244324" w:rsidRPr="00B32C2C" w:rsidRDefault="00244324" w:rsidP="00244324">
      <w:pPr>
        <w:pStyle w:val="ActHead2"/>
      </w:pPr>
      <w:bookmarkStart w:id="13" w:name="_Toc139905894"/>
      <w:r w:rsidRPr="00B32C2C">
        <w:rPr>
          <w:szCs w:val="32"/>
        </w:rPr>
        <w:lastRenderedPageBreak/>
        <w:t>Schedule</w:t>
      </w:r>
      <w:r w:rsidR="006A2559">
        <w:rPr>
          <w:szCs w:val="32"/>
        </w:rPr>
        <w:t xml:space="preserve"> </w:t>
      </w:r>
      <w:r w:rsidRPr="00B32C2C">
        <w:rPr>
          <w:szCs w:val="32"/>
        </w:rPr>
        <w:t>1—Terms of new CSG Standard</w:t>
      </w:r>
      <w:bookmarkEnd w:id="13"/>
      <w:r w:rsidRPr="00B32C2C">
        <w:rPr>
          <w:szCs w:val="32"/>
        </w:rPr>
        <w:t xml:space="preserve">  </w:t>
      </w:r>
    </w:p>
    <w:p w14:paraId="46658042" w14:textId="77777777" w:rsidR="00244324" w:rsidRPr="00B32C2C" w:rsidRDefault="00244324" w:rsidP="00244324">
      <w:pPr>
        <w:pStyle w:val="subsection"/>
        <w:ind w:left="720" w:firstLine="0"/>
      </w:pPr>
      <w:r w:rsidRPr="00B32C2C">
        <w:t xml:space="preserve">Without limiting subsection 6(3), ACMA must make the new CSG Standard in accordance with the terms as set out in the table below: </w:t>
      </w:r>
    </w:p>
    <w:p w14:paraId="3EF63F51" w14:textId="77777777" w:rsidR="00244324" w:rsidRPr="00B32C2C" w:rsidRDefault="00244324" w:rsidP="00244324">
      <w:pPr>
        <w:pStyle w:val="subsection"/>
        <w:ind w:left="720" w:firstLine="0"/>
      </w:pPr>
    </w:p>
    <w:tbl>
      <w:tblPr>
        <w:tblW w:w="8364" w:type="dxa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744"/>
        <w:gridCol w:w="2693"/>
        <w:gridCol w:w="4927"/>
      </w:tblGrid>
      <w:tr w:rsidR="00244324" w:rsidRPr="00B32C2C" w14:paraId="623DA8C8" w14:textId="77777777" w:rsidTr="00ED1AB0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07E7CA04" w14:textId="77777777" w:rsidR="00244324" w:rsidRPr="00B32C2C" w:rsidRDefault="00244324" w:rsidP="00ED1AB0">
            <w:pPr>
              <w:pStyle w:val="TableHeading"/>
            </w:pPr>
            <w:r w:rsidRPr="00B32C2C">
              <w:t xml:space="preserve">Directions for new CSG Standard   </w:t>
            </w:r>
          </w:p>
        </w:tc>
      </w:tr>
      <w:tr w:rsidR="00244324" w:rsidRPr="00B32C2C" w14:paraId="2B4FC49E" w14:textId="77777777" w:rsidTr="00ED1AB0">
        <w:trPr>
          <w:tblHeader/>
        </w:trPr>
        <w:tc>
          <w:tcPr>
            <w:tcW w:w="74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7280FCBC" w14:textId="77777777" w:rsidR="00244324" w:rsidRPr="00B32C2C" w:rsidRDefault="00244324" w:rsidP="00ED1AB0">
            <w:pPr>
              <w:pStyle w:val="TableHeading"/>
            </w:pPr>
            <w:r w:rsidRPr="00B32C2C">
              <w:t>Item</w:t>
            </w: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596CB0B5" w14:textId="77777777" w:rsidR="00244324" w:rsidRPr="00B32C2C" w:rsidRDefault="00244324" w:rsidP="00ED1AB0">
            <w:pPr>
              <w:pStyle w:val="TableHeading"/>
            </w:pPr>
            <w:r w:rsidRPr="00B32C2C">
              <w:t>Column 1</w:t>
            </w:r>
          </w:p>
        </w:tc>
        <w:tc>
          <w:tcPr>
            <w:tcW w:w="49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39C3E5B3" w14:textId="77777777" w:rsidR="00244324" w:rsidRPr="00B32C2C" w:rsidRDefault="00244324" w:rsidP="00ED1AB0">
            <w:pPr>
              <w:pStyle w:val="TableHeading"/>
            </w:pPr>
            <w:r w:rsidRPr="00B32C2C">
              <w:t>Column 2</w:t>
            </w:r>
          </w:p>
        </w:tc>
      </w:tr>
      <w:tr w:rsidR="00244324" w:rsidRPr="00B32C2C" w14:paraId="5FD13F97" w14:textId="77777777" w:rsidTr="00ED1AB0">
        <w:trPr>
          <w:tblHeader/>
        </w:trPr>
        <w:tc>
          <w:tcPr>
            <w:tcW w:w="74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2E36AAE8" w14:textId="77777777" w:rsidR="00244324" w:rsidRPr="00B32C2C" w:rsidRDefault="00244324" w:rsidP="00ED1AB0">
            <w:pPr>
              <w:pStyle w:val="TableHeading"/>
            </w:pPr>
          </w:p>
        </w:tc>
        <w:tc>
          <w:tcPr>
            <w:tcW w:w="269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02474107" w14:textId="77777777" w:rsidR="00244324" w:rsidRPr="00B32C2C" w:rsidRDefault="00244324" w:rsidP="00ED1AB0">
            <w:pPr>
              <w:pStyle w:val="TableHeading"/>
            </w:pPr>
            <w:r w:rsidRPr="00B32C2C">
              <w:t xml:space="preserve">Relevant provision of </w:t>
            </w:r>
            <w:r w:rsidRPr="00B32C2C">
              <w:rPr>
                <w:i/>
              </w:rPr>
              <w:t>Telecommunications (Customer Service Guarantee) Standard 2011</w:t>
            </w:r>
          </w:p>
        </w:tc>
        <w:tc>
          <w:tcPr>
            <w:tcW w:w="49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02966C9C" w14:textId="77777777" w:rsidR="00244324" w:rsidRPr="00B32C2C" w:rsidRDefault="00244324" w:rsidP="00ED1AB0">
            <w:pPr>
              <w:pStyle w:val="TableHeading"/>
            </w:pPr>
            <w:r w:rsidRPr="00B32C2C">
              <w:t xml:space="preserve">Amendment  </w:t>
            </w:r>
          </w:p>
        </w:tc>
      </w:tr>
      <w:tr w:rsidR="00244324" w:rsidRPr="00B32C2C" w14:paraId="21AA2394" w14:textId="77777777" w:rsidTr="00ED1AB0">
        <w:tc>
          <w:tcPr>
            <w:tcW w:w="74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7981670D" w14:textId="77777777" w:rsidR="00244324" w:rsidRPr="00B32C2C" w:rsidRDefault="00244324" w:rsidP="00ED1AB0">
            <w:pPr>
              <w:pStyle w:val="Tabletext"/>
            </w:pPr>
            <w:r w:rsidRPr="00B32C2C">
              <w:t>1</w:t>
            </w:r>
          </w:p>
        </w:tc>
        <w:tc>
          <w:tcPr>
            <w:tcW w:w="2693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745B6929" w14:textId="77777777" w:rsidR="00244324" w:rsidRPr="00B32C2C" w:rsidRDefault="00244324" w:rsidP="00ED1AB0">
            <w:pPr>
              <w:pStyle w:val="Tabletext"/>
            </w:pPr>
            <w:r w:rsidRPr="00B32C2C">
              <w:t xml:space="preserve">Section 2 of Part 1 (including the </w:t>
            </w:r>
            <w:r w:rsidR="00D8082B" w:rsidRPr="00B32C2C">
              <w:t>‘</w:t>
            </w:r>
            <w:r w:rsidRPr="00B32C2C">
              <w:t xml:space="preserve">note’) </w:t>
            </w:r>
          </w:p>
        </w:tc>
        <w:tc>
          <w:tcPr>
            <w:tcW w:w="4927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71DE4B71" w14:textId="77777777" w:rsidR="00244324" w:rsidRPr="00B32C2C" w:rsidRDefault="00244324" w:rsidP="00244324">
            <w:pPr>
              <w:pStyle w:val="CommentText"/>
              <w:numPr>
                <w:ilvl w:val="0"/>
                <w:numId w:val="3"/>
              </w:numPr>
              <w:spacing w:before="80"/>
              <w:ind w:left="360"/>
              <w:rPr>
                <w:rFonts w:eastAsia="Times New Roman" w:cs="Times New Roman"/>
                <w:lang w:eastAsia="en-AU"/>
              </w:rPr>
            </w:pPr>
            <w:r w:rsidRPr="00B32C2C">
              <w:rPr>
                <w:rFonts w:eastAsia="Times New Roman" w:cs="Times New Roman"/>
                <w:lang w:eastAsia="en-AU"/>
              </w:rPr>
              <w:t>remove the reference</w:t>
            </w:r>
            <w:r w:rsidR="00C95C4B">
              <w:rPr>
                <w:rFonts w:eastAsia="Times New Roman" w:cs="Times New Roman"/>
                <w:lang w:eastAsia="en-AU"/>
              </w:rPr>
              <w:t>s</w:t>
            </w:r>
            <w:r w:rsidRPr="00B32C2C">
              <w:rPr>
                <w:rFonts w:eastAsia="Times New Roman" w:cs="Times New Roman"/>
                <w:lang w:eastAsia="en-AU"/>
              </w:rPr>
              <w:t xml:space="preserve"> to “Federal Register of Legislative Instruments” and replace with “Federal Register of Legislation”; </w:t>
            </w:r>
          </w:p>
          <w:p w14:paraId="7801307F" w14:textId="77777777" w:rsidR="00244324" w:rsidRDefault="00244324" w:rsidP="00244324">
            <w:pPr>
              <w:pStyle w:val="CommentText"/>
              <w:numPr>
                <w:ilvl w:val="0"/>
                <w:numId w:val="3"/>
              </w:numPr>
              <w:spacing w:before="80"/>
              <w:ind w:left="360"/>
              <w:rPr>
                <w:rFonts w:eastAsia="Times New Roman" w:cs="Times New Roman"/>
                <w:lang w:eastAsia="en-AU"/>
              </w:rPr>
            </w:pPr>
            <w:r w:rsidRPr="00B32C2C">
              <w:rPr>
                <w:rFonts w:eastAsia="Times New Roman" w:cs="Times New Roman"/>
                <w:lang w:eastAsia="en-AU"/>
              </w:rPr>
              <w:t>remove the reference to “</w:t>
            </w:r>
            <w:r w:rsidRPr="00B32C2C">
              <w:rPr>
                <w:rFonts w:eastAsia="Times New Roman" w:cs="Times New Roman"/>
                <w:i/>
                <w:lang w:eastAsia="en-AU"/>
              </w:rPr>
              <w:t>Legislative Instruments Act 2003”</w:t>
            </w:r>
            <w:r w:rsidRPr="00B32C2C">
              <w:rPr>
                <w:rFonts w:eastAsia="Times New Roman" w:cs="Times New Roman"/>
                <w:lang w:eastAsia="en-AU"/>
              </w:rPr>
              <w:t xml:space="preserve"> and replace with “</w:t>
            </w:r>
            <w:r w:rsidRPr="00B32C2C">
              <w:rPr>
                <w:rFonts w:eastAsia="Times New Roman" w:cs="Times New Roman"/>
                <w:i/>
                <w:lang w:eastAsia="en-AU"/>
              </w:rPr>
              <w:t>Legislation Act 2003</w:t>
            </w:r>
            <w:r w:rsidRPr="00B32C2C">
              <w:rPr>
                <w:rFonts w:eastAsia="Times New Roman" w:cs="Times New Roman"/>
                <w:lang w:eastAsia="en-AU"/>
              </w:rPr>
              <w:t>”</w:t>
            </w:r>
            <w:r w:rsidR="009E2CC3">
              <w:rPr>
                <w:rFonts w:eastAsia="Times New Roman" w:cs="Times New Roman"/>
                <w:lang w:eastAsia="en-AU"/>
              </w:rPr>
              <w:t xml:space="preserve">; and </w:t>
            </w:r>
          </w:p>
          <w:p w14:paraId="60AE817B" w14:textId="77777777" w:rsidR="009E2CC3" w:rsidRPr="00B32C2C" w:rsidRDefault="009E2CC3" w:rsidP="00244324">
            <w:pPr>
              <w:pStyle w:val="CommentText"/>
              <w:numPr>
                <w:ilvl w:val="0"/>
                <w:numId w:val="3"/>
              </w:numPr>
              <w:spacing w:before="80"/>
              <w:ind w:left="360"/>
              <w:rPr>
                <w:rFonts w:eastAsia="Times New Roman" w:cs="Times New Roman"/>
                <w:lang w:eastAsia="en-AU"/>
              </w:rPr>
            </w:pPr>
            <w:r>
              <w:rPr>
                <w:rFonts w:eastAsia="Times New Roman" w:cs="Times New Roman"/>
                <w:lang w:eastAsia="en-AU"/>
              </w:rPr>
              <w:t>remove the reference to “</w:t>
            </w:r>
            <w:r w:rsidRPr="009E2CC3">
              <w:rPr>
                <w:rFonts w:eastAsia="Times New Roman" w:cs="Times New Roman"/>
                <w:lang w:eastAsia="en-AU"/>
              </w:rPr>
              <w:t>See http://www.frli.gov.au</w:t>
            </w:r>
            <w:r>
              <w:rPr>
                <w:rFonts w:eastAsia="Times New Roman" w:cs="Times New Roman"/>
                <w:lang w:eastAsia="en-AU"/>
              </w:rPr>
              <w:t xml:space="preserve">”. </w:t>
            </w:r>
          </w:p>
        </w:tc>
      </w:tr>
      <w:tr w:rsidR="009E2CC3" w:rsidRPr="00B32C2C" w14:paraId="68BFFB80" w14:textId="77777777" w:rsidTr="00ED1AB0">
        <w:tc>
          <w:tcPr>
            <w:tcW w:w="74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17239AB8" w14:textId="77777777" w:rsidR="009E2CC3" w:rsidRPr="00B32C2C" w:rsidRDefault="009E2CC3" w:rsidP="00ED1AB0">
            <w:pPr>
              <w:pStyle w:val="Tabletext"/>
            </w:pPr>
            <w:r>
              <w:t>2</w:t>
            </w:r>
          </w:p>
        </w:tc>
        <w:tc>
          <w:tcPr>
            <w:tcW w:w="2693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4BF32FED" w14:textId="77777777" w:rsidR="009E2CC3" w:rsidRPr="00B32C2C" w:rsidRDefault="009E2CC3" w:rsidP="00ED1AB0">
            <w:pPr>
              <w:pStyle w:val="Tabletext"/>
            </w:pPr>
            <w:r>
              <w:t>Section 3 of Part 1</w:t>
            </w:r>
          </w:p>
        </w:tc>
        <w:tc>
          <w:tcPr>
            <w:tcW w:w="4927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4B8281F2" w14:textId="77777777" w:rsidR="009E2CC3" w:rsidRPr="00B32C2C" w:rsidRDefault="009E2CC3" w:rsidP="009E2CC3">
            <w:pPr>
              <w:pStyle w:val="CommentText"/>
              <w:spacing w:before="80"/>
              <w:rPr>
                <w:rFonts w:eastAsia="Times New Roman" w:cs="Times New Roman"/>
                <w:lang w:eastAsia="en-AU"/>
              </w:rPr>
            </w:pPr>
            <w:r>
              <w:rPr>
                <w:rFonts w:eastAsia="Times New Roman" w:cs="Times New Roman"/>
                <w:lang w:eastAsia="en-AU"/>
              </w:rPr>
              <w:t xml:space="preserve">Remove section 3. </w:t>
            </w:r>
          </w:p>
        </w:tc>
      </w:tr>
      <w:tr w:rsidR="00244324" w:rsidRPr="00B32C2C" w14:paraId="3D71E61F" w14:textId="77777777" w:rsidTr="00ED1AB0">
        <w:tc>
          <w:tcPr>
            <w:tcW w:w="74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28204E7E" w14:textId="77777777" w:rsidR="00244324" w:rsidRPr="00B32C2C" w:rsidRDefault="009E2CC3" w:rsidP="00ED1AB0">
            <w:pPr>
              <w:pStyle w:val="Tabletext"/>
            </w:pPr>
            <w:r>
              <w:t>3</w:t>
            </w:r>
          </w:p>
        </w:tc>
        <w:tc>
          <w:tcPr>
            <w:tcW w:w="2693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7A700E50" w14:textId="77777777" w:rsidR="00244324" w:rsidRPr="00B32C2C" w:rsidRDefault="00244324" w:rsidP="00ED1AB0">
            <w:pPr>
              <w:pStyle w:val="Tabletext"/>
            </w:pPr>
            <w:r w:rsidRPr="00B32C2C">
              <w:t>Subsection 4(1) of Part 1</w:t>
            </w:r>
          </w:p>
        </w:tc>
        <w:tc>
          <w:tcPr>
            <w:tcW w:w="4927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37E20B66" w14:textId="77777777" w:rsidR="00244324" w:rsidRPr="00B32C2C" w:rsidRDefault="00244324" w:rsidP="00244324">
            <w:pPr>
              <w:pStyle w:val="CommentText"/>
              <w:numPr>
                <w:ilvl w:val="0"/>
                <w:numId w:val="10"/>
              </w:numPr>
              <w:spacing w:before="80"/>
              <w:ind w:left="360"/>
              <w:rPr>
                <w:rFonts w:eastAsia="Times New Roman" w:cs="Times New Roman"/>
                <w:lang w:eastAsia="en-AU"/>
              </w:rPr>
            </w:pPr>
            <w:r w:rsidRPr="00B32C2C">
              <w:rPr>
                <w:rFonts w:eastAsia="Times New Roman" w:cs="Times New Roman"/>
                <w:lang w:eastAsia="en-AU"/>
              </w:rPr>
              <w:t>remove the ‘note’ to the definition of ‘CSG service’;</w:t>
            </w:r>
          </w:p>
          <w:p w14:paraId="75DC171A" w14:textId="77777777" w:rsidR="00244324" w:rsidRPr="00B32C2C" w:rsidRDefault="00244324" w:rsidP="00244324">
            <w:pPr>
              <w:pStyle w:val="CommentText"/>
              <w:numPr>
                <w:ilvl w:val="0"/>
                <w:numId w:val="10"/>
              </w:numPr>
              <w:spacing w:before="80"/>
              <w:ind w:left="360"/>
              <w:rPr>
                <w:rFonts w:eastAsia="Times New Roman" w:cs="Times New Roman"/>
                <w:lang w:eastAsia="en-AU"/>
              </w:rPr>
            </w:pPr>
            <w:r w:rsidRPr="00B32C2C">
              <w:t xml:space="preserve">add “business day” as having the same meaning as in section 2B of the </w:t>
            </w:r>
            <w:r w:rsidRPr="00B32C2C">
              <w:rPr>
                <w:i/>
              </w:rPr>
              <w:t>Acts Interpretation Act 1901</w:t>
            </w:r>
            <w:r w:rsidRPr="00B32C2C">
              <w:t xml:space="preserve"> after the definition of “building”; </w:t>
            </w:r>
          </w:p>
          <w:p w14:paraId="176F327D" w14:textId="77777777" w:rsidR="00244324" w:rsidRPr="00B32C2C" w:rsidRDefault="00244324" w:rsidP="00244324">
            <w:pPr>
              <w:pStyle w:val="CommentText"/>
              <w:numPr>
                <w:ilvl w:val="0"/>
                <w:numId w:val="10"/>
              </w:numPr>
              <w:spacing w:before="80"/>
              <w:ind w:left="360"/>
              <w:rPr>
                <w:rFonts w:eastAsia="Times New Roman" w:cs="Times New Roman"/>
                <w:lang w:eastAsia="en-AU"/>
              </w:rPr>
            </w:pPr>
            <w:r w:rsidRPr="00B32C2C">
              <w:rPr>
                <w:rFonts w:eastAsia="Times New Roman" w:cs="Times New Roman"/>
                <w:lang w:eastAsia="en-AU"/>
              </w:rPr>
              <w:t xml:space="preserve">amend the definition of “exemption” so that it means an exemption made under the new CSG Standard or under the 2011 CSG Standard;  </w:t>
            </w:r>
          </w:p>
          <w:p w14:paraId="1FF0AA92" w14:textId="77777777" w:rsidR="00244324" w:rsidRPr="00B32C2C" w:rsidRDefault="00244324" w:rsidP="00244324">
            <w:pPr>
              <w:pStyle w:val="CommentText"/>
              <w:numPr>
                <w:ilvl w:val="0"/>
                <w:numId w:val="10"/>
              </w:numPr>
              <w:spacing w:before="80"/>
              <w:ind w:left="360"/>
              <w:rPr>
                <w:rFonts w:eastAsia="Times New Roman" w:cs="Times New Roman"/>
                <w:lang w:eastAsia="en-AU"/>
              </w:rPr>
            </w:pPr>
            <w:r w:rsidRPr="00B32C2C">
              <w:rPr>
                <w:rFonts w:eastAsia="Times New Roman" w:cs="Times New Roman"/>
                <w:lang w:eastAsia="en-AU"/>
              </w:rPr>
              <w:t xml:space="preserve">add “new CSG Standard” as having the same meaning as defined in this direction after the definition of “interim service”; </w:t>
            </w:r>
          </w:p>
          <w:p w14:paraId="6ECC6F9D" w14:textId="77777777" w:rsidR="00244324" w:rsidRPr="00B32C2C" w:rsidRDefault="00244324" w:rsidP="00244324">
            <w:pPr>
              <w:pStyle w:val="CommentText"/>
              <w:numPr>
                <w:ilvl w:val="0"/>
                <w:numId w:val="10"/>
              </w:numPr>
              <w:spacing w:before="80"/>
              <w:ind w:left="360"/>
              <w:rPr>
                <w:rFonts w:eastAsia="Times New Roman" w:cs="Times New Roman"/>
                <w:lang w:eastAsia="en-AU"/>
              </w:rPr>
            </w:pPr>
            <w:r w:rsidRPr="00B32C2C">
              <w:rPr>
                <w:rFonts w:eastAsia="Times New Roman" w:cs="Times New Roman"/>
                <w:lang w:eastAsia="en-AU"/>
              </w:rPr>
              <w:t xml:space="preserve">remove the definition of “remote location” (including the ‘note’ to the definition); </w:t>
            </w:r>
          </w:p>
          <w:p w14:paraId="33E2CC4D" w14:textId="77777777" w:rsidR="00244324" w:rsidRPr="00B32C2C" w:rsidRDefault="00244324" w:rsidP="00244324">
            <w:pPr>
              <w:pStyle w:val="CommentText"/>
              <w:numPr>
                <w:ilvl w:val="0"/>
                <w:numId w:val="10"/>
              </w:numPr>
              <w:spacing w:before="80"/>
              <w:ind w:left="360"/>
              <w:rPr>
                <w:rFonts w:eastAsia="Times New Roman" w:cs="Times New Roman"/>
                <w:lang w:eastAsia="en-AU"/>
              </w:rPr>
            </w:pPr>
            <w:r w:rsidRPr="00B32C2C">
              <w:rPr>
                <w:rFonts w:eastAsia="Times New Roman" w:cs="Times New Roman"/>
                <w:lang w:eastAsia="en-AU"/>
              </w:rPr>
              <w:t>remove the definition of “standard zone”;</w:t>
            </w:r>
          </w:p>
          <w:p w14:paraId="1EC47FF7" w14:textId="77777777" w:rsidR="00244324" w:rsidRPr="00B32C2C" w:rsidRDefault="00244324" w:rsidP="00244324">
            <w:pPr>
              <w:pStyle w:val="CommentText"/>
              <w:numPr>
                <w:ilvl w:val="0"/>
                <w:numId w:val="10"/>
              </w:numPr>
              <w:spacing w:before="80"/>
              <w:ind w:left="360"/>
              <w:rPr>
                <w:rFonts w:eastAsia="Times New Roman" w:cs="Times New Roman"/>
                <w:lang w:eastAsia="en-AU"/>
              </w:rPr>
            </w:pPr>
            <w:r w:rsidRPr="00B32C2C">
              <w:rPr>
                <w:rFonts w:eastAsia="Times New Roman" w:cs="Times New Roman"/>
                <w:lang w:eastAsia="en-AU"/>
              </w:rPr>
              <w:t>remove the definition of “satellite service”;</w:t>
            </w:r>
          </w:p>
          <w:p w14:paraId="736DDFF9" w14:textId="77777777" w:rsidR="00244324" w:rsidRPr="00B32C2C" w:rsidRDefault="00244324" w:rsidP="00244324">
            <w:pPr>
              <w:pStyle w:val="CommentText"/>
              <w:numPr>
                <w:ilvl w:val="0"/>
                <w:numId w:val="10"/>
              </w:numPr>
              <w:spacing w:before="80"/>
              <w:ind w:left="360"/>
            </w:pPr>
            <w:r w:rsidRPr="00B32C2C">
              <w:t xml:space="preserve">remove the definition of “working day”; </w:t>
            </w:r>
          </w:p>
          <w:p w14:paraId="59364AF7" w14:textId="77777777" w:rsidR="00244324" w:rsidRPr="00B32C2C" w:rsidRDefault="00244324" w:rsidP="00244324">
            <w:pPr>
              <w:pStyle w:val="CommentText"/>
              <w:numPr>
                <w:ilvl w:val="0"/>
                <w:numId w:val="10"/>
              </w:numPr>
              <w:spacing w:before="80"/>
              <w:ind w:left="360"/>
              <w:rPr>
                <w:rFonts w:eastAsia="Times New Roman" w:cs="Times New Roman"/>
                <w:lang w:eastAsia="en-AU"/>
              </w:rPr>
            </w:pPr>
            <w:r w:rsidRPr="00B32C2C">
              <w:t xml:space="preserve">add “2011 CSG Standard” as having the same meaning as defined in this direction after the definition of “TIO”; and </w:t>
            </w:r>
          </w:p>
          <w:p w14:paraId="12E6DB25" w14:textId="77777777" w:rsidR="00244324" w:rsidRPr="00B32C2C" w:rsidRDefault="00244324" w:rsidP="00244324">
            <w:pPr>
              <w:pStyle w:val="CommentText"/>
              <w:numPr>
                <w:ilvl w:val="0"/>
                <w:numId w:val="10"/>
              </w:numPr>
              <w:spacing w:before="80"/>
              <w:ind w:left="360"/>
            </w:pPr>
            <w:r w:rsidRPr="00B32C2C">
              <w:rPr>
                <w:rFonts w:eastAsia="Times New Roman" w:cs="Times New Roman"/>
                <w:lang w:eastAsia="en-AU"/>
              </w:rPr>
              <w:t xml:space="preserve">remove the references to “approved standard marketing plan” and “universal service area” in ‘note 1’ to subsection 4(1) and add “satellite service” after “primary universal service provider”. </w:t>
            </w:r>
            <w:r w:rsidRPr="00B32C2C" w:rsidDel="00227400">
              <w:rPr>
                <w:rFonts w:eastAsia="Times New Roman" w:cs="Times New Roman"/>
                <w:lang w:eastAsia="en-AU"/>
              </w:rPr>
              <w:t xml:space="preserve"> </w:t>
            </w:r>
          </w:p>
        </w:tc>
      </w:tr>
      <w:tr w:rsidR="00244324" w:rsidRPr="00B32C2C" w14:paraId="2BE6B4D1" w14:textId="77777777" w:rsidTr="00ED1AB0">
        <w:tc>
          <w:tcPr>
            <w:tcW w:w="74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5595F845" w14:textId="77777777" w:rsidR="00244324" w:rsidRPr="00B32C2C" w:rsidRDefault="009E2CC3" w:rsidP="00ED1AB0">
            <w:pPr>
              <w:pStyle w:val="Tabletext"/>
            </w:pPr>
            <w:r>
              <w:t>4</w:t>
            </w:r>
          </w:p>
        </w:tc>
        <w:tc>
          <w:tcPr>
            <w:tcW w:w="2693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75625411" w14:textId="77777777" w:rsidR="00244324" w:rsidRPr="00B32C2C" w:rsidRDefault="00244324" w:rsidP="00ED1AB0">
            <w:pPr>
              <w:pStyle w:val="Tabletext"/>
            </w:pPr>
            <w:r w:rsidRPr="00B32C2C">
              <w:t>Subsection 4(2) of Part 1</w:t>
            </w:r>
          </w:p>
        </w:tc>
        <w:tc>
          <w:tcPr>
            <w:tcW w:w="4927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58400AAF" w14:textId="77777777" w:rsidR="00244324" w:rsidRPr="00B32C2C" w:rsidRDefault="00244324" w:rsidP="00ED1AB0">
            <w:pPr>
              <w:pStyle w:val="CommentText"/>
              <w:spacing w:before="80"/>
              <w:rPr>
                <w:rFonts w:eastAsia="Times New Roman" w:cs="Times New Roman"/>
                <w:lang w:eastAsia="en-AU"/>
              </w:rPr>
            </w:pPr>
            <w:r w:rsidRPr="00B32C2C">
              <w:rPr>
                <w:rFonts w:eastAsia="Times New Roman" w:cs="Times New Roman"/>
                <w:lang w:eastAsia="en-AU"/>
              </w:rPr>
              <w:t xml:space="preserve">Remove references to “working day” and replace with “business day”. </w:t>
            </w:r>
          </w:p>
        </w:tc>
      </w:tr>
      <w:tr w:rsidR="00244324" w:rsidRPr="00B32C2C" w14:paraId="67E55548" w14:textId="77777777" w:rsidTr="00ED1AB0">
        <w:tc>
          <w:tcPr>
            <w:tcW w:w="74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4CB37637" w14:textId="77777777" w:rsidR="00244324" w:rsidRPr="00B32C2C" w:rsidRDefault="009E2CC3" w:rsidP="00ED1AB0">
            <w:pPr>
              <w:pStyle w:val="Tabletext"/>
            </w:pPr>
            <w:r>
              <w:t>5</w:t>
            </w:r>
          </w:p>
        </w:tc>
        <w:tc>
          <w:tcPr>
            <w:tcW w:w="2693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1BCAEFFA" w14:textId="77777777" w:rsidR="00244324" w:rsidRPr="00B32C2C" w:rsidRDefault="00244324" w:rsidP="00ED1AB0">
            <w:pPr>
              <w:pStyle w:val="Tabletext"/>
            </w:pPr>
            <w:r w:rsidRPr="00B32C2C">
              <w:t xml:space="preserve">‘Note’ to subsection 6(2) of Division 1, Part 2 </w:t>
            </w:r>
          </w:p>
        </w:tc>
        <w:tc>
          <w:tcPr>
            <w:tcW w:w="4927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5365150C" w14:textId="77777777" w:rsidR="00244324" w:rsidRPr="00B32C2C" w:rsidRDefault="00244324" w:rsidP="00ED1AB0">
            <w:pPr>
              <w:pStyle w:val="CommentText"/>
              <w:spacing w:before="80"/>
              <w:rPr>
                <w:rFonts w:eastAsia="Times New Roman" w:cs="Times New Roman"/>
                <w:lang w:eastAsia="en-AU"/>
              </w:rPr>
            </w:pPr>
            <w:r w:rsidRPr="00B32C2C">
              <w:t xml:space="preserve">Remove the reference to “in a telephone directory” and replace with “on a carriage service provider’s website”. </w:t>
            </w:r>
          </w:p>
        </w:tc>
      </w:tr>
      <w:tr w:rsidR="00244324" w:rsidRPr="00B32C2C" w14:paraId="6FAB75B4" w14:textId="77777777" w:rsidTr="00ED1AB0"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6405A8E2" w14:textId="77777777" w:rsidR="00244324" w:rsidRPr="00B32C2C" w:rsidRDefault="009E2CC3" w:rsidP="00ED1AB0">
            <w:pPr>
              <w:pStyle w:val="Tabletext"/>
            </w:pPr>
            <w:r>
              <w:t>6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82CDE5C" w14:textId="77777777" w:rsidR="00244324" w:rsidRPr="00B32C2C" w:rsidRDefault="00244324" w:rsidP="00ED1AB0">
            <w:pPr>
              <w:pStyle w:val="CommentText"/>
              <w:spacing w:before="80"/>
              <w:rPr>
                <w:rFonts w:eastAsia="Times New Roman" w:cs="Times New Roman"/>
                <w:lang w:eastAsia="en-AU"/>
              </w:rPr>
            </w:pPr>
            <w:r w:rsidRPr="00B32C2C">
              <w:rPr>
                <w:rFonts w:eastAsia="Times New Roman" w:cs="Times New Roman"/>
                <w:lang w:eastAsia="en-AU"/>
              </w:rPr>
              <w:t>Subsection 8(2) of Division 2, Part 2</w:t>
            </w:r>
          </w:p>
        </w:tc>
        <w:tc>
          <w:tcPr>
            <w:tcW w:w="49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5B5DB7" w14:textId="77777777" w:rsidR="00244324" w:rsidRPr="00B32C2C" w:rsidRDefault="00244324" w:rsidP="00244324">
            <w:pPr>
              <w:pStyle w:val="CommentText"/>
              <w:numPr>
                <w:ilvl w:val="0"/>
                <w:numId w:val="8"/>
              </w:numPr>
              <w:spacing w:before="80"/>
              <w:ind w:left="360"/>
              <w:rPr>
                <w:rFonts w:eastAsia="Times New Roman" w:cs="Times New Roman"/>
                <w:lang w:eastAsia="en-AU"/>
              </w:rPr>
            </w:pPr>
            <w:r w:rsidRPr="00B32C2C">
              <w:rPr>
                <w:rFonts w:eastAsia="Times New Roman" w:cs="Times New Roman"/>
                <w:lang w:eastAsia="en-AU"/>
              </w:rPr>
              <w:t xml:space="preserve">remove the ‘note’ to subsection 8(2); and </w:t>
            </w:r>
          </w:p>
          <w:p w14:paraId="58271DB4" w14:textId="77777777" w:rsidR="00244324" w:rsidRPr="00B32C2C" w:rsidRDefault="00244324" w:rsidP="00244324">
            <w:pPr>
              <w:pStyle w:val="CommentText"/>
              <w:numPr>
                <w:ilvl w:val="0"/>
                <w:numId w:val="8"/>
              </w:numPr>
              <w:spacing w:before="80"/>
              <w:ind w:left="360"/>
              <w:rPr>
                <w:rFonts w:eastAsia="Times New Roman" w:cs="Times New Roman"/>
                <w:lang w:eastAsia="en-AU"/>
              </w:rPr>
            </w:pPr>
            <w:r w:rsidRPr="00B32C2C">
              <w:rPr>
                <w:rFonts w:eastAsia="Times New Roman" w:cs="Times New Roman"/>
                <w:lang w:eastAsia="en-AU"/>
              </w:rPr>
              <w:lastRenderedPageBreak/>
              <w:t xml:space="preserve">amend subsection 8(2) such that the “guaranteed maximum connection period” for the purposes of subsection 8(2) refers to a period within 20 business days from the date of the customer’s request, instead of a period determined in “in accordance with an approved standard marketing plan for a primary universal service provider for the universal service area in respect of a service obligation where the service is supplied or is being offered to be supplied”. </w:t>
            </w:r>
          </w:p>
        </w:tc>
      </w:tr>
      <w:tr w:rsidR="00244324" w:rsidRPr="00B32C2C" w14:paraId="7044E7F6" w14:textId="77777777" w:rsidTr="00ED1AB0"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CF6923" w14:textId="77777777" w:rsidR="00244324" w:rsidRPr="00B32C2C" w:rsidRDefault="009E2CC3" w:rsidP="00ED1AB0">
            <w:pPr>
              <w:pStyle w:val="Tabletext"/>
            </w:pPr>
            <w:r>
              <w:lastRenderedPageBreak/>
              <w:t>7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01292C" w14:textId="77777777" w:rsidR="00244324" w:rsidRPr="00B32C2C" w:rsidRDefault="00244324" w:rsidP="00ED1AB0">
            <w:pPr>
              <w:pStyle w:val="CommentText"/>
              <w:spacing w:before="80"/>
              <w:rPr>
                <w:rFonts w:eastAsia="Times New Roman" w:cs="Times New Roman"/>
                <w:lang w:eastAsia="en-AU"/>
              </w:rPr>
            </w:pPr>
            <w:r w:rsidRPr="00B32C2C">
              <w:rPr>
                <w:rFonts w:eastAsia="Times New Roman" w:cs="Times New Roman"/>
                <w:lang w:eastAsia="en-AU"/>
              </w:rPr>
              <w:t>Section 11 of Division 3, Part 2</w:t>
            </w:r>
          </w:p>
        </w:tc>
        <w:tc>
          <w:tcPr>
            <w:tcW w:w="49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956570" w14:textId="77777777" w:rsidR="00244324" w:rsidRPr="00B32C2C" w:rsidRDefault="00244324" w:rsidP="001A0912">
            <w:pPr>
              <w:pStyle w:val="CommentText"/>
              <w:numPr>
                <w:ilvl w:val="0"/>
                <w:numId w:val="12"/>
              </w:numPr>
              <w:spacing w:before="80"/>
              <w:rPr>
                <w:rFonts w:eastAsia="Times New Roman" w:cs="Times New Roman"/>
                <w:lang w:eastAsia="en-AU"/>
              </w:rPr>
            </w:pPr>
            <w:r w:rsidRPr="00B32C2C">
              <w:rPr>
                <w:rFonts w:eastAsia="Times New Roman" w:cs="Times New Roman"/>
                <w:lang w:eastAsia="en-AU"/>
              </w:rPr>
              <w:t xml:space="preserve">remove all references to “working day” and replace with “business day”; and </w:t>
            </w:r>
          </w:p>
          <w:p w14:paraId="14613542" w14:textId="77777777" w:rsidR="00244324" w:rsidRPr="00B32C2C" w:rsidRDefault="00244324" w:rsidP="001A0912">
            <w:pPr>
              <w:pStyle w:val="CommentText"/>
              <w:numPr>
                <w:ilvl w:val="0"/>
                <w:numId w:val="12"/>
              </w:numPr>
              <w:spacing w:before="80"/>
              <w:rPr>
                <w:rFonts w:eastAsia="Times New Roman" w:cs="Times New Roman"/>
                <w:lang w:eastAsia="en-AU"/>
              </w:rPr>
            </w:pPr>
            <w:r w:rsidRPr="00B32C2C">
              <w:rPr>
                <w:rFonts w:eastAsia="Times New Roman" w:cs="Times New Roman"/>
                <w:lang w:eastAsia="en-AU"/>
              </w:rPr>
              <w:t>at the note to subsection 11(6), remove the reference to “Statistical Geography: Volume 3 – Australian Standard Geographical Classification (ASGC) Urban Centres/Localities, 2006, Cat. No. 2909.0” and replace with the ABS publication, “Australian Statistical Geography Standard (ASGS) Edition 3”.</w:t>
            </w:r>
            <w:r w:rsidRPr="00B32C2C">
              <w:t xml:space="preserve"> </w:t>
            </w:r>
          </w:p>
        </w:tc>
      </w:tr>
      <w:tr w:rsidR="00244324" w:rsidRPr="00B32C2C" w14:paraId="6E7440AC" w14:textId="77777777" w:rsidTr="00ED1AB0"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83B10B" w14:textId="77777777" w:rsidR="00244324" w:rsidRPr="00B32C2C" w:rsidRDefault="009E2CC3" w:rsidP="00ED1AB0">
            <w:pPr>
              <w:pStyle w:val="Tabletext"/>
            </w:pPr>
            <w:r>
              <w:t>8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2BC365" w14:textId="77777777" w:rsidR="00244324" w:rsidRPr="00B32C2C" w:rsidRDefault="00244324" w:rsidP="00ED1AB0">
            <w:pPr>
              <w:pStyle w:val="CommentText"/>
              <w:spacing w:before="80"/>
              <w:rPr>
                <w:rFonts w:eastAsia="Times New Roman" w:cs="Times New Roman"/>
                <w:lang w:eastAsia="en-AU"/>
              </w:rPr>
            </w:pPr>
            <w:r w:rsidRPr="00B32C2C">
              <w:rPr>
                <w:rFonts w:eastAsia="Times New Roman" w:cs="Times New Roman"/>
                <w:lang w:eastAsia="en-AU"/>
              </w:rPr>
              <w:t>Section 12 of Division 3, Part 2</w:t>
            </w:r>
          </w:p>
        </w:tc>
        <w:tc>
          <w:tcPr>
            <w:tcW w:w="49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F3CFB5" w14:textId="77777777" w:rsidR="00244324" w:rsidRPr="00B32C2C" w:rsidRDefault="00244324" w:rsidP="00ED1AB0">
            <w:pPr>
              <w:pStyle w:val="CommentText"/>
              <w:spacing w:before="80"/>
              <w:rPr>
                <w:rFonts w:eastAsia="Times New Roman" w:cs="Times New Roman"/>
                <w:lang w:eastAsia="en-AU"/>
              </w:rPr>
            </w:pPr>
            <w:r w:rsidRPr="00B32C2C">
              <w:rPr>
                <w:rFonts w:eastAsia="Times New Roman" w:cs="Times New Roman"/>
                <w:lang w:eastAsia="en-AU"/>
              </w:rPr>
              <w:t xml:space="preserve">Remove the reference to “working day” and replace with “business day”. </w:t>
            </w:r>
          </w:p>
        </w:tc>
      </w:tr>
      <w:tr w:rsidR="00244324" w:rsidRPr="00B32C2C" w14:paraId="770F0955" w14:textId="77777777" w:rsidTr="00ED1AB0"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E1F23A" w14:textId="77777777" w:rsidR="00244324" w:rsidRPr="00B32C2C" w:rsidRDefault="009E2CC3" w:rsidP="00ED1AB0">
            <w:pPr>
              <w:pStyle w:val="Tabletext"/>
            </w:pPr>
            <w:r>
              <w:t>9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16A312" w14:textId="77777777" w:rsidR="00244324" w:rsidRPr="00B32C2C" w:rsidRDefault="00244324" w:rsidP="00ED1AB0">
            <w:pPr>
              <w:pStyle w:val="CommentText"/>
              <w:spacing w:before="80"/>
              <w:rPr>
                <w:rFonts w:eastAsia="Times New Roman" w:cs="Times New Roman"/>
                <w:lang w:eastAsia="en-AU"/>
              </w:rPr>
            </w:pPr>
            <w:r w:rsidRPr="00B32C2C">
              <w:rPr>
                <w:rFonts w:eastAsia="Times New Roman" w:cs="Times New Roman"/>
                <w:lang w:eastAsia="en-AU"/>
              </w:rPr>
              <w:t>Section 19, Part 3 (including the ‘note’)</w:t>
            </w:r>
          </w:p>
        </w:tc>
        <w:tc>
          <w:tcPr>
            <w:tcW w:w="49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7A90BB" w14:textId="77777777" w:rsidR="00244324" w:rsidRPr="00B32C2C" w:rsidRDefault="00244324" w:rsidP="00ED1AB0">
            <w:pPr>
              <w:pStyle w:val="CommentText"/>
              <w:spacing w:before="80"/>
              <w:rPr>
                <w:rFonts w:eastAsia="Times New Roman" w:cs="Times New Roman"/>
                <w:lang w:eastAsia="en-AU"/>
              </w:rPr>
            </w:pPr>
            <w:r w:rsidRPr="00B32C2C">
              <w:rPr>
                <w:rFonts w:eastAsia="Times New Roman" w:cs="Times New Roman"/>
                <w:lang w:eastAsia="en-AU"/>
              </w:rPr>
              <w:t>Remove the reference to the “</w:t>
            </w:r>
            <w:r w:rsidRPr="00B32C2C">
              <w:rPr>
                <w:rFonts w:eastAsia="Times New Roman" w:cs="Times New Roman"/>
                <w:i/>
                <w:lang w:eastAsia="en-AU"/>
              </w:rPr>
              <w:t xml:space="preserve">Telecommunications (Emergency Call Service) Determination 2009 </w:t>
            </w:r>
            <w:r w:rsidRPr="00B32C2C">
              <w:rPr>
                <w:rFonts w:eastAsia="Times New Roman" w:cs="Times New Roman"/>
                <w:lang w:eastAsia="en-AU"/>
              </w:rPr>
              <w:t>and replace with “</w:t>
            </w:r>
            <w:r w:rsidRPr="00B32C2C">
              <w:rPr>
                <w:rFonts w:eastAsia="Times New Roman" w:cs="Times New Roman"/>
                <w:i/>
                <w:lang w:eastAsia="en-AU"/>
              </w:rPr>
              <w:t>Telecommunications (Emergency Call Services) Determination 2019</w:t>
            </w:r>
            <w:r w:rsidRPr="00B32C2C">
              <w:rPr>
                <w:rFonts w:eastAsia="Times New Roman" w:cs="Times New Roman"/>
                <w:lang w:eastAsia="en-AU"/>
              </w:rPr>
              <w:t xml:space="preserve">. </w:t>
            </w:r>
          </w:p>
        </w:tc>
      </w:tr>
      <w:tr w:rsidR="00244324" w:rsidRPr="00B32C2C" w14:paraId="07E7934E" w14:textId="77777777" w:rsidTr="00ED1AB0"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E609F4" w14:textId="77777777" w:rsidR="00244324" w:rsidRPr="00B32C2C" w:rsidRDefault="009E2CC3" w:rsidP="00ED1AB0">
            <w:pPr>
              <w:pStyle w:val="Tabletext"/>
            </w:pPr>
            <w:r>
              <w:t>10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1883BA" w14:textId="77777777" w:rsidR="00244324" w:rsidRPr="00B32C2C" w:rsidRDefault="00244324" w:rsidP="00ED1AB0">
            <w:pPr>
              <w:pStyle w:val="CommentText"/>
              <w:spacing w:before="80"/>
              <w:rPr>
                <w:rFonts w:eastAsia="Times New Roman" w:cs="Times New Roman"/>
                <w:lang w:eastAsia="en-AU"/>
              </w:rPr>
            </w:pPr>
            <w:r w:rsidRPr="00B32C2C">
              <w:rPr>
                <w:rFonts w:eastAsia="Times New Roman" w:cs="Times New Roman"/>
                <w:lang w:eastAsia="en-AU"/>
              </w:rPr>
              <w:t>Section 23, Part 3</w:t>
            </w:r>
          </w:p>
        </w:tc>
        <w:tc>
          <w:tcPr>
            <w:tcW w:w="49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821EE2" w14:textId="77777777" w:rsidR="00244324" w:rsidRPr="00B32C2C" w:rsidRDefault="00244324" w:rsidP="00ED1AB0">
            <w:pPr>
              <w:pStyle w:val="CommentText"/>
              <w:spacing w:before="80"/>
              <w:rPr>
                <w:rFonts w:eastAsia="Times New Roman" w:cs="Times New Roman"/>
                <w:lang w:eastAsia="en-AU"/>
              </w:rPr>
            </w:pPr>
            <w:r w:rsidRPr="00B32C2C">
              <w:rPr>
                <w:rFonts w:eastAsia="Times New Roman" w:cs="Times New Roman"/>
                <w:lang w:eastAsia="en-AU"/>
              </w:rPr>
              <w:t xml:space="preserve">Remove the reference to “working day” and replace with “business day”. </w:t>
            </w:r>
          </w:p>
        </w:tc>
      </w:tr>
      <w:tr w:rsidR="00244324" w:rsidRPr="00B32C2C" w14:paraId="6660C134" w14:textId="77777777" w:rsidTr="00ED1AB0"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0ACA96" w14:textId="77777777" w:rsidR="00244324" w:rsidRPr="00B32C2C" w:rsidRDefault="00244324" w:rsidP="00ED1AB0">
            <w:pPr>
              <w:pStyle w:val="Tabletext"/>
            </w:pPr>
            <w:r w:rsidRPr="00B32C2C">
              <w:t>1</w:t>
            </w:r>
            <w:r w:rsidR="009E2CC3">
              <w:t>1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0ABF9F" w14:textId="77777777" w:rsidR="00244324" w:rsidRPr="00B32C2C" w:rsidRDefault="00244324" w:rsidP="00ED1AB0">
            <w:pPr>
              <w:pStyle w:val="CommentText"/>
              <w:spacing w:before="80"/>
              <w:rPr>
                <w:rFonts w:eastAsia="Times New Roman" w:cs="Times New Roman"/>
                <w:lang w:eastAsia="en-AU"/>
              </w:rPr>
            </w:pPr>
            <w:r w:rsidRPr="00B32C2C">
              <w:rPr>
                <w:rFonts w:eastAsia="Times New Roman" w:cs="Times New Roman"/>
                <w:lang w:eastAsia="en-AU"/>
              </w:rPr>
              <w:t xml:space="preserve">Section 24, Part 3 </w:t>
            </w:r>
          </w:p>
        </w:tc>
        <w:tc>
          <w:tcPr>
            <w:tcW w:w="49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661C84" w14:textId="77777777" w:rsidR="00244324" w:rsidRPr="00B32C2C" w:rsidRDefault="00244324" w:rsidP="00ED1AB0">
            <w:pPr>
              <w:pStyle w:val="CommentText"/>
              <w:spacing w:before="80"/>
              <w:rPr>
                <w:rFonts w:eastAsia="Times New Roman" w:cs="Times New Roman"/>
                <w:lang w:eastAsia="en-AU"/>
              </w:rPr>
            </w:pPr>
            <w:r w:rsidRPr="00B32C2C">
              <w:rPr>
                <w:rFonts w:eastAsia="Times New Roman" w:cs="Times New Roman"/>
                <w:lang w:eastAsia="en-AU"/>
              </w:rPr>
              <w:t>Remove all references to “working day” and replace with “business day”.</w:t>
            </w:r>
          </w:p>
        </w:tc>
      </w:tr>
      <w:tr w:rsidR="00244324" w:rsidRPr="00B32C2C" w14:paraId="23F9A5BC" w14:textId="77777777" w:rsidTr="00ED1AB0"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E0CC25" w14:textId="77777777" w:rsidR="00244324" w:rsidRPr="00B32C2C" w:rsidRDefault="00244324" w:rsidP="00ED1AB0">
            <w:pPr>
              <w:pStyle w:val="Tabletext"/>
            </w:pPr>
            <w:r w:rsidRPr="00B32C2C">
              <w:t>1</w:t>
            </w:r>
            <w:r w:rsidR="009E2CC3">
              <w:t>2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0482A1" w14:textId="77777777" w:rsidR="00244324" w:rsidRPr="00B32C2C" w:rsidRDefault="00244324" w:rsidP="00ED1AB0">
            <w:pPr>
              <w:pStyle w:val="Tabletext"/>
            </w:pPr>
            <w:r w:rsidRPr="00B32C2C">
              <w:t>Section 25, Part 3</w:t>
            </w:r>
          </w:p>
        </w:tc>
        <w:tc>
          <w:tcPr>
            <w:tcW w:w="49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14367F" w14:textId="77777777" w:rsidR="00244324" w:rsidRPr="00B32C2C" w:rsidRDefault="00244324" w:rsidP="00244324">
            <w:pPr>
              <w:pStyle w:val="CommentText"/>
              <w:numPr>
                <w:ilvl w:val="0"/>
                <w:numId w:val="4"/>
              </w:numPr>
              <w:spacing w:before="80"/>
            </w:pPr>
            <w:r w:rsidRPr="00B32C2C">
              <w:t xml:space="preserve">remove the requirement to publish a notice in a daily newspaper circulating in the capital or region of the relevant State or Territory in subsection 25(1), and replace with a requirement for a carriage service provider to publish a notice on its website that is accessible by each customer of the carriage service provider; and </w:t>
            </w:r>
          </w:p>
          <w:p w14:paraId="757BA86F" w14:textId="77777777" w:rsidR="00244324" w:rsidRPr="00B32C2C" w:rsidRDefault="00244324" w:rsidP="00244324">
            <w:pPr>
              <w:pStyle w:val="CommentText"/>
              <w:numPr>
                <w:ilvl w:val="0"/>
                <w:numId w:val="4"/>
              </w:numPr>
              <w:spacing w:before="80"/>
            </w:pPr>
            <w:r w:rsidRPr="00B32C2C">
              <w:t xml:space="preserve">remove subsection 25(5). </w:t>
            </w:r>
          </w:p>
        </w:tc>
      </w:tr>
      <w:tr w:rsidR="00244324" w:rsidRPr="00B32C2C" w14:paraId="0A3B5081" w14:textId="77777777" w:rsidTr="00ED1AB0"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57D711" w14:textId="77777777" w:rsidR="00244324" w:rsidRPr="00B32C2C" w:rsidRDefault="00244324" w:rsidP="00ED1AB0">
            <w:pPr>
              <w:pStyle w:val="Tabletext"/>
            </w:pPr>
            <w:r w:rsidRPr="00B32C2C">
              <w:t>1</w:t>
            </w:r>
            <w:r w:rsidR="009E2CC3">
              <w:t>3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E282BD" w14:textId="77777777" w:rsidR="00244324" w:rsidRPr="00B32C2C" w:rsidRDefault="00244324" w:rsidP="00ED1AB0">
            <w:pPr>
              <w:pStyle w:val="Tabletext"/>
            </w:pPr>
            <w:r w:rsidRPr="00B32C2C">
              <w:t>Section 31 of Part 5</w:t>
            </w:r>
          </w:p>
        </w:tc>
        <w:tc>
          <w:tcPr>
            <w:tcW w:w="49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BE6527" w14:textId="77777777" w:rsidR="00244324" w:rsidRPr="00B32C2C" w:rsidRDefault="00244324" w:rsidP="00ED1AB0">
            <w:pPr>
              <w:pStyle w:val="CommentText"/>
              <w:spacing w:before="80"/>
            </w:pPr>
            <w:r w:rsidRPr="00B32C2C">
              <w:rPr>
                <w:rFonts w:eastAsia="Times New Roman" w:cs="Times New Roman"/>
                <w:lang w:eastAsia="en-AU"/>
              </w:rPr>
              <w:t>Remove all references to “working day” and replace with “business day”.</w:t>
            </w:r>
          </w:p>
        </w:tc>
      </w:tr>
      <w:tr w:rsidR="00244324" w:rsidRPr="00B32C2C" w14:paraId="6B3D1290" w14:textId="77777777" w:rsidTr="00ED1AB0"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8C1558" w14:textId="77777777" w:rsidR="00244324" w:rsidRPr="00B32C2C" w:rsidRDefault="00244324" w:rsidP="00ED1AB0">
            <w:pPr>
              <w:pStyle w:val="Tabletext"/>
            </w:pPr>
            <w:r w:rsidRPr="00B32C2C">
              <w:t>1</w:t>
            </w:r>
            <w:r w:rsidR="009E2CC3">
              <w:t>4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1B9873" w14:textId="77777777" w:rsidR="00244324" w:rsidRPr="00B32C2C" w:rsidRDefault="00244324" w:rsidP="00ED1AB0">
            <w:pPr>
              <w:pStyle w:val="Tabletext"/>
            </w:pPr>
            <w:r w:rsidRPr="00B32C2C">
              <w:t xml:space="preserve">Section 32 of Part 6 </w:t>
            </w:r>
          </w:p>
        </w:tc>
        <w:tc>
          <w:tcPr>
            <w:tcW w:w="49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B4588E" w14:textId="77777777" w:rsidR="00244324" w:rsidRPr="00B32C2C" w:rsidRDefault="00244324" w:rsidP="00244324">
            <w:pPr>
              <w:pStyle w:val="CommentText"/>
              <w:numPr>
                <w:ilvl w:val="0"/>
                <w:numId w:val="6"/>
              </w:numPr>
              <w:spacing w:before="80"/>
            </w:pPr>
            <w:r w:rsidRPr="00B32C2C">
              <w:t xml:space="preserve">amend definition of “commencement </w:t>
            </w:r>
            <w:r w:rsidR="005B2307" w:rsidRPr="00B32C2C">
              <w:t>day</w:t>
            </w:r>
            <w:r w:rsidRPr="00B32C2C">
              <w:t xml:space="preserve">” to mean the day on which the new CSG Standard commences;  </w:t>
            </w:r>
          </w:p>
          <w:p w14:paraId="0BB62531" w14:textId="77777777" w:rsidR="00244324" w:rsidRPr="00B32C2C" w:rsidRDefault="00244324" w:rsidP="00244324">
            <w:pPr>
              <w:pStyle w:val="CommentText"/>
              <w:numPr>
                <w:ilvl w:val="0"/>
                <w:numId w:val="6"/>
              </w:numPr>
              <w:spacing w:before="80"/>
            </w:pPr>
            <w:r w:rsidRPr="00B32C2C">
              <w:t xml:space="preserve">remove definition of “former Standard;  </w:t>
            </w:r>
          </w:p>
          <w:p w14:paraId="65BD87F7" w14:textId="77777777" w:rsidR="00244324" w:rsidRPr="00B32C2C" w:rsidRDefault="00244324" w:rsidP="00244324">
            <w:pPr>
              <w:pStyle w:val="CommentText"/>
              <w:numPr>
                <w:ilvl w:val="0"/>
                <w:numId w:val="6"/>
              </w:numPr>
              <w:spacing w:before="80"/>
            </w:pPr>
            <w:r w:rsidRPr="00B32C2C">
              <w:t xml:space="preserve">remove definition of “new Standard”; and </w:t>
            </w:r>
          </w:p>
          <w:p w14:paraId="3315ED4B" w14:textId="77777777" w:rsidR="00244324" w:rsidRPr="00B32C2C" w:rsidRDefault="00244324" w:rsidP="00244324">
            <w:pPr>
              <w:pStyle w:val="CommentText"/>
              <w:numPr>
                <w:ilvl w:val="0"/>
                <w:numId w:val="6"/>
              </w:numPr>
              <w:spacing w:before="80"/>
            </w:pPr>
            <w:r w:rsidRPr="00B32C2C">
              <w:t xml:space="preserve">remove definition of “pre-31 October 2006 Standard”.  </w:t>
            </w:r>
          </w:p>
        </w:tc>
      </w:tr>
      <w:tr w:rsidR="00244324" w:rsidRPr="00B32C2C" w14:paraId="35D5F347" w14:textId="77777777" w:rsidTr="00ED1AB0"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FE009F" w14:textId="77777777" w:rsidR="00244324" w:rsidRPr="00B32C2C" w:rsidRDefault="00244324" w:rsidP="00ED1AB0">
            <w:pPr>
              <w:pStyle w:val="Tabletext"/>
            </w:pPr>
            <w:r w:rsidRPr="00B32C2C">
              <w:lastRenderedPageBreak/>
              <w:t>1</w:t>
            </w:r>
            <w:r w:rsidR="009E2CC3">
              <w:t>5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6A933A" w14:textId="77777777" w:rsidR="00244324" w:rsidRPr="00B32C2C" w:rsidRDefault="00244324" w:rsidP="00ED1AB0">
            <w:pPr>
              <w:pStyle w:val="Tabletext"/>
            </w:pPr>
            <w:r w:rsidRPr="00B32C2C">
              <w:t>Section 33 of Part 6</w:t>
            </w:r>
          </w:p>
        </w:tc>
        <w:tc>
          <w:tcPr>
            <w:tcW w:w="49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9EEC24" w14:textId="77777777" w:rsidR="00244324" w:rsidRPr="00B32C2C" w:rsidRDefault="00244324" w:rsidP="00ED1AB0">
            <w:pPr>
              <w:pStyle w:val="CommentText"/>
              <w:spacing w:before="80"/>
            </w:pPr>
            <w:r w:rsidRPr="00B32C2C">
              <w:t xml:space="preserve">Remove section 33. </w:t>
            </w:r>
          </w:p>
        </w:tc>
      </w:tr>
      <w:tr w:rsidR="00244324" w:rsidRPr="00B32C2C" w14:paraId="50FCA388" w14:textId="77777777" w:rsidTr="00ED1AB0"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E2A83B" w14:textId="77777777" w:rsidR="00244324" w:rsidRPr="00B32C2C" w:rsidRDefault="00244324" w:rsidP="00ED1AB0">
            <w:pPr>
              <w:pStyle w:val="Tabletext"/>
            </w:pPr>
            <w:r w:rsidRPr="00B32C2C">
              <w:t>1</w:t>
            </w:r>
            <w:r w:rsidR="009E2CC3">
              <w:t>6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5CDD89" w14:textId="77777777" w:rsidR="00244324" w:rsidRPr="00B32C2C" w:rsidRDefault="00244324" w:rsidP="00ED1AB0">
            <w:pPr>
              <w:pStyle w:val="Tabletext"/>
            </w:pPr>
            <w:r w:rsidRPr="00B32C2C">
              <w:t xml:space="preserve">Section 34 of Part 6  </w:t>
            </w:r>
          </w:p>
        </w:tc>
        <w:tc>
          <w:tcPr>
            <w:tcW w:w="49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ABC596" w14:textId="77777777" w:rsidR="00244324" w:rsidRPr="00B32C2C" w:rsidRDefault="00244324" w:rsidP="00244324">
            <w:pPr>
              <w:pStyle w:val="CommentText"/>
              <w:numPr>
                <w:ilvl w:val="0"/>
                <w:numId w:val="7"/>
              </w:numPr>
              <w:spacing w:before="80"/>
            </w:pPr>
            <w:r w:rsidRPr="00B32C2C">
              <w:t xml:space="preserve">replace all references to “new Standard” with references to the “new CSG Standard”; </w:t>
            </w:r>
          </w:p>
          <w:p w14:paraId="62C7C5DC" w14:textId="77777777" w:rsidR="00244324" w:rsidRPr="00B32C2C" w:rsidRDefault="00244324" w:rsidP="00244324">
            <w:pPr>
              <w:pStyle w:val="CommentText"/>
              <w:numPr>
                <w:ilvl w:val="0"/>
                <w:numId w:val="7"/>
              </w:numPr>
              <w:spacing w:before="80"/>
            </w:pPr>
            <w:r w:rsidRPr="00B32C2C">
              <w:t>replace all references to “former Standard” with references to the “2011 CSG Standard”; and</w:t>
            </w:r>
          </w:p>
          <w:p w14:paraId="24FE75DF" w14:textId="77777777" w:rsidR="00244324" w:rsidRPr="00B32C2C" w:rsidRDefault="00244324" w:rsidP="00244324">
            <w:pPr>
              <w:pStyle w:val="CommentText"/>
              <w:numPr>
                <w:ilvl w:val="0"/>
                <w:numId w:val="7"/>
              </w:numPr>
              <w:spacing w:before="80"/>
            </w:pPr>
            <w:r w:rsidRPr="00B32C2C">
              <w:t>replace references to “subsection 22</w:t>
            </w:r>
            <w:proofErr w:type="gramStart"/>
            <w:r w:rsidRPr="00B32C2C">
              <w:t>A(</w:t>
            </w:r>
            <w:proofErr w:type="gramEnd"/>
            <w:r w:rsidRPr="00B32C2C">
              <w:t xml:space="preserve">1) of the former Standard” in paragraphs 34(1)(a) and 34(2)(a) with references to “subsection 22(1) of the 2011 CSG Standard”. </w:t>
            </w:r>
          </w:p>
        </w:tc>
      </w:tr>
      <w:tr w:rsidR="002D6797" w:rsidRPr="00B32C2C" w14:paraId="0CAF4F83" w14:textId="77777777" w:rsidTr="00ED1AB0"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1A891A" w14:textId="77777777" w:rsidR="002D6797" w:rsidRPr="00B32C2C" w:rsidRDefault="002D6797" w:rsidP="00ED1AB0">
            <w:pPr>
              <w:pStyle w:val="Tabletext"/>
            </w:pPr>
            <w:r w:rsidRPr="00B32C2C">
              <w:t>1</w:t>
            </w:r>
            <w:r w:rsidR="009E2CC3">
              <w:t>7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0A651E" w14:textId="77777777" w:rsidR="002D6797" w:rsidRPr="00B32C2C" w:rsidRDefault="002D6797" w:rsidP="00ED1AB0">
            <w:pPr>
              <w:pStyle w:val="Tabletext"/>
            </w:pPr>
            <w:r w:rsidRPr="00B32C2C">
              <w:t>Section 35 of Part 6</w:t>
            </w:r>
          </w:p>
        </w:tc>
        <w:tc>
          <w:tcPr>
            <w:tcW w:w="49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D5EBFE" w14:textId="77777777" w:rsidR="002D6797" w:rsidRPr="00B32C2C" w:rsidRDefault="002D6797" w:rsidP="002D6797">
            <w:pPr>
              <w:pStyle w:val="CommentText"/>
              <w:numPr>
                <w:ilvl w:val="0"/>
                <w:numId w:val="13"/>
              </w:numPr>
              <w:spacing w:before="80"/>
            </w:pPr>
            <w:r w:rsidRPr="00B32C2C">
              <w:t>replace all reference</w:t>
            </w:r>
            <w:r w:rsidR="00ED1AB0" w:rsidRPr="00B32C2C">
              <w:t>s</w:t>
            </w:r>
            <w:r w:rsidRPr="00B32C2C">
              <w:t xml:space="preserve"> to “new Standard” with references to the “new CSG Standard”; </w:t>
            </w:r>
          </w:p>
          <w:p w14:paraId="2ECB3CAD" w14:textId="77777777" w:rsidR="002D6797" w:rsidRPr="00B32C2C" w:rsidRDefault="002D6797" w:rsidP="002D6797">
            <w:pPr>
              <w:pStyle w:val="CommentText"/>
              <w:numPr>
                <w:ilvl w:val="0"/>
                <w:numId w:val="13"/>
              </w:numPr>
              <w:spacing w:before="80"/>
            </w:pPr>
            <w:r w:rsidRPr="00B32C2C">
              <w:t xml:space="preserve">replace the reference to the “former Standard” with a reference to the “2011 CSG Standard”;  </w:t>
            </w:r>
          </w:p>
          <w:p w14:paraId="45E384AD" w14:textId="77777777" w:rsidR="009E2CC3" w:rsidRDefault="009E2CC3" w:rsidP="002D6797">
            <w:pPr>
              <w:pStyle w:val="CommentText"/>
              <w:numPr>
                <w:ilvl w:val="0"/>
                <w:numId w:val="13"/>
              </w:numPr>
              <w:spacing w:before="80"/>
            </w:pPr>
            <w:r>
              <w:t>amend the reference to “subsection 24(3) of the new Standard” to refer to the relevant provision of the new CSG Standard which is equivalent to subsection 24(3) of the 2011</w:t>
            </w:r>
            <w:r w:rsidR="00C95C4B">
              <w:t xml:space="preserve"> </w:t>
            </w:r>
            <w:r>
              <w:t xml:space="preserve">CSG Standard; and </w:t>
            </w:r>
          </w:p>
          <w:p w14:paraId="4465B3CB" w14:textId="77777777" w:rsidR="002D6797" w:rsidRPr="00B32C2C" w:rsidRDefault="002D6797" w:rsidP="002D6797">
            <w:pPr>
              <w:pStyle w:val="CommentText"/>
              <w:numPr>
                <w:ilvl w:val="0"/>
                <w:numId w:val="13"/>
              </w:numPr>
              <w:spacing w:before="80"/>
            </w:pPr>
            <w:r w:rsidRPr="00B32C2C">
              <w:t>amend</w:t>
            </w:r>
            <w:r w:rsidR="00ED1AB0" w:rsidRPr="00B32C2C">
              <w:t xml:space="preserve"> the </w:t>
            </w:r>
            <w:r w:rsidRPr="00B32C2C">
              <w:t>reference to “paragraph 24(1)(b) of the new Standard” to</w:t>
            </w:r>
            <w:r w:rsidR="0043334F" w:rsidRPr="00B32C2C">
              <w:t xml:space="preserve"> refer to </w:t>
            </w:r>
            <w:r w:rsidR="00ED1AB0" w:rsidRPr="00B32C2C">
              <w:t xml:space="preserve">the </w:t>
            </w:r>
            <w:r w:rsidRPr="00B32C2C">
              <w:t>relevant provision of the new CSG Standard which</w:t>
            </w:r>
            <w:r w:rsidR="00ED1AB0" w:rsidRPr="00B32C2C">
              <w:t xml:space="preserve"> is equivalent to paragraph 24(1)(b) of the 2011 CSG Standard, being the requirement to provide certain information to ACMA and TIO. </w:t>
            </w:r>
          </w:p>
        </w:tc>
      </w:tr>
      <w:tr w:rsidR="00244324" w:rsidRPr="00B32C2C" w14:paraId="7382FE8C" w14:textId="77777777" w:rsidTr="00ED1AB0"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8A031F" w14:textId="77777777" w:rsidR="00244324" w:rsidRPr="00B32C2C" w:rsidRDefault="00244324" w:rsidP="00ED1AB0">
            <w:pPr>
              <w:pStyle w:val="Tabletext"/>
            </w:pPr>
            <w:r w:rsidRPr="00B32C2C">
              <w:t>1</w:t>
            </w:r>
            <w:r w:rsidR="009E2CC3">
              <w:t>8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A68E63" w14:textId="77777777" w:rsidR="00244324" w:rsidRPr="00B32C2C" w:rsidRDefault="00244324" w:rsidP="00ED1AB0">
            <w:pPr>
              <w:pStyle w:val="Tabletext"/>
            </w:pPr>
            <w:r w:rsidRPr="00B32C2C">
              <w:t xml:space="preserve">Section 36 of Part 6  </w:t>
            </w:r>
          </w:p>
        </w:tc>
        <w:tc>
          <w:tcPr>
            <w:tcW w:w="49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B12270" w14:textId="77777777" w:rsidR="00244324" w:rsidRPr="00B32C2C" w:rsidRDefault="00244324" w:rsidP="00ED1AB0">
            <w:pPr>
              <w:pStyle w:val="CommentText"/>
              <w:spacing w:before="80"/>
            </w:pPr>
            <w:r w:rsidRPr="00B32C2C">
              <w:t xml:space="preserve">Remove section 36 which refers to the contraventions and damages payable under the </w:t>
            </w:r>
            <w:r w:rsidRPr="00B32C2C">
              <w:rPr>
                <w:i/>
              </w:rPr>
              <w:t xml:space="preserve">Telecommunications (Customer Service Guarantee) Standard 2000 (No.2) </w:t>
            </w:r>
            <w:r w:rsidRPr="00B32C2C">
              <w:t xml:space="preserve">as in force immediately before the day on which the </w:t>
            </w:r>
            <w:r w:rsidRPr="00B32C2C">
              <w:rPr>
                <w:i/>
              </w:rPr>
              <w:t>Telecommunications (Customer Services Guarantee) Amendment Standard 2006 (No.1)</w:t>
            </w:r>
            <w:r w:rsidRPr="00B32C2C">
              <w:t xml:space="preserve"> commenced. </w:t>
            </w:r>
          </w:p>
        </w:tc>
      </w:tr>
      <w:tr w:rsidR="00244324" w:rsidRPr="00B32C2C" w14:paraId="28BF7CF8" w14:textId="77777777" w:rsidTr="00ED1AB0"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6C353A" w14:textId="77777777" w:rsidR="00244324" w:rsidRPr="00B32C2C" w:rsidRDefault="00244324" w:rsidP="00ED1AB0">
            <w:pPr>
              <w:pStyle w:val="Tabletext"/>
            </w:pPr>
            <w:r w:rsidRPr="00B32C2C">
              <w:t>1</w:t>
            </w:r>
            <w:r w:rsidR="009E2CC3">
              <w:t>9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42A8FE" w14:textId="77777777" w:rsidR="00244324" w:rsidRPr="00B32C2C" w:rsidRDefault="00244324" w:rsidP="00ED1AB0">
            <w:pPr>
              <w:pStyle w:val="Tabletext"/>
            </w:pPr>
            <w:r w:rsidRPr="00B32C2C">
              <w:t xml:space="preserve">Section 37 of Part 6 </w:t>
            </w:r>
          </w:p>
        </w:tc>
        <w:tc>
          <w:tcPr>
            <w:tcW w:w="49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59F795" w14:textId="77777777" w:rsidR="00244324" w:rsidRPr="00B32C2C" w:rsidRDefault="00244324" w:rsidP="00ED1AB0">
            <w:pPr>
              <w:pStyle w:val="CommentText"/>
              <w:numPr>
                <w:ilvl w:val="0"/>
                <w:numId w:val="14"/>
              </w:numPr>
              <w:spacing w:before="80"/>
            </w:pPr>
            <w:r w:rsidRPr="00B32C2C">
              <w:t xml:space="preserve">replace all references to “former Standard” with references to “2011 CSG Standard”; </w:t>
            </w:r>
          </w:p>
          <w:p w14:paraId="3F7BEAC4" w14:textId="77777777" w:rsidR="00244324" w:rsidRPr="00B32C2C" w:rsidRDefault="00244324" w:rsidP="00ED1AB0">
            <w:pPr>
              <w:pStyle w:val="CommentText"/>
              <w:numPr>
                <w:ilvl w:val="0"/>
                <w:numId w:val="14"/>
              </w:numPr>
              <w:spacing w:before="80"/>
            </w:pPr>
            <w:r w:rsidRPr="00B32C2C">
              <w:t xml:space="preserve">remove paragraph 37(b) which refers to section 36 of the 2011 CSG Standard; and </w:t>
            </w:r>
          </w:p>
          <w:p w14:paraId="0FEA40AA" w14:textId="77777777" w:rsidR="00244324" w:rsidRPr="00B32C2C" w:rsidRDefault="00244324" w:rsidP="00ED1AB0">
            <w:pPr>
              <w:pStyle w:val="CommentText"/>
              <w:numPr>
                <w:ilvl w:val="0"/>
                <w:numId w:val="14"/>
              </w:numPr>
              <w:spacing w:before="80"/>
            </w:pPr>
            <w:r w:rsidRPr="00B32C2C">
              <w:t xml:space="preserve">replace references to “new Standard” with references to “new CSG Standard”. </w:t>
            </w:r>
          </w:p>
        </w:tc>
      </w:tr>
      <w:tr w:rsidR="00244324" w:rsidRPr="00B32C2C" w14:paraId="3F004C2C" w14:textId="77777777" w:rsidTr="00ED1AB0"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2A0D4F" w14:textId="77777777" w:rsidR="00244324" w:rsidRPr="00B32C2C" w:rsidRDefault="009E2CC3" w:rsidP="00ED1AB0">
            <w:pPr>
              <w:pStyle w:val="Tabletext"/>
            </w:pPr>
            <w:r>
              <w:t>20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4D7A06" w14:textId="77777777" w:rsidR="00244324" w:rsidRPr="00B32C2C" w:rsidRDefault="00244324" w:rsidP="00ED1AB0">
            <w:pPr>
              <w:pStyle w:val="Tabletext"/>
            </w:pPr>
            <w:r w:rsidRPr="00B32C2C">
              <w:t xml:space="preserve">Part 7 </w:t>
            </w:r>
          </w:p>
        </w:tc>
        <w:tc>
          <w:tcPr>
            <w:tcW w:w="49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4F085A" w14:textId="77777777" w:rsidR="00244324" w:rsidRPr="00B32C2C" w:rsidRDefault="00244324" w:rsidP="00ED1AB0">
            <w:pPr>
              <w:pStyle w:val="CommentText"/>
              <w:spacing w:before="80"/>
            </w:pPr>
            <w:r w:rsidRPr="00B32C2C">
              <w:t xml:space="preserve">Remove Part 7. </w:t>
            </w:r>
          </w:p>
        </w:tc>
      </w:tr>
      <w:tr w:rsidR="00244324" w:rsidRPr="00B32C2C" w14:paraId="4CA998B4" w14:textId="77777777" w:rsidTr="00ED1AB0"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7707E8" w14:textId="77777777" w:rsidR="00244324" w:rsidRPr="00B32C2C" w:rsidRDefault="002D6797" w:rsidP="00ED1AB0">
            <w:pPr>
              <w:pStyle w:val="Tabletext"/>
            </w:pPr>
            <w:r w:rsidRPr="00B32C2C">
              <w:t>2</w:t>
            </w:r>
            <w:r w:rsidR="009E2CC3">
              <w:t>1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77138B" w14:textId="77777777" w:rsidR="00244324" w:rsidRPr="00B32C2C" w:rsidRDefault="00244324" w:rsidP="00ED1AB0">
            <w:pPr>
              <w:pStyle w:val="Tabletext"/>
            </w:pPr>
            <w:r w:rsidRPr="00B32C2C">
              <w:t>‘Note’ to subsection 102(2) of Part 1, Schedule 1</w:t>
            </w:r>
          </w:p>
        </w:tc>
        <w:tc>
          <w:tcPr>
            <w:tcW w:w="49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35812F" w14:textId="77777777" w:rsidR="00244324" w:rsidRPr="00B32C2C" w:rsidRDefault="00244324" w:rsidP="00ED1AB0">
            <w:pPr>
              <w:pStyle w:val="CommentText"/>
              <w:spacing w:before="80"/>
              <w:rPr>
                <w:rFonts w:eastAsia="Times New Roman" w:cs="Times New Roman"/>
                <w:lang w:eastAsia="en-AU"/>
              </w:rPr>
            </w:pPr>
            <w:r w:rsidRPr="00B32C2C">
              <w:rPr>
                <w:rFonts w:eastAsia="Times New Roman" w:cs="Times New Roman"/>
                <w:lang w:eastAsia="en-AU"/>
              </w:rPr>
              <w:t xml:space="preserve">Remove the reference to </w:t>
            </w:r>
            <w:r w:rsidRPr="00B32C2C">
              <w:t xml:space="preserve">“Statistical Geography: Volume 3 – Australian Standard Geographical Classification (ASGC) Urban Centres/Localities, 2006, Cat. No. 2909.0” and replace with the ABS publication, “Australian Statistical Geography Standard (ASGS) Edition 3”. </w:t>
            </w:r>
          </w:p>
        </w:tc>
      </w:tr>
      <w:tr w:rsidR="00244324" w:rsidRPr="00B32C2C" w14:paraId="68A20FC9" w14:textId="77777777" w:rsidTr="00ED1AB0"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5406D0" w14:textId="77777777" w:rsidR="00244324" w:rsidRPr="00B32C2C" w:rsidRDefault="00244324" w:rsidP="00ED1AB0">
            <w:pPr>
              <w:pStyle w:val="Tabletext"/>
            </w:pPr>
            <w:r w:rsidRPr="00B32C2C">
              <w:lastRenderedPageBreak/>
              <w:t>2</w:t>
            </w:r>
            <w:r w:rsidR="009E2CC3">
              <w:t>2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960FBD" w14:textId="77777777" w:rsidR="00244324" w:rsidRPr="00B32C2C" w:rsidRDefault="00244324" w:rsidP="00ED1AB0">
            <w:pPr>
              <w:pStyle w:val="Tabletext"/>
            </w:pPr>
            <w:r w:rsidRPr="00B32C2C">
              <w:t>Part 2 of Schedule 1</w:t>
            </w:r>
          </w:p>
        </w:tc>
        <w:tc>
          <w:tcPr>
            <w:tcW w:w="49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E685A7" w14:textId="77777777" w:rsidR="00244324" w:rsidRPr="00B32C2C" w:rsidRDefault="00244324" w:rsidP="00ED1AB0">
            <w:pPr>
              <w:pStyle w:val="CommentText"/>
              <w:spacing w:before="80"/>
            </w:pPr>
            <w:r w:rsidRPr="00B32C2C">
              <w:rPr>
                <w:rFonts w:eastAsia="Times New Roman" w:cs="Times New Roman"/>
                <w:lang w:eastAsia="en-AU"/>
              </w:rPr>
              <w:t>Remove all references to “working day” and replace with “business day”.</w:t>
            </w:r>
          </w:p>
        </w:tc>
      </w:tr>
      <w:tr w:rsidR="00244324" w:rsidRPr="00B32C2C" w14:paraId="492F73C8" w14:textId="77777777" w:rsidTr="00ED1AB0"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449419" w14:textId="77777777" w:rsidR="00244324" w:rsidRPr="00B32C2C" w:rsidRDefault="00244324" w:rsidP="00ED1AB0">
            <w:pPr>
              <w:pStyle w:val="Tabletext"/>
            </w:pPr>
            <w:r w:rsidRPr="00B32C2C">
              <w:t>2</w:t>
            </w:r>
            <w:r w:rsidR="009E2CC3">
              <w:t>3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F24325" w14:textId="77777777" w:rsidR="00244324" w:rsidRPr="00B32C2C" w:rsidRDefault="00244324" w:rsidP="00ED1AB0">
            <w:pPr>
              <w:pStyle w:val="Tabletext"/>
            </w:pPr>
            <w:r w:rsidRPr="00B32C2C">
              <w:t xml:space="preserve">Part 2 of Schedule 2 </w:t>
            </w:r>
          </w:p>
        </w:tc>
        <w:tc>
          <w:tcPr>
            <w:tcW w:w="49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06C7E5" w14:textId="77777777" w:rsidR="00244324" w:rsidRPr="00B32C2C" w:rsidRDefault="00244324" w:rsidP="00ED1AB0">
            <w:pPr>
              <w:pStyle w:val="CommentText"/>
              <w:spacing w:before="80"/>
              <w:rPr>
                <w:rFonts w:eastAsia="Times New Roman" w:cs="Times New Roman"/>
                <w:lang w:eastAsia="en-AU"/>
              </w:rPr>
            </w:pPr>
            <w:r w:rsidRPr="00B32C2C">
              <w:rPr>
                <w:rFonts w:eastAsia="Times New Roman" w:cs="Times New Roman"/>
                <w:lang w:eastAsia="en-AU"/>
              </w:rPr>
              <w:t>Remove all references to “working day” and replace with “business day”.</w:t>
            </w:r>
          </w:p>
        </w:tc>
      </w:tr>
    </w:tbl>
    <w:p w14:paraId="3C79A675" w14:textId="77777777" w:rsidR="00244324" w:rsidRPr="00B32C2C" w:rsidRDefault="00ED1AB0" w:rsidP="00ED1AB0">
      <w:pPr>
        <w:pStyle w:val="ActHead6"/>
        <w:pageBreakBefore/>
        <w:ind w:left="0" w:firstLine="0"/>
        <w:rPr>
          <w:rFonts w:ascii="Times New Roman" w:hAnsi="Times New Roman"/>
        </w:rPr>
      </w:pPr>
      <w:bookmarkStart w:id="14" w:name="_Toc139905895"/>
      <w:r w:rsidRPr="00B32C2C">
        <w:rPr>
          <w:rStyle w:val="CharAmSchNo"/>
          <w:rFonts w:ascii="Times New Roman" w:hAnsi="Times New Roman"/>
        </w:rPr>
        <w:lastRenderedPageBreak/>
        <w:t>Schedule</w:t>
      </w:r>
      <w:r w:rsidR="00975E9E">
        <w:rPr>
          <w:rStyle w:val="CharAmSchNo"/>
          <w:rFonts w:ascii="Times New Roman" w:hAnsi="Times New Roman"/>
        </w:rPr>
        <w:t xml:space="preserve"> </w:t>
      </w:r>
      <w:r w:rsidRPr="00B32C2C">
        <w:rPr>
          <w:rStyle w:val="CharAmSchNo"/>
          <w:rFonts w:ascii="Times New Roman" w:hAnsi="Times New Roman"/>
        </w:rPr>
        <w:t>2</w:t>
      </w:r>
      <w:r w:rsidRPr="00B32C2C">
        <w:rPr>
          <w:rFonts w:ascii="Times New Roman" w:hAnsi="Times New Roman"/>
        </w:rPr>
        <w:t>—</w:t>
      </w:r>
      <w:r w:rsidRPr="00B32C2C">
        <w:rPr>
          <w:rStyle w:val="CharAmSchText"/>
          <w:rFonts w:ascii="Times New Roman" w:hAnsi="Times New Roman"/>
        </w:rPr>
        <w:t>Repeals</w:t>
      </w:r>
      <w:bookmarkEnd w:id="14"/>
    </w:p>
    <w:p w14:paraId="21F3B870" w14:textId="77777777" w:rsidR="00ED1AB0" w:rsidRPr="00B32C2C" w:rsidRDefault="00ED1AB0" w:rsidP="00ED1AB0">
      <w:pPr>
        <w:pStyle w:val="ItemHead"/>
        <w:rPr>
          <w:rFonts w:ascii="Times New Roman" w:hAnsi="Times New Roman"/>
          <w:i/>
          <w:iCs/>
          <w:color w:val="000000"/>
          <w:sz w:val="26"/>
          <w:szCs w:val="26"/>
          <w:shd w:val="clear" w:color="auto" w:fill="FFFFFF"/>
        </w:rPr>
      </w:pPr>
      <w:r w:rsidRPr="00B32C2C">
        <w:rPr>
          <w:rFonts w:ascii="Times New Roman" w:hAnsi="Times New Roman"/>
          <w:i/>
          <w:iCs/>
          <w:color w:val="000000"/>
          <w:sz w:val="26"/>
          <w:szCs w:val="26"/>
          <w:shd w:val="clear" w:color="auto" w:fill="FFFFFF"/>
        </w:rPr>
        <w:t>Telecommunications (Customer Service Guarantee) Direction (No. 1) 2011</w:t>
      </w:r>
    </w:p>
    <w:p w14:paraId="1DF763AD" w14:textId="77777777" w:rsidR="00ED1AB0" w:rsidRPr="00B32C2C" w:rsidRDefault="00ED1AB0" w:rsidP="00ED1AB0">
      <w:pPr>
        <w:pStyle w:val="ItemHead"/>
        <w:rPr>
          <w:rFonts w:ascii="Times New Roman" w:hAnsi="Times New Roman"/>
        </w:rPr>
      </w:pPr>
      <w:proofErr w:type="gramStart"/>
      <w:r w:rsidRPr="00B32C2C">
        <w:rPr>
          <w:rFonts w:ascii="Times New Roman" w:hAnsi="Times New Roman"/>
        </w:rPr>
        <w:t>1  The</w:t>
      </w:r>
      <w:proofErr w:type="gramEnd"/>
      <w:r w:rsidRPr="00B32C2C">
        <w:rPr>
          <w:rFonts w:ascii="Times New Roman" w:hAnsi="Times New Roman"/>
        </w:rPr>
        <w:t xml:space="preserve"> whole of the instrument</w:t>
      </w:r>
    </w:p>
    <w:p w14:paraId="36B7A629" w14:textId="77777777" w:rsidR="00244324" w:rsidRPr="00ED1AB0" w:rsidRDefault="00ED1AB0" w:rsidP="00ED1AB0">
      <w:pPr>
        <w:pStyle w:val="Item"/>
      </w:pPr>
      <w:r w:rsidRPr="00B32C2C">
        <w:t>Repeal the instrument.</w:t>
      </w:r>
      <w:r>
        <w:t xml:space="preserve"> </w:t>
      </w:r>
    </w:p>
    <w:p w14:paraId="3E6E4338" w14:textId="77777777" w:rsidR="00244324" w:rsidRPr="00E41A8C" w:rsidRDefault="00244324" w:rsidP="00244324">
      <w:pPr>
        <w:rPr>
          <w:rFonts w:cs="Times New Roman"/>
        </w:rPr>
      </w:pPr>
    </w:p>
    <w:p w14:paraId="27158A65" w14:textId="77777777" w:rsidR="00ED1AB0" w:rsidRDefault="00ED1AB0"/>
    <w:sectPr w:rsidR="00ED1AB0" w:rsidSect="00ED1AB0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pgSz w:w="11907" w:h="16839" w:code="9"/>
      <w:pgMar w:top="1440" w:right="1440" w:bottom="1440" w:left="1440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AA5E57" w14:textId="77777777" w:rsidR="00ED1AB0" w:rsidRDefault="00ED1AB0">
      <w:pPr>
        <w:spacing w:line="240" w:lineRule="auto"/>
      </w:pPr>
      <w:r>
        <w:separator/>
      </w:r>
    </w:p>
  </w:endnote>
  <w:endnote w:type="continuationSeparator" w:id="0">
    <w:p w14:paraId="30B45CD4" w14:textId="77777777" w:rsidR="00ED1AB0" w:rsidRDefault="00ED1AB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EED6AE" w14:textId="77777777" w:rsidR="00ED1AB0" w:rsidRPr="00E33C1C" w:rsidRDefault="00ED1AB0" w:rsidP="00ED1AB0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ED1AB0" w14:paraId="2AF78257" w14:textId="77777777" w:rsidTr="00ED1AB0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AAED144" w14:textId="77777777" w:rsidR="00ED1AB0" w:rsidRDefault="00ED1AB0" w:rsidP="00ED1AB0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F9EE170" w14:textId="77777777" w:rsidR="00ED1AB0" w:rsidRPr="004E1307" w:rsidRDefault="00ED1AB0" w:rsidP="00ED1AB0">
          <w:pPr>
            <w:spacing w:line="0" w:lineRule="atLeast"/>
            <w:jc w:val="center"/>
            <w:rPr>
              <w:i/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Act Name (Subject Matter) Kind of Instrument Year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3D3B6752" w14:textId="77777777" w:rsidR="00ED1AB0" w:rsidRDefault="00ED1AB0" w:rsidP="00ED1AB0">
          <w:pPr>
            <w:spacing w:line="0" w:lineRule="atLeast"/>
            <w:jc w:val="right"/>
            <w:rPr>
              <w:sz w:val="18"/>
            </w:rPr>
          </w:pPr>
        </w:p>
      </w:tc>
    </w:tr>
    <w:tr w:rsidR="00ED1AB0" w14:paraId="40839037" w14:textId="77777777" w:rsidTr="00ED1AB0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74501D5E" w14:textId="77777777" w:rsidR="00ED1AB0" w:rsidRDefault="00ED1AB0" w:rsidP="00ED1AB0">
          <w:pPr>
            <w:jc w:val="right"/>
            <w:rPr>
              <w:sz w:val="18"/>
            </w:rPr>
          </w:pPr>
        </w:p>
      </w:tc>
    </w:tr>
  </w:tbl>
  <w:p w14:paraId="12406B92" w14:textId="77777777" w:rsidR="00ED1AB0" w:rsidRPr="00ED79B6" w:rsidRDefault="00ED1AB0" w:rsidP="00ED1AB0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7AC94A" w14:textId="77777777" w:rsidR="00ED1AB0" w:rsidRPr="00E33C1C" w:rsidRDefault="00ED1AB0" w:rsidP="00ED1AB0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D1AB0" w14:paraId="1A9F537B" w14:textId="77777777" w:rsidTr="00ED1AB0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188FCD8" w14:textId="77777777" w:rsidR="00ED1AB0" w:rsidRDefault="00ED1AB0" w:rsidP="00ED1AB0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F589F98" w14:textId="77777777" w:rsidR="00ED1AB0" w:rsidRDefault="00ED1AB0" w:rsidP="00ED1AB0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Act Name (Subject Matter) Kind of Instrument Year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5EF5BBE" w14:textId="77777777" w:rsidR="00ED1AB0" w:rsidRDefault="00ED1AB0" w:rsidP="00ED1AB0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D1AB0" w14:paraId="084C2164" w14:textId="77777777" w:rsidTr="00ED1AB0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6D5245C9" w14:textId="77777777" w:rsidR="00ED1AB0" w:rsidRDefault="00ED1AB0" w:rsidP="00ED1AB0">
          <w:pPr>
            <w:rPr>
              <w:sz w:val="18"/>
            </w:rPr>
          </w:pPr>
        </w:p>
      </w:tc>
    </w:tr>
  </w:tbl>
  <w:p w14:paraId="6BA9A60F" w14:textId="77777777" w:rsidR="00ED1AB0" w:rsidRPr="00ED79B6" w:rsidRDefault="00ED1AB0" w:rsidP="00ED1AB0">
    <w:pPr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958DAB" w14:textId="77777777" w:rsidR="00ED1AB0" w:rsidRPr="00E33C1C" w:rsidRDefault="00ED1AB0" w:rsidP="00ED1AB0">
    <w:pP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60"/>
      <w:gridCol w:w="6254"/>
      <w:gridCol w:w="699"/>
    </w:tblGrid>
    <w:tr w:rsidR="00ED1AB0" w14:paraId="45CFC861" w14:textId="77777777" w:rsidTr="00ED1AB0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268B235" w14:textId="77777777" w:rsidR="00ED1AB0" w:rsidRDefault="00ED1AB0" w:rsidP="00ED1AB0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5899A55" w14:textId="77777777" w:rsidR="00ED1AB0" w:rsidRDefault="00ED1AB0" w:rsidP="00ED1AB0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AF28B1D" w14:textId="77777777" w:rsidR="00ED1AB0" w:rsidRDefault="00ED1AB0" w:rsidP="00ED1AB0">
          <w:pPr>
            <w:spacing w:line="0" w:lineRule="atLeast"/>
            <w:jc w:val="right"/>
            <w:rPr>
              <w:sz w:val="18"/>
            </w:rPr>
          </w:pPr>
        </w:p>
      </w:tc>
    </w:tr>
  </w:tbl>
  <w:p w14:paraId="4F46F9FE" w14:textId="77777777" w:rsidR="00ED1AB0" w:rsidRPr="00ED79B6" w:rsidRDefault="00ED1AB0" w:rsidP="00ED1AB0">
    <w:pPr>
      <w:rPr>
        <w:i/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3EF414" w14:textId="77777777" w:rsidR="00ED1AB0" w:rsidRPr="002B0EA5" w:rsidRDefault="00ED1AB0" w:rsidP="00ED1AB0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ED1AB0" w14:paraId="0FE049EC" w14:textId="77777777" w:rsidTr="00ED1AB0">
      <w:tc>
        <w:tcPr>
          <w:tcW w:w="365" w:type="pct"/>
        </w:tcPr>
        <w:p w14:paraId="3526673A" w14:textId="77777777" w:rsidR="00ED1AB0" w:rsidRDefault="00ED1AB0" w:rsidP="00ED1AB0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1D52EC3F" w14:textId="77777777" w:rsidR="00ED1AB0" w:rsidRDefault="00ED1AB0" w:rsidP="00ED1AB0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Act Name (Subject Matter) Kind of Instrument Year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113DEE01" w14:textId="77777777" w:rsidR="00ED1AB0" w:rsidRDefault="00ED1AB0" w:rsidP="00ED1AB0">
          <w:pPr>
            <w:spacing w:line="0" w:lineRule="atLeast"/>
            <w:jc w:val="right"/>
            <w:rPr>
              <w:sz w:val="18"/>
            </w:rPr>
          </w:pPr>
        </w:p>
      </w:tc>
    </w:tr>
    <w:tr w:rsidR="00ED1AB0" w14:paraId="24934A52" w14:textId="77777777" w:rsidTr="00ED1AB0">
      <w:tc>
        <w:tcPr>
          <w:tcW w:w="5000" w:type="pct"/>
          <w:gridSpan w:val="3"/>
        </w:tcPr>
        <w:p w14:paraId="2A80A6FF" w14:textId="77777777" w:rsidR="00ED1AB0" w:rsidRDefault="00ED1AB0" w:rsidP="00ED1AB0">
          <w:pPr>
            <w:jc w:val="right"/>
            <w:rPr>
              <w:sz w:val="18"/>
            </w:rPr>
          </w:pPr>
        </w:p>
      </w:tc>
    </w:tr>
  </w:tbl>
  <w:p w14:paraId="419702C8" w14:textId="77777777" w:rsidR="00ED1AB0" w:rsidRPr="00ED79B6" w:rsidRDefault="00ED1AB0" w:rsidP="00ED1AB0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3B1D70" w14:textId="77777777" w:rsidR="00ED1AB0" w:rsidRPr="009E4201" w:rsidRDefault="00ED1AB0" w:rsidP="00ED1AB0">
    <w:pPr>
      <w:pBdr>
        <w:top w:val="single" w:sz="6" w:space="1" w:color="auto"/>
      </w:pBdr>
      <w:spacing w:before="120" w:line="0" w:lineRule="atLeast"/>
      <w:rPr>
        <w:b/>
        <w:sz w:val="18"/>
        <w:szCs w:val="18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ED1AB0" w:rsidRPr="009E4201" w14:paraId="4B3CA79C" w14:textId="77777777" w:rsidTr="00ED1AB0">
      <w:tc>
        <w:tcPr>
          <w:tcW w:w="947" w:type="pct"/>
        </w:tcPr>
        <w:p w14:paraId="4CE5380A" w14:textId="77777777" w:rsidR="00ED1AB0" w:rsidRPr="009E4201" w:rsidRDefault="00ED1AB0" w:rsidP="00ED1AB0">
          <w:pPr>
            <w:spacing w:line="0" w:lineRule="atLeast"/>
            <w:rPr>
              <w:b/>
              <w:sz w:val="18"/>
              <w:szCs w:val="18"/>
            </w:rPr>
          </w:pPr>
        </w:p>
      </w:tc>
      <w:tc>
        <w:tcPr>
          <w:tcW w:w="3688" w:type="pct"/>
        </w:tcPr>
        <w:p w14:paraId="10A3B61F" w14:textId="77777777" w:rsidR="00ED1AB0" w:rsidRPr="009E4201" w:rsidRDefault="00ED1AB0" w:rsidP="00ED1AB0">
          <w:pPr>
            <w:pStyle w:val="ShortT"/>
            <w:rPr>
              <w:b w:val="0"/>
              <w:i/>
              <w:sz w:val="18"/>
              <w:szCs w:val="18"/>
            </w:rPr>
          </w:pPr>
          <w:r w:rsidRPr="009E4201">
            <w:rPr>
              <w:b w:val="0"/>
              <w:i/>
              <w:sz w:val="18"/>
              <w:szCs w:val="18"/>
            </w:rPr>
            <w:t xml:space="preserve">Telecommunications (Customer Service Guarantee) Direction 2023 </w:t>
          </w:r>
        </w:p>
        <w:p w14:paraId="738E789C" w14:textId="77777777" w:rsidR="00ED1AB0" w:rsidRPr="009E4201" w:rsidRDefault="00ED1AB0" w:rsidP="00ED1AB0">
          <w:pPr>
            <w:spacing w:line="0" w:lineRule="atLeast"/>
            <w:jc w:val="center"/>
            <w:rPr>
              <w:i/>
              <w:sz w:val="18"/>
              <w:szCs w:val="18"/>
            </w:rPr>
          </w:pPr>
        </w:p>
      </w:tc>
      <w:tc>
        <w:tcPr>
          <w:tcW w:w="365" w:type="pct"/>
        </w:tcPr>
        <w:p w14:paraId="3BB5DF19" w14:textId="77777777" w:rsidR="00ED1AB0" w:rsidRPr="009E4201" w:rsidRDefault="00ED1AB0" w:rsidP="00ED1AB0">
          <w:pPr>
            <w:spacing w:line="0" w:lineRule="atLeast"/>
            <w:jc w:val="right"/>
            <w:rPr>
              <w:b/>
              <w:sz w:val="18"/>
              <w:szCs w:val="18"/>
            </w:rPr>
          </w:pPr>
          <w:r w:rsidRPr="009E4201">
            <w:rPr>
              <w:b/>
              <w:i/>
              <w:sz w:val="18"/>
              <w:szCs w:val="18"/>
            </w:rPr>
            <w:fldChar w:fldCharType="begin"/>
          </w:r>
          <w:r w:rsidRPr="009E4201">
            <w:rPr>
              <w:b/>
              <w:i/>
              <w:sz w:val="18"/>
              <w:szCs w:val="18"/>
            </w:rPr>
            <w:instrText xml:space="preserve"> PAGE </w:instrText>
          </w:r>
          <w:r w:rsidRPr="009E4201">
            <w:rPr>
              <w:b/>
              <w:i/>
              <w:sz w:val="18"/>
              <w:szCs w:val="18"/>
            </w:rPr>
            <w:fldChar w:fldCharType="separate"/>
          </w:r>
          <w:r w:rsidRPr="009E4201">
            <w:rPr>
              <w:b/>
              <w:i/>
              <w:noProof/>
              <w:sz w:val="18"/>
              <w:szCs w:val="18"/>
            </w:rPr>
            <w:t>i</w:t>
          </w:r>
          <w:r w:rsidRPr="009E4201">
            <w:rPr>
              <w:b/>
              <w:i/>
              <w:sz w:val="18"/>
              <w:szCs w:val="18"/>
            </w:rPr>
            <w:fldChar w:fldCharType="end"/>
          </w:r>
        </w:p>
      </w:tc>
    </w:tr>
    <w:tr w:rsidR="00ED1AB0" w:rsidRPr="009E4201" w14:paraId="4B84BC1D" w14:textId="77777777" w:rsidTr="00ED1AB0">
      <w:tc>
        <w:tcPr>
          <w:tcW w:w="5000" w:type="pct"/>
          <w:gridSpan w:val="3"/>
        </w:tcPr>
        <w:p w14:paraId="70F6EA3B" w14:textId="77777777" w:rsidR="00ED1AB0" w:rsidRPr="009E4201" w:rsidRDefault="00ED1AB0" w:rsidP="00ED1AB0">
          <w:pPr>
            <w:rPr>
              <w:b/>
              <w:sz w:val="18"/>
              <w:szCs w:val="18"/>
            </w:rPr>
          </w:pPr>
        </w:p>
      </w:tc>
    </w:tr>
  </w:tbl>
  <w:p w14:paraId="3E3186EB" w14:textId="77777777" w:rsidR="00ED1AB0" w:rsidRPr="009E4201" w:rsidRDefault="00ED1AB0" w:rsidP="00ED1AB0">
    <w:pPr>
      <w:rPr>
        <w:b/>
        <w:i/>
        <w:sz w:val="18"/>
        <w:szCs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6DB1F9" w14:textId="77777777" w:rsidR="00ED1AB0" w:rsidRPr="002B0EA5" w:rsidRDefault="00ED1AB0" w:rsidP="00ED1AB0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ED1AB0" w14:paraId="4FD40367" w14:textId="77777777" w:rsidTr="00ED1AB0">
      <w:tc>
        <w:tcPr>
          <w:tcW w:w="365" w:type="pct"/>
        </w:tcPr>
        <w:p w14:paraId="2B514F23" w14:textId="77777777" w:rsidR="00ED1AB0" w:rsidRDefault="00ED1AB0" w:rsidP="00ED1AB0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4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6955B599" w14:textId="77777777" w:rsidR="00ED1AB0" w:rsidRDefault="00ED1AB0" w:rsidP="00ED1AB0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Telecommunications (ACCC Inquiry into Access to Towers and Associated Infrastructure) Direction 2022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18249E27" w14:textId="77777777" w:rsidR="00ED1AB0" w:rsidRDefault="00ED1AB0" w:rsidP="00ED1AB0">
          <w:pPr>
            <w:spacing w:line="0" w:lineRule="atLeast"/>
            <w:jc w:val="right"/>
            <w:rPr>
              <w:sz w:val="18"/>
            </w:rPr>
          </w:pPr>
        </w:p>
      </w:tc>
    </w:tr>
    <w:tr w:rsidR="00ED1AB0" w14:paraId="16EF2084" w14:textId="77777777" w:rsidTr="00ED1AB0">
      <w:tc>
        <w:tcPr>
          <w:tcW w:w="5000" w:type="pct"/>
          <w:gridSpan w:val="3"/>
        </w:tcPr>
        <w:p w14:paraId="139359F7" w14:textId="77777777" w:rsidR="00ED1AB0" w:rsidRDefault="00ED1AB0" w:rsidP="00ED1AB0">
          <w:pPr>
            <w:jc w:val="right"/>
            <w:rPr>
              <w:sz w:val="18"/>
            </w:rPr>
          </w:pPr>
        </w:p>
      </w:tc>
    </w:tr>
  </w:tbl>
  <w:p w14:paraId="6EBF1BE0" w14:textId="77777777" w:rsidR="00ED1AB0" w:rsidRPr="00ED79B6" w:rsidRDefault="00ED1AB0" w:rsidP="00ED1AB0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D9C797" w14:textId="77777777" w:rsidR="00ED1AB0" w:rsidRPr="002B0EA5" w:rsidRDefault="00ED1AB0" w:rsidP="00ED1AB0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10"/>
      <w:gridCol w:w="6658"/>
      <w:gridCol w:w="659"/>
    </w:tblGrid>
    <w:tr w:rsidR="00ED1AB0" w14:paraId="0D6896EB" w14:textId="77777777" w:rsidTr="00ED1AB0">
      <w:tc>
        <w:tcPr>
          <w:tcW w:w="947" w:type="pct"/>
        </w:tcPr>
        <w:p w14:paraId="24CA95F8" w14:textId="77777777" w:rsidR="00ED1AB0" w:rsidRDefault="00ED1AB0" w:rsidP="00ED1AB0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0AE801B8" w14:textId="3F6B2ADF" w:rsidR="00ED1AB0" w:rsidRDefault="00ED1AB0" w:rsidP="00ED1AB0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D67CE6">
            <w:rPr>
              <w:i/>
              <w:noProof/>
              <w:sz w:val="18"/>
            </w:rPr>
            <w:t>Telecommunications (Customer Service Guarantee) Direction 2023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0196B349" w14:textId="77777777" w:rsidR="00ED1AB0" w:rsidRDefault="00ED1AB0" w:rsidP="00ED1AB0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D1AB0" w14:paraId="40CB42E5" w14:textId="77777777" w:rsidTr="00ED1AB0">
      <w:tc>
        <w:tcPr>
          <w:tcW w:w="5000" w:type="pct"/>
          <w:gridSpan w:val="3"/>
        </w:tcPr>
        <w:p w14:paraId="00726CF9" w14:textId="77777777" w:rsidR="00ED1AB0" w:rsidRDefault="00ED1AB0" w:rsidP="00ED1AB0">
          <w:pPr>
            <w:rPr>
              <w:sz w:val="18"/>
            </w:rPr>
          </w:pPr>
        </w:p>
      </w:tc>
    </w:tr>
  </w:tbl>
  <w:p w14:paraId="50D21063" w14:textId="77777777" w:rsidR="00ED1AB0" w:rsidRPr="00ED79B6" w:rsidRDefault="00ED1AB0" w:rsidP="00ED1AB0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DFE970" w14:textId="77777777" w:rsidR="00ED1AB0" w:rsidRDefault="00ED1AB0">
      <w:pPr>
        <w:spacing w:line="240" w:lineRule="auto"/>
      </w:pPr>
      <w:r>
        <w:separator/>
      </w:r>
    </w:p>
  </w:footnote>
  <w:footnote w:type="continuationSeparator" w:id="0">
    <w:p w14:paraId="5F1DA1BF" w14:textId="77777777" w:rsidR="00ED1AB0" w:rsidRDefault="00ED1AB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6B72C1" w14:textId="77777777" w:rsidR="00ED1AB0" w:rsidRPr="005F1388" w:rsidRDefault="00ED1AB0" w:rsidP="00ED1AB0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FD4281" w14:textId="77777777" w:rsidR="00ED1AB0" w:rsidRPr="005F1388" w:rsidRDefault="00ED1AB0" w:rsidP="00ED1AB0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921675" w14:textId="77777777" w:rsidR="00ED1AB0" w:rsidRDefault="00ED1AB0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FFB481" w14:textId="77777777" w:rsidR="00ED1AB0" w:rsidRPr="00ED79B6" w:rsidRDefault="00ED1AB0" w:rsidP="00ED1AB0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0C75D7" w14:textId="77777777" w:rsidR="00ED1AB0" w:rsidRPr="00ED79B6" w:rsidRDefault="00ED1AB0" w:rsidP="00ED1AB0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F8CDC8" w14:textId="77777777" w:rsidR="00ED1AB0" w:rsidRPr="00ED79B6" w:rsidRDefault="00ED1AB0" w:rsidP="00ED1AB0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35034A" w14:textId="77777777" w:rsidR="00ED1AB0" w:rsidRDefault="00ED1AB0" w:rsidP="00ED1AB0">
    <w:pPr>
      <w:rPr>
        <w:sz w:val="20"/>
      </w:rPr>
    </w:pPr>
  </w:p>
  <w:p w14:paraId="4CCBFEF4" w14:textId="77777777" w:rsidR="00ED1AB0" w:rsidRDefault="00ED1AB0" w:rsidP="00ED1AB0">
    <w:pPr>
      <w:rPr>
        <w:sz w:val="20"/>
      </w:rPr>
    </w:pPr>
  </w:p>
  <w:p w14:paraId="4900C503" w14:textId="77777777" w:rsidR="00ED1AB0" w:rsidRPr="007A1328" w:rsidRDefault="00ED1AB0" w:rsidP="00ED1AB0">
    <w:pPr>
      <w:rPr>
        <w:sz w:val="20"/>
      </w:rPr>
    </w:pPr>
  </w:p>
  <w:p w14:paraId="3D92CCEC" w14:textId="77777777" w:rsidR="00ED1AB0" w:rsidRPr="007A1328" w:rsidRDefault="00ED1AB0" w:rsidP="00ED1AB0">
    <w:pPr>
      <w:rPr>
        <w:b/>
        <w:sz w:val="24"/>
      </w:rPr>
    </w:pPr>
  </w:p>
  <w:p w14:paraId="43CC427D" w14:textId="77777777" w:rsidR="00ED1AB0" w:rsidRPr="007A1328" w:rsidRDefault="00ED1AB0" w:rsidP="00ED1AB0">
    <w:pPr>
      <w:pBdr>
        <w:bottom w:val="single" w:sz="6" w:space="1" w:color="auto"/>
      </w:pBdr>
      <w:spacing w:after="120"/>
      <w:rPr>
        <w:sz w:val="24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EC6338" w14:textId="77777777" w:rsidR="00ED1AB0" w:rsidRPr="007A1328" w:rsidRDefault="00ED1AB0" w:rsidP="00ED1AB0">
    <w:pPr>
      <w:jc w:val="right"/>
      <w:rPr>
        <w:sz w:val="20"/>
      </w:rPr>
    </w:pPr>
  </w:p>
  <w:p w14:paraId="20A7473E" w14:textId="77777777" w:rsidR="00ED1AB0" w:rsidRPr="007A1328" w:rsidRDefault="00ED1AB0" w:rsidP="00ED1AB0">
    <w:pPr>
      <w:jc w:val="right"/>
      <w:rPr>
        <w:sz w:val="20"/>
      </w:rPr>
    </w:pPr>
  </w:p>
  <w:p w14:paraId="4C64DE94" w14:textId="77777777" w:rsidR="00ED1AB0" w:rsidRPr="007A1328" w:rsidRDefault="00ED1AB0" w:rsidP="00ED1AB0">
    <w:pPr>
      <w:jc w:val="right"/>
      <w:rPr>
        <w:sz w:val="20"/>
      </w:rPr>
    </w:pPr>
  </w:p>
  <w:p w14:paraId="54BBB16D" w14:textId="77777777" w:rsidR="00ED1AB0" w:rsidRPr="007A1328" w:rsidRDefault="00ED1AB0" w:rsidP="00ED1AB0">
    <w:pPr>
      <w:jc w:val="right"/>
      <w:rPr>
        <w:b/>
        <w:sz w:val="24"/>
      </w:rPr>
    </w:pPr>
  </w:p>
  <w:p w14:paraId="3F927E63" w14:textId="77777777" w:rsidR="00ED1AB0" w:rsidRPr="007A1328" w:rsidRDefault="00ED1AB0" w:rsidP="00ED1AB0">
    <w:pPr>
      <w:pBdr>
        <w:bottom w:val="single" w:sz="6" w:space="1" w:color="auto"/>
      </w:pBdr>
      <w:spacing w:after="120"/>
      <w:jc w:val="right"/>
      <w:rPr>
        <w:sz w:val="24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14CF6E" w14:textId="77777777" w:rsidR="00ED1AB0" w:rsidRDefault="00ED1A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D91D95"/>
    <w:multiLevelType w:val="hybridMultilevel"/>
    <w:tmpl w:val="620E1F90"/>
    <w:lvl w:ilvl="0" w:tplc="A9EC4C38">
      <w:start w:val="1"/>
      <w:numFmt w:val="lowerLetter"/>
      <w:lvlText w:val="(%1)"/>
      <w:lvlJc w:val="left"/>
      <w:pPr>
        <w:ind w:left="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720" w:hanging="360"/>
      </w:pPr>
    </w:lvl>
    <w:lvl w:ilvl="2" w:tplc="0C09001B" w:tentative="1">
      <w:start w:val="1"/>
      <w:numFmt w:val="lowerRoman"/>
      <w:lvlText w:val="%3."/>
      <w:lvlJc w:val="right"/>
      <w:pPr>
        <w:ind w:left="1440" w:hanging="180"/>
      </w:pPr>
    </w:lvl>
    <w:lvl w:ilvl="3" w:tplc="0C09000F" w:tentative="1">
      <w:start w:val="1"/>
      <w:numFmt w:val="decimal"/>
      <w:lvlText w:val="%4."/>
      <w:lvlJc w:val="left"/>
      <w:pPr>
        <w:ind w:left="2160" w:hanging="360"/>
      </w:pPr>
    </w:lvl>
    <w:lvl w:ilvl="4" w:tplc="0C090019" w:tentative="1">
      <w:start w:val="1"/>
      <w:numFmt w:val="lowerLetter"/>
      <w:lvlText w:val="%5."/>
      <w:lvlJc w:val="left"/>
      <w:pPr>
        <w:ind w:left="2880" w:hanging="360"/>
      </w:pPr>
    </w:lvl>
    <w:lvl w:ilvl="5" w:tplc="0C09001B" w:tentative="1">
      <w:start w:val="1"/>
      <w:numFmt w:val="lowerRoman"/>
      <w:lvlText w:val="%6."/>
      <w:lvlJc w:val="right"/>
      <w:pPr>
        <w:ind w:left="3600" w:hanging="180"/>
      </w:pPr>
    </w:lvl>
    <w:lvl w:ilvl="6" w:tplc="0C09000F" w:tentative="1">
      <w:start w:val="1"/>
      <w:numFmt w:val="decimal"/>
      <w:lvlText w:val="%7."/>
      <w:lvlJc w:val="left"/>
      <w:pPr>
        <w:ind w:left="4320" w:hanging="360"/>
      </w:pPr>
    </w:lvl>
    <w:lvl w:ilvl="7" w:tplc="0C090019" w:tentative="1">
      <w:start w:val="1"/>
      <w:numFmt w:val="lowerLetter"/>
      <w:lvlText w:val="%8."/>
      <w:lvlJc w:val="left"/>
      <w:pPr>
        <w:ind w:left="5040" w:hanging="360"/>
      </w:pPr>
    </w:lvl>
    <w:lvl w:ilvl="8" w:tplc="0C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0C35794C"/>
    <w:multiLevelType w:val="hybridMultilevel"/>
    <w:tmpl w:val="620E1F90"/>
    <w:lvl w:ilvl="0" w:tplc="A9EC4C3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D9222B"/>
    <w:multiLevelType w:val="hybridMultilevel"/>
    <w:tmpl w:val="620E1F90"/>
    <w:lvl w:ilvl="0" w:tplc="A9EC4C3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DF1BC5"/>
    <w:multiLevelType w:val="hybridMultilevel"/>
    <w:tmpl w:val="620E1F90"/>
    <w:lvl w:ilvl="0" w:tplc="A9EC4C3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A880A1B"/>
    <w:multiLevelType w:val="hybridMultilevel"/>
    <w:tmpl w:val="620E1F90"/>
    <w:lvl w:ilvl="0" w:tplc="A9EC4C3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8761CA"/>
    <w:multiLevelType w:val="hybridMultilevel"/>
    <w:tmpl w:val="A75CDDAA"/>
    <w:lvl w:ilvl="0" w:tplc="1478B2C4">
      <w:start w:val="1"/>
      <w:numFmt w:val="lowerLetter"/>
      <w:lvlText w:val="(%1)"/>
      <w:lvlJc w:val="left"/>
      <w:pPr>
        <w:ind w:left="149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14" w:hanging="360"/>
      </w:pPr>
    </w:lvl>
    <w:lvl w:ilvl="2" w:tplc="0C09001B" w:tentative="1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3D0D6BD7"/>
    <w:multiLevelType w:val="hybridMultilevel"/>
    <w:tmpl w:val="A75CDDAA"/>
    <w:lvl w:ilvl="0" w:tplc="1478B2C4">
      <w:start w:val="1"/>
      <w:numFmt w:val="lowerLetter"/>
      <w:lvlText w:val="(%1)"/>
      <w:lvlJc w:val="left"/>
      <w:pPr>
        <w:ind w:left="149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14" w:hanging="360"/>
      </w:pPr>
    </w:lvl>
    <w:lvl w:ilvl="2" w:tplc="0C09001B" w:tentative="1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47F13F49"/>
    <w:multiLevelType w:val="hybridMultilevel"/>
    <w:tmpl w:val="620E1F90"/>
    <w:lvl w:ilvl="0" w:tplc="A9EC4C3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79129F"/>
    <w:multiLevelType w:val="hybridMultilevel"/>
    <w:tmpl w:val="620E1F90"/>
    <w:lvl w:ilvl="0" w:tplc="A9EC4C3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4907C8"/>
    <w:multiLevelType w:val="hybridMultilevel"/>
    <w:tmpl w:val="620E1F90"/>
    <w:lvl w:ilvl="0" w:tplc="A9EC4C3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221256"/>
    <w:multiLevelType w:val="hybridMultilevel"/>
    <w:tmpl w:val="F00C7EB6"/>
    <w:lvl w:ilvl="0" w:tplc="FC54EA72">
      <w:start w:val="1"/>
      <w:numFmt w:val="decimal"/>
      <w:lvlText w:val="(%1)"/>
      <w:lvlJc w:val="left"/>
      <w:pPr>
        <w:ind w:left="1140" w:hanging="390"/>
      </w:pPr>
      <w:rPr>
        <w:rFonts w:hint="default"/>
      </w:rPr>
    </w:lvl>
    <w:lvl w:ilvl="1" w:tplc="6B228220">
      <w:start w:val="1"/>
      <w:numFmt w:val="lowerLetter"/>
      <w:lvlText w:val="(%2)"/>
      <w:lvlJc w:val="left"/>
      <w:pPr>
        <w:ind w:left="1830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2550" w:hanging="180"/>
      </w:pPr>
    </w:lvl>
    <w:lvl w:ilvl="3" w:tplc="0C09000F" w:tentative="1">
      <w:start w:val="1"/>
      <w:numFmt w:val="decimal"/>
      <w:lvlText w:val="%4."/>
      <w:lvlJc w:val="left"/>
      <w:pPr>
        <w:ind w:left="3270" w:hanging="360"/>
      </w:pPr>
    </w:lvl>
    <w:lvl w:ilvl="4" w:tplc="0C090019" w:tentative="1">
      <w:start w:val="1"/>
      <w:numFmt w:val="lowerLetter"/>
      <w:lvlText w:val="%5."/>
      <w:lvlJc w:val="left"/>
      <w:pPr>
        <w:ind w:left="3990" w:hanging="360"/>
      </w:pPr>
    </w:lvl>
    <w:lvl w:ilvl="5" w:tplc="0C09001B" w:tentative="1">
      <w:start w:val="1"/>
      <w:numFmt w:val="lowerRoman"/>
      <w:lvlText w:val="%6."/>
      <w:lvlJc w:val="right"/>
      <w:pPr>
        <w:ind w:left="4710" w:hanging="180"/>
      </w:pPr>
    </w:lvl>
    <w:lvl w:ilvl="6" w:tplc="0C09000F" w:tentative="1">
      <w:start w:val="1"/>
      <w:numFmt w:val="decimal"/>
      <w:lvlText w:val="%7."/>
      <w:lvlJc w:val="left"/>
      <w:pPr>
        <w:ind w:left="5430" w:hanging="360"/>
      </w:pPr>
    </w:lvl>
    <w:lvl w:ilvl="7" w:tplc="0C090019" w:tentative="1">
      <w:start w:val="1"/>
      <w:numFmt w:val="lowerLetter"/>
      <w:lvlText w:val="%8."/>
      <w:lvlJc w:val="left"/>
      <w:pPr>
        <w:ind w:left="6150" w:hanging="360"/>
      </w:pPr>
    </w:lvl>
    <w:lvl w:ilvl="8" w:tplc="0C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1" w15:restartNumberingAfterBreak="0">
    <w:nsid w:val="7B2A49D5"/>
    <w:multiLevelType w:val="hybridMultilevel"/>
    <w:tmpl w:val="620E1F90"/>
    <w:lvl w:ilvl="0" w:tplc="A9EC4C3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C325C50"/>
    <w:multiLevelType w:val="hybridMultilevel"/>
    <w:tmpl w:val="620E1F90"/>
    <w:lvl w:ilvl="0" w:tplc="A9EC4C3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DD23086"/>
    <w:multiLevelType w:val="hybridMultilevel"/>
    <w:tmpl w:val="620E1F90"/>
    <w:lvl w:ilvl="0" w:tplc="A9EC4C3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6"/>
  </w:num>
  <w:num w:numId="3">
    <w:abstractNumId w:val="4"/>
  </w:num>
  <w:num w:numId="4">
    <w:abstractNumId w:val="12"/>
  </w:num>
  <w:num w:numId="5">
    <w:abstractNumId w:val="5"/>
  </w:num>
  <w:num w:numId="6">
    <w:abstractNumId w:val="11"/>
  </w:num>
  <w:num w:numId="7">
    <w:abstractNumId w:val="3"/>
  </w:num>
  <w:num w:numId="8">
    <w:abstractNumId w:val="7"/>
  </w:num>
  <w:num w:numId="9">
    <w:abstractNumId w:val="8"/>
  </w:num>
  <w:num w:numId="10">
    <w:abstractNumId w:val="9"/>
  </w:num>
  <w:num w:numId="11">
    <w:abstractNumId w:val="0"/>
  </w:num>
  <w:num w:numId="12">
    <w:abstractNumId w:val="2"/>
  </w:num>
  <w:num w:numId="13">
    <w:abstractNumId w:val="1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324"/>
    <w:rsid w:val="000E4BE4"/>
    <w:rsid w:val="001A0912"/>
    <w:rsid w:val="00244324"/>
    <w:rsid w:val="002D6797"/>
    <w:rsid w:val="00325B43"/>
    <w:rsid w:val="00403540"/>
    <w:rsid w:val="0043334F"/>
    <w:rsid w:val="005316BD"/>
    <w:rsid w:val="005B2307"/>
    <w:rsid w:val="006A2559"/>
    <w:rsid w:val="006B3965"/>
    <w:rsid w:val="00975E9E"/>
    <w:rsid w:val="009D6D34"/>
    <w:rsid w:val="009E2CC3"/>
    <w:rsid w:val="00A55287"/>
    <w:rsid w:val="00B32C2C"/>
    <w:rsid w:val="00B36AB8"/>
    <w:rsid w:val="00C95C4B"/>
    <w:rsid w:val="00D67CE6"/>
    <w:rsid w:val="00D8082B"/>
    <w:rsid w:val="00ED1AB0"/>
    <w:rsid w:val="00ED22C3"/>
    <w:rsid w:val="00FC0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13799C"/>
  <w15:chartTrackingRefBased/>
  <w15:docId w15:val="{69891179-ED53-43D5-ADFB-004586FF1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244324"/>
    <w:pPr>
      <w:spacing w:after="0" w:line="260" w:lineRule="atLeast"/>
    </w:pPr>
    <w:rPr>
      <w:rFonts w:ascii="Times New Roman" w:hAnsi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hortT">
    <w:name w:val="ShortT"/>
    <w:basedOn w:val="Normal"/>
    <w:next w:val="Normal"/>
    <w:qFormat/>
    <w:rsid w:val="00244324"/>
    <w:pPr>
      <w:spacing w:line="240" w:lineRule="auto"/>
    </w:pPr>
    <w:rPr>
      <w:rFonts w:eastAsia="Times New Roman" w:cs="Times New Roman"/>
      <w:b/>
      <w:sz w:val="40"/>
      <w:lang w:eastAsia="en-AU"/>
    </w:rPr>
  </w:style>
  <w:style w:type="paragraph" w:customStyle="1" w:styleId="ActHead5">
    <w:name w:val="ActHead 5"/>
    <w:aliases w:val="s"/>
    <w:basedOn w:val="Normal"/>
    <w:next w:val="subsection"/>
    <w:qFormat/>
    <w:rsid w:val="00244324"/>
    <w:pPr>
      <w:keepNext/>
      <w:keepLines/>
      <w:spacing w:before="280" w:line="240" w:lineRule="auto"/>
      <w:ind w:left="1134" w:hanging="1134"/>
      <w:outlineLvl w:val="4"/>
    </w:pPr>
    <w:rPr>
      <w:rFonts w:eastAsia="Times New Roman" w:cs="Times New Roman"/>
      <w:b/>
      <w:kern w:val="28"/>
      <w:sz w:val="24"/>
      <w:lang w:eastAsia="en-AU"/>
    </w:rPr>
  </w:style>
  <w:style w:type="paragraph" w:customStyle="1" w:styleId="subsection">
    <w:name w:val="subsection"/>
    <w:aliases w:val="ss,Subsection"/>
    <w:basedOn w:val="Normal"/>
    <w:link w:val="subsectionChar"/>
    <w:rsid w:val="00244324"/>
    <w:pPr>
      <w:tabs>
        <w:tab w:val="right" w:pos="1021"/>
      </w:tabs>
      <w:spacing w:before="180" w:line="240" w:lineRule="auto"/>
      <w:ind w:left="1134" w:hanging="1134"/>
    </w:pPr>
    <w:rPr>
      <w:rFonts w:eastAsia="Times New Roman" w:cs="Times New Roman"/>
      <w:lang w:eastAsia="en-AU"/>
    </w:rPr>
  </w:style>
  <w:style w:type="paragraph" w:customStyle="1" w:styleId="Definition">
    <w:name w:val="Definition"/>
    <w:aliases w:val="dd"/>
    <w:basedOn w:val="Normal"/>
    <w:rsid w:val="00244324"/>
    <w:pPr>
      <w:spacing w:before="180" w:line="240" w:lineRule="auto"/>
      <w:ind w:left="1134"/>
    </w:pPr>
    <w:rPr>
      <w:rFonts w:eastAsia="Times New Roman" w:cs="Times New Roman"/>
      <w:lang w:eastAsia="en-AU"/>
    </w:rPr>
  </w:style>
  <w:style w:type="paragraph" w:styleId="Header">
    <w:name w:val="header"/>
    <w:basedOn w:val="Normal"/>
    <w:link w:val="HeaderChar"/>
    <w:unhideWhenUsed/>
    <w:rsid w:val="00244324"/>
    <w:pPr>
      <w:keepNext/>
      <w:keepLines/>
      <w:tabs>
        <w:tab w:val="center" w:pos="4150"/>
        <w:tab w:val="right" w:pos="8307"/>
      </w:tabs>
      <w:spacing w:line="160" w:lineRule="exact"/>
    </w:pPr>
    <w:rPr>
      <w:rFonts w:eastAsia="Times New Roman" w:cs="Times New Roman"/>
      <w:sz w:val="16"/>
      <w:lang w:eastAsia="en-AU"/>
    </w:rPr>
  </w:style>
  <w:style w:type="character" w:customStyle="1" w:styleId="HeaderChar">
    <w:name w:val="Header Char"/>
    <w:basedOn w:val="DefaultParagraphFont"/>
    <w:link w:val="Header"/>
    <w:rsid w:val="00244324"/>
    <w:rPr>
      <w:rFonts w:ascii="Times New Roman" w:eastAsia="Times New Roman" w:hAnsi="Times New Roman" w:cs="Times New Roman"/>
      <w:sz w:val="16"/>
      <w:szCs w:val="20"/>
      <w:lang w:eastAsia="en-AU"/>
    </w:rPr>
  </w:style>
  <w:style w:type="paragraph" w:customStyle="1" w:styleId="notetext">
    <w:name w:val="note(text)"/>
    <w:aliases w:val="n"/>
    <w:basedOn w:val="Normal"/>
    <w:link w:val="notetextChar"/>
    <w:rsid w:val="00244324"/>
    <w:pPr>
      <w:spacing w:before="122" w:line="198" w:lineRule="exact"/>
      <w:ind w:left="1985" w:hanging="851"/>
    </w:pPr>
    <w:rPr>
      <w:rFonts w:eastAsia="Times New Roman" w:cs="Times New Roman"/>
      <w:sz w:val="18"/>
      <w:lang w:eastAsia="en-AU"/>
    </w:rPr>
  </w:style>
  <w:style w:type="paragraph" w:customStyle="1" w:styleId="paragraph">
    <w:name w:val="paragraph"/>
    <w:aliases w:val="a"/>
    <w:basedOn w:val="Normal"/>
    <w:rsid w:val="00244324"/>
    <w:pPr>
      <w:tabs>
        <w:tab w:val="right" w:pos="1531"/>
      </w:tabs>
      <w:spacing w:before="40" w:line="240" w:lineRule="auto"/>
      <w:ind w:left="1644" w:hanging="1644"/>
    </w:pPr>
    <w:rPr>
      <w:rFonts w:eastAsia="Times New Roman" w:cs="Times New Roman"/>
      <w:lang w:eastAsia="en-AU"/>
    </w:rPr>
  </w:style>
  <w:style w:type="paragraph" w:customStyle="1" w:styleId="Tabletext">
    <w:name w:val="Tabletext"/>
    <w:aliases w:val="tt"/>
    <w:basedOn w:val="Normal"/>
    <w:rsid w:val="00244324"/>
    <w:pPr>
      <w:spacing w:before="60" w:line="240" w:lineRule="atLeast"/>
    </w:pPr>
    <w:rPr>
      <w:rFonts w:eastAsia="Times New Roman" w:cs="Times New Roman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244324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rFonts w:eastAsia="Times New Roman" w:cs="Times New Roman"/>
      <w:kern w:val="28"/>
      <w:sz w:val="18"/>
      <w:lang w:eastAsia="en-AU"/>
    </w:rPr>
  </w:style>
  <w:style w:type="table" w:styleId="TableGrid">
    <w:name w:val="Table Grid"/>
    <w:basedOn w:val="TableNormal"/>
    <w:uiPriority w:val="59"/>
    <w:rsid w:val="00244324"/>
    <w:pPr>
      <w:spacing w:after="0" w:line="240" w:lineRule="auto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gnCoverPageEnd">
    <w:name w:val="SignCoverPageEnd"/>
    <w:basedOn w:val="Normal"/>
    <w:next w:val="Normal"/>
    <w:rsid w:val="00244324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rFonts w:eastAsia="Times New Roman" w:cs="Times New Roman"/>
      <w:sz w:val="24"/>
      <w:lang w:eastAsia="en-AU"/>
    </w:rPr>
  </w:style>
  <w:style w:type="paragraph" w:customStyle="1" w:styleId="SignCoverPageStart">
    <w:name w:val="SignCoverPageStart"/>
    <w:basedOn w:val="Normal"/>
    <w:next w:val="Normal"/>
    <w:rsid w:val="00244324"/>
    <w:pPr>
      <w:pBdr>
        <w:top w:val="single" w:sz="4" w:space="1" w:color="auto"/>
      </w:pBdr>
      <w:spacing w:before="360"/>
      <w:ind w:right="397"/>
      <w:jc w:val="both"/>
    </w:pPr>
    <w:rPr>
      <w:rFonts w:eastAsia="Times New Roman" w:cs="Times New Roman"/>
      <w:lang w:eastAsia="en-AU"/>
    </w:rPr>
  </w:style>
  <w:style w:type="paragraph" w:customStyle="1" w:styleId="TableHeading">
    <w:name w:val="TableHeading"/>
    <w:aliases w:val="th"/>
    <w:basedOn w:val="Normal"/>
    <w:next w:val="Tabletext"/>
    <w:rsid w:val="00244324"/>
    <w:pPr>
      <w:keepNext/>
      <w:spacing w:before="60" w:line="240" w:lineRule="atLeast"/>
    </w:pPr>
    <w:rPr>
      <w:rFonts w:eastAsia="Times New Roman" w:cs="Times New Roman"/>
      <w:b/>
      <w:sz w:val="20"/>
      <w:lang w:eastAsia="en-AU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244324"/>
    <w:rPr>
      <w:rFonts w:ascii="Times New Roman" w:eastAsia="Times New Roman" w:hAnsi="Times New Roman" w:cs="Times New Roman"/>
      <w:szCs w:val="20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244324"/>
    <w:rPr>
      <w:rFonts w:ascii="Times New Roman" w:eastAsia="Times New Roman" w:hAnsi="Times New Roman" w:cs="Times New Roman"/>
      <w:sz w:val="18"/>
      <w:szCs w:val="20"/>
      <w:lang w:eastAsia="en-AU"/>
    </w:rPr>
  </w:style>
  <w:style w:type="paragraph" w:styleId="TOC6">
    <w:name w:val="toc 6"/>
    <w:basedOn w:val="Normal"/>
    <w:next w:val="Normal"/>
    <w:autoRedefine/>
    <w:uiPriority w:val="39"/>
    <w:unhideWhenUsed/>
    <w:rsid w:val="00244324"/>
    <w:pPr>
      <w:spacing w:after="100"/>
      <w:ind w:left="1100"/>
    </w:pPr>
  </w:style>
  <w:style w:type="paragraph" w:customStyle="1" w:styleId="ActHead6">
    <w:name w:val="ActHead 6"/>
    <w:aliases w:val="as"/>
    <w:basedOn w:val="Normal"/>
    <w:next w:val="Normal"/>
    <w:qFormat/>
    <w:rsid w:val="00244324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CharAmSchNo">
    <w:name w:val="CharAmSchNo"/>
    <w:basedOn w:val="DefaultParagraphFont"/>
    <w:uiPriority w:val="1"/>
    <w:qFormat/>
    <w:rsid w:val="00244324"/>
  </w:style>
  <w:style w:type="character" w:customStyle="1" w:styleId="CharAmSchText">
    <w:name w:val="CharAmSchText"/>
    <w:basedOn w:val="DefaultParagraphFont"/>
    <w:uiPriority w:val="1"/>
    <w:qFormat/>
    <w:rsid w:val="00244324"/>
  </w:style>
  <w:style w:type="paragraph" w:customStyle="1" w:styleId="Item">
    <w:name w:val="Item"/>
    <w:aliases w:val="i"/>
    <w:basedOn w:val="Normal"/>
    <w:next w:val="ItemHead"/>
    <w:rsid w:val="00244324"/>
    <w:pPr>
      <w:keepLines/>
      <w:spacing w:before="80" w:line="240" w:lineRule="auto"/>
      <w:ind w:left="709"/>
    </w:pPr>
    <w:rPr>
      <w:rFonts w:eastAsia="Times New Roman" w:cs="Times New Roman"/>
      <w:lang w:eastAsia="en-AU"/>
    </w:rPr>
  </w:style>
  <w:style w:type="paragraph" w:customStyle="1" w:styleId="ItemHead">
    <w:name w:val="ItemHead"/>
    <w:aliases w:val="ih"/>
    <w:basedOn w:val="Normal"/>
    <w:next w:val="Item"/>
    <w:rsid w:val="00244324"/>
    <w:pPr>
      <w:keepNext/>
      <w:keepLines/>
      <w:spacing w:before="220" w:line="240" w:lineRule="auto"/>
      <w:ind w:left="709" w:hanging="709"/>
    </w:pPr>
    <w:rPr>
      <w:rFonts w:ascii="Arial" w:eastAsia="Times New Roman" w:hAnsi="Arial" w:cs="Times New Roman"/>
      <w:b/>
      <w:kern w:val="28"/>
      <w:sz w:val="24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2443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44324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44324"/>
    <w:rPr>
      <w:rFonts w:ascii="Times New Roman" w:hAnsi="Times New Roman"/>
      <w:sz w:val="20"/>
      <w:szCs w:val="20"/>
    </w:rPr>
  </w:style>
  <w:style w:type="paragraph" w:customStyle="1" w:styleId="ActHead2">
    <w:name w:val="ActHead 2"/>
    <w:aliases w:val="p"/>
    <w:basedOn w:val="Normal"/>
    <w:next w:val="Normal"/>
    <w:qFormat/>
    <w:rsid w:val="00244324"/>
    <w:pPr>
      <w:keepNext/>
      <w:keepLines/>
      <w:spacing w:before="280" w:line="240" w:lineRule="auto"/>
      <w:ind w:left="1134" w:hanging="1134"/>
      <w:outlineLvl w:val="1"/>
    </w:pPr>
    <w:rPr>
      <w:rFonts w:eastAsia="Times New Roman" w:cs="Times New Roman"/>
      <w:b/>
      <w:kern w:val="28"/>
      <w:sz w:val="32"/>
      <w:lang w:eastAsia="en-AU"/>
    </w:rPr>
  </w:style>
  <w:style w:type="paragraph" w:styleId="TOC2">
    <w:name w:val="toc 2"/>
    <w:basedOn w:val="Normal"/>
    <w:next w:val="Normal"/>
    <w:autoRedefine/>
    <w:uiPriority w:val="39"/>
    <w:unhideWhenUsed/>
    <w:rsid w:val="00244324"/>
    <w:pPr>
      <w:tabs>
        <w:tab w:val="right" w:leader="dot" w:pos="8303"/>
      </w:tabs>
      <w:spacing w:after="100"/>
      <w:ind w:left="2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4432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4324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1A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1AB0"/>
    <w:rPr>
      <w:rFonts w:ascii="Times New Roman" w:hAnsi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E2CC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E2C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footer" Target="footer7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footer" Target="footer6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header" Target="header8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eader" Target="header7.xm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eader" Target="header6.xml"/><Relationship Id="rId27" Type="http://schemas.openxmlformats.org/officeDocument/2006/relationships/header" Target="header9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9065329B6A24FB4AA8297457C7EC89CD" ma:contentTypeVersion="" ma:contentTypeDescription="PDMS Document Site Content Type" ma:contentTypeScope="" ma:versionID="76d598a7a5b777deeda71415bdc29b0d">
  <xsd:schema xmlns:xsd="http://www.w3.org/2001/XMLSchema" xmlns:xs="http://www.w3.org/2001/XMLSchema" xmlns:p="http://schemas.microsoft.com/office/2006/metadata/properties" xmlns:ns2="E995FC5B-FDDC-4158-B77D-FEFFF6AB423D" targetNamespace="http://schemas.microsoft.com/office/2006/metadata/properties" ma:root="true" ma:fieldsID="1f3e826629c78661bb7f73557b9260e6" ns2:_="">
    <xsd:import namespace="E995FC5B-FDDC-4158-B77D-FEFFF6AB423D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95FC5B-FDDC-4158-B77D-FEFFF6AB423D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E995FC5B-FDDC-4158-B77D-FEFFF6AB423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B4790B-ED0F-4B90-83EC-675422B0A1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54E51A-C825-4F28-AD48-E243CC2A7B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95FC5B-FDDC-4158-B77D-FEFFF6AB42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152CCDE-4761-4D1C-B9FE-61FCB4C3DC96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E995FC5B-FDDC-4158-B77D-FEFFF6AB423D"/>
    <ds:schemaRef ds:uri="http://purl.org/dc/terms/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EE814660-56E1-42B5-96C3-E1494D841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1552</Words>
  <Characters>8852</Characters>
  <Application>Microsoft Office Word</Application>
  <DocSecurity>4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Legal Services - DITRDCA</dc:creator>
  <cp:keywords/>
  <dc:description/>
  <cp:lastModifiedBy>BEAR Penny</cp:lastModifiedBy>
  <cp:revision>2</cp:revision>
  <cp:lastPrinted>2023-07-18T06:35:00Z</cp:lastPrinted>
  <dcterms:created xsi:type="dcterms:W3CDTF">2023-07-18T23:02:00Z</dcterms:created>
  <dcterms:modified xsi:type="dcterms:W3CDTF">2023-07-18T23:02:00Z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0x010100266966F133664895A6EE3632470D45F5009065329B6A24FB4AA8297457C7EC89CD</vt:lpwstr>
  </property>
</Properties>
</file>