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D6D47" w14:textId="77777777" w:rsidR="00D71039" w:rsidRDefault="00D71039" w:rsidP="00D71039">
      <w:pPr>
        <w:pStyle w:val="paragraph0"/>
        <w:spacing w:before="0" w:beforeAutospacing="0" w:after="0" w:afterAutospacing="0"/>
        <w:jc w:val="center"/>
        <w:textAlignment w:val="baseline"/>
        <w:rPr>
          <w:rFonts w:ascii="Segoe UI" w:hAnsi="Segoe UI" w:cs="Segoe UI"/>
          <w:sz w:val="18"/>
          <w:szCs w:val="18"/>
        </w:rPr>
      </w:pPr>
      <w:bookmarkStart w:id="0" w:name="_GoBack"/>
      <w:bookmarkEnd w:id="0"/>
      <w:r>
        <w:rPr>
          <w:rStyle w:val="normaltextrun"/>
          <w:rFonts w:cs="Arial"/>
          <w:b/>
          <w:bCs/>
          <w:caps/>
          <w:u w:val="single"/>
          <w:lang w:val="en-GB"/>
        </w:rPr>
        <w:t>EXPLANATORY STATEMENT</w:t>
      </w:r>
      <w:r>
        <w:rPr>
          <w:rStyle w:val="eop"/>
          <w:rFonts w:cs="Arial"/>
        </w:rPr>
        <w:t> </w:t>
      </w:r>
    </w:p>
    <w:p w14:paraId="1666289E" w14:textId="77777777" w:rsidR="00D71039" w:rsidRDefault="00D71039" w:rsidP="00D71039">
      <w:pPr>
        <w:pStyle w:val="paragraph0"/>
        <w:spacing w:before="0" w:beforeAutospacing="0" w:after="0" w:afterAutospacing="0"/>
        <w:textAlignment w:val="baseline"/>
        <w:rPr>
          <w:rFonts w:ascii="Segoe UI" w:hAnsi="Segoe UI" w:cs="Segoe UI"/>
          <w:sz w:val="18"/>
          <w:szCs w:val="18"/>
        </w:rPr>
      </w:pPr>
      <w:r>
        <w:rPr>
          <w:rStyle w:val="eop"/>
          <w:rFonts w:cs="Arial"/>
        </w:rPr>
        <w:t> </w:t>
      </w:r>
    </w:p>
    <w:p w14:paraId="6830F77C" w14:textId="77777777" w:rsidR="00D71039" w:rsidRPr="00C56CF1" w:rsidRDefault="00D71039" w:rsidP="00D71039">
      <w:pPr>
        <w:pStyle w:val="paragraph0"/>
        <w:shd w:val="clear" w:color="auto" w:fill="FFFFFF"/>
        <w:spacing w:before="0" w:beforeAutospacing="0" w:after="0" w:afterAutospacing="0"/>
        <w:jc w:val="center"/>
        <w:textAlignment w:val="baseline"/>
        <w:rPr>
          <w:rFonts w:ascii="Arial" w:hAnsi="Arial" w:cs="Arial"/>
          <w:sz w:val="18"/>
          <w:szCs w:val="18"/>
        </w:rPr>
      </w:pPr>
      <w:r w:rsidRPr="00C56CF1">
        <w:rPr>
          <w:rStyle w:val="normaltextrun"/>
          <w:rFonts w:ascii="Arial" w:hAnsi="Arial" w:cs="Arial"/>
          <w:i/>
          <w:iCs/>
          <w:color w:val="000000"/>
          <w:lang w:val="en-AU"/>
        </w:rPr>
        <w:t>Food Standards Australia New Zealand Act 1991</w:t>
      </w:r>
      <w:r w:rsidRPr="00C56CF1">
        <w:rPr>
          <w:rStyle w:val="eop"/>
          <w:rFonts w:ascii="Arial" w:hAnsi="Arial" w:cs="Arial"/>
          <w:color w:val="000000"/>
        </w:rPr>
        <w:t> </w:t>
      </w:r>
    </w:p>
    <w:p w14:paraId="399331D4" w14:textId="77777777" w:rsidR="00D71039" w:rsidRPr="00C56CF1" w:rsidRDefault="00D71039" w:rsidP="00D71039">
      <w:pPr>
        <w:rPr>
          <w:lang w:bidi="ar-SA"/>
        </w:rPr>
      </w:pPr>
    </w:p>
    <w:p w14:paraId="5EEB6D6D" w14:textId="77777777" w:rsidR="00D71039" w:rsidRPr="00C56CF1" w:rsidRDefault="00D71039" w:rsidP="00D71039">
      <w:pPr>
        <w:pStyle w:val="paragraph0"/>
        <w:spacing w:before="0" w:beforeAutospacing="0" w:after="0" w:afterAutospacing="0"/>
        <w:jc w:val="center"/>
        <w:textAlignment w:val="baseline"/>
        <w:rPr>
          <w:rFonts w:ascii="Arial" w:hAnsi="Arial" w:cs="Arial"/>
          <w:sz w:val="18"/>
          <w:szCs w:val="18"/>
        </w:rPr>
      </w:pPr>
      <w:r w:rsidRPr="00C56CF1">
        <w:rPr>
          <w:rStyle w:val="normaltextrun"/>
          <w:rFonts w:ascii="Arial" w:hAnsi="Arial" w:cs="Arial"/>
          <w:b/>
          <w:bCs/>
          <w:i/>
          <w:iCs/>
          <w:lang w:val="en-GB"/>
        </w:rPr>
        <w:t xml:space="preserve">Food </w:t>
      </w:r>
      <w:r w:rsidRPr="000B7A09">
        <w:rPr>
          <w:rStyle w:val="normaltextrun"/>
          <w:rFonts w:ascii="Arial" w:hAnsi="Arial" w:cs="Arial"/>
          <w:b/>
          <w:bCs/>
          <w:i/>
          <w:iCs/>
          <w:lang w:val="en-GB"/>
        </w:rPr>
        <w:t>Standards (Proposal P1061 – Code Revision (2023)) Variation</w:t>
      </w:r>
      <w:r w:rsidRPr="000B7A09">
        <w:rPr>
          <w:rStyle w:val="normaltextrun"/>
          <w:rFonts w:ascii="Arial" w:hAnsi="Arial" w:cs="Arial"/>
          <w:b/>
          <w:bCs/>
          <w:i/>
          <w:iCs/>
          <w:sz w:val="20"/>
          <w:szCs w:val="20"/>
          <w:lang w:val="en-GB"/>
        </w:rPr>
        <w:t xml:space="preserve"> </w:t>
      </w:r>
      <w:r w:rsidRPr="000B7A09">
        <w:rPr>
          <w:rStyle w:val="eop"/>
          <w:rFonts w:ascii="Arial" w:hAnsi="Arial" w:cs="Arial"/>
          <w:sz w:val="20"/>
          <w:szCs w:val="20"/>
        </w:rPr>
        <w:t> </w:t>
      </w:r>
    </w:p>
    <w:p w14:paraId="08D1DF85" w14:textId="77777777" w:rsidR="00D71039" w:rsidRPr="00C56CF1" w:rsidRDefault="00D71039" w:rsidP="00D71039">
      <w:pPr>
        <w:pStyle w:val="paragraph0"/>
        <w:spacing w:before="0" w:beforeAutospacing="0" w:after="0" w:afterAutospacing="0"/>
        <w:textAlignment w:val="baseline"/>
        <w:rPr>
          <w:rFonts w:ascii="Segoe UI" w:hAnsi="Segoe UI" w:cs="Segoe UI"/>
          <w:sz w:val="18"/>
          <w:szCs w:val="18"/>
        </w:rPr>
      </w:pPr>
      <w:r>
        <w:rPr>
          <w:rStyle w:val="eop"/>
          <w:rFonts w:cs="Arial"/>
        </w:rPr>
        <w:t> </w:t>
      </w:r>
    </w:p>
    <w:p w14:paraId="76789A86" w14:textId="77777777" w:rsidR="00D71039" w:rsidRPr="000576EB" w:rsidRDefault="00D71039" w:rsidP="00D71039">
      <w:pPr>
        <w:rPr>
          <w:b/>
          <w:lang w:val="en-AU" w:eastAsia="en-GB" w:bidi="ar-SA"/>
        </w:rPr>
      </w:pPr>
      <w:r w:rsidRPr="000576EB">
        <w:rPr>
          <w:b/>
          <w:lang w:val="en-AU" w:eastAsia="en-GB" w:bidi="ar-SA"/>
        </w:rPr>
        <w:t>1.</w:t>
      </w:r>
      <w:r w:rsidRPr="000576EB">
        <w:rPr>
          <w:b/>
          <w:lang w:val="en-AU" w:eastAsia="en-GB" w:bidi="ar-SA"/>
        </w:rPr>
        <w:tab/>
        <w:t>Authority</w:t>
      </w:r>
    </w:p>
    <w:p w14:paraId="0BCD0324" w14:textId="77777777" w:rsidR="00D71039" w:rsidRDefault="00D71039" w:rsidP="00D71039">
      <w:pPr>
        <w:rPr>
          <w:lang w:val="en-AU" w:eastAsia="en-GB" w:bidi="ar-SA"/>
        </w:rPr>
      </w:pPr>
    </w:p>
    <w:p w14:paraId="52FE2450" w14:textId="77777777" w:rsidR="00D71039" w:rsidRPr="00D13E34" w:rsidRDefault="00D71039" w:rsidP="00D71039">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7AC3FFA7" w14:textId="77777777" w:rsidR="00D71039" w:rsidRPr="00D13E34" w:rsidRDefault="00D71039" w:rsidP="00D71039">
      <w:pPr>
        <w:widowControl/>
        <w:autoSpaceDE w:val="0"/>
        <w:autoSpaceDN w:val="0"/>
        <w:adjustRightInd w:val="0"/>
        <w:rPr>
          <w:rFonts w:eastAsia="Calibri" w:cs="Arial"/>
          <w:bCs/>
          <w:szCs w:val="22"/>
          <w:lang w:val="en-AU" w:bidi="ar-SA"/>
        </w:rPr>
      </w:pPr>
    </w:p>
    <w:p w14:paraId="4C33ADC4" w14:textId="77777777" w:rsidR="00D71039" w:rsidRPr="00B9219F" w:rsidRDefault="00D71039" w:rsidP="00D71039">
      <w:pPr>
        <w:widowControl/>
        <w:autoSpaceDE w:val="0"/>
        <w:autoSpaceDN w:val="0"/>
        <w:adjustRightInd w:val="0"/>
        <w:rPr>
          <w:rFonts w:eastAsia="Calibri" w:cs="Arial"/>
          <w:bCs/>
          <w:szCs w:val="22"/>
          <w:lang w:val="en-AU" w:bidi="ar-SA"/>
        </w:rPr>
      </w:pPr>
      <w:r w:rsidRPr="00B9219F">
        <w:rPr>
          <w:rFonts w:eastAsia="Calibri" w:cs="Arial"/>
          <w:bCs/>
          <w:szCs w:val="22"/>
          <w:lang w:val="en-AU" w:bidi="ar-SA"/>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14:paraId="759E1B08" w14:textId="77777777" w:rsidR="00D71039" w:rsidRPr="00B9219F" w:rsidRDefault="00D71039" w:rsidP="00D71039">
      <w:pPr>
        <w:widowControl/>
        <w:autoSpaceDE w:val="0"/>
        <w:autoSpaceDN w:val="0"/>
        <w:adjustRightInd w:val="0"/>
        <w:rPr>
          <w:rFonts w:eastAsia="Calibri" w:cs="Arial"/>
          <w:bCs/>
          <w:szCs w:val="22"/>
          <w:lang w:val="en-AU" w:bidi="ar-SA"/>
        </w:rPr>
      </w:pPr>
    </w:p>
    <w:p w14:paraId="4D7FF226" w14:textId="77777777" w:rsidR="00D71039" w:rsidRDefault="00D71039" w:rsidP="00D71039">
      <w:pPr>
        <w:widowControl/>
        <w:autoSpaceDE w:val="0"/>
        <w:autoSpaceDN w:val="0"/>
        <w:adjustRightInd w:val="0"/>
        <w:rPr>
          <w:rFonts w:eastAsia="Calibri" w:cs="Arial"/>
          <w:bCs/>
          <w:szCs w:val="22"/>
          <w:lang w:val="en-AU" w:bidi="ar-SA"/>
        </w:rPr>
      </w:pPr>
      <w:r w:rsidRPr="00B9219F">
        <w:rPr>
          <w:rFonts w:eastAsia="Calibri" w:cs="Arial"/>
          <w:bCs/>
          <w:szCs w:val="22"/>
          <w:lang w:val="en-AU" w:bidi="ar-SA"/>
        </w:rPr>
        <w:t xml:space="preserve">The Authority </w:t>
      </w:r>
      <w:r w:rsidRPr="005A77F9">
        <w:rPr>
          <w:rFonts w:eastAsia="Calibri" w:cs="Arial"/>
          <w:bCs/>
          <w:szCs w:val="22"/>
          <w:lang w:val="en-AU" w:bidi="ar-SA"/>
        </w:rPr>
        <w:t xml:space="preserve">prepared Proposal P1061 to make relatively minor amendments to the Code. The Authority considered the Proposal in accordance with Division 2 of Part 3 and prepared a draft variation – the </w:t>
      </w:r>
      <w:r w:rsidRPr="005A77F9">
        <w:rPr>
          <w:rFonts w:eastAsia="Calibri" w:cs="Arial"/>
          <w:bCs/>
          <w:i/>
          <w:iCs/>
          <w:szCs w:val="22"/>
          <w:lang w:val="en-AU" w:bidi="ar-SA"/>
        </w:rPr>
        <w:t>Food Standards (Proposal P1061 – Code Revision (2023)) Variation</w:t>
      </w:r>
      <w:r w:rsidRPr="005A77F9">
        <w:rPr>
          <w:rFonts w:eastAsia="Calibri" w:cs="Arial"/>
          <w:bCs/>
          <w:szCs w:val="22"/>
          <w:lang w:val="en-AU" w:bidi="ar-SA"/>
        </w:rPr>
        <w:t>.</w:t>
      </w:r>
      <w:r>
        <w:rPr>
          <w:rFonts w:eastAsia="Calibri" w:cs="Arial"/>
          <w:bCs/>
          <w:szCs w:val="22"/>
          <w:lang w:val="en-AU" w:bidi="ar-SA"/>
        </w:rPr>
        <w:t xml:space="preserve"> The Authority has approved the </w:t>
      </w:r>
      <w:r w:rsidRPr="00B9219F">
        <w:rPr>
          <w:rFonts w:eastAsia="Calibri" w:cs="Arial"/>
          <w:bCs/>
          <w:szCs w:val="22"/>
          <w:lang w:val="en-AU" w:bidi="ar-SA"/>
        </w:rPr>
        <w:t xml:space="preserve">draft </w:t>
      </w:r>
      <w:r>
        <w:rPr>
          <w:rFonts w:eastAsia="Calibri" w:cs="Arial"/>
          <w:bCs/>
          <w:szCs w:val="22"/>
          <w:lang w:val="en-AU" w:bidi="ar-SA"/>
        </w:rPr>
        <w:t>v</w:t>
      </w:r>
      <w:r w:rsidRPr="00B9219F">
        <w:rPr>
          <w:rFonts w:eastAsia="Calibri" w:cs="Arial"/>
          <w:bCs/>
          <w:szCs w:val="22"/>
          <w:lang w:val="en-AU" w:bidi="ar-SA"/>
        </w:rPr>
        <w:t>ariation</w:t>
      </w:r>
      <w:r>
        <w:rPr>
          <w:rFonts w:eastAsia="Calibri" w:cs="Arial"/>
          <w:bCs/>
          <w:szCs w:val="22"/>
          <w:lang w:val="en-AU" w:bidi="ar-SA"/>
        </w:rPr>
        <w:t xml:space="preserve">. </w:t>
      </w:r>
    </w:p>
    <w:p w14:paraId="4079798A" w14:textId="77777777" w:rsidR="00D71039" w:rsidRPr="00D13E34" w:rsidRDefault="00D71039" w:rsidP="00D71039">
      <w:pPr>
        <w:widowControl/>
        <w:autoSpaceDE w:val="0"/>
        <w:autoSpaceDN w:val="0"/>
        <w:adjustRightInd w:val="0"/>
        <w:rPr>
          <w:rFonts w:eastAsia="Calibri" w:cs="Arial"/>
          <w:bCs/>
          <w:szCs w:val="22"/>
          <w:lang w:val="en-AU" w:bidi="ar-SA"/>
        </w:rPr>
      </w:pPr>
    </w:p>
    <w:p w14:paraId="0F3885E4" w14:textId="77777777" w:rsidR="00D71039" w:rsidRPr="00D13E34" w:rsidRDefault="00D71039" w:rsidP="00D71039">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Food Ministers’ Meeting (FMM)</w:t>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14:paraId="06753EBE" w14:textId="77777777" w:rsidR="00D71039" w:rsidRPr="00D13E34" w:rsidRDefault="00D71039" w:rsidP="00D71039">
      <w:pPr>
        <w:widowControl/>
        <w:autoSpaceDE w:val="0"/>
        <w:autoSpaceDN w:val="0"/>
        <w:adjustRightInd w:val="0"/>
        <w:rPr>
          <w:rFonts w:eastAsia="Calibri" w:cs="Arial"/>
          <w:bCs/>
          <w:szCs w:val="22"/>
          <w:lang w:val="en-AU" w:bidi="ar-SA"/>
        </w:rPr>
      </w:pPr>
    </w:p>
    <w:p w14:paraId="5AF4BA5E" w14:textId="77777777" w:rsidR="00D71039" w:rsidRDefault="00D71039" w:rsidP="00D71039">
      <w:pPr>
        <w:rPr>
          <w:b/>
          <w:lang w:val="en-AU" w:eastAsia="en-GB" w:bidi="ar-SA"/>
        </w:rPr>
      </w:pPr>
      <w:r>
        <w:rPr>
          <w:b/>
          <w:lang w:val="en-AU" w:eastAsia="en-GB" w:bidi="ar-SA"/>
        </w:rPr>
        <w:t>2.</w:t>
      </w:r>
      <w:r>
        <w:rPr>
          <w:b/>
          <w:lang w:val="en-AU" w:eastAsia="en-GB" w:bidi="ar-SA"/>
        </w:rPr>
        <w:tab/>
        <w:t>Variation is a legislative instrument</w:t>
      </w:r>
    </w:p>
    <w:p w14:paraId="799E7C97" w14:textId="77777777" w:rsidR="00D71039" w:rsidRDefault="00D71039" w:rsidP="00D71039">
      <w:pPr>
        <w:rPr>
          <w:b/>
          <w:lang w:val="en-AU" w:eastAsia="en-GB" w:bidi="ar-SA"/>
        </w:rPr>
      </w:pPr>
    </w:p>
    <w:p w14:paraId="501EA1E5" w14:textId="77777777" w:rsidR="00D71039" w:rsidRPr="00D00473" w:rsidRDefault="00D71039" w:rsidP="00D71039">
      <w:pPr>
        <w:rPr>
          <w:rFonts w:cs="Arial"/>
          <w:szCs w:val="22"/>
          <w:lang w:bidi="ar-SA"/>
        </w:rPr>
      </w:pPr>
      <w:r w:rsidRPr="00D00473">
        <w:rPr>
          <w:rFonts w:cs="Arial"/>
        </w:rPr>
        <w:t xml:space="preserve">The approved draft variation is a legislative instrument for the purposes of the </w:t>
      </w:r>
      <w:r w:rsidRPr="00D00473">
        <w:rPr>
          <w:rFonts w:cs="Arial"/>
          <w:i/>
          <w:iCs/>
        </w:rPr>
        <w:t>Legislation Act 2003</w:t>
      </w:r>
      <w:r w:rsidRPr="00D00473">
        <w:rPr>
          <w:rFonts w:cs="Arial"/>
        </w:rPr>
        <w:t xml:space="preserve"> (see section 94 of the FSANZ Act) and is publicly available on the Federal Register of Legislation (</w:t>
      </w:r>
      <w:hyperlink r:id="rId8" w:history="1">
        <w:r w:rsidRPr="00D00473">
          <w:rPr>
            <w:rFonts w:cs="Arial"/>
            <w:color w:val="3333FF"/>
            <w:u w:val="single"/>
          </w:rPr>
          <w:t>www.legislation.gov.au</w:t>
        </w:r>
      </w:hyperlink>
      <w:r w:rsidRPr="00D00473">
        <w:rPr>
          <w:rFonts w:cs="Arial"/>
        </w:rPr>
        <w:t>).</w:t>
      </w:r>
    </w:p>
    <w:p w14:paraId="42359D8A" w14:textId="77777777" w:rsidR="00D71039" w:rsidRPr="00D00473" w:rsidRDefault="00D71039" w:rsidP="00D71039">
      <w:pPr>
        <w:rPr>
          <w:rFonts w:cs="Arial"/>
        </w:rPr>
      </w:pPr>
    </w:p>
    <w:p w14:paraId="1DE99EB0" w14:textId="77777777" w:rsidR="00D71039" w:rsidRPr="00FB45C7" w:rsidRDefault="00D71039" w:rsidP="00D71039">
      <w:pPr>
        <w:rPr>
          <w:rFonts w:cs="Arial"/>
        </w:rPr>
      </w:pPr>
      <w:r w:rsidRPr="00D00473">
        <w:rPr>
          <w:rFonts w:cs="Arial"/>
        </w:rPr>
        <w:t xml:space="preserve">This instrument is not subject to the disallowance or sunsetting provisions of the </w:t>
      </w:r>
      <w:r w:rsidRPr="00D00473">
        <w:rPr>
          <w:rFonts w:cs="Arial"/>
          <w:i/>
          <w:iCs/>
        </w:rPr>
        <w:t xml:space="preserve">Legislation Act 2003. </w:t>
      </w:r>
      <w:r w:rsidRPr="00D00473">
        <w:rPr>
          <w:rFonts w:cs="Arial"/>
        </w:rPr>
        <w:t>Subsections</w:t>
      </w:r>
      <w:r w:rsidRPr="00FB45C7">
        <w:rPr>
          <w:rFonts w:cs="Arial"/>
          <w:i/>
          <w:iCs/>
        </w:rPr>
        <w:t xml:space="preserve"> </w:t>
      </w:r>
      <w:r w:rsidRPr="00FB45C7">
        <w:rPr>
          <w:rFonts w:cs="Arial"/>
        </w:rPr>
        <w:t>44(1) and 54(1) of that Act</w:t>
      </w:r>
      <w:r w:rsidRPr="00FB45C7">
        <w:rPr>
          <w:rFonts w:cs="Arial"/>
          <w:i/>
          <w:iCs/>
        </w:rPr>
        <w:t xml:space="preserve"> </w:t>
      </w:r>
      <w:r w:rsidRPr="00FB45C7">
        <w:rPr>
          <w:rFonts w:cs="Arial"/>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FB45C7">
        <w:rPr>
          <w:rFonts w:cs="Arial"/>
          <w:i/>
          <w:iCs/>
        </w:rPr>
        <w:t>Legislation (Exemptions and other Matters) Regulation 2015</w:t>
      </w:r>
      <w:r w:rsidRPr="00FB45C7">
        <w:rPr>
          <w:rFonts w:cs="Arial"/>
        </w:rPr>
        <w:t xml:space="preserve"> </w:t>
      </w:r>
      <w:r w:rsidRPr="00FB45C7">
        <w:rPr>
          <w:rFonts w:cs="Arial"/>
          <w:lang w:val="en"/>
        </w:rPr>
        <w:t xml:space="preserve">also exempts from sunsetting legislative instruments </w:t>
      </w:r>
      <w:r w:rsidRPr="00FB45C7">
        <w:rPr>
          <w:rFonts w:cs="Arial"/>
          <w:shd w:val="clear" w:color="auto" w:fill="FFFFFF"/>
        </w:rPr>
        <w:t xml:space="preserve">a primary purpose of which is to </w:t>
      </w:r>
      <w:r w:rsidRPr="00FB45C7">
        <w:rPr>
          <w:rFonts w:cs="Arial"/>
        </w:rPr>
        <w:t>give effect to an international obligation of Australia.</w:t>
      </w:r>
    </w:p>
    <w:p w14:paraId="26797A77" w14:textId="77777777" w:rsidR="00D71039" w:rsidRPr="00FB45C7" w:rsidRDefault="00D71039" w:rsidP="00D71039">
      <w:pPr>
        <w:rPr>
          <w:rFonts w:cs="Arial"/>
          <w:color w:val="0000CC"/>
        </w:rPr>
      </w:pPr>
    </w:p>
    <w:p w14:paraId="1D5BE75F" w14:textId="77777777" w:rsidR="00D71039" w:rsidRDefault="00D71039" w:rsidP="00D71039">
      <w:pPr>
        <w:rPr>
          <w:b/>
          <w:lang w:val="en-AU" w:eastAsia="en-GB" w:bidi="ar-SA"/>
        </w:rPr>
      </w:pPr>
      <w:r w:rsidRPr="00FB45C7">
        <w:rPr>
          <w:rFonts w:cs="Arial"/>
        </w:rPr>
        <w:t xml:space="preserve">The </w:t>
      </w:r>
      <w:r w:rsidRPr="00FB45C7">
        <w:rPr>
          <w:rFonts w:cs="Arial"/>
          <w:lang w:val="en-AU"/>
        </w:rPr>
        <w:t>FSANZ Act</w:t>
      </w:r>
      <w:r w:rsidRPr="00FB45C7">
        <w:rPr>
          <w:rFonts w:cs="Arial"/>
          <w:i/>
          <w:iCs/>
          <w:lang w:val="en-AU"/>
        </w:rPr>
        <w:t xml:space="preserve"> </w:t>
      </w:r>
      <w:r w:rsidRPr="00FB45C7">
        <w:rPr>
          <w:rFonts w:cs="Arial"/>
          <w:lang w:val="en-AU"/>
        </w:rPr>
        <w:t xml:space="preserve">gives effect to </w:t>
      </w:r>
      <w:r w:rsidRPr="00FB45C7">
        <w:rPr>
          <w:rFonts w:cs="Arial"/>
        </w:rPr>
        <w:t xml:space="preserve">an intergovernmental agreement (the Food Regulation Agreement) and facilitates the establishment or operation of an intergovernmental scheme (national uniform food regulation). </w:t>
      </w:r>
      <w:r w:rsidRPr="00FB45C7">
        <w:rPr>
          <w:rFonts w:cs="Arial"/>
          <w:lang w:val="en-AU"/>
        </w:rPr>
        <w:t>That Act also</w:t>
      </w:r>
      <w:r w:rsidRPr="00FB45C7">
        <w:rPr>
          <w:rFonts w:cs="Arial"/>
          <w:i/>
          <w:iCs/>
          <w:lang w:val="en-AU"/>
        </w:rPr>
        <w:t xml:space="preserve"> </w:t>
      </w:r>
      <w:r w:rsidRPr="00FB45C7">
        <w:rPr>
          <w:rFonts w:cs="Arial"/>
          <w:lang w:val="en-AU"/>
        </w:rPr>
        <w:t xml:space="preserve">gives effect to Australia’s obligations under an international agreement between Australia and New Zealand. For these purposes, the Act </w:t>
      </w:r>
      <w:r w:rsidRPr="00FB45C7">
        <w:rPr>
          <w:rFonts w:cs="Arial"/>
        </w:rPr>
        <w:t xml:space="preserve">establishes the Authority to </w:t>
      </w:r>
      <w:r w:rsidRPr="00FB45C7">
        <w:rPr>
          <w:rFonts w:cs="Arial"/>
          <w:lang w:val="en-AU"/>
        </w:rPr>
        <w:t xml:space="preserve">develop food standards </w:t>
      </w:r>
      <w:r w:rsidRPr="00FB45C7">
        <w:rPr>
          <w:rFonts w:cs="Arial"/>
        </w:rPr>
        <w:t xml:space="preserve">for consideration and endorsement by the FMM. The FMM is established under the Food Regulation Agreement and the </w:t>
      </w:r>
      <w:r w:rsidRPr="00FB45C7">
        <w:rPr>
          <w:rFonts w:cs="Arial"/>
          <w:lang w:val="en-AU"/>
        </w:rPr>
        <w:t>international agreement between Australia and New Zealand</w:t>
      </w:r>
      <w:r w:rsidRPr="00FB45C7">
        <w:rPr>
          <w:rFonts w:cs="Arial"/>
        </w:rPr>
        <w:t xml:space="preserve">, and consists of New Zealand, Commonwealth and State/Territory members. If endorsed by the FMM, </w:t>
      </w:r>
      <w:r w:rsidRPr="00FB45C7">
        <w:rPr>
          <w:rFonts w:cs="Arial"/>
          <w:lang w:val="en-AU"/>
        </w:rPr>
        <w:t xml:space="preserve">the food standards on gazettal and registration are incorporated into and become part of Commonwealth, State and Territory and New Zealand food laws. These standards or instruments are then administered, applied and enforced by these jurisdictions’ regulators as part of those food </w:t>
      </w:r>
      <w:r w:rsidRPr="00FB45C7">
        <w:rPr>
          <w:rFonts w:cs="Arial"/>
          <w:lang w:val="en-AU"/>
        </w:rPr>
        <w:lastRenderedPageBreak/>
        <w:t>laws.</w:t>
      </w:r>
    </w:p>
    <w:p w14:paraId="69C7ED91" w14:textId="77777777" w:rsidR="00D71039" w:rsidRDefault="00D71039" w:rsidP="00D71039">
      <w:pPr>
        <w:rPr>
          <w:b/>
          <w:lang w:val="en-AU" w:eastAsia="en-GB" w:bidi="ar-SA"/>
        </w:rPr>
      </w:pPr>
    </w:p>
    <w:p w14:paraId="35F1CD83" w14:textId="77777777" w:rsidR="00D71039" w:rsidRDefault="00D71039" w:rsidP="00D71039">
      <w:pPr>
        <w:rPr>
          <w:b/>
          <w:lang w:val="en-AU" w:eastAsia="en-GB" w:bidi="ar-SA"/>
        </w:rPr>
      </w:pPr>
      <w:r>
        <w:rPr>
          <w:b/>
          <w:lang w:val="en-AU" w:eastAsia="en-GB" w:bidi="ar-SA"/>
        </w:rPr>
        <w:t>3.</w:t>
      </w:r>
      <w:r>
        <w:rPr>
          <w:b/>
          <w:lang w:val="en-AU" w:eastAsia="en-GB" w:bidi="ar-SA"/>
        </w:rPr>
        <w:tab/>
        <w:t xml:space="preserve">Purpose </w:t>
      </w:r>
    </w:p>
    <w:p w14:paraId="1865DB68" w14:textId="77777777" w:rsidR="00D71039" w:rsidRDefault="00D71039" w:rsidP="00D71039">
      <w:pPr>
        <w:rPr>
          <w:lang w:val="en-AU" w:eastAsia="en-GB" w:bidi="ar-SA"/>
        </w:rPr>
      </w:pPr>
    </w:p>
    <w:p w14:paraId="169EDCD5" w14:textId="77777777" w:rsidR="00D71039" w:rsidRDefault="00D71039" w:rsidP="00D71039">
      <w:pPr>
        <w:rPr>
          <w:lang w:val="en-AU" w:eastAsia="en-GB" w:bidi="ar-SA"/>
        </w:rPr>
      </w:pPr>
      <w:r w:rsidRPr="0035665F">
        <w:rPr>
          <w:lang w:val="en-AU" w:eastAsia="en-GB" w:bidi="ar-SA"/>
        </w:rPr>
        <w:t xml:space="preserve">The Authority has </w:t>
      </w:r>
      <w:r>
        <w:rPr>
          <w:lang w:val="en-AU" w:eastAsia="en-GB" w:bidi="ar-SA"/>
        </w:rPr>
        <w:t>approved</w:t>
      </w:r>
      <w:r w:rsidRPr="0035665F">
        <w:rPr>
          <w:lang w:val="en-AU" w:eastAsia="en-GB" w:bidi="ar-SA"/>
        </w:rPr>
        <w:t xml:space="preserve"> a draft variation amending various provisions in the Code to correct typographical errors, omissions, inconsistencies and formatting issues; update references; and to change editorial Notes </w:t>
      </w:r>
      <w:r w:rsidRPr="002169FF">
        <w:rPr>
          <w:rFonts w:cs="Arial"/>
          <w:szCs w:val="22"/>
        </w:rPr>
        <w:t>to reflect the New Zealand Government’s decision to adopt in New Zealand the Code's provisions relating to folic acid fortification. These require the addition of folic acid to wheat flour sold as suitable for making bread to which section 2.1.1—5</w:t>
      </w:r>
      <w:r w:rsidRPr="002169FF">
        <w:rPr>
          <w:rFonts w:cs="Arial"/>
          <w:color w:val="0D4A88"/>
          <w:szCs w:val="22"/>
        </w:rPr>
        <w:t> </w:t>
      </w:r>
      <w:r w:rsidRPr="002169FF">
        <w:rPr>
          <w:rFonts w:cs="Arial"/>
          <w:szCs w:val="22"/>
        </w:rPr>
        <w:t>of the Code applies</w:t>
      </w:r>
      <w:r w:rsidRPr="00014F43">
        <w:rPr>
          <w:lang w:val="en-AU" w:eastAsia="en-GB" w:bidi="ar-SA"/>
        </w:rPr>
        <w:t>.</w:t>
      </w:r>
      <w:r w:rsidRPr="00DE35DC">
        <w:rPr>
          <w:lang w:val="en-AU" w:eastAsia="en-GB" w:bidi="ar-SA"/>
        </w:rPr>
        <w:t xml:space="preserve"> </w:t>
      </w:r>
      <w:r w:rsidRPr="007D1F46">
        <w:rPr>
          <w:rFonts w:cs="Arial"/>
          <w:szCs w:val="22"/>
        </w:rPr>
        <w:t>Section 2.1.1—4 of the Code provides that section 2.1.1—5 does not apply to certain foods, including bread that is represented as organic.</w:t>
      </w:r>
    </w:p>
    <w:p w14:paraId="678A85C2" w14:textId="77777777" w:rsidR="00D71039" w:rsidRDefault="00D71039" w:rsidP="00D71039">
      <w:pPr>
        <w:rPr>
          <w:lang w:val="en-AU" w:eastAsia="en-GB" w:bidi="ar-SA"/>
        </w:rPr>
      </w:pPr>
    </w:p>
    <w:p w14:paraId="483A4E06" w14:textId="77777777" w:rsidR="00D71039" w:rsidRDefault="00D71039" w:rsidP="00D71039">
      <w:pPr>
        <w:rPr>
          <w:lang w:val="en-AU" w:eastAsia="en-GB" w:bidi="ar-SA"/>
        </w:rPr>
      </w:pPr>
      <w:r w:rsidRPr="00DE35DC">
        <w:rPr>
          <w:lang w:val="en-AU" w:eastAsia="en-GB" w:bidi="ar-SA"/>
        </w:rPr>
        <w:t>The</w:t>
      </w:r>
      <w:r w:rsidRPr="0035665F">
        <w:rPr>
          <w:lang w:val="en-AU" w:eastAsia="en-GB" w:bidi="ar-SA"/>
        </w:rPr>
        <w:t xml:space="preserve"> </w:t>
      </w:r>
      <w:r>
        <w:rPr>
          <w:lang w:val="en-AU" w:eastAsia="en-GB" w:bidi="ar-SA"/>
        </w:rPr>
        <w:t>approved</w:t>
      </w:r>
      <w:r w:rsidRPr="0035665F">
        <w:rPr>
          <w:lang w:val="en-AU" w:eastAsia="en-GB" w:bidi="ar-SA"/>
        </w:rPr>
        <w:t xml:space="preserve"> amendments are relatively minor in nature.</w:t>
      </w:r>
    </w:p>
    <w:p w14:paraId="7FD02141" w14:textId="77777777" w:rsidR="00D71039" w:rsidRDefault="00D71039" w:rsidP="00D71039">
      <w:pPr>
        <w:rPr>
          <w:lang w:val="en-AU" w:eastAsia="en-GB" w:bidi="ar-SA"/>
        </w:rPr>
      </w:pPr>
    </w:p>
    <w:p w14:paraId="6E98BC16" w14:textId="77777777" w:rsidR="00D71039" w:rsidRPr="000576EB" w:rsidRDefault="00D71039" w:rsidP="00D71039">
      <w:pPr>
        <w:rPr>
          <w:b/>
          <w:lang w:val="en-AU" w:eastAsia="en-GB" w:bidi="ar-SA"/>
        </w:rPr>
      </w:pPr>
      <w:r>
        <w:rPr>
          <w:b/>
          <w:lang w:val="en-AU" w:eastAsia="en-GB" w:bidi="ar-SA"/>
        </w:rPr>
        <w:t>4</w:t>
      </w:r>
      <w:r w:rsidRPr="000576EB">
        <w:rPr>
          <w:b/>
          <w:lang w:val="en-AU" w:eastAsia="en-GB" w:bidi="ar-SA"/>
        </w:rPr>
        <w:t>.</w:t>
      </w:r>
      <w:r w:rsidRPr="000576EB">
        <w:rPr>
          <w:b/>
          <w:lang w:val="en-AU" w:eastAsia="en-GB" w:bidi="ar-SA"/>
        </w:rPr>
        <w:tab/>
        <w:t>Documents incorporated by reference</w:t>
      </w:r>
    </w:p>
    <w:p w14:paraId="74749365" w14:textId="77777777" w:rsidR="00D71039" w:rsidRDefault="00D71039" w:rsidP="00D71039">
      <w:pPr>
        <w:rPr>
          <w:lang w:val="en-AU" w:eastAsia="en-GB" w:bidi="ar-SA"/>
        </w:rPr>
      </w:pPr>
    </w:p>
    <w:p w14:paraId="37479030" w14:textId="77777777" w:rsidR="00D71039" w:rsidRPr="00134395" w:rsidRDefault="00D71039" w:rsidP="00D71039">
      <w:pPr>
        <w:widowControl/>
        <w:autoSpaceDE w:val="0"/>
        <w:autoSpaceDN w:val="0"/>
        <w:adjustRightInd w:val="0"/>
        <w:rPr>
          <w:rFonts w:cs="Arial"/>
        </w:rPr>
      </w:pPr>
      <w:r w:rsidRPr="00134395">
        <w:rPr>
          <w:rFonts w:eastAsia="Calibri" w:cs="Arial"/>
          <w:bCs/>
          <w:szCs w:val="22"/>
          <w:lang w:val="en-AU" w:bidi="ar-SA"/>
        </w:rPr>
        <w:t xml:space="preserve">Section 14 of the </w:t>
      </w:r>
      <w:r w:rsidRPr="00134395">
        <w:rPr>
          <w:rFonts w:cs="Arial"/>
          <w:i/>
          <w:iCs/>
        </w:rPr>
        <w:t xml:space="preserve">Legislation Act 2003 </w:t>
      </w:r>
      <w:r w:rsidRPr="00134395">
        <w:rPr>
          <w:rFonts w:cs="Arial"/>
        </w:rPr>
        <w:t>provides that a legislative instrument may:</w:t>
      </w:r>
    </w:p>
    <w:p w14:paraId="4F735D13" w14:textId="77777777" w:rsidR="00D71039" w:rsidRPr="00134395" w:rsidRDefault="00D71039" w:rsidP="00D71039">
      <w:pPr>
        <w:widowControl/>
        <w:autoSpaceDE w:val="0"/>
        <w:autoSpaceDN w:val="0"/>
        <w:adjustRightInd w:val="0"/>
        <w:rPr>
          <w:rFonts w:cs="Arial"/>
        </w:rPr>
      </w:pPr>
    </w:p>
    <w:p w14:paraId="17C6815D" w14:textId="77777777" w:rsidR="00D71039" w:rsidRPr="00134395" w:rsidRDefault="00D71039" w:rsidP="00D71039">
      <w:pPr>
        <w:widowControl/>
        <w:numPr>
          <w:ilvl w:val="0"/>
          <w:numId w:val="14"/>
        </w:numPr>
        <w:autoSpaceDE w:val="0"/>
        <w:autoSpaceDN w:val="0"/>
        <w:adjustRightInd w:val="0"/>
        <w:contextualSpacing/>
        <w:rPr>
          <w:rFonts w:cs="Arial"/>
          <w:color w:val="222222"/>
          <w:szCs w:val="22"/>
        </w:rPr>
      </w:pPr>
      <w:r w:rsidRPr="00134395">
        <w:rPr>
          <w:rFonts w:cs="Arial"/>
          <w:color w:val="222222"/>
          <w:szCs w:val="22"/>
        </w:rPr>
        <w:t>apply, adopt or incorporate provisions of a Commonwealth disallowable legislative instrument, with or without modification, as in force at a particular time or as in force from time to time; and</w:t>
      </w:r>
    </w:p>
    <w:p w14:paraId="355D8FFF" w14:textId="77777777" w:rsidR="00D71039" w:rsidRPr="00134395" w:rsidRDefault="00D71039" w:rsidP="00D71039">
      <w:pPr>
        <w:widowControl/>
        <w:numPr>
          <w:ilvl w:val="0"/>
          <w:numId w:val="14"/>
        </w:numPr>
        <w:autoSpaceDE w:val="0"/>
        <w:autoSpaceDN w:val="0"/>
        <w:adjustRightInd w:val="0"/>
        <w:contextualSpacing/>
        <w:rPr>
          <w:rFonts w:eastAsia="Calibri" w:cs="Arial"/>
          <w:bCs/>
          <w:szCs w:val="22"/>
          <w:lang w:val="en-AU" w:bidi="ar-SA"/>
        </w:rPr>
      </w:pPr>
      <w:r w:rsidRPr="00134395">
        <w:rPr>
          <w:rFonts w:cs="Arial"/>
        </w:rPr>
        <w:t>incorporate any other document in writing which exists at the time the legislative instrument commences or a time before its commencement</w:t>
      </w:r>
      <w:r w:rsidRPr="00134395">
        <w:rPr>
          <w:rFonts w:cs="Arial"/>
          <w:i/>
          <w:iCs/>
        </w:rPr>
        <w:t xml:space="preserve">.  </w:t>
      </w:r>
    </w:p>
    <w:p w14:paraId="616A00DA" w14:textId="77777777" w:rsidR="00D71039" w:rsidRPr="00134395" w:rsidRDefault="00D71039" w:rsidP="00D71039">
      <w:pPr>
        <w:widowControl/>
        <w:autoSpaceDE w:val="0"/>
        <w:autoSpaceDN w:val="0"/>
        <w:adjustRightInd w:val="0"/>
        <w:rPr>
          <w:rFonts w:eastAsia="Calibri" w:cs="Arial"/>
          <w:bCs/>
          <w:szCs w:val="22"/>
          <w:lang w:val="en-AU" w:bidi="ar-SA"/>
        </w:rPr>
      </w:pPr>
    </w:p>
    <w:p w14:paraId="3AAF9585" w14:textId="77777777" w:rsidR="00D71039" w:rsidRPr="00134395" w:rsidRDefault="00D71039" w:rsidP="00D71039">
      <w:pPr>
        <w:widowControl/>
        <w:autoSpaceDE w:val="0"/>
        <w:autoSpaceDN w:val="0"/>
        <w:adjustRightInd w:val="0"/>
        <w:rPr>
          <w:rFonts w:eastAsia="Calibri" w:cs="Arial"/>
          <w:bCs/>
          <w:szCs w:val="22"/>
          <w:lang w:val="en-AU" w:bidi="ar-SA"/>
        </w:rPr>
      </w:pPr>
      <w:r w:rsidRPr="00134395">
        <w:rPr>
          <w:rFonts w:eastAsia="Calibri" w:cs="Arial"/>
          <w:bCs/>
          <w:szCs w:val="22"/>
          <w:lang w:val="en-AU" w:bidi="ar-SA"/>
        </w:rPr>
        <w:t>The Code currently contains provisions that incorporate other legislative instruments and other written documents by reference in accordance with the above section.</w:t>
      </w:r>
      <w:r w:rsidRPr="00134395">
        <w:rPr>
          <w:rFonts w:cs="Arial"/>
          <w:i/>
          <w:iCs/>
        </w:rPr>
        <w:t xml:space="preserve"> </w:t>
      </w:r>
      <w:r w:rsidRPr="00134395">
        <w:rPr>
          <w:rFonts w:eastAsia="Calibri" w:cs="Arial"/>
          <w:bCs/>
          <w:szCs w:val="22"/>
          <w:lang w:val="en-AU" w:bidi="ar-SA"/>
        </w:rPr>
        <w:t xml:space="preserve">The </w:t>
      </w:r>
      <w:r>
        <w:rPr>
          <w:rFonts w:eastAsia="Calibri" w:cs="Arial"/>
          <w:bCs/>
          <w:szCs w:val="22"/>
          <w:lang w:val="en-AU" w:bidi="ar-SA"/>
        </w:rPr>
        <w:t xml:space="preserve">approved </w:t>
      </w:r>
      <w:r w:rsidRPr="00134395">
        <w:rPr>
          <w:rFonts w:eastAsia="Calibri" w:cs="Arial"/>
          <w:bCs/>
          <w:szCs w:val="22"/>
          <w:lang w:val="en-AU" w:bidi="ar-SA"/>
        </w:rPr>
        <w:t>draft variation amend</w:t>
      </w:r>
      <w:r>
        <w:rPr>
          <w:rFonts w:eastAsia="Calibri" w:cs="Arial"/>
          <w:bCs/>
          <w:szCs w:val="22"/>
          <w:lang w:val="en-AU" w:bidi="ar-SA"/>
        </w:rPr>
        <w:t>s</w:t>
      </w:r>
      <w:r w:rsidRPr="00134395">
        <w:rPr>
          <w:rFonts w:eastAsia="Calibri" w:cs="Arial"/>
          <w:bCs/>
          <w:szCs w:val="22"/>
          <w:lang w:val="en-AU" w:bidi="ar-SA"/>
        </w:rPr>
        <w:t xml:space="preserve"> those provisions in the following standards of the Code to update certain references to an incorporated instrument or document. </w:t>
      </w:r>
      <w:r w:rsidRPr="00134395">
        <w:rPr>
          <w:rFonts w:eastAsia="Calibri" w:cs="Arial"/>
          <w:color w:val="000000"/>
          <w:szCs w:val="22"/>
          <w:lang w:bidi="ar-SA"/>
        </w:rPr>
        <w:t>This reference by incorporation is consistent with the current</w:t>
      </w:r>
      <w:r w:rsidRPr="00134395">
        <w:rPr>
          <w:rFonts w:eastAsia="Calibri" w:cs="Arial"/>
          <w:bCs/>
          <w:color w:val="000000"/>
          <w:szCs w:val="22"/>
          <w:lang w:bidi="ar-SA"/>
        </w:rPr>
        <w:t xml:space="preserve"> </w:t>
      </w:r>
      <w:r w:rsidRPr="00134395">
        <w:rPr>
          <w:rFonts w:eastAsia="Calibri" w:cs="Arial"/>
          <w:color w:val="000000"/>
          <w:szCs w:val="22"/>
          <w:lang w:bidi="ar-SA"/>
        </w:rPr>
        <w:t>practice in the Code</w:t>
      </w:r>
      <w:r w:rsidRPr="00134395">
        <w:rPr>
          <w:rFonts w:eastAsia="Calibri" w:cs="Arial"/>
          <w:bCs/>
          <w:color w:val="000000"/>
          <w:szCs w:val="22"/>
          <w:lang w:bidi="ar-SA"/>
        </w:rPr>
        <w:t>.</w:t>
      </w:r>
    </w:p>
    <w:p w14:paraId="7D07DF7C" w14:textId="77777777" w:rsidR="00D71039" w:rsidRDefault="00D71039" w:rsidP="00D71039">
      <w:pPr>
        <w:widowControl/>
        <w:autoSpaceDE w:val="0"/>
        <w:autoSpaceDN w:val="0"/>
        <w:adjustRightInd w:val="0"/>
        <w:rPr>
          <w:rFonts w:eastAsia="Calibri" w:cs="Arial"/>
          <w:bCs/>
          <w:i/>
          <w:iCs/>
          <w:szCs w:val="22"/>
          <w:lang w:val="en-AU" w:bidi="ar-SA"/>
        </w:rPr>
      </w:pPr>
    </w:p>
    <w:p w14:paraId="3215A5E3" w14:textId="77777777" w:rsidR="00D71039" w:rsidRPr="00934A9A" w:rsidRDefault="00D71039" w:rsidP="00D71039">
      <w:pPr>
        <w:widowControl/>
        <w:autoSpaceDE w:val="0"/>
        <w:autoSpaceDN w:val="0"/>
        <w:adjustRightInd w:val="0"/>
        <w:rPr>
          <w:rFonts w:eastAsia="Calibri" w:cs="Arial"/>
          <w:bCs/>
          <w:szCs w:val="22"/>
          <w:lang w:val="en-AU" w:bidi="ar-SA"/>
        </w:rPr>
      </w:pPr>
      <w:r w:rsidRPr="00934A9A">
        <w:rPr>
          <w:rFonts w:eastAsia="Calibri" w:cs="Arial"/>
          <w:bCs/>
          <w:i/>
          <w:iCs/>
          <w:szCs w:val="22"/>
          <w:lang w:val="en-AU" w:bidi="ar-SA"/>
        </w:rPr>
        <w:t>Standard 1.1.1</w:t>
      </w:r>
    </w:p>
    <w:p w14:paraId="0389C977" w14:textId="77777777" w:rsidR="00D71039" w:rsidRPr="00934A9A" w:rsidRDefault="00D71039" w:rsidP="00D71039">
      <w:pPr>
        <w:widowControl/>
        <w:autoSpaceDE w:val="0"/>
        <w:autoSpaceDN w:val="0"/>
        <w:adjustRightInd w:val="0"/>
        <w:rPr>
          <w:rFonts w:eastAsia="Calibri" w:cs="Arial"/>
          <w:bCs/>
          <w:szCs w:val="22"/>
          <w:lang w:val="en-AU" w:bidi="ar-SA"/>
        </w:rPr>
      </w:pPr>
    </w:p>
    <w:p w14:paraId="58027F18" w14:textId="77777777" w:rsidR="00D71039" w:rsidRPr="00934A9A" w:rsidRDefault="00D71039" w:rsidP="00D71039">
      <w:pPr>
        <w:widowControl/>
        <w:autoSpaceDE w:val="0"/>
        <w:autoSpaceDN w:val="0"/>
        <w:adjustRightInd w:val="0"/>
        <w:rPr>
          <w:rFonts w:cs="Arial"/>
          <w:color w:val="000000"/>
          <w:szCs w:val="22"/>
          <w:shd w:val="clear" w:color="auto" w:fill="FFFFFF"/>
        </w:rPr>
      </w:pPr>
      <w:r w:rsidRPr="00934A9A">
        <w:rPr>
          <w:rFonts w:eastAsia="Calibri" w:cs="Arial"/>
          <w:bCs/>
          <w:szCs w:val="22"/>
          <w:lang w:val="en-AU" w:bidi="ar-SA"/>
        </w:rPr>
        <w:t xml:space="preserve">A number of Code provisions currently refer to and incorporate by reference the United States Code of Federal Regulation (CFR). For this purpose, paragraph 1.1.1—5(1)(b) of the Code states that a </w:t>
      </w:r>
      <w:r w:rsidRPr="00934A9A">
        <w:rPr>
          <w:rFonts w:cs="Arial"/>
          <w:color w:val="000000"/>
          <w:szCs w:val="22"/>
          <w:shd w:val="clear" w:color="auto" w:fill="FFFFFF"/>
        </w:rPr>
        <w:t>reference in the Code to the Code of Federal Regulations, or CFR, is a reference to the 2019 compilation of the United States Code of Federal Regulations</w:t>
      </w:r>
      <w:r w:rsidRPr="00934A9A">
        <w:rPr>
          <w:rFonts w:eastAsia="Calibri" w:cs="Arial"/>
          <w:bCs/>
          <w:szCs w:val="22"/>
          <w:lang w:val="en-AU" w:bidi="ar-SA"/>
        </w:rPr>
        <w:t xml:space="preserve">. This provision is outdated. </w:t>
      </w:r>
      <w:r w:rsidRPr="00934A9A">
        <w:t>The latest compilation</w:t>
      </w:r>
      <w:r w:rsidRPr="00934A9A">
        <w:rPr>
          <w:rFonts w:eastAsia="Calibri" w:cs="Arial"/>
          <w:bCs/>
          <w:szCs w:val="22"/>
          <w:lang w:val="en-AU" w:bidi="ar-SA"/>
        </w:rPr>
        <w:t xml:space="preserve"> </w:t>
      </w:r>
      <w:r w:rsidRPr="00934A9A">
        <w:t xml:space="preserve">was published by the United States Government in 2022. The </w:t>
      </w:r>
      <w:r>
        <w:t xml:space="preserve">approved </w:t>
      </w:r>
      <w:r w:rsidRPr="00934A9A">
        <w:t>draft variation amend</w:t>
      </w:r>
      <w:r>
        <w:t>s</w:t>
      </w:r>
      <w:r w:rsidRPr="00934A9A">
        <w:t xml:space="preserve"> </w:t>
      </w:r>
      <w:r w:rsidRPr="00934A9A">
        <w:rPr>
          <w:rFonts w:eastAsia="Calibri" w:cs="Arial"/>
          <w:bCs/>
          <w:szCs w:val="22"/>
          <w:lang w:val="en-AU" w:bidi="ar-SA"/>
        </w:rPr>
        <w:t xml:space="preserve">paragraph 1.1.1—5(1)(b) to refer instead to the 2022 </w:t>
      </w:r>
      <w:r w:rsidRPr="00934A9A">
        <w:rPr>
          <w:rFonts w:cs="Arial"/>
          <w:color w:val="000000"/>
          <w:szCs w:val="22"/>
          <w:shd w:val="clear" w:color="auto" w:fill="FFFFFF"/>
        </w:rPr>
        <w:t>compilation.</w:t>
      </w:r>
    </w:p>
    <w:p w14:paraId="72D2A3A4" w14:textId="77777777" w:rsidR="00D71039" w:rsidRPr="00934A9A" w:rsidRDefault="00D71039" w:rsidP="00D71039">
      <w:pPr>
        <w:widowControl/>
        <w:autoSpaceDE w:val="0"/>
        <w:autoSpaceDN w:val="0"/>
        <w:adjustRightInd w:val="0"/>
        <w:rPr>
          <w:rFonts w:cs="Arial"/>
          <w:color w:val="000000"/>
          <w:szCs w:val="22"/>
          <w:shd w:val="clear" w:color="auto" w:fill="FFFFFF"/>
        </w:rPr>
      </w:pPr>
    </w:p>
    <w:p w14:paraId="15DCC850" w14:textId="77777777" w:rsidR="00D71039" w:rsidRPr="00934A9A" w:rsidRDefault="00D71039" w:rsidP="00D71039">
      <w:pPr>
        <w:widowControl/>
        <w:autoSpaceDE w:val="0"/>
        <w:autoSpaceDN w:val="0"/>
        <w:adjustRightInd w:val="0"/>
        <w:rPr>
          <w:rFonts w:eastAsia="Calibri" w:cs="Arial"/>
          <w:bCs/>
          <w:szCs w:val="22"/>
          <w:lang w:val="en-AU" w:bidi="ar-SA"/>
        </w:rPr>
      </w:pPr>
      <w:r w:rsidRPr="00934A9A">
        <w:rPr>
          <w:rFonts w:cs="Arial"/>
          <w:color w:val="000000"/>
          <w:szCs w:val="22"/>
          <w:shd w:val="clear" w:color="auto" w:fill="FFFFFF"/>
        </w:rPr>
        <w:t xml:space="preserve">A copy of the 2022 compilation of United States Code of Federal Regulations is freely and publicly available online at </w:t>
      </w:r>
      <w:hyperlink r:id="rId9" w:history="1">
        <w:r w:rsidRPr="00934A9A">
          <w:rPr>
            <w:rFonts w:cs="Arial"/>
            <w:color w:val="3333FF"/>
            <w:szCs w:val="22"/>
            <w:u w:val="single"/>
            <w:shd w:val="clear" w:color="auto" w:fill="FFFFFF"/>
          </w:rPr>
          <w:t>https://www.govinfo.gov/app/collection/cfr</w:t>
        </w:r>
      </w:hyperlink>
      <w:r w:rsidRPr="00934A9A">
        <w:rPr>
          <w:rFonts w:cs="Arial"/>
          <w:color w:val="000000"/>
          <w:szCs w:val="22"/>
          <w:shd w:val="clear" w:color="auto" w:fill="FFFFFF"/>
        </w:rPr>
        <w:t xml:space="preserve"> </w:t>
      </w:r>
    </w:p>
    <w:p w14:paraId="51FD50BF" w14:textId="77777777" w:rsidR="00D71039" w:rsidRPr="00934A9A" w:rsidRDefault="00D71039" w:rsidP="00D71039">
      <w:pPr>
        <w:widowControl/>
        <w:autoSpaceDE w:val="0"/>
        <w:autoSpaceDN w:val="0"/>
        <w:adjustRightInd w:val="0"/>
        <w:rPr>
          <w:rFonts w:eastAsia="Calibri" w:cs="Arial"/>
          <w:bCs/>
          <w:szCs w:val="22"/>
          <w:lang w:val="en-AU" w:bidi="ar-SA"/>
        </w:rPr>
      </w:pPr>
    </w:p>
    <w:p w14:paraId="7E0F8540" w14:textId="77777777" w:rsidR="00D71039" w:rsidRPr="00934A9A" w:rsidRDefault="00D71039" w:rsidP="00D71039">
      <w:pPr>
        <w:widowControl/>
        <w:autoSpaceDE w:val="0"/>
        <w:autoSpaceDN w:val="0"/>
        <w:adjustRightInd w:val="0"/>
        <w:rPr>
          <w:rFonts w:eastAsia="Calibri" w:cs="Arial"/>
          <w:bCs/>
          <w:szCs w:val="22"/>
          <w:lang w:val="en-AU" w:bidi="ar-SA"/>
        </w:rPr>
      </w:pPr>
      <w:r w:rsidRPr="00934A9A">
        <w:rPr>
          <w:rFonts w:eastAsia="Calibri" w:cs="Arial"/>
          <w:bCs/>
          <w:i/>
          <w:iCs/>
          <w:szCs w:val="22"/>
          <w:lang w:val="en-AU" w:bidi="ar-SA"/>
        </w:rPr>
        <w:t>Standard 1.1.2</w:t>
      </w:r>
    </w:p>
    <w:p w14:paraId="3477EE99" w14:textId="77777777" w:rsidR="00D71039" w:rsidRPr="00934A9A" w:rsidRDefault="00D71039" w:rsidP="00D71039">
      <w:pPr>
        <w:widowControl/>
        <w:autoSpaceDE w:val="0"/>
        <w:autoSpaceDN w:val="0"/>
        <w:adjustRightInd w:val="0"/>
        <w:rPr>
          <w:rFonts w:eastAsia="Calibri" w:cs="Arial"/>
          <w:bCs/>
          <w:szCs w:val="22"/>
          <w:lang w:val="en-AU" w:bidi="ar-SA"/>
        </w:rPr>
      </w:pPr>
    </w:p>
    <w:p w14:paraId="78093148" w14:textId="77777777" w:rsidR="00D71039" w:rsidRPr="00934A9A" w:rsidRDefault="00D71039" w:rsidP="00D71039">
      <w:pPr>
        <w:widowControl/>
        <w:autoSpaceDE w:val="0"/>
        <w:autoSpaceDN w:val="0"/>
        <w:adjustRightInd w:val="0"/>
        <w:rPr>
          <w:rFonts w:cs="Arial"/>
          <w:color w:val="000000"/>
          <w:szCs w:val="22"/>
          <w:shd w:val="clear" w:color="auto" w:fill="FFFFFF"/>
        </w:rPr>
      </w:pPr>
      <w:r w:rsidRPr="00934A9A">
        <w:rPr>
          <w:rFonts w:eastAsia="Calibri" w:cs="Arial"/>
          <w:bCs/>
          <w:szCs w:val="22"/>
          <w:lang w:val="en-AU" w:bidi="ar-SA"/>
        </w:rPr>
        <w:t xml:space="preserve">The definition of ‘permitted flavouring substance’ in subsection 1.1.2—2(3) of the Code incorporates certain publications by reference. These include Edition 29 (2019) of the Generally Recognised as Safe (GRAS) lists of flavouring substances published by the Flavour and Extract Manufacturers’ Association of the United States (FEMA). This reference is now outdated as FEMA has published </w:t>
      </w:r>
      <w:r w:rsidRPr="00934A9A">
        <w:t xml:space="preserve">Edition 30 (2022) of its GRAS lists of flavouring substances. The </w:t>
      </w:r>
      <w:r>
        <w:t xml:space="preserve">approved </w:t>
      </w:r>
      <w:r w:rsidRPr="00934A9A">
        <w:t>draft variation amend</w:t>
      </w:r>
      <w:r>
        <w:t>s</w:t>
      </w:r>
      <w:r w:rsidRPr="00934A9A">
        <w:t xml:space="preserve"> </w:t>
      </w:r>
      <w:r w:rsidRPr="00934A9A">
        <w:rPr>
          <w:rFonts w:eastAsia="Calibri" w:cs="Arial"/>
          <w:bCs/>
          <w:szCs w:val="22"/>
          <w:lang w:val="en-AU" w:bidi="ar-SA"/>
        </w:rPr>
        <w:t xml:space="preserve">the definition of ‘permitted flavouring substance’ to refer instead to the </w:t>
      </w:r>
      <w:r>
        <w:rPr>
          <w:rFonts w:eastAsia="Calibri" w:cs="Arial"/>
          <w:bCs/>
          <w:szCs w:val="22"/>
          <w:lang w:val="en-AU" w:bidi="ar-SA"/>
        </w:rPr>
        <w:t>new</w:t>
      </w:r>
      <w:r w:rsidRPr="00934A9A">
        <w:rPr>
          <w:rFonts w:eastAsia="Calibri" w:cs="Arial"/>
          <w:bCs/>
          <w:szCs w:val="22"/>
          <w:lang w:val="en-AU" w:bidi="ar-SA"/>
        </w:rPr>
        <w:t xml:space="preserve"> </w:t>
      </w:r>
      <w:r w:rsidRPr="00934A9A">
        <w:rPr>
          <w:rFonts w:cs="Arial"/>
          <w:color w:val="000000"/>
          <w:szCs w:val="22"/>
          <w:shd w:val="clear" w:color="auto" w:fill="FFFFFF"/>
        </w:rPr>
        <w:t>Edition.</w:t>
      </w:r>
    </w:p>
    <w:p w14:paraId="13B47EDC" w14:textId="77777777" w:rsidR="00D71039" w:rsidRPr="00934A9A" w:rsidRDefault="00D71039" w:rsidP="00D71039">
      <w:pPr>
        <w:widowControl/>
        <w:autoSpaceDE w:val="0"/>
        <w:autoSpaceDN w:val="0"/>
        <w:adjustRightInd w:val="0"/>
        <w:rPr>
          <w:rFonts w:cs="Arial"/>
          <w:color w:val="000000"/>
          <w:szCs w:val="22"/>
          <w:shd w:val="clear" w:color="auto" w:fill="FFFFFF"/>
        </w:rPr>
      </w:pPr>
    </w:p>
    <w:p w14:paraId="0E738063" w14:textId="77777777" w:rsidR="00D71039" w:rsidRPr="00934A9A" w:rsidRDefault="00D71039" w:rsidP="00D71039">
      <w:pPr>
        <w:widowControl/>
        <w:autoSpaceDE w:val="0"/>
        <w:autoSpaceDN w:val="0"/>
        <w:adjustRightInd w:val="0"/>
        <w:rPr>
          <w:rFonts w:cs="Arial"/>
          <w:color w:val="000000"/>
          <w:szCs w:val="22"/>
          <w:shd w:val="clear" w:color="auto" w:fill="FFFFFF"/>
        </w:rPr>
      </w:pPr>
      <w:r w:rsidRPr="00934A9A">
        <w:rPr>
          <w:rFonts w:cs="Arial"/>
          <w:color w:val="000000"/>
          <w:szCs w:val="22"/>
          <w:shd w:val="clear" w:color="auto" w:fill="FFFFFF"/>
        </w:rPr>
        <w:t xml:space="preserve">A copy of Edition 30 (2022) of FEMA’s </w:t>
      </w:r>
      <w:r w:rsidRPr="00934A9A">
        <w:t xml:space="preserve">GRAS lists of flavouring substances </w:t>
      </w:r>
      <w:r w:rsidRPr="00934A9A">
        <w:rPr>
          <w:rFonts w:cs="Arial"/>
          <w:color w:val="000000"/>
          <w:szCs w:val="22"/>
          <w:shd w:val="clear" w:color="auto" w:fill="FFFFFF"/>
        </w:rPr>
        <w:t xml:space="preserve">is freely and publicly available online at </w:t>
      </w:r>
      <w:hyperlink r:id="rId10" w:history="1">
        <w:r w:rsidRPr="00934A9A">
          <w:rPr>
            <w:rFonts w:cs="Arial"/>
            <w:color w:val="3333FF"/>
            <w:szCs w:val="22"/>
            <w:u w:val="single"/>
            <w:shd w:val="clear" w:color="auto" w:fill="FFFFFF"/>
          </w:rPr>
          <w:t>https://www.femaflavor.org/publications/gras-publications/gras-30</w:t>
        </w:r>
      </w:hyperlink>
    </w:p>
    <w:p w14:paraId="00110DDE" w14:textId="77777777" w:rsidR="00D71039" w:rsidRDefault="00D71039" w:rsidP="00D71039">
      <w:pPr>
        <w:widowControl/>
        <w:autoSpaceDE w:val="0"/>
        <w:autoSpaceDN w:val="0"/>
        <w:adjustRightInd w:val="0"/>
        <w:rPr>
          <w:rFonts w:eastAsia="Calibri" w:cs="Arial"/>
          <w:bCs/>
          <w:i/>
          <w:iCs/>
          <w:szCs w:val="22"/>
          <w:lang w:val="en-AU" w:bidi="ar-SA"/>
        </w:rPr>
      </w:pPr>
    </w:p>
    <w:p w14:paraId="294D9E18" w14:textId="77777777" w:rsidR="00D71039" w:rsidRPr="00CE384D" w:rsidRDefault="00D71039" w:rsidP="00D71039">
      <w:pPr>
        <w:widowControl/>
        <w:autoSpaceDE w:val="0"/>
        <w:autoSpaceDN w:val="0"/>
        <w:adjustRightInd w:val="0"/>
        <w:rPr>
          <w:rFonts w:eastAsia="Calibri" w:cs="Arial"/>
          <w:bCs/>
          <w:i/>
          <w:iCs/>
          <w:szCs w:val="22"/>
          <w:lang w:val="en-AU" w:bidi="ar-SA"/>
        </w:rPr>
      </w:pPr>
      <w:r w:rsidRPr="00CE384D">
        <w:rPr>
          <w:rFonts w:eastAsia="Calibri" w:cs="Arial"/>
          <w:bCs/>
          <w:i/>
          <w:iCs/>
          <w:szCs w:val="22"/>
          <w:lang w:val="en-AU" w:bidi="ar-SA"/>
        </w:rPr>
        <w:t>Standard 2.2.3</w:t>
      </w:r>
    </w:p>
    <w:p w14:paraId="21B6CB26" w14:textId="77777777" w:rsidR="00D71039" w:rsidRPr="00CE384D" w:rsidRDefault="00D71039" w:rsidP="00D71039">
      <w:pPr>
        <w:widowControl/>
        <w:autoSpaceDE w:val="0"/>
        <w:autoSpaceDN w:val="0"/>
        <w:adjustRightInd w:val="0"/>
        <w:rPr>
          <w:rFonts w:eastAsia="Calibri" w:cs="Arial"/>
          <w:bCs/>
          <w:i/>
          <w:iCs/>
          <w:szCs w:val="22"/>
          <w:lang w:val="en-AU" w:bidi="ar-SA"/>
        </w:rPr>
      </w:pPr>
    </w:p>
    <w:p w14:paraId="7C9C3C67" w14:textId="77777777" w:rsidR="00D71039" w:rsidRPr="00CE384D" w:rsidRDefault="00D71039" w:rsidP="00D71039">
      <w:pPr>
        <w:widowControl/>
        <w:autoSpaceDE w:val="0"/>
        <w:autoSpaceDN w:val="0"/>
        <w:adjustRightInd w:val="0"/>
        <w:rPr>
          <w:rFonts w:eastAsia="Calibri" w:cs="Arial"/>
          <w:bCs/>
          <w:szCs w:val="22"/>
          <w:lang w:val="en-AU" w:bidi="ar-SA"/>
        </w:rPr>
      </w:pPr>
      <w:r w:rsidRPr="00CE384D">
        <w:rPr>
          <w:rFonts w:eastAsia="Calibri" w:cs="Arial"/>
          <w:bCs/>
          <w:szCs w:val="22"/>
          <w:lang w:val="en-AU" w:bidi="ar-SA"/>
        </w:rPr>
        <w:t xml:space="preserve">Standard 2.2.3 contains several editorial Notes. Note 3 provides links to websites that provide guidance on fish names. These include a link to the 2015 edition of the Australian Fish Names Standard published by Standards Australia. Standards Australia has published a 2019 edition of that Standard. </w:t>
      </w:r>
      <w:r w:rsidRPr="00CE384D">
        <w:t xml:space="preserve">The </w:t>
      </w:r>
      <w:r>
        <w:t xml:space="preserve">approved </w:t>
      </w:r>
      <w:r w:rsidRPr="00CE384D">
        <w:t>draft variation amend</w:t>
      </w:r>
      <w:r>
        <w:t>s</w:t>
      </w:r>
      <w:r w:rsidRPr="00CE384D">
        <w:t xml:space="preserve"> </w:t>
      </w:r>
      <w:r w:rsidRPr="00CE384D">
        <w:rPr>
          <w:rFonts w:eastAsia="Calibri" w:cs="Arial"/>
          <w:bCs/>
          <w:szCs w:val="22"/>
          <w:lang w:val="en-AU" w:bidi="ar-SA"/>
        </w:rPr>
        <w:t>Note 3 in Standard 2.2.3  to refer instead to the 2019 edition of the Australian Fish Names Standard.</w:t>
      </w:r>
    </w:p>
    <w:p w14:paraId="10C64630" w14:textId="77777777" w:rsidR="00D71039" w:rsidRPr="00CE384D" w:rsidRDefault="00D71039" w:rsidP="00D71039">
      <w:pPr>
        <w:widowControl/>
        <w:autoSpaceDE w:val="0"/>
        <w:autoSpaceDN w:val="0"/>
        <w:adjustRightInd w:val="0"/>
        <w:rPr>
          <w:rFonts w:eastAsia="Calibri" w:cs="Arial"/>
          <w:bCs/>
          <w:szCs w:val="22"/>
          <w:lang w:val="en-AU" w:bidi="ar-SA"/>
        </w:rPr>
      </w:pPr>
    </w:p>
    <w:p w14:paraId="217F6233" w14:textId="77777777" w:rsidR="00D71039" w:rsidRPr="00CE384D" w:rsidRDefault="00D71039" w:rsidP="00D71039">
      <w:pPr>
        <w:widowControl/>
        <w:autoSpaceDE w:val="0"/>
        <w:autoSpaceDN w:val="0"/>
        <w:adjustRightInd w:val="0"/>
        <w:rPr>
          <w:rFonts w:eastAsia="Calibri" w:cs="Arial"/>
          <w:bCs/>
          <w:szCs w:val="22"/>
          <w:lang w:val="en-AU" w:bidi="ar-SA"/>
        </w:rPr>
      </w:pPr>
      <w:r w:rsidRPr="00CE384D">
        <w:rPr>
          <w:bCs/>
          <w:lang w:val="en-AU" w:eastAsia="en-GB" w:bidi="ar-SA"/>
        </w:rPr>
        <w:t xml:space="preserve">Note 3 to Standard 2.2.3 does not incorporate the </w:t>
      </w:r>
      <w:r w:rsidRPr="00CE384D">
        <w:rPr>
          <w:rFonts w:eastAsia="Calibri" w:cs="Arial"/>
          <w:bCs/>
          <w:szCs w:val="22"/>
          <w:lang w:val="en-AU" w:bidi="ar-SA"/>
        </w:rPr>
        <w:t xml:space="preserve">Australian Fish Names Standard by reference. The Note </w:t>
      </w:r>
      <w:r w:rsidRPr="00CE384D">
        <w:rPr>
          <w:bCs/>
          <w:lang w:val="en-AU" w:eastAsia="en-GB" w:bidi="ar-SA"/>
        </w:rPr>
        <w:t xml:space="preserve">has no legal effect. Nor does it impose or set any requirement. Editorial Notes such as Note 3 do not form part of the Code (see the definition of the term ‘standard’ in subsection 4(1) of the FSANZ Act). </w:t>
      </w:r>
    </w:p>
    <w:p w14:paraId="2EE7124C" w14:textId="77777777" w:rsidR="00D71039" w:rsidRPr="00CE384D" w:rsidRDefault="00D71039" w:rsidP="00D71039">
      <w:pPr>
        <w:widowControl/>
        <w:autoSpaceDE w:val="0"/>
        <w:autoSpaceDN w:val="0"/>
        <w:adjustRightInd w:val="0"/>
        <w:rPr>
          <w:bCs/>
          <w:lang w:val="en-AU" w:eastAsia="en-GB" w:bidi="ar-SA"/>
        </w:rPr>
      </w:pPr>
    </w:p>
    <w:p w14:paraId="71B5CA4B" w14:textId="77777777" w:rsidR="00D71039" w:rsidRDefault="00D71039" w:rsidP="00D71039">
      <w:pPr>
        <w:widowControl/>
        <w:autoSpaceDE w:val="0"/>
        <w:autoSpaceDN w:val="0"/>
        <w:adjustRightInd w:val="0"/>
        <w:rPr>
          <w:bCs/>
          <w:lang w:val="en-AU" w:eastAsia="en-GB" w:bidi="ar-SA"/>
        </w:rPr>
      </w:pPr>
      <w:r>
        <w:rPr>
          <w:bCs/>
          <w:lang w:val="en-AU" w:eastAsia="en-GB" w:bidi="ar-SA"/>
        </w:rPr>
        <w:t xml:space="preserve">There are various ways to access the </w:t>
      </w:r>
      <w:r w:rsidRPr="00CE384D">
        <w:rPr>
          <w:bCs/>
          <w:lang w:val="en-AU" w:eastAsia="en-GB" w:bidi="ar-SA"/>
        </w:rPr>
        <w:t>2019 edition of the Australian Fish Names Standard</w:t>
      </w:r>
      <w:r>
        <w:rPr>
          <w:bCs/>
          <w:lang w:val="en-AU" w:eastAsia="en-GB" w:bidi="ar-SA"/>
        </w:rPr>
        <w:t xml:space="preserve"> (the Australian Fish Names Standard).</w:t>
      </w:r>
    </w:p>
    <w:p w14:paraId="661E9388" w14:textId="77777777" w:rsidR="00D71039" w:rsidRDefault="00D71039" w:rsidP="00D71039">
      <w:pPr>
        <w:widowControl/>
        <w:autoSpaceDE w:val="0"/>
        <w:autoSpaceDN w:val="0"/>
        <w:adjustRightInd w:val="0"/>
        <w:rPr>
          <w:bCs/>
          <w:lang w:val="en-AU" w:eastAsia="en-GB" w:bidi="ar-SA"/>
        </w:rPr>
      </w:pPr>
    </w:p>
    <w:p w14:paraId="3E0EC503" w14:textId="77777777" w:rsidR="00D71039" w:rsidRDefault="00D71039" w:rsidP="00D71039">
      <w:pPr>
        <w:widowControl/>
        <w:autoSpaceDE w:val="0"/>
        <w:autoSpaceDN w:val="0"/>
        <w:adjustRightInd w:val="0"/>
        <w:rPr>
          <w:bCs/>
          <w:lang w:val="en-AU" w:eastAsia="en-GB" w:bidi="ar-SA"/>
        </w:rPr>
      </w:pPr>
      <w:r w:rsidRPr="00CE384D">
        <w:rPr>
          <w:bCs/>
          <w:lang w:val="en-AU" w:eastAsia="en-GB" w:bidi="ar-SA"/>
        </w:rPr>
        <w:t xml:space="preserve">Copies </w:t>
      </w:r>
      <w:r>
        <w:rPr>
          <w:bCs/>
          <w:lang w:val="en-AU" w:eastAsia="en-GB" w:bidi="ar-SA"/>
        </w:rPr>
        <w:t xml:space="preserve">of </w:t>
      </w:r>
      <w:r w:rsidRPr="00CE384D">
        <w:rPr>
          <w:bCs/>
          <w:lang w:val="en-AU" w:eastAsia="en-GB" w:bidi="ar-SA"/>
        </w:rPr>
        <w:t xml:space="preserve">the Australian Fish Names Standard can be purchased online through the SAI Global </w:t>
      </w:r>
      <w:proofErr w:type="spellStart"/>
      <w:r w:rsidRPr="00CE384D">
        <w:rPr>
          <w:bCs/>
          <w:lang w:val="en-AU" w:eastAsia="en-GB" w:bidi="ar-SA"/>
        </w:rPr>
        <w:t>Infostore</w:t>
      </w:r>
      <w:proofErr w:type="spellEnd"/>
      <w:r w:rsidRPr="00CE384D">
        <w:rPr>
          <w:bCs/>
          <w:lang w:val="en-AU" w:eastAsia="en-GB" w:bidi="ar-SA"/>
        </w:rPr>
        <w:t xml:space="preserve">. </w:t>
      </w:r>
    </w:p>
    <w:p w14:paraId="57A8E08D" w14:textId="77777777" w:rsidR="00D71039" w:rsidRDefault="00D71039" w:rsidP="00D71039">
      <w:pPr>
        <w:widowControl/>
        <w:autoSpaceDE w:val="0"/>
        <w:autoSpaceDN w:val="0"/>
        <w:adjustRightInd w:val="0"/>
        <w:rPr>
          <w:bCs/>
          <w:lang w:val="en-AU" w:eastAsia="en-GB" w:bidi="ar-SA"/>
        </w:rPr>
      </w:pPr>
    </w:p>
    <w:p w14:paraId="04BB609C" w14:textId="77777777" w:rsidR="00D71039" w:rsidRDefault="00D71039" w:rsidP="00D71039">
      <w:pPr>
        <w:widowControl/>
        <w:autoSpaceDE w:val="0"/>
        <w:autoSpaceDN w:val="0"/>
        <w:adjustRightInd w:val="0"/>
        <w:rPr>
          <w:bCs/>
          <w:lang w:val="en-AU" w:eastAsia="en-GB" w:bidi="ar-SA"/>
        </w:rPr>
      </w:pPr>
      <w:r w:rsidRPr="00CE384D">
        <w:rPr>
          <w:bCs/>
          <w:lang w:val="en-AU" w:eastAsia="en-GB" w:bidi="ar-SA"/>
        </w:rPr>
        <w:t>However</w:t>
      </w:r>
      <w:r>
        <w:rPr>
          <w:bCs/>
          <w:lang w:val="en-AU" w:eastAsia="en-GB" w:bidi="ar-SA"/>
        </w:rPr>
        <w:t>, a</w:t>
      </w:r>
      <w:r w:rsidRPr="00CE384D">
        <w:rPr>
          <w:bCs/>
          <w:lang w:val="en-AU" w:eastAsia="en-GB" w:bidi="ar-SA"/>
        </w:rPr>
        <w:t>s is explained in Note 3 itself</w:t>
      </w:r>
      <w:r>
        <w:rPr>
          <w:bCs/>
          <w:lang w:val="en-AU" w:eastAsia="en-GB" w:bidi="ar-SA"/>
        </w:rPr>
        <w:t>:</w:t>
      </w:r>
    </w:p>
    <w:p w14:paraId="2375FCEB" w14:textId="77777777" w:rsidR="00D71039" w:rsidRDefault="00D71039" w:rsidP="00D71039">
      <w:pPr>
        <w:widowControl/>
        <w:autoSpaceDE w:val="0"/>
        <w:autoSpaceDN w:val="0"/>
        <w:adjustRightInd w:val="0"/>
        <w:rPr>
          <w:bCs/>
          <w:lang w:val="en-AU" w:eastAsia="en-GB" w:bidi="ar-SA"/>
        </w:rPr>
      </w:pPr>
    </w:p>
    <w:p w14:paraId="00747859" w14:textId="77777777" w:rsidR="00D71039" w:rsidRPr="00565EE6" w:rsidRDefault="00D71039" w:rsidP="00D71039">
      <w:pPr>
        <w:pStyle w:val="ListParagraph"/>
        <w:widowControl/>
        <w:numPr>
          <w:ilvl w:val="0"/>
          <w:numId w:val="18"/>
        </w:numPr>
        <w:autoSpaceDE w:val="0"/>
        <w:autoSpaceDN w:val="0"/>
        <w:adjustRightInd w:val="0"/>
        <w:rPr>
          <w:bCs/>
          <w:lang w:val="en-AU" w:eastAsia="en-GB" w:bidi="ar-SA"/>
        </w:rPr>
      </w:pPr>
      <w:r w:rsidRPr="00565EE6">
        <w:rPr>
          <w:bCs/>
          <w:lang w:val="en-AU" w:eastAsia="en-GB" w:bidi="ar-SA"/>
        </w:rPr>
        <w:t>the Australian Fish Names Standard</w:t>
      </w:r>
      <w:r>
        <w:rPr>
          <w:bCs/>
          <w:lang w:val="en-AU" w:eastAsia="en-GB" w:bidi="ar-SA"/>
        </w:rPr>
        <w:t xml:space="preserve"> is available for viewing at </w:t>
      </w:r>
      <w:hyperlink r:id="rId11" w:history="1">
        <w:r w:rsidRPr="00172258">
          <w:rPr>
            <w:rStyle w:val="Hyperlink"/>
            <w:bCs/>
            <w:lang w:val="en-AU" w:eastAsia="en-GB" w:bidi="ar-SA"/>
          </w:rPr>
          <w:t>http://www.fishnames.com.au</w:t>
        </w:r>
      </w:hyperlink>
      <w:r>
        <w:rPr>
          <w:bCs/>
          <w:color w:val="3333FF"/>
          <w:u w:val="single"/>
          <w:lang w:val="en-AU" w:eastAsia="en-GB" w:bidi="ar-SA"/>
        </w:rPr>
        <w:t xml:space="preserve">, at </w:t>
      </w:r>
      <w:r>
        <w:rPr>
          <w:bCs/>
          <w:lang w:val="en-AU" w:eastAsia="en-GB" w:bidi="ar-SA"/>
        </w:rPr>
        <w:t>no cost to the user; and</w:t>
      </w:r>
      <w:r w:rsidRPr="00565EE6">
        <w:rPr>
          <w:bCs/>
          <w:lang w:val="en-AU" w:eastAsia="en-GB" w:bidi="ar-SA"/>
        </w:rPr>
        <w:t xml:space="preserve">  </w:t>
      </w:r>
    </w:p>
    <w:p w14:paraId="0F39B1EC" w14:textId="77777777" w:rsidR="00D71039" w:rsidRPr="00CE384D" w:rsidRDefault="00D71039" w:rsidP="00D71039">
      <w:pPr>
        <w:widowControl/>
        <w:autoSpaceDE w:val="0"/>
        <w:autoSpaceDN w:val="0"/>
        <w:adjustRightInd w:val="0"/>
        <w:rPr>
          <w:bCs/>
          <w:lang w:val="en-AU" w:eastAsia="en-GB" w:bidi="ar-SA"/>
        </w:rPr>
      </w:pPr>
    </w:p>
    <w:p w14:paraId="336B5811" w14:textId="77777777" w:rsidR="00D71039" w:rsidRPr="00CE384D" w:rsidRDefault="00D71039" w:rsidP="00D71039">
      <w:pPr>
        <w:widowControl/>
        <w:numPr>
          <w:ilvl w:val="0"/>
          <w:numId w:val="15"/>
        </w:numPr>
        <w:autoSpaceDE w:val="0"/>
        <w:autoSpaceDN w:val="0"/>
        <w:adjustRightInd w:val="0"/>
        <w:contextualSpacing/>
        <w:rPr>
          <w:bCs/>
          <w:lang w:val="en-AU" w:eastAsia="en-GB" w:bidi="ar-SA"/>
        </w:rPr>
      </w:pPr>
      <w:r w:rsidRPr="00CE384D">
        <w:rPr>
          <w:bCs/>
          <w:lang w:val="en-AU" w:eastAsia="en-GB" w:bidi="ar-SA"/>
        </w:rPr>
        <w:t>an online searchable Fish Names Database, which is understood to have the most up-to-date information on all approved group and individual species names, is publicly available at </w:t>
      </w:r>
      <w:hyperlink r:id="rId12" w:history="1">
        <w:r w:rsidRPr="00CE384D">
          <w:rPr>
            <w:bCs/>
            <w:color w:val="3333FF"/>
            <w:u w:val="single"/>
            <w:lang w:val="en-AU" w:eastAsia="en-GB" w:bidi="ar-SA"/>
          </w:rPr>
          <w:t>http://www.fishnames.com.au</w:t>
        </w:r>
      </w:hyperlink>
      <w:r w:rsidRPr="00CE384D">
        <w:rPr>
          <w:bCs/>
          <w:lang w:val="en-AU" w:eastAsia="en-GB" w:bidi="ar-SA"/>
        </w:rPr>
        <w:t xml:space="preserve">. </w:t>
      </w:r>
    </w:p>
    <w:p w14:paraId="381E6565" w14:textId="77777777" w:rsidR="00D71039" w:rsidRPr="00CE384D" w:rsidRDefault="00D71039" w:rsidP="00D71039">
      <w:pPr>
        <w:widowControl/>
        <w:autoSpaceDE w:val="0"/>
        <w:autoSpaceDN w:val="0"/>
        <w:adjustRightInd w:val="0"/>
        <w:rPr>
          <w:bCs/>
          <w:lang w:val="en-AU" w:eastAsia="en-GB" w:bidi="ar-SA"/>
        </w:rPr>
      </w:pPr>
    </w:p>
    <w:p w14:paraId="0124B464" w14:textId="77777777" w:rsidR="00D71039" w:rsidRPr="000C4E94" w:rsidRDefault="00D71039" w:rsidP="00D71039">
      <w:pPr>
        <w:widowControl/>
        <w:autoSpaceDE w:val="0"/>
        <w:autoSpaceDN w:val="0"/>
        <w:adjustRightInd w:val="0"/>
        <w:rPr>
          <w:rFonts w:eastAsia="Calibri" w:cs="Arial"/>
          <w:bCs/>
          <w:szCs w:val="22"/>
          <w:lang w:val="en-AU" w:bidi="ar-SA"/>
        </w:rPr>
      </w:pPr>
      <w:r w:rsidRPr="000C4E94">
        <w:rPr>
          <w:rFonts w:eastAsia="Calibri" w:cs="Arial"/>
          <w:bCs/>
          <w:i/>
          <w:iCs/>
          <w:szCs w:val="22"/>
          <w:lang w:val="en-AU" w:bidi="ar-SA"/>
        </w:rPr>
        <w:t>Standard 4.2.1</w:t>
      </w:r>
    </w:p>
    <w:p w14:paraId="78291047" w14:textId="77777777" w:rsidR="00D71039" w:rsidRPr="000C4E94" w:rsidRDefault="00D71039" w:rsidP="00D71039">
      <w:pPr>
        <w:widowControl/>
        <w:autoSpaceDE w:val="0"/>
        <w:autoSpaceDN w:val="0"/>
        <w:adjustRightInd w:val="0"/>
        <w:rPr>
          <w:rFonts w:eastAsia="Calibri" w:cs="Arial"/>
          <w:bCs/>
          <w:szCs w:val="22"/>
          <w:lang w:val="en-AU" w:bidi="ar-SA"/>
        </w:rPr>
      </w:pPr>
    </w:p>
    <w:p w14:paraId="5A627D96" w14:textId="77777777" w:rsidR="00D71039" w:rsidRPr="000C4E94" w:rsidRDefault="00D71039" w:rsidP="00D71039">
      <w:pPr>
        <w:widowControl/>
        <w:autoSpaceDE w:val="0"/>
        <w:autoSpaceDN w:val="0"/>
        <w:adjustRightInd w:val="0"/>
        <w:rPr>
          <w:rFonts w:cs="Arial"/>
          <w:szCs w:val="22"/>
          <w:shd w:val="clear" w:color="auto" w:fill="FFFFFF"/>
        </w:rPr>
      </w:pPr>
      <w:r w:rsidRPr="000C4E94">
        <w:rPr>
          <w:rFonts w:eastAsia="Calibri" w:cs="Arial"/>
          <w:bCs/>
          <w:szCs w:val="22"/>
          <w:lang w:val="en-AU" w:bidi="ar-SA"/>
        </w:rPr>
        <w:t xml:space="preserve">Section 4.2.1—16 sets out a requirement related to implementing a documented food safety management system that effectively control the hazards, with which food businesses engaged in the primary production or processing of, or manufacturing activities concerning, bivalve molluscs must comply. This provision incorporates by reference certain publications documenting food safety management systems which relevant food businesses may implement, thereby complying with the requirement. These publications include the </w:t>
      </w:r>
      <w:r w:rsidRPr="000C4E94">
        <w:rPr>
          <w:i/>
          <w:iCs/>
        </w:rPr>
        <w:t xml:space="preserve">Export Control (Fish and Fish Products) Orders </w:t>
      </w:r>
      <w:r w:rsidRPr="000C4E94">
        <w:rPr>
          <w:rFonts w:cs="Arial"/>
          <w:i/>
          <w:iCs/>
          <w:szCs w:val="22"/>
        </w:rPr>
        <w:t xml:space="preserve">2005 </w:t>
      </w:r>
      <w:r w:rsidRPr="000C4E94">
        <w:rPr>
          <w:rFonts w:cs="Arial"/>
          <w:szCs w:val="22"/>
        </w:rPr>
        <w:t xml:space="preserve">made under the </w:t>
      </w:r>
      <w:r w:rsidRPr="000C4E94">
        <w:rPr>
          <w:rFonts w:cs="Arial"/>
          <w:i/>
          <w:iCs/>
          <w:szCs w:val="22"/>
          <w:shd w:val="clear" w:color="auto" w:fill="FFFFFF"/>
        </w:rPr>
        <w:t>Export Control (Orders) Regulations 1982</w:t>
      </w:r>
      <w:r w:rsidRPr="000C4E94">
        <w:rPr>
          <w:rFonts w:cs="Arial"/>
          <w:szCs w:val="22"/>
          <w:shd w:val="clear" w:color="auto" w:fill="FFFFFF"/>
        </w:rPr>
        <w:t xml:space="preserve"> (</w:t>
      </w:r>
      <w:proofErr w:type="spellStart"/>
      <w:r w:rsidRPr="000C4E94">
        <w:rPr>
          <w:rFonts w:cs="Arial"/>
          <w:szCs w:val="22"/>
          <w:shd w:val="clear" w:color="auto" w:fill="FFFFFF"/>
        </w:rPr>
        <w:t>Cth</w:t>
      </w:r>
      <w:proofErr w:type="spellEnd"/>
      <w:r w:rsidRPr="000C4E94">
        <w:rPr>
          <w:rFonts w:cs="Arial"/>
          <w:szCs w:val="22"/>
          <w:shd w:val="clear" w:color="auto" w:fill="FFFFFF"/>
        </w:rPr>
        <w:t xml:space="preserve">). </w:t>
      </w:r>
    </w:p>
    <w:p w14:paraId="0F78CA5F" w14:textId="77777777" w:rsidR="00D71039" w:rsidRPr="000C4E94" w:rsidRDefault="00D71039" w:rsidP="00D71039">
      <w:pPr>
        <w:widowControl/>
        <w:autoSpaceDE w:val="0"/>
        <w:autoSpaceDN w:val="0"/>
        <w:adjustRightInd w:val="0"/>
        <w:rPr>
          <w:rFonts w:cs="Arial"/>
          <w:szCs w:val="22"/>
          <w:shd w:val="clear" w:color="auto" w:fill="FFFFFF"/>
        </w:rPr>
      </w:pPr>
    </w:p>
    <w:p w14:paraId="27F8610D" w14:textId="77777777" w:rsidR="00D71039" w:rsidRPr="000C4E94" w:rsidRDefault="00D71039" w:rsidP="00D71039">
      <w:pPr>
        <w:widowControl/>
        <w:autoSpaceDE w:val="0"/>
        <w:autoSpaceDN w:val="0"/>
        <w:adjustRightInd w:val="0"/>
        <w:rPr>
          <w:rFonts w:eastAsia="Calibri" w:cs="Arial"/>
          <w:bCs/>
          <w:szCs w:val="22"/>
          <w:lang w:val="en-AU" w:bidi="ar-SA"/>
        </w:rPr>
      </w:pPr>
      <w:r w:rsidRPr="000C4E94">
        <w:rPr>
          <w:rFonts w:cs="Arial"/>
          <w:szCs w:val="22"/>
          <w:shd w:val="clear" w:color="auto" w:fill="FFFFFF"/>
        </w:rPr>
        <w:t xml:space="preserve">The 2005 Orders have been replaced by the </w:t>
      </w:r>
      <w:r w:rsidRPr="000C4E94">
        <w:rPr>
          <w:rFonts w:cs="Arial"/>
          <w:i/>
          <w:iCs/>
          <w:szCs w:val="22"/>
          <w:lang w:eastAsia="en-AU"/>
        </w:rPr>
        <w:t>Export Control (Fish and Fish Products) Rules 2021</w:t>
      </w:r>
      <w:r w:rsidRPr="000C4E94">
        <w:rPr>
          <w:rFonts w:cs="Arial"/>
          <w:szCs w:val="22"/>
          <w:lang w:eastAsia="en-AU"/>
        </w:rPr>
        <w:t xml:space="preserve">. </w:t>
      </w:r>
      <w:r w:rsidRPr="000C4E94">
        <w:t xml:space="preserve">The </w:t>
      </w:r>
      <w:r>
        <w:t xml:space="preserve">approved </w:t>
      </w:r>
      <w:r w:rsidRPr="000C4E94">
        <w:t>draft variation amend</w:t>
      </w:r>
      <w:r>
        <w:t>s</w:t>
      </w:r>
      <w:r w:rsidRPr="000C4E94">
        <w:t xml:space="preserve"> </w:t>
      </w:r>
      <w:r w:rsidRPr="000C4E94">
        <w:rPr>
          <w:rFonts w:eastAsia="Calibri" w:cs="Arial"/>
          <w:bCs/>
          <w:szCs w:val="22"/>
          <w:lang w:val="en-AU" w:bidi="ar-SA"/>
        </w:rPr>
        <w:t xml:space="preserve">section 4.2.1—16 to refer instead to the 2021 </w:t>
      </w:r>
      <w:r w:rsidRPr="000C4E94">
        <w:rPr>
          <w:rFonts w:cs="Arial"/>
          <w:color w:val="000000"/>
          <w:szCs w:val="22"/>
          <w:shd w:val="clear" w:color="auto" w:fill="FFFFFF"/>
        </w:rPr>
        <w:t>Rules.</w:t>
      </w:r>
      <w:r w:rsidRPr="000C4E94" w:rsidDel="003A4CAC">
        <w:rPr>
          <w:rFonts w:eastAsia="Calibri" w:cs="Arial"/>
          <w:bCs/>
          <w:szCs w:val="22"/>
          <w:lang w:val="en-AU" w:bidi="ar-SA"/>
        </w:rPr>
        <w:t xml:space="preserve"> </w:t>
      </w:r>
    </w:p>
    <w:p w14:paraId="7EAFEE96" w14:textId="77777777" w:rsidR="00D71039" w:rsidRPr="000C4E94" w:rsidRDefault="00D71039" w:rsidP="00D71039">
      <w:pPr>
        <w:widowControl/>
        <w:autoSpaceDE w:val="0"/>
        <w:autoSpaceDN w:val="0"/>
        <w:adjustRightInd w:val="0"/>
        <w:rPr>
          <w:rFonts w:cs="Arial"/>
          <w:color w:val="000000"/>
          <w:szCs w:val="22"/>
          <w:shd w:val="clear" w:color="auto" w:fill="FFFFFF"/>
        </w:rPr>
      </w:pPr>
    </w:p>
    <w:p w14:paraId="3E60D98B" w14:textId="77777777" w:rsidR="00D71039" w:rsidRDefault="00D71039" w:rsidP="00D71039">
      <w:pPr>
        <w:widowControl/>
        <w:autoSpaceDE w:val="0"/>
        <w:autoSpaceDN w:val="0"/>
        <w:adjustRightInd w:val="0"/>
        <w:rPr>
          <w:lang w:val="en-AU" w:eastAsia="en-GB" w:bidi="ar-SA"/>
        </w:rPr>
      </w:pPr>
      <w:r w:rsidRPr="000C4E94">
        <w:rPr>
          <w:rFonts w:cs="Arial"/>
          <w:color w:val="000000"/>
          <w:szCs w:val="22"/>
          <w:shd w:val="clear" w:color="auto" w:fill="FFFFFF"/>
        </w:rPr>
        <w:t xml:space="preserve">A copy of </w:t>
      </w:r>
      <w:r w:rsidRPr="000C4E94">
        <w:rPr>
          <w:rFonts w:cs="Arial"/>
          <w:szCs w:val="22"/>
          <w:shd w:val="clear" w:color="auto" w:fill="FFFFFF"/>
        </w:rPr>
        <w:t xml:space="preserve">the </w:t>
      </w:r>
      <w:r w:rsidRPr="000C4E94">
        <w:rPr>
          <w:rFonts w:eastAsia="Calibri" w:cs="Arial"/>
          <w:bCs/>
          <w:szCs w:val="22"/>
          <w:lang w:val="en-AU" w:bidi="ar-SA"/>
        </w:rPr>
        <w:t xml:space="preserve">2021 </w:t>
      </w:r>
      <w:r w:rsidRPr="000C4E94">
        <w:rPr>
          <w:rFonts w:cs="Arial"/>
          <w:color w:val="000000"/>
          <w:szCs w:val="22"/>
          <w:shd w:val="clear" w:color="auto" w:fill="FFFFFF"/>
        </w:rPr>
        <w:t xml:space="preserve">Rules is freely and publicly available online at </w:t>
      </w:r>
      <w:hyperlink r:id="rId13" w:history="1">
        <w:r w:rsidRPr="000C4E94">
          <w:rPr>
            <w:rFonts w:cs="Arial"/>
            <w:color w:val="3333FF"/>
            <w:szCs w:val="22"/>
            <w:u w:val="single"/>
            <w:shd w:val="clear" w:color="auto" w:fill="FFFFFF"/>
          </w:rPr>
          <w:t>https://www.legislation.gov.au/Details/F2021L00317</w:t>
        </w:r>
      </w:hyperlink>
      <w:r w:rsidRPr="000C4E94">
        <w:rPr>
          <w:rFonts w:cs="Arial"/>
          <w:color w:val="000000"/>
          <w:szCs w:val="22"/>
          <w:shd w:val="clear" w:color="auto" w:fill="FFFFFF"/>
        </w:rPr>
        <w:t xml:space="preserve">. </w:t>
      </w:r>
    </w:p>
    <w:p w14:paraId="24867673" w14:textId="77777777" w:rsidR="00D71039" w:rsidRDefault="00D71039" w:rsidP="00D71039">
      <w:pPr>
        <w:widowControl/>
        <w:autoSpaceDE w:val="0"/>
        <w:autoSpaceDN w:val="0"/>
        <w:adjustRightInd w:val="0"/>
        <w:rPr>
          <w:rFonts w:eastAsia="Calibri" w:cs="Arial"/>
          <w:bCs/>
          <w:i/>
          <w:iCs/>
          <w:szCs w:val="22"/>
          <w:lang w:val="en-AU" w:bidi="ar-SA"/>
        </w:rPr>
      </w:pPr>
    </w:p>
    <w:p w14:paraId="557AE228" w14:textId="77777777" w:rsidR="00D71039" w:rsidRPr="00542839" w:rsidRDefault="00D71039" w:rsidP="00D71039">
      <w:pPr>
        <w:widowControl/>
        <w:autoSpaceDE w:val="0"/>
        <w:autoSpaceDN w:val="0"/>
        <w:adjustRightInd w:val="0"/>
        <w:rPr>
          <w:rFonts w:eastAsia="Calibri" w:cs="Arial"/>
          <w:bCs/>
          <w:i/>
          <w:iCs/>
          <w:szCs w:val="22"/>
          <w:lang w:val="en-AU" w:bidi="ar-SA"/>
        </w:rPr>
      </w:pPr>
      <w:r w:rsidRPr="00542839">
        <w:rPr>
          <w:rFonts w:eastAsia="Calibri" w:cs="Arial"/>
          <w:bCs/>
          <w:i/>
          <w:iCs/>
          <w:szCs w:val="22"/>
          <w:lang w:val="en-AU" w:bidi="ar-SA"/>
        </w:rPr>
        <w:t>Standard 4.2.2</w:t>
      </w:r>
    </w:p>
    <w:p w14:paraId="66430434" w14:textId="77777777" w:rsidR="00D71039" w:rsidRPr="00542839" w:rsidRDefault="00D71039" w:rsidP="00D71039">
      <w:pPr>
        <w:widowControl/>
        <w:autoSpaceDE w:val="0"/>
        <w:autoSpaceDN w:val="0"/>
        <w:adjustRightInd w:val="0"/>
        <w:rPr>
          <w:rFonts w:eastAsia="Calibri" w:cs="Arial"/>
          <w:bCs/>
          <w:i/>
          <w:iCs/>
          <w:szCs w:val="22"/>
          <w:lang w:val="en-AU" w:bidi="ar-SA"/>
        </w:rPr>
      </w:pPr>
      <w:r w:rsidRPr="00542839">
        <w:rPr>
          <w:rFonts w:eastAsia="Calibri" w:cs="Arial"/>
          <w:bCs/>
          <w:i/>
          <w:iCs/>
          <w:szCs w:val="22"/>
          <w:lang w:val="en-AU" w:bidi="ar-SA"/>
        </w:rPr>
        <w:t xml:space="preserve"> </w:t>
      </w:r>
    </w:p>
    <w:p w14:paraId="34051968" w14:textId="77777777" w:rsidR="00D71039" w:rsidRPr="00542839" w:rsidRDefault="00D71039" w:rsidP="00D71039">
      <w:pPr>
        <w:widowControl/>
        <w:autoSpaceDE w:val="0"/>
        <w:autoSpaceDN w:val="0"/>
        <w:adjustRightInd w:val="0"/>
        <w:rPr>
          <w:rFonts w:cs="Arial"/>
          <w:i/>
          <w:iCs/>
          <w:color w:val="000000"/>
          <w:szCs w:val="22"/>
          <w:shd w:val="clear" w:color="auto" w:fill="FFFFFF"/>
        </w:rPr>
      </w:pPr>
      <w:r w:rsidRPr="00542839">
        <w:rPr>
          <w:rFonts w:eastAsia="Calibri" w:cs="Arial"/>
          <w:bCs/>
          <w:szCs w:val="22"/>
          <w:lang w:val="en-AU" w:bidi="ar-SA"/>
        </w:rPr>
        <w:t xml:space="preserve">Standard 4.2.2 contains an editorial Note to clause 14 of that Standard. The Note refers readers to </w:t>
      </w:r>
      <w:r w:rsidRPr="00542839">
        <w:rPr>
          <w:rFonts w:cs="Arial"/>
          <w:color w:val="000000"/>
          <w:szCs w:val="22"/>
          <w:shd w:val="clear" w:color="auto" w:fill="FFFFFF"/>
        </w:rPr>
        <w:t xml:space="preserve">the 2004 edition of the </w:t>
      </w:r>
      <w:r w:rsidRPr="00542839">
        <w:rPr>
          <w:rFonts w:cs="Arial"/>
          <w:i/>
          <w:iCs/>
          <w:color w:val="000000"/>
          <w:szCs w:val="22"/>
          <w:shd w:val="clear" w:color="auto" w:fill="FFFFFF"/>
        </w:rPr>
        <w:t xml:space="preserve">Australian Drinking Water Guidelines </w:t>
      </w:r>
      <w:r w:rsidRPr="00542839">
        <w:rPr>
          <w:rFonts w:cs="Arial"/>
          <w:color w:val="000000"/>
          <w:szCs w:val="22"/>
          <w:shd w:val="clear" w:color="auto" w:fill="FFFFFF"/>
        </w:rPr>
        <w:t>issued by the National Health and Medical Research Council of Australia (NHMRC).</w:t>
      </w:r>
      <w:r w:rsidRPr="00542839">
        <w:rPr>
          <w:rFonts w:eastAsia="Calibri" w:cs="Arial"/>
          <w:bCs/>
          <w:szCs w:val="22"/>
          <w:lang w:val="en-AU" w:bidi="ar-SA"/>
        </w:rPr>
        <w:t xml:space="preserve"> The Guidelines provide guidance on what can constitute acceptable drinking water. The NMHRC has published a 2011 edition of the Guidelines. </w:t>
      </w:r>
      <w:r w:rsidRPr="00542839">
        <w:t xml:space="preserve">The </w:t>
      </w:r>
      <w:r>
        <w:t xml:space="preserve">approved </w:t>
      </w:r>
      <w:r w:rsidRPr="00542839">
        <w:t>draft variation amend</w:t>
      </w:r>
      <w:r>
        <w:t>s</w:t>
      </w:r>
      <w:r w:rsidRPr="00542839">
        <w:t xml:space="preserve"> </w:t>
      </w:r>
      <w:r w:rsidRPr="00542839">
        <w:rPr>
          <w:rFonts w:eastAsia="Calibri" w:cs="Arial"/>
          <w:bCs/>
          <w:szCs w:val="22"/>
          <w:lang w:val="en-AU" w:bidi="ar-SA"/>
        </w:rPr>
        <w:t xml:space="preserve">the editorial </w:t>
      </w:r>
      <w:r w:rsidRPr="00542839">
        <w:rPr>
          <w:rFonts w:eastAsia="Calibri" w:cs="Arial"/>
          <w:bCs/>
          <w:szCs w:val="22"/>
          <w:lang w:val="en-AU" w:bidi="ar-SA"/>
        </w:rPr>
        <w:lastRenderedPageBreak/>
        <w:t xml:space="preserve">Note to clause 14 of Standard 4.2.2  to refer instead to the 2011 edition of the </w:t>
      </w:r>
      <w:r w:rsidRPr="00542839">
        <w:rPr>
          <w:rFonts w:cs="Arial"/>
          <w:i/>
          <w:iCs/>
          <w:color w:val="000000"/>
          <w:szCs w:val="22"/>
          <w:shd w:val="clear" w:color="auto" w:fill="FFFFFF"/>
        </w:rPr>
        <w:t>Australian Drinking Water Guidelines.</w:t>
      </w:r>
    </w:p>
    <w:p w14:paraId="42AC6E71" w14:textId="77777777" w:rsidR="00D71039" w:rsidRPr="00542839" w:rsidRDefault="00D71039" w:rsidP="00D71039">
      <w:pPr>
        <w:widowControl/>
        <w:autoSpaceDE w:val="0"/>
        <w:autoSpaceDN w:val="0"/>
        <w:adjustRightInd w:val="0"/>
        <w:rPr>
          <w:rFonts w:cs="Arial"/>
          <w:i/>
          <w:iCs/>
          <w:color w:val="000000"/>
          <w:szCs w:val="22"/>
          <w:shd w:val="clear" w:color="auto" w:fill="FFFFFF"/>
        </w:rPr>
      </w:pPr>
    </w:p>
    <w:p w14:paraId="6C15BFB6" w14:textId="77777777" w:rsidR="00D71039" w:rsidRPr="00542839" w:rsidRDefault="00D71039" w:rsidP="00D71039">
      <w:pPr>
        <w:widowControl/>
        <w:autoSpaceDE w:val="0"/>
        <w:autoSpaceDN w:val="0"/>
        <w:adjustRightInd w:val="0"/>
        <w:rPr>
          <w:rFonts w:eastAsia="Calibri" w:cs="Arial"/>
          <w:bCs/>
          <w:szCs w:val="22"/>
          <w:lang w:val="en-AU" w:bidi="ar-SA"/>
        </w:rPr>
      </w:pPr>
      <w:r w:rsidRPr="00542839">
        <w:rPr>
          <w:bCs/>
          <w:lang w:val="en-AU" w:eastAsia="en-GB" w:bidi="ar-SA"/>
        </w:rPr>
        <w:t xml:space="preserve">The </w:t>
      </w:r>
      <w:r w:rsidRPr="00542839">
        <w:rPr>
          <w:rFonts w:eastAsia="Calibri" w:cs="Arial"/>
          <w:bCs/>
          <w:szCs w:val="22"/>
          <w:lang w:val="en-AU" w:bidi="ar-SA"/>
        </w:rPr>
        <w:t xml:space="preserve">Note </w:t>
      </w:r>
      <w:r w:rsidRPr="00542839">
        <w:rPr>
          <w:bCs/>
          <w:lang w:val="en-AU" w:eastAsia="en-GB" w:bidi="ar-SA"/>
        </w:rPr>
        <w:t xml:space="preserve">does not incorporate </w:t>
      </w:r>
      <w:r w:rsidRPr="00542839">
        <w:rPr>
          <w:rFonts w:cs="Arial"/>
          <w:i/>
          <w:iCs/>
          <w:color w:val="000000"/>
          <w:szCs w:val="22"/>
          <w:shd w:val="clear" w:color="auto" w:fill="FFFFFF"/>
        </w:rPr>
        <w:t>Australian Drinking Water Guidelines</w:t>
      </w:r>
      <w:r w:rsidRPr="00542839">
        <w:rPr>
          <w:rFonts w:eastAsia="Calibri" w:cs="Arial"/>
          <w:bCs/>
          <w:szCs w:val="22"/>
          <w:lang w:val="en-AU" w:bidi="ar-SA"/>
        </w:rPr>
        <w:t xml:space="preserve"> by reference. The Note h</w:t>
      </w:r>
      <w:r w:rsidRPr="00542839">
        <w:rPr>
          <w:bCs/>
          <w:lang w:val="en-AU" w:eastAsia="en-GB" w:bidi="ar-SA"/>
        </w:rPr>
        <w:t xml:space="preserve">as no legal effect. Nor does it impose or set any requirement. Editorial Notes do not form part of the Code (see the definition of the term ‘standard’ in subsection 4(1) of the FSANZ Act). </w:t>
      </w:r>
    </w:p>
    <w:p w14:paraId="1968A114" w14:textId="77777777" w:rsidR="00D71039" w:rsidRPr="00542839" w:rsidRDefault="00D71039" w:rsidP="00D71039">
      <w:pPr>
        <w:widowControl/>
        <w:autoSpaceDE w:val="0"/>
        <w:autoSpaceDN w:val="0"/>
        <w:adjustRightInd w:val="0"/>
        <w:rPr>
          <w:bCs/>
          <w:lang w:val="en-AU" w:eastAsia="en-GB" w:bidi="ar-SA"/>
        </w:rPr>
      </w:pPr>
    </w:p>
    <w:p w14:paraId="5DF84EC3" w14:textId="77777777" w:rsidR="00D71039" w:rsidRPr="00542839" w:rsidRDefault="00D71039" w:rsidP="00D71039">
      <w:pPr>
        <w:widowControl/>
        <w:autoSpaceDE w:val="0"/>
        <w:autoSpaceDN w:val="0"/>
        <w:adjustRightInd w:val="0"/>
        <w:rPr>
          <w:bCs/>
          <w:lang w:val="en-AU" w:eastAsia="en-GB" w:bidi="ar-SA"/>
        </w:rPr>
      </w:pPr>
      <w:r w:rsidRPr="00542839">
        <w:rPr>
          <w:bCs/>
          <w:lang w:val="en-AU" w:eastAsia="en-GB" w:bidi="ar-SA"/>
        </w:rPr>
        <w:t xml:space="preserve">The 2011 edition of the </w:t>
      </w:r>
      <w:r w:rsidRPr="00542839">
        <w:rPr>
          <w:rFonts w:cs="Arial"/>
          <w:i/>
          <w:iCs/>
          <w:color w:val="000000"/>
          <w:szCs w:val="22"/>
          <w:shd w:val="clear" w:color="auto" w:fill="FFFFFF"/>
        </w:rPr>
        <w:t xml:space="preserve">Australian Drinking Water Guidelines </w:t>
      </w:r>
      <w:r w:rsidRPr="00542839">
        <w:rPr>
          <w:bCs/>
          <w:lang w:val="en-AU" w:eastAsia="en-GB" w:bidi="ar-SA"/>
        </w:rPr>
        <w:t xml:space="preserve">is </w:t>
      </w:r>
      <w:r w:rsidRPr="00542839">
        <w:rPr>
          <w:rFonts w:cs="Arial"/>
          <w:color w:val="000000"/>
          <w:szCs w:val="22"/>
          <w:shd w:val="clear" w:color="auto" w:fill="FFFFFF"/>
        </w:rPr>
        <w:t xml:space="preserve">freely and publicly </w:t>
      </w:r>
      <w:r w:rsidRPr="00542839">
        <w:rPr>
          <w:bCs/>
          <w:lang w:val="en-AU" w:eastAsia="en-GB" w:bidi="ar-SA"/>
        </w:rPr>
        <w:t xml:space="preserve">available at: </w:t>
      </w:r>
      <w:hyperlink r:id="rId14" w:history="1">
        <w:r w:rsidRPr="00542839">
          <w:rPr>
            <w:bCs/>
            <w:color w:val="3333FF"/>
            <w:u w:val="single"/>
            <w:lang w:val="en-AU" w:eastAsia="en-GB" w:bidi="ar-SA"/>
          </w:rPr>
          <w:t>https://www.nhmrc.gov.au/about-us/publications/australian-drinking-water-guidelines</w:t>
        </w:r>
      </w:hyperlink>
      <w:r w:rsidRPr="00542839">
        <w:rPr>
          <w:bCs/>
          <w:lang w:val="en-AU" w:eastAsia="en-GB" w:bidi="ar-SA"/>
        </w:rPr>
        <w:t>.</w:t>
      </w:r>
    </w:p>
    <w:p w14:paraId="19F26828" w14:textId="77777777" w:rsidR="00D71039" w:rsidRDefault="00D71039" w:rsidP="00D71039">
      <w:pPr>
        <w:rPr>
          <w:lang w:val="en-AU" w:eastAsia="en-GB" w:bidi="ar-SA"/>
        </w:rPr>
      </w:pPr>
    </w:p>
    <w:p w14:paraId="03928DCB" w14:textId="77777777" w:rsidR="00D71039" w:rsidRPr="004755F8" w:rsidRDefault="00D71039" w:rsidP="00D71039">
      <w:pPr>
        <w:widowControl/>
        <w:autoSpaceDE w:val="0"/>
        <w:autoSpaceDN w:val="0"/>
        <w:adjustRightInd w:val="0"/>
        <w:rPr>
          <w:rFonts w:eastAsia="Calibri" w:cs="Arial"/>
          <w:bCs/>
          <w:i/>
          <w:iCs/>
          <w:szCs w:val="22"/>
          <w:lang w:val="en-AU" w:bidi="ar-SA"/>
        </w:rPr>
      </w:pPr>
      <w:r w:rsidRPr="004755F8">
        <w:rPr>
          <w:rFonts w:eastAsia="Calibri" w:cs="Arial"/>
          <w:bCs/>
          <w:i/>
          <w:iCs/>
          <w:szCs w:val="22"/>
          <w:lang w:val="en-AU" w:bidi="ar-SA"/>
        </w:rPr>
        <w:t>Standard 4.2.3</w:t>
      </w:r>
    </w:p>
    <w:p w14:paraId="28564E42" w14:textId="77777777" w:rsidR="00D71039" w:rsidRPr="004755F8" w:rsidRDefault="00D71039" w:rsidP="00D71039">
      <w:pPr>
        <w:widowControl/>
        <w:autoSpaceDE w:val="0"/>
        <w:autoSpaceDN w:val="0"/>
        <w:adjustRightInd w:val="0"/>
        <w:rPr>
          <w:rFonts w:eastAsia="Calibri" w:cs="Arial"/>
          <w:bCs/>
          <w:i/>
          <w:iCs/>
          <w:szCs w:val="22"/>
          <w:lang w:val="en-AU" w:bidi="ar-SA"/>
        </w:rPr>
      </w:pPr>
      <w:r w:rsidRPr="004755F8">
        <w:rPr>
          <w:rFonts w:eastAsia="Calibri" w:cs="Arial"/>
          <w:bCs/>
          <w:i/>
          <w:iCs/>
          <w:szCs w:val="22"/>
          <w:lang w:val="en-AU" w:bidi="ar-SA"/>
        </w:rPr>
        <w:t xml:space="preserve"> </w:t>
      </w:r>
    </w:p>
    <w:p w14:paraId="12050595" w14:textId="77777777" w:rsidR="00D71039" w:rsidRPr="004755F8" w:rsidRDefault="00D71039" w:rsidP="00D71039">
      <w:pPr>
        <w:widowControl/>
        <w:autoSpaceDE w:val="0"/>
        <w:autoSpaceDN w:val="0"/>
        <w:adjustRightInd w:val="0"/>
        <w:rPr>
          <w:rFonts w:cs="Arial"/>
          <w:i/>
          <w:iCs/>
          <w:color w:val="000000"/>
          <w:szCs w:val="22"/>
          <w:shd w:val="clear" w:color="auto" w:fill="FFFFFF"/>
        </w:rPr>
      </w:pPr>
      <w:r w:rsidRPr="004755F8">
        <w:rPr>
          <w:rFonts w:eastAsia="Calibri" w:cs="Arial"/>
          <w:bCs/>
          <w:szCs w:val="22"/>
          <w:lang w:val="en-AU" w:bidi="ar-SA"/>
        </w:rPr>
        <w:t xml:space="preserve">Standard 4.2.3 contains an editorial Note to the table to clause 4 of that Standard. The Note refers readers to </w:t>
      </w:r>
      <w:r w:rsidRPr="004755F8">
        <w:rPr>
          <w:rFonts w:cs="Arial"/>
          <w:color w:val="000000"/>
          <w:szCs w:val="22"/>
          <w:shd w:val="clear" w:color="auto" w:fill="FFFFFF"/>
        </w:rPr>
        <w:t>the </w:t>
      </w:r>
      <w:r w:rsidRPr="004755F8">
        <w:rPr>
          <w:rFonts w:cs="Arial"/>
          <w:i/>
          <w:iCs/>
          <w:color w:val="000000"/>
          <w:szCs w:val="22"/>
          <w:shd w:val="clear" w:color="auto" w:fill="FFFFFF"/>
        </w:rPr>
        <w:t>Commonwealth Export Control (Meat and Meat Products) Orders 2005</w:t>
      </w:r>
      <w:r w:rsidRPr="004755F8">
        <w:rPr>
          <w:rFonts w:cs="Arial"/>
          <w:color w:val="000000"/>
          <w:szCs w:val="22"/>
          <w:shd w:val="clear" w:color="auto" w:fill="FFFFFF"/>
        </w:rPr>
        <w:t xml:space="preserve"> (</w:t>
      </w:r>
      <w:proofErr w:type="spellStart"/>
      <w:r w:rsidRPr="004755F8">
        <w:rPr>
          <w:rFonts w:cs="Arial"/>
          <w:color w:val="000000"/>
          <w:szCs w:val="22"/>
          <w:shd w:val="clear" w:color="auto" w:fill="FFFFFF"/>
        </w:rPr>
        <w:t>Cth</w:t>
      </w:r>
      <w:proofErr w:type="spellEnd"/>
      <w:r w:rsidRPr="004755F8">
        <w:rPr>
          <w:rFonts w:cs="Arial"/>
          <w:color w:val="000000"/>
          <w:szCs w:val="22"/>
          <w:shd w:val="clear" w:color="auto" w:fill="FFFFFF"/>
        </w:rPr>
        <w:t xml:space="preserve">) </w:t>
      </w:r>
      <w:r w:rsidRPr="004755F8">
        <w:rPr>
          <w:bCs/>
          <w:szCs w:val="22"/>
          <w:lang w:val="en-AU" w:eastAsia="en-GB" w:bidi="ar-SA"/>
        </w:rPr>
        <w:t xml:space="preserve">as one example of a food safety management system that a ‘relevant authority’ may recognise for the purposes of Standard 4.2.3. The </w:t>
      </w:r>
      <w:r w:rsidRPr="004755F8">
        <w:rPr>
          <w:rFonts w:cs="Arial"/>
          <w:i/>
          <w:iCs/>
          <w:color w:val="000000"/>
          <w:szCs w:val="22"/>
          <w:shd w:val="clear" w:color="auto" w:fill="FFFFFF"/>
        </w:rPr>
        <w:t>Commonwealth Export Control (Meat and Meat Products) Orders 2005</w:t>
      </w:r>
      <w:r w:rsidRPr="004755F8">
        <w:rPr>
          <w:rFonts w:cs="Arial"/>
          <w:color w:val="000000"/>
          <w:szCs w:val="22"/>
          <w:shd w:val="clear" w:color="auto" w:fill="FFFFFF"/>
        </w:rPr>
        <w:t xml:space="preserve"> (</w:t>
      </w:r>
      <w:proofErr w:type="spellStart"/>
      <w:r w:rsidRPr="004755F8">
        <w:rPr>
          <w:rFonts w:cs="Arial"/>
          <w:color w:val="000000"/>
          <w:szCs w:val="22"/>
          <w:shd w:val="clear" w:color="auto" w:fill="FFFFFF"/>
        </w:rPr>
        <w:t>Cth</w:t>
      </w:r>
      <w:proofErr w:type="spellEnd"/>
      <w:r w:rsidRPr="004755F8">
        <w:rPr>
          <w:rFonts w:cs="Arial"/>
          <w:color w:val="000000"/>
          <w:szCs w:val="22"/>
          <w:shd w:val="clear" w:color="auto" w:fill="FFFFFF"/>
        </w:rPr>
        <w:t xml:space="preserve">) have been replaced by the </w:t>
      </w:r>
      <w:r w:rsidRPr="004755F8">
        <w:rPr>
          <w:bCs/>
          <w:i/>
          <w:iCs/>
          <w:szCs w:val="22"/>
          <w:lang w:val="en-AU" w:eastAsia="en-GB" w:bidi="ar-SA"/>
        </w:rPr>
        <w:t xml:space="preserve">Export Control (Meat and Meat Product) Rules 2021 </w:t>
      </w:r>
      <w:r w:rsidRPr="004755F8">
        <w:rPr>
          <w:bCs/>
          <w:szCs w:val="22"/>
          <w:lang w:val="en-AU" w:eastAsia="en-GB" w:bidi="ar-SA"/>
        </w:rPr>
        <w:t>(</w:t>
      </w:r>
      <w:proofErr w:type="spellStart"/>
      <w:r w:rsidRPr="004755F8">
        <w:rPr>
          <w:bCs/>
          <w:szCs w:val="22"/>
          <w:lang w:val="en-AU" w:eastAsia="en-GB" w:bidi="ar-SA"/>
        </w:rPr>
        <w:t>Cth</w:t>
      </w:r>
      <w:proofErr w:type="spellEnd"/>
      <w:r w:rsidRPr="004755F8">
        <w:rPr>
          <w:bCs/>
          <w:szCs w:val="22"/>
          <w:lang w:val="en-AU" w:eastAsia="en-GB" w:bidi="ar-SA"/>
        </w:rPr>
        <w:t xml:space="preserve">). </w:t>
      </w:r>
      <w:r w:rsidRPr="004755F8">
        <w:t xml:space="preserve">The </w:t>
      </w:r>
      <w:r>
        <w:t xml:space="preserve">approved </w:t>
      </w:r>
      <w:r w:rsidRPr="004755F8">
        <w:t>draft variation amend</w:t>
      </w:r>
      <w:r>
        <w:t>s</w:t>
      </w:r>
      <w:r w:rsidRPr="004755F8">
        <w:t xml:space="preserve"> </w:t>
      </w:r>
      <w:r w:rsidRPr="004755F8">
        <w:rPr>
          <w:rFonts w:eastAsia="Calibri" w:cs="Arial"/>
          <w:bCs/>
          <w:szCs w:val="22"/>
          <w:lang w:val="en-AU" w:bidi="ar-SA"/>
        </w:rPr>
        <w:t>the editorial Note to the table to clause 4 of Standard 4.2.3 to refer instead to the 2021 Rules</w:t>
      </w:r>
      <w:r w:rsidRPr="004755F8">
        <w:rPr>
          <w:rFonts w:cs="Arial"/>
          <w:i/>
          <w:iCs/>
          <w:color w:val="000000"/>
          <w:szCs w:val="22"/>
          <w:shd w:val="clear" w:color="auto" w:fill="FFFFFF"/>
        </w:rPr>
        <w:t>.</w:t>
      </w:r>
    </w:p>
    <w:p w14:paraId="65B3E32B" w14:textId="77777777" w:rsidR="00D71039" w:rsidRPr="004755F8" w:rsidRDefault="00D71039" w:rsidP="00D71039">
      <w:pPr>
        <w:widowControl/>
        <w:autoSpaceDE w:val="0"/>
        <w:autoSpaceDN w:val="0"/>
        <w:adjustRightInd w:val="0"/>
        <w:rPr>
          <w:rFonts w:cs="Arial"/>
          <w:i/>
          <w:iCs/>
          <w:color w:val="000000"/>
          <w:szCs w:val="22"/>
          <w:shd w:val="clear" w:color="auto" w:fill="FFFFFF"/>
        </w:rPr>
      </w:pPr>
    </w:p>
    <w:p w14:paraId="411ED1BF" w14:textId="77777777" w:rsidR="00D71039" w:rsidRPr="004755F8" w:rsidRDefault="00D71039" w:rsidP="00D71039">
      <w:pPr>
        <w:widowControl/>
        <w:autoSpaceDE w:val="0"/>
        <w:autoSpaceDN w:val="0"/>
        <w:adjustRightInd w:val="0"/>
        <w:rPr>
          <w:bCs/>
          <w:lang w:val="en-AU" w:eastAsia="en-GB" w:bidi="ar-SA"/>
        </w:rPr>
      </w:pPr>
      <w:r w:rsidRPr="004755F8">
        <w:rPr>
          <w:bCs/>
          <w:lang w:val="en-AU" w:eastAsia="en-GB" w:bidi="ar-SA"/>
        </w:rPr>
        <w:t xml:space="preserve">The </w:t>
      </w:r>
      <w:r w:rsidRPr="004755F8">
        <w:rPr>
          <w:rFonts w:eastAsia="Calibri" w:cs="Arial"/>
          <w:bCs/>
          <w:szCs w:val="22"/>
          <w:lang w:val="en-AU" w:bidi="ar-SA"/>
        </w:rPr>
        <w:t>Note does not incorporate the 2021 Rules by reference. The note has</w:t>
      </w:r>
      <w:r w:rsidRPr="004755F8">
        <w:rPr>
          <w:bCs/>
          <w:lang w:val="en-AU" w:eastAsia="en-GB" w:bidi="ar-SA"/>
        </w:rPr>
        <w:t xml:space="preserve"> no legal effect. Editorial Notes and examples do not form part of the Code (see the definition of the term ‘standard’ in subsection 4(1) of the FSANZ Act). </w:t>
      </w:r>
    </w:p>
    <w:p w14:paraId="56616028" w14:textId="77777777" w:rsidR="00D71039" w:rsidRPr="004755F8" w:rsidRDefault="00D71039" w:rsidP="00D71039">
      <w:pPr>
        <w:widowControl/>
        <w:autoSpaceDE w:val="0"/>
        <w:autoSpaceDN w:val="0"/>
        <w:adjustRightInd w:val="0"/>
        <w:rPr>
          <w:bCs/>
          <w:lang w:val="en-AU" w:eastAsia="en-GB" w:bidi="ar-SA"/>
        </w:rPr>
      </w:pPr>
    </w:p>
    <w:p w14:paraId="70B2BB37" w14:textId="77777777" w:rsidR="00D71039" w:rsidRDefault="00D71039" w:rsidP="00D71039">
      <w:pPr>
        <w:rPr>
          <w:rFonts w:cs="Arial"/>
          <w:color w:val="3333FF"/>
          <w:szCs w:val="22"/>
          <w:u w:val="single"/>
          <w:shd w:val="clear" w:color="auto" w:fill="FFFFFF"/>
        </w:rPr>
      </w:pPr>
      <w:r w:rsidRPr="004755F8">
        <w:rPr>
          <w:rFonts w:cs="Arial"/>
          <w:color w:val="000000"/>
          <w:szCs w:val="22"/>
          <w:shd w:val="clear" w:color="auto" w:fill="FFFFFF"/>
        </w:rPr>
        <w:t xml:space="preserve">A copy of </w:t>
      </w:r>
      <w:r w:rsidRPr="004755F8">
        <w:rPr>
          <w:rFonts w:cs="Arial"/>
          <w:szCs w:val="22"/>
          <w:shd w:val="clear" w:color="auto" w:fill="FFFFFF"/>
        </w:rPr>
        <w:t xml:space="preserve">the </w:t>
      </w:r>
      <w:r w:rsidRPr="004755F8">
        <w:rPr>
          <w:rFonts w:eastAsia="Calibri" w:cs="Arial"/>
          <w:bCs/>
          <w:szCs w:val="22"/>
          <w:lang w:val="en-AU" w:bidi="ar-SA"/>
        </w:rPr>
        <w:t xml:space="preserve">2021 </w:t>
      </w:r>
      <w:r w:rsidRPr="004755F8">
        <w:rPr>
          <w:rFonts w:cs="Arial"/>
          <w:color w:val="000000"/>
          <w:szCs w:val="22"/>
          <w:shd w:val="clear" w:color="auto" w:fill="FFFFFF"/>
        </w:rPr>
        <w:t xml:space="preserve">Rules is freely and publicly available online at </w:t>
      </w:r>
      <w:hyperlink r:id="rId15" w:history="1">
        <w:r w:rsidRPr="004755F8">
          <w:rPr>
            <w:rFonts w:cs="Arial"/>
            <w:color w:val="3333FF"/>
            <w:szCs w:val="22"/>
            <w:u w:val="single"/>
            <w:shd w:val="clear" w:color="auto" w:fill="FFFFFF"/>
          </w:rPr>
          <w:t>https://www.legislation.gov.au/Details/F2021L00317</w:t>
        </w:r>
      </w:hyperlink>
    </w:p>
    <w:p w14:paraId="13C52146" w14:textId="77777777" w:rsidR="00D71039" w:rsidRDefault="00D71039" w:rsidP="00D71039">
      <w:pPr>
        <w:rPr>
          <w:rFonts w:cs="Arial"/>
          <w:color w:val="3333FF"/>
          <w:szCs w:val="22"/>
          <w:u w:val="single"/>
          <w:shd w:val="clear" w:color="auto" w:fill="FFFFFF"/>
        </w:rPr>
      </w:pPr>
    </w:p>
    <w:p w14:paraId="0C9A2A50" w14:textId="77777777" w:rsidR="00D71039" w:rsidRPr="0022456F" w:rsidRDefault="00D71039" w:rsidP="00D71039">
      <w:pPr>
        <w:widowControl/>
        <w:autoSpaceDE w:val="0"/>
        <w:autoSpaceDN w:val="0"/>
        <w:adjustRightInd w:val="0"/>
        <w:rPr>
          <w:rFonts w:eastAsia="Calibri" w:cs="Arial"/>
          <w:bCs/>
          <w:i/>
          <w:iCs/>
          <w:szCs w:val="22"/>
          <w:lang w:val="en-AU" w:bidi="ar-SA"/>
        </w:rPr>
      </w:pPr>
      <w:r w:rsidRPr="0022456F">
        <w:rPr>
          <w:rFonts w:eastAsia="Calibri" w:cs="Arial"/>
          <w:bCs/>
          <w:i/>
          <w:iCs/>
          <w:szCs w:val="22"/>
          <w:lang w:val="en-AU" w:bidi="ar-SA"/>
        </w:rPr>
        <w:t>Schedule 3</w:t>
      </w:r>
    </w:p>
    <w:p w14:paraId="1155F52A" w14:textId="77777777" w:rsidR="00D71039" w:rsidRPr="0022456F" w:rsidRDefault="00D71039" w:rsidP="00D71039">
      <w:pPr>
        <w:widowControl/>
        <w:autoSpaceDE w:val="0"/>
        <w:autoSpaceDN w:val="0"/>
        <w:adjustRightInd w:val="0"/>
        <w:rPr>
          <w:rFonts w:eastAsia="Calibri" w:cs="Arial"/>
          <w:bCs/>
          <w:szCs w:val="22"/>
          <w:lang w:val="en-AU" w:bidi="ar-SA"/>
        </w:rPr>
      </w:pPr>
    </w:p>
    <w:p w14:paraId="29AB0548" w14:textId="77777777" w:rsidR="00D71039" w:rsidRPr="0022456F" w:rsidRDefault="00D71039" w:rsidP="00D71039">
      <w:pPr>
        <w:widowControl/>
        <w:autoSpaceDE w:val="0"/>
        <w:autoSpaceDN w:val="0"/>
        <w:adjustRightInd w:val="0"/>
      </w:pPr>
      <w:r w:rsidRPr="0022456F">
        <w:t xml:space="preserve">Section 1.1.1—15 of the Code requires certain substances to comply with any relevant identity and purity specifications listed in Schedule 3 of the Code. </w:t>
      </w:r>
    </w:p>
    <w:p w14:paraId="20F65767" w14:textId="77777777" w:rsidR="00D71039" w:rsidRPr="0022456F" w:rsidRDefault="00D71039" w:rsidP="00D71039">
      <w:pPr>
        <w:widowControl/>
        <w:autoSpaceDE w:val="0"/>
        <w:autoSpaceDN w:val="0"/>
        <w:adjustRightInd w:val="0"/>
      </w:pPr>
    </w:p>
    <w:p w14:paraId="2583BF65" w14:textId="77777777" w:rsidR="00D71039" w:rsidRPr="0022456F" w:rsidRDefault="00D71039" w:rsidP="00D71039">
      <w:pPr>
        <w:widowControl/>
        <w:autoSpaceDE w:val="0"/>
        <w:autoSpaceDN w:val="0"/>
        <w:adjustRightInd w:val="0"/>
      </w:pPr>
      <w:r w:rsidRPr="0022456F">
        <w:t>Schedule 3 incorporates certain publications by reference to set specifications for various substances in the circumstances specified in that Schedule. The publications listed include the following:</w:t>
      </w:r>
    </w:p>
    <w:p w14:paraId="4A524947" w14:textId="77777777" w:rsidR="00D71039" w:rsidRPr="0022456F" w:rsidRDefault="00D71039" w:rsidP="00D71039">
      <w:pPr>
        <w:widowControl/>
        <w:autoSpaceDE w:val="0"/>
        <w:autoSpaceDN w:val="0"/>
        <w:adjustRightInd w:val="0"/>
      </w:pPr>
    </w:p>
    <w:p w14:paraId="51D1FC7D" w14:textId="77777777" w:rsidR="00D71039" w:rsidRPr="00126720" w:rsidRDefault="00D71039" w:rsidP="00D71039">
      <w:pPr>
        <w:pStyle w:val="ListParagraph"/>
        <w:widowControl/>
        <w:numPr>
          <w:ilvl w:val="0"/>
          <w:numId w:val="17"/>
        </w:numPr>
        <w:rPr>
          <w:rFonts w:cs="Arial"/>
          <w:szCs w:val="22"/>
          <w:lang w:bidi="ar-SA"/>
        </w:rPr>
      </w:pPr>
      <w:r w:rsidRPr="00126720">
        <w:rPr>
          <w:rFonts w:cs="Arial"/>
          <w:szCs w:val="22"/>
          <w:lang w:bidi="ar-SA"/>
        </w:rPr>
        <w:t xml:space="preserve">the Compendium of Food Additive Specifications published by the Food and Agriculture Organisation of the United Nations /World Health Organisation Expert Committee on Food Additives  (JECFA) </w:t>
      </w:r>
      <w:r w:rsidRPr="00126720">
        <w:rPr>
          <w:rFonts w:cs="Arial"/>
          <w:color w:val="000000"/>
          <w:szCs w:val="22"/>
          <w:shd w:val="clear" w:color="auto" w:fill="FFFFFF"/>
          <w:lang w:bidi="ar-SA"/>
        </w:rPr>
        <w:t>in the Monographs listed in Schedule 3</w:t>
      </w:r>
      <w:r w:rsidRPr="00126720">
        <w:rPr>
          <w:rFonts w:cs="Arial"/>
          <w:szCs w:val="22"/>
          <w:lang w:bidi="ar-SA"/>
        </w:rPr>
        <w:t xml:space="preserve">; </w:t>
      </w:r>
    </w:p>
    <w:p w14:paraId="7FD01D20" w14:textId="77777777" w:rsidR="00D71039" w:rsidRPr="00126720" w:rsidRDefault="00D71039" w:rsidP="00D71039">
      <w:pPr>
        <w:pStyle w:val="ListParagraph"/>
        <w:widowControl/>
        <w:numPr>
          <w:ilvl w:val="0"/>
          <w:numId w:val="17"/>
        </w:numPr>
        <w:rPr>
          <w:rFonts w:cs="Arial"/>
          <w:color w:val="000000"/>
          <w:szCs w:val="22"/>
          <w:shd w:val="clear" w:color="auto" w:fill="FFFFFF"/>
          <w:lang w:bidi="ar-SA"/>
        </w:rPr>
      </w:pPr>
      <w:r w:rsidRPr="00126720">
        <w:rPr>
          <w:rFonts w:cs="Arial"/>
          <w:szCs w:val="22"/>
          <w:lang w:bidi="ar-SA"/>
        </w:rPr>
        <w:t>the 12</w:t>
      </w:r>
      <w:r w:rsidRPr="000B56E9">
        <w:rPr>
          <w:rFonts w:cs="Arial"/>
          <w:szCs w:val="22"/>
          <w:vertAlign w:val="superscript"/>
          <w:lang w:bidi="ar-SA"/>
        </w:rPr>
        <w:t>th</w:t>
      </w:r>
      <w:r w:rsidRPr="00126720">
        <w:rPr>
          <w:rFonts w:cs="Arial"/>
          <w:szCs w:val="22"/>
          <w:lang w:bidi="ar-SA"/>
        </w:rPr>
        <w:t xml:space="preserve"> edition (2020) of the </w:t>
      </w:r>
      <w:r w:rsidRPr="00126720">
        <w:rPr>
          <w:rFonts w:cs="Arial"/>
          <w:color w:val="000000"/>
          <w:szCs w:val="22"/>
          <w:shd w:val="clear" w:color="auto" w:fill="FFFFFF"/>
          <w:lang w:bidi="ar-SA"/>
        </w:rPr>
        <w:t xml:space="preserve">Food chemicals codex published by the United States Pharmacopeial Convention; and </w:t>
      </w:r>
    </w:p>
    <w:p w14:paraId="6DFA4D08" w14:textId="77777777" w:rsidR="00D71039" w:rsidRPr="00126720" w:rsidRDefault="00D71039" w:rsidP="00D71039">
      <w:pPr>
        <w:pStyle w:val="ListParagraph"/>
        <w:widowControl/>
        <w:numPr>
          <w:ilvl w:val="0"/>
          <w:numId w:val="17"/>
        </w:numPr>
        <w:rPr>
          <w:rFonts w:cs="Arial"/>
          <w:color w:val="000000"/>
          <w:szCs w:val="22"/>
          <w:shd w:val="clear" w:color="auto" w:fill="FFFFFF"/>
          <w:lang w:bidi="ar-SA"/>
        </w:rPr>
      </w:pPr>
      <w:r w:rsidRPr="00126720">
        <w:rPr>
          <w:rFonts w:cs="Arial"/>
          <w:szCs w:val="22"/>
          <w:lang w:bidi="ar-SA"/>
        </w:rPr>
        <w:t xml:space="preserve">the 2018 edition of the International Oenological Codex published by the </w:t>
      </w:r>
      <w:r w:rsidRPr="00126720">
        <w:rPr>
          <w:rFonts w:cs="Arial"/>
          <w:color w:val="000000"/>
          <w:szCs w:val="22"/>
          <w:shd w:val="clear" w:color="auto" w:fill="FFFFFF"/>
          <w:lang w:bidi="ar-SA"/>
        </w:rPr>
        <w:t xml:space="preserve">Organisation Internationale de la </w:t>
      </w:r>
      <w:proofErr w:type="spellStart"/>
      <w:r w:rsidRPr="00126720">
        <w:rPr>
          <w:rFonts w:cs="Arial"/>
          <w:color w:val="000000"/>
          <w:szCs w:val="22"/>
          <w:shd w:val="clear" w:color="auto" w:fill="FFFFFF"/>
          <w:lang w:bidi="ar-SA"/>
        </w:rPr>
        <w:t>Vigne</w:t>
      </w:r>
      <w:proofErr w:type="spellEnd"/>
      <w:r w:rsidRPr="00126720">
        <w:rPr>
          <w:rFonts w:cs="Arial"/>
          <w:color w:val="000000"/>
          <w:szCs w:val="22"/>
          <w:shd w:val="clear" w:color="auto" w:fill="FFFFFF"/>
          <w:lang w:bidi="ar-SA"/>
        </w:rPr>
        <w:t xml:space="preserve"> et du Vin (OIV).</w:t>
      </w:r>
    </w:p>
    <w:p w14:paraId="366A2837" w14:textId="77777777" w:rsidR="00D71039" w:rsidRPr="0022456F" w:rsidRDefault="00D71039" w:rsidP="00D71039">
      <w:pPr>
        <w:rPr>
          <w:lang w:bidi="ar-SA"/>
        </w:rPr>
      </w:pPr>
    </w:p>
    <w:p w14:paraId="219586A5" w14:textId="77777777" w:rsidR="00D71039" w:rsidRPr="0022456F" w:rsidRDefault="00D71039" w:rsidP="00D71039">
      <w:pPr>
        <w:rPr>
          <w:rFonts w:cs="Arial"/>
          <w:szCs w:val="22"/>
          <w:lang w:eastAsia="en-AU"/>
        </w:rPr>
      </w:pPr>
      <w:r w:rsidRPr="0022456F">
        <w:rPr>
          <w:rFonts w:eastAsia="Calibri" w:cs="Arial"/>
          <w:color w:val="000000"/>
          <w:szCs w:val="22"/>
          <w:lang w:bidi="ar-SA"/>
        </w:rPr>
        <w:t xml:space="preserve">The </w:t>
      </w:r>
      <w:r>
        <w:rPr>
          <w:rFonts w:eastAsia="Calibri" w:cs="Arial"/>
          <w:color w:val="000000"/>
          <w:szCs w:val="22"/>
          <w:lang w:bidi="ar-SA"/>
        </w:rPr>
        <w:t xml:space="preserve">approved </w:t>
      </w:r>
      <w:r w:rsidRPr="0022456F">
        <w:rPr>
          <w:rFonts w:eastAsia="Calibri" w:cs="Arial"/>
          <w:bCs/>
          <w:color w:val="000000"/>
          <w:szCs w:val="22"/>
          <w:lang w:bidi="ar-SA"/>
        </w:rPr>
        <w:t>draft variation amend</w:t>
      </w:r>
      <w:r>
        <w:rPr>
          <w:rFonts w:eastAsia="Calibri" w:cs="Arial"/>
          <w:bCs/>
          <w:color w:val="000000"/>
          <w:szCs w:val="22"/>
          <w:lang w:bidi="ar-SA"/>
        </w:rPr>
        <w:t>s</w:t>
      </w:r>
      <w:r w:rsidRPr="0022456F">
        <w:rPr>
          <w:rFonts w:eastAsia="Calibri" w:cs="Arial"/>
          <w:bCs/>
          <w:color w:val="000000"/>
          <w:szCs w:val="22"/>
          <w:lang w:bidi="ar-SA"/>
        </w:rPr>
        <w:t xml:space="preserve"> relevant provisions in Schedule 3 to update these references to refer to the following</w:t>
      </w:r>
      <w:r w:rsidRPr="0022456F">
        <w:rPr>
          <w:rFonts w:cs="Arial"/>
          <w:szCs w:val="22"/>
          <w:lang w:eastAsia="en-AU"/>
        </w:rPr>
        <w:t xml:space="preserve">. </w:t>
      </w:r>
      <w:r w:rsidRPr="0022456F">
        <w:rPr>
          <w:rFonts w:cs="Arial"/>
          <w:szCs w:val="22"/>
          <w:lang w:eastAsia="en-AU"/>
        </w:rPr>
        <w:br/>
      </w:r>
    </w:p>
    <w:p w14:paraId="005B386B" w14:textId="77777777" w:rsidR="00D71039" w:rsidRPr="0022456F" w:rsidRDefault="00D71039" w:rsidP="00D71039">
      <w:pPr>
        <w:numPr>
          <w:ilvl w:val="0"/>
          <w:numId w:val="16"/>
        </w:numPr>
        <w:contextualSpacing/>
        <w:rPr>
          <w:rFonts w:eastAsia="Calibri" w:cs="Arial"/>
          <w:color w:val="000000"/>
          <w:szCs w:val="22"/>
          <w:lang w:bidi="ar-SA"/>
        </w:rPr>
      </w:pPr>
      <w:r w:rsidRPr="0022456F">
        <w:rPr>
          <w:rFonts w:cs="Arial"/>
          <w:szCs w:val="22"/>
          <w:lang w:eastAsia="en-AU"/>
        </w:rPr>
        <w:t xml:space="preserve">JECFA has added new Monographs 25 (2020) and 26 (2021) to its </w:t>
      </w:r>
      <w:r w:rsidRPr="0022456F">
        <w:rPr>
          <w:rFonts w:cs="Arial"/>
          <w:szCs w:val="22"/>
        </w:rPr>
        <w:t>Compendium of Food Additive Specifications</w:t>
      </w:r>
      <w:r w:rsidRPr="0022456F">
        <w:rPr>
          <w:rFonts w:cs="Arial"/>
          <w:szCs w:val="22"/>
          <w:lang w:eastAsia="en-AU"/>
        </w:rPr>
        <w:t xml:space="preserve">. Copies are </w:t>
      </w:r>
      <w:r w:rsidRPr="0022456F">
        <w:rPr>
          <w:rFonts w:cs="Arial"/>
          <w:color w:val="000000"/>
          <w:szCs w:val="22"/>
          <w:shd w:val="clear" w:color="auto" w:fill="FFFFFF"/>
        </w:rPr>
        <w:t xml:space="preserve">freely and publicly available online at </w:t>
      </w:r>
      <w:hyperlink r:id="rId16" w:history="1">
        <w:r w:rsidRPr="0022456F">
          <w:rPr>
            <w:rFonts w:eastAsia="Calibri" w:cs="Arial"/>
            <w:color w:val="3333FF"/>
            <w:szCs w:val="22"/>
            <w:u w:val="single"/>
            <w:lang w:bidi="ar-SA"/>
          </w:rPr>
          <w:t>https://www.fao.org/food/food-safety-quality/scientific-advice/jecfa/jecfa-additives/en/</w:t>
        </w:r>
      </w:hyperlink>
      <w:r w:rsidRPr="0022456F">
        <w:rPr>
          <w:rFonts w:eastAsia="Calibri" w:cs="Arial"/>
          <w:color w:val="000000"/>
          <w:szCs w:val="22"/>
          <w:lang w:bidi="ar-SA"/>
        </w:rPr>
        <w:t xml:space="preserve">. </w:t>
      </w:r>
      <w:r w:rsidRPr="0022456F">
        <w:rPr>
          <w:rFonts w:eastAsia="Calibri" w:cs="Arial"/>
          <w:color w:val="000000"/>
          <w:szCs w:val="22"/>
          <w:lang w:bidi="ar-SA"/>
        </w:rPr>
        <w:br/>
      </w:r>
    </w:p>
    <w:p w14:paraId="4690177E" w14:textId="77777777" w:rsidR="00D71039" w:rsidRPr="005C0C65" w:rsidRDefault="00D71039" w:rsidP="00D71039">
      <w:pPr>
        <w:pStyle w:val="ListParagraph"/>
        <w:numPr>
          <w:ilvl w:val="0"/>
          <w:numId w:val="16"/>
        </w:numPr>
        <w:rPr>
          <w:rFonts w:cs="Arial"/>
          <w:color w:val="000000"/>
          <w:szCs w:val="22"/>
          <w:shd w:val="clear" w:color="auto" w:fill="FFFFFF"/>
        </w:rPr>
      </w:pPr>
      <w:r w:rsidRPr="005C0C65">
        <w:rPr>
          <w:rFonts w:cs="Arial"/>
          <w:szCs w:val="22"/>
          <w:lang w:eastAsia="en-AU"/>
        </w:rPr>
        <w:t xml:space="preserve">The OIV has published a new edition (2022) of the International Oenological Codex. A copy is </w:t>
      </w:r>
      <w:r w:rsidRPr="005C0C65">
        <w:rPr>
          <w:rFonts w:cs="Arial"/>
          <w:color w:val="000000"/>
          <w:szCs w:val="22"/>
          <w:shd w:val="clear" w:color="auto" w:fill="FFFFFF"/>
        </w:rPr>
        <w:t xml:space="preserve">freely and publicly available online at </w:t>
      </w:r>
      <w:hyperlink r:id="rId17" w:history="1">
        <w:r w:rsidRPr="005C0C65">
          <w:rPr>
            <w:rFonts w:cs="Arial"/>
            <w:color w:val="3333FF"/>
            <w:szCs w:val="22"/>
            <w:u w:val="single"/>
            <w:shd w:val="clear" w:color="auto" w:fill="FFFFFF"/>
          </w:rPr>
          <w:t>https://www.oiv.int/standards/international-oenological-codex</w:t>
        </w:r>
      </w:hyperlink>
      <w:r w:rsidRPr="005C0C65">
        <w:rPr>
          <w:rFonts w:cs="Arial"/>
          <w:color w:val="000000"/>
          <w:szCs w:val="22"/>
          <w:shd w:val="clear" w:color="auto" w:fill="FFFFFF"/>
        </w:rPr>
        <w:t>.</w:t>
      </w:r>
    </w:p>
    <w:p w14:paraId="20E22693" w14:textId="77777777" w:rsidR="00D71039" w:rsidRDefault="00D71039" w:rsidP="00D71039">
      <w:pPr>
        <w:rPr>
          <w:rFonts w:cs="Arial"/>
          <w:color w:val="000000"/>
          <w:szCs w:val="22"/>
          <w:shd w:val="clear" w:color="auto" w:fill="FFFFFF"/>
        </w:rPr>
      </w:pPr>
    </w:p>
    <w:p w14:paraId="1EEEA98D" w14:textId="77777777" w:rsidR="00D71039" w:rsidRPr="003A4FC8" w:rsidRDefault="00D71039" w:rsidP="00D71039">
      <w:pPr>
        <w:pStyle w:val="ListParagraph"/>
        <w:numPr>
          <w:ilvl w:val="0"/>
          <w:numId w:val="16"/>
        </w:numPr>
        <w:rPr>
          <w:rFonts w:cs="Arial"/>
          <w:szCs w:val="22"/>
          <w:lang w:eastAsia="en-AU"/>
        </w:rPr>
      </w:pPr>
      <w:r w:rsidRPr="003A4FC8">
        <w:rPr>
          <w:rFonts w:cs="Arial"/>
          <w:szCs w:val="22"/>
          <w:lang w:eastAsia="en-AU"/>
        </w:rPr>
        <w:t>The United States Pharmacopeial Convention has published a new 2022 (13</w:t>
      </w:r>
      <w:r w:rsidRPr="003A4FC8">
        <w:rPr>
          <w:rFonts w:cs="Arial"/>
          <w:szCs w:val="22"/>
          <w:vertAlign w:val="superscript"/>
          <w:lang w:eastAsia="en-AU"/>
        </w:rPr>
        <w:t>th</w:t>
      </w:r>
      <w:r w:rsidRPr="003A4FC8">
        <w:rPr>
          <w:rFonts w:cs="Arial"/>
          <w:szCs w:val="22"/>
          <w:lang w:eastAsia="en-AU"/>
        </w:rPr>
        <w:t xml:space="preserve"> edition) of the Food chemicals codex (FCC). A copy is </w:t>
      </w:r>
      <w:r w:rsidRPr="003A4FC8">
        <w:rPr>
          <w:rFonts w:cs="Arial"/>
          <w:color w:val="000000"/>
          <w:szCs w:val="22"/>
          <w:shd w:val="clear" w:color="auto" w:fill="FFFFFF"/>
        </w:rPr>
        <w:t xml:space="preserve">available online at </w:t>
      </w:r>
      <w:hyperlink r:id="rId18" w:history="1">
        <w:r w:rsidRPr="003A4FC8">
          <w:rPr>
            <w:rFonts w:cs="Arial"/>
            <w:color w:val="3333FF"/>
            <w:szCs w:val="22"/>
            <w:u w:val="single"/>
            <w:shd w:val="clear" w:color="auto" w:fill="FFFFFF"/>
          </w:rPr>
          <w:t>https://www.foodchemicalscodex.org/</w:t>
        </w:r>
      </w:hyperlink>
      <w:r w:rsidRPr="003A4FC8">
        <w:rPr>
          <w:rFonts w:cs="Arial"/>
          <w:szCs w:val="22"/>
          <w:lang w:eastAsia="en-AU"/>
        </w:rPr>
        <w:br/>
      </w:r>
      <w:r w:rsidRPr="003A4FC8">
        <w:rPr>
          <w:rFonts w:cs="Arial"/>
          <w:szCs w:val="22"/>
          <w:lang w:eastAsia="en-AU"/>
        </w:rPr>
        <w:br/>
      </w:r>
      <w:r w:rsidRPr="003A4FC8">
        <w:rPr>
          <w:rFonts w:cs="Arial"/>
          <w:szCs w:val="22"/>
        </w:rPr>
        <w:t>The FCC is not available for free. However, it is anticipated that the persons most affected by its adoption in the Code (food manufacturers), would be in possession of the document in order to manufacture food products. As an important international benchmark for the safety and quality of food ingredients, it would be infeasible from a regulatory perspective to not adopt such benchmarks on the basis that the publications are not available for free.</w:t>
      </w:r>
      <w:r w:rsidRPr="003A4FC8">
        <w:rPr>
          <w:rFonts w:cs="Arial"/>
          <w:szCs w:val="22"/>
        </w:rPr>
        <w:br/>
      </w:r>
      <w:r w:rsidRPr="003A4FC8">
        <w:rPr>
          <w:rFonts w:cs="Arial"/>
          <w:szCs w:val="22"/>
        </w:rPr>
        <w:br/>
        <w:t>However, by prior written arrangement with the Authority, members of the public may arrange to view the FCC without charge at the Authority’s Wellington and Canberra Offices</w:t>
      </w:r>
      <w:r w:rsidRPr="003A4FC8">
        <w:rPr>
          <w:rFonts w:ascii="Segoe UI" w:hAnsi="Segoe UI" w:cs="Segoe UI"/>
          <w:sz w:val="18"/>
          <w:szCs w:val="18"/>
          <w:lang w:val="en-AU" w:eastAsia="en-AU" w:bidi="ar-SA"/>
        </w:rPr>
        <w:t>.</w:t>
      </w:r>
    </w:p>
    <w:p w14:paraId="44EB3906" w14:textId="77777777" w:rsidR="00D71039" w:rsidRPr="00656FB2" w:rsidRDefault="00D71039" w:rsidP="00D71039">
      <w:pPr>
        <w:contextualSpacing/>
        <w:rPr>
          <w:rFonts w:cs="Arial"/>
          <w:szCs w:val="22"/>
        </w:rPr>
      </w:pPr>
    </w:p>
    <w:p w14:paraId="0EF77ADE" w14:textId="77777777" w:rsidR="00D71039" w:rsidRPr="00656FB2" w:rsidRDefault="00D71039" w:rsidP="00D71039">
      <w:pPr>
        <w:ind w:left="709"/>
        <w:contextualSpacing/>
        <w:rPr>
          <w:rFonts w:cs="Arial"/>
          <w:sz w:val="20"/>
          <w:szCs w:val="20"/>
          <w:lang w:val="en-AU" w:eastAsia="en-AU" w:bidi="ar-SA"/>
        </w:rPr>
      </w:pPr>
      <w:bookmarkStart w:id="1" w:name="_Hlk129014095"/>
      <w:r w:rsidRPr="003B0975">
        <w:rPr>
          <w:rFonts w:cs="Arial"/>
          <w:szCs w:val="22"/>
          <w:lang w:val="en-AU" w:eastAsia="en-AU" w:bidi="ar-SA"/>
        </w:rPr>
        <w:t>It should also be noted that the National Library’s Trove online system (</w:t>
      </w:r>
      <w:hyperlink r:id="rId19" w:history="1">
        <w:r w:rsidRPr="003B0975">
          <w:rPr>
            <w:rFonts w:cs="Arial"/>
            <w:color w:val="0000FF"/>
            <w:szCs w:val="22"/>
            <w:u w:val="single"/>
            <w:lang w:val="en-AU" w:eastAsia="en-AU" w:bidi="ar-SA"/>
          </w:rPr>
          <w:t>www.trove.nla.gov.au/</w:t>
        </w:r>
      </w:hyperlink>
      <w:r w:rsidRPr="003B0975">
        <w:rPr>
          <w:rFonts w:cs="Arial"/>
          <w:szCs w:val="22"/>
          <w:lang w:val="en-AU" w:eastAsia="en-AU" w:bidi="ar-SA"/>
        </w:rPr>
        <w:t>) allows users to identify libraries in Australia that are open to the public where editions (in most cases, earlier editions) of the FCC may be viewed. For example, Trove indicates that access to the 1996 edition of the FCC is available at the University of Melbourne Library and the Hawksbury Campus Library of the Western Sydney University, which are both open to the public. Members of the public may also approach any library that participates in inter-library loans with those university libraries to request an inter-library loan, or to obtain a photocopy of a particular part or monograph in the FCC for personal study or research (but not for commercial purposes). Fees apply in relation to the making of such a request. Enquiries should be made with local libraries, State libraries and the National Library</w:t>
      </w:r>
      <w:r w:rsidRPr="00656FB2">
        <w:rPr>
          <w:rFonts w:ascii="Segoe UI" w:hAnsi="Segoe UI" w:cs="Segoe UI"/>
          <w:sz w:val="18"/>
          <w:szCs w:val="18"/>
          <w:lang w:val="en-AU" w:eastAsia="en-AU" w:bidi="ar-SA"/>
        </w:rPr>
        <w:t xml:space="preserve">. </w:t>
      </w:r>
    </w:p>
    <w:bookmarkEnd w:id="1"/>
    <w:p w14:paraId="47314867" w14:textId="77777777" w:rsidR="00D71039" w:rsidRDefault="00D71039" w:rsidP="00D71039">
      <w:pPr>
        <w:rPr>
          <w:rFonts w:cs="Arial"/>
          <w:szCs w:val="22"/>
        </w:rPr>
      </w:pPr>
    </w:p>
    <w:p w14:paraId="48B36245" w14:textId="77777777" w:rsidR="00D71039" w:rsidRPr="000576EB" w:rsidRDefault="00D71039" w:rsidP="00D71039">
      <w:pPr>
        <w:rPr>
          <w:b/>
          <w:lang w:val="en-AU" w:eastAsia="en-GB" w:bidi="ar-SA"/>
        </w:rPr>
      </w:pPr>
      <w:r>
        <w:rPr>
          <w:b/>
          <w:lang w:val="en-AU" w:eastAsia="en-GB" w:bidi="ar-SA"/>
        </w:rPr>
        <w:t>5</w:t>
      </w:r>
      <w:r w:rsidRPr="000576EB">
        <w:rPr>
          <w:b/>
          <w:lang w:val="en-AU" w:eastAsia="en-GB" w:bidi="ar-SA"/>
        </w:rPr>
        <w:t>.</w:t>
      </w:r>
      <w:r w:rsidRPr="000576EB">
        <w:rPr>
          <w:b/>
          <w:lang w:val="en-AU" w:eastAsia="en-GB" w:bidi="ar-SA"/>
        </w:rPr>
        <w:tab/>
        <w:t>Consultation</w:t>
      </w:r>
    </w:p>
    <w:p w14:paraId="24CDDC84" w14:textId="77777777" w:rsidR="00D71039" w:rsidRDefault="00D71039" w:rsidP="00D71039">
      <w:pPr>
        <w:rPr>
          <w:lang w:val="en-AU" w:eastAsia="en-GB" w:bidi="ar-SA"/>
        </w:rPr>
      </w:pPr>
    </w:p>
    <w:p w14:paraId="08917991" w14:textId="77777777" w:rsidR="00D71039" w:rsidRPr="00DE35DC" w:rsidRDefault="00D71039" w:rsidP="00D71039">
      <w:pPr>
        <w:rPr>
          <w:rFonts w:cs="Arial"/>
          <w:szCs w:val="22"/>
        </w:rPr>
      </w:pPr>
      <w:r w:rsidRPr="00DE35DC">
        <w:rPr>
          <w:rFonts w:cs="Arial"/>
          <w:szCs w:val="22"/>
        </w:rPr>
        <w:t xml:space="preserve">In accordance with the procedure in Division 2 of Part 3 of the FSANZ Act, the Authority’s consideration of Proposal P1061 included one round of public consultation following an assessment and the preparation of a draft variation and associated assessment summary. Submissions were called for on 30 January 2023 for a five-week consultation period. </w:t>
      </w:r>
      <w:r w:rsidRPr="00066FDD">
        <w:rPr>
          <w:rFonts w:cs="Arial"/>
          <w:szCs w:val="22"/>
        </w:rPr>
        <w:t>Four</w:t>
      </w:r>
      <w:r w:rsidRPr="00DE35DC">
        <w:rPr>
          <w:rFonts w:cs="Arial"/>
          <w:szCs w:val="22"/>
        </w:rPr>
        <w:t xml:space="preserve"> submissions were received </w:t>
      </w:r>
      <w:r w:rsidRPr="009305AA">
        <w:rPr>
          <w:rFonts w:cs="Arial"/>
          <w:bCs/>
          <w:szCs w:val="22"/>
          <w:lang w:val="en-AU" w:eastAsia="en-GB" w:bidi="ar-SA"/>
        </w:rPr>
        <w:t>in response to the call for public submissions</w:t>
      </w:r>
      <w:r w:rsidRPr="00DE35DC">
        <w:rPr>
          <w:rFonts w:cs="Arial"/>
          <w:szCs w:val="22"/>
        </w:rPr>
        <w:t>.</w:t>
      </w:r>
    </w:p>
    <w:p w14:paraId="4FF15956" w14:textId="77777777" w:rsidR="00D71039" w:rsidRPr="00C47919" w:rsidRDefault="00D71039" w:rsidP="00D71039">
      <w:pPr>
        <w:rPr>
          <w:szCs w:val="22"/>
        </w:rPr>
      </w:pPr>
    </w:p>
    <w:p w14:paraId="78FD11C7" w14:textId="77777777" w:rsidR="00D71039" w:rsidRPr="00D06616" w:rsidRDefault="00D71039" w:rsidP="00D71039">
      <w:pPr>
        <w:rPr>
          <w:color w:val="FF0000"/>
          <w:lang w:val="en-AU"/>
        </w:rPr>
      </w:pPr>
      <w:r w:rsidRPr="006001CC">
        <w:rPr>
          <w:szCs w:val="22"/>
        </w:rPr>
        <w:t>The Australian Government’s Office of Impact Analysis, formerly known as the Office of Best Practice Regulation (OBPR), in an email on 22.12.22 (reference ID OBPR22-03854) advised that, on the basis of information provided by FSANZ, Proposal P1061 is unlikely to have a more than minor regulatory impact. As such, the preparation of an Impact Analysis was not required for this Proposal</w:t>
      </w:r>
    </w:p>
    <w:p w14:paraId="1FA001D2" w14:textId="77777777" w:rsidR="00D71039" w:rsidRDefault="00D71039" w:rsidP="00D71039">
      <w:pPr>
        <w:rPr>
          <w:color w:val="FF0000"/>
          <w:lang w:val="en-AU" w:eastAsia="en-GB" w:bidi="ar-SA"/>
        </w:rPr>
      </w:pPr>
    </w:p>
    <w:p w14:paraId="587298F3" w14:textId="77777777" w:rsidR="00D71039" w:rsidRDefault="00D71039" w:rsidP="00D71039">
      <w:pPr>
        <w:widowControl/>
        <w:rPr>
          <w:rFonts w:eastAsiaTheme="minorHAnsi" w:cs="Arial"/>
          <w:b/>
          <w:bCs/>
          <w:szCs w:val="22"/>
          <w:lang w:val="en-AU" w:bidi="ar-SA"/>
        </w:rPr>
      </w:pPr>
      <w:r>
        <w:rPr>
          <w:rFonts w:eastAsiaTheme="minorHAnsi" w:cs="Arial"/>
          <w:b/>
          <w:bCs/>
          <w:szCs w:val="22"/>
          <w:lang w:val="en-AU" w:bidi="ar-SA"/>
        </w:rPr>
        <w:t>6.</w:t>
      </w:r>
      <w:r>
        <w:rPr>
          <w:rFonts w:eastAsiaTheme="minorHAnsi" w:cs="Arial"/>
          <w:b/>
          <w:bCs/>
          <w:szCs w:val="22"/>
          <w:lang w:val="en-AU" w:bidi="ar-SA"/>
        </w:rPr>
        <w:tab/>
        <w:t>Statement of compatibility with human rights</w:t>
      </w:r>
    </w:p>
    <w:p w14:paraId="3F627CF1" w14:textId="77777777" w:rsidR="00D71039" w:rsidRDefault="00D71039" w:rsidP="00D71039">
      <w:pPr>
        <w:rPr>
          <w:rFonts w:eastAsiaTheme="minorHAnsi"/>
          <w:lang w:val="en-AU" w:bidi="ar-SA"/>
        </w:rPr>
      </w:pPr>
    </w:p>
    <w:p w14:paraId="405FFB26" w14:textId="77777777" w:rsidR="00D71039" w:rsidRDefault="00D71039" w:rsidP="00D71039">
      <w:pPr>
        <w:rPr>
          <w:rFonts w:eastAsiaTheme="minorHAnsi"/>
          <w:lang w:val="en-AU" w:bidi="ar-SA"/>
        </w:rPr>
      </w:pPr>
      <w:r>
        <w:rPr>
          <w:rFonts w:eastAsiaTheme="minorHAnsi"/>
          <w:lang w:val="en-AU" w:bidi="ar-SA"/>
        </w:rPr>
        <w:t xml:space="preserve">This instrument is exempt from the requirements for a statement of compatibility with human rights as it is a non-disallowable instrument under section 44 of the </w:t>
      </w:r>
      <w:r w:rsidRPr="00941150">
        <w:rPr>
          <w:rFonts w:eastAsiaTheme="minorHAnsi"/>
          <w:i/>
          <w:lang w:val="en-AU" w:bidi="ar-SA"/>
        </w:rPr>
        <w:t>Legislation Act 2003</w:t>
      </w:r>
      <w:r>
        <w:rPr>
          <w:rFonts w:eastAsiaTheme="minorHAnsi"/>
          <w:lang w:val="en-AU" w:bidi="ar-SA"/>
        </w:rPr>
        <w:t>.</w:t>
      </w:r>
    </w:p>
    <w:p w14:paraId="3D32B33A" w14:textId="77777777" w:rsidR="00D71039" w:rsidRDefault="00D71039" w:rsidP="00D71039">
      <w:pPr>
        <w:rPr>
          <w:rFonts w:eastAsiaTheme="minorHAnsi"/>
          <w:lang w:val="en-AU" w:bidi="ar-SA"/>
        </w:rPr>
      </w:pPr>
    </w:p>
    <w:p w14:paraId="5D128A6A" w14:textId="77777777" w:rsidR="00D71039" w:rsidRPr="00432A42" w:rsidRDefault="00D71039" w:rsidP="00D71039">
      <w:pPr>
        <w:rPr>
          <w:b/>
          <w:lang w:val="en-AU" w:eastAsia="en-GB" w:bidi="ar-SA"/>
        </w:rPr>
      </w:pPr>
      <w:r>
        <w:rPr>
          <w:b/>
        </w:rPr>
        <w:t>7</w:t>
      </w:r>
      <w:r w:rsidRPr="00432A42">
        <w:rPr>
          <w:b/>
        </w:rPr>
        <w:t>.</w:t>
      </w:r>
      <w:r w:rsidRPr="00432A42">
        <w:rPr>
          <w:b/>
        </w:rPr>
        <w:tab/>
      </w:r>
      <w:r>
        <w:rPr>
          <w:b/>
          <w:lang w:val="en-AU" w:eastAsia="en-GB" w:bidi="ar-SA"/>
        </w:rPr>
        <w:t>Variation</w:t>
      </w:r>
    </w:p>
    <w:p w14:paraId="2B54F640" w14:textId="77777777" w:rsidR="00D71039" w:rsidRPr="00432A42" w:rsidRDefault="00D71039" w:rsidP="00D71039">
      <w:pPr>
        <w:rPr>
          <w:b/>
        </w:rPr>
      </w:pPr>
    </w:p>
    <w:p w14:paraId="7577C4BF" w14:textId="77777777" w:rsidR="00D71039" w:rsidRPr="001C3F4E" w:rsidRDefault="00D71039" w:rsidP="00D71039">
      <w:pPr>
        <w:rPr>
          <w:b/>
          <w:bCs/>
          <w:i/>
          <w:iCs/>
        </w:rPr>
      </w:pPr>
      <w:r w:rsidRPr="001C3F4E">
        <w:rPr>
          <w:b/>
          <w:bCs/>
          <w:i/>
          <w:iCs/>
        </w:rPr>
        <w:t>7.1 Reflecting the New Zealand decision re-mandatory fortification of folic acid</w:t>
      </w:r>
    </w:p>
    <w:p w14:paraId="0EC3C8E1" w14:textId="77777777" w:rsidR="00D71039" w:rsidRDefault="00D71039" w:rsidP="00D71039"/>
    <w:p w14:paraId="07FE0C06" w14:textId="77777777" w:rsidR="00D71039" w:rsidRDefault="00D71039" w:rsidP="00D71039">
      <w:r w:rsidRPr="00265AFE">
        <w:t xml:space="preserve">Items [1], [5], and [6] of the Schedule to the approved draft variation include amendments </w:t>
      </w:r>
      <w:r w:rsidRPr="004356AF">
        <w:t xml:space="preserve">to reflect the action taken by the New Zealand Government under New Zealand food laws </w:t>
      </w:r>
      <w:r w:rsidRPr="00265AFE">
        <w:rPr>
          <w:rFonts w:cs="Arial"/>
          <w:szCs w:val="22"/>
        </w:rPr>
        <w:t>to adopt in New Zealand the Code's provisions relating to folic acid fortification</w:t>
      </w:r>
      <w:r w:rsidRPr="004356AF">
        <w:t xml:space="preserve">. </w:t>
      </w:r>
      <w:r w:rsidRPr="00265AFE">
        <w:rPr>
          <w:rFonts w:cs="Arial"/>
          <w:szCs w:val="22"/>
        </w:rPr>
        <w:t>These</w:t>
      </w:r>
      <w:r>
        <w:rPr>
          <w:rFonts w:cs="Arial"/>
          <w:szCs w:val="22"/>
        </w:rPr>
        <w:t xml:space="preserve"> provisions</w:t>
      </w:r>
      <w:r w:rsidRPr="00265AFE">
        <w:rPr>
          <w:rFonts w:cs="Arial"/>
          <w:szCs w:val="22"/>
        </w:rPr>
        <w:t xml:space="preserve"> require the addition of folic acid to wheat flour sold as suitable for making bread to </w:t>
      </w:r>
      <w:r w:rsidRPr="00265AFE">
        <w:rPr>
          <w:rFonts w:cs="Arial"/>
          <w:szCs w:val="22"/>
        </w:rPr>
        <w:lastRenderedPageBreak/>
        <w:t>which section 2.1.1—5</w:t>
      </w:r>
      <w:r w:rsidRPr="00265AFE">
        <w:rPr>
          <w:rFonts w:cs="Arial"/>
          <w:color w:val="0D4A88"/>
          <w:szCs w:val="22"/>
        </w:rPr>
        <w:t> </w:t>
      </w:r>
      <w:r w:rsidRPr="00265AFE">
        <w:rPr>
          <w:rFonts w:cs="Arial"/>
          <w:szCs w:val="22"/>
        </w:rPr>
        <w:t>of the Code applies</w:t>
      </w:r>
      <w:r w:rsidRPr="0081318F">
        <w:t xml:space="preserve">. </w:t>
      </w:r>
      <w:r w:rsidRPr="0081318F">
        <w:rPr>
          <w:rFonts w:cs="Arial"/>
          <w:szCs w:val="22"/>
        </w:rPr>
        <w:t>Section 2.1.1—4 of the Code provides that section 2.1.1—5 does not apply to certain foods, including bread that is represented as organic.</w:t>
      </w:r>
      <w:r w:rsidRPr="00407F4A" w:rsidDel="002169FF">
        <w:rPr>
          <w:lang w:val="en-AU"/>
        </w:rPr>
        <w:t xml:space="preserve"> </w:t>
      </w:r>
      <w:r>
        <w:t>These provisions</w:t>
      </w:r>
      <w:r w:rsidRPr="005136ED">
        <w:t xml:space="preserve"> will apply in New Zealand from 13 August 2023</w:t>
      </w:r>
      <w:r w:rsidRPr="00265AFE">
        <w:rPr>
          <w:lang w:val="en-AU" w:eastAsia="en-GB" w:bidi="ar-SA"/>
        </w:rPr>
        <w:t>.</w:t>
      </w:r>
    </w:p>
    <w:p w14:paraId="38200312" w14:textId="77777777" w:rsidR="00D71039" w:rsidRDefault="00D71039" w:rsidP="00D71039"/>
    <w:p w14:paraId="3F22888E" w14:textId="77777777" w:rsidR="00D71039" w:rsidRDefault="00D71039" w:rsidP="00D71039">
      <w:r>
        <w:t xml:space="preserve">In order to reflect this change to New Zealand food law, amendment of Note 1 to section 1.1.1—3 of the Code and removal of the Note to section 2.1.1—5 of the Code are required. A new Note is also added at the end of paragraph 2.1.1—5(b). This paragraph contains the requirement related to </w:t>
      </w:r>
      <w:proofErr w:type="spellStart"/>
      <w:r>
        <w:t>thiamin</w:t>
      </w:r>
      <w:proofErr w:type="spellEnd"/>
      <w:r>
        <w:t xml:space="preserve"> and the new Note clarifies </w:t>
      </w:r>
      <w:r w:rsidRPr="00E036E2">
        <w:t xml:space="preserve">that </w:t>
      </w:r>
      <w:r w:rsidRPr="00546BC6">
        <w:t>th</w:t>
      </w:r>
      <w:r>
        <w:t>is</w:t>
      </w:r>
      <w:r w:rsidRPr="00546BC6">
        <w:t xml:space="preserve"> requirement applies </w:t>
      </w:r>
      <w:r>
        <w:t>in</w:t>
      </w:r>
      <w:r w:rsidRPr="00546BC6">
        <w:t xml:space="preserve"> </w:t>
      </w:r>
      <w:r w:rsidRPr="00E036E2">
        <w:t>Australia only.</w:t>
      </w:r>
    </w:p>
    <w:p w14:paraId="2ADD8036" w14:textId="77777777" w:rsidR="00D71039" w:rsidRDefault="00D71039" w:rsidP="00D71039"/>
    <w:p w14:paraId="0E8C5C2E" w14:textId="77777777" w:rsidR="00D71039" w:rsidRPr="00C9378A" w:rsidRDefault="00D71039" w:rsidP="00D71039">
      <w:pPr>
        <w:rPr>
          <w:b/>
          <w:bCs/>
          <w:i/>
          <w:iCs/>
        </w:rPr>
      </w:pPr>
      <w:r w:rsidRPr="00C9378A">
        <w:rPr>
          <w:b/>
          <w:bCs/>
          <w:i/>
          <w:iCs/>
        </w:rPr>
        <w:t>7.2 Correcting typographical errors, omissions, inconsistencies and formatting</w:t>
      </w:r>
    </w:p>
    <w:p w14:paraId="39B90BE8" w14:textId="77777777" w:rsidR="00D71039" w:rsidRDefault="00D71039" w:rsidP="00D71039"/>
    <w:p w14:paraId="0B0A89CB" w14:textId="77777777" w:rsidR="00D71039" w:rsidRDefault="00D71039" w:rsidP="00D71039">
      <w:r>
        <w:t>Items [4], [8], [9], [11], [15], and [19] – [58] of the Schedule to the approved draft variation include amendments to correct typographical errors, omissions, and formatting issues; and to improve consistency across the Code.</w:t>
      </w:r>
    </w:p>
    <w:p w14:paraId="2E54E14D" w14:textId="77777777" w:rsidR="00D71039" w:rsidRDefault="00D71039" w:rsidP="00D71039"/>
    <w:p w14:paraId="0954156D" w14:textId="77777777" w:rsidR="00D71039" w:rsidRPr="00C063C5" w:rsidRDefault="00D71039" w:rsidP="00D71039">
      <w:pPr>
        <w:widowControl/>
        <w:autoSpaceDE w:val="0"/>
        <w:autoSpaceDN w:val="0"/>
        <w:adjustRightInd w:val="0"/>
        <w:rPr>
          <w:rFonts w:cs="Arial"/>
          <w:color w:val="000000"/>
          <w:szCs w:val="22"/>
          <w:lang w:val="en-AU" w:eastAsia="en-GB" w:bidi="ar-SA"/>
        </w:rPr>
      </w:pPr>
      <w:r w:rsidRPr="00C063C5">
        <w:rPr>
          <w:rFonts w:cs="Arial"/>
          <w:b/>
          <w:bCs/>
          <w:i/>
          <w:iCs/>
          <w:color w:val="000000"/>
          <w:szCs w:val="22"/>
          <w:lang w:val="en-AU" w:eastAsia="en-GB" w:bidi="ar-SA"/>
        </w:rPr>
        <w:t xml:space="preserve">7.3 Removing outdated clause </w:t>
      </w:r>
    </w:p>
    <w:p w14:paraId="79C6B0E3" w14:textId="77777777" w:rsidR="00D71039" w:rsidRDefault="00D71039" w:rsidP="00D71039">
      <w:pPr>
        <w:rPr>
          <w:rFonts w:cs="Arial"/>
          <w:color w:val="000000"/>
          <w:szCs w:val="22"/>
          <w:lang w:val="en-AU" w:eastAsia="en-GB" w:bidi="ar-SA"/>
        </w:rPr>
      </w:pPr>
    </w:p>
    <w:p w14:paraId="567D00CE" w14:textId="77777777" w:rsidR="00D71039" w:rsidRDefault="00D71039" w:rsidP="00D71039">
      <w:pPr>
        <w:rPr>
          <w:rFonts w:cs="Arial"/>
          <w:color w:val="000000"/>
          <w:szCs w:val="22"/>
          <w:lang w:val="en-AU" w:eastAsia="en-GB" w:bidi="ar-SA"/>
        </w:rPr>
      </w:pPr>
      <w:r w:rsidRPr="00C063C5">
        <w:rPr>
          <w:rFonts w:cs="Arial"/>
          <w:color w:val="000000"/>
          <w:szCs w:val="22"/>
          <w:lang w:val="en-AU" w:eastAsia="en-GB" w:bidi="ar-SA"/>
        </w:rPr>
        <w:t xml:space="preserve">Item [10] of </w:t>
      </w:r>
      <w:r>
        <w:rPr>
          <w:rFonts w:cs="Arial"/>
          <w:color w:val="000000"/>
          <w:szCs w:val="22"/>
          <w:lang w:val="en-AU" w:eastAsia="en-GB" w:bidi="ar-SA"/>
        </w:rPr>
        <w:t xml:space="preserve">the Schedule to </w:t>
      </w:r>
      <w:r w:rsidRPr="00C063C5">
        <w:rPr>
          <w:rFonts w:cs="Arial"/>
          <w:color w:val="000000"/>
          <w:szCs w:val="22"/>
          <w:lang w:val="en-AU" w:eastAsia="en-GB" w:bidi="ar-SA"/>
        </w:rPr>
        <w:t xml:space="preserve">the </w:t>
      </w:r>
      <w:r>
        <w:rPr>
          <w:rFonts w:cs="Arial"/>
          <w:color w:val="000000"/>
          <w:szCs w:val="22"/>
          <w:lang w:val="en-AU" w:eastAsia="en-GB" w:bidi="ar-SA"/>
        </w:rPr>
        <w:t xml:space="preserve">approved </w:t>
      </w:r>
      <w:r w:rsidRPr="00C063C5">
        <w:rPr>
          <w:rFonts w:cs="Arial"/>
          <w:color w:val="000000"/>
          <w:szCs w:val="22"/>
          <w:lang w:val="en-AU" w:eastAsia="en-GB" w:bidi="ar-SA"/>
        </w:rPr>
        <w:t>draft variation includes an amendment to remove an outdated clause, which only applied to food businesses that existed at the time of the commencement of the clause. Due to the passage of time, the clause is no longer operative.</w:t>
      </w:r>
    </w:p>
    <w:p w14:paraId="1494C0EC" w14:textId="77777777" w:rsidR="00D71039" w:rsidRDefault="00D71039" w:rsidP="00D71039">
      <w:pPr>
        <w:rPr>
          <w:rFonts w:cs="Arial"/>
          <w:color w:val="000000"/>
          <w:szCs w:val="22"/>
          <w:lang w:val="en-AU" w:eastAsia="en-GB" w:bidi="ar-SA"/>
        </w:rPr>
      </w:pPr>
    </w:p>
    <w:p w14:paraId="29B9C84C" w14:textId="77777777" w:rsidR="00D71039" w:rsidRDefault="00D71039" w:rsidP="00D71039">
      <w:pPr>
        <w:widowControl/>
        <w:autoSpaceDE w:val="0"/>
        <w:autoSpaceDN w:val="0"/>
        <w:adjustRightInd w:val="0"/>
        <w:rPr>
          <w:rFonts w:cs="Arial"/>
          <w:b/>
          <w:bCs/>
          <w:i/>
          <w:iCs/>
          <w:color w:val="000000"/>
          <w:szCs w:val="22"/>
          <w:lang w:val="en-AU" w:eastAsia="en-GB" w:bidi="ar-SA"/>
        </w:rPr>
      </w:pPr>
      <w:r w:rsidRPr="00680B99">
        <w:rPr>
          <w:rFonts w:cs="Arial"/>
          <w:b/>
          <w:bCs/>
          <w:i/>
          <w:iCs/>
          <w:color w:val="000000"/>
          <w:szCs w:val="22"/>
          <w:lang w:val="en-AU" w:eastAsia="en-GB" w:bidi="ar-SA"/>
        </w:rPr>
        <w:t xml:space="preserve">7.4 Updating references </w:t>
      </w:r>
    </w:p>
    <w:p w14:paraId="5745C5AD" w14:textId="77777777" w:rsidR="00D71039" w:rsidRPr="00680B99" w:rsidRDefault="00D71039" w:rsidP="00D71039">
      <w:pPr>
        <w:widowControl/>
        <w:autoSpaceDE w:val="0"/>
        <w:autoSpaceDN w:val="0"/>
        <w:adjustRightInd w:val="0"/>
        <w:rPr>
          <w:rFonts w:cs="Arial"/>
          <w:color w:val="000000"/>
          <w:szCs w:val="22"/>
          <w:lang w:val="en-AU" w:eastAsia="en-GB" w:bidi="ar-SA"/>
        </w:rPr>
      </w:pPr>
    </w:p>
    <w:p w14:paraId="2ABD7549" w14:textId="77777777" w:rsidR="00D71039" w:rsidRDefault="00D71039" w:rsidP="00D71039">
      <w:pPr>
        <w:rPr>
          <w:lang w:val="en-AU" w:eastAsia="en-GB" w:bidi="ar-SA"/>
        </w:rPr>
      </w:pPr>
      <w:r w:rsidRPr="00680B99">
        <w:rPr>
          <w:rFonts w:cs="Arial"/>
          <w:color w:val="000000"/>
          <w:szCs w:val="22"/>
          <w:lang w:val="en-AU" w:eastAsia="en-GB" w:bidi="ar-SA"/>
        </w:rPr>
        <w:t xml:space="preserve">Items [2], [3], [7], [12] - [14], and [16] – [18] of </w:t>
      </w:r>
      <w:r>
        <w:rPr>
          <w:rFonts w:cs="Arial"/>
          <w:color w:val="000000"/>
          <w:szCs w:val="22"/>
          <w:lang w:val="en-AU" w:eastAsia="en-GB" w:bidi="ar-SA"/>
        </w:rPr>
        <w:t xml:space="preserve">the Schedule to </w:t>
      </w:r>
      <w:r w:rsidRPr="00680B99">
        <w:rPr>
          <w:rFonts w:cs="Arial"/>
          <w:color w:val="000000"/>
          <w:szCs w:val="22"/>
          <w:lang w:val="en-AU" w:eastAsia="en-GB" w:bidi="ar-SA"/>
        </w:rPr>
        <w:t xml:space="preserve">the </w:t>
      </w:r>
      <w:r>
        <w:rPr>
          <w:rFonts w:cs="Arial"/>
          <w:color w:val="000000"/>
          <w:szCs w:val="22"/>
          <w:lang w:val="en-AU" w:eastAsia="en-GB" w:bidi="ar-SA"/>
        </w:rPr>
        <w:t xml:space="preserve">approved </w:t>
      </w:r>
      <w:r w:rsidRPr="00680B99">
        <w:rPr>
          <w:rFonts w:cs="Arial"/>
          <w:color w:val="000000"/>
          <w:szCs w:val="22"/>
          <w:lang w:val="en-AU" w:eastAsia="en-GB" w:bidi="ar-SA"/>
        </w:rPr>
        <w:t>draft variation include amendments to update references in the Code.</w:t>
      </w:r>
    </w:p>
    <w:p w14:paraId="7C5F4C39" w14:textId="716140B2" w:rsidR="00D5526B" w:rsidRPr="003A01FB" w:rsidRDefault="00D5526B" w:rsidP="00D71039">
      <w:pPr>
        <w:pStyle w:val="Heading2"/>
        <w:ind w:left="0" w:firstLine="0"/>
      </w:pPr>
    </w:p>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FAE4F" w14:textId="77777777" w:rsidR="00D71039" w:rsidRDefault="00D71039" w:rsidP="00D71039">
      <w:r>
        <w:separator/>
      </w:r>
    </w:p>
  </w:endnote>
  <w:endnote w:type="continuationSeparator" w:id="0">
    <w:p w14:paraId="7A7CC607" w14:textId="77777777" w:rsidR="00D71039" w:rsidRDefault="00D71039" w:rsidP="00D7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3FD0" w14:textId="77777777" w:rsidR="00D71039" w:rsidRDefault="00D71039" w:rsidP="00D71039">
      <w:r>
        <w:separator/>
      </w:r>
    </w:p>
  </w:footnote>
  <w:footnote w:type="continuationSeparator" w:id="0">
    <w:p w14:paraId="4FC9FFF8" w14:textId="77777777" w:rsidR="00D71039" w:rsidRDefault="00D71039" w:rsidP="00D71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219A"/>
    <w:multiLevelType w:val="hybridMultilevel"/>
    <w:tmpl w:val="8CF8A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0C4B4F"/>
    <w:multiLevelType w:val="hybridMultilevel"/>
    <w:tmpl w:val="A95A8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DD44EA"/>
    <w:multiLevelType w:val="hybridMultilevel"/>
    <w:tmpl w:val="2BE66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7" w15:restartNumberingAfterBreak="0">
    <w:nsid w:val="76002651"/>
    <w:multiLevelType w:val="hybridMultilevel"/>
    <w:tmpl w:val="5FAE2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40696E"/>
    <w:multiLevelType w:val="hybridMultilevel"/>
    <w:tmpl w:val="9126F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8663013">
    <w:abstractNumId w:val="1"/>
  </w:num>
  <w:num w:numId="2" w16cid:durableId="1173494051">
    <w:abstractNumId w:val="1"/>
  </w:num>
  <w:num w:numId="3" w16cid:durableId="1096369310">
    <w:abstractNumId w:val="1"/>
  </w:num>
  <w:num w:numId="4" w16cid:durableId="111870474">
    <w:abstractNumId w:val="1"/>
  </w:num>
  <w:num w:numId="5" w16cid:durableId="2128311751">
    <w:abstractNumId w:val="1"/>
  </w:num>
  <w:num w:numId="6" w16cid:durableId="1904949202">
    <w:abstractNumId w:val="1"/>
  </w:num>
  <w:num w:numId="7" w16cid:durableId="2122801159">
    <w:abstractNumId w:val="1"/>
  </w:num>
  <w:num w:numId="8" w16cid:durableId="1882597035">
    <w:abstractNumId w:val="6"/>
  </w:num>
  <w:num w:numId="9" w16cid:durableId="340082031">
    <w:abstractNumId w:val="2"/>
  </w:num>
  <w:num w:numId="10" w16cid:durableId="769856411">
    <w:abstractNumId w:val="5"/>
  </w:num>
  <w:num w:numId="11" w16cid:durableId="1372339319">
    <w:abstractNumId w:val="6"/>
  </w:num>
  <w:num w:numId="12" w16cid:durableId="504049972">
    <w:abstractNumId w:val="2"/>
  </w:num>
  <w:num w:numId="13" w16cid:durableId="1341203018">
    <w:abstractNumId w:val="5"/>
  </w:num>
  <w:num w:numId="14" w16cid:durableId="81807320">
    <w:abstractNumId w:val="4"/>
  </w:num>
  <w:num w:numId="15" w16cid:durableId="1601912042">
    <w:abstractNumId w:val="3"/>
  </w:num>
  <w:num w:numId="16" w16cid:durableId="269318619">
    <w:abstractNumId w:val="8"/>
  </w:num>
  <w:num w:numId="17" w16cid:durableId="156894170">
    <w:abstractNumId w:val="0"/>
  </w:num>
  <w:num w:numId="18" w16cid:durableId="1614171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039"/>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71039"/>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7DB34"/>
  <w15:chartTrackingRefBased/>
  <w15:docId w15:val="{EFA6E69D-319A-4742-8944-16BDC7B4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D71039"/>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9"/>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Hyperlink">
    <w:name w:val="Hyperlink"/>
    <w:basedOn w:val="DefaultParagraphFont"/>
    <w:uiPriority w:val="99"/>
    <w:rsid w:val="00D71039"/>
    <w:rPr>
      <w:color w:val="3333FF"/>
      <w:u w:val="single"/>
    </w:rPr>
  </w:style>
  <w:style w:type="paragraph" w:customStyle="1" w:styleId="paragraph0">
    <w:name w:val="paragraph"/>
    <w:basedOn w:val="Normal"/>
    <w:rsid w:val="00D71039"/>
    <w:pPr>
      <w:widowControl/>
      <w:spacing w:before="100" w:beforeAutospacing="1" w:after="100" w:afterAutospacing="1"/>
    </w:pPr>
    <w:rPr>
      <w:rFonts w:ascii="Times New Roman" w:hAnsi="Times New Roman"/>
      <w:sz w:val="24"/>
      <w:lang w:val="en-NZ" w:eastAsia="en-NZ" w:bidi="ar-SA"/>
    </w:rPr>
  </w:style>
  <w:style w:type="character" w:customStyle="1" w:styleId="normaltextrun">
    <w:name w:val="normaltextrun"/>
    <w:basedOn w:val="DefaultParagraphFont"/>
    <w:rsid w:val="00D71039"/>
  </w:style>
  <w:style w:type="character" w:customStyle="1" w:styleId="eop">
    <w:name w:val="eop"/>
    <w:basedOn w:val="DefaultParagraphFont"/>
    <w:rsid w:val="00D71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au" TargetMode="External"/><Relationship Id="rId13" Type="http://schemas.openxmlformats.org/officeDocument/2006/relationships/hyperlink" Target="https://www.legislation.gov.au/Details/F2021L00317" TargetMode="External"/><Relationship Id="rId18" Type="http://schemas.openxmlformats.org/officeDocument/2006/relationships/hyperlink" Target="https://www.foodchemicalscodex.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ishnames.com.au" TargetMode="External"/><Relationship Id="rId17" Type="http://schemas.openxmlformats.org/officeDocument/2006/relationships/hyperlink" Target="https://www.oiv.int/standards/international-oenological-codex"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fao.org/food/food-safety-quality/scientific-advice/jecfa/jecfa-additives/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shnames.com.a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legislation.gov.au/Details/F2021L00317" TargetMode="External"/><Relationship Id="rId23" Type="http://schemas.openxmlformats.org/officeDocument/2006/relationships/customXml" Target="../customXml/item3.xml"/><Relationship Id="rId10" Type="http://schemas.openxmlformats.org/officeDocument/2006/relationships/hyperlink" Target="https://www.femaflavor.org/publications/gras-publications/gras-30" TargetMode="External"/><Relationship Id="rId19" Type="http://schemas.openxmlformats.org/officeDocument/2006/relationships/hyperlink" Target="http://www.trove.nla.gov.au/" TargetMode="External"/><Relationship Id="rId4" Type="http://schemas.openxmlformats.org/officeDocument/2006/relationships/settings" Target="settings.xml"/><Relationship Id="rId9" Type="http://schemas.openxmlformats.org/officeDocument/2006/relationships/hyperlink" Target="https://www.govinfo.gov/app/collection/cfr" TargetMode="External"/><Relationship Id="rId14" Type="http://schemas.openxmlformats.org/officeDocument/2006/relationships/hyperlink" Target="https://www.nhmrc.gov.au/about-us/publications/australian-drinking-water-guidelines"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FSANZ Record" ma:contentTypeID="0x010100F5F252698E4843DFA3EBBF7EC57E522A00D1FD65540778064E8071EC7105C190BC" ma:contentTypeVersion="4" ma:contentTypeDescription="Files created by FSANZ including letters, draft documents and ideas for FSANZ business." ma:contentTypeScope="" ma:versionID="b982cb91b41b2213203c64ad5e0c0bb1">
  <xsd:schema xmlns:xsd="http://www.w3.org/2001/XMLSchema" xmlns:xs="http://www.w3.org/2001/XMLSchema" xmlns:p="http://schemas.microsoft.com/office/2006/metadata/properties" xmlns:ns2="0e0bee33-077a-46d4-80d5-abd1b3a3b85b" targetNamespace="http://schemas.microsoft.com/office/2006/metadata/properties" ma:root="true" ma:fieldsID="199b3d2e548d4ca1d04624b3ed9463d3"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4fc2563-04ab-4d7c-a6a2-9c96f2eb2ff6}" ma:internalName="TaxCatchAll" ma:showField="CatchAllData" ma:web="7381dfea-c3d9-4bb9-9bda-67ec2929bed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4fc2563-04ab-4d7c-a6a2-9c96f2eb2ff6}" ma:internalName="TaxCatchAllLabel" ma:readOnly="true" ma:showField="CatchAllDataLabel" ma:web="7381dfea-c3d9-4bb9-9bda-67ec2929bedb">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3;#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e0bee33-077a-46d4-80d5-abd1b3a3b85b">
      <Value>35</Value>
      <Value>3</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jf6c16bbf41b473ebe1e583d28d77907 xmlns="0e0bee33-077a-46d4-80d5-abd1b3a3b85b">
      <Terms xmlns="http://schemas.microsoft.com/office/infopath/2007/PartnerControls"/>
    </jf6c16bbf41b473ebe1e583d28d77907>
    <Related_x0020_project xmlns="0e0bee33-077a-46d4-80d5-abd1b3a3b85b" xsi:nil="true"/>
  </documentManagement>
</p:properties>
</file>

<file path=customXml/itemProps1.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customXml/itemProps2.xml><?xml version="1.0" encoding="utf-8"?>
<ds:datastoreItem xmlns:ds="http://schemas.openxmlformats.org/officeDocument/2006/customXml" ds:itemID="{3595E074-3566-45EB-AFF1-D4531FF58349}"/>
</file>

<file path=customXml/itemProps3.xml><?xml version="1.0" encoding="utf-8"?>
<ds:datastoreItem xmlns:ds="http://schemas.openxmlformats.org/officeDocument/2006/customXml" ds:itemID="{BB8A67A5-E29F-456D-B80F-28FB278F15F1}"/>
</file>

<file path=customXml/itemProps4.xml><?xml version="1.0" encoding="utf-8"?>
<ds:datastoreItem xmlns:ds="http://schemas.openxmlformats.org/officeDocument/2006/customXml" ds:itemID="{C40C887F-F71B-464E-8BA7-D925656196C5}"/>
</file>

<file path=customXml/itemProps5.xml><?xml version="1.0" encoding="utf-8"?>
<ds:datastoreItem xmlns:ds="http://schemas.openxmlformats.org/officeDocument/2006/customXml" ds:itemID="{41EC9C4C-C9F7-4998-A86A-A09E4D71B60A}"/>
</file>

<file path=docProps/app.xml><?xml version="1.0" encoding="utf-8"?>
<Properties xmlns="http://schemas.openxmlformats.org/officeDocument/2006/extended-properties" xmlns:vt="http://schemas.openxmlformats.org/officeDocument/2006/docPropsVTypes">
  <Template>Normal</Template>
  <TotalTime>0</TotalTime>
  <Pages>6</Pages>
  <Words>2535</Words>
  <Characters>14148</Characters>
  <Application>Microsoft Office Word</Application>
  <DocSecurity>0</DocSecurity>
  <Lines>299</Lines>
  <Paragraphs>72</Paragraphs>
  <ScaleCrop>false</ScaleCrop>
  <Company>Food Standards Australia New Zealand</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1</cp:revision>
  <dcterms:created xsi:type="dcterms:W3CDTF">2023-06-30T03:12:00Z</dcterms:created>
  <dcterms:modified xsi:type="dcterms:W3CDTF">2023-06-30T03:12:00Z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v=2022.1;a=SHA256;h=2F20C2FDB0CFDEAC090F52BCE1FEB900F2EE07F4D9280D722FB16628D239C16F</vt:lpwstr>
  </property>
  <property fmtid="{D5CDD505-2E9C-101B-9397-08002B2CF9AE}" pid="7" name="PM_Qualifier">
    <vt:lpwstr/>
  </property>
  <property fmtid="{D5CDD505-2E9C-101B-9397-08002B2CF9AE}" pid="8" name="PM_SecurityClassification">
    <vt:lpwstr/>
  </property>
  <property fmtid="{D5CDD505-2E9C-101B-9397-08002B2CF9AE}" pid="9" name="PM_ProtectiveMarkingValue_Header">
    <vt:lpwstr/>
  </property>
  <property fmtid="{D5CDD505-2E9C-101B-9397-08002B2CF9AE}" pid="10" name="PM_OriginationTimeStamp">
    <vt:lpwstr>2023-06-30T03:12:14Z</vt:lpwstr>
  </property>
  <property fmtid="{D5CDD505-2E9C-101B-9397-08002B2CF9AE}" pid="11" name="PM_Markers">
    <vt:lpwstr/>
  </property>
  <property fmtid="{D5CDD505-2E9C-101B-9397-08002B2CF9AE}" pid="12" name="PM_InsertionValue">
    <vt:lpwstr/>
  </property>
  <property fmtid="{D5CDD505-2E9C-101B-9397-08002B2CF9AE}" pid="13" name="PM_Originator_Hash_SHA1">
    <vt:lpwstr>302BDBAD982F50293CEAD423BE77B1CA40A20CFD</vt:lpwstr>
  </property>
  <property fmtid="{D5CDD505-2E9C-101B-9397-08002B2CF9AE}" pid="14" name="PM_DisplayValueSecClassificationWithQualifier">
    <vt:lpwstr/>
  </property>
  <property fmtid="{D5CDD505-2E9C-101B-9397-08002B2CF9AE}" pid="15" name="PM_Originating_FileId">
    <vt:lpwstr>0A47BF98B4A447B39FA50E3798ED38D8</vt:lpwstr>
  </property>
  <property fmtid="{D5CDD505-2E9C-101B-9397-08002B2CF9AE}" pid="16" name="PM_ProtectiveMarkingValue_Footer">
    <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
  </property>
  <property fmtid="{D5CDD505-2E9C-101B-9397-08002B2CF9AE}" pid="20" name="PM_OriginatorUserAccountName_SHA256">
    <vt:lpwstr>04BEB04951CF9C0309220DC261A43CF887B145345D33A4BC1A2FC1C39C61A0F4</vt:lpwstr>
  </property>
  <property fmtid="{D5CDD505-2E9C-101B-9397-08002B2CF9AE}" pid="21" name="PM_OriginatorDomainName_SHA256">
    <vt:lpwstr>1728E66681E435764AE865ABE664C38F2A2F6D4B1DC4AC4803028F4FC406745D</vt:lpwstr>
  </property>
  <property fmtid="{D5CDD505-2E9C-101B-9397-08002B2CF9AE}" pid="22" name="PMUuid">
    <vt:lpwstr/>
  </property>
  <property fmtid="{D5CDD505-2E9C-101B-9397-08002B2CF9AE}" pid="23" name="PM_Hash_Version">
    <vt:lpwstr>2022.1</vt:lpwstr>
  </property>
  <property fmtid="{D5CDD505-2E9C-101B-9397-08002B2CF9AE}" pid="24" name="PM_Hash_Salt_Prev">
    <vt:lpwstr>E705735DDDCD95F6C3529DAACB8D3A48</vt:lpwstr>
  </property>
  <property fmtid="{D5CDD505-2E9C-101B-9397-08002B2CF9AE}" pid="25" name="PM_Hash_Salt">
    <vt:lpwstr>E705735DDDCD95F6C3529DAACB8D3A48</vt:lpwstr>
  </property>
  <property fmtid="{D5CDD505-2E9C-101B-9397-08002B2CF9AE}" pid="26" name="PM_Hash_SHA1">
    <vt:lpwstr>CBD3AD1BF3A9F3036A7EEF33A881E47C121AFDA2</vt:lpwstr>
  </property>
  <property fmtid="{D5CDD505-2E9C-101B-9397-08002B2CF9AE}" pid="27" name="ContentTypeId">
    <vt:lpwstr>0x010100F5F252698E4843DFA3EBBF7EC57E522A00D1FD65540778064E8071EC7105C190BC</vt:lpwstr>
  </property>
  <property fmtid="{D5CDD505-2E9C-101B-9397-08002B2CF9AE}" pid="28" name="pd3a3559ef84480a8025c4c7bb6e6dee">
    <vt:lpwstr/>
  </property>
  <property fmtid="{D5CDD505-2E9C-101B-9397-08002B2CF9AE}" pid="29" name="h46016694f704d158a57d0b5238c000e">
    <vt:lpwstr/>
  </property>
  <property fmtid="{D5CDD505-2E9C-101B-9397-08002B2CF9AE}" pid="30" name="MediaServiceImageTags">
    <vt:lpwstr/>
  </property>
  <property fmtid="{D5CDD505-2E9C-101B-9397-08002B2CF9AE}" pid="31" name="Data_x0020_Privacy">
    <vt:lpwstr/>
  </property>
  <property fmtid="{D5CDD505-2E9C-101B-9397-08002B2CF9AE}" pid="32" name="BCS">
    <vt:lpwstr>35;#Instruments|4a8ff5e5-1f0e-4751-ab44-bc0d33b46a80</vt:lpwstr>
  </property>
  <property fmtid="{D5CDD505-2E9C-101B-9397-08002B2CF9AE}" pid="33" name="Access">
    <vt:lpwstr/>
  </property>
  <property fmtid="{D5CDD505-2E9C-101B-9397-08002B2CF9AE}" pid="34" name="Classification">
    <vt:lpwstr>3;#OFFICIAL|3776503d-ed4e-4d70-8dfd-8e17b238523b</vt:lpwstr>
  </property>
  <property fmtid="{D5CDD505-2E9C-101B-9397-08002B2CF9AE}" pid="35" name="Data_x0020_Category">
    <vt:lpwstr/>
  </property>
  <property fmtid="{D5CDD505-2E9C-101B-9397-08002B2CF9AE}" pid="36" name="Data_x0020_Accessibility">
    <vt:lpwstr/>
  </property>
  <property fmtid="{D5CDD505-2E9C-101B-9397-08002B2CF9AE}" pid="37" name="o2e94e0b7bb742308b3aec7384781dc0">
    <vt:lpwstr/>
  </property>
  <property fmtid="{D5CDD505-2E9C-101B-9397-08002B2CF9AE}" pid="38" name="lcf76f155ced4ddcb4097134ff3c332f">
    <vt:lpwstr/>
  </property>
  <property fmtid="{D5CDD505-2E9C-101B-9397-08002B2CF9AE}" pid="39" name="Data Privacy">
    <vt:lpwstr/>
  </property>
  <property fmtid="{D5CDD505-2E9C-101B-9397-08002B2CF9AE}" pid="40" name="Data Accessibility">
    <vt:lpwstr/>
  </property>
  <property fmtid="{D5CDD505-2E9C-101B-9397-08002B2CF9AE}" pid="41" name="Data Category">
    <vt:lpwstr/>
  </property>
</Properties>
</file>