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FDBC" w14:textId="30B21244" w:rsidR="00687089" w:rsidRPr="006E3129" w:rsidRDefault="00687089" w:rsidP="00687089">
      <w:pPr>
        <w:shd w:val="clear" w:color="auto" w:fill="FFFFFF"/>
        <w:spacing w:before="120" w:after="120" w:line="240" w:lineRule="auto"/>
        <w:jc w:val="center"/>
        <w:outlineLvl w:val="0"/>
        <w:rPr>
          <w:rFonts w:ascii="Times New Roman" w:eastAsia="Times New Roman" w:hAnsi="Times New Roman" w:cs="Times New Roman"/>
          <w:b/>
          <w:bCs/>
          <w:i/>
          <w:iCs/>
          <w:spacing w:val="-2"/>
          <w:kern w:val="36"/>
          <w:sz w:val="28"/>
          <w:szCs w:val="28"/>
          <w:lang w:val="en-AU" w:eastAsia="en-AU"/>
        </w:rPr>
      </w:pPr>
      <w:r w:rsidRPr="006E3129">
        <w:rPr>
          <w:rFonts w:ascii="Times New Roman" w:eastAsia="Times New Roman" w:hAnsi="Times New Roman" w:cs="Times New Roman"/>
          <w:b/>
          <w:bCs/>
          <w:i/>
          <w:iCs/>
          <w:spacing w:val="-2"/>
          <w:kern w:val="36"/>
          <w:sz w:val="28"/>
          <w:szCs w:val="28"/>
          <w:lang w:val="en-AU" w:eastAsia="en-AU"/>
        </w:rPr>
        <w:t>Legislation (Deferral of Sunsetting—</w:t>
      </w:r>
      <w:r w:rsidR="00900F41" w:rsidRPr="006E3129">
        <w:rPr>
          <w:rFonts w:ascii="Times New Roman" w:eastAsia="Times New Roman" w:hAnsi="Times New Roman" w:cs="Times New Roman"/>
          <w:b/>
          <w:bCs/>
          <w:i/>
          <w:iCs/>
          <w:spacing w:val="-2"/>
          <w:kern w:val="36"/>
          <w:sz w:val="28"/>
          <w:szCs w:val="28"/>
          <w:lang w:val="en-AU" w:eastAsia="en-AU"/>
        </w:rPr>
        <w:t>Occupational Health and Safety (Maritime Industry) Instruments)</w:t>
      </w:r>
      <w:r w:rsidRPr="006E3129">
        <w:rPr>
          <w:rFonts w:ascii="Times New Roman" w:eastAsia="Times New Roman" w:hAnsi="Times New Roman" w:cs="Times New Roman"/>
          <w:b/>
          <w:bCs/>
          <w:i/>
          <w:iCs/>
          <w:spacing w:val="-2"/>
          <w:kern w:val="36"/>
          <w:sz w:val="28"/>
          <w:szCs w:val="28"/>
          <w:lang w:val="en-AU" w:eastAsia="en-AU"/>
        </w:rPr>
        <w:t xml:space="preserve"> Certificate 2023</w:t>
      </w:r>
    </w:p>
    <w:p w14:paraId="59A2E492" w14:textId="77777777" w:rsidR="00687089" w:rsidRPr="006E3129" w:rsidRDefault="00687089" w:rsidP="00687089">
      <w:pPr>
        <w:shd w:val="clear" w:color="auto" w:fill="FFFFFF"/>
        <w:spacing w:before="120" w:after="120" w:line="240" w:lineRule="auto"/>
        <w:jc w:val="center"/>
        <w:outlineLvl w:val="0"/>
        <w:rPr>
          <w:rFonts w:ascii="Times New Roman" w:hAnsi="Times New Roman" w:cs="Times New Roman"/>
          <w:b/>
          <w:sz w:val="28"/>
          <w:szCs w:val="24"/>
          <w:lang w:val="en-AU"/>
        </w:rPr>
      </w:pPr>
      <w:r w:rsidRPr="006E3129">
        <w:rPr>
          <w:rFonts w:ascii="Times New Roman" w:hAnsi="Times New Roman" w:cs="Times New Roman"/>
          <w:b/>
          <w:sz w:val="28"/>
          <w:szCs w:val="24"/>
          <w:lang w:val="en-AU"/>
        </w:rPr>
        <w:t>EXPLANATORY STATEMENT</w:t>
      </w:r>
    </w:p>
    <w:p w14:paraId="5927959F" w14:textId="414D7909" w:rsidR="00687089" w:rsidRPr="006E3129" w:rsidRDefault="00687089" w:rsidP="00687089">
      <w:pPr>
        <w:shd w:val="clear" w:color="auto" w:fill="FFFFFF"/>
        <w:spacing w:before="120" w:after="120" w:line="240" w:lineRule="auto"/>
        <w:jc w:val="center"/>
        <w:rPr>
          <w:rFonts w:ascii="Times New Roman" w:hAnsi="Times New Roman" w:cs="Times New Roman"/>
          <w:i/>
          <w:sz w:val="24"/>
          <w:lang w:val="en-AU"/>
        </w:rPr>
      </w:pPr>
      <w:r w:rsidRPr="006E3129">
        <w:rPr>
          <w:rFonts w:ascii="Times New Roman" w:eastAsia="Times New Roman" w:hAnsi="Times New Roman" w:cs="Times New Roman"/>
          <w:sz w:val="24"/>
          <w:szCs w:val="24"/>
          <w:lang w:val="en-AU" w:eastAsia="en-AU"/>
        </w:rPr>
        <w:t>Issued</w:t>
      </w:r>
      <w:r w:rsidRPr="006E3129">
        <w:rPr>
          <w:rFonts w:ascii="Times New Roman" w:hAnsi="Times New Roman" w:cs="Times New Roman"/>
          <w:sz w:val="24"/>
          <w:lang w:val="en-AU"/>
        </w:rPr>
        <w:t xml:space="preserve"> by the Attorney-General in compliance with</w:t>
      </w:r>
      <w:r w:rsidRPr="006E3129">
        <w:rPr>
          <w:rFonts w:ascii="Times New Roman" w:hAnsi="Times New Roman" w:cs="Times New Roman"/>
          <w:sz w:val="24"/>
          <w:lang w:val="en-AU"/>
        </w:rPr>
        <w:br/>
        <w:t xml:space="preserve">section 15G of the </w:t>
      </w:r>
      <w:r w:rsidRPr="006E3129">
        <w:rPr>
          <w:rFonts w:ascii="Times New Roman" w:hAnsi="Times New Roman" w:cs="Times New Roman"/>
          <w:i/>
          <w:sz w:val="24"/>
          <w:lang w:val="en-AU"/>
        </w:rPr>
        <w:t>Legislation Act 2003</w:t>
      </w:r>
    </w:p>
    <w:p w14:paraId="5EA3D3C5" w14:textId="77777777" w:rsidR="00687089" w:rsidRPr="006E3129" w:rsidRDefault="00687089" w:rsidP="00687089">
      <w:pPr>
        <w:pBdr>
          <w:bottom w:val="single" w:sz="12" w:space="1" w:color="auto"/>
        </w:pBdr>
        <w:spacing w:after="360" w:line="276" w:lineRule="auto"/>
        <w:jc w:val="both"/>
        <w:rPr>
          <w:rFonts w:ascii="Times New Roman" w:hAnsi="Times New Roman" w:cs="Times New Roman"/>
          <w:lang w:val="en-AU"/>
        </w:rPr>
      </w:pPr>
    </w:p>
    <w:p w14:paraId="4E0012B1" w14:textId="77777777" w:rsidR="00687089" w:rsidRPr="006E3129" w:rsidRDefault="00687089" w:rsidP="00F645AD">
      <w:pPr>
        <w:keepNext/>
        <w:keepLines/>
        <w:spacing w:afterLines="200" w:after="480" w:line="276" w:lineRule="auto"/>
        <w:contextualSpacing/>
        <w:outlineLvl w:val="1"/>
        <w:rPr>
          <w:rFonts w:ascii="Times New Roman" w:eastAsiaTheme="majorEastAsia" w:hAnsi="Times New Roman" w:cs="Times New Roman"/>
          <w:b/>
          <w:bCs/>
          <w:lang w:val="en-AU"/>
        </w:rPr>
      </w:pPr>
      <w:r w:rsidRPr="006E3129">
        <w:rPr>
          <w:rFonts w:ascii="Times New Roman" w:eastAsiaTheme="majorEastAsia" w:hAnsi="Times New Roman" w:cs="Times New Roman"/>
          <w:b/>
          <w:bCs/>
          <w:lang w:val="en-AU"/>
        </w:rPr>
        <w:t>INTRODUCTION</w:t>
      </w:r>
    </w:p>
    <w:p w14:paraId="73DA003E" w14:textId="77777777" w:rsidR="00687089" w:rsidRPr="006E3129" w:rsidRDefault="00687089" w:rsidP="00F645AD">
      <w:pPr>
        <w:spacing w:afterLines="200" w:after="480" w:line="276" w:lineRule="auto"/>
        <w:contextualSpacing/>
        <w:rPr>
          <w:rFonts w:ascii="Times New Roman" w:hAnsi="Times New Roman" w:cs="Times New Roman"/>
        </w:rPr>
      </w:pPr>
      <w:bookmarkStart w:id="0" w:name="_GoBack"/>
      <w:bookmarkEnd w:id="0"/>
    </w:p>
    <w:p w14:paraId="0D48329A" w14:textId="6A2D1406" w:rsidR="00687089" w:rsidRPr="006E3129" w:rsidRDefault="00687089" w:rsidP="00F645AD">
      <w:pPr>
        <w:spacing w:afterLines="200" w:after="480" w:line="360" w:lineRule="auto"/>
        <w:contextualSpacing/>
        <w:rPr>
          <w:rFonts w:ascii="Times New Roman" w:hAnsi="Times New Roman" w:cs="Times New Roman"/>
        </w:rPr>
      </w:pPr>
      <w:r w:rsidRPr="006E3129">
        <w:rPr>
          <w:rFonts w:ascii="Times New Roman" w:hAnsi="Times New Roman" w:cs="Times New Roman"/>
        </w:rPr>
        <w:t xml:space="preserve">The </w:t>
      </w:r>
      <w:r w:rsidR="00900F41" w:rsidRPr="006E3129">
        <w:rPr>
          <w:rFonts w:ascii="Times New Roman" w:hAnsi="Times New Roman" w:cs="Times New Roman"/>
          <w:i/>
        </w:rPr>
        <w:t>Legislation (Deferral of Sunsetting—Occupational Health and Safety (Maritime Industry) Instruments) Certificate 2023</w:t>
      </w:r>
      <w:r w:rsidRPr="006E3129">
        <w:rPr>
          <w:rFonts w:ascii="Times New Roman" w:hAnsi="Times New Roman" w:cs="Times New Roman"/>
          <w:i/>
        </w:rPr>
        <w:t xml:space="preserve"> </w:t>
      </w:r>
      <w:r w:rsidRPr="006E3129">
        <w:rPr>
          <w:rFonts w:ascii="Times New Roman" w:hAnsi="Times New Roman" w:cs="Times New Roman"/>
        </w:rPr>
        <w:t>(the</w:t>
      </w:r>
      <w:r w:rsidR="00F15C02" w:rsidRPr="006E3129">
        <w:rPr>
          <w:rFonts w:ascii="Times New Roman" w:hAnsi="Times New Roman" w:cs="Times New Roman"/>
        </w:rPr>
        <w:t> </w:t>
      </w:r>
      <w:r w:rsidRPr="006E3129">
        <w:rPr>
          <w:rFonts w:ascii="Times New Roman" w:hAnsi="Times New Roman" w:cs="Times New Roman"/>
        </w:rPr>
        <w:t xml:space="preserve">Certificate) is made under paragraph 51(1)(c) of the </w:t>
      </w:r>
      <w:r w:rsidRPr="006E3129">
        <w:rPr>
          <w:rFonts w:ascii="Times New Roman" w:hAnsi="Times New Roman" w:cs="Times New Roman"/>
          <w:i/>
        </w:rPr>
        <w:t>Legislation</w:t>
      </w:r>
      <w:r w:rsidR="00F8155B" w:rsidRPr="006E3129">
        <w:rPr>
          <w:rFonts w:ascii="Times New Roman" w:hAnsi="Times New Roman" w:cs="Times New Roman"/>
          <w:i/>
        </w:rPr>
        <w:t> </w:t>
      </w:r>
      <w:r w:rsidRPr="006E3129">
        <w:rPr>
          <w:rFonts w:ascii="Times New Roman" w:hAnsi="Times New Roman" w:cs="Times New Roman"/>
          <w:i/>
        </w:rPr>
        <w:t>Act</w:t>
      </w:r>
      <w:r w:rsidR="00F8155B" w:rsidRPr="006E3129">
        <w:rPr>
          <w:rFonts w:ascii="Times New Roman" w:hAnsi="Times New Roman" w:cs="Times New Roman"/>
          <w:i/>
        </w:rPr>
        <w:t> </w:t>
      </w:r>
      <w:r w:rsidRPr="006E3129">
        <w:rPr>
          <w:rFonts w:ascii="Times New Roman" w:hAnsi="Times New Roman" w:cs="Times New Roman"/>
          <w:i/>
        </w:rPr>
        <w:t>2003</w:t>
      </w:r>
      <w:r w:rsidRPr="006E3129">
        <w:rPr>
          <w:rFonts w:ascii="Times New Roman" w:hAnsi="Times New Roman" w:cs="Times New Roman"/>
        </w:rPr>
        <w:t xml:space="preserve"> (</w:t>
      </w:r>
      <w:r w:rsidR="00844EAD" w:rsidRPr="006E3129">
        <w:rPr>
          <w:rFonts w:ascii="Times New Roman" w:hAnsi="Times New Roman" w:cs="Times New Roman"/>
        </w:rPr>
        <w:t xml:space="preserve">the </w:t>
      </w:r>
      <w:r w:rsidRPr="006E3129">
        <w:rPr>
          <w:rFonts w:ascii="Times New Roman" w:hAnsi="Times New Roman" w:cs="Times New Roman"/>
        </w:rPr>
        <w:t>Legislation Act)</w:t>
      </w:r>
      <w:r w:rsidRPr="006E3129">
        <w:rPr>
          <w:rFonts w:ascii="Times New Roman" w:hAnsi="Times New Roman" w:cs="Times New Roman"/>
          <w:i/>
        </w:rPr>
        <w:t xml:space="preserve">. </w:t>
      </w:r>
      <w:r w:rsidRPr="006E3129">
        <w:rPr>
          <w:rFonts w:ascii="Times New Roman" w:hAnsi="Times New Roman" w:cs="Times New Roman"/>
        </w:rPr>
        <w:t>It is a legislative instrument for the purposes of the Legislation Act and must be registered on the Federal Register of Legislation.</w:t>
      </w:r>
      <w:r w:rsidR="00844EAD" w:rsidRPr="006E3129">
        <w:rPr>
          <w:rFonts w:ascii="Times New Roman" w:hAnsi="Times New Roman" w:cs="Times New Roman"/>
        </w:rPr>
        <w:t xml:space="preserve">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25C9FCF6" w14:textId="77777777" w:rsidR="00687089" w:rsidRPr="006E3129" w:rsidRDefault="00687089" w:rsidP="00F645AD">
      <w:pPr>
        <w:spacing w:afterLines="200" w:after="480" w:line="276" w:lineRule="auto"/>
        <w:contextualSpacing/>
        <w:rPr>
          <w:rFonts w:ascii="Times New Roman" w:hAnsi="Times New Roman" w:cs="Times New Roman"/>
          <w:lang w:val="en-AU"/>
        </w:rPr>
      </w:pPr>
    </w:p>
    <w:p w14:paraId="50FA39FD" w14:textId="77777777" w:rsidR="00687089" w:rsidRPr="006E3129" w:rsidRDefault="00687089" w:rsidP="00F645AD">
      <w:pPr>
        <w:keepNext/>
        <w:keepLines/>
        <w:spacing w:afterLines="200" w:after="480" w:line="276" w:lineRule="auto"/>
        <w:contextualSpacing/>
        <w:outlineLvl w:val="1"/>
        <w:rPr>
          <w:rFonts w:ascii="Times New Roman" w:eastAsiaTheme="majorEastAsia" w:hAnsi="Times New Roman" w:cs="Times New Roman"/>
          <w:b/>
          <w:bCs/>
          <w:lang w:val="en-AU"/>
        </w:rPr>
      </w:pPr>
      <w:r w:rsidRPr="006E3129">
        <w:rPr>
          <w:rFonts w:ascii="Times New Roman" w:eastAsiaTheme="majorEastAsia" w:hAnsi="Times New Roman" w:cs="Times New Roman"/>
          <w:b/>
          <w:bCs/>
          <w:lang w:val="en-AU"/>
        </w:rPr>
        <w:t>OUTLINE</w:t>
      </w:r>
    </w:p>
    <w:p w14:paraId="2A8F89D6" w14:textId="77777777" w:rsidR="00687089" w:rsidRPr="006E3129" w:rsidRDefault="00687089" w:rsidP="00F645AD">
      <w:pPr>
        <w:spacing w:afterLines="200" w:after="480" w:line="276" w:lineRule="auto"/>
        <w:contextualSpacing/>
        <w:rPr>
          <w:rFonts w:ascii="Times New Roman" w:hAnsi="Times New Roman" w:cs="Times New Roman"/>
        </w:rPr>
      </w:pPr>
    </w:p>
    <w:p w14:paraId="5FA791EF" w14:textId="77777777" w:rsidR="00687089" w:rsidRPr="006E3129" w:rsidRDefault="00687089" w:rsidP="00F645AD">
      <w:pPr>
        <w:spacing w:afterLines="200" w:after="480" w:line="360" w:lineRule="auto"/>
        <w:contextualSpacing/>
        <w:rPr>
          <w:rFonts w:ascii="Times New Roman" w:hAnsi="Times New Roman" w:cs="Times New Roman"/>
          <w:lang w:val="en-AU"/>
        </w:rPr>
      </w:pPr>
      <w:r w:rsidRPr="006E3129">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A966AB2" w14:textId="77777777" w:rsidR="00687089" w:rsidRPr="006E3129" w:rsidRDefault="00687089" w:rsidP="00F645AD">
      <w:pPr>
        <w:spacing w:afterLines="200" w:after="480" w:line="276" w:lineRule="auto"/>
        <w:contextualSpacing/>
        <w:rPr>
          <w:rFonts w:ascii="Times New Roman" w:hAnsi="Times New Roman" w:cs="Times New Roman"/>
          <w:lang w:val="en-AU"/>
        </w:rPr>
      </w:pPr>
    </w:p>
    <w:p w14:paraId="6FC1E309" w14:textId="410C5385" w:rsidR="00F15C02" w:rsidRPr="006E3129" w:rsidRDefault="00687089" w:rsidP="00F645AD">
      <w:pPr>
        <w:spacing w:afterLines="200" w:after="480" w:line="360" w:lineRule="auto"/>
        <w:contextualSpacing/>
        <w:rPr>
          <w:rFonts w:ascii="Times New Roman" w:hAnsi="Times New Roman" w:cs="Times New Roman"/>
          <w:lang w:val="en-AU"/>
        </w:rPr>
      </w:pPr>
      <w:r w:rsidRPr="006E3129">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50FEA80C" w14:textId="77777777" w:rsidR="00F15C02" w:rsidRPr="006E3129" w:rsidRDefault="00F15C02" w:rsidP="00F645AD">
      <w:pPr>
        <w:spacing w:afterLines="200" w:after="480" w:line="276" w:lineRule="auto"/>
        <w:contextualSpacing/>
        <w:rPr>
          <w:rFonts w:ascii="Times New Roman" w:hAnsi="Times New Roman" w:cs="Times New Roman"/>
          <w:lang w:val="en-AU"/>
        </w:rPr>
      </w:pPr>
    </w:p>
    <w:p w14:paraId="6E6F556C" w14:textId="6E62EEE5" w:rsidR="00687089" w:rsidRPr="006E3129" w:rsidRDefault="00687089" w:rsidP="00F645AD">
      <w:pPr>
        <w:spacing w:afterLines="200" w:after="480" w:line="360" w:lineRule="auto"/>
        <w:contextualSpacing/>
        <w:rPr>
          <w:rFonts w:ascii="Times New Roman" w:hAnsi="Times New Roman" w:cs="Times New Roman"/>
          <w:lang w:val="en-AU"/>
        </w:rPr>
      </w:pPr>
      <w:r w:rsidRPr="006E3129">
        <w:rPr>
          <w:rFonts w:ascii="Times New Roman" w:hAnsi="Times New Roman" w:cs="Times New Roman"/>
          <w:lang w:val="en-AU"/>
        </w:rPr>
        <w:t>The instrument will then be repealed on the day specified in the certificate instead of the previously scheduled sunsetting day.</w:t>
      </w:r>
      <w:r w:rsidR="00F15C02" w:rsidRPr="006E3129">
        <w:rPr>
          <w:rFonts w:ascii="Times New Roman" w:hAnsi="Times New Roman" w:cs="Times New Roman"/>
          <w:lang w:val="en-AU"/>
        </w:rPr>
        <w:t xml:space="preserve"> </w:t>
      </w:r>
      <w:r w:rsidRPr="006E3129">
        <w:rPr>
          <w:rFonts w:ascii="Times New Roman" w:hAnsi="Times New Roman" w:cs="Times New Roman"/>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402CF65D" w14:textId="77777777" w:rsidR="00687089" w:rsidRPr="006E3129" w:rsidRDefault="00687089" w:rsidP="00F645AD">
      <w:pPr>
        <w:spacing w:afterLines="200" w:after="480" w:line="276" w:lineRule="auto"/>
        <w:contextualSpacing/>
        <w:rPr>
          <w:rFonts w:ascii="Times New Roman" w:hAnsi="Times New Roman" w:cs="Times New Roman"/>
        </w:rPr>
      </w:pPr>
    </w:p>
    <w:p w14:paraId="17F41771" w14:textId="2060F435" w:rsidR="00687089" w:rsidRPr="006E3129" w:rsidRDefault="00687089" w:rsidP="00F645AD">
      <w:pPr>
        <w:spacing w:line="360" w:lineRule="auto"/>
        <w:contextualSpacing/>
        <w:rPr>
          <w:rFonts w:ascii="Times New Roman" w:hAnsi="Times New Roman" w:cs="Times New Roman"/>
        </w:rPr>
      </w:pPr>
      <w:r w:rsidRPr="006E3129">
        <w:rPr>
          <w:rFonts w:ascii="Times New Roman" w:hAnsi="Times New Roman" w:cs="Times New Roman"/>
        </w:rPr>
        <w:lastRenderedPageBreak/>
        <w:t>The Certificate defers the sunsetting date of the</w:t>
      </w:r>
      <w:r w:rsidR="00254FFE" w:rsidRPr="006E3129">
        <w:rPr>
          <w:rFonts w:ascii="Times New Roman" w:hAnsi="Times New Roman" w:cs="Times New Roman"/>
        </w:rPr>
        <w:t xml:space="preserve"> following instruments by </w:t>
      </w:r>
      <w:r w:rsidR="00E3234A" w:rsidRPr="006E3129">
        <w:rPr>
          <w:rFonts w:ascii="Times New Roman" w:hAnsi="Times New Roman" w:cs="Times New Roman"/>
        </w:rPr>
        <w:t>24</w:t>
      </w:r>
      <w:r w:rsidR="00254FFE" w:rsidRPr="006E3129">
        <w:rPr>
          <w:rFonts w:ascii="Times New Roman" w:hAnsi="Times New Roman" w:cs="Times New Roman"/>
        </w:rPr>
        <w:t xml:space="preserve"> months from </w:t>
      </w:r>
      <w:r w:rsidRPr="006E3129">
        <w:rPr>
          <w:rFonts w:ascii="Times New Roman" w:hAnsi="Times New Roman" w:cs="Times New Roman"/>
        </w:rPr>
        <w:t>1 April 202</w:t>
      </w:r>
      <w:r w:rsidR="00254FFE" w:rsidRPr="006E3129">
        <w:rPr>
          <w:rFonts w:ascii="Times New Roman" w:hAnsi="Times New Roman" w:cs="Times New Roman"/>
        </w:rPr>
        <w:t>4</w:t>
      </w:r>
      <w:r w:rsidRPr="006E3129">
        <w:rPr>
          <w:rFonts w:ascii="Times New Roman" w:hAnsi="Times New Roman" w:cs="Times New Roman"/>
        </w:rPr>
        <w:t xml:space="preserve"> to 1 April 202</w:t>
      </w:r>
      <w:r w:rsidR="00D3128C" w:rsidRPr="006E3129">
        <w:rPr>
          <w:rFonts w:ascii="Times New Roman" w:hAnsi="Times New Roman" w:cs="Times New Roman"/>
        </w:rPr>
        <w:t>6</w:t>
      </w:r>
      <w:r w:rsidR="00254FFE" w:rsidRPr="006E3129">
        <w:rPr>
          <w:rFonts w:ascii="Times New Roman" w:hAnsi="Times New Roman" w:cs="Times New Roman"/>
        </w:rPr>
        <w:t xml:space="preserve"> (together, the </w:t>
      </w:r>
      <w:r w:rsidR="003C4819" w:rsidRPr="006E3129">
        <w:rPr>
          <w:rFonts w:ascii="Times New Roman" w:hAnsi="Times New Roman" w:cs="Times New Roman"/>
        </w:rPr>
        <w:t>OHS</w:t>
      </w:r>
      <w:r w:rsidR="00160EC3" w:rsidRPr="006E3129">
        <w:rPr>
          <w:rFonts w:ascii="Times New Roman" w:hAnsi="Times New Roman" w:cs="Times New Roman"/>
        </w:rPr>
        <w:t xml:space="preserve"> (Maritime Industry) Instruments</w:t>
      </w:r>
      <w:r w:rsidR="00254FFE" w:rsidRPr="006E3129">
        <w:rPr>
          <w:rFonts w:ascii="Times New Roman" w:hAnsi="Times New Roman" w:cs="Times New Roman"/>
        </w:rPr>
        <w:t>):</w:t>
      </w:r>
    </w:p>
    <w:p w14:paraId="688B0B89" w14:textId="04A32CCD" w:rsidR="00DE31A6" w:rsidRPr="006E3129" w:rsidRDefault="00160EC3" w:rsidP="00F645AD">
      <w:pPr>
        <w:pStyle w:val="paragraph"/>
        <w:numPr>
          <w:ilvl w:val="0"/>
          <w:numId w:val="2"/>
        </w:numPr>
      </w:pPr>
      <w:r w:rsidRPr="006E3129">
        <w:rPr>
          <w:i/>
        </w:rPr>
        <w:t>Occupational Health and Safety (Maritime Industry) (National Standards) Regulations 2003</w:t>
      </w:r>
      <w:r w:rsidR="00DE31A6" w:rsidRPr="006E3129">
        <w:t>;</w:t>
      </w:r>
    </w:p>
    <w:p w14:paraId="39466B66" w14:textId="035151E4" w:rsidR="00DE31A6" w:rsidRPr="006E3129" w:rsidRDefault="00DE31A6" w:rsidP="00F645AD">
      <w:pPr>
        <w:pStyle w:val="paragraph"/>
        <w:numPr>
          <w:ilvl w:val="0"/>
          <w:numId w:val="2"/>
        </w:numPr>
      </w:pPr>
      <w:r w:rsidRPr="006E3129">
        <w:tab/>
      </w:r>
      <w:r w:rsidR="00160EC3" w:rsidRPr="006E3129">
        <w:rPr>
          <w:i/>
        </w:rPr>
        <w:t>Occupational Health and Safety (Maritime Industry) Regulations 1995</w:t>
      </w:r>
      <w:r w:rsidR="00160EC3" w:rsidRPr="006E3129">
        <w:t>.</w:t>
      </w:r>
    </w:p>
    <w:p w14:paraId="6D6355ED" w14:textId="0D0E619B" w:rsidR="00687089" w:rsidRPr="006E3129" w:rsidRDefault="00687089" w:rsidP="00621C81">
      <w:pPr>
        <w:pStyle w:val="paragraph"/>
      </w:pPr>
    </w:p>
    <w:p w14:paraId="07CC5D6F" w14:textId="5CBE812C" w:rsidR="00F8155B" w:rsidRPr="006E3129" w:rsidRDefault="00F8155B" w:rsidP="00F8155B">
      <w:pPr>
        <w:spacing w:afterLines="200" w:after="480" w:line="360" w:lineRule="auto"/>
        <w:contextualSpacing/>
        <w:rPr>
          <w:rFonts w:ascii="Times New Roman" w:hAnsi="Times New Roman" w:cs="Times New Roman"/>
        </w:rPr>
      </w:pPr>
      <w:r w:rsidRPr="006E3129">
        <w:rPr>
          <w:rFonts w:ascii="Times New Roman" w:hAnsi="Times New Roman" w:cs="Times New Roman"/>
        </w:rPr>
        <w:t xml:space="preserve">The ability to defer sunsetting dates is an integral part of the sunsetting framework.  It provides the necessary flexibility to ensure the standard </w:t>
      </w:r>
      <w:proofErr w:type="gramStart"/>
      <w:r w:rsidRPr="006E3129">
        <w:rPr>
          <w:rFonts w:ascii="Times New Roman" w:hAnsi="Times New Roman" w:cs="Times New Roman"/>
        </w:rPr>
        <w:t>10 year</w:t>
      </w:r>
      <w:proofErr w:type="gramEnd"/>
      <w:r w:rsidRPr="006E3129">
        <w:rPr>
          <w:rFonts w:ascii="Times New Roman" w:hAnsi="Times New Roman" w:cs="Times New Roman"/>
        </w:rPr>
        <w:t xml:space="preserve"> sunsetting period does not result in unintended consequences or impose an unreasonable administrative burden on Commonwealth agencies or the Parliament. In this case, new instruments to replace the OHS (Maritime Industry) Instruments are expected to be developed and to commence within 24 months of the current sunsetting days</w:t>
      </w:r>
      <w:r w:rsidR="00021054" w:rsidRPr="006E3129">
        <w:rPr>
          <w:rFonts w:ascii="Times New Roman" w:hAnsi="Times New Roman" w:cs="Times New Roman"/>
        </w:rPr>
        <w:t xml:space="preserve"> to ensure that the legislative framework for work health and safety in the seafaring industry possesses safety standards that are fit for purpose</w:t>
      </w:r>
      <w:r w:rsidRPr="006E3129">
        <w:rPr>
          <w:rFonts w:ascii="Times New Roman" w:hAnsi="Times New Roman" w:cs="Times New Roman"/>
        </w:rPr>
        <w:t xml:space="preserve">. This follows a thematic review conducted by the Department of Employment and Workplace Relations (the Department) following an alignment of the sunsetting days of the OHS (Maritime Industry) Instruments under the </w:t>
      </w:r>
      <w:r w:rsidRPr="006E3129">
        <w:rPr>
          <w:rFonts w:ascii="Times New Roman" w:hAnsi="Times New Roman" w:cs="Times New Roman"/>
          <w:i/>
        </w:rPr>
        <w:t>Legislation (Occupational Health and Safety (Maritime Industry) Instruments) Sunset‑altering Declaration 2018</w:t>
      </w:r>
      <w:r w:rsidRPr="006E3129">
        <w:rPr>
          <w:rFonts w:ascii="Times New Roman" w:hAnsi="Times New Roman" w:cs="Times New Roman"/>
        </w:rPr>
        <w:t xml:space="preserve"> to 1 April 2024.</w:t>
      </w:r>
    </w:p>
    <w:p w14:paraId="36C1504C" w14:textId="77777777" w:rsidR="00F8155B" w:rsidRPr="006E3129" w:rsidRDefault="00F8155B" w:rsidP="00F645AD">
      <w:pPr>
        <w:shd w:val="clear" w:color="auto" w:fill="FFFFFF"/>
        <w:spacing w:afterLines="200" w:after="480" w:line="276" w:lineRule="auto"/>
        <w:contextualSpacing/>
        <w:rPr>
          <w:rFonts w:ascii="Times New Roman" w:eastAsia="Times New Roman" w:hAnsi="Times New Roman" w:cs="Times New Roman"/>
          <w:b/>
          <w:bCs/>
          <w:lang w:val="en-AU" w:eastAsia="en-AU"/>
        </w:rPr>
      </w:pPr>
    </w:p>
    <w:p w14:paraId="1B911BEC" w14:textId="572EBACE" w:rsidR="00687089" w:rsidRPr="006E3129" w:rsidRDefault="00687089" w:rsidP="00F645AD">
      <w:pPr>
        <w:shd w:val="clear" w:color="auto" w:fill="FFFFFF"/>
        <w:spacing w:afterLines="200" w:after="480" w:line="276" w:lineRule="auto"/>
        <w:contextualSpacing/>
        <w:rPr>
          <w:rFonts w:ascii="Times New Roman" w:eastAsia="Times New Roman" w:hAnsi="Times New Roman" w:cs="Times New Roman"/>
          <w:b/>
          <w:bCs/>
          <w:lang w:val="en-AU" w:eastAsia="en-AU"/>
        </w:rPr>
      </w:pPr>
      <w:r w:rsidRPr="006E3129">
        <w:rPr>
          <w:rFonts w:ascii="Times New Roman" w:eastAsia="Times New Roman" w:hAnsi="Times New Roman" w:cs="Times New Roman"/>
          <w:b/>
          <w:bCs/>
          <w:lang w:val="en-AU" w:eastAsia="en-AU"/>
        </w:rPr>
        <w:t>PROCESS BEFORE CERTIFICATE WAS MADE</w:t>
      </w:r>
    </w:p>
    <w:p w14:paraId="28E8FE7C" w14:textId="77777777" w:rsidR="00687089" w:rsidRPr="006E3129" w:rsidRDefault="00687089" w:rsidP="00F645AD">
      <w:pPr>
        <w:shd w:val="clear" w:color="auto" w:fill="FFFFFF"/>
        <w:spacing w:afterLines="200" w:after="480" w:line="276" w:lineRule="auto"/>
        <w:contextualSpacing/>
        <w:rPr>
          <w:rFonts w:ascii="Times New Roman" w:eastAsia="Times New Roman" w:hAnsi="Times New Roman" w:cs="Times New Roman"/>
          <w:bCs/>
          <w:lang w:val="en-AU" w:eastAsia="en-AU"/>
        </w:rPr>
      </w:pPr>
    </w:p>
    <w:p w14:paraId="0D77950B" w14:textId="77777777" w:rsidR="00687089" w:rsidRPr="006E3129" w:rsidRDefault="00687089" w:rsidP="00F645AD">
      <w:pPr>
        <w:shd w:val="clear" w:color="auto" w:fill="FFFFFF"/>
        <w:spacing w:afterLines="200" w:after="480" w:line="276" w:lineRule="auto"/>
        <w:contextualSpacing/>
        <w:outlineLvl w:val="2"/>
        <w:rPr>
          <w:rFonts w:ascii="Times New Roman" w:eastAsia="Times New Roman" w:hAnsi="Times New Roman" w:cs="Times New Roman"/>
          <w:b/>
          <w:lang w:val="en-AU" w:eastAsia="en-AU"/>
        </w:rPr>
      </w:pPr>
      <w:r w:rsidRPr="006E3129">
        <w:rPr>
          <w:rFonts w:ascii="Times New Roman" w:eastAsia="Times New Roman" w:hAnsi="Times New Roman" w:cs="Times New Roman"/>
          <w:b/>
          <w:lang w:val="en-AU" w:eastAsia="en-AU"/>
        </w:rPr>
        <w:t>Regulatory impact analysis</w:t>
      </w:r>
    </w:p>
    <w:p w14:paraId="3F9D911A" w14:textId="77777777" w:rsidR="00687089" w:rsidRPr="006E3129" w:rsidRDefault="00687089" w:rsidP="00F645AD">
      <w:pPr>
        <w:spacing w:afterLines="200" w:after="480" w:line="276" w:lineRule="auto"/>
        <w:contextualSpacing/>
        <w:rPr>
          <w:rFonts w:ascii="Times New Roman" w:hAnsi="Times New Roman" w:cs="Times New Roman"/>
          <w:lang w:val="en-AU"/>
        </w:rPr>
      </w:pPr>
    </w:p>
    <w:p w14:paraId="1AD45E93" w14:textId="77777777" w:rsidR="00687089" w:rsidRPr="006E3129" w:rsidRDefault="00687089" w:rsidP="00F645AD">
      <w:pPr>
        <w:spacing w:afterLines="200" w:after="480" w:line="360" w:lineRule="auto"/>
        <w:contextualSpacing/>
        <w:rPr>
          <w:rFonts w:ascii="Times New Roman" w:hAnsi="Times New Roman" w:cs="Times New Roman"/>
          <w:lang w:val="en-AU"/>
        </w:rPr>
      </w:pPr>
      <w:r w:rsidRPr="006E3129">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603CF5DB" w14:textId="77777777" w:rsidR="00687089" w:rsidRPr="006E3129" w:rsidRDefault="00687089" w:rsidP="00F645AD">
      <w:pPr>
        <w:spacing w:afterLines="200" w:after="480" w:line="276" w:lineRule="auto"/>
        <w:contextualSpacing/>
        <w:rPr>
          <w:rFonts w:ascii="Times New Roman" w:hAnsi="Times New Roman" w:cs="Times New Roman"/>
          <w:lang w:val="en-AU"/>
        </w:rPr>
      </w:pPr>
    </w:p>
    <w:p w14:paraId="1DB0C534" w14:textId="77777777" w:rsidR="00687089" w:rsidRPr="006E3129" w:rsidRDefault="00687089" w:rsidP="00F645AD">
      <w:pPr>
        <w:shd w:val="clear" w:color="auto" w:fill="FFFFFF"/>
        <w:spacing w:afterLines="200" w:after="480" w:line="276" w:lineRule="auto"/>
        <w:contextualSpacing/>
        <w:outlineLvl w:val="2"/>
        <w:rPr>
          <w:rFonts w:ascii="Times New Roman" w:eastAsia="Times New Roman" w:hAnsi="Times New Roman" w:cs="Times New Roman"/>
          <w:b/>
          <w:lang w:val="en-AU" w:eastAsia="en-AU"/>
        </w:rPr>
      </w:pPr>
      <w:r w:rsidRPr="006E3129">
        <w:rPr>
          <w:rFonts w:ascii="Times New Roman" w:eastAsia="Times New Roman" w:hAnsi="Times New Roman" w:cs="Times New Roman"/>
          <w:b/>
          <w:lang w:val="en-AU" w:eastAsia="en-AU"/>
        </w:rPr>
        <w:t>Consultation before making</w:t>
      </w:r>
    </w:p>
    <w:p w14:paraId="218A0BEC" w14:textId="77777777" w:rsidR="00687089" w:rsidRPr="006E3129" w:rsidRDefault="00687089" w:rsidP="00F645AD">
      <w:pPr>
        <w:shd w:val="clear" w:color="auto" w:fill="FFFFFF"/>
        <w:spacing w:afterLines="200" w:after="480" w:line="276" w:lineRule="auto"/>
        <w:contextualSpacing/>
        <w:outlineLvl w:val="2"/>
        <w:rPr>
          <w:rFonts w:ascii="Times New Roman" w:eastAsia="Times New Roman" w:hAnsi="Times New Roman" w:cs="Times New Roman"/>
          <w:lang w:val="en-AU" w:eastAsia="en-AU"/>
        </w:rPr>
      </w:pPr>
    </w:p>
    <w:p w14:paraId="47F820C5" w14:textId="2FC0EC6F" w:rsidR="00687089" w:rsidRPr="006E3129" w:rsidRDefault="00687089" w:rsidP="00F645AD">
      <w:pPr>
        <w:spacing w:afterLines="200" w:after="480" w:line="360" w:lineRule="auto"/>
        <w:contextualSpacing/>
        <w:rPr>
          <w:rFonts w:ascii="Times New Roman" w:hAnsi="Times New Roman" w:cs="Times New Roman"/>
        </w:rPr>
      </w:pPr>
      <w:r w:rsidRPr="006E3129">
        <w:rPr>
          <w:rFonts w:ascii="Times New Roman" w:hAnsi="Times New Roman" w:cs="Times New Roman"/>
        </w:rPr>
        <w:t>Before the Certificate was issued, the Attorney-General considered the general obligation to consult imposed by section 17 of the Legislation Act.</w:t>
      </w:r>
    </w:p>
    <w:p w14:paraId="173B194C" w14:textId="77777777" w:rsidR="00AD46C3" w:rsidRPr="006E3129" w:rsidRDefault="00AD46C3" w:rsidP="00F645AD">
      <w:pPr>
        <w:spacing w:afterLines="200" w:after="480" w:line="360" w:lineRule="auto"/>
        <w:contextualSpacing/>
        <w:rPr>
          <w:rFonts w:ascii="Times New Roman" w:hAnsi="Times New Roman" w:cs="Times New Roman"/>
        </w:rPr>
      </w:pPr>
    </w:p>
    <w:p w14:paraId="3B682DA6" w14:textId="635851D8" w:rsidR="00AD46C3" w:rsidRPr="006E3129" w:rsidRDefault="00AD46C3" w:rsidP="00AD46C3">
      <w:pPr>
        <w:spacing w:afterLines="200" w:after="480" w:line="360" w:lineRule="auto"/>
        <w:contextualSpacing/>
        <w:rPr>
          <w:rFonts w:ascii="Times New Roman" w:hAnsi="Times New Roman" w:cs="Times New Roman"/>
        </w:rPr>
      </w:pPr>
      <w:r w:rsidRPr="006E3129">
        <w:rPr>
          <w:rFonts w:ascii="Times New Roman" w:hAnsi="Times New Roman" w:cs="Times New Roman"/>
        </w:rPr>
        <w:t>The OHS (Maritime Industry) Instruments are made under the</w:t>
      </w:r>
      <w:r w:rsidRPr="006E3129">
        <w:rPr>
          <w:rFonts w:ascii="Times New Roman" w:hAnsi="Times New Roman" w:cs="Times New Roman"/>
          <w:i/>
        </w:rPr>
        <w:t> Occupational Health and Safety (Maritime Industry) Act 1993</w:t>
      </w:r>
      <w:r w:rsidRPr="006E3129">
        <w:rPr>
          <w:rFonts w:ascii="Times New Roman" w:hAnsi="Times New Roman" w:cs="Times New Roman"/>
        </w:rPr>
        <w:t xml:space="preserve"> (the</w:t>
      </w:r>
      <w:r w:rsidR="003D191E" w:rsidRPr="006E3129">
        <w:rPr>
          <w:rFonts w:ascii="Times New Roman" w:hAnsi="Times New Roman" w:cs="Times New Roman"/>
        </w:rPr>
        <w:t xml:space="preserve"> OHS(MI)</w:t>
      </w:r>
      <w:r w:rsidRPr="006E3129">
        <w:rPr>
          <w:rFonts w:ascii="Times New Roman" w:hAnsi="Times New Roman" w:cs="Times New Roman"/>
        </w:rPr>
        <w:t xml:space="preserve"> Act). The</w:t>
      </w:r>
      <w:r w:rsidR="00A128B4" w:rsidRPr="006E3129">
        <w:rPr>
          <w:rFonts w:ascii="Times New Roman" w:hAnsi="Times New Roman" w:cs="Times New Roman"/>
        </w:rPr>
        <w:t xml:space="preserve"> OHS(MI)</w:t>
      </w:r>
      <w:r w:rsidRPr="006E3129">
        <w:rPr>
          <w:rFonts w:ascii="Times New Roman" w:hAnsi="Times New Roman" w:cs="Times New Roman"/>
        </w:rPr>
        <w:t xml:space="preserve"> Act provides the legislative framework for work health and safety in the seafaring industry. It also establishes, alongside the </w:t>
      </w:r>
      <w:r w:rsidRPr="006E3129">
        <w:rPr>
          <w:rFonts w:ascii="Times New Roman" w:hAnsi="Times New Roman" w:cs="Times New Roman"/>
          <w:i/>
        </w:rPr>
        <w:t>Seafarers Rehabilitation and Compensation Act 1992</w:t>
      </w:r>
      <w:r w:rsidRPr="006E3129">
        <w:rPr>
          <w:rFonts w:ascii="Times New Roman" w:hAnsi="Times New Roman" w:cs="Times New Roman"/>
        </w:rPr>
        <w:t xml:space="preserve">, the </w:t>
      </w:r>
      <w:proofErr w:type="spellStart"/>
      <w:r w:rsidRPr="006E3129">
        <w:rPr>
          <w:rFonts w:ascii="Times New Roman" w:hAnsi="Times New Roman" w:cs="Times New Roman"/>
        </w:rPr>
        <w:t>Seacare</w:t>
      </w:r>
      <w:proofErr w:type="spellEnd"/>
      <w:r w:rsidRPr="006E3129">
        <w:rPr>
          <w:rFonts w:ascii="Times New Roman" w:hAnsi="Times New Roman" w:cs="Times New Roman"/>
        </w:rPr>
        <w:t xml:space="preserve"> Scheme</w:t>
      </w:r>
      <w:r w:rsidR="00CD6C57" w:rsidRPr="006E3129">
        <w:rPr>
          <w:rFonts w:ascii="Times New Roman" w:hAnsi="Times New Roman" w:cs="Times New Roman"/>
        </w:rPr>
        <w:t>,</w:t>
      </w:r>
      <w:r w:rsidRPr="006E3129">
        <w:rPr>
          <w:rFonts w:ascii="Times New Roman" w:hAnsi="Times New Roman" w:cs="Times New Roman"/>
        </w:rPr>
        <w:t xml:space="preserve"> a national work health and safety and workers’ compensation scheme applying to a defined segment of the seafaring industry. The</w:t>
      </w:r>
      <w:r w:rsidR="00AB51BD" w:rsidRPr="006E3129">
        <w:rPr>
          <w:rFonts w:ascii="Times New Roman" w:hAnsi="Times New Roman" w:cs="Times New Roman"/>
        </w:rPr>
        <w:t xml:space="preserve"> OHS(MI)</w:t>
      </w:r>
      <w:r w:rsidRPr="006E3129">
        <w:rPr>
          <w:rFonts w:ascii="Times New Roman" w:hAnsi="Times New Roman" w:cs="Times New Roman"/>
        </w:rPr>
        <w:t xml:space="preserve"> Act is structured around general duties of care and a cooperative framework requiring operators and employees to work together to manage work health and safety.</w:t>
      </w:r>
    </w:p>
    <w:p w14:paraId="16B11388" w14:textId="298AA9ED" w:rsidR="00AD46C3" w:rsidRPr="006E3129" w:rsidRDefault="00AD46C3" w:rsidP="00AD46C3">
      <w:pPr>
        <w:spacing w:afterLines="200" w:after="480" w:line="360" w:lineRule="auto"/>
        <w:contextualSpacing/>
        <w:rPr>
          <w:rFonts w:ascii="Times New Roman" w:hAnsi="Times New Roman" w:cs="Times New Roman"/>
        </w:rPr>
      </w:pPr>
    </w:p>
    <w:p w14:paraId="47A5C26A" w14:textId="164B12A1" w:rsidR="00900317" w:rsidRPr="006E3129" w:rsidRDefault="00900317" w:rsidP="00AD46C3">
      <w:pPr>
        <w:spacing w:afterLines="200" w:after="480" w:line="360" w:lineRule="auto"/>
        <w:contextualSpacing/>
        <w:rPr>
          <w:rFonts w:ascii="Times New Roman" w:hAnsi="Times New Roman" w:cs="Times New Roman"/>
        </w:rPr>
      </w:pPr>
      <w:r w:rsidRPr="006E3129">
        <w:rPr>
          <w:rFonts w:ascii="Times New Roman" w:hAnsi="Times New Roman" w:cs="Times New Roman"/>
        </w:rPr>
        <w:t>The OHS (Maritime Industry) Instruments support a range of obligations under the</w:t>
      </w:r>
      <w:r w:rsidR="00AB51BD" w:rsidRPr="006E3129">
        <w:rPr>
          <w:rFonts w:ascii="Times New Roman" w:hAnsi="Times New Roman" w:cs="Times New Roman"/>
        </w:rPr>
        <w:t xml:space="preserve"> OHS(MI)</w:t>
      </w:r>
      <w:r w:rsidRPr="006E3129">
        <w:rPr>
          <w:rFonts w:ascii="Times New Roman" w:hAnsi="Times New Roman" w:cs="Times New Roman"/>
        </w:rPr>
        <w:t xml:space="preserve"> Act</w:t>
      </w:r>
      <w:r w:rsidR="00376F07" w:rsidRPr="006E3129">
        <w:rPr>
          <w:rFonts w:ascii="Times New Roman" w:hAnsi="Times New Roman" w:cs="Times New Roman"/>
        </w:rPr>
        <w:t xml:space="preserve"> by </w:t>
      </w:r>
      <w:r w:rsidR="007543A2" w:rsidRPr="006E3129">
        <w:rPr>
          <w:rFonts w:ascii="Times New Roman" w:hAnsi="Times New Roman" w:cs="Times New Roman"/>
        </w:rPr>
        <w:t>prescrib</w:t>
      </w:r>
      <w:r w:rsidR="00376F07" w:rsidRPr="006E3129">
        <w:rPr>
          <w:rFonts w:ascii="Times New Roman" w:hAnsi="Times New Roman" w:cs="Times New Roman"/>
        </w:rPr>
        <w:t>ing</w:t>
      </w:r>
      <w:r w:rsidR="007543A2" w:rsidRPr="006E3129">
        <w:rPr>
          <w:rFonts w:ascii="Times New Roman" w:hAnsi="Times New Roman" w:cs="Times New Roman"/>
        </w:rPr>
        <w:t xml:space="preserve"> forms for notifying and reporting incidents, forms for provisional improvement notices </w:t>
      </w:r>
      <w:r w:rsidR="007543A2" w:rsidRPr="006E3129">
        <w:rPr>
          <w:rFonts w:ascii="Times New Roman" w:hAnsi="Times New Roman" w:cs="Times New Roman"/>
        </w:rPr>
        <w:lastRenderedPageBreak/>
        <w:t>and other notices and procedural matters. They also ensure compliance with national standards and expectations such as the national ban on asbestos, the national standard for manual handling and the Australian standard relating to confined spaces.</w:t>
      </w:r>
    </w:p>
    <w:p w14:paraId="0FAF73FB" w14:textId="70BA6C20" w:rsidR="000137DE" w:rsidRPr="006E3129" w:rsidRDefault="000137DE" w:rsidP="00AD46C3">
      <w:pPr>
        <w:spacing w:afterLines="200" w:after="480" w:line="360" w:lineRule="auto"/>
        <w:contextualSpacing/>
        <w:rPr>
          <w:rFonts w:ascii="Times New Roman" w:hAnsi="Times New Roman" w:cs="Times New Roman"/>
        </w:rPr>
      </w:pPr>
    </w:p>
    <w:p w14:paraId="24BC71D1" w14:textId="15D117A8" w:rsidR="008D535C" w:rsidRPr="006E3129" w:rsidRDefault="00B342DC" w:rsidP="00AD46C3">
      <w:pPr>
        <w:spacing w:afterLines="200" w:after="480" w:line="360" w:lineRule="auto"/>
        <w:contextualSpacing/>
        <w:rPr>
          <w:rFonts w:ascii="Times New Roman" w:hAnsi="Times New Roman" w:cs="Times New Roman"/>
        </w:rPr>
      </w:pPr>
      <w:r w:rsidRPr="006E3129">
        <w:rPr>
          <w:rFonts w:ascii="Times New Roman" w:hAnsi="Times New Roman" w:cs="Times New Roman"/>
        </w:rPr>
        <w:t xml:space="preserve">For many years, there has been </w:t>
      </w:r>
      <w:r w:rsidR="00AB0E9B" w:rsidRPr="006E3129">
        <w:rPr>
          <w:rFonts w:ascii="Times New Roman" w:hAnsi="Times New Roman" w:cs="Times New Roman"/>
        </w:rPr>
        <w:t xml:space="preserve">debate </w:t>
      </w:r>
      <w:r w:rsidR="007A064A" w:rsidRPr="006E3129">
        <w:rPr>
          <w:rFonts w:ascii="Times New Roman" w:hAnsi="Times New Roman" w:cs="Times New Roman"/>
        </w:rPr>
        <w:t>about</w:t>
      </w:r>
      <w:r w:rsidR="00AB0E9B" w:rsidRPr="006E3129">
        <w:rPr>
          <w:rFonts w:ascii="Times New Roman" w:hAnsi="Times New Roman" w:cs="Times New Roman"/>
        </w:rPr>
        <w:t xml:space="preserve"> whether a separate national regime for the seafaring sector is required. </w:t>
      </w:r>
      <w:r w:rsidR="00D90111" w:rsidRPr="006E3129">
        <w:rPr>
          <w:rFonts w:ascii="Times New Roman" w:hAnsi="Times New Roman" w:cs="Times New Roman"/>
        </w:rPr>
        <w:t>T</w:t>
      </w:r>
      <w:r w:rsidR="00AB0E9B" w:rsidRPr="006E3129">
        <w:rPr>
          <w:rFonts w:ascii="Times New Roman" w:hAnsi="Times New Roman" w:cs="Times New Roman"/>
        </w:rPr>
        <w:t xml:space="preserve">he </w:t>
      </w:r>
      <w:proofErr w:type="spellStart"/>
      <w:r w:rsidR="00AB0E9B" w:rsidRPr="006E3129">
        <w:rPr>
          <w:rFonts w:ascii="Times New Roman" w:hAnsi="Times New Roman" w:cs="Times New Roman"/>
        </w:rPr>
        <w:t>Seacare</w:t>
      </w:r>
      <w:proofErr w:type="spellEnd"/>
      <w:r w:rsidR="00AB0E9B" w:rsidRPr="006E3129">
        <w:rPr>
          <w:rFonts w:ascii="Times New Roman" w:hAnsi="Times New Roman" w:cs="Times New Roman"/>
        </w:rPr>
        <w:t xml:space="preserve"> Scheme requires widespread reform. </w:t>
      </w:r>
      <w:r w:rsidR="008D535C" w:rsidRPr="006E3129">
        <w:rPr>
          <w:rFonts w:ascii="Times New Roman" w:hAnsi="Times New Roman" w:cs="Times New Roman"/>
        </w:rPr>
        <w:t>There is</w:t>
      </w:r>
      <w:r w:rsidR="00AB0E9B" w:rsidRPr="006E3129">
        <w:rPr>
          <w:rFonts w:ascii="Times New Roman" w:hAnsi="Times New Roman" w:cs="Times New Roman"/>
        </w:rPr>
        <w:t xml:space="preserve"> also</w:t>
      </w:r>
      <w:r w:rsidR="008D535C" w:rsidRPr="006E3129">
        <w:rPr>
          <w:rFonts w:ascii="Times New Roman" w:hAnsi="Times New Roman" w:cs="Times New Roman"/>
        </w:rPr>
        <w:t xml:space="preserve"> broad support from stakeholders that the work health and safety framework provided by the</w:t>
      </w:r>
      <w:r w:rsidR="00D90111" w:rsidRPr="006E3129">
        <w:rPr>
          <w:rFonts w:ascii="Times New Roman" w:hAnsi="Times New Roman" w:cs="Times New Roman"/>
        </w:rPr>
        <w:t xml:space="preserve"> OHS(MI)</w:t>
      </w:r>
      <w:r w:rsidR="008D535C" w:rsidRPr="006E3129">
        <w:rPr>
          <w:rFonts w:ascii="Times New Roman" w:hAnsi="Times New Roman" w:cs="Times New Roman"/>
        </w:rPr>
        <w:t xml:space="preserve"> Act is out of date and should be </w:t>
      </w:r>
      <w:r w:rsidR="00D90111" w:rsidRPr="006E3129">
        <w:rPr>
          <w:rFonts w:ascii="Times New Roman" w:hAnsi="Times New Roman" w:cs="Times New Roman"/>
        </w:rPr>
        <w:t>aligned</w:t>
      </w:r>
      <w:r w:rsidR="008D535C" w:rsidRPr="006E3129">
        <w:rPr>
          <w:rFonts w:ascii="Times New Roman" w:hAnsi="Times New Roman" w:cs="Times New Roman"/>
        </w:rPr>
        <w:t xml:space="preserve"> with </w:t>
      </w:r>
      <w:r w:rsidR="00AB0E9B" w:rsidRPr="006E3129">
        <w:rPr>
          <w:rFonts w:ascii="Times New Roman" w:hAnsi="Times New Roman" w:cs="Times New Roman"/>
        </w:rPr>
        <w:t xml:space="preserve">model work health and safety laws </w:t>
      </w:r>
      <w:r w:rsidR="0054264C" w:rsidRPr="006E3129">
        <w:rPr>
          <w:rFonts w:ascii="Times New Roman" w:hAnsi="Times New Roman" w:cs="Times New Roman"/>
        </w:rPr>
        <w:t>provided</w:t>
      </w:r>
      <w:r w:rsidR="00AB0E9B" w:rsidRPr="006E3129">
        <w:rPr>
          <w:rFonts w:ascii="Times New Roman" w:hAnsi="Times New Roman" w:cs="Times New Roman"/>
        </w:rPr>
        <w:t xml:space="preserve"> in the </w:t>
      </w:r>
      <w:r w:rsidR="00AB0E9B" w:rsidRPr="006E3129">
        <w:rPr>
          <w:rFonts w:ascii="Times New Roman" w:hAnsi="Times New Roman" w:cs="Times New Roman"/>
          <w:i/>
        </w:rPr>
        <w:t>Work Health and Safety Act 2011</w:t>
      </w:r>
      <w:r w:rsidR="002F0DF9" w:rsidRPr="006E3129">
        <w:rPr>
          <w:rFonts w:ascii="Times New Roman" w:hAnsi="Times New Roman" w:cs="Times New Roman"/>
        </w:rPr>
        <w:t xml:space="preserve"> (WHS Act)</w:t>
      </w:r>
      <w:r w:rsidR="00AB0E9B" w:rsidRPr="006E3129">
        <w:rPr>
          <w:rFonts w:ascii="Times New Roman" w:hAnsi="Times New Roman" w:cs="Times New Roman"/>
        </w:rPr>
        <w:t>.</w:t>
      </w:r>
    </w:p>
    <w:p w14:paraId="1AB47C47" w14:textId="19106764" w:rsidR="00AB0E9B" w:rsidRPr="006E3129" w:rsidRDefault="00AB0E9B" w:rsidP="00AD46C3">
      <w:pPr>
        <w:spacing w:afterLines="200" w:after="480" w:line="360" w:lineRule="auto"/>
        <w:contextualSpacing/>
        <w:rPr>
          <w:rFonts w:ascii="Times New Roman" w:hAnsi="Times New Roman" w:cs="Times New Roman"/>
        </w:rPr>
      </w:pPr>
    </w:p>
    <w:p w14:paraId="73FB8A3E" w14:textId="3CEDBE7E" w:rsidR="0065738B" w:rsidRPr="006E3129" w:rsidRDefault="0054264C" w:rsidP="00AD46C3">
      <w:pPr>
        <w:spacing w:afterLines="200" w:after="480" w:line="360" w:lineRule="auto"/>
        <w:contextualSpacing/>
        <w:rPr>
          <w:rFonts w:ascii="Times New Roman" w:hAnsi="Times New Roman" w:cs="Times New Roman"/>
        </w:rPr>
      </w:pPr>
      <w:r w:rsidRPr="006E3129">
        <w:rPr>
          <w:rFonts w:ascii="Times New Roman" w:hAnsi="Times New Roman" w:cs="Times New Roman"/>
        </w:rPr>
        <w:t>The original sunsetting da</w:t>
      </w:r>
      <w:r w:rsidR="0063109E" w:rsidRPr="006E3129">
        <w:rPr>
          <w:rFonts w:ascii="Times New Roman" w:hAnsi="Times New Roman" w:cs="Times New Roman"/>
        </w:rPr>
        <w:t>tes</w:t>
      </w:r>
      <w:r w:rsidRPr="006E3129">
        <w:rPr>
          <w:rFonts w:ascii="Times New Roman" w:hAnsi="Times New Roman" w:cs="Times New Roman"/>
        </w:rPr>
        <w:t xml:space="preserve"> of the OHS (Maritime Industry) Instruments were aligned by the </w:t>
      </w:r>
      <w:r w:rsidRPr="006E3129">
        <w:rPr>
          <w:rFonts w:ascii="Times New Roman" w:hAnsi="Times New Roman" w:cs="Times New Roman"/>
          <w:i/>
        </w:rPr>
        <w:t>Legislation (Occupational Health and Safety (Maritime Industry) Instruments) Sunset‑altering Declaration 2018</w:t>
      </w:r>
      <w:r w:rsidRPr="006E3129">
        <w:rPr>
          <w:rFonts w:ascii="Times New Roman" w:hAnsi="Times New Roman" w:cs="Times New Roman"/>
        </w:rPr>
        <w:t xml:space="preserve"> to 1 April 2024 to facilitate a review of the OHS (Maritime Industry) Instruments</w:t>
      </w:r>
      <w:r w:rsidR="00724D83" w:rsidRPr="006E3129">
        <w:rPr>
          <w:rFonts w:ascii="Times New Roman" w:hAnsi="Times New Roman" w:cs="Times New Roman"/>
        </w:rPr>
        <w:t xml:space="preserve"> and implement</w:t>
      </w:r>
      <w:r w:rsidR="0063109E" w:rsidRPr="006E3129">
        <w:rPr>
          <w:rFonts w:ascii="Times New Roman" w:hAnsi="Times New Roman" w:cs="Times New Roman"/>
        </w:rPr>
        <w:t xml:space="preserve"> necessary changes based on</w:t>
      </w:r>
      <w:r w:rsidR="00724D83" w:rsidRPr="006E3129">
        <w:rPr>
          <w:rFonts w:ascii="Times New Roman" w:hAnsi="Times New Roman" w:cs="Times New Roman"/>
        </w:rPr>
        <w:t xml:space="preserve"> findings. Completion of th</w:t>
      </w:r>
      <w:r w:rsidR="0063109E" w:rsidRPr="006E3129">
        <w:rPr>
          <w:rFonts w:ascii="Times New Roman" w:hAnsi="Times New Roman" w:cs="Times New Roman"/>
        </w:rPr>
        <w:t>at</w:t>
      </w:r>
      <w:r w:rsidR="00724D83" w:rsidRPr="006E3129">
        <w:rPr>
          <w:rFonts w:ascii="Times New Roman" w:hAnsi="Times New Roman" w:cs="Times New Roman"/>
        </w:rPr>
        <w:t xml:space="preserve"> review has been delayed</w:t>
      </w:r>
      <w:r w:rsidR="0063109E" w:rsidRPr="006E3129">
        <w:rPr>
          <w:rFonts w:ascii="Times New Roman" w:hAnsi="Times New Roman" w:cs="Times New Roman"/>
        </w:rPr>
        <w:t xml:space="preserve"> </w:t>
      </w:r>
      <w:r w:rsidR="00724D83" w:rsidRPr="006E3129">
        <w:rPr>
          <w:rFonts w:ascii="Times New Roman" w:hAnsi="Times New Roman" w:cs="Times New Roman"/>
        </w:rPr>
        <w:t xml:space="preserve">due to </w:t>
      </w:r>
      <w:r w:rsidR="00BE515C" w:rsidRPr="006E3129">
        <w:rPr>
          <w:rFonts w:ascii="Times New Roman" w:hAnsi="Times New Roman" w:cs="Times New Roman"/>
        </w:rPr>
        <w:t xml:space="preserve">a variety of efforts to address broad ranging issues with the </w:t>
      </w:r>
      <w:proofErr w:type="spellStart"/>
      <w:r w:rsidR="00BE515C" w:rsidRPr="006E3129">
        <w:rPr>
          <w:rFonts w:ascii="Times New Roman" w:hAnsi="Times New Roman" w:cs="Times New Roman"/>
        </w:rPr>
        <w:t>Seacare</w:t>
      </w:r>
      <w:proofErr w:type="spellEnd"/>
      <w:r w:rsidR="00BE515C" w:rsidRPr="006E3129">
        <w:rPr>
          <w:rFonts w:ascii="Times New Roman" w:hAnsi="Times New Roman" w:cs="Times New Roman"/>
        </w:rPr>
        <w:t xml:space="preserve"> Scheme.</w:t>
      </w:r>
    </w:p>
    <w:p w14:paraId="7A0F8ACD" w14:textId="77777777" w:rsidR="0065738B" w:rsidRPr="006E3129" w:rsidRDefault="0065738B" w:rsidP="00AD46C3">
      <w:pPr>
        <w:spacing w:afterLines="200" w:after="480" w:line="360" w:lineRule="auto"/>
        <w:contextualSpacing/>
        <w:rPr>
          <w:rFonts w:ascii="Times New Roman" w:hAnsi="Times New Roman" w:cs="Times New Roman"/>
        </w:rPr>
      </w:pPr>
    </w:p>
    <w:p w14:paraId="76474EE9" w14:textId="5D77007A" w:rsidR="002F0DF9" w:rsidRPr="006E3129" w:rsidRDefault="002F0DF9" w:rsidP="00AD46C3">
      <w:pPr>
        <w:spacing w:afterLines="200" w:after="480" w:line="360" w:lineRule="auto"/>
        <w:contextualSpacing/>
        <w:rPr>
          <w:rFonts w:ascii="Times New Roman" w:hAnsi="Times New Roman" w:cs="Times New Roman"/>
        </w:rPr>
      </w:pPr>
      <w:r w:rsidRPr="006E3129">
        <w:rPr>
          <w:rFonts w:ascii="Times New Roman" w:hAnsi="Times New Roman" w:cs="Times New Roman"/>
        </w:rPr>
        <w:t xml:space="preserve">The Seafarers and Other Legislation Amendment Bill 2016, introduced by the former </w:t>
      </w:r>
      <w:r w:rsidR="00A21E3A" w:rsidRPr="006E3129">
        <w:rPr>
          <w:rFonts w:ascii="Times New Roman" w:hAnsi="Times New Roman" w:cs="Times New Roman"/>
        </w:rPr>
        <w:t>g</w:t>
      </w:r>
      <w:r w:rsidRPr="006E3129">
        <w:rPr>
          <w:rFonts w:ascii="Times New Roman" w:hAnsi="Times New Roman" w:cs="Times New Roman"/>
        </w:rPr>
        <w:t xml:space="preserve">overnment, </w:t>
      </w:r>
      <w:r w:rsidR="00621C81" w:rsidRPr="006E3129">
        <w:rPr>
          <w:rFonts w:ascii="Times New Roman" w:hAnsi="Times New Roman" w:cs="Times New Roman"/>
        </w:rPr>
        <w:t>proposed to repeal</w:t>
      </w:r>
      <w:r w:rsidRPr="006E3129">
        <w:rPr>
          <w:rFonts w:ascii="Times New Roman" w:hAnsi="Times New Roman" w:cs="Times New Roman"/>
        </w:rPr>
        <w:t xml:space="preserve"> the Act and</w:t>
      </w:r>
      <w:r w:rsidR="00840182" w:rsidRPr="006E3129">
        <w:rPr>
          <w:rFonts w:ascii="Times New Roman" w:hAnsi="Times New Roman" w:cs="Times New Roman"/>
        </w:rPr>
        <w:t xml:space="preserve"> extend</w:t>
      </w:r>
      <w:r w:rsidRPr="006E3129">
        <w:rPr>
          <w:rFonts w:ascii="Times New Roman" w:hAnsi="Times New Roman" w:cs="Times New Roman"/>
        </w:rPr>
        <w:t xml:space="preserve"> coverage from the WHS Act and the </w:t>
      </w:r>
      <w:r w:rsidRPr="006E3129">
        <w:rPr>
          <w:rFonts w:ascii="Times New Roman" w:hAnsi="Times New Roman" w:cs="Times New Roman"/>
          <w:i/>
        </w:rPr>
        <w:t>Work Health and Safety Regulations 2011</w:t>
      </w:r>
      <w:r w:rsidRPr="006E3129">
        <w:rPr>
          <w:rFonts w:ascii="Times New Roman" w:hAnsi="Times New Roman" w:cs="Times New Roman"/>
        </w:rPr>
        <w:t xml:space="preserve"> to apply to the </w:t>
      </w:r>
      <w:proofErr w:type="spellStart"/>
      <w:r w:rsidRPr="006E3129">
        <w:rPr>
          <w:rFonts w:ascii="Times New Roman" w:hAnsi="Times New Roman" w:cs="Times New Roman"/>
        </w:rPr>
        <w:t>Seacare</w:t>
      </w:r>
      <w:proofErr w:type="spellEnd"/>
      <w:r w:rsidRPr="006E3129">
        <w:rPr>
          <w:rFonts w:ascii="Times New Roman" w:hAnsi="Times New Roman" w:cs="Times New Roman"/>
        </w:rPr>
        <w:t xml:space="preserve"> Scheme, but</w:t>
      </w:r>
      <w:r w:rsidR="00840182" w:rsidRPr="006E3129">
        <w:rPr>
          <w:rFonts w:ascii="Times New Roman" w:hAnsi="Times New Roman" w:cs="Times New Roman"/>
        </w:rPr>
        <w:t xml:space="preserve"> the Bill</w:t>
      </w:r>
      <w:r w:rsidRPr="006E3129">
        <w:rPr>
          <w:rFonts w:ascii="Times New Roman" w:hAnsi="Times New Roman" w:cs="Times New Roman"/>
        </w:rPr>
        <w:t xml:space="preserve"> lapsed on Parliament’s prorogation for the 2019 Federal election.</w:t>
      </w:r>
    </w:p>
    <w:p w14:paraId="4DEEEA7A" w14:textId="77777777" w:rsidR="002F0DF9" w:rsidRPr="006E3129" w:rsidRDefault="002F0DF9" w:rsidP="00AD46C3">
      <w:pPr>
        <w:spacing w:afterLines="200" w:after="480" w:line="360" w:lineRule="auto"/>
        <w:contextualSpacing/>
        <w:rPr>
          <w:rFonts w:ascii="Times New Roman" w:hAnsi="Times New Roman" w:cs="Times New Roman"/>
        </w:rPr>
      </w:pPr>
    </w:p>
    <w:p w14:paraId="255B38A1" w14:textId="395A398A" w:rsidR="00AB0E9B" w:rsidRPr="006E3129" w:rsidRDefault="002F0DF9" w:rsidP="00AD46C3">
      <w:pPr>
        <w:spacing w:afterLines="200" w:after="480" w:line="360" w:lineRule="auto"/>
        <w:contextualSpacing/>
        <w:rPr>
          <w:rFonts w:ascii="Times New Roman" w:hAnsi="Times New Roman" w:cs="Times New Roman"/>
        </w:rPr>
      </w:pPr>
      <w:r w:rsidRPr="006E3129">
        <w:rPr>
          <w:rFonts w:ascii="Times New Roman" w:hAnsi="Times New Roman" w:cs="Times New Roman"/>
        </w:rPr>
        <w:t>Additionally,</w:t>
      </w:r>
      <w:r w:rsidR="00621C81" w:rsidRPr="006E3129">
        <w:rPr>
          <w:rFonts w:ascii="Times New Roman" w:hAnsi="Times New Roman" w:cs="Times New Roman"/>
        </w:rPr>
        <w:t xml:space="preserve"> in 2021,</w:t>
      </w:r>
      <w:r w:rsidRPr="006E3129">
        <w:rPr>
          <w:rFonts w:ascii="Times New Roman" w:hAnsi="Times New Roman" w:cs="Times New Roman"/>
        </w:rPr>
        <w:t xml:space="preserve"> an independent review of the </w:t>
      </w:r>
      <w:proofErr w:type="spellStart"/>
      <w:r w:rsidRPr="006E3129">
        <w:rPr>
          <w:rFonts w:ascii="Times New Roman" w:hAnsi="Times New Roman" w:cs="Times New Roman"/>
        </w:rPr>
        <w:t>Seacare</w:t>
      </w:r>
      <w:proofErr w:type="spellEnd"/>
      <w:r w:rsidRPr="006E3129">
        <w:rPr>
          <w:rFonts w:ascii="Times New Roman" w:hAnsi="Times New Roman" w:cs="Times New Roman"/>
        </w:rPr>
        <w:t xml:space="preserve"> Scheme by </w:t>
      </w:r>
      <w:proofErr w:type="spellStart"/>
      <w:r w:rsidRPr="006E3129">
        <w:rPr>
          <w:rFonts w:ascii="Times New Roman" w:hAnsi="Times New Roman" w:cs="Times New Roman"/>
        </w:rPr>
        <w:t>Finity</w:t>
      </w:r>
      <w:proofErr w:type="spellEnd"/>
      <w:r w:rsidRPr="006E3129">
        <w:rPr>
          <w:rFonts w:ascii="Times New Roman" w:hAnsi="Times New Roman" w:cs="Times New Roman"/>
        </w:rPr>
        <w:t xml:space="preserve"> Consulting Pty Ltd was commissioned by the former </w:t>
      </w:r>
      <w:r w:rsidR="00A21E3A" w:rsidRPr="006E3129">
        <w:rPr>
          <w:rFonts w:ascii="Times New Roman" w:hAnsi="Times New Roman" w:cs="Times New Roman"/>
        </w:rPr>
        <w:t>g</w:t>
      </w:r>
      <w:r w:rsidRPr="006E3129">
        <w:rPr>
          <w:rFonts w:ascii="Times New Roman" w:hAnsi="Times New Roman" w:cs="Times New Roman"/>
        </w:rPr>
        <w:t>overnment</w:t>
      </w:r>
      <w:r w:rsidR="00D67D11" w:rsidRPr="006E3129">
        <w:rPr>
          <w:rFonts w:ascii="Times New Roman" w:hAnsi="Times New Roman" w:cs="Times New Roman"/>
        </w:rPr>
        <w:t>.</w:t>
      </w:r>
      <w:r w:rsidR="00840182" w:rsidRPr="006E3129">
        <w:rPr>
          <w:rFonts w:ascii="Times New Roman" w:hAnsi="Times New Roman" w:cs="Times New Roman"/>
        </w:rPr>
        <w:t xml:space="preserve"> A report of the independent review has been presented to the Minister Employment and Workplace Relations with options for reform currently under close consideration for harmonising the</w:t>
      </w:r>
      <w:r w:rsidR="007A4625" w:rsidRPr="006E3129">
        <w:rPr>
          <w:rFonts w:ascii="Times New Roman" w:hAnsi="Times New Roman" w:cs="Times New Roman"/>
        </w:rPr>
        <w:t xml:space="preserve"> OHS(MI)</w:t>
      </w:r>
      <w:r w:rsidR="00840182" w:rsidRPr="006E3129">
        <w:rPr>
          <w:rFonts w:ascii="Times New Roman" w:hAnsi="Times New Roman" w:cs="Times New Roman"/>
        </w:rPr>
        <w:t xml:space="preserve"> Act and the OHS (Maritime Industry) Instruments with the WHS Act.</w:t>
      </w:r>
    </w:p>
    <w:p w14:paraId="32C49677" w14:textId="22B8C767" w:rsidR="0054264C" w:rsidRPr="006E3129" w:rsidRDefault="0054264C" w:rsidP="00AD46C3">
      <w:pPr>
        <w:spacing w:afterLines="200" w:after="480" w:line="360" w:lineRule="auto"/>
        <w:contextualSpacing/>
        <w:rPr>
          <w:rFonts w:ascii="Times New Roman" w:hAnsi="Times New Roman" w:cs="Times New Roman"/>
        </w:rPr>
      </w:pPr>
    </w:p>
    <w:p w14:paraId="4CECE388" w14:textId="7121C2DD" w:rsidR="00270814" w:rsidRPr="006E3129" w:rsidRDefault="000C756B" w:rsidP="00F645AD">
      <w:pPr>
        <w:spacing w:afterLines="200" w:after="480" w:line="360" w:lineRule="auto"/>
        <w:contextualSpacing/>
        <w:rPr>
          <w:rFonts w:ascii="Times New Roman" w:hAnsi="Times New Roman" w:cs="Times New Roman"/>
        </w:rPr>
      </w:pPr>
      <w:r w:rsidRPr="006E3129">
        <w:rPr>
          <w:rFonts w:ascii="Times New Roman" w:hAnsi="Times New Roman" w:cs="Times New Roman"/>
        </w:rPr>
        <w:t>With the</w:t>
      </w:r>
      <w:r w:rsidR="00621C81" w:rsidRPr="006E3129">
        <w:rPr>
          <w:rFonts w:ascii="Times New Roman" w:hAnsi="Times New Roman" w:cs="Times New Roman"/>
        </w:rPr>
        <w:t xml:space="preserve"> </w:t>
      </w:r>
      <w:r w:rsidRPr="006E3129">
        <w:rPr>
          <w:rFonts w:ascii="Times New Roman" w:hAnsi="Times New Roman" w:cs="Times New Roman"/>
        </w:rPr>
        <w:t>review still underway, the</w:t>
      </w:r>
      <w:r w:rsidR="005F077C" w:rsidRPr="006E3129">
        <w:rPr>
          <w:rFonts w:ascii="Times New Roman" w:hAnsi="Times New Roman" w:cs="Times New Roman"/>
        </w:rPr>
        <w:t xml:space="preserve"> Department is conducting targeted consultation</w:t>
      </w:r>
      <w:r w:rsidR="0065738B" w:rsidRPr="006E3129">
        <w:rPr>
          <w:rFonts w:ascii="Times New Roman" w:hAnsi="Times New Roman" w:cs="Times New Roman"/>
        </w:rPr>
        <w:t xml:space="preserve"> with stakeholders</w:t>
      </w:r>
      <w:r w:rsidR="003466D4" w:rsidRPr="006E3129">
        <w:rPr>
          <w:rFonts w:ascii="Times New Roman" w:hAnsi="Times New Roman" w:cs="Times New Roman"/>
        </w:rPr>
        <w:t xml:space="preserve"> on the utility of the framework provided by the</w:t>
      </w:r>
      <w:r w:rsidR="00986531" w:rsidRPr="006E3129">
        <w:rPr>
          <w:rFonts w:ascii="Times New Roman" w:hAnsi="Times New Roman" w:cs="Times New Roman"/>
        </w:rPr>
        <w:t xml:space="preserve"> OHS(MI)</w:t>
      </w:r>
      <w:r w:rsidR="003466D4" w:rsidRPr="006E3129">
        <w:rPr>
          <w:rFonts w:ascii="Times New Roman" w:hAnsi="Times New Roman" w:cs="Times New Roman"/>
        </w:rPr>
        <w:t xml:space="preserve"> Act and the OHS (Maritime Industry) Instruments</w:t>
      </w:r>
      <w:r w:rsidR="0065738B" w:rsidRPr="006E3129">
        <w:rPr>
          <w:rFonts w:ascii="Times New Roman" w:hAnsi="Times New Roman" w:cs="Times New Roman"/>
        </w:rPr>
        <w:t xml:space="preserve">. </w:t>
      </w:r>
      <w:r w:rsidRPr="006E3129">
        <w:rPr>
          <w:rFonts w:ascii="Times New Roman" w:hAnsi="Times New Roman" w:cs="Times New Roman"/>
        </w:rPr>
        <w:t>Stakeholder</w:t>
      </w:r>
      <w:r w:rsidR="0065738B" w:rsidRPr="006E3129">
        <w:rPr>
          <w:rFonts w:ascii="Times New Roman" w:hAnsi="Times New Roman" w:cs="Times New Roman"/>
        </w:rPr>
        <w:t xml:space="preserve"> consultation</w:t>
      </w:r>
      <w:r w:rsidRPr="006E3129">
        <w:rPr>
          <w:rFonts w:ascii="Times New Roman" w:hAnsi="Times New Roman" w:cs="Times New Roman"/>
        </w:rPr>
        <w:t xml:space="preserve"> will inform</w:t>
      </w:r>
      <w:r w:rsidR="00986531" w:rsidRPr="006E3129">
        <w:rPr>
          <w:rFonts w:ascii="Times New Roman" w:hAnsi="Times New Roman" w:cs="Times New Roman"/>
        </w:rPr>
        <w:t xml:space="preserve"> </w:t>
      </w:r>
      <w:r w:rsidR="00FE4FC2" w:rsidRPr="006E3129">
        <w:rPr>
          <w:rFonts w:ascii="Times New Roman" w:hAnsi="Times New Roman" w:cs="Times New Roman"/>
        </w:rPr>
        <w:t>decisions concerning</w:t>
      </w:r>
      <w:r w:rsidRPr="006E3129">
        <w:rPr>
          <w:rFonts w:ascii="Times New Roman" w:hAnsi="Times New Roman" w:cs="Times New Roman"/>
        </w:rPr>
        <w:t xml:space="preserve"> the</w:t>
      </w:r>
      <w:r w:rsidR="00986531" w:rsidRPr="006E3129">
        <w:rPr>
          <w:rFonts w:ascii="Times New Roman" w:hAnsi="Times New Roman" w:cs="Times New Roman"/>
        </w:rPr>
        <w:t xml:space="preserve"> OHS(MI)</w:t>
      </w:r>
      <w:r w:rsidRPr="006E3129">
        <w:rPr>
          <w:rFonts w:ascii="Times New Roman" w:hAnsi="Times New Roman" w:cs="Times New Roman"/>
        </w:rPr>
        <w:t xml:space="preserve"> Act and the OHS (Maritime Industry) Instruments</w:t>
      </w:r>
      <w:r w:rsidR="00FE4FC2" w:rsidRPr="006E3129">
        <w:rPr>
          <w:rFonts w:ascii="Times New Roman" w:hAnsi="Times New Roman" w:cs="Times New Roman"/>
        </w:rPr>
        <w:t xml:space="preserve">. It will also inform decisions made to ensure the </w:t>
      </w:r>
      <w:proofErr w:type="spellStart"/>
      <w:r w:rsidR="00FE4FC2" w:rsidRPr="006E3129">
        <w:rPr>
          <w:rFonts w:ascii="Times New Roman" w:hAnsi="Times New Roman" w:cs="Times New Roman"/>
        </w:rPr>
        <w:t>Seacare</w:t>
      </w:r>
      <w:proofErr w:type="spellEnd"/>
      <w:r w:rsidR="00FE4FC2" w:rsidRPr="006E3129">
        <w:rPr>
          <w:rFonts w:ascii="Times New Roman" w:hAnsi="Times New Roman" w:cs="Times New Roman"/>
        </w:rPr>
        <w:t xml:space="preserve"> Scheme possesses safety standards that are fit for purpose.</w:t>
      </w:r>
    </w:p>
    <w:p w14:paraId="22C7EB64" w14:textId="77777777" w:rsidR="00270814" w:rsidRPr="006E3129" w:rsidRDefault="00270814" w:rsidP="00F645AD">
      <w:pPr>
        <w:spacing w:afterLines="200" w:after="480" w:line="276" w:lineRule="auto"/>
        <w:contextualSpacing/>
        <w:rPr>
          <w:rFonts w:ascii="Times New Roman" w:hAnsi="Times New Roman" w:cs="Times New Roman"/>
        </w:rPr>
      </w:pPr>
    </w:p>
    <w:p w14:paraId="75305FA7" w14:textId="46F93141" w:rsidR="00687089" w:rsidRPr="006E3129" w:rsidRDefault="00687089" w:rsidP="00F645AD">
      <w:pPr>
        <w:spacing w:afterLines="200" w:after="480" w:line="360" w:lineRule="auto"/>
        <w:contextualSpacing/>
        <w:rPr>
          <w:rFonts w:ascii="Times New Roman" w:hAnsi="Times New Roman" w:cs="Times New Roman"/>
        </w:rPr>
      </w:pPr>
      <w:r w:rsidRPr="006E3129">
        <w:rPr>
          <w:rFonts w:ascii="Times New Roman" w:hAnsi="Times New Roman" w:cs="Times New Roman"/>
        </w:rPr>
        <w:t>Certificates of deferral are machinery in nature</w:t>
      </w:r>
      <w:r w:rsidR="00A80AFB" w:rsidRPr="006E3129">
        <w:rPr>
          <w:rFonts w:ascii="Times New Roman" w:hAnsi="Times New Roman" w:cs="Times New Roman"/>
        </w:rPr>
        <w:t>,</w:t>
      </w:r>
      <w:r w:rsidRPr="006E3129">
        <w:rPr>
          <w:rFonts w:ascii="Times New Roman" w:hAnsi="Times New Roman" w:cs="Times New Roman"/>
        </w:rPr>
        <w:t xml:space="preserv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w:t>
      </w:r>
      <w:r w:rsidR="008A3922" w:rsidRPr="006E3129">
        <w:rPr>
          <w:rFonts w:ascii="Times New Roman" w:hAnsi="Times New Roman" w:cs="Times New Roman"/>
        </w:rPr>
        <w:t xml:space="preserve">Any replacement instruments </w:t>
      </w:r>
      <w:r w:rsidRPr="006E3129">
        <w:rPr>
          <w:rFonts w:ascii="Times New Roman" w:hAnsi="Times New Roman" w:cs="Times New Roman"/>
        </w:rPr>
        <w:t xml:space="preserve">will be subject to </w:t>
      </w:r>
      <w:r w:rsidRPr="006E3129">
        <w:rPr>
          <w:rFonts w:ascii="Times New Roman" w:hAnsi="Times New Roman" w:cs="Times New Roman"/>
        </w:rPr>
        <w:lastRenderedPageBreak/>
        <w:t xml:space="preserve">further consultation and parliamentary oversight, including oversight of whether adequate consultation occurred with persons likely to be affected by the replacement </w:t>
      </w:r>
      <w:r w:rsidR="008A3922" w:rsidRPr="006E3129">
        <w:rPr>
          <w:rFonts w:ascii="Times New Roman" w:hAnsi="Times New Roman" w:cs="Times New Roman"/>
        </w:rPr>
        <w:t>instruments</w:t>
      </w:r>
      <w:r w:rsidRPr="006E3129">
        <w:rPr>
          <w:rFonts w:ascii="Times New Roman" w:hAnsi="Times New Roman" w:cs="Times New Roman"/>
        </w:rPr>
        <w:t>.</w:t>
      </w:r>
    </w:p>
    <w:p w14:paraId="5BD273D7" w14:textId="77777777" w:rsidR="00687089" w:rsidRPr="006E3129" w:rsidRDefault="00687089" w:rsidP="00F645AD">
      <w:pPr>
        <w:spacing w:afterLines="200" w:after="480" w:line="276" w:lineRule="auto"/>
        <w:contextualSpacing/>
        <w:rPr>
          <w:rFonts w:ascii="Times New Roman" w:hAnsi="Times New Roman" w:cs="Times New Roman"/>
        </w:rPr>
      </w:pPr>
    </w:p>
    <w:p w14:paraId="33B2E7C8" w14:textId="5C182D22" w:rsidR="00687089" w:rsidRPr="006E3129" w:rsidRDefault="00687089" w:rsidP="00F645AD">
      <w:pPr>
        <w:spacing w:afterLines="200" w:after="480" w:line="360" w:lineRule="auto"/>
        <w:contextualSpacing/>
        <w:rPr>
          <w:rFonts w:ascii="Times New Roman" w:hAnsi="Times New Roman" w:cs="Times New Roman"/>
        </w:rPr>
      </w:pPr>
      <w:r w:rsidRPr="006E3129">
        <w:rPr>
          <w:rFonts w:ascii="Times New Roman" w:hAnsi="Times New Roman" w:cs="Times New Roman"/>
        </w:rPr>
        <w:t xml:space="preserve">A </w:t>
      </w:r>
      <w:proofErr w:type="gramStart"/>
      <w:r w:rsidR="002A6B91" w:rsidRPr="006E3129">
        <w:rPr>
          <w:rFonts w:ascii="Times New Roman" w:hAnsi="Times New Roman" w:cs="Times New Roman"/>
        </w:rPr>
        <w:t>24</w:t>
      </w:r>
      <w:r w:rsidRPr="006E3129">
        <w:rPr>
          <w:rFonts w:ascii="Times New Roman" w:hAnsi="Times New Roman" w:cs="Times New Roman"/>
        </w:rPr>
        <w:t xml:space="preserve"> month</w:t>
      </w:r>
      <w:proofErr w:type="gramEnd"/>
      <w:r w:rsidRPr="006E3129">
        <w:rPr>
          <w:rFonts w:ascii="Times New Roman" w:hAnsi="Times New Roman" w:cs="Times New Roman"/>
        </w:rPr>
        <w:t xml:space="preserve"> deferral will allow sufficient time for</w:t>
      </w:r>
      <w:r w:rsidR="00BE3BBC" w:rsidRPr="006E3129">
        <w:rPr>
          <w:rFonts w:ascii="Times New Roman" w:hAnsi="Times New Roman" w:cs="Times New Roman"/>
        </w:rPr>
        <w:t xml:space="preserve"> the Department to implement the recommendations of the review</w:t>
      </w:r>
      <w:r w:rsidR="00E36149" w:rsidRPr="006E3129">
        <w:rPr>
          <w:rFonts w:ascii="Times New Roman" w:hAnsi="Times New Roman" w:cs="Times New Roman"/>
        </w:rPr>
        <w:t xml:space="preserve"> in</w:t>
      </w:r>
      <w:r w:rsidR="005B704A" w:rsidRPr="006E3129">
        <w:rPr>
          <w:rFonts w:ascii="Times New Roman" w:hAnsi="Times New Roman" w:cs="Times New Roman"/>
        </w:rPr>
        <w:t xml:space="preserve"> </w:t>
      </w:r>
      <w:r w:rsidR="00E36149" w:rsidRPr="006E3129">
        <w:rPr>
          <w:rFonts w:ascii="Times New Roman" w:hAnsi="Times New Roman" w:cs="Times New Roman"/>
        </w:rPr>
        <w:t>new legislation</w:t>
      </w:r>
      <w:r w:rsidRPr="006E3129">
        <w:rPr>
          <w:rFonts w:ascii="Times New Roman" w:hAnsi="Times New Roman" w:cs="Times New Roman"/>
        </w:rPr>
        <w:t xml:space="preserve">, and will avoid the need to remake </w:t>
      </w:r>
      <w:r w:rsidR="00BE3BBC" w:rsidRPr="006E3129">
        <w:rPr>
          <w:rFonts w:ascii="Times New Roman" w:hAnsi="Times New Roman" w:cs="Times New Roman"/>
        </w:rPr>
        <w:t xml:space="preserve">the </w:t>
      </w:r>
      <w:r w:rsidR="000C4C5E" w:rsidRPr="006E3129">
        <w:rPr>
          <w:rFonts w:ascii="Times New Roman" w:hAnsi="Times New Roman" w:cs="Times New Roman"/>
        </w:rPr>
        <w:t>OHS (Maritime Industry) Instruments</w:t>
      </w:r>
      <w:r w:rsidR="00BE3BBC" w:rsidRPr="006E3129">
        <w:rPr>
          <w:rFonts w:ascii="Times New Roman" w:hAnsi="Times New Roman" w:cs="Times New Roman"/>
        </w:rPr>
        <w:t xml:space="preserve"> </w:t>
      </w:r>
      <w:r w:rsidRPr="006E3129">
        <w:rPr>
          <w:rFonts w:ascii="Times New Roman" w:hAnsi="Times New Roman" w:cs="Times New Roman"/>
        </w:rPr>
        <w:t xml:space="preserve">in </w:t>
      </w:r>
      <w:r w:rsidR="00BE3BBC" w:rsidRPr="006E3129">
        <w:rPr>
          <w:rFonts w:ascii="Times New Roman" w:hAnsi="Times New Roman" w:cs="Times New Roman"/>
        </w:rPr>
        <w:t>their</w:t>
      </w:r>
      <w:r w:rsidRPr="006E3129">
        <w:rPr>
          <w:rFonts w:ascii="Times New Roman" w:hAnsi="Times New Roman" w:cs="Times New Roman"/>
        </w:rPr>
        <w:t xml:space="preserve"> current form for the short period of time before </w:t>
      </w:r>
      <w:r w:rsidR="00BE3BBC" w:rsidRPr="006E3129">
        <w:rPr>
          <w:rFonts w:ascii="Times New Roman" w:hAnsi="Times New Roman" w:cs="Times New Roman"/>
        </w:rPr>
        <w:t>they are</w:t>
      </w:r>
      <w:r w:rsidRPr="006E3129">
        <w:rPr>
          <w:rFonts w:ascii="Times New Roman" w:hAnsi="Times New Roman" w:cs="Times New Roman"/>
        </w:rPr>
        <w:t xml:space="preserve"> repealed and replacement</w:t>
      </w:r>
      <w:r w:rsidR="00BE3BBC" w:rsidRPr="006E3129">
        <w:rPr>
          <w:rFonts w:ascii="Times New Roman" w:hAnsi="Times New Roman" w:cs="Times New Roman"/>
        </w:rPr>
        <w:t xml:space="preserve"> instruments are</w:t>
      </w:r>
      <w:r w:rsidRPr="006E3129">
        <w:rPr>
          <w:rFonts w:ascii="Times New Roman" w:hAnsi="Times New Roman" w:cs="Times New Roman"/>
        </w:rPr>
        <w:t xml:space="preserve"> made. </w:t>
      </w:r>
      <w:r w:rsidR="00844EAD" w:rsidRPr="006E3129">
        <w:rPr>
          <w:rFonts w:ascii="Times New Roman" w:hAnsi="Times New Roman" w:cs="Times New Roman"/>
        </w:rPr>
        <w:t>As such, given that deferral of the sunsetting date of the</w:t>
      </w:r>
      <w:r w:rsidR="000E7EEB" w:rsidRPr="006E3129">
        <w:rPr>
          <w:rFonts w:ascii="Times New Roman" w:hAnsi="Times New Roman" w:cs="Times New Roman"/>
        </w:rPr>
        <w:t xml:space="preserve"> OHS (Maritime Industry) Instruments</w:t>
      </w:r>
      <w:r w:rsidR="00844EAD" w:rsidRPr="006E3129">
        <w:rPr>
          <w:rFonts w:ascii="Times New Roman" w:hAnsi="Times New Roman" w:cs="Times New Roman"/>
        </w:rPr>
        <w:t xml:space="preserve"> is consistent with the policy intent of the sunsetting regime and does not significantly alter existing arrangements, appropriate consultation has occurred for the purposes of </w:t>
      </w:r>
      <w:r w:rsidR="009A4B90" w:rsidRPr="006E3129">
        <w:rPr>
          <w:rFonts w:ascii="Times New Roman" w:hAnsi="Times New Roman" w:cs="Times New Roman"/>
        </w:rPr>
        <w:t xml:space="preserve">section 17 of the </w:t>
      </w:r>
      <w:r w:rsidR="00844EAD" w:rsidRPr="006E3129">
        <w:rPr>
          <w:rFonts w:ascii="Times New Roman" w:hAnsi="Times New Roman" w:cs="Times New Roman"/>
        </w:rPr>
        <w:t>Legislation Act.</w:t>
      </w:r>
    </w:p>
    <w:p w14:paraId="7172B3FA" w14:textId="77777777" w:rsidR="00687089" w:rsidRPr="006E3129" w:rsidRDefault="00687089" w:rsidP="00F645AD">
      <w:pPr>
        <w:spacing w:afterLines="200" w:after="480" w:line="276" w:lineRule="auto"/>
        <w:contextualSpacing/>
        <w:rPr>
          <w:rFonts w:ascii="Times New Roman" w:hAnsi="Times New Roman" w:cs="Times New Roman"/>
        </w:rPr>
      </w:pPr>
    </w:p>
    <w:p w14:paraId="586F733B" w14:textId="77777777" w:rsidR="00687089" w:rsidRPr="006E3129" w:rsidRDefault="00687089" w:rsidP="00F645AD">
      <w:pPr>
        <w:shd w:val="clear" w:color="auto" w:fill="FFFFFF"/>
        <w:spacing w:afterLines="100" w:after="240" w:line="276" w:lineRule="auto"/>
        <w:contextualSpacing/>
        <w:outlineLvl w:val="2"/>
        <w:rPr>
          <w:rFonts w:ascii="Times New Roman" w:eastAsia="Times New Roman" w:hAnsi="Times New Roman" w:cs="Times New Roman"/>
          <w:b/>
          <w:lang w:val="en-AU" w:eastAsia="en-AU"/>
        </w:rPr>
      </w:pPr>
      <w:r w:rsidRPr="006E3129">
        <w:rPr>
          <w:rFonts w:ascii="Times New Roman" w:eastAsia="Times New Roman" w:hAnsi="Times New Roman" w:cs="Times New Roman"/>
          <w:b/>
          <w:lang w:val="en-AU" w:eastAsia="en-AU"/>
        </w:rPr>
        <w:t>Statutory preconditions relevant to the Certificate</w:t>
      </w:r>
    </w:p>
    <w:p w14:paraId="46A4908D" w14:textId="77777777" w:rsidR="00687089" w:rsidRPr="006E3129" w:rsidRDefault="00687089" w:rsidP="00F645AD">
      <w:pPr>
        <w:pStyle w:val="Basetext"/>
        <w:keepLines/>
        <w:spacing w:before="0" w:afterLines="200" w:after="480" w:line="360" w:lineRule="auto"/>
        <w:contextualSpacing/>
      </w:pPr>
      <w:r w:rsidRPr="006E3129">
        <w:t>If the statutory conditions in section 51 of the Legislation Act are met, an instrument’s sunsetting day can be deferred for 6, 12, 18 or 24 months by means of a certificate made under that section. In terms of process, the Legislation Act requires:</w:t>
      </w:r>
    </w:p>
    <w:p w14:paraId="324A3D33" w14:textId="77777777" w:rsidR="00687089" w:rsidRPr="006E3129" w:rsidRDefault="00687089" w:rsidP="00F645AD">
      <w:pPr>
        <w:pStyle w:val="Basetext"/>
        <w:keepLines/>
        <w:numPr>
          <w:ilvl w:val="0"/>
          <w:numId w:val="1"/>
        </w:numPr>
        <w:spacing w:before="0" w:afterLines="200" w:after="480" w:line="360" w:lineRule="auto"/>
        <w:contextualSpacing/>
      </w:pPr>
      <w:r w:rsidRPr="006E3129">
        <w:t>the responsible rule-maker to apply to the Attorney-General in writing, and</w:t>
      </w:r>
    </w:p>
    <w:p w14:paraId="651AAE68" w14:textId="77777777" w:rsidR="00687089" w:rsidRPr="006E3129" w:rsidRDefault="00687089" w:rsidP="00F645AD">
      <w:pPr>
        <w:pStyle w:val="Basetext"/>
        <w:keepLines/>
        <w:numPr>
          <w:ilvl w:val="0"/>
          <w:numId w:val="1"/>
        </w:numPr>
        <w:spacing w:before="0" w:afterLines="200" w:after="480" w:line="360" w:lineRule="auto"/>
        <w:contextualSpacing/>
      </w:pPr>
      <w:r w:rsidRPr="006E3129">
        <w:t>the Attorney-General to be satisfied that:</w:t>
      </w:r>
    </w:p>
    <w:p w14:paraId="4BA1C6AA" w14:textId="77777777" w:rsidR="00687089" w:rsidRPr="006E3129" w:rsidRDefault="00687089" w:rsidP="00F645AD">
      <w:pPr>
        <w:pStyle w:val="Basetext"/>
        <w:keepLines/>
        <w:numPr>
          <w:ilvl w:val="1"/>
          <w:numId w:val="1"/>
        </w:numPr>
        <w:spacing w:before="0" w:afterLines="200" w:after="480" w:line="360" w:lineRule="auto"/>
        <w:contextualSpacing/>
      </w:pPr>
      <w:r w:rsidRPr="006E3129">
        <w:t>the instrument would (apart from the operation of the sunsetting provisions) be likely to cease to be in force within 24 months after its sunsetting day</w:t>
      </w:r>
    </w:p>
    <w:p w14:paraId="184F3D67" w14:textId="77777777" w:rsidR="00687089" w:rsidRPr="006E3129" w:rsidRDefault="00687089" w:rsidP="00F645AD">
      <w:pPr>
        <w:pStyle w:val="Basetext"/>
        <w:keepLines/>
        <w:numPr>
          <w:ilvl w:val="1"/>
          <w:numId w:val="1"/>
        </w:numPr>
        <w:spacing w:before="0" w:afterLines="200" w:after="480" w:line="360" w:lineRule="auto"/>
        <w:contextualSpacing/>
      </w:pPr>
      <w:r w:rsidRPr="006E3129">
        <w:t>the proposed replacement instrument will not be able to be completed before the sunsetting day for reasons that the rule-maker could not have foreseen and avoided</w:t>
      </w:r>
    </w:p>
    <w:p w14:paraId="32F3637F" w14:textId="77777777" w:rsidR="00687089" w:rsidRPr="006E3129" w:rsidRDefault="00687089" w:rsidP="00F645AD">
      <w:pPr>
        <w:pStyle w:val="Basetext"/>
        <w:keepLines/>
        <w:numPr>
          <w:ilvl w:val="1"/>
          <w:numId w:val="1"/>
        </w:numPr>
        <w:spacing w:before="0" w:afterLines="200" w:after="480" w:line="360" w:lineRule="auto"/>
        <w:contextualSpacing/>
      </w:pPr>
      <w:r w:rsidRPr="006E3129">
        <w:t>the dissolution of expiration of the House of Representatives or the prorogation of the Parliament renders it inappropriate to make a replacement instrument before a new government is formed, or</w:t>
      </w:r>
    </w:p>
    <w:p w14:paraId="3E3CD920" w14:textId="77777777" w:rsidR="00687089" w:rsidRPr="006E3129" w:rsidRDefault="00687089" w:rsidP="00F645AD">
      <w:pPr>
        <w:pStyle w:val="Basetext"/>
        <w:keepLines/>
        <w:numPr>
          <w:ilvl w:val="1"/>
          <w:numId w:val="1"/>
        </w:numPr>
        <w:spacing w:before="0" w:afterLines="200" w:after="480" w:line="360" w:lineRule="auto"/>
        <w:contextualSpacing/>
      </w:pPr>
      <w:r w:rsidRPr="006E3129">
        <w:t>the Attorney-General has approved Part 4 of Chapter 3 of the Legislation Act (Sunsetting) not applying to that instrument, and</w:t>
      </w:r>
    </w:p>
    <w:p w14:paraId="3F62803C" w14:textId="77777777" w:rsidR="00687089" w:rsidRPr="006E3129" w:rsidRDefault="00687089" w:rsidP="00F645AD">
      <w:pPr>
        <w:pStyle w:val="Basetext"/>
        <w:keepLines/>
        <w:numPr>
          <w:ilvl w:val="0"/>
          <w:numId w:val="1"/>
        </w:numPr>
        <w:spacing w:before="0" w:afterLines="200" w:after="480" w:line="360" w:lineRule="auto"/>
        <w:contextualSpacing/>
      </w:pPr>
      <w:r w:rsidRPr="006E3129">
        <w:t>the Attorney-General to issue a certificate. The explanatory statement for the certificate must include a statement of reasons for the issue of the certificate.</w:t>
      </w:r>
    </w:p>
    <w:p w14:paraId="40DE4EF2" w14:textId="77777777" w:rsidR="00687089" w:rsidRPr="006E3129" w:rsidRDefault="00687089" w:rsidP="00F645AD">
      <w:pPr>
        <w:pStyle w:val="Basetext"/>
        <w:keepLines/>
        <w:spacing w:before="0" w:afterLines="200" w:after="480"/>
        <w:contextualSpacing/>
      </w:pPr>
    </w:p>
    <w:p w14:paraId="2B8768E4" w14:textId="66E6BD8C" w:rsidR="00687089" w:rsidRPr="006E3129" w:rsidRDefault="00687089" w:rsidP="00F645AD">
      <w:pPr>
        <w:pStyle w:val="Basetext"/>
        <w:keepLines/>
        <w:spacing w:before="0" w:afterLines="100" w:after="240" w:line="360" w:lineRule="auto"/>
        <w:contextualSpacing/>
      </w:pPr>
      <w:r w:rsidRPr="006E3129">
        <w:t>The rule-maker for</w:t>
      </w:r>
      <w:r w:rsidR="0093576B" w:rsidRPr="006E3129">
        <w:t xml:space="preserve"> the</w:t>
      </w:r>
      <w:r w:rsidR="000E7EEB" w:rsidRPr="006E3129">
        <w:t xml:space="preserve"> OHS (Maritime Industry) Instruments, the Minister for Employment and Workplace Relations</w:t>
      </w:r>
      <w:r w:rsidR="00A21E3A" w:rsidRPr="006E3129">
        <w:t xml:space="preserve"> and Minister for the Arts</w:t>
      </w:r>
      <w:r w:rsidR="000E7EEB" w:rsidRPr="006E3129">
        <w:t>, the Hon Tony Burke MP,</w:t>
      </w:r>
      <w:r w:rsidRPr="006E3129">
        <w:t xml:space="preserve"> provided a written application to the Attorney</w:t>
      </w:r>
      <w:r w:rsidR="00255F0B" w:rsidRPr="006E3129">
        <w:t>-</w:t>
      </w:r>
      <w:r w:rsidRPr="006E3129">
        <w:t>General seeking a certificate of deferral of sunsetting for the</w:t>
      </w:r>
      <w:r w:rsidR="000E7EEB" w:rsidRPr="006E3129">
        <w:t xml:space="preserve"> OHS (Maritime Industry) Instruments</w:t>
      </w:r>
      <w:r w:rsidRPr="006E3129">
        <w:t>.</w:t>
      </w:r>
      <w:r w:rsidRPr="006E3129">
        <w:rPr>
          <w:i/>
        </w:rPr>
        <w:t xml:space="preserve"> </w:t>
      </w:r>
      <w:r w:rsidRPr="006E3129">
        <w:t>On the basis of the information contained in the statement of reasons below, the Attorney-General is satisfied that</w:t>
      </w:r>
      <w:r w:rsidR="00636DFA" w:rsidRPr="006E3129">
        <w:t xml:space="preserve"> the</w:t>
      </w:r>
      <w:r w:rsidRPr="006E3129">
        <w:t xml:space="preserve"> </w:t>
      </w:r>
      <w:r w:rsidR="00871952" w:rsidRPr="006E3129">
        <w:t xml:space="preserve">OHS (Maritime Industry) Instruments </w:t>
      </w:r>
      <w:r w:rsidRPr="006E3129">
        <w:t xml:space="preserve">would, apart from the operation of Part 4 of Chapter 3 of the Legislation Act, be likely to cease to be in force within 24 months after </w:t>
      </w:r>
      <w:r w:rsidR="00A32AE7" w:rsidRPr="006E3129">
        <w:t>their</w:t>
      </w:r>
      <w:r w:rsidRPr="006E3129">
        <w:t xml:space="preserve"> sunsetting day.</w:t>
      </w:r>
      <w:r w:rsidRPr="006E3129">
        <w:rPr>
          <w:i/>
        </w:rPr>
        <w:t xml:space="preserve"> </w:t>
      </w:r>
      <w:r w:rsidRPr="006E3129">
        <w:t>As such, the criterion in subparagraph 51(1)(b)(</w:t>
      </w:r>
      <w:proofErr w:type="spellStart"/>
      <w:r w:rsidRPr="006E3129">
        <w:t>i</w:t>
      </w:r>
      <w:proofErr w:type="spellEnd"/>
      <w:r w:rsidRPr="006E3129">
        <w:t>) of the Legislation Act is met.</w:t>
      </w:r>
    </w:p>
    <w:p w14:paraId="04CFB78B" w14:textId="77777777" w:rsidR="00687089" w:rsidRPr="006E3129" w:rsidRDefault="00687089" w:rsidP="00F645AD">
      <w:pPr>
        <w:spacing w:afterLines="200" w:after="480" w:line="276" w:lineRule="auto"/>
        <w:contextualSpacing/>
        <w:rPr>
          <w:rFonts w:ascii="Times New Roman" w:eastAsia="Times New Roman" w:hAnsi="Times New Roman" w:cs="Times New Roman"/>
          <w:b/>
          <w:lang w:val="en-AU" w:eastAsia="en-AU"/>
        </w:rPr>
      </w:pPr>
      <w:r w:rsidRPr="006E3129">
        <w:rPr>
          <w:rFonts w:ascii="Times New Roman" w:eastAsia="Times New Roman" w:hAnsi="Times New Roman" w:cs="Times New Roman"/>
          <w:b/>
          <w:lang w:val="en-AU" w:eastAsia="en-AU"/>
        </w:rPr>
        <w:lastRenderedPageBreak/>
        <w:t>Statement of Reasons for issuing of the Certificate</w:t>
      </w:r>
    </w:p>
    <w:p w14:paraId="2FC0F244" w14:textId="77777777" w:rsidR="00687089" w:rsidRPr="006E3129" w:rsidRDefault="00687089" w:rsidP="00F645AD">
      <w:pPr>
        <w:shd w:val="clear" w:color="auto" w:fill="FFFFFF"/>
        <w:spacing w:afterLines="100" w:after="240" w:line="276" w:lineRule="auto"/>
        <w:contextualSpacing/>
        <w:outlineLvl w:val="2"/>
        <w:rPr>
          <w:rFonts w:ascii="Times New Roman" w:eastAsia="Times New Roman" w:hAnsi="Times New Roman" w:cs="Times New Roman"/>
          <w:lang w:val="en-AU" w:eastAsia="en-AU"/>
        </w:rPr>
      </w:pPr>
    </w:p>
    <w:p w14:paraId="181AD8F9" w14:textId="77777777" w:rsidR="00687089" w:rsidRPr="006E3129" w:rsidRDefault="00687089" w:rsidP="00F645AD">
      <w:pPr>
        <w:spacing w:afterLines="200" w:after="480" w:line="360" w:lineRule="auto"/>
        <w:contextualSpacing/>
        <w:rPr>
          <w:rFonts w:ascii="Times New Roman" w:hAnsi="Times New Roman" w:cs="Times New Roman"/>
        </w:rPr>
      </w:pPr>
      <w:r w:rsidRPr="006E3129">
        <w:rPr>
          <w:rFonts w:ascii="Times New Roman" w:hAnsi="Times New Roman" w:cs="Times New Roman"/>
        </w:rPr>
        <w:t>For the purposes of subsection 51(5) of the Legislation Act this section sets out the statement of reasons for issuing the Certificate.</w:t>
      </w:r>
    </w:p>
    <w:p w14:paraId="590279C2" w14:textId="77777777" w:rsidR="00687089" w:rsidRPr="006E3129" w:rsidRDefault="00687089" w:rsidP="00F645AD">
      <w:pPr>
        <w:spacing w:after="0" w:line="276" w:lineRule="auto"/>
        <w:rPr>
          <w:rFonts w:ascii="Times New Roman" w:hAnsi="Times New Roman" w:cs="Times New Roman"/>
          <w:szCs w:val="24"/>
          <w:lang w:eastAsia="en-AU"/>
        </w:rPr>
      </w:pPr>
    </w:p>
    <w:p w14:paraId="41A98386" w14:textId="373D8BFA" w:rsidR="00E45992" w:rsidRPr="006E3129" w:rsidRDefault="00687089" w:rsidP="00F645AD">
      <w:pPr>
        <w:spacing w:after="0" w:line="360" w:lineRule="auto"/>
        <w:rPr>
          <w:rFonts w:ascii="Times New Roman" w:hAnsi="Times New Roman" w:cs="Times New Roman"/>
          <w:szCs w:val="24"/>
          <w:lang w:eastAsia="en-AU"/>
        </w:rPr>
      </w:pPr>
      <w:r w:rsidRPr="006E3129">
        <w:rPr>
          <w:rFonts w:ascii="Times New Roman" w:hAnsi="Times New Roman" w:cs="Times New Roman"/>
          <w:szCs w:val="24"/>
          <w:lang w:eastAsia="en-AU"/>
        </w:rPr>
        <w:t>The Certificate defers the sunsetting date of</w:t>
      </w:r>
      <w:r w:rsidR="00090E14" w:rsidRPr="006E3129">
        <w:rPr>
          <w:rFonts w:ascii="Times New Roman" w:hAnsi="Times New Roman" w:cs="Times New Roman"/>
          <w:szCs w:val="24"/>
          <w:lang w:eastAsia="en-AU"/>
        </w:rPr>
        <w:t xml:space="preserve"> the</w:t>
      </w:r>
      <w:r w:rsidR="000E7EEB" w:rsidRPr="006E3129">
        <w:rPr>
          <w:rFonts w:ascii="Times New Roman" w:hAnsi="Times New Roman" w:cs="Times New Roman"/>
          <w:szCs w:val="24"/>
          <w:lang w:eastAsia="en-AU"/>
        </w:rPr>
        <w:t xml:space="preserve"> </w:t>
      </w:r>
      <w:r w:rsidR="000E7EEB" w:rsidRPr="006E3129">
        <w:rPr>
          <w:rFonts w:ascii="Times New Roman" w:hAnsi="Times New Roman" w:cs="Times New Roman"/>
        </w:rPr>
        <w:t>OHS (Maritime Industry) Instruments</w:t>
      </w:r>
      <w:r w:rsidR="00090E14" w:rsidRPr="006E3129">
        <w:rPr>
          <w:rFonts w:ascii="Times New Roman" w:hAnsi="Times New Roman" w:cs="Times New Roman"/>
          <w:szCs w:val="24"/>
          <w:lang w:eastAsia="en-AU"/>
        </w:rPr>
        <w:t xml:space="preserve"> </w:t>
      </w:r>
      <w:r w:rsidRPr="006E3129">
        <w:rPr>
          <w:rFonts w:ascii="Times New Roman" w:hAnsi="Times New Roman" w:cs="Times New Roman"/>
          <w:szCs w:val="24"/>
          <w:lang w:eastAsia="en-AU"/>
        </w:rPr>
        <w:t>to 1 April 202</w:t>
      </w:r>
      <w:r w:rsidR="00090E14" w:rsidRPr="006E3129">
        <w:rPr>
          <w:rFonts w:ascii="Times New Roman" w:hAnsi="Times New Roman" w:cs="Times New Roman"/>
          <w:szCs w:val="24"/>
          <w:lang w:eastAsia="en-AU"/>
        </w:rPr>
        <w:t>6</w:t>
      </w:r>
      <w:r w:rsidR="00E45992" w:rsidRPr="006E3129">
        <w:rPr>
          <w:rFonts w:ascii="Times New Roman" w:hAnsi="Times New Roman" w:cs="Times New Roman"/>
          <w:szCs w:val="24"/>
          <w:lang w:eastAsia="en-AU"/>
        </w:rPr>
        <w:t xml:space="preserve"> to enable the </w:t>
      </w:r>
      <w:r w:rsidR="00907C70" w:rsidRPr="006E3129">
        <w:rPr>
          <w:rFonts w:ascii="Times New Roman" w:hAnsi="Times New Roman" w:cs="Times New Roman"/>
        </w:rPr>
        <w:t xml:space="preserve">Department </w:t>
      </w:r>
      <w:r w:rsidR="00E45992" w:rsidRPr="006E3129">
        <w:rPr>
          <w:rFonts w:ascii="Times New Roman" w:hAnsi="Times New Roman" w:cs="Times New Roman"/>
          <w:szCs w:val="24"/>
          <w:lang w:eastAsia="en-AU"/>
        </w:rPr>
        <w:t>to</w:t>
      </w:r>
      <w:r w:rsidR="008477CD" w:rsidRPr="006E3129">
        <w:rPr>
          <w:rFonts w:ascii="Times New Roman" w:hAnsi="Times New Roman" w:cs="Times New Roman"/>
          <w:szCs w:val="24"/>
          <w:lang w:eastAsia="en-AU"/>
        </w:rPr>
        <w:t xml:space="preserve"> complete and</w:t>
      </w:r>
      <w:r w:rsidR="00E45992" w:rsidRPr="006E3129">
        <w:rPr>
          <w:rFonts w:ascii="Times New Roman" w:hAnsi="Times New Roman" w:cs="Times New Roman"/>
          <w:szCs w:val="24"/>
          <w:lang w:eastAsia="en-AU"/>
        </w:rPr>
        <w:t xml:space="preserve"> implement the recommendations of the review</w:t>
      </w:r>
      <w:r w:rsidR="0067575E" w:rsidRPr="006E3129">
        <w:rPr>
          <w:rFonts w:ascii="Times New Roman" w:hAnsi="Times New Roman" w:cs="Times New Roman"/>
        </w:rPr>
        <w:t xml:space="preserve"> of the </w:t>
      </w:r>
      <w:r w:rsidR="008477CD" w:rsidRPr="006E3129">
        <w:rPr>
          <w:rFonts w:ascii="Times New Roman" w:hAnsi="Times New Roman" w:cs="Times New Roman"/>
        </w:rPr>
        <w:t>work health and safety</w:t>
      </w:r>
      <w:r w:rsidR="0067575E" w:rsidRPr="006E3129">
        <w:rPr>
          <w:rFonts w:ascii="Times New Roman" w:hAnsi="Times New Roman" w:cs="Times New Roman"/>
        </w:rPr>
        <w:t xml:space="preserve"> framework</w:t>
      </w:r>
      <w:r w:rsidR="00871952" w:rsidRPr="006E3129">
        <w:rPr>
          <w:rFonts w:ascii="Times New Roman" w:hAnsi="Times New Roman" w:cs="Times New Roman"/>
        </w:rPr>
        <w:t xml:space="preserve"> provided by the</w:t>
      </w:r>
      <w:r w:rsidR="00D230B4" w:rsidRPr="006E3129">
        <w:rPr>
          <w:rFonts w:ascii="Times New Roman" w:hAnsi="Times New Roman" w:cs="Times New Roman"/>
        </w:rPr>
        <w:t xml:space="preserve"> </w:t>
      </w:r>
      <w:r w:rsidR="00002794" w:rsidRPr="006E3129">
        <w:rPr>
          <w:rFonts w:ascii="Times New Roman" w:hAnsi="Times New Roman" w:cs="Times New Roman"/>
        </w:rPr>
        <w:t>OHS(MI)</w:t>
      </w:r>
      <w:r w:rsidR="00871952" w:rsidRPr="006E3129">
        <w:rPr>
          <w:rFonts w:ascii="Times New Roman" w:hAnsi="Times New Roman" w:cs="Times New Roman"/>
        </w:rPr>
        <w:t xml:space="preserve"> Act and the OHS (Maritime Industry) Instruments (OHS(MI) framework)</w:t>
      </w:r>
      <w:r w:rsidR="00E45992" w:rsidRPr="006E3129">
        <w:rPr>
          <w:rFonts w:ascii="Times New Roman" w:hAnsi="Times New Roman" w:cs="Times New Roman"/>
          <w:szCs w:val="24"/>
          <w:lang w:eastAsia="en-AU"/>
        </w:rPr>
        <w:t xml:space="preserve">. </w:t>
      </w:r>
    </w:p>
    <w:p w14:paraId="4748F2DF" w14:textId="77777777" w:rsidR="00E45992" w:rsidRPr="006E3129" w:rsidRDefault="00E45992" w:rsidP="00F645AD">
      <w:pPr>
        <w:spacing w:after="0" w:line="276" w:lineRule="auto"/>
        <w:rPr>
          <w:rFonts w:ascii="Times New Roman" w:hAnsi="Times New Roman" w:cs="Times New Roman"/>
          <w:szCs w:val="24"/>
          <w:lang w:eastAsia="en-AU"/>
        </w:rPr>
      </w:pPr>
    </w:p>
    <w:p w14:paraId="440DE122" w14:textId="1A3BD917" w:rsidR="008477CD" w:rsidRPr="006E3129" w:rsidRDefault="00CC1B89" w:rsidP="00F645AD">
      <w:pPr>
        <w:spacing w:after="0" w:line="360" w:lineRule="auto"/>
        <w:rPr>
          <w:rFonts w:ascii="Times New Roman" w:hAnsi="Times New Roman" w:cs="Times New Roman"/>
        </w:rPr>
      </w:pPr>
      <w:r w:rsidRPr="006E3129">
        <w:rPr>
          <w:rFonts w:ascii="Times New Roman" w:hAnsi="Times New Roman" w:cs="Times New Roman"/>
        </w:rPr>
        <w:t>The</w:t>
      </w:r>
      <w:r w:rsidR="003930C7" w:rsidRPr="006E3129">
        <w:rPr>
          <w:rFonts w:ascii="Times New Roman" w:hAnsi="Times New Roman" w:cs="Times New Roman"/>
        </w:rPr>
        <w:t xml:space="preserve"> </w:t>
      </w:r>
      <w:proofErr w:type="gramStart"/>
      <w:r w:rsidR="003930C7" w:rsidRPr="006E3129">
        <w:rPr>
          <w:rFonts w:ascii="Times New Roman" w:hAnsi="Times New Roman" w:cs="Times New Roman"/>
        </w:rPr>
        <w:t>24 month</w:t>
      </w:r>
      <w:proofErr w:type="gramEnd"/>
      <w:r w:rsidR="003930C7" w:rsidRPr="006E3129">
        <w:rPr>
          <w:rFonts w:ascii="Times New Roman" w:hAnsi="Times New Roman" w:cs="Times New Roman"/>
        </w:rPr>
        <w:t xml:space="preserve"> deferral </w:t>
      </w:r>
      <w:r w:rsidR="00871952" w:rsidRPr="006E3129">
        <w:rPr>
          <w:rFonts w:ascii="Times New Roman" w:hAnsi="Times New Roman" w:cs="Times New Roman"/>
        </w:rPr>
        <w:t>allow</w:t>
      </w:r>
      <w:r w:rsidRPr="006E3129">
        <w:rPr>
          <w:rFonts w:ascii="Times New Roman" w:hAnsi="Times New Roman" w:cs="Times New Roman"/>
        </w:rPr>
        <w:t>s</w:t>
      </w:r>
      <w:r w:rsidR="00871952" w:rsidRPr="006E3129">
        <w:rPr>
          <w:rFonts w:ascii="Times New Roman" w:hAnsi="Times New Roman" w:cs="Times New Roman"/>
        </w:rPr>
        <w:t xml:space="preserve"> time for a cohesive and well-informed approach to transitioning the OHS(MI) framework to the model laws provided by the WHS Act.</w:t>
      </w:r>
      <w:r w:rsidR="008477CD" w:rsidRPr="006E3129">
        <w:rPr>
          <w:rFonts w:ascii="Times New Roman" w:hAnsi="Times New Roman" w:cs="Times New Roman"/>
        </w:rPr>
        <w:t xml:space="preserve"> The deferral will allow</w:t>
      </w:r>
      <w:r w:rsidR="00871952" w:rsidRPr="006E3129">
        <w:rPr>
          <w:rFonts w:ascii="Times New Roman" w:hAnsi="Times New Roman" w:cs="Times New Roman"/>
        </w:rPr>
        <w:t xml:space="preserve"> </w:t>
      </w:r>
      <w:r w:rsidR="008477CD" w:rsidRPr="006E3129">
        <w:rPr>
          <w:rFonts w:ascii="Times New Roman" w:hAnsi="Times New Roman" w:cs="Times New Roman"/>
        </w:rPr>
        <w:t xml:space="preserve">any necessary transitional arrangements to be enacted to ensure an orderly transition to a </w:t>
      </w:r>
      <w:r w:rsidRPr="006E3129">
        <w:rPr>
          <w:rFonts w:ascii="Times New Roman" w:hAnsi="Times New Roman" w:cs="Times New Roman"/>
        </w:rPr>
        <w:t>fit for purpose</w:t>
      </w:r>
      <w:r w:rsidR="008477CD" w:rsidRPr="006E3129">
        <w:rPr>
          <w:rFonts w:ascii="Times New Roman" w:hAnsi="Times New Roman" w:cs="Times New Roman"/>
        </w:rPr>
        <w:t xml:space="preserve"> work health and safety framework</w:t>
      </w:r>
      <w:r w:rsidR="00002794" w:rsidRPr="006E3129">
        <w:rPr>
          <w:rFonts w:ascii="Times New Roman" w:hAnsi="Times New Roman" w:cs="Times New Roman"/>
        </w:rPr>
        <w:t>.</w:t>
      </w:r>
    </w:p>
    <w:p w14:paraId="25AD71D0" w14:textId="77777777" w:rsidR="008477CD" w:rsidRPr="006E3129" w:rsidRDefault="008477CD" w:rsidP="00F645AD">
      <w:pPr>
        <w:spacing w:after="0" w:line="360" w:lineRule="auto"/>
        <w:rPr>
          <w:rFonts w:ascii="Times New Roman" w:hAnsi="Times New Roman" w:cs="Times New Roman"/>
        </w:rPr>
      </w:pPr>
    </w:p>
    <w:p w14:paraId="0FCF852E" w14:textId="26E0AE28" w:rsidR="00871952" w:rsidRPr="006E3129" w:rsidRDefault="008477CD" w:rsidP="00F645AD">
      <w:pPr>
        <w:spacing w:after="0" w:line="360" w:lineRule="auto"/>
        <w:rPr>
          <w:rFonts w:ascii="Times New Roman" w:hAnsi="Times New Roman" w:cs="Times New Roman"/>
        </w:rPr>
      </w:pPr>
      <w:r w:rsidRPr="006E3129">
        <w:rPr>
          <w:rFonts w:ascii="Times New Roman" w:hAnsi="Times New Roman" w:cs="Times New Roman"/>
        </w:rPr>
        <w:t>Deferring the</w:t>
      </w:r>
      <w:r w:rsidR="003930C7" w:rsidRPr="006E3129">
        <w:rPr>
          <w:rFonts w:ascii="Times New Roman" w:hAnsi="Times New Roman" w:cs="Times New Roman"/>
        </w:rPr>
        <w:t xml:space="preserve"> sunsetting da</w:t>
      </w:r>
      <w:r w:rsidRPr="006E3129">
        <w:rPr>
          <w:rFonts w:ascii="Times New Roman" w:hAnsi="Times New Roman" w:cs="Times New Roman"/>
        </w:rPr>
        <w:t xml:space="preserve">y </w:t>
      </w:r>
      <w:r w:rsidR="00CC1B89" w:rsidRPr="006E3129">
        <w:rPr>
          <w:rFonts w:ascii="Times New Roman" w:hAnsi="Times New Roman" w:cs="Times New Roman"/>
        </w:rPr>
        <w:t>prevents</w:t>
      </w:r>
      <w:r w:rsidRPr="006E3129">
        <w:rPr>
          <w:rFonts w:ascii="Times New Roman" w:hAnsi="Times New Roman" w:cs="Times New Roman"/>
        </w:rPr>
        <w:t xml:space="preserve"> unnecessary duplication of legislation</w:t>
      </w:r>
      <w:r w:rsidR="00CC1B89" w:rsidRPr="006E3129">
        <w:rPr>
          <w:rFonts w:ascii="Times New Roman" w:hAnsi="Times New Roman" w:cs="Times New Roman"/>
        </w:rPr>
        <w:t xml:space="preserve"> arising from</w:t>
      </w:r>
      <w:r w:rsidRPr="006E3129">
        <w:rPr>
          <w:rFonts w:ascii="Times New Roman" w:hAnsi="Times New Roman" w:cs="Times New Roman"/>
        </w:rPr>
        <w:t xml:space="preserve"> a scenario where the OHS (Maritime Industry) Instruments would be remade while broader reform </w:t>
      </w:r>
      <w:r w:rsidR="00CC1B89" w:rsidRPr="006E3129">
        <w:rPr>
          <w:rFonts w:ascii="Times New Roman" w:hAnsi="Times New Roman" w:cs="Times New Roman"/>
        </w:rPr>
        <w:t>occurs</w:t>
      </w:r>
      <w:r w:rsidRPr="006E3129">
        <w:rPr>
          <w:rFonts w:ascii="Times New Roman" w:hAnsi="Times New Roman" w:cs="Times New Roman"/>
        </w:rPr>
        <w:t xml:space="preserve">, and </w:t>
      </w:r>
      <w:r w:rsidR="00CC1B89" w:rsidRPr="006E3129">
        <w:rPr>
          <w:rFonts w:ascii="Times New Roman" w:hAnsi="Times New Roman" w:cs="Times New Roman"/>
        </w:rPr>
        <w:t>a</w:t>
      </w:r>
      <w:r w:rsidRPr="006E3129">
        <w:rPr>
          <w:rFonts w:ascii="Times New Roman" w:hAnsi="Times New Roman" w:cs="Times New Roman"/>
        </w:rPr>
        <w:t>gain when the reform</w:t>
      </w:r>
      <w:r w:rsidR="003E013A" w:rsidRPr="006E3129">
        <w:rPr>
          <w:rFonts w:ascii="Times New Roman" w:hAnsi="Times New Roman" w:cs="Times New Roman"/>
        </w:rPr>
        <w:t>s</w:t>
      </w:r>
      <w:r w:rsidRPr="006E3129">
        <w:rPr>
          <w:rFonts w:ascii="Times New Roman" w:hAnsi="Times New Roman" w:cs="Times New Roman"/>
        </w:rPr>
        <w:t xml:space="preserve"> </w:t>
      </w:r>
      <w:r w:rsidR="003E013A" w:rsidRPr="006E3129">
        <w:rPr>
          <w:rFonts w:ascii="Times New Roman" w:hAnsi="Times New Roman" w:cs="Times New Roman"/>
        </w:rPr>
        <w:t>are</w:t>
      </w:r>
      <w:r w:rsidRPr="006E3129">
        <w:rPr>
          <w:rFonts w:ascii="Times New Roman" w:hAnsi="Times New Roman" w:cs="Times New Roman"/>
        </w:rPr>
        <w:t xml:space="preserve"> complete.</w:t>
      </w:r>
    </w:p>
    <w:p w14:paraId="68D5446D" w14:textId="77777777" w:rsidR="008477CD" w:rsidRPr="006E3129" w:rsidRDefault="008477CD" w:rsidP="00F645AD">
      <w:pPr>
        <w:spacing w:after="0" w:line="276" w:lineRule="auto"/>
        <w:rPr>
          <w:rFonts w:ascii="Times New Roman" w:hAnsi="Times New Roman" w:cs="Times New Roman"/>
        </w:rPr>
      </w:pPr>
    </w:p>
    <w:p w14:paraId="4F05F53F" w14:textId="3D31F391" w:rsidR="00687089" w:rsidRPr="006E3129" w:rsidRDefault="00687089" w:rsidP="00F645AD">
      <w:pPr>
        <w:spacing w:after="0" w:line="360" w:lineRule="auto"/>
        <w:rPr>
          <w:rFonts w:ascii="Times New Roman" w:hAnsi="Times New Roman" w:cs="Times New Roman"/>
          <w:szCs w:val="24"/>
          <w:lang w:eastAsia="en-AU"/>
        </w:rPr>
      </w:pPr>
      <w:r w:rsidRPr="006E3129">
        <w:rPr>
          <w:rFonts w:ascii="Times New Roman" w:hAnsi="Times New Roman" w:cs="Times New Roman"/>
        </w:rPr>
        <w:t>Accordingly,</w:t>
      </w:r>
      <w:r w:rsidR="0035039A" w:rsidRPr="006E3129">
        <w:rPr>
          <w:rFonts w:ascii="Times New Roman" w:hAnsi="Times New Roman" w:cs="Times New Roman"/>
        </w:rPr>
        <w:t xml:space="preserve"> the </w:t>
      </w:r>
      <w:r w:rsidR="00782E25" w:rsidRPr="006E3129">
        <w:rPr>
          <w:rFonts w:ascii="Times New Roman" w:hAnsi="Times New Roman" w:cs="Times New Roman"/>
        </w:rPr>
        <w:t xml:space="preserve">OHS (Maritime Industry) Instruments </w:t>
      </w:r>
      <w:r w:rsidRPr="006E3129">
        <w:rPr>
          <w:rFonts w:ascii="Times New Roman" w:hAnsi="Times New Roman" w:cs="Times New Roman"/>
        </w:rPr>
        <w:t xml:space="preserve">will likely cease to be in force in </w:t>
      </w:r>
      <w:r w:rsidR="0035039A" w:rsidRPr="006E3129">
        <w:rPr>
          <w:rFonts w:ascii="Times New Roman" w:hAnsi="Times New Roman" w:cs="Times New Roman"/>
        </w:rPr>
        <w:t>their</w:t>
      </w:r>
      <w:r w:rsidRPr="006E3129">
        <w:rPr>
          <w:rFonts w:ascii="Times New Roman" w:hAnsi="Times New Roman" w:cs="Times New Roman"/>
        </w:rPr>
        <w:t xml:space="preserve"> current form within 24 months of </w:t>
      </w:r>
      <w:r w:rsidR="00370792" w:rsidRPr="006E3129">
        <w:rPr>
          <w:rFonts w:ascii="Times New Roman" w:hAnsi="Times New Roman" w:cs="Times New Roman"/>
        </w:rPr>
        <w:t>their</w:t>
      </w:r>
      <w:r w:rsidRPr="006E3129">
        <w:rPr>
          <w:rFonts w:ascii="Times New Roman" w:hAnsi="Times New Roman" w:cs="Times New Roman"/>
        </w:rPr>
        <w:t xml:space="preserve"> original sunsetting date.</w:t>
      </w:r>
    </w:p>
    <w:p w14:paraId="329E4FB3" w14:textId="77777777" w:rsidR="00687089" w:rsidRPr="006E3129" w:rsidRDefault="00687089" w:rsidP="00F645AD">
      <w:pPr>
        <w:spacing w:after="0" w:line="276" w:lineRule="auto"/>
        <w:rPr>
          <w:rFonts w:ascii="Times New Roman" w:hAnsi="Times New Roman" w:cs="Times New Roman"/>
          <w:szCs w:val="24"/>
          <w:lang w:eastAsia="en-AU"/>
        </w:rPr>
      </w:pPr>
    </w:p>
    <w:p w14:paraId="4F88A121" w14:textId="77777777" w:rsidR="00687089" w:rsidRPr="006E3129" w:rsidRDefault="00687089" w:rsidP="00F645AD">
      <w:pPr>
        <w:pStyle w:val="Basetext"/>
        <w:spacing w:before="0" w:afterLines="200" w:after="480"/>
        <w:contextualSpacing/>
        <w:rPr>
          <w:b/>
        </w:rPr>
      </w:pPr>
      <w:r w:rsidRPr="006E3129">
        <w:rPr>
          <w:b/>
        </w:rPr>
        <w:t>More information</w:t>
      </w:r>
    </w:p>
    <w:p w14:paraId="479A4DD9" w14:textId="77777777" w:rsidR="00687089" w:rsidRPr="006E3129" w:rsidRDefault="00687089" w:rsidP="00F645AD">
      <w:pPr>
        <w:pStyle w:val="Basetext"/>
        <w:spacing w:before="0" w:afterLines="200" w:after="480"/>
        <w:contextualSpacing/>
      </w:pPr>
    </w:p>
    <w:p w14:paraId="05A95607" w14:textId="77777777" w:rsidR="00687089" w:rsidRPr="006E3129" w:rsidRDefault="00687089" w:rsidP="00F645AD">
      <w:pPr>
        <w:pStyle w:val="Basetext"/>
        <w:spacing w:before="0" w:afterLines="200" w:after="480" w:line="360" w:lineRule="auto"/>
        <w:contextualSpacing/>
        <w:rPr>
          <w:u w:val="single"/>
        </w:rPr>
      </w:pPr>
      <w:r w:rsidRPr="006E3129">
        <w:t xml:space="preserve">Further details on the provisions of the Certificate are provided in </w:t>
      </w:r>
      <w:r w:rsidRPr="006E3129">
        <w:rPr>
          <w:u w:val="single"/>
        </w:rPr>
        <w:t>Attachment A</w:t>
      </w:r>
      <w:r w:rsidRPr="006E3129">
        <w:t>.</w:t>
      </w:r>
    </w:p>
    <w:p w14:paraId="4C55F600" w14:textId="77777777" w:rsidR="00687089" w:rsidRPr="006E3129" w:rsidRDefault="00687089" w:rsidP="00F645AD">
      <w:pPr>
        <w:pStyle w:val="Basetext"/>
        <w:spacing w:before="0" w:afterLines="200" w:after="480"/>
        <w:contextualSpacing/>
      </w:pPr>
    </w:p>
    <w:p w14:paraId="18CB4554" w14:textId="26E7F3EC" w:rsidR="00687089" w:rsidRPr="006E3129" w:rsidRDefault="00687089" w:rsidP="00F645AD">
      <w:pPr>
        <w:pStyle w:val="Basetext"/>
        <w:spacing w:before="0" w:afterLines="200" w:after="480" w:line="360" w:lineRule="auto"/>
        <w:contextualSpacing/>
      </w:pPr>
      <w:r w:rsidRPr="006E3129">
        <w:t xml:space="preserve">The </w:t>
      </w:r>
      <w:r w:rsidR="00765B3C" w:rsidRPr="006E3129">
        <w:t>OHS (Maritime Industry) Instruments</w:t>
      </w:r>
      <w:r w:rsidRPr="006E3129">
        <w:t xml:space="preserve"> which </w:t>
      </w:r>
      <w:r w:rsidR="0087679E" w:rsidRPr="006E3129">
        <w:t>are</w:t>
      </w:r>
      <w:r w:rsidRPr="006E3129">
        <w:t xml:space="preserve"> subject to the Certificate, and which will now sunset at a later day as specified in the Certificate, </w:t>
      </w:r>
      <w:r w:rsidR="00CC1B89" w:rsidRPr="006E3129">
        <w:t>are</w:t>
      </w:r>
      <w:r w:rsidRPr="006E3129">
        <w:t xml:space="preserve"> available on the Federal Register of Legislation.</w:t>
      </w:r>
    </w:p>
    <w:p w14:paraId="492F6D80" w14:textId="77777777" w:rsidR="00687089" w:rsidRPr="006E3129" w:rsidRDefault="00687089" w:rsidP="00F645AD">
      <w:pPr>
        <w:pStyle w:val="Basetext"/>
        <w:spacing w:before="0" w:afterLines="200" w:after="480"/>
        <w:contextualSpacing/>
      </w:pPr>
    </w:p>
    <w:p w14:paraId="3B889401" w14:textId="75197C46" w:rsidR="00687089" w:rsidRPr="006E3129" w:rsidRDefault="00687089" w:rsidP="00F645AD">
      <w:pPr>
        <w:pStyle w:val="Basetext"/>
        <w:spacing w:before="0" w:afterLines="200" w:after="480" w:line="360" w:lineRule="auto"/>
        <w:contextualSpacing/>
      </w:pPr>
      <w:r w:rsidRPr="006E3129">
        <w:t>Further information may be requested from the Attorney-General’s Department about the operation of the Certificate, and from the</w:t>
      </w:r>
      <w:r w:rsidR="007849FD" w:rsidRPr="006E3129">
        <w:t xml:space="preserve"> Department of </w:t>
      </w:r>
      <w:r w:rsidR="00765B3C" w:rsidRPr="006E3129">
        <w:t>Employment and Workplace Relations</w:t>
      </w:r>
      <w:r w:rsidR="00CC1B89" w:rsidRPr="006E3129">
        <w:t xml:space="preserve"> about the </w:t>
      </w:r>
      <w:r w:rsidR="00F8155B" w:rsidRPr="006E3129">
        <w:t xml:space="preserve">OHS (Maritime Industry) Instruments </w:t>
      </w:r>
      <w:r w:rsidRPr="006E3129">
        <w:t>to which the Certificate applies.</w:t>
      </w:r>
    </w:p>
    <w:p w14:paraId="5FE046F0" w14:textId="50CE131E" w:rsidR="00270B5B" w:rsidRPr="006E3129" w:rsidRDefault="00270B5B" w:rsidP="00F645AD">
      <w:pPr>
        <w:pStyle w:val="Basetext"/>
        <w:spacing w:before="0" w:afterLines="200" w:after="480"/>
        <w:contextualSpacing/>
      </w:pPr>
    </w:p>
    <w:p w14:paraId="47F514D7" w14:textId="72DC6F36" w:rsidR="00270B5B" w:rsidRPr="006E3129" w:rsidRDefault="00AA3DE3" w:rsidP="00F645AD">
      <w:pPr>
        <w:pStyle w:val="Basetext"/>
        <w:spacing w:before="0" w:afterLines="200" w:after="480"/>
        <w:contextualSpacing/>
        <w:rPr>
          <w:b/>
        </w:rPr>
      </w:pPr>
      <w:r w:rsidRPr="006E3129">
        <w:rPr>
          <w:b/>
        </w:rPr>
        <w:t>STATEMENT OF COMPATIBILITY WITH HUMAN RIGHTS</w:t>
      </w:r>
    </w:p>
    <w:p w14:paraId="0CC04A75" w14:textId="0883A0FA" w:rsidR="00270B5B" w:rsidRPr="006E3129" w:rsidRDefault="00270B5B" w:rsidP="00F645AD">
      <w:pPr>
        <w:pStyle w:val="Basetext"/>
        <w:spacing w:before="0" w:afterLines="200" w:after="480"/>
        <w:contextualSpacing/>
      </w:pPr>
    </w:p>
    <w:p w14:paraId="5FFDBFAD" w14:textId="0B3139AC" w:rsidR="0035293E" w:rsidRPr="006E3129" w:rsidRDefault="00270B5B" w:rsidP="00F645AD">
      <w:pPr>
        <w:pStyle w:val="Basetext"/>
        <w:spacing w:before="0" w:afterLines="200" w:after="480" w:line="360" w:lineRule="auto"/>
        <w:contextualSpacing/>
      </w:pPr>
      <w:r w:rsidRPr="006E3129">
        <w:t>The</w:t>
      </w:r>
      <w:r w:rsidR="0000032C" w:rsidRPr="006E3129">
        <w:t xml:space="preserve"> </w:t>
      </w:r>
      <w:r w:rsidR="00900F41" w:rsidRPr="006E3129">
        <w:rPr>
          <w:i/>
        </w:rPr>
        <w:t>Legislation (Deferral of Sunsetting—Occupational Health and Safety (Maritime Industry) Instruments) Certificate 2023</w:t>
      </w:r>
      <w:r w:rsidRPr="006E3129">
        <w:t xml:space="preserve"> </w:t>
      </w:r>
      <w:r w:rsidR="0035293E" w:rsidRPr="006E3129">
        <w:t>(the C</w:t>
      </w:r>
      <w:r w:rsidR="003426DB" w:rsidRPr="006E3129">
        <w:t>ertificate</w:t>
      </w:r>
      <w:r w:rsidR="0035293E" w:rsidRPr="006E3129">
        <w:t>)</w:t>
      </w:r>
      <w:r w:rsidRPr="006E3129">
        <w:t xml:space="preserve"> is compatible with human rights and freedoms recognised or declared in the international instruments listed in section 3 of the </w:t>
      </w:r>
      <w:r w:rsidRPr="006E3129">
        <w:rPr>
          <w:i/>
        </w:rPr>
        <w:t>Human Rights (Parliamentary Scrutiny) Act 2011</w:t>
      </w:r>
      <w:r w:rsidRPr="006E3129">
        <w:t xml:space="preserve"> (the Human Rights Act).</w:t>
      </w:r>
    </w:p>
    <w:p w14:paraId="73431B0B" w14:textId="77777777" w:rsidR="0035293E" w:rsidRPr="006E3129" w:rsidRDefault="0035293E" w:rsidP="00F645AD">
      <w:pPr>
        <w:pStyle w:val="Basetext"/>
        <w:spacing w:before="0" w:afterLines="200" w:after="480"/>
        <w:contextualSpacing/>
        <w:rPr>
          <w:lang w:val="en"/>
        </w:rPr>
      </w:pPr>
    </w:p>
    <w:p w14:paraId="01C00D5A" w14:textId="77777777" w:rsidR="0035293E" w:rsidRPr="006E3129" w:rsidRDefault="0035293E" w:rsidP="00F645AD">
      <w:pPr>
        <w:pStyle w:val="Basetext"/>
        <w:spacing w:before="0" w:afterLines="200" w:after="480"/>
        <w:contextualSpacing/>
        <w:rPr>
          <w:b/>
          <w:lang w:val="en"/>
        </w:rPr>
      </w:pPr>
      <w:r w:rsidRPr="006E3129">
        <w:rPr>
          <w:b/>
          <w:lang w:val="en"/>
        </w:rPr>
        <w:lastRenderedPageBreak/>
        <w:t>Overview of the Certificate</w:t>
      </w:r>
    </w:p>
    <w:p w14:paraId="323CB89E" w14:textId="77777777" w:rsidR="0035293E" w:rsidRPr="006E3129" w:rsidRDefault="0035293E" w:rsidP="00F645AD">
      <w:pPr>
        <w:pStyle w:val="Basetext"/>
        <w:spacing w:before="0" w:afterLines="200" w:after="480"/>
        <w:contextualSpacing/>
        <w:rPr>
          <w:lang w:val="en"/>
        </w:rPr>
      </w:pPr>
    </w:p>
    <w:p w14:paraId="6D731676" w14:textId="3E5D4C58" w:rsidR="0035293E" w:rsidRPr="006E3129" w:rsidRDefault="0035293E" w:rsidP="00F645AD">
      <w:pPr>
        <w:pStyle w:val="Basetext"/>
        <w:spacing w:before="0" w:after="160" w:line="360" w:lineRule="auto"/>
        <w:contextualSpacing/>
        <w:rPr>
          <w:b/>
          <w:lang w:val="en"/>
        </w:rPr>
      </w:pPr>
      <w:r w:rsidRPr="006E3129">
        <w:rPr>
          <w:lang w:val="en"/>
        </w:rPr>
        <w:t xml:space="preserve">The Certificate is made under </w:t>
      </w:r>
      <w:r w:rsidRPr="006E3129">
        <w:t xml:space="preserve">paragraph 51(1)(c) </w:t>
      </w:r>
      <w:r w:rsidRPr="006E3129">
        <w:rPr>
          <w:lang w:val="en"/>
        </w:rPr>
        <w:t xml:space="preserve">of the </w:t>
      </w:r>
      <w:r w:rsidRPr="006E3129">
        <w:rPr>
          <w:i/>
          <w:lang w:val="en"/>
        </w:rPr>
        <w:t>Legislation Act 2003</w:t>
      </w:r>
      <w:r w:rsidRPr="006E3129">
        <w:rPr>
          <w:lang w:val="en"/>
        </w:rPr>
        <w:t xml:space="preserve">. </w:t>
      </w:r>
      <w:r w:rsidRPr="006E3129">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6E3129">
        <w:rPr>
          <w:lang w:val="en"/>
        </w:rPr>
        <w:t xml:space="preserve">The instruments specified in the Certificate are </w:t>
      </w:r>
      <w:r w:rsidRPr="006E3129">
        <w:t>(together, the ‘</w:t>
      </w:r>
      <w:r w:rsidR="003531ED" w:rsidRPr="006E3129">
        <w:t>OHS (Maritime Industry) Instruments</w:t>
      </w:r>
      <w:r w:rsidRPr="006E3129">
        <w:t>’):</w:t>
      </w:r>
    </w:p>
    <w:p w14:paraId="74E62ABC" w14:textId="77777777" w:rsidR="0057758B" w:rsidRPr="006E3129" w:rsidRDefault="0057758B" w:rsidP="0057758B">
      <w:pPr>
        <w:pStyle w:val="paragraph"/>
        <w:numPr>
          <w:ilvl w:val="0"/>
          <w:numId w:val="6"/>
        </w:numPr>
      </w:pPr>
      <w:r w:rsidRPr="006E3129">
        <w:rPr>
          <w:i/>
        </w:rPr>
        <w:t>Occupational Health and Safety (Maritime Industry) (National Standards) Regulations 2003</w:t>
      </w:r>
      <w:r w:rsidRPr="006E3129">
        <w:t>;</w:t>
      </w:r>
    </w:p>
    <w:p w14:paraId="3D025C98" w14:textId="77777777" w:rsidR="0057758B" w:rsidRPr="006E3129" w:rsidRDefault="0057758B" w:rsidP="0057758B">
      <w:pPr>
        <w:pStyle w:val="paragraph"/>
        <w:numPr>
          <w:ilvl w:val="0"/>
          <w:numId w:val="6"/>
        </w:numPr>
      </w:pPr>
      <w:r w:rsidRPr="006E3129">
        <w:tab/>
      </w:r>
      <w:r w:rsidRPr="006E3129">
        <w:rPr>
          <w:i/>
        </w:rPr>
        <w:t>Occupational Health and Safety (Maritime Industry) Regulations 1995</w:t>
      </w:r>
      <w:r w:rsidRPr="006E3129">
        <w:t>.</w:t>
      </w:r>
    </w:p>
    <w:p w14:paraId="3B1199C0" w14:textId="118CEE5A" w:rsidR="0035293E" w:rsidRPr="006E3129" w:rsidRDefault="0035293E" w:rsidP="0057758B">
      <w:pPr>
        <w:pStyle w:val="paragraph"/>
      </w:pPr>
    </w:p>
    <w:p w14:paraId="0867CC4F" w14:textId="2A472253" w:rsidR="006E372F" w:rsidRPr="006E3129" w:rsidRDefault="006E372F" w:rsidP="00F645AD">
      <w:pPr>
        <w:pStyle w:val="Basetext"/>
        <w:spacing w:before="0" w:afterLines="200" w:after="480" w:line="360" w:lineRule="auto"/>
        <w:contextualSpacing/>
      </w:pPr>
      <w:r w:rsidRPr="006E3129">
        <w:t xml:space="preserve">The </w:t>
      </w:r>
      <w:r w:rsidR="0057758B" w:rsidRPr="006E3129">
        <w:t>OHS (Maritime Industry) Instruments</w:t>
      </w:r>
      <w:r w:rsidRPr="006E3129">
        <w:t xml:space="preserve"> are expected to be repealed and replaced within 24 months of their scheduled </w:t>
      </w:r>
      <w:r w:rsidRPr="006E3129">
        <w:rPr>
          <w:lang w:val="en"/>
        </w:rPr>
        <w:t xml:space="preserve">sunsetting day as part of </w:t>
      </w:r>
      <w:r w:rsidRPr="006E3129">
        <w:rPr>
          <w:szCs w:val="24"/>
          <w:lang w:eastAsia="en-AU"/>
        </w:rPr>
        <w:t>the review</w:t>
      </w:r>
      <w:r w:rsidRPr="006E3129">
        <w:t xml:space="preserve"> of the </w:t>
      </w:r>
      <w:r w:rsidR="005E498E" w:rsidRPr="006E3129">
        <w:t>work health and safety</w:t>
      </w:r>
      <w:r w:rsidRPr="006E3129">
        <w:t xml:space="preserve"> framework</w:t>
      </w:r>
      <w:r w:rsidR="005E498E" w:rsidRPr="006E3129">
        <w:t xml:space="preserve"> provided by the</w:t>
      </w:r>
      <w:r w:rsidR="005E498E" w:rsidRPr="006E3129">
        <w:rPr>
          <w:i/>
        </w:rPr>
        <w:t> Occupational Health and Safety (Maritime Industry) Act 1993</w:t>
      </w:r>
      <w:r w:rsidR="005E498E" w:rsidRPr="006E3129">
        <w:t xml:space="preserve"> </w:t>
      </w:r>
      <w:r w:rsidR="00D44EF7" w:rsidRPr="006E3129">
        <w:t>(the</w:t>
      </w:r>
      <w:r w:rsidR="00734F8D" w:rsidRPr="006E3129">
        <w:t xml:space="preserve"> OHS(MI)</w:t>
      </w:r>
      <w:r w:rsidR="00D44EF7" w:rsidRPr="006E3129">
        <w:t xml:space="preserve"> Act) </w:t>
      </w:r>
      <w:r w:rsidR="005E498E" w:rsidRPr="006E3129">
        <w:t>and the OHS (Maritime Industry) Instruments</w:t>
      </w:r>
      <w:r w:rsidRPr="006E3129">
        <w:t xml:space="preserve">. The Certificate allows the </w:t>
      </w:r>
      <w:r w:rsidR="005E498E" w:rsidRPr="006E3129">
        <w:t xml:space="preserve">OHS (Maritime Industry) Instruments </w:t>
      </w:r>
      <w:r w:rsidRPr="006E3129">
        <w:t xml:space="preserve">to continue to be in force </w:t>
      </w:r>
      <w:r w:rsidRPr="006E3129">
        <w:rPr>
          <w:lang w:val="en"/>
        </w:rPr>
        <w:t>for a further, but limited, period of time when they would otherwise sunset. This removes the administrative burden of remaking the instruments which would have a limited duration prior to their expected repeal and replacement, or where circumstances prevent the making of a replacement instrument prior to the sunsetting day.</w:t>
      </w:r>
    </w:p>
    <w:p w14:paraId="0416BABC" w14:textId="77777777" w:rsidR="006E372F" w:rsidRPr="006E3129" w:rsidRDefault="006E372F" w:rsidP="00F645AD">
      <w:pPr>
        <w:pStyle w:val="Basetext"/>
        <w:spacing w:before="0" w:afterLines="200" w:after="480"/>
        <w:contextualSpacing/>
      </w:pPr>
    </w:p>
    <w:p w14:paraId="19479699" w14:textId="690DACEE" w:rsidR="006E372F" w:rsidRPr="006E3129" w:rsidRDefault="006E372F" w:rsidP="00F645AD">
      <w:pPr>
        <w:pStyle w:val="Basetext"/>
        <w:spacing w:before="0" w:afterLines="200" w:after="480"/>
        <w:contextualSpacing/>
        <w:rPr>
          <w:b/>
          <w:lang w:val="en"/>
        </w:rPr>
      </w:pPr>
      <w:r w:rsidRPr="006E3129">
        <w:rPr>
          <w:b/>
          <w:lang w:val="en"/>
        </w:rPr>
        <w:t>Human Rights Implications</w:t>
      </w:r>
    </w:p>
    <w:p w14:paraId="7A11D5E4" w14:textId="6754EDE3" w:rsidR="006E372F" w:rsidRPr="006E3129" w:rsidRDefault="006E372F" w:rsidP="00F645AD">
      <w:pPr>
        <w:pStyle w:val="Basetext"/>
        <w:spacing w:before="0" w:afterLines="200" w:after="480"/>
        <w:contextualSpacing/>
      </w:pPr>
    </w:p>
    <w:p w14:paraId="4FA4064B" w14:textId="752F720D" w:rsidR="00CE2464" w:rsidRPr="006E3129" w:rsidRDefault="006E372F" w:rsidP="007038A1">
      <w:pPr>
        <w:pStyle w:val="Basetext"/>
        <w:spacing w:before="0" w:afterLines="200" w:after="480" w:line="360" w:lineRule="auto"/>
        <w:contextualSpacing/>
      </w:pPr>
      <w:r w:rsidRPr="006E3129">
        <w:rPr>
          <w:lang w:val="en"/>
        </w:rPr>
        <w:t xml:space="preserve">A certificate of deferral of sunsetting extends the operation of the instrument but does not change or affect the rights engaged under the original instrument. </w:t>
      </w:r>
      <w:r w:rsidR="007038A1" w:rsidRPr="006E3129">
        <w:rPr>
          <w:lang w:val="en"/>
        </w:rPr>
        <w:t>The</w:t>
      </w:r>
      <w:r w:rsidR="00E265DC" w:rsidRPr="006E3129">
        <w:t xml:space="preserve"> </w:t>
      </w:r>
      <w:r w:rsidR="00CE2464" w:rsidRPr="006E3129">
        <w:t xml:space="preserve">OHS (Maritime Industry) Instruments </w:t>
      </w:r>
      <w:r w:rsidR="007038A1" w:rsidRPr="006E3129">
        <w:t>engage certain rights and freedoms declared by the international instruments set out in section 3 of the Human Rights Act</w:t>
      </w:r>
      <w:r w:rsidR="00CE2464" w:rsidRPr="006E3129">
        <w:t>.</w:t>
      </w:r>
    </w:p>
    <w:p w14:paraId="23C13F85" w14:textId="7A2394F2" w:rsidR="00CE2464" w:rsidRPr="006E3129" w:rsidRDefault="00CE2464" w:rsidP="007038A1">
      <w:pPr>
        <w:pStyle w:val="Basetext"/>
        <w:spacing w:before="0" w:afterLines="200" w:after="480" w:line="360" w:lineRule="auto"/>
        <w:contextualSpacing/>
      </w:pPr>
    </w:p>
    <w:p w14:paraId="42161022" w14:textId="2B234584" w:rsidR="00C45DF9" w:rsidRPr="006E3129" w:rsidRDefault="00C45DF9" w:rsidP="007038A1">
      <w:pPr>
        <w:pStyle w:val="Basetext"/>
        <w:spacing w:before="0" w:afterLines="200" w:after="480" w:line="360" w:lineRule="auto"/>
        <w:contextualSpacing/>
        <w:rPr>
          <w:u w:val="single"/>
        </w:rPr>
      </w:pPr>
      <w:r w:rsidRPr="006E3129">
        <w:rPr>
          <w:u w:val="single"/>
        </w:rPr>
        <w:t>Right to just and favourable conditions of work</w:t>
      </w:r>
    </w:p>
    <w:p w14:paraId="38F51479" w14:textId="77777777" w:rsidR="00C45DF9" w:rsidRPr="006E3129" w:rsidRDefault="00C45DF9" w:rsidP="007038A1">
      <w:pPr>
        <w:pStyle w:val="Basetext"/>
        <w:spacing w:before="0" w:afterLines="200" w:after="480" w:line="360" w:lineRule="auto"/>
        <w:contextualSpacing/>
      </w:pPr>
    </w:p>
    <w:p w14:paraId="5F1E2EF2" w14:textId="5FEED31C" w:rsidR="00C45DF9" w:rsidRPr="006E3129" w:rsidRDefault="00CC1B89" w:rsidP="00C45DF9">
      <w:pPr>
        <w:pStyle w:val="Basetext"/>
        <w:spacing w:before="0" w:afterLines="200" w:after="480" w:line="360" w:lineRule="auto"/>
        <w:contextualSpacing/>
      </w:pPr>
      <w:r w:rsidRPr="006E3129">
        <w:t>T</w:t>
      </w:r>
      <w:r w:rsidR="00C45DF9" w:rsidRPr="006E3129">
        <w:t xml:space="preserve">he OHS (Maritime Industry) Instruments engage the right to just and favourable conditions of work under </w:t>
      </w:r>
      <w:r w:rsidR="00E91449" w:rsidRPr="006E3129">
        <w:t>a</w:t>
      </w:r>
      <w:r w:rsidR="00C45DF9" w:rsidRPr="006E3129">
        <w:t>rticle 7 of the International Covenant on Economic, Social and Cultural Rights (ICESCR). Article 7 of the ICESCR provides that everyone has the right to the ‘enjoyment of just and favourable conditions of work, which ensure, in particular…[s]</w:t>
      </w:r>
      <w:proofErr w:type="spellStart"/>
      <w:r w:rsidR="00C45DF9" w:rsidRPr="006E3129">
        <w:t>afe</w:t>
      </w:r>
      <w:proofErr w:type="spellEnd"/>
      <w:r w:rsidR="00C45DF9" w:rsidRPr="006E3129">
        <w:t xml:space="preserve"> and healthy working </w:t>
      </w:r>
      <w:proofErr w:type="gramStart"/>
      <w:r w:rsidR="00C45DF9" w:rsidRPr="006E3129">
        <w:t>conditions’</w:t>
      </w:r>
      <w:proofErr w:type="gramEnd"/>
      <w:r w:rsidR="00C45DF9" w:rsidRPr="006E3129">
        <w:t>.</w:t>
      </w:r>
    </w:p>
    <w:p w14:paraId="23FBEDE8" w14:textId="77777777" w:rsidR="00C45DF9" w:rsidRPr="006E3129" w:rsidRDefault="00C45DF9" w:rsidP="00C45DF9">
      <w:pPr>
        <w:pStyle w:val="Basetext"/>
        <w:spacing w:afterLines="200" w:after="480" w:line="360" w:lineRule="auto"/>
        <w:contextualSpacing/>
      </w:pPr>
    </w:p>
    <w:p w14:paraId="12E297A7" w14:textId="77777777" w:rsidR="00C45DF9" w:rsidRPr="006E3129" w:rsidRDefault="00C45DF9" w:rsidP="00C45DF9">
      <w:pPr>
        <w:pStyle w:val="Basetext"/>
        <w:spacing w:afterLines="200" w:after="480" w:line="360" w:lineRule="auto"/>
        <w:contextualSpacing/>
      </w:pPr>
      <w:r w:rsidRPr="006E3129">
        <w:t>The prevention of occupational accidents and diseases is a fundamental aspect of the right to just and favourable conditions of work. Australia relevantly complies with its obligation under Article 7 of the ICESCR through its system of Commonwealth, state and territory work health and safety laws.</w:t>
      </w:r>
    </w:p>
    <w:p w14:paraId="19E0A841" w14:textId="77777777" w:rsidR="00C45DF9" w:rsidRPr="006E3129" w:rsidRDefault="00C45DF9" w:rsidP="00C45DF9">
      <w:pPr>
        <w:pStyle w:val="Basetext"/>
        <w:spacing w:afterLines="200" w:after="480" w:line="360" w:lineRule="auto"/>
        <w:contextualSpacing/>
      </w:pPr>
    </w:p>
    <w:p w14:paraId="5AA37D22" w14:textId="6825BE8C" w:rsidR="00C45DF9" w:rsidRPr="006E3129" w:rsidRDefault="00E06EE5" w:rsidP="00C45DF9">
      <w:pPr>
        <w:pStyle w:val="Basetext"/>
        <w:spacing w:afterLines="200" w:after="480" w:line="360" w:lineRule="auto"/>
        <w:contextualSpacing/>
      </w:pPr>
      <w:r w:rsidRPr="006E3129">
        <w:t>W</w:t>
      </w:r>
      <w:r w:rsidR="00C45DF9" w:rsidRPr="006E3129">
        <w:t>ork health and safety is regulated at the Commonwealth, state and territory level</w:t>
      </w:r>
      <w:r w:rsidR="00CC1B89" w:rsidRPr="006E3129">
        <w:t>s</w:t>
      </w:r>
      <w:r w:rsidR="00C45DF9" w:rsidRPr="006E3129">
        <w:t xml:space="preserve">. However, most </w:t>
      </w:r>
      <w:r w:rsidR="00C45DF9" w:rsidRPr="006E3129">
        <w:lastRenderedPageBreak/>
        <w:t xml:space="preserve">work health and safety laws are harmonised in accordance with the </w:t>
      </w:r>
      <w:r w:rsidR="00C45DF9" w:rsidRPr="006E3129">
        <w:rPr>
          <w:i/>
        </w:rPr>
        <w:t>Inter-Governmental Agreement for Regulatory and Operational Reform in Occupational Health and Safety</w:t>
      </w:r>
      <w:r w:rsidR="00C45DF9" w:rsidRPr="006E3129">
        <w:t>. Safe Work Australia develops and maintains the model work health and safety laws (model laws) through a tripartite consultative process to ensure best-practice work health and safety standards in Australia.</w:t>
      </w:r>
    </w:p>
    <w:p w14:paraId="4D04720B" w14:textId="77777777" w:rsidR="00C45DF9" w:rsidRPr="006E3129" w:rsidRDefault="00C45DF9" w:rsidP="00C45DF9">
      <w:pPr>
        <w:pStyle w:val="Basetext"/>
        <w:spacing w:afterLines="200" w:after="480" w:line="360" w:lineRule="auto"/>
        <w:contextualSpacing/>
      </w:pPr>
    </w:p>
    <w:p w14:paraId="3E97F107" w14:textId="0B0BF7D9" w:rsidR="00C45DF9" w:rsidRPr="006E3129" w:rsidRDefault="00C45DF9" w:rsidP="00C45DF9">
      <w:pPr>
        <w:pStyle w:val="Basetext"/>
        <w:spacing w:afterLines="200" w:after="480" w:line="360" w:lineRule="auto"/>
        <w:contextualSpacing/>
      </w:pPr>
      <w:r w:rsidRPr="006E3129">
        <w:t xml:space="preserve">The </w:t>
      </w:r>
      <w:r w:rsidR="00734F8D" w:rsidRPr="006E3129">
        <w:t xml:space="preserve">OHS(MI) </w:t>
      </w:r>
      <w:r w:rsidRPr="006E3129">
        <w:t>Act and the OHS (Maritime Industry) Instruments provide a bespoke Commonwealth framework to secure the health, safety and welfare of workers for a defined segment of the Australian seafaring industry. A review of the</w:t>
      </w:r>
      <w:r w:rsidR="00A00637" w:rsidRPr="006E3129">
        <w:t xml:space="preserve"> OHS(MI)</w:t>
      </w:r>
      <w:r w:rsidRPr="006E3129">
        <w:t xml:space="preserve"> Act and the OHS (Maritime Industry) Instruments is underway, including consideration of the appropriateness of applying the model laws to the industry.</w:t>
      </w:r>
    </w:p>
    <w:p w14:paraId="66067BFF" w14:textId="77777777" w:rsidR="00C45DF9" w:rsidRPr="006E3129" w:rsidRDefault="00C45DF9" w:rsidP="00C45DF9">
      <w:pPr>
        <w:pStyle w:val="Basetext"/>
        <w:spacing w:afterLines="200" w:after="480" w:line="360" w:lineRule="auto"/>
        <w:contextualSpacing/>
      </w:pPr>
    </w:p>
    <w:p w14:paraId="0C4B20D6" w14:textId="1036A7B1" w:rsidR="00C45DF9" w:rsidRPr="006E3129" w:rsidRDefault="00C45DF9" w:rsidP="00C45DF9">
      <w:pPr>
        <w:pStyle w:val="Basetext"/>
        <w:spacing w:before="0" w:afterLines="200" w:after="480" w:line="360" w:lineRule="auto"/>
        <w:contextualSpacing/>
      </w:pPr>
      <w:r w:rsidRPr="006E3129">
        <w:t xml:space="preserve">Deferring the sunsetting of the OHS (Maritime Industry) Instruments </w:t>
      </w:r>
      <w:r w:rsidR="00A00637" w:rsidRPr="006E3129">
        <w:t>promotes</w:t>
      </w:r>
      <w:r w:rsidRPr="006E3129">
        <w:t xml:space="preserve"> the right to safe and healthy working conditions by maintaining important work health and safety regulation for the </w:t>
      </w:r>
      <w:proofErr w:type="spellStart"/>
      <w:r w:rsidRPr="006E3129">
        <w:t>Seacare</w:t>
      </w:r>
      <w:proofErr w:type="spellEnd"/>
      <w:r w:rsidRPr="006E3129">
        <w:t xml:space="preserve"> Scheme while a cohesive and well-informed approach to transition to the model laws takes place.</w:t>
      </w:r>
    </w:p>
    <w:p w14:paraId="4D8D4CD7" w14:textId="61BC2120" w:rsidR="00C45DF9" w:rsidRPr="006E3129" w:rsidRDefault="00C45DF9" w:rsidP="007038A1">
      <w:pPr>
        <w:pStyle w:val="Basetext"/>
        <w:spacing w:before="0" w:afterLines="200" w:after="480" w:line="360" w:lineRule="auto"/>
        <w:contextualSpacing/>
      </w:pPr>
    </w:p>
    <w:p w14:paraId="094FA610" w14:textId="581C6954" w:rsidR="00C45DF9" w:rsidRPr="006E3129" w:rsidRDefault="00C45DF9" w:rsidP="007038A1">
      <w:pPr>
        <w:pStyle w:val="Basetext"/>
        <w:spacing w:before="0" w:afterLines="200" w:after="480" w:line="360" w:lineRule="auto"/>
        <w:contextualSpacing/>
        <w:rPr>
          <w:u w:val="single"/>
        </w:rPr>
      </w:pPr>
      <w:r w:rsidRPr="006E3129">
        <w:rPr>
          <w:u w:val="single"/>
        </w:rPr>
        <w:t xml:space="preserve">Right to </w:t>
      </w:r>
      <w:r w:rsidR="004C3680" w:rsidRPr="006E3129">
        <w:rPr>
          <w:u w:val="single"/>
        </w:rPr>
        <w:t>p</w:t>
      </w:r>
      <w:r w:rsidRPr="006E3129">
        <w:rPr>
          <w:u w:val="single"/>
        </w:rPr>
        <w:t>rivacy</w:t>
      </w:r>
    </w:p>
    <w:p w14:paraId="2DDF11D7" w14:textId="77777777" w:rsidR="00C45DF9" w:rsidRPr="006E3129" w:rsidRDefault="00C45DF9" w:rsidP="007038A1">
      <w:pPr>
        <w:pStyle w:val="Basetext"/>
        <w:spacing w:before="0" w:afterLines="200" w:after="480" w:line="360" w:lineRule="auto"/>
        <w:contextualSpacing/>
      </w:pPr>
    </w:p>
    <w:p w14:paraId="15C0DBF7" w14:textId="78C337F8" w:rsidR="00C45DF9" w:rsidRPr="006E3129" w:rsidRDefault="00CC1B89" w:rsidP="007038A1">
      <w:pPr>
        <w:pStyle w:val="Basetext"/>
        <w:spacing w:before="0" w:afterLines="200" w:after="480" w:line="360" w:lineRule="auto"/>
        <w:contextualSpacing/>
      </w:pPr>
      <w:r w:rsidRPr="006E3129">
        <w:t>T</w:t>
      </w:r>
      <w:r w:rsidR="00C45DF9" w:rsidRPr="006E3129">
        <w:t xml:space="preserve">he OHS (Maritime Industry) Instruments engage the right to privacy under </w:t>
      </w:r>
      <w:r w:rsidR="00E91449" w:rsidRPr="006E3129">
        <w:t>a</w:t>
      </w:r>
      <w:r w:rsidR="00C45DF9" w:rsidRPr="006E3129">
        <w:t>rticle 17 of the International Covenant on Civil and Political Rights (ICCPR).</w:t>
      </w:r>
      <w:r w:rsidR="002F45CD" w:rsidRPr="006E3129">
        <w:t xml:space="preserve"> Article 17 of the ICCPR provides that no one shall be subjected to arbitrary or unlawful interference with their privacy, family, home and correspondence. This includes the respect for informational privacy, including in respect of storing, using and sharing private information and the right to control dissemination of personal and private information. Privacy guarantees a right to secrecy from the publication of personal information. It also prohibits unlawful attacks on a person’s reputation.</w:t>
      </w:r>
    </w:p>
    <w:p w14:paraId="2E8995CD" w14:textId="6F449C15" w:rsidR="002F45CD" w:rsidRPr="006E3129" w:rsidRDefault="002F45CD" w:rsidP="007038A1">
      <w:pPr>
        <w:pStyle w:val="Basetext"/>
        <w:spacing w:before="0" w:afterLines="200" w:after="480" w:line="360" w:lineRule="auto"/>
        <w:contextualSpacing/>
      </w:pPr>
    </w:p>
    <w:p w14:paraId="3624BDD4" w14:textId="580291B6" w:rsidR="002F45CD" w:rsidRPr="006E3129" w:rsidRDefault="002F45CD" w:rsidP="007038A1">
      <w:pPr>
        <w:pStyle w:val="Basetext"/>
        <w:spacing w:before="0" w:afterLines="200" w:after="480" w:line="360" w:lineRule="auto"/>
        <w:contextualSpacing/>
      </w:pPr>
      <w:r w:rsidRPr="006E3129">
        <w:t xml:space="preserve">The OHS (Maritime Industry) Instruments include obligations to monitor the health of employees and contractors to identify </w:t>
      </w:r>
      <w:r w:rsidR="00E06EE5" w:rsidRPr="006E3129">
        <w:t xml:space="preserve">any </w:t>
      </w:r>
      <w:r w:rsidRPr="006E3129">
        <w:t xml:space="preserve">changes in their health due to exposure, or risk of exposure, to a hazardous substance (per regulation 2.18 of the </w:t>
      </w:r>
      <w:r w:rsidRPr="006E3129">
        <w:rPr>
          <w:i/>
        </w:rPr>
        <w:t>Occupational Health and Safety (Maritime Industry) (National Standards) Regulations 2003</w:t>
      </w:r>
      <w:r w:rsidR="003A42EE" w:rsidRPr="006E3129">
        <w:t xml:space="preserve"> (</w:t>
      </w:r>
      <w:r w:rsidR="003A42EE" w:rsidRPr="006E3129">
        <w:rPr>
          <w:rStyle w:val="normaltextrun"/>
        </w:rPr>
        <w:t>OHS(MI)(NS) Regulations)</w:t>
      </w:r>
      <w:r w:rsidRPr="006E3129">
        <w:t>).</w:t>
      </w:r>
    </w:p>
    <w:p w14:paraId="7065FC9E" w14:textId="13991FD4" w:rsidR="005C0887" w:rsidRPr="006E3129" w:rsidRDefault="005C0887" w:rsidP="007038A1">
      <w:pPr>
        <w:pStyle w:val="Basetext"/>
        <w:spacing w:before="0" w:afterLines="200" w:after="480" w:line="360" w:lineRule="auto"/>
        <w:contextualSpacing/>
      </w:pPr>
    </w:p>
    <w:p w14:paraId="15C796EC" w14:textId="72513C70" w:rsidR="005C0887" w:rsidRPr="006E3129" w:rsidRDefault="005C0887" w:rsidP="005C0887">
      <w:pPr>
        <w:pStyle w:val="Basetext"/>
        <w:spacing w:afterLines="200" w:after="480" w:line="360" w:lineRule="auto"/>
        <w:contextualSpacing/>
      </w:pPr>
      <w:r w:rsidRPr="006E3129">
        <w:t>Health monitoring for workers exposed to hazardous substances</w:t>
      </w:r>
      <w:r w:rsidR="009919B3" w:rsidRPr="006E3129">
        <w:t>,</w:t>
      </w:r>
      <w:r w:rsidRPr="006E3129">
        <w:t xml:space="preserve"> </w:t>
      </w:r>
      <w:r w:rsidR="009919B3" w:rsidRPr="006E3129">
        <w:t xml:space="preserve">such as </w:t>
      </w:r>
      <w:r w:rsidRPr="006E3129">
        <w:t>asbestos</w:t>
      </w:r>
      <w:r w:rsidR="009919B3" w:rsidRPr="006E3129">
        <w:t>,</w:t>
      </w:r>
      <w:r w:rsidRPr="006E3129">
        <w:t xml:space="preserve"> primarily involves screening for changes in a worker’s body that may indicate the development of illness or disease related to asbestos exposure. Health monitoring is required to be conducted under the supervision of a legally qualified medical practitioner who is competent in the requisite testing or medical examinations for the substance. The operator must consult with the employee or contractor on the selection of a medical practitioner.</w:t>
      </w:r>
    </w:p>
    <w:p w14:paraId="24F5A923" w14:textId="77777777" w:rsidR="005C0887" w:rsidRPr="006E3129" w:rsidRDefault="005C0887" w:rsidP="005C0887">
      <w:pPr>
        <w:pStyle w:val="Basetext"/>
        <w:spacing w:afterLines="200" w:after="480" w:line="360" w:lineRule="auto"/>
        <w:contextualSpacing/>
      </w:pPr>
    </w:p>
    <w:p w14:paraId="7F666F8A" w14:textId="68016B45" w:rsidR="005C0887" w:rsidRPr="006E3129" w:rsidRDefault="005C0887" w:rsidP="005C0887">
      <w:pPr>
        <w:pStyle w:val="Basetext"/>
        <w:spacing w:afterLines="200" w:after="480" w:line="360" w:lineRule="auto"/>
        <w:contextualSpacing/>
      </w:pPr>
      <w:r w:rsidRPr="006E3129">
        <w:lastRenderedPageBreak/>
        <w:t xml:space="preserve">The operator must ensure that the employee or contractor is notified of the results as soon as practicable and provided with necessary explanation of the results of the surveillance. Where adverse results from health monitoring are obtained, the operator is required to notify the </w:t>
      </w:r>
      <w:r w:rsidR="00CC1B89" w:rsidRPr="006E3129">
        <w:t>i</w:t>
      </w:r>
      <w:r w:rsidRPr="006E3129">
        <w:t>nspectorate and maintain confidential records. The operator is required to obtain the written consent of the employee or contractor before records are given or shown to a person, with the exception of the operator or a person identified under regulation 2.22</w:t>
      </w:r>
      <w:r w:rsidR="003A42EE" w:rsidRPr="006E3129">
        <w:t xml:space="preserve"> of the </w:t>
      </w:r>
      <w:r w:rsidR="003A42EE" w:rsidRPr="006E3129">
        <w:rPr>
          <w:rStyle w:val="normaltextrun"/>
        </w:rPr>
        <w:t>OHS(MI)(NS) Regulations</w:t>
      </w:r>
      <w:r w:rsidRPr="006E3129">
        <w:t xml:space="preserve"> (emergency services and inspectorate/inspector operating in the course of their duties).</w:t>
      </w:r>
    </w:p>
    <w:p w14:paraId="17D1FA72" w14:textId="77777777" w:rsidR="005C0887" w:rsidRPr="006E3129" w:rsidRDefault="005C0887" w:rsidP="005C0887">
      <w:pPr>
        <w:pStyle w:val="Basetext"/>
        <w:spacing w:afterLines="200" w:after="480" w:line="360" w:lineRule="auto"/>
        <w:contextualSpacing/>
      </w:pPr>
    </w:p>
    <w:p w14:paraId="6D819DE2" w14:textId="14E03275" w:rsidR="005C0887" w:rsidRPr="006E3129" w:rsidRDefault="005C0887" w:rsidP="005C0887">
      <w:pPr>
        <w:pStyle w:val="Basetext"/>
        <w:spacing w:afterLines="200" w:after="480" w:line="360" w:lineRule="auto"/>
        <w:contextualSpacing/>
      </w:pPr>
      <w:r w:rsidRPr="006E3129">
        <w:t>These actions engage the right to privacy because the information that may be obtained or disclosed could include personal and sensitive information</w:t>
      </w:r>
      <w:r w:rsidR="009919B3" w:rsidRPr="006E3129">
        <w:t>,</w:t>
      </w:r>
      <w:r w:rsidRPr="006E3129">
        <w:t xml:space="preserve"> and non-disclosure provisions that may otherwise apply are overridden. To the extent that the right to privacy is limited by the OHS(MI)(NS) Regulations, the limitation is</w:t>
      </w:r>
      <w:r w:rsidR="008D5FB5" w:rsidRPr="006E3129">
        <w:t xml:space="preserve"> considered</w:t>
      </w:r>
      <w:r w:rsidRPr="006E3129">
        <w:t xml:space="preserve"> necessary for a legitimate objective.</w:t>
      </w:r>
    </w:p>
    <w:p w14:paraId="2092E954" w14:textId="77777777" w:rsidR="005C0887" w:rsidRPr="006E3129" w:rsidRDefault="005C0887" w:rsidP="005C0887">
      <w:pPr>
        <w:pStyle w:val="Basetext"/>
        <w:spacing w:afterLines="200" w:after="480" w:line="360" w:lineRule="auto"/>
        <w:contextualSpacing/>
      </w:pPr>
    </w:p>
    <w:p w14:paraId="3F0E09AB" w14:textId="146A0923" w:rsidR="005C0887" w:rsidRPr="006E3129" w:rsidRDefault="005C0887" w:rsidP="005C0887">
      <w:pPr>
        <w:pStyle w:val="Basetext"/>
        <w:spacing w:afterLines="200" w:after="480" w:line="360" w:lineRule="auto"/>
        <w:contextualSpacing/>
      </w:pPr>
      <w:r w:rsidRPr="006E3129">
        <w:t>Health monitoring is necessary to:</w:t>
      </w:r>
    </w:p>
    <w:p w14:paraId="1895A9E8" w14:textId="1F709C25" w:rsidR="005C0887" w:rsidRPr="006E3129" w:rsidRDefault="005C0887" w:rsidP="00052FB4">
      <w:pPr>
        <w:pStyle w:val="Basetext"/>
        <w:numPr>
          <w:ilvl w:val="0"/>
          <w:numId w:val="12"/>
        </w:numPr>
        <w:spacing w:afterLines="200" w:after="480" w:line="360" w:lineRule="auto"/>
        <w:ind w:left="714" w:hanging="357"/>
        <w:contextualSpacing/>
      </w:pPr>
      <w:r w:rsidRPr="006E3129">
        <w:t>detect the early signs of adverse health effects</w:t>
      </w:r>
      <w:r w:rsidR="008B1B15" w:rsidRPr="006E3129">
        <w:t>;</w:t>
      </w:r>
    </w:p>
    <w:p w14:paraId="40A3F961" w14:textId="5C3F0F2E" w:rsidR="005C0887" w:rsidRPr="006E3129" w:rsidRDefault="005C0887" w:rsidP="00052FB4">
      <w:pPr>
        <w:pStyle w:val="Basetext"/>
        <w:numPr>
          <w:ilvl w:val="0"/>
          <w:numId w:val="12"/>
        </w:numPr>
        <w:spacing w:afterLines="200" w:after="480" w:line="360" w:lineRule="auto"/>
        <w:ind w:left="714" w:hanging="357"/>
        <w:contextualSpacing/>
      </w:pPr>
      <w:r w:rsidRPr="006E3129">
        <w:t>help identify control measures that are not working effectively; and</w:t>
      </w:r>
    </w:p>
    <w:p w14:paraId="6DA2DEBE" w14:textId="7A3641E2" w:rsidR="005C0887" w:rsidRPr="006E3129" w:rsidRDefault="005C0887" w:rsidP="00052FB4">
      <w:pPr>
        <w:pStyle w:val="Basetext"/>
        <w:numPr>
          <w:ilvl w:val="0"/>
          <w:numId w:val="12"/>
        </w:numPr>
        <w:spacing w:afterLines="200" w:after="480" w:line="360" w:lineRule="auto"/>
        <w:ind w:left="714" w:hanging="357"/>
        <w:contextualSpacing/>
      </w:pPr>
      <w:r w:rsidRPr="006E3129">
        <w:t>assist in protecting workers from the risk of exposure to asbestos.</w:t>
      </w:r>
    </w:p>
    <w:p w14:paraId="1C481D6E" w14:textId="77777777" w:rsidR="005C0887" w:rsidRPr="006E3129" w:rsidRDefault="005C0887" w:rsidP="005C0887">
      <w:pPr>
        <w:pStyle w:val="Basetext"/>
        <w:spacing w:afterLines="200" w:after="480" w:line="360" w:lineRule="auto"/>
        <w:contextualSpacing/>
      </w:pPr>
    </w:p>
    <w:p w14:paraId="159DC8EC" w14:textId="6E1FB9BE" w:rsidR="005C0887" w:rsidRPr="006E3129" w:rsidRDefault="005C0887" w:rsidP="005C0887">
      <w:pPr>
        <w:pStyle w:val="Basetext"/>
        <w:spacing w:afterLines="200" w:after="480" w:line="360" w:lineRule="auto"/>
        <w:contextualSpacing/>
      </w:pPr>
      <w:r w:rsidRPr="006E3129">
        <w:t>Records are required to be kept confidential, with disclosure only being required in certain circumstances, to the employee or contractor and to the inspectorate (only where adverse results are received). Written consent of the employee is required for any disclosure outside of the above.</w:t>
      </w:r>
    </w:p>
    <w:p w14:paraId="6131D5E8" w14:textId="77777777" w:rsidR="005C0887" w:rsidRPr="006E3129" w:rsidRDefault="005C0887" w:rsidP="005C0887">
      <w:pPr>
        <w:pStyle w:val="Basetext"/>
        <w:spacing w:afterLines="200" w:after="480" w:line="360" w:lineRule="auto"/>
        <w:contextualSpacing/>
      </w:pPr>
    </w:p>
    <w:p w14:paraId="4FE80CC2" w14:textId="02AFB1D8" w:rsidR="005C0887" w:rsidRPr="006E3129" w:rsidRDefault="005C0887" w:rsidP="005C0887">
      <w:pPr>
        <w:pStyle w:val="Basetext"/>
        <w:spacing w:afterLines="200" w:after="480" w:line="360" w:lineRule="auto"/>
        <w:contextualSpacing/>
      </w:pPr>
      <w:r w:rsidRPr="006E3129">
        <w:t xml:space="preserve">Considering the serious health effects that can arise from exposure to hazardous substances and particularly asbestos, which the </w:t>
      </w:r>
      <w:r w:rsidR="008B1B15" w:rsidRPr="006E3129">
        <w:t>OHS(MI)(NS) Regulations</w:t>
      </w:r>
      <w:r w:rsidRPr="006E3129">
        <w:t xml:space="preserve"> regulate, it is considered that the deferral of the </w:t>
      </w:r>
      <w:r w:rsidR="008B1B15" w:rsidRPr="006E3129">
        <w:t>OHS (Maritime Industry) Instruments</w:t>
      </w:r>
      <w:r w:rsidRPr="006E3129">
        <w:t xml:space="preserve">, resulting in the continuation of this limitation on the right to privacy, is reasonable and proportionate. </w:t>
      </w:r>
      <w:r w:rsidR="00056806" w:rsidRPr="006E3129">
        <w:t>T</w:t>
      </w:r>
      <w:r w:rsidRPr="006E3129">
        <w:t>he</w:t>
      </w:r>
      <w:r w:rsidR="008B1B15" w:rsidRPr="006E3129">
        <w:t xml:space="preserve"> OHS(MI)(NS) Regulations </w:t>
      </w:r>
      <w:r w:rsidRPr="006E3129">
        <w:t>include the requirement for any information obtained to be recorded confidentially to limit the risk to the employees’ or contractors’ privacy.</w:t>
      </w:r>
    </w:p>
    <w:p w14:paraId="143E4266" w14:textId="77777777" w:rsidR="005C0887" w:rsidRPr="006E3129" w:rsidRDefault="005C0887" w:rsidP="005C0887">
      <w:pPr>
        <w:pStyle w:val="Basetext"/>
        <w:spacing w:afterLines="200" w:after="480" w:line="360" w:lineRule="auto"/>
        <w:contextualSpacing/>
      </w:pPr>
    </w:p>
    <w:p w14:paraId="7466C72D" w14:textId="0E8A4F0B" w:rsidR="005C0887" w:rsidRPr="006E3129" w:rsidRDefault="00E91449" w:rsidP="005C0887">
      <w:pPr>
        <w:pStyle w:val="Basetext"/>
        <w:spacing w:before="0" w:afterLines="200" w:after="480" w:line="360" w:lineRule="auto"/>
        <w:contextualSpacing/>
      </w:pPr>
      <w:r w:rsidRPr="006E3129">
        <w:t>I</w:t>
      </w:r>
      <w:r w:rsidR="005C0887" w:rsidRPr="006E3129">
        <w:t>nformation collected by the Australian Maritime Safety Authority, as the inspectorate, is personal information</w:t>
      </w:r>
      <w:r w:rsidR="00443192" w:rsidRPr="006E3129">
        <w:t xml:space="preserve"> that</w:t>
      </w:r>
      <w:r w:rsidR="005C0887" w:rsidRPr="006E3129">
        <w:t xml:space="preserve"> is also subject to the requirements of the </w:t>
      </w:r>
      <w:r w:rsidR="005C0887" w:rsidRPr="006E3129">
        <w:rPr>
          <w:i/>
        </w:rPr>
        <w:t>Privacy Act 1988</w:t>
      </w:r>
      <w:r w:rsidR="00443192" w:rsidRPr="006E3129">
        <w:t>,</w:t>
      </w:r>
      <w:r w:rsidR="005C0887" w:rsidRPr="006E3129">
        <w:t xml:space="preserve"> which governs its collection, use, disclosure, storage and disposal. This provides additional protection to the information once it is received.</w:t>
      </w:r>
    </w:p>
    <w:p w14:paraId="20AE6328" w14:textId="737388C1" w:rsidR="003A42EE" w:rsidRPr="006E3129" w:rsidRDefault="003A42EE" w:rsidP="005C0887">
      <w:pPr>
        <w:pStyle w:val="Basetext"/>
        <w:spacing w:before="0" w:afterLines="200" w:after="480" w:line="360" w:lineRule="auto"/>
        <w:contextualSpacing/>
      </w:pPr>
    </w:p>
    <w:p w14:paraId="2852F4FF" w14:textId="3B6677BA" w:rsidR="00A83D88" w:rsidRPr="006E3129" w:rsidRDefault="00A83D88" w:rsidP="00F72449">
      <w:pPr>
        <w:pStyle w:val="Basetext"/>
        <w:keepNext/>
        <w:spacing w:before="0" w:afterLines="200" w:after="480" w:line="360" w:lineRule="auto"/>
        <w:contextualSpacing/>
        <w:rPr>
          <w:u w:val="single"/>
        </w:rPr>
      </w:pPr>
      <w:r w:rsidRPr="006E3129">
        <w:rPr>
          <w:u w:val="single"/>
        </w:rPr>
        <w:lastRenderedPageBreak/>
        <w:t xml:space="preserve">Presumption of </w:t>
      </w:r>
      <w:r w:rsidR="004C3680" w:rsidRPr="006E3129">
        <w:rPr>
          <w:u w:val="single"/>
        </w:rPr>
        <w:t>i</w:t>
      </w:r>
      <w:r w:rsidRPr="006E3129">
        <w:rPr>
          <w:u w:val="single"/>
        </w:rPr>
        <w:t>nnocence</w:t>
      </w:r>
    </w:p>
    <w:p w14:paraId="043A7F08" w14:textId="77777777" w:rsidR="00A83D88" w:rsidRPr="006E3129" w:rsidRDefault="00A83D88" w:rsidP="00F72449">
      <w:pPr>
        <w:pStyle w:val="Basetext"/>
        <w:keepNext/>
        <w:spacing w:before="0" w:afterLines="200" w:after="480" w:line="360" w:lineRule="auto"/>
        <w:contextualSpacing/>
      </w:pPr>
    </w:p>
    <w:p w14:paraId="5FF9F19F" w14:textId="6F4DB823" w:rsidR="00A83D88" w:rsidRPr="006E3129" w:rsidRDefault="00CC1B89" w:rsidP="00A83D88">
      <w:pPr>
        <w:pStyle w:val="Basetext"/>
        <w:spacing w:afterLines="200" w:after="480" w:line="360" w:lineRule="auto"/>
        <w:contextualSpacing/>
        <w:rPr>
          <w:rStyle w:val="normaltextrun"/>
        </w:rPr>
      </w:pPr>
      <w:r w:rsidRPr="006E3129">
        <w:t>T</w:t>
      </w:r>
      <w:r w:rsidR="00A83D88" w:rsidRPr="006E3129">
        <w:t xml:space="preserve">he OHS (Maritime Industry) Instruments engage the </w:t>
      </w:r>
      <w:r w:rsidR="00A83D88" w:rsidRPr="006E3129">
        <w:rPr>
          <w:rStyle w:val="normaltextrun"/>
        </w:rPr>
        <w:t xml:space="preserve">presumption of innocence under </w:t>
      </w:r>
      <w:r w:rsidR="00E91449" w:rsidRPr="006E3129">
        <w:rPr>
          <w:rStyle w:val="normaltextrun"/>
        </w:rPr>
        <w:t>a</w:t>
      </w:r>
      <w:r w:rsidR="00A83D88" w:rsidRPr="006E3129">
        <w:rPr>
          <w:rStyle w:val="normaltextrun"/>
        </w:rPr>
        <w:t xml:space="preserve">rticle 14(2) of the ICCPR. The right to the presumption of innocence is one of the guarantees in relation to legal proceedings contained in article 14. The presumption of innocence imposes the burden of proving </w:t>
      </w:r>
      <w:r w:rsidR="006E1AC2" w:rsidRPr="006E3129">
        <w:rPr>
          <w:rStyle w:val="normaltextrun"/>
        </w:rPr>
        <w:t>a</w:t>
      </w:r>
      <w:r w:rsidR="00A83D88" w:rsidRPr="006E3129">
        <w:rPr>
          <w:rStyle w:val="normaltextrun"/>
        </w:rPr>
        <w:t xml:space="preserve"> charge on the prosecution and guarantees that no guilt can be presumed until the charge has been proved beyond reasonable doubt.</w:t>
      </w:r>
    </w:p>
    <w:p w14:paraId="12B74BEA" w14:textId="77777777" w:rsidR="00A83D88" w:rsidRPr="006E3129" w:rsidRDefault="00A83D88" w:rsidP="00A83D88">
      <w:pPr>
        <w:pStyle w:val="Basetext"/>
        <w:spacing w:afterLines="200" w:after="480" w:line="360" w:lineRule="auto"/>
        <w:contextualSpacing/>
        <w:rPr>
          <w:rStyle w:val="normaltextrun"/>
        </w:rPr>
      </w:pPr>
    </w:p>
    <w:p w14:paraId="191044F8" w14:textId="15616FD1" w:rsidR="00A83D88" w:rsidRPr="006E3129" w:rsidRDefault="00A83D88" w:rsidP="00206A08">
      <w:pPr>
        <w:pStyle w:val="Basetext"/>
        <w:spacing w:afterLines="200" w:after="480" w:line="360" w:lineRule="auto"/>
        <w:contextualSpacing/>
        <w:rPr>
          <w:rStyle w:val="normaltextrun"/>
        </w:rPr>
      </w:pPr>
      <w:r w:rsidRPr="006E3129">
        <w:rPr>
          <w:rStyle w:val="normaltextrun"/>
        </w:rPr>
        <w:t xml:space="preserve">The presumption of innocence is required to be considered when an instrument contains an offence that requires the accused or defendant to prove or establish the absence of an element of an offence or requires the accused or defendant to establish an exception, exemption, excuse or other defence. There are a number of offence-specific defences in the </w:t>
      </w:r>
      <w:r w:rsidRPr="006E3129">
        <w:t>OHS (Maritime Industry) Instruments</w:t>
      </w:r>
      <w:r w:rsidRPr="006E3129">
        <w:rPr>
          <w:rStyle w:val="normaltextrun"/>
        </w:rPr>
        <w:t xml:space="preserve"> which place an evidential burden of proof to establish a defence on the defendant. These include</w:t>
      </w:r>
      <w:r w:rsidR="00206A08" w:rsidRPr="006E3129">
        <w:rPr>
          <w:rStyle w:val="normaltextrun"/>
        </w:rPr>
        <w:t xml:space="preserve"> </w:t>
      </w:r>
      <w:proofErr w:type="spellStart"/>
      <w:r w:rsidR="00206A08" w:rsidRPr="006E3129">
        <w:rPr>
          <w:rStyle w:val="normaltextrun"/>
        </w:rPr>
        <w:t>s</w:t>
      </w:r>
      <w:r w:rsidRPr="006E3129">
        <w:rPr>
          <w:rStyle w:val="normaltextrun"/>
        </w:rPr>
        <w:t>ubregulation</w:t>
      </w:r>
      <w:proofErr w:type="spellEnd"/>
      <w:r w:rsidRPr="006E3129">
        <w:rPr>
          <w:rStyle w:val="normaltextrun"/>
        </w:rPr>
        <w:t xml:space="preserve"> 9(2) of the</w:t>
      </w:r>
      <w:r w:rsidR="00206A08" w:rsidRPr="006E3129">
        <w:rPr>
          <w:rStyle w:val="normaltextrun"/>
        </w:rPr>
        <w:t xml:space="preserve"> </w:t>
      </w:r>
      <w:r w:rsidR="00206A08" w:rsidRPr="006E3129">
        <w:rPr>
          <w:i/>
        </w:rPr>
        <w:t>Occupational Health and Safety (Maritime Industry) Regulations 1995</w:t>
      </w:r>
      <w:r w:rsidRPr="006E3129">
        <w:rPr>
          <w:rStyle w:val="normaltextrun"/>
        </w:rPr>
        <w:t xml:space="preserve"> </w:t>
      </w:r>
      <w:r w:rsidR="00206A08" w:rsidRPr="006E3129">
        <w:rPr>
          <w:rStyle w:val="normaltextrun"/>
        </w:rPr>
        <w:t>(</w:t>
      </w:r>
      <w:r w:rsidRPr="006E3129">
        <w:rPr>
          <w:rStyle w:val="normaltextrun"/>
        </w:rPr>
        <w:t>OHS(MI) Regulations</w:t>
      </w:r>
      <w:r w:rsidR="00206A08" w:rsidRPr="006E3129">
        <w:rPr>
          <w:rStyle w:val="normaltextrun"/>
        </w:rPr>
        <w:t xml:space="preserve">) and </w:t>
      </w:r>
      <w:proofErr w:type="spellStart"/>
      <w:r w:rsidR="00206A08" w:rsidRPr="006E3129">
        <w:rPr>
          <w:rStyle w:val="normaltextrun"/>
        </w:rPr>
        <w:t>subregulations</w:t>
      </w:r>
      <w:proofErr w:type="spellEnd"/>
      <w:r w:rsidR="00206A08" w:rsidRPr="006E3129">
        <w:rPr>
          <w:rStyle w:val="normaltextrun"/>
        </w:rPr>
        <w:t xml:space="preserve"> 3.03(3), 3.05(2), 3.06(3) and (6) </w:t>
      </w:r>
      <w:r w:rsidRPr="006E3129">
        <w:rPr>
          <w:rStyle w:val="normaltextrun"/>
        </w:rPr>
        <w:t>of the OHS(MI)(NS) Regulations.</w:t>
      </w:r>
    </w:p>
    <w:p w14:paraId="20328B48" w14:textId="77777777" w:rsidR="00A83D88" w:rsidRPr="006E3129" w:rsidRDefault="00A83D88" w:rsidP="00A83D88">
      <w:pPr>
        <w:pStyle w:val="Basetext"/>
        <w:spacing w:afterLines="200" w:after="480" w:line="360" w:lineRule="auto"/>
        <w:contextualSpacing/>
        <w:rPr>
          <w:rStyle w:val="normaltextrun"/>
        </w:rPr>
      </w:pPr>
    </w:p>
    <w:p w14:paraId="75A0CEDA" w14:textId="655AABCF" w:rsidR="00A83D88" w:rsidRPr="006E3129" w:rsidRDefault="00A83D88" w:rsidP="00A83D88">
      <w:pPr>
        <w:pStyle w:val="Basetext"/>
        <w:spacing w:afterLines="200" w:after="480" w:line="360" w:lineRule="auto"/>
        <w:contextualSpacing/>
        <w:rPr>
          <w:rStyle w:val="normaltextrun"/>
        </w:rPr>
      </w:pPr>
      <w:r w:rsidRPr="006E3129">
        <w:rPr>
          <w:rStyle w:val="normaltextrun"/>
        </w:rPr>
        <w:t xml:space="preserve">Each of these defences imposing an evidential burden on the defendant in the </w:t>
      </w:r>
      <w:r w:rsidR="00857E24" w:rsidRPr="006E3129">
        <w:t>OHS (Maritime Industry) Instruments</w:t>
      </w:r>
      <w:r w:rsidRPr="006E3129">
        <w:rPr>
          <w:rStyle w:val="normaltextrun"/>
        </w:rPr>
        <w:t xml:space="preserve"> is justified on the grounds that each defence involves circumstances where</w:t>
      </w:r>
      <w:r w:rsidR="00857E24" w:rsidRPr="006E3129">
        <w:rPr>
          <w:rStyle w:val="normaltextrun"/>
        </w:rPr>
        <w:t xml:space="preserve"> </w:t>
      </w:r>
      <w:r w:rsidRPr="006E3129">
        <w:rPr>
          <w:rStyle w:val="normaltextrun"/>
        </w:rPr>
        <w:t>the relevant matter would be peculiarly within the knowledge of the defendant and</w:t>
      </w:r>
      <w:r w:rsidR="00857E24" w:rsidRPr="006E3129">
        <w:rPr>
          <w:rStyle w:val="normaltextrun"/>
        </w:rPr>
        <w:t xml:space="preserve"> </w:t>
      </w:r>
      <w:r w:rsidRPr="006E3129">
        <w:rPr>
          <w:rStyle w:val="normaltextrun"/>
        </w:rPr>
        <w:t xml:space="preserve">it would be significantly </w:t>
      </w:r>
      <w:proofErr w:type="gramStart"/>
      <w:r w:rsidRPr="006E3129">
        <w:rPr>
          <w:rStyle w:val="normaltextrun"/>
        </w:rPr>
        <w:t>more difficult and costly</w:t>
      </w:r>
      <w:proofErr w:type="gramEnd"/>
      <w:r w:rsidRPr="006E3129">
        <w:rPr>
          <w:rStyle w:val="normaltextrun"/>
        </w:rPr>
        <w:t xml:space="preserve"> for the prosecution to disprove than for the defendant to establish the matter.</w:t>
      </w:r>
    </w:p>
    <w:p w14:paraId="352C6826" w14:textId="77777777" w:rsidR="00A83D88" w:rsidRPr="006E3129" w:rsidRDefault="00A83D88" w:rsidP="00A83D88">
      <w:pPr>
        <w:pStyle w:val="Basetext"/>
        <w:spacing w:afterLines="200" w:after="480" w:line="360" w:lineRule="auto"/>
        <w:contextualSpacing/>
        <w:rPr>
          <w:rStyle w:val="normaltextrun"/>
        </w:rPr>
      </w:pPr>
    </w:p>
    <w:p w14:paraId="194CB20B" w14:textId="6832C25C" w:rsidR="00A83D88" w:rsidRPr="006E3129" w:rsidRDefault="00857E24" w:rsidP="00A83D88">
      <w:pPr>
        <w:pStyle w:val="Basetext"/>
        <w:spacing w:afterLines="200" w:after="480" w:line="360" w:lineRule="auto"/>
        <w:contextualSpacing/>
        <w:rPr>
          <w:rStyle w:val="normaltextrun"/>
        </w:rPr>
      </w:pPr>
      <w:r w:rsidRPr="006E3129">
        <w:rPr>
          <w:rStyle w:val="normaltextrun"/>
        </w:rPr>
        <w:t>T</w:t>
      </w:r>
      <w:r w:rsidR="00A83D88" w:rsidRPr="006E3129">
        <w:rPr>
          <w:rStyle w:val="normaltextrun"/>
        </w:rPr>
        <w:t xml:space="preserve">he </w:t>
      </w:r>
      <w:r w:rsidR="00A83D88" w:rsidRPr="006E3129">
        <w:rPr>
          <w:rStyle w:val="normaltextrun"/>
          <w:i/>
        </w:rPr>
        <w:t>Guide to Framing Commonwealth Offences, Infringement Notices and Enforcement Powers</w:t>
      </w:r>
      <w:r w:rsidR="00A83D88" w:rsidRPr="006E3129">
        <w:rPr>
          <w:rStyle w:val="normaltextrun"/>
        </w:rPr>
        <w:t xml:space="preserve"> cautions against the use of 'reasonable excuse' defences in Commonwealth laws and provides that the preference is to either rely on the </w:t>
      </w:r>
      <w:r w:rsidR="00A83D88" w:rsidRPr="006E3129">
        <w:rPr>
          <w:rStyle w:val="normaltextrun"/>
          <w:i/>
        </w:rPr>
        <w:t>Criminal Code Act 1995</w:t>
      </w:r>
      <w:r w:rsidR="00A83D88" w:rsidRPr="006E3129">
        <w:rPr>
          <w:rStyle w:val="normaltextrun"/>
        </w:rPr>
        <w:t xml:space="preserve"> (the</w:t>
      </w:r>
      <w:r w:rsidR="006E1AC2" w:rsidRPr="006E3129">
        <w:rPr>
          <w:rStyle w:val="normaltextrun"/>
        </w:rPr>
        <w:t xml:space="preserve"> Criminal</w:t>
      </w:r>
      <w:r w:rsidR="00A83D88" w:rsidRPr="006E3129">
        <w:rPr>
          <w:rStyle w:val="normaltextrun"/>
        </w:rPr>
        <w:t xml:space="preserve"> Code) or specific defences.</w:t>
      </w:r>
    </w:p>
    <w:p w14:paraId="2E571A07" w14:textId="77777777" w:rsidR="00A83D88" w:rsidRPr="006E3129" w:rsidRDefault="00A83D88" w:rsidP="00A83D88">
      <w:pPr>
        <w:pStyle w:val="Basetext"/>
        <w:spacing w:afterLines="200" w:after="480" w:line="360" w:lineRule="auto"/>
        <w:contextualSpacing/>
        <w:rPr>
          <w:rStyle w:val="normaltextrun"/>
        </w:rPr>
      </w:pPr>
    </w:p>
    <w:p w14:paraId="5E8E43B3" w14:textId="560B4FEF" w:rsidR="00A83D88" w:rsidRPr="006E3129" w:rsidRDefault="00A83D88" w:rsidP="00A83D88">
      <w:pPr>
        <w:pStyle w:val="Basetext"/>
        <w:spacing w:afterLines="200" w:after="480" w:line="360" w:lineRule="auto"/>
        <w:contextualSpacing/>
        <w:rPr>
          <w:rStyle w:val="normaltextrun"/>
        </w:rPr>
      </w:pPr>
      <w:proofErr w:type="spellStart"/>
      <w:r w:rsidRPr="006E3129">
        <w:rPr>
          <w:rStyle w:val="normaltextrun"/>
        </w:rPr>
        <w:t>Subregulation</w:t>
      </w:r>
      <w:proofErr w:type="spellEnd"/>
      <w:r w:rsidRPr="006E3129">
        <w:rPr>
          <w:rStyle w:val="normaltextrun"/>
        </w:rPr>
        <w:t xml:space="preserve"> 9(2) of the OHS(MI) Regulations provides that a person in command of the prescribed ship or prescribed unit commits an offence if the person in command engages in conduct, or allows another person to engage in conduct, that results in the alteration or disturbance of the site of an accident or a dangerous occurrence on the ship or unit and</w:t>
      </w:r>
      <w:r w:rsidR="006E1AC2" w:rsidRPr="006E3129">
        <w:rPr>
          <w:rStyle w:val="normaltextrun"/>
        </w:rPr>
        <w:t>,</w:t>
      </w:r>
      <w:r w:rsidRPr="006E3129">
        <w:rPr>
          <w:rStyle w:val="normaltextrun"/>
        </w:rPr>
        <w:t xml:space="preserve"> at the time of the conduct, an inspector had not inspected the site and had not given permission in writing for the alteration or disturbance of the site.</w:t>
      </w:r>
    </w:p>
    <w:p w14:paraId="12C81CF8" w14:textId="77777777" w:rsidR="00A83D88" w:rsidRPr="006E3129" w:rsidRDefault="00A83D88" w:rsidP="00A83D88">
      <w:pPr>
        <w:pStyle w:val="Basetext"/>
        <w:spacing w:afterLines="200" w:after="480" w:line="360" w:lineRule="auto"/>
        <w:contextualSpacing/>
        <w:rPr>
          <w:rStyle w:val="normaltextrun"/>
        </w:rPr>
      </w:pPr>
    </w:p>
    <w:p w14:paraId="220C2200" w14:textId="555E2837" w:rsidR="00A83D88" w:rsidRPr="006E3129" w:rsidRDefault="00A83D88" w:rsidP="00A83D88">
      <w:pPr>
        <w:pStyle w:val="Basetext"/>
        <w:spacing w:afterLines="200" w:after="480" w:line="360" w:lineRule="auto"/>
        <w:contextualSpacing/>
        <w:rPr>
          <w:rStyle w:val="normaltextrun"/>
        </w:rPr>
      </w:pPr>
      <w:proofErr w:type="spellStart"/>
      <w:r w:rsidRPr="006E3129">
        <w:rPr>
          <w:rStyle w:val="normaltextrun"/>
        </w:rPr>
        <w:t>Sub</w:t>
      </w:r>
      <w:r w:rsidR="006E1AC2" w:rsidRPr="006E3129">
        <w:rPr>
          <w:rStyle w:val="normaltextrun"/>
        </w:rPr>
        <w:t>regulation</w:t>
      </w:r>
      <w:proofErr w:type="spellEnd"/>
      <w:r w:rsidRPr="006E3129">
        <w:rPr>
          <w:rStyle w:val="normaltextrun"/>
        </w:rPr>
        <w:t xml:space="preserve"> 9(2) provides that it is a defence to a prosecution for an offence against </w:t>
      </w:r>
      <w:proofErr w:type="spellStart"/>
      <w:r w:rsidRPr="006E3129">
        <w:rPr>
          <w:rStyle w:val="normaltextrun"/>
        </w:rPr>
        <w:t>subregulation</w:t>
      </w:r>
      <w:proofErr w:type="spellEnd"/>
      <w:r w:rsidR="00651000" w:rsidRPr="006E3129">
        <w:rPr>
          <w:rStyle w:val="normaltextrun"/>
        </w:rPr>
        <w:t> </w:t>
      </w:r>
      <w:r w:rsidRPr="006E3129">
        <w:rPr>
          <w:rStyle w:val="normaltextrun"/>
        </w:rPr>
        <w:t>9(1)</w:t>
      </w:r>
      <w:r w:rsidR="006E1AC2" w:rsidRPr="006E3129">
        <w:rPr>
          <w:rStyle w:val="normaltextrun"/>
        </w:rPr>
        <w:t>,</w:t>
      </w:r>
      <w:r w:rsidRPr="006E3129">
        <w:rPr>
          <w:rStyle w:val="normaltextrun"/>
        </w:rPr>
        <w:t xml:space="preserve"> if the person in command had a reasonable excuse. </w:t>
      </w:r>
      <w:proofErr w:type="spellStart"/>
      <w:r w:rsidRPr="006E3129">
        <w:rPr>
          <w:rStyle w:val="normaltextrun"/>
        </w:rPr>
        <w:t>Subregulations</w:t>
      </w:r>
      <w:proofErr w:type="spellEnd"/>
      <w:r w:rsidRPr="006E3129">
        <w:rPr>
          <w:rStyle w:val="normaltextrun"/>
        </w:rPr>
        <w:t xml:space="preserve"> 9(3) and (4) provide further explanation of the available defences to this offence and examples of what would constitute a reasonable excuse.</w:t>
      </w:r>
    </w:p>
    <w:p w14:paraId="46810D8D" w14:textId="77777777" w:rsidR="00A83D88" w:rsidRPr="006E3129" w:rsidRDefault="00A83D88" w:rsidP="00A83D88">
      <w:pPr>
        <w:pStyle w:val="Basetext"/>
        <w:spacing w:afterLines="200" w:after="480" w:line="360" w:lineRule="auto"/>
        <w:contextualSpacing/>
        <w:rPr>
          <w:rStyle w:val="normaltextrun"/>
        </w:rPr>
      </w:pPr>
    </w:p>
    <w:p w14:paraId="5FF1B2DC" w14:textId="2226A622" w:rsidR="00A83D88" w:rsidRPr="006E3129" w:rsidRDefault="000A64DE" w:rsidP="00A83D88">
      <w:pPr>
        <w:pStyle w:val="Basetext"/>
        <w:spacing w:afterLines="200" w:after="480" w:line="360" w:lineRule="auto"/>
        <w:contextualSpacing/>
        <w:rPr>
          <w:rStyle w:val="normaltextrun"/>
        </w:rPr>
      </w:pPr>
      <w:r w:rsidRPr="006E3129">
        <w:rPr>
          <w:rStyle w:val="normaltextrun"/>
        </w:rPr>
        <w:t>T</w:t>
      </w:r>
      <w:r w:rsidR="00A83D88" w:rsidRPr="006E3129">
        <w:rPr>
          <w:rStyle w:val="normaltextrun"/>
        </w:rPr>
        <w:t xml:space="preserve">he imposition of an evidential burden on the defendant </w:t>
      </w:r>
      <w:r w:rsidRPr="006E3129">
        <w:rPr>
          <w:rStyle w:val="normaltextrun"/>
        </w:rPr>
        <w:t>is</w:t>
      </w:r>
      <w:r w:rsidR="00A83D88" w:rsidRPr="006E3129">
        <w:rPr>
          <w:rStyle w:val="normaltextrun"/>
        </w:rPr>
        <w:t xml:space="preserve"> appropriate in this situation. As </w:t>
      </w:r>
      <w:proofErr w:type="spellStart"/>
      <w:r w:rsidR="00A83D88" w:rsidRPr="006E3129">
        <w:rPr>
          <w:rStyle w:val="normaltextrun"/>
        </w:rPr>
        <w:t>sub</w:t>
      </w:r>
      <w:r w:rsidR="006E1AC2" w:rsidRPr="006E3129">
        <w:rPr>
          <w:rStyle w:val="normaltextrun"/>
        </w:rPr>
        <w:t>regulation</w:t>
      </w:r>
      <w:proofErr w:type="spellEnd"/>
      <w:r w:rsidR="006E1AC2" w:rsidRPr="006E3129">
        <w:rPr>
          <w:rStyle w:val="normaltextrun"/>
        </w:rPr>
        <w:t xml:space="preserve"> </w:t>
      </w:r>
      <w:r w:rsidR="00A83D88" w:rsidRPr="006E3129">
        <w:rPr>
          <w:rStyle w:val="normaltextrun"/>
        </w:rPr>
        <w:t>9(4) notes, a reasonable excuse may be that the alteration or disturbance of the site was unavoidable or that the person engaged in, or allowed another person to engage in, the conduct that resulted in the alteration or disturbance of the site of an accident or dangerous occurrence as a result of:</w:t>
      </w:r>
    </w:p>
    <w:p w14:paraId="56679D8D" w14:textId="3FC03194" w:rsidR="00A83D88" w:rsidRPr="006E3129" w:rsidRDefault="00A83D88" w:rsidP="000A64DE">
      <w:pPr>
        <w:pStyle w:val="Basetext"/>
        <w:numPr>
          <w:ilvl w:val="0"/>
          <w:numId w:val="10"/>
        </w:numPr>
        <w:spacing w:afterLines="200" w:after="480" w:line="360" w:lineRule="auto"/>
        <w:contextualSpacing/>
        <w:rPr>
          <w:rStyle w:val="normaltextrun"/>
        </w:rPr>
      </w:pPr>
      <w:r w:rsidRPr="006E3129">
        <w:rPr>
          <w:rStyle w:val="normaltextrun"/>
        </w:rPr>
        <w:t>the rescue, or attempted rescue, of an injured person; or</w:t>
      </w:r>
    </w:p>
    <w:p w14:paraId="60141F2F" w14:textId="4B3AE2B1" w:rsidR="00A83D88" w:rsidRPr="006E3129" w:rsidRDefault="00A83D88" w:rsidP="000A64DE">
      <w:pPr>
        <w:pStyle w:val="Basetext"/>
        <w:numPr>
          <w:ilvl w:val="0"/>
          <w:numId w:val="10"/>
        </w:numPr>
        <w:spacing w:afterLines="200" w:after="480" w:line="360" w:lineRule="auto"/>
        <w:contextualSpacing/>
        <w:rPr>
          <w:rStyle w:val="normaltextrun"/>
        </w:rPr>
      </w:pPr>
      <w:r w:rsidRPr="006E3129">
        <w:rPr>
          <w:rStyle w:val="normaltextrun"/>
        </w:rPr>
        <w:t>the retrieval, or attempted retrieval, of the body of a deceased person; or</w:t>
      </w:r>
    </w:p>
    <w:p w14:paraId="7EFD3CAA" w14:textId="2D1777AB" w:rsidR="00A83D88" w:rsidRPr="006E3129" w:rsidRDefault="00A83D88" w:rsidP="000A64DE">
      <w:pPr>
        <w:pStyle w:val="Basetext"/>
        <w:numPr>
          <w:ilvl w:val="0"/>
          <w:numId w:val="10"/>
        </w:numPr>
        <w:spacing w:afterLines="200" w:after="480" w:line="360" w:lineRule="auto"/>
        <w:contextualSpacing/>
        <w:rPr>
          <w:rStyle w:val="normaltextrun"/>
        </w:rPr>
      </w:pPr>
      <w:r w:rsidRPr="006E3129">
        <w:rPr>
          <w:rStyle w:val="normaltextrun"/>
        </w:rPr>
        <w:t>the protection, or attempted protection, of the health or safety of a person; or</w:t>
      </w:r>
    </w:p>
    <w:p w14:paraId="540D49DB" w14:textId="7856AD04" w:rsidR="00A83D88" w:rsidRPr="006E3129" w:rsidRDefault="00A83D88" w:rsidP="000A64DE">
      <w:pPr>
        <w:pStyle w:val="Basetext"/>
        <w:numPr>
          <w:ilvl w:val="0"/>
          <w:numId w:val="10"/>
        </w:numPr>
        <w:spacing w:afterLines="200" w:after="480" w:line="360" w:lineRule="auto"/>
        <w:contextualSpacing/>
        <w:rPr>
          <w:rStyle w:val="normaltextrun"/>
        </w:rPr>
      </w:pPr>
      <w:r w:rsidRPr="006E3129">
        <w:rPr>
          <w:rStyle w:val="normaltextrun"/>
        </w:rPr>
        <w:t>the prevention, or attempted prevention, of damage being done to a substance or thing; or</w:t>
      </w:r>
    </w:p>
    <w:p w14:paraId="1CD73964" w14:textId="303860C0" w:rsidR="00A83D88" w:rsidRPr="006E3129" w:rsidRDefault="00A83D88" w:rsidP="000A64DE">
      <w:pPr>
        <w:pStyle w:val="Basetext"/>
        <w:numPr>
          <w:ilvl w:val="0"/>
          <w:numId w:val="10"/>
        </w:numPr>
        <w:spacing w:afterLines="200" w:after="480" w:line="360" w:lineRule="auto"/>
        <w:contextualSpacing/>
        <w:rPr>
          <w:rStyle w:val="normaltextrun"/>
        </w:rPr>
      </w:pPr>
      <w:r w:rsidRPr="006E3129">
        <w:rPr>
          <w:rStyle w:val="normaltextrun"/>
        </w:rPr>
        <w:t>the restoration, or attempted restoration, of a workplace to safe working conditions; or</w:t>
      </w:r>
    </w:p>
    <w:p w14:paraId="07C17B36" w14:textId="7DE4679C" w:rsidR="00A83D88" w:rsidRPr="006E3129" w:rsidRDefault="00A83D88" w:rsidP="000A64DE">
      <w:pPr>
        <w:pStyle w:val="Basetext"/>
        <w:numPr>
          <w:ilvl w:val="0"/>
          <w:numId w:val="10"/>
        </w:numPr>
        <w:spacing w:afterLines="200" w:after="480" w:line="360" w:lineRule="auto"/>
        <w:contextualSpacing/>
        <w:rPr>
          <w:rStyle w:val="normaltextrun"/>
        </w:rPr>
      </w:pPr>
      <w:r w:rsidRPr="006E3129">
        <w:rPr>
          <w:rStyle w:val="normaltextrun"/>
        </w:rPr>
        <w:t>the performance, or attempted performance, of a task necessary for the proper operation of the ship or unit.</w:t>
      </w:r>
    </w:p>
    <w:p w14:paraId="24A07DD7" w14:textId="77777777" w:rsidR="00A83D88" w:rsidRPr="006E3129" w:rsidRDefault="00A83D88" w:rsidP="00A83D88">
      <w:pPr>
        <w:pStyle w:val="Basetext"/>
        <w:spacing w:afterLines="200" w:after="480" w:line="360" w:lineRule="auto"/>
        <w:contextualSpacing/>
        <w:rPr>
          <w:rStyle w:val="normaltextrun"/>
        </w:rPr>
      </w:pPr>
    </w:p>
    <w:p w14:paraId="603393BA" w14:textId="1839B1F4" w:rsidR="00A83D88" w:rsidRPr="006E3129" w:rsidRDefault="00A83D88" w:rsidP="004C3680">
      <w:pPr>
        <w:pStyle w:val="Basetext"/>
        <w:spacing w:afterLines="200" w:after="480" w:line="360" w:lineRule="auto"/>
        <w:contextualSpacing/>
        <w:rPr>
          <w:rStyle w:val="normaltextrun"/>
        </w:rPr>
      </w:pPr>
      <w:r w:rsidRPr="006E3129">
        <w:rPr>
          <w:rStyle w:val="normaltextrun"/>
        </w:rPr>
        <w:t xml:space="preserve">The circumstances around the alteration or disturbance of the site are matters which are likely to be peculiarly within the knowledge of the defendant and significantly </w:t>
      </w:r>
      <w:proofErr w:type="gramStart"/>
      <w:r w:rsidRPr="006E3129">
        <w:rPr>
          <w:rStyle w:val="normaltextrun"/>
        </w:rPr>
        <w:t>more difficult and costly</w:t>
      </w:r>
      <w:proofErr w:type="gramEnd"/>
      <w:r w:rsidRPr="006E3129">
        <w:rPr>
          <w:rStyle w:val="normaltextrun"/>
        </w:rPr>
        <w:t xml:space="preserve"> for the prosecution to disprove than for the defendant to establish the matter. It is not possible to rely on the defences in the Criminal Code for this offence. This is because the defence of mistake of fact does not necessarily cover all situations which would be covered by reasonable excuse</w:t>
      </w:r>
      <w:r w:rsidR="006E1AC2" w:rsidRPr="006E3129">
        <w:rPr>
          <w:rStyle w:val="normaltextrun"/>
        </w:rPr>
        <w:t>,</w:t>
      </w:r>
      <w:r w:rsidRPr="006E3129">
        <w:rPr>
          <w:rStyle w:val="normaltextrun"/>
        </w:rPr>
        <w:t xml:space="preserve"> as set out by regulation</w:t>
      </w:r>
      <w:r w:rsidR="00651000" w:rsidRPr="006E3129">
        <w:rPr>
          <w:rStyle w:val="normaltextrun"/>
        </w:rPr>
        <w:t> </w:t>
      </w:r>
      <w:r w:rsidRPr="006E3129">
        <w:rPr>
          <w:rStyle w:val="normaltextrun"/>
        </w:rPr>
        <w:t>9.</w:t>
      </w:r>
    </w:p>
    <w:p w14:paraId="13FC89DA" w14:textId="3FE49B9F" w:rsidR="00A83D88" w:rsidRPr="006E3129" w:rsidRDefault="00A83D88" w:rsidP="005C0887">
      <w:pPr>
        <w:pStyle w:val="Basetext"/>
        <w:spacing w:before="0" w:afterLines="200" w:after="480" w:line="360" w:lineRule="auto"/>
        <w:contextualSpacing/>
      </w:pPr>
    </w:p>
    <w:p w14:paraId="4033024C" w14:textId="6CF26249" w:rsidR="00597507" w:rsidRPr="006E3129" w:rsidRDefault="00597507" w:rsidP="005C0887">
      <w:pPr>
        <w:pStyle w:val="Basetext"/>
        <w:spacing w:before="0" w:afterLines="200" w:after="480" w:line="360" w:lineRule="auto"/>
        <w:contextualSpacing/>
      </w:pPr>
      <w:r w:rsidRPr="006E3129">
        <w:t>Therefore,</w:t>
      </w:r>
      <w:r w:rsidR="00443192" w:rsidRPr="006E3129">
        <w:t xml:space="preserve"> overall,</w:t>
      </w:r>
      <w:r w:rsidRPr="006E3129">
        <w:t xml:space="preserve"> the OHS (Maritime Industry) Instruments are compatible with human rights because they promote the right to safe and healthy working conditions by maintaining important work health and safety regulation for the </w:t>
      </w:r>
      <w:proofErr w:type="spellStart"/>
      <w:r w:rsidRPr="006E3129">
        <w:t>Seacare</w:t>
      </w:r>
      <w:proofErr w:type="spellEnd"/>
      <w:r w:rsidRPr="006E3129">
        <w:t xml:space="preserve"> Scheme. To the extent that they may limit human rights, those limitations are reasonable, necessary and proportionate.</w:t>
      </w:r>
    </w:p>
    <w:p w14:paraId="16DD391C" w14:textId="77777777" w:rsidR="00597507" w:rsidRPr="006E3129" w:rsidRDefault="00597507" w:rsidP="005C0887">
      <w:pPr>
        <w:pStyle w:val="Basetext"/>
        <w:spacing w:before="0" w:afterLines="200" w:after="480" w:line="360" w:lineRule="auto"/>
        <w:contextualSpacing/>
      </w:pPr>
    </w:p>
    <w:p w14:paraId="50887440" w14:textId="13341475" w:rsidR="006E372F" w:rsidRPr="006E3129" w:rsidRDefault="006E372F" w:rsidP="00F645AD">
      <w:pPr>
        <w:pStyle w:val="Basetext"/>
        <w:spacing w:afterLines="200" w:after="480" w:line="360" w:lineRule="auto"/>
        <w:contextualSpacing/>
      </w:pPr>
      <w:r w:rsidRPr="006E3129">
        <w:t xml:space="preserve">Before issuing the Certificate, the Attorney-General was satisfied that the </w:t>
      </w:r>
      <w:r w:rsidR="000946D4" w:rsidRPr="006E3129">
        <w:t>OHS (Maritime Industry) Instruments</w:t>
      </w:r>
      <w:r w:rsidRPr="006E3129">
        <w:t xml:space="preserve"> would, apart from the operation of the sunsetting provisions, cease to be in force within 24 months of their sunsetting date. Issuing a certificate of deferral therefore avoids the need to replace the </w:t>
      </w:r>
      <w:r w:rsidR="000946D4" w:rsidRPr="006E3129">
        <w:t xml:space="preserve">OHS (Maritime Industry) Instruments </w:t>
      </w:r>
      <w:r w:rsidRPr="006E3129">
        <w:t>in their current form for a short period of time before they are expected to be repealed and replaced.</w:t>
      </w:r>
    </w:p>
    <w:p w14:paraId="1DE0A1C1" w14:textId="77777777" w:rsidR="006E372F" w:rsidRPr="006E3129" w:rsidRDefault="006E372F" w:rsidP="00F645AD">
      <w:pPr>
        <w:pStyle w:val="Basetext"/>
        <w:spacing w:afterLines="200" w:after="480"/>
        <w:contextualSpacing/>
      </w:pPr>
    </w:p>
    <w:p w14:paraId="4D3F8757" w14:textId="635B6014" w:rsidR="006E372F" w:rsidRPr="006E3129" w:rsidRDefault="006E372F" w:rsidP="00F645AD">
      <w:pPr>
        <w:pStyle w:val="Basetext"/>
        <w:spacing w:before="0" w:afterLines="200" w:after="480" w:line="360" w:lineRule="auto"/>
        <w:contextualSpacing/>
      </w:pPr>
      <w:r w:rsidRPr="006E3129">
        <w:t xml:space="preserve">Instruments that are replaced will be subject to parliamentary scrutiny and oversight through the disallowance processes unless otherwise exempt. The human rights impact of the remade </w:t>
      </w:r>
      <w:r w:rsidR="000946D4" w:rsidRPr="006E3129">
        <w:t>OHS (Maritime Industry) Instruments</w:t>
      </w:r>
      <w:r w:rsidRPr="006E3129">
        <w:t xml:space="preserve"> will be assessed at the time they are made, including through the requirement to prepare a Statement of Compatibility with Human Rights.</w:t>
      </w:r>
    </w:p>
    <w:p w14:paraId="49D606AC" w14:textId="32CABF30" w:rsidR="006E372F" w:rsidRPr="006E3129" w:rsidRDefault="006E372F" w:rsidP="00F645AD">
      <w:pPr>
        <w:pStyle w:val="Basetext"/>
        <w:spacing w:before="0" w:afterLines="200" w:after="480"/>
        <w:contextualSpacing/>
      </w:pPr>
    </w:p>
    <w:p w14:paraId="5120C394" w14:textId="0BAB7A0F" w:rsidR="006E372F" w:rsidRPr="006E3129" w:rsidRDefault="006E372F" w:rsidP="00F645AD">
      <w:pPr>
        <w:pStyle w:val="Basetext"/>
        <w:spacing w:afterLines="200" w:after="480"/>
        <w:contextualSpacing/>
        <w:rPr>
          <w:b/>
        </w:rPr>
      </w:pPr>
      <w:r w:rsidRPr="006E3129">
        <w:rPr>
          <w:b/>
        </w:rPr>
        <w:lastRenderedPageBreak/>
        <w:t>Conclusion</w:t>
      </w:r>
    </w:p>
    <w:p w14:paraId="4C76496C" w14:textId="77777777" w:rsidR="006E372F" w:rsidRPr="006E3129" w:rsidRDefault="006E372F" w:rsidP="00F645AD">
      <w:pPr>
        <w:pStyle w:val="Basetext"/>
        <w:spacing w:afterLines="200" w:after="480"/>
        <w:contextualSpacing/>
      </w:pPr>
    </w:p>
    <w:p w14:paraId="271571F3" w14:textId="70FBEC77" w:rsidR="006E372F" w:rsidRPr="006E3129" w:rsidRDefault="006E372F" w:rsidP="00F645AD">
      <w:pPr>
        <w:pStyle w:val="Basetext"/>
        <w:spacing w:before="0" w:afterLines="200" w:after="480" w:line="360" w:lineRule="auto"/>
        <w:contextualSpacing/>
      </w:pPr>
      <w:r w:rsidRPr="006E3129">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01A2AF4D" w14:textId="77777777" w:rsidR="00687089" w:rsidRPr="006E3129" w:rsidRDefault="00687089" w:rsidP="00197D3F">
      <w:pPr>
        <w:pageBreakBefore/>
        <w:spacing w:afterLines="200" w:after="480" w:line="276" w:lineRule="auto"/>
        <w:jc w:val="right"/>
        <w:rPr>
          <w:rFonts w:ascii="Times New Roman" w:hAnsi="Times New Roman" w:cs="Times New Roman"/>
          <w:lang w:val="en-AU"/>
        </w:rPr>
      </w:pPr>
      <w:r w:rsidRPr="006E3129">
        <w:rPr>
          <w:rFonts w:ascii="Times New Roman" w:hAnsi="Times New Roman" w:cs="Times New Roman"/>
          <w:b/>
        </w:rPr>
        <w:lastRenderedPageBreak/>
        <w:t>ATTACHMENT A</w:t>
      </w:r>
    </w:p>
    <w:p w14:paraId="592BD4A5" w14:textId="77777777" w:rsidR="00687089" w:rsidRPr="006E3129" w:rsidRDefault="00687089" w:rsidP="00F645AD">
      <w:pPr>
        <w:rPr>
          <w:rFonts w:ascii="Times New Roman" w:hAnsi="Times New Roman" w:cs="Times New Roman"/>
          <w:b/>
        </w:rPr>
      </w:pPr>
      <w:r w:rsidRPr="006E3129">
        <w:rPr>
          <w:rFonts w:ascii="Times New Roman" w:hAnsi="Times New Roman" w:cs="Times New Roman"/>
          <w:b/>
        </w:rPr>
        <w:t>NOTES ON THE CERTIFICATE</w:t>
      </w:r>
    </w:p>
    <w:p w14:paraId="01899636" w14:textId="77777777" w:rsidR="00687089" w:rsidRPr="006E3129" w:rsidRDefault="00687089" w:rsidP="00F645AD">
      <w:pPr>
        <w:rPr>
          <w:rFonts w:ascii="Times New Roman" w:hAnsi="Times New Roman" w:cs="Times New Roman"/>
        </w:rPr>
      </w:pPr>
    </w:p>
    <w:p w14:paraId="16545383" w14:textId="1BA6FE82" w:rsidR="00687089" w:rsidRPr="006E3129" w:rsidRDefault="00687089" w:rsidP="00F645AD">
      <w:pPr>
        <w:rPr>
          <w:rFonts w:ascii="Times New Roman" w:hAnsi="Times New Roman" w:cs="Times New Roman"/>
          <w:b/>
        </w:rPr>
      </w:pPr>
      <w:r w:rsidRPr="006E3129">
        <w:rPr>
          <w:rFonts w:ascii="Times New Roman" w:hAnsi="Times New Roman" w:cs="Times New Roman"/>
          <w:b/>
        </w:rPr>
        <w:t>Section 1</w:t>
      </w:r>
      <w:r w:rsidRPr="006E3129">
        <w:rPr>
          <w:rFonts w:ascii="Times New Roman" w:hAnsi="Times New Roman" w:cs="Times New Roman"/>
          <w:b/>
        </w:rPr>
        <w:tab/>
        <w:t>Name</w:t>
      </w:r>
    </w:p>
    <w:p w14:paraId="3C147D6B" w14:textId="7C985219" w:rsidR="00687089" w:rsidRPr="006E3129" w:rsidRDefault="00687089" w:rsidP="00F645AD">
      <w:pPr>
        <w:spacing w:line="360" w:lineRule="auto"/>
        <w:rPr>
          <w:rFonts w:ascii="Times New Roman" w:hAnsi="Times New Roman" w:cs="Times New Roman"/>
        </w:rPr>
      </w:pPr>
      <w:r w:rsidRPr="006E3129">
        <w:rPr>
          <w:rFonts w:ascii="Times New Roman" w:hAnsi="Times New Roman" w:cs="Times New Roman"/>
        </w:rPr>
        <w:t>This section provides that the Certificate is named the</w:t>
      </w:r>
      <w:r w:rsidR="00900F41" w:rsidRPr="006E3129">
        <w:rPr>
          <w:rFonts w:ascii="Times New Roman" w:hAnsi="Times New Roman" w:cs="Times New Roman"/>
        </w:rPr>
        <w:t xml:space="preserve"> </w:t>
      </w:r>
      <w:r w:rsidR="00900F41" w:rsidRPr="006E3129">
        <w:rPr>
          <w:rFonts w:ascii="Times New Roman" w:hAnsi="Times New Roman" w:cs="Times New Roman"/>
          <w:i/>
        </w:rPr>
        <w:t>Legislation (Deferral of Sunsetting—Occupational Health and Safety (Maritime Industry) Instruments) Certificate 2023</w:t>
      </w:r>
      <w:r w:rsidRPr="006E3129">
        <w:rPr>
          <w:rFonts w:ascii="Times New Roman" w:hAnsi="Times New Roman" w:cs="Times New Roman"/>
        </w:rPr>
        <w:t>. The Certificate may be cited by this name.</w:t>
      </w:r>
    </w:p>
    <w:p w14:paraId="791C3305" w14:textId="77777777" w:rsidR="00687089" w:rsidRPr="006E3129" w:rsidRDefault="00687089" w:rsidP="00F645AD">
      <w:pPr>
        <w:rPr>
          <w:rFonts w:ascii="Times New Roman" w:hAnsi="Times New Roman" w:cs="Times New Roman"/>
        </w:rPr>
      </w:pPr>
    </w:p>
    <w:p w14:paraId="49DE315D" w14:textId="707E9239" w:rsidR="00687089" w:rsidRPr="006E3129" w:rsidRDefault="00687089" w:rsidP="00F645AD">
      <w:pPr>
        <w:rPr>
          <w:rFonts w:ascii="Times New Roman" w:hAnsi="Times New Roman" w:cs="Times New Roman"/>
          <w:b/>
        </w:rPr>
      </w:pPr>
      <w:r w:rsidRPr="006E3129">
        <w:rPr>
          <w:rFonts w:ascii="Times New Roman" w:hAnsi="Times New Roman" w:cs="Times New Roman"/>
          <w:b/>
        </w:rPr>
        <w:t>Section 2</w:t>
      </w:r>
      <w:r w:rsidRPr="006E3129">
        <w:rPr>
          <w:rFonts w:ascii="Times New Roman" w:hAnsi="Times New Roman" w:cs="Times New Roman"/>
          <w:b/>
        </w:rPr>
        <w:tab/>
        <w:t>Commencement</w:t>
      </w:r>
    </w:p>
    <w:p w14:paraId="6C18A203" w14:textId="77777777" w:rsidR="00687089" w:rsidRPr="006E3129" w:rsidRDefault="00687089" w:rsidP="00F645AD">
      <w:pPr>
        <w:spacing w:line="360" w:lineRule="auto"/>
        <w:rPr>
          <w:rFonts w:ascii="Times New Roman" w:hAnsi="Times New Roman" w:cs="Times New Roman"/>
        </w:rPr>
      </w:pPr>
      <w:r w:rsidRPr="006E3129">
        <w:rPr>
          <w:rFonts w:ascii="Times New Roman" w:hAnsi="Times New Roman" w:cs="Times New Roman"/>
        </w:rPr>
        <w:t>This section provides for the Certificate to commence on the day after it is registered.</w:t>
      </w:r>
    </w:p>
    <w:p w14:paraId="080C3625" w14:textId="77777777" w:rsidR="00687089" w:rsidRPr="006E3129" w:rsidRDefault="00687089" w:rsidP="00F645AD">
      <w:pPr>
        <w:rPr>
          <w:rFonts w:ascii="Times New Roman" w:hAnsi="Times New Roman" w:cs="Times New Roman"/>
        </w:rPr>
      </w:pPr>
    </w:p>
    <w:p w14:paraId="5785D007" w14:textId="42BC7C1C" w:rsidR="00687089" w:rsidRPr="006E3129" w:rsidRDefault="00687089" w:rsidP="00F645AD">
      <w:pPr>
        <w:rPr>
          <w:rFonts w:ascii="Times New Roman" w:hAnsi="Times New Roman" w:cs="Times New Roman"/>
          <w:b/>
        </w:rPr>
      </w:pPr>
      <w:r w:rsidRPr="006E3129">
        <w:rPr>
          <w:rFonts w:ascii="Times New Roman" w:hAnsi="Times New Roman" w:cs="Times New Roman"/>
          <w:b/>
        </w:rPr>
        <w:t>Section 3</w:t>
      </w:r>
      <w:r w:rsidRPr="006E3129">
        <w:rPr>
          <w:rFonts w:ascii="Times New Roman" w:hAnsi="Times New Roman" w:cs="Times New Roman"/>
          <w:b/>
        </w:rPr>
        <w:tab/>
        <w:t>Authority</w:t>
      </w:r>
    </w:p>
    <w:p w14:paraId="438A8B49" w14:textId="77777777" w:rsidR="00687089" w:rsidRPr="006E3129" w:rsidRDefault="00687089" w:rsidP="00F645AD">
      <w:pPr>
        <w:spacing w:line="360" w:lineRule="auto"/>
        <w:rPr>
          <w:rFonts w:ascii="Times New Roman" w:hAnsi="Times New Roman" w:cs="Times New Roman"/>
        </w:rPr>
      </w:pPr>
      <w:r w:rsidRPr="006E3129">
        <w:rPr>
          <w:rFonts w:ascii="Times New Roman" w:hAnsi="Times New Roman" w:cs="Times New Roman"/>
        </w:rPr>
        <w:t xml:space="preserve">This section provides that the Certificate is made under paragraph 51(1)(c) of the </w:t>
      </w:r>
      <w:r w:rsidRPr="006E3129">
        <w:rPr>
          <w:rFonts w:ascii="Times New Roman" w:hAnsi="Times New Roman" w:cs="Times New Roman"/>
          <w:i/>
        </w:rPr>
        <w:t>Legislation Act 2003</w:t>
      </w:r>
      <w:r w:rsidRPr="006E3129">
        <w:rPr>
          <w:rFonts w:ascii="Times New Roman" w:hAnsi="Times New Roman" w:cs="Times New Roman"/>
        </w:rPr>
        <w:t>.</w:t>
      </w:r>
    </w:p>
    <w:p w14:paraId="350E5B31" w14:textId="77777777" w:rsidR="00687089" w:rsidRPr="006E3129" w:rsidRDefault="00687089" w:rsidP="00F645AD">
      <w:pPr>
        <w:rPr>
          <w:rFonts w:ascii="Times New Roman" w:hAnsi="Times New Roman" w:cs="Times New Roman"/>
        </w:rPr>
      </w:pPr>
    </w:p>
    <w:p w14:paraId="02CD4151" w14:textId="53F20B1F" w:rsidR="00687089" w:rsidRPr="006E3129" w:rsidRDefault="00687089" w:rsidP="00F645AD">
      <w:pPr>
        <w:rPr>
          <w:rFonts w:ascii="Times New Roman" w:hAnsi="Times New Roman" w:cs="Times New Roman"/>
          <w:b/>
        </w:rPr>
      </w:pPr>
      <w:r w:rsidRPr="006E3129">
        <w:rPr>
          <w:rFonts w:ascii="Times New Roman" w:hAnsi="Times New Roman" w:cs="Times New Roman"/>
          <w:b/>
        </w:rPr>
        <w:t>Section 4</w:t>
      </w:r>
      <w:r w:rsidRPr="006E3129">
        <w:rPr>
          <w:rFonts w:ascii="Times New Roman" w:hAnsi="Times New Roman" w:cs="Times New Roman"/>
          <w:b/>
        </w:rPr>
        <w:tab/>
        <w:t>Deferral of sunsetting</w:t>
      </w:r>
    </w:p>
    <w:p w14:paraId="174F8417" w14:textId="31AD4F09" w:rsidR="00687089" w:rsidRPr="006E3129" w:rsidRDefault="00687089" w:rsidP="00F645AD">
      <w:pPr>
        <w:spacing w:line="360" w:lineRule="auto"/>
        <w:rPr>
          <w:rFonts w:ascii="Times New Roman" w:hAnsi="Times New Roman" w:cs="Times New Roman"/>
        </w:rPr>
      </w:pPr>
      <w:r w:rsidRPr="006E3129">
        <w:rPr>
          <w:rFonts w:ascii="Times New Roman" w:hAnsi="Times New Roman" w:cs="Times New Roman"/>
        </w:rPr>
        <w:t>This section provides that the</w:t>
      </w:r>
      <w:r w:rsidR="00F00CC5" w:rsidRPr="006E3129">
        <w:rPr>
          <w:rFonts w:ascii="Times New Roman" w:hAnsi="Times New Roman" w:cs="Times New Roman"/>
        </w:rPr>
        <w:t xml:space="preserve"> following instruments, for which the sunsetting day is 1 April 2024, are repealed by section 51 of the </w:t>
      </w:r>
      <w:r w:rsidR="00F00CC5" w:rsidRPr="006E3129">
        <w:rPr>
          <w:rFonts w:ascii="Times New Roman" w:hAnsi="Times New Roman" w:cs="Times New Roman"/>
          <w:i/>
        </w:rPr>
        <w:t>Legislation Act 2003</w:t>
      </w:r>
      <w:r w:rsidR="00F00CC5" w:rsidRPr="006E3129">
        <w:rPr>
          <w:rFonts w:ascii="Times New Roman" w:hAnsi="Times New Roman" w:cs="Times New Roman"/>
        </w:rPr>
        <w:t xml:space="preserve"> on 1 April 2026:</w:t>
      </w:r>
    </w:p>
    <w:p w14:paraId="3F0CB26D" w14:textId="47213727" w:rsidR="00DE31A6" w:rsidRPr="006E3129" w:rsidRDefault="00900F41" w:rsidP="00F645AD">
      <w:pPr>
        <w:pStyle w:val="paragraph"/>
        <w:numPr>
          <w:ilvl w:val="0"/>
          <w:numId w:val="4"/>
        </w:numPr>
      </w:pPr>
      <w:r w:rsidRPr="006E3129">
        <w:rPr>
          <w:i/>
        </w:rPr>
        <w:t>Occupational Health and Safety (Maritime Industry) (National Standards) Regulations 2003</w:t>
      </w:r>
      <w:r w:rsidR="00DE31A6" w:rsidRPr="006E3129">
        <w:t>;</w:t>
      </w:r>
    </w:p>
    <w:p w14:paraId="6525E6C6" w14:textId="36706E48" w:rsidR="00DE31A6" w:rsidRPr="006E3129" w:rsidRDefault="00DE31A6" w:rsidP="00F645AD">
      <w:pPr>
        <w:pStyle w:val="paragraph"/>
        <w:numPr>
          <w:ilvl w:val="0"/>
          <w:numId w:val="4"/>
        </w:numPr>
      </w:pPr>
      <w:r w:rsidRPr="006E3129">
        <w:tab/>
      </w:r>
      <w:r w:rsidR="00900F41" w:rsidRPr="006E3129">
        <w:rPr>
          <w:i/>
        </w:rPr>
        <w:t>Occupational Health and Safety (Maritime Industry) Regulations 1995</w:t>
      </w:r>
      <w:r w:rsidR="00900F41" w:rsidRPr="006E3129">
        <w:t>.</w:t>
      </w:r>
    </w:p>
    <w:p w14:paraId="608B1AA8" w14:textId="77777777" w:rsidR="00687089" w:rsidRPr="006E3129" w:rsidRDefault="00687089" w:rsidP="00F645AD">
      <w:pPr>
        <w:rPr>
          <w:rFonts w:ascii="Times New Roman" w:hAnsi="Times New Roman" w:cs="Times New Roman"/>
        </w:rPr>
      </w:pPr>
    </w:p>
    <w:p w14:paraId="538A87A1" w14:textId="07A19302" w:rsidR="00687089" w:rsidRPr="006E3129" w:rsidRDefault="00687089" w:rsidP="00F645AD">
      <w:pPr>
        <w:rPr>
          <w:rFonts w:ascii="Times New Roman" w:hAnsi="Times New Roman" w:cs="Times New Roman"/>
          <w:b/>
        </w:rPr>
      </w:pPr>
      <w:r w:rsidRPr="006E3129">
        <w:rPr>
          <w:rFonts w:ascii="Times New Roman" w:hAnsi="Times New Roman" w:cs="Times New Roman"/>
          <w:b/>
        </w:rPr>
        <w:t>Section 5</w:t>
      </w:r>
      <w:r w:rsidRPr="006E3129">
        <w:rPr>
          <w:rFonts w:ascii="Times New Roman" w:hAnsi="Times New Roman" w:cs="Times New Roman"/>
          <w:b/>
        </w:rPr>
        <w:tab/>
        <w:t>Repeal of the instrument</w:t>
      </w:r>
    </w:p>
    <w:p w14:paraId="0E5A936D" w14:textId="07497460" w:rsidR="000420E9" w:rsidRPr="006E3129" w:rsidRDefault="00687089" w:rsidP="00F645AD">
      <w:pPr>
        <w:spacing w:line="360" w:lineRule="auto"/>
        <w:rPr>
          <w:rFonts w:ascii="Times New Roman" w:hAnsi="Times New Roman" w:cs="Times New Roman"/>
        </w:rPr>
      </w:pPr>
      <w:r w:rsidRPr="006E3129">
        <w:rPr>
          <w:rFonts w:ascii="Times New Roman" w:hAnsi="Times New Roman" w:cs="Times New Roman"/>
        </w:rPr>
        <w:t>This section provides that the Certificate is repealed at the start of 2 April 202</w:t>
      </w:r>
      <w:r w:rsidR="00723D97" w:rsidRPr="006E3129">
        <w:rPr>
          <w:rFonts w:ascii="Times New Roman" w:hAnsi="Times New Roman" w:cs="Times New Roman"/>
        </w:rPr>
        <w:t>6</w:t>
      </w:r>
      <w:r w:rsidRPr="006E3129">
        <w:rPr>
          <w:rFonts w:ascii="Times New Roman" w:hAnsi="Times New Roman" w:cs="Times New Roman"/>
        </w:rPr>
        <w:t>.</w:t>
      </w:r>
    </w:p>
    <w:sectPr w:rsidR="000420E9" w:rsidRPr="006E3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4A4"/>
    <w:multiLevelType w:val="hybridMultilevel"/>
    <w:tmpl w:val="64B4A3FC"/>
    <w:lvl w:ilvl="0" w:tplc="C9ECD90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A3FFC"/>
    <w:multiLevelType w:val="hybridMultilevel"/>
    <w:tmpl w:val="D29C39A2"/>
    <w:lvl w:ilvl="0" w:tplc="397C9FF0">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D75CF1"/>
    <w:multiLevelType w:val="hybridMultilevel"/>
    <w:tmpl w:val="A55C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9692F"/>
    <w:multiLevelType w:val="hybridMultilevel"/>
    <w:tmpl w:val="FE165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7934C1"/>
    <w:multiLevelType w:val="hybridMultilevel"/>
    <w:tmpl w:val="ABB6E0F8"/>
    <w:lvl w:ilvl="0" w:tplc="2AB0E6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76756F"/>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AC70D3"/>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CD499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C85151"/>
    <w:multiLevelType w:val="hybridMultilevel"/>
    <w:tmpl w:val="67F6E178"/>
    <w:lvl w:ilvl="0" w:tplc="C9ECD906">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8"/>
  </w:num>
  <w:num w:numId="6">
    <w:abstractNumId w:val="10"/>
  </w:num>
  <w:num w:numId="7">
    <w:abstractNumId w:val="3"/>
  </w:num>
  <w:num w:numId="8">
    <w:abstractNumId w:val="11"/>
  </w:num>
  <w:num w:numId="9">
    <w:abstractNumId w:val="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B4"/>
    <w:rsid w:val="0000032C"/>
    <w:rsid w:val="00002794"/>
    <w:rsid w:val="00006646"/>
    <w:rsid w:val="000137DE"/>
    <w:rsid w:val="000149C6"/>
    <w:rsid w:val="00021054"/>
    <w:rsid w:val="000420E9"/>
    <w:rsid w:val="00052FB4"/>
    <w:rsid w:val="0005555C"/>
    <w:rsid w:val="00056806"/>
    <w:rsid w:val="00090E14"/>
    <w:rsid w:val="000946D4"/>
    <w:rsid w:val="000A5499"/>
    <w:rsid w:val="000A64DE"/>
    <w:rsid w:val="000A6C19"/>
    <w:rsid w:val="000C3F38"/>
    <w:rsid w:val="000C4C5E"/>
    <w:rsid w:val="000C756B"/>
    <w:rsid w:val="000E7EEB"/>
    <w:rsid w:val="00100E06"/>
    <w:rsid w:val="00147DCF"/>
    <w:rsid w:val="00151EEF"/>
    <w:rsid w:val="00160EC3"/>
    <w:rsid w:val="00187C40"/>
    <w:rsid w:val="00197D3F"/>
    <w:rsid w:val="001C6758"/>
    <w:rsid w:val="00206A08"/>
    <w:rsid w:val="00214605"/>
    <w:rsid w:val="00236BC0"/>
    <w:rsid w:val="0025002E"/>
    <w:rsid w:val="00253B81"/>
    <w:rsid w:val="00254FFE"/>
    <w:rsid w:val="00255F0B"/>
    <w:rsid w:val="00270814"/>
    <w:rsid w:val="00270B5B"/>
    <w:rsid w:val="002A6B91"/>
    <w:rsid w:val="002E0D20"/>
    <w:rsid w:val="002F0DF9"/>
    <w:rsid w:val="002F45CD"/>
    <w:rsid w:val="002F68DB"/>
    <w:rsid w:val="003018C4"/>
    <w:rsid w:val="00303DEF"/>
    <w:rsid w:val="0030693A"/>
    <w:rsid w:val="003330C2"/>
    <w:rsid w:val="0033700D"/>
    <w:rsid w:val="003426DB"/>
    <w:rsid w:val="003466D4"/>
    <w:rsid w:val="0035039A"/>
    <w:rsid w:val="0035293E"/>
    <w:rsid w:val="003531ED"/>
    <w:rsid w:val="00370792"/>
    <w:rsid w:val="00370C20"/>
    <w:rsid w:val="00376F07"/>
    <w:rsid w:val="00391495"/>
    <w:rsid w:val="003930C7"/>
    <w:rsid w:val="003A42EE"/>
    <w:rsid w:val="003C4819"/>
    <w:rsid w:val="003D191E"/>
    <w:rsid w:val="003E013A"/>
    <w:rsid w:val="003E6D87"/>
    <w:rsid w:val="0040097D"/>
    <w:rsid w:val="0040601F"/>
    <w:rsid w:val="004125C6"/>
    <w:rsid w:val="00443192"/>
    <w:rsid w:val="00460F58"/>
    <w:rsid w:val="004753D6"/>
    <w:rsid w:val="00482142"/>
    <w:rsid w:val="004A425F"/>
    <w:rsid w:val="004A5C21"/>
    <w:rsid w:val="004C3680"/>
    <w:rsid w:val="004D7F99"/>
    <w:rsid w:val="005139E6"/>
    <w:rsid w:val="00514A88"/>
    <w:rsid w:val="005262CB"/>
    <w:rsid w:val="0054264C"/>
    <w:rsid w:val="0057758B"/>
    <w:rsid w:val="00592B69"/>
    <w:rsid w:val="00597507"/>
    <w:rsid w:val="005A1E9D"/>
    <w:rsid w:val="005B704A"/>
    <w:rsid w:val="005C0887"/>
    <w:rsid w:val="005E498E"/>
    <w:rsid w:val="005E7668"/>
    <w:rsid w:val="005F077C"/>
    <w:rsid w:val="006043B4"/>
    <w:rsid w:val="00621C81"/>
    <w:rsid w:val="00626DD7"/>
    <w:rsid w:val="0063109E"/>
    <w:rsid w:val="00632EC6"/>
    <w:rsid w:val="00636DFA"/>
    <w:rsid w:val="00651000"/>
    <w:rsid w:val="0065738B"/>
    <w:rsid w:val="0067575E"/>
    <w:rsid w:val="006834F8"/>
    <w:rsid w:val="00687089"/>
    <w:rsid w:val="006B7B37"/>
    <w:rsid w:val="006C3A75"/>
    <w:rsid w:val="006D1105"/>
    <w:rsid w:val="006E1AC2"/>
    <w:rsid w:val="006E1B43"/>
    <w:rsid w:val="006E3129"/>
    <w:rsid w:val="006E372F"/>
    <w:rsid w:val="007038A1"/>
    <w:rsid w:val="007049C4"/>
    <w:rsid w:val="00711477"/>
    <w:rsid w:val="00723D97"/>
    <w:rsid w:val="00724D83"/>
    <w:rsid w:val="00733ABF"/>
    <w:rsid w:val="00734F8D"/>
    <w:rsid w:val="007543A2"/>
    <w:rsid w:val="00765B3C"/>
    <w:rsid w:val="00782E25"/>
    <w:rsid w:val="007849FD"/>
    <w:rsid w:val="00787209"/>
    <w:rsid w:val="0079794D"/>
    <w:rsid w:val="007A064A"/>
    <w:rsid w:val="007A4625"/>
    <w:rsid w:val="007B2626"/>
    <w:rsid w:val="007E732A"/>
    <w:rsid w:val="00801A28"/>
    <w:rsid w:val="00826BBA"/>
    <w:rsid w:val="00832C0A"/>
    <w:rsid w:val="00840182"/>
    <w:rsid w:val="00844EAD"/>
    <w:rsid w:val="008477CD"/>
    <w:rsid w:val="00857E24"/>
    <w:rsid w:val="00871952"/>
    <w:rsid w:val="0087679E"/>
    <w:rsid w:val="008A3922"/>
    <w:rsid w:val="008B1B15"/>
    <w:rsid w:val="008D1C80"/>
    <w:rsid w:val="008D535C"/>
    <w:rsid w:val="008D5FB5"/>
    <w:rsid w:val="008F5238"/>
    <w:rsid w:val="00900317"/>
    <w:rsid w:val="00900F41"/>
    <w:rsid w:val="00901625"/>
    <w:rsid w:val="00907C70"/>
    <w:rsid w:val="009143B0"/>
    <w:rsid w:val="009157D4"/>
    <w:rsid w:val="00923CDC"/>
    <w:rsid w:val="0093576B"/>
    <w:rsid w:val="00957A44"/>
    <w:rsid w:val="009850E1"/>
    <w:rsid w:val="00986531"/>
    <w:rsid w:val="009919B3"/>
    <w:rsid w:val="0099532A"/>
    <w:rsid w:val="009A4AA2"/>
    <w:rsid w:val="009A4B90"/>
    <w:rsid w:val="009B5249"/>
    <w:rsid w:val="00A00637"/>
    <w:rsid w:val="00A06466"/>
    <w:rsid w:val="00A07DB7"/>
    <w:rsid w:val="00A1276F"/>
    <w:rsid w:val="00A128B4"/>
    <w:rsid w:val="00A21E3A"/>
    <w:rsid w:val="00A22C82"/>
    <w:rsid w:val="00A32AE7"/>
    <w:rsid w:val="00A621D2"/>
    <w:rsid w:val="00A63FBB"/>
    <w:rsid w:val="00A80AFB"/>
    <w:rsid w:val="00A83D88"/>
    <w:rsid w:val="00A8769A"/>
    <w:rsid w:val="00AA1FAC"/>
    <w:rsid w:val="00AA3DE3"/>
    <w:rsid w:val="00AB0E9B"/>
    <w:rsid w:val="00AB3B71"/>
    <w:rsid w:val="00AB51BD"/>
    <w:rsid w:val="00AD46C3"/>
    <w:rsid w:val="00AF1578"/>
    <w:rsid w:val="00B00559"/>
    <w:rsid w:val="00B342DC"/>
    <w:rsid w:val="00B615FE"/>
    <w:rsid w:val="00B64A60"/>
    <w:rsid w:val="00BA373F"/>
    <w:rsid w:val="00BB57BD"/>
    <w:rsid w:val="00BC7E84"/>
    <w:rsid w:val="00BE3BBC"/>
    <w:rsid w:val="00BE515C"/>
    <w:rsid w:val="00C0780D"/>
    <w:rsid w:val="00C2654E"/>
    <w:rsid w:val="00C2692C"/>
    <w:rsid w:val="00C45DF9"/>
    <w:rsid w:val="00C639E2"/>
    <w:rsid w:val="00C77858"/>
    <w:rsid w:val="00CC1B89"/>
    <w:rsid w:val="00CD5857"/>
    <w:rsid w:val="00CD6C57"/>
    <w:rsid w:val="00CE2464"/>
    <w:rsid w:val="00CE66D4"/>
    <w:rsid w:val="00CF39FB"/>
    <w:rsid w:val="00D230B4"/>
    <w:rsid w:val="00D24792"/>
    <w:rsid w:val="00D25853"/>
    <w:rsid w:val="00D3128C"/>
    <w:rsid w:val="00D44EF7"/>
    <w:rsid w:val="00D67D11"/>
    <w:rsid w:val="00D775B4"/>
    <w:rsid w:val="00D8624B"/>
    <w:rsid w:val="00D90111"/>
    <w:rsid w:val="00DD0876"/>
    <w:rsid w:val="00DE31A6"/>
    <w:rsid w:val="00E06EE5"/>
    <w:rsid w:val="00E179AE"/>
    <w:rsid w:val="00E265DC"/>
    <w:rsid w:val="00E3234A"/>
    <w:rsid w:val="00E36149"/>
    <w:rsid w:val="00E45001"/>
    <w:rsid w:val="00E45992"/>
    <w:rsid w:val="00E57CC9"/>
    <w:rsid w:val="00E705BA"/>
    <w:rsid w:val="00E91449"/>
    <w:rsid w:val="00EC54C3"/>
    <w:rsid w:val="00ED6A4E"/>
    <w:rsid w:val="00F00B41"/>
    <w:rsid w:val="00F00CC5"/>
    <w:rsid w:val="00F15C02"/>
    <w:rsid w:val="00F50A03"/>
    <w:rsid w:val="00F645AD"/>
    <w:rsid w:val="00F72449"/>
    <w:rsid w:val="00F8155B"/>
    <w:rsid w:val="00FA22B9"/>
    <w:rsid w:val="00FC7675"/>
    <w:rsid w:val="00FE222C"/>
    <w:rsid w:val="00FE4FC2"/>
    <w:rsid w:val="00FF3B9B"/>
    <w:rsid w:val="00FF6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2595"/>
  <w15:chartTrackingRefBased/>
  <w15:docId w15:val="{FCBBF3BC-6D6F-492D-AABC-D4C6ADB0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0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687089"/>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687089"/>
    <w:rPr>
      <w:rFonts w:ascii="Times New Roman" w:eastAsia="Times New Roman" w:hAnsi="Times New Roman" w:cs="Times New Roman"/>
      <w:snapToGrid w:val="0"/>
    </w:rPr>
  </w:style>
  <w:style w:type="paragraph" w:styleId="ListParagraph">
    <w:name w:val="List Paragraph"/>
    <w:basedOn w:val="Normal"/>
    <w:uiPriority w:val="34"/>
    <w:qFormat/>
    <w:rsid w:val="00254FFE"/>
    <w:pPr>
      <w:ind w:left="720"/>
      <w:contextualSpacing/>
    </w:pPr>
  </w:style>
  <w:style w:type="character" w:styleId="CommentReference">
    <w:name w:val="annotation reference"/>
    <w:basedOn w:val="DefaultParagraphFont"/>
    <w:uiPriority w:val="99"/>
    <w:semiHidden/>
    <w:unhideWhenUsed/>
    <w:rsid w:val="00FA22B9"/>
    <w:rPr>
      <w:sz w:val="16"/>
      <w:szCs w:val="16"/>
    </w:rPr>
  </w:style>
  <w:style w:type="paragraph" w:styleId="CommentText">
    <w:name w:val="annotation text"/>
    <w:basedOn w:val="Normal"/>
    <w:link w:val="CommentTextChar"/>
    <w:uiPriority w:val="99"/>
    <w:semiHidden/>
    <w:unhideWhenUsed/>
    <w:rsid w:val="00FA22B9"/>
    <w:pPr>
      <w:spacing w:line="240" w:lineRule="auto"/>
    </w:pPr>
    <w:rPr>
      <w:sz w:val="20"/>
      <w:szCs w:val="20"/>
    </w:rPr>
  </w:style>
  <w:style w:type="character" w:customStyle="1" w:styleId="CommentTextChar">
    <w:name w:val="Comment Text Char"/>
    <w:basedOn w:val="DefaultParagraphFont"/>
    <w:link w:val="CommentText"/>
    <w:uiPriority w:val="99"/>
    <w:semiHidden/>
    <w:rsid w:val="00FA22B9"/>
    <w:rPr>
      <w:sz w:val="20"/>
      <w:szCs w:val="20"/>
      <w:lang w:val="en-GB"/>
    </w:rPr>
  </w:style>
  <w:style w:type="paragraph" w:styleId="CommentSubject">
    <w:name w:val="annotation subject"/>
    <w:basedOn w:val="CommentText"/>
    <w:next w:val="CommentText"/>
    <w:link w:val="CommentSubjectChar"/>
    <w:uiPriority w:val="99"/>
    <w:semiHidden/>
    <w:unhideWhenUsed/>
    <w:rsid w:val="00FA22B9"/>
    <w:rPr>
      <w:b/>
      <w:bCs/>
    </w:rPr>
  </w:style>
  <w:style w:type="character" w:customStyle="1" w:styleId="CommentSubjectChar">
    <w:name w:val="Comment Subject Char"/>
    <w:basedOn w:val="CommentTextChar"/>
    <w:link w:val="CommentSubject"/>
    <w:uiPriority w:val="99"/>
    <w:semiHidden/>
    <w:rsid w:val="00FA22B9"/>
    <w:rPr>
      <w:b/>
      <w:bCs/>
      <w:sz w:val="20"/>
      <w:szCs w:val="20"/>
      <w:lang w:val="en-GB"/>
    </w:rPr>
  </w:style>
  <w:style w:type="paragraph" w:styleId="BalloonText">
    <w:name w:val="Balloon Text"/>
    <w:basedOn w:val="Normal"/>
    <w:link w:val="BalloonTextChar"/>
    <w:uiPriority w:val="99"/>
    <w:semiHidden/>
    <w:unhideWhenUsed/>
    <w:rsid w:val="00FA2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2B9"/>
    <w:rPr>
      <w:rFonts w:ascii="Segoe UI" w:hAnsi="Segoe UI" w:cs="Segoe UI"/>
      <w:sz w:val="18"/>
      <w:szCs w:val="18"/>
      <w:lang w:val="en-GB"/>
    </w:rPr>
  </w:style>
  <w:style w:type="paragraph" w:customStyle="1" w:styleId="paragraph">
    <w:name w:val="paragraph"/>
    <w:aliases w:val="a"/>
    <w:basedOn w:val="Normal"/>
    <w:rsid w:val="00DE31A6"/>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styleId="NoSpacing">
    <w:name w:val="No Spacing"/>
    <w:uiPriority w:val="1"/>
    <w:qFormat/>
    <w:rsid w:val="00832C0A"/>
    <w:pPr>
      <w:spacing w:after="0" w:line="240" w:lineRule="auto"/>
    </w:pPr>
    <w:rPr>
      <w:lang w:val="en-GB"/>
    </w:rPr>
  </w:style>
  <w:style w:type="character" w:styleId="Hyperlink">
    <w:name w:val="Hyperlink"/>
    <w:basedOn w:val="DefaultParagraphFont"/>
    <w:uiPriority w:val="99"/>
    <w:unhideWhenUsed/>
    <w:rsid w:val="003E6D87"/>
    <w:rPr>
      <w:color w:val="0563C1" w:themeColor="hyperlink"/>
      <w:u w:val="single"/>
    </w:rPr>
  </w:style>
  <w:style w:type="character" w:styleId="UnresolvedMention">
    <w:name w:val="Unresolved Mention"/>
    <w:basedOn w:val="DefaultParagraphFont"/>
    <w:uiPriority w:val="99"/>
    <w:semiHidden/>
    <w:unhideWhenUsed/>
    <w:rsid w:val="003E6D87"/>
    <w:rPr>
      <w:color w:val="605E5C"/>
      <w:shd w:val="clear" w:color="auto" w:fill="E1DFDD"/>
    </w:rPr>
  </w:style>
  <w:style w:type="character" w:styleId="FollowedHyperlink">
    <w:name w:val="FollowedHyperlink"/>
    <w:basedOn w:val="DefaultParagraphFont"/>
    <w:uiPriority w:val="99"/>
    <w:semiHidden/>
    <w:unhideWhenUsed/>
    <w:rsid w:val="004D7F99"/>
    <w:rPr>
      <w:color w:val="954F72" w:themeColor="followedHyperlink"/>
      <w:u w:val="single"/>
    </w:rPr>
  </w:style>
  <w:style w:type="character" w:customStyle="1" w:styleId="normaltextrun">
    <w:name w:val="normaltextrun"/>
    <w:basedOn w:val="DefaultParagraphFont"/>
    <w:rsid w:val="003A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2371">
      <w:bodyDiv w:val="1"/>
      <w:marLeft w:val="0"/>
      <w:marRight w:val="0"/>
      <w:marTop w:val="0"/>
      <w:marBottom w:val="0"/>
      <w:divBdr>
        <w:top w:val="none" w:sz="0" w:space="0" w:color="auto"/>
        <w:left w:val="none" w:sz="0" w:space="0" w:color="auto"/>
        <w:bottom w:val="none" w:sz="0" w:space="0" w:color="auto"/>
        <w:right w:val="none" w:sz="0" w:space="0" w:color="auto"/>
      </w:divBdr>
    </w:div>
    <w:div w:id="16936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10C89BA-8572-4089-A72F-D31EF339AA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809B5E98909574683D77039029A216F" ma:contentTypeVersion="" ma:contentTypeDescription="PDMS Document Site Content Type" ma:contentTypeScope="" ma:versionID="67e8671898e7ce517c3da07afc5b5779">
  <xsd:schema xmlns:xsd="http://www.w3.org/2001/XMLSchema" xmlns:xs="http://www.w3.org/2001/XMLSchema" xmlns:p="http://schemas.microsoft.com/office/2006/metadata/properties" xmlns:ns2="E10C89BA-8572-4089-A72F-D31EF339AACB" targetNamespace="http://schemas.microsoft.com/office/2006/metadata/properties" ma:root="true" ma:fieldsID="231ca271156c1c867e57026e9ee338e3" ns2:_="">
    <xsd:import namespace="E10C89BA-8572-4089-A72F-D31EF339AA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C89BA-8572-4089-A72F-D31EF339AA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3BF6-58CA-4810-9690-8894EF6B9F09}">
  <ds:schemaRefs>
    <ds:schemaRef ds:uri="http://schemas.microsoft.com/office/2006/metadata/properties"/>
    <ds:schemaRef ds:uri="http://schemas.microsoft.com/office/infopath/2007/PartnerControls"/>
    <ds:schemaRef ds:uri="E10C89BA-8572-4089-A72F-D31EF339AACB"/>
  </ds:schemaRefs>
</ds:datastoreItem>
</file>

<file path=customXml/itemProps2.xml><?xml version="1.0" encoding="utf-8"?>
<ds:datastoreItem xmlns:ds="http://schemas.openxmlformats.org/officeDocument/2006/customXml" ds:itemID="{8ADBAAE5-9261-41E5-B358-ED81CA9EF7F6}">
  <ds:schemaRefs>
    <ds:schemaRef ds:uri="http://schemas.microsoft.com/sharepoint/v3/contenttype/forms"/>
  </ds:schemaRefs>
</ds:datastoreItem>
</file>

<file path=customXml/itemProps3.xml><?xml version="1.0" encoding="utf-8"?>
<ds:datastoreItem xmlns:ds="http://schemas.openxmlformats.org/officeDocument/2006/customXml" ds:itemID="{94D75AAF-9426-4894-9284-386C420EB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C89BA-8572-4089-A72F-D31EF339A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2C047-E037-4CAC-8560-2922A744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 Kristina</dc:creator>
  <cp:keywords/>
  <dc:description/>
  <cp:lastModifiedBy>Marinov, Kristina</cp:lastModifiedBy>
  <cp:revision>3</cp:revision>
  <dcterms:created xsi:type="dcterms:W3CDTF">2023-07-04T04:28:00Z</dcterms:created>
  <dcterms:modified xsi:type="dcterms:W3CDTF">2023-07-04T04:29:00Z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0x010100266966F133664895A6EE3632470D45F5005809B5E98909574683D77039029A216F</vt:lpwstr>
  </property>
</Properties>
</file>