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BE06" w14:textId="3B0305BF" w:rsidR="002436BD" w:rsidRPr="002C6D26" w:rsidRDefault="00CD2564" w:rsidP="002436BD">
      <w:pPr>
        <w:pStyle w:val="Heading"/>
        <w:spacing w:before="120"/>
        <w:jc w:val="center"/>
        <w:rPr>
          <w:rFonts w:ascii="Times New Roman" w:hAnsi="Times New Roman"/>
          <w:sz w:val="24"/>
          <w:szCs w:val="24"/>
        </w:rPr>
      </w:pPr>
      <w:r>
        <w:rPr>
          <w:rFonts w:ascii="Times New Roman" w:hAnsi="Times New Roman"/>
          <w:sz w:val="24"/>
          <w:szCs w:val="24"/>
        </w:rPr>
        <w:t>Insurance exemption</w:t>
      </w:r>
      <w:r w:rsidR="002436BD" w:rsidRPr="002C6D26">
        <w:rPr>
          <w:rFonts w:ascii="Times New Roman" w:hAnsi="Times New Roman"/>
          <w:sz w:val="24"/>
          <w:szCs w:val="24"/>
        </w:rPr>
        <w:t xml:space="preserve"> determinatio</w:t>
      </w:r>
      <w:r w:rsidR="002436BD" w:rsidRPr="008E5079">
        <w:rPr>
          <w:rFonts w:ascii="Times New Roman" w:hAnsi="Times New Roman"/>
          <w:sz w:val="24"/>
          <w:szCs w:val="24"/>
        </w:rPr>
        <w:t xml:space="preserve">n No. </w:t>
      </w:r>
      <w:r w:rsidRPr="008E5079">
        <w:rPr>
          <w:rFonts w:ascii="Times New Roman" w:hAnsi="Times New Roman"/>
          <w:sz w:val="24"/>
          <w:szCs w:val="24"/>
        </w:rPr>
        <w:t>1</w:t>
      </w:r>
      <w:r w:rsidR="002436BD" w:rsidRPr="008E5079">
        <w:rPr>
          <w:rFonts w:ascii="Times New Roman" w:hAnsi="Times New Roman"/>
          <w:sz w:val="24"/>
          <w:szCs w:val="24"/>
        </w:rPr>
        <w:t xml:space="preserve"> of</w:t>
      </w:r>
      <w:r w:rsidR="002436BD" w:rsidRPr="002C6D26">
        <w:rPr>
          <w:rFonts w:ascii="Times New Roman" w:hAnsi="Times New Roman"/>
          <w:sz w:val="24"/>
          <w:szCs w:val="24"/>
        </w:rPr>
        <w:t xml:space="preserve"> 20</w:t>
      </w:r>
      <w:r w:rsidR="005A0E2B">
        <w:rPr>
          <w:rFonts w:ascii="Times New Roman" w:hAnsi="Times New Roman"/>
          <w:sz w:val="24"/>
          <w:szCs w:val="24"/>
        </w:rPr>
        <w:t>2</w:t>
      </w:r>
      <w:r>
        <w:rPr>
          <w:rFonts w:ascii="Times New Roman" w:hAnsi="Times New Roman"/>
          <w:sz w:val="24"/>
          <w:szCs w:val="24"/>
        </w:rPr>
        <w:t>3</w:t>
      </w:r>
    </w:p>
    <w:p w14:paraId="3E99B4C9" w14:textId="77777777" w:rsidR="002436BD" w:rsidRPr="002C6D26" w:rsidRDefault="002436BD" w:rsidP="002436BD">
      <w:pPr>
        <w:pStyle w:val="Heading"/>
        <w:tabs>
          <w:tab w:val="left" w:pos="360"/>
        </w:tabs>
        <w:spacing w:before="120"/>
        <w:jc w:val="center"/>
        <w:rPr>
          <w:rFonts w:ascii="Times New Roman" w:hAnsi="Times New Roman"/>
          <w:sz w:val="24"/>
          <w:szCs w:val="24"/>
          <w:u w:val="single"/>
        </w:rPr>
      </w:pPr>
      <w:bookmarkStart w:id="0" w:name="bkInstrumentSubTitle"/>
      <w:bookmarkEnd w:id="0"/>
      <w:r w:rsidRPr="002C6D26">
        <w:rPr>
          <w:rFonts w:ascii="Times New Roman" w:hAnsi="Times New Roman"/>
          <w:sz w:val="24"/>
          <w:szCs w:val="24"/>
          <w:u w:val="single"/>
        </w:rPr>
        <w:t>EXPLANATORY STATEMENT</w:t>
      </w:r>
    </w:p>
    <w:p w14:paraId="29B95D3C" w14:textId="77777777" w:rsidR="002436BD" w:rsidRPr="002C6D26" w:rsidRDefault="002436BD" w:rsidP="002436BD">
      <w:pPr>
        <w:pStyle w:val="Heading"/>
        <w:spacing w:before="12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473A94F2" w14:textId="77777777" w:rsidR="002436BD" w:rsidRDefault="00CD2564" w:rsidP="00967D16">
      <w:pPr>
        <w:pStyle w:val="Heading"/>
        <w:tabs>
          <w:tab w:val="left" w:pos="360"/>
        </w:tabs>
        <w:spacing w:before="120" w:after="240"/>
        <w:jc w:val="center"/>
        <w:rPr>
          <w:rFonts w:ascii="Times New Roman" w:hAnsi="Times New Roman"/>
          <w:b w:val="0"/>
          <w:color w:val="000000"/>
          <w:sz w:val="24"/>
          <w:szCs w:val="24"/>
        </w:rPr>
      </w:pPr>
      <w:r>
        <w:rPr>
          <w:rFonts w:ascii="Times New Roman" w:hAnsi="Times New Roman"/>
          <w:b w:val="0"/>
          <w:i/>
          <w:sz w:val="24"/>
          <w:szCs w:val="24"/>
        </w:rPr>
        <w:t>Insurance Act 1973</w:t>
      </w:r>
      <w:r w:rsidR="002436BD" w:rsidRPr="002C6D26">
        <w:rPr>
          <w:rFonts w:ascii="Times New Roman" w:hAnsi="Times New Roman"/>
          <w:b w:val="0"/>
          <w:sz w:val="24"/>
          <w:szCs w:val="24"/>
        </w:rPr>
        <w:t xml:space="preserve">, </w:t>
      </w:r>
      <w:r w:rsidR="002436BD" w:rsidRPr="002C6D26">
        <w:rPr>
          <w:rFonts w:ascii="Times New Roman" w:hAnsi="Times New Roman"/>
          <w:b w:val="0"/>
          <w:color w:val="000000"/>
          <w:sz w:val="24"/>
          <w:szCs w:val="24"/>
        </w:rPr>
        <w:t xml:space="preserve">section </w:t>
      </w:r>
      <w:r>
        <w:rPr>
          <w:rFonts w:ascii="Times New Roman" w:hAnsi="Times New Roman"/>
          <w:b w:val="0"/>
          <w:color w:val="000000"/>
          <w:sz w:val="24"/>
          <w:szCs w:val="24"/>
        </w:rPr>
        <w:t>7</w:t>
      </w:r>
    </w:p>
    <w:p w14:paraId="26122238" w14:textId="77777777" w:rsidR="00547C47" w:rsidRDefault="00547C47" w:rsidP="00547C47">
      <w:pPr>
        <w:pStyle w:val="heading0"/>
        <w:spacing w:before="0" w:beforeAutospacing="0" w:after="240" w:afterAutospacing="0"/>
        <w:jc w:val="center"/>
      </w:pPr>
      <w:r w:rsidRPr="00380068">
        <w:rPr>
          <w:i/>
        </w:rPr>
        <w:t>Acts Interpretation Act 1901</w:t>
      </w:r>
      <w:r>
        <w:t>, section 33</w:t>
      </w:r>
    </w:p>
    <w:p w14:paraId="2D70F310" w14:textId="77777777" w:rsidR="008B10B8" w:rsidRDefault="002436BD" w:rsidP="00E31428">
      <w:pPr>
        <w:widowControl w:val="0"/>
        <w:spacing w:before="120"/>
        <w:jc w:val="both"/>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sidR="00CD2564">
        <w:rPr>
          <w:rFonts w:ascii="Times New Roman" w:hAnsi="Times New Roman"/>
          <w:sz w:val="24"/>
          <w:szCs w:val="24"/>
        </w:rPr>
        <w:t xml:space="preserve">7(1) </w:t>
      </w:r>
      <w:r w:rsidRPr="002C6D26">
        <w:rPr>
          <w:rFonts w:ascii="Times New Roman" w:hAnsi="Times New Roman"/>
          <w:sz w:val="24"/>
          <w:szCs w:val="24"/>
        </w:rPr>
        <w:t xml:space="preserve">of the </w:t>
      </w:r>
      <w:r w:rsidR="00CD2564">
        <w:rPr>
          <w:rFonts w:ascii="Times New Roman" w:hAnsi="Times New Roman"/>
          <w:i/>
          <w:sz w:val="24"/>
          <w:szCs w:val="24"/>
        </w:rPr>
        <w:t xml:space="preserve">Insurance </w:t>
      </w:r>
      <w:r w:rsidRPr="002C6D26">
        <w:rPr>
          <w:rFonts w:ascii="Times New Roman" w:hAnsi="Times New Roman"/>
          <w:i/>
          <w:sz w:val="24"/>
          <w:szCs w:val="24"/>
        </w:rPr>
        <w:t>Act 19</w:t>
      </w:r>
      <w:r w:rsidR="00CD2564">
        <w:rPr>
          <w:rFonts w:ascii="Times New Roman" w:hAnsi="Times New Roman"/>
          <w:i/>
          <w:sz w:val="24"/>
          <w:szCs w:val="24"/>
        </w:rPr>
        <w:t>73</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has the power to determine </w:t>
      </w:r>
      <w:r w:rsidR="008B10B8">
        <w:rPr>
          <w:rFonts w:ascii="Times New Roman" w:hAnsi="Times New Roman"/>
          <w:sz w:val="24"/>
          <w:szCs w:val="24"/>
        </w:rPr>
        <w:t xml:space="preserve">that any or </w:t>
      </w:r>
      <w:proofErr w:type="gramStart"/>
      <w:r w:rsidR="008B10B8">
        <w:rPr>
          <w:rFonts w:ascii="Times New Roman" w:hAnsi="Times New Roman"/>
          <w:sz w:val="24"/>
          <w:szCs w:val="24"/>
        </w:rPr>
        <w:t>all of</w:t>
      </w:r>
      <w:proofErr w:type="gramEnd"/>
      <w:r w:rsidR="008B10B8">
        <w:rPr>
          <w:rFonts w:ascii="Times New Roman" w:hAnsi="Times New Roman"/>
          <w:sz w:val="24"/>
          <w:szCs w:val="24"/>
        </w:rPr>
        <w:t xml:space="preserve"> certain provisions of the Act do not apply to a person while the determination is in force. Paragraph 7(2)(a) provides that a determination may be expressed to apply to a particular person or a class of persons. </w:t>
      </w:r>
    </w:p>
    <w:p w14:paraId="466B33B2" w14:textId="2EAE0DAF" w:rsidR="00DF2A0B" w:rsidRPr="000111B3" w:rsidRDefault="00DF2A0B" w:rsidP="00E31428">
      <w:pPr>
        <w:widowControl w:val="0"/>
        <w:spacing w:before="120"/>
        <w:jc w:val="both"/>
        <w:rPr>
          <w:rFonts w:ascii="Times New Roman" w:hAnsi="Times New Roman"/>
          <w:sz w:val="24"/>
          <w:szCs w:val="24"/>
        </w:rPr>
      </w:pPr>
      <w:r w:rsidRPr="00BD6360">
        <w:rPr>
          <w:rFonts w:ascii="Times New Roman" w:hAnsi="Times New Roman"/>
          <w:sz w:val="24"/>
          <w:szCs w:val="24"/>
        </w:rPr>
        <w:t>Subsection</w:t>
      </w:r>
      <w:r w:rsidR="000B0675">
        <w:rPr>
          <w:rFonts w:ascii="Times New Roman" w:hAnsi="Times New Roman"/>
          <w:sz w:val="24"/>
          <w:szCs w:val="24"/>
        </w:rPr>
        <w:t xml:space="preserve">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w:t>
      </w:r>
      <w:r w:rsidRPr="000111B3">
        <w:rPr>
          <w:rFonts w:ascii="Times New Roman" w:hAnsi="Times New Roman"/>
          <w:sz w:val="24"/>
          <w:szCs w:val="24"/>
        </w:rPr>
        <w:t>any) to revoke any such instrument.</w:t>
      </w:r>
    </w:p>
    <w:p w14:paraId="61297CE9" w14:textId="36EB9297" w:rsidR="00246723" w:rsidRDefault="002436BD" w:rsidP="00E31428">
      <w:pPr>
        <w:widowControl w:val="0"/>
        <w:spacing w:before="120" w:after="60"/>
        <w:jc w:val="both"/>
        <w:rPr>
          <w:rFonts w:ascii="Times New Roman" w:hAnsi="Times New Roman"/>
          <w:sz w:val="24"/>
          <w:szCs w:val="24"/>
        </w:rPr>
      </w:pPr>
      <w:r w:rsidRPr="000111B3">
        <w:rPr>
          <w:rFonts w:ascii="Times New Roman" w:hAnsi="Times New Roman"/>
          <w:sz w:val="24"/>
          <w:szCs w:val="24"/>
        </w:rPr>
        <w:t xml:space="preserve">On </w:t>
      </w:r>
      <w:r w:rsidR="003B7EA4" w:rsidRPr="000111B3">
        <w:rPr>
          <w:rFonts w:ascii="Times New Roman" w:hAnsi="Times New Roman"/>
          <w:sz w:val="24"/>
          <w:szCs w:val="24"/>
        </w:rPr>
        <w:t>3 July</w:t>
      </w:r>
      <w:r w:rsidR="005A0E2B" w:rsidRPr="000111B3">
        <w:rPr>
          <w:rFonts w:ascii="Times New Roman" w:hAnsi="Times New Roman"/>
          <w:sz w:val="24"/>
          <w:szCs w:val="24"/>
        </w:rPr>
        <w:t xml:space="preserve"> 2023</w:t>
      </w:r>
      <w:r w:rsidRPr="000111B3">
        <w:rPr>
          <w:rFonts w:ascii="Times New Roman" w:hAnsi="Times New Roman"/>
          <w:sz w:val="24"/>
          <w:szCs w:val="24"/>
        </w:rPr>
        <w:t xml:space="preserve">, APRA made </w:t>
      </w:r>
      <w:r w:rsidR="008B10B8" w:rsidRPr="000111B3">
        <w:rPr>
          <w:rFonts w:ascii="Times New Roman" w:hAnsi="Times New Roman"/>
          <w:sz w:val="24"/>
          <w:szCs w:val="24"/>
        </w:rPr>
        <w:t>Insurance Exemption Determination No. 1 of 20</w:t>
      </w:r>
      <w:r w:rsidR="005A0E2B" w:rsidRPr="000111B3">
        <w:rPr>
          <w:rFonts w:ascii="Times New Roman" w:hAnsi="Times New Roman"/>
          <w:sz w:val="24"/>
          <w:szCs w:val="24"/>
        </w:rPr>
        <w:t>2</w:t>
      </w:r>
      <w:r w:rsidR="008B10B8" w:rsidRPr="000111B3">
        <w:rPr>
          <w:rFonts w:ascii="Times New Roman" w:hAnsi="Times New Roman"/>
          <w:sz w:val="24"/>
          <w:szCs w:val="24"/>
        </w:rPr>
        <w:t xml:space="preserve">3 </w:t>
      </w:r>
      <w:r w:rsidRPr="000111B3">
        <w:rPr>
          <w:rFonts w:ascii="Times New Roman" w:hAnsi="Times New Roman"/>
          <w:sz w:val="24"/>
          <w:szCs w:val="24"/>
        </w:rPr>
        <w:t>(the instrument) which</w:t>
      </w:r>
      <w:r w:rsidR="00DF2A0B" w:rsidRPr="000111B3">
        <w:rPr>
          <w:rFonts w:ascii="Times New Roman" w:hAnsi="Times New Roman"/>
          <w:sz w:val="24"/>
          <w:szCs w:val="24"/>
        </w:rPr>
        <w:t>:</w:t>
      </w:r>
      <w:r w:rsidRPr="000111B3">
        <w:rPr>
          <w:rFonts w:ascii="Times New Roman" w:hAnsi="Times New Roman"/>
          <w:sz w:val="24"/>
          <w:szCs w:val="24"/>
        </w:rPr>
        <w:t xml:space="preserve"> </w:t>
      </w:r>
      <w:r w:rsidR="00E75DCE" w:rsidRPr="000111B3">
        <w:rPr>
          <w:rFonts w:ascii="Times New Roman" w:hAnsi="Times New Roman"/>
          <w:sz w:val="24"/>
          <w:szCs w:val="24"/>
        </w:rPr>
        <w:t>exempts a class of</w:t>
      </w:r>
      <w:r w:rsidR="00E75DCE">
        <w:rPr>
          <w:rFonts w:ascii="Times New Roman" w:hAnsi="Times New Roman"/>
          <w:sz w:val="24"/>
          <w:szCs w:val="24"/>
        </w:rPr>
        <w:t xml:space="preserve"> persons from certain provisions in section</w:t>
      </w:r>
      <w:r w:rsidR="00204CC7">
        <w:rPr>
          <w:rFonts w:ascii="Times New Roman" w:hAnsi="Times New Roman"/>
          <w:sz w:val="24"/>
          <w:szCs w:val="24"/>
        </w:rPr>
        <w:t>s</w:t>
      </w:r>
      <w:r w:rsidR="00E75DCE">
        <w:rPr>
          <w:rFonts w:ascii="Times New Roman" w:hAnsi="Times New Roman"/>
          <w:sz w:val="24"/>
          <w:szCs w:val="24"/>
        </w:rPr>
        <w:t xml:space="preserve"> 49</w:t>
      </w:r>
      <w:r w:rsidR="00204CC7">
        <w:rPr>
          <w:rFonts w:ascii="Times New Roman" w:hAnsi="Times New Roman"/>
          <w:sz w:val="24"/>
          <w:szCs w:val="24"/>
        </w:rPr>
        <w:t>J and 49L</w:t>
      </w:r>
      <w:r w:rsidR="00E75DCE">
        <w:rPr>
          <w:rFonts w:ascii="Times New Roman" w:hAnsi="Times New Roman"/>
          <w:sz w:val="24"/>
          <w:szCs w:val="24"/>
        </w:rPr>
        <w:t xml:space="preserve"> of the Act</w:t>
      </w:r>
      <w:r w:rsidR="00246723">
        <w:rPr>
          <w:rFonts w:ascii="Times New Roman" w:hAnsi="Times New Roman"/>
          <w:sz w:val="24"/>
          <w:szCs w:val="24"/>
        </w:rPr>
        <w:t>.</w:t>
      </w:r>
    </w:p>
    <w:p w14:paraId="0FA9D728" w14:textId="3965CA6B" w:rsidR="002436BD" w:rsidRDefault="00246723" w:rsidP="00E31428">
      <w:pPr>
        <w:widowControl w:val="0"/>
        <w:spacing w:before="120" w:after="60"/>
        <w:jc w:val="both"/>
        <w:rPr>
          <w:rFonts w:ascii="Times New Roman" w:hAnsi="Times New Roman"/>
          <w:sz w:val="24"/>
          <w:szCs w:val="24"/>
        </w:rPr>
      </w:pPr>
      <w:r>
        <w:rPr>
          <w:rFonts w:ascii="Times New Roman" w:hAnsi="Times New Roman"/>
          <w:sz w:val="24"/>
          <w:szCs w:val="24"/>
        </w:rPr>
        <w:t>The instrument commences on</w:t>
      </w:r>
      <w:r w:rsidR="00E75DCE">
        <w:rPr>
          <w:rFonts w:ascii="Times New Roman" w:hAnsi="Times New Roman"/>
          <w:sz w:val="24"/>
          <w:szCs w:val="24"/>
        </w:rPr>
        <w:t xml:space="preserve"> </w:t>
      </w:r>
      <w:r w:rsidR="00C63C6F" w:rsidRPr="00C63C6F">
        <w:rPr>
          <w:rFonts w:ascii="Times New Roman" w:hAnsi="Times New Roman"/>
          <w:sz w:val="24"/>
          <w:szCs w:val="24"/>
        </w:rPr>
        <w:t>upon registration on the Federal Register of Legislation</w:t>
      </w:r>
      <w:r w:rsidR="002436BD" w:rsidRPr="002C6D26">
        <w:rPr>
          <w:rFonts w:ascii="Times New Roman" w:hAnsi="Times New Roman"/>
          <w:sz w:val="24"/>
          <w:szCs w:val="24"/>
        </w:rPr>
        <w:t xml:space="preserve">. </w:t>
      </w:r>
    </w:p>
    <w:p w14:paraId="01AFCB36" w14:textId="77777777" w:rsidR="002436BD" w:rsidRPr="00E75DCE" w:rsidRDefault="002436BD" w:rsidP="00E31428">
      <w:pPr>
        <w:pStyle w:val="Heading"/>
        <w:keepNext/>
        <w:numPr>
          <w:ilvl w:val="0"/>
          <w:numId w:val="2"/>
        </w:numPr>
        <w:spacing w:before="240" w:after="60"/>
        <w:ind w:left="0" w:firstLine="0"/>
        <w:outlineLvl w:val="0"/>
        <w:rPr>
          <w:rFonts w:ascii="Times New Roman" w:hAnsi="Times New Roman"/>
          <w:sz w:val="24"/>
          <w:szCs w:val="24"/>
        </w:rPr>
      </w:pPr>
      <w:r w:rsidRPr="00E75DCE">
        <w:rPr>
          <w:rFonts w:ascii="Times New Roman" w:hAnsi="Times New Roman"/>
          <w:sz w:val="24"/>
          <w:szCs w:val="24"/>
        </w:rPr>
        <w:t>Background</w:t>
      </w:r>
    </w:p>
    <w:p w14:paraId="758E80ED" w14:textId="77777777" w:rsidR="00C22FB0" w:rsidRDefault="00C22FB0" w:rsidP="00E31428">
      <w:pPr>
        <w:jc w:val="both"/>
        <w:rPr>
          <w:rFonts w:ascii="Times New Roman" w:hAnsi="Times New Roman"/>
          <w:sz w:val="24"/>
          <w:szCs w:val="24"/>
        </w:rPr>
      </w:pPr>
    </w:p>
    <w:p w14:paraId="50139A80" w14:textId="2D2B6A01" w:rsidR="00E75DCE" w:rsidRPr="00E75DCE" w:rsidRDefault="00E75DCE" w:rsidP="00E31428">
      <w:pPr>
        <w:jc w:val="both"/>
        <w:rPr>
          <w:rFonts w:ascii="Times New Roman" w:hAnsi="Times New Roman"/>
          <w:sz w:val="24"/>
          <w:szCs w:val="24"/>
        </w:rPr>
      </w:pPr>
      <w:r w:rsidRPr="00E75DCE">
        <w:rPr>
          <w:rFonts w:ascii="Times New Roman" w:hAnsi="Times New Roman"/>
          <w:sz w:val="24"/>
          <w:szCs w:val="24"/>
        </w:rPr>
        <w:t xml:space="preserve">Section 13 of the </w:t>
      </w:r>
      <w:r w:rsidRPr="00E75DCE">
        <w:rPr>
          <w:rFonts w:ascii="Times New Roman" w:hAnsi="Times New Roman"/>
          <w:i/>
          <w:sz w:val="24"/>
          <w:szCs w:val="24"/>
        </w:rPr>
        <w:t>Financial Sector (Collection of Data) Act 2001</w:t>
      </w:r>
      <w:r w:rsidRPr="00E75DCE">
        <w:rPr>
          <w:rFonts w:ascii="Times New Roman" w:hAnsi="Times New Roman"/>
          <w:sz w:val="24"/>
          <w:szCs w:val="24"/>
        </w:rPr>
        <w:t xml:space="preserve"> (FSCOD Act) gives APRA </w:t>
      </w:r>
      <w:r w:rsidR="004352F4">
        <w:rPr>
          <w:rFonts w:ascii="Times New Roman" w:hAnsi="Times New Roman"/>
          <w:sz w:val="24"/>
          <w:szCs w:val="24"/>
        </w:rPr>
        <w:t xml:space="preserve">the </w:t>
      </w:r>
      <w:r w:rsidRPr="00E75DCE">
        <w:rPr>
          <w:rFonts w:ascii="Times New Roman" w:hAnsi="Times New Roman"/>
          <w:sz w:val="24"/>
          <w:szCs w:val="24"/>
        </w:rPr>
        <w:t xml:space="preserve">power to determine reporting standards that must be complied with by financial sector entities, including general insurers.  Reporting standards may require information of a financial nature or of a more general business nature.  </w:t>
      </w:r>
    </w:p>
    <w:p w14:paraId="1B1B1013" w14:textId="77777777" w:rsidR="00E75DCE" w:rsidRPr="00E75DCE" w:rsidRDefault="00E75DCE" w:rsidP="00E31428">
      <w:pPr>
        <w:jc w:val="both"/>
        <w:rPr>
          <w:rFonts w:ascii="Times New Roman" w:hAnsi="Times New Roman"/>
          <w:sz w:val="24"/>
          <w:szCs w:val="24"/>
        </w:rPr>
      </w:pPr>
    </w:p>
    <w:p w14:paraId="78445EC6" w14:textId="268B26C6" w:rsidR="00BF1DFC" w:rsidRDefault="00CB0CB1" w:rsidP="00E31428">
      <w:pPr>
        <w:jc w:val="both"/>
        <w:rPr>
          <w:rFonts w:ascii="Times New Roman" w:hAnsi="Times New Roman"/>
          <w:sz w:val="24"/>
          <w:szCs w:val="24"/>
        </w:rPr>
      </w:pPr>
      <w:r w:rsidRPr="008E5079">
        <w:rPr>
          <w:rFonts w:ascii="Times New Roman" w:hAnsi="Times New Roman"/>
          <w:sz w:val="24"/>
          <w:szCs w:val="24"/>
        </w:rPr>
        <w:t>In M</w:t>
      </w:r>
      <w:r w:rsidR="008E5079" w:rsidRPr="008E5079">
        <w:rPr>
          <w:rFonts w:ascii="Times New Roman" w:hAnsi="Times New Roman"/>
          <w:sz w:val="24"/>
          <w:szCs w:val="24"/>
        </w:rPr>
        <w:t>ay</w:t>
      </w:r>
      <w:r w:rsidR="00C63C6F">
        <w:rPr>
          <w:rFonts w:ascii="Times New Roman" w:hAnsi="Times New Roman"/>
          <w:sz w:val="24"/>
          <w:szCs w:val="24"/>
        </w:rPr>
        <w:t xml:space="preserve"> and June</w:t>
      </w:r>
      <w:r w:rsidRPr="008E5079">
        <w:rPr>
          <w:rFonts w:ascii="Times New Roman" w:hAnsi="Times New Roman"/>
          <w:sz w:val="24"/>
          <w:szCs w:val="24"/>
        </w:rPr>
        <w:t xml:space="preserve"> 2023</w:t>
      </w:r>
      <w:r w:rsidR="00BF1DFC" w:rsidRPr="008E5079">
        <w:rPr>
          <w:rFonts w:ascii="Times New Roman" w:hAnsi="Times New Roman"/>
          <w:sz w:val="24"/>
          <w:szCs w:val="24"/>
        </w:rPr>
        <w:t>, APRA determined a suite of reporting standards applying to general insurers for reporting periods</w:t>
      </w:r>
      <w:r w:rsidR="00BF1DFC">
        <w:rPr>
          <w:rFonts w:ascii="Times New Roman" w:hAnsi="Times New Roman"/>
          <w:sz w:val="24"/>
          <w:szCs w:val="24"/>
        </w:rPr>
        <w:t xml:space="preserve"> </w:t>
      </w:r>
      <w:r>
        <w:rPr>
          <w:rFonts w:ascii="Times New Roman" w:hAnsi="Times New Roman"/>
          <w:sz w:val="24"/>
          <w:szCs w:val="24"/>
        </w:rPr>
        <w:t>commencing</w:t>
      </w:r>
      <w:r w:rsidR="00BF1DFC">
        <w:rPr>
          <w:rFonts w:ascii="Times New Roman" w:hAnsi="Times New Roman"/>
          <w:sz w:val="24"/>
          <w:szCs w:val="24"/>
        </w:rPr>
        <w:t xml:space="preserve"> on or after 1 J</w:t>
      </w:r>
      <w:r>
        <w:rPr>
          <w:rFonts w:ascii="Times New Roman" w:hAnsi="Times New Roman"/>
          <w:sz w:val="24"/>
          <w:szCs w:val="24"/>
        </w:rPr>
        <w:t>ul</w:t>
      </w:r>
      <w:r w:rsidR="00BF1DFC">
        <w:rPr>
          <w:rFonts w:ascii="Times New Roman" w:hAnsi="Times New Roman"/>
          <w:sz w:val="24"/>
          <w:szCs w:val="24"/>
        </w:rPr>
        <w:t>y 20</w:t>
      </w:r>
      <w:r>
        <w:rPr>
          <w:rFonts w:ascii="Times New Roman" w:hAnsi="Times New Roman"/>
          <w:sz w:val="24"/>
          <w:szCs w:val="24"/>
        </w:rPr>
        <w:t>2</w:t>
      </w:r>
      <w:r w:rsidR="00BF1DFC">
        <w:rPr>
          <w:rFonts w:ascii="Times New Roman" w:hAnsi="Times New Roman"/>
          <w:sz w:val="24"/>
          <w:szCs w:val="24"/>
        </w:rPr>
        <w:t xml:space="preserve">3. These reporting standards implemented revised reporting requirements for general insurers </w:t>
      </w:r>
      <w:r w:rsidR="00895B0B">
        <w:rPr>
          <w:rFonts w:ascii="Times New Roman" w:hAnsi="Times New Roman"/>
          <w:sz w:val="24"/>
          <w:szCs w:val="24"/>
        </w:rPr>
        <w:t>due to</w:t>
      </w:r>
      <w:r w:rsidR="00BF1DFC">
        <w:rPr>
          <w:rFonts w:ascii="Times New Roman" w:hAnsi="Times New Roman"/>
          <w:sz w:val="24"/>
          <w:szCs w:val="24"/>
        </w:rPr>
        <w:t xml:space="preserve"> the </w:t>
      </w:r>
      <w:r>
        <w:rPr>
          <w:rFonts w:ascii="Times New Roman" w:hAnsi="Times New Roman"/>
          <w:sz w:val="24"/>
          <w:szCs w:val="24"/>
        </w:rPr>
        <w:t xml:space="preserve">introduction of </w:t>
      </w:r>
      <w:r w:rsidR="00895B0B">
        <w:rPr>
          <w:rFonts w:ascii="Times New Roman" w:hAnsi="Times New Roman"/>
          <w:sz w:val="24"/>
          <w:szCs w:val="24"/>
        </w:rPr>
        <w:t xml:space="preserve">the new </w:t>
      </w:r>
      <w:r w:rsidR="00DB6B25" w:rsidRPr="00743AE5">
        <w:rPr>
          <w:rFonts w:ascii="Times New Roman" w:hAnsi="Times New Roman"/>
          <w:i/>
          <w:sz w:val="24"/>
          <w:szCs w:val="24"/>
        </w:rPr>
        <w:t>AASB 17 Insurance Contracts</w:t>
      </w:r>
      <w:r w:rsidR="00DB6B25">
        <w:rPr>
          <w:rFonts w:ascii="Times New Roman" w:hAnsi="Times New Roman"/>
          <w:sz w:val="24"/>
          <w:szCs w:val="24"/>
        </w:rPr>
        <w:t xml:space="preserve"> (AASB 17)</w:t>
      </w:r>
      <w:r w:rsidR="000D0E02">
        <w:rPr>
          <w:rFonts w:ascii="Times New Roman" w:hAnsi="Times New Roman"/>
          <w:sz w:val="24"/>
          <w:szCs w:val="24"/>
        </w:rPr>
        <w:t xml:space="preserve"> and updates to the capital framework for general insurers</w:t>
      </w:r>
      <w:r w:rsidR="00DB6B25">
        <w:rPr>
          <w:rFonts w:ascii="Times New Roman" w:hAnsi="Times New Roman"/>
          <w:sz w:val="24"/>
          <w:szCs w:val="24"/>
        </w:rPr>
        <w:t>.</w:t>
      </w:r>
      <w:r w:rsidR="000D0E02">
        <w:rPr>
          <w:rFonts w:ascii="Times New Roman" w:hAnsi="Times New Roman"/>
          <w:sz w:val="24"/>
          <w:szCs w:val="24"/>
        </w:rPr>
        <w:t xml:space="preserve"> </w:t>
      </w:r>
      <w:r w:rsidR="00BF1DFC">
        <w:rPr>
          <w:rFonts w:ascii="Times New Roman" w:hAnsi="Times New Roman"/>
          <w:sz w:val="24"/>
          <w:szCs w:val="24"/>
        </w:rPr>
        <w:t>The reporting requirements under these reporting standards include both quarterly and annual reporting requirements.</w:t>
      </w:r>
    </w:p>
    <w:p w14:paraId="71F4C2C5" w14:textId="77777777" w:rsidR="00BF1DFC" w:rsidRDefault="00BF1DFC" w:rsidP="00E31428">
      <w:pPr>
        <w:jc w:val="both"/>
        <w:rPr>
          <w:rFonts w:ascii="Times New Roman" w:hAnsi="Times New Roman"/>
          <w:sz w:val="24"/>
          <w:szCs w:val="24"/>
        </w:rPr>
      </w:pPr>
    </w:p>
    <w:p w14:paraId="55E0EEAF" w14:textId="77777777" w:rsidR="00E75DCE" w:rsidRPr="00E75DCE" w:rsidRDefault="00E75DCE" w:rsidP="00E31428">
      <w:pPr>
        <w:jc w:val="both"/>
        <w:rPr>
          <w:rFonts w:ascii="Times New Roman" w:hAnsi="Times New Roman"/>
          <w:sz w:val="24"/>
          <w:szCs w:val="24"/>
        </w:rPr>
      </w:pPr>
      <w:r w:rsidRPr="00E75DCE">
        <w:rPr>
          <w:rFonts w:ascii="Times New Roman" w:hAnsi="Times New Roman"/>
          <w:sz w:val="24"/>
          <w:szCs w:val="24"/>
        </w:rPr>
        <w:t xml:space="preserve">The FSCOD Act does not specifically address the auditing requirements in relation to reporting documents given under reporting standards.  For general insurers, these are provided for in the Act.  </w:t>
      </w:r>
    </w:p>
    <w:p w14:paraId="313197CD" w14:textId="77777777" w:rsidR="00E75DCE" w:rsidRPr="00E75DCE" w:rsidRDefault="00E75DCE" w:rsidP="00E31428">
      <w:pPr>
        <w:jc w:val="both"/>
        <w:rPr>
          <w:rFonts w:ascii="Times New Roman" w:hAnsi="Times New Roman"/>
          <w:sz w:val="24"/>
          <w:szCs w:val="24"/>
        </w:rPr>
      </w:pPr>
    </w:p>
    <w:p w14:paraId="56996059" w14:textId="77777777" w:rsidR="00E75DCE" w:rsidRPr="00E75DCE" w:rsidRDefault="00E75DCE" w:rsidP="00E31428">
      <w:pPr>
        <w:jc w:val="both"/>
        <w:rPr>
          <w:rFonts w:ascii="Times New Roman" w:hAnsi="Times New Roman"/>
          <w:sz w:val="24"/>
          <w:szCs w:val="24"/>
        </w:rPr>
      </w:pPr>
      <w:r w:rsidRPr="00E75DCE">
        <w:rPr>
          <w:rFonts w:ascii="Times New Roman" w:hAnsi="Times New Roman"/>
          <w:sz w:val="24"/>
          <w:szCs w:val="24"/>
        </w:rPr>
        <w:t>In this regard, section 3 of the Act contains a definition of yearly statutory accounts, which is defined to mean, in relation to a body corporate (e.g., a general insurer), the reporting documents that the body corporate is required under section 13 of the FSCOD Act to lodge with APRA in respect of a financial year.</w:t>
      </w:r>
    </w:p>
    <w:p w14:paraId="55121E1B" w14:textId="77777777" w:rsidR="00E75DCE" w:rsidRPr="00E75DCE" w:rsidRDefault="00E75DCE" w:rsidP="00E31428">
      <w:pPr>
        <w:jc w:val="both"/>
        <w:rPr>
          <w:rFonts w:ascii="Times New Roman" w:hAnsi="Times New Roman"/>
          <w:sz w:val="24"/>
          <w:szCs w:val="24"/>
        </w:rPr>
      </w:pPr>
    </w:p>
    <w:p w14:paraId="3319E19A" w14:textId="2EF823A3" w:rsidR="00E75DCE" w:rsidRDefault="00E75DCE" w:rsidP="00E31428">
      <w:pPr>
        <w:jc w:val="both"/>
        <w:rPr>
          <w:rFonts w:ascii="Times New Roman" w:hAnsi="Times New Roman"/>
          <w:sz w:val="24"/>
          <w:szCs w:val="24"/>
        </w:rPr>
      </w:pPr>
      <w:r w:rsidRPr="00E75DCE">
        <w:rPr>
          <w:rFonts w:ascii="Times New Roman" w:hAnsi="Times New Roman"/>
          <w:sz w:val="24"/>
          <w:szCs w:val="24"/>
        </w:rPr>
        <w:t>Paragraph 49J(1)(a) of the Act provides that an auditor of a general insurer (that is, an auditor app</w:t>
      </w:r>
      <w:r>
        <w:rPr>
          <w:rFonts w:ascii="Times New Roman" w:hAnsi="Times New Roman"/>
          <w:sz w:val="24"/>
          <w:szCs w:val="24"/>
        </w:rPr>
        <w:t>ointed</w:t>
      </w:r>
      <w:r w:rsidRPr="00E75DCE">
        <w:rPr>
          <w:rFonts w:ascii="Times New Roman" w:hAnsi="Times New Roman"/>
          <w:sz w:val="24"/>
          <w:szCs w:val="24"/>
        </w:rPr>
        <w:t xml:space="preserve"> under s</w:t>
      </w:r>
      <w:r>
        <w:rPr>
          <w:rFonts w:ascii="Times New Roman" w:hAnsi="Times New Roman"/>
          <w:sz w:val="24"/>
          <w:szCs w:val="24"/>
        </w:rPr>
        <w:t>ection</w:t>
      </w:r>
      <w:r w:rsidRPr="00E75DCE">
        <w:rPr>
          <w:rFonts w:ascii="Times New Roman" w:hAnsi="Times New Roman"/>
          <w:sz w:val="24"/>
          <w:szCs w:val="24"/>
        </w:rPr>
        <w:t xml:space="preserve"> </w:t>
      </w:r>
      <w:r>
        <w:rPr>
          <w:rFonts w:ascii="Times New Roman" w:hAnsi="Times New Roman"/>
          <w:sz w:val="24"/>
          <w:szCs w:val="24"/>
        </w:rPr>
        <w:t>39</w:t>
      </w:r>
      <w:r w:rsidRPr="00E75DCE">
        <w:rPr>
          <w:rFonts w:ascii="Times New Roman" w:hAnsi="Times New Roman"/>
          <w:sz w:val="24"/>
          <w:szCs w:val="24"/>
        </w:rPr>
        <w:t xml:space="preserve"> of the Act) must audit the yearly statutory accounts. Subsection 49</w:t>
      </w:r>
      <w:proofErr w:type="gramStart"/>
      <w:r w:rsidRPr="00E75DCE">
        <w:rPr>
          <w:rFonts w:ascii="Times New Roman" w:hAnsi="Times New Roman"/>
          <w:sz w:val="24"/>
          <w:szCs w:val="24"/>
        </w:rPr>
        <w:t>J(</w:t>
      </w:r>
      <w:proofErr w:type="gramEnd"/>
      <w:r w:rsidRPr="00E75DCE">
        <w:rPr>
          <w:rFonts w:ascii="Times New Roman" w:hAnsi="Times New Roman"/>
          <w:sz w:val="24"/>
          <w:szCs w:val="24"/>
        </w:rPr>
        <w:t xml:space="preserve">3) provides that the auditor must give the general insurer a certificate relating to the yearly statutory accounts, which must contain statements of the auditor's opinion on the matters </w:t>
      </w:r>
      <w:r w:rsidRPr="00E75DCE">
        <w:rPr>
          <w:rFonts w:ascii="Times New Roman" w:hAnsi="Times New Roman"/>
          <w:sz w:val="24"/>
          <w:szCs w:val="24"/>
        </w:rPr>
        <w:lastRenderedPageBreak/>
        <w:t>required by the prudential standards to be dealt with in the certificate. Paragraph 49L(1)(a) provides that a general insurer must lodge such a certificate with APRA.</w:t>
      </w:r>
    </w:p>
    <w:p w14:paraId="64F1B141" w14:textId="77777777" w:rsidR="002436BD" w:rsidRDefault="002436BD" w:rsidP="00E31428">
      <w:pPr>
        <w:pStyle w:val="Heading"/>
        <w:keepNext/>
        <w:numPr>
          <w:ilvl w:val="0"/>
          <w:numId w:val="2"/>
        </w:numPr>
        <w:spacing w:before="240" w:after="60"/>
        <w:ind w:left="0" w:firstLine="0"/>
        <w:outlineLvl w:val="0"/>
        <w:rPr>
          <w:rFonts w:ascii="Times New Roman" w:hAnsi="Times New Roman"/>
          <w:sz w:val="24"/>
          <w:szCs w:val="24"/>
        </w:rPr>
      </w:pPr>
      <w:bookmarkStart w:id="3" w:name="bkBackground"/>
      <w:bookmarkEnd w:id="3"/>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bookmarkStart w:id="4" w:name="bkPurpose"/>
      <w:bookmarkEnd w:id="4"/>
    </w:p>
    <w:p w14:paraId="511100D6" w14:textId="77777777" w:rsidR="00E31428" w:rsidRDefault="00E31428" w:rsidP="00E31428">
      <w:pPr>
        <w:jc w:val="both"/>
        <w:rPr>
          <w:rFonts w:ascii="Times New Roman" w:hAnsi="Times New Roman"/>
          <w:sz w:val="24"/>
          <w:szCs w:val="24"/>
        </w:rPr>
      </w:pPr>
    </w:p>
    <w:p w14:paraId="0F1C7192" w14:textId="6F014A6F" w:rsidR="00BF1DFC" w:rsidRDefault="00BF1DFC" w:rsidP="00E31428">
      <w:pPr>
        <w:jc w:val="both"/>
        <w:rPr>
          <w:rFonts w:ascii="Times New Roman" w:hAnsi="Times New Roman"/>
          <w:sz w:val="24"/>
          <w:szCs w:val="24"/>
        </w:rPr>
      </w:pPr>
      <w:r>
        <w:rPr>
          <w:rFonts w:ascii="Times New Roman" w:hAnsi="Times New Roman"/>
          <w:sz w:val="24"/>
          <w:szCs w:val="24"/>
        </w:rPr>
        <w:t>The reporting standards determined</w:t>
      </w:r>
      <w:r w:rsidR="003D790C">
        <w:rPr>
          <w:rFonts w:ascii="Times New Roman" w:hAnsi="Times New Roman"/>
          <w:sz w:val="24"/>
          <w:szCs w:val="24"/>
        </w:rPr>
        <w:t xml:space="preserve"> by </w:t>
      </w:r>
      <w:r w:rsidR="003D790C" w:rsidRPr="008E5079">
        <w:rPr>
          <w:rFonts w:ascii="Times New Roman" w:hAnsi="Times New Roman"/>
          <w:sz w:val="24"/>
          <w:szCs w:val="24"/>
        </w:rPr>
        <w:t>APRA</w:t>
      </w:r>
      <w:r w:rsidRPr="008E5079">
        <w:rPr>
          <w:rFonts w:ascii="Times New Roman" w:hAnsi="Times New Roman"/>
          <w:sz w:val="24"/>
          <w:szCs w:val="24"/>
        </w:rPr>
        <w:t xml:space="preserve"> </w:t>
      </w:r>
      <w:r w:rsidR="00895B0B" w:rsidRPr="008E5079">
        <w:rPr>
          <w:rFonts w:ascii="Times New Roman" w:hAnsi="Times New Roman"/>
          <w:sz w:val="24"/>
          <w:szCs w:val="24"/>
        </w:rPr>
        <w:t>in M</w:t>
      </w:r>
      <w:r w:rsidR="008E5079" w:rsidRPr="008E5079">
        <w:rPr>
          <w:rFonts w:ascii="Times New Roman" w:hAnsi="Times New Roman"/>
          <w:sz w:val="24"/>
          <w:szCs w:val="24"/>
        </w:rPr>
        <w:t>ay</w:t>
      </w:r>
      <w:r w:rsidR="00C63C6F">
        <w:rPr>
          <w:rFonts w:ascii="Times New Roman" w:hAnsi="Times New Roman"/>
          <w:sz w:val="24"/>
          <w:szCs w:val="24"/>
        </w:rPr>
        <w:t xml:space="preserve"> and June</w:t>
      </w:r>
      <w:r w:rsidR="00895B0B" w:rsidRPr="008E5079">
        <w:rPr>
          <w:rFonts w:ascii="Times New Roman" w:hAnsi="Times New Roman"/>
          <w:sz w:val="24"/>
          <w:szCs w:val="24"/>
        </w:rPr>
        <w:t xml:space="preserve"> 2023</w:t>
      </w:r>
      <w:r w:rsidRPr="008E5079">
        <w:rPr>
          <w:rFonts w:ascii="Times New Roman" w:hAnsi="Times New Roman"/>
          <w:sz w:val="24"/>
          <w:szCs w:val="24"/>
        </w:rPr>
        <w:t xml:space="preserve"> include </w:t>
      </w:r>
      <w:proofErr w:type="gramStart"/>
      <w:r w:rsidRPr="008E5079">
        <w:rPr>
          <w:rFonts w:ascii="Times New Roman" w:hAnsi="Times New Roman"/>
          <w:sz w:val="24"/>
          <w:szCs w:val="24"/>
        </w:rPr>
        <w:t>a number of</w:t>
      </w:r>
      <w:proofErr w:type="gramEnd"/>
      <w:r w:rsidRPr="008E5079">
        <w:rPr>
          <w:rFonts w:ascii="Times New Roman" w:hAnsi="Times New Roman"/>
          <w:sz w:val="24"/>
          <w:szCs w:val="24"/>
        </w:rPr>
        <w:t xml:space="preserve"> annual reporting </w:t>
      </w:r>
      <w:r w:rsidR="00E95FA0" w:rsidRPr="008E5079">
        <w:rPr>
          <w:rFonts w:ascii="Times New Roman" w:hAnsi="Times New Roman"/>
          <w:sz w:val="24"/>
          <w:szCs w:val="24"/>
        </w:rPr>
        <w:t xml:space="preserve">requirements </w:t>
      </w:r>
      <w:r w:rsidR="00A9384B" w:rsidRPr="008E5079">
        <w:rPr>
          <w:rFonts w:ascii="Times New Roman" w:hAnsi="Times New Roman"/>
          <w:sz w:val="24"/>
          <w:szCs w:val="24"/>
        </w:rPr>
        <w:t xml:space="preserve">to </w:t>
      </w:r>
      <w:r w:rsidR="003D790C" w:rsidRPr="008E5079">
        <w:rPr>
          <w:rFonts w:ascii="Times New Roman" w:hAnsi="Times New Roman"/>
          <w:sz w:val="24"/>
          <w:szCs w:val="24"/>
        </w:rPr>
        <w:t>which APRA does</w:t>
      </w:r>
      <w:r w:rsidRPr="008E5079">
        <w:rPr>
          <w:rFonts w:ascii="Times New Roman" w:hAnsi="Times New Roman"/>
          <w:sz w:val="24"/>
          <w:szCs w:val="24"/>
        </w:rPr>
        <w:t xml:space="preserve"> not intend that auditing requirements u</w:t>
      </w:r>
      <w:r>
        <w:rPr>
          <w:rFonts w:ascii="Times New Roman" w:hAnsi="Times New Roman"/>
          <w:sz w:val="24"/>
          <w:szCs w:val="24"/>
        </w:rPr>
        <w:t xml:space="preserve">nder the Act would apply. These are the annual </w:t>
      </w:r>
      <w:r w:rsidR="003D790C">
        <w:rPr>
          <w:rFonts w:ascii="Times New Roman" w:hAnsi="Times New Roman"/>
          <w:sz w:val="24"/>
          <w:szCs w:val="24"/>
        </w:rPr>
        <w:t>information</w:t>
      </w:r>
      <w:r>
        <w:rPr>
          <w:rFonts w:ascii="Times New Roman" w:hAnsi="Times New Roman"/>
          <w:sz w:val="24"/>
          <w:szCs w:val="24"/>
        </w:rPr>
        <w:t xml:space="preserve"> required under </w:t>
      </w:r>
      <w:r w:rsidR="00F12F86" w:rsidRPr="00F12F86">
        <w:rPr>
          <w:rFonts w:ascii="Times New Roman" w:hAnsi="Times New Roman"/>
          <w:i/>
          <w:sz w:val="24"/>
          <w:szCs w:val="24"/>
        </w:rPr>
        <w:t>Reporting Standard GRS 400.0 Statement of Risk by Country</w:t>
      </w:r>
      <w:r w:rsidR="00F12F86">
        <w:rPr>
          <w:rFonts w:ascii="Times New Roman" w:hAnsi="Times New Roman"/>
          <w:sz w:val="24"/>
          <w:szCs w:val="24"/>
        </w:rPr>
        <w:t xml:space="preserve"> (GRS 400.0)</w:t>
      </w:r>
      <w:r w:rsidR="00F12F86" w:rsidRPr="00F12F86">
        <w:rPr>
          <w:rFonts w:ascii="Times New Roman" w:hAnsi="Times New Roman"/>
          <w:sz w:val="24"/>
          <w:szCs w:val="24"/>
        </w:rPr>
        <w:t xml:space="preserve">, </w:t>
      </w:r>
      <w:r w:rsidR="00F12F86" w:rsidRPr="00F12F86">
        <w:rPr>
          <w:rFonts w:ascii="Times New Roman" w:hAnsi="Times New Roman"/>
          <w:i/>
          <w:sz w:val="24"/>
          <w:szCs w:val="24"/>
        </w:rPr>
        <w:t xml:space="preserve">Reporting Standard GRS 420.0 </w:t>
      </w:r>
      <w:r w:rsidR="00035449" w:rsidRPr="00035449">
        <w:rPr>
          <w:rFonts w:ascii="Times New Roman" w:hAnsi="Times New Roman"/>
          <w:i/>
          <w:sz w:val="24"/>
          <w:szCs w:val="24"/>
        </w:rPr>
        <w:t>Insurance Revenue and Incurred Claims by State and Territory of Australia</w:t>
      </w:r>
      <w:r w:rsidR="00F12F86">
        <w:rPr>
          <w:rFonts w:ascii="Times New Roman" w:hAnsi="Times New Roman"/>
          <w:i/>
          <w:sz w:val="24"/>
          <w:szCs w:val="24"/>
        </w:rPr>
        <w:t xml:space="preserve"> </w:t>
      </w:r>
      <w:r w:rsidR="00F12F86">
        <w:rPr>
          <w:rFonts w:ascii="Times New Roman" w:hAnsi="Times New Roman"/>
          <w:sz w:val="24"/>
          <w:szCs w:val="24"/>
        </w:rPr>
        <w:t>(GRS 420.0)</w:t>
      </w:r>
      <w:r w:rsidR="00F12F86" w:rsidRPr="00F12F86">
        <w:rPr>
          <w:rFonts w:ascii="Times New Roman" w:hAnsi="Times New Roman"/>
          <w:i/>
          <w:sz w:val="24"/>
          <w:szCs w:val="24"/>
        </w:rPr>
        <w:t xml:space="preserve">, Reporting Standard GRS 460.0 Reinsurance Assets by Counterparty </w:t>
      </w:r>
      <w:r w:rsidR="00F12F86">
        <w:rPr>
          <w:rFonts w:ascii="Times New Roman" w:hAnsi="Times New Roman"/>
          <w:sz w:val="24"/>
          <w:szCs w:val="24"/>
        </w:rPr>
        <w:t xml:space="preserve">(GRS 460.0) </w:t>
      </w:r>
      <w:r w:rsidR="00F12F86" w:rsidRPr="00F12F86">
        <w:rPr>
          <w:rFonts w:ascii="Times New Roman" w:hAnsi="Times New Roman"/>
          <w:sz w:val="24"/>
          <w:szCs w:val="24"/>
        </w:rPr>
        <w:t xml:space="preserve">and </w:t>
      </w:r>
      <w:r w:rsidR="00F12F86" w:rsidRPr="00F12F86">
        <w:rPr>
          <w:rFonts w:ascii="Times New Roman" w:hAnsi="Times New Roman"/>
          <w:i/>
          <w:sz w:val="24"/>
          <w:szCs w:val="24"/>
        </w:rPr>
        <w:t>Reporting Standard GRS 460.1 Exposure Analysis by Reinsurance Counterparty</w:t>
      </w:r>
      <w:r w:rsidR="00F12F86">
        <w:rPr>
          <w:rFonts w:ascii="Times New Roman" w:hAnsi="Times New Roman"/>
          <w:i/>
          <w:sz w:val="24"/>
          <w:szCs w:val="24"/>
        </w:rPr>
        <w:t xml:space="preserve"> </w:t>
      </w:r>
      <w:r w:rsidR="00F12F86">
        <w:rPr>
          <w:rFonts w:ascii="Times New Roman" w:hAnsi="Times New Roman"/>
          <w:sz w:val="24"/>
          <w:szCs w:val="24"/>
        </w:rPr>
        <w:t>(GRS 460.1)</w:t>
      </w:r>
      <w:r>
        <w:rPr>
          <w:rFonts w:ascii="Times New Roman" w:hAnsi="Times New Roman"/>
          <w:sz w:val="24"/>
          <w:szCs w:val="24"/>
        </w:rPr>
        <w:t xml:space="preserve">. </w:t>
      </w:r>
    </w:p>
    <w:p w14:paraId="513DB525" w14:textId="77777777" w:rsidR="00BF1DFC" w:rsidRDefault="00BF1DFC" w:rsidP="00E31428">
      <w:pPr>
        <w:jc w:val="both"/>
        <w:rPr>
          <w:rFonts w:ascii="Times New Roman" w:hAnsi="Times New Roman"/>
          <w:sz w:val="24"/>
          <w:szCs w:val="24"/>
        </w:rPr>
      </w:pPr>
    </w:p>
    <w:p w14:paraId="475B34BE" w14:textId="7BD99AB4" w:rsidR="00BF1DFC" w:rsidRDefault="004513B6" w:rsidP="00E31428">
      <w:pPr>
        <w:pStyle w:val="Heading"/>
        <w:rPr>
          <w:rFonts w:ascii="Times New Roman" w:hAnsi="Times New Roman"/>
          <w:b w:val="0"/>
          <w:sz w:val="24"/>
          <w:szCs w:val="24"/>
        </w:rPr>
      </w:pPr>
      <w:r>
        <w:rPr>
          <w:rFonts w:ascii="Times New Roman" w:hAnsi="Times New Roman"/>
          <w:b w:val="0"/>
          <w:sz w:val="24"/>
          <w:szCs w:val="24"/>
        </w:rPr>
        <w:t>The purpose of the instrument is to</w:t>
      </w:r>
      <w:r w:rsidR="00BF1DFC">
        <w:rPr>
          <w:rFonts w:ascii="Times New Roman" w:hAnsi="Times New Roman"/>
          <w:b w:val="0"/>
          <w:sz w:val="24"/>
          <w:szCs w:val="24"/>
        </w:rPr>
        <w:t>:</w:t>
      </w:r>
    </w:p>
    <w:p w14:paraId="6610EA64" w14:textId="77777777" w:rsidR="00E31428" w:rsidRDefault="00E31428" w:rsidP="00E31428">
      <w:pPr>
        <w:pStyle w:val="Heading"/>
        <w:rPr>
          <w:rFonts w:ascii="Times New Roman" w:hAnsi="Times New Roman"/>
          <w:b w:val="0"/>
          <w:sz w:val="24"/>
          <w:szCs w:val="24"/>
        </w:rPr>
      </w:pPr>
    </w:p>
    <w:p w14:paraId="110330DF" w14:textId="69ECBC00" w:rsidR="003D790C" w:rsidRDefault="00BF1DFC" w:rsidP="00E31428">
      <w:pPr>
        <w:pStyle w:val="Heading"/>
        <w:numPr>
          <w:ilvl w:val="0"/>
          <w:numId w:val="4"/>
        </w:numPr>
        <w:ind w:left="567" w:hanging="567"/>
        <w:rPr>
          <w:rFonts w:ascii="Times New Roman" w:hAnsi="Times New Roman"/>
          <w:b w:val="0"/>
          <w:sz w:val="24"/>
          <w:szCs w:val="24"/>
        </w:rPr>
      </w:pPr>
      <w:r>
        <w:rPr>
          <w:rFonts w:ascii="Times New Roman" w:hAnsi="Times New Roman"/>
          <w:b w:val="0"/>
          <w:sz w:val="24"/>
          <w:szCs w:val="24"/>
        </w:rPr>
        <w:t xml:space="preserve">exempt the </w:t>
      </w:r>
      <w:r w:rsidR="003D790C">
        <w:rPr>
          <w:rFonts w:ascii="Times New Roman" w:hAnsi="Times New Roman"/>
          <w:b w:val="0"/>
          <w:sz w:val="24"/>
          <w:szCs w:val="24"/>
        </w:rPr>
        <w:t xml:space="preserve">Appointed Auditor from auditing the information required by </w:t>
      </w:r>
      <w:r>
        <w:rPr>
          <w:rFonts w:ascii="Times New Roman" w:hAnsi="Times New Roman"/>
          <w:b w:val="0"/>
          <w:sz w:val="24"/>
          <w:szCs w:val="24"/>
        </w:rPr>
        <w:t>GRS 400.0, GRS 420.0</w:t>
      </w:r>
      <w:r w:rsidR="00F12F86">
        <w:rPr>
          <w:rFonts w:ascii="Times New Roman" w:hAnsi="Times New Roman"/>
          <w:b w:val="0"/>
          <w:sz w:val="24"/>
          <w:szCs w:val="24"/>
        </w:rPr>
        <w:t xml:space="preserve">, GRS 460.0 and GRS </w:t>
      </w:r>
      <w:proofErr w:type="gramStart"/>
      <w:r w:rsidR="00F12F86">
        <w:rPr>
          <w:rFonts w:ascii="Times New Roman" w:hAnsi="Times New Roman"/>
          <w:b w:val="0"/>
          <w:sz w:val="24"/>
          <w:szCs w:val="24"/>
        </w:rPr>
        <w:t>460.1</w:t>
      </w:r>
      <w:r>
        <w:rPr>
          <w:rFonts w:ascii="Times New Roman" w:hAnsi="Times New Roman"/>
          <w:b w:val="0"/>
          <w:sz w:val="24"/>
          <w:szCs w:val="24"/>
        </w:rPr>
        <w:t>;</w:t>
      </w:r>
      <w:proofErr w:type="gramEnd"/>
      <w:r>
        <w:rPr>
          <w:rFonts w:ascii="Times New Roman" w:hAnsi="Times New Roman"/>
          <w:b w:val="0"/>
          <w:sz w:val="24"/>
          <w:szCs w:val="24"/>
        </w:rPr>
        <w:t xml:space="preserve"> </w:t>
      </w:r>
    </w:p>
    <w:p w14:paraId="39F52A69" w14:textId="77777777" w:rsidR="00C22FB0" w:rsidRDefault="00C22FB0" w:rsidP="00C22FB0">
      <w:pPr>
        <w:pStyle w:val="Heading"/>
        <w:ind w:left="567"/>
        <w:rPr>
          <w:rFonts w:ascii="Times New Roman" w:hAnsi="Times New Roman"/>
          <w:b w:val="0"/>
          <w:sz w:val="24"/>
          <w:szCs w:val="24"/>
        </w:rPr>
      </w:pPr>
    </w:p>
    <w:p w14:paraId="4276984E" w14:textId="0D68D2E4" w:rsidR="003D790C" w:rsidRDefault="003D790C" w:rsidP="00E31428">
      <w:pPr>
        <w:pStyle w:val="Heading"/>
        <w:numPr>
          <w:ilvl w:val="0"/>
          <w:numId w:val="4"/>
        </w:numPr>
        <w:ind w:left="567" w:hanging="567"/>
        <w:rPr>
          <w:rFonts w:ascii="Times New Roman" w:hAnsi="Times New Roman"/>
          <w:b w:val="0"/>
          <w:sz w:val="24"/>
          <w:szCs w:val="24"/>
        </w:rPr>
      </w:pPr>
      <w:r>
        <w:rPr>
          <w:rFonts w:ascii="Times New Roman" w:hAnsi="Times New Roman"/>
          <w:b w:val="0"/>
          <w:sz w:val="24"/>
          <w:szCs w:val="24"/>
        </w:rPr>
        <w:t xml:space="preserve">exempt the general insurer from making arrangements for the auditing of the information required by </w:t>
      </w:r>
      <w:r w:rsidR="00F12F86">
        <w:rPr>
          <w:rFonts w:ascii="Times New Roman" w:hAnsi="Times New Roman"/>
          <w:b w:val="0"/>
          <w:sz w:val="24"/>
          <w:szCs w:val="24"/>
        </w:rPr>
        <w:t xml:space="preserve">GRS 400.0, GRS 420.0, GRS 460.0 and GRS </w:t>
      </w:r>
      <w:proofErr w:type="gramStart"/>
      <w:r w:rsidR="00F12F86">
        <w:rPr>
          <w:rFonts w:ascii="Times New Roman" w:hAnsi="Times New Roman"/>
          <w:b w:val="0"/>
          <w:sz w:val="24"/>
          <w:szCs w:val="24"/>
        </w:rPr>
        <w:t>460.1</w:t>
      </w:r>
      <w:r>
        <w:rPr>
          <w:rFonts w:ascii="Times New Roman" w:hAnsi="Times New Roman"/>
          <w:b w:val="0"/>
          <w:sz w:val="24"/>
          <w:szCs w:val="24"/>
        </w:rPr>
        <w:t>;</w:t>
      </w:r>
      <w:proofErr w:type="gramEnd"/>
    </w:p>
    <w:p w14:paraId="0AEB0D2C" w14:textId="77777777" w:rsidR="00C22FB0" w:rsidRDefault="00C22FB0" w:rsidP="00C22FB0">
      <w:pPr>
        <w:pStyle w:val="ListParagraph"/>
        <w:rPr>
          <w:rFonts w:ascii="Times New Roman" w:hAnsi="Times New Roman"/>
          <w:b/>
          <w:sz w:val="24"/>
          <w:szCs w:val="24"/>
        </w:rPr>
      </w:pPr>
    </w:p>
    <w:p w14:paraId="5ABDB224" w14:textId="766505BB" w:rsidR="00BF1DFC" w:rsidRDefault="003D790C" w:rsidP="00E31428">
      <w:pPr>
        <w:pStyle w:val="Heading"/>
        <w:numPr>
          <w:ilvl w:val="0"/>
          <w:numId w:val="4"/>
        </w:numPr>
        <w:ind w:left="567" w:hanging="567"/>
        <w:rPr>
          <w:rFonts w:ascii="Times New Roman" w:hAnsi="Times New Roman"/>
          <w:b w:val="0"/>
          <w:sz w:val="24"/>
          <w:szCs w:val="24"/>
        </w:rPr>
      </w:pPr>
      <w:r>
        <w:rPr>
          <w:rFonts w:ascii="Times New Roman" w:hAnsi="Times New Roman"/>
          <w:b w:val="0"/>
          <w:sz w:val="24"/>
          <w:szCs w:val="24"/>
        </w:rPr>
        <w:t xml:space="preserve">exempt the Appointed Auditor from giving a certificate in relation to the information required by </w:t>
      </w:r>
      <w:r w:rsidR="00F12F86">
        <w:rPr>
          <w:rFonts w:ascii="Times New Roman" w:hAnsi="Times New Roman"/>
          <w:b w:val="0"/>
          <w:sz w:val="24"/>
          <w:szCs w:val="24"/>
        </w:rPr>
        <w:t xml:space="preserve">GRS 400.0, GRS 420.0, GRS </w:t>
      </w:r>
      <w:proofErr w:type="gramStart"/>
      <w:r w:rsidR="00F12F86">
        <w:rPr>
          <w:rFonts w:ascii="Times New Roman" w:hAnsi="Times New Roman"/>
          <w:b w:val="0"/>
          <w:sz w:val="24"/>
          <w:szCs w:val="24"/>
        </w:rPr>
        <w:t>460.0</w:t>
      </w:r>
      <w:proofErr w:type="gramEnd"/>
      <w:r w:rsidR="00F12F86">
        <w:rPr>
          <w:rFonts w:ascii="Times New Roman" w:hAnsi="Times New Roman"/>
          <w:b w:val="0"/>
          <w:sz w:val="24"/>
          <w:szCs w:val="24"/>
        </w:rPr>
        <w:t xml:space="preserve"> and GRS 460.1</w:t>
      </w:r>
      <w:r>
        <w:rPr>
          <w:rFonts w:ascii="Times New Roman" w:hAnsi="Times New Roman"/>
          <w:b w:val="0"/>
          <w:sz w:val="24"/>
          <w:szCs w:val="24"/>
        </w:rPr>
        <w:t xml:space="preserve">; </w:t>
      </w:r>
      <w:r w:rsidR="00BF1DFC">
        <w:rPr>
          <w:rFonts w:ascii="Times New Roman" w:hAnsi="Times New Roman"/>
          <w:b w:val="0"/>
          <w:sz w:val="24"/>
          <w:szCs w:val="24"/>
        </w:rPr>
        <w:t xml:space="preserve">and </w:t>
      </w:r>
    </w:p>
    <w:p w14:paraId="542733BD" w14:textId="77777777" w:rsidR="00C22FB0" w:rsidRDefault="00C22FB0" w:rsidP="00C22FB0">
      <w:pPr>
        <w:pStyle w:val="ListParagraph"/>
        <w:rPr>
          <w:rFonts w:ascii="Times New Roman" w:hAnsi="Times New Roman"/>
          <w:b/>
          <w:sz w:val="24"/>
          <w:szCs w:val="24"/>
        </w:rPr>
      </w:pPr>
    </w:p>
    <w:p w14:paraId="3A67E5B2" w14:textId="0BED60E8" w:rsidR="00766895" w:rsidRDefault="00BF1DFC" w:rsidP="00E31428">
      <w:pPr>
        <w:pStyle w:val="Heading"/>
        <w:numPr>
          <w:ilvl w:val="0"/>
          <w:numId w:val="4"/>
        </w:numPr>
        <w:ind w:left="567" w:hanging="567"/>
        <w:rPr>
          <w:rFonts w:ascii="Times New Roman" w:hAnsi="Times New Roman"/>
          <w:b w:val="0"/>
          <w:sz w:val="24"/>
          <w:szCs w:val="24"/>
        </w:rPr>
      </w:pPr>
      <w:r>
        <w:rPr>
          <w:rFonts w:ascii="Times New Roman" w:hAnsi="Times New Roman"/>
          <w:b w:val="0"/>
          <w:sz w:val="24"/>
          <w:szCs w:val="24"/>
        </w:rPr>
        <w:t xml:space="preserve">exempt </w:t>
      </w:r>
      <w:r w:rsidR="003D790C">
        <w:rPr>
          <w:rFonts w:ascii="Times New Roman" w:hAnsi="Times New Roman"/>
          <w:b w:val="0"/>
          <w:sz w:val="24"/>
          <w:szCs w:val="24"/>
        </w:rPr>
        <w:t xml:space="preserve">the general insurer from lodging a certificate in relation to the information required by </w:t>
      </w:r>
      <w:r w:rsidR="00F12F86">
        <w:rPr>
          <w:rFonts w:ascii="Times New Roman" w:hAnsi="Times New Roman"/>
          <w:b w:val="0"/>
          <w:sz w:val="24"/>
          <w:szCs w:val="24"/>
        </w:rPr>
        <w:t xml:space="preserve">GRS 400.0, GRS 420.0, GRS </w:t>
      </w:r>
      <w:proofErr w:type="gramStart"/>
      <w:r w:rsidR="00F12F86">
        <w:rPr>
          <w:rFonts w:ascii="Times New Roman" w:hAnsi="Times New Roman"/>
          <w:b w:val="0"/>
          <w:sz w:val="24"/>
          <w:szCs w:val="24"/>
        </w:rPr>
        <w:t>460.0</w:t>
      </w:r>
      <w:proofErr w:type="gramEnd"/>
      <w:r w:rsidR="00F12F86">
        <w:rPr>
          <w:rFonts w:ascii="Times New Roman" w:hAnsi="Times New Roman"/>
          <w:b w:val="0"/>
          <w:sz w:val="24"/>
          <w:szCs w:val="24"/>
        </w:rPr>
        <w:t xml:space="preserve"> and GRS 460.1</w:t>
      </w:r>
      <w:r>
        <w:rPr>
          <w:rFonts w:ascii="Times New Roman" w:hAnsi="Times New Roman"/>
          <w:b w:val="0"/>
          <w:sz w:val="24"/>
          <w:szCs w:val="24"/>
        </w:rPr>
        <w:t>.</w:t>
      </w:r>
    </w:p>
    <w:p w14:paraId="3EE3B69B" w14:textId="77777777" w:rsidR="00766895" w:rsidRDefault="00766895" w:rsidP="00E31428">
      <w:pPr>
        <w:pStyle w:val="Heading"/>
        <w:rPr>
          <w:rFonts w:ascii="Times New Roman" w:hAnsi="Times New Roman"/>
          <w:b w:val="0"/>
          <w:sz w:val="24"/>
          <w:szCs w:val="24"/>
        </w:rPr>
      </w:pPr>
    </w:p>
    <w:p w14:paraId="2E892342" w14:textId="4E9D2409" w:rsidR="0091308F" w:rsidRDefault="00E85371" w:rsidP="00E31428">
      <w:pPr>
        <w:pStyle w:val="Heading"/>
        <w:rPr>
          <w:rFonts w:ascii="Times New Roman" w:hAnsi="Times New Roman"/>
          <w:b w:val="0"/>
          <w:sz w:val="24"/>
          <w:szCs w:val="24"/>
        </w:rPr>
      </w:pPr>
      <w:r>
        <w:rPr>
          <w:rFonts w:ascii="Times New Roman" w:hAnsi="Times New Roman"/>
          <w:b w:val="0"/>
          <w:sz w:val="24"/>
          <w:szCs w:val="24"/>
        </w:rPr>
        <w:t xml:space="preserve">The instrument will operate such that the information required by </w:t>
      </w:r>
      <w:r w:rsidR="00F12F86">
        <w:rPr>
          <w:rFonts w:ascii="Times New Roman" w:hAnsi="Times New Roman"/>
          <w:b w:val="0"/>
          <w:sz w:val="24"/>
          <w:szCs w:val="24"/>
        </w:rPr>
        <w:t xml:space="preserve">GRS 400.0, GRS 420.0, GRS </w:t>
      </w:r>
      <w:proofErr w:type="gramStart"/>
      <w:r w:rsidR="00F12F86">
        <w:rPr>
          <w:rFonts w:ascii="Times New Roman" w:hAnsi="Times New Roman"/>
          <w:b w:val="0"/>
          <w:sz w:val="24"/>
          <w:szCs w:val="24"/>
        </w:rPr>
        <w:t>460.0</w:t>
      </w:r>
      <w:proofErr w:type="gramEnd"/>
      <w:r w:rsidR="00F12F86">
        <w:rPr>
          <w:rFonts w:ascii="Times New Roman" w:hAnsi="Times New Roman"/>
          <w:b w:val="0"/>
          <w:sz w:val="24"/>
          <w:szCs w:val="24"/>
        </w:rPr>
        <w:t xml:space="preserve"> and GRS 460.1</w:t>
      </w:r>
      <w:r>
        <w:rPr>
          <w:rFonts w:ascii="Times New Roman" w:hAnsi="Times New Roman"/>
          <w:b w:val="0"/>
          <w:sz w:val="24"/>
          <w:szCs w:val="24"/>
        </w:rPr>
        <w:t xml:space="preserve"> will not be subject to audit review by the Appointed Auditor. The information collected under these reporting standards is statistical in nature and APRA is of the view that it does not require review by audit. Having this information </w:t>
      </w:r>
      <w:r w:rsidR="000856C2">
        <w:rPr>
          <w:rFonts w:ascii="Times New Roman" w:hAnsi="Times New Roman"/>
          <w:b w:val="0"/>
          <w:sz w:val="24"/>
          <w:szCs w:val="24"/>
        </w:rPr>
        <w:t xml:space="preserve">outside of scope of the </w:t>
      </w:r>
      <w:r>
        <w:rPr>
          <w:rFonts w:ascii="Times New Roman" w:hAnsi="Times New Roman"/>
          <w:b w:val="0"/>
          <w:sz w:val="24"/>
          <w:szCs w:val="24"/>
        </w:rPr>
        <w:t xml:space="preserve">audit </w:t>
      </w:r>
      <w:r w:rsidR="000856C2">
        <w:rPr>
          <w:rFonts w:ascii="Times New Roman" w:hAnsi="Times New Roman"/>
          <w:b w:val="0"/>
          <w:sz w:val="24"/>
          <w:szCs w:val="24"/>
        </w:rPr>
        <w:t xml:space="preserve">review </w:t>
      </w:r>
      <w:r w:rsidR="00AA65EC">
        <w:rPr>
          <w:rFonts w:ascii="Times New Roman" w:hAnsi="Times New Roman"/>
          <w:b w:val="0"/>
          <w:sz w:val="24"/>
          <w:szCs w:val="24"/>
        </w:rPr>
        <w:t>is likely to reduce, although by an immaterial amount</w:t>
      </w:r>
      <w:r w:rsidR="002C20F7">
        <w:rPr>
          <w:rFonts w:ascii="Times New Roman" w:hAnsi="Times New Roman"/>
          <w:b w:val="0"/>
          <w:sz w:val="24"/>
          <w:szCs w:val="24"/>
        </w:rPr>
        <w:t>,</w:t>
      </w:r>
      <w:r w:rsidR="00B03C92">
        <w:rPr>
          <w:rFonts w:ascii="Times New Roman" w:hAnsi="Times New Roman"/>
          <w:b w:val="0"/>
          <w:sz w:val="24"/>
          <w:szCs w:val="24"/>
        </w:rPr>
        <w:t xml:space="preserve"> relative to total audit fees</w:t>
      </w:r>
      <w:r w:rsidR="00AA65EC">
        <w:rPr>
          <w:rFonts w:ascii="Times New Roman" w:hAnsi="Times New Roman"/>
          <w:b w:val="0"/>
          <w:sz w:val="24"/>
          <w:szCs w:val="24"/>
        </w:rPr>
        <w:t>,</w:t>
      </w:r>
      <w:r w:rsidR="00856369">
        <w:rPr>
          <w:rFonts w:ascii="Times New Roman" w:hAnsi="Times New Roman"/>
          <w:b w:val="0"/>
          <w:sz w:val="24"/>
          <w:szCs w:val="24"/>
        </w:rPr>
        <w:t xml:space="preserve"> </w:t>
      </w:r>
      <w:r w:rsidR="000856C2">
        <w:rPr>
          <w:rFonts w:ascii="Times New Roman" w:hAnsi="Times New Roman"/>
          <w:b w:val="0"/>
          <w:sz w:val="24"/>
          <w:szCs w:val="24"/>
        </w:rPr>
        <w:t>for general insurers.</w:t>
      </w:r>
      <w:r w:rsidR="00F65616">
        <w:rPr>
          <w:rFonts w:ascii="Times New Roman" w:hAnsi="Times New Roman"/>
          <w:b w:val="0"/>
          <w:sz w:val="24"/>
          <w:szCs w:val="24"/>
        </w:rPr>
        <w:t xml:space="preserve"> </w:t>
      </w:r>
      <w:r w:rsidR="0091308F">
        <w:rPr>
          <w:rFonts w:ascii="Times New Roman" w:hAnsi="Times New Roman"/>
          <w:b w:val="0"/>
          <w:sz w:val="24"/>
          <w:szCs w:val="24"/>
        </w:rPr>
        <w:t xml:space="preserve">The instrument continues existing audit arrangements for </w:t>
      </w:r>
      <w:r w:rsidR="00F65616">
        <w:rPr>
          <w:rFonts w:ascii="Times New Roman" w:hAnsi="Times New Roman"/>
          <w:b w:val="0"/>
          <w:sz w:val="24"/>
          <w:szCs w:val="24"/>
        </w:rPr>
        <w:t>these reporting standards</w:t>
      </w:r>
      <w:r w:rsidR="009B0C3B">
        <w:rPr>
          <w:rFonts w:ascii="Times New Roman" w:hAnsi="Times New Roman"/>
          <w:b w:val="0"/>
          <w:sz w:val="24"/>
          <w:szCs w:val="24"/>
        </w:rPr>
        <w:t xml:space="preserve"> and their current equivalents</w:t>
      </w:r>
      <w:r w:rsidR="00F65616">
        <w:rPr>
          <w:rFonts w:ascii="Times New Roman" w:hAnsi="Times New Roman"/>
          <w:b w:val="0"/>
          <w:sz w:val="24"/>
          <w:szCs w:val="24"/>
        </w:rPr>
        <w:t>.</w:t>
      </w:r>
    </w:p>
    <w:p w14:paraId="068A2CF4" w14:textId="77777777" w:rsidR="00CF2CBE" w:rsidRDefault="00CF2CBE" w:rsidP="00E31428">
      <w:pPr>
        <w:pStyle w:val="Heading"/>
        <w:rPr>
          <w:rFonts w:ascii="Times New Roman" w:hAnsi="Times New Roman"/>
          <w:b w:val="0"/>
          <w:sz w:val="24"/>
          <w:szCs w:val="24"/>
        </w:rPr>
      </w:pPr>
    </w:p>
    <w:p w14:paraId="47D0707F" w14:textId="070B403C" w:rsidR="00CF2CBE" w:rsidRDefault="00CF2CBE" w:rsidP="00E31428">
      <w:pPr>
        <w:pStyle w:val="Heading"/>
        <w:rPr>
          <w:rFonts w:ascii="Times New Roman" w:hAnsi="Times New Roman"/>
          <w:b w:val="0"/>
          <w:i/>
          <w:sz w:val="24"/>
          <w:szCs w:val="24"/>
        </w:rPr>
      </w:pPr>
      <w:r>
        <w:rPr>
          <w:rFonts w:ascii="Times New Roman" w:hAnsi="Times New Roman"/>
          <w:b w:val="0"/>
          <w:i/>
          <w:sz w:val="24"/>
          <w:szCs w:val="24"/>
        </w:rPr>
        <w:t>Explanation of each provision in the instrument</w:t>
      </w:r>
    </w:p>
    <w:p w14:paraId="55ABE1D6" w14:textId="77777777" w:rsidR="00376CB1" w:rsidRDefault="00376CB1" w:rsidP="00E31428">
      <w:pPr>
        <w:pStyle w:val="Heading"/>
        <w:rPr>
          <w:rFonts w:ascii="Times New Roman" w:hAnsi="Times New Roman"/>
          <w:b w:val="0"/>
          <w:sz w:val="24"/>
          <w:szCs w:val="24"/>
        </w:rPr>
      </w:pPr>
    </w:p>
    <w:p w14:paraId="6EA1B4DC" w14:textId="3E03B6BE" w:rsidR="006C5F15" w:rsidRDefault="009C683A" w:rsidP="00E31428">
      <w:pPr>
        <w:pStyle w:val="Heading"/>
        <w:rPr>
          <w:rFonts w:ascii="Times New Roman" w:hAnsi="Times New Roman"/>
          <w:b w:val="0"/>
          <w:sz w:val="24"/>
          <w:szCs w:val="24"/>
        </w:rPr>
      </w:pPr>
      <w:r>
        <w:rPr>
          <w:rFonts w:ascii="Times New Roman" w:hAnsi="Times New Roman"/>
          <w:b w:val="0"/>
          <w:sz w:val="24"/>
          <w:szCs w:val="24"/>
        </w:rPr>
        <w:t>The instrument is comprised of</w:t>
      </w:r>
      <w:r w:rsidR="006C5F15">
        <w:rPr>
          <w:rFonts w:ascii="Times New Roman" w:hAnsi="Times New Roman"/>
          <w:b w:val="0"/>
          <w:sz w:val="24"/>
          <w:szCs w:val="24"/>
        </w:rPr>
        <w:t>:</w:t>
      </w:r>
      <w:r>
        <w:rPr>
          <w:rFonts w:ascii="Times New Roman" w:hAnsi="Times New Roman"/>
          <w:b w:val="0"/>
          <w:sz w:val="24"/>
          <w:szCs w:val="24"/>
        </w:rPr>
        <w:t xml:space="preserve"> </w:t>
      </w:r>
    </w:p>
    <w:p w14:paraId="2F86755C" w14:textId="77777777" w:rsidR="00376CB1" w:rsidRDefault="00376CB1" w:rsidP="00E31428">
      <w:pPr>
        <w:pStyle w:val="Heading"/>
        <w:rPr>
          <w:rFonts w:ascii="Times New Roman" w:hAnsi="Times New Roman"/>
          <w:b w:val="0"/>
          <w:sz w:val="24"/>
          <w:szCs w:val="24"/>
        </w:rPr>
      </w:pPr>
    </w:p>
    <w:p w14:paraId="7593E0C8" w14:textId="125D878D" w:rsidR="00CF2CBE" w:rsidRPr="00C22FB0" w:rsidRDefault="009C683A" w:rsidP="00E31428">
      <w:pPr>
        <w:pStyle w:val="Heading"/>
        <w:numPr>
          <w:ilvl w:val="0"/>
          <w:numId w:val="6"/>
        </w:numPr>
        <w:rPr>
          <w:rFonts w:ascii="Times New Roman" w:hAnsi="Times New Roman"/>
          <w:b w:val="0"/>
          <w:sz w:val="24"/>
          <w:szCs w:val="24"/>
        </w:rPr>
      </w:pPr>
      <w:r>
        <w:rPr>
          <w:rFonts w:ascii="Times New Roman" w:hAnsi="Times New Roman"/>
          <w:b w:val="0"/>
          <w:sz w:val="24"/>
          <w:szCs w:val="24"/>
        </w:rPr>
        <w:t xml:space="preserve">a determination made under </w:t>
      </w:r>
      <w:r w:rsidR="002E7184" w:rsidRPr="002E7184">
        <w:rPr>
          <w:rFonts w:ascii="Times New Roman" w:hAnsi="Times New Roman"/>
          <w:b w:val="0"/>
          <w:sz w:val="24"/>
          <w:szCs w:val="24"/>
          <w:lang w:val="en-US"/>
        </w:rPr>
        <w:t xml:space="preserve">subsection 7(1) of the </w:t>
      </w:r>
      <w:r w:rsidR="002E7184" w:rsidRPr="002E7184">
        <w:rPr>
          <w:rFonts w:ascii="Times New Roman" w:hAnsi="Times New Roman"/>
          <w:b w:val="0"/>
          <w:i/>
          <w:sz w:val="24"/>
          <w:szCs w:val="24"/>
          <w:lang w:val="en-US"/>
        </w:rPr>
        <w:t>Insurance Act 1973</w:t>
      </w:r>
      <w:r w:rsidR="002E7184">
        <w:rPr>
          <w:rFonts w:ascii="Times New Roman" w:hAnsi="Times New Roman"/>
          <w:b w:val="0"/>
          <w:i/>
          <w:sz w:val="24"/>
          <w:szCs w:val="24"/>
          <w:lang w:val="en-US"/>
        </w:rPr>
        <w:t xml:space="preserve"> </w:t>
      </w:r>
      <w:r w:rsidR="002E7184">
        <w:rPr>
          <w:rFonts w:ascii="Times New Roman" w:hAnsi="Times New Roman"/>
          <w:b w:val="0"/>
          <w:sz w:val="24"/>
          <w:szCs w:val="24"/>
          <w:lang w:val="en-US"/>
        </w:rPr>
        <w:t xml:space="preserve">that exempts each class of person </w:t>
      </w:r>
      <w:r w:rsidR="006C5F15" w:rsidRPr="006C5F15">
        <w:rPr>
          <w:rFonts w:ascii="Times New Roman" w:hAnsi="Times New Roman"/>
          <w:b w:val="0"/>
          <w:sz w:val="24"/>
          <w:szCs w:val="24"/>
          <w:lang w:val="en-US"/>
        </w:rPr>
        <w:t xml:space="preserve">mentioned in the first column of the Schedule from the provision mentioned in the corresponding row of the second column of the </w:t>
      </w:r>
      <w:proofErr w:type="gramStart"/>
      <w:r w:rsidR="006C5F15" w:rsidRPr="006C5F15">
        <w:rPr>
          <w:rFonts w:ascii="Times New Roman" w:hAnsi="Times New Roman"/>
          <w:b w:val="0"/>
          <w:sz w:val="24"/>
          <w:szCs w:val="24"/>
          <w:lang w:val="en-US"/>
        </w:rPr>
        <w:t>Schedule</w:t>
      </w:r>
      <w:r w:rsidR="006C5F15">
        <w:rPr>
          <w:rFonts w:ascii="Times New Roman" w:hAnsi="Times New Roman"/>
          <w:b w:val="0"/>
          <w:sz w:val="24"/>
          <w:szCs w:val="24"/>
          <w:lang w:val="en-US"/>
        </w:rPr>
        <w:t>;</w:t>
      </w:r>
      <w:proofErr w:type="gramEnd"/>
    </w:p>
    <w:p w14:paraId="2925E0C0" w14:textId="77777777" w:rsidR="00C22FB0" w:rsidRPr="006C5F15" w:rsidRDefault="00C22FB0" w:rsidP="00C22FB0">
      <w:pPr>
        <w:pStyle w:val="Heading"/>
        <w:ind w:left="360"/>
        <w:rPr>
          <w:rFonts w:ascii="Times New Roman" w:hAnsi="Times New Roman"/>
          <w:b w:val="0"/>
          <w:sz w:val="24"/>
          <w:szCs w:val="24"/>
        </w:rPr>
      </w:pPr>
    </w:p>
    <w:p w14:paraId="38A6A310" w14:textId="2D2BE5E4" w:rsidR="006C5F15" w:rsidRPr="00C22FB0" w:rsidRDefault="006C5F15" w:rsidP="00E31428">
      <w:pPr>
        <w:pStyle w:val="Heading"/>
        <w:numPr>
          <w:ilvl w:val="0"/>
          <w:numId w:val="6"/>
        </w:numPr>
        <w:rPr>
          <w:rFonts w:ascii="Times New Roman" w:hAnsi="Times New Roman"/>
          <w:b w:val="0"/>
          <w:sz w:val="24"/>
          <w:szCs w:val="24"/>
        </w:rPr>
      </w:pPr>
      <w:r>
        <w:rPr>
          <w:rFonts w:ascii="Times New Roman" w:hAnsi="Times New Roman"/>
          <w:b w:val="0"/>
          <w:sz w:val="24"/>
          <w:szCs w:val="24"/>
          <w:lang w:val="en-US"/>
        </w:rPr>
        <w:t>an interpretation section that defines key terms</w:t>
      </w:r>
      <w:r w:rsidR="00096E5A">
        <w:rPr>
          <w:rFonts w:ascii="Times New Roman" w:hAnsi="Times New Roman"/>
          <w:b w:val="0"/>
          <w:sz w:val="24"/>
          <w:szCs w:val="24"/>
          <w:lang w:val="en-US"/>
        </w:rPr>
        <w:t xml:space="preserve">, including which reporting standards </w:t>
      </w:r>
      <w:r w:rsidR="00631D38">
        <w:rPr>
          <w:rFonts w:ascii="Times New Roman" w:hAnsi="Times New Roman"/>
          <w:b w:val="0"/>
          <w:sz w:val="24"/>
          <w:szCs w:val="24"/>
          <w:lang w:val="en-US"/>
        </w:rPr>
        <w:t>to which the determination applies</w:t>
      </w:r>
      <w:r>
        <w:rPr>
          <w:rFonts w:ascii="Times New Roman" w:hAnsi="Times New Roman"/>
          <w:b w:val="0"/>
          <w:sz w:val="24"/>
          <w:szCs w:val="24"/>
          <w:lang w:val="en-US"/>
        </w:rPr>
        <w:t>; and</w:t>
      </w:r>
    </w:p>
    <w:p w14:paraId="081F21E4" w14:textId="77777777" w:rsidR="00C22FB0" w:rsidRPr="006C5F15" w:rsidRDefault="00C22FB0" w:rsidP="00C22FB0">
      <w:pPr>
        <w:pStyle w:val="Heading"/>
        <w:ind w:left="360"/>
        <w:rPr>
          <w:rFonts w:ascii="Times New Roman" w:hAnsi="Times New Roman"/>
          <w:b w:val="0"/>
          <w:sz w:val="24"/>
          <w:szCs w:val="24"/>
        </w:rPr>
      </w:pPr>
    </w:p>
    <w:p w14:paraId="133DD736" w14:textId="07E6B976" w:rsidR="006C5F15" w:rsidRPr="002E7184" w:rsidRDefault="006C5F15" w:rsidP="00E31428">
      <w:pPr>
        <w:pStyle w:val="Heading"/>
        <w:numPr>
          <w:ilvl w:val="0"/>
          <w:numId w:val="6"/>
        </w:numPr>
        <w:rPr>
          <w:rFonts w:ascii="Times New Roman" w:hAnsi="Times New Roman"/>
          <w:b w:val="0"/>
          <w:sz w:val="24"/>
          <w:szCs w:val="24"/>
        </w:rPr>
      </w:pPr>
      <w:r>
        <w:rPr>
          <w:rFonts w:ascii="Times New Roman" w:hAnsi="Times New Roman"/>
          <w:b w:val="0"/>
          <w:sz w:val="24"/>
          <w:szCs w:val="24"/>
          <w:lang w:val="en-US"/>
        </w:rPr>
        <w:t>the Schedule outlining the persons exempt</w:t>
      </w:r>
      <w:r w:rsidR="00F06CA3">
        <w:rPr>
          <w:rFonts w:ascii="Times New Roman" w:hAnsi="Times New Roman"/>
          <w:b w:val="0"/>
          <w:sz w:val="24"/>
          <w:szCs w:val="24"/>
          <w:lang w:val="en-US"/>
        </w:rPr>
        <w:t xml:space="preserve">ed by the instrument, and the provision/s in the </w:t>
      </w:r>
      <w:r w:rsidR="00F06CA3" w:rsidRPr="00F06CA3">
        <w:rPr>
          <w:rFonts w:ascii="Times New Roman" w:hAnsi="Times New Roman"/>
          <w:b w:val="0"/>
          <w:i/>
          <w:sz w:val="24"/>
          <w:szCs w:val="24"/>
          <w:lang w:val="en-US"/>
        </w:rPr>
        <w:t>Insurance Act 1973</w:t>
      </w:r>
      <w:r w:rsidR="00F06CA3">
        <w:rPr>
          <w:rFonts w:ascii="Times New Roman" w:hAnsi="Times New Roman"/>
          <w:b w:val="0"/>
          <w:i/>
          <w:sz w:val="24"/>
          <w:szCs w:val="24"/>
          <w:lang w:val="en-US"/>
        </w:rPr>
        <w:t xml:space="preserve"> </w:t>
      </w:r>
      <w:r w:rsidR="00F06CA3">
        <w:rPr>
          <w:rFonts w:ascii="Times New Roman" w:hAnsi="Times New Roman"/>
          <w:b w:val="0"/>
          <w:sz w:val="24"/>
          <w:szCs w:val="24"/>
          <w:lang w:val="en-US"/>
        </w:rPr>
        <w:t>from which each person is exempt.</w:t>
      </w:r>
    </w:p>
    <w:p w14:paraId="49737130" w14:textId="77777777" w:rsidR="006E4269" w:rsidRDefault="006E4269" w:rsidP="00E31428">
      <w:pPr>
        <w:pStyle w:val="Heading"/>
        <w:rPr>
          <w:rFonts w:ascii="Times New Roman" w:hAnsi="Times New Roman"/>
          <w:b w:val="0"/>
          <w:sz w:val="24"/>
          <w:szCs w:val="24"/>
        </w:rPr>
      </w:pPr>
    </w:p>
    <w:p w14:paraId="713F79DA" w14:textId="77777777" w:rsidR="00384772" w:rsidRDefault="00376CB1" w:rsidP="00E31428">
      <w:pPr>
        <w:pStyle w:val="Heading5"/>
        <w:jc w:val="both"/>
        <w:rPr>
          <w:rFonts w:ascii="Times New Roman" w:hAnsi="Times New Roman"/>
          <w:sz w:val="24"/>
          <w:szCs w:val="24"/>
        </w:rPr>
      </w:pPr>
      <w:r>
        <w:rPr>
          <w:rFonts w:ascii="Times New Roman" w:hAnsi="Times New Roman"/>
          <w:sz w:val="24"/>
          <w:szCs w:val="24"/>
        </w:rPr>
        <w:t>Documents incorporated by reference</w:t>
      </w:r>
    </w:p>
    <w:p w14:paraId="60979D40" w14:textId="423BCA2F" w:rsidR="00376CB1" w:rsidRDefault="00384772" w:rsidP="00384772">
      <w:pPr>
        <w:pStyle w:val="Heading5"/>
        <w:jc w:val="both"/>
        <w:rPr>
          <w:rFonts w:ascii="Times New Roman" w:hAnsi="Times New Roman"/>
          <w:b w:val="0"/>
          <w:sz w:val="24"/>
          <w:szCs w:val="24"/>
        </w:rPr>
      </w:pPr>
      <w:r>
        <w:rPr>
          <w:rFonts w:ascii="Times New Roman" w:hAnsi="Times New Roman"/>
          <w:sz w:val="24"/>
          <w:szCs w:val="24"/>
        </w:rPr>
        <w:lastRenderedPageBreak/>
        <w:t xml:space="preserve"> </w:t>
      </w:r>
      <w:r>
        <w:rPr>
          <w:rFonts w:ascii="Times New Roman" w:hAnsi="Times New Roman"/>
          <w:sz w:val="24"/>
          <w:szCs w:val="24"/>
        </w:rPr>
        <w:br/>
      </w:r>
      <w:r w:rsidR="00376CB1" w:rsidRPr="00681FD0">
        <w:rPr>
          <w:rFonts w:ascii="Times New Roman" w:hAnsi="Times New Roman"/>
          <w:b w:val="0"/>
          <w:sz w:val="24"/>
          <w:szCs w:val="24"/>
        </w:rPr>
        <w:t xml:space="preserve">Under paragraph 14(1)(a) of the </w:t>
      </w:r>
      <w:r w:rsidR="00376CB1" w:rsidRPr="00681FD0">
        <w:rPr>
          <w:rFonts w:ascii="Times New Roman" w:hAnsi="Times New Roman"/>
          <w:b w:val="0"/>
          <w:i/>
          <w:sz w:val="24"/>
          <w:szCs w:val="24"/>
        </w:rPr>
        <w:t>Legislation Act 2003</w:t>
      </w:r>
      <w:r w:rsidR="00376CB1" w:rsidRPr="00681FD0">
        <w:rPr>
          <w:rFonts w:ascii="Times New Roman" w:hAnsi="Times New Roman"/>
          <w:b w:val="0"/>
          <w:sz w:val="24"/>
          <w:szCs w:val="24"/>
        </w:rPr>
        <w:t xml:space="preserve">, the </w:t>
      </w:r>
      <w:r w:rsidR="00681FD0">
        <w:rPr>
          <w:rFonts w:ascii="Times New Roman" w:hAnsi="Times New Roman"/>
          <w:b w:val="0"/>
          <w:sz w:val="24"/>
          <w:szCs w:val="24"/>
        </w:rPr>
        <w:t xml:space="preserve">reporting </w:t>
      </w:r>
      <w:r w:rsidR="00376CB1" w:rsidRPr="00681FD0">
        <w:rPr>
          <w:rFonts w:ascii="Times New Roman" w:hAnsi="Times New Roman"/>
          <w:b w:val="0"/>
          <w:sz w:val="24"/>
          <w:szCs w:val="24"/>
        </w:rPr>
        <w:t>standard</w:t>
      </w:r>
      <w:r w:rsidR="00681FD0">
        <w:rPr>
          <w:rFonts w:ascii="Times New Roman" w:hAnsi="Times New Roman"/>
          <w:b w:val="0"/>
          <w:sz w:val="24"/>
          <w:szCs w:val="24"/>
        </w:rPr>
        <w:t xml:space="preserve"> may </w:t>
      </w:r>
      <w:r w:rsidR="00376CB1" w:rsidRPr="00681FD0">
        <w:rPr>
          <w:rFonts w:ascii="Times New Roman" w:hAnsi="Times New Roman"/>
          <w:b w:val="0"/>
          <w:sz w:val="24"/>
          <w:szCs w:val="24"/>
        </w:rPr>
        <w:t xml:space="preserve">incorporate by reference as in force from time to time: </w:t>
      </w:r>
    </w:p>
    <w:p w14:paraId="10320FE9" w14:textId="77777777" w:rsidR="00681FD0" w:rsidRPr="00681FD0" w:rsidRDefault="00681FD0" w:rsidP="00681FD0"/>
    <w:p w14:paraId="3378846E" w14:textId="77777777" w:rsidR="00376CB1" w:rsidRDefault="00376CB1" w:rsidP="00E31428">
      <w:pPr>
        <w:numPr>
          <w:ilvl w:val="0"/>
          <w:numId w:val="8"/>
        </w:numPr>
        <w:spacing w:after="240"/>
        <w:jc w:val="both"/>
        <w:rPr>
          <w:rFonts w:ascii="Times New Roman" w:hAnsi="Times New Roman"/>
          <w:sz w:val="24"/>
          <w:szCs w:val="24"/>
        </w:rPr>
      </w:pPr>
      <w:r>
        <w:rPr>
          <w:rFonts w:ascii="Times New Roman" w:hAnsi="Times New Roman"/>
          <w:sz w:val="24"/>
          <w:szCs w:val="24"/>
        </w:rPr>
        <w:t>Acts of Parliament and associated delegated legislation;</w:t>
      </w:r>
    </w:p>
    <w:p w14:paraId="317D442E" w14:textId="77777777" w:rsidR="00376CB1" w:rsidRDefault="00376CB1" w:rsidP="00E31428">
      <w:pPr>
        <w:numPr>
          <w:ilvl w:val="0"/>
          <w:numId w:val="8"/>
        </w:numPr>
        <w:spacing w:after="240"/>
        <w:jc w:val="both"/>
        <w:rPr>
          <w:rFonts w:ascii="Times New Roman" w:hAnsi="Times New Roman"/>
          <w:sz w:val="24"/>
          <w:szCs w:val="24"/>
        </w:rPr>
      </w:pPr>
      <w:r>
        <w:rPr>
          <w:rFonts w:ascii="Times New Roman" w:hAnsi="Times New Roman"/>
          <w:sz w:val="24"/>
          <w:szCs w:val="24"/>
        </w:rPr>
        <w:t xml:space="preserve">Prudential Standards determined by APRA under: </w:t>
      </w:r>
    </w:p>
    <w:p w14:paraId="2DAD78D8" w14:textId="77777777" w:rsidR="00376CB1" w:rsidRDefault="00376CB1" w:rsidP="00E31428">
      <w:pPr>
        <w:numPr>
          <w:ilvl w:val="1"/>
          <w:numId w:val="8"/>
        </w:numPr>
        <w:spacing w:after="240"/>
        <w:jc w:val="both"/>
        <w:rPr>
          <w:rFonts w:ascii="Times New Roman" w:hAnsi="Times New Roman"/>
          <w:sz w:val="24"/>
          <w:szCs w:val="24"/>
        </w:rPr>
      </w:pPr>
      <w:r>
        <w:rPr>
          <w:rFonts w:ascii="Times New Roman" w:hAnsi="Times New Roman"/>
          <w:sz w:val="24"/>
          <w:szCs w:val="24"/>
        </w:rPr>
        <w:t>subsection 11</w:t>
      </w:r>
      <w:proofErr w:type="gramStart"/>
      <w:r>
        <w:rPr>
          <w:rFonts w:ascii="Times New Roman" w:hAnsi="Times New Roman"/>
          <w:sz w:val="24"/>
          <w:szCs w:val="24"/>
        </w:rPr>
        <w:t>AF(</w:t>
      </w:r>
      <w:proofErr w:type="gramEnd"/>
      <w:r>
        <w:rPr>
          <w:rFonts w:ascii="Times New Roman" w:hAnsi="Times New Roman"/>
          <w:sz w:val="24"/>
          <w:szCs w:val="24"/>
        </w:rPr>
        <w:t>1) of the</w:t>
      </w:r>
      <w:r>
        <w:rPr>
          <w:rFonts w:ascii="Times New Roman" w:hAnsi="Times New Roman"/>
          <w:i/>
          <w:iCs/>
          <w:sz w:val="24"/>
          <w:szCs w:val="24"/>
        </w:rPr>
        <w:t> Banking Act 1959</w:t>
      </w:r>
      <w:r>
        <w:rPr>
          <w:rFonts w:ascii="Times New Roman" w:hAnsi="Times New Roman"/>
          <w:iCs/>
          <w:sz w:val="24"/>
          <w:szCs w:val="24"/>
        </w:rPr>
        <w:t>;</w:t>
      </w:r>
    </w:p>
    <w:p w14:paraId="7301D207" w14:textId="77777777" w:rsidR="00376CB1" w:rsidRDefault="00376CB1" w:rsidP="00E31428">
      <w:pPr>
        <w:numPr>
          <w:ilvl w:val="1"/>
          <w:numId w:val="8"/>
        </w:numPr>
        <w:spacing w:after="240"/>
        <w:jc w:val="both"/>
        <w:rPr>
          <w:rFonts w:ascii="Times New Roman" w:hAnsi="Times New Roman"/>
          <w:sz w:val="24"/>
          <w:szCs w:val="24"/>
        </w:rPr>
      </w:pPr>
      <w:r>
        <w:rPr>
          <w:rFonts w:ascii="Times New Roman" w:hAnsi="Times New Roman"/>
          <w:sz w:val="24"/>
          <w:szCs w:val="24"/>
        </w:rPr>
        <w:t>subsection 32(1) of the </w:t>
      </w:r>
      <w:r>
        <w:rPr>
          <w:rFonts w:ascii="Times New Roman" w:hAnsi="Times New Roman"/>
          <w:i/>
          <w:iCs/>
          <w:sz w:val="24"/>
          <w:szCs w:val="24"/>
        </w:rPr>
        <w:t xml:space="preserve">Insurance Act </w:t>
      </w:r>
      <w:proofErr w:type="gramStart"/>
      <w:r>
        <w:rPr>
          <w:rFonts w:ascii="Times New Roman" w:hAnsi="Times New Roman"/>
          <w:i/>
          <w:iCs/>
          <w:sz w:val="24"/>
          <w:szCs w:val="24"/>
        </w:rPr>
        <w:t>1973</w:t>
      </w:r>
      <w:r>
        <w:rPr>
          <w:rFonts w:ascii="Times New Roman" w:hAnsi="Times New Roman"/>
          <w:sz w:val="24"/>
          <w:szCs w:val="24"/>
        </w:rPr>
        <w:t>;</w:t>
      </w:r>
      <w:proofErr w:type="gramEnd"/>
    </w:p>
    <w:p w14:paraId="27E35566" w14:textId="77777777" w:rsidR="00376CB1" w:rsidRDefault="00376CB1" w:rsidP="00E31428">
      <w:pPr>
        <w:numPr>
          <w:ilvl w:val="1"/>
          <w:numId w:val="8"/>
        </w:numPr>
        <w:spacing w:after="240"/>
        <w:jc w:val="both"/>
        <w:rPr>
          <w:rFonts w:ascii="Times New Roman" w:hAnsi="Times New Roman"/>
          <w:sz w:val="24"/>
          <w:szCs w:val="24"/>
        </w:rPr>
      </w:pPr>
      <w:r>
        <w:rPr>
          <w:rFonts w:ascii="Times New Roman" w:hAnsi="Times New Roman"/>
          <w:sz w:val="24"/>
          <w:szCs w:val="24"/>
        </w:rPr>
        <w:t>subsection 230</w:t>
      </w:r>
      <w:proofErr w:type="gramStart"/>
      <w:r>
        <w:rPr>
          <w:rFonts w:ascii="Times New Roman" w:hAnsi="Times New Roman"/>
          <w:sz w:val="24"/>
          <w:szCs w:val="24"/>
        </w:rPr>
        <w:t>A(</w:t>
      </w:r>
      <w:proofErr w:type="gramEnd"/>
      <w:r>
        <w:rPr>
          <w:rFonts w:ascii="Times New Roman" w:hAnsi="Times New Roman"/>
          <w:sz w:val="24"/>
          <w:szCs w:val="24"/>
        </w:rPr>
        <w:t>1) of the </w:t>
      </w:r>
      <w:r>
        <w:rPr>
          <w:rFonts w:ascii="Times New Roman" w:hAnsi="Times New Roman"/>
          <w:i/>
          <w:iCs/>
          <w:sz w:val="24"/>
          <w:szCs w:val="24"/>
        </w:rPr>
        <w:t>Life Insurance Act 1995</w:t>
      </w:r>
      <w:r>
        <w:rPr>
          <w:rFonts w:ascii="Times New Roman" w:hAnsi="Times New Roman"/>
          <w:iCs/>
          <w:sz w:val="24"/>
          <w:szCs w:val="24"/>
        </w:rPr>
        <w:t>; and</w:t>
      </w:r>
    </w:p>
    <w:p w14:paraId="574FF176" w14:textId="77777777" w:rsidR="00376CB1" w:rsidRDefault="00376CB1" w:rsidP="00E31428">
      <w:pPr>
        <w:numPr>
          <w:ilvl w:val="1"/>
          <w:numId w:val="8"/>
        </w:numPr>
        <w:spacing w:after="240"/>
        <w:jc w:val="both"/>
        <w:rPr>
          <w:rFonts w:ascii="Times New Roman" w:hAnsi="Times New Roman"/>
          <w:sz w:val="24"/>
          <w:szCs w:val="24"/>
        </w:rPr>
      </w:pPr>
      <w:r>
        <w:rPr>
          <w:rFonts w:ascii="Times New Roman" w:hAnsi="Times New Roman"/>
          <w:sz w:val="24"/>
          <w:szCs w:val="24"/>
        </w:rPr>
        <w:t> subsection 92(1) of the </w:t>
      </w:r>
      <w:r>
        <w:rPr>
          <w:rFonts w:ascii="Times New Roman" w:hAnsi="Times New Roman"/>
          <w:i/>
          <w:iCs/>
          <w:sz w:val="24"/>
          <w:szCs w:val="24"/>
        </w:rPr>
        <w:t>Private Health Insurance (Prudential Supervision) Act 2015</w:t>
      </w:r>
      <w:r>
        <w:rPr>
          <w:rFonts w:ascii="Times New Roman" w:hAnsi="Times New Roman"/>
          <w:iCs/>
          <w:sz w:val="24"/>
          <w:szCs w:val="24"/>
        </w:rPr>
        <w:t>; and</w:t>
      </w:r>
    </w:p>
    <w:p w14:paraId="30EF19AE" w14:textId="77777777" w:rsidR="00376CB1" w:rsidRDefault="00376CB1" w:rsidP="00E31428">
      <w:pPr>
        <w:numPr>
          <w:ilvl w:val="0"/>
          <w:numId w:val="8"/>
        </w:numPr>
        <w:spacing w:after="240"/>
        <w:jc w:val="both"/>
        <w:rPr>
          <w:rFonts w:ascii="Times New Roman" w:hAnsi="Times New Roman"/>
          <w:sz w:val="24"/>
          <w:szCs w:val="24"/>
        </w:rPr>
      </w:pPr>
      <w:r>
        <w:rPr>
          <w:rFonts w:ascii="Times New Roman" w:hAnsi="Times New Roman"/>
          <w:sz w:val="24"/>
          <w:szCs w:val="24"/>
        </w:rPr>
        <w:t xml:space="preserve">Reporting Standards determined by APRA under subsection 13(1) of the </w:t>
      </w:r>
      <w:proofErr w:type="gramStart"/>
      <w:r>
        <w:rPr>
          <w:rFonts w:ascii="Times New Roman" w:hAnsi="Times New Roman"/>
          <w:sz w:val="24"/>
          <w:szCs w:val="24"/>
        </w:rPr>
        <w:t>Act</w:t>
      </w:r>
      <w:r>
        <w:rPr>
          <w:rFonts w:ascii="Times New Roman" w:hAnsi="Times New Roman"/>
          <w:iCs/>
          <w:sz w:val="24"/>
          <w:szCs w:val="24"/>
          <w:lang w:val="en-US"/>
        </w:rPr>
        <w:t>;</w:t>
      </w:r>
      <w:proofErr w:type="gramEnd"/>
    </w:p>
    <w:p w14:paraId="5FB8EB92" w14:textId="77777777" w:rsidR="00376CB1" w:rsidRDefault="00376CB1" w:rsidP="00E31428">
      <w:pPr>
        <w:numPr>
          <w:ilvl w:val="0"/>
          <w:numId w:val="8"/>
        </w:numPr>
        <w:spacing w:after="240"/>
        <w:jc w:val="both"/>
        <w:rPr>
          <w:rFonts w:ascii="Times New Roman" w:hAnsi="Times New Roman"/>
          <w:i/>
          <w:iCs/>
          <w:sz w:val="24"/>
          <w:szCs w:val="24"/>
        </w:rPr>
      </w:pPr>
      <w:r>
        <w:rPr>
          <w:rFonts w:ascii="Times New Roman" w:hAnsi="Times New Roman"/>
          <w:sz w:val="24"/>
          <w:szCs w:val="24"/>
        </w:rPr>
        <w:t xml:space="preserve">the Australian Accounting Standards determined by the Australian Accounting Standards Board under section 334 of the </w:t>
      </w:r>
      <w:r>
        <w:rPr>
          <w:rFonts w:ascii="Times New Roman" w:hAnsi="Times New Roman"/>
          <w:i/>
          <w:iCs/>
          <w:sz w:val="24"/>
          <w:szCs w:val="24"/>
        </w:rPr>
        <w:t xml:space="preserve">Corporations Act 2001 </w:t>
      </w:r>
      <w:r>
        <w:rPr>
          <w:rFonts w:ascii="Times New Roman" w:hAnsi="Times New Roman"/>
          <w:sz w:val="24"/>
          <w:szCs w:val="24"/>
        </w:rPr>
        <w:t>(Cth); and</w:t>
      </w:r>
    </w:p>
    <w:p w14:paraId="54322531" w14:textId="77777777" w:rsidR="00376CB1" w:rsidRDefault="00376CB1" w:rsidP="00E31428">
      <w:pPr>
        <w:numPr>
          <w:ilvl w:val="0"/>
          <w:numId w:val="8"/>
        </w:numPr>
        <w:spacing w:after="240"/>
        <w:jc w:val="both"/>
        <w:rPr>
          <w:rFonts w:ascii="Times New Roman" w:hAnsi="Times New Roman"/>
          <w:i/>
          <w:iCs/>
          <w:sz w:val="24"/>
          <w:szCs w:val="24"/>
        </w:rPr>
      </w:pPr>
      <w:r>
        <w:rPr>
          <w:rFonts w:ascii="Times New Roman" w:hAnsi="Times New Roman"/>
          <w:sz w:val="24"/>
          <w:szCs w:val="24"/>
        </w:rPr>
        <w:t xml:space="preserve">the Australian Auditing Standards determined by the Auditing and Assurance Standards Board under section 336 of the </w:t>
      </w:r>
      <w:r w:rsidRPr="00B64D0A">
        <w:rPr>
          <w:rFonts w:ascii="Times New Roman" w:hAnsi="Times New Roman"/>
          <w:sz w:val="24"/>
          <w:szCs w:val="24"/>
        </w:rPr>
        <w:t>Corporations</w:t>
      </w:r>
      <w:r>
        <w:rPr>
          <w:rFonts w:ascii="Times New Roman" w:hAnsi="Times New Roman"/>
          <w:i/>
          <w:sz w:val="24"/>
          <w:szCs w:val="24"/>
        </w:rPr>
        <w:t xml:space="preserve"> Act 2001</w:t>
      </w:r>
      <w:r>
        <w:rPr>
          <w:rFonts w:ascii="Times New Roman" w:hAnsi="Times New Roman"/>
          <w:sz w:val="24"/>
          <w:szCs w:val="24"/>
        </w:rPr>
        <w:t xml:space="preserve"> (Cth).</w:t>
      </w:r>
    </w:p>
    <w:p w14:paraId="22C9AAE2" w14:textId="77777777" w:rsidR="00376CB1" w:rsidRDefault="00376CB1" w:rsidP="00E31428">
      <w:pPr>
        <w:jc w:val="both"/>
        <w:rPr>
          <w:rFonts w:ascii="Times New Roman" w:hAnsi="Times New Roman"/>
          <w:sz w:val="24"/>
          <w:szCs w:val="24"/>
        </w:rPr>
      </w:pPr>
      <w:r>
        <w:rPr>
          <w:rFonts w:ascii="Times New Roman" w:hAnsi="Times New Roman"/>
          <w:sz w:val="24"/>
          <w:szCs w:val="24"/>
        </w:rPr>
        <w:t xml:space="preserve">These documents may be freely obtained at </w:t>
      </w:r>
      <w:hyperlink r:id="rId11" w:history="1">
        <w:r>
          <w:rPr>
            <w:rStyle w:val="Hyperlink"/>
            <w:rFonts w:ascii="Times New Roman" w:hAnsi="Times New Roman"/>
            <w:sz w:val="24"/>
            <w:szCs w:val="24"/>
          </w:rPr>
          <w:t>www.legislation.gov.au</w:t>
        </w:r>
      </w:hyperlink>
      <w:r>
        <w:rPr>
          <w:rFonts w:ascii="Times New Roman" w:hAnsi="Times New Roman"/>
          <w:sz w:val="24"/>
          <w:szCs w:val="24"/>
        </w:rPr>
        <w:t xml:space="preserve"> (all documents listed above except for Australian Accounting and Auditing Standards), </w:t>
      </w:r>
      <w:hyperlink r:id="rId12" w:history="1">
        <w:r>
          <w:rPr>
            <w:rStyle w:val="Hyperlink"/>
            <w:rFonts w:ascii="Times New Roman" w:hAnsi="Times New Roman"/>
            <w:sz w:val="24"/>
            <w:szCs w:val="24"/>
          </w:rPr>
          <w:t>https://www.aasb.gov.au/pronouncements/accounting-standards/</w:t>
        </w:r>
      </w:hyperlink>
      <w:r>
        <w:rPr>
          <w:rFonts w:ascii="Times New Roman" w:hAnsi="Times New Roman"/>
          <w:sz w:val="24"/>
          <w:szCs w:val="24"/>
        </w:rPr>
        <w:t xml:space="preserve"> (Australian Accounting Standards) and </w:t>
      </w:r>
      <w:hyperlink r:id="rId13" w:history="1">
        <w:r>
          <w:rPr>
            <w:rStyle w:val="Hyperlink"/>
            <w:rFonts w:ascii="Times New Roman" w:hAnsi="Times New Roman"/>
            <w:sz w:val="24"/>
            <w:szCs w:val="24"/>
          </w:rPr>
          <w:t>https://auasb.gov.au/standards-guidance/auasb-standards/auditing-standards/</w:t>
        </w:r>
      </w:hyperlink>
      <w:r>
        <w:rPr>
          <w:rFonts w:ascii="Times New Roman" w:hAnsi="Times New Roman"/>
          <w:sz w:val="24"/>
          <w:szCs w:val="24"/>
        </w:rPr>
        <w:t xml:space="preserve"> (Australian Auditing Standards).</w:t>
      </w:r>
    </w:p>
    <w:p w14:paraId="5957E420" w14:textId="77777777" w:rsidR="00E31428" w:rsidRDefault="00E31428" w:rsidP="00E31428">
      <w:pPr>
        <w:pStyle w:val="Heading5"/>
        <w:jc w:val="both"/>
        <w:rPr>
          <w:rFonts w:ascii="Times New Roman" w:hAnsi="Times New Roman"/>
          <w:sz w:val="24"/>
          <w:szCs w:val="24"/>
        </w:rPr>
      </w:pPr>
    </w:p>
    <w:p w14:paraId="71D5D39C" w14:textId="7D4BA077" w:rsidR="00376CB1" w:rsidRDefault="00376CB1" w:rsidP="00E31428">
      <w:pPr>
        <w:pStyle w:val="Heading5"/>
        <w:jc w:val="both"/>
        <w:rPr>
          <w:rFonts w:ascii="Times New Roman" w:hAnsi="Times New Roman"/>
          <w:sz w:val="24"/>
          <w:szCs w:val="24"/>
        </w:rPr>
      </w:pPr>
      <w:r>
        <w:rPr>
          <w:rFonts w:ascii="Times New Roman" w:hAnsi="Times New Roman"/>
          <w:sz w:val="24"/>
          <w:szCs w:val="24"/>
        </w:rPr>
        <w:t>Review of decisions</w:t>
      </w:r>
    </w:p>
    <w:p w14:paraId="335EA749" w14:textId="77777777" w:rsidR="00E31428" w:rsidRDefault="00E31428" w:rsidP="00E31428">
      <w:pPr>
        <w:jc w:val="both"/>
        <w:rPr>
          <w:rFonts w:ascii="Times New Roman" w:hAnsi="Times New Roman"/>
          <w:sz w:val="24"/>
          <w:szCs w:val="24"/>
        </w:rPr>
      </w:pPr>
    </w:p>
    <w:p w14:paraId="3323FF1C" w14:textId="2047897E" w:rsidR="00376CB1" w:rsidRDefault="00376CB1" w:rsidP="00E31428">
      <w:pPr>
        <w:jc w:val="both"/>
        <w:rPr>
          <w:rFonts w:ascii="Times New Roman" w:hAnsi="Times New Roman"/>
          <w:sz w:val="24"/>
          <w:szCs w:val="24"/>
        </w:rPr>
      </w:pPr>
      <w:r>
        <w:rPr>
          <w:rFonts w:ascii="Times New Roman" w:hAnsi="Times New Roman"/>
          <w:sz w:val="24"/>
          <w:szCs w:val="24"/>
        </w:rPr>
        <w:t xml:space="preserve">There are several powers that may be exercised by APRA in </w:t>
      </w:r>
      <w:r w:rsidR="00E31428">
        <w:rPr>
          <w:rFonts w:ascii="Times New Roman" w:hAnsi="Times New Roman"/>
          <w:sz w:val="24"/>
          <w:szCs w:val="24"/>
        </w:rPr>
        <w:t>reporting</w:t>
      </w:r>
      <w:r>
        <w:rPr>
          <w:rFonts w:ascii="Times New Roman" w:hAnsi="Times New Roman"/>
          <w:sz w:val="24"/>
          <w:szCs w:val="24"/>
        </w:rPr>
        <w:t xml:space="preserve"> standards that involve an element of discretion, and which may impact the interests of </w:t>
      </w:r>
      <w:r w:rsidR="00E31428">
        <w:rPr>
          <w:rFonts w:ascii="Times New Roman" w:hAnsi="Times New Roman"/>
          <w:sz w:val="24"/>
          <w:szCs w:val="24"/>
        </w:rPr>
        <w:t xml:space="preserve">insurers </w:t>
      </w:r>
      <w:r>
        <w:rPr>
          <w:rFonts w:ascii="Times New Roman" w:hAnsi="Times New Roman"/>
          <w:sz w:val="24"/>
          <w:szCs w:val="24"/>
        </w:rPr>
        <w:t xml:space="preserve">to which the </w:t>
      </w:r>
      <w:r w:rsidR="00E31428">
        <w:rPr>
          <w:rFonts w:ascii="Times New Roman" w:hAnsi="Times New Roman"/>
          <w:sz w:val="24"/>
          <w:szCs w:val="24"/>
        </w:rPr>
        <w:t xml:space="preserve">reporting </w:t>
      </w:r>
      <w:r>
        <w:rPr>
          <w:rFonts w:ascii="Times New Roman" w:hAnsi="Times New Roman"/>
          <w:sz w:val="24"/>
          <w:szCs w:val="24"/>
        </w:rPr>
        <w:t xml:space="preserve">standards apply. </w:t>
      </w:r>
    </w:p>
    <w:p w14:paraId="47210115" w14:textId="77777777" w:rsidR="00E31428" w:rsidRDefault="00E31428" w:rsidP="00E31428">
      <w:pPr>
        <w:jc w:val="both"/>
        <w:rPr>
          <w:rFonts w:ascii="Times New Roman" w:hAnsi="Times New Roman"/>
          <w:sz w:val="24"/>
          <w:szCs w:val="24"/>
        </w:rPr>
      </w:pPr>
    </w:p>
    <w:p w14:paraId="06FE9D55" w14:textId="06A04AFE" w:rsidR="00376CB1" w:rsidRDefault="00376CB1" w:rsidP="00E31428">
      <w:pPr>
        <w:jc w:val="both"/>
        <w:rPr>
          <w:rFonts w:ascii="Times New Roman" w:hAnsi="Times New Roman"/>
          <w:sz w:val="24"/>
          <w:szCs w:val="24"/>
        </w:rPr>
      </w:pPr>
      <w:r>
        <w:rPr>
          <w:rFonts w:ascii="Times New Roman" w:hAnsi="Times New Roman"/>
          <w:sz w:val="24"/>
          <w:szCs w:val="24"/>
        </w:rPr>
        <w:t xml:space="preserve">Decisions made by APRA exercising those powers are not subject to merits review. APRA considers decisions made by APRA exercising discretions under its </w:t>
      </w:r>
      <w:r w:rsidR="00E31428">
        <w:rPr>
          <w:rFonts w:ascii="Times New Roman" w:hAnsi="Times New Roman"/>
          <w:sz w:val="24"/>
          <w:szCs w:val="24"/>
        </w:rPr>
        <w:t xml:space="preserve">reporting </w:t>
      </w:r>
      <w:r>
        <w:rPr>
          <w:rFonts w:ascii="Times New Roman" w:hAnsi="Times New Roman"/>
          <w:sz w:val="24"/>
          <w:szCs w:val="24"/>
        </w:rPr>
        <w:t>standards should not be subject to merits review as they are financial decisions with a significant public interest element.</w:t>
      </w:r>
    </w:p>
    <w:p w14:paraId="43C5CC68" w14:textId="77777777" w:rsidR="00E31428" w:rsidRDefault="00E31428" w:rsidP="00E31428">
      <w:pPr>
        <w:autoSpaceDE w:val="0"/>
        <w:autoSpaceDN w:val="0"/>
        <w:adjustRightInd w:val="0"/>
        <w:jc w:val="both"/>
        <w:rPr>
          <w:rFonts w:ascii="Times New Roman" w:hAnsi="Times New Roman"/>
          <w:sz w:val="24"/>
          <w:szCs w:val="24"/>
        </w:rPr>
      </w:pPr>
    </w:p>
    <w:p w14:paraId="1027ED97" w14:textId="77777777" w:rsidR="002436BD" w:rsidRDefault="002436BD" w:rsidP="00E31428">
      <w:pPr>
        <w:pStyle w:val="Heading"/>
        <w:numPr>
          <w:ilvl w:val="0"/>
          <w:numId w:val="2"/>
        </w:numPr>
        <w:rPr>
          <w:rFonts w:ascii="Times New Roman" w:hAnsi="Times New Roman"/>
          <w:sz w:val="24"/>
          <w:szCs w:val="24"/>
        </w:rPr>
      </w:pPr>
      <w:bookmarkStart w:id="5" w:name="bkoperation"/>
      <w:bookmarkStart w:id="6" w:name="bkConsultationNo"/>
      <w:bookmarkEnd w:id="5"/>
      <w:bookmarkEnd w:id="6"/>
      <w:r w:rsidRPr="002C6D26">
        <w:rPr>
          <w:rFonts w:ascii="Times New Roman" w:hAnsi="Times New Roman"/>
          <w:sz w:val="24"/>
          <w:szCs w:val="24"/>
        </w:rPr>
        <w:t>Consultation</w:t>
      </w:r>
    </w:p>
    <w:p w14:paraId="66D2708D" w14:textId="77777777" w:rsidR="002436BD" w:rsidRDefault="002436BD" w:rsidP="00E31428">
      <w:pPr>
        <w:pStyle w:val="Heading"/>
        <w:tabs>
          <w:tab w:val="left" w:pos="360"/>
        </w:tabs>
        <w:rPr>
          <w:rFonts w:ascii="Times New Roman" w:hAnsi="Times New Roman"/>
          <w:b w:val="0"/>
          <w:sz w:val="24"/>
          <w:szCs w:val="24"/>
        </w:rPr>
      </w:pPr>
      <w:r>
        <w:rPr>
          <w:rFonts w:ascii="Times New Roman" w:hAnsi="Times New Roman"/>
          <w:sz w:val="24"/>
          <w:szCs w:val="24"/>
        </w:rPr>
        <w:tab/>
      </w:r>
    </w:p>
    <w:p w14:paraId="642BEFAA" w14:textId="4666191A" w:rsidR="00EF62DA" w:rsidRDefault="00EF62DA" w:rsidP="00E31428">
      <w:pPr>
        <w:spacing w:after="240"/>
        <w:jc w:val="both"/>
        <w:rPr>
          <w:rFonts w:ascii="Times New Roman" w:eastAsia="Arial" w:hAnsi="Times New Roman"/>
          <w:color w:val="000000"/>
          <w:sz w:val="24"/>
          <w:szCs w:val="24"/>
          <w:lang w:eastAsia="en-US"/>
        </w:rPr>
      </w:pPr>
      <w:r w:rsidRPr="00EF62DA">
        <w:rPr>
          <w:rFonts w:ascii="Times New Roman" w:eastAsia="Arial" w:hAnsi="Times New Roman"/>
          <w:color w:val="000000"/>
          <w:sz w:val="24"/>
          <w:szCs w:val="24"/>
          <w:lang w:eastAsia="en-US"/>
        </w:rPr>
        <w:t>APRA undertook public consultation on proposed updates to general insurance reporting standards from November 2020 to September 2022</w:t>
      </w:r>
      <w:r w:rsidRPr="00EF62DA">
        <w:rPr>
          <w:rFonts w:ascii="Times New Roman" w:eastAsia="Arial" w:hAnsi="Times New Roman"/>
          <w:color w:val="000000"/>
          <w:sz w:val="18"/>
          <w:szCs w:val="24"/>
          <w:vertAlign w:val="superscript"/>
          <w:lang w:eastAsia="en-US"/>
        </w:rPr>
        <w:footnoteReference w:id="1"/>
      </w:r>
      <w:r w:rsidRPr="00EF62DA">
        <w:rPr>
          <w:rFonts w:ascii="Times New Roman" w:eastAsia="Arial" w:hAnsi="Times New Roman"/>
          <w:color w:val="000000"/>
          <w:sz w:val="24"/>
          <w:szCs w:val="24"/>
          <w:lang w:eastAsia="en-US"/>
        </w:rPr>
        <w:t xml:space="preserve">. </w:t>
      </w:r>
    </w:p>
    <w:p w14:paraId="24BE71B1" w14:textId="77777777" w:rsidR="001A6E9C" w:rsidRPr="00EF62DA" w:rsidRDefault="001A6E9C" w:rsidP="00E31428">
      <w:pPr>
        <w:spacing w:after="240"/>
        <w:jc w:val="both"/>
        <w:rPr>
          <w:rFonts w:ascii="Times New Roman" w:eastAsia="Arial" w:hAnsi="Times New Roman"/>
          <w:color w:val="000000"/>
          <w:sz w:val="24"/>
          <w:szCs w:val="24"/>
          <w:lang w:eastAsia="en-US"/>
        </w:rPr>
      </w:pPr>
      <w:r w:rsidRPr="00EF62DA">
        <w:rPr>
          <w:rFonts w:ascii="Times New Roman" w:eastAsia="Arial" w:hAnsi="Times New Roman"/>
          <w:color w:val="000000"/>
          <w:sz w:val="24"/>
          <w:szCs w:val="24"/>
          <w:lang w:eastAsia="en-US"/>
        </w:rPr>
        <w:lastRenderedPageBreak/>
        <w:t>In November 2020, APRA released a discussion paper outlining APRA’s proposals to align the prudential and reporting frameworks with AASB 17</w:t>
      </w:r>
      <w:r w:rsidRPr="00EF62DA">
        <w:rPr>
          <w:rFonts w:ascii="Times New Roman" w:eastAsia="Arial" w:hAnsi="Times New Roman"/>
          <w:color w:val="000000"/>
          <w:sz w:val="18"/>
          <w:szCs w:val="24"/>
          <w:vertAlign w:val="superscript"/>
          <w:lang w:eastAsia="en-US"/>
        </w:rPr>
        <w:footnoteReference w:id="2"/>
      </w:r>
      <w:r w:rsidRPr="00EF62DA">
        <w:rPr>
          <w:rFonts w:ascii="Times New Roman" w:eastAsia="Arial" w:hAnsi="Times New Roman"/>
          <w:color w:val="000000"/>
          <w:sz w:val="24"/>
          <w:szCs w:val="24"/>
          <w:lang w:eastAsia="en-US"/>
        </w:rPr>
        <w:t xml:space="preserve">. Submissions made to the discussion paper were broadly supportive of APRA’s direction of aligning the prudential and reporting framework with AASB 17. </w:t>
      </w:r>
    </w:p>
    <w:p w14:paraId="391C4B7F" w14:textId="77777777" w:rsidR="001A6E9C" w:rsidRPr="00EF62DA" w:rsidRDefault="001A6E9C" w:rsidP="00E31428">
      <w:pPr>
        <w:spacing w:after="240"/>
        <w:jc w:val="both"/>
        <w:rPr>
          <w:rFonts w:ascii="Times New Roman" w:eastAsia="Arial" w:hAnsi="Times New Roman"/>
          <w:color w:val="000000"/>
          <w:sz w:val="24"/>
          <w:szCs w:val="24"/>
          <w:lang w:eastAsia="en-US"/>
        </w:rPr>
      </w:pPr>
      <w:r w:rsidRPr="00EF62DA">
        <w:rPr>
          <w:rFonts w:ascii="Times New Roman" w:eastAsia="Arial" w:hAnsi="Times New Roman"/>
          <w:color w:val="000000"/>
          <w:sz w:val="24"/>
          <w:szCs w:val="24"/>
          <w:lang w:eastAsia="en-US"/>
        </w:rPr>
        <w:t>On 13 December 2021, APRA released draft reporting standards for consultation that integrated the transition to AASB 17 and updates to the insurance capital framework</w:t>
      </w:r>
      <w:r w:rsidRPr="00EF62DA">
        <w:rPr>
          <w:rFonts w:ascii="Times New Roman" w:eastAsia="Arial" w:hAnsi="Times New Roman"/>
          <w:color w:val="000000"/>
          <w:sz w:val="18"/>
          <w:szCs w:val="24"/>
          <w:vertAlign w:val="superscript"/>
          <w:lang w:eastAsia="en-US"/>
        </w:rPr>
        <w:footnoteReference w:id="3"/>
      </w:r>
      <w:r w:rsidRPr="00EF62DA">
        <w:rPr>
          <w:rFonts w:ascii="Times New Roman" w:eastAsia="Arial" w:hAnsi="Times New Roman"/>
          <w:color w:val="000000"/>
          <w:sz w:val="24"/>
          <w:szCs w:val="24"/>
          <w:lang w:eastAsia="en-US"/>
        </w:rPr>
        <w:t xml:space="preserve">. </w:t>
      </w:r>
      <w:r>
        <w:rPr>
          <w:rFonts w:ascii="Times New Roman" w:eastAsia="Arial" w:hAnsi="Times New Roman"/>
          <w:color w:val="000000"/>
          <w:sz w:val="24"/>
          <w:szCs w:val="24"/>
          <w:lang w:eastAsia="en-US"/>
        </w:rPr>
        <w:t xml:space="preserve">APRA signalled that it would broadly follow existing audit and assurance requirements for submitting data to APRA </w:t>
      </w:r>
      <w:r>
        <w:rPr>
          <w:rStyle w:val="FootnoteReference"/>
          <w:rFonts w:ascii="Times New Roman" w:eastAsia="Arial" w:hAnsi="Times New Roman"/>
          <w:color w:val="000000"/>
          <w:sz w:val="24"/>
          <w:szCs w:val="24"/>
          <w:lang w:eastAsia="en-US"/>
        </w:rPr>
        <w:footnoteReference w:id="4"/>
      </w:r>
      <w:r>
        <w:rPr>
          <w:rFonts w:ascii="Times New Roman" w:eastAsia="Arial" w:hAnsi="Times New Roman"/>
          <w:color w:val="000000"/>
          <w:sz w:val="24"/>
          <w:szCs w:val="24"/>
          <w:lang w:eastAsia="en-US"/>
        </w:rPr>
        <w:t xml:space="preserve">. </w:t>
      </w:r>
      <w:r w:rsidRPr="00EF62DA">
        <w:rPr>
          <w:rFonts w:ascii="Times New Roman" w:eastAsia="Arial" w:hAnsi="Times New Roman"/>
          <w:color w:val="000000"/>
          <w:sz w:val="24"/>
          <w:szCs w:val="24"/>
          <w:lang w:eastAsia="en-US"/>
        </w:rPr>
        <w:t xml:space="preserve">On 6 April 2022, APRA released additional draft life and general insurance reporting standards impacted by the introduction of AASB 17. As part of the April 2022 consultation, APRA also released </w:t>
      </w:r>
      <w:proofErr w:type="gramStart"/>
      <w:r w:rsidRPr="00EF62DA">
        <w:rPr>
          <w:rFonts w:ascii="Times New Roman" w:eastAsia="Arial" w:hAnsi="Times New Roman"/>
          <w:color w:val="000000"/>
          <w:sz w:val="24"/>
          <w:szCs w:val="24"/>
          <w:lang w:eastAsia="en-US"/>
        </w:rPr>
        <w:t>a number of</w:t>
      </w:r>
      <w:proofErr w:type="gramEnd"/>
      <w:r w:rsidRPr="00EF62DA">
        <w:rPr>
          <w:rFonts w:ascii="Times New Roman" w:eastAsia="Arial" w:hAnsi="Times New Roman"/>
          <w:color w:val="000000"/>
          <w:sz w:val="24"/>
          <w:szCs w:val="24"/>
          <w:lang w:eastAsia="en-US"/>
        </w:rPr>
        <w:t xml:space="preserve"> updates and clarifications to reporting standards that were released in December 2021 in response to industry feedback.</w:t>
      </w:r>
    </w:p>
    <w:p w14:paraId="0B27AE37" w14:textId="2F6DAA39" w:rsidR="00EF62DA" w:rsidRPr="00EF62DA" w:rsidRDefault="008F5B51" w:rsidP="00E31428">
      <w:pPr>
        <w:spacing w:after="240"/>
        <w:jc w:val="both"/>
        <w:rPr>
          <w:rFonts w:ascii="Times New Roman" w:eastAsia="Arial" w:hAnsi="Times New Roman"/>
          <w:color w:val="000000"/>
          <w:sz w:val="24"/>
          <w:szCs w:val="24"/>
          <w:lang w:eastAsia="en-US"/>
        </w:rPr>
      </w:pPr>
      <w:r>
        <w:rPr>
          <w:rFonts w:ascii="Times New Roman" w:eastAsia="Arial" w:hAnsi="Times New Roman"/>
          <w:color w:val="000000"/>
          <w:sz w:val="24"/>
          <w:szCs w:val="24"/>
          <w:lang w:eastAsia="en-US"/>
        </w:rPr>
        <w:t xml:space="preserve">The final round of consultation for this instrument was completed on 27 September 2022, when </w:t>
      </w:r>
      <w:r w:rsidR="00EF62DA" w:rsidRPr="00EF62DA">
        <w:rPr>
          <w:rFonts w:ascii="Times New Roman" w:eastAsia="Arial" w:hAnsi="Times New Roman"/>
          <w:color w:val="000000"/>
          <w:sz w:val="24"/>
          <w:szCs w:val="24"/>
          <w:lang w:eastAsia="en-US"/>
        </w:rPr>
        <w:t>APRA released finalised changes to the capital and reporting frameworks for insurance in response to the introduction of AASB 17</w:t>
      </w:r>
      <w:r w:rsidR="00EF62DA" w:rsidRPr="00EF62DA">
        <w:rPr>
          <w:rFonts w:ascii="Times New Roman" w:eastAsia="Arial" w:hAnsi="Times New Roman"/>
          <w:color w:val="000000"/>
          <w:sz w:val="18"/>
          <w:szCs w:val="24"/>
          <w:vertAlign w:val="superscript"/>
          <w:lang w:eastAsia="en-US"/>
        </w:rPr>
        <w:footnoteReference w:id="5"/>
      </w:r>
      <w:r w:rsidR="00EF62DA" w:rsidRPr="00EF62DA">
        <w:rPr>
          <w:rFonts w:ascii="Times New Roman" w:eastAsia="Arial" w:hAnsi="Times New Roman"/>
          <w:color w:val="000000"/>
          <w:sz w:val="24"/>
          <w:szCs w:val="24"/>
          <w:lang w:eastAsia="en-US"/>
        </w:rPr>
        <w:t>.</w:t>
      </w:r>
    </w:p>
    <w:p w14:paraId="0C53394B" w14:textId="77777777" w:rsidR="00EF62DA" w:rsidRPr="00EF62DA" w:rsidRDefault="00EF62DA" w:rsidP="00E31428">
      <w:pPr>
        <w:spacing w:after="240"/>
        <w:jc w:val="both"/>
        <w:rPr>
          <w:rFonts w:ascii="Times New Roman" w:eastAsia="Arial" w:hAnsi="Times New Roman" w:cs="Cordia New"/>
          <w:color w:val="000000"/>
          <w:sz w:val="24"/>
          <w:szCs w:val="24"/>
          <w:lang w:eastAsia="en-US"/>
        </w:rPr>
      </w:pPr>
      <w:r w:rsidRPr="00EF62DA">
        <w:rPr>
          <w:rFonts w:ascii="Times New Roman" w:eastAsia="Arial" w:hAnsi="Times New Roman" w:cs="Cordia New"/>
          <w:color w:val="000000"/>
          <w:sz w:val="24"/>
          <w:szCs w:val="24"/>
          <w:lang w:eastAsia="en-US"/>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12E8758F" w14:textId="77777777" w:rsidR="00715BA2" w:rsidRDefault="007368AD" w:rsidP="00E31428">
      <w:pPr>
        <w:pStyle w:val="Heading"/>
        <w:tabs>
          <w:tab w:val="left" w:pos="360"/>
        </w:tabs>
        <w:rPr>
          <w:rFonts w:ascii="Times New Roman" w:hAnsi="Times New Roman"/>
          <w:b w:val="0"/>
          <w:sz w:val="24"/>
          <w:szCs w:val="24"/>
        </w:rPr>
      </w:pPr>
      <w:r>
        <w:rPr>
          <w:rFonts w:ascii="Times New Roman" w:hAnsi="Times New Roman"/>
          <w:b w:val="0"/>
          <w:sz w:val="24"/>
          <w:szCs w:val="24"/>
        </w:rPr>
        <w:t xml:space="preserve">The instrument is </w:t>
      </w:r>
      <w:r w:rsidRPr="00BB1678">
        <w:rPr>
          <w:rFonts w:ascii="Times New Roman" w:hAnsi="Times New Roman"/>
          <w:b w:val="0"/>
          <w:sz w:val="24"/>
          <w:szCs w:val="24"/>
        </w:rPr>
        <w:t xml:space="preserve">minor in nature </w:t>
      </w:r>
      <w:r>
        <w:rPr>
          <w:rFonts w:ascii="Times New Roman" w:hAnsi="Times New Roman"/>
          <w:b w:val="0"/>
          <w:sz w:val="24"/>
          <w:szCs w:val="24"/>
        </w:rPr>
        <w:t>and</w:t>
      </w:r>
      <w:r w:rsidRPr="00BB1678">
        <w:rPr>
          <w:rFonts w:ascii="Times New Roman" w:hAnsi="Times New Roman"/>
          <w:b w:val="0"/>
          <w:sz w:val="24"/>
          <w:szCs w:val="24"/>
        </w:rPr>
        <w:t xml:space="preserve"> do</w:t>
      </w:r>
      <w:r>
        <w:rPr>
          <w:rFonts w:ascii="Times New Roman" w:hAnsi="Times New Roman"/>
          <w:b w:val="0"/>
          <w:sz w:val="24"/>
          <w:szCs w:val="24"/>
        </w:rPr>
        <w:t>es</w:t>
      </w:r>
      <w:r w:rsidRPr="00BB1678">
        <w:rPr>
          <w:rFonts w:ascii="Times New Roman" w:hAnsi="Times New Roman"/>
          <w:b w:val="0"/>
          <w:sz w:val="24"/>
          <w:szCs w:val="24"/>
        </w:rPr>
        <w:t xml:space="preserve"> not substantially </w:t>
      </w:r>
      <w:r>
        <w:rPr>
          <w:rFonts w:ascii="Times New Roman" w:hAnsi="Times New Roman"/>
          <w:b w:val="0"/>
          <w:sz w:val="24"/>
          <w:szCs w:val="24"/>
        </w:rPr>
        <w:t xml:space="preserve">alter existing </w:t>
      </w:r>
      <w:r w:rsidR="00B634B4">
        <w:rPr>
          <w:rFonts w:ascii="Times New Roman" w:hAnsi="Times New Roman"/>
          <w:b w:val="0"/>
          <w:sz w:val="24"/>
          <w:szCs w:val="24"/>
        </w:rPr>
        <w:t xml:space="preserve">audit </w:t>
      </w:r>
      <w:r>
        <w:rPr>
          <w:rFonts w:ascii="Times New Roman" w:hAnsi="Times New Roman"/>
          <w:b w:val="0"/>
          <w:sz w:val="24"/>
          <w:szCs w:val="24"/>
        </w:rPr>
        <w:t>arrangements.</w:t>
      </w:r>
      <w:r w:rsidR="00A51446">
        <w:rPr>
          <w:rFonts w:ascii="Times New Roman" w:hAnsi="Times New Roman"/>
          <w:b w:val="0"/>
          <w:sz w:val="24"/>
          <w:szCs w:val="24"/>
        </w:rPr>
        <w:t xml:space="preserve"> </w:t>
      </w:r>
    </w:p>
    <w:p w14:paraId="4A8A330B" w14:textId="77777777" w:rsidR="00715BA2" w:rsidRDefault="00715BA2" w:rsidP="00E31428">
      <w:pPr>
        <w:pStyle w:val="Heading"/>
        <w:tabs>
          <w:tab w:val="left" w:pos="360"/>
        </w:tabs>
        <w:rPr>
          <w:rFonts w:ascii="Times New Roman" w:hAnsi="Times New Roman"/>
          <w:b w:val="0"/>
          <w:sz w:val="24"/>
          <w:szCs w:val="24"/>
        </w:rPr>
      </w:pPr>
    </w:p>
    <w:p w14:paraId="09D1C4F8" w14:textId="7AF2AAAA" w:rsidR="007368AD" w:rsidRPr="008E5079" w:rsidRDefault="00A51446" w:rsidP="00E31428">
      <w:pPr>
        <w:pStyle w:val="Heading"/>
        <w:tabs>
          <w:tab w:val="left" w:pos="360"/>
        </w:tabs>
        <w:rPr>
          <w:rFonts w:ascii="Times New Roman" w:hAnsi="Times New Roman"/>
          <w:b w:val="0"/>
          <w:sz w:val="24"/>
          <w:szCs w:val="24"/>
        </w:rPr>
      </w:pPr>
      <w:r w:rsidRPr="008E5079">
        <w:rPr>
          <w:rFonts w:ascii="Times New Roman" w:hAnsi="Times New Roman"/>
          <w:b w:val="0"/>
          <w:sz w:val="24"/>
          <w:szCs w:val="24"/>
        </w:rPr>
        <w:t>APRA is satisfied the consultation was appropriate and reasonably practicable.</w:t>
      </w:r>
    </w:p>
    <w:p w14:paraId="4F7E0847" w14:textId="77777777" w:rsidR="002436BD" w:rsidRPr="008E5079" w:rsidRDefault="002436BD" w:rsidP="00E31428">
      <w:pPr>
        <w:pStyle w:val="ListParagraph"/>
        <w:jc w:val="both"/>
        <w:rPr>
          <w:rFonts w:ascii="Times New Roman" w:hAnsi="Times New Roman"/>
          <w:b/>
          <w:sz w:val="24"/>
          <w:szCs w:val="24"/>
        </w:rPr>
      </w:pPr>
    </w:p>
    <w:p w14:paraId="31106FC0" w14:textId="77777777" w:rsidR="002436BD" w:rsidRPr="008E5079" w:rsidRDefault="00DF524E" w:rsidP="00E31428">
      <w:pPr>
        <w:pStyle w:val="Heading"/>
        <w:tabs>
          <w:tab w:val="left" w:pos="360"/>
        </w:tabs>
        <w:rPr>
          <w:rFonts w:ascii="Times New Roman" w:hAnsi="Times New Roman"/>
          <w:sz w:val="24"/>
          <w:szCs w:val="24"/>
        </w:rPr>
      </w:pPr>
      <w:bookmarkStart w:id="7" w:name="bkConsultation"/>
      <w:bookmarkStart w:id="8" w:name="bkRISNO"/>
      <w:bookmarkStart w:id="9" w:name="bkRIS"/>
      <w:bookmarkEnd w:id="7"/>
      <w:bookmarkEnd w:id="8"/>
      <w:r w:rsidRPr="008E5079">
        <w:rPr>
          <w:rFonts w:ascii="Times New Roman" w:hAnsi="Times New Roman"/>
          <w:sz w:val="24"/>
          <w:szCs w:val="24"/>
        </w:rPr>
        <w:t>4</w:t>
      </w:r>
      <w:r w:rsidR="002436BD" w:rsidRPr="008E5079">
        <w:rPr>
          <w:rFonts w:ascii="Times New Roman" w:hAnsi="Times New Roman"/>
          <w:sz w:val="24"/>
          <w:szCs w:val="24"/>
        </w:rPr>
        <w:t xml:space="preserve">. </w:t>
      </w:r>
      <w:r w:rsidR="002436BD" w:rsidRPr="008E5079">
        <w:rPr>
          <w:rFonts w:ascii="Times New Roman" w:hAnsi="Times New Roman"/>
          <w:sz w:val="24"/>
          <w:szCs w:val="24"/>
        </w:rPr>
        <w:tab/>
        <w:t>Regulation Impact Statement</w:t>
      </w:r>
    </w:p>
    <w:p w14:paraId="5E9BD810" w14:textId="77777777" w:rsidR="002436BD" w:rsidRPr="008E5079" w:rsidRDefault="002436BD" w:rsidP="00E31428">
      <w:pPr>
        <w:pStyle w:val="Heading"/>
        <w:tabs>
          <w:tab w:val="left" w:pos="360"/>
        </w:tabs>
        <w:rPr>
          <w:rFonts w:ascii="Times New Roman" w:hAnsi="Times New Roman"/>
          <w:sz w:val="24"/>
          <w:szCs w:val="24"/>
        </w:rPr>
      </w:pPr>
    </w:p>
    <w:bookmarkEnd w:id="9"/>
    <w:p w14:paraId="1BBCCA50" w14:textId="36EF8AD7" w:rsidR="00D3484E" w:rsidRDefault="00D3484E" w:rsidP="00E31428">
      <w:pPr>
        <w:pStyle w:val="Heading"/>
        <w:rPr>
          <w:rFonts w:ascii="Times New Roman" w:hAnsi="Times New Roman"/>
          <w:b w:val="0"/>
          <w:sz w:val="24"/>
          <w:szCs w:val="24"/>
        </w:rPr>
      </w:pPr>
      <w:r w:rsidRPr="008E5079">
        <w:rPr>
          <w:rFonts w:ascii="Times New Roman" w:hAnsi="Times New Roman"/>
          <w:b w:val="0"/>
          <w:sz w:val="24"/>
          <w:szCs w:val="24"/>
        </w:rPr>
        <w:t xml:space="preserve">The Office of </w:t>
      </w:r>
      <w:r w:rsidR="00F512AE" w:rsidRPr="008E5079">
        <w:rPr>
          <w:rFonts w:ascii="Times New Roman" w:hAnsi="Times New Roman"/>
          <w:b w:val="0"/>
          <w:sz w:val="24"/>
          <w:szCs w:val="24"/>
        </w:rPr>
        <w:t>Impact Analysis</w:t>
      </w:r>
      <w:r w:rsidRPr="008E5079">
        <w:rPr>
          <w:rFonts w:ascii="Times New Roman" w:hAnsi="Times New Roman"/>
          <w:b w:val="0"/>
          <w:sz w:val="24"/>
          <w:szCs w:val="24"/>
        </w:rPr>
        <w:t xml:space="preserve"> </w:t>
      </w:r>
      <w:r w:rsidR="00356BCC" w:rsidRPr="008E5079">
        <w:rPr>
          <w:rFonts w:ascii="Times New Roman" w:hAnsi="Times New Roman"/>
          <w:b w:val="0"/>
          <w:sz w:val="24"/>
          <w:szCs w:val="24"/>
        </w:rPr>
        <w:t>confirmed</w:t>
      </w:r>
      <w:r w:rsidRPr="008E5079">
        <w:rPr>
          <w:rFonts w:ascii="Times New Roman" w:hAnsi="Times New Roman"/>
          <w:b w:val="0"/>
          <w:sz w:val="24"/>
          <w:szCs w:val="24"/>
        </w:rPr>
        <w:t xml:space="preserve"> that a Regulation Impact Statement </w:t>
      </w:r>
      <w:r w:rsidR="00356BCC" w:rsidRPr="008E5079">
        <w:rPr>
          <w:rFonts w:ascii="Times New Roman" w:hAnsi="Times New Roman"/>
          <w:b w:val="0"/>
          <w:sz w:val="24"/>
          <w:szCs w:val="24"/>
        </w:rPr>
        <w:t>wa</w:t>
      </w:r>
      <w:r w:rsidRPr="008E5079">
        <w:rPr>
          <w:rFonts w:ascii="Times New Roman" w:hAnsi="Times New Roman"/>
          <w:b w:val="0"/>
          <w:sz w:val="24"/>
          <w:szCs w:val="24"/>
        </w:rPr>
        <w:t>s not required.</w:t>
      </w:r>
    </w:p>
    <w:p w14:paraId="34AA1324" w14:textId="77777777" w:rsidR="002436BD" w:rsidRDefault="002436BD" w:rsidP="00E31428">
      <w:pPr>
        <w:pStyle w:val="Heading"/>
        <w:rPr>
          <w:rFonts w:ascii="Times New Roman" w:hAnsi="Times New Roman"/>
          <w:b w:val="0"/>
          <w:sz w:val="24"/>
          <w:szCs w:val="24"/>
        </w:rPr>
      </w:pPr>
    </w:p>
    <w:p w14:paraId="7BAD08C4" w14:textId="77777777" w:rsidR="002436BD" w:rsidRPr="00B3165F" w:rsidRDefault="00DF524E" w:rsidP="00E31428">
      <w:pPr>
        <w:pStyle w:val="Heading"/>
        <w:tabs>
          <w:tab w:val="left" w:pos="360"/>
        </w:tabs>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14:paraId="38364C5A" w14:textId="77777777" w:rsidR="002436BD" w:rsidRPr="00B3165F" w:rsidRDefault="002436BD" w:rsidP="00E31428">
      <w:pPr>
        <w:pStyle w:val="Heading"/>
        <w:rPr>
          <w:rFonts w:ascii="Times New Roman" w:hAnsi="Times New Roman"/>
          <w:b w:val="0"/>
          <w:sz w:val="24"/>
          <w:szCs w:val="24"/>
        </w:rPr>
      </w:pPr>
    </w:p>
    <w:p w14:paraId="161BE9FF" w14:textId="77777777" w:rsidR="002436BD" w:rsidRDefault="0030506B" w:rsidP="00E31428">
      <w:pPr>
        <w:pStyle w:val="Heading"/>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47EC922F" w14:textId="77777777" w:rsidR="00B634B4" w:rsidRPr="00B634B4" w:rsidRDefault="00B634B4" w:rsidP="000B0675">
      <w:pPr>
        <w:autoSpaceDE w:val="0"/>
        <w:autoSpaceDN w:val="0"/>
        <w:adjustRightInd w:val="0"/>
        <w:jc w:val="center"/>
        <w:rPr>
          <w:rFonts w:ascii="Times New Roman" w:hAnsi="Times New Roman"/>
          <w:b/>
          <w:sz w:val="24"/>
          <w:szCs w:val="24"/>
        </w:rPr>
      </w:pPr>
      <w:r>
        <w:br w:type="page"/>
      </w:r>
      <w:r w:rsidRPr="00B634B4">
        <w:rPr>
          <w:rFonts w:ascii="Times New Roman" w:hAnsi="Times New Roman"/>
          <w:b/>
          <w:sz w:val="24"/>
          <w:szCs w:val="24"/>
        </w:rPr>
        <w:lastRenderedPageBreak/>
        <w:t>Attachment A</w:t>
      </w:r>
    </w:p>
    <w:p w14:paraId="59B0F7E7" w14:textId="77777777" w:rsidR="00B634B4" w:rsidRPr="00B634B4" w:rsidRDefault="00B634B4" w:rsidP="000B0675">
      <w:pPr>
        <w:autoSpaceDE w:val="0"/>
        <w:autoSpaceDN w:val="0"/>
        <w:adjustRightInd w:val="0"/>
        <w:ind w:left="360"/>
        <w:jc w:val="center"/>
        <w:rPr>
          <w:rFonts w:ascii="Times New Roman" w:hAnsi="Times New Roman"/>
          <w:sz w:val="24"/>
          <w:szCs w:val="24"/>
        </w:rPr>
      </w:pPr>
    </w:p>
    <w:p w14:paraId="75234928" w14:textId="77777777" w:rsidR="00B634B4" w:rsidRPr="00B634B4" w:rsidRDefault="00B634B4" w:rsidP="000B0675">
      <w:pPr>
        <w:autoSpaceDE w:val="0"/>
        <w:autoSpaceDN w:val="0"/>
        <w:adjustRightInd w:val="0"/>
        <w:jc w:val="center"/>
        <w:rPr>
          <w:rFonts w:ascii="Times New Roman" w:hAnsi="Times New Roman"/>
          <w:b/>
          <w:sz w:val="24"/>
          <w:szCs w:val="24"/>
        </w:rPr>
      </w:pPr>
      <w:r w:rsidRPr="00B634B4">
        <w:rPr>
          <w:rFonts w:ascii="Times New Roman" w:hAnsi="Times New Roman"/>
          <w:b/>
          <w:sz w:val="24"/>
          <w:szCs w:val="24"/>
        </w:rPr>
        <w:t>Statement of Compatibility with Human Rights</w:t>
      </w:r>
    </w:p>
    <w:p w14:paraId="65BA877A" w14:textId="77777777" w:rsidR="00B634B4" w:rsidRPr="00B634B4" w:rsidRDefault="00B634B4" w:rsidP="00E31428">
      <w:pPr>
        <w:autoSpaceDE w:val="0"/>
        <w:autoSpaceDN w:val="0"/>
        <w:adjustRightInd w:val="0"/>
        <w:jc w:val="both"/>
        <w:rPr>
          <w:rFonts w:ascii="Times New Roman" w:hAnsi="Times New Roman"/>
          <w:b/>
          <w:sz w:val="24"/>
          <w:szCs w:val="24"/>
        </w:rPr>
      </w:pPr>
    </w:p>
    <w:p w14:paraId="3FEC4E94" w14:textId="77777777" w:rsidR="00B634B4" w:rsidRPr="00B634B4" w:rsidRDefault="00B634B4" w:rsidP="00E31428">
      <w:pPr>
        <w:autoSpaceDE w:val="0"/>
        <w:autoSpaceDN w:val="0"/>
        <w:adjustRightInd w:val="0"/>
        <w:jc w:val="both"/>
        <w:rPr>
          <w:rFonts w:ascii="Times New Roman" w:hAnsi="Times New Roman"/>
          <w:i/>
          <w:sz w:val="24"/>
          <w:szCs w:val="24"/>
        </w:rPr>
      </w:pPr>
      <w:r w:rsidRPr="00B634B4">
        <w:rPr>
          <w:rFonts w:ascii="Times New Roman" w:hAnsi="Times New Roman"/>
          <w:i/>
          <w:sz w:val="24"/>
          <w:szCs w:val="24"/>
        </w:rPr>
        <w:t>Prepared in accordance with Part 3 of the Human Rights (Parliamentary Scrutiny) Act 2011</w:t>
      </w:r>
    </w:p>
    <w:p w14:paraId="678F55E3" w14:textId="77777777" w:rsidR="00B634B4" w:rsidRPr="00B634B4" w:rsidRDefault="00B634B4" w:rsidP="00E31428">
      <w:pPr>
        <w:pStyle w:val="Title"/>
        <w:spacing w:before="0"/>
        <w:jc w:val="both"/>
        <w:rPr>
          <w:sz w:val="24"/>
          <w:szCs w:val="24"/>
        </w:rPr>
      </w:pPr>
    </w:p>
    <w:p w14:paraId="00DEC24E" w14:textId="2DB7AA35" w:rsidR="00B634B4" w:rsidRPr="002C6D26" w:rsidRDefault="00B634B4" w:rsidP="000B0675">
      <w:pPr>
        <w:pStyle w:val="Heading"/>
        <w:spacing w:before="120"/>
        <w:jc w:val="center"/>
        <w:rPr>
          <w:rFonts w:ascii="Times New Roman" w:hAnsi="Times New Roman"/>
          <w:sz w:val="24"/>
          <w:szCs w:val="24"/>
        </w:rPr>
      </w:pPr>
      <w:r>
        <w:rPr>
          <w:rFonts w:ascii="Times New Roman" w:hAnsi="Times New Roman"/>
          <w:sz w:val="24"/>
          <w:szCs w:val="24"/>
        </w:rPr>
        <w:t>Insurance exemption</w:t>
      </w:r>
      <w:r w:rsidRPr="002C6D26">
        <w:rPr>
          <w:rFonts w:ascii="Times New Roman" w:hAnsi="Times New Roman"/>
          <w:sz w:val="24"/>
          <w:szCs w:val="24"/>
        </w:rPr>
        <w:t xml:space="preserve"> determination No. </w:t>
      </w:r>
      <w:r>
        <w:rPr>
          <w:rFonts w:ascii="Times New Roman" w:hAnsi="Times New Roman"/>
          <w:sz w:val="24"/>
          <w:szCs w:val="24"/>
        </w:rPr>
        <w:t>1</w:t>
      </w:r>
      <w:r w:rsidRPr="002C6D26">
        <w:rPr>
          <w:rFonts w:ascii="Times New Roman" w:hAnsi="Times New Roman"/>
          <w:sz w:val="24"/>
          <w:szCs w:val="24"/>
        </w:rPr>
        <w:t xml:space="preserve"> of 20</w:t>
      </w:r>
      <w:r w:rsidR="00F512AE">
        <w:rPr>
          <w:rFonts w:ascii="Times New Roman" w:hAnsi="Times New Roman"/>
          <w:sz w:val="24"/>
          <w:szCs w:val="24"/>
        </w:rPr>
        <w:t>2</w:t>
      </w:r>
      <w:r>
        <w:rPr>
          <w:rFonts w:ascii="Times New Roman" w:hAnsi="Times New Roman"/>
          <w:sz w:val="24"/>
          <w:szCs w:val="24"/>
        </w:rPr>
        <w:t>3</w:t>
      </w:r>
    </w:p>
    <w:p w14:paraId="7CD0DFD5" w14:textId="77777777" w:rsidR="00B634B4" w:rsidRDefault="00B634B4" w:rsidP="00E31428">
      <w:pPr>
        <w:pStyle w:val="BodyText"/>
        <w:spacing w:after="0"/>
        <w:jc w:val="both"/>
        <w:rPr>
          <w:szCs w:val="24"/>
        </w:rPr>
      </w:pPr>
    </w:p>
    <w:p w14:paraId="7427E2BE" w14:textId="77777777" w:rsidR="00B634B4" w:rsidRDefault="00B634B4" w:rsidP="00E31428">
      <w:pPr>
        <w:pStyle w:val="BodyText"/>
        <w:spacing w:after="0"/>
        <w:jc w:val="both"/>
        <w:rPr>
          <w:i/>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sidR="00447919">
        <w:rPr>
          <w:szCs w:val="24"/>
        </w:rPr>
        <w:t xml:space="preserve"> (HRPS Act)</w:t>
      </w:r>
      <w:r>
        <w:rPr>
          <w:i/>
          <w:szCs w:val="24"/>
        </w:rPr>
        <w:t>.</w:t>
      </w:r>
    </w:p>
    <w:p w14:paraId="39327BD9" w14:textId="77777777" w:rsidR="00B634B4" w:rsidRDefault="00B634B4" w:rsidP="00E31428">
      <w:pPr>
        <w:pStyle w:val="BodyText"/>
        <w:spacing w:after="0"/>
        <w:jc w:val="both"/>
        <w:rPr>
          <w:i/>
          <w:szCs w:val="24"/>
        </w:rPr>
      </w:pPr>
    </w:p>
    <w:p w14:paraId="60C6122A" w14:textId="77777777" w:rsidR="00B634B4" w:rsidRDefault="00B634B4" w:rsidP="00E31428">
      <w:pPr>
        <w:pStyle w:val="BodyText"/>
        <w:spacing w:after="0"/>
        <w:jc w:val="both"/>
        <w:rPr>
          <w:b/>
          <w:szCs w:val="24"/>
        </w:rPr>
      </w:pPr>
      <w:r w:rsidRPr="00740541">
        <w:rPr>
          <w:b/>
          <w:szCs w:val="24"/>
        </w:rPr>
        <w:t>Overview of the Legislative Instrument</w:t>
      </w:r>
    </w:p>
    <w:p w14:paraId="29B3C966" w14:textId="77777777" w:rsidR="00B634B4" w:rsidRDefault="00B634B4" w:rsidP="00E31428">
      <w:pPr>
        <w:pStyle w:val="BodyText"/>
        <w:spacing w:after="0"/>
        <w:jc w:val="both"/>
        <w:rPr>
          <w:b/>
          <w:szCs w:val="24"/>
        </w:rPr>
      </w:pPr>
    </w:p>
    <w:p w14:paraId="7142165C" w14:textId="56EF13E5" w:rsidR="00AA65EC" w:rsidRDefault="00AA65EC" w:rsidP="00E31428">
      <w:pPr>
        <w:pStyle w:val="BodyText"/>
        <w:spacing w:after="0"/>
        <w:jc w:val="both"/>
        <w:rPr>
          <w:szCs w:val="24"/>
        </w:rPr>
      </w:pPr>
      <w:r>
        <w:rPr>
          <w:szCs w:val="24"/>
        </w:rPr>
        <w:t xml:space="preserve">This Legislative Instrument excludes </w:t>
      </w:r>
      <w:r w:rsidR="004C12C8">
        <w:rPr>
          <w:szCs w:val="24"/>
        </w:rPr>
        <w:t>four</w:t>
      </w:r>
      <w:r>
        <w:rPr>
          <w:szCs w:val="24"/>
        </w:rPr>
        <w:t xml:space="preserve"> reporting standards </w:t>
      </w:r>
      <w:r w:rsidR="00447919">
        <w:rPr>
          <w:szCs w:val="24"/>
        </w:rPr>
        <w:t xml:space="preserve">for general insurers that were made </w:t>
      </w:r>
      <w:r>
        <w:rPr>
          <w:szCs w:val="24"/>
        </w:rPr>
        <w:t xml:space="preserve">under the </w:t>
      </w:r>
      <w:r>
        <w:rPr>
          <w:i/>
          <w:szCs w:val="24"/>
        </w:rPr>
        <w:t xml:space="preserve">Financial Sector (Collection of Data) Act 2001 </w:t>
      </w:r>
      <w:r>
        <w:rPr>
          <w:szCs w:val="24"/>
        </w:rPr>
        <w:t xml:space="preserve">from the scope of the review of the yearly statutory accounts that is required to be completed by the Appointed Auditor of a general insurer. </w:t>
      </w:r>
    </w:p>
    <w:p w14:paraId="0F60AC21" w14:textId="77777777" w:rsidR="00AA65EC" w:rsidRPr="00AA65EC" w:rsidRDefault="00AA65EC" w:rsidP="00E31428">
      <w:pPr>
        <w:pStyle w:val="BodyText"/>
        <w:spacing w:after="0"/>
        <w:jc w:val="both"/>
        <w:rPr>
          <w:szCs w:val="24"/>
        </w:rPr>
      </w:pPr>
    </w:p>
    <w:p w14:paraId="0AB82643" w14:textId="77777777" w:rsidR="00B634B4" w:rsidRDefault="00B634B4" w:rsidP="00E31428">
      <w:pPr>
        <w:pStyle w:val="BodyText"/>
        <w:jc w:val="both"/>
        <w:rPr>
          <w:b/>
        </w:rPr>
      </w:pPr>
      <w:r>
        <w:rPr>
          <w:b/>
        </w:rPr>
        <w:t>Human rights implications</w:t>
      </w:r>
    </w:p>
    <w:p w14:paraId="55A09BA0" w14:textId="77777777" w:rsidR="00447919" w:rsidRDefault="00447919" w:rsidP="00E31428">
      <w:pPr>
        <w:autoSpaceDE w:val="0"/>
        <w:autoSpaceDN w:val="0"/>
        <w:adjustRightInd w:val="0"/>
        <w:jc w:val="both"/>
      </w:pPr>
      <w:r>
        <w:rPr>
          <w:rFonts w:ascii="Times New Roman" w:eastAsia="Calibri" w:hAnsi="Times New Roman"/>
          <w:sz w:val="24"/>
          <w:szCs w:val="24"/>
        </w:rPr>
        <w:t>APRA has assessed this Legislative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14:paraId="0D7F2750" w14:textId="77777777" w:rsidR="00B634B4" w:rsidRDefault="00B634B4" w:rsidP="00E31428">
      <w:pPr>
        <w:pStyle w:val="BodyText"/>
        <w:spacing w:after="0"/>
        <w:jc w:val="both"/>
      </w:pPr>
    </w:p>
    <w:p w14:paraId="6213E7E6" w14:textId="77777777" w:rsidR="00B634B4" w:rsidRDefault="00B634B4" w:rsidP="00E31428">
      <w:pPr>
        <w:pStyle w:val="BodyText"/>
        <w:jc w:val="both"/>
        <w:rPr>
          <w:b/>
        </w:rPr>
      </w:pPr>
      <w:r>
        <w:rPr>
          <w:b/>
        </w:rPr>
        <w:t>Conclusion</w:t>
      </w:r>
    </w:p>
    <w:p w14:paraId="30B45978" w14:textId="77777777" w:rsidR="00B634B4" w:rsidRPr="00740541" w:rsidRDefault="00B634B4" w:rsidP="00E31428">
      <w:pPr>
        <w:pStyle w:val="BodyText"/>
        <w:jc w:val="both"/>
        <w:rPr>
          <w:szCs w:val="24"/>
        </w:rPr>
      </w:pPr>
      <w:r>
        <w:t xml:space="preserve">This Legislative Instrument is compatible with human rights </w:t>
      </w:r>
      <w:r w:rsidR="00447919">
        <w:t>because</w:t>
      </w:r>
      <w:r>
        <w:t xml:space="preserve"> it does not raise any human rights issues.</w:t>
      </w:r>
    </w:p>
    <w:p w14:paraId="11D90E30" w14:textId="77777777" w:rsidR="00B634B4" w:rsidRPr="0099646B" w:rsidRDefault="00B634B4" w:rsidP="00E31428">
      <w:pPr>
        <w:autoSpaceDE w:val="0"/>
        <w:autoSpaceDN w:val="0"/>
        <w:adjustRightInd w:val="0"/>
        <w:ind w:left="360"/>
        <w:jc w:val="both"/>
        <w:rPr>
          <w:szCs w:val="24"/>
        </w:rPr>
      </w:pPr>
    </w:p>
    <w:p w14:paraId="4F0206C0" w14:textId="77777777" w:rsidR="00B04B20" w:rsidRPr="00FA5345" w:rsidRDefault="00B04B20" w:rsidP="00B634B4">
      <w:pPr>
        <w:jc w:val="both"/>
      </w:pPr>
    </w:p>
    <w:sectPr w:rsidR="00B04B20" w:rsidRPr="00FA5345" w:rsidSect="006F7F77">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0462" w14:textId="77777777" w:rsidR="00C351F1" w:rsidRDefault="00C351F1" w:rsidP="00B81CB0">
      <w:r>
        <w:separator/>
      </w:r>
    </w:p>
  </w:endnote>
  <w:endnote w:type="continuationSeparator" w:id="0">
    <w:p w14:paraId="5E33071E" w14:textId="77777777" w:rsidR="00C351F1" w:rsidRDefault="00C351F1" w:rsidP="00B8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727217"/>
      <w:docPartObj>
        <w:docPartGallery w:val="Page Numbers (Bottom of Page)"/>
        <w:docPartUnique/>
      </w:docPartObj>
    </w:sdtPr>
    <w:sdtEndPr>
      <w:rPr>
        <w:rFonts w:ascii="Times New Roman" w:hAnsi="Times New Roman"/>
        <w:noProof/>
        <w:sz w:val="24"/>
        <w:szCs w:val="24"/>
      </w:rPr>
    </w:sdtEndPr>
    <w:sdtContent>
      <w:p w14:paraId="53964681" w14:textId="6B1DF0AB" w:rsidR="00575849" w:rsidRPr="00575849" w:rsidRDefault="00575849">
        <w:pPr>
          <w:pStyle w:val="Footer"/>
          <w:jc w:val="right"/>
          <w:rPr>
            <w:rFonts w:ascii="Times New Roman" w:hAnsi="Times New Roman"/>
            <w:sz w:val="24"/>
            <w:szCs w:val="24"/>
          </w:rPr>
        </w:pPr>
        <w:r w:rsidRPr="00575849">
          <w:rPr>
            <w:rFonts w:ascii="Times New Roman" w:hAnsi="Times New Roman"/>
            <w:sz w:val="24"/>
            <w:szCs w:val="24"/>
          </w:rPr>
          <w:fldChar w:fldCharType="begin"/>
        </w:r>
        <w:r w:rsidRPr="00575849">
          <w:rPr>
            <w:rFonts w:ascii="Times New Roman" w:hAnsi="Times New Roman"/>
            <w:sz w:val="24"/>
            <w:szCs w:val="24"/>
          </w:rPr>
          <w:instrText xml:space="preserve"> PAGE   \* MERGEFORMAT </w:instrText>
        </w:r>
        <w:r w:rsidRPr="00575849">
          <w:rPr>
            <w:rFonts w:ascii="Times New Roman" w:hAnsi="Times New Roman"/>
            <w:sz w:val="24"/>
            <w:szCs w:val="24"/>
          </w:rPr>
          <w:fldChar w:fldCharType="separate"/>
        </w:r>
        <w:r w:rsidRPr="00575849">
          <w:rPr>
            <w:rFonts w:ascii="Times New Roman" w:hAnsi="Times New Roman"/>
            <w:noProof/>
            <w:sz w:val="24"/>
            <w:szCs w:val="24"/>
          </w:rPr>
          <w:t>2</w:t>
        </w:r>
        <w:r w:rsidRPr="00575849">
          <w:rPr>
            <w:rFonts w:ascii="Times New Roman" w:hAnsi="Times New Roman"/>
            <w:noProof/>
            <w:sz w:val="24"/>
            <w:szCs w:val="24"/>
          </w:rPr>
          <w:fldChar w:fldCharType="end"/>
        </w:r>
      </w:p>
    </w:sdtContent>
  </w:sdt>
  <w:p w14:paraId="3B87B2B0" w14:textId="77777777" w:rsidR="00575849" w:rsidRPr="00575849" w:rsidRDefault="00575849">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AE80" w14:textId="77777777" w:rsidR="00C351F1" w:rsidRDefault="00C351F1" w:rsidP="00B81CB0">
      <w:r>
        <w:separator/>
      </w:r>
    </w:p>
  </w:footnote>
  <w:footnote w:type="continuationSeparator" w:id="0">
    <w:p w14:paraId="54468FE4" w14:textId="77777777" w:rsidR="00C351F1" w:rsidRDefault="00C351F1" w:rsidP="00B81CB0">
      <w:r>
        <w:continuationSeparator/>
      </w:r>
    </w:p>
  </w:footnote>
  <w:footnote w:id="1">
    <w:p w14:paraId="26015AB8" w14:textId="77777777" w:rsidR="00EF62DA" w:rsidRPr="004A1269" w:rsidRDefault="00EF62DA" w:rsidP="00EF62DA">
      <w:pPr>
        <w:pStyle w:val="FootnoteText"/>
        <w:rPr>
          <w:rFonts w:ascii="Times New Roman" w:hAnsi="Times New Roman"/>
        </w:rPr>
      </w:pPr>
      <w:r w:rsidRPr="004A1269">
        <w:rPr>
          <w:rStyle w:val="FootnoteReference"/>
          <w:rFonts w:ascii="Times New Roman" w:hAnsi="Times New Roman"/>
        </w:rPr>
        <w:footnoteRef/>
      </w:r>
      <w:r w:rsidRPr="004A1269">
        <w:rPr>
          <w:rFonts w:ascii="Times New Roman" w:hAnsi="Times New Roman"/>
        </w:rPr>
        <w:t xml:space="preserve"> </w:t>
      </w:r>
      <w:hyperlink r:id="rId1" w:history="1">
        <w:r w:rsidRPr="004A1269">
          <w:rPr>
            <w:rStyle w:val="Hyperlink"/>
            <w:rFonts w:ascii="Times New Roman" w:hAnsi="Times New Roman"/>
          </w:rPr>
          <w:t>New accounting standard – AASB 17 Insurance contracts | APRA</w:t>
        </w:r>
      </w:hyperlink>
    </w:p>
  </w:footnote>
  <w:footnote w:id="2">
    <w:p w14:paraId="0D8929D2" w14:textId="77777777" w:rsidR="001A6E9C" w:rsidRPr="004A1269" w:rsidRDefault="001A6E9C" w:rsidP="001A6E9C">
      <w:pPr>
        <w:pStyle w:val="FootnoteText"/>
        <w:rPr>
          <w:rFonts w:ascii="Times New Roman" w:hAnsi="Times New Roman"/>
        </w:rPr>
      </w:pPr>
      <w:r w:rsidRPr="004A1269">
        <w:rPr>
          <w:rStyle w:val="FootnoteReference"/>
          <w:rFonts w:ascii="Times New Roman" w:hAnsi="Times New Roman"/>
        </w:rPr>
        <w:footnoteRef/>
      </w:r>
      <w:r w:rsidRPr="004A1269">
        <w:rPr>
          <w:rFonts w:ascii="Times New Roman" w:hAnsi="Times New Roman"/>
        </w:rPr>
        <w:t xml:space="preserve"> </w:t>
      </w:r>
      <w:hyperlink r:id="rId2" w:history="1">
        <w:r w:rsidRPr="004A1269">
          <w:rPr>
            <w:rStyle w:val="Hyperlink"/>
            <w:rFonts w:ascii="Times New Roman" w:hAnsi="Times New Roman"/>
          </w:rPr>
          <w:t>Round two – Discussion Paper – Integrating AASB 17 into the capital and reporting frameworks for insurers and updates to the LAGIC framework | APRA</w:t>
        </w:r>
      </w:hyperlink>
    </w:p>
  </w:footnote>
  <w:footnote w:id="3">
    <w:p w14:paraId="6216193B" w14:textId="77777777" w:rsidR="001A6E9C" w:rsidRPr="004A1269" w:rsidRDefault="001A6E9C" w:rsidP="001A6E9C">
      <w:pPr>
        <w:pStyle w:val="FootnoteText"/>
        <w:rPr>
          <w:rFonts w:ascii="Times New Roman" w:hAnsi="Times New Roman"/>
        </w:rPr>
      </w:pPr>
      <w:r w:rsidRPr="004A1269">
        <w:rPr>
          <w:rStyle w:val="FootnoteReference"/>
          <w:rFonts w:ascii="Times New Roman" w:hAnsi="Times New Roman"/>
        </w:rPr>
        <w:footnoteRef/>
      </w:r>
      <w:r w:rsidRPr="004A1269">
        <w:rPr>
          <w:rFonts w:ascii="Times New Roman" w:hAnsi="Times New Roman"/>
        </w:rPr>
        <w:t xml:space="preserve"> </w:t>
      </w:r>
      <w:hyperlink r:id="rId3" w:history="1">
        <w:r w:rsidRPr="004A1269">
          <w:rPr>
            <w:rStyle w:val="Hyperlink"/>
            <w:rFonts w:ascii="Times New Roman" w:hAnsi="Times New Roman"/>
          </w:rPr>
          <w:t>New accounting standard – AASB 17 Insurance contracts | APRA</w:t>
        </w:r>
      </w:hyperlink>
    </w:p>
  </w:footnote>
  <w:footnote w:id="4">
    <w:p w14:paraId="04D2D244" w14:textId="77777777" w:rsidR="001A6E9C" w:rsidRPr="00173298" w:rsidRDefault="001A6E9C" w:rsidP="001A6E9C">
      <w:pPr>
        <w:pStyle w:val="FootnoteText"/>
        <w:rPr>
          <w:rFonts w:ascii="Times New Roman" w:hAnsi="Times New Roman"/>
          <w:b/>
        </w:rPr>
      </w:pPr>
      <w:r w:rsidRPr="00173298">
        <w:rPr>
          <w:rStyle w:val="FootnoteReference"/>
          <w:rFonts w:ascii="Times New Roman" w:hAnsi="Times New Roman"/>
        </w:rPr>
        <w:footnoteRef/>
      </w:r>
      <w:r w:rsidRPr="00173298">
        <w:rPr>
          <w:rFonts w:ascii="Times New Roman" w:hAnsi="Times New Roman"/>
        </w:rPr>
        <w:t xml:space="preserve"> See page 35 of </w:t>
      </w:r>
      <w:hyperlink r:id="rId4" w:history="1">
        <w:r w:rsidRPr="00173298">
          <w:rPr>
            <w:rStyle w:val="Hyperlink"/>
            <w:rFonts w:ascii="Times New Roman" w:hAnsi="Times New Roman"/>
          </w:rPr>
          <w:t>Response paper - AASB 17 (apra.gov.au)</w:t>
        </w:r>
      </w:hyperlink>
      <w:r>
        <w:rPr>
          <w:rFonts w:ascii="Times New Roman" w:hAnsi="Times New Roman"/>
        </w:rPr>
        <w:t>.</w:t>
      </w:r>
    </w:p>
  </w:footnote>
  <w:footnote w:id="5">
    <w:p w14:paraId="1B3005F2" w14:textId="77777777" w:rsidR="00EF62DA" w:rsidRDefault="00EF62DA" w:rsidP="00EF62DA">
      <w:pPr>
        <w:pStyle w:val="FootnoteText"/>
      </w:pPr>
      <w:r w:rsidRPr="004A1269">
        <w:rPr>
          <w:rStyle w:val="FootnoteReference"/>
          <w:rFonts w:ascii="Times New Roman" w:hAnsi="Times New Roman"/>
        </w:rPr>
        <w:footnoteRef/>
      </w:r>
      <w:r w:rsidRPr="004A1269">
        <w:rPr>
          <w:rFonts w:ascii="Times New Roman" w:hAnsi="Times New Roman"/>
        </w:rPr>
        <w:t xml:space="preserve"> </w:t>
      </w:r>
      <w:hyperlink r:id="rId5" w:history="1">
        <w:r w:rsidRPr="004A1269">
          <w:rPr>
            <w:rStyle w:val="Hyperlink"/>
            <w:rFonts w:ascii="Times New Roman" w:hAnsi="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170"/>
    <w:multiLevelType w:val="hybridMultilevel"/>
    <w:tmpl w:val="F03A7E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F5D5F0B"/>
    <w:multiLevelType w:val="hybridMultilevel"/>
    <w:tmpl w:val="06648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 w15:restartNumberingAfterBreak="0">
    <w:nsid w:val="39B20FBE"/>
    <w:multiLevelType w:val="hybridMultilevel"/>
    <w:tmpl w:val="5F0A8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DA3D61"/>
    <w:multiLevelType w:val="hybridMultilevel"/>
    <w:tmpl w:val="842E7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B17A3F"/>
    <w:multiLevelType w:val="multilevel"/>
    <w:tmpl w:val="078A7828"/>
    <w:lvl w:ilvl="0">
      <w:start w:val="1"/>
      <w:numFmt w:val="none"/>
      <w:suff w:val="nothing"/>
      <w:lvlText w:val=""/>
      <w:lvlJc w:val="left"/>
      <w:pPr>
        <w:ind w:left="0" w:firstLine="0"/>
      </w:pPr>
    </w:lvl>
    <w:lvl w:ilvl="1">
      <w:start w:val="1"/>
      <w:numFmt w:val="decimal"/>
      <w:lvlText w:val="%2."/>
      <w:lvlJc w:val="left"/>
      <w:pPr>
        <w:tabs>
          <w:tab w:val="num" w:pos="425"/>
        </w:tabs>
        <w:ind w:left="425" w:hanging="425"/>
      </w:pPr>
    </w:lvl>
    <w:lvl w:ilvl="2">
      <w:start w:val="1"/>
      <w:numFmt w:val="lowerLetter"/>
      <w:lvlText w:val="%3."/>
      <w:lvlJc w:val="left"/>
      <w:pPr>
        <w:tabs>
          <w:tab w:val="num" w:pos="851"/>
        </w:tabs>
        <w:ind w:left="851" w:hanging="426"/>
      </w:pPr>
    </w:lvl>
    <w:lvl w:ilvl="3">
      <w:start w:val="1"/>
      <w:numFmt w:val="lowerRoman"/>
      <w:lvlText w:val="%4."/>
      <w:lvlJc w:val="left"/>
      <w:pPr>
        <w:tabs>
          <w:tab w:val="num" w:pos="1276"/>
        </w:tabs>
        <w:ind w:left="1276"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lvlText w:val=""/>
      <w:lvlJc w:val="left"/>
      <w:pPr>
        <w:ind w:left="0" w:firstLine="0"/>
      </w:pPr>
    </w:lvl>
    <w:lvl w:ilvl="8">
      <w:start w:val="1"/>
      <w:numFmt w:val="none"/>
      <w:suff w:val="nothing"/>
      <w:lvlText w:val=""/>
      <w:lvlJc w:val="left"/>
      <w:pPr>
        <w:ind w:left="0" w:firstLine="0"/>
      </w:pPr>
    </w:lvl>
  </w:abstractNum>
  <w:num w:numId="1" w16cid:durableId="1536581895">
    <w:abstractNumId w:val="5"/>
  </w:num>
  <w:num w:numId="2" w16cid:durableId="534460822">
    <w:abstractNumId w:val="1"/>
  </w:num>
  <w:num w:numId="3" w16cid:durableId="1790511606">
    <w:abstractNumId w:val="6"/>
  </w:num>
  <w:num w:numId="4" w16cid:durableId="1697853642">
    <w:abstractNumId w:val="0"/>
  </w:num>
  <w:num w:numId="5" w16cid:durableId="1631083496">
    <w:abstractNumId w:val="2"/>
  </w:num>
  <w:num w:numId="6" w16cid:durableId="1129124442">
    <w:abstractNumId w:val="4"/>
  </w:num>
  <w:num w:numId="7" w16cid:durableId="1479110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667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BD"/>
    <w:rsid w:val="00004912"/>
    <w:rsid w:val="000111B3"/>
    <w:rsid w:val="00035449"/>
    <w:rsid w:val="000401FC"/>
    <w:rsid w:val="0005430F"/>
    <w:rsid w:val="000856C2"/>
    <w:rsid w:val="00096E5A"/>
    <w:rsid w:val="000B0675"/>
    <w:rsid w:val="000D0E02"/>
    <w:rsid w:val="000D5289"/>
    <w:rsid w:val="000E369C"/>
    <w:rsid w:val="00131BF5"/>
    <w:rsid w:val="00173298"/>
    <w:rsid w:val="00182FA1"/>
    <w:rsid w:val="001A6E9C"/>
    <w:rsid w:val="001E086D"/>
    <w:rsid w:val="001E303F"/>
    <w:rsid w:val="00204CC7"/>
    <w:rsid w:val="00231F4E"/>
    <w:rsid w:val="002436BD"/>
    <w:rsid w:val="00246723"/>
    <w:rsid w:val="002610E0"/>
    <w:rsid w:val="002A73BD"/>
    <w:rsid w:val="002C20F7"/>
    <w:rsid w:val="002E7184"/>
    <w:rsid w:val="0030506B"/>
    <w:rsid w:val="00310CF8"/>
    <w:rsid w:val="00354CB8"/>
    <w:rsid w:val="00356BCC"/>
    <w:rsid w:val="00376CB1"/>
    <w:rsid w:val="00381D23"/>
    <w:rsid w:val="00384772"/>
    <w:rsid w:val="003866AD"/>
    <w:rsid w:val="00386DC6"/>
    <w:rsid w:val="00387F80"/>
    <w:rsid w:val="003A52A5"/>
    <w:rsid w:val="003B7EA4"/>
    <w:rsid w:val="003D5032"/>
    <w:rsid w:val="003D790C"/>
    <w:rsid w:val="0040175E"/>
    <w:rsid w:val="00407654"/>
    <w:rsid w:val="00422164"/>
    <w:rsid w:val="00424E79"/>
    <w:rsid w:val="004352F4"/>
    <w:rsid w:val="00443A02"/>
    <w:rsid w:val="00447919"/>
    <w:rsid w:val="004513B6"/>
    <w:rsid w:val="004A7FED"/>
    <w:rsid w:val="004C03DB"/>
    <w:rsid w:val="004C12C8"/>
    <w:rsid w:val="004C3D07"/>
    <w:rsid w:val="004E2008"/>
    <w:rsid w:val="004F560A"/>
    <w:rsid w:val="00533A69"/>
    <w:rsid w:val="00547C47"/>
    <w:rsid w:val="00555B10"/>
    <w:rsid w:val="0056141D"/>
    <w:rsid w:val="005619CD"/>
    <w:rsid w:val="00575849"/>
    <w:rsid w:val="005876CB"/>
    <w:rsid w:val="005A0E03"/>
    <w:rsid w:val="005A0E2B"/>
    <w:rsid w:val="005D420E"/>
    <w:rsid w:val="005E5910"/>
    <w:rsid w:val="00610CC0"/>
    <w:rsid w:val="00622480"/>
    <w:rsid w:val="00631D38"/>
    <w:rsid w:val="00647D58"/>
    <w:rsid w:val="00657678"/>
    <w:rsid w:val="00681866"/>
    <w:rsid w:val="00681FD0"/>
    <w:rsid w:val="00682824"/>
    <w:rsid w:val="00682865"/>
    <w:rsid w:val="00684F73"/>
    <w:rsid w:val="006B093F"/>
    <w:rsid w:val="006C5F15"/>
    <w:rsid w:val="006D228F"/>
    <w:rsid w:val="006E4269"/>
    <w:rsid w:val="006F7F77"/>
    <w:rsid w:val="007031F4"/>
    <w:rsid w:val="00704870"/>
    <w:rsid w:val="007049CF"/>
    <w:rsid w:val="007119D0"/>
    <w:rsid w:val="00712E1A"/>
    <w:rsid w:val="00715BA2"/>
    <w:rsid w:val="007368AD"/>
    <w:rsid w:val="007428D4"/>
    <w:rsid w:val="00747AFF"/>
    <w:rsid w:val="00761B22"/>
    <w:rsid w:val="00766895"/>
    <w:rsid w:val="00785CDC"/>
    <w:rsid w:val="00796C3D"/>
    <w:rsid w:val="007B19BB"/>
    <w:rsid w:val="007C2298"/>
    <w:rsid w:val="007D1BD9"/>
    <w:rsid w:val="007E472C"/>
    <w:rsid w:val="007E4B2A"/>
    <w:rsid w:val="00830F66"/>
    <w:rsid w:val="00856369"/>
    <w:rsid w:val="00895B0B"/>
    <w:rsid w:val="008B10B8"/>
    <w:rsid w:val="008B66FB"/>
    <w:rsid w:val="008E5079"/>
    <w:rsid w:val="008F5B51"/>
    <w:rsid w:val="008F7719"/>
    <w:rsid w:val="0091308F"/>
    <w:rsid w:val="00932EFA"/>
    <w:rsid w:val="00967D16"/>
    <w:rsid w:val="009B0C3B"/>
    <w:rsid w:val="009C5368"/>
    <w:rsid w:val="009C683A"/>
    <w:rsid w:val="009E0508"/>
    <w:rsid w:val="009E3E37"/>
    <w:rsid w:val="00A0746A"/>
    <w:rsid w:val="00A279AF"/>
    <w:rsid w:val="00A4133B"/>
    <w:rsid w:val="00A51446"/>
    <w:rsid w:val="00A5635C"/>
    <w:rsid w:val="00A63A2B"/>
    <w:rsid w:val="00A9384B"/>
    <w:rsid w:val="00AA3E4A"/>
    <w:rsid w:val="00AA65EC"/>
    <w:rsid w:val="00AC1478"/>
    <w:rsid w:val="00AC2517"/>
    <w:rsid w:val="00AC7A56"/>
    <w:rsid w:val="00B03C92"/>
    <w:rsid w:val="00B04B20"/>
    <w:rsid w:val="00B10C5D"/>
    <w:rsid w:val="00B2704F"/>
    <w:rsid w:val="00B634B4"/>
    <w:rsid w:val="00B64B2E"/>
    <w:rsid w:val="00B64D0A"/>
    <w:rsid w:val="00B75D5C"/>
    <w:rsid w:val="00B81CB0"/>
    <w:rsid w:val="00B829D1"/>
    <w:rsid w:val="00B85B6E"/>
    <w:rsid w:val="00BB1678"/>
    <w:rsid w:val="00BE36B6"/>
    <w:rsid w:val="00BF1DFC"/>
    <w:rsid w:val="00BF2953"/>
    <w:rsid w:val="00C22FB0"/>
    <w:rsid w:val="00C302FA"/>
    <w:rsid w:val="00C351F1"/>
    <w:rsid w:val="00C63C6F"/>
    <w:rsid w:val="00C66A6A"/>
    <w:rsid w:val="00C803D4"/>
    <w:rsid w:val="00C948AA"/>
    <w:rsid w:val="00CA6CB3"/>
    <w:rsid w:val="00CB0CB1"/>
    <w:rsid w:val="00CB384A"/>
    <w:rsid w:val="00CD1947"/>
    <w:rsid w:val="00CD2564"/>
    <w:rsid w:val="00CE3EF2"/>
    <w:rsid w:val="00CE7052"/>
    <w:rsid w:val="00CF2CBE"/>
    <w:rsid w:val="00D119F5"/>
    <w:rsid w:val="00D3484E"/>
    <w:rsid w:val="00D53B59"/>
    <w:rsid w:val="00D64906"/>
    <w:rsid w:val="00D83531"/>
    <w:rsid w:val="00D87E36"/>
    <w:rsid w:val="00DA3673"/>
    <w:rsid w:val="00DB6B25"/>
    <w:rsid w:val="00DC7EBF"/>
    <w:rsid w:val="00DF2A0B"/>
    <w:rsid w:val="00DF524E"/>
    <w:rsid w:val="00DF61A6"/>
    <w:rsid w:val="00E15497"/>
    <w:rsid w:val="00E154A3"/>
    <w:rsid w:val="00E16789"/>
    <w:rsid w:val="00E201A8"/>
    <w:rsid w:val="00E31428"/>
    <w:rsid w:val="00E52DFE"/>
    <w:rsid w:val="00E61B19"/>
    <w:rsid w:val="00E75DCE"/>
    <w:rsid w:val="00E85371"/>
    <w:rsid w:val="00E90C89"/>
    <w:rsid w:val="00E95FA0"/>
    <w:rsid w:val="00EC5653"/>
    <w:rsid w:val="00EF2E16"/>
    <w:rsid w:val="00EF62DA"/>
    <w:rsid w:val="00F06CA3"/>
    <w:rsid w:val="00F12F86"/>
    <w:rsid w:val="00F436BC"/>
    <w:rsid w:val="00F4541D"/>
    <w:rsid w:val="00F512AE"/>
    <w:rsid w:val="00F65616"/>
    <w:rsid w:val="00F7706D"/>
    <w:rsid w:val="00F92C93"/>
    <w:rsid w:val="00FA5345"/>
    <w:rsid w:val="00FF23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038D8"/>
  <w15:chartTrackingRefBased/>
  <w15:docId w15:val="{32E364AC-427D-4710-A89A-D7926AEB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9"/>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9"/>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766895"/>
    <w:pPr>
      <w:spacing w:before="100" w:beforeAutospacing="1" w:after="100" w:afterAutospacing="1"/>
    </w:pPr>
    <w:rPr>
      <w:rFonts w:ascii="Times New Roman" w:hAnsi="Times New Roman"/>
      <w:sz w:val="24"/>
      <w:szCs w:val="24"/>
    </w:rPr>
  </w:style>
  <w:style w:type="character" w:styleId="FootnoteReference">
    <w:name w:val="footnote reference"/>
    <w:uiPriority w:val="99"/>
    <w:semiHidden/>
    <w:unhideWhenUsed/>
    <w:rsid w:val="000856C2"/>
  </w:style>
  <w:style w:type="paragraph" w:styleId="Title">
    <w:name w:val="Title"/>
    <w:basedOn w:val="Normal"/>
    <w:link w:val="TitleChar"/>
    <w:qFormat/>
    <w:rsid w:val="00B634B4"/>
    <w:pPr>
      <w:spacing w:before="360"/>
      <w:jc w:val="center"/>
    </w:pPr>
    <w:rPr>
      <w:rFonts w:ascii="Times New Roman" w:hAnsi="Times New Roman"/>
      <w:b/>
      <w:sz w:val="32"/>
    </w:rPr>
  </w:style>
  <w:style w:type="character" w:customStyle="1" w:styleId="TitleChar">
    <w:name w:val="Title Char"/>
    <w:link w:val="Title"/>
    <w:rsid w:val="00B634B4"/>
    <w:rPr>
      <w:rFonts w:ascii="Times New Roman" w:eastAsia="Times New Roman" w:hAnsi="Times New Roman"/>
      <w:b/>
      <w:sz w:val="32"/>
    </w:rPr>
  </w:style>
  <w:style w:type="paragraph" w:styleId="BodyText">
    <w:name w:val="Body Text"/>
    <w:basedOn w:val="Normal"/>
    <w:link w:val="BodyTextChar"/>
    <w:rsid w:val="00B634B4"/>
    <w:pPr>
      <w:spacing w:after="240"/>
    </w:pPr>
    <w:rPr>
      <w:rFonts w:ascii="Times New Roman" w:hAnsi="Times New Roman"/>
      <w:sz w:val="24"/>
    </w:rPr>
  </w:style>
  <w:style w:type="character" w:customStyle="1" w:styleId="BodyTextChar">
    <w:name w:val="Body Text Char"/>
    <w:link w:val="BodyText"/>
    <w:rsid w:val="00B634B4"/>
    <w:rPr>
      <w:rFonts w:ascii="Times New Roman" w:eastAsia="Times New Roman" w:hAnsi="Times New Roman"/>
      <w:sz w:val="24"/>
    </w:rPr>
  </w:style>
  <w:style w:type="paragraph" w:styleId="Revision">
    <w:name w:val="Revision"/>
    <w:hidden/>
    <w:uiPriority w:val="99"/>
    <w:semiHidden/>
    <w:rsid w:val="00B81CB0"/>
    <w:rPr>
      <w:rFonts w:ascii="Trebuchet MS" w:eastAsia="Times New Roman" w:hAnsi="Trebuchet MS"/>
      <w:sz w:val="22"/>
    </w:rPr>
  </w:style>
  <w:style w:type="paragraph" w:styleId="FootnoteText">
    <w:name w:val="footnote text"/>
    <w:basedOn w:val="Normal"/>
    <w:link w:val="FootnoteTextChar"/>
    <w:uiPriority w:val="99"/>
    <w:semiHidden/>
    <w:unhideWhenUsed/>
    <w:rsid w:val="00EF62DA"/>
    <w:rPr>
      <w:sz w:val="20"/>
    </w:rPr>
  </w:style>
  <w:style w:type="character" w:customStyle="1" w:styleId="FootnoteTextChar">
    <w:name w:val="Footnote Text Char"/>
    <w:basedOn w:val="DefaultParagraphFont"/>
    <w:link w:val="FootnoteText"/>
    <w:uiPriority w:val="99"/>
    <w:semiHidden/>
    <w:rsid w:val="00EF62DA"/>
    <w:rPr>
      <w:rFonts w:ascii="Trebuchet MS" w:eastAsia="Times New Roman" w:hAnsi="Trebuchet MS"/>
    </w:rPr>
  </w:style>
  <w:style w:type="character" w:styleId="UnresolvedMention">
    <w:name w:val="Unresolved Mention"/>
    <w:basedOn w:val="DefaultParagraphFont"/>
    <w:uiPriority w:val="99"/>
    <w:semiHidden/>
    <w:unhideWhenUsed/>
    <w:rsid w:val="006E4269"/>
    <w:rPr>
      <w:color w:val="605E5C"/>
      <w:shd w:val="clear" w:color="auto" w:fill="E1DFDD"/>
    </w:rPr>
  </w:style>
  <w:style w:type="paragraph" w:styleId="Header">
    <w:name w:val="header"/>
    <w:basedOn w:val="Normal"/>
    <w:link w:val="HeaderChar"/>
    <w:uiPriority w:val="99"/>
    <w:unhideWhenUsed/>
    <w:rsid w:val="00575849"/>
    <w:pPr>
      <w:tabs>
        <w:tab w:val="center" w:pos="4513"/>
        <w:tab w:val="right" w:pos="9026"/>
      </w:tabs>
    </w:pPr>
  </w:style>
  <w:style w:type="character" w:customStyle="1" w:styleId="HeaderChar">
    <w:name w:val="Header Char"/>
    <w:basedOn w:val="DefaultParagraphFont"/>
    <w:link w:val="Header"/>
    <w:uiPriority w:val="99"/>
    <w:rsid w:val="00575849"/>
    <w:rPr>
      <w:rFonts w:ascii="Trebuchet MS" w:eastAsia="Times New Roman" w:hAnsi="Trebuchet MS"/>
      <w:sz w:val="22"/>
    </w:rPr>
  </w:style>
  <w:style w:type="paragraph" w:styleId="Footer">
    <w:name w:val="footer"/>
    <w:basedOn w:val="Normal"/>
    <w:link w:val="FooterChar"/>
    <w:uiPriority w:val="99"/>
    <w:unhideWhenUsed/>
    <w:rsid w:val="00575849"/>
    <w:pPr>
      <w:tabs>
        <w:tab w:val="center" w:pos="4513"/>
        <w:tab w:val="right" w:pos="9026"/>
      </w:tabs>
    </w:pPr>
  </w:style>
  <w:style w:type="character" w:customStyle="1" w:styleId="FooterChar">
    <w:name w:val="Footer Char"/>
    <w:basedOn w:val="DefaultParagraphFont"/>
    <w:link w:val="Footer"/>
    <w:uiPriority w:val="99"/>
    <w:rsid w:val="00575849"/>
    <w:rPr>
      <w:rFonts w:ascii="Trebuchet MS" w:eastAsia="Times New Roman"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0700">
      <w:bodyDiv w:val="1"/>
      <w:marLeft w:val="0"/>
      <w:marRight w:val="0"/>
      <w:marTop w:val="0"/>
      <w:marBottom w:val="0"/>
      <w:divBdr>
        <w:top w:val="none" w:sz="0" w:space="0" w:color="auto"/>
        <w:left w:val="none" w:sz="0" w:space="0" w:color="auto"/>
        <w:bottom w:val="none" w:sz="0" w:space="0" w:color="auto"/>
        <w:right w:val="none" w:sz="0" w:space="0" w:color="auto"/>
      </w:divBdr>
      <w:divsChild>
        <w:div w:id="2122916807">
          <w:marLeft w:val="0"/>
          <w:marRight w:val="0"/>
          <w:marTop w:val="0"/>
          <w:marBottom w:val="0"/>
          <w:divBdr>
            <w:top w:val="none" w:sz="0" w:space="0" w:color="auto"/>
            <w:left w:val="none" w:sz="0" w:space="0" w:color="auto"/>
            <w:bottom w:val="none" w:sz="0" w:space="0" w:color="auto"/>
            <w:right w:val="none" w:sz="0" w:space="0" w:color="auto"/>
          </w:divBdr>
          <w:divsChild>
            <w:div w:id="663824690">
              <w:marLeft w:val="0"/>
              <w:marRight w:val="0"/>
              <w:marTop w:val="0"/>
              <w:marBottom w:val="0"/>
              <w:divBdr>
                <w:top w:val="none" w:sz="0" w:space="0" w:color="auto"/>
                <w:left w:val="none" w:sz="0" w:space="0" w:color="auto"/>
                <w:bottom w:val="none" w:sz="0" w:space="0" w:color="auto"/>
                <w:right w:val="none" w:sz="0" w:space="0" w:color="auto"/>
              </w:divBdr>
              <w:divsChild>
                <w:div w:id="1738166018">
                  <w:marLeft w:val="0"/>
                  <w:marRight w:val="0"/>
                  <w:marTop w:val="0"/>
                  <w:marBottom w:val="0"/>
                  <w:divBdr>
                    <w:top w:val="none" w:sz="0" w:space="0" w:color="auto"/>
                    <w:left w:val="none" w:sz="0" w:space="0" w:color="auto"/>
                    <w:bottom w:val="none" w:sz="0" w:space="0" w:color="auto"/>
                    <w:right w:val="none" w:sz="0" w:space="0" w:color="auto"/>
                  </w:divBdr>
                  <w:divsChild>
                    <w:div w:id="1226650490">
                      <w:marLeft w:val="0"/>
                      <w:marRight w:val="0"/>
                      <w:marTop w:val="0"/>
                      <w:marBottom w:val="0"/>
                      <w:divBdr>
                        <w:top w:val="none" w:sz="0" w:space="0" w:color="auto"/>
                        <w:left w:val="none" w:sz="0" w:space="0" w:color="auto"/>
                        <w:bottom w:val="none" w:sz="0" w:space="0" w:color="auto"/>
                        <w:right w:val="none" w:sz="0" w:space="0" w:color="auto"/>
                      </w:divBdr>
                      <w:divsChild>
                        <w:div w:id="165024871">
                          <w:marLeft w:val="0"/>
                          <w:marRight w:val="0"/>
                          <w:marTop w:val="0"/>
                          <w:marBottom w:val="0"/>
                          <w:divBdr>
                            <w:top w:val="single" w:sz="6" w:space="0" w:color="828282"/>
                            <w:left w:val="single" w:sz="6" w:space="0" w:color="828282"/>
                            <w:bottom w:val="single" w:sz="6" w:space="0" w:color="828282"/>
                            <w:right w:val="single" w:sz="6" w:space="0" w:color="828282"/>
                          </w:divBdr>
                          <w:divsChild>
                            <w:div w:id="1681732975">
                              <w:marLeft w:val="0"/>
                              <w:marRight w:val="0"/>
                              <w:marTop w:val="0"/>
                              <w:marBottom w:val="0"/>
                              <w:divBdr>
                                <w:top w:val="none" w:sz="0" w:space="0" w:color="auto"/>
                                <w:left w:val="none" w:sz="0" w:space="0" w:color="auto"/>
                                <w:bottom w:val="none" w:sz="0" w:space="0" w:color="auto"/>
                                <w:right w:val="none" w:sz="0" w:space="0" w:color="auto"/>
                              </w:divBdr>
                              <w:divsChild>
                                <w:div w:id="437069065">
                                  <w:marLeft w:val="0"/>
                                  <w:marRight w:val="0"/>
                                  <w:marTop w:val="0"/>
                                  <w:marBottom w:val="0"/>
                                  <w:divBdr>
                                    <w:top w:val="none" w:sz="0" w:space="0" w:color="auto"/>
                                    <w:left w:val="none" w:sz="0" w:space="0" w:color="auto"/>
                                    <w:bottom w:val="none" w:sz="0" w:space="0" w:color="auto"/>
                                    <w:right w:val="none" w:sz="0" w:space="0" w:color="auto"/>
                                  </w:divBdr>
                                  <w:divsChild>
                                    <w:div w:id="212623142">
                                      <w:marLeft w:val="0"/>
                                      <w:marRight w:val="0"/>
                                      <w:marTop w:val="0"/>
                                      <w:marBottom w:val="0"/>
                                      <w:divBdr>
                                        <w:top w:val="none" w:sz="0" w:space="0" w:color="auto"/>
                                        <w:left w:val="none" w:sz="0" w:space="0" w:color="auto"/>
                                        <w:bottom w:val="none" w:sz="0" w:space="0" w:color="auto"/>
                                        <w:right w:val="none" w:sz="0" w:space="0" w:color="auto"/>
                                      </w:divBdr>
                                      <w:divsChild>
                                        <w:div w:id="1077750667">
                                          <w:marLeft w:val="0"/>
                                          <w:marRight w:val="0"/>
                                          <w:marTop w:val="0"/>
                                          <w:marBottom w:val="0"/>
                                          <w:divBdr>
                                            <w:top w:val="none" w:sz="0" w:space="0" w:color="auto"/>
                                            <w:left w:val="none" w:sz="0" w:space="0" w:color="auto"/>
                                            <w:bottom w:val="none" w:sz="0" w:space="0" w:color="auto"/>
                                            <w:right w:val="none" w:sz="0" w:space="0" w:color="auto"/>
                                          </w:divBdr>
                                          <w:divsChild>
                                            <w:div w:id="1275597523">
                                              <w:marLeft w:val="0"/>
                                              <w:marRight w:val="0"/>
                                              <w:marTop w:val="0"/>
                                              <w:marBottom w:val="0"/>
                                              <w:divBdr>
                                                <w:top w:val="none" w:sz="0" w:space="0" w:color="auto"/>
                                                <w:left w:val="none" w:sz="0" w:space="0" w:color="auto"/>
                                                <w:bottom w:val="none" w:sz="0" w:space="0" w:color="auto"/>
                                                <w:right w:val="none" w:sz="0" w:space="0" w:color="auto"/>
                                              </w:divBdr>
                                              <w:divsChild>
                                                <w:div w:id="14396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379294">
      <w:bodyDiv w:val="1"/>
      <w:marLeft w:val="0"/>
      <w:marRight w:val="0"/>
      <w:marTop w:val="0"/>
      <w:marBottom w:val="0"/>
      <w:divBdr>
        <w:top w:val="none" w:sz="0" w:space="0" w:color="auto"/>
        <w:left w:val="none" w:sz="0" w:space="0" w:color="auto"/>
        <w:bottom w:val="none" w:sz="0" w:space="0" w:color="auto"/>
        <w:right w:val="none" w:sz="0" w:space="0" w:color="auto"/>
      </w:divBdr>
      <w:divsChild>
        <w:div w:id="1680932984">
          <w:marLeft w:val="0"/>
          <w:marRight w:val="0"/>
          <w:marTop w:val="0"/>
          <w:marBottom w:val="0"/>
          <w:divBdr>
            <w:top w:val="none" w:sz="0" w:space="0" w:color="auto"/>
            <w:left w:val="none" w:sz="0" w:space="0" w:color="auto"/>
            <w:bottom w:val="none" w:sz="0" w:space="0" w:color="auto"/>
            <w:right w:val="none" w:sz="0" w:space="0" w:color="auto"/>
          </w:divBdr>
          <w:divsChild>
            <w:div w:id="1355040792">
              <w:marLeft w:val="0"/>
              <w:marRight w:val="0"/>
              <w:marTop w:val="0"/>
              <w:marBottom w:val="0"/>
              <w:divBdr>
                <w:top w:val="none" w:sz="0" w:space="0" w:color="auto"/>
                <w:left w:val="none" w:sz="0" w:space="0" w:color="auto"/>
                <w:bottom w:val="none" w:sz="0" w:space="0" w:color="auto"/>
                <w:right w:val="none" w:sz="0" w:space="0" w:color="auto"/>
              </w:divBdr>
              <w:divsChild>
                <w:div w:id="1095130924">
                  <w:marLeft w:val="0"/>
                  <w:marRight w:val="0"/>
                  <w:marTop w:val="0"/>
                  <w:marBottom w:val="0"/>
                  <w:divBdr>
                    <w:top w:val="none" w:sz="0" w:space="0" w:color="auto"/>
                    <w:left w:val="none" w:sz="0" w:space="0" w:color="auto"/>
                    <w:bottom w:val="none" w:sz="0" w:space="0" w:color="auto"/>
                    <w:right w:val="none" w:sz="0" w:space="0" w:color="auto"/>
                  </w:divBdr>
                  <w:divsChild>
                    <w:div w:id="1010333269">
                      <w:marLeft w:val="0"/>
                      <w:marRight w:val="0"/>
                      <w:marTop w:val="0"/>
                      <w:marBottom w:val="0"/>
                      <w:divBdr>
                        <w:top w:val="none" w:sz="0" w:space="0" w:color="auto"/>
                        <w:left w:val="none" w:sz="0" w:space="0" w:color="auto"/>
                        <w:bottom w:val="none" w:sz="0" w:space="0" w:color="auto"/>
                        <w:right w:val="none" w:sz="0" w:space="0" w:color="auto"/>
                      </w:divBdr>
                      <w:divsChild>
                        <w:div w:id="1201935356">
                          <w:marLeft w:val="0"/>
                          <w:marRight w:val="0"/>
                          <w:marTop w:val="0"/>
                          <w:marBottom w:val="0"/>
                          <w:divBdr>
                            <w:top w:val="single" w:sz="6" w:space="0" w:color="828282"/>
                            <w:left w:val="single" w:sz="6" w:space="0" w:color="828282"/>
                            <w:bottom w:val="single" w:sz="6" w:space="0" w:color="828282"/>
                            <w:right w:val="single" w:sz="6" w:space="0" w:color="828282"/>
                          </w:divBdr>
                          <w:divsChild>
                            <w:div w:id="982080764">
                              <w:marLeft w:val="0"/>
                              <w:marRight w:val="0"/>
                              <w:marTop w:val="0"/>
                              <w:marBottom w:val="0"/>
                              <w:divBdr>
                                <w:top w:val="none" w:sz="0" w:space="0" w:color="auto"/>
                                <w:left w:val="none" w:sz="0" w:space="0" w:color="auto"/>
                                <w:bottom w:val="none" w:sz="0" w:space="0" w:color="auto"/>
                                <w:right w:val="none" w:sz="0" w:space="0" w:color="auto"/>
                              </w:divBdr>
                              <w:divsChild>
                                <w:div w:id="1936328946">
                                  <w:marLeft w:val="0"/>
                                  <w:marRight w:val="0"/>
                                  <w:marTop w:val="0"/>
                                  <w:marBottom w:val="0"/>
                                  <w:divBdr>
                                    <w:top w:val="none" w:sz="0" w:space="0" w:color="auto"/>
                                    <w:left w:val="none" w:sz="0" w:space="0" w:color="auto"/>
                                    <w:bottom w:val="none" w:sz="0" w:space="0" w:color="auto"/>
                                    <w:right w:val="none" w:sz="0" w:space="0" w:color="auto"/>
                                  </w:divBdr>
                                  <w:divsChild>
                                    <w:div w:id="1348173124">
                                      <w:marLeft w:val="0"/>
                                      <w:marRight w:val="0"/>
                                      <w:marTop w:val="0"/>
                                      <w:marBottom w:val="0"/>
                                      <w:divBdr>
                                        <w:top w:val="none" w:sz="0" w:space="0" w:color="auto"/>
                                        <w:left w:val="none" w:sz="0" w:space="0" w:color="auto"/>
                                        <w:bottom w:val="none" w:sz="0" w:space="0" w:color="auto"/>
                                        <w:right w:val="none" w:sz="0" w:space="0" w:color="auto"/>
                                      </w:divBdr>
                                      <w:divsChild>
                                        <w:div w:id="659430441">
                                          <w:marLeft w:val="0"/>
                                          <w:marRight w:val="0"/>
                                          <w:marTop w:val="0"/>
                                          <w:marBottom w:val="0"/>
                                          <w:divBdr>
                                            <w:top w:val="none" w:sz="0" w:space="0" w:color="auto"/>
                                            <w:left w:val="none" w:sz="0" w:space="0" w:color="auto"/>
                                            <w:bottom w:val="none" w:sz="0" w:space="0" w:color="auto"/>
                                            <w:right w:val="none" w:sz="0" w:space="0" w:color="auto"/>
                                          </w:divBdr>
                                          <w:divsChild>
                                            <w:div w:id="1155489990">
                                              <w:marLeft w:val="0"/>
                                              <w:marRight w:val="0"/>
                                              <w:marTop w:val="0"/>
                                              <w:marBottom w:val="0"/>
                                              <w:divBdr>
                                                <w:top w:val="none" w:sz="0" w:space="0" w:color="auto"/>
                                                <w:left w:val="none" w:sz="0" w:space="0" w:color="auto"/>
                                                <w:bottom w:val="none" w:sz="0" w:space="0" w:color="auto"/>
                                                <w:right w:val="none" w:sz="0" w:space="0" w:color="auto"/>
                                              </w:divBdr>
                                              <w:divsChild>
                                                <w:div w:id="15151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56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new-accounting-standard-%E2%80%93-aasb-17-insurance-contracts" TargetMode="External"/><Relationship Id="rId2" Type="http://schemas.openxmlformats.org/officeDocument/2006/relationships/hyperlink" Target="https://www.apra.gov.au/round-two-%E2%80%93-discussion-paper-%E2%80%93-integrating-aasb-17-into-capital-and-reporting-frameworks-for" TargetMode="External"/><Relationship Id="rId1" Type="http://schemas.openxmlformats.org/officeDocument/2006/relationships/hyperlink" Target="https://www.apra.gov.au/new-accounting-standard-%E2%80%93-aasb-17-insurance-contracts" TargetMode="External"/><Relationship Id="rId5" Type="http://schemas.openxmlformats.org/officeDocument/2006/relationships/hyperlink" Target="https://www.apra.gov.au/new-accounting-standard-%E2%80%93-aasb-17-insurance-contracts" TargetMode="External"/><Relationship Id="rId4" Type="http://schemas.openxmlformats.org/officeDocument/2006/relationships/hyperlink" Target="https://www.apra.gov.au/sites/default/files/2021-12/Response%20paper%20-%20AASB%2017%20and%20LAGIC%20update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_Flow_SignoffStatus xmlns="5e7d1d2f-1d1d-4328-b1c4-d23268d86024" xsi:nil="true"/>
  </documentManagement>
</p:properties>
</file>

<file path=customXml/itemProps1.xml><?xml version="1.0" encoding="utf-8"?>
<ds:datastoreItem xmlns:ds="http://schemas.openxmlformats.org/officeDocument/2006/customXml" ds:itemID="{700827E1-3DB8-4738-9896-5D37D040CC62}">
  <ds:schemaRefs>
    <ds:schemaRef ds:uri="http://schemas.openxmlformats.org/officeDocument/2006/bibliography"/>
  </ds:schemaRefs>
</ds:datastoreItem>
</file>

<file path=customXml/itemProps2.xml><?xml version="1.0" encoding="utf-8"?>
<ds:datastoreItem xmlns:ds="http://schemas.openxmlformats.org/officeDocument/2006/customXml" ds:itemID="{ED8320E6-F101-4DC9-9319-611BAEFEE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DC7D9-0471-4222-9EEB-6D71E127A918}">
  <ds:schemaRefs>
    <ds:schemaRef ds:uri="http://schemas.microsoft.com/sharepoint/v3/contenttype/forms"/>
  </ds:schemaRefs>
</ds:datastoreItem>
</file>

<file path=customXml/itemProps4.xml><?xml version="1.0" encoding="utf-8"?>
<ds:datastoreItem xmlns:ds="http://schemas.openxmlformats.org/officeDocument/2006/customXml" ds:itemID="{A113C716-3A1A-4D6E-BBC8-53BD3F9D84E4}">
  <ds:schemaRefs>
    <ds:schemaRef ds:uri="http://schemas.microsoft.com/office/infopath/2007/PartnerControls"/>
    <ds:schemaRef ds:uri="0873f81f-5545-4105-9cf3-1e567ff68fe4"/>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5e7d1d2f-1d1d-4328-b1c4-d23268d860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1658</Words>
  <Characters>9322</Characters>
  <Application>Microsoft Office Word</Application>
  <DocSecurity>4</DocSecurity>
  <Lines>198</Lines>
  <Paragraphs>78</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dcsull</dc:creator>
  <cp:keywords>[SEC=OFFICIAL]</cp:keywords>
  <cp:lastModifiedBy>Toni Michalis</cp:lastModifiedBy>
  <cp:revision>2</cp:revision>
  <cp:lastPrinted>2023-05-03T02:06:00Z</cp:lastPrinted>
  <dcterms:created xsi:type="dcterms:W3CDTF">2023-07-04T02:35:00Z</dcterms:created>
  <dcterms:modified xsi:type="dcterms:W3CDTF">2023-07-04T02:35:00Z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HMAC">
    <vt:lpwstr>v=2022.1;a=SHA256;h=8A79A3E3FA1BD21F9E77E146D1AA12D4D3B3626300C1F59F2A9935C9E03EB5D3</vt:lpwstr>
  </property>
  <property fmtid="{D5CDD505-2E9C-101B-9397-08002B2CF9AE}" pid="8" name="PM_Qualifier">
    <vt:lpwstr/>
  </property>
  <property fmtid="{D5CDD505-2E9C-101B-9397-08002B2CF9AE}" pid="9" name="MSIP_Label_c0129afb-6481-4f92-bc9f-5a4a6346364d_Method">
    <vt:lpwstr>Privileged</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2023-04-20T04:32:18Z</vt:lpwstr>
  </property>
  <property fmtid="{D5CDD505-2E9C-101B-9397-08002B2CF9AE}" pid="13" name="PM_Markers">
    <vt:lpwstr/>
  </property>
  <property fmtid="{D5CDD505-2E9C-101B-9397-08002B2CF9AE}" pid="14" name="MSIP_Label_c0129afb-6481-4f92-bc9f-5a4a6346364d_SiteId">
    <vt:lpwstr>c05e3ffd-b491-4431-9809-e61d4dc78816</vt:lpwstr>
  </property>
  <property fmtid="{D5CDD505-2E9C-101B-9397-08002B2CF9AE}" pid="15" name="MSIP_Label_c0129afb-6481-4f92-bc9f-5a4a6346364d_ContentBits">
    <vt:lpwstr>0</vt:lpwstr>
  </property>
  <property fmtid="{D5CDD505-2E9C-101B-9397-08002B2CF9AE}" pid="16" name="MSIP_Label_c0129afb-6481-4f92-bc9f-5a4a6346364d_Enabled">
    <vt:lpwstr>true</vt:lpwstr>
  </property>
  <property fmtid="{D5CDD505-2E9C-101B-9397-08002B2CF9AE}" pid="17" name="PM_Hash_Salt_Prev">
    <vt:lpwstr>AE7756A14CC605DED519E35920497510</vt:lpwstr>
  </property>
  <property fmtid="{D5CDD505-2E9C-101B-9397-08002B2CF9AE}" pid="18" name="MSIP_Label_c0129afb-6481-4f92-bc9f-5a4a6346364d_SetDate">
    <vt:lpwstr>2023-04-20T04:32:18Z</vt:lpwstr>
  </property>
  <property fmtid="{D5CDD505-2E9C-101B-9397-08002B2CF9AE}" pid="19" name="MSIP_Label_c0129afb-6481-4f92-bc9f-5a4a6346364d_ActionId">
    <vt:lpwstr>eb27ae13a8dd4733a20d18fb4c08daa4</vt:lpwstr>
  </property>
  <property fmtid="{D5CDD505-2E9C-101B-9397-08002B2CF9AE}" pid="20" name="PM_InsertionValue">
    <vt:lpwstr>OFFICIAL</vt:lpwstr>
  </property>
  <property fmtid="{D5CDD505-2E9C-101B-9397-08002B2CF9AE}" pid="21" name="PM_Originator_Hash_SHA1">
    <vt:lpwstr>C3AD57350F36D8E1BD75F8F67CB06D435C9C43CA</vt:lpwstr>
  </property>
  <property fmtid="{D5CDD505-2E9C-101B-9397-08002B2CF9AE}" pid="22" name="PM_DisplayValueSecClassificationWithQualifier">
    <vt:lpwstr>OFFICIAL</vt:lpwstr>
  </property>
  <property fmtid="{D5CDD505-2E9C-101B-9397-08002B2CF9AE}" pid="23" name="PM_Originating_FileId">
    <vt:lpwstr>C93A11D8325A429591B9CCE5861BAEA2</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6E3018F28A186D2E5FF5207C041E7A82E907C3008E071057026A53705873B72E</vt:lpwstr>
  </property>
  <property fmtid="{D5CDD505-2E9C-101B-9397-08002B2CF9AE}" pid="29" name="PM_OriginatorDomainName_SHA256">
    <vt:lpwstr>ECBDE2B44A971754412B3FB70606937A119CC0D4B6C1B658A40FBD41C30BE3EC</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
    <vt:lpwstr>720D8A3B1BD8449BA616664D9E6D9335</vt:lpwstr>
  </property>
  <property fmtid="{D5CDD505-2E9C-101B-9397-08002B2CF9AE}" pid="33" name="PM_Hash_SHA1">
    <vt:lpwstr>40D8EF16CDC388CA1B9050A91F7CD54F3703422D</vt:lpwstr>
  </property>
  <property fmtid="{D5CDD505-2E9C-101B-9397-08002B2CF9AE}" pid="34" name="ContentTypeId">
    <vt:lpwstr>0x01010055938772D2D18A4A95DEC4D9E6BF9669</vt:lpwstr>
  </property>
  <property fmtid="{D5CDD505-2E9C-101B-9397-08002B2CF9AE}" pid="35" name="MediaServiceImageTags">
    <vt:lpwstr/>
  </property>
  <property fmtid="{D5CDD505-2E9C-101B-9397-08002B2CF9AE}" pid="36" name="PM_SecurityClassification_Prev">
    <vt:lpwstr>OFFICIAL</vt:lpwstr>
  </property>
  <property fmtid="{D5CDD505-2E9C-101B-9397-08002B2CF9AE}" pid="37" name="PM_Qualifier_Prev">
    <vt:lpwstr/>
  </property>
</Properties>
</file>