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3B1A51" w:rsidRDefault="00FF6E25" w:rsidP="00797553">
      <w:pPr>
        <w:pStyle w:val="Title"/>
      </w:pPr>
      <w:r w:rsidRPr="003B1A51">
        <w:t>EXPLANATORY STATEMENT</w:t>
      </w:r>
    </w:p>
    <w:p w14:paraId="145EC655" w14:textId="28576EC9" w:rsidR="0088497A" w:rsidRPr="003B1A51" w:rsidRDefault="0088497A" w:rsidP="000C310A">
      <w:pPr>
        <w:pStyle w:val="Subtitle"/>
        <w:rPr>
          <w:rStyle w:val="IntenseEmphasis"/>
          <w:color w:val="auto"/>
        </w:rPr>
      </w:pPr>
      <w:r w:rsidRPr="003B1A51">
        <w:rPr>
          <w:rStyle w:val="IntenseEmphasis"/>
          <w:color w:val="auto"/>
        </w:rPr>
        <w:t xml:space="preserve">Issued by the authority of </w:t>
      </w:r>
      <w:r w:rsidR="003B1A51" w:rsidRPr="003B1A51">
        <w:rPr>
          <w:rStyle w:val="IntenseEmphasis"/>
          <w:color w:val="auto"/>
        </w:rPr>
        <w:t>the Minister for Education</w:t>
      </w:r>
    </w:p>
    <w:p w14:paraId="12EB6806" w14:textId="0A8A2752" w:rsidR="00455C2A" w:rsidRPr="003B1A51" w:rsidRDefault="003B1A51" w:rsidP="000C310A">
      <w:pPr>
        <w:pStyle w:val="Subtitle"/>
      </w:pPr>
      <w:r w:rsidRPr="003B1A51">
        <w:t>Higher Education Support Act 2003</w:t>
      </w:r>
    </w:p>
    <w:p w14:paraId="6C026A0C" w14:textId="48C6C152" w:rsidR="00503218" w:rsidRPr="0088497A" w:rsidRDefault="003B1A51" w:rsidP="000C310A">
      <w:pPr>
        <w:pStyle w:val="Subtitle"/>
      </w:pPr>
      <w:r>
        <w:t>Other Grants (Research) Amendment (National Industry PhD Program) Guidelines 2023</w:t>
      </w:r>
    </w:p>
    <w:p w14:paraId="33AB2D38" w14:textId="77777777" w:rsidR="00455C2A" w:rsidRPr="009D0999" w:rsidRDefault="00144950" w:rsidP="000C310A">
      <w:pPr>
        <w:pStyle w:val="Heading1"/>
      </w:pPr>
      <w:bookmarkStart w:id="0" w:name="_Toc23942238"/>
      <w:bookmarkStart w:id="1" w:name="_Toc34293358"/>
      <w:r w:rsidRPr="009D0999">
        <w:t>AUTHORITY</w:t>
      </w:r>
    </w:p>
    <w:p w14:paraId="15A26E4F" w14:textId="3DADDE1A" w:rsidR="00853C99" w:rsidRDefault="007B3BFE" w:rsidP="000C310A">
      <w:pPr>
        <w:spacing w:before="120" w:after="120"/>
        <w:rPr>
          <w:rFonts w:asciiTheme="minorHAnsi" w:hAnsiTheme="minorHAnsi" w:cstheme="minorHAnsi"/>
          <w:szCs w:val="24"/>
        </w:rPr>
      </w:pPr>
      <w:r>
        <w:rPr>
          <w:rFonts w:asciiTheme="minorHAnsi" w:hAnsiTheme="minorHAnsi" w:cstheme="minorHAnsi"/>
          <w:szCs w:val="24"/>
        </w:rPr>
        <w:t xml:space="preserve">Item </w:t>
      </w:r>
      <w:r w:rsidR="001070AD">
        <w:rPr>
          <w:rFonts w:asciiTheme="minorHAnsi" w:hAnsiTheme="minorHAnsi" w:cstheme="minorHAnsi"/>
          <w:szCs w:val="24"/>
        </w:rPr>
        <w:t>8</w:t>
      </w:r>
      <w:r>
        <w:rPr>
          <w:rFonts w:asciiTheme="minorHAnsi" w:hAnsiTheme="minorHAnsi" w:cstheme="minorHAnsi"/>
          <w:szCs w:val="24"/>
        </w:rPr>
        <w:t xml:space="preserve"> of the table at subs</w:t>
      </w:r>
      <w:r w:rsidR="00853C99">
        <w:rPr>
          <w:rFonts w:asciiTheme="minorHAnsi" w:hAnsiTheme="minorHAnsi" w:cstheme="minorHAnsi"/>
          <w:szCs w:val="24"/>
        </w:rPr>
        <w:t>ection 238-10</w:t>
      </w:r>
      <w:r>
        <w:rPr>
          <w:rFonts w:asciiTheme="minorHAnsi" w:hAnsiTheme="minorHAnsi" w:cstheme="minorHAnsi"/>
          <w:szCs w:val="24"/>
        </w:rPr>
        <w:t>(1)</w:t>
      </w:r>
      <w:r w:rsidR="00853C99">
        <w:rPr>
          <w:rFonts w:asciiTheme="minorHAnsi" w:hAnsiTheme="minorHAnsi" w:cstheme="minorHAnsi"/>
          <w:szCs w:val="24"/>
        </w:rPr>
        <w:t xml:space="preserve"> of the </w:t>
      </w:r>
      <w:r w:rsidR="00853C99">
        <w:rPr>
          <w:rFonts w:asciiTheme="minorHAnsi" w:hAnsiTheme="minorHAnsi" w:cstheme="minorHAnsi"/>
          <w:i/>
          <w:iCs/>
          <w:szCs w:val="24"/>
        </w:rPr>
        <w:t xml:space="preserve">Higher Education Support Act 2003 </w:t>
      </w:r>
      <w:r w:rsidR="00853C99">
        <w:rPr>
          <w:rFonts w:asciiTheme="minorHAnsi" w:hAnsiTheme="minorHAnsi" w:cstheme="minorHAnsi"/>
          <w:szCs w:val="24"/>
        </w:rPr>
        <w:t xml:space="preserve">(the Act) provides that the Minister may make Other Grants Guidelines to provide for matters necessary or convenient to be provided </w:t>
      </w:r>
      <w:proofErr w:type="gramStart"/>
      <w:r w:rsidR="00853C99">
        <w:rPr>
          <w:rFonts w:asciiTheme="minorHAnsi" w:hAnsiTheme="minorHAnsi" w:cstheme="minorHAnsi"/>
          <w:szCs w:val="24"/>
        </w:rPr>
        <w:t>in order to</w:t>
      </w:r>
      <w:proofErr w:type="gramEnd"/>
      <w:r w:rsidR="00853C99">
        <w:rPr>
          <w:rFonts w:asciiTheme="minorHAnsi" w:hAnsiTheme="minorHAnsi" w:cstheme="minorHAnsi"/>
          <w:szCs w:val="24"/>
        </w:rPr>
        <w:t xml:space="preserve"> carry out or give effect to Part 2-3 of the Act in relation to grants payable under that Part. </w:t>
      </w:r>
    </w:p>
    <w:p w14:paraId="4F7BADF6" w14:textId="602F0F71" w:rsidR="00DB6247" w:rsidRPr="00853C99" w:rsidRDefault="00DB6247" w:rsidP="00853C99">
      <w:pPr>
        <w:spacing w:before="120" w:after="120"/>
        <w:rPr>
          <w:rFonts w:asciiTheme="minorHAnsi" w:hAnsiTheme="minorHAnsi" w:cstheme="minorHAnsi"/>
          <w:szCs w:val="24"/>
        </w:rPr>
      </w:pPr>
      <w:r w:rsidRPr="00853C99">
        <w:rPr>
          <w:rFonts w:asciiTheme="minorHAnsi" w:hAnsiTheme="minorHAnsi" w:cstheme="minorHAnsi"/>
          <w:szCs w:val="24"/>
        </w:rPr>
        <w:t>Under subsection 33(3) of the </w:t>
      </w:r>
      <w:r w:rsidRPr="00853C99">
        <w:rPr>
          <w:rFonts w:asciiTheme="minorHAnsi" w:hAnsiTheme="minorHAnsi" w:cstheme="minorHAnsi"/>
          <w:i/>
          <w:iCs/>
          <w:szCs w:val="24"/>
        </w:rPr>
        <w:t>Acts Interpretation Act 1901</w:t>
      </w:r>
      <w:r w:rsidRPr="00853C99">
        <w:rPr>
          <w:rFonts w:asciiTheme="minorHAnsi" w:hAnsiTheme="minorHAnsi" w:cstheme="minorHAnsi"/>
          <w:szCs w:val="24"/>
        </w:rPr>
        <w:t>, where an Act confers a power to make, grant or issue any instrument of a legislative or administrative character (including rules, regulations or by</w:t>
      </w:r>
      <w:r w:rsidRPr="00853C99">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853C99">
        <w:rPr>
          <w:rFonts w:asciiTheme="minorHAnsi" w:hAnsiTheme="minorHAnsi" w:cstheme="minorHAnsi"/>
          <w:szCs w:val="24"/>
        </w:rPr>
        <w:t xml:space="preserve"> The amendments to the </w:t>
      </w:r>
      <w:r w:rsidR="00853C99">
        <w:rPr>
          <w:rFonts w:asciiTheme="minorHAnsi" w:hAnsiTheme="minorHAnsi" w:cstheme="minorHAnsi"/>
          <w:i/>
          <w:iCs/>
          <w:szCs w:val="24"/>
        </w:rPr>
        <w:t xml:space="preserve">Other Grants Guidelines (Research) 2017 </w:t>
      </w:r>
      <w:r w:rsidR="00853C99">
        <w:rPr>
          <w:rFonts w:asciiTheme="minorHAnsi" w:hAnsiTheme="minorHAnsi" w:cstheme="minorHAnsi"/>
          <w:szCs w:val="24"/>
        </w:rPr>
        <w:t xml:space="preserve">(the Principal Instrument) made by the </w:t>
      </w:r>
      <w:r w:rsidR="00853C99">
        <w:rPr>
          <w:rFonts w:asciiTheme="minorHAnsi" w:hAnsiTheme="minorHAnsi" w:cstheme="minorHAnsi"/>
          <w:i/>
          <w:iCs/>
          <w:szCs w:val="24"/>
        </w:rPr>
        <w:t xml:space="preserve">Other Grants (Research) Amendment (National Industry PhD Program) Guidelines 2023 </w:t>
      </w:r>
      <w:r w:rsidR="00853C99">
        <w:rPr>
          <w:rFonts w:asciiTheme="minorHAnsi" w:hAnsiTheme="minorHAnsi" w:cstheme="minorHAnsi"/>
          <w:szCs w:val="24"/>
        </w:rPr>
        <w:t>(the Amendment Instrument) rely on this provision.</w:t>
      </w:r>
    </w:p>
    <w:bookmarkEnd w:id="0"/>
    <w:bookmarkEnd w:id="1"/>
    <w:p w14:paraId="56CDA376" w14:textId="77777777" w:rsidR="00DA552F" w:rsidRPr="008134D5" w:rsidRDefault="00144950" w:rsidP="000C310A">
      <w:pPr>
        <w:pStyle w:val="Heading1"/>
      </w:pPr>
      <w:r>
        <w:t>PURPOSE AND OPERATION</w:t>
      </w:r>
    </w:p>
    <w:p w14:paraId="193100A2" w14:textId="23333987" w:rsidR="0073474E" w:rsidRDefault="00853C99"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amends the Principal Instrument to make changes to the National Industry PhD Program, a program specified in Chapter 4 of the Principal Instrument. </w:t>
      </w:r>
      <w:r w:rsidR="00CC62FB">
        <w:rPr>
          <w:rFonts w:asciiTheme="minorHAnsi" w:hAnsiTheme="minorHAnsi" w:cstheme="minorHAnsi"/>
          <w:iCs/>
          <w:szCs w:val="24"/>
        </w:rPr>
        <w:t>Chapter 4 is currently made for the purposes of item 8 (g</w:t>
      </w:r>
      <w:r w:rsidR="00CC62FB" w:rsidRPr="00D041B3">
        <w:rPr>
          <w:rFonts w:asciiTheme="minorHAnsi" w:hAnsiTheme="minorHAnsi" w:cstheme="minorHAnsi"/>
          <w:iCs/>
          <w:szCs w:val="24"/>
        </w:rPr>
        <w:t>rants to support the training of research students</w:t>
      </w:r>
      <w:r w:rsidR="00CC62FB">
        <w:rPr>
          <w:rFonts w:asciiTheme="minorHAnsi" w:hAnsiTheme="minorHAnsi" w:cstheme="minorHAnsi"/>
          <w:iCs/>
          <w:szCs w:val="24"/>
        </w:rPr>
        <w:t>) of the</w:t>
      </w:r>
      <w:r w:rsidR="00CC62FB" w:rsidRPr="0073474E">
        <w:rPr>
          <w:rFonts w:asciiTheme="minorHAnsi" w:hAnsiTheme="minorHAnsi" w:cstheme="minorHAnsi"/>
          <w:iCs/>
          <w:szCs w:val="24"/>
        </w:rPr>
        <w:t xml:space="preserve"> table at subsection 41-10(1) of the Act</w:t>
      </w:r>
      <w:r w:rsidR="00CC62FB">
        <w:rPr>
          <w:rFonts w:asciiTheme="minorHAnsi" w:hAnsiTheme="minorHAnsi" w:cstheme="minorHAnsi"/>
          <w:iCs/>
          <w:szCs w:val="24"/>
        </w:rPr>
        <w:t>.</w:t>
      </w:r>
    </w:p>
    <w:p w14:paraId="7C02AE4A" w14:textId="59901977" w:rsidR="00853C99" w:rsidRDefault="00CC62FB" w:rsidP="00DA552F">
      <w:pPr>
        <w:spacing w:before="120" w:after="120"/>
        <w:rPr>
          <w:rFonts w:asciiTheme="minorHAnsi" w:hAnsiTheme="minorHAnsi" w:cstheme="minorHAnsi"/>
          <w:iCs/>
          <w:szCs w:val="24"/>
        </w:rPr>
      </w:pPr>
      <w:r>
        <w:rPr>
          <w:rFonts w:asciiTheme="minorHAnsi" w:hAnsiTheme="minorHAnsi" w:cstheme="minorHAnsi"/>
          <w:iCs/>
          <w:szCs w:val="24"/>
        </w:rPr>
        <w:t>Item</w:t>
      </w:r>
      <w:r w:rsidR="007B3BFE">
        <w:rPr>
          <w:rFonts w:asciiTheme="minorHAnsi" w:hAnsiTheme="minorHAnsi" w:cstheme="minorHAnsi"/>
          <w:iCs/>
          <w:szCs w:val="24"/>
        </w:rPr>
        <w:t xml:space="preserve"> 1 </w:t>
      </w:r>
      <w:r>
        <w:rPr>
          <w:rFonts w:asciiTheme="minorHAnsi" w:hAnsiTheme="minorHAnsi" w:cstheme="minorHAnsi"/>
          <w:iCs/>
          <w:szCs w:val="24"/>
        </w:rPr>
        <w:t>in</w:t>
      </w:r>
      <w:r w:rsidR="007B3BFE">
        <w:rPr>
          <w:rFonts w:asciiTheme="minorHAnsi" w:hAnsiTheme="minorHAnsi" w:cstheme="minorHAnsi"/>
          <w:iCs/>
          <w:szCs w:val="24"/>
        </w:rPr>
        <w:t xml:space="preserve"> Schedule 1 to the </w:t>
      </w:r>
      <w:r w:rsidRPr="00595D8A">
        <w:rPr>
          <w:rFonts w:asciiTheme="minorHAnsi" w:hAnsiTheme="minorHAnsi" w:cstheme="minorHAnsi"/>
          <w:i/>
          <w:iCs/>
          <w:szCs w:val="24"/>
        </w:rPr>
        <w:t xml:space="preserve">Higher Education Support Amendment (Australia’s Economic Accelerator) Act 2023 </w:t>
      </w:r>
      <w:r w:rsidRPr="0073474E">
        <w:rPr>
          <w:rFonts w:asciiTheme="minorHAnsi" w:hAnsiTheme="minorHAnsi" w:cstheme="minorHAnsi"/>
          <w:iCs/>
          <w:szCs w:val="24"/>
        </w:rPr>
        <w:t>amended the table at subsection 41-10(1) of the Act to</w:t>
      </w:r>
      <w:r w:rsidRPr="00595D8A">
        <w:rPr>
          <w:rFonts w:asciiTheme="minorHAnsi" w:hAnsiTheme="minorHAnsi" w:cstheme="minorHAnsi"/>
          <w:iCs/>
          <w:szCs w:val="24"/>
        </w:rPr>
        <w:t xml:space="preserve"> include </w:t>
      </w:r>
      <w:r w:rsidRPr="0073474E">
        <w:rPr>
          <w:rFonts w:asciiTheme="minorHAnsi" w:hAnsiTheme="minorHAnsi" w:cstheme="minorHAnsi"/>
          <w:iCs/>
          <w:szCs w:val="24"/>
        </w:rPr>
        <w:t>item 11A</w:t>
      </w:r>
      <w:r>
        <w:rPr>
          <w:rFonts w:asciiTheme="minorHAnsi" w:hAnsiTheme="minorHAnsi" w:cstheme="minorHAnsi"/>
          <w:iCs/>
          <w:szCs w:val="24"/>
        </w:rPr>
        <w:t>,</w:t>
      </w:r>
      <w:r w:rsidRPr="0073474E">
        <w:rPr>
          <w:rFonts w:asciiTheme="minorHAnsi" w:hAnsiTheme="minorHAnsi" w:cstheme="minorHAnsi"/>
          <w:iCs/>
          <w:szCs w:val="24"/>
        </w:rPr>
        <w:t xml:space="preserve"> which permits</w:t>
      </w:r>
      <w:r w:rsidRPr="00595D8A">
        <w:rPr>
          <w:rFonts w:asciiTheme="minorHAnsi" w:hAnsiTheme="minorHAnsi" w:cstheme="minorHAnsi"/>
          <w:iCs/>
          <w:szCs w:val="24"/>
        </w:rPr>
        <w:t xml:space="preserve"> grants to be provided to bodies corporate specified in the Other Grants Guidelines for the purpose of</w:t>
      </w:r>
      <w:r>
        <w:rPr>
          <w:rFonts w:asciiTheme="minorHAnsi" w:hAnsiTheme="minorHAnsi" w:cstheme="minorHAnsi"/>
          <w:iCs/>
          <w:szCs w:val="24"/>
        </w:rPr>
        <w:t xml:space="preserve"> supporting arrangements</w:t>
      </w:r>
      <w:r w:rsidRPr="00595D8A">
        <w:rPr>
          <w:rFonts w:asciiTheme="minorHAnsi" w:hAnsiTheme="minorHAnsi" w:cstheme="minorHAnsi"/>
          <w:iCs/>
          <w:szCs w:val="24"/>
        </w:rPr>
        <w:t xml:space="preserve"> </w:t>
      </w:r>
      <w:r>
        <w:rPr>
          <w:rFonts w:asciiTheme="minorHAnsi" w:hAnsiTheme="minorHAnsi" w:cstheme="minorHAnsi"/>
          <w:iCs/>
          <w:szCs w:val="24"/>
        </w:rPr>
        <w:t xml:space="preserve">to </w:t>
      </w:r>
      <w:r w:rsidRPr="00595D8A">
        <w:rPr>
          <w:rFonts w:asciiTheme="minorHAnsi" w:hAnsiTheme="minorHAnsi" w:cstheme="minorHAnsi"/>
          <w:iCs/>
          <w:szCs w:val="24"/>
        </w:rPr>
        <w:t>increas</w:t>
      </w:r>
      <w:r>
        <w:rPr>
          <w:rFonts w:asciiTheme="minorHAnsi" w:hAnsiTheme="minorHAnsi" w:cstheme="minorHAnsi"/>
          <w:iCs/>
          <w:szCs w:val="24"/>
        </w:rPr>
        <w:t>e</w:t>
      </w:r>
      <w:r w:rsidRPr="00595D8A">
        <w:rPr>
          <w:rFonts w:asciiTheme="minorHAnsi" w:hAnsiTheme="minorHAnsi" w:cstheme="minorHAnsi"/>
          <w:iCs/>
          <w:szCs w:val="24"/>
        </w:rPr>
        <w:t xml:space="preserve"> industry-led study and postgraduate research.</w:t>
      </w:r>
    </w:p>
    <w:p w14:paraId="00CDD401" w14:textId="72ADAFFA" w:rsidR="00A768ED" w:rsidRDefault="00853C99"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makes changes to the National Industry PhD Program </w:t>
      </w:r>
      <w:r w:rsidR="00345D92">
        <w:rPr>
          <w:rFonts w:asciiTheme="minorHAnsi" w:hAnsiTheme="minorHAnsi" w:cstheme="minorHAnsi"/>
          <w:iCs/>
          <w:szCs w:val="24"/>
        </w:rPr>
        <w:t>to allow for the Commonwealth to make payments directly to industry partners who are partnered with higher education providers in the Industry Research</w:t>
      </w:r>
      <w:r w:rsidR="00F30874">
        <w:rPr>
          <w:rFonts w:asciiTheme="minorHAnsi" w:hAnsiTheme="minorHAnsi" w:cstheme="minorHAnsi"/>
          <w:iCs/>
          <w:szCs w:val="24"/>
        </w:rPr>
        <w:t>er</w:t>
      </w:r>
      <w:r w:rsidR="00345D92">
        <w:rPr>
          <w:rFonts w:asciiTheme="minorHAnsi" w:hAnsiTheme="minorHAnsi" w:cstheme="minorHAnsi"/>
          <w:iCs/>
          <w:szCs w:val="24"/>
        </w:rPr>
        <w:t xml:space="preserve"> PhD Stream</w:t>
      </w:r>
      <w:r w:rsidR="006466CC">
        <w:rPr>
          <w:rFonts w:asciiTheme="minorHAnsi" w:hAnsiTheme="minorHAnsi" w:cstheme="minorHAnsi"/>
          <w:iCs/>
          <w:szCs w:val="24"/>
        </w:rPr>
        <w:t>,</w:t>
      </w:r>
      <w:r w:rsidR="00CC62FB" w:rsidRPr="00CC62FB">
        <w:rPr>
          <w:rFonts w:asciiTheme="minorHAnsi" w:hAnsiTheme="minorHAnsi" w:cstheme="minorHAnsi"/>
          <w:iCs/>
          <w:szCs w:val="24"/>
        </w:rPr>
        <w:t xml:space="preserve"> </w:t>
      </w:r>
      <w:r w:rsidR="00CC62FB">
        <w:rPr>
          <w:rFonts w:asciiTheme="minorHAnsi" w:hAnsiTheme="minorHAnsi" w:cstheme="minorHAnsi"/>
          <w:iCs/>
          <w:szCs w:val="24"/>
        </w:rPr>
        <w:t xml:space="preserve">relying on item 11A of </w:t>
      </w:r>
      <w:r w:rsidR="00CC62FB" w:rsidRPr="006466CC">
        <w:rPr>
          <w:rFonts w:asciiTheme="minorHAnsi" w:hAnsiTheme="minorHAnsi" w:cstheme="minorHAnsi"/>
          <w:iCs/>
          <w:szCs w:val="24"/>
        </w:rPr>
        <w:t>the table at subsection 41-10(1)</w:t>
      </w:r>
      <w:r w:rsidR="00CC62FB">
        <w:rPr>
          <w:rFonts w:asciiTheme="minorHAnsi" w:hAnsiTheme="minorHAnsi" w:cstheme="minorHAnsi"/>
          <w:iCs/>
          <w:szCs w:val="24"/>
        </w:rPr>
        <w:t xml:space="preserve"> of the Act</w:t>
      </w:r>
      <w:r w:rsidR="00345D92">
        <w:rPr>
          <w:rFonts w:asciiTheme="minorHAnsi" w:hAnsiTheme="minorHAnsi" w:cstheme="minorHAnsi"/>
          <w:iCs/>
          <w:szCs w:val="24"/>
        </w:rPr>
        <w:t xml:space="preserve">. The Amendment Instrument also makes changes to provide for a method to determine the amount of grants to industry </w:t>
      </w:r>
      <w:r w:rsidR="007B3BFE">
        <w:rPr>
          <w:rFonts w:asciiTheme="minorHAnsi" w:hAnsiTheme="minorHAnsi" w:cstheme="minorHAnsi"/>
          <w:iCs/>
          <w:szCs w:val="24"/>
        </w:rPr>
        <w:t>partners and</w:t>
      </w:r>
      <w:r w:rsidR="00345D92">
        <w:rPr>
          <w:rFonts w:asciiTheme="minorHAnsi" w:hAnsiTheme="minorHAnsi" w:cstheme="minorHAnsi"/>
          <w:iCs/>
          <w:szCs w:val="24"/>
        </w:rPr>
        <w:t xml:space="preserve"> imposes conditions on industry partners receiving grants under the National Industry PhD Program. </w:t>
      </w:r>
    </w:p>
    <w:p w14:paraId="492EF0AF" w14:textId="0DE6A29C" w:rsidR="00CC62FB" w:rsidRDefault="00A55707"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provisions in </w:t>
      </w:r>
      <w:r w:rsidR="003640BC">
        <w:rPr>
          <w:rFonts w:asciiTheme="minorHAnsi" w:hAnsiTheme="minorHAnsi" w:cstheme="minorHAnsi"/>
          <w:iCs/>
          <w:szCs w:val="24"/>
        </w:rPr>
        <w:t xml:space="preserve">Chapter 4 that currently apply to higher education providers have only been amended to the extent required to ensure that </w:t>
      </w:r>
      <w:r w:rsidR="00FC6923">
        <w:rPr>
          <w:rFonts w:asciiTheme="minorHAnsi" w:hAnsiTheme="minorHAnsi" w:cstheme="minorHAnsi"/>
          <w:iCs/>
          <w:szCs w:val="24"/>
        </w:rPr>
        <w:t xml:space="preserve">grants can be made directly to industry </w:t>
      </w:r>
      <w:r w:rsidR="00FC6923">
        <w:rPr>
          <w:rFonts w:asciiTheme="minorHAnsi" w:hAnsiTheme="minorHAnsi" w:cstheme="minorHAnsi"/>
          <w:iCs/>
          <w:szCs w:val="24"/>
        </w:rPr>
        <w:lastRenderedPageBreak/>
        <w:t xml:space="preserve">partners for the </w:t>
      </w:r>
      <w:r w:rsidR="00FC6923" w:rsidRPr="00FC6923">
        <w:rPr>
          <w:rFonts w:asciiTheme="minorHAnsi" w:hAnsiTheme="minorHAnsi" w:cstheme="minorHAnsi"/>
          <w:iCs/>
          <w:szCs w:val="24"/>
        </w:rPr>
        <w:t>Industry Researcher PhD Stream</w:t>
      </w:r>
      <w:r w:rsidR="00FC6923">
        <w:rPr>
          <w:rFonts w:asciiTheme="minorHAnsi" w:hAnsiTheme="minorHAnsi" w:cstheme="minorHAnsi"/>
          <w:iCs/>
          <w:szCs w:val="24"/>
        </w:rPr>
        <w:t xml:space="preserve">. For example, the </w:t>
      </w:r>
      <w:r w:rsidR="00BF156D">
        <w:rPr>
          <w:rFonts w:asciiTheme="minorHAnsi" w:hAnsiTheme="minorHAnsi" w:cstheme="minorHAnsi"/>
          <w:iCs/>
          <w:szCs w:val="24"/>
        </w:rPr>
        <w:t xml:space="preserve">method to determine grants to higher education providers has been amended to remove </w:t>
      </w:r>
      <w:r w:rsidR="00ED2D78">
        <w:rPr>
          <w:rFonts w:asciiTheme="minorHAnsi" w:hAnsiTheme="minorHAnsi" w:cstheme="minorHAnsi"/>
          <w:iCs/>
          <w:szCs w:val="24"/>
        </w:rPr>
        <w:t>the reference to the industry component of the grant (which will now be paid directly to industry partners)</w:t>
      </w:r>
      <w:r w:rsidR="00BF156D">
        <w:rPr>
          <w:rFonts w:asciiTheme="minorHAnsi" w:hAnsiTheme="minorHAnsi" w:cstheme="minorHAnsi"/>
          <w:iCs/>
          <w:szCs w:val="24"/>
        </w:rPr>
        <w:t xml:space="preserve">. </w:t>
      </w:r>
    </w:p>
    <w:p w14:paraId="626F1531" w14:textId="159A1B82" w:rsidR="00350779" w:rsidRPr="00350779" w:rsidRDefault="00144950" w:rsidP="000C310A">
      <w:pPr>
        <w:pStyle w:val="Heading1"/>
      </w:pPr>
      <w:r>
        <w:t>IMPACT</w:t>
      </w:r>
      <w:r w:rsidR="00C90E38">
        <w:t xml:space="preserve"> </w:t>
      </w:r>
      <w:r w:rsidR="00C90E38" w:rsidRPr="00C90E38">
        <w:t>ANALYSIS</w:t>
      </w:r>
    </w:p>
    <w:p w14:paraId="66DAE6D4" w14:textId="77777777" w:rsidR="00CC62FB" w:rsidRDefault="00CC62FB" w:rsidP="00CC62FB">
      <w:pPr>
        <w:spacing w:before="120" w:after="120"/>
        <w:rPr>
          <w:rFonts w:asciiTheme="minorHAnsi" w:hAnsiTheme="minorHAnsi" w:cstheme="minorHAnsi"/>
          <w:iCs/>
          <w:szCs w:val="24"/>
        </w:rPr>
      </w:pPr>
      <w:r>
        <w:rPr>
          <w:rFonts w:asciiTheme="minorHAnsi" w:hAnsiTheme="minorHAnsi" w:cstheme="minorHAnsi"/>
          <w:iCs/>
          <w:szCs w:val="24"/>
        </w:rPr>
        <w:t xml:space="preserve">The Office of Impact Analysis has been consulted and advised that the Amendment Instrument is unlikely to have a more than minor impact, as it reduces the burden on higher education providers by directing the allocated grant funding directly to industry partners. As such, the preparation of an Impact Analysis is not required.  </w:t>
      </w:r>
    </w:p>
    <w:p w14:paraId="4818CCF0" w14:textId="77777777" w:rsidR="00696CF0" w:rsidRPr="0088497A" w:rsidRDefault="00144950" w:rsidP="000C310A">
      <w:pPr>
        <w:pStyle w:val="Heading1"/>
      </w:pPr>
      <w:r w:rsidRPr="0088497A">
        <w:t>COMMENC</w:t>
      </w:r>
      <w:r>
        <w:t>E</w:t>
      </w:r>
      <w:r w:rsidRPr="0088497A">
        <w:t>MENT</w:t>
      </w:r>
    </w:p>
    <w:p w14:paraId="7A7AF185" w14:textId="09D01F1B" w:rsidR="00696CF0" w:rsidRPr="00345D92" w:rsidRDefault="00345D92" w:rsidP="00DA552F">
      <w:pPr>
        <w:spacing w:before="120" w:after="120"/>
        <w:rPr>
          <w:rFonts w:asciiTheme="minorHAnsi" w:hAnsiTheme="minorHAnsi" w:cstheme="minorHAnsi"/>
          <w:iCs/>
          <w:szCs w:val="24"/>
        </w:rPr>
      </w:pPr>
      <w:r>
        <w:rPr>
          <w:rFonts w:asciiTheme="minorHAnsi" w:hAnsiTheme="minorHAnsi" w:cstheme="minorHAnsi"/>
          <w:iCs/>
          <w:szCs w:val="24"/>
        </w:rPr>
        <w:t>The Amendment Instrument commences on the day after it is registered on the Federal Register of Legislation.</w:t>
      </w:r>
    </w:p>
    <w:p w14:paraId="59906F74" w14:textId="77777777" w:rsidR="00696CF0" w:rsidRPr="008134D5" w:rsidRDefault="00144950" w:rsidP="000C310A">
      <w:pPr>
        <w:pStyle w:val="Heading1"/>
      </w:pPr>
      <w:bookmarkStart w:id="2" w:name="_Toc34293360"/>
      <w:r w:rsidRPr="008134D5">
        <w:t>CONSULTATION</w:t>
      </w:r>
      <w:bookmarkEnd w:id="2"/>
    </w:p>
    <w:p w14:paraId="08F3A6EE" w14:textId="70BBADC0" w:rsidR="004B5A74" w:rsidRPr="00FC7C85" w:rsidRDefault="00BE357F" w:rsidP="00345D92">
      <w:pPr>
        <w:spacing w:before="120" w:after="120"/>
        <w:rPr>
          <w:rFonts w:asciiTheme="minorHAnsi" w:hAnsiTheme="minorHAnsi" w:cstheme="minorHAnsi"/>
          <w:iCs/>
        </w:rPr>
      </w:pPr>
      <w:r>
        <w:rPr>
          <w:rFonts w:asciiTheme="minorHAnsi" w:hAnsiTheme="minorHAnsi" w:cstheme="minorHAnsi"/>
          <w:iCs/>
        </w:rPr>
        <w:t>Item 11A of the table in subsection 41-10(1)</w:t>
      </w:r>
      <w:r w:rsidR="001D1884">
        <w:rPr>
          <w:rFonts w:asciiTheme="minorHAnsi" w:hAnsiTheme="minorHAnsi" w:cstheme="minorHAnsi"/>
          <w:iCs/>
        </w:rPr>
        <w:t xml:space="preserve"> </w:t>
      </w:r>
      <w:r>
        <w:rPr>
          <w:rFonts w:asciiTheme="minorHAnsi" w:hAnsiTheme="minorHAnsi" w:cstheme="minorHAnsi"/>
          <w:iCs/>
        </w:rPr>
        <w:t>of the Act, which provides the</w:t>
      </w:r>
      <w:r w:rsidR="006427FA">
        <w:rPr>
          <w:rFonts w:asciiTheme="minorHAnsi" w:hAnsiTheme="minorHAnsi" w:cstheme="minorHAnsi"/>
          <w:iCs/>
        </w:rPr>
        <w:t xml:space="preserve"> authority</w:t>
      </w:r>
      <w:r>
        <w:rPr>
          <w:rFonts w:asciiTheme="minorHAnsi" w:hAnsiTheme="minorHAnsi" w:cstheme="minorHAnsi"/>
          <w:iCs/>
        </w:rPr>
        <w:t xml:space="preserve"> for grants to industry partners for the Industry Research</w:t>
      </w:r>
      <w:r w:rsidR="00B65B6C">
        <w:rPr>
          <w:rFonts w:asciiTheme="minorHAnsi" w:hAnsiTheme="minorHAnsi" w:cstheme="minorHAnsi"/>
          <w:iCs/>
        </w:rPr>
        <w:t>er</w:t>
      </w:r>
      <w:r>
        <w:rPr>
          <w:rFonts w:asciiTheme="minorHAnsi" w:hAnsiTheme="minorHAnsi" w:cstheme="minorHAnsi"/>
          <w:iCs/>
        </w:rPr>
        <w:t xml:space="preserve"> PhD Stream, was inserted by</w:t>
      </w:r>
      <w:r w:rsidR="00EB2120">
        <w:rPr>
          <w:rFonts w:asciiTheme="minorHAnsi" w:hAnsiTheme="minorHAnsi" w:cstheme="minorHAnsi"/>
          <w:iCs/>
        </w:rPr>
        <w:t xml:space="preserve"> section 1 of Schedule 1</w:t>
      </w:r>
      <w:r>
        <w:rPr>
          <w:rFonts w:asciiTheme="minorHAnsi" w:hAnsiTheme="minorHAnsi" w:cstheme="minorHAnsi"/>
          <w:iCs/>
        </w:rPr>
        <w:t xml:space="preserve"> </w:t>
      </w:r>
      <w:r w:rsidR="00EB2120">
        <w:rPr>
          <w:rFonts w:asciiTheme="minorHAnsi" w:hAnsiTheme="minorHAnsi" w:cstheme="minorHAnsi"/>
          <w:iCs/>
        </w:rPr>
        <w:t xml:space="preserve">to </w:t>
      </w:r>
      <w:r>
        <w:rPr>
          <w:rFonts w:asciiTheme="minorHAnsi" w:hAnsiTheme="minorHAnsi" w:cstheme="minorHAnsi"/>
          <w:iCs/>
        </w:rPr>
        <w:t xml:space="preserve">the </w:t>
      </w:r>
      <w:r w:rsidR="001D1884">
        <w:rPr>
          <w:rFonts w:asciiTheme="minorHAnsi" w:hAnsiTheme="minorHAnsi" w:cstheme="minorHAnsi"/>
          <w:i/>
        </w:rPr>
        <w:t xml:space="preserve">Higher Education Support Amendment (Australia’s Economic </w:t>
      </w:r>
      <w:r w:rsidR="001D1884" w:rsidRPr="00FC7C85">
        <w:rPr>
          <w:rFonts w:asciiTheme="minorHAnsi" w:hAnsiTheme="minorHAnsi" w:cstheme="minorHAnsi"/>
          <w:i/>
        </w:rPr>
        <w:t>Accelerator)</w:t>
      </w:r>
      <w:r w:rsidR="003846A0" w:rsidRPr="00FC7C85">
        <w:rPr>
          <w:rFonts w:asciiTheme="minorHAnsi" w:hAnsiTheme="minorHAnsi" w:cstheme="minorHAnsi"/>
          <w:i/>
        </w:rPr>
        <w:t xml:space="preserve"> Act 2023</w:t>
      </w:r>
      <w:r w:rsidR="00E15745" w:rsidRPr="00FC7C85">
        <w:rPr>
          <w:rFonts w:asciiTheme="minorHAnsi" w:hAnsiTheme="minorHAnsi" w:cstheme="minorHAnsi"/>
          <w:iCs/>
        </w:rPr>
        <w:t xml:space="preserve">. </w:t>
      </w:r>
      <w:r w:rsidR="00000B78" w:rsidRPr="00FC7C85">
        <w:rPr>
          <w:rFonts w:asciiTheme="minorHAnsi" w:hAnsiTheme="minorHAnsi" w:cstheme="minorHAnsi"/>
          <w:iCs/>
        </w:rPr>
        <w:t xml:space="preserve">Extensive </w:t>
      </w:r>
      <w:r w:rsidR="00B60ED4" w:rsidRPr="00FC7C85">
        <w:rPr>
          <w:rFonts w:asciiTheme="minorHAnsi" w:hAnsiTheme="minorHAnsi" w:cstheme="minorHAnsi"/>
          <w:iCs/>
        </w:rPr>
        <w:t>public and stakeholder consultation</w:t>
      </w:r>
      <w:r w:rsidR="00BC298A" w:rsidRPr="00FC7C85">
        <w:rPr>
          <w:rFonts w:asciiTheme="minorHAnsi" w:hAnsiTheme="minorHAnsi" w:cstheme="minorHAnsi"/>
          <w:iCs/>
        </w:rPr>
        <w:t xml:space="preserve"> was undertaken prior to</w:t>
      </w:r>
      <w:r w:rsidR="00EB2120" w:rsidRPr="00FC7C85">
        <w:rPr>
          <w:rFonts w:asciiTheme="minorHAnsi" w:hAnsiTheme="minorHAnsi" w:cstheme="minorHAnsi"/>
          <w:iCs/>
        </w:rPr>
        <w:t xml:space="preserve"> </w:t>
      </w:r>
      <w:r w:rsidRPr="00FC7C85">
        <w:rPr>
          <w:rFonts w:asciiTheme="minorHAnsi" w:hAnsiTheme="minorHAnsi" w:cstheme="minorHAnsi"/>
          <w:iCs/>
        </w:rPr>
        <w:t>that Act</w:t>
      </w:r>
      <w:r w:rsidR="00943D6A" w:rsidRPr="00FC7C85">
        <w:rPr>
          <w:rFonts w:asciiTheme="minorHAnsi" w:hAnsiTheme="minorHAnsi" w:cstheme="minorHAnsi"/>
          <w:iCs/>
        </w:rPr>
        <w:t xml:space="preserve"> being </w:t>
      </w:r>
      <w:r w:rsidR="00B65B6C" w:rsidRPr="00FC7C85">
        <w:rPr>
          <w:rFonts w:asciiTheme="minorHAnsi" w:hAnsiTheme="minorHAnsi" w:cstheme="minorHAnsi"/>
          <w:iCs/>
        </w:rPr>
        <w:t>made</w:t>
      </w:r>
      <w:r w:rsidR="003016D9" w:rsidRPr="00FC7C85">
        <w:rPr>
          <w:rFonts w:asciiTheme="minorHAnsi" w:hAnsiTheme="minorHAnsi" w:cstheme="minorHAnsi"/>
          <w:iCs/>
        </w:rPr>
        <w:t xml:space="preserve">, including through releasing a consultation paper on the measures included in that Act and considering public submissions received as part of that process. </w:t>
      </w:r>
      <w:r w:rsidR="00316589" w:rsidRPr="00FC7C85">
        <w:rPr>
          <w:rFonts w:asciiTheme="minorHAnsi" w:hAnsiTheme="minorHAnsi" w:cstheme="minorHAnsi"/>
          <w:iCs/>
        </w:rPr>
        <w:t>171 public submissions were received during that process</w:t>
      </w:r>
      <w:r w:rsidR="00101680" w:rsidRPr="00FC7C85">
        <w:rPr>
          <w:rFonts w:asciiTheme="minorHAnsi" w:hAnsiTheme="minorHAnsi" w:cstheme="minorHAnsi"/>
          <w:iCs/>
        </w:rPr>
        <w:t xml:space="preserve"> and indicated broad support </w:t>
      </w:r>
      <w:r w:rsidR="00FC7C85">
        <w:rPr>
          <w:rFonts w:asciiTheme="minorHAnsi" w:hAnsiTheme="minorHAnsi" w:cstheme="minorHAnsi"/>
          <w:iCs/>
        </w:rPr>
        <w:t>for</w:t>
      </w:r>
      <w:r w:rsidR="00101680" w:rsidRPr="00FC7C85">
        <w:rPr>
          <w:rFonts w:asciiTheme="minorHAnsi" w:hAnsiTheme="minorHAnsi" w:cstheme="minorHAnsi"/>
          <w:iCs/>
        </w:rPr>
        <w:t xml:space="preserve"> improving industry-university collaboration</w:t>
      </w:r>
      <w:r w:rsidR="0052568A" w:rsidRPr="00FC7C85">
        <w:rPr>
          <w:rFonts w:asciiTheme="minorHAnsi" w:hAnsiTheme="minorHAnsi" w:cstheme="minorHAnsi"/>
          <w:iCs/>
        </w:rPr>
        <w:t xml:space="preserve">. </w:t>
      </w:r>
    </w:p>
    <w:p w14:paraId="65DE1BB1" w14:textId="0EC21D37" w:rsidR="001F248C" w:rsidRPr="00FC7C85" w:rsidRDefault="00CC62FB" w:rsidP="001F248C">
      <w:pPr>
        <w:spacing w:before="120" w:after="120"/>
        <w:rPr>
          <w:rFonts w:asciiTheme="minorHAnsi" w:hAnsiTheme="minorHAnsi" w:cstheme="minorHAnsi"/>
        </w:rPr>
      </w:pPr>
      <w:r w:rsidRPr="00FC7C85">
        <w:rPr>
          <w:rFonts w:asciiTheme="minorHAnsi" w:hAnsiTheme="minorHAnsi" w:cstheme="minorHAnsi"/>
          <w:iCs/>
        </w:rPr>
        <w:t xml:space="preserve">No consultation was undertaken in relation to this Amendment Instrument. </w:t>
      </w:r>
      <w:r w:rsidR="00C059B4" w:rsidRPr="00FC7C85">
        <w:rPr>
          <w:rFonts w:asciiTheme="minorHAnsi" w:hAnsiTheme="minorHAnsi" w:cstheme="minorHAnsi"/>
          <w:iCs/>
        </w:rPr>
        <w:t xml:space="preserve">Previous consultation </w:t>
      </w:r>
      <w:r w:rsidR="00B80B5C" w:rsidRPr="00600CE5">
        <w:rPr>
          <w:rFonts w:asciiTheme="minorHAnsi" w:hAnsiTheme="minorHAnsi" w:cstheme="minorHAnsi"/>
          <w:iCs/>
        </w:rPr>
        <w:t xml:space="preserve">was conducted </w:t>
      </w:r>
      <w:r w:rsidR="001F248C" w:rsidRPr="00FC7C85">
        <w:rPr>
          <w:rFonts w:asciiTheme="minorHAnsi" w:hAnsiTheme="minorHAnsi" w:cstheme="minorHAnsi"/>
          <w:iCs/>
        </w:rPr>
        <w:t xml:space="preserve">by the </w:t>
      </w:r>
      <w:r w:rsidR="001F248C" w:rsidRPr="00FC7C85">
        <w:rPr>
          <w:rFonts w:asciiTheme="minorHAnsi" w:hAnsiTheme="minorHAnsi" w:cstheme="minorHAnsi"/>
        </w:rPr>
        <w:t>Department of Education (</w:t>
      </w:r>
      <w:r w:rsidR="00B80B5C" w:rsidRPr="00600CE5">
        <w:rPr>
          <w:rFonts w:asciiTheme="minorHAnsi" w:hAnsiTheme="minorHAnsi" w:cstheme="minorHAnsi"/>
        </w:rPr>
        <w:t xml:space="preserve">the </w:t>
      </w:r>
      <w:r w:rsidR="001F248C" w:rsidRPr="00FC7C85">
        <w:rPr>
          <w:rFonts w:asciiTheme="minorHAnsi" w:hAnsiTheme="minorHAnsi" w:cstheme="minorHAnsi"/>
        </w:rPr>
        <w:t xml:space="preserve">Department) </w:t>
      </w:r>
      <w:r w:rsidR="001F248C" w:rsidRPr="00FC7C85">
        <w:rPr>
          <w:rFonts w:asciiTheme="minorHAnsi" w:hAnsiTheme="minorHAnsi" w:cstheme="minorHAnsi"/>
          <w:iCs/>
        </w:rPr>
        <w:t xml:space="preserve">with </w:t>
      </w:r>
      <w:r w:rsidR="001F248C" w:rsidRPr="00FC7C85">
        <w:rPr>
          <w:rFonts w:asciiTheme="minorHAnsi" w:hAnsiTheme="minorHAnsi" w:cstheme="minorHAnsi"/>
        </w:rPr>
        <w:t>targeted stakeholders between 6 July and 20 July 2022 (first round of consultation) and between 14 September and 5 October 2022 (second round of consultation)</w:t>
      </w:r>
      <w:r w:rsidR="00694B5E" w:rsidRPr="00600CE5">
        <w:rPr>
          <w:rFonts w:asciiTheme="minorHAnsi" w:hAnsiTheme="minorHAnsi" w:cstheme="minorHAnsi"/>
        </w:rPr>
        <w:t xml:space="preserve">. </w:t>
      </w:r>
      <w:r w:rsidR="001F248C" w:rsidRPr="00FC7C85">
        <w:rPr>
          <w:rFonts w:asciiTheme="minorHAnsi" w:hAnsiTheme="minorHAnsi" w:cstheme="minorHAnsi"/>
        </w:rPr>
        <w:t>A total of 36 submissions were received: 27 submissions for the first round of consultation; and nine for the second round of consultation.</w:t>
      </w:r>
    </w:p>
    <w:p w14:paraId="67AF8ADD" w14:textId="7CA34067" w:rsidR="00CC62FB" w:rsidRDefault="001F248C" w:rsidP="00CC62FB">
      <w:pPr>
        <w:spacing w:before="120" w:after="120"/>
        <w:rPr>
          <w:rFonts w:asciiTheme="minorHAnsi" w:hAnsiTheme="minorHAnsi" w:cstheme="minorHAnsi"/>
          <w:iCs/>
        </w:rPr>
      </w:pPr>
      <w:r w:rsidRPr="00FC7C85">
        <w:rPr>
          <w:rFonts w:asciiTheme="minorHAnsi" w:hAnsiTheme="minorHAnsi" w:cstheme="minorHAnsi"/>
        </w:rPr>
        <w:t>The stakeholders consulted included universities, university peak bodies and cohort groups, university staff in a private capacity, government agencies, and industry groups</w:t>
      </w:r>
      <w:r w:rsidR="00423042" w:rsidRPr="00FC7C85">
        <w:rPr>
          <w:rFonts w:asciiTheme="minorHAnsi" w:hAnsiTheme="minorHAnsi" w:cstheme="minorHAnsi"/>
        </w:rPr>
        <w:t xml:space="preserve"> with many highlighting </w:t>
      </w:r>
      <w:r w:rsidR="00423042" w:rsidRPr="00FC7C85">
        <w:rPr>
          <w:rFonts w:asciiTheme="minorHAnsi" w:hAnsiTheme="minorHAnsi" w:cstheme="minorHAnsi"/>
          <w:szCs w:val="24"/>
        </w:rPr>
        <w:t xml:space="preserve">that </w:t>
      </w:r>
      <w:r w:rsidR="00423042" w:rsidRPr="00600CE5">
        <w:rPr>
          <w:rFonts w:asciiTheme="minorHAnsi" w:hAnsiTheme="minorHAnsi" w:cstheme="minorHAnsi"/>
          <w:szCs w:val="24"/>
          <w:shd w:val="clear" w:color="auto" w:fill="FFFFFF"/>
        </w:rPr>
        <w:t xml:space="preserve">paying the Industry Partner subsidy to the university and requiring the university to pass on the subsidy to the Industry Partner is inefficient and puts an unnecessary burden on the university. </w:t>
      </w:r>
      <w:r w:rsidR="00FC7C85" w:rsidRPr="00600CE5">
        <w:rPr>
          <w:rFonts w:asciiTheme="minorHAnsi" w:hAnsiTheme="minorHAnsi" w:cstheme="minorHAnsi"/>
          <w:szCs w:val="24"/>
          <w:shd w:val="clear" w:color="auto" w:fill="FFFFFF"/>
        </w:rPr>
        <w:t>The Amendment Instrument addresses th</w:t>
      </w:r>
      <w:r w:rsidR="00FC7C85">
        <w:rPr>
          <w:rFonts w:asciiTheme="minorHAnsi" w:hAnsiTheme="minorHAnsi" w:cstheme="minorHAnsi"/>
          <w:szCs w:val="24"/>
          <w:shd w:val="clear" w:color="auto" w:fill="FFFFFF"/>
        </w:rPr>
        <w:t>o</w:t>
      </w:r>
      <w:r w:rsidR="00FC7C85" w:rsidRPr="00600CE5">
        <w:rPr>
          <w:rFonts w:asciiTheme="minorHAnsi" w:hAnsiTheme="minorHAnsi" w:cstheme="minorHAnsi"/>
          <w:szCs w:val="24"/>
          <w:shd w:val="clear" w:color="auto" w:fill="FFFFFF"/>
        </w:rPr>
        <w:t xml:space="preserve">se concerns by allowing </w:t>
      </w:r>
      <w:r w:rsidR="00CC62FB" w:rsidRPr="00FC7C85">
        <w:rPr>
          <w:rFonts w:asciiTheme="minorHAnsi" w:hAnsiTheme="minorHAnsi" w:cstheme="minorHAnsi"/>
          <w:iCs/>
        </w:rPr>
        <w:t>the Commonwealth to make grant payments directly to industry partners and place conditions on those grants.</w:t>
      </w: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7B8F62A5" w:rsidR="00DA552F" w:rsidRPr="00600CE5" w:rsidRDefault="00345D92" w:rsidP="000C310A">
      <w:pPr>
        <w:pStyle w:val="Subtitle"/>
        <w:rPr>
          <w:bCs/>
        </w:rPr>
      </w:pPr>
      <w:r w:rsidRPr="00600CE5">
        <w:rPr>
          <w:b w:val="0"/>
          <w:bCs/>
        </w:rPr>
        <w:t>Other Grants (Research) Amendment (National Industry PhD Program) Guidelines 2023</w:t>
      </w:r>
    </w:p>
    <w:p w14:paraId="65F6CFAB" w14:textId="0E597C06"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345D92">
        <w:rPr>
          <w:rFonts w:asciiTheme="minorHAnsi" w:hAnsiTheme="minorHAnsi" w:cstheme="minorHAnsi"/>
          <w:i/>
          <w:iCs/>
          <w:szCs w:val="24"/>
        </w:rPr>
        <w:t>Other Grants (Research) Amendment (National Industry PhD Program) Guidelines 2023</w:t>
      </w:r>
      <w:r w:rsidR="001E52EB">
        <w:rPr>
          <w:rFonts w:asciiTheme="minorHAnsi" w:hAnsiTheme="minorHAnsi" w:cstheme="minorHAnsi"/>
          <w:szCs w:val="24"/>
        </w:rPr>
        <w:t xml:space="preserve"> (the </w:t>
      </w:r>
      <w:r w:rsidR="00345D92">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70DFF8A3" w14:textId="77777777" w:rsidR="00C00833" w:rsidRDefault="00C00833" w:rsidP="00C00833">
      <w:pPr>
        <w:spacing w:before="120" w:after="120"/>
        <w:rPr>
          <w:rFonts w:asciiTheme="minorHAnsi" w:hAnsiTheme="minorHAnsi" w:cstheme="minorHAnsi"/>
          <w:iCs/>
          <w:szCs w:val="24"/>
        </w:rPr>
      </w:pPr>
      <w:r>
        <w:rPr>
          <w:rFonts w:asciiTheme="minorHAnsi" w:hAnsiTheme="minorHAnsi" w:cstheme="minorHAnsi"/>
          <w:iCs/>
          <w:szCs w:val="24"/>
        </w:rPr>
        <w:t>The Amendment Instrument amends the Principal Instrument to make changes to the National Industry PhD Program, a program specified in Chapter 4 of the Principal Instrument. Chapter 4 is currently made for the purposes of item 8 (g</w:t>
      </w:r>
      <w:r w:rsidRPr="00D041B3">
        <w:rPr>
          <w:rFonts w:asciiTheme="minorHAnsi" w:hAnsiTheme="minorHAnsi" w:cstheme="minorHAnsi"/>
          <w:iCs/>
          <w:szCs w:val="24"/>
        </w:rPr>
        <w:t>rants to support the training of research students</w:t>
      </w:r>
      <w:r>
        <w:rPr>
          <w:rFonts w:asciiTheme="minorHAnsi" w:hAnsiTheme="minorHAnsi" w:cstheme="minorHAnsi"/>
          <w:iCs/>
          <w:szCs w:val="24"/>
        </w:rPr>
        <w:t>) of the</w:t>
      </w:r>
      <w:r w:rsidRPr="0073474E">
        <w:rPr>
          <w:rFonts w:asciiTheme="minorHAnsi" w:hAnsiTheme="minorHAnsi" w:cstheme="minorHAnsi"/>
          <w:iCs/>
          <w:szCs w:val="24"/>
        </w:rPr>
        <w:t xml:space="preserve"> table at subsection 41-10(1) of the Act</w:t>
      </w:r>
      <w:r>
        <w:rPr>
          <w:rFonts w:asciiTheme="minorHAnsi" w:hAnsiTheme="minorHAnsi" w:cstheme="minorHAnsi"/>
          <w:iCs/>
          <w:szCs w:val="24"/>
        </w:rPr>
        <w:t>.</w:t>
      </w:r>
    </w:p>
    <w:p w14:paraId="5B52668C" w14:textId="5D0EA30E" w:rsidR="00C00833" w:rsidRDefault="00AD6807" w:rsidP="00C00833">
      <w:pPr>
        <w:spacing w:before="120" w:after="120"/>
        <w:rPr>
          <w:rFonts w:asciiTheme="minorHAnsi" w:hAnsiTheme="minorHAnsi" w:cstheme="minorHAnsi"/>
          <w:iCs/>
          <w:szCs w:val="24"/>
        </w:rPr>
      </w:pPr>
      <w:r>
        <w:rPr>
          <w:rFonts w:asciiTheme="minorHAnsi" w:hAnsiTheme="minorHAnsi" w:cstheme="minorHAnsi"/>
          <w:iCs/>
          <w:szCs w:val="24"/>
        </w:rPr>
        <w:t>Item</w:t>
      </w:r>
      <w:r w:rsidR="009C19C8" w:rsidRPr="009C19C8">
        <w:rPr>
          <w:rFonts w:asciiTheme="minorHAnsi" w:hAnsiTheme="minorHAnsi" w:cstheme="minorHAnsi"/>
          <w:iCs/>
          <w:szCs w:val="24"/>
        </w:rPr>
        <w:t xml:space="preserve"> 1 of Schedule 1 to </w:t>
      </w:r>
      <w:r w:rsidR="009C19C8">
        <w:rPr>
          <w:rFonts w:asciiTheme="minorHAnsi" w:hAnsiTheme="minorHAnsi" w:cstheme="minorHAnsi"/>
          <w:iCs/>
          <w:szCs w:val="24"/>
        </w:rPr>
        <w:t xml:space="preserve">the </w:t>
      </w:r>
      <w:r w:rsidR="00C00833" w:rsidRPr="00595D8A">
        <w:rPr>
          <w:rFonts w:asciiTheme="minorHAnsi" w:hAnsiTheme="minorHAnsi" w:cstheme="minorHAnsi"/>
          <w:i/>
          <w:iCs/>
          <w:szCs w:val="24"/>
        </w:rPr>
        <w:t xml:space="preserve">Higher Education Support Amendment (Australia’s Economic Accelerator) Act 2023 </w:t>
      </w:r>
      <w:r w:rsidR="00C00833" w:rsidRPr="0073474E">
        <w:rPr>
          <w:rFonts w:asciiTheme="minorHAnsi" w:hAnsiTheme="minorHAnsi" w:cstheme="minorHAnsi"/>
          <w:iCs/>
          <w:szCs w:val="24"/>
        </w:rPr>
        <w:t>amended the table at subsection 41-10(1) of the Act to</w:t>
      </w:r>
      <w:r w:rsidR="00C00833" w:rsidRPr="00595D8A">
        <w:rPr>
          <w:rFonts w:asciiTheme="minorHAnsi" w:hAnsiTheme="minorHAnsi" w:cstheme="minorHAnsi"/>
          <w:iCs/>
          <w:szCs w:val="24"/>
        </w:rPr>
        <w:t xml:space="preserve"> include </w:t>
      </w:r>
      <w:r w:rsidR="00C00833" w:rsidRPr="0073474E">
        <w:rPr>
          <w:rFonts w:asciiTheme="minorHAnsi" w:hAnsiTheme="minorHAnsi" w:cstheme="minorHAnsi"/>
          <w:iCs/>
          <w:szCs w:val="24"/>
        </w:rPr>
        <w:t>item 11A</w:t>
      </w:r>
      <w:r w:rsidR="00C00833">
        <w:rPr>
          <w:rFonts w:asciiTheme="minorHAnsi" w:hAnsiTheme="minorHAnsi" w:cstheme="minorHAnsi"/>
          <w:iCs/>
          <w:szCs w:val="24"/>
        </w:rPr>
        <w:t>,</w:t>
      </w:r>
      <w:r w:rsidR="00C00833" w:rsidRPr="0073474E">
        <w:rPr>
          <w:rFonts w:asciiTheme="minorHAnsi" w:hAnsiTheme="minorHAnsi" w:cstheme="minorHAnsi"/>
          <w:iCs/>
          <w:szCs w:val="24"/>
        </w:rPr>
        <w:t xml:space="preserve"> which permits</w:t>
      </w:r>
      <w:r w:rsidR="00C00833" w:rsidRPr="00595D8A">
        <w:rPr>
          <w:rFonts w:asciiTheme="minorHAnsi" w:hAnsiTheme="minorHAnsi" w:cstheme="minorHAnsi"/>
          <w:iCs/>
          <w:szCs w:val="24"/>
        </w:rPr>
        <w:t xml:space="preserve"> grants to be provided to bodies corporate specified in the Other Grants Guidelines for the purpose of</w:t>
      </w:r>
      <w:r w:rsidR="00C00833">
        <w:rPr>
          <w:rFonts w:asciiTheme="minorHAnsi" w:hAnsiTheme="minorHAnsi" w:cstheme="minorHAnsi"/>
          <w:iCs/>
          <w:szCs w:val="24"/>
        </w:rPr>
        <w:t xml:space="preserve"> supporting arrangements</w:t>
      </w:r>
      <w:r w:rsidR="00C00833" w:rsidRPr="00595D8A">
        <w:rPr>
          <w:rFonts w:asciiTheme="minorHAnsi" w:hAnsiTheme="minorHAnsi" w:cstheme="minorHAnsi"/>
          <w:iCs/>
          <w:szCs w:val="24"/>
        </w:rPr>
        <w:t xml:space="preserve"> </w:t>
      </w:r>
      <w:r w:rsidR="00C00833">
        <w:rPr>
          <w:rFonts w:asciiTheme="minorHAnsi" w:hAnsiTheme="minorHAnsi" w:cstheme="minorHAnsi"/>
          <w:iCs/>
          <w:szCs w:val="24"/>
        </w:rPr>
        <w:t xml:space="preserve">to </w:t>
      </w:r>
      <w:r w:rsidR="00C00833" w:rsidRPr="00595D8A">
        <w:rPr>
          <w:rFonts w:asciiTheme="minorHAnsi" w:hAnsiTheme="minorHAnsi" w:cstheme="minorHAnsi"/>
          <w:iCs/>
          <w:szCs w:val="24"/>
        </w:rPr>
        <w:t>increas</w:t>
      </w:r>
      <w:r w:rsidR="00C00833">
        <w:rPr>
          <w:rFonts w:asciiTheme="minorHAnsi" w:hAnsiTheme="minorHAnsi" w:cstheme="minorHAnsi"/>
          <w:iCs/>
          <w:szCs w:val="24"/>
        </w:rPr>
        <w:t>e</w:t>
      </w:r>
      <w:r w:rsidR="00C00833" w:rsidRPr="00595D8A">
        <w:rPr>
          <w:rFonts w:asciiTheme="minorHAnsi" w:hAnsiTheme="minorHAnsi" w:cstheme="minorHAnsi"/>
          <w:iCs/>
          <w:szCs w:val="24"/>
        </w:rPr>
        <w:t xml:space="preserve"> industry-led study and postgraduate research.</w:t>
      </w:r>
    </w:p>
    <w:p w14:paraId="0334E0E7" w14:textId="77777777" w:rsidR="00C00833" w:rsidRDefault="00C00833" w:rsidP="00C00833">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makes changes to the National Industry PhD Program to allow for the Commonwealth to make payments directly to industry partners who are partnered with higher education providers in the Industry Researcher PhD Stream, relying on item 11A of </w:t>
      </w:r>
      <w:r w:rsidRPr="006466CC">
        <w:rPr>
          <w:rFonts w:asciiTheme="minorHAnsi" w:hAnsiTheme="minorHAnsi" w:cstheme="minorHAnsi"/>
          <w:iCs/>
          <w:szCs w:val="24"/>
        </w:rPr>
        <w:t>the table at subsection 41-10(1)</w:t>
      </w:r>
      <w:r>
        <w:rPr>
          <w:rFonts w:asciiTheme="minorHAnsi" w:hAnsiTheme="minorHAnsi" w:cstheme="minorHAnsi"/>
          <w:iCs/>
          <w:szCs w:val="24"/>
        </w:rPr>
        <w:t xml:space="preserve"> of the Act. The Amendment Instrument also makes changes to provide for a method to determine the amount of grants to industry </w:t>
      </w:r>
      <w:proofErr w:type="gramStart"/>
      <w:r>
        <w:rPr>
          <w:rFonts w:asciiTheme="minorHAnsi" w:hAnsiTheme="minorHAnsi" w:cstheme="minorHAnsi"/>
          <w:iCs/>
          <w:szCs w:val="24"/>
        </w:rPr>
        <w:t>partners, and</w:t>
      </w:r>
      <w:proofErr w:type="gramEnd"/>
      <w:r>
        <w:rPr>
          <w:rFonts w:asciiTheme="minorHAnsi" w:hAnsiTheme="minorHAnsi" w:cstheme="minorHAnsi"/>
          <w:iCs/>
          <w:szCs w:val="24"/>
        </w:rPr>
        <w:t xml:space="preserve"> imposes conditions on industry partners receiving grants under the National Industry PhD Program. </w:t>
      </w:r>
    </w:p>
    <w:p w14:paraId="1EA4C1CE" w14:textId="77777777" w:rsidR="00C00833" w:rsidRDefault="00C00833" w:rsidP="00C00833">
      <w:pPr>
        <w:spacing w:before="120" w:after="120"/>
        <w:rPr>
          <w:rFonts w:asciiTheme="minorHAnsi" w:hAnsiTheme="minorHAnsi" w:cstheme="minorHAnsi"/>
          <w:iCs/>
          <w:szCs w:val="24"/>
        </w:rPr>
      </w:pPr>
      <w:r>
        <w:rPr>
          <w:rFonts w:asciiTheme="minorHAnsi" w:hAnsiTheme="minorHAnsi" w:cstheme="minorHAnsi"/>
          <w:iCs/>
          <w:szCs w:val="24"/>
        </w:rPr>
        <w:t xml:space="preserve">The provisions in Chapter 4 that currently apply to higher education providers have only been amended to the extent required to ensure that grants can be made directly to industry partners for the </w:t>
      </w:r>
      <w:r w:rsidRPr="00FC6923">
        <w:rPr>
          <w:rFonts w:asciiTheme="minorHAnsi" w:hAnsiTheme="minorHAnsi" w:cstheme="minorHAnsi"/>
          <w:iCs/>
          <w:szCs w:val="24"/>
        </w:rPr>
        <w:t>Industry Researcher PhD Stream</w:t>
      </w:r>
      <w:r>
        <w:rPr>
          <w:rFonts w:asciiTheme="minorHAnsi" w:hAnsiTheme="minorHAnsi" w:cstheme="minorHAnsi"/>
          <w:iCs/>
          <w:szCs w:val="24"/>
        </w:rPr>
        <w:t xml:space="preserve">. For example, the method to determine grants to higher education providers has been amended to remove the reference to the industry component of the grant (which will now be paid directly to industry partners). </w:t>
      </w:r>
    </w:p>
    <w:p w14:paraId="57CC71C9" w14:textId="77777777" w:rsidR="00F9205E" w:rsidRPr="008134D5" w:rsidRDefault="00F9205E" w:rsidP="000C310A">
      <w:pPr>
        <w:pStyle w:val="Heading2"/>
      </w:pPr>
      <w:r w:rsidRPr="008134D5">
        <w:t>Human rights implications</w:t>
      </w:r>
    </w:p>
    <w:p w14:paraId="5876F703" w14:textId="77777777" w:rsidR="00774E6D" w:rsidRDefault="00345D92" w:rsidP="00345D92">
      <w:pPr>
        <w:spacing w:before="120" w:after="120"/>
        <w:rPr>
          <w:rFonts w:asciiTheme="minorHAnsi" w:hAnsiTheme="minorHAnsi" w:cstheme="minorHAnsi"/>
          <w:szCs w:val="24"/>
        </w:rPr>
      </w:pPr>
      <w:r>
        <w:rPr>
          <w:rFonts w:asciiTheme="minorHAnsi" w:hAnsiTheme="minorHAnsi" w:cstheme="minorHAnsi"/>
          <w:szCs w:val="24"/>
        </w:rPr>
        <w:t xml:space="preserve">The Amendment Instrument engages the </w:t>
      </w:r>
      <w:r w:rsidR="00774E6D">
        <w:rPr>
          <w:rFonts w:asciiTheme="minorHAnsi" w:hAnsiTheme="minorHAnsi" w:cstheme="minorHAnsi"/>
          <w:szCs w:val="24"/>
        </w:rPr>
        <w:t xml:space="preserve">following rights: </w:t>
      </w:r>
    </w:p>
    <w:p w14:paraId="181F586E" w14:textId="3F2DE40B" w:rsidR="00774E6D" w:rsidRDefault="00774E6D" w:rsidP="00492C49">
      <w:pPr>
        <w:pStyle w:val="ListParagraph"/>
        <w:numPr>
          <w:ilvl w:val="0"/>
          <w:numId w:val="3"/>
        </w:numPr>
        <w:spacing w:before="120" w:after="120"/>
        <w:rPr>
          <w:rFonts w:asciiTheme="minorHAnsi" w:hAnsiTheme="minorHAnsi" w:cstheme="minorHAnsi"/>
          <w:szCs w:val="24"/>
        </w:rPr>
      </w:pPr>
      <w:r>
        <w:rPr>
          <w:rFonts w:asciiTheme="minorHAnsi" w:hAnsiTheme="minorHAnsi" w:cstheme="minorHAnsi"/>
          <w:szCs w:val="24"/>
        </w:rPr>
        <w:t xml:space="preserve">right to work in Article 6 of the </w:t>
      </w:r>
      <w:r w:rsidRPr="00774E6D">
        <w:rPr>
          <w:rFonts w:asciiTheme="minorHAnsi" w:hAnsiTheme="minorHAnsi" w:cstheme="minorHAnsi"/>
          <w:szCs w:val="24"/>
        </w:rPr>
        <w:t>International Covenant on Economic, Social and Cultural Rights (ICESCR)</w:t>
      </w:r>
      <w:r w:rsidR="00021962">
        <w:rPr>
          <w:rFonts w:asciiTheme="minorHAnsi" w:hAnsiTheme="minorHAnsi" w:cstheme="minorHAnsi"/>
          <w:szCs w:val="24"/>
        </w:rPr>
        <w:t>; and</w:t>
      </w:r>
    </w:p>
    <w:p w14:paraId="3E336A98" w14:textId="55382314" w:rsidR="00345D92" w:rsidRPr="00774E6D" w:rsidRDefault="00345D92" w:rsidP="00492C49">
      <w:pPr>
        <w:pStyle w:val="ListParagraph"/>
        <w:numPr>
          <w:ilvl w:val="0"/>
          <w:numId w:val="3"/>
        </w:numPr>
        <w:spacing w:before="120" w:after="120"/>
        <w:rPr>
          <w:rFonts w:asciiTheme="minorHAnsi" w:hAnsiTheme="minorHAnsi" w:cstheme="minorHAnsi"/>
          <w:szCs w:val="24"/>
        </w:rPr>
      </w:pPr>
      <w:r w:rsidRPr="00774E6D">
        <w:rPr>
          <w:rFonts w:asciiTheme="minorHAnsi" w:hAnsiTheme="minorHAnsi" w:cstheme="minorHAnsi"/>
          <w:szCs w:val="24"/>
        </w:rPr>
        <w:t xml:space="preserve">right to education in Article 13 of the </w:t>
      </w:r>
      <w:r w:rsidR="00774E6D">
        <w:rPr>
          <w:rFonts w:asciiTheme="minorHAnsi" w:hAnsiTheme="minorHAnsi" w:cstheme="minorHAnsi"/>
          <w:szCs w:val="24"/>
        </w:rPr>
        <w:t>ICESCR.</w:t>
      </w:r>
    </w:p>
    <w:p w14:paraId="26495137" w14:textId="0B97B90B" w:rsidR="00774E6D" w:rsidRPr="00774144" w:rsidRDefault="00774E6D" w:rsidP="00774E6D">
      <w:pPr>
        <w:pStyle w:val="Heading3"/>
      </w:pPr>
      <w:r>
        <w:lastRenderedPageBreak/>
        <w:t>Right to work</w:t>
      </w:r>
    </w:p>
    <w:p w14:paraId="5543D4D8" w14:textId="5D2D2688" w:rsidR="00774E6D" w:rsidRPr="00CF3EB6" w:rsidRDefault="00774E6D" w:rsidP="00CF3EB6">
      <w:pPr>
        <w:rPr>
          <w:rFonts w:asciiTheme="minorHAnsi" w:hAnsiTheme="minorHAnsi" w:cstheme="minorHAnsi"/>
          <w:szCs w:val="24"/>
        </w:rPr>
      </w:pPr>
      <w:r w:rsidRPr="00CF3EB6">
        <w:rPr>
          <w:rFonts w:asciiTheme="minorHAnsi" w:hAnsiTheme="minorHAnsi" w:cstheme="minorHAnsi"/>
          <w:szCs w:val="24"/>
        </w:rPr>
        <w:t>Article 6(1) of the ICESCR recognises the ‘right of everyone to the opportunity to gain [their</w:t>
      </w:r>
      <w:r w:rsidR="005B41E0" w:rsidRPr="00CF3EB6">
        <w:rPr>
          <w:rFonts w:asciiTheme="minorHAnsi" w:hAnsiTheme="minorHAnsi" w:cstheme="minorHAnsi"/>
          <w:szCs w:val="24"/>
        </w:rPr>
        <w:t xml:space="preserve">] living by work’ and that the State will ‘take appropriate steps to safeguard this right’. Article 6(2) cites ‘technical and vocational guidance and training programmes, policies and techniques to achieve steady economic, social and cultural development and full and productive employment under conditions safeguarding fundamental political and economic freedoms to the individual’ as steps to be taken by a State Party to achieve the full realisation of the right contained in Article 6(1). </w:t>
      </w:r>
    </w:p>
    <w:p w14:paraId="282C2652" w14:textId="76F060D1" w:rsidR="005B41E0" w:rsidRPr="005B41E0" w:rsidRDefault="005B41E0" w:rsidP="005B41E0">
      <w:pPr>
        <w:rPr>
          <w:rFonts w:asciiTheme="minorHAnsi" w:hAnsiTheme="minorHAnsi" w:cstheme="minorHAnsi"/>
          <w:szCs w:val="24"/>
        </w:rPr>
      </w:pPr>
      <w:r w:rsidRPr="005B41E0">
        <w:rPr>
          <w:rFonts w:asciiTheme="minorHAnsi" w:hAnsiTheme="minorHAnsi" w:cstheme="minorHAnsi"/>
          <w:szCs w:val="24"/>
        </w:rPr>
        <w:t xml:space="preserve">The Amendment </w:t>
      </w:r>
      <w:r>
        <w:rPr>
          <w:rFonts w:asciiTheme="minorHAnsi" w:hAnsiTheme="minorHAnsi" w:cstheme="minorHAnsi"/>
          <w:szCs w:val="24"/>
        </w:rPr>
        <w:t xml:space="preserve">Instrument provides for grants to be paid directly to industry partners for the purpose of supporting those industry partners to support their employees to undertake further </w:t>
      </w:r>
      <w:proofErr w:type="gramStart"/>
      <w:r>
        <w:rPr>
          <w:rFonts w:asciiTheme="minorHAnsi" w:hAnsiTheme="minorHAnsi" w:cstheme="minorHAnsi"/>
          <w:szCs w:val="24"/>
        </w:rPr>
        <w:t>study, and</w:t>
      </w:r>
      <w:proofErr w:type="gramEnd"/>
      <w:r>
        <w:rPr>
          <w:rFonts w:asciiTheme="minorHAnsi" w:hAnsiTheme="minorHAnsi" w:cstheme="minorHAnsi"/>
          <w:szCs w:val="24"/>
        </w:rPr>
        <w:t xml:space="preserve"> imposes conditions on the industry partner to support their employee to undertake study and work concurrently. This will allow for the PhD Candidates employed by the industry partners to upskill while remaining </w:t>
      </w:r>
      <w:proofErr w:type="gramStart"/>
      <w:r>
        <w:rPr>
          <w:rFonts w:asciiTheme="minorHAnsi" w:hAnsiTheme="minorHAnsi" w:cstheme="minorHAnsi"/>
          <w:szCs w:val="24"/>
        </w:rPr>
        <w:t>employed, and</w:t>
      </w:r>
      <w:proofErr w:type="gramEnd"/>
      <w:r>
        <w:rPr>
          <w:rFonts w:asciiTheme="minorHAnsi" w:hAnsiTheme="minorHAnsi" w:cstheme="minorHAnsi"/>
          <w:szCs w:val="24"/>
        </w:rPr>
        <w:t xml:space="preserve"> supports the right of these students to work.</w:t>
      </w:r>
    </w:p>
    <w:p w14:paraId="68A294CE" w14:textId="67C03F28" w:rsidR="008310AA" w:rsidRPr="00774144" w:rsidRDefault="00345D92" w:rsidP="000C310A">
      <w:pPr>
        <w:pStyle w:val="Heading3"/>
      </w:pPr>
      <w:r>
        <w:t>Right to education</w:t>
      </w:r>
    </w:p>
    <w:p w14:paraId="3F63E913" w14:textId="77777777" w:rsidR="00345D92" w:rsidRDefault="00345D92" w:rsidP="00345D92">
      <w:pPr>
        <w:spacing w:before="120" w:after="120"/>
        <w:rPr>
          <w:rFonts w:asciiTheme="minorHAnsi" w:hAnsiTheme="minorHAnsi" w:cstheme="minorHAnsi"/>
          <w:iCs/>
          <w:szCs w:val="24"/>
        </w:rPr>
      </w:pPr>
      <w:r>
        <w:rPr>
          <w:rFonts w:asciiTheme="minorHAnsi" w:hAnsiTheme="minorHAnsi" w:cstheme="minorHAnsi"/>
          <w:iCs/>
          <w:szCs w:val="24"/>
        </w:rPr>
        <w:t xml:space="preserve">Article 13(2)(c) of the ICESCR provides that ‘higher education shall be made equally accessible to all, on the basis of capacity, by every appropriate means, and in particular by the progressive introduction of free education’. </w:t>
      </w:r>
    </w:p>
    <w:p w14:paraId="1D4223DB" w14:textId="144B2D14" w:rsidR="00E8671C" w:rsidRDefault="00DA755D" w:rsidP="00DA552F">
      <w:pPr>
        <w:spacing w:before="120" w:after="120"/>
        <w:rPr>
          <w:rFonts w:asciiTheme="minorHAnsi" w:hAnsiTheme="minorHAnsi" w:cstheme="minorHAnsi"/>
          <w:bCs/>
          <w:szCs w:val="24"/>
        </w:rPr>
      </w:pPr>
      <w:r w:rsidRPr="00DA755D">
        <w:rPr>
          <w:rFonts w:asciiTheme="minorHAnsi" w:hAnsiTheme="minorHAnsi" w:cstheme="minorHAnsi"/>
          <w:bCs/>
          <w:szCs w:val="24"/>
        </w:rPr>
        <w:t xml:space="preserve">The Amendment </w:t>
      </w:r>
      <w:r>
        <w:rPr>
          <w:rFonts w:asciiTheme="minorHAnsi" w:hAnsiTheme="minorHAnsi" w:cstheme="minorHAnsi"/>
          <w:bCs/>
          <w:szCs w:val="24"/>
        </w:rPr>
        <w:t>Instrument makes changes to the Principal Instrument to allow for the Commonwealth to make payments directly to industry partners</w:t>
      </w:r>
      <w:r w:rsidR="00E431B0">
        <w:rPr>
          <w:rFonts w:asciiTheme="minorHAnsi" w:hAnsiTheme="minorHAnsi" w:cstheme="minorHAnsi"/>
          <w:bCs/>
          <w:szCs w:val="24"/>
        </w:rPr>
        <w:t>, for the purpose of supporting those industry partners to support their employees to undertake further study</w:t>
      </w:r>
      <w:r w:rsidR="00774E6D">
        <w:rPr>
          <w:rFonts w:asciiTheme="minorHAnsi" w:hAnsiTheme="minorHAnsi" w:cstheme="minorHAnsi"/>
          <w:bCs/>
          <w:szCs w:val="24"/>
        </w:rPr>
        <w:t>. The amendments will provide support to industry partners so that their employees are able to undertake higher education, and</w:t>
      </w:r>
      <w:r w:rsidR="000373CF">
        <w:rPr>
          <w:rFonts w:asciiTheme="minorHAnsi" w:hAnsiTheme="minorHAnsi" w:cstheme="minorHAnsi"/>
          <w:bCs/>
          <w:szCs w:val="24"/>
        </w:rPr>
        <w:t xml:space="preserve"> as such, supports the right to education by</w:t>
      </w:r>
      <w:r w:rsidR="00774E6D">
        <w:rPr>
          <w:rFonts w:asciiTheme="minorHAnsi" w:hAnsiTheme="minorHAnsi" w:cstheme="minorHAnsi"/>
          <w:bCs/>
          <w:szCs w:val="24"/>
        </w:rPr>
        <w:t xml:space="preserve"> remov</w:t>
      </w:r>
      <w:r w:rsidR="000373CF">
        <w:rPr>
          <w:rFonts w:asciiTheme="minorHAnsi" w:hAnsiTheme="minorHAnsi" w:cstheme="minorHAnsi"/>
          <w:bCs/>
          <w:szCs w:val="24"/>
        </w:rPr>
        <w:t>ing</w:t>
      </w:r>
      <w:r w:rsidR="00774E6D">
        <w:rPr>
          <w:rFonts w:asciiTheme="minorHAnsi" w:hAnsiTheme="minorHAnsi" w:cstheme="minorHAnsi"/>
          <w:bCs/>
          <w:szCs w:val="24"/>
        </w:rPr>
        <w:t xml:space="preserve"> barriers to accessing higher education.</w:t>
      </w:r>
    </w:p>
    <w:p w14:paraId="0D664062" w14:textId="77777777" w:rsidR="00DA552F" w:rsidRPr="008134D5" w:rsidRDefault="00F9205E" w:rsidP="000C310A">
      <w:pPr>
        <w:pStyle w:val="Heading2"/>
      </w:pPr>
      <w:r w:rsidRPr="008134D5">
        <w:t>Conclusion</w:t>
      </w:r>
    </w:p>
    <w:p w14:paraId="26C0AF71" w14:textId="111D5009"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5B41E0">
        <w:rPr>
          <w:rFonts w:asciiTheme="minorHAnsi" w:hAnsiTheme="minorHAnsi" w:cstheme="minorHAnsi"/>
          <w:szCs w:val="24"/>
        </w:rPr>
        <w:t>it supports the right to work and the right to education.</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0DB8FF83"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B41E0">
        <w:rPr>
          <w:rFonts w:asciiTheme="minorHAnsi" w:hAnsiTheme="minorHAnsi" w:cstheme="minorHAnsi"/>
          <w:b/>
          <w:szCs w:val="24"/>
        </w:rPr>
        <w:t>Education</w:t>
      </w:r>
      <w:r w:rsidR="00E8671C">
        <w:rPr>
          <w:rFonts w:asciiTheme="minorHAnsi" w:hAnsiTheme="minorHAnsi" w:cstheme="minorHAnsi"/>
          <w:b/>
          <w:szCs w:val="24"/>
        </w:rPr>
        <w:t xml:space="preserve">, </w:t>
      </w:r>
      <w:r w:rsidR="005B41E0">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192B2E5C" w14:textId="1E842820" w:rsidR="00DA552F" w:rsidRPr="005B41E0" w:rsidRDefault="005B41E0" w:rsidP="000C310A">
      <w:pPr>
        <w:pStyle w:val="Title"/>
        <w:rPr>
          <w:b w:val="0"/>
        </w:rPr>
      </w:pPr>
      <w:r w:rsidRPr="005B41E0">
        <w:rPr>
          <w:u w:val="none"/>
        </w:rPr>
        <w:lastRenderedPageBreak/>
        <w:t>OTHER GRANTS (RESEARCH) AMENDMENT (NATIONAL INDUSTRY PHD PROGRAM) GUIDELINES 2023</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2715E198" w:rsidR="00DA552F" w:rsidRPr="00EF4ACB" w:rsidRDefault="00DA552F" w:rsidP="00492C49">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w:t>
      </w:r>
      <w:r w:rsidR="005B41E0">
        <w:rPr>
          <w:rFonts w:asciiTheme="minorHAnsi" w:hAnsiTheme="minorHAnsi" w:cstheme="minorHAnsi"/>
          <w:szCs w:val="24"/>
        </w:rPr>
        <w:t xml:space="preserve">section specifies the name of the instrument as the </w:t>
      </w:r>
      <w:r w:rsidR="005B41E0">
        <w:rPr>
          <w:rFonts w:asciiTheme="minorHAnsi" w:hAnsiTheme="minorHAnsi" w:cstheme="minorHAnsi"/>
          <w:i/>
          <w:iCs/>
          <w:szCs w:val="24"/>
        </w:rPr>
        <w:t>Other Grants (Research) Amendment (National Industry PhD Program) Guidelines 2023</w:t>
      </w:r>
      <w:r w:rsidR="005B41E0">
        <w:rPr>
          <w:rFonts w:asciiTheme="minorHAnsi" w:hAnsiTheme="minorHAnsi" w:cstheme="minorHAnsi"/>
          <w:szCs w:val="24"/>
        </w:rPr>
        <w:t xml:space="preserve"> (the Amendment Instrument). </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737DF93A" w:rsidR="00E631F9" w:rsidRPr="005B41E0" w:rsidRDefault="005B41E0" w:rsidP="00492C49">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This section provides that the Amendment Instrument commences on the day after it is registered on the Federal Register of Legislation.</w:t>
      </w:r>
    </w:p>
    <w:p w14:paraId="3287C071" w14:textId="77777777" w:rsidR="00E631F9" w:rsidRPr="000C310A" w:rsidRDefault="00E631F9" w:rsidP="000C310A">
      <w:pPr>
        <w:pStyle w:val="Heading3"/>
        <w:spacing w:before="240"/>
        <w:rPr>
          <w:b/>
          <w:bCs/>
        </w:rPr>
      </w:pPr>
      <w:r w:rsidRPr="000C310A">
        <w:rPr>
          <w:b/>
          <w:bCs/>
        </w:rPr>
        <w:t>Section 3: Authority</w:t>
      </w:r>
    </w:p>
    <w:p w14:paraId="336FDD72" w14:textId="77777777" w:rsidR="005B41E0" w:rsidRDefault="005B41E0" w:rsidP="00492C49">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section provides that the Amendment Instrument is made under section 238-10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613F64B3" w14:textId="77777777" w:rsidR="005B41E0" w:rsidRDefault="005B41E0" w:rsidP="005B41E0">
      <w:pPr>
        <w:pStyle w:val="Heading3"/>
        <w:spacing w:before="240"/>
        <w:rPr>
          <w:b/>
          <w:bCs/>
        </w:rPr>
      </w:pPr>
      <w:r>
        <w:rPr>
          <w:b/>
          <w:bCs/>
        </w:rPr>
        <w:t>Section 4: Schedules</w:t>
      </w:r>
    </w:p>
    <w:p w14:paraId="58070570" w14:textId="0EC2BAB4" w:rsidR="005B41E0" w:rsidRDefault="005B41E0"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is a technical provision that explains that each instrument that is specified in a Schedule to the Amendment Instrument is amended or repealed as set out in the applicable items in the Schedule concerned. </w:t>
      </w:r>
    </w:p>
    <w:p w14:paraId="66BFF689" w14:textId="77777777" w:rsidR="005B41E0" w:rsidRDefault="005B41E0" w:rsidP="005B41E0">
      <w:pPr>
        <w:spacing w:before="360" w:after="120"/>
        <w:rPr>
          <w:rFonts w:asciiTheme="minorHAnsi" w:hAnsiTheme="minorHAnsi" w:cstheme="minorHAnsi"/>
          <w:iCs/>
          <w:szCs w:val="24"/>
        </w:rPr>
      </w:pPr>
      <w:r>
        <w:rPr>
          <w:rFonts w:asciiTheme="minorHAnsi" w:hAnsiTheme="minorHAnsi" w:cstheme="minorHAnsi"/>
          <w:b/>
          <w:bCs/>
          <w:iCs/>
          <w:szCs w:val="24"/>
          <w:u w:val="single"/>
        </w:rPr>
        <w:t>Schedule 1 – Amendments</w:t>
      </w:r>
    </w:p>
    <w:p w14:paraId="6D61D470" w14:textId="71DFAC5A" w:rsidR="005B41E0" w:rsidRDefault="00783519" w:rsidP="005B41E0">
      <w:pPr>
        <w:spacing w:before="360" w:after="120"/>
        <w:rPr>
          <w:rFonts w:asciiTheme="minorHAnsi" w:hAnsiTheme="minorHAnsi" w:cstheme="minorHAnsi"/>
          <w:iCs/>
          <w:szCs w:val="24"/>
        </w:rPr>
      </w:pPr>
      <w:r>
        <w:rPr>
          <w:rFonts w:asciiTheme="minorHAnsi" w:hAnsiTheme="minorHAnsi" w:cstheme="minorHAnsi"/>
          <w:i/>
          <w:szCs w:val="24"/>
        </w:rPr>
        <w:t>Other Grants Guidelines (Research) 2017</w:t>
      </w:r>
    </w:p>
    <w:p w14:paraId="5D1FB164" w14:textId="77777777" w:rsidR="005B41E0" w:rsidRDefault="005B41E0" w:rsidP="005B41E0">
      <w:pPr>
        <w:spacing w:before="360" w:after="120"/>
        <w:rPr>
          <w:rFonts w:asciiTheme="minorHAnsi" w:hAnsiTheme="minorHAnsi" w:cstheme="minorHAnsi"/>
          <w:iCs/>
          <w:szCs w:val="24"/>
        </w:rPr>
      </w:pPr>
      <w:r>
        <w:rPr>
          <w:rFonts w:asciiTheme="minorHAnsi" w:hAnsiTheme="minorHAnsi" w:cstheme="minorHAnsi"/>
          <w:iCs/>
          <w:szCs w:val="24"/>
          <w:u w:val="single"/>
        </w:rPr>
        <w:t>Item 1</w:t>
      </w:r>
    </w:p>
    <w:p w14:paraId="6E1FC958" w14:textId="470B7385" w:rsidR="00E757D0" w:rsidRDefault="00783519"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Item 1 repeals Chapter 4</w:t>
      </w:r>
      <w:r w:rsidR="00A22E81">
        <w:rPr>
          <w:rFonts w:asciiTheme="minorHAnsi" w:hAnsiTheme="minorHAnsi" w:cstheme="minorHAnsi"/>
          <w:iCs/>
          <w:szCs w:val="24"/>
        </w:rPr>
        <w:t xml:space="preserve"> (old Chapter 4)</w:t>
      </w:r>
      <w:r>
        <w:rPr>
          <w:rFonts w:asciiTheme="minorHAnsi" w:hAnsiTheme="minorHAnsi" w:cstheme="minorHAnsi"/>
          <w:iCs/>
          <w:szCs w:val="24"/>
        </w:rPr>
        <w:t xml:space="preserve"> in the </w:t>
      </w:r>
      <w:r>
        <w:rPr>
          <w:rFonts w:asciiTheme="minorHAnsi" w:hAnsiTheme="minorHAnsi" w:cstheme="minorHAnsi"/>
          <w:i/>
          <w:szCs w:val="24"/>
        </w:rPr>
        <w:t xml:space="preserve">Other Grants Guidelines (Research) 2017 </w:t>
      </w:r>
      <w:r>
        <w:rPr>
          <w:rFonts w:asciiTheme="minorHAnsi" w:hAnsiTheme="minorHAnsi" w:cstheme="minorHAnsi"/>
          <w:iCs/>
          <w:szCs w:val="24"/>
        </w:rPr>
        <w:t xml:space="preserve">(the Principal Instrument) and substitutes </w:t>
      </w:r>
      <w:r w:rsidR="009D1739">
        <w:rPr>
          <w:rFonts w:asciiTheme="minorHAnsi" w:hAnsiTheme="minorHAnsi" w:cstheme="minorHAnsi"/>
          <w:iCs/>
          <w:szCs w:val="24"/>
        </w:rPr>
        <w:t xml:space="preserve">it </w:t>
      </w:r>
      <w:r>
        <w:rPr>
          <w:rFonts w:asciiTheme="minorHAnsi" w:hAnsiTheme="minorHAnsi" w:cstheme="minorHAnsi"/>
          <w:iCs/>
          <w:szCs w:val="24"/>
        </w:rPr>
        <w:t>with a new Chapter 4</w:t>
      </w:r>
      <w:r w:rsidR="00A22E81">
        <w:rPr>
          <w:rFonts w:asciiTheme="minorHAnsi" w:hAnsiTheme="minorHAnsi" w:cstheme="minorHAnsi"/>
          <w:iCs/>
          <w:szCs w:val="24"/>
        </w:rPr>
        <w:t xml:space="preserve"> (new Chapter 4)</w:t>
      </w:r>
      <w:r>
        <w:rPr>
          <w:rFonts w:asciiTheme="minorHAnsi" w:hAnsiTheme="minorHAnsi" w:cstheme="minorHAnsi"/>
          <w:iCs/>
          <w:szCs w:val="24"/>
        </w:rPr>
        <w:t xml:space="preserve">. </w:t>
      </w:r>
    </w:p>
    <w:p w14:paraId="2780A219" w14:textId="5793D95F" w:rsidR="00783519" w:rsidRDefault="00783519"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New Chapter 4 will continue to specify the National Industry PhD Program (the Program) for the purposes of subsection 41-10(1) of the Act. New Chapter 4 makes amendments to provide for payments to be made directly to industry partners in the Program. </w:t>
      </w:r>
    </w:p>
    <w:p w14:paraId="4429CEE8" w14:textId="6D77B068" w:rsidR="00783519" w:rsidRDefault="00F20DAC"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w:t>
      </w:r>
      <w:r w:rsidR="00783519">
        <w:rPr>
          <w:rFonts w:asciiTheme="minorHAnsi" w:hAnsiTheme="minorHAnsi" w:cstheme="minorHAnsi"/>
          <w:iCs/>
          <w:szCs w:val="24"/>
        </w:rPr>
        <w:t xml:space="preserve">ection 4.1 specifies the Program for the purposes of subsection 41-10(1) of the Act. Old section 4.1 provided that the Program was specified for the purpose of item 8 of </w:t>
      </w:r>
      <w:r w:rsidR="00783519">
        <w:rPr>
          <w:rFonts w:asciiTheme="minorHAnsi" w:hAnsiTheme="minorHAnsi" w:cstheme="minorHAnsi"/>
          <w:iCs/>
          <w:szCs w:val="24"/>
        </w:rPr>
        <w:lastRenderedPageBreak/>
        <w:t xml:space="preserve">the table in </w:t>
      </w:r>
      <w:r w:rsidR="008C69EB">
        <w:rPr>
          <w:rFonts w:asciiTheme="minorHAnsi" w:hAnsiTheme="minorHAnsi" w:cstheme="minorHAnsi"/>
          <w:iCs/>
          <w:szCs w:val="24"/>
        </w:rPr>
        <w:t xml:space="preserve">subsection </w:t>
      </w:r>
      <w:r w:rsidR="00783519">
        <w:rPr>
          <w:rFonts w:asciiTheme="minorHAnsi" w:hAnsiTheme="minorHAnsi" w:cstheme="minorHAnsi"/>
          <w:iCs/>
          <w:szCs w:val="24"/>
        </w:rPr>
        <w:t xml:space="preserve">41-10(1) of the Act. New section 4.1 provides that the Program is also specified for the purpose of item 11A of the table in subsection 41-10(1) of the Act, as the </w:t>
      </w:r>
      <w:r w:rsidR="00AD6807">
        <w:rPr>
          <w:rFonts w:asciiTheme="minorHAnsi" w:hAnsiTheme="minorHAnsi" w:cstheme="minorHAnsi"/>
          <w:iCs/>
          <w:szCs w:val="24"/>
        </w:rPr>
        <w:t>payment of</w:t>
      </w:r>
      <w:r w:rsidR="00E109D0">
        <w:rPr>
          <w:rFonts w:asciiTheme="minorHAnsi" w:hAnsiTheme="minorHAnsi" w:cstheme="minorHAnsi"/>
          <w:iCs/>
          <w:szCs w:val="24"/>
        </w:rPr>
        <w:t xml:space="preserve"> </w:t>
      </w:r>
      <w:r w:rsidR="00783519">
        <w:rPr>
          <w:rFonts w:asciiTheme="minorHAnsi" w:hAnsiTheme="minorHAnsi" w:cstheme="minorHAnsi"/>
          <w:iCs/>
          <w:szCs w:val="24"/>
        </w:rPr>
        <w:t xml:space="preserve">grants directly to industry partners relies on item 11A. </w:t>
      </w:r>
    </w:p>
    <w:p w14:paraId="547C2A02" w14:textId="21296228" w:rsidR="00E757D0" w:rsidRDefault="00480BAF"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New </w:t>
      </w:r>
      <w:r w:rsidR="0096232F">
        <w:rPr>
          <w:rFonts w:asciiTheme="minorHAnsi" w:hAnsiTheme="minorHAnsi" w:cstheme="minorHAnsi"/>
          <w:iCs/>
          <w:szCs w:val="24"/>
        </w:rPr>
        <w:t>section</w:t>
      </w:r>
      <w:r>
        <w:rPr>
          <w:rFonts w:asciiTheme="minorHAnsi" w:hAnsiTheme="minorHAnsi" w:cstheme="minorHAnsi"/>
          <w:iCs/>
          <w:szCs w:val="24"/>
        </w:rPr>
        <w:t xml:space="preserve"> 4.5 sets out the objectives of the Program. New </w:t>
      </w:r>
      <w:r w:rsidR="0096232F">
        <w:rPr>
          <w:rFonts w:asciiTheme="minorHAnsi" w:hAnsiTheme="minorHAnsi" w:cstheme="minorHAnsi"/>
          <w:iCs/>
          <w:szCs w:val="24"/>
        </w:rPr>
        <w:t>section</w:t>
      </w:r>
      <w:r>
        <w:rPr>
          <w:rFonts w:asciiTheme="minorHAnsi" w:hAnsiTheme="minorHAnsi" w:cstheme="minorHAnsi"/>
          <w:iCs/>
          <w:szCs w:val="24"/>
        </w:rPr>
        <w:t xml:space="preserve"> 4.5 </w:t>
      </w:r>
      <w:r w:rsidR="009B6EB0">
        <w:rPr>
          <w:rFonts w:asciiTheme="minorHAnsi" w:hAnsiTheme="minorHAnsi" w:cstheme="minorHAnsi"/>
          <w:iCs/>
          <w:szCs w:val="24"/>
        </w:rPr>
        <w:t>mostly reflects the original wording of</w:t>
      </w:r>
      <w:r>
        <w:rPr>
          <w:rFonts w:asciiTheme="minorHAnsi" w:hAnsiTheme="minorHAnsi" w:cstheme="minorHAnsi"/>
          <w:iCs/>
          <w:szCs w:val="24"/>
        </w:rPr>
        <w:t xml:space="preserve"> old </w:t>
      </w:r>
      <w:r w:rsidR="0096232F">
        <w:rPr>
          <w:rFonts w:asciiTheme="minorHAnsi" w:hAnsiTheme="minorHAnsi" w:cstheme="minorHAnsi"/>
          <w:iCs/>
          <w:szCs w:val="24"/>
        </w:rPr>
        <w:t>section</w:t>
      </w:r>
      <w:r>
        <w:rPr>
          <w:rFonts w:asciiTheme="minorHAnsi" w:hAnsiTheme="minorHAnsi" w:cstheme="minorHAnsi"/>
          <w:iCs/>
          <w:szCs w:val="24"/>
        </w:rPr>
        <w:t xml:space="preserve"> 4.5, but provides further detail to clarify that support to higher education providers is provided for the purpose of item 8 of the table in subsection 41-10(1) of the Act, and that support to bodies corporate that meet the requirements in subsection 4.10(1) (defined as an ‘industry partner’ for the purposes of Chapter 4) to support </w:t>
      </w:r>
      <w:r w:rsidR="009B3DF3">
        <w:rPr>
          <w:rFonts w:asciiTheme="minorHAnsi" w:hAnsiTheme="minorHAnsi" w:cstheme="minorHAnsi"/>
          <w:iCs/>
          <w:szCs w:val="24"/>
        </w:rPr>
        <w:t xml:space="preserve">their </w:t>
      </w:r>
      <w:r>
        <w:rPr>
          <w:rFonts w:asciiTheme="minorHAnsi" w:hAnsiTheme="minorHAnsi" w:cstheme="minorHAnsi"/>
          <w:iCs/>
          <w:szCs w:val="24"/>
        </w:rPr>
        <w:t xml:space="preserve">employees is provided for the purpose of item 11A of the table in subsection 41-10(1) of the Act. </w:t>
      </w:r>
    </w:p>
    <w:p w14:paraId="09B2C3FB" w14:textId="60D97F01" w:rsidR="0096232F" w:rsidRDefault="0096232F"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New section 4.10 sets out the specified bodies corporate and extra conditions of eligibility for the program. </w:t>
      </w:r>
    </w:p>
    <w:p w14:paraId="366749A4" w14:textId="58934D5D" w:rsidR="0096232F" w:rsidRDefault="0096232F"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New subsection 4.10(1) provides that bodies corporate that meet certain criteria are specified for the purposes of item 11A in the table in subsection 41-10(1) of the Act, as an industry partner eligible to receive a grant </w:t>
      </w:r>
      <w:r w:rsidR="005F4172">
        <w:rPr>
          <w:rFonts w:asciiTheme="minorHAnsi" w:hAnsiTheme="minorHAnsi" w:cstheme="minorHAnsi"/>
          <w:iCs/>
          <w:szCs w:val="24"/>
        </w:rPr>
        <w:t>under</w:t>
      </w:r>
      <w:r>
        <w:rPr>
          <w:rFonts w:asciiTheme="minorHAnsi" w:hAnsiTheme="minorHAnsi" w:cstheme="minorHAnsi"/>
          <w:iCs/>
          <w:szCs w:val="24"/>
        </w:rPr>
        <w:t xml:space="preserve"> the Program. </w:t>
      </w:r>
      <w:r w:rsidR="00F20296">
        <w:rPr>
          <w:rFonts w:asciiTheme="minorHAnsi" w:hAnsiTheme="minorHAnsi" w:cstheme="minorHAnsi"/>
          <w:iCs/>
          <w:szCs w:val="24"/>
        </w:rPr>
        <w:t>New subsection 4.10(1) provides that the body corporate must undertake R&amp;D activities, be partnered with a</w:t>
      </w:r>
      <w:r w:rsidR="0081364A">
        <w:rPr>
          <w:rFonts w:asciiTheme="minorHAnsi" w:hAnsiTheme="minorHAnsi" w:cstheme="minorHAnsi"/>
          <w:iCs/>
          <w:szCs w:val="24"/>
        </w:rPr>
        <w:t>n</w:t>
      </w:r>
      <w:r w:rsidR="00F20296">
        <w:rPr>
          <w:rFonts w:asciiTheme="minorHAnsi" w:hAnsiTheme="minorHAnsi" w:cstheme="minorHAnsi"/>
          <w:iCs/>
          <w:szCs w:val="24"/>
        </w:rPr>
        <w:t xml:space="preserve"> eligible higher education </w:t>
      </w:r>
      <w:proofErr w:type="gramStart"/>
      <w:r w:rsidR="00F20296">
        <w:rPr>
          <w:rFonts w:asciiTheme="minorHAnsi" w:hAnsiTheme="minorHAnsi" w:cstheme="minorHAnsi"/>
          <w:iCs/>
          <w:szCs w:val="24"/>
        </w:rPr>
        <w:t>provider</w:t>
      </w:r>
      <w:proofErr w:type="gramEnd"/>
      <w:r w:rsidR="00F20296">
        <w:rPr>
          <w:rFonts w:asciiTheme="minorHAnsi" w:hAnsiTheme="minorHAnsi" w:cstheme="minorHAnsi"/>
          <w:iCs/>
          <w:szCs w:val="24"/>
        </w:rPr>
        <w:t xml:space="preserve"> and employ a PhD Candidate that meets certain criteria</w:t>
      </w:r>
      <w:r w:rsidR="000431FA">
        <w:rPr>
          <w:rFonts w:asciiTheme="minorHAnsi" w:hAnsiTheme="minorHAnsi" w:cstheme="minorHAnsi"/>
          <w:iCs/>
          <w:szCs w:val="24"/>
        </w:rPr>
        <w:t xml:space="preserve"> listed in paragraph 4.10(1)(c)</w:t>
      </w:r>
      <w:r w:rsidR="00F20296">
        <w:rPr>
          <w:rFonts w:asciiTheme="minorHAnsi" w:hAnsiTheme="minorHAnsi" w:cstheme="minorHAnsi"/>
          <w:iCs/>
          <w:szCs w:val="24"/>
        </w:rPr>
        <w:t xml:space="preserve"> in order to be specified for the purposes of item 11A in the table in subsection 41-10(1) of the Act. </w:t>
      </w:r>
    </w:p>
    <w:p w14:paraId="04BA2B34" w14:textId="15B0A695" w:rsidR="00F20296" w:rsidRDefault="00F20296"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subsections 4.10(2) to (4)</w:t>
      </w:r>
      <w:r w:rsidR="008B2C57">
        <w:rPr>
          <w:rFonts w:asciiTheme="minorHAnsi" w:hAnsiTheme="minorHAnsi" w:cstheme="minorHAnsi"/>
          <w:iCs/>
          <w:szCs w:val="24"/>
        </w:rPr>
        <w:t xml:space="preserve"> set out the extra conditions of eligibility for grants under the Program. The extra conditions of eligibility for grants in new subsections 4.10(2) to (4) are </w:t>
      </w:r>
      <w:proofErr w:type="gramStart"/>
      <w:r w:rsidR="008B2C57">
        <w:rPr>
          <w:rFonts w:asciiTheme="minorHAnsi" w:hAnsiTheme="minorHAnsi" w:cstheme="minorHAnsi"/>
          <w:iCs/>
          <w:szCs w:val="24"/>
        </w:rPr>
        <w:t>similar to</w:t>
      </w:r>
      <w:proofErr w:type="gramEnd"/>
      <w:r w:rsidR="008B2C57">
        <w:rPr>
          <w:rFonts w:asciiTheme="minorHAnsi" w:hAnsiTheme="minorHAnsi" w:cstheme="minorHAnsi"/>
          <w:iCs/>
          <w:szCs w:val="24"/>
        </w:rPr>
        <w:t xml:space="preserve"> the extra conditions of grants in old section 4.10, with consequential changes made to reflect that the structure of the Program has changed</w:t>
      </w:r>
      <w:r w:rsidR="008C1CEF">
        <w:rPr>
          <w:rFonts w:asciiTheme="minorHAnsi" w:hAnsiTheme="minorHAnsi" w:cstheme="minorHAnsi"/>
          <w:iCs/>
          <w:szCs w:val="24"/>
        </w:rPr>
        <w:t xml:space="preserve"> so it is possible</w:t>
      </w:r>
      <w:r w:rsidR="008B2C57">
        <w:rPr>
          <w:rFonts w:asciiTheme="minorHAnsi" w:hAnsiTheme="minorHAnsi" w:cstheme="minorHAnsi"/>
          <w:iCs/>
          <w:szCs w:val="24"/>
        </w:rPr>
        <w:t xml:space="preserve"> to make payments directly to industry partners for the Industry Researcher PhD Stream. </w:t>
      </w:r>
    </w:p>
    <w:p w14:paraId="60EAF80A" w14:textId="25A03059" w:rsidR="008B2C57" w:rsidRDefault="00625804"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w:t>
      </w:r>
      <w:r w:rsidR="008B2C57">
        <w:rPr>
          <w:rFonts w:asciiTheme="minorHAnsi" w:hAnsiTheme="minorHAnsi" w:cstheme="minorHAnsi"/>
          <w:iCs/>
          <w:szCs w:val="24"/>
        </w:rPr>
        <w:t xml:space="preserve">ection 4.15 sets out the method by which the amount of grants under the program are determined. New section 4.15 </w:t>
      </w:r>
      <w:r w:rsidR="008562C4">
        <w:rPr>
          <w:rFonts w:asciiTheme="minorHAnsi" w:hAnsiTheme="minorHAnsi" w:cstheme="minorHAnsi"/>
          <w:iCs/>
          <w:szCs w:val="24"/>
        </w:rPr>
        <w:t>mostly reflects the wording of</w:t>
      </w:r>
      <w:r w:rsidR="008B2C57">
        <w:rPr>
          <w:rFonts w:asciiTheme="minorHAnsi" w:hAnsiTheme="minorHAnsi" w:cstheme="minorHAnsi"/>
          <w:iCs/>
          <w:szCs w:val="24"/>
        </w:rPr>
        <w:t xml:space="preserve"> old section 4.15, with changes made to </w:t>
      </w:r>
      <w:r w:rsidR="008562C4">
        <w:rPr>
          <w:rFonts w:asciiTheme="minorHAnsi" w:hAnsiTheme="minorHAnsi" w:cstheme="minorHAnsi"/>
          <w:iCs/>
          <w:szCs w:val="24"/>
        </w:rPr>
        <w:t xml:space="preserve">specify </w:t>
      </w:r>
      <w:r w:rsidR="008B2C57">
        <w:rPr>
          <w:rFonts w:asciiTheme="minorHAnsi" w:hAnsiTheme="minorHAnsi" w:cstheme="minorHAnsi"/>
          <w:iCs/>
          <w:szCs w:val="24"/>
        </w:rPr>
        <w:t xml:space="preserve">that grants for participating higher education providers will no longer include an industry component (to reflect that grants will be made directly to industry partners), and to provide for a new method to determine the amount of grants to industry partners. </w:t>
      </w:r>
    </w:p>
    <w:p w14:paraId="3342BC0D" w14:textId="2E3E5AE2" w:rsidR="00594D5D" w:rsidRDefault="00835CC5"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w:t>
      </w:r>
      <w:r w:rsidR="00594D5D">
        <w:rPr>
          <w:rFonts w:asciiTheme="minorHAnsi" w:hAnsiTheme="minorHAnsi" w:cstheme="minorHAnsi"/>
          <w:iCs/>
          <w:szCs w:val="24"/>
        </w:rPr>
        <w:t xml:space="preserve">ection 4.20 </w:t>
      </w:r>
      <w:r w:rsidR="007E21FC">
        <w:rPr>
          <w:rFonts w:asciiTheme="minorHAnsi" w:hAnsiTheme="minorHAnsi" w:cstheme="minorHAnsi"/>
          <w:iCs/>
          <w:szCs w:val="24"/>
        </w:rPr>
        <w:t xml:space="preserve">is </w:t>
      </w:r>
      <w:proofErr w:type="gramStart"/>
      <w:r w:rsidR="007E21FC">
        <w:rPr>
          <w:rFonts w:asciiTheme="minorHAnsi" w:hAnsiTheme="minorHAnsi" w:cstheme="minorHAnsi"/>
          <w:iCs/>
          <w:szCs w:val="24"/>
        </w:rPr>
        <w:t>unchanged, and</w:t>
      </w:r>
      <w:proofErr w:type="gramEnd"/>
      <w:r w:rsidR="007E21FC">
        <w:rPr>
          <w:rFonts w:asciiTheme="minorHAnsi" w:hAnsiTheme="minorHAnsi" w:cstheme="minorHAnsi"/>
          <w:iCs/>
          <w:szCs w:val="24"/>
        </w:rPr>
        <w:t xml:space="preserve"> provides that the amounts listed in section 4.15 are listed for the year 2023 and are to be indexed for subsequent years using the method of indexation set out in Part 5-6 of the Act. </w:t>
      </w:r>
    </w:p>
    <w:p w14:paraId="3A58776F" w14:textId="508735B9" w:rsidR="007E21FC" w:rsidRDefault="00E0751E"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w:t>
      </w:r>
      <w:r w:rsidR="007E21FC">
        <w:rPr>
          <w:rFonts w:asciiTheme="minorHAnsi" w:hAnsiTheme="minorHAnsi" w:cstheme="minorHAnsi"/>
          <w:iCs/>
          <w:szCs w:val="24"/>
        </w:rPr>
        <w:t xml:space="preserve">ection 4.25 sets out conditions that apply to grants made under the Program. </w:t>
      </w:r>
    </w:p>
    <w:p w14:paraId="707B7462" w14:textId="77777777" w:rsidR="00DB2D5C" w:rsidRDefault="00BA556A"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Subsections 4.25(1) to (6) set out the conditions on grants to higher education providers</w:t>
      </w:r>
      <w:r w:rsidR="00DB2D5C">
        <w:rPr>
          <w:rFonts w:asciiTheme="minorHAnsi" w:hAnsiTheme="minorHAnsi" w:cstheme="minorHAnsi"/>
          <w:iCs/>
          <w:szCs w:val="24"/>
        </w:rPr>
        <w:t xml:space="preserve">. </w:t>
      </w:r>
    </w:p>
    <w:p w14:paraId="0E793D9C" w14:textId="64C92288" w:rsidR="00DB2D5C" w:rsidRDefault="002B2C69"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DB2D5C">
        <w:rPr>
          <w:rFonts w:asciiTheme="minorHAnsi" w:hAnsiTheme="minorHAnsi" w:cstheme="minorHAnsi"/>
          <w:iCs/>
          <w:szCs w:val="24"/>
        </w:rPr>
        <w:t xml:space="preserve">ubsections 4.25(1) to (3) set out the conditions on participating higher education providers in relation to the student component of the grant. </w:t>
      </w:r>
      <w:r>
        <w:rPr>
          <w:rFonts w:asciiTheme="minorHAnsi" w:hAnsiTheme="minorHAnsi" w:cstheme="minorHAnsi"/>
          <w:iCs/>
          <w:szCs w:val="24"/>
        </w:rPr>
        <w:t xml:space="preserve">These are </w:t>
      </w:r>
      <w:r>
        <w:rPr>
          <w:rFonts w:asciiTheme="minorHAnsi" w:hAnsiTheme="minorHAnsi" w:cstheme="minorHAnsi"/>
          <w:iCs/>
          <w:szCs w:val="24"/>
        </w:rPr>
        <w:lastRenderedPageBreak/>
        <w:t>largely the same as the current subsections</w:t>
      </w:r>
      <w:r w:rsidR="00DD0338">
        <w:rPr>
          <w:rFonts w:asciiTheme="minorHAnsi" w:hAnsiTheme="minorHAnsi" w:cstheme="minorHAnsi"/>
          <w:iCs/>
          <w:szCs w:val="24"/>
        </w:rPr>
        <w:t xml:space="preserve">, except that the reference to the industry component of the grant has been removed. </w:t>
      </w:r>
    </w:p>
    <w:p w14:paraId="32F29CE7" w14:textId="3484E0C2" w:rsidR="00DB2D5C" w:rsidRDefault="00D868F7"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DB2D5C">
        <w:rPr>
          <w:rFonts w:asciiTheme="minorHAnsi" w:hAnsiTheme="minorHAnsi" w:cstheme="minorHAnsi"/>
          <w:iCs/>
          <w:szCs w:val="24"/>
        </w:rPr>
        <w:t>ubsection 4.25(4) provides that the participating higher education</w:t>
      </w:r>
      <w:r w:rsidR="002B2C69">
        <w:rPr>
          <w:rFonts w:asciiTheme="minorHAnsi" w:hAnsiTheme="minorHAnsi" w:cstheme="minorHAnsi"/>
          <w:iCs/>
          <w:szCs w:val="24"/>
        </w:rPr>
        <w:t xml:space="preserve"> provider</w:t>
      </w:r>
      <w:r w:rsidR="00DB2D5C">
        <w:rPr>
          <w:rFonts w:asciiTheme="minorHAnsi" w:hAnsiTheme="minorHAnsi" w:cstheme="minorHAnsi"/>
          <w:iCs/>
          <w:szCs w:val="24"/>
        </w:rPr>
        <w:t xml:space="preserve"> must inform the department if it becomes aware that a body corporate no longer meets the criteria</w:t>
      </w:r>
      <w:r w:rsidR="00C168A0">
        <w:rPr>
          <w:rFonts w:asciiTheme="minorHAnsi" w:hAnsiTheme="minorHAnsi" w:cstheme="minorHAnsi"/>
          <w:iCs/>
          <w:szCs w:val="24"/>
        </w:rPr>
        <w:t xml:space="preserve"> under subsection 4.10(1)</w:t>
      </w:r>
      <w:r w:rsidR="00DB2D5C">
        <w:rPr>
          <w:rFonts w:asciiTheme="minorHAnsi" w:hAnsiTheme="minorHAnsi" w:cstheme="minorHAnsi"/>
          <w:iCs/>
          <w:szCs w:val="24"/>
        </w:rPr>
        <w:t xml:space="preserve"> to be specified as an industry partner. </w:t>
      </w:r>
    </w:p>
    <w:p w14:paraId="62903CB7" w14:textId="19235B9B" w:rsidR="007E21FC" w:rsidRDefault="00361BFD"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DB2D5C">
        <w:rPr>
          <w:rFonts w:asciiTheme="minorHAnsi" w:hAnsiTheme="minorHAnsi" w:cstheme="minorHAnsi"/>
          <w:iCs/>
          <w:szCs w:val="24"/>
        </w:rPr>
        <w:t xml:space="preserve">ubsection 4.25(5) provides that the higher education provider must provide appropriate PhD supervisors, access to the provider’s facilities and infrastructure, learning and development opportunities and support for the development of research skills to PhD Candidates to ensure that the PhD Candidates are making appropriate progress and to ensure successful completion of the PhD project. </w:t>
      </w:r>
    </w:p>
    <w:p w14:paraId="069B5398" w14:textId="1ECD9C93" w:rsidR="00DB2D5C" w:rsidRDefault="00361BFD"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DB2D5C">
        <w:rPr>
          <w:rFonts w:asciiTheme="minorHAnsi" w:hAnsiTheme="minorHAnsi" w:cstheme="minorHAnsi"/>
          <w:iCs/>
          <w:szCs w:val="24"/>
        </w:rPr>
        <w:t xml:space="preserve">ubsection 4.25(6) sets conditions on the participating higher education provider in relation to the administrative component of the </w:t>
      </w:r>
      <w:proofErr w:type="gramStart"/>
      <w:r w:rsidR="00DB2D5C">
        <w:rPr>
          <w:rFonts w:asciiTheme="minorHAnsi" w:hAnsiTheme="minorHAnsi" w:cstheme="minorHAnsi"/>
          <w:iCs/>
          <w:szCs w:val="24"/>
        </w:rPr>
        <w:t>grant, and</w:t>
      </w:r>
      <w:proofErr w:type="gramEnd"/>
      <w:r w:rsidR="00DB2D5C">
        <w:rPr>
          <w:rFonts w:asciiTheme="minorHAnsi" w:hAnsiTheme="minorHAnsi" w:cstheme="minorHAnsi"/>
          <w:iCs/>
          <w:szCs w:val="24"/>
        </w:rPr>
        <w:t xml:space="preserve"> provides that the provider must only use the administrative component of the grant for administrative costs associated with the Program and must not pass on the administrative component of the grant to the PhD Candidate. </w:t>
      </w:r>
    </w:p>
    <w:p w14:paraId="58CD37EB" w14:textId="31781912" w:rsidR="00DB2D5C" w:rsidRDefault="00DB2D5C"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Subsections 4.25(7) to (11) set out the conditions on grants to industry partners. </w:t>
      </w:r>
    </w:p>
    <w:p w14:paraId="67668C19" w14:textId="5C5C8E90" w:rsidR="00DB2D5C" w:rsidRDefault="003F5BC4"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DB2D5C">
        <w:rPr>
          <w:rFonts w:asciiTheme="minorHAnsi" w:hAnsiTheme="minorHAnsi" w:cstheme="minorHAnsi"/>
          <w:iCs/>
          <w:szCs w:val="24"/>
        </w:rPr>
        <w:t xml:space="preserve">ubsections 4.25(7) and (8) provide that the participating industry partner must agree to support the PhD Candidate for the full duration of the Program to undertake study and work concurrently, must pay full salary and benefits to the PhD candidate for the duration of the Program, and </w:t>
      </w:r>
      <w:r w:rsidR="00FA37D9">
        <w:rPr>
          <w:rFonts w:asciiTheme="minorHAnsi" w:hAnsiTheme="minorHAnsi" w:cstheme="minorHAnsi"/>
          <w:iCs/>
          <w:szCs w:val="24"/>
        </w:rPr>
        <w:t xml:space="preserve">must </w:t>
      </w:r>
      <w:r w:rsidR="00DB2D5C">
        <w:rPr>
          <w:rFonts w:asciiTheme="minorHAnsi" w:hAnsiTheme="minorHAnsi" w:cstheme="minorHAnsi"/>
          <w:iCs/>
          <w:szCs w:val="24"/>
        </w:rPr>
        <w:t xml:space="preserve">agree to be responsible for all other relevant expenses incurred by their participation in the Program. </w:t>
      </w:r>
    </w:p>
    <w:p w14:paraId="0D7B9015" w14:textId="2122D12C" w:rsidR="00DB2D5C" w:rsidRDefault="00FA37D9"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DB2D5C">
        <w:rPr>
          <w:rFonts w:asciiTheme="minorHAnsi" w:hAnsiTheme="minorHAnsi" w:cstheme="minorHAnsi"/>
          <w:iCs/>
          <w:szCs w:val="24"/>
        </w:rPr>
        <w:t xml:space="preserve">ubsection 4.25(9) provides that the participating industry partner must only use the grant amount to support the provision of higher education to their employed PhD Candidate, including for the purposes of supporting PhD Candidates to complete their PhD project and supporting the participating industry partner with releasing PhD Candidates and other employees of the industry partner for periods of time for the purposes of assisting PhD Candidates to complete their PhD project. </w:t>
      </w:r>
    </w:p>
    <w:p w14:paraId="11F6D4F7" w14:textId="1E62CCFB" w:rsidR="00DB2D5C" w:rsidRDefault="005E7358"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DB2D5C">
        <w:rPr>
          <w:rFonts w:asciiTheme="minorHAnsi" w:hAnsiTheme="minorHAnsi" w:cstheme="minorHAnsi"/>
          <w:iCs/>
          <w:szCs w:val="24"/>
        </w:rPr>
        <w:t xml:space="preserve">ubsections 4.25(10) and (11) provide that the participating industry partner must provide supervision for their employed PhD </w:t>
      </w:r>
      <w:proofErr w:type="gramStart"/>
      <w:r w:rsidR="00DB2D5C">
        <w:rPr>
          <w:rFonts w:asciiTheme="minorHAnsi" w:hAnsiTheme="minorHAnsi" w:cstheme="minorHAnsi"/>
          <w:iCs/>
          <w:szCs w:val="24"/>
        </w:rPr>
        <w:t>Candidate, and</w:t>
      </w:r>
      <w:proofErr w:type="gramEnd"/>
      <w:r w:rsidR="00DB2D5C">
        <w:rPr>
          <w:rFonts w:asciiTheme="minorHAnsi" w:hAnsiTheme="minorHAnsi" w:cstheme="minorHAnsi"/>
          <w:iCs/>
          <w:szCs w:val="24"/>
        </w:rPr>
        <w:t xml:space="preserve"> must provide appropriate access to appropriate facilities and infrastructure to support the PhD Candidate. </w:t>
      </w:r>
    </w:p>
    <w:p w14:paraId="5E6D0F78" w14:textId="4F5E731A" w:rsidR="002815DC" w:rsidRDefault="002815DC"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Subsections 4.25(12) and (13) impose conditions on higher education providers and industry partners in respect of their PhD Candidates. </w:t>
      </w:r>
    </w:p>
    <w:p w14:paraId="4F2010F6" w14:textId="3978283B" w:rsidR="002815DC" w:rsidRPr="002815DC" w:rsidRDefault="00EB035B"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2815DC">
        <w:rPr>
          <w:rFonts w:asciiTheme="minorHAnsi" w:hAnsiTheme="minorHAnsi" w:cstheme="minorHAnsi"/>
          <w:iCs/>
          <w:szCs w:val="24"/>
        </w:rPr>
        <w:t>ubsection 4.25(12) provides that participating higher education providers in the Industry Linked PhD Stream must ensure that PhD Candidates spend 20 to 50 per cent of the duration of their PhD Candidature undertaking work relevant to their PhD project in the facilities of the business or organisation referred to in paragraph 4.10(4)(b</w:t>
      </w:r>
      <w:proofErr w:type="gramStart"/>
      <w:r w:rsidR="002815DC">
        <w:rPr>
          <w:rFonts w:asciiTheme="minorHAnsi" w:hAnsiTheme="minorHAnsi" w:cstheme="minorHAnsi"/>
          <w:iCs/>
          <w:szCs w:val="24"/>
        </w:rPr>
        <w:t>), unless</w:t>
      </w:r>
      <w:proofErr w:type="gramEnd"/>
      <w:r w:rsidR="002815DC">
        <w:rPr>
          <w:rFonts w:asciiTheme="minorHAnsi" w:hAnsiTheme="minorHAnsi" w:cstheme="minorHAnsi"/>
          <w:iCs/>
          <w:szCs w:val="24"/>
        </w:rPr>
        <w:t xml:space="preserve"> an exception is approved by the department. </w:t>
      </w:r>
    </w:p>
    <w:p w14:paraId="23E2BA73" w14:textId="6FE28892" w:rsidR="002815DC" w:rsidRDefault="00B96D63"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2815DC">
        <w:rPr>
          <w:rFonts w:asciiTheme="minorHAnsi" w:hAnsiTheme="minorHAnsi" w:cstheme="minorHAnsi"/>
          <w:iCs/>
          <w:szCs w:val="24"/>
        </w:rPr>
        <w:t xml:space="preserve">ubsection 4.25(13) provides that participating industry partners in the Industry Researcher </w:t>
      </w:r>
      <w:r w:rsidR="00FE4BF1">
        <w:rPr>
          <w:rFonts w:asciiTheme="minorHAnsi" w:hAnsiTheme="minorHAnsi" w:cstheme="minorHAnsi"/>
          <w:iCs/>
          <w:szCs w:val="24"/>
        </w:rPr>
        <w:t xml:space="preserve">PhD </w:t>
      </w:r>
      <w:r w:rsidR="002815DC">
        <w:rPr>
          <w:rFonts w:asciiTheme="minorHAnsi" w:hAnsiTheme="minorHAnsi" w:cstheme="minorHAnsi"/>
          <w:iCs/>
          <w:szCs w:val="24"/>
        </w:rPr>
        <w:t xml:space="preserve">stream must ensure that PhD Candidates spend 20 to 50 per cent of </w:t>
      </w:r>
      <w:r w:rsidR="002815DC">
        <w:rPr>
          <w:rFonts w:asciiTheme="minorHAnsi" w:hAnsiTheme="minorHAnsi" w:cstheme="minorHAnsi"/>
          <w:iCs/>
          <w:szCs w:val="24"/>
        </w:rPr>
        <w:lastRenderedPageBreak/>
        <w:t xml:space="preserve">the duration of their PhD Candidature embedded in the participating higher education provider’s </w:t>
      </w:r>
      <w:proofErr w:type="gramStart"/>
      <w:r w:rsidR="002815DC">
        <w:rPr>
          <w:rFonts w:asciiTheme="minorHAnsi" w:hAnsiTheme="minorHAnsi" w:cstheme="minorHAnsi"/>
          <w:iCs/>
          <w:szCs w:val="24"/>
        </w:rPr>
        <w:t>facilities, unless</w:t>
      </w:r>
      <w:proofErr w:type="gramEnd"/>
      <w:r w:rsidR="002815DC">
        <w:rPr>
          <w:rFonts w:asciiTheme="minorHAnsi" w:hAnsiTheme="minorHAnsi" w:cstheme="minorHAnsi"/>
          <w:iCs/>
          <w:szCs w:val="24"/>
        </w:rPr>
        <w:t xml:space="preserve"> an exception is approved by the department. </w:t>
      </w:r>
    </w:p>
    <w:p w14:paraId="3AFA14F3" w14:textId="609E2AE5" w:rsidR="003E4500" w:rsidRDefault="003E4500"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Subsections 4.25(14) to (16) impose conditions on higher education providers and industry partners i</w:t>
      </w:r>
      <w:r w:rsidR="00492C49">
        <w:rPr>
          <w:rFonts w:asciiTheme="minorHAnsi" w:hAnsiTheme="minorHAnsi" w:cstheme="minorHAnsi"/>
          <w:iCs/>
          <w:szCs w:val="24"/>
        </w:rPr>
        <w:t xml:space="preserve">n respect of an agreement they must </w:t>
      </w:r>
      <w:proofErr w:type="gramStart"/>
      <w:r w:rsidR="00492C49">
        <w:rPr>
          <w:rFonts w:asciiTheme="minorHAnsi" w:hAnsiTheme="minorHAnsi" w:cstheme="minorHAnsi"/>
          <w:iCs/>
          <w:szCs w:val="24"/>
        </w:rPr>
        <w:t>enter into</w:t>
      </w:r>
      <w:proofErr w:type="gramEnd"/>
      <w:r w:rsidR="00492C49">
        <w:rPr>
          <w:rFonts w:asciiTheme="minorHAnsi" w:hAnsiTheme="minorHAnsi" w:cstheme="minorHAnsi"/>
          <w:iCs/>
          <w:szCs w:val="24"/>
        </w:rPr>
        <w:t xml:space="preserve"> for the relevant PhD Project. </w:t>
      </w:r>
    </w:p>
    <w:p w14:paraId="1CF2632C" w14:textId="662F9025" w:rsidR="00492C49" w:rsidRDefault="00461745"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492C49">
        <w:rPr>
          <w:rFonts w:asciiTheme="minorHAnsi" w:hAnsiTheme="minorHAnsi" w:cstheme="minorHAnsi"/>
          <w:iCs/>
          <w:szCs w:val="24"/>
        </w:rPr>
        <w:t xml:space="preserve">ubsection 4.25(14) provides that participating higher education providers and participating industry partners must enter into an agreement for each PhD project for the Industry Researcher PhD stream. </w:t>
      </w:r>
    </w:p>
    <w:p w14:paraId="62396FC0" w14:textId="1A00B67F" w:rsidR="00492C49" w:rsidRDefault="00447B33"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492C49">
        <w:rPr>
          <w:rFonts w:asciiTheme="minorHAnsi" w:hAnsiTheme="minorHAnsi" w:cstheme="minorHAnsi"/>
          <w:iCs/>
          <w:szCs w:val="24"/>
        </w:rPr>
        <w:t xml:space="preserve">ubsection 4.25(15) provides that the participating higher education provider must enter into an agreement with the relevant business or organisation for each PhD project in the Industry Linked PhD stream. </w:t>
      </w:r>
    </w:p>
    <w:p w14:paraId="00BA0FBF" w14:textId="44143294" w:rsidR="00492C49" w:rsidRDefault="0058554E"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492C49">
        <w:rPr>
          <w:rFonts w:asciiTheme="minorHAnsi" w:hAnsiTheme="minorHAnsi" w:cstheme="minorHAnsi"/>
          <w:iCs/>
          <w:szCs w:val="24"/>
        </w:rPr>
        <w:t xml:space="preserve">ubsection 4.25(16) provides that the agreements referred to in subsections (14) and (15) must provide for how intellectual property rights created as part of the PhD project should be </w:t>
      </w:r>
      <w:proofErr w:type="gramStart"/>
      <w:r w:rsidR="00492C49">
        <w:rPr>
          <w:rFonts w:asciiTheme="minorHAnsi" w:hAnsiTheme="minorHAnsi" w:cstheme="minorHAnsi"/>
          <w:iCs/>
          <w:szCs w:val="24"/>
        </w:rPr>
        <w:t>handled, and</w:t>
      </w:r>
      <w:proofErr w:type="gramEnd"/>
      <w:r w:rsidR="00492C49">
        <w:rPr>
          <w:rFonts w:asciiTheme="minorHAnsi" w:hAnsiTheme="minorHAnsi" w:cstheme="minorHAnsi"/>
          <w:iCs/>
          <w:szCs w:val="24"/>
        </w:rPr>
        <w:t xml:space="preserve"> must allow the PhD Candidate to use and publish such intellectual property in their thesis or relevant publication</w:t>
      </w:r>
      <w:r w:rsidR="00951149">
        <w:rPr>
          <w:rFonts w:asciiTheme="minorHAnsi" w:hAnsiTheme="minorHAnsi" w:cstheme="minorHAnsi"/>
          <w:iCs/>
          <w:szCs w:val="24"/>
        </w:rPr>
        <w:t>s</w:t>
      </w:r>
      <w:r w:rsidR="00492C49">
        <w:rPr>
          <w:rFonts w:asciiTheme="minorHAnsi" w:hAnsiTheme="minorHAnsi" w:cstheme="minorHAnsi"/>
          <w:iCs/>
          <w:szCs w:val="24"/>
        </w:rPr>
        <w:t xml:space="preserve">. </w:t>
      </w:r>
    </w:p>
    <w:p w14:paraId="60FCCFD9" w14:textId="2524F6D5" w:rsidR="00492C49" w:rsidRPr="00783519" w:rsidRDefault="00951149" w:rsidP="00492C49">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New s</w:t>
      </w:r>
      <w:r w:rsidR="00492C49">
        <w:rPr>
          <w:rFonts w:asciiTheme="minorHAnsi" w:hAnsiTheme="minorHAnsi" w:cstheme="minorHAnsi"/>
          <w:iCs/>
          <w:szCs w:val="24"/>
        </w:rPr>
        <w:t xml:space="preserve">ubsections 4.25(17) to (19) impose conditions in relation to reporting and privacy. These conditions are largely unchanged from the conditions previously imposed in old section 4.25, with minor changes to provide that these conditions, which previously only applied to participating higher education providers, will also apply to participating industry partners. </w:t>
      </w:r>
    </w:p>
    <w:p w14:paraId="2AB55D93" w14:textId="77777777" w:rsidR="00756D99" w:rsidRDefault="00756D99">
      <w:pPr>
        <w:spacing w:after="160" w:line="259" w:lineRule="auto"/>
        <w:rPr>
          <w:rFonts w:asciiTheme="minorHAnsi" w:hAnsiTheme="minorHAnsi" w:cstheme="minorHAnsi"/>
          <w:u w:val="single"/>
        </w:rPr>
      </w:pPr>
      <w:bookmarkStart w:id="5" w:name="_Toc23942243"/>
      <w:bookmarkEnd w:id="5"/>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515B6" w14:textId="77777777" w:rsidR="00DD6057" w:rsidRDefault="00DD6057" w:rsidP="00783FAB">
      <w:pPr>
        <w:spacing w:after="0" w:line="240" w:lineRule="auto"/>
      </w:pPr>
      <w:r>
        <w:separator/>
      </w:r>
    </w:p>
  </w:endnote>
  <w:endnote w:type="continuationSeparator" w:id="0">
    <w:p w14:paraId="56D0649C" w14:textId="77777777" w:rsidR="00DD6057" w:rsidRDefault="00DD6057" w:rsidP="00783FAB">
      <w:pPr>
        <w:spacing w:after="0" w:line="240" w:lineRule="auto"/>
      </w:pPr>
      <w:r>
        <w:continuationSeparator/>
      </w:r>
    </w:p>
  </w:endnote>
  <w:endnote w:type="continuationNotice" w:id="1">
    <w:p w14:paraId="7871BC96" w14:textId="77777777" w:rsidR="00DD6057" w:rsidRDefault="00DD6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BF94" w14:textId="77777777" w:rsidR="00DD6057" w:rsidRDefault="00DD6057" w:rsidP="00783FAB">
      <w:pPr>
        <w:spacing w:after="0" w:line="240" w:lineRule="auto"/>
      </w:pPr>
      <w:r>
        <w:separator/>
      </w:r>
    </w:p>
  </w:footnote>
  <w:footnote w:type="continuationSeparator" w:id="0">
    <w:p w14:paraId="55DF38EA" w14:textId="77777777" w:rsidR="00DD6057" w:rsidRDefault="00DD6057" w:rsidP="00783FAB">
      <w:pPr>
        <w:spacing w:after="0" w:line="240" w:lineRule="auto"/>
      </w:pPr>
      <w:r>
        <w:continuationSeparator/>
      </w:r>
    </w:p>
  </w:footnote>
  <w:footnote w:type="continuationNotice" w:id="1">
    <w:p w14:paraId="1CB2250E" w14:textId="77777777" w:rsidR="00DD6057" w:rsidRDefault="00DD6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DC8"/>
    <w:multiLevelType w:val="hybridMultilevel"/>
    <w:tmpl w:val="DA1C08B8"/>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69628087">
    <w:abstractNumId w:val="0"/>
  </w:num>
  <w:num w:numId="2" w16cid:durableId="1247306122">
    <w:abstractNumId w:val="1"/>
  </w:num>
  <w:num w:numId="3" w16cid:durableId="16192894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B78"/>
    <w:rsid w:val="00000F56"/>
    <w:rsid w:val="00003184"/>
    <w:rsid w:val="000036EB"/>
    <w:rsid w:val="0000395C"/>
    <w:rsid w:val="00011E4D"/>
    <w:rsid w:val="000138CF"/>
    <w:rsid w:val="000140D5"/>
    <w:rsid w:val="000146FA"/>
    <w:rsid w:val="0001554B"/>
    <w:rsid w:val="00016AFF"/>
    <w:rsid w:val="00017F54"/>
    <w:rsid w:val="00021962"/>
    <w:rsid w:val="00022913"/>
    <w:rsid w:val="00026BA4"/>
    <w:rsid w:val="000305EA"/>
    <w:rsid w:val="00031E3C"/>
    <w:rsid w:val="00032CB3"/>
    <w:rsid w:val="00034A18"/>
    <w:rsid w:val="00036FAE"/>
    <w:rsid w:val="000373CF"/>
    <w:rsid w:val="000431FA"/>
    <w:rsid w:val="00044221"/>
    <w:rsid w:val="00044508"/>
    <w:rsid w:val="00047668"/>
    <w:rsid w:val="00047A2A"/>
    <w:rsid w:val="0005020B"/>
    <w:rsid w:val="000514D8"/>
    <w:rsid w:val="00057815"/>
    <w:rsid w:val="00057A1E"/>
    <w:rsid w:val="000614A1"/>
    <w:rsid w:val="00062794"/>
    <w:rsid w:val="0006484E"/>
    <w:rsid w:val="000668B0"/>
    <w:rsid w:val="00076E76"/>
    <w:rsid w:val="00080891"/>
    <w:rsid w:val="00083F41"/>
    <w:rsid w:val="000846B7"/>
    <w:rsid w:val="000A2A28"/>
    <w:rsid w:val="000A2D3A"/>
    <w:rsid w:val="000A3124"/>
    <w:rsid w:val="000A35D6"/>
    <w:rsid w:val="000B1BCC"/>
    <w:rsid w:val="000B1BE1"/>
    <w:rsid w:val="000B3914"/>
    <w:rsid w:val="000B468D"/>
    <w:rsid w:val="000B6430"/>
    <w:rsid w:val="000C087D"/>
    <w:rsid w:val="000C224C"/>
    <w:rsid w:val="000C310A"/>
    <w:rsid w:val="000C34FD"/>
    <w:rsid w:val="000C4D6B"/>
    <w:rsid w:val="000D0AEC"/>
    <w:rsid w:val="000D1472"/>
    <w:rsid w:val="000D5E6D"/>
    <w:rsid w:val="000E3516"/>
    <w:rsid w:val="000E57DB"/>
    <w:rsid w:val="000E6FD6"/>
    <w:rsid w:val="000F1041"/>
    <w:rsid w:val="000F1811"/>
    <w:rsid w:val="000F7A8C"/>
    <w:rsid w:val="00101680"/>
    <w:rsid w:val="00103015"/>
    <w:rsid w:val="00103253"/>
    <w:rsid w:val="00103987"/>
    <w:rsid w:val="001042BA"/>
    <w:rsid w:val="001070AD"/>
    <w:rsid w:val="00120A34"/>
    <w:rsid w:val="00124260"/>
    <w:rsid w:val="00125A8E"/>
    <w:rsid w:val="00127CD8"/>
    <w:rsid w:val="001301AD"/>
    <w:rsid w:val="001334D9"/>
    <w:rsid w:val="001377D9"/>
    <w:rsid w:val="00137ACD"/>
    <w:rsid w:val="00140DAD"/>
    <w:rsid w:val="00140E3D"/>
    <w:rsid w:val="001421FE"/>
    <w:rsid w:val="001437EA"/>
    <w:rsid w:val="00143B07"/>
    <w:rsid w:val="00144660"/>
    <w:rsid w:val="00144950"/>
    <w:rsid w:val="00145BE1"/>
    <w:rsid w:val="0015276C"/>
    <w:rsid w:val="00152947"/>
    <w:rsid w:val="0015508C"/>
    <w:rsid w:val="00160153"/>
    <w:rsid w:val="00161A1F"/>
    <w:rsid w:val="0017006A"/>
    <w:rsid w:val="00173A64"/>
    <w:rsid w:val="00173E0C"/>
    <w:rsid w:val="00185491"/>
    <w:rsid w:val="00195030"/>
    <w:rsid w:val="00197C3F"/>
    <w:rsid w:val="001A2FE9"/>
    <w:rsid w:val="001A4389"/>
    <w:rsid w:val="001B3C7A"/>
    <w:rsid w:val="001B6899"/>
    <w:rsid w:val="001D00E3"/>
    <w:rsid w:val="001D0AF3"/>
    <w:rsid w:val="001D1884"/>
    <w:rsid w:val="001D1D8A"/>
    <w:rsid w:val="001D36EE"/>
    <w:rsid w:val="001E07CE"/>
    <w:rsid w:val="001E52EB"/>
    <w:rsid w:val="001E5A0B"/>
    <w:rsid w:val="001F0D5D"/>
    <w:rsid w:val="001F127D"/>
    <w:rsid w:val="001F248C"/>
    <w:rsid w:val="001F3626"/>
    <w:rsid w:val="001F7336"/>
    <w:rsid w:val="00200358"/>
    <w:rsid w:val="002005CD"/>
    <w:rsid w:val="00201F75"/>
    <w:rsid w:val="00202EC1"/>
    <w:rsid w:val="00204283"/>
    <w:rsid w:val="00204EEF"/>
    <w:rsid w:val="00205DBD"/>
    <w:rsid w:val="00207297"/>
    <w:rsid w:val="0021337D"/>
    <w:rsid w:val="00216A1C"/>
    <w:rsid w:val="00223074"/>
    <w:rsid w:val="00223F82"/>
    <w:rsid w:val="00224C52"/>
    <w:rsid w:val="00232304"/>
    <w:rsid w:val="002378EE"/>
    <w:rsid w:val="002445E3"/>
    <w:rsid w:val="00247EBF"/>
    <w:rsid w:val="00252C54"/>
    <w:rsid w:val="0025446A"/>
    <w:rsid w:val="00260A7C"/>
    <w:rsid w:val="00261499"/>
    <w:rsid w:val="002672A4"/>
    <w:rsid w:val="002740E2"/>
    <w:rsid w:val="002747E8"/>
    <w:rsid w:val="00274EEA"/>
    <w:rsid w:val="002759C4"/>
    <w:rsid w:val="0027686D"/>
    <w:rsid w:val="002808A9"/>
    <w:rsid w:val="002815DC"/>
    <w:rsid w:val="00284C9D"/>
    <w:rsid w:val="00292863"/>
    <w:rsid w:val="00294430"/>
    <w:rsid w:val="00296CA7"/>
    <w:rsid w:val="00296FAF"/>
    <w:rsid w:val="00297EAB"/>
    <w:rsid w:val="002A15F1"/>
    <w:rsid w:val="002A4961"/>
    <w:rsid w:val="002B2C69"/>
    <w:rsid w:val="002B313C"/>
    <w:rsid w:val="002B5C28"/>
    <w:rsid w:val="002B7908"/>
    <w:rsid w:val="002C1F84"/>
    <w:rsid w:val="002C40FB"/>
    <w:rsid w:val="002D1504"/>
    <w:rsid w:val="002D564A"/>
    <w:rsid w:val="002E12E6"/>
    <w:rsid w:val="002E2010"/>
    <w:rsid w:val="002E3024"/>
    <w:rsid w:val="002F5E7D"/>
    <w:rsid w:val="002F76C6"/>
    <w:rsid w:val="003016D9"/>
    <w:rsid w:val="00304A88"/>
    <w:rsid w:val="00304E64"/>
    <w:rsid w:val="00307358"/>
    <w:rsid w:val="0031070C"/>
    <w:rsid w:val="00313612"/>
    <w:rsid w:val="00316053"/>
    <w:rsid w:val="00316589"/>
    <w:rsid w:val="003170AC"/>
    <w:rsid w:val="00326C24"/>
    <w:rsid w:val="0033070E"/>
    <w:rsid w:val="003440C7"/>
    <w:rsid w:val="00345D92"/>
    <w:rsid w:val="00345EF4"/>
    <w:rsid w:val="00350779"/>
    <w:rsid w:val="00353D81"/>
    <w:rsid w:val="00354743"/>
    <w:rsid w:val="00361BFD"/>
    <w:rsid w:val="003640BC"/>
    <w:rsid w:val="00365D2C"/>
    <w:rsid w:val="00367C2D"/>
    <w:rsid w:val="0037028F"/>
    <w:rsid w:val="003719BF"/>
    <w:rsid w:val="00375010"/>
    <w:rsid w:val="00377107"/>
    <w:rsid w:val="0037728A"/>
    <w:rsid w:val="00377427"/>
    <w:rsid w:val="003846A0"/>
    <w:rsid w:val="00386B68"/>
    <w:rsid w:val="00386E17"/>
    <w:rsid w:val="0038758C"/>
    <w:rsid w:val="003913F1"/>
    <w:rsid w:val="00393A61"/>
    <w:rsid w:val="00394454"/>
    <w:rsid w:val="00395655"/>
    <w:rsid w:val="003A0965"/>
    <w:rsid w:val="003A29D6"/>
    <w:rsid w:val="003A373E"/>
    <w:rsid w:val="003A3D0E"/>
    <w:rsid w:val="003A4424"/>
    <w:rsid w:val="003A530C"/>
    <w:rsid w:val="003A5841"/>
    <w:rsid w:val="003A603D"/>
    <w:rsid w:val="003A664D"/>
    <w:rsid w:val="003A7B17"/>
    <w:rsid w:val="003B1A51"/>
    <w:rsid w:val="003B29B0"/>
    <w:rsid w:val="003B2DA8"/>
    <w:rsid w:val="003B3044"/>
    <w:rsid w:val="003B6C2D"/>
    <w:rsid w:val="003C0D20"/>
    <w:rsid w:val="003C16A9"/>
    <w:rsid w:val="003C202D"/>
    <w:rsid w:val="003D47C4"/>
    <w:rsid w:val="003D7CE2"/>
    <w:rsid w:val="003E4413"/>
    <w:rsid w:val="003E4500"/>
    <w:rsid w:val="003E5B26"/>
    <w:rsid w:val="003F09F7"/>
    <w:rsid w:val="003F1AA1"/>
    <w:rsid w:val="003F24BC"/>
    <w:rsid w:val="003F5BC4"/>
    <w:rsid w:val="00402CC7"/>
    <w:rsid w:val="00402D70"/>
    <w:rsid w:val="00403CE4"/>
    <w:rsid w:val="004075A3"/>
    <w:rsid w:val="00410A3F"/>
    <w:rsid w:val="0041144F"/>
    <w:rsid w:val="004143B1"/>
    <w:rsid w:val="004158A0"/>
    <w:rsid w:val="00415A55"/>
    <w:rsid w:val="00417F28"/>
    <w:rsid w:val="004228EE"/>
    <w:rsid w:val="00423042"/>
    <w:rsid w:val="00425A1E"/>
    <w:rsid w:val="00425FCB"/>
    <w:rsid w:val="00430F1B"/>
    <w:rsid w:val="004327E1"/>
    <w:rsid w:val="00434240"/>
    <w:rsid w:val="00434641"/>
    <w:rsid w:val="00434CDD"/>
    <w:rsid w:val="004355D0"/>
    <w:rsid w:val="004355E8"/>
    <w:rsid w:val="00436435"/>
    <w:rsid w:val="00440915"/>
    <w:rsid w:val="00445460"/>
    <w:rsid w:val="0044607E"/>
    <w:rsid w:val="00446B03"/>
    <w:rsid w:val="0044797F"/>
    <w:rsid w:val="00447B33"/>
    <w:rsid w:val="00455C2A"/>
    <w:rsid w:val="00461745"/>
    <w:rsid w:val="00472F61"/>
    <w:rsid w:val="00480BAF"/>
    <w:rsid w:val="00481DE1"/>
    <w:rsid w:val="00484DBC"/>
    <w:rsid w:val="00490BA0"/>
    <w:rsid w:val="00492C49"/>
    <w:rsid w:val="00494834"/>
    <w:rsid w:val="0049486C"/>
    <w:rsid w:val="004A2F70"/>
    <w:rsid w:val="004A409F"/>
    <w:rsid w:val="004A48D9"/>
    <w:rsid w:val="004A6B2D"/>
    <w:rsid w:val="004B2C3F"/>
    <w:rsid w:val="004B3D95"/>
    <w:rsid w:val="004B5A74"/>
    <w:rsid w:val="004B78D7"/>
    <w:rsid w:val="004C300D"/>
    <w:rsid w:val="004D5695"/>
    <w:rsid w:val="004D665B"/>
    <w:rsid w:val="004D7B86"/>
    <w:rsid w:val="004E3C17"/>
    <w:rsid w:val="004F53E6"/>
    <w:rsid w:val="004F54FF"/>
    <w:rsid w:val="00503218"/>
    <w:rsid w:val="00505873"/>
    <w:rsid w:val="00506F28"/>
    <w:rsid w:val="005146EC"/>
    <w:rsid w:val="00515BBE"/>
    <w:rsid w:val="005169CB"/>
    <w:rsid w:val="00517337"/>
    <w:rsid w:val="005173FC"/>
    <w:rsid w:val="00524226"/>
    <w:rsid w:val="0052568A"/>
    <w:rsid w:val="00527330"/>
    <w:rsid w:val="00536596"/>
    <w:rsid w:val="005366FF"/>
    <w:rsid w:val="00537A32"/>
    <w:rsid w:val="0054602B"/>
    <w:rsid w:val="00546375"/>
    <w:rsid w:val="00560EC0"/>
    <w:rsid w:val="005620CA"/>
    <w:rsid w:val="00566E71"/>
    <w:rsid w:val="00572401"/>
    <w:rsid w:val="005732E6"/>
    <w:rsid w:val="00577C30"/>
    <w:rsid w:val="005812FF"/>
    <w:rsid w:val="00581756"/>
    <w:rsid w:val="005819C8"/>
    <w:rsid w:val="00581EB1"/>
    <w:rsid w:val="0058422E"/>
    <w:rsid w:val="00584B84"/>
    <w:rsid w:val="0058554E"/>
    <w:rsid w:val="005905A0"/>
    <w:rsid w:val="00591EC0"/>
    <w:rsid w:val="00594D5D"/>
    <w:rsid w:val="00595D8A"/>
    <w:rsid w:val="00597535"/>
    <w:rsid w:val="005A54B4"/>
    <w:rsid w:val="005A7050"/>
    <w:rsid w:val="005B3CBC"/>
    <w:rsid w:val="005B41E0"/>
    <w:rsid w:val="005B510A"/>
    <w:rsid w:val="005C0740"/>
    <w:rsid w:val="005C18D0"/>
    <w:rsid w:val="005C325E"/>
    <w:rsid w:val="005E2026"/>
    <w:rsid w:val="005E7358"/>
    <w:rsid w:val="005F4172"/>
    <w:rsid w:val="005F4914"/>
    <w:rsid w:val="005F5DF6"/>
    <w:rsid w:val="005F5FA1"/>
    <w:rsid w:val="005F7D42"/>
    <w:rsid w:val="0060088C"/>
    <w:rsid w:val="00600CE5"/>
    <w:rsid w:val="006021E5"/>
    <w:rsid w:val="00604F05"/>
    <w:rsid w:val="00611D31"/>
    <w:rsid w:val="006202A1"/>
    <w:rsid w:val="006218DB"/>
    <w:rsid w:val="0062319E"/>
    <w:rsid w:val="00625432"/>
    <w:rsid w:val="00625804"/>
    <w:rsid w:val="00626E42"/>
    <w:rsid w:val="00627EDA"/>
    <w:rsid w:val="00636200"/>
    <w:rsid w:val="006427FA"/>
    <w:rsid w:val="00645DC7"/>
    <w:rsid w:val="006466CC"/>
    <w:rsid w:val="0064724F"/>
    <w:rsid w:val="006507CB"/>
    <w:rsid w:val="00651D68"/>
    <w:rsid w:val="00652D30"/>
    <w:rsid w:val="00656314"/>
    <w:rsid w:val="00661BE8"/>
    <w:rsid w:val="00667B6F"/>
    <w:rsid w:val="00667F82"/>
    <w:rsid w:val="006700AA"/>
    <w:rsid w:val="00677A0D"/>
    <w:rsid w:val="00683087"/>
    <w:rsid w:val="00685653"/>
    <w:rsid w:val="00687143"/>
    <w:rsid w:val="006930D1"/>
    <w:rsid w:val="006931AD"/>
    <w:rsid w:val="006940BB"/>
    <w:rsid w:val="00694B5E"/>
    <w:rsid w:val="00696CF0"/>
    <w:rsid w:val="00697001"/>
    <w:rsid w:val="006A0AB4"/>
    <w:rsid w:val="006A1788"/>
    <w:rsid w:val="006A23A7"/>
    <w:rsid w:val="006A575D"/>
    <w:rsid w:val="006A666D"/>
    <w:rsid w:val="006B08A4"/>
    <w:rsid w:val="006B2D99"/>
    <w:rsid w:val="006B6E38"/>
    <w:rsid w:val="006C2336"/>
    <w:rsid w:val="006D3958"/>
    <w:rsid w:val="006D58E2"/>
    <w:rsid w:val="006D7B6B"/>
    <w:rsid w:val="006E3838"/>
    <w:rsid w:val="006E3C40"/>
    <w:rsid w:val="006E7699"/>
    <w:rsid w:val="006F27AC"/>
    <w:rsid w:val="006F3E5C"/>
    <w:rsid w:val="006F627D"/>
    <w:rsid w:val="00701CB8"/>
    <w:rsid w:val="00701E47"/>
    <w:rsid w:val="007025E7"/>
    <w:rsid w:val="00707E57"/>
    <w:rsid w:val="00707F49"/>
    <w:rsid w:val="007103B5"/>
    <w:rsid w:val="007213BB"/>
    <w:rsid w:val="0072758F"/>
    <w:rsid w:val="007314EF"/>
    <w:rsid w:val="0073474E"/>
    <w:rsid w:val="0073763E"/>
    <w:rsid w:val="007449B4"/>
    <w:rsid w:val="007452A0"/>
    <w:rsid w:val="00745FCA"/>
    <w:rsid w:val="00747943"/>
    <w:rsid w:val="00752BD5"/>
    <w:rsid w:val="00753090"/>
    <w:rsid w:val="0075573F"/>
    <w:rsid w:val="00756861"/>
    <w:rsid w:val="00756D99"/>
    <w:rsid w:val="00756F20"/>
    <w:rsid w:val="00760772"/>
    <w:rsid w:val="00760DDE"/>
    <w:rsid w:val="007620AE"/>
    <w:rsid w:val="00772715"/>
    <w:rsid w:val="00774144"/>
    <w:rsid w:val="00774E6D"/>
    <w:rsid w:val="0077536C"/>
    <w:rsid w:val="00782538"/>
    <w:rsid w:val="007828DD"/>
    <w:rsid w:val="00783519"/>
    <w:rsid w:val="00783FAB"/>
    <w:rsid w:val="00785B13"/>
    <w:rsid w:val="00791AAC"/>
    <w:rsid w:val="00795969"/>
    <w:rsid w:val="00797553"/>
    <w:rsid w:val="007A6AF0"/>
    <w:rsid w:val="007A7161"/>
    <w:rsid w:val="007B3BFE"/>
    <w:rsid w:val="007B44CD"/>
    <w:rsid w:val="007B4836"/>
    <w:rsid w:val="007C3428"/>
    <w:rsid w:val="007C5020"/>
    <w:rsid w:val="007D12B2"/>
    <w:rsid w:val="007D1F16"/>
    <w:rsid w:val="007D4E08"/>
    <w:rsid w:val="007D5590"/>
    <w:rsid w:val="007E00A8"/>
    <w:rsid w:val="007E16D6"/>
    <w:rsid w:val="007E2197"/>
    <w:rsid w:val="007E21FC"/>
    <w:rsid w:val="007E2F57"/>
    <w:rsid w:val="007E3446"/>
    <w:rsid w:val="007E3447"/>
    <w:rsid w:val="007E36E5"/>
    <w:rsid w:val="007E6EC6"/>
    <w:rsid w:val="007F563E"/>
    <w:rsid w:val="00803447"/>
    <w:rsid w:val="008035CF"/>
    <w:rsid w:val="0080510C"/>
    <w:rsid w:val="0080584E"/>
    <w:rsid w:val="00805FEB"/>
    <w:rsid w:val="00811E34"/>
    <w:rsid w:val="00812A40"/>
    <w:rsid w:val="00812C37"/>
    <w:rsid w:val="008134D5"/>
    <w:rsid w:val="0081364A"/>
    <w:rsid w:val="00813A38"/>
    <w:rsid w:val="00823B66"/>
    <w:rsid w:val="00824A98"/>
    <w:rsid w:val="00830FCD"/>
    <w:rsid w:val="008310AA"/>
    <w:rsid w:val="00834114"/>
    <w:rsid w:val="00835CC5"/>
    <w:rsid w:val="00841921"/>
    <w:rsid w:val="00842B04"/>
    <w:rsid w:val="00844D23"/>
    <w:rsid w:val="008517D8"/>
    <w:rsid w:val="00853C99"/>
    <w:rsid w:val="00855239"/>
    <w:rsid w:val="008562C4"/>
    <w:rsid w:val="00856BC4"/>
    <w:rsid w:val="00867101"/>
    <w:rsid w:val="008755D8"/>
    <w:rsid w:val="0088497A"/>
    <w:rsid w:val="008A1D98"/>
    <w:rsid w:val="008A1F97"/>
    <w:rsid w:val="008A6224"/>
    <w:rsid w:val="008B2C57"/>
    <w:rsid w:val="008B478B"/>
    <w:rsid w:val="008B61B7"/>
    <w:rsid w:val="008C1CEF"/>
    <w:rsid w:val="008C48EF"/>
    <w:rsid w:val="008C497B"/>
    <w:rsid w:val="008C5CE9"/>
    <w:rsid w:val="008C69EB"/>
    <w:rsid w:val="008C76FD"/>
    <w:rsid w:val="008D5B33"/>
    <w:rsid w:val="008D72EA"/>
    <w:rsid w:val="008D7625"/>
    <w:rsid w:val="008E30D6"/>
    <w:rsid w:val="008E30D9"/>
    <w:rsid w:val="008E68D3"/>
    <w:rsid w:val="008E79DF"/>
    <w:rsid w:val="008F002D"/>
    <w:rsid w:val="008F43E8"/>
    <w:rsid w:val="00902928"/>
    <w:rsid w:val="00902A26"/>
    <w:rsid w:val="00903257"/>
    <w:rsid w:val="00904041"/>
    <w:rsid w:val="009048A2"/>
    <w:rsid w:val="00905C61"/>
    <w:rsid w:val="00907D61"/>
    <w:rsid w:val="00910064"/>
    <w:rsid w:val="009114DC"/>
    <w:rsid w:val="00911D92"/>
    <w:rsid w:val="009121D3"/>
    <w:rsid w:val="00917121"/>
    <w:rsid w:val="009176F5"/>
    <w:rsid w:val="00933AD6"/>
    <w:rsid w:val="00934B7A"/>
    <w:rsid w:val="009421AA"/>
    <w:rsid w:val="00943D6A"/>
    <w:rsid w:val="0094476A"/>
    <w:rsid w:val="0094774B"/>
    <w:rsid w:val="00947F48"/>
    <w:rsid w:val="00951149"/>
    <w:rsid w:val="0096232F"/>
    <w:rsid w:val="00970AAB"/>
    <w:rsid w:val="00974504"/>
    <w:rsid w:val="00975A4A"/>
    <w:rsid w:val="00976413"/>
    <w:rsid w:val="009767B4"/>
    <w:rsid w:val="00977D37"/>
    <w:rsid w:val="009807AE"/>
    <w:rsid w:val="00990334"/>
    <w:rsid w:val="00991158"/>
    <w:rsid w:val="0099199E"/>
    <w:rsid w:val="00995C44"/>
    <w:rsid w:val="00996CF2"/>
    <w:rsid w:val="009A04A5"/>
    <w:rsid w:val="009A35A0"/>
    <w:rsid w:val="009A7CFA"/>
    <w:rsid w:val="009B0C51"/>
    <w:rsid w:val="009B2183"/>
    <w:rsid w:val="009B29AC"/>
    <w:rsid w:val="009B3DF3"/>
    <w:rsid w:val="009B4B7F"/>
    <w:rsid w:val="009B6EB0"/>
    <w:rsid w:val="009C0F35"/>
    <w:rsid w:val="009C10C1"/>
    <w:rsid w:val="009C19C8"/>
    <w:rsid w:val="009C4F55"/>
    <w:rsid w:val="009C5E5D"/>
    <w:rsid w:val="009C76E4"/>
    <w:rsid w:val="009D0999"/>
    <w:rsid w:val="009D1739"/>
    <w:rsid w:val="009D23FB"/>
    <w:rsid w:val="009D7562"/>
    <w:rsid w:val="009E0803"/>
    <w:rsid w:val="009E132E"/>
    <w:rsid w:val="009E7C1C"/>
    <w:rsid w:val="009F13BF"/>
    <w:rsid w:val="009F1D34"/>
    <w:rsid w:val="009F4C47"/>
    <w:rsid w:val="009F528F"/>
    <w:rsid w:val="009F6645"/>
    <w:rsid w:val="009F6AC9"/>
    <w:rsid w:val="009F6F09"/>
    <w:rsid w:val="00A0254B"/>
    <w:rsid w:val="00A105DA"/>
    <w:rsid w:val="00A20031"/>
    <w:rsid w:val="00A202D5"/>
    <w:rsid w:val="00A22E81"/>
    <w:rsid w:val="00A23CDC"/>
    <w:rsid w:val="00A24596"/>
    <w:rsid w:val="00A24B24"/>
    <w:rsid w:val="00A25E6C"/>
    <w:rsid w:val="00A40E3D"/>
    <w:rsid w:val="00A40EA6"/>
    <w:rsid w:val="00A46B61"/>
    <w:rsid w:val="00A47C4E"/>
    <w:rsid w:val="00A523C2"/>
    <w:rsid w:val="00A52753"/>
    <w:rsid w:val="00A550E8"/>
    <w:rsid w:val="00A556D1"/>
    <w:rsid w:val="00A55707"/>
    <w:rsid w:val="00A56E8B"/>
    <w:rsid w:val="00A6201B"/>
    <w:rsid w:val="00A71133"/>
    <w:rsid w:val="00A7209C"/>
    <w:rsid w:val="00A761C7"/>
    <w:rsid w:val="00A768ED"/>
    <w:rsid w:val="00A77D42"/>
    <w:rsid w:val="00A82E17"/>
    <w:rsid w:val="00A82F47"/>
    <w:rsid w:val="00A85075"/>
    <w:rsid w:val="00A871B2"/>
    <w:rsid w:val="00A90245"/>
    <w:rsid w:val="00A93F1F"/>
    <w:rsid w:val="00AA12F7"/>
    <w:rsid w:val="00AA221A"/>
    <w:rsid w:val="00AA3173"/>
    <w:rsid w:val="00AA3A3E"/>
    <w:rsid w:val="00AB19B6"/>
    <w:rsid w:val="00AC6ABA"/>
    <w:rsid w:val="00AD1C80"/>
    <w:rsid w:val="00AD2E24"/>
    <w:rsid w:val="00AD5627"/>
    <w:rsid w:val="00AD65C9"/>
    <w:rsid w:val="00AD6639"/>
    <w:rsid w:val="00AD6807"/>
    <w:rsid w:val="00AE4A25"/>
    <w:rsid w:val="00AE5CCB"/>
    <w:rsid w:val="00AE7179"/>
    <w:rsid w:val="00AF58D0"/>
    <w:rsid w:val="00AF6215"/>
    <w:rsid w:val="00AF6F6E"/>
    <w:rsid w:val="00B00A18"/>
    <w:rsid w:val="00B11323"/>
    <w:rsid w:val="00B1266C"/>
    <w:rsid w:val="00B13A2F"/>
    <w:rsid w:val="00B145D2"/>
    <w:rsid w:val="00B178D3"/>
    <w:rsid w:val="00B22F73"/>
    <w:rsid w:val="00B339F8"/>
    <w:rsid w:val="00B4065C"/>
    <w:rsid w:val="00B43512"/>
    <w:rsid w:val="00B52CD8"/>
    <w:rsid w:val="00B604EB"/>
    <w:rsid w:val="00B60ED4"/>
    <w:rsid w:val="00B6108C"/>
    <w:rsid w:val="00B65B6C"/>
    <w:rsid w:val="00B67F7B"/>
    <w:rsid w:val="00B739E2"/>
    <w:rsid w:val="00B80B5C"/>
    <w:rsid w:val="00B8151D"/>
    <w:rsid w:val="00B819AA"/>
    <w:rsid w:val="00B96D63"/>
    <w:rsid w:val="00BA54AA"/>
    <w:rsid w:val="00BA556A"/>
    <w:rsid w:val="00BA7A46"/>
    <w:rsid w:val="00BB2109"/>
    <w:rsid w:val="00BB2C6B"/>
    <w:rsid w:val="00BB38D4"/>
    <w:rsid w:val="00BB4D85"/>
    <w:rsid w:val="00BB61E4"/>
    <w:rsid w:val="00BB631E"/>
    <w:rsid w:val="00BB71A8"/>
    <w:rsid w:val="00BC298A"/>
    <w:rsid w:val="00BC4BD5"/>
    <w:rsid w:val="00BC50A3"/>
    <w:rsid w:val="00BD41D4"/>
    <w:rsid w:val="00BD465A"/>
    <w:rsid w:val="00BD47A9"/>
    <w:rsid w:val="00BD5316"/>
    <w:rsid w:val="00BD5A86"/>
    <w:rsid w:val="00BD6AC2"/>
    <w:rsid w:val="00BE214C"/>
    <w:rsid w:val="00BE357F"/>
    <w:rsid w:val="00BE68F9"/>
    <w:rsid w:val="00BF156D"/>
    <w:rsid w:val="00BF2199"/>
    <w:rsid w:val="00BF2A9B"/>
    <w:rsid w:val="00BF3DAE"/>
    <w:rsid w:val="00C00833"/>
    <w:rsid w:val="00C02595"/>
    <w:rsid w:val="00C059B4"/>
    <w:rsid w:val="00C12197"/>
    <w:rsid w:val="00C12BBE"/>
    <w:rsid w:val="00C1330A"/>
    <w:rsid w:val="00C145EB"/>
    <w:rsid w:val="00C168A0"/>
    <w:rsid w:val="00C2416A"/>
    <w:rsid w:val="00C30E45"/>
    <w:rsid w:val="00C325A5"/>
    <w:rsid w:val="00C36835"/>
    <w:rsid w:val="00C36A15"/>
    <w:rsid w:val="00C3701B"/>
    <w:rsid w:val="00C37043"/>
    <w:rsid w:val="00C4300F"/>
    <w:rsid w:val="00C45661"/>
    <w:rsid w:val="00C5010C"/>
    <w:rsid w:val="00C563D8"/>
    <w:rsid w:val="00C62BC1"/>
    <w:rsid w:val="00C64879"/>
    <w:rsid w:val="00C66953"/>
    <w:rsid w:val="00C73133"/>
    <w:rsid w:val="00C731FA"/>
    <w:rsid w:val="00C7617C"/>
    <w:rsid w:val="00C82C91"/>
    <w:rsid w:val="00C846A2"/>
    <w:rsid w:val="00C86152"/>
    <w:rsid w:val="00C90E38"/>
    <w:rsid w:val="00C90EFC"/>
    <w:rsid w:val="00C90FC4"/>
    <w:rsid w:val="00C954B7"/>
    <w:rsid w:val="00C9591A"/>
    <w:rsid w:val="00CA46AC"/>
    <w:rsid w:val="00CA4F71"/>
    <w:rsid w:val="00CB337B"/>
    <w:rsid w:val="00CB45D5"/>
    <w:rsid w:val="00CB7A83"/>
    <w:rsid w:val="00CC3AE0"/>
    <w:rsid w:val="00CC3C0B"/>
    <w:rsid w:val="00CC3CD3"/>
    <w:rsid w:val="00CC4C6D"/>
    <w:rsid w:val="00CC62FB"/>
    <w:rsid w:val="00CD20F8"/>
    <w:rsid w:val="00CD3705"/>
    <w:rsid w:val="00CD6E72"/>
    <w:rsid w:val="00CE3EA5"/>
    <w:rsid w:val="00CF1C96"/>
    <w:rsid w:val="00CF3EB6"/>
    <w:rsid w:val="00CF5A8C"/>
    <w:rsid w:val="00D010D3"/>
    <w:rsid w:val="00D041B3"/>
    <w:rsid w:val="00D046CE"/>
    <w:rsid w:val="00D05A8C"/>
    <w:rsid w:val="00D119DD"/>
    <w:rsid w:val="00D14A9D"/>
    <w:rsid w:val="00D17A67"/>
    <w:rsid w:val="00D17FC6"/>
    <w:rsid w:val="00D217D1"/>
    <w:rsid w:val="00D2517F"/>
    <w:rsid w:val="00D3758C"/>
    <w:rsid w:val="00D46134"/>
    <w:rsid w:val="00D468A9"/>
    <w:rsid w:val="00D50946"/>
    <w:rsid w:val="00D5387E"/>
    <w:rsid w:val="00D56A3B"/>
    <w:rsid w:val="00D61A73"/>
    <w:rsid w:val="00D63270"/>
    <w:rsid w:val="00D63CDD"/>
    <w:rsid w:val="00D6472B"/>
    <w:rsid w:val="00D66B65"/>
    <w:rsid w:val="00D70EAE"/>
    <w:rsid w:val="00D713F1"/>
    <w:rsid w:val="00D7163F"/>
    <w:rsid w:val="00D73415"/>
    <w:rsid w:val="00D74B9B"/>
    <w:rsid w:val="00D773CB"/>
    <w:rsid w:val="00D80030"/>
    <w:rsid w:val="00D8103E"/>
    <w:rsid w:val="00D818BA"/>
    <w:rsid w:val="00D833D6"/>
    <w:rsid w:val="00D842A2"/>
    <w:rsid w:val="00D84946"/>
    <w:rsid w:val="00D868F7"/>
    <w:rsid w:val="00D93741"/>
    <w:rsid w:val="00D93E87"/>
    <w:rsid w:val="00DA552F"/>
    <w:rsid w:val="00DA755D"/>
    <w:rsid w:val="00DB1C9E"/>
    <w:rsid w:val="00DB2434"/>
    <w:rsid w:val="00DB2D5C"/>
    <w:rsid w:val="00DB461B"/>
    <w:rsid w:val="00DB4D35"/>
    <w:rsid w:val="00DB6247"/>
    <w:rsid w:val="00DC3E8C"/>
    <w:rsid w:val="00DC4B5E"/>
    <w:rsid w:val="00DD0338"/>
    <w:rsid w:val="00DD1234"/>
    <w:rsid w:val="00DD408F"/>
    <w:rsid w:val="00DD5F43"/>
    <w:rsid w:val="00DD6057"/>
    <w:rsid w:val="00DD651A"/>
    <w:rsid w:val="00DD7496"/>
    <w:rsid w:val="00DD7B03"/>
    <w:rsid w:val="00DE02BB"/>
    <w:rsid w:val="00DE1334"/>
    <w:rsid w:val="00DE5F92"/>
    <w:rsid w:val="00DE715E"/>
    <w:rsid w:val="00DE7C37"/>
    <w:rsid w:val="00DF13F3"/>
    <w:rsid w:val="00DF3683"/>
    <w:rsid w:val="00DF46B2"/>
    <w:rsid w:val="00DF59D1"/>
    <w:rsid w:val="00DF61B7"/>
    <w:rsid w:val="00E01C32"/>
    <w:rsid w:val="00E01F85"/>
    <w:rsid w:val="00E0751E"/>
    <w:rsid w:val="00E109D0"/>
    <w:rsid w:val="00E1257E"/>
    <w:rsid w:val="00E15745"/>
    <w:rsid w:val="00E24E50"/>
    <w:rsid w:val="00E251EE"/>
    <w:rsid w:val="00E302D5"/>
    <w:rsid w:val="00E32254"/>
    <w:rsid w:val="00E33927"/>
    <w:rsid w:val="00E33FED"/>
    <w:rsid w:val="00E431B0"/>
    <w:rsid w:val="00E43542"/>
    <w:rsid w:val="00E52E95"/>
    <w:rsid w:val="00E5541C"/>
    <w:rsid w:val="00E55D04"/>
    <w:rsid w:val="00E60A2A"/>
    <w:rsid w:val="00E62C51"/>
    <w:rsid w:val="00E631F9"/>
    <w:rsid w:val="00E662FD"/>
    <w:rsid w:val="00E72FD0"/>
    <w:rsid w:val="00E757D0"/>
    <w:rsid w:val="00E767BE"/>
    <w:rsid w:val="00E81460"/>
    <w:rsid w:val="00E842FD"/>
    <w:rsid w:val="00E8671C"/>
    <w:rsid w:val="00E90298"/>
    <w:rsid w:val="00E916A2"/>
    <w:rsid w:val="00E91930"/>
    <w:rsid w:val="00EA6D4F"/>
    <w:rsid w:val="00EA716A"/>
    <w:rsid w:val="00EA7EA8"/>
    <w:rsid w:val="00EB035B"/>
    <w:rsid w:val="00EB2120"/>
    <w:rsid w:val="00EC0A15"/>
    <w:rsid w:val="00ED2D78"/>
    <w:rsid w:val="00EE412B"/>
    <w:rsid w:val="00EF4ACB"/>
    <w:rsid w:val="00F00674"/>
    <w:rsid w:val="00F03635"/>
    <w:rsid w:val="00F0455E"/>
    <w:rsid w:val="00F0609A"/>
    <w:rsid w:val="00F112FB"/>
    <w:rsid w:val="00F1230D"/>
    <w:rsid w:val="00F14BCE"/>
    <w:rsid w:val="00F1783F"/>
    <w:rsid w:val="00F20296"/>
    <w:rsid w:val="00F20DAC"/>
    <w:rsid w:val="00F20FA7"/>
    <w:rsid w:val="00F21042"/>
    <w:rsid w:val="00F21FAC"/>
    <w:rsid w:val="00F30874"/>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0E00"/>
    <w:rsid w:val="00F72398"/>
    <w:rsid w:val="00F74CC9"/>
    <w:rsid w:val="00F77106"/>
    <w:rsid w:val="00F85B48"/>
    <w:rsid w:val="00F861AE"/>
    <w:rsid w:val="00F86E01"/>
    <w:rsid w:val="00F871D7"/>
    <w:rsid w:val="00F87FB6"/>
    <w:rsid w:val="00F90098"/>
    <w:rsid w:val="00F9205E"/>
    <w:rsid w:val="00F92FA5"/>
    <w:rsid w:val="00F935BD"/>
    <w:rsid w:val="00F96889"/>
    <w:rsid w:val="00FA1BD2"/>
    <w:rsid w:val="00FA37D9"/>
    <w:rsid w:val="00FA6309"/>
    <w:rsid w:val="00FA6319"/>
    <w:rsid w:val="00FB14CA"/>
    <w:rsid w:val="00FB202A"/>
    <w:rsid w:val="00FB46DD"/>
    <w:rsid w:val="00FB5AE9"/>
    <w:rsid w:val="00FB656A"/>
    <w:rsid w:val="00FB7019"/>
    <w:rsid w:val="00FC522B"/>
    <w:rsid w:val="00FC6923"/>
    <w:rsid w:val="00FC7C85"/>
    <w:rsid w:val="00FD0A30"/>
    <w:rsid w:val="00FD1A80"/>
    <w:rsid w:val="00FE2F0A"/>
    <w:rsid w:val="00FE4BF1"/>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D81A2050-D73A-421F-A97E-09F16F1C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6E104D94060D4181B0B8E81F948CD4" ma:contentTypeVersion="31" ma:contentTypeDescription="Create a new document." ma:contentTypeScope="" ma:versionID="e910b15dc0bcbcdbebf94954083e1fd7">
  <xsd:schema xmlns:xsd="http://www.w3.org/2001/XMLSchema" xmlns:xs="http://www.w3.org/2001/XMLSchema" xmlns:p="http://schemas.microsoft.com/office/2006/metadata/properties" xmlns:ns1="http://schemas.microsoft.com/sharepoint/v3" xmlns:ns2="76c08405-89e9-4c57-a585-b31d7bded94b" xmlns:ns3="1940fe5d-d7cc-4eaf-8947-1277c91c613a" xmlns:ns4="http://schemas.microsoft.com/sharepoint/v4" targetNamespace="http://schemas.microsoft.com/office/2006/metadata/properties" ma:root="true" ma:fieldsID="56495c4a0b0e382730b2e8c904717e1b" ns1:_="" ns2:_="" ns3:_="" ns4:_="">
    <xsd:import namespace="http://schemas.microsoft.com/sharepoint/v3"/>
    <xsd:import namespace="76c08405-89e9-4c57-a585-b31d7bded94b"/>
    <xsd:import namespace="1940fe5d-d7cc-4eaf-8947-1277c91c613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n99e4c9942c6404eb103464a00e6097b" minOccurs="0"/>
                <xsd:element ref="ns1:Comments" minOccurs="0"/>
                <xsd:element ref="ns2:g7cee4c3f49f4a8d957fe196d6fcc5b5" minOccurs="0"/>
                <xsd:element ref="ns2:d34056e35d444dee82a795b7b19350c2" minOccurs="0"/>
                <xsd:element ref="ns2:DocHub_PDMSNumber" minOccurs="0"/>
                <xsd:element ref="ns2:DocHub_SittingPeriod" minOccurs="0"/>
                <xsd:element ref="ns2:e63cd534a94446d68abe1904a0bcdfb2"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0"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n99e4c9942c6404eb103464a00e6097b" ma:index="19"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7cee4c3f49f4a8d957fe196d6fcc5b5" ma:index="22"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34056e35d444dee82a795b7b19350c2" ma:index="24"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ocHub_PDMSNumber" ma:index="25" nillable="true" ma:displayName="PDMS Number" ma:description="Parliamentary Document Management System (PDMS) Reference Number" ma:internalName="DocHub_PDMSNumber">
      <xsd:simpleType>
        <xsd:restriction base="dms:Text"/>
      </xsd:simpleType>
    </xsd:element>
    <xsd:element name="DocHub_SittingPeriod" ma:index="26" nillable="true" ma:displayName="Sitting Period" ma:description="Period (Spring / Summer / Autumn / Winter) of Parliamentary Sitting" ma:format="Dropdown" ma:internalName="DocHub_SittingPeriod">
      <xsd:simpleType>
        <xsd:restriction base="dms:Choice">
          <xsd:enumeration value="Spring"/>
          <xsd:enumeration value="Summer"/>
          <xsd:enumeration value="Autumn"/>
          <xsd:enumeration value="Winter"/>
        </xsd:restriction>
      </xsd:simpleType>
    </xsd:element>
    <xsd:element name="e63cd534a94446d68abe1904a0bcdfb2" ma:index="28" nillable="true" ma:taxonomy="true" ma:internalName="e63cd534a94446d68abe1904a0bcdfb2" ma:taxonomyFieldName="DocHub_WorkTopic" ma:displayName="Work Topic"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40fe5d-d7cc-4eaf-8947-1277c91c613a"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a25a1a23adf4c92a153145de6afe324 xmlns="76c08405-89e9-4c57-a585-b31d7bded94b">
      <Terms xmlns="http://schemas.microsoft.com/office/infopath/2007/PartnerControls">
        <TermInfo xmlns="http://schemas.microsoft.com/office/infopath/2007/PartnerControls">
          <TermName>UNCLASSIFIED</TermName>
          <TermId>6106d03b-a1a0-4e30-9d91-d5e9fb4314f9</TermId>
        </TermInfo>
      </Terms>
    </aa25a1a23adf4c92a153145de6afe324>
    <e63cd534a94446d68abe1904a0bcdfb2 xmlns="76c08405-89e9-4c57-a585-b31d7bded94b">
      <Terms xmlns="http://schemas.microsoft.com/office/infopath/2007/PartnerControls">
        <TermInfo xmlns="http://schemas.microsoft.com/office/infopath/2007/PartnerControls">
          <TermName>Legislative Amendments</TermName>
          <TermId>dd198551-46f6-4185-84c8-5a26b7614e9c</TermId>
        </TermInfo>
      </Terms>
    </e63cd534a94446d68abe1904a0bcdfb2>
    <g7cee4c3f49f4a8d957fe196d6fcc5b5 xmlns="76c08405-89e9-4c57-a585-b31d7bded94b">
      <Terms xmlns="http://schemas.microsoft.com/office/infopath/2007/PartnerControls"/>
    </g7cee4c3f49f4a8d957fe196d6fcc5b5>
    <pe2555c81638466f9eb614edb9ecde52 xmlns="76c08405-89e9-4c57-a585-b31d7bded94b">
      <Terms xmlns="http://schemas.microsoft.com/office/infopath/2007/PartnerControls">
        <TermInfo xmlns="http://schemas.microsoft.com/office/infopath/2007/PartnerControls">
          <TermName>Explanatory Memorandum</TermName>
          <TermId>e1baf4eb-cfb1-4562-a99a-5aebab1aca70</TermId>
        </TermInfo>
      </Terms>
    </pe2555c81638466f9eb614edb9ecde52>
    <n99e4c9942c6404eb103464a00e6097b xmlns="76c08405-89e9-4c57-a585-b31d7bded94b">
      <Terms xmlns="http://schemas.microsoft.com/office/infopath/2007/PartnerControls">
        <TermInfo xmlns="http://schemas.microsoft.com/office/infopath/2007/PartnerControls">
          <TermName>2019</TermName>
          <TermId>7e451fe0-4dc6-437a-a849-bab7965a9aee</TermId>
        </TermInfo>
      </Terms>
    </n99e4c9942c6404eb103464a00e6097b>
    <IconOverlay xmlns="http://schemas.microsoft.com/sharepoint/v4" xsi:nil="true"/>
    <DocHub_SittingPeriod xmlns="76c08405-89e9-4c57-a585-b31d7bded94b">Spring</DocHub_SittingPeriod>
    <TaxCatchAll xmlns="76c08405-89e9-4c57-a585-b31d7bded94b">
      <Value>102</Value>
      <Value>407</Value>
      <Value>3075</Value>
      <Value>1</Value>
      <Value>1456</Value>
    </TaxCatchAll>
    <d34056e35d444dee82a795b7b19350c2 xmlns="76c08405-89e9-4c57-a585-b31d7bded94b">
      <Terms xmlns="http://schemas.microsoft.com/office/infopath/2007/PartnerControls"/>
    </d34056e35d444dee82a795b7b19350c2>
    <DocHub_PDMSNumber xmlns="76c08405-89e9-4c57-a585-b31d7bded94b" xsi:nil="true"/>
    <g7bcb40ba23249a78edca7d43a67c1c9 xmlns="76c08405-89e9-4c57-a585-b31d7bded94b">
      <Terms xmlns="http://schemas.microsoft.com/office/infopath/2007/PartnerControls">
        <TermInfo xmlns="http://schemas.microsoft.com/office/infopath/2007/PartnerControls">
          <TermName>Legislation and Regulation</TermName>
          <TermId>6cbc66f5-f4a2-4565-a58b-d5f2d2ac9bd0</TermId>
        </TermInfo>
      </Terms>
    </g7bcb40ba23249a78edca7d43a67c1c9>
    <Comments xmlns="http://schemas.microsoft.com/sharepoint/v3" xsi:nil="true"/>
    <_dlc_DocId xmlns="76c08405-89e9-4c57-a585-b31d7bded94b">P77SRJCMCQEC-141364255-605</_dlc_DocId>
    <_dlc_DocIdUrl xmlns="76c08405-89e9-4c57-a585-b31d7bded94b">
      <Url>https://dochub/div/resources/businessfunctions/offshoreresources/stratpolicy/legislation/_layouts/15/DocIdRedir.aspx?ID=P77SRJCMCQEC-141364255-605</Url>
      <Description>P77SRJCMCQEC-141364255-605</Description>
    </_dlc_DocIdUrl>
  </documentManagement>
</p:properties>
</file>

<file path=customXml/itemProps1.xml><?xml version="1.0" encoding="utf-8"?>
<ds:datastoreItem xmlns:ds="http://schemas.openxmlformats.org/officeDocument/2006/customXml" ds:itemID="{265A5C33-4850-40D5-B1C5-6574922072D4}">
  <ds:schemaRefs>
    <ds:schemaRef ds:uri="http://schemas.microsoft.com/sharepoint/event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C9CB7424-85C1-41E6-835D-3D5F5379B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1940fe5d-d7cc-4eaf-8947-1277c91c61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76c08405-89e9-4c57-a585-b31d7bded94b"/>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18421</CharactersWithSpaces>
  <SharedDoc>false</SharedDoc>
  <HLinks>
    <vt:vector size="18" baseType="variant">
      <vt:variant>
        <vt:i4>1638407</vt:i4>
      </vt:variant>
      <vt:variant>
        <vt:i4>6</vt:i4>
      </vt:variant>
      <vt:variant>
        <vt:i4>0</vt:i4>
      </vt:variant>
      <vt:variant>
        <vt:i4>5</vt:i4>
      </vt:variant>
      <vt:variant>
        <vt:lpwstr>https://www.aph.gov.au/Parliamentary_Business/Committees/Senate/Scrutiny_of_Delegated_Legislation/Guidelines/consultation</vt:lpwstr>
      </vt:variant>
      <vt:variant>
        <vt:lpwstr/>
      </vt:variant>
      <vt:variant>
        <vt:i4>2031646</vt:i4>
      </vt:variant>
      <vt:variant>
        <vt:i4>3</vt:i4>
      </vt:variant>
      <vt:variant>
        <vt:i4>0</vt:i4>
      </vt:variant>
      <vt:variant>
        <vt:i4>5</vt:i4>
      </vt:variant>
      <vt:variant>
        <vt:lpwstr>https://www.opc.gov.au/publications/opc-instruments-handbook</vt:lpwstr>
      </vt:variant>
      <vt:variant>
        <vt:lpwstr/>
      </vt:variant>
      <vt:variant>
        <vt:i4>2162733</vt:i4>
      </vt:variant>
      <vt:variant>
        <vt:i4>0</vt:i4>
      </vt:variant>
      <vt:variant>
        <vt:i4>0</vt:i4>
      </vt:variant>
      <vt:variant>
        <vt:i4>5</vt:i4>
      </vt:variant>
      <vt:variant>
        <vt:lpwstr>https://oia.pmc.gov.au/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OSTOJIC,Stephanie</cp:lastModifiedBy>
  <cp:revision>2</cp:revision>
  <cp:lastPrinted>2019-11-18T18:12:00Z</cp:lastPrinted>
  <dcterms:created xsi:type="dcterms:W3CDTF">2023-07-04T02:13:00Z</dcterms:created>
  <dcterms:modified xsi:type="dcterms:W3CDTF">2023-07-04T02:13:00Z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0x010100E36E104D94060D4181B0B8E81F948CD4</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