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AE336C" w:rsidRDefault="001F2A16" w:rsidP="00AE336C">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AE336C">
        <w:rPr>
          <w:rFonts w:ascii="Arial" w:hAnsi="Arial" w:cs="Arial"/>
          <w:sz w:val="34"/>
          <w:szCs w:val="34"/>
        </w:rPr>
        <w:t>Explanatory Statement</w:t>
      </w:r>
    </w:p>
    <w:p w14:paraId="6B8F7B13" w14:textId="1A9DD423" w:rsidR="009371D0" w:rsidRPr="00AE336C" w:rsidRDefault="00722D05" w:rsidP="00AE336C">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bookmarkStart w:id="0" w:name="_Hlk51252752"/>
      <w:bookmarkStart w:id="1" w:name="_Hlk52208106"/>
      <w:r w:rsidRPr="00AE336C">
        <w:rPr>
          <w:rFonts w:ascii="Arial" w:hAnsi="Arial" w:cs="Arial"/>
          <w:sz w:val="34"/>
          <w:szCs w:val="34"/>
        </w:rPr>
        <w:t>Taxation Administration (</w:t>
      </w:r>
      <w:r w:rsidR="009D7842" w:rsidRPr="00AE336C">
        <w:rPr>
          <w:rFonts w:ascii="Arial" w:hAnsi="Arial" w:cs="Arial"/>
          <w:sz w:val="34"/>
          <w:szCs w:val="34"/>
        </w:rPr>
        <w:t xml:space="preserve">Remedial Power </w:t>
      </w:r>
      <w:r w:rsidR="00CA1170" w:rsidRPr="00AE336C">
        <w:rPr>
          <w:rFonts w:ascii="Arial" w:hAnsi="Arial" w:cs="Arial"/>
          <w:sz w:val="34"/>
          <w:szCs w:val="34"/>
        </w:rPr>
        <w:t>–</w:t>
      </w:r>
      <w:r w:rsidR="009D7842" w:rsidRPr="00AE336C">
        <w:rPr>
          <w:rFonts w:ascii="Arial" w:hAnsi="Arial" w:cs="Arial"/>
          <w:sz w:val="34"/>
          <w:szCs w:val="34"/>
        </w:rPr>
        <w:t xml:space="preserve"> Remission </w:t>
      </w:r>
      <w:r w:rsidR="00EB4C4B" w:rsidRPr="00AE336C">
        <w:rPr>
          <w:rFonts w:ascii="Arial" w:hAnsi="Arial" w:cs="Arial"/>
          <w:sz w:val="34"/>
          <w:szCs w:val="34"/>
        </w:rPr>
        <w:t xml:space="preserve">of </w:t>
      </w:r>
      <w:r w:rsidR="009D7842" w:rsidRPr="00AE336C">
        <w:rPr>
          <w:rFonts w:ascii="Arial" w:hAnsi="Arial" w:cs="Arial"/>
          <w:sz w:val="34"/>
          <w:szCs w:val="34"/>
        </w:rPr>
        <w:t>Charge</w:t>
      </w:r>
      <w:r w:rsidR="00EB4C4B" w:rsidRPr="00AE336C">
        <w:rPr>
          <w:rFonts w:ascii="Arial" w:hAnsi="Arial" w:cs="Arial"/>
          <w:sz w:val="34"/>
          <w:szCs w:val="34"/>
        </w:rPr>
        <w:t>s</w:t>
      </w:r>
      <w:r w:rsidR="009D7842" w:rsidRPr="00AE336C">
        <w:rPr>
          <w:rFonts w:ascii="Arial" w:hAnsi="Arial" w:cs="Arial"/>
          <w:sz w:val="34"/>
          <w:szCs w:val="34"/>
        </w:rPr>
        <w:t xml:space="preserve"> and </w:t>
      </w:r>
      <w:r w:rsidR="00F95A4D" w:rsidRPr="00AE336C">
        <w:rPr>
          <w:rFonts w:ascii="Arial" w:hAnsi="Arial" w:cs="Arial"/>
          <w:sz w:val="34"/>
          <w:szCs w:val="34"/>
        </w:rPr>
        <w:t>P</w:t>
      </w:r>
      <w:r w:rsidR="009D7842" w:rsidRPr="00AE336C">
        <w:rPr>
          <w:rFonts w:ascii="Arial" w:hAnsi="Arial" w:cs="Arial"/>
          <w:sz w:val="34"/>
          <w:szCs w:val="34"/>
        </w:rPr>
        <w:t>enalt</w:t>
      </w:r>
      <w:r w:rsidR="00EB4C4B" w:rsidRPr="00AE336C">
        <w:rPr>
          <w:rFonts w:ascii="Arial" w:hAnsi="Arial" w:cs="Arial"/>
          <w:sz w:val="34"/>
          <w:szCs w:val="34"/>
        </w:rPr>
        <w:t>ies</w:t>
      </w:r>
      <w:r w:rsidRPr="00AE336C">
        <w:rPr>
          <w:rFonts w:ascii="Arial" w:hAnsi="Arial" w:cs="Arial"/>
          <w:sz w:val="34"/>
          <w:szCs w:val="34"/>
        </w:rPr>
        <w:t xml:space="preserve">) Determination </w:t>
      </w:r>
      <w:bookmarkEnd w:id="0"/>
      <w:r w:rsidR="00D12296" w:rsidRPr="00AE336C">
        <w:rPr>
          <w:rFonts w:ascii="Arial" w:hAnsi="Arial" w:cs="Arial"/>
          <w:sz w:val="34"/>
          <w:szCs w:val="34"/>
        </w:rPr>
        <w:t>202</w:t>
      </w:r>
      <w:r w:rsidR="00EB4C4B" w:rsidRPr="00AE336C">
        <w:rPr>
          <w:rFonts w:ascii="Arial" w:hAnsi="Arial" w:cs="Arial"/>
          <w:sz w:val="34"/>
          <w:szCs w:val="34"/>
        </w:rPr>
        <w:t>3</w:t>
      </w:r>
    </w:p>
    <w:bookmarkEnd w:id="1"/>
    <w:p w14:paraId="15AC1B54" w14:textId="6A593799" w:rsidR="00486653" w:rsidRPr="00AE336C" w:rsidRDefault="00486653" w:rsidP="00AE336C">
      <w:pPr>
        <w:pStyle w:val="Heading2"/>
      </w:pPr>
      <w:r w:rsidRPr="00AE336C">
        <w:t xml:space="preserve">General </w:t>
      </w:r>
      <w:r w:rsidR="00FB2D94">
        <w:t>o</w:t>
      </w:r>
      <w:r w:rsidRPr="00AE336C">
        <w:t xml:space="preserve">utline of </w:t>
      </w:r>
      <w:r w:rsidR="00FB2D94">
        <w:t>i</w:t>
      </w:r>
      <w:r w:rsidRPr="00AE336C">
        <w:t>nstrument</w:t>
      </w:r>
    </w:p>
    <w:p w14:paraId="5D20086B" w14:textId="4578B8CA" w:rsidR="00FC18B4" w:rsidRPr="00AE336C" w:rsidRDefault="00486653"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This instrument is made under</w:t>
      </w:r>
      <w:r w:rsidR="00722D05" w:rsidRPr="00AE336C">
        <w:rPr>
          <w:rFonts w:ascii="Arial" w:hAnsi="Arial" w:cs="Arial"/>
          <w:sz w:val="22"/>
          <w:szCs w:val="22"/>
        </w:rPr>
        <w:t xml:space="preserve"> section 370-5 </w:t>
      </w:r>
      <w:r w:rsidR="009F1D4A" w:rsidRPr="00AE336C">
        <w:rPr>
          <w:rFonts w:ascii="Arial" w:hAnsi="Arial" w:cs="Arial"/>
          <w:sz w:val="22"/>
          <w:szCs w:val="22"/>
        </w:rPr>
        <w:t xml:space="preserve">in </w:t>
      </w:r>
      <w:r w:rsidR="00722D05" w:rsidRPr="00AE336C">
        <w:rPr>
          <w:rFonts w:ascii="Arial" w:hAnsi="Arial" w:cs="Arial"/>
          <w:sz w:val="22"/>
          <w:szCs w:val="22"/>
        </w:rPr>
        <w:t xml:space="preserve">Schedule 1 to the </w:t>
      </w:r>
      <w:r w:rsidR="00722D05" w:rsidRPr="00AE336C">
        <w:rPr>
          <w:rFonts w:ascii="Arial" w:hAnsi="Arial" w:cs="Arial"/>
          <w:i/>
          <w:iCs/>
          <w:sz w:val="22"/>
          <w:szCs w:val="22"/>
        </w:rPr>
        <w:t>Taxation Administration Act</w:t>
      </w:r>
      <w:r w:rsidR="004F77B0" w:rsidRPr="00AE336C">
        <w:rPr>
          <w:rFonts w:ascii="Arial" w:hAnsi="Arial" w:cs="Arial"/>
          <w:i/>
          <w:iCs/>
          <w:sz w:val="22"/>
          <w:szCs w:val="22"/>
        </w:rPr>
        <w:t> </w:t>
      </w:r>
      <w:r w:rsidR="00722D05" w:rsidRPr="00AE336C">
        <w:rPr>
          <w:rFonts w:ascii="Arial" w:hAnsi="Arial" w:cs="Arial"/>
          <w:i/>
          <w:iCs/>
          <w:sz w:val="22"/>
          <w:szCs w:val="22"/>
        </w:rPr>
        <w:t xml:space="preserve">1953 </w:t>
      </w:r>
      <w:r w:rsidR="00722D05" w:rsidRPr="00AE336C">
        <w:rPr>
          <w:rFonts w:ascii="Arial" w:hAnsi="Arial" w:cs="Arial"/>
          <w:sz w:val="22"/>
          <w:szCs w:val="22"/>
        </w:rPr>
        <w:t>(</w:t>
      </w:r>
      <w:r w:rsidR="00FA2421" w:rsidRPr="00AE336C">
        <w:rPr>
          <w:rFonts w:ascii="Arial" w:hAnsi="Arial" w:cs="Arial"/>
          <w:sz w:val="22"/>
          <w:szCs w:val="22"/>
        </w:rPr>
        <w:t>TAA</w:t>
      </w:r>
      <w:r w:rsidR="00722D05" w:rsidRPr="00AE336C">
        <w:rPr>
          <w:rFonts w:ascii="Arial" w:hAnsi="Arial" w:cs="Arial"/>
          <w:sz w:val="22"/>
          <w:szCs w:val="22"/>
        </w:rPr>
        <w:t>).</w:t>
      </w:r>
    </w:p>
    <w:p w14:paraId="242F9B9B" w14:textId="4F54C0F8" w:rsidR="0096020B" w:rsidRPr="00AE336C" w:rsidRDefault="00283838"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The instrument modifies the operation of </w:t>
      </w:r>
      <w:r w:rsidR="00D77555" w:rsidRPr="00AE336C">
        <w:rPr>
          <w:rFonts w:ascii="Arial" w:hAnsi="Arial" w:cs="Arial"/>
          <w:sz w:val="22"/>
          <w:szCs w:val="22"/>
        </w:rPr>
        <w:t xml:space="preserve">particular provisions in the </w:t>
      </w:r>
      <w:r w:rsidR="00FA2421" w:rsidRPr="00AE336C">
        <w:rPr>
          <w:rFonts w:ascii="Arial" w:hAnsi="Arial" w:cs="Arial"/>
          <w:sz w:val="22"/>
          <w:szCs w:val="22"/>
        </w:rPr>
        <w:t>TAA</w:t>
      </w:r>
      <w:r w:rsidR="00280913" w:rsidRPr="00AE336C">
        <w:rPr>
          <w:rFonts w:ascii="Arial" w:hAnsi="Arial" w:cs="Arial"/>
          <w:sz w:val="22"/>
          <w:szCs w:val="22"/>
        </w:rPr>
        <w:t xml:space="preserve"> which permit the </w:t>
      </w:r>
      <w:r w:rsidR="0096020B" w:rsidRPr="00AE336C">
        <w:rPr>
          <w:rFonts w:ascii="Arial" w:hAnsi="Arial" w:cs="Arial"/>
          <w:sz w:val="22"/>
          <w:szCs w:val="22"/>
        </w:rPr>
        <w:t>remission of</w:t>
      </w:r>
      <w:r w:rsidR="00D77555" w:rsidRPr="00AE336C">
        <w:rPr>
          <w:rFonts w:ascii="Arial" w:hAnsi="Arial" w:cs="Arial"/>
          <w:sz w:val="22"/>
          <w:szCs w:val="22"/>
        </w:rPr>
        <w:t xml:space="preserve"> the</w:t>
      </w:r>
      <w:r w:rsidR="0096020B" w:rsidRPr="00AE336C">
        <w:rPr>
          <w:rFonts w:ascii="Arial" w:hAnsi="Arial" w:cs="Arial"/>
          <w:sz w:val="22"/>
          <w:szCs w:val="22"/>
        </w:rPr>
        <w:t xml:space="preserve"> </w:t>
      </w:r>
      <w:r w:rsidR="00D77555" w:rsidRPr="00AE336C">
        <w:rPr>
          <w:rFonts w:ascii="Arial" w:hAnsi="Arial" w:cs="Arial"/>
          <w:sz w:val="22"/>
          <w:szCs w:val="22"/>
        </w:rPr>
        <w:t>g</w:t>
      </w:r>
      <w:r w:rsidR="0096020B" w:rsidRPr="00AE336C">
        <w:rPr>
          <w:rFonts w:ascii="Arial" w:hAnsi="Arial" w:cs="Arial"/>
          <w:sz w:val="22"/>
          <w:szCs w:val="22"/>
        </w:rPr>
        <w:t xml:space="preserve">eneral </w:t>
      </w:r>
      <w:r w:rsidR="00D77555" w:rsidRPr="00AE336C">
        <w:rPr>
          <w:rFonts w:ascii="Arial" w:hAnsi="Arial" w:cs="Arial"/>
          <w:sz w:val="22"/>
          <w:szCs w:val="22"/>
        </w:rPr>
        <w:t>i</w:t>
      </w:r>
      <w:r w:rsidR="0096020B" w:rsidRPr="00AE336C">
        <w:rPr>
          <w:rFonts w:ascii="Arial" w:hAnsi="Arial" w:cs="Arial"/>
          <w:sz w:val="22"/>
          <w:szCs w:val="22"/>
        </w:rPr>
        <w:t xml:space="preserve">nterest </w:t>
      </w:r>
      <w:r w:rsidR="00D77555" w:rsidRPr="00AE336C">
        <w:rPr>
          <w:rFonts w:ascii="Arial" w:hAnsi="Arial" w:cs="Arial"/>
          <w:sz w:val="22"/>
          <w:szCs w:val="22"/>
        </w:rPr>
        <w:t>c</w:t>
      </w:r>
      <w:r w:rsidR="0096020B" w:rsidRPr="00AE336C">
        <w:rPr>
          <w:rFonts w:ascii="Arial" w:hAnsi="Arial" w:cs="Arial"/>
          <w:sz w:val="22"/>
          <w:szCs w:val="22"/>
        </w:rPr>
        <w:t>harge (GIC)</w:t>
      </w:r>
      <w:r w:rsidR="000F69DF" w:rsidRPr="00AE336C">
        <w:rPr>
          <w:rFonts w:ascii="Arial" w:hAnsi="Arial" w:cs="Arial"/>
          <w:sz w:val="22"/>
          <w:szCs w:val="22"/>
        </w:rPr>
        <w:t xml:space="preserve"> (section 8AAG)</w:t>
      </w:r>
      <w:r w:rsidR="00280913" w:rsidRPr="00AE336C">
        <w:rPr>
          <w:rFonts w:ascii="Arial" w:hAnsi="Arial" w:cs="Arial"/>
          <w:sz w:val="22"/>
          <w:szCs w:val="22"/>
        </w:rPr>
        <w:t xml:space="preserve">, </w:t>
      </w:r>
      <w:r w:rsidR="00D77555" w:rsidRPr="00AE336C">
        <w:rPr>
          <w:rFonts w:ascii="Arial" w:hAnsi="Arial" w:cs="Arial"/>
          <w:sz w:val="22"/>
          <w:szCs w:val="22"/>
        </w:rPr>
        <w:t>s</w:t>
      </w:r>
      <w:r w:rsidR="0096020B" w:rsidRPr="00AE336C">
        <w:rPr>
          <w:rFonts w:ascii="Arial" w:hAnsi="Arial" w:cs="Arial"/>
          <w:sz w:val="22"/>
          <w:szCs w:val="22"/>
        </w:rPr>
        <w:t xml:space="preserve">hortfall </w:t>
      </w:r>
      <w:r w:rsidR="00D77555" w:rsidRPr="00AE336C">
        <w:rPr>
          <w:rFonts w:ascii="Arial" w:hAnsi="Arial" w:cs="Arial"/>
          <w:sz w:val="22"/>
          <w:szCs w:val="22"/>
        </w:rPr>
        <w:t>i</w:t>
      </w:r>
      <w:r w:rsidR="0096020B" w:rsidRPr="00AE336C">
        <w:rPr>
          <w:rFonts w:ascii="Arial" w:hAnsi="Arial" w:cs="Arial"/>
          <w:sz w:val="22"/>
          <w:szCs w:val="22"/>
        </w:rPr>
        <w:t xml:space="preserve">nterest </w:t>
      </w:r>
      <w:r w:rsidR="00D77555" w:rsidRPr="00AE336C">
        <w:rPr>
          <w:rFonts w:ascii="Arial" w:hAnsi="Arial" w:cs="Arial"/>
          <w:sz w:val="22"/>
          <w:szCs w:val="22"/>
        </w:rPr>
        <w:t>c</w:t>
      </w:r>
      <w:r w:rsidR="0096020B" w:rsidRPr="00AE336C">
        <w:rPr>
          <w:rFonts w:ascii="Arial" w:hAnsi="Arial" w:cs="Arial"/>
          <w:sz w:val="22"/>
          <w:szCs w:val="22"/>
        </w:rPr>
        <w:t>harge (SIC)</w:t>
      </w:r>
      <w:r w:rsidR="000F69DF" w:rsidRPr="00AE336C">
        <w:rPr>
          <w:rFonts w:ascii="Arial" w:hAnsi="Arial" w:cs="Arial"/>
          <w:sz w:val="22"/>
          <w:szCs w:val="22"/>
        </w:rPr>
        <w:t xml:space="preserve"> (subsection 280-160(1) in Schedule 1)</w:t>
      </w:r>
      <w:r w:rsidR="00280913" w:rsidRPr="00AE336C">
        <w:rPr>
          <w:rFonts w:ascii="Arial" w:hAnsi="Arial" w:cs="Arial"/>
          <w:sz w:val="22"/>
          <w:szCs w:val="22"/>
        </w:rPr>
        <w:t>,</w:t>
      </w:r>
      <w:r w:rsidR="0096020B" w:rsidRPr="00AE336C">
        <w:rPr>
          <w:rFonts w:ascii="Arial" w:hAnsi="Arial" w:cs="Arial"/>
          <w:sz w:val="22"/>
          <w:szCs w:val="22"/>
        </w:rPr>
        <w:t xml:space="preserve"> and administrative penalties including the </w:t>
      </w:r>
      <w:r w:rsidR="00D77555" w:rsidRPr="00AE336C">
        <w:rPr>
          <w:rFonts w:ascii="Arial" w:hAnsi="Arial" w:cs="Arial"/>
          <w:sz w:val="22"/>
          <w:szCs w:val="22"/>
        </w:rPr>
        <w:t>f</w:t>
      </w:r>
      <w:r w:rsidR="0096020B" w:rsidRPr="00AE336C">
        <w:rPr>
          <w:rFonts w:ascii="Arial" w:hAnsi="Arial" w:cs="Arial"/>
          <w:sz w:val="22"/>
          <w:szCs w:val="22"/>
        </w:rPr>
        <w:t xml:space="preserve">ailure to </w:t>
      </w:r>
      <w:r w:rsidR="00D77555" w:rsidRPr="00AE336C">
        <w:rPr>
          <w:rFonts w:ascii="Arial" w:hAnsi="Arial" w:cs="Arial"/>
          <w:sz w:val="22"/>
          <w:szCs w:val="22"/>
        </w:rPr>
        <w:t>l</w:t>
      </w:r>
      <w:r w:rsidR="0096020B" w:rsidRPr="00AE336C">
        <w:rPr>
          <w:rFonts w:ascii="Arial" w:hAnsi="Arial" w:cs="Arial"/>
          <w:sz w:val="22"/>
          <w:szCs w:val="22"/>
        </w:rPr>
        <w:t>odge (FTL) penalty</w:t>
      </w:r>
      <w:r w:rsidR="000F69DF" w:rsidRPr="00AE336C">
        <w:rPr>
          <w:rFonts w:ascii="Arial" w:hAnsi="Arial" w:cs="Arial"/>
          <w:sz w:val="22"/>
          <w:szCs w:val="22"/>
        </w:rPr>
        <w:t xml:space="preserve"> (subsection 2</w:t>
      </w:r>
      <w:r w:rsidR="000169CB" w:rsidRPr="00AE336C">
        <w:rPr>
          <w:rFonts w:ascii="Arial" w:hAnsi="Arial" w:cs="Arial"/>
          <w:sz w:val="22"/>
          <w:szCs w:val="22"/>
        </w:rPr>
        <w:t>98</w:t>
      </w:r>
      <w:r w:rsidR="000F69DF" w:rsidRPr="00AE336C">
        <w:rPr>
          <w:rFonts w:ascii="Arial" w:hAnsi="Arial" w:cs="Arial"/>
          <w:sz w:val="22"/>
          <w:szCs w:val="22"/>
        </w:rPr>
        <w:t>-</w:t>
      </w:r>
      <w:r w:rsidR="000169CB" w:rsidRPr="00AE336C">
        <w:rPr>
          <w:rFonts w:ascii="Arial" w:hAnsi="Arial" w:cs="Arial"/>
          <w:sz w:val="22"/>
          <w:szCs w:val="22"/>
        </w:rPr>
        <w:t>20</w:t>
      </w:r>
      <w:r w:rsidR="000F69DF" w:rsidRPr="00AE336C">
        <w:rPr>
          <w:rFonts w:ascii="Arial" w:hAnsi="Arial" w:cs="Arial"/>
          <w:sz w:val="22"/>
          <w:szCs w:val="22"/>
        </w:rPr>
        <w:t>(1) in Schedule 1)</w:t>
      </w:r>
      <w:r w:rsidR="0096020B" w:rsidRPr="00AE336C">
        <w:rPr>
          <w:rFonts w:ascii="Arial" w:hAnsi="Arial" w:cs="Arial"/>
          <w:sz w:val="22"/>
          <w:szCs w:val="22"/>
        </w:rPr>
        <w:t>.</w:t>
      </w:r>
    </w:p>
    <w:p w14:paraId="05EFB62C" w14:textId="00B03FFD" w:rsidR="00133A2E" w:rsidRPr="00AE336C" w:rsidRDefault="00DE22E6"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The modification</w:t>
      </w:r>
      <w:r w:rsidR="009D1021" w:rsidRPr="00AE336C">
        <w:rPr>
          <w:rFonts w:ascii="Arial" w:hAnsi="Arial" w:cs="Arial"/>
          <w:sz w:val="22"/>
          <w:szCs w:val="22"/>
        </w:rPr>
        <w:t>s</w:t>
      </w:r>
      <w:r w:rsidR="00D77555" w:rsidRPr="00AE336C">
        <w:rPr>
          <w:rFonts w:ascii="Arial" w:hAnsi="Arial" w:cs="Arial"/>
          <w:sz w:val="22"/>
          <w:szCs w:val="22"/>
        </w:rPr>
        <w:t xml:space="preserve"> </w:t>
      </w:r>
      <w:r w:rsidR="00CE4B4A" w:rsidRPr="00AE336C">
        <w:rPr>
          <w:rFonts w:ascii="Arial" w:hAnsi="Arial" w:cs="Arial"/>
          <w:sz w:val="22"/>
          <w:szCs w:val="22"/>
        </w:rPr>
        <w:t>ensure</w:t>
      </w:r>
      <w:r w:rsidR="00D77555" w:rsidRPr="00AE336C">
        <w:rPr>
          <w:rFonts w:ascii="Arial" w:hAnsi="Arial" w:cs="Arial"/>
          <w:sz w:val="22"/>
          <w:szCs w:val="22"/>
        </w:rPr>
        <w:t xml:space="preserve"> that</w:t>
      </w:r>
      <w:r w:rsidR="00CE4B4A" w:rsidRPr="00AE336C">
        <w:rPr>
          <w:rFonts w:ascii="Arial" w:hAnsi="Arial" w:cs="Arial"/>
          <w:sz w:val="22"/>
          <w:szCs w:val="22"/>
        </w:rPr>
        <w:t xml:space="preserve"> the Commissioner </w:t>
      </w:r>
      <w:r w:rsidR="00FF783B" w:rsidRPr="00AE336C">
        <w:rPr>
          <w:rFonts w:ascii="Arial" w:hAnsi="Arial" w:cs="Arial"/>
          <w:sz w:val="22"/>
          <w:szCs w:val="22"/>
        </w:rPr>
        <w:t xml:space="preserve">of Taxation (Commissioner) </w:t>
      </w:r>
      <w:bookmarkStart w:id="2" w:name="_Hlk119667296"/>
      <w:r w:rsidR="00CE4B4A" w:rsidRPr="00AE336C">
        <w:rPr>
          <w:rFonts w:ascii="Arial" w:hAnsi="Arial" w:cs="Arial"/>
          <w:sz w:val="22"/>
          <w:szCs w:val="22"/>
        </w:rPr>
        <w:t>can continue</w:t>
      </w:r>
      <w:r w:rsidR="00601BEB" w:rsidRPr="00AE336C">
        <w:rPr>
          <w:rFonts w:ascii="Arial" w:hAnsi="Arial" w:cs="Arial"/>
          <w:sz w:val="22"/>
          <w:szCs w:val="22"/>
        </w:rPr>
        <w:t xml:space="preserve"> </w:t>
      </w:r>
      <w:r w:rsidR="003843A4">
        <w:rPr>
          <w:rFonts w:ascii="Arial" w:hAnsi="Arial" w:cs="Arial"/>
          <w:sz w:val="22"/>
          <w:szCs w:val="22"/>
        </w:rPr>
        <w:t>the</w:t>
      </w:r>
      <w:r w:rsidR="00FF783B" w:rsidRPr="00AE336C">
        <w:rPr>
          <w:rFonts w:ascii="Arial" w:hAnsi="Arial" w:cs="Arial"/>
          <w:sz w:val="22"/>
          <w:szCs w:val="22"/>
        </w:rPr>
        <w:t xml:space="preserve"> </w:t>
      </w:r>
      <w:r w:rsidR="00601BEB" w:rsidRPr="00AE336C">
        <w:rPr>
          <w:rFonts w:ascii="Arial" w:hAnsi="Arial" w:cs="Arial"/>
          <w:sz w:val="22"/>
          <w:szCs w:val="22"/>
        </w:rPr>
        <w:t>long</w:t>
      </w:r>
      <w:r w:rsidR="004F77B0" w:rsidRPr="00AE336C">
        <w:rPr>
          <w:rFonts w:ascii="Arial" w:hAnsi="Arial" w:cs="Arial"/>
          <w:sz w:val="22"/>
          <w:szCs w:val="22"/>
        </w:rPr>
        <w:t>-</w:t>
      </w:r>
      <w:r w:rsidR="00601BEB" w:rsidRPr="00AE336C">
        <w:rPr>
          <w:rFonts w:ascii="Arial" w:hAnsi="Arial" w:cs="Arial"/>
          <w:sz w:val="22"/>
          <w:szCs w:val="22"/>
        </w:rPr>
        <w:t>standing practice</w:t>
      </w:r>
      <w:r w:rsidR="00CE4B4A" w:rsidRPr="00AE336C">
        <w:rPr>
          <w:rFonts w:ascii="Arial" w:hAnsi="Arial" w:cs="Arial"/>
          <w:sz w:val="22"/>
          <w:szCs w:val="22"/>
        </w:rPr>
        <w:t xml:space="preserve"> </w:t>
      </w:r>
      <w:r w:rsidR="00C12D26" w:rsidRPr="00AE336C">
        <w:rPr>
          <w:rFonts w:ascii="Arial" w:hAnsi="Arial" w:cs="Arial"/>
          <w:sz w:val="22"/>
          <w:szCs w:val="22"/>
        </w:rPr>
        <w:t>of providing</w:t>
      </w:r>
      <w:r w:rsidR="00133A2E" w:rsidRPr="00AE336C">
        <w:rPr>
          <w:rFonts w:ascii="Arial" w:hAnsi="Arial" w:cs="Arial"/>
          <w:sz w:val="22"/>
          <w:szCs w:val="22"/>
        </w:rPr>
        <w:t>:</w:t>
      </w:r>
    </w:p>
    <w:p w14:paraId="7C1AC472" w14:textId="5F8C48CF" w:rsidR="00FC18B4" w:rsidRPr="00AE336C" w:rsidRDefault="00133A2E" w:rsidP="00AE336C">
      <w:pPr>
        <w:numPr>
          <w:ilvl w:val="0"/>
          <w:numId w:val="2"/>
        </w:numPr>
        <w:spacing w:after="120"/>
        <w:ind w:left="1418" w:hanging="709"/>
        <w:rPr>
          <w:rFonts w:ascii="Arial" w:hAnsi="Arial" w:cs="Arial"/>
        </w:rPr>
      </w:pPr>
      <w:r w:rsidRPr="00AE336C">
        <w:rPr>
          <w:rFonts w:ascii="Arial" w:hAnsi="Arial" w:cs="Arial"/>
          <w:sz w:val="22"/>
          <w:szCs w:val="22"/>
        </w:rPr>
        <w:t xml:space="preserve">remissions </w:t>
      </w:r>
      <w:r w:rsidR="00FF783B" w:rsidRPr="00AE336C">
        <w:rPr>
          <w:rFonts w:ascii="Arial" w:hAnsi="Arial" w:cs="Arial"/>
          <w:sz w:val="22"/>
          <w:szCs w:val="22"/>
        </w:rPr>
        <w:t xml:space="preserve">as an administrative response to a </w:t>
      </w:r>
      <w:r w:rsidR="009D158E" w:rsidRPr="00AE336C">
        <w:rPr>
          <w:rFonts w:ascii="Arial" w:hAnsi="Arial" w:cs="Arial"/>
          <w:sz w:val="22"/>
          <w:szCs w:val="22"/>
        </w:rPr>
        <w:t xml:space="preserve">natural </w:t>
      </w:r>
      <w:r w:rsidR="00C77077" w:rsidRPr="00AE336C">
        <w:rPr>
          <w:rFonts w:ascii="Arial" w:hAnsi="Arial" w:cs="Arial"/>
          <w:sz w:val="22"/>
          <w:szCs w:val="22"/>
        </w:rPr>
        <w:t xml:space="preserve">disaster </w:t>
      </w:r>
      <w:r w:rsidR="004D2B95" w:rsidRPr="00AE336C">
        <w:rPr>
          <w:rFonts w:ascii="Arial" w:hAnsi="Arial" w:cs="Arial"/>
          <w:sz w:val="22"/>
          <w:szCs w:val="22"/>
        </w:rPr>
        <w:t xml:space="preserve">or other serious and external adverse event </w:t>
      </w:r>
      <w:r w:rsidR="00FF783B" w:rsidRPr="00AE336C">
        <w:rPr>
          <w:rFonts w:ascii="Arial" w:hAnsi="Arial" w:cs="Arial"/>
          <w:sz w:val="22"/>
          <w:szCs w:val="22"/>
        </w:rPr>
        <w:t>impacting the community</w:t>
      </w:r>
      <w:bookmarkEnd w:id="2"/>
      <w:r w:rsidR="005A6745" w:rsidRPr="00AE336C">
        <w:rPr>
          <w:rFonts w:ascii="Arial" w:hAnsi="Arial" w:cs="Arial"/>
          <w:sz w:val="22"/>
          <w:szCs w:val="22"/>
        </w:rPr>
        <w:t>,</w:t>
      </w:r>
    </w:p>
    <w:p w14:paraId="5D6C12C2" w14:textId="39E386B3" w:rsidR="00FC18B4" w:rsidRPr="00AE336C" w:rsidRDefault="009D158E" w:rsidP="00AE336C">
      <w:pPr>
        <w:numPr>
          <w:ilvl w:val="0"/>
          <w:numId w:val="2"/>
        </w:numPr>
        <w:spacing w:after="120"/>
        <w:ind w:left="1418" w:hanging="709"/>
        <w:rPr>
          <w:rFonts w:ascii="Arial" w:hAnsi="Arial" w:cs="Arial"/>
        </w:rPr>
      </w:pPr>
      <w:r w:rsidRPr="00AE336C">
        <w:rPr>
          <w:rFonts w:ascii="Arial" w:hAnsi="Arial" w:cs="Arial"/>
          <w:sz w:val="22"/>
          <w:szCs w:val="22"/>
        </w:rPr>
        <w:t>low value or low risk remissions</w:t>
      </w:r>
      <w:r w:rsidR="004F77B0" w:rsidRPr="00AE336C">
        <w:rPr>
          <w:rFonts w:ascii="Arial" w:hAnsi="Arial" w:cs="Arial"/>
          <w:sz w:val="22"/>
          <w:szCs w:val="22"/>
        </w:rPr>
        <w:t>,</w:t>
      </w:r>
      <w:r w:rsidRPr="00AE336C">
        <w:rPr>
          <w:rFonts w:ascii="Arial" w:hAnsi="Arial" w:cs="Arial"/>
          <w:sz w:val="22"/>
          <w:szCs w:val="22"/>
        </w:rPr>
        <w:t xml:space="preserve"> </w:t>
      </w:r>
      <w:r w:rsidR="003B689D" w:rsidRPr="00AE336C">
        <w:rPr>
          <w:rFonts w:ascii="Arial" w:hAnsi="Arial" w:cs="Arial"/>
          <w:sz w:val="22"/>
          <w:szCs w:val="22"/>
        </w:rPr>
        <w:t>and</w:t>
      </w:r>
    </w:p>
    <w:p w14:paraId="48623AD7" w14:textId="77777777" w:rsidR="00FC18B4" w:rsidRPr="00AE336C" w:rsidRDefault="00C77077" w:rsidP="00AE336C">
      <w:pPr>
        <w:numPr>
          <w:ilvl w:val="0"/>
          <w:numId w:val="2"/>
        </w:numPr>
        <w:spacing w:after="120"/>
        <w:ind w:left="1418" w:hanging="709"/>
        <w:rPr>
          <w:rFonts w:ascii="Arial" w:hAnsi="Arial" w:cs="Arial"/>
        </w:rPr>
      </w:pPr>
      <w:r w:rsidRPr="00AE336C">
        <w:rPr>
          <w:rFonts w:ascii="Arial" w:hAnsi="Arial" w:cs="Arial"/>
          <w:sz w:val="22"/>
          <w:szCs w:val="22"/>
        </w:rPr>
        <w:t>agreement-based remissions</w:t>
      </w:r>
      <w:r w:rsidR="00D77555" w:rsidRPr="00AE336C">
        <w:rPr>
          <w:rFonts w:ascii="Arial" w:hAnsi="Arial" w:cs="Arial"/>
          <w:sz w:val="22"/>
          <w:szCs w:val="22"/>
        </w:rPr>
        <w:t>,</w:t>
      </w:r>
      <w:r w:rsidR="00A74213" w:rsidRPr="00AE336C">
        <w:rPr>
          <w:rFonts w:ascii="Arial" w:hAnsi="Arial" w:cs="Arial"/>
          <w:sz w:val="22"/>
          <w:szCs w:val="22"/>
        </w:rPr>
        <w:t xml:space="preserve"> where </w:t>
      </w:r>
      <w:r w:rsidR="004A6165" w:rsidRPr="00AE336C">
        <w:rPr>
          <w:rFonts w:ascii="Arial" w:hAnsi="Arial" w:cs="Arial"/>
          <w:sz w:val="22"/>
          <w:szCs w:val="22"/>
        </w:rPr>
        <w:t xml:space="preserve">a </w:t>
      </w:r>
      <w:r w:rsidR="00A74213" w:rsidRPr="00AE336C">
        <w:rPr>
          <w:rFonts w:ascii="Arial" w:hAnsi="Arial" w:cs="Arial"/>
          <w:sz w:val="22"/>
          <w:szCs w:val="22"/>
        </w:rPr>
        <w:t xml:space="preserve">remission is agreed to prior to the </w:t>
      </w:r>
      <w:r w:rsidR="004A6165" w:rsidRPr="00AE336C">
        <w:rPr>
          <w:rFonts w:ascii="Arial" w:hAnsi="Arial" w:cs="Arial"/>
          <w:sz w:val="22"/>
          <w:szCs w:val="22"/>
        </w:rPr>
        <w:t xml:space="preserve">relevant </w:t>
      </w:r>
      <w:r w:rsidR="00A74213" w:rsidRPr="00AE336C">
        <w:rPr>
          <w:rFonts w:ascii="Arial" w:hAnsi="Arial" w:cs="Arial"/>
          <w:sz w:val="22"/>
          <w:szCs w:val="22"/>
        </w:rPr>
        <w:t>liability arising.</w:t>
      </w:r>
    </w:p>
    <w:p w14:paraId="4C861B63" w14:textId="613234D0" w:rsidR="00FC18B4" w:rsidRPr="00AE336C" w:rsidRDefault="00D77555"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The instrument </w:t>
      </w:r>
      <w:r w:rsidR="00601BEB" w:rsidRPr="00AE336C">
        <w:rPr>
          <w:rFonts w:ascii="Arial" w:hAnsi="Arial" w:cs="Arial"/>
          <w:sz w:val="22"/>
          <w:szCs w:val="22"/>
        </w:rPr>
        <w:t>remov</w:t>
      </w:r>
      <w:r w:rsidRPr="00AE336C">
        <w:rPr>
          <w:rFonts w:ascii="Arial" w:hAnsi="Arial" w:cs="Arial"/>
          <w:sz w:val="22"/>
          <w:szCs w:val="22"/>
        </w:rPr>
        <w:t>e</w:t>
      </w:r>
      <w:r w:rsidR="003843A4">
        <w:rPr>
          <w:rFonts w:ascii="Arial" w:hAnsi="Arial" w:cs="Arial"/>
          <w:sz w:val="22"/>
          <w:szCs w:val="22"/>
        </w:rPr>
        <w:t>s</w:t>
      </w:r>
      <w:r w:rsidR="00601BEB" w:rsidRPr="00AE336C">
        <w:rPr>
          <w:rFonts w:ascii="Arial" w:hAnsi="Arial" w:cs="Arial"/>
          <w:sz w:val="22"/>
          <w:szCs w:val="22"/>
        </w:rPr>
        <w:t xml:space="preserve"> any doubt </w:t>
      </w:r>
      <w:r w:rsidRPr="00AE336C">
        <w:rPr>
          <w:rFonts w:ascii="Arial" w:hAnsi="Arial" w:cs="Arial"/>
          <w:sz w:val="22"/>
          <w:szCs w:val="22"/>
        </w:rPr>
        <w:t xml:space="preserve">about </w:t>
      </w:r>
      <w:r w:rsidR="00A607C7" w:rsidRPr="00AE336C">
        <w:rPr>
          <w:rFonts w:ascii="Arial" w:hAnsi="Arial" w:cs="Arial"/>
          <w:sz w:val="22"/>
          <w:szCs w:val="22"/>
        </w:rPr>
        <w:t>the</w:t>
      </w:r>
      <w:r w:rsidR="00FF200D" w:rsidRPr="00AE336C">
        <w:rPr>
          <w:rFonts w:ascii="Arial" w:hAnsi="Arial" w:cs="Arial"/>
          <w:sz w:val="22"/>
          <w:szCs w:val="22"/>
        </w:rPr>
        <w:t xml:space="preserve"> Commissioner’s</w:t>
      </w:r>
      <w:r w:rsidR="00601BEB" w:rsidRPr="00AE336C">
        <w:rPr>
          <w:rFonts w:ascii="Arial" w:hAnsi="Arial" w:cs="Arial"/>
          <w:sz w:val="22"/>
          <w:szCs w:val="22"/>
        </w:rPr>
        <w:t xml:space="preserve"> power to make </w:t>
      </w:r>
      <w:r w:rsidR="004F6909" w:rsidRPr="00AE336C">
        <w:rPr>
          <w:rFonts w:ascii="Arial" w:hAnsi="Arial" w:cs="Arial"/>
          <w:sz w:val="22"/>
          <w:szCs w:val="22"/>
        </w:rPr>
        <w:t xml:space="preserve">remission </w:t>
      </w:r>
      <w:r w:rsidR="00601BEB" w:rsidRPr="00AE336C">
        <w:rPr>
          <w:rFonts w:ascii="Arial" w:hAnsi="Arial" w:cs="Arial"/>
          <w:sz w:val="22"/>
          <w:szCs w:val="22"/>
        </w:rPr>
        <w:t>decisions</w:t>
      </w:r>
      <w:r w:rsidR="00280913" w:rsidRPr="00AE336C">
        <w:rPr>
          <w:rFonts w:ascii="Arial" w:hAnsi="Arial" w:cs="Arial"/>
          <w:sz w:val="22"/>
          <w:szCs w:val="22"/>
        </w:rPr>
        <w:t xml:space="preserve"> in relation to </w:t>
      </w:r>
      <w:r w:rsidR="00280913" w:rsidRPr="00AE336C">
        <w:rPr>
          <w:rFonts w:ascii="Arial" w:hAnsi="Arial" w:cs="Arial"/>
          <w:i/>
          <w:iCs/>
          <w:sz w:val="22"/>
          <w:szCs w:val="22"/>
        </w:rPr>
        <w:t>classes</w:t>
      </w:r>
      <w:r w:rsidR="00280913" w:rsidRPr="00AE336C">
        <w:rPr>
          <w:rFonts w:ascii="Arial" w:hAnsi="Arial" w:cs="Arial"/>
          <w:sz w:val="22"/>
          <w:szCs w:val="22"/>
        </w:rPr>
        <w:t xml:space="preserve"> </w:t>
      </w:r>
      <w:r w:rsidR="00280913" w:rsidRPr="00AE336C">
        <w:rPr>
          <w:rFonts w:ascii="Arial" w:hAnsi="Arial" w:cs="Arial"/>
          <w:i/>
          <w:iCs/>
          <w:sz w:val="22"/>
          <w:szCs w:val="22"/>
        </w:rPr>
        <w:t>of entities</w:t>
      </w:r>
      <w:r w:rsidR="00280913" w:rsidRPr="00AE336C">
        <w:rPr>
          <w:rFonts w:ascii="Arial" w:hAnsi="Arial" w:cs="Arial"/>
          <w:sz w:val="22"/>
          <w:szCs w:val="22"/>
        </w:rPr>
        <w:t xml:space="preserve">, as well as in circumstances where a </w:t>
      </w:r>
      <w:r w:rsidR="00D62BC8" w:rsidRPr="00AE336C">
        <w:rPr>
          <w:rFonts w:ascii="Arial" w:hAnsi="Arial" w:cs="Arial"/>
          <w:sz w:val="22"/>
          <w:szCs w:val="22"/>
        </w:rPr>
        <w:t xml:space="preserve">charge or penalty </w:t>
      </w:r>
      <w:r w:rsidR="00280913" w:rsidRPr="00AE336C">
        <w:rPr>
          <w:rFonts w:ascii="Arial" w:hAnsi="Arial" w:cs="Arial"/>
          <w:i/>
          <w:sz w:val="22"/>
          <w:szCs w:val="22"/>
        </w:rPr>
        <w:t>has not yet become due and payable</w:t>
      </w:r>
      <w:r w:rsidR="00280913" w:rsidRPr="00AE336C">
        <w:rPr>
          <w:rFonts w:ascii="Arial" w:hAnsi="Arial" w:cs="Arial"/>
          <w:sz w:val="22"/>
          <w:szCs w:val="22"/>
        </w:rPr>
        <w:t xml:space="preserve"> (but </w:t>
      </w:r>
      <w:r w:rsidR="00D62BC8" w:rsidRPr="00AE336C">
        <w:rPr>
          <w:rFonts w:ascii="Arial" w:hAnsi="Arial" w:cs="Arial"/>
          <w:sz w:val="22"/>
          <w:szCs w:val="22"/>
        </w:rPr>
        <w:t>may become due and payable in the future</w:t>
      </w:r>
      <w:r w:rsidR="00280913" w:rsidRPr="00AE336C">
        <w:rPr>
          <w:rFonts w:ascii="Arial" w:hAnsi="Arial" w:cs="Arial"/>
          <w:sz w:val="22"/>
          <w:szCs w:val="22"/>
        </w:rPr>
        <w:t>)</w:t>
      </w:r>
      <w:r w:rsidR="00D62BC8" w:rsidRPr="00AE336C">
        <w:rPr>
          <w:rFonts w:ascii="Arial" w:hAnsi="Arial" w:cs="Arial"/>
          <w:sz w:val="22"/>
          <w:szCs w:val="22"/>
        </w:rPr>
        <w:t>.</w:t>
      </w:r>
    </w:p>
    <w:p w14:paraId="730F9BFB" w14:textId="753BE060" w:rsidR="00280913" w:rsidRPr="00AE336C" w:rsidRDefault="00280913"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The modifications support the use of automated processes that remit interest or penalties as soon as those liabilities arise, without requiring a separate request from a taxpayer and a decision from the</w:t>
      </w:r>
      <w:r w:rsidR="003B689D" w:rsidRPr="00AE336C">
        <w:rPr>
          <w:rFonts w:ascii="Arial" w:hAnsi="Arial" w:cs="Arial"/>
          <w:sz w:val="22"/>
          <w:szCs w:val="22"/>
        </w:rPr>
        <w:t xml:space="preserve"> Australian Taxation Office</w:t>
      </w:r>
      <w:r w:rsidRPr="00AE336C">
        <w:rPr>
          <w:rFonts w:ascii="Arial" w:hAnsi="Arial" w:cs="Arial"/>
          <w:sz w:val="22"/>
          <w:szCs w:val="22"/>
        </w:rPr>
        <w:t xml:space="preserve"> </w:t>
      </w:r>
      <w:r w:rsidR="003B689D" w:rsidRPr="00AE336C">
        <w:rPr>
          <w:rFonts w:ascii="Arial" w:hAnsi="Arial" w:cs="Arial"/>
          <w:sz w:val="22"/>
          <w:szCs w:val="22"/>
        </w:rPr>
        <w:t>(</w:t>
      </w:r>
      <w:r w:rsidR="004A6165" w:rsidRPr="00AE336C">
        <w:rPr>
          <w:rFonts w:ascii="Arial" w:hAnsi="Arial" w:cs="Arial"/>
          <w:sz w:val="22"/>
          <w:szCs w:val="22"/>
        </w:rPr>
        <w:t>ATO</w:t>
      </w:r>
      <w:r w:rsidR="003B689D" w:rsidRPr="00AE336C">
        <w:rPr>
          <w:rFonts w:ascii="Arial" w:hAnsi="Arial" w:cs="Arial"/>
          <w:sz w:val="22"/>
          <w:szCs w:val="22"/>
        </w:rPr>
        <w:t>)</w:t>
      </w:r>
      <w:r w:rsidR="004F6909" w:rsidRPr="00AE336C">
        <w:rPr>
          <w:rFonts w:ascii="Arial" w:hAnsi="Arial" w:cs="Arial"/>
          <w:sz w:val="22"/>
          <w:szCs w:val="22"/>
        </w:rPr>
        <w:t xml:space="preserve"> every time a </w:t>
      </w:r>
      <w:r w:rsidRPr="00AE336C">
        <w:rPr>
          <w:rFonts w:ascii="Arial" w:hAnsi="Arial" w:cs="Arial"/>
          <w:sz w:val="22"/>
          <w:szCs w:val="22"/>
        </w:rPr>
        <w:t>liability arises.</w:t>
      </w:r>
    </w:p>
    <w:p w14:paraId="15AC1B5F" w14:textId="048CA935" w:rsidR="00486653" w:rsidRDefault="00486653"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The instrument is a legislative instrument for the purposes of the </w:t>
      </w:r>
      <w:r w:rsidR="00C4143E" w:rsidRPr="00AE336C">
        <w:rPr>
          <w:rFonts w:ascii="Arial" w:hAnsi="Arial" w:cs="Arial"/>
          <w:i/>
          <w:sz w:val="22"/>
          <w:szCs w:val="22"/>
        </w:rPr>
        <w:t xml:space="preserve">Legislation </w:t>
      </w:r>
      <w:r w:rsidRPr="00AE336C">
        <w:rPr>
          <w:rFonts w:ascii="Arial" w:hAnsi="Arial" w:cs="Arial"/>
          <w:i/>
          <w:sz w:val="22"/>
          <w:szCs w:val="22"/>
        </w:rPr>
        <w:t>Act 2003</w:t>
      </w:r>
      <w:r w:rsidRPr="00AE336C">
        <w:rPr>
          <w:rFonts w:ascii="Arial" w:hAnsi="Arial" w:cs="Arial"/>
          <w:sz w:val="22"/>
          <w:szCs w:val="22"/>
        </w:rPr>
        <w:t>.</w:t>
      </w:r>
    </w:p>
    <w:p w14:paraId="23440B28" w14:textId="0C55DA64" w:rsidR="00E15758" w:rsidRPr="00E15758" w:rsidRDefault="00E15758" w:rsidP="00E15758">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 xml:space="preserve">Under subsection 33(3) of the </w:t>
      </w:r>
      <w:r w:rsidRPr="00E15758">
        <w:rPr>
          <w:rFonts w:ascii="Arial" w:hAnsi="Arial" w:cs="Arial"/>
          <w:i/>
          <w:iCs/>
          <w:sz w:val="22"/>
          <w:szCs w:val="22"/>
        </w:rPr>
        <w:t>Acts Interpretation Act 1901</w:t>
      </w:r>
      <w:r w:rsidRPr="00E15758">
        <w:rPr>
          <w:rFonts w:ascii="Arial" w:hAnsi="Arial" w:cs="Arial"/>
          <w:sz w:val="22"/>
          <w:szCs w:val="22"/>
        </w:rPr>
        <w:t xml:space="preserve"> </w:t>
      </w:r>
      <w:r>
        <w:rPr>
          <w:rFonts w:ascii="Arial" w:hAnsi="Arial" w:cs="Arial"/>
          <w:sz w:val="22"/>
          <w:szCs w:val="22"/>
        </w:rPr>
        <w:t>(AI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operation of subsection 33(3) of the AI Act is modified by section 370-15 in Schedule 1 to the TAA in the present context. Section 370</w:t>
      </w:r>
      <w:r>
        <w:rPr>
          <w:rFonts w:ascii="Arial" w:hAnsi="Arial" w:cs="Arial"/>
          <w:sz w:val="22"/>
          <w:szCs w:val="22"/>
        </w:rPr>
        <w:noBreakHyphen/>
        <w:t xml:space="preserve">15 enables the Commissioner to repeal determinations made in the exercise of the Commissioner’s remedial power under section 370-5. Because section 370-15 </w:t>
      </w:r>
      <w:r w:rsidR="00D9400E">
        <w:rPr>
          <w:rFonts w:ascii="Arial" w:hAnsi="Arial" w:cs="Arial"/>
          <w:sz w:val="22"/>
          <w:szCs w:val="22"/>
        </w:rPr>
        <w:t xml:space="preserve">relevantly </w:t>
      </w:r>
      <w:r>
        <w:rPr>
          <w:rFonts w:ascii="Arial" w:hAnsi="Arial" w:cs="Arial"/>
          <w:sz w:val="22"/>
          <w:szCs w:val="22"/>
        </w:rPr>
        <w:t xml:space="preserve">provides an express repeal power for the Commissioner, subsection 33(3) of the AI Act does not apply in relation to the </w:t>
      </w:r>
      <w:r w:rsidRPr="00E15758">
        <w:rPr>
          <w:rFonts w:ascii="Arial" w:hAnsi="Arial" w:cs="Arial"/>
          <w:i/>
          <w:iCs/>
          <w:sz w:val="22"/>
          <w:szCs w:val="22"/>
        </w:rPr>
        <w:t>repeal, recission or revocation</w:t>
      </w:r>
      <w:r>
        <w:rPr>
          <w:rFonts w:ascii="Arial" w:hAnsi="Arial" w:cs="Arial"/>
          <w:sz w:val="22"/>
          <w:szCs w:val="22"/>
        </w:rPr>
        <w:t xml:space="preserve"> of a determination made under section 370-5. Subsection 33(3) of the AI Act does, however, apply in relation to the </w:t>
      </w:r>
      <w:r w:rsidRPr="00E15758">
        <w:rPr>
          <w:rFonts w:ascii="Arial" w:hAnsi="Arial" w:cs="Arial"/>
          <w:i/>
          <w:iCs/>
          <w:sz w:val="22"/>
          <w:szCs w:val="22"/>
        </w:rPr>
        <w:t>amendment or variation</w:t>
      </w:r>
      <w:r>
        <w:rPr>
          <w:rFonts w:ascii="Arial" w:hAnsi="Arial" w:cs="Arial"/>
          <w:sz w:val="22"/>
          <w:szCs w:val="22"/>
        </w:rPr>
        <w:t xml:space="preserve"> of such a determination.</w:t>
      </w:r>
    </w:p>
    <w:p w14:paraId="0120720D" w14:textId="77777777" w:rsidR="00FC18B4" w:rsidRPr="00AE336C" w:rsidRDefault="00FC18B4" w:rsidP="00AE336C">
      <w:pPr>
        <w:autoSpaceDE w:val="0"/>
        <w:autoSpaceDN w:val="0"/>
        <w:adjustRightInd w:val="0"/>
        <w:spacing w:after="120"/>
        <w:rPr>
          <w:rFonts w:ascii="Arial" w:hAnsi="Arial" w:cs="Arial"/>
          <w:sz w:val="22"/>
          <w:szCs w:val="22"/>
        </w:rPr>
      </w:pPr>
    </w:p>
    <w:p w14:paraId="15AC1B63" w14:textId="4A38D3C1" w:rsidR="001D02E6" w:rsidRPr="00AE336C" w:rsidRDefault="001D02E6" w:rsidP="00AE336C">
      <w:pPr>
        <w:pStyle w:val="Heading2"/>
      </w:pPr>
      <w:r w:rsidRPr="00AE336C">
        <w:t>Date of effect</w:t>
      </w:r>
    </w:p>
    <w:p w14:paraId="30736B80" w14:textId="312AF4A2" w:rsidR="00C048DC" w:rsidRPr="00AE336C" w:rsidRDefault="00722D05"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Section 370-20</w:t>
      </w:r>
      <w:r w:rsidR="00D77555" w:rsidRPr="00AE336C">
        <w:rPr>
          <w:rFonts w:ascii="Arial" w:hAnsi="Arial" w:cs="Arial"/>
          <w:sz w:val="22"/>
          <w:szCs w:val="22"/>
        </w:rPr>
        <w:t xml:space="preserve"> </w:t>
      </w:r>
      <w:r w:rsidR="005A6745" w:rsidRPr="00AE336C">
        <w:rPr>
          <w:rFonts w:ascii="Arial" w:hAnsi="Arial" w:cs="Arial"/>
          <w:sz w:val="22"/>
          <w:szCs w:val="22"/>
        </w:rPr>
        <w:t xml:space="preserve">in Schedule 1 to </w:t>
      </w:r>
      <w:r w:rsidR="00D77555" w:rsidRPr="00AE336C">
        <w:rPr>
          <w:rFonts w:ascii="Arial" w:hAnsi="Arial" w:cs="Arial"/>
          <w:sz w:val="22"/>
          <w:szCs w:val="22"/>
        </w:rPr>
        <w:t xml:space="preserve">the </w:t>
      </w:r>
      <w:r w:rsidR="00FA2421" w:rsidRPr="00AE336C">
        <w:rPr>
          <w:rFonts w:ascii="Arial" w:hAnsi="Arial" w:cs="Arial"/>
          <w:sz w:val="22"/>
          <w:szCs w:val="22"/>
        </w:rPr>
        <w:t>TAA</w:t>
      </w:r>
      <w:r w:rsidRPr="00AE336C">
        <w:rPr>
          <w:rFonts w:ascii="Arial" w:hAnsi="Arial" w:cs="Arial"/>
          <w:sz w:val="22"/>
          <w:szCs w:val="22"/>
        </w:rPr>
        <w:t xml:space="preserve"> </w:t>
      </w:r>
      <w:r w:rsidR="00CB2210" w:rsidRPr="00AE336C">
        <w:rPr>
          <w:rFonts w:ascii="Arial" w:hAnsi="Arial" w:cs="Arial"/>
          <w:sz w:val="22"/>
          <w:szCs w:val="22"/>
        </w:rPr>
        <w:t>provides that</w:t>
      </w:r>
      <w:r w:rsidRPr="00AE336C">
        <w:rPr>
          <w:rFonts w:ascii="Arial" w:hAnsi="Arial" w:cs="Arial"/>
          <w:sz w:val="22"/>
          <w:szCs w:val="22"/>
        </w:rPr>
        <w:t xml:space="preserve"> a determination made under section</w:t>
      </w:r>
      <w:r w:rsidR="003843A4">
        <w:rPr>
          <w:rFonts w:ascii="Arial" w:hAnsi="Arial" w:cs="Arial"/>
          <w:sz w:val="22"/>
          <w:szCs w:val="22"/>
        </w:rPr>
        <w:t> </w:t>
      </w:r>
      <w:r w:rsidRPr="00AE336C">
        <w:rPr>
          <w:rFonts w:ascii="Arial" w:hAnsi="Arial" w:cs="Arial"/>
          <w:sz w:val="22"/>
          <w:szCs w:val="22"/>
        </w:rPr>
        <w:t>370-5</w:t>
      </w:r>
      <w:r w:rsidR="005A6745" w:rsidRPr="00AE336C">
        <w:rPr>
          <w:rFonts w:ascii="Arial" w:hAnsi="Arial" w:cs="Arial"/>
          <w:sz w:val="22"/>
          <w:szCs w:val="22"/>
        </w:rPr>
        <w:t xml:space="preserve"> in Schedule 1 to the TAA</w:t>
      </w:r>
      <w:r w:rsidRPr="00AE336C">
        <w:rPr>
          <w:rFonts w:ascii="Arial" w:hAnsi="Arial" w:cs="Arial"/>
          <w:sz w:val="22"/>
          <w:szCs w:val="22"/>
        </w:rPr>
        <w:t xml:space="preserve"> must not commence before the first day it is no </w:t>
      </w:r>
      <w:r w:rsidRPr="00AE336C">
        <w:rPr>
          <w:rFonts w:ascii="Arial" w:hAnsi="Arial" w:cs="Arial"/>
          <w:sz w:val="22"/>
          <w:szCs w:val="22"/>
        </w:rPr>
        <w:lastRenderedPageBreak/>
        <w:t xml:space="preserve">longer liable to be disallowed, or to be taken to have been disallowed, under section 42 of the </w:t>
      </w:r>
      <w:r w:rsidRPr="00AE336C">
        <w:rPr>
          <w:rFonts w:ascii="Arial" w:hAnsi="Arial" w:cs="Arial"/>
          <w:i/>
          <w:iCs/>
          <w:sz w:val="22"/>
          <w:szCs w:val="22"/>
        </w:rPr>
        <w:t>Legislation Act 2003</w:t>
      </w:r>
      <w:r w:rsidRPr="00AE336C">
        <w:rPr>
          <w:rFonts w:ascii="Arial" w:hAnsi="Arial" w:cs="Arial"/>
          <w:sz w:val="22"/>
          <w:szCs w:val="22"/>
        </w:rPr>
        <w:t>. Therefore, this determination commences on the first day the determination is no longer liable to be disallowed, or to be taken to have been disallowed.</w:t>
      </w:r>
    </w:p>
    <w:p w14:paraId="017A5D06" w14:textId="77777777" w:rsidR="00FC18B4" w:rsidRPr="00AE336C" w:rsidRDefault="00FC18B4" w:rsidP="00AE336C">
      <w:pPr>
        <w:autoSpaceDE w:val="0"/>
        <w:autoSpaceDN w:val="0"/>
        <w:adjustRightInd w:val="0"/>
        <w:spacing w:after="120"/>
        <w:rPr>
          <w:rFonts w:ascii="Arial" w:hAnsi="Arial" w:cs="Arial"/>
          <w:sz w:val="22"/>
          <w:szCs w:val="22"/>
        </w:rPr>
      </w:pPr>
    </w:p>
    <w:p w14:paraId="15AC1B73" w14:textId="54C41584" w:rsidR="00486653" w:rsidRPr="00AE336C" w:rsidRDefault="00486653" w:rsidP="00AE336C">
      <w:pPr>
        <w:pStyle w:val="Heading2"/>
      </w:pPr>
      <w:r w:rsidRPr="00AE336C">
        <w:t>Background</w:t>
      </w:r>
    </w:p>
    <w:p w14:paraId="4AB98A2A" w14:textId="3A4E6BD3" w:rsidR="00FC18B4" w:rsidRPr="00AE336C" w:rsidRDefault="005B6CDF"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GIC, SIC and administrative penalties (including the FTL penalty) generally apply where entities have failed to meet their taxation obligations or liabilities. The Commissioner has broad discretion to remit these </w:t>
      </w:r>
      <w:r w:rsidR="00FF783B" w:rsidRPr="00AE336C">
        <w:rPr>
          <w:rFonts w:ascii="Arial" w:hAnsi="Arial" w:cs="Arial"/>
          <w:sz w:val="22"/>
          <w:szCs w:val="22"/>
        </w:rPr>
        <w:t xml:space="preserve">interest </w:t>
      </w:r>
      <w:r w:rsidRPr="00AE336C">
        <w:rPr>
          <w:rFonts w:ascii="Arial" w:hAnsi="Arial" w:cs="Arial"/>
          <w:sz w:val="22"/>
          <w:szCs w:val="22"/>
        </w:rPr>
        <w:t xml:space="preserve">and </w:t>
      </w:r>
      <w:r w:rsidR="00FF783B" w:rsidRPr="00AE336C">
        <w:rPr>
          <w:rFonts w:ascii="Arial" w:hAnsi="Arial" w:cs="Arial"/>
          <w:sz w:val="22"/>
          <w:szCs w:val="22"/>
        </w:rPr>
        <w:t xml:space="preserve">penalty </w:t>
      </w:r>
      <w:r w:rsidR="00F95A4D" w:rsidRPr="00AE336C">
        <w:rPr>
          <w:rFonts w:ascii="Arial" w:hAnsi="Arial" w:cs="Arial"/>
          <w:sz w:val="22"/>
          <w:szCs w:val="22"/>
        </w:rPr>
        <w:t xml:space="preserve">charges </w:t>
      </w:r>
      <w:r w:rsidRPr="00AE336C">
        <w:rPr>
          <w:rFonts w:ascii="Arial" w:hAnsi="Arial" w:cs="Arial"/>
          <w:sz w:val="22"/>
          <w:szCs w:val="22"/>
        </w:rPr>
        <w:t xml:space="preserve">under the </w:t>
      </w:r>
      <w:r w:rsidR="00FA2421" w:rsidRPr="00AE336C">
        <w:rPr>
          <w:rFonts w:ascii="Arial" w:hAnsi="Arial" w:cs="Arial"/>
          <w:sz w:val="22"/>
          <w:szCs w:val="22"/>
        </w:rPr>
        <w:t>TAA</w:t>
      </w:r>
      <w:r w:rsidRPr="00AE336C">
        <w:rPr>
          <w:rFonts w:ascii="Arial" w:hAnsi="Arial" w:cs="Arial"/>
          <w:sz w:val="22"/>
          <w:szCs w:val="22"/>
        </w:rPr>
        <w:t>.</w:t>
      </w:r>
    </w:p>
    <w:p w14:paraId="66E406CD" w14:textId="24F2C6BB" w:rsidR="00FC18B4" w:rsidRPr="00AE336C" w:rsidRDefault="00DC205D"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It has been a </w:t>
      </w:r>
      <w:r w:rsidR="004F77B0" w:rsidRPr="00AE336C">
        <w:rPr>
          <w:rFonts w:ascii="Arial" w:hAnsi="Arial" w:cs="Arial"/>
          <w:sz w:val="22"/>
          <w:szCs w:val="22"/>
        </w:rPr>
        <w:t>long-standing</w:t>
      </w:r>
      <w:r w:rsidRPr="00AE336C">
        <w:rPr>
          <w:rFonts w:ascii="Arial" w:hAnsi="Arial" w:cs="Arial"/>
          <w:sz w:val="22"/>
          <w:szCs w:val="22"/>
        </w:rPr>
        <w:t xml:space="preserve"> practice of the Commissioner to remit GIC, SIC and FTL penalties </w:t>
      </w:r>
      <w:r w:rsidR="001358C0" w:rsidRPr="00AE336C">
        <w:rPr>
          <w:rFonts w:ascii="Arial" w:hAnsi="Arial" w:cs="Arial"/>
          <w:sz w:val="22"/>
          <w:szCs w:val="22"/>
        </w:rPr>
        <w:t xml:space="preserve">in cases that </w:t>
      </w:r>
      <w:r w:rsidRPr="00AE336C">
        <w:rPr>
          <w:rFonts w:ascii="Arial" w:hAnsi="Arial" w:cs="Arial"/>
          <w:sz w:val="22"/>
          <w:szCs w:val="22"/>
        </w:rPr>
        <w:t>meet certain criteria</w:t>
      </w:r>
      <w:r w:rsidR="00CC69E8" w:rsidRPr="00AE336C">
        <w:rPr>
          <w:rFonts w:ascii="Arial" w:hAnsi="Arial" w:cs="Arial"/>
          <w:sz w:val="22"/>
          <w:szCs w:val="22"/>
        </w:rPr>
        <w:t xml:space="preserve"> </w:t>
      </w:r>
      <w:r w:rsidR="00C45B0F" w:rsidRPr="00AE336C">
        <w:rPr>
          <w:rFonts w:ascii="Arial" w:hAnsi="Arial" w:cs="Arial"/>
          <w:sz w:val="22"/>
          <w:szCs w:val="22"/>
        </w:rPr>
        <w:t xml:space="preserve">(that is, </w:t>
      </w:r>
      <w:r w:rsidR="00692284" w:rsidRPr="00AE336C">
        <w:rPr>
          <w:rFonts w:ascii="Arial" w:hAnsi="Arial" w:cs="Arial"/>
          <w:sz w:val="22"/>
          <w:szCs w:val="22"/>
        </w:rPr>
        <w:t>for an</w:t>
      </w:r>
      <w:r w:rsidR="00C45B0F" w:rsidRPr="00AE336C">
        <w:rPr>
          <w:rFonts w:ascii="Arial" w:hAnsi="Arial" w:cs="Arial"/>
          <w:sz w:val="22"/>
          <w:szCs w:val="22"/>
        </w:rPr>
        <w:t xml:space="preserve"> affected</w:t>
      </w:r>
      <w:r w:rsidR="00CC69E8" w:rsidRPr="00AE336C">
        <w:rPr>
          <w:rFonts w:ascii="Arial" w:hAnsi="Arial" w:cs="Arial"/>
          <w:sz w:val="22"/>
          <w:szCs w:val="22"/>
        </w:rPr>
        <w:t xml:space="preserve"> </w:t>
      </w:r>
      <w:r w:rsidR="008846B5" w:rsidRPr="00AE336C">
        <w:rPr>
          <w:rFonts w:ascii="Arial" w:hAnsi="Arial" w:cs="Arial"/>
          <w:sz w:val="22"/>
          <w:szCs w:val="22"/>
        </w:rPr>
        <w:t xml:space="preserve">taxpayer or </w:t>
      </w:r>
      <w:r w:rsidR="00CC69E8" w:rsidRPr="00AE336C">
        <w:rPr>
          <w:rFonts w:ascii="Arial" w:hAnsi="Arial" w:cs="Arial"/>
          <w:sz w:val="22"/>
          <w:szCs w:val="22"/>
        </w:rPr>
        <w:t>c</w:t>
      </w:r>
      <w:r w:rsidR="00C45B0F" w:rsidRPr="00AE336C">
        <w:rPr>
          <w:rFonts w:ascii="Arial" w:hAnsi="Arial" w:cs="Arial"/>
          <w:sz w:val="22"/>
          <w:szCs w:val="22"/>
        </w:rPr>
        <w:t>l</w:t>
      </w:r>
      <w:r w:rsidR="00CC69E8" w:rsidRPr="00AE336C">
        <w:rPr>
          <w:rFonts w:ascii="Arial" w:hAnsi="Arial" w:cs="Arial"/>
          <w:sz w:val="22"/>
          <w:szCs w:val="22"/>
        </w:rPr>
        <w:t>ass of taxpayers</w:t>
      </w:r>
      <w:r w:rsidR="00C45B0F" w:rsidRPr="00AE336C">
        <w:rPr>
          <w:rFonts w:ascii="Arial" w:hAnsi="Arial" w:cs="Arial"/>
          <w:sz w:val="22"/>
          <w:szCs w:val="22"/>
        </w:rPr>
        <w:t>)</w:t>
      </w:r>
      <w:r w:rsidRPr="00AE336C">
        <w:rPr>
          <w:rFonts w:ascii="Arial" w:hAnsi="Arial" w:cs="Arial"/>
          <w:sz w:val="22"/>
          <w:szCs w:val="22"/>
        </w:rPr>
        <w:t xml:space="preserve"> based on a </w:t>
      </w:r>
      <w:r w:rsidR="008846B5" w:rsidRPr="00AE336C">
        <w:rPr>
          <w:rFonts w:ascii="Arial" w:hAnsi="Arial" w:cs="Arial"/>
          <w:sz w:val="22"/>
          <w:szCs w:val="22"/>
        </w:rPr>
        <w:t xml:space="preserve">general </w:t>
      </w:r>
      <w:r w:rsidRPr="00AE336C">
        <w:rPr>
          <w:rFonts w:ascii="Arial" w:hAnsi="Arial" w:cs="Arial"/>
          <w:sz w:val="22"/>
          <w:szCs w:val="22"/>
        </w:rPr>
        <w:t xml:space="preserve">remission decision </w:t>
      </w:r>
      <w:r w:rsidR="00D77555" w:rsidRPr="00AE336C">
        <w:rPr>
          <w:rFonts w:ascii="Arial" w:hAnsi="Arial" w:cs="Arial"/>
          <w:sz w:val="22"/>
          <w:szCs w:val="22"/>
        </w:rPr>
        <w:t xml:space="preserve">that is </w:t>
      </w:r>
      <w:r w:rsidRPr="00AE336C">
        <w:rPr>
          <w:rFonts w:ascii="Arial" w:hAnsi="Arial" w:cs="Arial"/>
          <w:sz w:val="22"/>
          <w:szCs w:val="22"/>
        </w:rPr>
        <w:t>made before the liabilities ar</w:t>
      </w:r>
      <w:r w:rsidR="00C12D26" w:rsidRPr="00AE336C">
        <w:rPr>
          <w:rFonts w:ascii="Arial" w:hAnsi="Arial" w:cs="Arial"/>
          <w:sz w:val="22"/>
          <w:szCs w:val="22"/>
        </w:rPr>
        <w:t>i</w:t>
      </w:r>
      <w:r w:rsidRPr="00AE336C">
        <w:rPr>
          <w:rFonts w:ascii="Arial" w:hAnsi="Arial" w:cs="Arial"/>
          <w:sz w:val="22"/>
          <w:szCs w:val="22"/>
        </w:rPr>
        <w:t xml:space="preserve">se. </w:t>
      </w:r>
      <w:r w:rsidR="00CC69E8" w:rsidRPr="00AE336C">
        <w:rPr>
          <w:rFonts w:ascii="Arial" w:hAnsi="Arial" w:cs="Arial"/>
          <w:sz w:val="22"/>
          <w:szCs w:val="22"/>
        </w:rPr>
        <w:t xml:space="preserve">Due to the high volume of transactions involved, ATO systems are </w:t>
      </w:r>
      <w:r w:rsidR="00590458" w:rsidRPr="00AE336C">
        <w:rPr>
          <w:rFonts w:ascii="Arial" w:hAnsi="Arial" w:cs="Arial"/>
          <w:sz w:val="22"/>
          <w:szCs w:val="22"/>
        </w:rPr>
        <w:t>programmed</w:t>
      </w:r>
      <w:r w:rsidR="00CC69E8" w:rsidRPr="00AE336C">
        <w:rPr>
          <w:rFonts w:ascii="Arial" w:hAnsi="Arial" w:cs="Arial"/>
          <w:sz w:val="22"/>
          <w:szCs w:val="22"/>
        </w:rPr>
        <w:t xml:space="preserve"> to implement these </w:t>
      </w:r>
      <w:r w:rsidR="008846B5" w:rsidRPr="00AE336C">
        <w:rPr>
          <w:rFonts w:ascii="Arial" w:hAnsi="Arial" w:cs="Arial"/>
          <w:sz w:val="22"/>
          <w:szCs w:val="22"/>
        </w:rPr>
        <w:t xml:space="preserve">general remission </w:t>
      </w:r>
      <w:r w:rsidR="00CC69E8" w:rsidRPr="00AE336C">
        <w:rPr>
          <w:rFonts w:ascii="Arial" w:hAnsi="Arial" w:cs="Arial"/>
          <w:sz w:val="22"/>
          <w:szCs w:val="22"/>
        </w:rPr>
        <w:t xml:space="preserve">decisions each time a relevant liability arises for a taxpayer in the defined class, without </w:t>
      </w:r>
      <w:r w:rsidR="008846B5" w:rsidRPr="00AE336C">
        <w:rPr>
          <w:rFonts w:ascii="Arial" w:hAnsi="Arial" w:cs="Arial"/>
          <w:sz w:val="22"/>
          <w:szCs w:val="22"/>
        </w:rPr>
        <w:t xml:space="preserve">requiring a request from each taxpayer and </w:t>
      </w:r>
      <w:r w:rsidR="003843A4">
        <w:rPr>
          <w:rFonts w:ascii="Arial" w:hAnsi="Arial" w:cs="Arial"/>
          <w:sz w:val="22"/>
          <w:szCs w:val="22"/>
        </w:rPr>
        <w:t xml:space="preserve">a </w:t>
      </w:r>
      <w:r w:rsidR="009C67CB" w:rsidRPr="00AE336C">
        <w:rPr>
          <w:rFonts w:ascii="Arial" w:hAnsi="Arial" w:cs="Arial"/>
          <w:sz w:val="22"/>
          <w:szCs w:val="22"/>
        </w:rPr>
        <w:t xml:space="preserve">specific decision by </w:t>
      </w:r>
      <w:r w:rsidR="008846B5" w:rsidRPr="00AE336C">
        <w:rPr>
          <w:rFonts w:ascii="Arial" w:hAnsi="Arial" w:cs="Arial"/>
          <w:sz w:val="22"/>
          <w:szCs w:val="22"/>
        </w:rPr>
        <w:t xml:space="preserve">the </w:t>
      </w:r>
      <w:r w:rsidR="009C67CB" w:rsidRPr="00AE336C">
        <w:rPr>
          <w:rFonts w:ascii="Arial" w:hAnsi="Arial" w:cs="Arial"/>
          <w:sz w:val="22"/>
          <w:szCs w:val="22"/>
        </w:rPr>
        <w:t xml:space="preserve">ATO </w:t>
      </w:r>
      <w:r w:rsidR="00CC69E8" w:rsidRPr="00AE336C">
        <w:rPr>
          <w:rFonts w:ascii="Arial" w:hAnsi="Arial" w:cs="Arial"/>
          <w:sz w:val="22"/>
          <w:szCs w:val="22"/>
        </w:rPr>
        <w:t>on each occasion.</w:t>
      </w:r>
    </w:p>
    <w:p w14:paraId="106DE7F1" w14:textId="77777777" w:rsidR="00FC18B4" w:rsidRPr="00AE336C" w:rsidRDefault="00D77555"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For example, the Commissioner may decide to remit charges for </w:t>
      </w:r>
      <w:r w:rsidR="00280913" w:rsidRPr="00AE336C">
        <w:rPr>
          <w:rFonts w:ascii="Arial" w:hAnsi="Arial" w:cs="Arial"/>
          <w:sz w:val="22"/>
          <w:szCs w:val="22"/>
        </w:rPr>
        <w:t xml:space="preserve">any </w:t>
      </w:r>
      <w:r w:rsidRPr="00AE336C">
        <w:rPr>
          <w:rFonts w:ascii="Arial" w:hAnsi="Arial" w:cs="Arial"/>
          <w:sz w:val="22"/>
          <w:szCs w:val="22"/>
        </w:rPr>
        <w:t xml:space="preserve">taxpayers </w:t>
      </w:r>
      <w:r w:rsidR="00280913" w:rsidRPr="00AE336C">
        <w:rPr>
          <w:rFonts w:ascii="Arial" w:hAnsi="Arial" w:cs="Arial"/>
          <w:sz w:val="22"/>
          <w:szCs w:val="22"/>
        </w:rPr>
        <w:t xml:space="preserve">who are </w:t>
      </w:r>
      <w:r w:rsidRPr="00AE336C">
        <w:rPr>
          <w:rFonts w:ascii="Arial" w:hAnsi="Arial" w:cs="Arial"/>
          <w:sz w:val="22"/>
          <w:szCs w:val="22"/>
        </w:rPr>
        <w:t xml:space="preserve">impacted by a natural disaster, or </w:t>
      </w:r>
      <w:r w:rsidR="00280913" w:rsidRPr="00AE336C">
        <w:rPr>
          <w:rFonts w:ascii="Arial" w:hAnsi="Arial" w:cs="Arial"/>
          <w:sz w:val="22"/>
          <w:szCs w:val="22"/>
        </w:rPr>
        <w:t xml:space="preserve">who have </w:t>
      </w:r>
      <w:r w:rsidRPr="00AE336C">
        <w:rPr>
          <w:rFonts w:ascii="Arial" w:hAnsi="Arial" w:cs="Arial"/>
          <w:sz w:val="22"/>
          <w:szCs w:val="22"/>
        </w:rPr>
        <w:t xml:space="preserve">a liability to </w:t>
      </w:r>
      <w:r w:rsidR="001462FF" w:rsidRPr="00AE336C">
        <w:rPr>
          <w:rFonts w:ascii="Arial" w:hAnsi="Arial" w:cs="Arial"/>
          <w:sz w:val="22"/>
          <w:szCs w:val="22"/>
        </w:rPr>
        <w:t xml:space="preserve">a </w:t>
      </w:r>
      <w:r w:rsidRPr="00AE336C">
        <w:rPr>
          <w:rFonts w:ascii="Arial" w:hAnsi="Arial" w:cs="Arial"/>
          <w:sz w:val="22"/>
          <w:szCs w:val="22"/>
        </w:rPr>
        <w:t xml:space="preserve">charge that is of a very low value. </w:t>
      </w:r>
      <w:r w:rsidR="004A6165" w:rsidRPr="00AE336C">
        <w:rPr>
          <w:rFonts w:ascii="Arial" w:hAnsi="Arial" w:cs="Arial"/>
          <w:sz w:val="22"/>
          <w:szCs w:val="22"/>
        </w:rPr>
        <w:t>Further, e</w:t>
      </w:r>
      <w:r w:rsidR="00FF200D" w:rsidRPr="00AE336C">
        <w:rPr>
          <w:rFonts w:ascii="Arial" w:hAnsi="Arial" w:cs="Arial"/>
          <w:sz w:val="22"/>
          <w:szCs w:val="22"/>
        </w:rPr>
        <w:t>arly</w:t>
      </w:r>
      <w:r w:rsidR="00C15762" w:rsidRPr="00AE336C">
        <w:rPr>
          <w:rFonts w:ascii="Arial" w:hAnsi="Arial" w:cs="Arial"/>
          <w:sz w:val="22"/>
          <w:szCs w:val="22"/>
        </w:rPr>
        <w:t xml:space="preserve"> remission decision</w:t>
      </w:r>
      <w:r w:rsidR="00CC69E8" w:rsidRPr="00AE336C">
        <w:rPr>
          <w:rFonts w:ascii="Arial" w:hAnsi="Arial" w:cs="Arial"/>
          <w:sz w:val="22"/>
          <w:szCs w:val="22"/>
        </w:rPr>
        <w:t>s</w:t>
      </w:r>
      <w:r w:rsidR="00FF200D" w:rsidRPr="00AE336C">
        <w:rPr>
          <w:rFonts w:ascii="Arial" w:hAnsi="Arial" w:cs="Arial"/>
          <w:sz w:val="22"/>
          <w:szCs w:val="22"/>
        </w:rPr>
        <w:t xml:space="preserve"> (those that </w:t>
      </w:r>
      <w:r w:rsidR="00A51EF2" w:rsidRPr="00AE336C">
        <w:rPr>
          <w:rFonts w:ascii="Arial" w:hAnsi="Arial" w:cs="Arial"/>
          <w:sz w:val="22"/>
          <w:szCs w:val="22"/>
        </w:rPr>
        <w:t>occur prior to a charge or penalty becoming due an</w:t>
      </w:r>
      <w:r w:rsidR="00BD073E" w:rsidRPr="00AE336C">
        <w:rPr>
          <w:rFonts w:ascii="Arial" w:hAnsi="Arial" w:cs="Arial"/>
          <w:sz w:val="22"/>
          <w:szCs w:val="22"/>
        </w:rPr>
        <w:t>d</w:t>
      </w:r>
      <w:r w:rsidR="00A51EF2" w:rsidRPr="00AE336C">
        <w:rPr>
          <w:rFonts w:ascii="Arial" w:hAnsi="Arial" w:cs="Arial"/>
          <w:sz w:val="22"/>
          <w:szCs w:val="22"/>
        </w:rPr>
        <w:t xml:space="preserve"> payable)</w:t>
      </w:r>
      <w:r w:rsidR="00C45B0F" w:rsidRPr="00AE336C">
        <w:rPr>
          <w:rFonts w:ascii="Arial" w:hAnsi="Arial" w:cs="Arial"/>
          <w:sz w:val="22"/>
          <w:szCs w:val="22"/>
        </w:rPr>
        <w:t xml:space="preserve"> can</w:t>
      </w:r>
      <w:r w:rsidR="00CC69E8" w:rsidRPr="00AE336C">
        <w:rPr>
          <w:rFonts w:ascii="Arial" w:hAnsi="Arial" w:cs="Arial"/>
          <w:sz w:val="22"/>
          <w:szCs w:val="22"/>
        </w:rPr>
        <w:t xml:space="preserve"> </w:t>
      </w:r>
      <w:r w:rsidR="00C45B0F" w:rsidRPr="00AE336C">
        <w:rPr>
          <w:rFonts w:ascii="Arial" w:hAnsi="Arial" w:cs="Arial"/>
          <w:sz w:val="22"/>
          <w:szCs w:val="22"/>
        </w:rPr>
        <w:t>also</w:t>
      </w:r>
      <w:r w:rsidR="00CC69E8" w:rsidRPr="00AE336C">
        <w:rPr>
          <w:rFonts w:ascii="Arial" w:hAnsi="Arial" w:cs="Arial"/>
          <w:sz w:val="22"/>
          <w:szCs w:val="22"/>
        </w:rPr>
        <w:t xml:space="preserve"> </w:t>
      </w:r>
      <w:r w:rsidR="00C45B0F" w:rsidRPr="00AE336C">
        <w:rPr>
          <w:rFonts w:ascii="Arial" w:hAnsi="Arial" w:cs="Arial"/>
          <w:sz w:val="22"/>
          <w:szCs w:val="22"/>
        </w:rPr>
        <w:t xml:space="preserve">occur for individual entities, such as through </w:t>
      </w:r>
      <w:r w:rsidR="00C15762" w:rsidRPr="00AE336C">
        <w:rPr>
          <w:rFonts w:ascii="Arial" w:hAnsi="Arial" w:cs="Arial"/>
          <w:sz w:val="22"/>
          <w:szCs w:val="22"/>
        </w:rPr>
        <w:t xml:space="preserve">agreements </w:t>
      </w:r>
      <w:r w:rsidR="00C45B0F" w:rsidRPr="00AE336C">
        <w:rPr>
          <w:rFonts w:ascii="Arial" w:hAnsi="Arial" w:cs="Arial"/>
          <w:sz w:val="22"/>
          <w:szCs w:val="22"/>
        </w:rPr>
        <w:t>to provide</w:t>
      </w:r>
      <w:r w:rsidR="00CC69E8" w:rsidRPr="00AE336C">
        <w:rPr>
          <w:rFonts w:ascii="Arial" w:hAnsi="Arial" w:cs="Arial"/>
          <w:sz w:val="22"/>
          <w:szCs w:val="22"/>
        </w:rPr>
        <w:t xml:space="preserve"> ongoing GIC remission</w:t>
      </w:r>
      <w:r w:rsidR="00C45B0F" w:rsidRPr="00AE336C">
        <w:rPr>
          <w:rFonts w:ascii="Arial" w:hAnsi="Arial" w:cs="Arial"/>
          <w:sz w:val="22"/>
          <w:szCs w:val="22"/>
        </w:rPr>
        <w:t xml:space="preserve"> under a</w:t>
      </w:r>
      <w:r w:rsidR="00C15762" w:rsidRPr="00AE336C">
        <w:rPr>
          <w:rFonts w:ascii="Arial" w:hAnsi="Arial" w:cs="Arial"/>
          <w:sz w:val="22"/>
          <w:szCs w:val="22"/>
        </w:rPr>
        <w:t xml:space="preserve"> 50/50 disputed debt arrangement or </w:t>
      </w:r>
      <w:r w:rsidR="008846B5" w:rsidRPr="00AE336C">
        <w:rPr>
          <w:rFonts w:ascii="Arial" w:hAnsi="Arial" w:cs="Arial"/>
          <w:sz w:val="22"/>
          <w:szCs w:val="22"/>
        </w:rPr>
        <w:t xml:space="preserve">a </w:t>
      </w:r>
      <w:r w:rsidR="00C15762" w:rsidRPr="00AE336C">
        <w:rPr>
          <w:rFonts w:ascii="Arial" w:hAnsi="Arial" w:cs="Arial"/>
          <w:sz w:val="22"/>
          <w:szCs w:val="22"/>
        </w:rPr>
        <w:t>concessional payment arrangement.</w:t>
      </w:r>
    </w:p>
    <w:p w14:paraId="23728E58" w14:textId="22536EC3" w:rsidR="00C52E8F" w:rsidRPr="00481C69" w:rsidRDefault="00C45B0F" w:rsidP="00AE336C">
      <w:pPr>
        <w:numPr>
          <w:ilvl w:val="0"/>
          <w:numId w:val="1"/>
        </w:numPr>
        <w:tabs>
          <w:tab w:val="clear" w:pos="360"/>
        </w:tabs>
        <w:spacing w:after="120"/>
        <w:ind w:left="709" w:hanging="709"/>
        <w:rPr>
          <w:rFonts w:ascii="Arial" w:hAnsi="Arial" w:cs="Arial"/>
          <w:sz w:val="22"/>
          <w:szCs w:val="22"/>
        </w:rPr>
      </w:pPr>
      <w:r w:rsidRPr="00481C69">
        <w:rPr>
          <w:rFonts w:ascii="Arial" w:hAnsi="Arial" w:cs="Arial"/>
          <w:sz w:val="22"/>
          <w:szCs w:val="22"/>
        </w:rPr>
        <w:t>The</w:t>
      </w:r>
      <w:r w:rsidR="008846B5" w:rsidRPr="00481C69">
        <w:rPr>
          <w:rFonts w:ascii="Arial" w:hAnsi="Arial" w:cs="Arial"/>
          <w:sz w:val="22"/>
          <w:szCs w:val="22"/>
        </w:rPr>
        <w:t xml:space="preserve"> Commissioner’s use of a</w:t>
      </w:r>
      <w:r w:rsidRPr="00481C69">
        <w:rPr>
          <w:rFonts w:ascii="Arial" w:hAnsi="Arial" w:cs="Arial"/>
          <w:sz w:val="22"/>
          <w:szCs w:val="22"/>
        </w:rPr>
        <w:t xml:space="preserve">utomated </w:t>
      </w:r>
      <w:r w:rsidR="00C15762" w:rsidRPr="00481C69">
        <w:rPr>
          <w:rFonts w:ascii="Arial" w:hAnsi="Arial" w:cs="Arial"/>
          <w:sz w:val="22"/>
          <w:szCs w:val="22"/>
        </w:rPr>
        <w:t xml:space="preserve">remissions for classes of </w:t>
      </w:r>
      <w:r w:rsidR="00B223CE" w:rsidRPr="00481C69">
        <w:rPr>
          <w:rFonts w:ascii="Arial" w:hAnsi="Arial" w:cs="Arial"/>
          <w:sz w:val="22"/>
          <w:szCs w:val="22"/>
        </w:rPr>
        <w:t>entities</w:t>
      </w:r>
      <w:r w:rsidR="00C15762" w:rsidRPr="00481C69">
        <w:rPr>
          <w:rFonts w:ascii="Arial" w:hAnsi="Arial" w:cs="Arial"/>
          <w:sz w:val="22"/>
          <w:szCs w:val="22"/>
        </w:rPr>
        <w:t xml:space="preserve"> </w:t>
      </w:r>
      <w:r w:rsidR="005A6745" w:rsidRPr="00481C69">
        <w:rPr>
          <w:rFonts w:ascii="Arial" w:hAnsi="Arial" w:cs="Arial"/>
          <w:sz w:val="22"/>
          <w:szCs w:val="22"/>
        </w:rPr>
        <w:t xml:space="preserve">is </w:t>
      </w:r>
      <w:r w:rsidR="00590458" w:rsidRPr="00481C69">
        <w:rPr>
          <w:rFonts w:ascii="Arial" w:hAnsi="Arial" w:cs="Arial"/>
          <w:sz w:val="22"/>
          <w:szCs w:val="22"/>
        </w:rPr>
        <w:t>well known</w:t>
      </w:r>
      <w:r w:rsidR="00C15762" w:rsidRPr="00481C69">
        <w:rPr>
          <w:rFonts w:ascii="Arial" w:hAnsi="Arial" w:cs="Arial"/>
          <w:sz w:val="22"/>
          <w:szCs w:val="22"/>
        </w:rPr>
        <w:t xml:space="preserve"> in the community, and help</w:t>
      </w:r>
      <w:r w:rsidR="005A6745" w:rsidRPr="00481C69">
        <w:rPr>
          <w:rFonts w:ascii="Arial" w:hAnsi="Arial" w:cs="Arial"/>
          <w:sz w:val="22"/>
          <w:szCs w:val="22"/>
        </w:rPr>
        <w:t>s</w:t>
      </w:r>
      <w:r w:rsidR="00C15762" w:rsidRPr="00481C69">
        <w:rPr>
          <w:rFonts w:ascii="Arial" w:hAnsi="Arial" w:cs="Arial"/>
          <w:sz w:val="22"/>
          <w:szCs w:val="22"/>
        </w:rPr>
        <w:t xml:space="preserve"> ensure the efficient and fair administration of remission decisions. </w:t>
      </w:r>
      <w:r w:rsidR="00591915" w:rsidRPr="00481C69">
        <w:rPr>
          <w:rFonts w:ascii="Arial" w:hAnsi="Arial" w:cs="Arial"/>
          <w:sz w:val="22"/>
          <w:szCs w:val="22"/>
        </w:rPr>
        <w:t>For example,</w:t>
      </w:r>
      <w:r w:rsidR="00A51EF2" w:rsidRPr="00481C69">
        <w:rPr>
          <w:rFonts w:ascii="Arial" w:hAnsi="Arial" w:cs="Arial"/>
          <w:sz w:val="22"/>
          <w:szCs w:val="22"/>
        </w:rPr>
        <w:t xml:space="preserve"> paragraph</w:t>
      </w:r>
      <w:r w:rsidR="005A6745" w:rsidRPr="00481C69">
        <w:rPr>
          <w:rFonts w:ascii="Arial" w:hAnsi="Arial" w:cs="Arial"/>
          <w:sz w:val="22"/>
          <w:szCs w:val="22"/>
        </w:rPr>
        <w:t> </w:t>
      </w:r>
      <w:r w:rsidR="00A51EF2" w:rsidRPr="00481C69">
        <w:rPr>
          <w:rFonts w:ascii="Arial" w:hAnsi="Arial" w:cs="Arial"/>
          <w:sz w:val="22"/>
          <w:szCs w:val="22"/>
        </w:rPr>
        <w:t>26A of</w:t>
      </w:r>
      <w:r w:rsidR="00591915" w:rsidRPr="00481C69">
        <w:rPr>
          <w:rFonts w:ascii="Arial" w:hAnsi="Arial" w:cs="Arial"/>
          <w:sz w:val="22"/>
          <w:szCs w:val="22"/>
        </w:rPr>
        <w:t xml:space="preserve"> </w:t>
      </w:r>
      <w:bookmarkStart w:id="3" w:name="_Hlk135726289"/>
      <w:r w:rsidR="002428F9" w:rsidRPr="00481C69">
        <w:fldChar w:fldCharType="begin"/>
      </w:r>
      <w:r w:rsidR="002428F9" w:rsidRPr="00481C69">
        <w:instrText xml:space="preserve"> HYPERLINK "https://www.ato.gov.au/law/view/document?docid=PSR/PS20068/NAT/ATO/00001" </w:instrText>
      </w:r>
      <w:r w:rsidR="002428F9" w:rsidRPr="00481C69">
        <w:fldChar w:fldCharType="separate"/>
      </w:r>
      <w:r w:rsidR="00591915" w:rsidRPr="00481C69">
        <w:rPr>
          <w:rStyle w:val="Hyperlink"/>
          <w:rFonts w:ascii="Arial" w:hAnsi="Arial" w:cs="Arial"/>
          <w:color w:val="auto"/>
          <w:sz w:val="22"/>
          <w:szCs w:val="22"/>
          <w:u w:val="none"/>
        </w:rPr>
        <w:t>PS</w:t>
      </w:r>
      <w:r w:rsidR="006E6E79" w:rsidRPr="00481C69">
        <w:rPr>
          <w:rStyle w:val="Hyperlink"/>
          <w:rFonts w:ascii="Arial" w:hAnsi="Arial" w:cs="Arial"/>
          <w:color w:val="auto"/>
          <w:sz w:val="22"/>
          <w:szCs w:val="22"/>
          <w:u w:val="none"/>
        </w:rPr>
        <w:t> </w:t>
      </w:r>
      <w:r w:rsidR="00591915" w:rsidRPr="00481C69">
        <w:rPr>
          <w:rStyle w:val="Hyperlink"/>
          <w:rFonts w:ascii="Arial" w:hAnsi="Arial" w:cs="Arial"/>
          <w:color w:val="auto"/>
          <w:sz w:val="22"/>
          <w:szCs w:val="22"/>
          <w:u w:val="none"/>
        </w:rPr>
        <w:t>LA</w:t>
      </w:r>
      <w:r w:rsidR="006E6E79" w:rsidRPr="00481C69">
        <w:rPr>
          <w:rStyle w:val="Hyperlink"/>
          <w:rFonts w:ascii="Arial" w:hAnsi="Arial" w:cs="Arial"/>
          <w:color w:val="auto"/>
          <w:sz w:val="22"/>
          <w:szCs w:val="22"/>
          <w:u w:val="none"/>
        </w:rPr>
        <w:t> </w:t>
      </w:r>
      <w:r w:rsidR="00591915" w:rsidRPr="00481C69">
        <w:rPr>
          <w:rStyle w:val="Hyperlink"/>
          <w:rFonts w:ascii="Arial" w:hAnsi="Arial" w:cs="Arial"/>
          <w:color w:val="auto"/>
          <w:sz w:val="22"/>
          <w:szCs w:val="22"/>
          <w:u w:val="none"/>
        </w:rPr>
        <w:t>2006/8</w:t>
      </w:r>
      <w:r w:rsidR="002428F9" w:rsidRPr="00481C69">
        <w:rPr>
          <w:rStyle w:val="Hyperlink"/>
          <w:rFonts w:ascii="Arial" w:hAnsi="Arial" w:cs="Arial"/>
          <w:color w:val="auto"/>
          <w:sz w:val="22"/>
          <w:szCs w:val="22"/>
          <w:u w:val="none"/>
        </w:rPr>
        <w:fldChar w:fldCharType="end"/>
      </w:r>
      <w:bookmarkEnd w:id="3"/>
      <w:r w:rsidR="00591915" w:rsidRPr="00481C69">
        <w:rPr>
          <w:rFonts w:ascii="Arial" w:hAnsi="Arial" w:cs="Arial"/>
          <w:sz w:val="22"/>
          <w:szCs w:val="22"/>
        </w:rPr>
        <w:t xml:space="preserve"> </w:t>
      </w:r>
      <w:r w:rsidR="003843A4" w:rsidRPr="00481C69">
        <w:rPr>
          <w:rFonts w:ascii="Arial" w:hAnsi="Arial" w:cs="Arial"/>
          <w:sz w:val="22"/>
          <w:szCs w:val="22"/>
        </w:rPr>
        <w:t>states</w:t>
      </w:r>
      <w:r w:rsidR="00A51EF2" w:rsidRPr="00481C69">
        <w:rPr>
          <w:rFonts w:ascii="Arial" w:hAnsi="Arial" w:cs="Arial"/>
          <w:sz w:val="22"/>
          <w:szCs w:val="22"/>
        </w:rPr>
        <w:t xml:space="preserve"> that</w:t>
      </w:r>
      <w:r w:rsidR="00C52E8F" w:rsidRPr="00481C69">
        <w:rPr>
          <w:rFonts w:ascii="Arial" w:hAnsi="Arial" w:cs="Arial"/>
          <w:sz w:val="22"/>
          <w:szCs w:val="22"/>
        </w:rPr>
        <w:t>:</w:t>
      </w:r>
    </w:p>
    <w:p w14:paraId="1D0823BB" w14:textId="45477F54" w:rsidR="00C15762" w:rsidRPr="00AE336C" w:rsidRDefault="00A51EF2" w:rsidP="00AE336C">
      <w:pPr>
        <w:spacing w:after="120"/>
        <w:ind w:left="1134" w:right="1134"/>
        <w:rPr>
          <w:rFonts w:ascii="Arial" w:hAnsi="Arial" w:cs="Arial"/>
          <w:sz w:val="20"/>
        </w:rPr>
      </w:pPr>
      <w:r w:rsidRPr="00AE336C">
        <w:rPr>
          <w:rFonts w:ascii="Arial" w:hAnsi="Arial" w:cs="Arial"/>
          <w:i/>
          <w:iCs/>
          <w:sz w:val="22"/>
          <w:szCs w:val="22"/>
        </w:rPr>
        <w:t>[</w:t>
      </w:r>
      <w:r w:rsidRPr="00AE336C">
        <w:rPr>
          <w:rFonts w:ascii="Arial" w:hAnsi="Arial" w:cs="Arial"/>
          <w:i/>
          <w:iCs/>
          <w:sz w:val="20"/>
        </w:rPr>
        <w:t>t]</w:t>
      </w:r>
      <w:r w:rsidR="00591915" w:rsidRPr="00AE336C">
        <w:rPr>
          <w:rFonts w:ascii="Arial" w:hAnsi="Arial" w:cs="Arial"/>
          <w:i/>
          <w:iCs/>
          <w:sz w:val="20"/>
        </w:rPr>
        <w:t>he Commissioner may remit amounts because the amount of the interest charge is minimal. For example, the imposition of an amount of SIC or GIC below a small threshold amount will result in remission as part of the ATO’s automated processes</w:t>
      </w:r>
      <w:r w:rsidR="00591915" w:rsidRPr="00AE336C">
        <w:rPr>
          <w:rFonts w:ascii="Arial" w:hAnsi="Arial" w:cs="Arial"/>
          <w:i/>
          <w:iCs/>
          <w:sz w:val="22"/>
          <w:szCs w:val="22"/>
        </w:rPr>
        <w:t>.</w:t>
      </w:r>
    </w:p>
    <w:p w14:paraId="1C4679FF" w14:textId="77777777" w:rsidR="00FC18B4" w:rsidRPr="00AE336C" w:rsidRDefault="008846B5"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General remission decisions</w:t>
      </w:r>
      <w:r w:rsidR="00C15762" w:rsidRPr="00AE336C">
        <w:rPr>
          <w:rFonts w:ascii="Arial" w:hAnsi="Arial" w:cs="Arial"/>
          <w:sz w:val="22"/>
          <w:szCs w:val="22"/>
        </w:rPr>
        <w:t xml:space="preserve"> by class ensure all </w:t>
      </w:r>
      <w:r w:rsidR="004E6258" w:rsidRPr="00AE336C">
        <w:rPr>
          <w:rFonts w:ascii="Arial" w:hAnsi="Arial" w:cs="Arial"/>
          <w:sz w:val="22"/>
          <w:szCs w:val="22"/>
        </w:rPr>
        <w:t>entities</w:t>
      </w:r>
      <w:r w:rsidR="00C15762" w:rsidRPr="00AE336C">
        <w:rPr>
          <w:rFonts w:ascii="Arial" w:hAnsi="Arial" w:cs="Arial"/>
          <w:sz w:val="22"/>
          <w:szCs w:val="22"/>
        </w:rPr>
        <w:t xml:space="preserve"> </w:t>
      </w:r>
      <w:r w:rsidR="00EF1342" w:rsidRPr="00AE336C">
        <w:rPr>
          <w:rFonts w:ascii="Arial" w:hAnsi="Arial" w:cs="Arial"/>
          <w:sz w:val="22"/>
          <w:szCs w:val="22"/>
        </w:rPr>
        <w:t>with</w:t>
      </w:r>
      <w:r w:rsidR="00C45B0F" w:rsidRPr="00AE336C">
        <w:rPr>
          <w:rFonts w:ascii="Arial" w:hAnsi="Arial" w:cs="Arial"/>
          <w:sz w:val="22"/>
          <w:szCs w:val="22"/>
        </w:rPr>
        <w:t xml:space="preserve"> the same</w:t>
      </w:r>
      <w:r w:rsidR="00C15762" w:rsidRPr="00AE336C">
        <w:rPr>
          <w:rFonts w:ascii="Arial" w:hAnsi="Arial" w:cs="Arial"/>
          <w:sz w:val="22"/>
          <w:szCs w:val="22"/>
        </w:rPr>
        <w:t xml:space="preserve"> relevant circumstances are treated in the same way. Automation of those </w:t>
      </w:r>
      <w:r w:rsidR="00EF1342" w:rsidRPr="00AE336C">
        <w:rPr>
          <w:rFonts w:ascii="Arial" w:hAnsi="Arial" w:cs="Arial"/>
          <w:sz w:val="22"/>
          <w:szCs w:val="22"/>
        </w:rPr>
        <w:t>decisions</w:t>
      </w:r>
      <w:r w:rsidR="00C15762" w:rsidRPr="00AE336C">
        <w:rPr>
          <w:rFonts w:ascii="Arial" w:hAnsi="Arial" w:cs="Arial"/>
          <w:sz w:val="22"/>
          <w:szCs w:val="22"/>
        </w:rPr>
        <w:t xml:space="preserve"> for the entire class of </w:t>
      </w:r>
      <w:r w:rsidR="00B223CE" w:rsidRPr="00AE336C">
        <w:rPr>
          <w:rFonts w:ascii="Arial" w:hAnsi="Arial" w:cs="Arial"/>
          <w:sz w:val="22"/>
          <w:szCs w:val="22"/>
        </w:rPr>
        <w:t>entities</w:t>
      </w:r>
      <w:r w:rsidR="00C15762" w:rsidRPr="00AE336C">
        <w:rPr>
          <w:rFonts w:ascii="Arial" w:hAnsi="Arial" w:cs="Arial"/>
          <w:sz w:val="22"/>
          <w:szCs w:val="22"/>
        </w:rPr>
        <w:t xml:space="preserve"> in </w:t>
      </w:r>
      <w:r w:rsidRPr="00AE336C">
        <w:rPr>
          <w:rFonts w:ascii="Arial" w:hAnsi="Arial" w:cs="Arial"/>
          <w:sz w:val="22"/>
          <w:szCs w:val="22"/>
        </w:rPr>
        <w:t>those</w:t>
      </w:r>
      <w:r w:rsidR="00C15762" w:rsidRPr="00AE336C">
        <w:rPr>
          <w:rFonts w:ascii="Arial" w:hAnsi="Arial" w:cs="Arial"/>
          <w:sz w:val="22"/>
          <w:szCs w:val="22"/>
        </w:rPr>
        <w:t xml:space="preserve"> circumstances ensures this consistency</w:t>
      </w:r>
      <w:r w:rsidR="009546B2" w:rsidRPr="00AE336C">
        <w:rPr>
          <w:rFonts w:ascii="Arial" w:hAnsi="Arial" w:cs="Arial"/>
          <w:sz w:val="22"/>
          <w:szCs w:val="22"/>
        </w:rPr>
        <w:t xml:space="preserve"> </w:t>
      </w:r>
      <w:r w:rsidR="00EF1342" w:rsidRPr="00AE336C">
        <w:rPr>
          <w:rFonts w:ascii="Arial" w:hAnsi="Arial" w:cs="Arial"/>
          <w:sz w:val="22"/>
          <w:szCs w:val="22"/>
        </w:rPr>
        <w:t xml:space="preserve">in </w:t>
      </w:r>
      <w:r w:rsidR="009546B2" w:rsidRPr="00AE336C">
        <w:rPr>
          <w:rFonts w:ascii="Arial" w:hAnsi="Arial" w:cs="Arial"/>
          <w:sz w:val="22"/>
          <w:szCs w:val="22"/>
        </w:rPr>
        <w:t>an efficient</w:t>
      </w:r>
      <w:r w:rsidR="00EF1342" w:rsidRPr="00AE336C">
        <w:rPr>
          <w:rFonts w:ascii="Arial" w:hAnsi="Arial" w:cs="Arial"/>
          <w:sz w:val="22"/>
          <w:szCs w:val="22"/>
        </w:rPr>
        <w:t xml:space="preserve"> way</w:t>
      </w:r>
      <w:r w:rsidR="00C15762" w:rsidRPr="00AE336C">
        <w:rPr>
          <w:rFonts w:ascii="Arial" w:hAnsi="Arial" w:cs="Arial"/>
          <w:sz w:val="22"/>
          <w:szCs w:val="22"/>
        </w:rPr>
        <w:t>.</w:t>
      </w:r>
    </w:p>
    <w:p w14:paraId="066A91A2" w14:textId="4CE0DE5D" w:rsidR="00C15762" w:rsidRPr="00AE336C" w:rsidRDefault="00152C10"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Given the importance of the remission powers, and the need to ensure efficient and effective administration in a manner where taxpayers are not being put through unnecessary processes, the modifications put beyond doubt </w:t>
      </w:r>
      <w:r w:rsidR="00C45B0F" w:rsidRPr="00AE336C">
        <w:rPr>
          <w:rFonts w:ascii="Arial" w:hAnsi="Arial" w:cs="Arial"/>
          <w:sz w:val="22"/>
          <w:szCs w:val="22"/>
        </w:rPr>
        <w:t>that these remissions can be administered using ‘early’ remission decisions</w:t>
      </w:r>
      <w:r w:rsidR="00173E97" w:rsidRPr="00AE336C">
        <w:rPr>
          <w:rFonts w:ascii="Arial" w:hAnsi="Arial" w:cs="Arial"/>
          <w:sz w:val="22"/>
          <w:szCs w:val="22"/>
        </w:rPr>
        <w:t xml:space="preserve">, </w:t>
      </w:r>
      <w:r w:rsidR="004A6165" w:rsidRPr="00AE336C">
        <w:rPr>
          <w:rFonts w:ascii="Arial" w:hAnsi="Arial" w:cs="Arial"/>
          <w:sz w:val="22"/>
          <w:szCs w:val="22"/>
        </w:rPr>
        <w:t xml:space="preserve">which are </w:t>
      </w:r>
      <w:r w:rsidR="00173E97" w:rsidRPr="00AE336C">
        <w:rPr>
          <w:rFonts w:ascii="Arial" w:hAnsi="Arial" w:cs="Arial"/>
          <w:sz w:val="22"/>
          <w:szCs w:val="22"/>
        </w:rPr>
        <w:t xml:space="preserve">automatically applied to </w:t>
      </w:r>
      <w:r w:rsidR="008846B5" w:rsidRPr="00AE336C">
        <w:rPr>
          <w:rFonts w:ascii="Arial" w:hAnsi="Arial" w:cs="Arial"/>
          <w:sz w:val="22"/>
          <w:szCs w:val="22"/>
        </w:rPr>
        <w:t xml:space="preserve">individuals or to </w:t>
      </w:r>
      <w:r w:rsidR="00173E97" w:rsidRPr="00AE336C">
        <w:rPr>
          <w:rFonts w:ascii="Arial" w:hAnsi="Arial" w:cs="Arial"/>
          <w:sz w:val="22"/>
          <w:szCs w:val="22"/>
        </w:rPr>
        <w:t xml:space="preserve">all taxpayers in </w:t>
      </w:r>
      <w:r w:rsidR="00D86ACB" w:rsidRPr="00AE336C">
        <w:rPr>
          <w:rFonts w:ascii="Arial" w:hAnsi="Arial" w:cs="Arial"/>
          <w:sz w:val="22"/>
          <w:szCs w:val="22"/>
        </w:rPr>
        <w:t xml:space="preserve">a </w:t>
      </w:r>
      <w:r w:rsidR="00173E97" w:rsidRPr="00AE336C">
        <w:rPr>
          <w:rFonts w:ascii="Arial" w:hAnsi="Arial" w:cs="Arial"/>
          <w:sz w:val="22"/>
          <w:szCs w:val="22"/>
        </w:rPr>
        <w:t>class of circumstances which justify that remission.</w:t>
      </w:r>
    </w:p>
    <w:p w14:paraId="54946F35" w14:textId="77777777" w:rsidR="00FC18B4" w:rsidRPr="00AE336C" w:rsidRDefault="00FC18B4" w:rsidP="00AE336C">
      <w:pPr>
        <w:autoSpaceDE w:val="0"/>
        <w:autoSpaceDN w:val="0"/>
        <w:adjustRightInd w:val="0"/>
        <w:spacing w:after="120"/>
        <w:rPr>
          <w:rFonts w:ascii="Arial" w:hAnsi="Arial" w:cs="Arial"/>
          <w:sz w:val="22"/>
          <w:szCs w:val="22"/>
        </w:rPr>
      </w:pPr>
    </w:p>
    <w:p w14:paraId="2485ACCA" w14:textId="4E4F559E" w:rsidR="00FE17DE" w:rsidRPr="00AE336C" w:rsidRDefault="00A74213" w:rsidP="00AE336C">
      <w:pPr>
        <w:pStyle w:val="Heading2"/>
      </w:pPr>
      <w:r w:rsidRPr="00AE336C">
        <w:t>Explanation</w:t>
      </w:r>
      <w:r w:rsidR="005D0A8F" w:rsidRPr="00AE336C">
        <w:t xml:space="preserve"> of instrument</w:t>
      </w:r>
    </w:p>
    <w:p w14:paraId="0D802701" w14:textId="69BF8640" w:rsidR="00FC18B4" w:rsidRPr="00AE336C" w:rsidRDefault="00363472" w:rsidP="00AE336C">
      <w:pPr>
        <w:numPr>
          <w:ilvl w:val="0"/>
          <w:numId w:val="1"/>
        </w:numPr>
        <w:tabs>
          <w:tab w:val="clear" w:pos="360"/>
        </w:tabs>
        <w:spacing w:after="120"/>
        <w:ind w:left="709" w:hanging="709"/>
        <w:rPr>
          <w:rFonts w:ascii="Arial" w:hAnsi="Arial" w:cs="Arial"/>
        </w:rPr>
      </w:pPr>
      <w:r w:rsidRPr="00AE336C">
        <w:rPr>
          <w:rFonts w:ascii="Arial" w:hAnsi="Arial" w:cs="Arial"/>
          <w:sz w:val="22"/>
          <w:szCs w:val="22"/>
        </w:rPr>
        <w:t xml:space="preserve">This instrument modifies the operation of the relevant remission provisions </w:t>
      </w:r>
      <w:r w:rsidR="00647C42" w:rsidRPr="00AE336C">
        <w:rPr>
          <w:rFonts w:ascii="Arial" w:hAnsi="Arial" w:cs="Arial"/>
          <w:sz w:val="22"/>
          <w:szCs w:val="22"/>
        </w:rPr>
        <w:t xml:space="preserve">in the </w:t>
      </w:r>
      <w:r w:rsidR="00FA2421" w:rsidRPr="00AE336C">
        <w:rPr>
          <w:rFonts w:ascii="Arial" w:hAnsi="Arial" w:cs="Arial"/>
          <w:sz w:val="22"/>
          <w:szCs w:val="22"/>
        </w:rPr>
        <w:t>TAA</w:t>
      </w:r>
      <w:r w:rsidR="009C67CB" w:rsidRPr="00AE336C">
        <w:rPr>
          <w:rFonts w:ascii="Arial" w:hAnsi="Arial" w:cs="Arial"/>
          <w:sz w:val="22"/>
          <w:szCs w:val="22"/>
        </w:rPr>
        <w:t xml:space="preserve">, </w:t>
      </w:r>
      <w:r w:rsidRPr="00AE336C">
        <w:rPr>
          <w:rFonts w:ascii="Arial" w:hAnsi="Arial" w:cs="Arial"/>
          <w:sz w:val="22"/>
          <w:szCs w:val="22"/>
        </w:rPr>
        <w:t>to put beyond</w:t>
      </w:r>
      <w:r w:rsidR="00FE17DE" w:rsidRPr="00AE336C">
        <w:rPr>
          <w:rFonts w:ascii="Arial" w:hAnsi="Arial" w:cs="Arial"/>
          <w:sz w:val="22"/>
          <w:szCs w:val="22"/>
        </w:rPr>
        <w:t xml:space="preserve"> doubt that the Commissioner </w:t>
      </w:r>
      <w:r w:rsidR="00EB4C4B" w:rsidRPr="00AE336C">
        <w:rPr>
          <w:rFonts w:ascii="Arial" w:hAnsi="Arial" w:cs="Arial"/>
          <w:sz w:val="22"/>
          <w:szCs w:val="22"/>
        </w:rPr>
        <w:t xml:space="preserve">may make GIC, SIC and FTL penalty </w:t>
      </w:r>
      <w:r w:rsidR="00781F67" w:rsidRPr="00AE336C">
        <w:rPr>
          <w:rFonts w:ascii="Arial" w:hAnsi="Arial" w:cs="Arial"/>
          <w:sz w:val="22"/>
          <w:szCs w:val="22"/>
        </w:rPr>
        <w:t>remission decisions</w:t>
      </w:r>
      <w:r w:rsidR="00EB4C4B" w:rsidRPr="00AE336C">
        <w:rPr>
          <w:rFonts w:ascii="Arial" w:hAnsi="Arial" w:cs="Arial"/>
          <w:sz w:val="22"/>
          <w:szCs w:val="22"/>
        </w:rPr>
        <w:t xml:space="preserve"> in</w:t>
      </w:r>
      <w:r w:rsidR="00781F67" w:rsidRPr="00AE336C">
        <w:rPr>
          <w:rFonts w:ascii="Arial" w:hAnsi="Arial" w:cs="Arial"/>
          <w:sz w:val="22"/>
          <w:szCs w:val="22"/>
        </w:rPr>
        <w:t xml:space="preserve"> relation to either </w:t>
      </w:r>
      <w:r w:rsidR="00652C99" w:rsidRPr="00AE336C">
        <w:rPr>
          <w:rFonts w:ascii="Arial" w:hAnsi="Arial" w:cs="Arial"/>
          <w:sz w:val="22"/>
          <w:szCs w:val="22"/>
        </w:rPr>
        <w:t>an</w:t>
      </w:r>
      <w:r w:rsidR="00781F67" w:rsidRPr="00AE336C">
        <w:rPr>
          <w:rFonts w:ascii="Arial" w:hAnsi="Arial" w:cs="Arial"/>
          <w:sz w:val="22"/>
          <w:szCs w:val="22"/>
        </w:rPr>
        <w:t xml:space="preserve"> </w:t>
      </w:r>
      <w:r w:rsidR="00096C6B" w:rsidRPr="00AE336C">
        <w:rPr>
          <w:rFonts w:ascii="Arial" w:hAnsi="Arial" w:cs="Arial"/>
          <w:sz w:val="22"/>
          <w:szCs w:val="22"/>
        </w:rPr>
        <w:t xml:space="preserve">individual </w:t>
      </w:r>
      <w:r w:rsidR="00781F67" w:rsidRPr="00AE336C">
        <w:rPr>
          <w:rFonts w:ascii="Arial" w:hAnsi="Arial" w:cs="Arial"/>
          <w:sz w:val="22"/>
          <w:szCs w:val="22"/>
        </w:rPr>
        <w:t>entity or one or more entities in a relevant class</w:t>
      </w:r>
      <w:r w:rsidR="009C67CB" w:rsidRPr="00AE336C">
        <w:rPr>
          <w:rFonts w:ascii="Arial" w:hAnsi="Arial" w:cs="Arial"/>
          <w:sz w:val="22"/>
          <w:szCs w:val="22"/>
        </w:rPr>
        <w:t xml:space="preserve">, </w:t>
      </w:r>
      <w:r w:rsidR="00781F67" w:rsidRPr="00AE336C">
        <w:rPr>
          <w:rFonts w:ascii="Arial" w:hAnsi="Arial" w:cs="Arial"/>
          <w:sz w:val="22"/>
          <w:szCs w:val="22"/>
        </w:rPr>
        <w:t>whether or not the charge or penalty has already become due and payable</w:t>
      </w:r>
      <w:r w:rsidR="003843A4">
        <w:rPr>
          <w:rFonts w:ascii="Arial" w:hAnsi="Arial" w:cs="Arial"/>
          <w:sz w:val="22"/>
          <w:szCs w:val="22"/>
        </w:rPr>
        <w:t>,</w:t>
      </w:r>
      <w:r w:rsidR="00781F67" w:rsidRPr="00AE336C">
        <w:rPr>
          <w:rFonts w:ascii="Arial" w:hAnsi="Arial" w:cs="Arial"/>
          <w:sz w:val="22"/>
          <w:szCs w:val="22"/>
        </w:rPr>
        <w:t xml:space="preserve"> or may </w:t>
      </w:r>
      <w:r w:rsidR="00D62BC8" w:rsidRPr="00AE336C">
        <w:rPr>
          <w:rFonts w:ascii="Arial" w:hAnsi="Arial" w:cs="Arial"/>
          <w:sz w:val="22"/>
          <w:szCs w:val="22"/>
        </w:rPr>
        <w:t>become due and payable</w:t>
      </w:r>
      <w:r w:rsidR="00781F67" w:rsidRPr="00AE336C">
        <w:rPr>
          <w:rFonts w:ascii="Arial" w:hAnsi="Arial" w:cs="Arial"/>
          <w:sz w:val="22"/>
          <w:szCs w:val="22"/>
        </w:rPr>
        <w:t xml:space="preserve"> in the future.</w:t>
      </w:r>
    </w:p>
    <w:p w14:paraId="594AF0B4" w14:textId="28E95B37" w:rsidR="00FC18B4" w:rsidRPr="00AE336C" w:rsidRDefault="009C67CB" w:rsidP="00AE336C">
      <w:pPr>
        <w:numPr>
          <w:ilvl w:val="0"/>
          <w:numId w:val="1"/>
        </w:numPr>
        <w:tabs>
          <w:tab w:val="clear" w:pos="360"/>
        </w:tabs>
        <w:spacing w:after="120"/>
        <w:ind w:left="709" w:hanging="709"/>
        <w:rPr>
          <w:rFonts w:ascii="Arial" w:hAnsi="Arial" w:cs="Arial"/>
        </w:rPr>
      </w:pPr>
      <w:r w:rsidRPr="00AE336C">
        <w:rPr>
          <w:rFonts w:ascii="Arial" w:hAnsi="Arial" w:cs="Arial"/>
          <w:sz w:val="22"/>
          <w:szCs w:val="22"/>
        </w:rPr>
        <w:t xml:space="preserve">The Commissioner will only be able to remit charges and penalties in relation to a class of entities where they fall within a ‘relevant class’ as defined </w:t>
      </w:r>
      <w:r w:rsidR="00A03393" w:rsidRPr="00AE336C">
        <w:rPr>
          <w:rFonts w:ascii="Arial" w:hAnsi="Arial" w:cs="Arial"/>
          <w:sz w:val="22"/>
          <w:szCs w:val="22"/>
        </w:rPr>
        <w:t>in section 4</w:t>
      </w:r>
      <w:r w:rsidR="00547231" w:rsidRPr="00AE336C">
        <w:rPr>
          <w:rFonts w:ascii="Arial" w:hAnsi="Arial" w:cs="Arial"/>
          <w:sz w:val="22"/>
          <w:szCs w:val="22"/>
        </w:rPr>
        <w:t xml:space="preserve"> of th</w:t>
      </w:r>
      <w:r w:rsidR="00280913" w:rsidRPr="00AE336C">
        <w:rPr>
          <w:rFonts w:ascii="Arial" w:hAnsi="Arial" w:cs="Arial"/>
          <w:sz w:val="22"/>
          <w:szCs w:val="22"/>
        </w:rPr>
        <w:t>e</w:t>
      </w:r>
      <w:r w:rsidR="00547231" w:rsidRPr="00AE336C">
        <w:rPr>
          <w:rFonts w:ascii="Arial" w:hAnsi="Arial" w:cs="Arial"/>
          <w:sz w:val="22"/>
          <w:szCs w:val="22"/>
        </w:rPr>
        <w:t xml:space="preserve"> instrument</w:t>
      </w:r>
      <w:r w:rsidR="00A03393" w:rsidRPr="00AE336C">
        <w:rPr>
          <w:rFonts w:ascii="Arial" w:hAnsi="Arial" w:cs="Arial"/>
          <w:sz w:val="22"/>
          <w:szCs w:val="22"/>
        </w:rPr>
        <w:t xml:space="preserve">. This ensures </w:t>
      </w:r>
      <w:r w:rsidR="00280913" w:rsidRPr="00AE336C">
        <w:rPr>
          <w:rFonts w:ascii="Arial" w:hAnsi="Arial" w:cs="Arial"/>
          <w:sz w:val="22"/>
          <w:szCs w:val="22"/>
        </w:rPr>
        <w:t xml:space="preserve">that </w:t>
      </w:r>
      <w:r w:rsidR="00A03393" w:rsidRPr="00AE336C">
        <w:rPr>
          <w:rFonts w:ascii="Arial" w:hAnsi="Arial" w:cs="Arial"/>
          <w:sz w:val="22"/>
          <w:szCs w:val="22"/>
        </w:rPr>
        <w:t>the modification applies in a specific set of circumstances aligned with the Commissioner’s long</w:t>
      </w:r>
      <w:r w:rsidR="00FA2421" w:rsidRPr="00AE336C">
        <w:rPr>
          <w:rFonts w:ascii="Arial" w:hAnsi="Arial" w:cs="Arial"/>
          <w:sz w:val="22"/>
          <w:szCs w:val="22"/>
        </w:rPr>
        <w:t>-</w:t>
      </w:r>
      <w:r w:rsidR="00A03393" w:rsidRPr="00AE336C">
        <w:rPr>
          <w:rFonts w:ascii="Arial" w:hAnsi="Arial" w:cs="Arial"/>
          <w:sz w:val="22"/>
          <w:szCs w:val="22"/>
        </w:rPr>
        <w:t>standing practice of providing low value and low risk remissions</w:t>
      </w:r>
      <w:r w:rsidR="004E1FA9" w:rsidRPr="00AE336C">
        <w:rPr>
          <w:rFonts w:ascii="Arial" w:hAnsi="Arial" w:cs="Arial"/>
          <w:sz w:val="22"/>
          <w:szCs w:val="22"/>
        </w:rPr>
        <w:t>,</w:t>
      </w:r>
      <w:r w:rsidR="00A03393" w:rsidRPr="00AE336C">
        <w:rPr>
          <w:rFonts w:ascii="Arial" w:hAnsi="Arial" w:cs="Arial"/>
          <w:sz w:val="22"/>
          <w:szCs w:val="22"/>
        </w:rPr>
        <w:t xml:space="preserve"> </w:t>
      </w:r>
      <w:r w:rsidR="00A51EF2" w:rsidRPr="00AE336C">
        <w:rPr>
          <w:rFonts w:ascii="Arial" w:hAnsi="Arial" w:cs="Arial"/>
          <w:sz w:val="22"/>
          <w:szCs w:val="22"/>
        </w:rPr>
        <w:t xml:space="preserve">and </w:t>
      </w:r>
      <w:r w:rsidR="00A03393" w:rsidRPr="00AE336C">
        <w:rPr>
          <w:rFonts w:ascii="Arial" w:hAnsi="Arial" w:cs="Arial"/>
          <w:sz w:val="22"/>
          <w:szCs w:val="22"/>
        </w:rPr>
        <w:t>as a</w:t>
      </w:r>
      <w:r w:rsidR="00647C42" w:rsidRPr="00AE336C">
        <w:rPr>
          <w:rFonts w:ascii="Arial" w:hAnsi="Arial" w:cs="Arial"/>
          <w:sz w:val="22"/>
          <w:szCs w:val="22"/>
        </w:rPr>
        <w:t>n</w:t>
      </w:r>
      <w:r w:rsidR="00A03393" w:rsidRPr="00AE336C">
        <w:rPr>
          <w:rFonts w:ascii="Arial" w:hAnsi="Arial" w:cs="Arial"/>
          <w:sz w:val="22"/>
          <w:szCs w:val="22"/>
        </w:rPr>
        <w:t xml:space="preserve"> </w:t>
      </w:r>
      <w:r w:rsidR="00647C42" w:rsidRPr="00AE336C">
        <w:rPr>
          <w:rFonts w:ascii="Arial" w:hAnsi="Arial" w:cs="Arial"/>
          <w:sz w:val="22"/>
          <w:szCs w:val="22"/>
        </w:rPr>
        <w:t xml:space="preserve">administrative </w:t>
      </w:r>
      <w:r w:rsidR="00A03393" w:rsidRPr="00AE336C">
        <w:rPr>
          <w:rFonts w:ascii="Arial" w:hAnsi="Arial" w:cs="Arial"/>
          <w:sz w:val="22"/>
          <w:szCs w:val="22"/>
        </w:rPr>
        <w:t>response to adverse events affecting the community.</w:t>
      </w:r>
    </w:p>
    <w:p w14:paraId="398DC225" w14:textId="03867BE0" w:rsidR="00A51EF2" w:rsidRPr="00AE336C" w:rsidRDefault="0011291F"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A</w:t>
      </w:r>
      <w:r w:rsidR="003A4804" w:rsidRPr="00AE336C">
        <w:rPr>
          <w:rFonts w:ascii="Arial" w:hAnsi="Arial" w:cs="Arial"/>
          <w:sz w:val="22"/>
          <w:szCs w:val="22"/>
        </w:rPr>
        <w:t xml:space="preserve"> </w:t>
      </w:r>
      <w:r w:rsidR="00280913" w:rsidRPr="00AE336C">
        <w:rPr>
          <w:rFonts w:ascii="Arial" w:hAnsi="Arial" w:cs="Arial"/>
          <w:sz w:val="22"/>
          <w:szCs w:val="22"/>
        </w:rPr>
        <w:t>‘</w:t>
      </w:r>
      <w:r w:rsidR="003A4804" w:rsidRPr="00AE336C">
        <w:rPr>
          <w:rFonts w:ascii="Arial" w:hAnsi="Arial" w:cs="Arial"/>
          <w:sz w:val="22"/>
          <w:szCs w:val="22"/>
        </w:rPr>
        <w:t>relevant class</w:t>
      </w:r>
      <w:r w:rsidR="00280913" w:rsidRPr="00AE336C">
        <w:rPr>
          <w:rFonts w:ascii="Arial" w:hAnsi="Arial" w:cs="Arial"/>
          <w:sz w:val="22"/>
          <w:szCs w:val="22"/>
        </w:rPr>
        <w:t>’</w:t>
      </w:r>
      <w:r w:rsidR="003A4804" w:rsidRPr="00AE336C">
        <w:rPr>
          <w:rFonts w:ascii="Arial" w:hAnsi="Arial" w:cs="Arial"/>
          <w:sz w:val="22"/>
          <w:szCs w:val="22"/>
        </w:rPr>
        <w:t xml:space="preserve"> is defined as a class of entities</w:t>
      </w:r>
      <w:r w:rsidR="00A51EF2" w:rsidRPr="00AE336C">
        <w:rPr>
          <w:rFonts w:ascii="Arial" w:hAnsi="Arial" w:cs="Arial"/>
          <w:sz w:val="22"/>
          <w:szCs w:val="22"/>
        </w:rPr>
        <w:t>:</w:t>
      </w:r>
    </w:p>
    <w:p w14:paraId="61805A5C" w14:textId="246B15E6" w:rsidR="00FC18B4" w:rsidRPr="00AE336C" w:rsidRDefault="003A4804" w:rsidP="00AE336C">
      <w:pPr>
        <w:numPr>
          <w:ilvl w:val="0"/>
          <w:numId w:val="3"/>
        </w:numPr>
        <w:spacing w:after="120"/>
        <w:ind w:left="1418" w:hanging="709"/>
        <w:rPr>
          <w:rFonts w:ascii="Arial" w:hAnsi="Arial" w:cs="Arial"/>
        </w:rPr>
      </w:pPr>
      <w:r w:rsidRPr="00AE336C">
        <w:rPr>
          <w:rFonts w:ascii="Arial" w:hAnsi="Arial" w:cs="Arial"/>
          <w:sz w:val="22"/>
          <w:szCs w:val="22"/>
        </w:rPr>
        <w:lastRenderedPageBreak/>
        <w:t>that the Commissioner is satisfied has been affected by a natural disaster or other serious and external adverse event</w:t>
      </w:r>
      <w:r w:rsidR="005A6745" w:rsidRPr="00AE336C">
        <w:rPr>
          <w:rFonts w:ascii="Arial" w:hAnsi="Arial" w:cs="Arial"/>
          <w:sz w:val="22"/>
          <w:szCs w:val="22"/>
        </w:rPr>
        <w:t>,</w:t>
      </w:r>
    </w:p>
    <w:p w14:paraId="6136DA18" w14:textId="75CCF50B" w:rsidR="00FC18B4" w:rsidRPr="00AE336C" w:rsidRDefault="003A4804" w:rsidP="00AE336C">
      <w:pPr>
        <w:numPr>
          <w:ilvl w:val="0"/>
          <w:numId w:val="3"/>
        </w:numPr>
        <w:spacing w:after="120"/>
        <w:ind w:left="1418" w:hanging="709"/>
        <w:rPr>
          <w:rFonts w:ascii="Arial" w:hAnsi="Arial" w:cs="Arial"/>
        </w:rPr>
      </w:pPr>
      <w:r w:rsidRPr="00AE336C">
        <w:rPr>
          <w:rFonts w:ascii="Arial" w:hAnsi="Arial" w:cs="Arial"/>
          <w:sz w:val="22"/>
          <w:szCs w:val="22"/>
        </w:rPr>
        <w:t>with</w:t>
      </w:r>
      <w:r w:rsidR="0061536F" w:rsidRPr="00AE336C">
        <w:rPr>
          <w:rFonts w:ascii="Arial" w:hAnsi="Arial" w:cs="Arial"/>
          <w:sz w:val="22"/>
          <w:szCs w:val="22"/>
        </w:rPr>
        <w:t xml:space="preserve"> a liability to a charge or penalty </w:t>
      </w:r>
      <w:r w:rsidR="00145E6F">
        <w:rPr>
          <w:rFonts w:ascii="Arial" w:hAnsi="Arial" w:cs="Arial"/>
          <w:sz w:val="22"/>
          <w:szCs w:val="22"/>
        </w:rPr>
        <w:t xml:space="preserve">that </w:t>
      </w:r>
      <w:r w:rsidR="0061536F" w:rsidRPr="00AE336C">
        <w:rPr>
          <w:rFonts w:ascii="Arial" w:hAnsi="Arial" w:cs="Arial"/>
          <w:sz w:val="22"/>
          <w:szCs w:val="22"/>
        </w:rPr>
        <w:t>the Commissioner considers</w:t>
      </w:r>
      <w:r w:rsidR="00A51EF2" w:rsidRPr="00AE336C">
        <w:rPr>
          <w:rFonts w:ascii="Arial" w:hAnsi="Arial" w:cs="Arial"/>
          <w:sz w:val="22"/>
          <w:szCs w:val="22"/>
        </w:rPr>
        <w:t xml:space="preserve"> </w:t>
      </w:r>
      <w:r w:rsidRPr="00AE336C">
        <w:rPr>
          <w:rFonts w:ascii="Arial" w:hAnsi="Arial" w:cs="Arial"/>
          <w:sz w:val="22"/>
          <w:szCs w:val="22"/>
        </w:rPr>
        <w:t>is a minor amount, having regard to any relevant matters such as the cost of collecting the liabilit</w:t>
      </w:r>
      <w:r w:rsidR="005D0A44">
        <w:rPr>
          <w:rFonts w:ascii="Arial" w:hAnsi="Arial" w:cs="Arial"/>
          <w:sz w:val="22"/>
          <w:szCs w:val="22"/>
        </w:rPr>
        <w:t>y</w:t>
      </w:r>
      <w:r w:rsidRPr="00AE336C">
        <w:rPr>
          <w:rFonts w:ascii="Arial" w:hAnsi="Arial" w:cs="Arial"/>
          <w:sz w:val="22"/>
          <w:szCs w:val="22"/>
        </w:rPr>
        <w:t xml:space="preserve">, </w:t>
      </w:r>
      <w:r w:rsidR="00A51EF2" w:rsidRPr="00AE336C">
        <w:rPr>
          <w:rFonts w:ascii="Arial" w:hAnsi="Arial" w:cs="Arial"/>
          <w:sz w:val="22"/>
          <w:szCs w:val="22"/>
        </w:rPr>
        <w:t>costs of compliance for taxpayers, and the need to maintain adequate incentives for the prompt payment of liabilities</w:t>
      </w:r>
      <w:r w:rsidR="004F77B0" w:rsidRPr="00AE336C">
        <w:rPr>
          <w:rFonts w:ascii="Arial" w:hAnsi="Arial" w:cs="Arial"/>
          <w:sz w:val="22"/>
          <w:szCs w:val="22"/>
        </w:rPr>
        <w:t>,</w:t>
      </w:r>
      <w:r w:rsidRPr="00AE336C">
        <w:rPr>
          <w:rFonts w:ascii="Arial" w:hAnsi="Arial" w:cs="Arial"/>
          <w:sz w:val="22"/>
          <w:szCs w:val="22"/>
        </w:rPr>
        <w:t xml:space="preserve"> or</w:t>
      </w:r>
    </w:p>
    <w:p w14:paraId="382B6BCC" w14:textId="5D5335CD" w:rsidR="003A4804" w:rsidRPr="00AE336C" w:rsidRDefault="00A51EF2" w:rsidP="00AE336C">
      <w:pPr>
        <w:numPr>
          <w:ilvl w:val="0"/>
          <w:numId w:val="3"/>
        </w:numPr>
        <w:spacing w:after="120"/>
        <w:ind w:left="1418" w:hanging="709"/>
        <w:rPr>
          <w:rFonts w:ascii="Arial" w:hAnsi="Arial" w:cs="Arial"/>
          <w:sz w:val="22"/>
          <w:szCs w:val="22"/>
        </w:rPr>
      </w:pPr>
      <w:r w:rsidRPr="00AE336C">
        <w:rPr>
          <w:rFonts w:ascii="Arial" w:hAnsi="Arial" w:cs="Arial"/>
          <w:sz w:val="22"/>
          <w:szCs w:val="22"/>
        </w:rPr>
        <w:t xml:space="preserve">with a liability to a charge or penalty that the Commissioner considers it </w:t>
      </w:r>
      <w:r w:rsidR="003A4804" w:rsidRPr="00AE336C">
        <w:rPr>
          <w:rFonts w:ascii="Arial" w:hAnsi="Arial" w:cs="Arial"/>
          <w:sz w:val="22"/>
          <w:szCs w:val="22"/>
        </w:rPr>
        <w:t xml:space="preserve">is appropriate to remit to encourage ongoing compliance with taxation laws, having regard to </w:t>
      </w:r>
      <w:r w:rsidR="00E30276" w:rsidRPr="00AE336C">
        <w:rPr>
          <w:rFonts w:ascii="Arial" w:hAnsi="Arial" w:cs="Arial"/>
          <w:sz w:val="22"/>
          <w:szCs w:val="22"/>
        </w:rPr>
        <w:t xml:space="preserve"> </w:t>
      </w:r>
      <w:r w:rsidR="003A4804" w:rsidRPr="00AE336C">
        <w:rPr>
          <w:rFonts w:ascii="Arial" w:hAnsi="Arial" w:cs="Arial"/>
          <w:sz w:val="22"/>
          <w:szCs w:val="22"/>
        </w:rPr>
        <w:t>previous compliance history.</w:t>
      </w:r>
    </w:p>
    <w:p w14:paraId="571EB1D0" w14:textId="77777777" w:rsidR="00FC18B4" w:rsidRPr="00AE336C" w:rsidRDefault="00FC18B4" w:rsidP="00AE336C">
      <w:pPr>
        <w:autoSpaceDE w:val="0"/>
        <w:autoSpaceDN w:val="0"/>
        <w:adjustRightInd w:val="0"/>
        <w:spacing w:after="120"/>
        <w:rPr>
          <w:i/>
          <w:iCs/>
        </w:rPr>
      </w:pPr>
    </w:p>
    <w:p w14:paraId="3E1B3C60" w14:textId="5D7B1D44" w:rsidR="00781F67" w:rsidRPr="00AE336C" w:rsidRDefault="00781F67" w:rsidP="00AE336C">
      <w:pPr>
        <w:pStyle w:val="Heading3"/>
        <w:spacing w:before="0" w:after="120"/>
        <w:rPr>
          <w:rStyle w:val="Emphasis"/>
          <w:rFonts w:eastAsia="Calibri"/>
          <w:sz w:val="22"/>
          <w:szCs w:val="22"/>
          <w:lang w:eastAsia="en-US"/>
        </w:rPr>
      </w:pPr>
      <w:r w:rsidRPr="00AE336C">
        <w:rPr>
          <w:rStyle w:val="Emphasis"/>
          <w:sz w:val="22"/>
          <w:szCs w:val="22"/>
        </w:rPr>
        <w:t>Natural disaster or other serious and external adverse event</w:t>
      </w:r>
    </w:p>
    <w:p w14:paraId="59F3D4A8" w14:textId="0B9BA472" w:rsidR="00FC18B4" w:rsidRPr="00AE336C" w:rsidRDefault="00C42222" w:rsidP="00AE336C">
      <w:pPr>
        <w:numPr>
          <w:ilvl w:val="0"/>
          <w:numId w:val="1"/>
        </w:numPr>
        <w:tabs>
          <w:tab w:val="clear" w:pos="360"/>
        </w:tabs>
        <w:spacing w:after="120"/>
        <w:ind w:left="709" w:hanging="709"/>
        <w:rPr>
          <w:rFonts w:ascii="Arial" w:hAnsi="Arial" w:cs="Arial"/>
        </w:rPr>
      </w:pPr>
      <w:r w:rsidRPr="00AE336C">
        <w:rPr>
          <w:rFonts w:ascii="Arial" w:hAnsi="Arial" w:cs="Arial"/>
          <w:sz w:val="22"/>
          <w:szCs w:val="22"/>
        </w:rPr>
        <w:t>During and after disaster events</w:t>
      </w:r>
      <w:r w:rsidR="00BD073E" w:rsidRPr="00AE336C">
        <w:rPr>
          <w:rFonts w:ascii="Arial" w:hAnsi="Arial" w:cs="Arial"/>
          <w:sz w:val="22"/>
          <w:szCs w:val="22"/>
        </w:rPr>
        <w:t>,</w:t>
      </w:r>
      <w:r w:rsidRPr="00AE336C">
        <w:rPr>
          <w:rFonts w:ascii="Arial" w:hAnsi="Arial" w:cs="Arial"/>
          <w:sz w:val="22"/>
          <w:szCs w:val="22"/>
        </w:rPr>
        <w:t xml:space="preserve"> the ATO seeks to give impacted taxpayers time to recover and help to get their tax affairs back on track when they are ready</w:t>
      </w:r>
      <w:r w:rsidR="00BD073E" w:rsidRPr="00AE336C">
        <w:rPr>
          <w:rFonts w:ascii="Arial" w:hAnsi="Arial" w:cs="Arial"/>
          <w:sz w:val="22"/>
          <w:szCs w:val="22"/>
        </w:rPr>
        <w:t xml:space="preserve"> to commence re-engaging with the tax system</w:t>
      </w:r>
      <w:r w:rsidRPr="00AE336C">
        <w:rPr>
          <w:rFonts w:ascii="Arial" w:hAnsi="Arial" w:cs="Arial"/>
          <w:sz w:val="22"/>
          <w:szCs w:val="22"/>
        </w:rPr>
        <w:t xml:space="preserve">. In assisting impacted taxpayers, the ATO considers a range of proactive response </w:t>
      </w:r>
      <w:r w:rsidR="00BD073E" w:rsidRPr="00AE336C">
        <w:rPr>
          <w:rFonts w:ascii="Arial" w:hAnsi="Arial" w:cs="Arial"/>
          <w:sz w:val="22"/>
          <w:szCs w:val="22"/>
        </w:rPr>
        <w:t>measures</w:t>
      </w:r>
      <w:r w:rsidRPr="00AE336C">
        <w:rPr>
          <w:rFonts w:ascii="Arial" w:hAnsi="Arial" w:cs="Arial"/>
          <w:sz w:val="22"/>
          <w:szCs w:val="22"/>
        </w:rPr>
        <w:t xml:space="preserve"> based on the scale and impact of the particular event. Historically, response </w:t>
      </w:r>
      <w:r w:rsidR="00BD073E" w:rsidRPr="00AE336C">
        <w:rPr>
          <w:rFonts w:ascii="Arial" w:hAnsi="Arial" w:cs="Arial"/>
          <w:sz w:val="22"/>
          <w:szCs w:val="22"/>
        </w:rPr>
        <w:t>measures</w:t>
      </w:r>
      <w:r w:rsidRPr="00AE336C">
        <w:rPr>
          <w:rFonts w:ascii="Arial" w:hAnsi="Arial" w:cs="Arial"/>
          <w:sz w:val="22"/>
          <w:szCs w:val="22"/>
        </w:rPr>
        <w:t xml:space="preserve"> have included the remission (where appropriate) of penalties and interest charged during the time </w:t>
      </w:r>
      <w:r w:rsidR="004A6165" w:rsidRPr="00AE336C">
        <w:rPr>
          <w:rFonts w:ascii="Arial" w:hAnsi="Arial" w:cs="Arial"/>
          <w:sz w:val="22"/>
          <w:szCs w:val="22"/>
        </w:rPr>
        <w:t xml:space="preserve">that </w:t>
      </w:r>
      <w:r w:rsidR="001C0275" w:rsidRPr="00AE336C">
        <w:rPr>
          <w:rFonts w:ascii="Arial" w:hAnsi="Arial" w:cs="Arial"/>
          <w:sz w:val="22"/>
          <w:szCs w:val="22"/>
        </w:rPr>
        <w:t>taxpayers were</w:t>
      </w:r>
      <w:r w:rsidRPr="00AE336C">
        <w:rPr>
          <w:rFonts w:ascii="Arial" w:hAnsi="Arial" w:cs="Arial"/>
          <w:sz w:val="22"/>
          <w:szCs w:val="22"/>
        </w:rPr>
        <w:t xml:space="preserve"> affected by the event.</w:t>
      </w:r>
    </w:p>
    <w:p w14:paraId="6BF7A8C5" w14:textId="6D007264" w:rsidR="00FC18B4" w:rsidRPr="00AE336C" w:rsidRDefault="0092039A" w:rsidP="00AE336C">
      <w:pPr>
        <w:numPr>
          <w:ilvl w:val="0"/>
          <w:numId w:val="1"/>
        </w:numPr>
        <w:tabs>
          <w:tab w:val="clear" w:pos="360"/>
        </w:tabs>
        <w:spacing w:after="120"/>
        <w:ind w:left="709" w:hanging="709"/>
        <w:rPr>
          <w:rFonts w:ascii="Arial" w:hAnsi="Arial" w:cs="Arial"/>
        </w:rPr>
      </w:pPr>
      <w:r w:rsidRPr="00AE336C">
        <w:rPr>
          <w:rFonts w:ascii="Arial" w:hAnsi="Arial" w:cs="Arial"/>
          <w:sz w:val="22"/>
          <w:szCs w:val="22"/>
        </w:rPr>
        <w:t xml:space="preserve">The </w:t>
      </w:r>
      <w:r w:rsidR="00E56862" w:rsidRPr="00AE336C">
        <w:rPr>
          <w:rFonts w:ascii="Arial" w:hAnsi="Arial" w:cs="Arial"/>
          <w:sz w:val="22"/>
          <w:szCs w:val="22"/>
        </w:rPr>
        <w:t xml:space="preserve">term </w:t>
      </w:r>
      <w:r w:rsidR="00280913" w:rsidRPr="00AE336C">
        <w:rPr>
          <w:rFonts w:ascii="Arial" w:hAnsi="Arial" w:cs="Arial"/>
          <w:sz w:val="22"/>
          <w:szCs w:val="22"/>
        </w:rPr>
        <w:t>‘</w:t>
      </w:r>
      <w:r w:rsidR="00E56862" w:rsidRPr="00AE336C">
        <w:rPr>
          <w:rFonts w:ascii="Arial" w:hAnsi="Arial" w:cs="Arial"/>
          <w:sz w:val="22"/>
          <w:szCs w:val="22"/>
        </w:rPr>
        <w:t>serious and external adverse event</w:t>
      </w:r>
      <w:r w:rsidR="00280913" w:rsidRPr="00AE336C">
        <w:rPr>
          <w:rFonts w:ascii="Arial" w:hAnsi="Arial" w:cs="Arial"/>
          <w:sz w:val="22"/>
          <w:szCs w:val="22"/>
        </w:rPr>
        <w:t>’</w:t>
      </w:r>
      <w:r w:rsidR="008327AF" w:rsidRPr="00AE336C">
        <w:rPr>
          <w:rFonts w:ascii="Arial" w:hAnsi="Arial" w:cs="Arial"/>
          <w:sz w:val="22"/>
          <w:szCs w:val="22"/>
        </w:rPr>
        <w:t xml:space="preserve"> </w:t>
      </w:r>
      <w:r w:rsidR="003B689D" w:rsidRPr="00AE336C">
        <w:rPr>
          <w:rFonts w:ascii="Arial" w:hAnsi="Arial" w:cs="Arial"/>
          <w:sz w:val="22"/>
          <w:szCs w:val="22"/>
        </w:rPr>
        <w:t xml:space="preserve">is intended to capture </w:t>
      </w:r>
      <w:r w:rsidR="00E56862" w:rsidRPr="00AE336C">
        <w:rPr>
          <w:rFonts w:ascii="Arial" w:hAnsi="Arial" w:cs="Arial"/>
          <w:sz w:val="22"/>
          <w:szCs w:val="22"/>
        </w:rPr>
        <w:t>an event that is outside of the taxpayer’s direct control</w:t>
      </w:r>
      <w:r w:rsidR="008327AF" w:rsidRPr="00AE336C">
        <w:rPr>
          <w:rFonts w:ascii="Arial" w:hAnsi="Arial" w:cs="Arial"/>
          <w:sz w:val="22"/>
          <w:szCs w:val="22"/>
        </w:rPr>
        <w:t xml:space="preserve"> or</w:t>
      </w:r>
      <w:r w:rsidR="00E56862" w:rsidRPr="00AE336C">
        <w:rPr>
          <w:rFonts w:ascii="Arial" w:hAnsi="Arial" w:cs="Arial"/>
          <w:sz w:val="22"/>
          <w:szCs w:val="22"/>
        </w:rPr>
        <w:t xml:space="preserve"> influence</w:t>
      </w:r>
      <w:r w:rsidR="004A40F8" w:rsidRPr="00AE336C">
        <w:rPr>
          <w:rFonts w:ascii="Arial" w:hAnsi="Arial" w:cs="Arial"/>
          <w:sz w:val="22"/>
          <w:szCs w:val="22"/>
        </w:rPr>
        <w:t xml:space="preserve"> that has a </w:t>
      </w:r>
      <w:r w:rsidR="007A478E" w:rsidRPr="00AE336C">
        <w:rPr>
          <w:rFonts w:ascii="Arial" w:hAnsi="Arial" w:cs="Arial"/>
          <w:sz w:val="22"/>
          <w:szCs w:val="22"/>
        </w:rPr>
        <w:t xml:space="preserve">serious </w:t>
      </w:r>
      <w:r w:rsidR="004A40F8" w:rsidRPr="00AE336C">
        <w:rPr>
          <w:rFonts w:ascii="Arial" w:hAnsi="Arial" w:cs="Arial"/>
          <w:sz w:val="22"/>
          <w:szCs w:val="22"/>
        </w:rPr>
        <w:t>negative impact on the community</w:t>
      </w:r>
      <w:r w:rsidR="00E56862" w:rsidRPr="00AE336C">
        <w:rPr>
          <w:rFonts w:ascii="Arial" w:hAnsi="Arial" w:cs="Arial"/>
          <w:sz w:val="22"/>
          <w:szCs w:val="22"/>
        </w:rPr>
        <w:t xml:space="preserve">. </w:t>
      </w:r>
      <w:r w:rsidR="00547231" w:rsidRPr="00AE336C">
        <w:rPr>
          <w:rFonts w:ascii="Arial" w:hAnsi="Arial" w:cs="Arial"/>
          <w:sz w:val="22"/>
          <w:szCs w:val="22"/>
        </w:rPr>
        <w:t>An example</w:t>
      </w:r>
      <w:r w:rsidR="007A478E" w:rsidRPr="00AE336C">
        <w:rPr>
          <w:rFonts w:ascii="Arial" w:hAnsi="Arial" w:cs="Arial"/>
          <w:sz w:val="22"/>
          <w:szCs w:val="22"/>
        </w:rPr>
        <w:t xml:space="preserve"> of such an event</w:t>
      </w:r>
      <w:r w:rsidR="00547231" w:rsidRPr="00AE336C">
        <w:rPr>
          <w:rFonts w:ascii="Arial" w:hAnsi="Arial" w:cs="Arial"/>
          <w:sz w:val="22"/>
          <w:szCs w:val="22"/>
        </w:rPr>
        <w:t xml:space="preserve"> </w:t>
      </w:r>
      <w:r w:rsidR="007A478E" w:rsidRPr="00AE336C">
        <w:rPr>
          <w:rFonts w:ascii="Arial" w:hAnsi="Arial" w:cs="Arial"/>
          <w:sz w:val="22"/>
          <w:szCs w:val="22"/>
        </w:rPr>
        <w:t>might</w:t>
      </w:r>
      <w:r w:rsidR="00547231" w:rsidRPr="00AE336C">
        <w:rPr>
          <w:rFonts w:ascii="Arial" w:hAnsi="Arial" w:cs="Arial"/>
          <w:sz w:val="22"/>
          <w:szCs w:val="22"/>
        </w:rPr>
        <w:t xml:space="preserve"> be a</w:t>
      </w:r>
      <w:r w:rsidR="004A40F8" w:rsidRPr="00AE336C">
        <w:rPr>
          <w:rFonts w:ascii="Arial" w:hAnsi="Arial" w:cs="Arial"/>
          <w:sz w:val="22"/>
          <w:szCs w:val="22"/>
        </w:rPr>
        <w:t xml:space="preserve"> cybersecurity incident orchestrated by external actors</w:t>
      </w:r>
      <w:r w:rsidR="00EA3FDE" w:rsidRPr="00AE336C">
        <w:rPr>
          <w:rFonts w:ascii="Arial" w:hAnsi="Arial" w:cs="Arial"/>
          <w:sz w:val="22"/>
          <w:szCs w:val="22"/>
        </w:rPr>
        <w:t xml:space="preserve"> that significantly affects the operations of the </w:t>
      </w:r>
      <w:r w:rsidR="001C0275" w:rsidRPr="00AE336C">
        <w:rPr>
          <w:rFonts w:ascii="Arial" w:hAnsi="Arial" w:cs="Arial"/>
          <w:sz w:val="22"/>
          <w:szCs w:val="22"/>
        </w:rPr>
        <w:t>ATO</w:t>
      </w:r>
      <w:r w:rsidR="00145E6F">
        <w:rPr>
          <w:rFonts w:ascii="Arial" w:hAnsi="Arial" w:cs="Arial"/>
          <w:sz w:val="22"/>
          <w:szCs w:val="22"/>
        </w:rPr>
        <w:t>,</w:t>
      </w:r>
      <w:r w:rsidR="007A478E" w:rsidRPr="00AE336C">
        <w:rPr>
          <w:rFonts w:ascii="Arial" w:hAnsi="Arial" w:cs="Arial"/>
          <w:sz w:val="22"/>
          <w:szCs w:val="22"/>
        </w:rPr>
        <w:t xml:space="preserve"> and impacts the ability of taxpayers to meet their obligations on time</w:t>
      </w:r>
      <w:r w:rsidR="001C0275" w:rsidRPr="00AE336C">
        <w:rPr>
          <w:rFonts w:ascii="Arial" w:hAnsi="Arial" w:cs="Arial"/>
          <w:sz w:val="22"/>
          <w:szCs w:val="22"/>
        </w:rPr>
        <w:t>.</w:t>
      </w:r>
    </w:p>
    <w:p w14:paraId="22981FD7" w14:textId="77777777" w:rsidR="00FC18B4" w:rsidRPr="00AE336C" w:rsidRDefault="00FC18B4" w:rsidP="00AE336C">
      <w:pPr>
        <w:autoSpaceDE w:val="0"/>
        <w:autoSpaceDN w:val="0"/>
        <w:adjustRightInd w:val="0"/>
        <w:spacing w:after="120"/>
        <w:rPr>
          <w:i/>
          <w:iCs/>
        </w:rPr>
      </w:pPr>
    </w:p>
    <w:p w14:paraId="79A01013" w14:textId="4F9858EB" w:rsidR="00CF0A68" w:rsidRPr="00AE336C" w:rsidRDefault="00CF0A68" w:rsidP="00AE336C">
      <w:pPr>
        <w:pStyle w:val="Heading3"/>
        <w:spacing w:before="0" w:after="120"/>
        <w:rPr>
          <w:rStyle w:val="Emphasis"/>
          <w:sz w:val="22"/>
          <w:szCs w:val="22"/>
        </w:rPr>
      </w:pPr>
      <w:r w:rsidRPr="00AE336C">
        <w:rPr>
          <w:rStyle w:val="Emphasis"/>
          <w:sz w:val="22"/>
          <w:szCs w:val="22"/>
        </w:rPr>
        <w:t>Minor amounts</w:t>
      </w:r>
    </w:p>
    <w:p w14:paraId="3A323A37" w14:textId="706E6293" w:rsidR="00FC18B4" w:rsidRPr="00AE336C" w:rsidRDefault="005A6745" w:rsidP="00AE336C">
      <w:pPr>
        <w:numPr>
          <w:ilvl w:val="0"/>
          <w:numId w:val="1"/>
        </w:numPr>
        <w:tabs>
          <w:tab w:val="clear" w:pos="360"/>
        </w:tabs>
        <w:spacing w:after="120"/>
        <w:ind w:left="709" w:hanging="709"/>
        <w:rPr>
          <w:rFonts w:ascii="Arial" w:hAnsi="Arial" w:cs="Arial"/>
        </w:rPr>
      </w:pPr>
      <w:r w:rsidRPr="00AE336C">
        <w:rPr>
          <w:rFonts w:ascii="Arial" w:hAnsi="Arial" w:cs="Arial"/>
          <w:sz w:val="22"/>
          <w:szCs w:val="22"/>
        </w:rPr>
        <w:t>T</w:t>
      </w:r>
      <w:r w:rsidR="00350F01" w:rsidRPr="00AE336C">
        <w:rPr>
          <w:rFonts w:ascii="Arial" w:hAnsi="Arial" w:cs="Arial"/>
          <w:sz w:val="22"/>
          <w:szCs w:val="22"/>
        </w:rPr>
        <w:t>he Commissioner may remit a charge or penalty</w:t>
      </w:r>
      <w:r w:rsidR="0002760B" w:rsidRPr="00AE336C">
        <w:rPr>
          <w:rFonts w:ascii="Arial" w:hAnsi="Arial" w:cs="Arial"/>
          <w:sz w:val="22"/>
          <w:szCs w:val="22"/>
        </w:rPr>
        <w:t xml:space="preserve"> </w:t>
      </w:r>
      <w:r w:rsidR="00280913" w:rsidRPr="00AE336C">
        <w:rPr>
          <w:rFonts w:ascii="Arial" w:hAnsi="Arial" w:cs="Arial"/>
          <w:sz w:val="22"/>
          <w:szCs w:val="22"/>
        </w:rPr>
        <w:t xml:space="preserve">that </w:t>
      </w:r>
      <w:r w:rsidR="00145E6F">
        <w:rPr>
          <w:rFonts w:ascii="Arial" w:hAnsi="Arial" w:cs="Arial"/>
          <w:sz w:val="22"/>
          <w:szCs w:val="22"/>
        </w:rPr>
        <w:t>they</w:t>
      </w:r>
      <w:r w:rsidR="00280913" w:rsidRPr="00AE336C">
        <w:rPr>
          <w:rFonts w:ascii="Arial" w:hAnsi="Arial" w:cs="Arial"/>
          <w:sz w:val="22"/>
          <w:szCs w:val="22"/>
        </w:rPr>
        <w:t xml:space="preserve"> </w:t>
      </w:r>
      <w:r w:rsidR="0002760B" w:rsidRPr="00AE336C">
        <w:rPr>
          <w:rFonts w:ascii="Arial" w:hAnsi="Arial" w:cs="Arial"/>
          <w:sz w:val="22"/>
          <w:szCs w:val="22"/>
        </w:rPr>
        <w:t>conside</w:t>
      </w:r>
      <w:r w:rsidR="00280913" w:rsidRPr="00AE336C">
        <w:rPr>
          <w:rFonts w:ascii="Arial" w:hAnsi="Arial" w:cs="Arial"/>
          <w:sz w:val="22"/>
          <w:szCs w:val="22"/>
        </w:rPr>
        <w:t>r</w:t>
      </w:r>
      <w:r w:rsidR="0002760B" w:rsidRPr="00AE336C">
        <w:rPr>
          <w:rFonts w:ascii="Arial" w:hAnsi="Arial" w:cs="Arial"/>
          <w:sz w:val="22"/>
          <w:szCs w:val="22"/>
        </w:rPr>
        <w:t xml:space="preserve"> to be</w:t>
      </w:r>
      <w:r w:rsidR="00350F01" w:rsidRPr="00AE336C">
        <w:rPr>
          <w:rFonts w:ascii="Arial" w:hAnsi="Arial" w:cs="Arial"/>
          <w:sz w:val="22"/>
          <w:szCs w:val="22"/>
        </w:rPr>
        <w:t xml:space="preserve"> a </w:t>
      </w:r>
      <w:r w:rsidR="00350F01" w:rsidRPr="00AE336C">
        <w:rPr>
          <w:rFonts w:ascii="Arial" w:hAnsi="Arial" w:cs="Arial"/>
          <w:i/>
          <w:iCs/>
          <w:sz w:val="22"/>
          <w:szCs w:val="22"/>
        </w:rPr>
        <w:t>minor</w:t>
      </w:r>
      <w:r w:rsidR="00350F01" w:rsidRPr="00AE336C">
        <w:rPr>
          <w:rFonts w:ascii="Arial" w:hAnsi="Arial" w:cs="Arial"/>
          <w:sz w:val="22"/>
          <w:szCs w:val="22"/>
        </w:rPr>
        <w:t xml:space="preserve"> amount.</w:t>
      </w:r>
      <w:r w:rsidR="00652C99" w:rsidRPr="00AE336C">
        <w:rPr>
          <w:rFonts w:ascii="Arial" w:hAnsi="Arial" w:cs="Arial"/>
          <w:sz w:val="22"/>
          <w:szCs w:val="22"/>
        </w:rPr>
        <w:t xml:space="preserve"> T</w:t>
      </w:r>
      <w:r w:rsidR="00350F01" w:rsidRPr="00AE336C">
        <w:rPr>
          <w:rFonts w:ascii="Arial" w:hAnsi="Arial" w:cs="Arial"/>
          <w:sz w:val="22"/>
          <w:szCs w:val="22"/>
        </w:rPr>
        <w:t>he Commissioner will have regard to any relevant matter in determining when a charge or penalty is a minor amount, including the matters outlined in paragraph (b) of the relevant class definition.</w:t>
      </w:r>
      <w:r w:rsidR="004A6165" w:rsidRPr="00AE336C">
        <w:rPr>
          <w:rFonts w:ascii="Arial" w:hAnsi="Arial" w:cs="Arial"/>
          <w:sz w:val="22"/>
          <w:szCs w:val="22"/>
        </w:rPr>
        <w:t xml:space="preserve"> </w:t>
      </w:r>
      <w:r w:rsidR="00350F01" w:rsidRPr="00AE336C">
        <w:rPr>
          <w:rFonts w:ascii="Arial" w:hAnsi="Arial" w:cs="Arial"/>
          <w:sz w:val="22"/>
          <w:szCs w:val="22"/>
        </w:rPr>
        <w:t xml:space="preserve">For </w:t>
      </w:r>
      <w:r w:rsidR="002F1265" w:rsidRPr="00AE336C">
        <w:rPr>
          <w:rFonts w:ascii="Arial" w:hAnsi="Arial" w:cs="Arial"/>
          <w:sz w:val="22"/>
          <w:szCs w:val="22"/>
        </w:rPr>
        <w:t xml:space="preserve">example, the Commissioner may consider </w:t>
      </w:r>
      <w:r w:rsidR="00FF4EB8" w:rsidRPr="00AE336C">
        <w:rPr>
          <w:rFonts w:ascii="Arial" w:hAnsi="Arial" w:cs="Arial"/>
          <w:sz w:val="22"/>
          <w:szCs w:val="22"/>
        </w:rPr>
        <w:t xml:space="preserve">an amount to be minor where </w:t>
      </w:r>
      <w:r w:rsidR="002F1265" w:rsidRPr="00AE336C">
        <w:rPr>
          <w:rFonts w:ascii="Arial" w:hAnsi="Arial" w:cs="Arial"/>
          <w:sz w:val="22"/>
          <w:szCs w:val="22"/>
        </w:rPr>
        <w:t xml:space="preserve">the cost of collecting the liability </w:t>
      </w:r>
      <w:r w:rsidR="00280913" w:rsidRPr="00AE336C">
        <w:rPr>
          <w:rFonts w:ascii="Arial" w:hAnsi="Arial" w:cs="Arial"/>
          <w:sz w:val="22"/>
          <w:szCs w:val="22"/>
        </w:rPr>
        <w:t>would be greater than</w:t>
      </w:r>
      <w:r w:rsidR="002F1265" w:rsidRPr="00AE336C">
        <w:rPr>
          <w:rFonts w:ascii="Arial" w:hAnsi="Arial" w:cs="Arial"/>
          <w:sz w:val="22"/>
          <w:szCs w:val="22"/>
        </w:rPr>
        <w:t xml:space="preserve"> the amount of t</w:t>
      </w:r>
      <w:r w:rsidR="00FC69E7" w:rsidRPr="00AE336C">
        <w:rPr>
          <w:rFonts w:ascii="Arial" w:hAnsi="Arial" w:cs="Arial"/>
          <w:sz w:val="22"/>
          <w:szCs w:val="22"/>
        </w:rPr>
        <w:t>he actual liability</w:t>
      </w:r>
      <w:r w:rsidR="00FF4EB8" w:rsidRPr="00AE336C">
        <w:rPr>
          <w:rFonts w:ascii="Arial" w:hAnsi="Arial" w:cs="Arial"/>
          <w:sz w:val="22"/>
          <w:szCs w:val="22"/>
        </w:rPr>
        <w:t>.</w:t>
      </w:r>
    </w:p>
    <w:p w14:paraId="425B9141" w14:textId="77777777" w:rsidR="00FC18B4" w:rsidRPr="00AE336C" w:rsidRDefault="00FC18B4" w:rsidP="00AE336C">
      <w:pPr>
        <w:autoSpaceDE w:val="0"/>
        <w:autoSpaceDN w:val="0"/>
        <w:adjustRightInd w:val="0"/>
        <w:spacing w:after="120"/>
        <w:rPr>
          <w:i/>
          <w:iCs/>
        </w:rPr>
      </w:pPr>
    </w:p>
    <w:p w14:paraId="138D96DD" w14:textId="410A473C" w:rsidR="00CF0A68" w:rsidRPr="00AE336C" w:rsidRDefault="00CF0A68" w:rsidP="00AE336C">
      <w:pPr>
        <w:pStyle w:val="Heading3"/>
        <w:spacing w:before="0" w:after="120"/>
        <w:rPr>
          <w:rStyle w:val="Emphasis"/>
          <w:sz w:val="22"/>
          <w:szCs w:val="22"/>
        </w:rPr>
      </w:pPr>
      <w:r w:rsidRPr="00AE336C">
        <w:rPr>
          <w:rStyle w:val="Emphasis"/>
          <w:sz w:val="22"/>
          <w:szCs w:val="22"/>
        </w:rPr>
        <w:t>Encouraging ongoing compliance</w:t>
      </w:r>
    </w:p>
    <w:p w14:paraId="6C407391" w14:textId="6854A5C5" w:rsidR="00C42222" w:rsidRPr="00AE336C" w:rsidRDefault="007C76AD" w:rsidP="00AE336C">
      <w:pPr>
        <w:numPr>
          <w:ilvl w:val="0"/>
          <w:numId w:val="1"/>
        </w:numPr>
        <w:tabs>
          <w:tab w:val="clear" w:pos="360"/>
        </w:tabs>
        <w:spacing w:after="120"/>
        <w:ind w:left="709" w:hanging="709"/>
        <w:rPr>
          <w:rFonts w:ascii="Arial" w:hAnsi="Arial" w:cs="Arial"/>
          <w:b/>
          <w:bCs/>
          <w:sz w:val="22"/>
          <w:szCs w:val="22"/>
        </w:rPr>
      </w:pPr>
      <w:r w:rsidRPr="00AE336C">
        <w:rPr>
          <w:rFonts w:ascii="Arial" w:hAnsi="Arial" w:cs="Arial"/>
          <w:sz w:val="22"/>
          <w:szCs w:val="22"/>
        </w:rPr>
        <w:t>The Commissioner may also remit a liability to a charge or penalty where it is appropriate to do so to encourage ongoing compliance with taxation laws.</w:t>
      </w:r>
      <w:r w:rsidR="004D6761" w:rsidRPr="00AE336C">
        <w:rPr>
          <w:rFonts w:ascii="Arial" w:hAnsi="Arial" w:cs="Arial"/>
          <w:sz w:val="22"/>
          <w:szCs w:val="22"/>
        </w:rPr>
        <w:t xml:space="preserve"> The Commissioner will have regard to a taxpayer’s previous compliance history in determining whether to remit a liability in this case.</w:t>
      </w:r>
    </w:p>
    <w:p w14:paraId="61CE95A1" w14:textId="77777777" w:rsidR="00FC18B4" w:rsidRPr="00AE336C" w:rsidRDefault="004D6761" w:rsidP="00AE336C">
      <w:pPr>
        <w:numPr>
          <w:ilvl w:val="0"/>
          <w:numId w:val="1"/>
        </w:numPr>
        <w:tabs>
          <w:tab w:val="clear" w:pos="360"/>
        </w:tabs>
        <w:spacing w:after="120"/>
        <w:ind w:left="709" w:hanging="709"/>
        <w:rPr>
          <w:rFonts w:ascii="Arial" w:hAnsi="Arial" w:cs="Arial"/>
        </w:rPr>
      </w:pPr>
      <w:r w:rsidRPr="00AE336C">
        <w:rPr>
          <w:rFonts w:ascii="Arial" w:hAnsi="Arial" w:cs="Arial"/>
          <w:sz w:val="22"/>
          <w:szCs w:val="22"/>
        </w:rPr>
        <w:t>Th</w:t>
      </w:r>
      <w:r w:rsidR="004A6165" w:rsidRPr="00AE336C">
        <w:rPr>
          <w:rFonts w:ascii="Arial" w:hAnsi="Arial" w:cs="Arial"/>
          <w:sz w:val="22"/>
          <w:szCs w:val="22"/>
        </w:rPr>
        <w:t>is reflects the fact that the</w:t>
      </w:r>
      <w:r w:rsidRPr="00AE336C">
        <w:rPr>
          <w:rFonts w:ascii="Arial" w:hAnsi="Arial" w:cs="Arial"/>
          <w:sz w:val="22"/>
          <w:szCs w:val="22"/>
        </w:rPr>
        <w:t xml:space="preserve"> ATO aims to make it easy for taxpayers to comply with their tax obligations</w:t>
      </w:r>
      <w:r w:rsidR="00652C99" w:rsidRPr="00AE336C">
        <w:rPr>
          <w:rFonts w:ascii="Arial" w:hAnsi="Arial" w:cs="Arial"/>
          <w:sz w:val="22"/>
          <w:szCs w:val="22"/>
        </w:rPr>
        <w:t xml:space="preserve"> and seeks to encourage good compliance behaviour</w:t>
      </w:r>
      <w:r w:rsidRPr="00AE336C">
        <w:rPr>
          <w:rFonts w:ascii="Arial" w:hAnsi="Arial" w:cs="Arial"/>
          <w:sz w:val="22"/>
          <w:szCs w:val="22"/>
        </w:rPr>
        <w:t xml:space="preserve">. A range of strategies are adopted to achieve that outcome, including </w:t>
      </w:r>
      <w:r w:rsidR="00652C99" w:rsidRPr="00AE336C">
        <w:rPr>
          <w:rFonts w:ascii="Arial" w:hAnsi="Arial" w:cs="Arial"/>
          <w:sz w:val="22"/>
          <w:szCs w:val="22"/>
        </w:rPr>
        <w:t>the remission of interest and penalties where appropriate.</w:t>
      </w:r>
      <w:r w:rsidR="0029358D" w:rsidRPr="00AE336C">
        <w:rPr>
          <w:rFonts w:ascii="Arial" w:hAnsi="Arial" w:cs="Arial"/>
          <w:sz w:val="22"/>
          <w:szCs w:val="22"/>
        </w:rPr>
        <w:t xml:space="preserve"> For example, </w:t>
      </w:r>
      <w:r w:rsidR="00652C99" w:rsidRPr="00AE336C">
        <w:rPr>
          <w:rFonts w:ascii="Arial" w:hAnsi="Arial" w:cs="Arial"/>
          <w:sz w:val="22"/>
          <w:szCs w:val="22"/>
        </w:rPr>
        <w:t>the Commissioner may seek to encourage compliance by remitting a charge or penalty amount for a taxpayer’s first failure to lodge or pay on time.</w:t>
      </w:r>
    </w:p>
    <w:p w14:paraId="2DA69F39" w14:textId="77777777" w:rsidR="00FC18B4" w:rsidRPr="00AE336C" w:rsidRDefault="00FC18B4" w:rsidP="00AE336C">
      <w:pPr>
        <w:autoSpaceDE w:val="0"/>
        <w:autoSpaceDN w:val="0"/>
        <w:adjustRightInd w:val="0"/>
        <w:spacing w:after="120"/>
        <w:rPr>
          <w:rFonts w:ascii="Arial" w:hAnsi="Arial" w:cs="Arial"/>
          <w:sz w:val="22"/>
          <w:szCs w:val="22"/>
        </w:rPr>
      </w:pPr>
    </w:p>
    <w:p w14:paraId="760C0D8B" w14:textId="4DE036E4" w:rsidR="00BB2F3A" w:rsidRPr="00AE336C" w:rsidRDefault="006A17E2" w:rsidP="00AE336C">
      <w:pPr>
        <w:pStyle w:val="Heading2"/>
      </w:pPr>
      <w:r w:rsidRPr="00AE336C">
        <w:t>Exercise of the Commissioner’s remedial power is appropriate in the circumstances</w:t>
      </w:r>
    </w:p>
    <w:p w14:paraId="1FC00A11" w14:textId="58336C63" w:rsidR="00FC18B4" w:rsidRPr="00AE336C" w:rsidRDefault="0047178C"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The</w:t>
      </w:r>
      <w:r w:rsidRPr="00AE336C">
        <w:rPr>
          <w:rFonts w:ascii="Arial" w:eastAsia="Calibri" w:hAnsi="Arial" w:cs="Arial"/>
          <w:sz w:val="22"/>
          <w:szCs w:val="22"/>
          <w:lang w:eastAsia="en-US"/>
        </w:rPr>
        <w:t xml:space="preserve"> Commissioner considers</w:t>
      </w:r>
      <w:r w:rsidR="004A6165" w:rsidRPr="00AE336C">
        <w:rPr>
          <w:rFonts w:ascii="Arial" w:eastAsia="Calibri" w:hAnsi="Arial" w:cs="Arial"/>
          <w:sz w:val="22"/>
          <w:szCs w:val="22"/>
          <w:lang w:eastAsia="en-US"/>
        </w:rPr>
        <w:t xml:space="preserve"> that</w:t>
      </w:r>
      <w:r w:rsidRPr="00AE336C">
        <w:rPr>
          <w:rFonts w:ascii="Arial" w:eastAsia="Calibri" w:hAnsi="Arial" w:cs="Arial"/>
          <w:sz w:val="22"/>
          <w:szCs w:val="22"/>
          <w:lang w:eastAsia="en-US"/>
        </w:rPr>
        <w:t xml:space="preserve"> the modification</w:t>
      </w:r>
      <w:r w:rsidR="004A6165" w:rsidRPr="00AE336C">
        <w:rPr>
          <w:rFonts w:ascii="Arial" w:eastAsia="Calibri" w:hAnsi="Arial" w:cs="Arial"/>
          <w:sz w:val="22"/>
          <w:szCs w:val="22"/>
          <w:lang w:eastAsia="en-US"/>
        </w:rPr>
        <w:t xml:space="preserve"> of </w:t>
      </w:r>
      <w:r w:rsidR="004E1FA9" w:rsidRPr="00AE336C">
        <w:rPr>
          <w:rFonts w:ascii="Arial" w:eastAsia="Calibri" w:hAnsi="Arial" w:cs="Arial"/>
          <w:sz w:val="22"/>
          <w:szCs w:val="22"/>
          <w:lang w:eastAsia="en-US"/>
        </w:rPr>
        <w:t xml:space="preserve">the </w:t>
      </w:r>
      <w:r w:rsidR="004A6165" w:rsidRPr="00AE336C">
        <w:rPr>
          <w:rFonts w:ascii="Arial" w:eastAsia="Calibri" w:hAnsi="Arial" w:cs="Arial"/>
          <w:sz w:val="22"/>
          <w:szCs w:val="22"/>
          <w:lang w:eastAsia="en-US"/>
        </w:rPr>
        <w:t>relevant provisions</w:t>
      </w:r>
      <w:r w:rsidRPr="00AE336C">
        <w:rPr>
          <w:rFonts w:ascii="Arial" w:eastAsia="Calibri" w:hAnsi="Arial" w:cs="Arial"/>
          <w:sz w:val="22"/>
          <w:szCs w:val="22"/>
          <w:lang w:eastAsia="en-US"/>
        </w:rPr>
        <w:t xml:space="preserve"> </w:t>
      </w:r>
      <w:r w:rsidR="000A16C8" w:rsidRPr="00AE336C">
        <w:rPr>
          <w:rFonts w:ascii="Arial" w:eastAsia="Calibri" w:hAnsi="Arial" w:cs="Arial"/>
          <w:sz w:val="22"/>
          <w:szCs w:val="22"/>
          <w:lang w:eastAsia="en-US"/>
        </w:rPr>
        <w:t xml:space="preserve">in </w:t>
      </w:r>
      <w:r w:rsidR="004E1FA9" w:rsidRPr="00AE336C">
        <w:rPr>
          <w:rFonts w:ascii="Arial" w:eastAsia="Calibri" w:hAnsi="Arial" w:cs="Arial"/>
          <w:sz w:val="22"/>
          <w:szCs w:val="22"/>
          <w:lang w:eastAsia="en-US"/>
        </w:rPr>
        <w:t xml:space="preserve">the </w:t>
      </w:r>
      <w:r w:rsidR="00FA2421" w:rsidRPr="00AE336C">
        <w:rPr>
          <w:rFonts w:ascii="Arial" w:eastAsia="Calibri" w:hAnsi="Arial" w:cs="Arial"/>
          <w:sz w:val="22"/>
          <w:szCs w:val="22"/>
          <w:lang w:eastAsia="en-US"/>
        </w:rPr>
        <w:t>TAA</w:t>
      </w:r>
      <w:r w:rsidR="004E1FA9" w:rsidRPr="00AE336C">
        <w:rPr>
          <w:rFonts w:ascii="Arial" w:eastAsia="Calibri" w:hAnsi="Arial" w:cs="Arial"/>
          <w:sz w:val="22"/>
          <w:szCs w:val="22"/>
          <w:lang w:eastAsia="en-US"/>
        </w:rPr>
        <w:t xml:space="preserve"> </w:t>
      </w:r>
      <w:r w:rsidRPr="00AE336C">
        <w:rPr>
          <w:rFonts w:ascii="Arial" w:eastAsia="Calibri" w:hAnsi="Arial" w:cs="Arial"/>
          <w:sz w:val="22"/>
          <w:szCs w:val="22"/>
          <w:lang w:eastAsia="en-US"/>
        </w:rPr>
        <w:t xml:space="preserve">is not inconsistent with the intended purpose or object of </w:t>
      </w:r>
      <w:r w:rsidR="004A6165" w:rsidRPr="00AE336C">
        <w:rPr>
          <w:rFonts w:ascii="Arial" w:eastAsia="Calibri" w:hAnsi="Arial" w:cs="Arial"/>
          <w:sz w:val="22"/>
          <w:szCs w:val="22"/>
          <w:lang w:eastAsia="en-US"/>
        </w:rPr>
        <w:t xml:space="preserve">those </w:t>
      </w:r>
      <w:r w:rsidRPr="00AE336C">
        <w:rPr>
          <w:rFonts w:ascii="Arial" w:eastAsia="Calibri" w:hAnsi="Arial" w:cs="Arial"/>
          <w:sz w:val="22"/>
          <w:szCs w:val="22"/>
          <w:lang w:eastAsia="en-US"/>
        </w:rPr>
        <w:t>provisions</w:t>
      </w:r>
      <w:r w:rsidR="00605A3A" w:rsidRPr="00AE336C">
        <w:rPr>
          <w:rFonts w:ascii="Arial" w:eastAsia="Calibri" w:hAnsi="Arial" w:cs="Arial"/>
          <w:sz w:val="22"/>
          <w:szCs w:val="22"/>
          <w:lang w:eastAsia="en-US"/>
        </w:rPr>
        <w:t>, and is</w:t>
      </w:r>
      <w:r w:rsidR="005A14A6">
        <w:rPr>
          <w:rFonts w:ascii="Arial" w:eastAsia="Calibri" w:hAnsi="Arial" w:cs="Arial"/>
          <w:sz w:val="22"/>
          <w:szCs w:val="22"/>
          <w:lang w:eastAsia="en-US"/>
        </w:rPr>
        <w:t xml:space="preserve"> otherwise</w:t>
      </w:r>
      <w:r w:rsidR="00605A3A" w:rsidRPr="00AE336C">
        <w:rPr>
          <w:rFonts w:ascii="Arial" w:eastAsia="Calibri" w:hAnsi="Arial" w:cs="Arial"/>
          <w:sz w:val="22"/>
          <w:szCs w:val="22"/>
          <w:lang w:eastAsia="en-US"/>
        </w:rPr>
        <w:t xml:space="preserve"> reasonable</w:t>
      </w:r>
      <w:r w:rsidR="0053196A" w:rsidRPr="00AE336C">
        <w:rPr>
          <w:rFonts w:ascii="Arial" w:eastAsia="Calibri" w:hAnsi="Arial" w:cs="Arial"/>
          <w:sz w:val="22"/>
          <w:szCs w:val="22"/>
          <w:lang w:eastAsia="en-US"/>
        </w:rPr>
        <w:t>.</w:t>
      </w:r>
      <w:r w:rsidRPr="00AE336C">
        <w:rPr>
          <w:rFonts w:ascii="Arial" w:eastAsia="Calibri" w:hAnsi="Arial" w:cs="Arial"/>
          <w:sz w:val="22"/>
          <w:szCs w:val="22"/>
          <w:lang w:eastAsia="en-US"/>
        </w:rPr>
        <w:t xml:space="preserve"> </w:t>
      </w:r>
      <w:r w:rsidR="00393EC1" w:rsidRPr="00AE336C">
        <w:rPr>
          <w:rFonts w:ascii="Arial" w:hAnsi="Arial" w:cs="Arial"/>
          <w:sz w:val="22"/>
          <w:szCs w:val="22"/>
        </w:rPr>
        <w:t>The ATO consulted with the CRP Advisory Panel (which is comprised of private sector specialists</w:t>
      </w:r>
      <w:r w:rsidR="000A16C8" w:rsidRPr="00AE336C">
        <w:rPr>
          <w:rFonts w:ascii="Arial" w:hAnsi="Arial" w:cs="Arial"/>
          <w:sz w:val="22"/>
          <w:szCs w:val="22"/>
        </w:rPr>
        <w:t>,</w:t>
      </w:r>
      <w:r w:rsidR="00393EC1" w:rsidRPr="00AE336C">
        <w:rPr>
          <w:rFonts w:ascii="Arial" w:hAnsi="Arial" w:cs="Arial"/>
          <w:sz w:val="22"/>
          <w:szCs w:val="22"/>
        </w:rPr>
        <w:t xml:space="preserve"> as well as representatives from the ATO and the Department of the Treasury) in reaching this view.</w:t>
      </w:r>
    </w:p>
    <w:p w14:paraId="3EB435A5" w14:textId="20600C2E" w:rsidR="0053196A" w:rsidRPr="00AE336C" w:rsidRDefault="0047178C" w:rsidP="00B24027">
      <w:pPr>
        <w:numPr>
          <w:ilvl w:val="0"/>
          <w:numId w:val="1"/>
        </w:numPr>
        <w:tabs>
          <w:tab w:val="clear" w:pos="360"/>
        </w:tabs>
        <w:spacing w:after="120"/>
        <w:ind w:left="709" w:right="-143" w:hanging="709"/>
        <w:rPr>
          <w:rFonts w:ascii="Arial" w:eastAsia="Calibri" w:hAnsi="Arial" w:cs="Arial"/>
          <w:sz w:val="22"/>
          <w:szCs w:val="22"/>
          <w:lang w:eastAsia="en-US"/>
        </w:rPr>
      </w:pPr>
      <w:r w:rsidRPr="00AE336C">
        <w:rPr>
          <w:rFonts w:ascii="Arial" w:eastAsia="Calibri" w:hAnsi="Arial" w:cs="Arial"/>
          <w:sz w:val="22"/>
          <w:szCs w:val="22"/>
          <w:lang w:eastAsia="en-US"/>
        </w:rPr>
        <w:lastRenderedPageBreak/>
        <w:t xml:space="preserve">In </w:t>
      </w:r>
      <w:r w:rsidR="00EB3B67" w:rsidRPr="00AE336C">
        <w:rPr>
          <w:rFonts w:ascii="Arial" w:eastAsia="Calibri" w:hAnsi="Arial" w:cs="Arial"/>
          <w:sz w:val="22"/>
          <w:szCs w:val="22"/>
          <w:lang w:eastAsia="en-US"/>
        </w:rPr>
        <w:t xml:space="preserve">ascertaining </w:t>
      </w:r>
      <w:r w:rsidRPr="00AE336C">
        <w:rPr>
          <w:rFonts w:ascii="Arial" w:eastAsia="Calibri" w:hAnsi="Arial" w:cs="Arial"/>
          <w:sz w:val="22"/>
          <w:szCs w:val="22"/>
          <w:lang w:eastAsia="en-US"/>
        </w:rPr>
        <w:t>the intended purpose or object of the</w:t>
      </w:r>
      <w:r w:rsidR="008A0218" w:rsidRPr="00AE336C">
        <w:rPr>
          <w:rFonts w:ascii="Arial" w:eastAsia="Calibri" w:hAnsi="Arial" w:cs="Arial"/>
          <w:sz w:val="22"/>
          <w:szCs w:val="22"/>
          <w:lang w:eastAsia="en-US"/>
        </w:rPr>
        <w:t>se</w:t>
      </w:r>
      <w:r w:rsidRPr="00AE336C">
        <w:rPr>
          <w:rFonts w:ascii="Arial" w:eastAsia="Calibri" w:hAnsi="Arial" w:cs="Arial"/>
          <w:sz w:val="22"/>
          <w:szCs w:val="22"/>
          <w:lang w:eastAsia="en-US"/>
        </w:rPr>
        <w:t xml:space="preserve"> provisions, consideration was given to</w:t>
      </w:r>
      <w:r w:rsidR="0053196A" w:rsidRPr="00AE336C">
        <w:rPr>
          <w:rFonts w:ascii="Arial" w:eastAsia="Calibri" w:hAnsi="Arial" w:cs="Arial"/>
          <w:sz w:val="22"/>
          <w:szCs w:val="22"/>
          <w:lang w:eastAsia="en-US"/>
        </w:rPr>
        <w:t>:</w:t>
      </w:r>
    </w:p>
    <w:p w14:paraId="2BA2967F" w14:textId="54E130E9" w:rsidR="009C1193" w:rsidRPr="00AE336C" w:rsidRDefault="009C1193" w:rsidP="00AE336C">
      <w:pPr>
        <w:numPr>
          <w:ilvl w:val="0"/>
          <w:numId w:val="4"/>
        </w:numPr>
        <w:spacing w:after="120"/>
        <w:ind w:left="1418" w:hanging="709"/>
        <w:rPr>
          <w:rFonts w:ascii="Arial" w:hAnsi="Arial" w:cs="Arial"/>
          <w:sz w:val="22"/>
          <w:szCs w:val="22"/>
        </w:rPr>
      </w:pPr>
      <w:r w:rsidRPr="00AE336C">
        <w:rPr>
          <w:rFonts w:ascii="Arial" w:hAnsi="Arial" w:cs="Arial"/>
          <w:sz w:val="22"/>
          <w:szCs w:val="22"/>
        </w:rPr>
        <w:t xml:space="preserve">the </w:t>
      </w:r>
      <w:r w:rsidR="004A6165" w:rsidRPr="00AE336C">
        <w:rPr>
          <w:rFonts w:ascii="Arial" w:hAnsi="Arial" w:cs="Arial"/>
          <w:sz w:val="22"/>
          <w:szCs w:val="22"/>
        </w:rPr>
        <w:t>E</w:t>
      </w:r>
      <w:r w:rsidRPr="00AE336C">
        <w:rPr>
          <w:rFonts w:ascii="Arial" w:hAnsi="Arial" w:cs="Arial"/>
          <w:sz w:val="22"/>
          <w:szCs w:val="22"/>
        </w:rPr>
        <w:t xml:space="preserve">xplanatory </w:t>
      </w:r>
      <w:r w:rsidR="004A6165" w:rsidRPr="00AE336C">
        <w:rPr>
          <w:rFonts w:ascii="Arial" w:hAnsi="Arial" w:cs="Arial"/>
          <w:sz w:val="22"/>
          <w:szCs w:val="22"/>
        </w:rPr>
        <w:t>M</w:t>
      </w:r>
      <w:r w:rsidRPr="00AE336C">
        <w:rPr>
          <w:rFonts w:ascii="Arial" w:hAnsi="Arial" w:cs="Arial"/>
          <w:sz w:val="22"/>
          <w:szCs w:val="22"/>
        </w:rPr>
        <w:t>emorandum to the</w:t>
      </w:r>
      <w:r w:rsidR="005B754B" w:rsidRPr="00AE336C">
        <w:rPr>
          <w:rFonts w:ascii="Arial" w:hAnsi="Arial" w:cs="Arial"/>
          <w:sz w:val="22"/>
          <w:szCs w:val="22"/>
        </w:rPr>
        <w:t xml:space="preserve"> </w:t>
      </w:r>
      <w:r w:rsidR="00D44B6A" w:rsidRPr="00AE336C">
        <w:rPr>
          <w:rFonts w:ascii="Arial" w:hAnsi="Arial" w:cs="Arial"/>
          <w:sz w:val="22"/>
          <w:szCs w:val="22"/>
        </w:rPr>
        <w:t>Tax</w:t>
      </w:r>
      <w:r w:rsidR="0053196A" w:rsidRPr="00AE336C">
        <w:rPr>
          <w:rFonts w:ascii="Arial" w:hAnsi="Arial" w:cs="Arial"/>
          <w:sz w:val="22"/>
          <w:szCs w:val="22"/>
        </w:rPr>
        <w:t>ation</w:t>
      </w:r>
      <w:r w:rsidR="00D44B6A" w:rsidRPr="00AE336C">
        <w:rPr>
          <w:rFonts w:ascii="Arial" w:hAnsi="Arial" w:cs="Arial"/>
          <w:sz w:val="22"/>
          <w:szCs w:val="22"/>
        </w:rPr>
        <w:t xml:space="preserve"> Laws Amendment (No. </w:t>
      </w:r>
      <w:r w:rsidR="0053196A" w:rsidRPr="00AE336C">
        <w:rPr>
          <w:rFonts w:ascii="Arial" w:hAnsi="Arial" w:cs="Arial"/>
          <w:sz w:val="22"/>
          <w:szCs w:val="22"/>
        </w:rPr>
        <w:t>5</w:t>
      </w:r>
      <w:r w:rsidR="00D44B6A" w:rsidRPr="00AE336C">
        <w:rPr>
          <w:rFonts w:ascii="Arial" w:hAnsi="Arial" w:cs="Arial"/>
          <w:sz w:val="22"/>
          <w:szCs w:val="22"/>
        </w:rPr>
        <w:t xml:space="preserve">) </w:t>
      </w:r>
      <w:r w:rsidR="004D3C5A" w:rsidRPr="00AE336C">
        <w:rPr>
          <w:rFonts w:ascii="Arial" w:hAnsi="Arial" w:cs="Arial"/>
          <w:sz w:val="22"/>
          <w:szCs w:val="22"/>
        </w:rPr>
        <w:t>Bill</w:t>
      </w:r>
      <w:r w:rsidR="00D44B6A" w:rsidRPr="00AE336C">
        <w:rPr>
          <w:rFonts w:ascii="Arial" w:hAnsi="Arial" w:cs="Arial"/>
          <w:sz w:val="22"/>
          <w:szCs w:val="22"/>
        </w:rPr>
        <w:t xml:space="preserve"> </w:t>
      </w:r>
      <w:r w:rsidR="0053196A" w:rsidRPr="00AE336C">
        <w:rPr>
          <w:rFonts w:ascii="Arial" w:hAnsi="Arial" w:cs="Arial"/>
          <w:sz w:val="22"/>
          <w:szCs w:val="22"/>
        </w:rPr>
        <w:t>1998</w:t>
      </w:r>
      <w:r w:rsidR="000A16C8" w:rsidRPr="00AE336C">
        <w:rPr>
          <w:rFonts w:ascii="Arial" w:hAnsi="Arial" w:cs="Arial"/>
          <w:sz w:val="22"/>
          <w:szCs w:val="22"/>
        </w:rPr>
        <w:t>,</w:t>
      </w:r>
    </w:p>
    <w:p w14:paraId="2236CD06" w14:textId="5BCF283D" w:rsidR="0062135D" w:rsidRPr="00AE336C" w:rsidRDefault="0062135D" w:rsidP="00AE336C">
      <w:pPr>
        <w:numPr>
          <w:ilvl w:val="0"/>
          <w:numId w:val="4"/>
        </w:numPr>
        <w:spacing w:after="120"/>
        <w:ind w:left="1418" w:hanging="709"/>
        <w:rPr>
          <w:rFonts w:ascii="Arial" w:hAnsi="Arial" w:cs="Arial"/>
          <w:sz w:val="22"/>
          <w:szCs w:val="22"/>
        </w:rPr>
      </w:pPr>
      <w:r w:rsidRPr="00AE336C">
        <w:rPr>
          <w:rFonts w:ascii="Arial" w:hAnsi="Arial" w:cs="Arial"/>
          <w:sz w:val="22"/>
          <w:szCs w:val="22"/>
        </w:rPr>
        <w:t xml:space="preserve">the </w:t>
      </w:r>
      <w:r w:rsidR="004A6165" w:rsidRPr="00AE336C">
        <w:rPr>
          <w:rFonts w:ascii="Arial" w:hAnsi="Arial" w:cs="Arial"/>
          <w:sz w:val="22"/>
          <w:szCs w:val="22"/>
        </w:rPr>
        <w:t>E</w:t>
      </w:r>
      <w:r w:rsidRPr="00AE336C">
        <w:rPr>
          <w:rFonts w:ascii="Arial" w:hAnsi="Arial" w:cs="Arial"/>
          <w:sz w:val="22"/>
          <w:szCs w:val="22"/>
        </w:rPr>
        <w:t xml:space="preserve">xplanatory </w:t>
      </w:r>
      <w:r w:rsidR="004A6165" w:rsidRPr="00AE336C">
        <w:rPr>
          <w:rFonts w:ascii="Arial" w:hAnsi="Arial" w:cs="Arial"/>
          <w:sz w:val="22"/>
          <w:szCs w:val="22"/>
        </w:rPr>
        <w:t>M</w:t>
      </w:r>
      <w:r w:rsidRPr="00AE336C">
        <w:rPr>
          <w:rFonts w:ascii="Arial" w:hAnsi="Arial" w:cs="Arial"/>
          <w:sz w:val="22"/>
          <w:szCs w:val="22"/>
        </w:rPr>
        <w:t>emorandum to the A New Tax System (Tax Administration) Bill</w:t>
      </w:r>
      <w:r w:rsidR="00B24027">
        <w:rPr>
          <w:rFonts w:ascii="Arial" w:hAnsi="Arial" w:cs="Arial"/>
          <w:sz w:val="22"/>
          <w:szCs w:val="22"/>
        </w:rPr>
        <w:t> </w:t>
      </w:r>
      <w:r w:rsidRPr="00AE336C">
        <w:rPr>
          <w:rFonts w:ascii="Arial" w:hAnsi="Arial" w:cs="Arial"/>
          <w:sz w:val="22"/>
          <w:szCs w:val="22"/>
        </w:rPr>
        <w:t>1999</w:t>
      </w:r>
      <w:r w:rsidR="000A16C8" w:rsidRPr="00AE336C">
        <w:rPr>
          <w:rFonts w:ascii="Arial" w:hAnsi="Arial" w:cs="Arial"/>
          <w:sz w:val="22"/>
          <w:szCs w:val="22"/>
        </w:rPr>
        <w:t>,</w:t>
      </w:r>
    </w:p>
    <w:p w14:paraId="62F37EA2" w14:textId="51659069" w:rsidR="00FC18B4" w:rsidRPr="00AE336C" w:rsidRDefault="00BD0788" w:rsidP="00AE336C">
      <w:pPr>
        <w:numPr>
          <w:ilvl w:val="0"/>
          <w:numId w:val="4"/>
        </w:numPr>
        <w:spacing w:after="120"/>
        <w:ind w:left="1418" w:hanging="709"/>
        <w:rPr>
          <w:rFonts w:ascii="Arial" w:hAnsi="Arial" w:cs="Arial"/>
          <w:sz w:val="22"/>
          <w:szCs w:val="22"/>
        </w:rPr>
      </w:pPr>
      <w:r w:rsidRPr="00AE336C">
        <w:rPr>
          <w:rFonts w:ascii="Arial" w:hAnsi="Arial" w:cs="Arial"/>
          <w:sz w:val="22"/>
          <w:szCs w:val="22"/>
        </w:rPr>
        <w:t xml:space="preserve">the </w:t>
      </w:r>
      <w:r w:rsidR="004A6165" w:rsidRPr="00AE336C">
        <w:rPr>
          <w:rFonts w:ascii="Arial" w:hAnsi="Arial" w:cs="Arial"/>
          <w:sz w:val="22"/>
          <w:szCs w:val="22"/>
        </w:rPr>
        <w:t>E</w:t>
      </w:r>
      <w:r w:rsidRPr="00AE336C">
        <w:rPr>
          <w:rFonts w:ascii="Arial" w:hAnsi="Arial" w:cs="Arial"/>
          <w:sz w:val="22"/>
          <w:szCs w:val="22"/>
        </w:rPr>
        <w:t xml:space="preserve">xplanatory </w:t>
      </w:r>
      <w:r w:rsidR="004A6165" w:rsidRPr="00AE336C">
        <w:rPr>
          <w:rFonts w:ascii="Arial" w:hAnsi="Arial" w:cs="Arial"/>
          <w:sz w:val="22"/>
          <w:szCs w:val="22"/>
        </w:rPr>
        <w:t>M</w:t>
      </w:r>
      <w:r w:rsidRPr="00AE336C">
        <w:rPr>
          <w:rFonts w:ascii="Arial" w:hAnsi="Arial" w:cs="Arial"/>
          <w:sz w:val="22"/>
          <w:szCs w:val="22"/>
        </w:rPr>
        <w:t>emorandum to the A New Tax System (Tax Administration</w:t>
      </w:r>
      <w:r w:rsidR="000A16C8" w:rsidRPr="00AE336C">
        <w:rPr>
          <w:rFonts w:ascii="Arial" w:hAnsi="Arial" w:cs="Arial"/>
          <w:sz w:val="22"/>
          <w:szCs w:val="22"/>
        </w:rPr>
        <w:t>)</w:t>
      </w:r>
      <w:r w:rsidRPr="00AE336C">
        <w:rPr>
          <w:rFonts w:ascii="Arial" w:hAnsi="Arial" w:cs="Arial"/>
          <w:sz w:val="22"/>
          <w:szCs w:val="22"/>
        </w:rPr>
        <w:t xml:space="preserve"> Bill (No.</w:t>
      </w:r>
      <w:r w:rsidR="004F77B0" w:rsidRPr="00AE336C">
        <w:rPr>
          <w:rFonts w:ascii="Arial" w:hAnsi="Arial" w:cs="Arial"/>
          <w:sz w:val="22"/>
          <w:szCs w:val="22"/>
        </w:rPr>
        <w:t> </w:t>
      </w:r>
      <w:r w:rsidRPr="00AE336C">
        <w:rPr>
          <w:rFonts w:ascii="Arial" w:hAnsi="Arial" w:cs="Arial"/>
          <w:sz w:val="22"/>
          <w:szCs w:val="22"/>
        </w:rPr>
        <w:t>2) 2000</w:t>
      </w:r>
      <w:r w:rsidR="004F77B0" w:rsidRPr="00AE336C">
        <w:rPr>
          <w:rFonts w:ascii="Arial" w:hAnsi="Arial" w:cs="Arial"/>
          <w:sz w:val="22"/>
          <w:szCs w:val="22"/>
        </w:rPr>
        <w:t>,</w:t>
      </w:r>
      <w:r w:rsidR="004A6165" w:rsidRPr="00AE336C">
        <w:rPr>
          <w:rFonts w:ascii="Arial" w:hAnsi="Arial" w:cs="Arial"/>
          <w:sz w:val="22"/>
          <w:szCs w:val="22"/>
        </w:rPr>
        <w:t xml:space="preserve"> and</w:t>
      </w:r>
    </w:p>
    <w:p w14:paraId="4F9B73F9" w14:textId="254F0159" w:rsidR="0053196A" w:rsidRPr="00AE336C" w:rsidRDefault="0053196A" w:rsidP="00AE336C">
      <w:pPr>
        <w:numPr>
          <w:ilvl w:val="0"/>
          <w:numId w:val="4"/>
        </w:numPr>
        <w:spacing w:after="120"/>
        <w:ind w:left="1418" w:hanging="709"/>
        <w:rPr>
          <w:rFonts w:ascii="Arial" w:hAnsi="Arial" w:cs="Arial"/>
          <w:sz w:val="22"/>
          <w:szCs w:val="22"/>
        </w:rPr>
      </w:pPr>
      <w:r w:rsidRPr="00AE336C">
        <w:rPr>
          <w:rFonts w:ascii="Arial" w:hAnsi="Arial" w:cs="Arial"/>
          <w:sz w:val="22"/>
          <w:szCs w:val="22"/>
        </w:rPr>
        <w:t xml:space="preserve">the </w:t>
      </w:r>
      <w:r w:rsidR="004A6165" w:rsidRPr="00AE336C">
        <w:rPr>
          <w:rFonts w:ascii="Arial" w:hAnsi="Arial" w:cs="Arial"/>
          <w:sz w:val="22"/>
          <w:szCs w:val="22"/>
        </w:rPr>
        <w:t>E</w:t>
      </w:r>
      <w:r w:rsidRPr="00AE336C">
        <w:rPr>
          <w:rFonts w:ascii="Arial" w:hAnsi="Arial" w:cs="Arial"/>
          <w:sz w:val="22"/>
          <w:szCs w:val="22"/>
        </w:rPr>
        <w:t xml:space="preserve">xplanatory </w:t>
      </w:r>
      <w:r w:rsidR="004A6165" w:rsidRPr="00AE336C">
        <w:rPr>
          <w:rFonts w:ascii="Arial" w:hAnsi="Arial" w:cs="Arial"/>
          <w:sz w:val="22"/>
          <w:szCs w:val="22"/>
        </w:rPr>
        <w:t>M</w:t>
      </w:r>
      <w:r w:rsidRPr="00AE336C">
        <w:rPr>
          <w:rFonts w:ascii="Arial" w:hAnsi="Arial" w:cs="Arial"/>
          <w:sz w:val="22"/>
          <w:szCs w:val="22"/>
        </w:rPr>
        <w:t>emorandum to the Tax Laws Amendment (Improvements to Self Assessment) Bill (No. 1) 2005.</w:t>
      </w:r>
    </w:p>
    <w:p w14:paraId="74BFA1A1" w14:textId="623ECFD8" w:rsidR="00FC18B4" w:rsidRPr="00AE336C" w:rsidRDefault="00393EC1"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The ability for the Commissioner to remit </w:t>
      </w:r>
      <w:r w:rsidR="0033772C" w:rsidRPr="00AE336C">
        <w:rPr>
          <w:rFonts w:ascii="Arial" w:hAnsi="Arial" w:cs="Arial"/>
          <w:sz w:val="22"/>
          <w:szCs w:val="22"/>
        </w:rPr>
        <w:t xml:space="preserve">certain </w:t>
      </w:r>
      <w:r w:rsidRPr="00AE336C">
        <w:rPr>
          <w:rFonts w:ascii="Arial" w:hAnsi="Arial" w:cs="Arial"/>
          <w:sz w:val="22"/>
          <w:szCs w:val="22"/>
        </w:rPr>
        <w:t xml:space="preserve">charges and penalties in the circumstances set out in the instrument </w:t>
      </w:r>
      <w:r w:rsidR="003B689D" w:rsidRPr="00AE336C">
        <w:rPr>
          <w:rFonts w:ascii="Arial" w:hAnsi="Arial" w:cs="Arial"/>
          <w:sz w:val="22"/>
          <w:szCs w:val="22"/>
        </w:rPr>
        <w:t xml:space="preserve">– that is, by making decisions that apply in relation to more than one entity, and before a liability has arisen – is </w:t>
      </w:r>
      <w:r w:rsidRPr="00AE336C">
        <w:rPr>
          <w:rFonts w:ascii="Arial" w:hAnsi="Arial" w:cs="Arial"/>
          <w:sz w:val="22"/>
          <w:szCs w:val="22"/>
        </w:rPr>
        <w:t xml:space="preserve">consistent with the policy underlying </w:t>
      </w:r>
      <w:r w:rsidR="00251865" w:rsidRPr="00AE336C">
        <w:rPr>
          <w:rFonts w:ascii="Arial" w:hAnsi="Arial" w:cs="Arial"/>
          <w:sz w:val="22"/>
          <w:szCs w:val="22"/>
        </w:rPr>
        <w:t xml:space="preserve">the </w:t>
      </w:r>
      <w:r w:rsidRPr="00AE336C">
        <w:rPr>
          <w:rFonts w:ascii="Arial" w:hAnsi="Arial" w:cs="Arial"/>
          <w:sz w:val="22"/>
          <w:szCs w:val="22"/>
        </w:rPr>
        <w:t xml:space="preserve">relevant provisions of the </w:t>
      </w:r>
      <w:r w:rsidR="00FA2421" w:rsidRPr="00AE336C">
        <w:rPr>
          <w:rFonts w:ascii="Arial" w:hAnsi="Arial" w:cs="Arial"/>
          <w:sz w:val="22"/>
          <w:szCs w:val="22"/>
        </w:rPr>
        <w:t>TAA</w:t>
      </w:r>
      <w:r w:rsidRPr="00AE336C">
        <w:rPr>
          <w:rFonts w:ascii="Arial" w:hAnsi="Arial" w:cs="Arial"/>
          <w:sz w:val="22"/>
          <w:szCs w:val="22"/>
        </w:rPr>
        <w:t>.</w:t>
      </w:r>
    </w:p>
    <w:p w14:paraId="3C940E2F" w14:textId="414641E0" w:rsidR="00FC18B4" w:rsidRPr="00AE336C" w:rsidRDefault="003B689D"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Importantly, r</w:t>
      </w:r>
      <w:r w:rsidR="00393EC1" w:rsidRPr="00AE336C">
        <w:rPr>
          <w:rFonts w:ascii="Arial" w:hAnsi="Arial" w:cs="Arial"/>
          <w:sz w:val="22"/>
          <w:szCs w:val="22"/>
        </w:rPr>
        <w:t xml:space="preserve">emission </w:t>
      </w:r>
      <w:r w:rsidR="0033772C" w:rsidRPr="00AE336C">
        <w:rPr>
          <w:rFonts w:ascii="Arial" w:hAnsi="Arial" w:cs="Arial"/>
          <w:sz w:val="22"/>
          <w:szCs w:val="22"/>
        </w:rPr>
        <w:t xml:space="preserve">would </w:t>
      </w:r>
      <w:r w:rsidR="00393EC1" w:rsidRPr="00AE336C">
        <w:rPr>
          <w:rFonts w:ascii="Arial" w:hAnsi="Arial" w:cs="Arial"/>
          <w:sz w:val="22"/>
          <w:szCs w:val="22"/>
        </w:rPr>
        <w:t xml:space="preserve">still only </w:t>
      </w:r>
      <w:r w:rsidR="0033772C" w:rsidRPr="00AE336C">
        <w:rPr>
          <w:rFonts w:ascii="Arial" w:hAnsi="Arial" w:cs="Arial"/>
          <w:sz w:val="22"/>
          <w:szCs w:val="22"/>
        </w:rPr>
        <w:t xml:space="preserve">be able </w:t>
      </w:r>
      <w:r w:rsidRPr="00AE336C">
        <w:rPr>
          <w:rFonts w:ascii="Arial" w:hAnsi="Arial" w:cs="Arial"/>
          <w:sz w:val="22"/>
          <w:szCs w:val="22"/>
        </w:rPr>
        <w:t xml:space="preserve">to </w:t>
      </w:r>
      <w:r w:rsidR="00393EC1" w:rsidRPr="00AE336C">
        <w:rPr>
          <w:rFonts w:ascii="Arial" w:hAnsi="Arial" w:cs="Arial"/>
          <w:sz w:val="22"/>
          <w:szCs w:val="22"/>
        </w:rPr>
        <w:t xml:space="preserve">occur </w:t>
      </w:r>
      <w:r w:rsidRPr="00AE336C">
        <w:rPr>
          <w:rFonts w:ascii="Arial" w:hAnsi="Arial" w:cs="Arial"/>
          <w:sz w:val="22"/>
          <w:szCs w:val="22"/>
        </w:rPr>
        <w:t xml:space="preserve">where </w:t>
      </w:r>
      <w:r w:rsidR="0033772C" w:rsidRPr="00AE336C">
        <w:rPr>
          <w:rFonts w:ascii="Arial" w:hAnsi="Arial" w:cs="Arial"/>
          <w:sz w:val="22"/>
          <w:szCs w:val="22"/>
        </w:rPr>
        <w:t xml:space="preserve">any </w:t>
      </w:r>
      <w:r w:rsidR="00393EC1" w:rsidRPr="00AE336C">
        <w:rPr>
          <w:rFonts w:ascii="Arial" w:hAnsi="Arial" w:cs="Arial"/>
          <w:sz w:val="22"/>
          <w:szCs w:val="22"/>
        </w:rPr>
        <w:t xml:space="preserve">statutory criteria set out </w:t>
      </w:r>
      <w:r w:rsidR="0007078B" w:rsidRPr="00AE336C">
        <w:rPr>
          <w:rFonts w:ascii="Arial" w:hAnsi="Arial" w:cs="Arial"/>
          <w:sz w:val="22"/>
          <w:szCs w:val="22"/>
        </w:rPr>
        <w:t xml:space="preserve">in relevant provisions </w:t>
      </w:r>
      <w:r w:rsidR="007022F5">
        <w:rPr>
          <w:rFonts w:ascii="Arial" w:hAnsi="Arial" w:cs="Arial"/>
          <w:sz w:val="22"/>
          <w:szCs w:val="22"/>
        </w:rPr>
        <w:t xml:space="preserve">in the TAA </w:t>
      </w:r>
      <w:r w:rsidRPr="00AE336C">
        <w:rPr>
          <w:rFonts w:ascii="Arial" w:hAnsi="Arial" w:cs="Arial"/>
          <w:sz w:val="22"/>
          <w:szCs w:val="22"/>
        </w:rPr>
        <w:t>were met</w:t>
      </w:r>
      <w:r w:rsidR="007022F5">
        <w:rPr>
          <w:rFonts w:ascii="Arial" w:hAnsi="Arial" w:cs="Arial"/>
          <w:sz w:val="22"/>
          <w:szCs w:val="22"/>
        </w:rPr>
        <w:t>. F</w:t>
      </w:r>
      <w:r w:rsidR="0033772C" w:rsidRPr="00AE336C">
        <w:rPr>
          <w:rFonts w:ascii="Arial" w:hAnsi="Arial" w:cs="Arial"/>
          <w:sz w:val="22"/>
          <w:szCs w:val="22"/>
        </w:rPr>
        <w:t xml:space="preserve">or example, in the case of </w:t>
      </w:r>
      <w:r w:rsidR="00145E6F">
        <w:rPr>
          <w:rFonts w:ascii="Arial" w:hAnsi="Arial" w:cs="Arial"/>
          <w:sz w:val="22"/>
          <w:szCs w:val="22"/>
        </w:rPr>
        <w:t>SIC</w:t>
      </w:r>
      <w:r w:rsidR="0033772C" w:rsidRPr="00AE336C">
        <w:rPr>
          <w:rFonts w:ascii="Arial" w:hAnsi="Arial" w:cs="Arial"/>
          <w:sz w:val="22"/>
          <w:szCs w:val="22"/>
        </w:rPr>
        <w:t xml:space="preserve">, the Commissioner </w:t>
      </w:r>
      <w:r w:rsidR="0007078B" w:rsidRPr="00AE336C">
        <w:rPr>
          <w:rFonts w:ascii="Arial" w:hAnsi="Arial" w:cs="Arial"/>
          <w:sz w:val="22"/>
          <w:szCs w:val="22"/>
        </w:rPr>
        <w:t xml:space="preserve">must consider </w:t>
      </w:r>
      <w:r w:rsidRPr="00AE336C">
        <w:rPr>
          <w:rFonts w:ascii="Arial" w:hAnsi="Arial" w:cs="Arial"/>
          <w:sz w:val="22"/>
          <w:szCs w:val="22"/>
        </w:rPr>
        <w:t xml:space="preserve">remission </w:t>
      </w:r>
      <w:r w:rsidR="0007078B" w:rsidRPr="00AE336C">
        <w:rPr>
          <w:rFonts w:ascii="Arial" w:hAnsi="Arial" w:cs="Arial"/>
          <w:sz w:val="22"/>
          <w:szCs w:val="22"/>
        </w:rPr>
        <w:t xml:space="preserve">to be </w:t>
      </w:r>
      <w:r w:rsidR="0033772C" w:rsidRPr="00AE336C">
        <w:rPr>
          <w:rFonts w:ascii="Arial" w:hAnsi="Arial" w:cs="Arial"/>
          <w:sz w:val="22"/>
          <w:szCs w:val="22"/>
        </w:rPr>
        <w:t>‘fair and reasonable</w:t>
      </w:r>
      <w:r w:rsidRPr="00AE336C">
        <w:rPr>
          <w:rFonts w:ascii="Arial" w:hAnsi="Arial" w:cs="Arial"/>
          <w:sz w:val="22"/>
          <w:szCs w:val="22"/>
        </w:rPr>
        <w:t xml:space="preserve">’ </w:t>
      </w:r>
      <w:r w:rsidR="0033772C" w:rsidRPr="00AE336C">
        <w:rPr>
          <w:rFonts w:ascii="Arial" w:hAnsi="Arial" w:cs="Arial"/>
          <w:sz w:val="22"/>
          <w:szCs w:val="22"/>
        </w:rPr>
        <w:t>– see</w:t>
      </w:r>
      <w:r w:rsidR="00E15758">
        <w:rPr>
          <w:rFonts w:ascii="Arial" w:hAnsi="Arial" w:cs="Arial"/>
          <w:sz w:val="22"/>
          <w:szCs w:val="22"/>
        </w:rPr>
        <w:t xml:space="preserve"> </w:t>
      </w:r>
      <w:r w:rsidR="0033772C" w:rsidRPr="00AE336C">
        <w:rPr>
          <w:rFonts w:ascii="Arial" w:hAnsi="Arial" w:cs="Arial"/>
          <w:sz w:val="22"/>
          <w:szCs w:val="22"/>
        </w:rPr>
        <w:t>subsection</w:t>
      </w:r>
      <w:r w:rsidR="00145E6F">
        <w:rPr>
          <w:rFonts w:ascii="Arial" w:hAnsi="Arial" w:cs="Arial"/>
          <w:sz w:val="22"/>
          <w:szCs w:val="22"/>
        </w:rPr>
        <w:t xml:space="preserve"> </w:t>
      </w:r>
      <w:r w:rsidR="0033772C" w:rsidRPr="00AE336C">
        <w:rPr>
          <w:rFonts w:ascii="Arial" w:hAnsi="Arial" w:cs="Arial"/>
          <w:sz w:val="22"/>
          <w:szCs w:val="22"/>
        </w:rPr>
        <w:t>280</w:t>
      </w:r>
      <w:r w:rsidR="004F77B0" w:rsidRPr="00AE336C">
        <w:rPr>
          <w:rFonts w:ascii="Arial" w:hAnsi="Arial" w:cs="Arial"/>
          <w:sz w:val="22"/>
          <w:szCs w:val="22"/>
        </w:rPr>
        <w:noBreakHyphen/>
      </w:r>
      <w:r w:rsidR="0033772C" w:rsidRPr="00AE336C">
        <w:rPr>
          <w:rFonts w:ascii="Arial" w:hAnsi="Arial" w:cs="Arial"/>
          <w:sz w:val="22"/>
          <w:szCs w:val="22"/>
        </w:rPr>
        <w:t xml:space="preserve">160(1) in Schedule 1 to the </w:t>
      </w:r>
      <w:r w:rsidR="00FA2421" w:rsidRPr="00AE336C">
        <w:rPr>
          <w:rFonts w:ascii="Arial" w:hAnsi="Arial" w:cs="Arial"/>
          <w:sz w:val="22"/>
          <w:szCs w:val="22"/>
        </w:rPr>
        <w:t>TAA</w:t>
      </w:r>
      <w:r w:rsidR="00393EC1" w:rsidRPr="00AE336C">
        <w:rPr>
          <w:rFonts w:ascii="Arial" w:hAnsi="Arial" w:cs="Arial"/>
          <w:sz w:val="22"/>
          <w:szCs w:val="22"/>
        </w:rPr>
        <w:t xml:space="preserve">. But </w:t>
      </w:r>
      <w:r w:rsidR="00251865" w:rsidRPr="00AE336C">
        <w:rPr>
          <w:rFonts w:ascii="Arial" w:hAnsi="Arial" w:cs="Arial"/>
          <w:sz w:val="22"/>
          <w:szCs w:val="22"/>
        </w:rPr>
        <w:t>the modification</w:t>
      </w:r>
      <w:r w:rsidR="000A16C8" w:rsidRPr="00AE336C">
        <w:rPr>
          <w:rFonts w:ascii="Arial" w:hAnsi="Arial" w:cs="Arial"/>
          <w:sz w:val="22"/>
          <w:szCs w:val="22"/>
        </w:rPr>
        <w:t>s</w:t>
      </w:r>
      <w:r w:rsidR="00393EC1" w:rsidRPr="00AE336C">
        <w:rPr>
          <w:rFonts w:ascii="Arial" w:hAnsi="Arial" w:cs="Arial"/>
          <w:sz w:val="22"/>
          <w:szCs w:val="22"/>
        </w:rPr>
        <w:t xml:space="preserve"> put beyond doubt that remission can occur in the most efficient and effective way possible – that is, for </w:t>
      </w:r>
      <w:r w:rsidR="0007078B" w:rsidRPr="00AE336C">
        <w:rPr>
          <w:rFonts w:ascii="Arial" w:hAnsi="Arial" w:cs="Arial"/>
          <w:sz w:val="22"/>
          <w:szCs w:val="22"/>
        </w:rPr>
        <w:t xml:space="preserve">bulk remission decisions to be made, including </w:t>
      </w:r>
      <w:r w:rsidR="00393EC1" w:rsidRPr="00AE336C">
        <w:rPr>
          <w:rFonts w:ascii="Arial" w:hAnsi="Arial" w:cs="Arial"/>
          <w:sz w:val="22"/>
          <w:szCs w:val="22"/>
        </w:rPr>
        <w:t>in circumstances where a liability has not yet arisen. This will reduce the administrative burden both for taxpayers and the ATO</w:t>
      </w:r>
      <w:r w:rsidR="00AA5FAB" w:rsidRPr="00AE336C">
        <w:rPr>
          <w:rFonts w:ascii="Arial" w:hAnsi="Arial" w:cs="Arial"/>
          <w:sz w:val="22"/>
          <w:szCs w:val="22"/>
        </w:rPr>
        <w:t>.</w:t>
      </w:r>
    </w:p>
    <w:p w14:paraId="3701A73B" w14:textId="3B2F6B90" w:rsidR="00FC18B4" w:rsidRPr="00AE336C" w:rsidRDefault="00605A3A"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Further, t</w:t>
      </w:r>
      <w:r w:rsidR="00174534" w:rsidRPr="00AE336C">
        <w:rPr>
          <w:rFonts w:ascii="Arial" w:hAnsi="Arial" w:cs="Arial"/>
          <w:sz w:val="22"/>
          <w:szCs w:val="22"/>
        </w:rPr>
        <w:t xml:space="preserve">he </w:t>
      </w:r>
      <w:r w:rsidR="004A6165" w:rsidRPr="00AE336C">
        <w:rPr>
          <w:rFonts w:ascii="Arial" w:hAnsi="Arial" w:cs="Arial"/>
          <w:sz w:val="22"/>
          <w:szCs w:val="22"/>
        </w:rPr>
        <w:t xml:space="preserve">Commissioner considers that the </w:t>
      </w:r>
      <w:r w:rsidR="00174534" w:rsidRPr="00AE336C">
        <w:rPr>
          <w:rFonts w:ascii="Arial" w:hAnsi="Arial" w:cs="Arial"/>
          <w:sz w:val="22"/>
          <w:szCs w:val="22"/>
        </w:rPr>
        <w:t>modifications are reasonable because they align with the intended purpose of the provisions</w:t>
      </w:r>
      <w:r w:rsidR="00E67A9B">
        <w:rPr>
          <w:rFonts w:ascii="Arial" w:hAnsi="Arial" w:cs="Arial"/>
          <w:sz w:val="22"/>
          <w:szCs w:val="22"/>
        </w:rPr>
        <w:t>,</w:t>
      </w:r>
      <w:r w:rsidR="00174534" w:rsidRPr="00AE336C">
        <w:rPr>
          <w:rFonts w:ascii="Arial" w:hAnsi="Arial" w:cs="Arial"/>
          <w:sz w:val="22"/>
          <w:szCs w:val="22"/>
        </w:rPr>
        <w:t xml:space="preserve"> </w:t>
      </w:r>
      <w:r w:rsidR="004A6165" w:rsidRPr="00AE336C">
        <w:rPr>
          <w:rFonts w:ascii="Arial" w:hAnsi="Arial" w:cs="Arial"/>
          <w:sz w:val="22"/>
          <w:szCs w:val="22"/>
        </w:rPr>
        <w:t>and</w:t>
      </w:r>
      <w:r w:rsidRPr="00AE336C">
        <w:rPr>
          <w:rFonts w:ascii="Arial" w:hAnsi="Arial" w:cs="Arial"/>
          <w:sz w:val="22"/>
          <w:szCs w:val="22"/>
        </w:rPr>
        <w:t xml:space="preserve"> would</w:t>
      </w:r>
      <w:r w:rsidR="0007078B" w:rsidRPr="00AE336C">
        <w:rPr>
          <w:rFonts w:ascii="Arial" w:hAnsi="Arial" w:cs="Arial"/>
          <w:sz w:val="22"/>
          <w:szCs w:val="22"/>
        </w:rPr>
        <w:t xml:space="preserve"> also</w:t>
      </w:r>
      <w:r w:rsidRPr="00AE336C">
        <w:rPr>
          <w:rFonts w:ascii="Arial" w:hAnsi="Arial" w:cs="Arial"/>
          <w:sz w:val="22"/>
          <w:szCs w:val="22"/>
        </w:rPr>
        <w:t>:</w:t>
      </w:r>
    </w:p>
    <w:p w14:paraId="2AC78743" w14:textId="05EB7781" w:rsidR="00FC18B4" w:rsidRPr="00AE336C" w:rsidRDefault="00605A3A" w:rsidP="00AE336C">
      <w:pPr>
        <w:numPr>
          <w:ilvl w:val="0"/>
          <w:numId w:val="5"/>
        </w:numPr>
        <w:spacing w:after="120"/>
        <w:ind w:left="1418" w:hanging="709"/>
        <w:rPr>
          <w:rFonts w:ascii="Arial" w:hAnsi="Arial" w:cs="Arial"/>
        </w:rPr>
      </w:pPr>
      <w:r w:rsidRPr="00AE336C">
        <w:rPr>
          <w:rFonts w:ascii="Arial" w:hAnsi="Arial" w:cs="Arial"/>
          <w:sz w:val="22"/>
          <w:szCs w:val="22"/>
        </w:rPr>
        <w:t>be beneficial for taxpayers</w:t>
      </w:r>
      <w:r w:rsidR="00174534" w:rsidRPr="00AE336C">
        <w:rPr>
          <w:rFonts w:ascii="Arial" w:hAnsi="Arial" w:cs="Arial"/>
          <w:sz w:val="22"/>
          <w:szCs w:val="22"/>
        </w:rPr>
        <w:t>, because the Commissioner will be able to continue the practice of providing bulk remissions using existing systems and policy parameters, consistent with long held community expectations and public guidance material</w:t>
      </w:r>
      <w:r w:rsidR="000A16C8" w:rsidRPr="00AE336C">
        <w:rPr>
          <w:rFonts w:ascii="Arial" w:hAnsi="Arial" w:cs="Arial"/>
          <w:sz w:val="22"/>
          <w:szCs w:val="22"/>
        </w:rPr>
        <w:t>,</w:t>
      </w:r>
    </w:p>
    <w:p w14:paraId="714F45E8" w14:textId="110CF996" w:rsidR="00FC18B4" w:rsidRPr="00AE336C" w:rsidRDefault="00174534" w:rsidP="00AE336C">
      <w:pPr>
        <w:numPr>
          <w:ilvl w:val="0"/>
          <w:numId w:val="5"/>
        </w:numPr>
        <w:spacing w:after="120"/>
        <w:ind w:left="1418" w:hanging="709"/>
        <w:rPr>
          <w:rFonts w:ascii="Arial" w:hAnsi="Arial" w:cs="Arial"/>
        </w:rPr>
      </w:pPr>
      <w:r w:rsidRPr="00AE336C">
        <w:rPr>
          <w:rFonts w:ascii="Arial" w:hAnsi="Arial" w:cs="Arial"/>
          <w:sz w:val="22"/>
          <w:szCs w:val="22"/>
        </w:rPr>
        <w:t>maintain certainty for entities and the Commissioner</w:t>
      </w:r>
      <w:r w:rsidR="00C3574F" w:rsidRPr="00AE336C">
        <w:rPr>
          <w:rFonts w:ascii="Arial" w:hAnsi="Arial" w:cs="Arial"/>
          <w:sz w:val="22"/>
          <w:szCs w:val="22"/>
        </w:rPr>
        <w:t xml:space="preserve"> about the current operation of the ATO’s remission processes</w:t>
      </w:r>
      <w:r w:rsidR="004F77B0" w:rsidRPr="00AE336C">
        <w:rPr>
          <w:rFonts w:ascii="Arial" w:hAnsi="Arial" w:cs="Arial"/>
          <w:sz w:val="22"/>
          <w:szCs w:val="22"/>
        </w:rPr>
        <w:t>,</w:t>
      </w:r>
      <w:r w:rsidR="00605A3A" w:rsidRPr="00AE336C">
        <w:rPr>
          <w:rFonts w:ascii="Arial" w:hAnsi="Arial" w:cs="Arial"/>
          <w:sz w:val="22"/>
          <w:szCs w:val="22"/>
        </w:rPr>
        <w:t xml:space="preserve"> and</w:t>
      </w:r>
    </w:p>
    <w:p w14:paraId="068138AF" w14:textId="377AAB4B" w:rsidR="00FC18B4" w:rsidRPr="00AE336C" w:rsidRDefault="00174534" w:rsidP="00AE336C">
      <w:pPr>
        <w:numPr>
          <w:ilvl w:val="0"/>
          <w:numId w:val="5"/>
        </w:numPr>
        <w:spacing w:after="120"/>
        <w:ind w:left="1418" w:hanging="709"/>
        <w:rPr>
          <w:rFonts w:ascii="Arial" w:hAnsi="Arial" w:cs="Arial"/>
        </w:rPr>
      </w:pPr>
      <w:r w:rsidRPr="00AE336C">
        <w:rPr>
          <w:rFonts w:ascii="Arial" w:hAnsi="Arial" w:cs="Arial"/>
          <w:sz w:val="22"/>
          <w:szCs w:val="22"/>
        </w:rPr>
        <w:t xml:space="preserve">reduce compliance costs for entities and administration costs for the ATO, especially for </w:t>
      </w:r>
      <w:r w:rsidR="005B33D3" w:rsidRPr="00AE336C">
        <w:rPr>
          <w:rFonts w:ascii="Arial" w:hAnsi="Arial" w:cs="Arial"/>
          <w:sz w:val="22"/>
          <w:szCs w:val="22"/>
        </w:rPr>
        <w:t>taxpayers</w:t>
      </w:r>
      <w:r w:rsidRPr="00AE336C">
        <w:rPr>
          <w:rFonts w:ascii="Arial" w:hAnsi="Arial" w:cs="Arial"/>
          <w:sz w:val="22"/>
          <w:szCs w:val="22"/>
        </w:rPr>
        <w:t xml:space="preserve"> still meeting the ATO’s low value debt remission criteria</w:t>
      </w:r>
      <w:r w:rsidR="00605A3A" w:rsidRPr="00AE336C">
        <w:rPr>
          <w:rFonts w:ascii="Arial" w:hAnsi="Arial" w:cs="Arial"/>
          <w:sz w:val="22"/>
          <w:szCs w:val="22"/>
        </w:rPr>
        <w:t>;</w:t>
      </w:r>
      <w:r w:rsidRPr="00AE336C">
        <w:rPr>
          <w:rFonts w:ascii="Arial" w:hAnsi="Arial" w:cs="Arial"/>
          <w:sz w:val="22"/>
          <w:szCs w:val="22"/>
        </w:rPr>
        <w:t xml:space="preserve"> without these</w:t>
      </w:r>
      <w:r w:rsidR="000A16C8" w:rsidRPr="00AE336C">
        <w:rPr>
          <w:rFonts w:ascii="Arial" w:hAnsi="Arial" w:cs="Arial"/>
          <w:sz w:val="22"/>
          <w:szCs w:val="22"/>
        </w:rPr>
        <w:t>,</w:t>
      </w:r>
      <w:r w:rsidRPr="00AE336C">
        <w:rPr>
          <w:rFonts w:ascii="Arial" w:hAnsi="Arial" w:cs="Arial"/>
          <w:sz w:val="22"/>
          <w:szCs w:val="22"/>
        </w:rPr>
        <w:t xml:space="preserve"> bulk remission </w:t>
      </w:r>
      <w:r w:rsidR="005B33D3" w:rsidRPr="00AE336C">
        <w:rPr>
          <w:rFonts w:ascii="Arial" w:hAnsi="Arial" w:cs="Arial"/>
          <w:sz w:val="22"/>
          <w:szCs w:val="22"/>
        </w:rPr>
        <w:t>taxpayers</w:t>
      </w:r>
      <w:r w:rsidRPr="00AE336C">
        <w:rPr>
          <w:rFonts w:ascii="Arial" w:hAnsi="Arial" w:cs="Arial"/>
          <w:sz w:val="22"/>
          <w:szCs w:val="22"/>
        </w:rPr>
        <w:t xml:space="preserve"> may need to contact the ATO at least every month </w:t>
      </w:r>
      <w:r w:rsidR="0007078B" w:rsidRPr="00AE336C">
        <w:rPr>
          <w:rFonts w:ascii="Arial" w:hAnsi="Arial" w:cs="Arial"/>
          <w:sz w:val="22"/>
          <w:szCs w:val="22"/>
        </w:rPr>
        <w:t>seeking remission</w:t>
      </w:r>
      <w:r w:rsidRPr="00AE336C">
        <w:rPr>
          <w:rFonts w:ascii="Arial" w:hAnsi="Arial" w:cs="Arial"/>
          <w:sz w:val="22"/>
          <w:szCs w:val="22"/>
        </w:rPr>
        <w:t>.</w:t>
      </w:r>
    </w:p>
    <w:p w14:paraId="17B07D2B" w14:textId="77777777" w:rsidR="00FC18B4" w:rsidRPr="00AE336C" w:rsidRDefault="00FC18B4" w:rsidP="00AE336C">
      <w:pPr>
        <w:autoSpaceDE w:val="0"/>
        <w:autoSpaceDN w:val="0"/>
        <w:adjustRightInd w:val="0"/>
        <w:spacing w:after="120"/>
        <w:rPr>
          <w:rFonts w:ascii="Arial" w:hAnsi="Arial" w:cs="Arial"/>
          <w:sz w:val="22"/>
          <w:szCs w:val="22"/>
        </w:rPr>
      </w:pPr>
    </w:p>
    <w:p w14:paraId="11BACF8C" w14:textId="6C3711BD" w:rsidR="00BB2F3A" w:rsidRPr="00AE336C" w:rsidRDefault="00BB2F3A" w:rsidP="00AE336C">
      <w:pPr>
        <w:pStyle w:val="Heading2"/>
      </w:pPr>
      <w:r w:rsidRPr="00AE336C">
        <w:t>Compliance cost</w:t>
      </w:r>
    </w:p>
    <w:p w14:paraId="34EF706D" w14:textId="4B0A992D" w:rsidR="00E15758" w:rsidRPr="00E15758" w:rsidRDefault="00E15758" w:rsidP="00E15758">
      <w:pPr>
        <w:numPr>
          <w:ilvl w:val="0"/>
          <w:numId w:val="1"/>
        </w:numPr>
        <w:tabs>
          <w:tab w:val="clear" w:pos="360"/>
        </w:tabs>
        <w:spacing w:after="120"/>
        <w:ind w:left="709" w:hanging="709"/>
        <w:rPr>
          <w:rFonts w:ascii="Arial" w:hAnsi="Arial" w:cs="Arial"/>
          <w:sz w:val="22"/>
          <w:szCs w:val="22"/>
        </w:rPr>
      </w:pPr>
      <w:r w:rsidRPr="00E15758">
        <w:rPr>
          <w:rFonts w:ascii="Arial" w:hAnsi="Arial" w:cs="Arial"/>
          <w:sz w:val="22"/>
          <w:szCs w:val="22"/>
        </w:rPr>
        <w:t>Minor – There will be no additional regulatory impacts as the instrument is minor and machinery in nature (OIA23-048</w:t>
      </w:r>
      <w:r>
        <w:rPr>
          <w:rFonts w:ascii="Arial" w:hAnsi="Arial" w:cs="Arial"/>
          <w:sz w:val="22"/>
          <w:szCs w:val="22"/>
        </w:rPr>
        <w:t>82</w:t>
      </w:r>
      <w:r w:rsidRPr="00E15758">
        <w:rPr>
          <w:rFonts w:ascii="Arial" w:hAnsi="Arial" w:cs="Arial"/>
          <w:sz w:val="22"/>
          <w:szCs w:val="22"/>
        </w:rPr>
        <w:t>).</w:t>
      </w:r>
    </w:p>
    <w:p w14:paraId="72CE1633" w14:textId="77777777" w:rsidR="00FC18B4" w:rsidRPr="00AE336C" w:rsidRDefault="00FC18B4" w:rsidP="00AE336C">
      <w:pPr>
        <w:autoSpaceDE w:val="0"/>
        <w:autoSpaceDN w:val="0"/>
        <w:adjustRightInd w:val="0"/>
        <w:spacing w:after="120"/>
        <w:rPr>
          <w:rFonts w:ascii="Arial" w:hAnsi="Arial" w:cs="Arial"/>
          <w:sz w:val="22"/>
          <w:szCs w:val="22"/>
        </w:rPr>
      </w:pPr>
    </w:p>
    <w:p w14:paraId="3A97FD05" w14:textId="68BE97AF" w:rsidR="0033748E" w:rsidRPr="00AE336C" w:rsidRDefault="0033748E" w:rsidP="00AE336C">
      <w:pPr>
        <w:pStyle w:val="Heading2"/>
      </w:pPr>
      <w:r w:rsidRPr="00AE336C">
        <w:t>Budgetary impact</w:t>
      </w:r>
    </w:p>
    <w:p w14:paraId="5A55E14F" w14:textId="433663D1" w:rsidR="00C048DC" w:rsidRPr="00AE336C" w:rsidRDefault="00132DE4"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 xml:space="preserve">The Commissioner has received advice from the Department of the Treasury that the proposed exercise of the CRP would have </w:t>
      </w:r>
      <w:r w:rsidR="00E15758">
        <w:rPr>
          <w:rFonts w:ascii="Arial" w:hAnsi="Arial" w:cs="Arial"/>
          <w:sz w:val="22"/>
          <w:szCs w:val="22"/>
        </w:rPr>
        <w:t>no</w:t>
      </w:r>
      <w:r w:rsidRPr="00AE336C">
        <w:rPr>
          <w:rFonts w:ascii="Arial" w:hAnsi="Arial" w:cs="Arial"/>
          <w:sz w:val="22"/>
          <w:szCs w:val="22"/>
        </w:rPr>
        <w:t xml:space="preserve"> budget</w:t>
      </w:r>
      <w:r w:rsidR="00280913" w:rsidRPr="00AE336C">
        <w:rPr>
          <w:rFonts w:ascii="Arial" w:hAnsi="Arial" w:cs="Arial"/>
          <w:sz w:val="22"/>
          <w:szCs w:val="22"/>
        </w:rPr>
        <w:t xml:space="preserve"> impact</w:t>
      </w:r>
      <w:r w:rsidR="00875B39" w:rsidRPr="00AE336C">
        <w:rPr>
          <w:rFonts w:ascii="Arial" w:hAnsi="Arial" w:cs="Arial"/>
          <w:sz w:val="22"/>
          <w:szCs w:val="22"/>
        </w:rPr>
        <w:t>.</w:t>
      </w:r>
    </w:p>
    <w:p w14:paraId="3A12F86C" w14:textId="77777777" w:rsidR="00F346CD" w:rsidRPr="00AE336C" w:rsidRDefault="00F346CD" w:rsidP="00AE336C">
      <w:pPr>
        <w:autoSpaceDE w:val="0"/>
        <w:autoSpaceDN w:val="0"/>
        <w:adjustRightInd w:val="0"/>
        <w:spacing w:after="120"/>
        <w:rPr>
          <w:rFonts w:ascii="Arial" w:hAnsi="Arial" w:cs="Arial"/>
          <w:sz w:val="22"/>
          <w:szCs w:val="22"/>
        </w:rPr>
      </w:pPr>
    </w:p>
    <w:p w14:paraId="1A31F5E3" w14:textId="27AD2FE4" w:rsidR="00F346CD" w:rsidRPr="00AE336C" w:rsidRDefault="00F346CD" w:rsidP="00AE336C">
      <w:pPr>
        <w:pStyle w:val="Heading2"/>
      </w:pPr>
      <w:r w:rsidRPr="00AE336C">
        <w:t>Repeal of this instrument</w:t>
      </w:r>
    </w:p>
    <w:p w14:paraId="09B2B3ED" w14:textId="77777777" w:rsidR="00F346CD" w:rsidRPr="00AE336C" w:rsidRDefault="00F346CD" w:rsidP="00AE336C">
      <w:pPr>
        <w:numPr>
          <w:ilvl w:val="0"/>
          <w:numId w:val="1"/>
        </w:numPr>
        <w:tabs>
          <w:tab w:val="clear" w:pos="360"/>
        </w:tabs>
        <w:spacing w:after="120"/>
        <w:ind w:left="709" w:hanging="709"/>
        <w:rPr>
          <w:rFonts w:ascii="Arial" w:hAnsi="Arial" w:cs="Arial"/>
          <w:sz w:val="22"/>
          <w:szCs w:val="22"/>
        </w:rPr>
      </w:pPr>
      <w:r w:rsidRPr="00AE336C">
        <w:rPr>
          <w:rFonts w:ascii="Arial" w:hAnsi="Arial" w:cs="Arial"/>
          <w:sz w:val="22"/>
          <w:szCs w:val="22"/>
        </w:rPr>
        <w:t>This instrument will be repealed at the start of 1 October 2028, which is approximately five years after the expected commencement of this instrument.</w:t>
      </w:r>
    </w:p>
    <w:p w14:paraId="31ACA41E" w14:textId="77777777" w:rsidR="00FC18B4" w:rsidRPr="00AE336C" w:rsidRDefault="00FC18B4" w:rsidP="00AE336C">
      <w:pPr>
        <w:autoSpaceDE w:val="0"/>
        <w:autoSpaceDN w:val="0"/>
        <w:adjustRightInd w:val="0"/>
        <w:spacing w:after="120"/>
        <w:rPr>
          <w:rFonts w:ascii="Arial" w:hAnsi="Arial" w:cs="Arial"/>
          <w:sz w:val="22"/>
          <w:szCs w:val="22"/>
        </w:rPr>
      </w:pPr>
    </w:p>
    <w:p w14:paraId="15AC1B77" w14:textId="67368581" w:rsidR="00486653" w:rsidRPr="00AE336C" w:rsidRDefault="00E10B37" w:rsidP="00AE336C">
      <w:pPr>
        <w:pStyle w:val="Heading2"/>
      </w:pPr>
      <w:r w:rsidRPr="00AE336C">
        <w:lastRenderedPageBreak/>
        <w:t>Consultation</w:t>
      </w:r>
    </w:p>
    <w:p w14:paraId="61C90DE3" w14:textId="77777777" w:rsidR="00E15758" w:rsidRPr="00C66E91" w:rsidRDefault="00E15758" w:rsidP="00E15758">
      <w:pPr>
        <w:numPr>
          <w:ilvl w:val="0"/>
          <w:numId w:val="1"/>
        </w:numPr>
        <w:tabs>
          <w:tab w:val="clear" w:pos="360"/>
        </w:tabs>
        <w:spacing w:after="120"/>
        <w:ind w:left="709" w:hanging="709"/>
        <w:rPr>
          <w:rFonts w:ascii="Arial" w:hAnsi="Arial" w:cs="Arial"/>
          <w:sz w:val="22"/>
          <w:szCs w:val="22"/>
        </w:rPr>
      </w:pPr>
      <w:r w:rsidRPr="00B76A24">
        <w:rPr>
          <w:rFonts w:ascii="Arial" w:hAnsi="Arial" w:cs="Arial"/>
          <w:sz w:val="22"/>
          <w:szCs w:val="22"/>
        </w:rPr>
        <w:t xml:space="preserve">Subsection 17(1) of the </w:t>
      </w:r>
      <w:r w:rsidRPr="00626944">
        <w:rPr>
          <w:rFonts w:ascii="Arial" w:hAnsi="Arial" w:cs="Arial"/>
          <w:i/>
          <w:iCs/>
          <w:sz w:val="22"/>
          <w:szCs w:val="22"/>
        </w:rPr>
        <w:t>Legislation Act 2003</w:t>
      </w:r>
      <w:r w:rsidRPr="00B76A24">
        <w:rPr>
          <w:rFonts w:ascii="Arial" w:hAnsi="Arial" w:cs="Arial"/>
          <w:sz w:val="22"/>
          <w:szCs w:val="22"/>
        </w:rPr>
        <w:t xml:space="preserve"> requires </w:t>
      </w:r>
      <w:r>
        <w:rPr>
          <w:rFonts w:ascii="Arial" w:hAnsi="Arial" w:cs="Arial"/>
          <w:sz w:val="22"/>
          <w:szCs w:val="22"/>
        </w:rPr>
        <w:t>a</w:t>
      </w:r>
      <w:r w:rsidRPr="00B76A24">
        <w:rPr>
          <w:rFonts w:ascii="Arial" w:hAnsi="Arial" w:cs="Arial"/>
          <w:sz w:val="22"/>
          <w:szCs w:val="22"/>
        </w:rPr>
        <w:t xml:space="preserve"> rule-maker </w:t>
      </w:r>
      <w:r>
        <w:rPr>
          <w:rFonts w:ascii="Arial" w:hAnsi="Arial" w:cs="Arial"/>
          <w:sz w:val="22"/>
          <w:szCs w:val="22"/>
        </w:rPr>
        <w:t>to be</w:t>
      </w:r>
      <w:r w:rsidRPr="00B76A24">
        <w:rPr>
          <w:rFonts w:ascii="Arial" w:hAnsi="Arial" w:cs="Arial"/>
          <w:sz w:val="22"/>
          <w:szCs w:val="22"/>
        </w:rPr>
        <w:t xml:space="preserve"> satisfied that appropriate and reasonably practicable consultation has been undertaken</w:t>
      </w:r>
      <w:r>
        <w:rPr>
          <w:rFonts w:ascii="Arial" w:hAnsi="Arial" w:cs="Arial"/>
          <w:sz w:val="22"/>
          <w:szCs w:val="22"/>
        </w:rPr>
        <w:t xml:space="preserve"> before they make a legislative instrument</w:t>
      </w:r>
      <w:r w:rsidRPr="00B76A24">
        <w:rPr>
          <w:rFonts w:ascii="Arial" w:hAnsi="Arial" w:cs="Arial"/>
          <w:sz w:val="22"/>
          <w:szCs w:val="22"/>
        </w:rPr>
        <w:t>.</w:t>
      </w:r>
    </w:p>
    <w:p w14:paraId="7926A6BC" w14:textId="2866CD27" w:rsidR="00E15758" w:rsidRPr="00C66E91" w:rsidRDefault="00E15758" w:rsidP="00E15758">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 xml:space="preserve">For this instrument, broad public consultation was undertaken </w:t>
      </w:r>
      <w:r>
        <w:rPr>
          <w:rFonts w:ascii="Arial" w:hAnsi="Arial" w:cs="Arial"/>
          <w:sz w:val="22"/>
          <w:szCs w:val="22"/>
        </w:rPr>
        <w:t>between</w:t>
      </w:r>
      <w:r w:rsidRPr="00C66E91">
        <w:rPr>
          <w:rFonts w:ascii="Arial" w:hAnsi="Arial" w:cs="Arial"/>
          <w:sz w:val="22"/>
          <w:szCs w:val="22"/>
        </w:rPr>
        <w:t xml:space="preserve"> </w:t>
      </w:r>
      <w:r>
        <w:rPr>
          <w:rFonts w:ascii="Arial" w:hAnsi="Arial" w:cs="Arial"/>
          <w:sz w:val="22"/>
          <w:szCs w:val="22"/>
        </w:rPr>
        <w:t>19 April 2023 and 19 May 2023</w:t>
      </w:r>
      <w:r w:rsidRPr="00C66E91">
        <w:rPr>
          <w:rFonts w:ascii="Arial" w:hAnsi="Arial" w:cs="Arial"/>
          <w:sz w:val="22"/>
          <w:szCs w:val="22"/>
        </w:rPr>
        <w:t xml:space="preserve"> inclusive.</w:t>
      </w:r>
    </w:p>
    <w:p w14:paraId="5AD7825E" w14:textId="77777777" w:rsidR="00E15758" w:rsidRPr="00C66E91" w:rsidRDefault="00E15758" w:rsidP="00E15758">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 xml:space="preserve">The draft instrument and draft explanatory statement were published to the ATO Legal database. Publication was advertised via the </w:t>
      </w:r>
      <w:r>
        <w:rPr>
          <w:rFonts w:ascii="Arial" w:hAnsi="Arial" w:cs="Arial"/>
          <w:sz w:val="22"/>
          <w:szCs w:val="22"/>
        </w:rPr>
        <w:t>‘</w:t>
      </w:r>
      <w:r w:rsidRPr="00C66E91">
        <w:rPr>
          <w:rFonts w:ascii="Arial" w:hAnsi="Arial" w:cs="Arial"/>
          <w:sz w:val="22"/>
          <w:szCs w:val="22"/>
        </w:rPr>
        <w:t>What's new</w:t>
      </w:r>
      <w:r>
        <w:rPr>
          <w:rFonts w:ascii="Arial" w:hAnsi="Arial" w:cs="Arial"/>
          <w:sz w:val="22"/>
          <w:szCs w:val="22"/>
        </w:rPr>
        <w:t>’</w:t>
      </w:r>
      <w:r w:rsidRPr="00C66E91">
        <w:rPr>
          <w:rFonts w:ascii="Arial" w:hAnsi="Arial" w:cs="Arial"/>
          <w:sz w:val="22"/>
          <w:szCs w:val="22"/>
        </w:rPr>
        <w:t xml:space="preserve"> page on that website, and via the </w:t>
      </w:r>
      <w:r>
        <w:rPr>
          <w:rFonts w:ascii="Arial" w:hAnsi="Arial" w:cs="Arial"/>
          <w:sz w:val="22"/>
          <w:szCs w:val="22"/>
        </w:rPr>
        <w:t>‘</w:t>
      </w:r>
      <w:r w:rsidRPr="00C66E91">
        <w:rPr>
          <w:rFonts w:ascii="Arial" w:hAnsi="Arial" w:cs="Arial"/>
          <w:sz w:val="22"/>
          <w:szCs w:val="22"/>
        </w:rPr>
        <w:t>Open Consultation</w:t>
      </w:r>
      <w:r>
        <w:rPr>
          <w:rFonts w:ascii="Arial" w:hAnsi="Arial" w:cs="Arial"/>
          <w:sz w:val="22"/>
          <w:szCs w:val="22"/>
        </w:rPr>
        <w:t>’</w:t>
      </w:r>
      <w:r w:rsidRPr="00C66E91">
        <w:rPr>
          <w:rFonts w:ascii="Arial" w:hAnsi="Arial" w:cs="Arial"/>
          <w:sz w:val="22"/>
          <w:szCs w:val="22"/>
        </w:rPr>
        <w:t xml:space="preserve">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p>
    <w:p w14:paraId="18B12498" w14:textId="3FCC3A31" w:rsidR="00E15758" w:rsidRPr="00C66E91" w:rsidRDefault="00E15758" w:rsidP="00E15758">
      <w:pPr>
        <w:numPr>
          <w:ilvl w:val="0"/>
          <w:numId w:val="1"/>
        </w:numPr>
        <w:tabs>
          <w:tab w:val="clear" w:pos="360"/>
        </w:tabs>
        <w:spacing w:after="120"/>
        <w:ind w:left="709" w:hanging="709"/>
        <w:rPr>
          <w:rFonts w:ascii="Arial" w:hAnsi="Arial" w:cs="Arial"/>
          <w:sz w:val="22"/>
          <w:szCs w:val="22"/>
        </w:rPr>
      </w:pPr>
      <w:r>
        <w:rPr>
          <w:rFonts w:ascii="Arial" w:hAnsi="Arial" w:cs="Arial"/>
          <w:sz w:val="22"/>
          <w:szCs w:val="22"/>
        </w:rPr>
        <w:t>No feedback on this proposal was received through this</w:t>
      </w:r>
      <w:r w:rsidRPr="00C66E91">
        <w:rPr>
          <w:rFonts w:ascii="Arial" w:hAnsi="Arial" w:cs="Arial"/>
          <w:sz w:val="22"/>
          <w:szCs w:val="22"/>
        </w:rPr>
        <w:t xml:space="preserve"> consultation.</w:t>
      </w:r>
    </w:p>
    <w:p w14:paraId="5ED5A9E4" w14:textId="770F98C4" w:rsidR="00E15758" w:rsidRPr="00C66E91" w:rsidRDefault="00E15758" w:rsidP="00E15758">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In addition, targeted consultation on a</w:t>
      </w:r>
      <w:r>
        <w:rPr>
          <w:rFonts w:ascii="Arial" w:hAnsi="Arial" w:cs="Arial"/>
          <w:sz w:val="22"/>
          <w:szCs w:val="22"/>
        </w:rPr>
        <w:t>ll</w:t>
      </w:r>
      <w:r w:rsidRPr="00C66E91">
        <w:rPr>
          <w:rFonts w:ascii="Arial" w:hAnsi="Arial" w:cs="Arial"/>
          <w:sz w:val="22"/>
          <w:szCs w:val="22"/>
        </w:rPr>
        <w:t xml:space="preserve"> prospective CRP candidate</w:t>
      </w:r>
      <w:r>
        <w:rPr>
          <w:rFonts w:ascii="Arial" w:hAnsi="Arial" w:cs="Arial"/>
          <w:sz w:val="22"/>
          <w:szCs w:val="22"/>
        </w:rPr>
        <w:t>s</w:t>
      </w:r>
      <w:r w:rsidRPr="00C66E91">
        <w:rPr>
          <w:rFonts w:ascii="Arial" w:hAnsi="Arial" w:cs="Arial"/>
          <w:sz w:val="22"/>
          <w:szCs w:val="22"/>
        </w:rPr>
        <w:t xml:space="preserve"> is undertaken with the CRP Advisory Panel, a body comprised of private sector specialists</w:t>
      </w:r>
      <w:r w:rsidR="005D0A44">
        <w:rPr>
          <w:rFonts w:ascii="Arial" w:hAnsi="Arial" w:cs="Arial"/>
          <w:sz w:val="22"/>
          <w:szCs w:val="22"/>
        </w:rPr>
        <w:t xml:space="preserve"> and representatives from the </w:t>
      </w:r>
      <w:r w:rsidRPr="00C66E91">
        <w:rPr>
          <w:rFonts w:ascii="Arial" w:hAnsi="Arial" w:cs="Arial"/>
          <w:sz w:val="22"/>
          <w:szCs w:val="22"/>
        </w:rPr>
        <w:t xml:space="preserve">ATO </w:t>
      </w:r>
      <w:r w:rsidR="005D0A44">
        <w:rPr>
          <w:rFonts w:ascii="Arial" w:hAnsi="Arial" w:cs="Arial"/>
          <w:sz w:val="22"/>
          <w:szCs w:val="22"/>
        </w:rPr>
        <w:t>and the Department of the Treasury</w:t>
      </w:r>
      <w:r w:rsidRPr="00C66E91">
        <w:rPr>
          <w:rFonts w:ascii="Arial" w:hAnsi="Arial" w:cs="Arial"/>
          <w:sz w:val="22"/>
          <w:szCs w:val="22"/>
        </w:rPr>
        <w:t>. The Panel supported the exercise of the CRP and provided feedback on the draft determination and explanatory statement.</w:t>
      </w:r>
    </w:p>
    <w:p w14:paraId="45E38564" w14:textId="750B459F" w:rsidR="00E15758" w:rsidRDefault="00E15758" w:rsidP="00E15758">
      <w:pPr>
        <w:numPr>
          <w:ilvl w:val="0"/>
          <w:numId w:val="1"/>
        </w:numPr>
        <w:tabs>
          <w:tab w:val="clear" w:pos="360"/>
        </w:tabs>
        <w:spacing w:after="120"/>
        <w:ind w:left="709" w:hanging="709"/>
        <w:rPr>
          <w:rFonts w:ascii="Arial" w:hAnsi="Arial" w:cs="Arial"/>
          <w:sz w:val="22"/>
          <w:szCs w:val="22"/>
        </w:rPr>
      </w:pPr>
      <w:r w:rsidRPr="00C66E91">
        <w:rPr>
          <w:rFonts w:ascii="Arial" w:hAnsi="Arial" w:cs="Arial"/>
          <w:sz w:val="22"/>
          <w:szCs w:val="22"/>
        </w:rPr>
        <w:t>The Board of Taxation was also consulted</w:t>
      </w:r>
      <w:r w:rsidR="005D0A44">
        <w:rPr>
          <w:rFonts w:ascii="Arial" w:hAnsi="Arial" w:cs="Arial"/>
          <w:sz w:val="22"/>
          <w:szCs w:val="22"/>
        </w:rPr>
        <w:t xml:space="preserve"> and supported the </w:t>
      </w:r>
      <w:r w:rsidRPr="00C66E91">
        <w:rPr>
          <w:rFonts w:ascii="Arial" w:hAnsi="Arial" w:cs="Arial"/>
          <w:sz w:val="22"/>
          <w:szCs w:val="22"/>
        </w:rPr>
        <w:t xml:space="preserve">exercise </w:t>
      </w:r>
      <w:r w:rsidR="005D0A44">
        <w:rPr>
          <w:rFonts w:ascii="Arial" w:hAnsi="Arial" w:cs="Arial"/>
          <w:sz w:val="22"/>
          <w:szCs w:val="22"/>
        </w:rPr>
        <w:t>of the CRP in this case</w:t>
      </w:r>
      <w:r w:rsidRPr="00C66E91">
        <w:rPr>
          <w:rFonts w:ascii="Arial" w:hAnsi="Arial" w:cs="Arial"/>
          <w:sz w:val="22"/>
          <w:szCs w:val="22"/>
        </w:rPr>
        <w:t>.</w:t>
      </w:r>
    </w:p>
    <w:p w14:paraId="6E046C7A" w14:textId="5224E12A" w:rsidR="00C52E8F" w:rsidRDefault="00C52E8F" w:rsidP="00AE336C">
      <w:pPr>
        <w:autoSpaceDE w:val="0"/>
        <w:autoSpaceDN w:val="0"/>
        <w:adjustRightInd w:val="0"/>
        <w:spacing w:after="120"/>
        <w:rPr>
          <w:rFonts w:ascii="Arial" w:hAnsi="Arial" w:cs="Arial"/>
          <w:sz w:val="22"/>
          <w:szCs w:val="22"/>
        </w:rPr>
      </w:pPr>
      <w:bookmarkStart w:id="4" w:name="_Hlk132198192"/>
    </w:p>
    <w:p w14:paraId="6BDEF02E" w14:textId="62B11270" w:rsidR="00481C69" w:rsidRDefault="00481C69" w:rsidP="00AE336C">
      <w:pPr>
        <w:autoSpaceDE w:val="0"/>
        <w:autoSpaceDN w:val="0"/>
        <w:adjustRightInd w:val="0"/>
        <w:spacing w:after="120"/>
        <w:rPr>
          <w:rFonts w:ascii="Arial" w:hAnsi="Arial" w:cs="Arial"/>
          <w:sz w:val="22"/>
          <w:szCs w:val="22"/>
        </w:rPr>
      </w:pPr>
    </w:p>
    <w:bookmarkEnd w:id="4"/>
    <w:p w14:paraId="59281CA3" w14:textId="77777777" w:rsidR="00481C69" w:rsidRPr="00AE336C" w:rsidRDefault="00481C69" w:rsidP="00481C69">
      <w:pPr>
        <w:autoSpaceDE w:val="0"/>
        <w:autoSpaceDN w:val="0"/>
        <w:adjustRightInd w:val="0"/>
        <w:spacing w:after="120"/>
        <w:rPr>
          <w:rFonts w:ascii="Arial" w:hAnsi="Arial" w:cs="Arial"/>
          <w:sz w:val="22"/>
          <w:szCs w:val="22"/>
        </w:rPr>
      </w:pPr>
    </w:p>
    <w:p w14:paraId="72DF6D95" w14:textId="77777777" w:rsidR="00481C69" w:rsidRPr="00AE336C" w:rsidRDefault="00481C69" w:rsidP="00481C69">
      <w:pPr>
        <w:pStyle w:val="Heading3"/>
        <w:spacing w:before="0"/>
        <w:rPr>
          <w:i/>
          <w:sz w:val="20"/>
          <w:szCs w:val="20"/>
        </w:rPr>
      </w:pPr>
      <w:r w:rsidRPr="00AE336C">
        <w:rPr>
          <w:i/>
          <w:sz w:val="20"/>
          <w:szCs w:val="20"/>
        </w:rPr>
        <w:t>Legislative references</w:t>
      </w:r>
    </w:p>
    <w:p w14:paraId="007BDB34" w14:textId="77777777" w:rsidR="00481C69" w:rsidRDefault="00481C69" w:rsidP="00481C69">
      <w:pPr>
        <w:rPr>
          <w:rFonts w:ascii="Arial" w:hAnsi="Arial" w:cs="Arial"/>
          <w:i/>
          <w:sz w:val="20"/>
        </w:rPr>
      </w:pPr>
      <w:r>
        <w:rPr>
          <w:rFonts w:ascii="Arial" w:hAnsi="Arial" w:cs="Arial"/>
          <w:i/>
          <w:sz w:val="20"/>
        </w:rPr>
        <w:t>Acts Interpretation Act 1901</w:t>
      </w:r>
    </w:p>
    <w:p w14:paraId="2A9506ED" w14:textId="77777777" w:rsidR="00481C69" w:rsidRDefault="00481C69" w:rsidP="00481C69">
      <w:pPr>
        <w:rPr>
          <w:rFonts w:ascii="Arial" w:hAnsi="Arial" w:cs="Arial"/>
          <w:i/>
          <w:sz w:val="20"/>
        </w:rPr>
      </w:pPr>
      <w:r w:rsidRPr="00D878CD">
        <w:rPr>
          <w:rFonts w:ascii="Arial" w:hAnsi="Arial" w:cs="Arial"/>
          <w:i/>
          <w:sz w:val="20"/>
        </w:rPr>
        <w:t>Human Rights (Parliamentary Scrutiny) Act 2011</w:t>
      </w:r>
    </w:p>
    <w:p w14:paraId="32376BF2" w14:textId="77777777" w:rsidR="00481C69" w:rsidRPr="00AE336C" w:rsidRDefault="00481C69" w:rsidP="00481C69">
      <w:pPr>
        <w:rPr>
          <w:rFonts w:ascii="Arial" w:hAnsi="Arial" w:cs="Arial"/>
          <w:i/>
          <w:sz w:val="20"/>
        </w:rPr>
      </w:pPr>
      <w:r w:rsidRPr="00AE336C">
        <w:rPr>
          <w:rFonts w:ascii="Arial" w:hAnsi="Arial" w:cs="Arial"/>
          <w:i/>
          <w:sz w:val="20"/>
        </w:rPr>
        <w:t>Legislation Act 2003</w:t>
      </w:r>
    </w:p>
    <w:p w14:paraId="1334EA96" w14:textId="77777777" w:rsidR="00481C69" w:rsidRPr="00AE336C" w:rsidRDefault="00481C69" w:rsidP="00481C69">
      <w:pPr>
        <w:rPr>
          <w:rFonts w:ascii="Arial" w:hAnsi="Arial" w:cs="Arial"/>
          <w:i/>
          <w:sz w:val="20"/>
        </w:rPr>
      </w:pPr>
      <w:r w:rsidRPr="00AE336C">
        <w:rPr>
          <w:rFonts w:ascii="Arial" w:hAnsi="Arial" w:cs="Arial"/>
          <w:i/>
          <w:sz w:val="20"/>
        </w:rPr>
        <w:t>Taxation Administration Act 1953</w:t>
      </w:r>
    </w:p>
    <w:p w14:paraId="70183925" w14:textId="77777777" w:rsidR="00481C69" w:rsidRPr="00AE336C" w:rsidRDefault="00481C69" w:rsidP="00481C69">
      <w:pPr>
        <w:autoSpaceDE w:val="0"/>
        <w:autoSpaceDN w:val="0"/>
        <w:adjustRightInd w:val="0"/>
        <w:spacing w:after="120"/>
        <w:rPr>
          <w:rFonts w:ascii="Arial" w:hAnsi="Arial" w:cs="Arial"/>
          <w:sz w:val="22"/>
          <w:szCs w:val="22"/>
        </w:rPr>
      </w:pPr>
    </w:p>
    <w:p w14:paraId="6C552EEC" w14:textId="37AE0C03" w:rsidR="00481C69" w:rsidRPr="00AE336C" w:rsidRDefault="00481C69" w:rsidP="00481C69">
      <w:pPr>
        <w:pStyle w:val="Heading3"/>
        <w:spacing w:before="0"/>
        <w:rPr>
          <w:i/>
          <w:sz w:val="20"/>
          <w:szCs w:val="20"/>
        </w:rPr>
      </w:pPr>
      <w:r>
        <w:rPr>
          <w:i/>
          <w:sz w:val="20"/>
          <w:szCs w:val="20"/>
        </w:rPr>
        <w:t>Other references</w:t>
      </w:r>
    </w:p>
    <w:p w14:paraId="51B263D5" w14:textId="3C710BB5" w:rsidR="00481C69" w:rsidRPr="00AE336C" w:rsidRDefault="00481C69" w:rsidP="00481C69">
      <w:pPr>
        <w:rPr>
          <w:rFonts w:ascii="Arial" w:hAnsi="Arial" w:cs="Arial"/>
          <w:i/>
          <w:sz w:val="20"/>
        </w:rPr>
      </w:pPr>
      <w:r w:rsidRPr="00481C69">
        <w:rPr>
          <w:rFonts w:ascii="Arial" w:hAnsi="Arial" w:cs="Arial"/>
          <w:i/>
          <w:sz w:val="20"/>
        </w:rPr>
        <w:t>PS LA 2006/8</w:t>
      </w:r>
    </w:p>
    <w:p w14:paraId="15AC1BA9" w14:textId="71DEF470" w:rsidR="00AC56C8" w:rsidRPr="00AE336C" w:rsidRDefault="00AC56C8" w:rsidP="00AE336C">
      <w:pPr>
        <w:spacing w:after="120"/>
        <w:rPr>
          <w:rFonts w:ascii="Arial" w:hAnsi="Arial" w:cs="Arial"/>
          <w:sz w:val="22"/>
          <w:szCs w:val="22"/>
        </w:rPr>
      </w:pPr>
      <w:r w:rsidRPr="00AE336C">
        <w:rPr>
          <w:rFonts w:ascii="Arial" w:hAnsi="Arial" w:cs="Arial"/>
          <w:sz w:val="22"/>
          <w:szCs w:val="22"/>
        </w:rPr>
        <w:br w:type="page"/>
      </w:r>
    </w:p>
    <w:p w14:paraId="72220477" w14:textId="77777777" w:rsidR="00DF29FD" w:rsidRPr="00AE336C" w:rsidRDefault="00DF29FD" w:rsidP="00AE336C">
      <w:pPr>
        <w:pStyle w:val="Heading3"/>
        <w:spacing w:before="0" w:after="120"/>
        <w:jc w:val="center"/>
        <w:rPr>
          <w:sz w:val="22"/>
          <w:szCs w:val="22"/>
        </w:rPr>
      </w:pPr>
      <w:bookmarkStart w:id="5" w:name="_Hlk132198728"/>
      <w:r w:rsidRPr="00AE336C">
        <w:rPr>
          <w:sz w:val="22"/>
          <w:szCs w:val="22"/>
        </w:rPr>
        <w:lastRenderedPageBreak/>
        <w:t>Statement of compatibility with Human Rights</w:t>
      </w:r>
    </w:p>
    <w:p w14:paraId="15AC1BAD" w14:textId="4DA2A523" w:rsidR="00E53399" w:rsidRPr="00AE336C" w:rsidRDefault="004F5EB1" w:rsidP="00AE336C">
      <w:pPr>
        <w:spacing w:after="120"/>
        <w:rPr>
          <w:rFonts w:ascii="Arial" w:hAnsi="Arial" w:cs="Arial"/>
          <w:b/>
          <w:bCs/>
          <w:sz w:val="22"/>
          <w:szCs w:val="22"/>
        </w:rPr>
      </w:pPr>
      <w:r w:rsidRPr="00AE336C">
        <w:rPr>
          <w:rFonts w:ascii="Arial" w:hAnsi="Arial" w:cs="Arial"/>
          <w:sz w:val="22"/>
          <w:szCs w:val="22"/>
        </w:rPr>
        <w:t>P</w:t>
      </w:r>
      <w:r w:rsidR="00E53399" w:rsidRPr="00AE336C">
        <w:rPr>
          <w:rFonts w:ascii="Arial" w:hAnsi="Arial" w:cs="Arial"/>
          <w:sz w:val="22"/>
          <w:szCs w:val="22"/>
        </w:rPr>
        <w:t xml:space="preserve">repared in accordance with Part 3 of the </w:t>
      </w:r>
      <w:r w:rsidR="00E53399" w:rsidRPr="00AE336C">
        <w:rPr>
          <w:rFonts w:ascii="Arial" w:hAnsi="Arial" w:cs="Arial"/>
          <w:i/>
          <w:iCs/>
          <w:sz w:val="22"/>
          <w:szCs w:val="22"/>
        </w:rPr>
        <w:t>Human Rights (Parliamentary Scrutiny) Act 2011</w:t>
      </w:r>
      <w:r w:rsidR="000A16C8" w:rsidRPr="00AE336C">
        <w:rPr>
          <w:rFonts w:ascii="Arial" w:hAnsi="Arial" w:cs="Arial"/>
          <w:sz w:val="22"/>
          <w:szCs w:val="22"/>
        </w:rPr>
        <w:t>.</w:t>
      </w:r>
    </w:p>
    <w:p w14:paraId="15AC1BAE" w14:textId="063193F1" w:rsidR="00D77015" w:rsidRPr="00AE336C" w:rsidRDefault="00D77015" w:rsidP="00AE336C">
      <w:pPr>
        <w:autoSpaceDE w:val="0"/>
        <w:autoSpaceDN w:val="0"/>
        <w:adjustRightInd w:val="0"/>
        <w:spacing w:after="120"/>
        <w:rPr>
          <w:rFonts w:ascii="Arial" w:hAnsi="Arial" w:cs="Arial"/>
          <w:sz w:val="22"/>
          <w:szCs w:val="22"/>
        </w:rPr>
      </w:pPr>
    </w:p>
    <w:bookmarkEnd w:id="5"/>
    <w:p w14:paraId="1362D31A" w14:textId="0FFBE5DA" w:rsidR="001D5014" w:rsidRPr="00AE336C" w:rsidRDefault="001D5014" w:rsidP="00AE336C">
      <w:pPr>
        <w:pStyle w:val="Heading2"/>
        <w:jc w:val="center"/>
        <w:rPr>
          <w:i/>
          <w:iCs/>
        </w:rPr>
      </w:pPr>
      <w:r w:rsidRPr="00AE336C">
        <w:rPr>
          <w:i/>
          <w:iCs/>
        </w:rPr>
        <w:t>Taxation Administration (</w:t>
      </w:r>
      <w:r w:rsidR="00D03943" w:rsidRPr="00AE336C">
        <w:rPr>
          <w:i/>
          <w:iCs/>
        </w:rPr>
        <w:t>Remedial Power</w:t>
      </w:r>
      <w:r w:rsidR="00FC18B4" w:rsidRPr="00AE336C">
        <w:rPr>
          <w:i/>
          <w:iCs/>
        </w:rPr>
        <w:t xml:space="preserve"> – </w:t>
      </w:r>
      <w:r w:rsidR="00D03943" w:rsidRPr="00AE336C">
        <w:rPr>
          <w:i/>
          <w:iCs/>
        </w:rPr>
        <w:t xml:space="preserve">Remission </w:t>
      </w:r>
      <w:r w:rsidR="005D5173" w:rsidRPr="00AE336C">
        <w:rPr>
          <w:i/>
          <w:iCs/>
        </w:rPr>
        <w:t>of Charges and Penalties</w:t>
      </w:r>
      <w:r w:rsidRPr="00AE336C">
        <w:rPr>
          <w:i/>
          <w:iCs/>
        </w:rPr>
        <w:t xml:space="preserve">) Determination </w:t>
      </w:r>
      <w:r w:rsidR="00D12296" w:rsidRPr="00AE336C">
        <w:rPr>
          <w:i/>
          <w:iCs/>
        </w:rPr>
        <w:t>202</w:t>
      </w:r>
      <w:r w:rsidR="005D5173" w:rsidRPr="00AE336C">
        <w:rPr>
          <w:i/>
          <w:iCs/>
        </w:rPr>
        <w:t>3</w:t>
      </w:r>
    </w:p>
    <w:p w14:paraId="51494025" w14:textId="159D24B2" w:rsidR="001D5014" w:rsidRPr="00AE336C" w:rsidRDefault="001D5014" w:rsidP="00AE336C">
      <w:pPr>
        <w:autoSpaceDE w:val="0"/>
        <w:autoSpaceDN w:val="0"/>
        <w:adjustRightInd w:val="0"/>
        <w:spacing w:after="120"/>
        <w:rPr>
          <w:rFonts w:ascii="Arial" w:hAnsi="Arial" w:cs="Arial"/>
          <w:sz w:val="22"/>
          <w:szCs w:val="22"/>
        </w:rPr>
      </w:pPr>
      <w:bookmarkStart w:id="6" w:name="_Hlk132198747"/>
      <w:r w:rsidRPr="00AE336C">
        <w:rPr>
          <w:rFonts w:ascii="Arial" w:hAnsi="Arial" w:cs="Arial"/>
          <w:sz w:val="22"/>
          <w:szCs w:val="22"/>
        </w:rPr>
        <w:t xml:space="preserve">This </w:t>
      </w:r>
      <w:r w:rsidR="005D5173" w:rsidRPr="00AE336C">
        <w:rPr>
          <w:rFonts w:ascii="Arial" w:hAnsi="Arial" w:cs="Arial"/>
          <w:sz w:val="22"/>
          <w:szCs w:val="22"/>
        </w:rPr>
        <w:t>l</w:t>
      </w:r>
      <w:r w:rsidRPr="00AE336C">
        <w:rPr>
          <w:rFonts w:ascii="Arial" w:hAnsi="Arial" w:cs="Arial"/>
          <w:sz w:val="22"/>
          <w:szCs w:val="22"/>
        </w:rPr>
        <w:t xml:space="preserve">egislative </w:t>
      </w:r>
      <w:r w:rsidR="005D5173" w:rsidRPr="00AE336C">
        <w:rPr>
          <w:rFonts w:ascii="Arial" w:hAnsi="Arial" w:cs="Arial"/>
          <w:sz w:val="22"/>
          <w:szCs w:val="22"/>
        </w:rPr>
        <w:t>i</w:t>
      </w:r>
      <w:r w:rsidRPr="00AE336C">
        <w:rPr>
          <w:rFonts w:ascii="Arial" w:hAnsi="Arial" w:cs="Arial"/>
          <w:sz w:val="22"/>
          <w:szCs w:val="22"/>
        </w:rPr>
        <w:t xml:space="preserve">nstrument is compatible with the human rights and freedoms recognised or declared in the international instruments listed in section 3 of the </w:t>
      </w:r>
      <w:r w:rsidRPr="00AE336C">
        <w:rPr>
          <w:rFonts w:ascii="Arial" w:hAnsi="Arial" w:cs="Arial"/>
          <w:i/>
          <w:sz w:val="22"/>
          <w:szCs w:val="22"/>
        </w:rPr>
        <w:t>Human Rights</w:t>
      </w:r>
      <w:r w:rsidR="00C52E8F" w:rsidRPr="00AE336C">
        <w:rPr>
          <w:rFonts w:ascii="Arial" w:hAnsi="Arial" w:cs="Arial"/>
          <w:i/>
          <w:sz w:val="22"/>
          <w:szCs w:val="22"/>
        </w:rPr>
        <w:t xml:space="preserve"> (Parliamentary</w:t>
      </w:r>
      <w:r w:rsidRPr="00AE336C">
        <w:rPr>
          <w:rFonts w:ascii="Arial" w:hAnsi="Arial" w:cs="Arial"/>
          <w:i/>
          <w:sz w:val="22"/>
          <w:szCs w:val="22"/>
        </w:rPr>
        <w:t xml:space="preserve"> Scrutiny) Act 2011.</w:t>
      </w:r>
    </w:p>
    <w:p w14:paraId="022EB206" w14:textId="77777777" w:rsidR="001D5014" w:rsidRPr="00AE336C" w:rsidRDefault="001D5014" w:rsidP="00AE336C">
      <w:pPr>
        <w:autoSpaceDE w:val="0"/>
        <w:autoSpaceDN w:val="0"/>
        <w:adjustRightInd w:val="0"/>
        <w:spacing w:after="120"/>
        <w:rPr>
          <w:rFonts w:ascii="Arial" w:hAnsi="Arial" w:cs="Arial"/>
          <w:sz w:val="22"/>
          <w:szCs w:val="22"/>
        </w:rPr>
      </w:pPr>
    </w:p>
    <w:p w14:paraId="547036D7" w14:textId="63EE710B" w:rsidR="001D5014" w:rsidRPr="00AE336C" w:rsidRDefault="001D5014" w:rsidP="00AE336C">
      <w:pPr>
        <w:pStyle w:val="Heading2"/>
      </w:pPr>
      <w:r w:rsidRPr="00AE336C">
        <w:t xml:space="preserve">Overview of the </w:t>
      </w:r>
      <w:r w:rsidR="005D5173" w:rsidRPr="00AE336C">
        <w:t>l</w:t>
      </w:r>
      <w:r w:rsidRPr="00AE336C">
        <w:t xml:space="preserve">egislative </w:t>
      </w:r>
      <w:r w:rsidR="005D5173" w:rsidRPr="00AE336C">
        <w:t>i</w:t>
      </w:r>
      <w:r w:rsidR="00425891" w:rsidRPr="00AE336C">
        <w:t>nstrument</w:t>
      </w:r>
    </w:p>
    <w:bookmarkEnd w:id="6"/>
    <w:p w14:paraId="07E34445" w14:textId="6EE91E43" w:rsidR="00FC18B4" w:rsidRPr="00AE336C" w:rsidRDefault="001D5014" w:rsidP="00AE336C">
      <w:pPr>
        <w:spacing w:after="120"/>
        <w:rPr>
          <w:rFonts w:ascii="Arial" w:hAnsi="Arial" w:cs="Arial"/>
          <w:bCs/>
          <w:sz w:val="22"/>
          <w:szCs w:val="22"/>
        </w:rPr>
      </w:pPr>
      <w:r w:rsidRPr="00AE336C">
        <w:rPr>
          <w:rFonts w:ascii="Arial" w:hAnsi="Arial" w:cs="Arial"/>
          <w:bCs/>
          <w:sz w:val="22"/>
          <w:szCs w:val="22"/>
        </w:rPr>
        <w:t xml:space="preserve">This </w:t>
      </w:r>
      <w:r w:rsidR="005D5173" w:rsidRPr="00AE336C">
        <w:rPr>
          <w:rFonts w:ascii="Arial" w:hAnsi="Arial" w:cs="Arial"/>
          <w:bCs/>
          <w:sz w:val="22"/>
          <w:szCs w:val="22"/>
        </w:rPr>
        <w:t>i</w:t>
      </w:r>
      <w:r w:rsidRPr="00AE336C">
        <w:rPr>
          <w:rFonts w:ascii="Arial" w:hAnsi="Arial" w:cs="Arial"/>
          <w:bCs/>
          <w:sz w:val="22"/>
          <w:szCs w:val="22"/>
        </w:rPr>
        <w:t xml:space="preserve">nstrument is made under section 370-5 </w:t>
      </w:r>
      <w:r w:rsidR="00732082" w:rsidRPr="00AE336C">
        <w:rPr>
          <w:rFonts w:ascii="Arial" w:hAnsi="Arial" w:cs="Arial"/>
          <w:bCs/>
          <w:sz w:val="22"/>
          <w:szCs w:val="22"/>
        </w:rPr>
        <w:t>in</w:t>
      </w:r>
      <w:r w:rsidRPr="00AE336C">
        <w:rPr>
          <w:rFonts w:ascii="Arial" w:hAnsi="Arial" w:cs="Arial"/>
          <w:bCs/>
          <w:sz w:val="22"/>
          <w:szCs w:val="22"/>
        </w:rPr>
        <w:t xml:space="preserve"> Schedule 1 to the </w:t>
      </w:r>
      <w:r w:rsidRPr="00AE336C">
        <w:rPr>
          <w:rFonts w:ascii="Arial" w:hAnsi="Arial" w:cs="Arial"/>
          <w:bCs/>
          <w:i/>
          <w:iCs/>
          <w:sz w:val="22"/>
          <w:szCs w:val="22"/>
        </w:rPr>
        <w:t xml:space="preserve">Taxation Administration Act 1953 </w:t>
      </w:r>
      <w:r w:rsidRPr="00AE336C">
        <w:rPr>
          <w:rFonts w:ascii="Arial" w:hAnsi="Arial" w:cs="Arial"/>
          <w:bCs/>
          <w:sz w:val="22"/>
          <w:szCs w:val="22"/>
        </w:rPr>
        <w:t>(</w:t>
      </w:r>
      <w:r w:rsidR="00FA2421" w:rsidRPr="00AE336C">
        <w:rPr>
          <w:rFonts w:ascii="Arial" w:hAnsi="Arial" w:cs="Arial"/>
          <w:bCs/>
          <w:sz w:val="22"/>
          <w:szCs w:val="22"/>
        </w:rPr>
        <w:t>TAA</w:t>
      </w:r>
      <w:r w:rsidRPr="00AE336C">
        <w:rPr>
          <w:rFonts w:ascii="Arial" w:hAnsi="Arial" w:cs="Arial"/>
          <w:bCs/>
          <w:sz w:val="22"/>
          <w:szCs w:val="22"/>
        </w:rPr>
        <w:t xml:space="preserve">), known as the Commissioner’s </w:t>
      </w:r>
      <w:r w:rsidR="005D5173" w:rsidRPr="00AE336C">
        <w:rPr>
          <w:rFonts w:ascii="Arial" w:hAnsi="Arial" w:cs="Arial"/>
          <w:bCs/>
          <w:sz w:val="22"/>
          <w:szCs w:val="22"/>
        </w:rPr>
        <w:t>r</w:t>
      </w:r>
      <w:r w:rsidRPr="00AE336C">
        <w:rPr>
          <w:rFonts w:ascii="Arial" w:hAnsi="Arial" w:cs="Arial"/>
          <w:bCs/>
          <w:sz w:val="22"/>
          <w:szCs w:val="22"/>
        </w:rPr>
        <w:t xml:space="preserve">emedial </w:t>
      </w:r>
      <w:r w:rsidR="005D5173" w:rsidRPr="00AE336C">
        <w:rPr>
          <w:rFonts w:ascii="Arial" w:hAnsi="Arial" w:cs="Arial"/>
          <w:bCs/>
          <w:sz w:val="22"/>
          <w:szCs w:val="22"/>
        </w:rPr>
        <w:t>p</w:t>
      </w:r>
      <w:r w:rsidRPr="00AE336C">
        <w:rPr>
          <w:rFonts w:ascii="Arial" w:hAnsi="Arial" w:cs="Arial"/>
          <w:bCs/>
          <w:sz w:val="22"/>
          <w:szCs w:val="22"/>
        </w:rPr>
        <w:t xml:space="preserve">ower. </w:t>
      </w:r>
      <w:r w:rsidR="0007078B" w:rsidRPr="00AE336C">
        <w:rPr>
          <w:rFonts w:ascii="Arial" w:hAnsi="Arial" w:cs="Arial"/>
          <w:bCs/>
          <w:sz w:val="22"/>
          <w:szCs w:val="22"/>
        </w:rPr>
        <w:t xml:space="preserve">Section 370-5 </w:t>
      </w:r>
      <w:r w:rsidR="005D5173" w:rsidRPr="00AE336C">
        <w:rPr>
          <w:rFonts w:ascii="Arial" w:hAnsi="Arial" w:cs="Arial"/>
          <w:bCs/>
          <w:sz w:val="22"/>
          <w:szCs w:val="22"/>
        </w:rPr>
        <w:t>enables the Commissioner to make a</w:t>
      </w:r>
      <w:r w:rsidR="00605A3A" w:rsidRPr="00AE336C">
        <w:rPr>
          <w:rFonts w:ascii="Arial" w:hAnsi="Arial" w:cs="Arial"/>
          <w:bCs/>
          <w:sz w:val="22"/>
          <w:szCs w:val="22"/>
        </w:rPr>
        <w:t xml:space="preserve"> legislative </w:t>
      </w:r>
      <w:r w:rsidR="005D5173" w:rsidRPr="00AE336C">
        <w:rPr>
          <w:rFonts w:ascii="Arial" w:hAnsi="Arial" w:cs="Arial"/>
          <w:bCs/>
          <w:sz w:val="22"/>
          <w:szCs w:val="22"/>
        </w:rPr>
        <w:t>instrument that modifies the operation of a provision of a taxation law</w:t>
      </w:r>
      <w:r w:rsidR="0007078B" w:rsidRPr="00AE336C">
        <w:rPr>
          <w:rFonts w:ascii="Arial" w:hAnsi="Arial" w:cs="Arial"/>
          <w:bCs/>
          <w:sz w:val="22"/>
          <w:szCs w:val="22"/>
        </w:rPr>
        <w:t>,</w:t>
      </w:r>
      <w:r w:rsidR="005D5173" w:rsidRPr="00AE336C">
        <w:rPr>
          <w:rFonts w:ascii="Arial" w:hAnsi="Arial" w:cs="Arial"/>
          <w:bCs/>
          <w:sz w:val="22"/>
          <w:szCs w:val="22"/>
        </w:rPr>
        <w:t xml:space="preserve"> where particular statutory criteria are met.</w:t>
      </w:r>
    </w:p>
    <w:p w14:paraId="1697B58A" w14:textId="4C7AD4C7" w:rsidR="00FC18B4" w:rsidRPr="00AE336C" w:rsidRDefault="005D5173" w:rsidP="00AE336C">
      <w:pPr>
        <w:spacing w:after="120"/>
        <w:rPr>
          <w:rFonts w:ascii="Arial" w:hAnsi="Arial" w:cs="Arial"/>
          <w:sz w:val="22"/>
          <w:szCs w:val="22"/>
        </w:rPr>
      </w:pPr>
      <w:r w:rsidRPr="00AE336C">
        <w:rPr>
          <w:rFonts w:ascii="Arial" w:hAnsi="Arial" w:cs="Arial"/>
          <w:bCs/>
          <w:sz w:val="22"/>
          <w:szCs w:val="22"/>
        </w:rPr>
        <w:t xml:space="preserve">This instrument </w:t>
      </w:r>
      <w:r w:rsidR="001D5014" w:rsidRPr="00AE336C">
        <w:rPr>
          <w:rFonts w:ascii="Arial" w:hAnsi="Arial" w:cs="Arial"/>
          <w:bCs/>
          <w:sz w:val="22"/>
          <w:szCs w:val="22"/>
        </w:rPr>
        <w:t xml:space="preserve">modifies the operation of </w:t>
      </w:r>
      <w:r w:rsidR="00425891" w:rsidRPr="00AE336C">
        <w:rPr>
          <w:rFonts w:ascii="Arial" w:hAnsi="Arial" w:cs="Arial"/>
          <w:sz w:val="22"/>
          <w:szCs w:val="22"/>
        </w:rPr>
        <w:t>section 8AAG</w:t>
      </w:r>
      <w:r w:rsidRPr="00AE336C">
        <w:rPr>
          <w:rFonts w:ascii="Arial" w:hAnsi="Arial" w:cs="Arial"/>
          <w:sz w:val="22"/>
          <w:szCs w:val="22"/>
        </w:rPr>
        <w:t xml:space="preserve"> of the </w:t>
      </w:r>
      <w:r w:rsidR="00FA2421" w:rsidRPr="00AE336C">
        <w:rPr>
          <w:rFonts w:ascii="Arial" w:hAnsi="Arial" w:cs="Arial"/>
          <w:sz w:val="22"/>
          <w:szCs w:val="22"/>
        </w:rPr>
        <w:t>TAA</w:t>
      </w:r>
      <w:r w:rsidR="00425891" w:rsidRPr="00AE336C">
        <w:rPr>
          <w:rFonts w:ascii="Arial" w:hAnsi="Arial" w:cs="Arial"/>
          <w:sz w:val="22"/>
          <w:szCs w:val="22"/>
        </w:rPr>
        <w:t>,</w:t>
      </w:r>
      <w:r w:rsidRPr="00AE336C">
        <w:rPr>
          <w:rFonts w:ascii="Arial" w:hAnsi="Arial" w:cs="Arial"/>
          <w:sz w:val="22"/>
          <w:szCs w:val="22"/>
        </w:rPr>
        <w:t xml:space="preserve"> and</w:t>
      </w:r>
      <w:r w:rsidR="00425891" w:rsidRPr="00AE336C">
        <w:rPr>
          <w:rFonts w:ascii="Arial" w:hAnsi="Arial" w:cs="Arial"/>
          <w:sz w:val="22"/>
          <w:szCs w:val="22"/>
        </w:rPr>
        <w:t xml:space="preserve"> section</w:t>
      </w:r>
      <w:r w:rsidR="005B33D3" w:rsidRPr="00AE336C">
        <w:rPr>
          <w:rFonts w:ascii="Arial" w:hAnsi="Arial" w:cs="Arial"/>
          <w:sz w:val="22"/>
          <w:szCs w:val="22"/>
        </w:rPr>
        <w:t>s</w:t>
      </w:r>
      <w:r w:rsidR="00425891" w:rsidRPr="00AE336C">
        <w:rPr>
          <w:rFonts w:ascii="Arial" w:hAnsi="Arial" w:cs="Arial"/>
          <w:sz w:val="22"/>
          <w:szCs w:val="22"/>
        </w:rPr>
        <w:t xml:space="preserve"> 280-160 and 298</w:t>
      </w:r>
      <w:r w:rsidR="000A16C8" w:rsidRPr="00AE336C">
        <w:rPr>
          <w:rFonts w:ascii="Arial" w:hAnsi="Arial" w:cs="Arial"/>
          <w:sz w:val="22"/>
          <w:szCs w:val="22"/>
        </w:rPr>
        <w:noBreakHyphen/>
      </w:r>
      <w:r w:rsidR="00425891" w:rsidRPr="00AE336C">
        <w:rPr>
          <w:rFonts w:ascii="Arial" w:hAnsi="Arial" w:cs="Arial"/>
          <w:sz w:val="22"/>
          <w:szCs w:val="22"/>
        </w:rPr>
        <w:t xml:space="preserve">20 </w:t>
      </w:r>
      <w:r w:rsidR="00732082" w:rsidRPr="00AE336C">
        <w:rPr>
          <w:rFonts w:ascii="Arial" w:hAnsi="Arial" w:cs="Arial"/>
          <w:sz w:val="22"/>
          <w:szCs w:val="22"/>
        </w:rPr>
        <w:t>in</w:t>
      </w:r>
      <w:r w:rsidR="00425891" w:rsidRPr="00AE336C">
        <w:rPr>
          <w:rFonts w:ascii="Arial" w:hAnsi="Arial" w:cs="Arial"/>
          <w:sz w:val="22"/>
          <w:szCs w:val="22"/>
        </w:rPr>
        <w:t xml:space="preserve"> Schedule 1 </w:t>
      </w:r>
      <w:r w:rsidRPr="00AE336C">
        <w:rPr>
          <w:rFonts w:ascii="Arial" w:hAnsi="Arial" w:cs="Arial"/>
          <w:sz w:val="22"/>
          <w:szCs w:val="22"/>
        </w:rPr>
        <w:t xml:space="preserve">to </w:t>
      </w:r>
      <w:r w:rsidR="00425891" w:rsidRPr="00AE336C">
        <w:rPr>
          <w:rFonts w:ascii="Arial" w:hAnsi="Arial" w:cs="Arial"/>
          <w:sz w:val="22"/>
          <w:szCs w:val="22"/>
        </w:rPr>
        <w:t xml:space="preserve">the </w:t>
      </w:r>
      <w:r w:rsidR="00FA2421" w:rsidRPr="00AE336C">
        <w:rPr>
          <w:rFonts w:ascii="Arial" w:hAnsi="Arial" w:cs="Arial"/>
          <w:sz w:val="22"/>
          <w:szCs w:val="22"/>
        </w:rPr>
        <w:t>TAA</w:t>
      </w:r>
      <w:r w:rsidRPr="00AE336C">
        <w:rPr>
          <w:rFonts w:ascii="Arial" w:hAnsi="Arial" w:cs="Arial"/>
          <w:sz w:val="22"/>
          <w:szCs w:val="22"/>
        </w:rPr>
        <w:t>,</w:t>
      </w:r>
      <w:r w:rsidR="00531B73" w:rsidRPr="00AE336C">
        <w:rPr>
          <w:rFonts w:ascii="Arial" w:hAnsi="Arial" w:cs="Arial"/>
          <w:sz w:val="22"/>
          <w:szCs w:val="22"/>
        </w:rPr>
        <w:t xml:space="preserve"> </w:t>
      </w:r>
      <w:r w:rsidR="00425891" w:rsidRPr="00AE336C">
        <w:rPr>
          <w:rFonts w:ascii="Arial" w:hAnsi="Arial" w:cs="Arial"/>
          <w:sz w:val="22"/>
          <w:szCs w:val="22"/>
        </w:rPr>
        <w:t xml:space="preserve">to </w:t>
      </w:r>
      <w:r w:rsidR="00145E6F">
        <w:rPr>
          <w:rFonts w:ascii="Arial" w:hAnsi="Arial" w:cs="Arial"/>
          <w:sz w:val="22"/>
          <w:szCs w:val="22"/>
        </w:rPr>
        <w:t>put beyond</w:t>
      </w:r>
      <w:r w:rsidR="00425891" w:rsidRPr="00AE336C">
        <w:rPr>
          <w:rFonts w:ascii="Arial" w:hAnsi="Arial" w:cs="Arial"/>
          <w:sz w:val="22"/>
          <w:szCs w:val="22"/>
        </w:rPr>
        <w:t xml:space="preserve"> doubt that the Commissioner may </w:t>
      </w:r>
      <w:r w:rsidRPr="00AE336C">
        <w:rPr>
          <w:rFonts w:ascii="Arial" w:hAnsi="Arial" w:cs="Arial"/>
          <w:sz w:val="22"/>
          <w:szCs w:val="22"/>
        </w:rPr>
        <w:t xml:space="preserve">decide to remit a relevant charge or penalty owing by </w:t>
      </w:r>
      <w:r w:rsidRPr="00AE336C">
        <w:rPr>
          <w:rFonts w:ascii="Arial" w:hAnsi="Arial" w:cs="Arial"/>
          <w:i/>
          <w:iCs/>
          <w:sz w:val="22"/>
          <w:szCs w:val="22"/>
        </w:rPr>
        <w:t>classes of entities</w:t>
      </w:r>
      <w:r w:rsidRPr="00AE336C">
        <w:rPr>
          <w:rFonts w:ascii="Arial" w:hAnsi="Arial" w:cs="Arial"/>
          <w:sz w:val="22"/>
          <w:szCs w:val="22"/>
        </w:rPr>
        <w:t xml:space="preserve">, as well as in circumstances where a charge or penalty </w:t>
      </w:r>
      <w:r w:rsidRPr="00AE336C">
        <w:rPr>
          <w:rFonts w:ascii="Arial" w:hAnsi="Arial" w:cs="Arial"/>
          <w:i/>
          <w:iCs/>
          <w:sz w:val="22"/>
          <w:szCs w:val="22"/>
        </w:rPr>
        <w:t>has not yet become due and payable</w:t>
      </w:r>
      <w:r w:rsidR="007022F5">
        <w:rPr>
          <w:rFonts w:ascii="Arial" w:hAnsi="Arial" w:cs="Arial"/>
          <w:i/>
          <w:iCs/>
          <w:sz w:val="22"/>
          <w:szCs w:val="22"/>
        </w:rPr>
        <w:t xml:space="preserve"> </w:t>
      </w:r>
      <w:r w:rsidRPr="00AE336C">
        <w:rPr>
          <w:rFonts w:ascii="Arial" w:hAnsi="Arial" w:cs="Arial"/>
          <w:sz w:val="22"/>
          <w:szCs w:val="22"/>
        </w:rPr>
        <w:t>but may become due and payable in the future.</w:t>
      </w:r>
    </w:p>
    <w:p w14:paraId="2002C811" w14:textId="71672D2D" w:rsidR="00425891" w:rsidRPr="00AE336C" w:rsidRDefault="001D5014" w:rsidP="00AE336C">
      <w:pPr>
        <w:spacing w:after="120"/>
        <w:rPr>
          <w:rFonts w:ascii="Arial" w:hAnsi="Arial" w:cs="Arial"/>
          <w:sz w:val="22"/>
          <w:szCs w:val="22"/>
        </w:rPr>
      </w:pPr>
      <w:r w:rsidRPr="00AE336C">
        <w:rPr>
          <w:rFonts w:ascii="Arial" w:hAnsi="Arial" w:cs="Arial"/>
          <w:sz w:val="22"/>
          <w:szCs w:val="22"/>
        </w:rPr>
        <w:t xml:space="preserve">The modifications ensure </w:t>
      </w:r>
      <w:r w:rsidR="005D5173" w:rsidRPr="00AE336C">
        <w:rPr>
          <w:rFonts w:ascii="Arial" w:hAnsi="Arial" w:cs="Arial"/>
          <w:sz w:val="22"/>
          <w:szCs w:val="22"/>
        </w:rPr>
        <w:t xml:space="preserve">that </w:t>
      </w:r>
      <w:r w:rsidRPr="00AE336C">
        <w:rPr>
          <w:rFonts w:ascii="Arial" w:hAnsi="Arial" w:cs="Arial"/>
          <w:sz w:val="22"/>
          <w:szCs w:val="22"/>
        </w:rPr>
        <w:t xml:space="preserve">the Commissioner can continue to </w:t>
      </w:r>
      <w:r w:rsidR="005D5173" w:rsidRPr="00AE336C">
        <w:rPr>
          <w:rFonts w:ascii="Arial" w:hAnsi="Arial" w:cs="Arial"/>
          <w:sz w:val="22"/>
          <w:szCs w:val="22"/>
        </w:rPr>
        <w:t xml:space="preserve">make appropriate remission decisions (including where taxpayers are affected by a natural disaster or other serious and external event, or the amount owing is of a very </w:t>
      </w:r>
      <w:r w:rsidR="00425891" w:rsidRPr="00AE336C">
        <w:rPr>
          <w:rFonts w:ascii="Arial" w:hAnsi="Arial" w:cs="Arial"/>
          <w:sz w:val="22"/>
          <w:szCs w:val="22"/>
        </w:rPr>
        <w:t>low value</w:t>
      </w:r>
      <w:r w:rsidR="005D5173" w:rsidRPr="00AE336C">
        <w:rPr>
          <w:rFonts w:ascii="Arial" w:hAnsi="Arial" w:cs="Arial"/>
          <w:sz w:val="22"/>
          <w:szCs w:val="22"/>
        </w:rPr>
        <w:t>). The</w:t>
      </w:r>
      <w:r w:rsidR="00145E6F">
        <w:rPr>
          <w:rFonts w:ascii="Arial" w:hAnsi="Arial" w:cs="Arial"/>
          <w:sz w:val="22"/>
          <w:szCs w:val="22"/>
        </w:rPr>
        <w:t xml:space="preserve"> modifications </w:t>
      </w:r>
      <w:r w:rsidR="005D5173" w:rsidRPr="00AE336C">
        <w:rPr>
          <w:rFonts w:ascii="Arial" w:hAnsi="Arial" w:cs="Arial"/>
          <w:sz w:val="22"/>
          <w:szCs w:val="22"/>
        </w:rPr>
        <w:t xml:space="preserve">also ensure that remission can arise via </w:t>
      </w:r>
      <w:r w:rsidR="00425891" w:rsidRPr="00AE336C">
        <w:rPr>
          <w:rFonts w:ascii="Arial" w:hAnsi="Arial" w:cs="Arial"/>
          <w:sz w:val="22"/>
          <w:szCs w:val="22"/>
        </w:rPr>
        <w:t xml:space="preserve">automated processes as soon </w:t>
      </w:r>
      <w:r w:rsidR="000A16C8" w:rsidRPr="00AE336C">
        <w:rPr>
          <w:rFonts w:ascii="Arial" w:hAnsi="Arial" w:cs="Arial"/>
          <w:sz w:val="22"/>
          <w:szCs w:val="22"/>
        </w:rPr>
        <w:t xml:space="preserve">as </w:t>
      </w:r>
      <w:r w:rsidR="00425891" w:rsidRPr="00AE336C">
        <w:rPr>
          <w:rFonts w:ascii="Arial" w:hAnsi="Arial" w:cs="Arial"/>
          <w:sz w:val="22"/>
          <w:szCs w:val="22"/>
        </w:rPr>
        <w:t xml:space="preserve">those </w:t>
      </w:r>
      <w:r w:rsidR="004F77B0" w:rsidRPr="00AE336C">
        <w:rPr>
          <w:rFonts w:ascii="Arial" w:hAnsi="Arial" w:cs="Arial"/>
          <w:sz w:val="22"/>
          <w:szCs w:val="22"/>
        </w:rPr>
        <w:t>liabilities</w:t>
      </w:r>
      <w:r w:rsidR="00425891" w:rsidRPr="00AE336C">
        <w:rPr>
          <w:rFonts w:ascii="Arial" w:hAnsi="Arial" w:cs="Arial"/>
          <w:sz w:val="22"/>
          <w:szCs w:val="22"/>
        </w:rPr>
        <w:t xml:space="preserve"> arise, without requiring a separate request and decision </w:t>
      </w:r>
      <w:r w:rsidR="005D5173" w:rsidRPr="00AE336C">
        <w:rPr>
          <w:rFonts w:ascii="Arial" w:hAnsi="Arial" w:cs="Arial"/>
          <w:sz w:val="22"/>
          <w:szCs w:val="22"/>
        </w:rPr>
        <w:t xml:space="preserve">to be made in relation to each particular taxpayer </w:t>
      </w:r>
      <w:r w:rsidR="00425891" w:rsidRPr="00AE336C">
        <w:rPr>
          <w:rFonts w:ascii="Arial" w:hAnsi="Arial" w:cs="Arial"/>
          <w:sz w:val="22"/>
          <w:szCs w:val="22"/>
        </w:rPr>
        <w:t xml:space="preserve">when </w:t>
      </w:r>
      <w:r w:rsidR="005D5173" w:rsidRPr="00AE336C">
        <w:rPr>
          <w:rFonts w:ascii="Arial" w:hAnsi="Arial" w:cs="Arial"/>
          <w:sz w:val="22"/>
          <w:szCs w:val="22"/>
        </w:rPr>
        <w:t xml:space="preserve">a </w:t>
      </w:r>
      <w:r w:rsidR="00425891" w:rsidRPr="00AE336C">
        <w:rPr>
          <w:rFonts w:ascii="Arial" w:hAnsi="Arial" w:cs="Arial"/>
          <w:sz w:val="22"/>
          <w:szCs w:val="22"/>
        </w:rPr>
        <w:t>liability arises.</w:t>
      </w:r>
    </w:p>
    <w:p w14:paraId="242AB395" w14:textId="77777777" w:rsidR="001D5014" w:rsidRPr="00AE336C" w:rsidRDefault="001D5014" w:rsidP="00AE336C">
      <w:pPr>
        <w:spacing w:after="120"/>
        <w:rPr>
          <w:rFonts w:ascii="Arial" w:hAnsi="Arial" w:cs="Arial"/>
          <w:sz w:val="22"/>
          <w:szCs w:val="22"/>
        </w:rPr>
      </w:pPr>
      <w:bookmarkStart w:id="7" w:name="_Hlk132198819"/>
    </w:p>
    <w:p w14:paraId="15382310" w14:textId="77777777" w:rsidR="001D5014" w:rsidRPr="00AE336C" w:rsidRDefault="001D5014" w:rsidP="00AE336C">
      <w:pPr>
        <w:pStyle w:val="Heading2"/>
      </w:pPr>
      <w:r w:rsidRPr="00AE336C">
        <w:t>Human rights implications</w:t>
      </w:r>
    </w:p>
    <w:p w14:paraId="08D3F093" w14:textId="56D4C334" w:rsidR="00485C64" w:rsidRPr="00AE336C" w:rsidRDefault="00485C64" w:rsidP="00AE336C">
      <w:pPr>
        <w:autoSpaceDE w:val="0"/>
        <w:autoSpaceDN w:val="0"/>
        <w:adjustRightInd w:val="0"/>
        <w:spacing w:after="120"/>
        <w:rPr>
          <w:rFonts w:ascii="Arial" w:hAnsi="Arial" w:cs="Arial"/>
          <w:sz w:val="22"/>
          <w:szCs w:val="22"/>
        </w:rPr>
      </w:pPr>
      <w:r w:rsidRPr="00AE336C">
        <w:rPr>
          <w:rFonts w:ascii="Arial" w:hAnsi="Arial" w:cs="Arial"/>
          <w:sz w:val="22"/>
          <w:szCs w:val="22"/>
        </w:rPr>
        <w:t xml:space="preserve">This </w:t>
      </w:r>
      <w:r w:rsidR="005D5173" w:rsidRPr="00AE336C">
        <w:rPr>
          <w:rFonts w:ascii="Arial" w:hAnsi="Arial" w:cs="Arial"/>
          <w:sz w:val="22"/>
          <w:szCs w:val="22"/>
        </w:rPr>
        <w:t>l</w:t>
      </w:r>
      <w:r w:rsidRPr="00AE336C">
        <w:rPr>
          <w:rFonts w:ascii="Arial" w:hAnsi="Arial" w:cs="Arial"/>
          <w:sz w:val="22"/>
          <w:szCs w:val="22"/>
        </w:rPr>
        <w:t xml:space="preserve">egislative </w:t>
      </w:r>
      <w:r w:rsidR="005D5173" w:rsidRPr="00AE336C">
        <w:rPr>
          <w:rFonts w:ascii="Arial" w:hAnsi="Arial" w:cs="Arial"/>
          <w:sz w:val="22"/>
          <w:szCs w:val="22"/>
        </w:rPr>
        <w:t>i</w:t>
      </w:r>
      <w:r w:rsidRPr="00AE336C">
        <w:rPr>
          <w:rFonts w:ascii="Arial" w:hAnsi="Arial" w:cs="Arial"/>
          <w:sz w:val="22"/>
          <w:szCs w:val="22"/>
        </w:rPr>
        <w:t>nstrument does not engage any of the applicable rights or freedoms.</w:t>
      </w:r>
    </w:p>
    <w:p w14:paraId="6FAA7EB0" w14:textId="77777777" w:rsidR="00485C64" w:rsidRPr="00AE336C" w:rsidRDefault="00485C64" w:rsidP="00AE336C">
      <w:pPr>
        <w:autoSpaceDE w:val="0"/>
        <w:autoSpaceDN w:val="0"/>
        <w:adjustRightInd w:val="0"/>
        <w:spacing w:after="120"/>
        <w:rPr>
          <w:rFonts w:ascii="Arial" w:hAnsi="Arial" w:cs="Arial"/>
          <w:sz w:val="22"/>
          <w:szCs w:val="22"/>
        </w:rPr>
      </w:pPr>
    </w:p>
    <w:p w14:paraId="25D24F8D" w14:textId="77777777" w:rsidR="001D5014" w:rsidRPr="00AE336C" w:rsidRDefault="001D5014" w:rsidP="00AE336C">
      <w:pPr>
        <w:pStyle w:val="Heading2"/>
      </w:pPr>
      <w:r w:rsidRPr="00AE336C">
        <w:t>Conclusion</w:t>
      </w:r>
    </w:p>
    <w:p w14:paraId="15AC1BC3" w14:textId="40636257" w:rsidR="0076271C" w:rsidRPr="00AE336C" w:rsidRDefault="001D5014" w:rsidP="00AE336C">
      <w:pPr>
        <w:spacing w:after="120"/>
        <w:rPr>
          <w:rFonts w:ascii="Arial" w:hAnsi="Arial" w:cs="Arial"/>
          <w:sz w:val="22"/>
          <w:szCs w:val="22"/>
        </w:rPr>
      </w:pPr>
      <w:r w:rsidRPr="00AE336C">
        <w:rPr>
          <w:rFonts w:ascii="Arial" w:hAnsi="Arial" w:cs="Arial"/>
          <w:sz w:val="22"/>
          <w:szCs w:val="22"/>
        </w:rPr>
        <w:t xml:space="preserve">This </w:t>
      </w:r>
      <w:r w:rsidR="005D5173" w:rsidRPr="00AE336C">
        <w:rPr>
          <w:rFonts w:ascii="Arial" w:hAnsi="Arial" w:cs="Arial"/>
          <w:sz w:val="22"/>
          <w:szCs w:val="22"/>
        </w:rPr>
        <w:t>l</w:t>
      </w:r>
      <w:r w:rsidRPr="00AE336C">
        <w:rPr>
          <w:rFonts w:ascii="Arial" w:hAnsi="Arial" w:cs="Arial"/>
          <w:sz w:val="22"/>
          <w:szCs w:val="22"/>
        </w:rPr>
        <w:t xml:space="preserve">egislative </w:t>
      </w:r>
      <w:r w:rsidR="005D5173" w:rsidRPr="00AE336C">
        <w:rPr>
          <w:rFonts w:ascii="Arial" w:hAnsi="Arial" w:cs="Arial"/>
          <w:sz w:val="22"/>
          <w:szCs w:val="22"/>
        </w:rPr>
        <w:t>i</w:t>
      </w:r>
      <w:r w:rsidRPr="00AE336C">
        <w:rPr>
          <w:rFonts w:ascii="Arial" w:hAnsi="Arial" w:cs="Arial"/>
          <w:sz w:val="22"/>
          <w:szCs w:val="22"/>
        </w:rPr>
        <w:t xml:space="preserve">nstrument is compatible with human rights because it </w:t>
      </w:r>
      <w:r w:rsidR="005D5173" w:rsidRPr="00AE336C">
        <w:rPr>
          <w:rFonts w:ascii="Arial" w:hAnsi="Arial" w:cs="Arial"/>
          <w:sz w:val="22"/>
          <w:szCs w:val="22"/>
        </w:rPr>
        <w:t xml:space="preserve">is wholly beneficial for taxpayers and </w:t>
      </w:r>
      <w:r w:rsidR="00485C64" w:rsidRPr="00AE336C">
        <w:rPr>
          <w:rFonts w:ascii="Arial" w:hAnsi="Arial" w:cs="Arial"/>
          <w:sz w:val="22"/>
          <w:szCs w:val="22"/>
        </w:rPr>
        <w:t>does not raise any human rights issues.</w:t>
      </w:r>
      <w:bookmarkEnd w:id="7"/>
    </w:p>
    <w:sectPr w:rsidR="0076271C" w:rsidRPr="00AE336C" w:rsidSect="00226F99">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361" w:left="99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18AE" w14:textId="77777777" w:rsidR="00B97F0D" w:rsidRDefault="00B97F0D">
      <w:r>
        <w:separator/>
      </w:r>
    </w:p>
  </w:endnote>
  <w:endnote w:type="continuationSeparator" w:id="0">
    <w:p w14:paraId="1403C61F" w14:textId="77777777" w:rsidR="00B97F0D" w:rsidRDefault="00B97F0D">
      <w:r>
        <w:continuationSeparator/>
      </w:r>
    </w:p>
  </w:endnote>
  <w:endnote w:type="continuationNotice" w:id="1">
    <w:p w14:paraId="3E76A926" w14:textId="77777777" w:rsidR="00B97F0D" w:rsidRDefault="00B9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333E" w14:textId="77777777" w:rsidR="00771872" w:rsidRDefault="00771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DC44" w14:textId="77777777" w:rsidR="00771872" w:rsidRDefault="00771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E0D2" w14:textId="77777777" w:rsidR="00771872" w:rsidRDefault="0077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0624" w14:textId="77777777" w:rsidR="00B97F0D" w:rsidRDefault="00B97F0D">
      <w:r>
        <w:separator/>
      </w:r>
    </w:p>
  </w:footnote>
  <w:footnote w:type="continuationSeparator" w:id="0">
    <w:p w14:paraId="6AACC8A9" w14:textId="77777777" w:rsidR="00B97F0D" w:rsidRDefault="00B97F0D">
      <w:r>
        <w:continuationSeparator/>
      </w:r>
    </w:p>
  </w:footnote>
  <w:footnote w:type="continuationNotice" w:id="1">
    <w:p w14:paraId="31AD2E84" w14:textId="77777777" w:rsidR="00B97F0D" w:rsidRDefault="00B97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87DA" w14:textId="77777777" w:rsidR="00771872" w:rsidRDefault="00771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22B8" w14:textId="77777777" w:rsidR="00771872" w:rsidRDefault="00771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BF611D" w:rsidRDefault="00BF611D" w:rsidP="001828A4">
    <w:pPr>
      <w:pStyle w:val="Header"/>
      <w:tabs>
        <w:tab w:val="clear" w:pos="4153"/>
        <w:tab w:val="clear" w:pos="8306"/>
      </w:tabs>
      <w:rPr>
        <w:rFonts w:ascii="Arial" w:hAnsi="Arial" w:cs="Arial"/>
        <w:sz w:val="20"/>
      </w:rPr>
    </w:pPr>
    <w:r>
      <w:rPr>
        <w:noProof/>
      </w:rPr>
      <w:drawing>
        <wp:inline distT="0" distB="0" distL="0" distR="0" wp14:anchorId="15AC1BD1" wp14:editId="69AB770B">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0F891CE2" w:rsidR="00BF611D" w:rsidRPr="001A6644" w:rsidRDefault="00BF611D"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1272"/>
    <w:multiLevelType w:val="hybridMultilevel"/>
    <w:tmpl w:val="A42CD2B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1817A3"/>
    <w:multiLevelType w:val="hybridMultilevel"/>
    <w:tmpl w:val="A42CD2B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CC3903"/>
    <w:multiLevelType w:val="hybridMultilevel"/>
    <w:tmpl w:val="E4925800"/>
    <w:lvl w:ilvl="0" w:tplc="71346AD4">
      <w:start w:val="1"/>
      <w:numFmt w:val="decimal"/>
      <w:lvlText w:val="%1."/>
      <w:lvlJc w:val="left"/>
      <w:pPr>
        <w:tabs>
          <w:tab w:val="num" w:pos="360"/>
        </w:tabs>
        <w:ind w:left="360" w:hanging="360"/>
      </w:pPr>
      <w:rPr>
        <w:rFonts w:ascii="Arial" w:hAnsi="Arial" w:cs="Arial" w:hint="default"/>
        <w:b w:val="0"/>
        <w:bCs w:val="0"/>
        <w:color w:val="auto"/>
        <w:sz w:val="22"/>
        <w:szCs w:val="22"/>
      </w:rPr>
    </w:lvl>
    <w:lvl w:ilvl="1" w:tplc="8786BFA6">
      <w:start w:val="1"/>
      <w:numFmt w:val="lowerRoman"/>
      <w:lvlText w:val="%2)"/>
      <w:lvlJc w:val="left"/>
      <w:pPr>
        <w:tabs>
          <w:tab w:val="num" w:pos="1440"/>
        </w:tabs>
        <w:ind w:left="1440" w:hanging="360"/>
      </w:pPr>
      <w:rPr>
        <w:rFonts w:ascii="Arial" w:eastAsia="Times New Roman" w:hAnsi="Arial" w:cs="Arial"/>
        <w:color w:val="auto"/>
        <w:sz w:val="22"/>
        <w:szCs w:val="22"/>
      </w:rPr>
    </w:lvl>
    <w:lvl w:ilvl="2" w:tplc="C2ACD91E">
      <w:start w:val="1"/>
      <w:numFmt w:val="lowerLetter"/>
      <w:lvlText w:val="(%3)"/>
      <w:lvlJc w:val="left"/>
      <w:pPr>
        <w:tabs>
          <w:tab w:val="num" w:pos="2340"/>
        </w:tabs>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C185013"/>
    <w:multiLevelType w:val="hybridMultilevel"/>
    <w:tmpl w:val="A42CD2B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5203E3"/>
    <w:multiLevelType w:val="hybridMultilevel"/>
    <w:tmpl w:val="A42CD2BA"/>
    <w:lvl w:ilvl="0" w:tplc="C2ACD91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12ED"/>
    <w:rsid w:val="00002B3C"/>
    <w:rsid w:val="00007C4F"/>
    <w:rsid w:val="000117B2"/>
    <w:rsid w:val="000157E3"/>
    <w:rsid w:val="000169CB"/>
    <w:rsid w:val="000171C3"/>
    <w:rsid w:val="000174C6"/>
    <w:rsid w:val="0001796D"/>
    <w:rsid w:val="00017BF0"/>
    <w:rsid w:val="0002333E"/>
    <w:rsid w:val="0002568B"/>
    <w:rsid w:val="00026C10"/>
    <w:rsid w:val="0002760B"/>
    <w:rsid w:val="000277D7"/>
    <w:rsid w:val="00037BD0"/>
    <w:rsid w:val="000425CF"/>
    <w:rsid w:val="00043FA7"/>
    <w:rsid w:val="00050FE8"/>
    <w:rsid w:val="00053FA9"/>
    <w:rsid w:val="000552E8"/>
    <w:rsid w:val="00055666"/>
    <w:rsid w:val="00056101"/>
    <w:rsid w:val="00056585"/>
    <w:rsid w:val="0005674F"/>
    <w:rsid w:val="00060B12"/>
    <w:rsid w:val="00062321"/>
    <w:rsid w:val="00065C6E"/>
    <w:rsid w:val="0007078B"/>
    <w:rsid w:val="00072E6E"/>
    <w:rsid w:val="00073F1B"/>
    <w:rsid w:val="00075B58"/>
    <w:rsid w:val="00081520"/>
    <w:rsid w:val="00085384"/>
    <w:rsid w:val="00086BAC"/>
    <w:rsid w:val="00096C6B"/>
    <w:rsid w:val="000A16C8"/>
    <w:rsid w:val="000B11DD"/>
    <w:rsid w:val="000B1785"/>
    <w:rsid w:val="000B35F6"/>
    <w:rsid w:val="000C390A"/>
    <w:rsid w:val="000C3DA5"/>
    <w:rsid w:val="000C77DD"/>
    <w:rsid w:val="000D6444"/>
    <w:rsid w:val="000D6EE3"/>
    <w:rsid w:val="000D74DF"/>
    <w:rsid w:val="000E295B"/>
    <w:rsid w:val="000E4271"/>
    <w:rsid w:val="000E45A0"/>
    <w:rsid w:val="000E53F8"/>
    <w:rsid w:val="000E75F4"/>
    <w:rsid w:val="000F69DF"/>
    <w:rsid w:val="001018CD"/>
    <w:rsid w:val="00101CD5"/>
    <w:rsid w:val="00102463"/>
    <w:rsid w:val="00107460"/>
    <w:rsid w:val="00110406"/>
    <w:rsid w:val="001104D9"/>
    <w:rsid w:val="00112415"/>
    <w:rsid w:val="0011291F"/>
    <w:rsid w:val="00116A16"/>
    <w:rsid w:val="0012066D"/>
    <w:rsid w:val="0012693E"/>
    <w:rsid w:val="00132DE4"/>
    <w:rsid w:val="00133A2E"/>
    <w:rsid w:val="001358C0"/>
    <w:rsid w:val="0013678D"/>
    <w:rsid w:val="001371EE"/>
    <w:rsid w:val="00140A34"/>
    <w:rsid w:val="00143E50"/>
    <w:rsid w:val="00145001"/>
    <w:rsid w:val="00145E6F"/>
    <w:rsid w:val="001462FF"/>
    <w:rsid w:val="00146ED8"/>
    <w:rsid w:val="00152C10"/>
    <w:rsid w:val="00156C3C"/>
    <w:rsid w:val="00167202"/>
    <w:rsid w:val="00170D1D"/>
    <w:rsid w:val="00173BF7"/>
    <w:rsid w:val="00173E97"/>
    <w:rsid w:val="00174534"/>
    <w:rsid w:val="001757BD"/>
    <w:rsid w:val="001828A4"/>
    <w:rsid w:val="001962BB"/>
    <w:rsid w:val="001A30D4"/>
    <w:rsid w:val="001A3BE2"/>
    <w:rsid w:val="001B746B"/>
    <w:rsid w:val="001C0275"/>
    <w:rsid w:val="001C2813"/>
    <w:rsid w:val="001C35E7"/>
    <w:rsid w:val="001C40E7"/>
    <w:rsid w:val="001C4578"/>
    <w:rsid w:val="001D02E6"/>
    <w:rsid w:val="001D07E0"/>
    <w:rsid w:val="001D2CBD"/>
    <w:rsid w:val="001D5014"/>
    <w:rsid w:val="001E79CD"/>
    <w:rsid w:val="001F0184"/>
    <w:rsid w:val="001F28A6"/>
    <w:rsid w:val="001F2A16"/>
    <w:rsid w:val="001F6921"/>
    <w:rsid w:val="001F7C3E"/>
    <w:rsid w:val="00201969"/>
    <w:rsid w:val="00206006"/>
    <w:rsid w:val="0021222C"/>
    <w:rsid w:val="00213FA5"/>
    <w:rsid w:val="0021496E"/>
    <w:rsid w:val="00220680"/>
    <w:rsid w:val="002222D0"/>
    <w:rsid w:val="00222AFB"/>
    <w:rsid w:val="00226F99"/>
    <w:rsid w:val="0022785C"/>
    <w:rsid w:val="00232E48"/>
    <w:rsid w:val="002330A7"/>
    <w:rsid w:val="002370E4"/>
    <w:rsid w:val="0023724E"/>
    <w:rsid w:val="0023733A"/>
    <w:rsid w:val="0024044F"/>
    <w:rsid w:val="00240CFB"/>
    <w:rsid w:val="002428F9"/>
    <w:rsid w:val="00245D00"/>
    <w:rsid w:val="002462B4"/>
    <w:rsid w:val="00251865"/>
    <w:rsid w:val="00253F2E"/>
    <w:rsid w:val="00257F2D"/>
    <w:rsid w:val="002628F6"/>
    <w:rsid w:val="00262F9F"/>
    <w:rsid w:val="00264571"/>
    <w:rsid w:val="00264CF0"/>
    <w:rsid w:val="00266D2D"/>
    <w:rsid w:val="0027331F"/>
    <w:rsid w:val="00280913"/>
    <w:rsid w:val="0028102C"/>
    <w:rsid w:val="00283838"/>
    <w:rsid w:val="00285E76"/>
    <w:rsid w:val="0029358D"/>
    <w:rsid w:val="00293651"/>
    <w:rsid w:val="00294777"/>
    <w:rsid w:val="002949C3"/>
    <w:rsid w:val="00296ABB"/>
    <w:rsid w:val="002A00C6"/>
    <w:rsid w:val="002A10A4"/>
    <w:rsid w:val="002A26FE"/>
    <w:rsid w:val="002A2BCF"/>
    <w:rsid w:val="002A5D49"/>
    <w:rsid w:val="002B083B"/>
    <w:rsid w:val="002B1423"/>
    <w:rsid w:val="002B19FA"/>
    <w:rsid w:val="002B22CA"/>
    <w:rsid w:val="002B2362"/>
    <w:rsid w:val="002C174D"/>
    <w:rsid w:val="002C5ED5"/>
    <w:rsid w:val="002D07AB"/>
    <w:rsid w:val="002F1257"/>
    <w:rsid w:val="002F1265"/>
    <w:rsid w:val="002F2751"/>
    <w:rsid w:val="00302307"/>
    <w:rsid w:val="00310C61"/>
    <w:rsid w:val="00316691"/>
    <w:rsid w:val="003171B3"/>
    <w:rsid w:val="0032559D"/>
    <w:rsid w:val="003312C2"/>
    <w:rsid w:val="00331616"/>
    <w:rsid w:val="00331791"/>
    <w:rsid w:val="003334E5"/>
    <w:rsid w:val="00333567"/>
    <w:rsid w:val="003363DF"/>
    <w:rsid w:val="0033748E"/>
    <w:rsid w:val="0033772C"/>
    <w:rsid w:val="00341516"/>
    <w:rsid w:val="00344575"/>
    <w:rsid w:val="00350F01"/>
    <w:rsid w:val="0035113C"/>
    <w:rsid w:val="00354525"/>
    <w:rsid w:val="00363119"/>
    <w:rsid w:val="00363472"/>
    <w:rsid w:val="00374385"/>
    <w:rsid w:val="00375FED"/>
    <w:rsid w:val="00376B56"/>
    <w:rsid w:val="003804FA"/>
    <w:rsid w:val="00380CC4"/>
    <w:rsid w:val="003843A4"/>
    <w:rsid w:val="00392BE1"/>
    <w:rsid w:val="00393246"/>
    <w:rsid w:val="0039345C"/>
    <w:rsid w:val="00393EC1"/>
    <w:rsid w:val="003A197F"/>
    <w:rsid w:val="003A4804"/>
    <w:rsid w:val="003A5D6F"/>
    <w:rsid w:val="003B02DA"/>
    <w:rsid w:val="003B689D"/>
    <w:rsid w:val="003C0686"/>
    <w:rsid w:val="003C36EC"/>
    <w:rsid w:val="003C5A9F"/>
    <w:rsid w:val="003D08CF"/>
    <w:rsid w:val="003D0CBA"/>
    <w:rsid w:val="003D0F6A"/>
    <w:rsid w:val="003D1904"/>
    <w:rsid w:val="003D229E"/>
    <w:rsid w:val="003D4A1C"/>
    <w:rsid w:val="003D4BA8"/>
    <w:rsid w:val="003D6A38"/>
    <w:rsid w:val="003E5269"/>
    <w:rsid w:val="003E660A"/>
    <w:rsid w:val="003E7C40"/>
    <w:rsid w:val="003F4D89"/>
    <w:rsid w:val="003F6122"/>
    <w:rsid w:val="004033DC"/>
    <w:rsid w:val="00405394"/>
    <w:rsid w:val="00405745"/>
    <w:rsid w:val="004066E4"/>
    <w:rsid w:val="0040680B"/>
    <w:rsid w:val="00407361"/>
    <w:rsid w:val="004166E4"/>
    <w:rsid w:val="00417AC8"/>
    <w:rsid w:val="00417C55"/>
    <w:rsid w:val="004201E3"/>
    <w:rsid w:val="00424A7B"/>
    <w:rsid w:val="00425891"/>
    <w:rsid w:val="00436764"/>
    <w:rsid w:val="00443770"/>
    <w:rsid w:val="0044447B"/>
    <w:rsid w:val="004447C1"/>
    <w:rsid w:val="00446AA8"/>
    <w:rsid w:val="0045052D"/>
    <w:rsid w:val="0045344A"/>
    <w:rsid w:val="00453EFF"/>
    <w:rsid w:val="0045590D"/>
    <w:rsid w:val="00456BC0"/>
    <w:rsid w:val="0046211F"/>
    <w:rsid w:val="0046787B"/>
    <w:rsid w:val="0047178C"/>
    <w:rsid w:val="00471C44"/>
    <w:rsid w:val="00473558"/>
    <w:rsid w:val="004742DB"/>
    <w:rsid w:val="00475349"/>
    <w:rsid w:val="00475F82"/>
    <w:rsid w:val="00476AAD"/>
    <w:rsid w:val="00481C69"/>
    <w:rsid w:val="00485C64"/>
    <w:rsid w:val="00486653"/>
    <w:rsid w:val="0049214D"/>
    <w:rsid w:val="00493CA7"/>
    <w:rsid w:val="004964DA"/>
    <w:rsid w:val="004A3C58"/>
    <w:rsid w:val="004A40F8"/>
    <w:rsid w:val="004A5FDA"/>
    <w:rsid w:val="004A6165"/>
    <w:rsid w:val="004A7C36"/>
    <w:rsid w:val="004B74F6"/>
    <w:rsid w:val="004B7A1B"/>
    <w:rsid w:val="004C6084"/>
    <w:rsid w:val="004D098C"/>
    <w:rsid w:val="004D1630"/>
    <w:rsid w:val="004D24A9"/>
    <w:rsid w:val="004D2B95"/>
    <w:rsid w:val="004D3C5A"/>
    <w:rsid w:val="004D41FE"/>
    <w:rsid w:val="004D6761"/>
    <w:rsid w:val="004E1FA9"/>
    <w:rsid w:val="004E1FB3"/>
    <w:rsid w:val="004E37BD"/>
    <w:rsid w:val="004E5357"/>
    <w:rsid w:val="004E543B"/>
    <w:rsid w:val="004E6258"/>
    <w:rsid w:val="004E65F1"/>
    <w:rsid w:val="004E703C"/>
    <w:rsid w:val="004F266E"/>
    <w:rsid w:val="004F34DF"/>
    <w:rsid w:val="004F4A07"/>
    <w:rsid w:val="004F5EB1"/>
    <w:rsid w:val="004F6887"/>
    <w:rsid w:val="004F6909"/>
    <w:rsid w:val="004F77B0"/>
    <w:rsid w:val="005030AD"/>
    <w:rsid w:val="00506968"/>
    <w:rsid w:val="005074D8"/>
    <w:rsid w:val="0051123C"/>
    <w:rsid w:val="0051249C"/>
    <w:rsid w:val="005150D9"/>
    <w:rsid w:val="005176E7"/>
    <w:rsid w:val="00520330"/>
    <w:rsid w:val="0052060C"/>
    <w:rsid w:val="0052084C"/>
    <w:rsid w:val="00522796"/>
    <w:rsid w:val="00524B6B"/>
    <w:rsid w:val="00526403"/>
    <w:rsid w:val="00526C58"/>
    <w:rsid w:val="0053196A"/>
    <w:rsid w:val="00531B73"/>
    <w:rsid w:val="00537270"/>
    <w:rsid w:val="00537557"/>
    <w:rsid w:val="00537B88"/>
    <w:rsid w:val="005413EE"/>
    <w:rsid w:val="00541683"/>
    <w:rsid w:val="005426E0"/>
    <w:rsid w:val="00547231"/>
    <w:rsid w:val="00555542"/>
    <w:rsid w:val="005563B3"/>
    <w:rsid w:val="00557D20"/>
    <w:rsid w:val="00561184"/>
    <w:rsid w:val="00561ED1"/>
    <w:rsid w:val="00563674"/>
    <w:rsid w:val="00570E98"/>
    <w:rsid w:val="00572416"/>
    <w:rsid w:val="00572D44"/>
    <w:rsid w:val="005767F8"/>
    <w:rsid w:val="00577FC3"/>
    <w:rsid w:val="005863FA"/>
    <w:rsid w:val="00587443"/>
    <w:rsid w:val="00587C50"/>
    <w:rsid w:val="00587ED3"/>
    <w:rsid w:val="00590458"/>
    <w:rsid w:val="005917F3"/>
    <w:rsid w:val="00591915"/>
    <w:rsid w:val="0059513F"/>
    <w:rsid w:val="005A14A6"/>
    <w:rsid w:val="005A6745"/>
    <w:rsid w:val="005A6CFE"/>
    <w:rsid w:val="005B0ACD"/>
    <w:rsid w:val="005B2DE4"/>
    <w:rsid w:val="005B33D3"/>
    <w:rsid w:val="005B50A2"/>
    <w:rsid w:val="005B586C"/>
    <w:rsid w:val="005B6CDF"/>
    <w:rsid w:val="005B722B"/>
    <w:rsid w:val="005B754B"/>
    <w:rsid w:val="005C0327"/>
    <w:rsid w:val="005C3408"/>
    <w:rsid w:val="005C768C"/>
    <w:rsid w:val="005D0A44"/>
    <w:rsid w:val="005D0A8F"/>
    <w:rsid w:val="005D4DFA"/>
    <w:rsid w:val="005D5173"/>
    <w:rsid w:val="005D611B"/>
    <w:rsid w:val="005E1AAA"/>
    <w:rsid w:val="005F1ACE"/>
    <w:rsid w:val="005F256D"/>
    <w:rsid w:val="005F5562"/>
    <w:rsid w:val="00600AC2"/>
    <w:rsid w:val="0060183A"/>
    <w:rsid w:val="00601BEB"/>
    <w:rsid w:val="00603110"/>
    <w:rsid w:val="00605A3A"/>
    <w:rsid w:val="00611C8E"/>
    <w:rsid w:val="00613B92"/>
    <w:rsid w:val="0061536F"/>
    <w:rsid w:val="006153F9"/>
    <w:rsid w:val="0062135D"/>
    <w:rsid w:val="00627E39"/>
    <w:rsid w:val="006302F7"/>
    <w:rsid w:val="00631F30"/>
    <w:rsid w:val="00633180"/>
    <w:rsid w:val="00635398"/>
    <w:rsid w:val="00640CC2"/>
    <w:rsid w:val="00642420"/>
    <w:rsid w:val="00646158"/>
    <w:rsid w:val="00647C42"/>
    <w:rsid w:val="006513F4"/>
    <w:rsid w:val="00652C99"/>
    <w:rsid w:val="00660DAD"/>
    <w:rsid w:val="00665D36"/>
    <w:rsid w:val="00665E40"/>
    <w:rsid w:val="0066622C"/>
    <w:rsid w:val="00666487"/>
    <w:rsid w:val="00673B37"/>
    <w:rsid w:val="00683F76"/>
    <w:rsid w:val="00684351"/>
    <w:rsid w:val="00687645"/>
    <w:rsid w:val="00687BFD"/>
    <w:rsid w:val="006904C5"/>
    <w:rsid w:val="00692284"/>
    <w:rsid w:val="006945EA"/>
    <w:rsid w:val="00697AE0"/>
    <w:rsid w:val="006A00FF"/>
    <w:rsid w:val="006A17E2"/>
    <w:rsid w:val="006A5250"/>
    <w:rsid w:val="006B5470"/>
    <w:rsid w:val="006B78C5"/>
    <w:rsid w:val="006D0138"/>
    <w:rsid w:val="006D4AA1"/>
    <w:rsid w:val="006D6F52"/>
    <w:rsid w:val="006E6E79"/>
    <w:rsid w:val="006F047F"/>
    <w:rsid w:val="006F4253"/>
    <w:rsid w:val="006F46B8"/>
    <w:rsid w:val="006F46EE"/>
    <w:rsid w:val="00701718"/>
    <w:rsid w:val="00701B15"/>
    <w:rsid w:val="007022F5"/>
    <w:rsid w:val="0070467E"/>
    <w:rsid w:val="00710359"/>
    <w:rsid w:val="00712FFF"/>
    <w:rsid w:val="00722D05"/>
    <w:rsid w:val="00722DBF"/>
    <w:rsid w:val="00732082"/>
    <w:rsid w:val="00735157"/>
    <w:rsid w:val="0074158A"/>
    <w:rsid w:val="00743353"/>
    <w:rsid w:val="007540B0"/>
    <w:rsid w:val="00754B2C"/>
    <w:rsid w:val="007551AC"/>
    <w:rsid w:val="00757255"/>
    <w:rsid w:val="00757B0D"/>
    <w:rsid w:val="0076271C"/>
    <w:rsid w:val="00767764"/>
    <w:rsid w:val="00767CE8"/>
    <w:rsid w:val="00771872"/>
    <w:rsid w:val="00774B12"/>
    <w:rsid w:val="00775490"/>
    <w:rsid w:val="00781F67"/>
    <w:rsid w:val="00794284"/>
    <w:rsid w:val="00795D0C"/>
    <w:rsid w:val="0079643F"/>
    <w:rsid w:val="00797F42"/>
    <w:rsid w:val="007A478E"/>
    <w:rsid w:val="007A55BA"/>
    <w:rsid w:val="007B357B"/>
    <w:rsid w:val="007B46D8"/>
    <w:rsid w:val="007B4960"/>
    <w:rsid w:val="007B6A49"/>
    <w:rsid w:val="007C1FBD"/>
    <w:rsid w:val="007C54B3"/>
    <w:rsid w:val="007C5C8E"/>
    <w:rsid w:val="007C6E3F"/>
    <w:rsid w:val="007C76AD"/>
    <w:rsid w:val="007D3461"/>
    <w:rsid w:val="007D6CBB"/>
    <w:rsid w:val="007E0A01"/>
    <w:rsid w:val="007E22F5"/>
    <w:rsid w:val="007E286F"/>
    <w:rsid w:val="007E5094"/>
    <w:rsid w:val="007F23EC"/>
    <w:rsid w:val="007F25F3"/>
    <w:rsid w:val="007F366B"/>
    <w:rsid w:val="007F4837"/>
    <w:rsid w:val="007F4901"/>
    <w:rsid w:val="007F68B7"/>
    <w:rsid w:val="007F7C39"/>
    <w:rsid w:val="008109D8"/>
    <w:rsid w:val="00811518"/>
    <w:rsid w:val="008250A6"/>
    <w:rsid w:val="008266A8"/>
    <w:rsid w:val="00826DEB"/>
    <w:rsid w:val="00831BE8"/>
    <w:rsid w:val="008327AF"/>
    <w:rsid w:val="00832A78"/>
    <w:rsid w:val="00833E98"/>
    <w:rsid w:val="00834C5B"/>
    <w:rsid w:val="00836B02"/>
    <w:rsid w:val="00843286"/>
    <w:rsid w:val="008467D4"/>
    <w:rsid w:val="0084740D"/>
    <w:rsid w:val="00847C9B"/>
    <w:rsid w:val="00850FB0"/>
    <w:rsid w:val="0085238E"/>
    <w:rsid w:val="00853428"/>
    <w:rsid w:val="008540EA"/>
    <w:rsid w:val="00856870"/>
    <w:rsid w:val="00862731"/>
    <w:rsid w:val="0086354A"/>
    <w:rsid w:val="00866A00"/>
    <w:rsid w:val="008702A6"/>
    <w:rsid w:val="00874833"/>
    <w:rsid w:val="008757CE"/>
    <w:rsid w:val="00875B39"/>
    <w:rsid w:val="008801A1"/>
    <w:rsid w:val="0088392C"/>
    <w:rsid w:val="008846B5"/>
    <w:rsid w:val="0088506B"/>
    <w:rsid w:val="00886638"/>
    <w:rsid w:val="00896649"/>
    <w:rsid w:val="00897C0E"/>
    <w:rsid w:val="00897E31"/>
    <w:rsid w:val="008A0218"/>
    <w:rsid w:val="008A046F"/>
    <w:rsid w:val="008A34E4"/>
    <w:rsid w:val="008A405A"/>
    <w:rsid w:val="008A6A6A"/>
    <w:rsid w:val="008B5F3A"/>
    <w:rsid w:val="008B650A"/>
    <w:rsid w:val="008B695F"/>
    <w:rsid w:val="008B787C"/>
    <w:rsid w:val="008C3898"/>
    <w:rsid w:val="008C6090"/>
    <w:rsid w:val="008C66CC"/>
    <w:rsid w:val="008C7F33"/>
    <w:rsid w:val="008D2A0C"/>
    <w:rsid w:val="008D3566"/>
    <w:rsid w:val="008E4835"/>
    <w:rsid w:val="008E6766"/>
    <w:rsid w:val="008E6FB3"/>
    <w:rsid w:val="008E779A"/>
    <w:rsid w:val="008F1B2B"/>
    <w:rsid w:val="008F483C"/>
    <w:rsid w:val="00903C98"/>
    <w:rsid w:val="0090717D"/>
    <w:rsid w:val="00910595"/>
    <w:rsid w:val="00910756"/>
    <w:rsid w:val="00912D61"/>
    <w:rsid w:val="009156FF"/>
    <w:rsid w:val="00916F7E"/>
    <w:rsid w:val="0092039A"/>
    <w:rsid w:val="009322D7"/>
    <w:rsid w:val="00932BDE"/>
    <w:rsid w:val="00934905"/>
    <w:rsid w:val="00936A72"/>
    <w:rsid w:val="00936E3E"/>
    <w:rsid w:val="009371D0"/>
    <w:rsid w:val="00940C61"/>
    <w:rsid w:val="00941005"/>
    <w:rsid w:val="009422DF"/>
    <w:rsid w:val="00947593"/>
    <w:rsid w:val="009521EA"/>
    <w:rsid w:val="009525FB"/>
    <w:rsid w:val="00953B60"/>
    <w:rsid w:val="009546B2"/>
    <w:rsid w:val="00955A54"/>
    <w:rsid w:val="0096020B"/>
    <w:rsid w:val="00960E98"/>
    <w:rsid w:val="00960FB7"/>
    <w:rsid w:val="00962782"/>
    <w:rsid w:val="00967725"/>
    <w:rsid w:val="00971605"/>
    <w:rsid w:val="00976A07"/>
    <w:rsid w:val="0097765F"/>
    <w:rsid w:val="00980AA4"/>
    <w:rsid w:val="0098195F"/>
    <w:rsid w:val="009902F8"/>
    <w:rsid w:val="00990E4C"/>
    <w:rsid w:val="009919F4"/>
    <w:rsid w:val="00993BB8"/>
    <w:rsid w:val="0099555F"/>
    <w:rsid w:val="009A1203"/>
    <w:rsid w:val="009A22A1"/>
    <w:rsid w:val="009A3382"/>
    <w:rsid w:val="009A4137"/>
    <w:rsid w:val="009A69AB"/>
    <w:rsid w:val="009B235D"/>
    <w:rsid w:val="009B2FB4"/>
    <w:rsid w:val="009B307B"/>
    <w:rsid w:val="009B3A1B"/>
    <w:rsid w:val="009B4DDE"/>
    <w:rsid w:val="009B6332"/>
    <w:rsid w:val="009C05FD"/>
    <w:rsid w:val="009C0912"/>
    <w:rsid w:val="009C1193"/>
    <w:rsid w:val="009C1996"/>
    <w:rsid w:val="009C1BF7"/>
    <w:rsid w:val="009C5E9F"/>
    <w:rsid w:val="009C617C"/>
    <w:rsid w:val="009C67CB"/>
    <w:rsid w:val="009C7443"/>
    <w:rsid w:val="009D0121"/>
    <w:rsid w:val="009D1021"/>
    <w:rsid w:val="009D158E"/>
    <w:rsid w:val="009D3312"/>
    <w:rsid w:val="009D6694"/>
    <w:rsid w:val="009D6AA4"/>
    <w:rsid w:val="009D7842"/>
    <w:rsid w:val="009E0E3F"/>
    <w:rsid w:val="009E101B"/>
    <w:rsid w:val="009E34B1"/>
    <w:rsid w:val="009E5BDB"/>
    <w:rsid w:val="009E60C5"/>
    <w:rsid w:val="009F0300"/>
    <w:rsid w:val="009F1D4A"/>
    <w:rsid w:val="009F6992"/>
    <w:rsid w:val="00A02439"/>
    <w:rsid w:val="00A03269"/>
    <w:rsid w:val="00A03393"/>
    <w:rsid w:val="00A16247"/>
    <w:rsid w:val="00A167A8"/>
    <w:rsid w:val="00A16D52"/>
    <w:rsid w:val="00A20A16"/>
    <w:rsid w:val="00A21F0A"/>
    <w:rsid w:val="00A242F4"/>
    <w:rsid w:val="00A26011"/>
    <w:rsid w:val="00A36362"/>
    <w:rsid w:val="00A37F71"/>
    <w:rsid w:val="00A444E5"/>
    <w:rsid w:val="00A506C2"/>
    <w:rsid w:val="00A51EF2"/>
    <w:rsid w:val="00A54BB0"/>
    <w:rsid w:val="00A607C7"/>
    <w:rsid w:val="00A62886"/>
    <w:rsid w:val="00A62EE2"/>
    <w:rsid w:val="00A74213"/>
    <w:rsid w:val="00A74C38"/>
    <w:rsid w:val="00A77D24"/>
    <w:rsid w:val="00A81834"/>
    <w:rsid w:val="00A8572F"/>
    <w:rsid w:val="00A86EAF"/>
    <w:rsid w:val="00A93E07"/>
    <w:rsid w:val="00A979CF"/>
    <w:rsid w:val="00AA279C"/>
    <w:rsid w:val="00AA3B18"/>
    <w:rsid w:val="00AA4DF8"/>
    <w:rsid w:val="00AA5FAB"/>
    <w:rsid w:val="00AB188E"/>
    <w:rsid w:val="00AB5568"/>
    <w:rsid w:val="00AB6E9C"/>
    <w:rsid w:val="00AB780C"/>
    <w:rsid w:val="00AC04EC"/>
    <w:rsid w:val="00AC10A7"/>
    <w:rsid w:val="00AC2448"/>
    <w:rsid w:val="00AC3446"/>
    <w:rsid w:val="00AC56C8"/>
    <w:rsid w:val="00AD0B0B"/>
    <w:rsid w:val="00AD5ADE"/>
    <w:rsid w:val="00AE336C"/>
    <w:rsid w:val="00AE7138"/>
    <w:rsid w:val="00AF4CAF"/>
    <w:rsid w:val="00B001FC"/>
    <w:rsid w:val="00B117BA"/>
    <w:rsid w:val="00B1263A"/>
    <w:rsid w:val="00B13C72"/>
    <w:rsid w:val="00B15F23"/>
    <w:rsid w:val="00B16390"/>
    <w:rsid w:val="00B16508"/>
    <w:rsid w:val="00B20D87"/>
    <w:rsid w:val="00B223CE"/>
    <w:rsid w:val="00B24027"/>
    <w:rsid w:val="00B24053"/>
    <w:rsid w:val="00B2619D"/>
    <w:rsid w:val="00B31550"/>
    <w:rsid w:val="00B32230"/>
    <w:rsid w:val="00B32358"/>
    <w:rsid w:val="00B34D1C"/>
    <w:rsid w:val="00B35E1C"/>
    <w:rsid w:val="00B40097"/>
    <w:rsid w:val="00B40F33"/>
    <w:rsid w:val="00B57830"/>
    <w:rsid w:val="00B578AC"/>
    <w:rsid w:val="00B62F06"/>
    <w:rsid w:val="00B63D20"/>
    <w:rsid w:val="00B6433F"/>
    <w:rsid w:val="00B64CF5"/>
    <w:rsid w:val="00B76A24"/>
    <w:rsid w:val="00B76C9B"/>
    <w:rsid w:val="00B823A1"/>
    <w:rsid w:val="00B83540"/>
    <w:rsid w:val="00B8428B"/>
    <w:rsid w:val="00B85055"/>
    <w:rsid w:val="00B9022B"/>
    <w:rsid w:val="00B90AA3"/>
    <w:rsid w:val="00B9605E"/>
    <w:rsid w:val="00B97F0D"/>
    <w:rsid w:val="00BA363A"/>
    <w:rsid w:val="00BA3C35"/>
    <w:rsid w:val="00BA41F5"/>
    <w:rsid w:val="00BA5DD9"/>
    <w:rsid w:val="00BB2F3A"/>
    <w:rsid w:val="00BB3C9C"/>
    <w:rsid w:val="00BC34B5"/>
    <w:rsid w:val="00BC3F2F"/>
    <w:rsid w:val="00BD073E"/>
    <w:rsid w:val="00BD0788"/>
    <w:rsid w:val="00BD0CBE"/>
    <w:rsid w:val="00BD255F"/>
    <w:rsid w:val="00BD5837"/>
    <w:rsid w:val="00BD588E"/>
    <w:rsid w:val="00BE6BD8"/>
    <w:rsid w:val="00BF4822"/>
    <w:rsid w:val="00BF605C"/>
    <w:rsid w:val="00BF611D"/>
    <w:rsid w:val="00C00367"/>
    <w:rsid w:val="00C01D22"/>
    <w:rsid w:val="00C048DC"/>
    <w:rsid w:val="00C05A6F"/>
    <w:rsid w:val="00C104B6"/>
    <w:rsid w:val="00C10F02"/>
    <w:rsid w:val="00C114F4"/>
    <w:rsid w:val="00C11D03"/>
    <w:rsid w:val="00C12D26"/>
    <w:rsid w:val="00C15762"/>
    <w:rsid w:val="00C20343"/>
    <w:rsid w:val="00C2506B"/>
    <w:rsid w:val="00C31967"/>
    <w:rsid w:val="00C34C96"/>
    <w:rsid w:val="00C3574F"/>
    <w:rsid w:val="00C371DE"/>
    <w:rsid w:val="00C409AE"/>
    <w:rsid w:val="00C4143E"/>
    <w:rsid w:val="00C42222"/>
    <w:rsid w:val="00C42D50"/>
    <w:rsid w:val="00C45B0F"/>
    <w:rsid w:val="00C52E8F"/>
    <w:rsid w:val="00C54DF8"/>
    <w:rsid w:val="00C5622E"/>
    <w:rsid w:val="00C60848"/>
    <w:rsid w:val="00C60B49"/>
    <w:rsid w:val="00C649AA"/>
    <w:rsid w:val="00C70746"/>
    <w:rsid w:val="00C7294F"/>
    <w:rsid w:val="00C7440A"/>
    <w:rsid w:val="00C77077"/>
    <w:rsid w:val="00C807A6"/>
    <w:rsid w:val="00C807D4"/>
    <w:rsid w:val="00C825F0"/>
    <w:rsid w:val="00C82FA9"/>
    <w:rsid w:val="00C865ED"/>
    <w:rsid w:val="00C872E5"/>
    <w:rsid w:val="00C8775A"/>
    <w:rsid w:val="00C903CE"/>
    <w:rsid w:val="00C909CF"/>
    <w:rsid w:val="00C93429"/>
    <w:rsid w:val="00C9589E"/>
    <w:rsid w:val="00CA0877"/>
    <w:rsid w:val="00CA1170"/>
    <w:rsid w:val="00CA6B59"/>
    <w:rsid w:val="00CB134C"/>
    <w:rsid w:val="00CB2210"/>
    <w:rsid w:val="00CB3B6C"/>
    <w:rsid w:val="00CB75F1"/>
    <w:rsid w:val="00CC0C44"/>
    <w:rsid w:val="00CC1833"/>
    <w:rsid w:val="00CC189F"/>
    <w:rsid w:val="00CC3368"/>
    <w:rsid w:val="00CC3501"/>
    <w:rsid w:val="00CC3AA5"/>
    <w:rsid w:val="00CC417B"/>
    <w:rsid w:val="00CC6087"/>
    <w:rsid w:val="00CC623E"/>
    <w:rsid w:val="00CC69E8"/>
    <w:rsid w:val="00CD7330"/>
    <w:rsid w:val="00CE1599"/>
    <w:rsid w:val="00CE3781"/>
    <w:rsid w:val="00CE4B4A"/>
    <w:rsid w:val="00CF0014"/>
    <w:rsid w:val="00CF0A68"/>
    <w:rsid w:val="00CF19C4"/>
    <w:rsid w:val="00CF2B0A"/>
    <w:rsid w:val="00CF4485"/>
    <w:rsid w:val="00CF6452"/>
    <w:rsid w:val="00D02F18"/>
    <w:rsid w:val="00D03943"/>
    <w:rsid w:val="00D043E6"/>
    <w:rsid w:val="00D049FC"/>
    <w:rsid w:val="00D11563"/>
    <w:rsid w:val="00D12296"/>
    <w:rsid w:val="00D13C04"/>
    <w:rsid w:val="00D13C1E"/>
    <w:rsid w:val="00D1768C"/>
    <w:rsid w:val="00D20A78"/>
    <w:rsid w:val="00D24D40"/>
    <w:rsid w:val="00D25BB3"/>
    <w:rsid w:val="00D266B8"/>
    <w:rsid w:val="00D278BA"/>
    <w:rsid w:val="00D36528"/>
    <w:rsid w:val="00D40454"/>
    <w:rsid w:val="00D4059C"/>
    <w:rsid w:val="00D41BBD"/>
    <w:rsid w:val="00D420A0"/>
    <w:rsid w:val="00D44986"/>
    <w:rsid w:val="00D44B6A"/>
    <w:rsid w:val="00D44F8E"/>
    <w:rsid w:val="00D50A41"/>
    <w:rsid w:val="00D520A5"/>
    <w:rsid w:val="00D53D8F"/>
    <w:rsid w:val="00D551DA"/>
    <w:rsid w:val="00D578DD"/>
    <w:rsid w:val="00D61C76"/>
    <w:rsid w:val="00D62BC8"/>
    <w:rsid w:val="00D77015"/>
    <w:rsid w:val="00D77555"/>
    <w:rsid w:val="00D811A3"/>
    <w:rsid w:val="00D849D3"/>
    <w:rsid w:val="00D85DF9"/>
    <w:rsid w:val="00D86ACB"/>
    <w:rsid w:val="00D87550"/>
    <w:rsid w:val="00D91F28"/>
    <w:rsid w:val="00D92B48"/>
    <w:rsid w:val="00D9400E"/>
    <w:rsid w:val="00D95AEB"/>
    <w:rsid w:val="00DA1155"/>
    <w:rsid w:val="00DA2767"/>
    <w:rsid w:val="00DB1693"/>
    <w:rsid w:val="00DB3869"/>
    <w:rsid w:val="00DC205D"/>
    <w:rsid w:val="00DC3A21"/>
    <w:rsid w:val="00DD5B07"/>
    <w:rsid w:val="00DD6D7E"/>
    <w:rsid w:val="00DE22E6"/>
    <w:rsid w:val="00DE3AB6"/>
    <w:rsid w:val="00DE6821"/>
    <w:rsid w:val="00DE77E2"/>
    <w:rsid w:val="00DF2022"/>
    <w:rsid w:val="00DF29FD"/>
    <w:rsid w:val="00DF34BE"/>
    <w:rsid w:val="00DF4AE0"/>
    <w:rsid w:val="00DF5D59"/>
    <w:rsid w:val="00DF7E2E"/>
    <w:rsid w:val="00E01720"/>
    <w:rsid w:val="00E053E8"/>
    <w:rsid w:val="00E10B37"/>
    <w:rsid w:val="00E11AD5"/>
    <w:rsid w:val="00E1337A"/>
    <w:rsid w:val="00E15758"/>
    <w:rsid w:val="00E2264F"/>
    <w:rsid w:val="00E23606"/>
    <w:rsid w:val="00E239E4"/>
    <w:rsid w:val="00E30276"/>
    <w:rsid w:val="00E36A38"/>
    <w:rsid w:val="00E45467"/>
    <w:rsid w:val="00E47525"/>
    <w:rsid w:val="00E5091F"/>
    <w:rsid w:val="00E53399"/>
    <w:rsid w:val="00E53A44"/>
    <w:rsid w:val="00E56862"/>
    <w:rsid w:val="00E625B5"/>
    <w:rsid w:val="00E6480F"/>
    <w:rsid w:val="00E67A9B"/>
    <w:rsid w:val="00E74F0E"/>
    <w:rsid w:val="00E7565C"/>
    <w:rsid w:val="00E75BE3"/>
    <w:rsid w:val="00E75FCD"/>
    <w:rsid w:val="00E77995"/>
    <w:rsid w:val="00E87099"/>
    <w:rsid w:val="00E8754F"/>
    <w:rsid w:val="00E94ABD"/>
    <w:rsid w:val="00EA28E6"/>
    <w:rsid w:val="00EA3FDE"/>
    <w:rsid w:val="00EA5774"/>
    <w:rsid w:val="00EB09FF"/>
    <w:rsid w:val="00EB262F"/>
    <w:rsid w:val="00EB3B67"/>
    <w:rsid w:val="00EB4C4B"/>
    <w:rsid w:val="00EC380F"/>
    <w:rsid w:val="00EC782B"/>
    <w:rsid w:val="00EE3CAA"/>
    <w:rsid w:val="00EF1342"/>
    <w:rsid w:val="00EF456E"/>
    <w:rsid w:val="00EF5172"/>
    <w:rsid w:val="00EF78C4"/>
    <w:rsid w:val="00F04CD7"/>
    <w:rsid w:val="00F13967"/>
    <w:rsid w:val="00F21819"/>
    <w:rsid w:val="00F23E15"/>
    <w:rsid w:val="00F23E5C"/>
    <w:rsid w:val="00F244A2"/>
    <w:rsid w:val="00F32DB9"/>
    <w:rsid w:val="00F346CD"/>
    <w:rsid w:val="00F35064"/>
    <w:rsid w:val="00F3712C"/>
    <w:rsid w:val="00F374D8"/>
    <w:rsid w:val="00F52883"/>
    <w:rsid w:val="00F53458"/>
    <w:rsid w:val="00F539FB"/>
    <w:rsid w:val="00F5684D"/>
    <w:rsid w:val="00F57AB6"/>
    <w:rsid w:val="00F6480F"/>
    <w:rsid w:val="00F64868"/>
    <w:rsid w:val="00F668F8"/>
    <w:rsid w:val="00F70C2E"/>
    <w:rsid w:val="00F7742A"/>
    <w:rsid w:val="00F8139C"/>
    <w:rsid w:val="00F84DF2"/>
    <w:rsid w:val="00F85FE8"/>
    <w:rsid w:val="00F865CB"/>
    <w:rsid w:val="00F86713"/>
    <w:rsid w:val="00F932E0"/>
    <w:rsid w:val="00F95A4D"/>
    <w:rsid w:val="00FA2421"/>
    <w:rsid w:val="00FA3D28"/>
    <w:rsid w:val="00FB2D94"/>
    <w:rsid w:val="00FB3732"/>
    <w:rsid w:val="00FB7701"/>
    <w:rsid w:val="00FC18B4"/>
    <w:rsid w:val="00FC40F0"/>
    <w:rsid w:val="00FC48C0"/>
    <w:rsid w:val="00FC69E7"/>
    <w:rsid w:val="00FC6D3B"/>
    <w:rsid w:val="00FD0129"/>
    <w:rsid w:val="00FD7D74"/>
    <w:rsid w:val="00FE17DE"/>
    <w:rsid w:val="00FE17ED"/>
    <w:rsid w:val="00FF0AF6"/>
    <w:rsid w:val="00FF200D"/>
    <w:rsid w:val="00FF4315"/>
    <w:rsid w:val="00FF4EB8"/>
    <w:rsid w:val="00FF7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3"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9FA"/>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13"/>
    <w:semiHidden/>
    <w:qFormat/>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uiPriority w:val="13"/>
    <w:semiHidden/>
    <w:rsid w:val="0047178C"/>
  </w:style>
  <w:style w:type="paragraph" w:styleId="Revision">
    <w:name w:val="Revision"/>
    <w:hidden/>
    <w:uiPriority w:val="99"/>
    <w:semiHidden/>
    <w:rsid w:val="00CC623E"/>
    <w:rPr>
      <w:sz w:val="24"/>
    </w:rPr>
  </w:style>
  <w:style w:type="character" w:styleId="Emphasis">
    <w:name w:val="Emphasis"/>
    <w:basedOn w:val="DefaultParagraphFont"/>
    <w:uiPriority w:val="20"/>
    <w:qFormat/>
    <w:rsid w:val="00392BE1"/>
    <w:rPr>
      <w:i/>
      <w:iCs/>
    </w:rPr>
  </w:style>
  <w:style w:type="character" w:customStyle="1" w:styleId="UnresolvedMention1">
    <w:name w:val="Unresolved Mention1"/>
    <w:basedOn w:val="DefaultParagraphFont"/>
    <w:uiPriority w:val="99"/>
    <w:semiHidden/>
    <w:unhideWhenUsed/>
    <w:rsid w:val="00960E98"/>
    <w:rPr>
      <w:color w:val="605E5C"/>
      <w:shd w:val="clear" w:color="auto" w:fill="E1DFDD"/>
    </w:rPr>
  </w:style>
  <w:style w:type="character" w:styleId="UnresolvedMention">
    <w:name w:val="Unresolved Mention"/>
    <w:basedOn w:val="DefaultParagraphFont"/>
    <w:uiPriority w:val="99"/>
    <w:semiHidden/>
    <w:unhideWhenUsed/>
    <w:rsid w:val="00E6480F"/>
    <w:rPr>
      <w:color w:val="605E5C"/>
      <w:shd w:val="clear" w:color="auto" w:fill="E1DFDD"/>
    </w:rPr>
  </w:style>
  <w:style w:type="paragraph" w:customStyle="1" w:styleId="indentlevel0">
    <w:name w:val="indentlevel0"/>
    <w:basedOn w:val="Normal"/>
    <w:rsid w:val="00862731"/>
    <w:pPr>
      <w:spacing w:before="100" w:beforeAutospacing="1" w:after="100" w:afterAutospacing="1"/>
    </w:pPr>
    <w:rPr>
      <w:szCs w:val="24"/>
    </w:rPr>
  </w:style>
  <w:style w:type="character" w:styleId="FollowedHyperlink">
    <w:name w:val="FollowedHyperlink"/>
    <w:basedOn w:val="DefaultParagraphFont"/>
    <w:semiHidden/>
    <w:unhideWhenUsed/>
    <w:rsid w:val="000E7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3094">
      <w:bodyDiv w:val="1"/>
      <w:marLeft w:val="0"/>
      <w:marRight w:val="0"/>
      <w:marTop w:val="0"/>
      <w:marBottom w:val="0"/>
      <w:divBdr>
        <w:top w:val="none" w:sz="0" w:space="0" w:color="auto"/>
        <w:left w:val="none" w:sz="0" w:space="0" w:color="auto"/>
        <w:bottom w:val="none" w:sz="0" w:space="0" w:color="auto"/>
        <w:right w:val="none" w:sz="0" w:space="0" w:color="auto"/>
      </w:divBdr>
    </w:div>
    <w:div w:id="155806273">
      <w:bodyDiv w:val="1"/>
      <w:marLeft w:val="0"/>
      <w:marRight w:val="0"/>
      <w:marTop w:val="0"/>
      <w:marBottom w:val="0"/>
      <w:divBdr>
        <w:top w:val="none" w:sz="0" w:space="0" w:color="auto"/>
        <w:left w:val="none" w:sz="0" w:space="0" w:color="auto"/>
        <w:bottom w:val="none" w:sz="0" w:space="0" w:color="auto"/>
        <w:right w:val="none" w:sz="0" w:space="0" w:color="auto"/>
      </w:divBdr>
    </w:div>
    <w:div w:id="213203707">
      <w:bodyDiv w:val="1"/>
      <w:marLeft w:val="0"/>
      <w:marRight w:val="0"/>
      <w:marTop w:val="0"/>
      <w:marBottom w:val="0"/>
      <w:divBdr>
        <w:top w:val="none" w:sz="0" w:space="0" w:color="auto"/>
        <w:left w:val="none" w:sz="0" w:space="0" w:color="auto"/>
        <w:bottom w:val="none" w:sz="0" w:space="0" w:color="auto"/>
        <w:right w:val="none" w:sz="0" w:space="0" w:color="auto"/>
      </w:divBdr>
    </w:div>
    <w:div w:id="414515296">
      <w:bodyDiv w:val="1"/>
      <w:marLeft w:val="0"/>
      <w:marRight w:val="0"/>
      <w:marTop w:val="0"/>
      <w:marBottom w:val="0"/>
      <w:divBdr>
        <w:top w:val="none" w:sz="0" w:space="0" w:color="auto"/>
        <w:left w:val="none" w:sz="0" w:space="0" w:color="auto"/>
        <w:bottom w:val="none" w:sz="0" w:space="0" w:color="auto"/>
        <w:right w:val="none" w:sz="0" w:space="0" w:color="auto"/>
      </w:divBdr>
    </w:div>
    <w:div w:id="435908137">
      <w:bodyDiv w:val="1"/>
      <w:marLeft w:val="0"/>
      <w:marRight w:val="0"/>
      <w:marTop w:val="0"/>
      <w:marBottom w:val="0"/>
      <w:divBdr>
        <w:top w:val="none" w:sz="0" w:space="0" w:color="auto"/>
        <w:left w:val="none" w:sz="0" w:space="0" w:color="auto"/>
        <w:bottom w:val="none" w:sz="0" w:space="0" w:color="auto"/>
        <w:right w:val="none" w:sz="0" w:space="0" w:color="auto"/>
      </w:divBdr>
    </w:div>
    <w:div w:id="606735078">
      <w:bodyDiv w:val="1"/>
      <w:marLeft w:val="0"/>
      <w:marRight w:val="0"/>
      <w:marTop w:val="0"/>
      <w:marBottom w:val="0"/>
      <w:divBdr>
        <w:top w:val="none" w:sz="0" w:space="0" w:color="auto"/>
        <w:left w:val="none" w:sz="0" w:space="0" w:color="auto"/>
        <w:bottom w:val="none" w:sz="0" w:space="0" w:color="auto"/>
        <w:right w:val="none" w:sz="0" w:space="0" w:color="auto"/>
      </w:divBdr>
    </w:div>
    <w:div w:id="795684323">
      <w:bodyDiv w:val="1"/>
      <w:marLeft w:val="0"/>
      <w:marRight w:val="0"/>
      <w:marTop w:val="0"/>
      <w:marBottom w:val="0"/>
      <w:divBdr>
        <w:top w:val="none" w:sz="0" w:space="0" w:color="auto"/>
        <w:left w:val="none" w:sz="0" w:space="0" w:color="auto"/>
        <w:bottom w:val="none" w:sz="0" w:space="0" w:color="auto"/>
        <w:right w:val="none" w:sz="0" w:space="0" w:color="auto"/>
      </w:divBdr>
    </w:div>
    <w:div w:id="81483522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609463268">
      <w:bodyDiv w:val="1"/>
      <w:marLeft w:val="0"/>
      <w:marRight w:val="0"/>
      <w:marTop w:val="0"/>
      <w:marBottom w:val="0"/>
      <w:divBdr>
        <w:top w:val="none" w:sz="0" w:space="0" w:color="auto"/>
        <w:left w:val="none" w:sz="0" w:space="0" w:color="auto"/>
        <w:bottom w:val="none" w:sz="0" w:space="0" w:color="auto"/>
        <w:right w:val="none" w:sz="0" w:space="0" w:color="auto"/>
      </w:divBdr>
    </w:div>
    <w:div w:id="1710253721">
      <w:bodyDiv w:val="1"/>
      <w:marLeft w:val="0"/>
      <w:marRight w:val="0"/>
      <w:marTop w:val="0"/>
      <w:marBottom w:val="0"/>
      <w:divBdr>
        <w:top w:val="none" w:sz="0" w:space="0" w:color="auto"/>
        <w:left w:val="none" w:sz="0" w:space="0" w:color="auto"/>
        <w:bottom w:val="none" w:sz="0" w:space="0" w:color="auto"/>
        <w:right w:val="none" w:sz="0" w:space="0" w:color="auto"/>
      </w:divBdr>
    </w:div>
    <w:div w:id="1761945901">
      <w:bodyDiv w:val="1"/>
      <w:marLeft w:val="0"/>
      <w:marRight w:val="0"/>
      <w:marTop w:val="0"/>
      <w:marBottom w:val="0"/>
      <w:divBdr>
        <w:top w:val="none" w:sz="0" w:space="0" w:color="auto"/>
        <w:left w:val="none" w:sz="0" w:space="0" w:color="auto"/>
        <w:bottom w:val="none" w:sz="0" w:space="0" w:color="auto"/>
        <w:right w:val="none" w:sz="0" w:space="0" w:color="auto"/>
      </w:divBdr>
    </w:div>
    <w:div w:id="1824855118">
      <w:bodyDiv w:val="1"/>
      <w:marLeft w:val="0"/>
      <w:marRight w:val="0"/>
      <w:marTop w:val="0"/>
      <w:marBottom w:val="0"/>
      <w:divBdr>
        <w:top w:val="none" w:sz="0" w:space="0" w:color="auto"/>
        <w:left w:val="none" w:sz="0" w:space="0" w:color="auto"/>
        <w:bottom w:val="none" w:sz="0" w:space="0" w:color="auto"/>
        <w:right w:val="none" w:sz="0" w:space="0" w:color="auto"/>
      </w:divBdr>
    </w:div>
    <w:div w:id="1998654414">
      <w:bodyDiv w:val="1"/>
      <w:marLeft w:val="0"/>
      <w:marRight w:val="0"/>
      <w:marTop w:val="0"/>
      <w:marBottom w:val="0"/>
      <w:divBdr>
        <w:top w:val="none" w:sz="0" w:space="0" w:color="auto"/>
        <w:left w:val="none" w:sz="0" w:space="0" w:color="auto"/>
        <w:bottom w:val="none" w:sz="0" w:space="0" w:color="auto"/>
        <w:right w:val="none" w:sz="0" w:space="0" w:color="auto"/>
      </w:divBdr>
    </w:div>
    <w:div w:id="2015376320">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182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405F-DF47-4F57-9DA6-E3D6F2FE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2023-07-02T23:54:00Z</dcterms:created>
  <dcterms:modified xsi:type="dcterms:W3CDTF">2023-07-02T23:54:00Z</dcterms:modified>
</cp:coreProperties>
</file>