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5732F4" w14:paraId="52939823" w14:textId="77777777" w:rsidTr="00A22E0D">
        <w:tc>
          <w:tcPr>
            <w:tcW w:w="4661" w:type="dxa"/>
          </w:tcPr>
          <w:p w14:paraId="389975A9" w14:textId="77777777" w:rsidR="00090A6F" w:rsidRPr="005732F4" w:rsidRDefault="00364B30">
            <w:pPr>
              <w:pStyle w:val="CoverStandard"/>
            </w:pPr>
            <w:r w:rsidRPr="005732F4">
              <w:t>AASB</w:t>
            </w:r>
            <w:r w:rsidR="00831497" w:rsidRPr="005732F4">
              <w:t xml:space="preserve"> Standard</w:t>
            </w:r>
          </w:p>
        </w:tc>
        <w:tc>
          <w:tcPr>
            <w:tcW w:w="4661" w:type="dxa"/>
          </w:tcPr>
          <w:p w14:paraId="7243B7D2" w14:textId="2A10E036" w:rsidR="00090A6F" w:rsidRPr="005732F4" w:rsidRDefault="00831497">
            <w:pPr>
              <w:pStyle w:val="CoverNumber"/>
            </w:pPr>
            <w:r w:rsidRPr="005732F4">
              <w:t>AASB</w:t>
            </w:r>
            <w:r w:rsidR="00090A6F" w:rsidRPr="005732F4">
              <w:t xml:space="preserve"> </w:t>
            </w:r>
            <w:bookmarkStart w:id="0" w:name="DocNo"/>
            <w:r w:rsidR="00883360" w:rsidRPr="005732F4">
              <w:t>202</w:t>
            </w:r>
            <w:r w:rsidR="00957CF1">
              <w:t>3</w:t>
            </w:r>
            <w:r w:rsidR="00430396" w:rsidRPr="005732F4">
              <w:t>-</w:t>
            </w:r>
            <w:r w:rsidR="00233840">
              <w:t>3</w:t>
            </w:r>
            <w:bookmarkEnd w:id="0"/>
          </w:p>
          <w:p w14:paraId="2AEFF4EB" w14:textId="667A20FB" w:rsidR="00090A6F" w:rsidRPr="005732F4" w:rsidRDefault="00233840">
            <w:pPr>
              <w:pStyle w:val="CoverDate"/>
            </w:pPr>
            <w:bookmarkStart w:id="1" w:name="DocDate"/>
            <w:r>
              <w:t>June</w:t>
            </w:r>
            <w:r w:rsidR="00723FD0" w:rsidRPr="005732F4">
              <w:t xml:space="preserve"> 202</w:t>
            </w:r>
            <w:r w:rsidR="00957CF1">
              <w:t>3</w:t>
            </w:r>
            <w:bookmarkEnd w:id="1"/>
          </w:p>
        </w:tc>
      </w:tr>
    </w:tbl>
    <w:p w14:paraId="03405C79" w14:textId="7950F972" w:rsidR="00090A6F" w:rsidRPr="005732F4" w:rsidRDefault="001D4D39" w:rsidP="00A60E50">
      <w:pPr>
        <w:pStyle w:val="CoverTitle"/>
        <w:jc w:val="left"/>
      </w:pPr>
      <w:bookmarkStart w:id="2" w:name="DocTitle"/>
      <w:r w:rsidRPr="005732F4">
        <w:t xml:space="preserve">Amendments to Australian Accounting Standards – </w:t>
      </w:r>
      <w:r w:rsidR="00DE28A5">
        <w:t xml:space="preserve">Disclosure of </w:t>
      </w:r>
      <w:r w:rsidR="00723FD0" w:rsidRPr="005732F4">
        <w:t>Non-current Liabilities with Covenant</w:t>
      </w:r>
      <w:r w:rsidR="00957CF1">
        <w:t>s</w:t>
      </w:r>
      <w:r w:rsidR="00DE28A5">
        <w:t xml:space="preserve">: </w:t>
      </w:r>
      <w:r w:rsidR="00957CF1">
        <w:t>Tier 2</w:t>
      </w:r>
      <w:bookmarkEnd w:id="2"/>
    </w:p>
    <w:p w14:paraId="178C6A7B" w14:textId="04146969" w:rsidR="00760C9C" w:rsidRPr="005732F4" w:rsidRDefault="002B7803" w:rsidP="00845897">
      <w:pPr>
        <w:pStyle w:val="CoverSubtitle"/>
      </w:pPr>
      <w:r w:rsidRPr="005732F4">
        <w:t>[</w:t>
      </w:r>
      <w:bookmarkStart w:id="3" w:name="AmendingNos"/>
      <w:r w:rsidR="00723FD0" w:rsidRPr="005732F4">
        <w:t xml:space="preserve">AASB </w:t>
      </w:r>
      <w:r w:rsidR="00DE28A5">
        <w:t>1060</w:t>
      </w:r>
      <w:bookmarkEnd w:id="3"/>
      <w:r w:rsidRPr="005732F4">
        <w:t>]</w:t>
      </w:r>
    </w:p>
    <w:p w14:paraId="32C3CE8E" w14:textId="77777777" w:rsidR="00090A6F" w:rsidRPr="005732F4" w:rsidRDefault="008B643A" w:rsidP="00760C9C">
      <w:pPr>
        <w:spacing w:before="8000"/>
      </w:pPr>
      <w:r w:rsidRPr="005732F4">
        <w:rPr>
          <w:noProof/>
          <w:lang w:eastAsia="en-AU"/>
        </w:rPr>
        <w:drawing>
          <wp:inline distT="0" distB="0" distL="0" distR="0" wp14:anchorId="494C9A07" wp14:editId="65A989A2">
            <wp:extent cx="1677600" cy="1332000"/>
            <wp:effectExtent l="0" t="0" r="0" b="1905"/>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3ECDA59E" w14:textId="64552D9D" w:rsidR="00090A6F" w:rsidRPr="005732F4" w:rsidRDefault="00090A6F" w:rsidP="00FD651F">
      <w:pPr>
        <w:spacing w:before="8000"/>
        <w:jc w:val="left"/>
        <w:sectPr w:rsidR="00090A6F" w:rsidRPr="005732F4" w:rsidSect="00D74C6A">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paperSrc w:first="7" w:other="7"/>
          <w:cols w:space="720"/>
        </w:sectPr>
      </w:pPr>
    </w:p>
    <w:p w14:paraId="72577098" w14:textId="77777777" w:rsidR="00737714" w:rsidRPr="005732F4" w:rsidRDefault="00737714" w:rsidP="00F13C5A">
      <w:pPr>
        <w:pStyle w:val="Heading1"/>
      </w:pPr>
      <w:r w:rsidRPr="005732F4">
        <w:lastRenderedPageBreak/>
        <w:t xml:space="preserve">Obtaining a </w:t>
      </w:r>
      <w:r w:rsidR="005655CE" w:rsidRPr="005732F4">
        <w:t>c</w:t>
      </w:r>
      <w:r w:rsidRPr="005732F4">
        <w:t xml:space="preserve">opy of this </w:t>
      </w:r>
      <w:r w:rsidR="00C5022C" w:rsidRPr="005732F4">
        <w:t>Accounting Standard</w:t>
      </w:r>
    </w:p>
    <w:p w14:paraId="1F875B07" w14:textId="77777777" w:rsidR="00737714" w:rsidRPr="005732F4" w:rsidRDefault="00737714" w:rsidP="00895809">
      <w:pPr>
        <w:spacing w:after="200"/>
      </w:pPr>
      <w:r w:rsidRPr="005732F4">
        <w:t xml:space="preserve">This </w:t>
      </w:r>
      <w:r w:rsidR="00C5022C" w:rsidRPr="005732F4">
        <w:t>Standard</w:t>
      </w:r>
      <w:r w:rsidRPr="005732F4">
        <w:t xml:space="preserve"> is available o</w:t>
      </w:r>
      <w:r w:rsidR="00923261" w:rsidRPr="005732F4">
        <w:t>n the AASB website: www.aasb.gov</w:t>
      </w:r>
      <w:r w:rsidRPr="005732F4">
        <w:t>.au.</w:t>
      </w:r>
    </w:p>
    <w:p w14:paraId="26BBCCEC" w14:textId="77777777" w:rsidR="00895809" w:rsidRPr="005732F4" w:rsidRDefault="00895809" w:rsidP="00895809">
      <w:r w:rsidRPr="005732F4">
        <w:t>Australian Accounting Standards Board</w:t>
      </w:r>
    </w:p>
    <w:p w14:paraId="0DB1481D" w14:textId="77777777" w:rsidR="00895809" w:rsidRPr="005732F4" w:rsidRDefault="00895809" w:rsidP="00895809">
      <w:r w:rsidRPr="005732F4">
        <w:t>PO Box 204</w:t>
      </w:r>
    </w:p>
    <w:p w14:paraId="652833DC" w14:textId="77777777" w:rsidR="00895809" w:rsidRPr="005732F4" w:rsidRDefault="00895809" w:rsidP="00895809">
      <w:r w:rsidRPr="005732F4">
        <w:t>Collins Street West</w:t>
      </w:r>
    </w:p>
    <w:p w14:paraId="525A6905" w14:textId="77777777" w:rsidR="00895809" w:rsidRPr="005732F4" w:rsidRDefault="00895809" w:rsidP="00895809">
      <w:r w:rsidRPr="005732F4">
        <w:t>Victoria   8007</w:t>
      </w:r>
    </w:p>
    <w:p w14:paraId="717BC672" w14:textId="77777777" w:rsidR="00895809" w:rsidRPr="005732F4" w:rsidRDefault="00895809" w:rsidP="00895809">
      <w:pPr>
        <w:pStyle w:val="CoverContact"/>
        <w:spacing w:after="200"/>
      </w:pPr>
      <w:r w:rsidRPr="005732F4">
        <w:t>AUSTRALIA</w:t>
      </w:r>
    </w:p>
    <w:p w14:paraId="3478F741" w14:textId="77777777" w:rsidR="00737714" w:rsidRPr="005732F4" w:rsidRDefault="0034243B" w:rsidP="00B82F15">
      <w:pPr>
        <w:pStyle w:val="CoverContact"/>
      </w:pPr>
      <w:r w:rsidRPr="005732F4">
        <w:t>Phone:</w:t>
      </w:r>
      <w:r w:rsidRPr="005732F4">
        <w:tab/>
        <w:t>(03) 9617 7600</w:t>
      </w:r>
    </w:p>
    <w:p w14:paraId="1FB24B90" w14:textId="77777777" w:rsidR="00E96D45" w:rsidRPr="005732F4" w:rsidRDefault="00DB00CD" w:rsidP="00DB00CD">
      <w:pPr>
        <w:pStyle w:val="CoverContact"/>
      </w:pPr>
      <w:r w:rsidRPr="005732F4">
        <w:t>E-mail:</w:t>
      </w:r>
      <w:r w:rsidRPr="005732F4">
        <w:tab/>
      </w:r>
      <w:r w:rsidR="0034243B" w:rsidRPr="005732F4">
        <w:t>standard</w:t>
      </w:r>
      <w:r w:rsidRPr="005732F4">
        <w:t>@aasb.gov.au</w:t>
      </w:r>
    </w:p>
    <w:p w14:paraId="160989B7" w14:textId="77777777" w:rsidR="00E96D45" w:rsidRPr="005732F4" w:rsidRDefault="00DB00CD" w:rsidP="00AC73E1">
      <w:pPr>
        <w:pStyle w:val="CoverContact"/>
        <w:spacing w:after="200"/>
      </w:pPr>
      <w:r w:rsidRPr="005732F4">
        <w:t>Website:</w:t>
      </w:r>
      <w:r w:rsidRPr="005732F4">
        <w:tab/>
        <w:t>www.aasb.gov.au</w:t>
      </w:r>
    </w:p>
    <w:p w14:paraId="06F4E004" w14:textId="77777777" w:rsidR="00090A6F" w:rsidRPr="005732F4" w:rsidRDefault="00090A6F" w:rsidP="00F13C5A">
      <w:pPr>
        <w:pStyle w:val="Heading1"/>
      </w:pPr>
      <w:r w:rsidRPr="005732F4">
        <w:t xml:space="preserve">Other </w:t>
      </w:r>
      <w:r w:rsidR="005655CE" w:rsidRPr="005732F4">
        <w:t>enquiries</w:t>
      </w:r>
    </w:p>
    <w:p w14:paraId="7B42A535" w14:textId="77777777" w:rsidR="00090A6F" w:rsidRPr="005732F4" w:rsidRDefault="00090A6F" w:rsidP="00B82F15">
      <w:pPr>
        <w:pStyle w:val="CoverContact"/>
      </w:pPr>
      <w:r w:rsidRPr="005732F4">
        <w:t>Phone:</w:t>
      </w:r>
      <w:r w:rsidRPr="005732F4">
        <w:tab/>
        <w:t>(03) 9617 7600</w:t>
      </w:r>
    </w:p>
    <w:p w14:paraId="46C8E574" w14:textId="77777777" w:rsidR="00090A6F" w:rsidRPr="005732F4" w:rsidRDefault="00923261">
      <w:pPr>
        <w:pStyle w:val="CoverContact"/>
      </w:pPr>
      <w:r w:rsidRPr="005732F4">
        <w:t>E-mail:</w:t>
      </w:r>
      <w:r w:rsidRPr="005732F4">
        <w:tab/>
        <w:t>standard@aasb.gov</w:t>
      </w:r>
      <w:r w:rsidR="00090A6F" w:rsidRPr="005732F4">
        <w:t>.au</w:t>
      </w:r>
    </w:p>
    <w:p w14:paraId="039889FB" w14:textId="77777777" w:rsidR="00DE28A5" w:rsidRDefault="00DE28A5" w:rsidP="00DE28A5">
      <w:pPr>
        <w:pStyle w:val="CoverContact"/>
        <w:spacing w:before="7440"/>
      </w:pPr>
      <w:r>
        <w:t>COPYRIGHT</w:t>
      </w:r>
    </w:p>
    <w:p w14:paraId="0DF22446" w14:textId="2820F28A" w:rsidR="00DE28A5" w:rsidRDefault="00DE28A5" w:rsidP="00DE28A5">
      <w:pPr>
        <w:pStyle w:val="NoNumPlain1"/>
      </w:pPr>
      <w:r>
        <w:t>© Com</w:t>
      </w:r>
      <w:bookmarkStart w:id="4" w:name="CopyrightDomestic"/>
      <w:bookmarkEnd w:id="4"/>
      <w:r>
        <w:t xml:space="preserve">monwealth of Australia </w:t>
      </w:r>
      <w:bookmarkStart w:id="5" w:name="Year"/>
      <w:r>
        <w:t>202</w:t>
      </w:r>
      <w:r w:rsidR="00C2131A">
        <w:t>3</w:t>
      </w:r>
      <w:bookmarkEnd w:id="5"/>
    </w:p>
    <w:p w14:paraId="1D664CDA" w14:textId="1745F626" w:rsidR="00DE28A5" w:rsidRPr="00DE4E67" w:rsidRDefault="00DE28A5" w:rsidP="00DE28A5">
      <w:pPr>
        <w:spacing w:after="200"/>
      </w:pPr>
      <w:r w:rsidRPr="00E46988">
        <w:t xml:space="preserve">This work is copyright.  Apart from any use as permitted under the </w:t>
      </w:r>
      <w:r w:rsidRPr="00F311FB">
        <w:rPr>
          <w:i/>
        </w:rPr>
        <w:t>Copyright Act 1968</w:t>
      </w:r>
      <w:r w:rsidRPr="00E46988">
        <w:t xml:space="preserve">, no part may be reproduced by any process without prior written permission.  Requests and enquiries concerning reproduction and rights should be addressed to The </w:t>
      </w:r>
      <w:r w:rsidR="00C2131A">
        <w:t xml:space="preserve">Managing </w:t>
      </w:r>
      <w:r w:rsidRPr="00E46988">
        <w:t>Director, Australian Accounting Standards Board, PO Box 204</w:t>
      </w:r>
      <w:r>
        <w:t>, Collins Street West, Victoria </w:t>
      </w:r>
      <w:r w:rsidRPr="00E46988">
        <w:t>8007</w:t>
      </w:r>
      <w:r w:rsidRPr="00DE4E67">
        <w:t>.</w:t>
      </w:r>
    </w:p>
    <w:p w14:paraId="33DD7EC2" w14:textId="4D917605" w:rsidR="00090A6F" w:rsidRPr="005732F4" w:rsidRDefault="00DE28A5">
      <w:pPr>
        <w:sectPr w:rsidR="00090A6F" w:rsidRPr="005732F4" w:rsidSect="00D74C6A">
          <w:footerReference w:type="default" r:id="rId18"/>
          <w:pgSz w:w="11907" w:h="16840" w:code="9"/>
          <w:pgMar w:top="1418" w:right="1418" w:bottom="1418" w:left="1418" w:header="709" w:footer="709" w:gutter="0"/>
          <w:paperSrc w:first="7" w:other="7"/>
          <w:cols w:space="720"/>
        </w:sectPr>
      </w:pPr>
      <w:r>
        <w:t>ISSN 1036-4803</w:t>
      </w:r>
    </w:p>
    <w:p w14:paraId="23638AD2" w14:textId="77777777" w:rsidR="00DE28A5" w:rsidRPr="003766A0" w:rsidRDefault="00DE28A5" w:rsidP="00DE28A5">
      <w:pPr>
        <w:pStyle w:val="ConvSectionTitle"/>
      </w:pPr>
      <w:r w:rsidRPr="003766A0">
        <w:lastRenderedPageBreak/>
        <w:t>Contents</w:t>
      </w:r>
    </w:p>
    <w:p w14:paraId="3CD153FC" w14:textId="77777777" w:rsidR="00DE28A5" w:rsidRPr="003766A0" w:rsidRDefault="00DE28A5" w:rsidP="00DE28A5">
      <w:pPr>
        <w:pStyle w:val="ContentsCapsPlain"/>
        <w:spacing w:before="400"/>
      </w:pPr>
      <w:r w:rsidRPr="003766A0">
        <w:t>PREFACE</w:t>
      </w:r>
    </w:p>
    <w:p w14:paraId="458FBF24" w14:textId="23674649" w:rsidR="00DE28A5" w:rsidRPr="003766A0" w:rsidRDefault="00DE28A5" w:rsidP="00DE28A5">
      <w:pPr>
        <w:pStyle w:val="ContentsCapsBold"/>
        <w:rPr>
          <w:iCs/>
        </w:rPr>
      </w:pPr>
      <w:r w:rsidRPr="003766A0">
        <w:rPr>
          <w:iCs/>
        </w:rPr>
        <w:t>ACCOUNTING STANDARD</w:t>
      </w:r>
    </w:p>
    <w:p w14:paraId="36A4A4B1" w14:textId="19C194E9" w:rsidR="00DE28A5" w:rsidRPr="003766A0" w:rsidRDefault="00DE28A5" w:rsidP="00C73CAB">
      <w:pPr>
        <w:pStyle w:val="ContentsCapsBold"/>
        <w:spacing w:after="200"/>
        <w:jc w:val="left"/>
        <w:rPr>
          <w:i/>
          <w:iCs/>
        </w:rPr>
      </w:pPr>
      <w:r w:rsidRPr="003766A0">
        <w:rPr>
          <w:iCs/>
        </w:rPr>
        <w:t>AASB 20</w:t>
      </w:r>
      <w:r>
        <w:rPr>
          <w:iCs/>
        </w:rPr>
        <w:t>23</w:t>
      </w:r>
      <w:r w:rsidRPr="003766A0">
        <w:rPr>
          <w:iCs/>
        </w:rPr>
        <w:t>-</w:t>
      </w:r>
      <w:r w:rsidR="000E1D7A">
        <w:rPr>
          <w:iCs/>
        </w:rPr>
        <w:t>3</w:t>
      </w:r>
      <w:r w:rsidRPr="003766A0">
        <w:rPr>
          <w:iCs/>
        </w:rPr>
        <w:t xml:space="preserve"> </w:t>
      </w:r>
      <w:r w:rsidRPr="003766A0">
        <w:rPr>
          <w:i/>
          <w:iCs/>
        </w:rPr>
        <w:t>AMENDMENTS TO AUSTRALIAN ACCOUNTING STANDARDS –</w:t>
      </w:r>
      <w:r>
        <w:rPr>
          <w:i/>
          <w:iCs/>
        </w:rPr>
        <w:t xml:space="preserve"> </w:t>
      </w:r>
      <w:r w:rsidRPr="00070275">
        <w:rPr>
          <w:rFonts w:ascii="Times New Roman Bold" w:hAnsi="Times New Roman Bold"/>
          <w:i/>
          <w:iCs/>
        </w:rPr>
        <w:t xml:space="preserve">Disclosure of </w:t>
      </w:r>
      <w:r>
        <w:rPr>
          <w:rFonts w:ascii="Times New Roman Bold" w:hAnsi="Times New Roman Bold"/>
          <w:i/>
          <w:iCs/>
        </w:rPr>
        <w:t>Non</w:t>
      </w:r>
      <w:r>
        <w:rPr>
          <w:rFonts w:ascii="Times New Roman Bold" w:hAnsi="Times New Roman Bold"/>
          <w:i/>
          <w:iCs/>
        </w:rPr>
        <w:noBreakHyphen/>
        <w:t xml:space="preserve">current liabilities with covenants: </w:t>
      </w:r>
      <w:r w:rsidRPr="00070275">
        <w:rPr>
          <w:rFonts w:ascii="Times New Roman Bold" w:hAnsi="Times New Roman Bold"/>
          <w:i/>
          <w:iCs/>
        </w:rPr>
        <w:t xml:space="preserve">Tier 2 </w:t>
      </w:r>
    </w:p>
    <w:p w14:paraId="654EE142" w14:textId="77777777" w:rsidR="00DE28A5" w:rsidRPr="003766A0" w:rsidRDefault="00DE28A5" w:rsidP="00DE28A5">
      <w:pPr>
        <w:pStyle w:val="ContentsParaHead"/>
      </w:pPr>
      <w:r w:rsidRPr="003766A0">
        <w:t>from paragraph</w:t>
      </w:r>
    </w:p>
    <w:p w14:paraId="1E247B58" w14:textId="77777777" w:rsidR="00DE28A5" w:rsidRPr="003766A0" w:rsidRDefault="00DE28A5" w:rsidP="00DE28A5">
      <w:pPr>
        <w:pStyle w:val="ContentsLevel1"/>
        <w:ind w:right="0"/>
        <w:jc w:val="both"/>
        <w:rPr>
          <w:b w:val="0"/>
        </w:rPr>
      </w:pPr>
      <w:bookmarkStart w:id="6" w:name="TOCRange"/>
      <w:r w:rsidRPr="003766A0">
        <w:t>OBJECTIVE</w:t>
      </w:r>
      <w:r w:rsidRPr="003766A0">
        <w:tab/>
        <w:t>1</w:t>
      </w:r>
    </w:p>
    <w:p w14:paraId="789C94B0" w14:textId="77777777" w:rsidR="00DE28A5" w:rsidRPr="00152CAD" w:rsidRDefault="00DE28A5" w:rsidP="00DE28A5">
      <w:pPr>
        <w:pStyle w:val="ContentsLevel1"/>
        <w:ind w:right="0"/>
        <w:jc w:val="both"/>
        <w:rPr>
          <w:b w:val="0"/>
        </w:rPr>
      </w:pPr>
      <w:r w:rsidRPr="003766A0">
        <w:t>APPLICATION</w:t>
      </w:r>
      <w:r w:rsidRPr="003766A0">
        <w:tab/>
      </w:r>
      <w:r w:rsidRPr="00152CAD">
        <w:t>2</w:t>
      </w:r>
    </w:p>
    <w:p w14:paraId="2A012D35" w14:textId="77777777" w:rsidR="00DE28A5" w:rsidRPr="00152CAD" w:rsidRDefault="00DE28A5" w:rsidP="00DE28A5">
      <w:pPr>
        <w:pStyle w:val="ContentsLevel1"/>
        <w:ind w:right="0"/>
        <w:jc w:val="both"/>
        <w:rPr>
          <w:b w:val="0"/>
        </w:rPr>
      </w:pPr>
      <w:r w:rsidRPr="00152CAD">
        <w:t>AMENDMENTS TO AASB 1060</w:t>
      </w:r>
      <w:r w:rsidRPr="00152CAD">
        <w:tab/>
      </w:r>
      <w:r>
        <w:t>5</w:t>
      </w:r>
    </w:p>
    <w:p w14:paraId="0A301B1B" w14:textId="77777777" w:rsidR="00DE28A5" w:rsidRPr="003766A0" w:rsidRDefault="00DE28A5" w:rsidP="00DE28A5">
      <w:pPr>
        <w:pStyle w:val="ContentsLevel1"/>
        <w:ind w:right="0"/>
        <w:jc w:val="both"/>
        <w:rPr>
          <w:b w:val="0"/>
        </w:rPr>
      </w:pPr>
      <w:r w:rsidRPr="00152CAD">
        <w:t>COMMENCEMENT OF THE LEGISLATIVE INSTRUMENT</w:t>
      </w:r>
      <w:r w:rsidRPr="00152CAD">
        <w:tab/>
      </w:r>
      <w:bookmarkStart w:id="7" w:name="ContentsMarker"/>
      <w:bookmarkEnd w:id="7"/>
      <w:r>
        <w:t>6</w:t>
      </w:r>
    </w:p>
    <w:p w14:paraId="728C8DE8" w14:textId="77777777" w:rsidR="00DE28A5" w:rsidRPr="003766A0" w:rsidRDefault="00DE28A5" w:rsidP="00DE28A5">
      <w:pPr>
        <w:pStyle w:val="ContentsLevel1"/>
        <w:jc w:val="both"/>
        <w:rPr>
          <w:b w:val="0"/>
        </w:rPr>
      </w:pPr>
    </w:p>
    <w:bookmarkEnd w:id="6"/>
    <w:p w14:paraId="152CF8D7" w14:textId="4C0027E0" w:rsidR="00DE28A5" w:rsidRPr="003766A0" w:rsidRDefault="00DE28A5" w:rsidP="00DE28A5">
      <w:pPr>
        <w:pStyle w:val="ContentsLevel1"/>
        <w:jc w:val="both"/>
        <w:rPr>
          <w:b w:val="0"/>
        </w:rPr>
      </w:pPr>
      <w:r w:rsidRPr="003766A0">
        <w:t>BASIS FOR CONCLUSIONS</w:t>
      </w:r>
    </w:p>
    <w:p w14:paraId="795317CF" w14:textId="2034E158" w:rsidR="00DE28A5" w:rsidRPr="003766A0" w:rsidRDefault="00DE28A5" w:rsidP="00DE28A5">
      <w:pPr>
        <w:pStyle w:val="ContentsBox"/>
        <w:spacing w:before="480" w:after="0"/>
      </w:pPr>
      <w:r w:rsidRPr="003766A0">
        <w:t>Australian Accounting Standard AASB </w:t>
      </w:r>
      <w:r>
        <w:t>2023-</w:t>
      </w:r>
      <w:r w:rsidR="000E1D7A">
        <w:t>3</w:t>
      </w:r>
      <w:r w:rsidRPr="003766A0">
        <w:t xml:space="preserve"> </w:t>
      </w:r>
      <w:r w:rsidRPr="003766A0">
        <w:rPr>
          <w:i/>
        </w:rPr>
        <w:t xml:space="preserve">Amendments to Australian Accounting Standards – </w:t>
      </w:r>
      <w:r>
        <w:rPr>
          <w:i/>
        </w:rPr>
        <w:t xml:space="preserve">Disclosure of Non-current Liabilities with Covenants: Tier 2 </w:t>
      </w:r>
      <w:r w:rsidRPr="003766A0">
        <w:t xml:space="preserve">is set out </w:t>
      </w:r>
      <w:r w:rsidRPr="00152CAD">
        <w:t xml:space="preserve">in </w:t>
      </w:r>
      <w:r w:rsidRPr="00193D90">
        <w:t>paragraph</w:t>
      </w:r>
      <w:r>
        <w:t>s</w:t>
      </w:r>
      <w:r w:rsidR="00D84EEA">
        <w:t xml:space="preserve"> 1–6</w:t>
      </w:r>
      <w:r w:rsidRPr="00193D90">
        <w:t>.</w:t>
      </w:r>
      <w:r w:rsidRPr="00192BAF">
        <w:t xml:space="preserve"> All</w:t>
      </w:r>
      <w:r w:rsidRPr="00152CAD">
        <w:t xml:space="preserve"> the paragraphs have equal authority.</w:t>
      </w:r>
    </w:p>
    <w:p w14:paraId="03C559E3" w14:textId="77777777" w:rsidR="00DE28A5" w:rsidRDefault="00DE28A5" w:rsidP="00DE28A5">
      <w:pPr>
        <w:pStyle w:val="ContentsBox"/>
        <w:pBdr>
          <w:top w:val="none" w:sz="0" w:space="0" w:color="auto"/>
          <w:left w:val="none" w:sz="0" w:space="0" w:color="auto"/>
          <w:bottom w:val="none" w:sz="0" w:space="0" w:color="auto"/>
          <w:right w:val="none" w:sz="0" w:space="0" w:color="auto"/>
        </w:pBdr>
        <w:spacing w:after="0"/>
      </w:pPr>
    </w:p>
    <w:p w14:paraId="45160C57" w14:textId="77777777" w:rsidR="00DE28A5" w:rsidRDefault="00DE28A5" w:rsidP="00DE28A5">
      <w:pPr>
        <w:pStyle w:val="ContentsBox"/>
        <w:pBdr>
          <w:top w:val="none" w:sz="0" w:space="0" w:color="auto"/>
          <w:left w:val="none" w:sz="0" w:space="0" w:color="auto"/>
          <w:bottom w:val="none" w:sz="0" w:space="0" w:color="auto"/>
          <w:right w:val="none" w:sz="0" w:space="0" w:color="auto"/>
        </w:pBdr>
        <w:spacing w:after="0"/>
        <w:sectPr w:rsidR="00DE28A5">
          <w:footerReference w:type="default" r:id="rId19"/>
          <w:footnotePr>
            <w:numRestart w:val="eachSect"/>
          </w:footnotePr>
          <w:pgSz w:w="11907" w:h="16840" w:code="9"/>
          <w:pgMar w:top="1418" w:right="1418" w:bottom="1418" w:left="1418" w:header="709" w:footer="709" w:gutter="0"/>
          <w:paperSrc w:first="7" w:other="7"/>
          <w:cols w:space="720"/>
          <w:docGrid w:linePitch="65"/>
        </w:sectPr>
      </w:pPr>
    </w:p>
    <w:p w14:paraId="79E44C41" w14:textId="77777777" w:rsidR="00DE28A5" w:rsidRPr="003766A0" w:rsidRDefault="00DE28A5" w:rsidP="00DE28A5">
      <w:pPr>
        <w:pStyle w:val="ConvSectionTitle"/>
        <w:rPr>
          <w:i/>
          <w:iCs/>
        </w:rPr>
      </w:pPr>
      <w:r w:rsidRPr="003766A0">
        <w:lastRenderedPageBreak/>
        <w:t>Preface</w:t>
      </w:r>
    </w:p>
    <w:p w14:paraId="464E53F9" w14:textId="0079A8D4" w:rsidR="00DE28A5" w:rsidRPr="003766A0" w:rsidRDefault="00DE28A5" w:rsidP="00DE28A5">
      <w:pPr>
        <w:pStyle w:val="IASBSectionTitle1NonInd"/>
      </w:pPr>
      <w:bookmarkStart w:id="8" w:name="ArisingNo"/>
      <w:bookmarkEnd w:id="8"/>
      <w:r w:rsidRPr="003766A0">
        <w:t xml:space="preserve">Standards amended by AASB </w:t>
      </w:r>
      <w:r>
        <w:t>2023-</w:t>
      </w:r>
      <w:r w:rsidR="000E1D7A">
        <w:t>3</w:t>
      </w:r>
    </w:p>
    <w:p w14:paraId="45F842C3" w14:textId="3FBDB92A" w:rsidR="00DE28A5" w:rsidRPr="003766A0" w:rsidRDefault="00DE28A5" w:rsidP="00DE28A5">
      <w:pPr>
        <w:pStyle w:val="Default"/>
        <w:spacing w:after="100"/>
        <w:jc w:val="both"/>
        <w:rPr>
          <w:color w:val="auto"/>
          <w:sz w:val="19"/>
          <w:lang w:eastAsia="en-US"/>
        </w:rPr>
      </w:pPr>
      <w:r w:rsidRPr="003766A0">
        <w:rPr>
          <w:sz w:val="19"/>
        </w:rPr>
        <w:t xml:space="preserve">This Standard makes amendments to </w:t>
      </w:r>
      <w:r w:rsidRPr="00BA7886">
        <w:rPr>
          <w:sz w:val="19"/>
        </w:rPr>
        <w:t>AASB</w:t>
      </w:r>
      <w:r>
        <w:rPr>
          <w:i/>
          <w:iCs/>
          <w:sz w:val="19"/>
        </w:rPr>
        <w:t> </w:t>
      </w:r>
      <w:r w:rsidRPr="003766A0">
        <w:rPr>
          <w:sz w:val="19"/>
        </w:rPr>
        <w:t>10</w:t>
      </w:r>
      <w:r>
        <w:rPr>
          <w:sz w:val="19"/>
        </w:rPr>
        <w:t>60</w:t>
      </w:r>
      <w:r w:rsidRPr="003766A0">
        <w:rPr>
          <w:sz w:val="19"/>
        </w:rPr>
        <w:t xml:space="preserve"> </w:t>
      </w:r>
      <w:r w:rsidRPr="000D01AA">
        <w:rPr>
          <w:i/>
          <w:sz w:val="19"/>
        </w:rPr>
        <w:t>General Purpose Financial Statements – Simplified Disclosures for For-Profit and Not-for-Profit Tier 2 Entities</w:t>
      </w:r>
      <w:r w:rsidRPr="003766A0">
        <w:rPr>
          <w:sz w:val="19"/>
        </w:rPr>
        <w:t xml:space="preserve"> (Ma</w:t>
      </w:r>
      <w:r>
        <w:rPr>
          <w:sz w:val="19"/>
        </w:rPr>
        <w:t>rch</w:t>
      </w:r>
      <w:r w:rsidRPr="003766A0">
        <w:rPr>
          <w:sz w:val="19"/>
        </w:rPr>
        <w:t xml:space="preserve"> 20</w:t>
      </w:r>
      <w:r>
        <w:rPr>
          <w:sz w:val="19"/>
        </w:rPr>
        <w:t>20</w:t>
      </w:r>
      <w:r w:rsidRPr="003766A0">
        <w:rPr>
          <w:sz w:val="19"/>
        </w:rPr>
        <w:t>).</w:t>
      </w:r>
    </w:p>
    <w:p w14:paraId="6025FB5E" w14:textId="77777777" w:rsidR="00DE28A5" w:rsidRPr="003766A0" w:rsidRDefault="00DE28A5" w:rsidP="008350A1">
      <w:pPr>
        <w:pStyle w:val="IASBSectionTitle1NonInd"/>
      </w:pPr>
      <w:r w:rsidRPr="003766A0">
        <w:t xml:space="preserve">Main features of </w:t>
      </w:r>
      <w:r>
        <w:t>this Standard</w:t>
      </w:r>
    </w:p>
    <w:p w14:paraId="2C293EC2" w14:textId="77777777" w:rsidR="00DE28A5" w:rsidRPr="003766A0" w:rsidRDefault="00DE28A5" w:rsidP="00DE28A5">
      <w:pPr>
        <w:pStyle w:val="IASBSectionTitle2Ind"/>
      </w:pPr>
      <w:r w:rsidRPr="003766A0">
        <w:t>Main requirements</w:t>
      </w:r>
    </w:p>
    <w:p w14:paraId="45596ABF" w14:textId="77777777" w:rsidR="00DE28A5" w:rsidRDefault="00DE28A5" w:rsidP="00DE28A5">
      <w:pPr>
        <w:pStyle w:val="IASBNormal"/>
      </w:pPr>
      <w:r>
        <w:rPr>
          <w:iCs/>
        </w:rPr>
        <w:t xml:space="preserve">AASB 2020-1 </w:t>
      </w:r>
      <w:r w:rsidRPr="008A0120">
        <w:rPr>
          <w:i/>
          <w:iCs/>
        </w:rPr>
        <w:t>Amendments to Australian Accounting Standards</w:t>
      </w:r>
      <w:r>
        <w:rPr>
          <w:i/>
          <w:iCs/>
        </w:rPr>
        <w:t xml:space="preserve"> </w:t>
      </w:r>
      <w:r w:rsidRPr="008A0120">
        <w:rPr>
          <w:i/>
          <w:iCs/>
        </w:rPr>
        <w:t xml:space="preserve">– </w:t>
      </w:r>
      <w:r>
        <w:rPr>
          <w:i/>
          <w:iCs/>
        </w:rPr>
        <w:t>Classification of Liabilities as Current or Non-</w:t>
      </w:r>
      <w:r w:rsidRPr="00827491">
        <w:rPr>
          <w:i/>
          <w:iCs/>
        </w:rPr>
        <w:t>Current</w:t>
      </w:r>
      <w:r>
        <w:t xml:space="preserve"> and </w:t>
      </w:r>
      <w:r w:rsidRPr="00827491">
        <w:t>AASB</w:t>
      </w:r>
      <w:r>
        <w:t xml:space="preserve"> 2022-6 </w:t>
      </w:r>
      <w:r w:rsidRPr="008A0120">
        <w:rPr>
          <w:i/>
          <w:iCs/>
        </w:rPr>
        <w:t>Amendments to Australian Accounting Standards –</w:t>
      </w:r>
      <w:r>
        <w:rPr>
          <w:i/>
          <w:iCs/>
        </w:rPr>
        <w:t xml:space="preserve"> Non-current Liabilities with Covenants</w:t>
      </w:r>
      <w:r>
        <w:t xml:space="preserve"> amended AASB 101 </w:t>
      </w:r>
      <w:r>
        <w:rPr>
          <w:i/>
          <w:iCs/>
        </w:rPr>
        <w:t>Presentation of Financial Statements</w:t>
      </w:r>
      <w:r>
        <w:t xml:space="preserve"> to improve the information an entity provides in its financial statements about liabilities arising from loan arrangements for which the entity’s right to defer settlement of those liabilities for at least twelve months after the reporting period is subject to the entity complying with conditions specified in the loan arrangement (often referred to as ‘covenants’).</w:t>
      </w:r>
    </w:p>
    <w:p w14:paraId="12610C2A" w14:textId="2E830E4A" w:rsidR="00DE28A5" w:rsidRDefault="00DE28A5" w:rsidP="00DE28A5">
      <w:pPr>
        <w:pStyle w:val="IASBNormal"/>
      </w:pPr>
      <w:r>
        <w:t>Consistent with the amendments made by AASB 2020-1 and AASB 2022-6</w:t>
      </w:r>
      <w:r w:rsidR="00D84EEA">
        <w:t xml:space="preserve"> for Tier 1 reporting requirements</w:t>
      </w:r>
      <w:r>
        <w:t xml:space="preserve">, this Standard </w:t>
      </w:r>
      <w:bookmarkStart w:id="9" w:name="_Hlk124343708"/>
      <w:r>
        <w:t>amends</w:t>
      </w:r>
      <w:r w:rsidRPr="00205144">
        <w:t xml:space="preserve"> </w:t>
      </w:r>
      <w:r>
        <w:t>AASB 1060 to:</w:t>
      </w:r>
    </w:p>
    <w:p w14:paraId="301C5484" w14:textId="1B4B773D" w:rsidR="00DE28A5" w:rsidRDefault="00DE28A5" w:rsidP="00F35AF9">
      <w:pPr>
        <w:pStyle w:val="NumPlain1"/>
        <w:tabs>
          <w:tab w:val="clear" w:pos="510"/>
        </w:tabs>
        <w:ind w:left="782" w:hanging="782"/>
      </w:pPr>
      <w:bookmarkStart w:id="10" w:name="_Hlk127474994"/>
      <w:r>
        <w:t xml:space="preserve">clarify that a liability is classified as non-current if an entity has the right at the reporting date to defer settlement of the liability for at least twelve months after the reporting date; </w:t>
      </w:r>
    </w:p>
    <w:p w14:paraId="49E31AB4" w14:textId="6B671671" w:rsidR="00DE28A5" w:rsidRDefault="00DE28A5" w:rsidP="00066BFE">
      <w:pPr>
        <w:pStyle w:val="NumPlain1"/>
        <w:tabs>
          <w:tab w:val="clear" w:pos="510"/>
        </w:tabs>
        <w:ind w:left="782" w:hanging="782"/>
      </w:pPr>
      <w:r>
        <w:t>clarify the reference to settlement of a liability by the issue of equity instruments in classifying liabilities; and</w:t>
      </w:r>
    </w:p>
    <w:p w14:paraId="2884418F" w14:textId="77777777" w:rsidR="00DE28A5" w:rsidRDefault="00DE28A5" w:rsidP="00066BFE">
      <w:pPr>
        <w:pStyle w:val="NumPlain1"/>
        <w:tabs>
          <w:tab w:val="clear" w:pos="510"/>
        </w:tabs>
        <w:ind w:left="782" w:hanging="782"/>
      </w:pPr>
      <w:r>
        <w:t>require the disclosure of information that enables users of the financial statements to understand the risk that non-current liabilities with covenants could become repayable within twelve months</w:t>
      </w:r>
      <w:bookmarkEnd w:id="9"/>
      <w:r>
        <w:t xml:space="preserve">. </w:t>
      </w:r>
    </w:p>
    <w:bookmarkEnd w:id="10"/>
    <w:p w14:paraId="74D3E071" w14:textId="77777777" w:rsidR="00DE28A5" w:rsidRPr="003766A0" w:rsidRDefault="00DE28A5" w:rsidP="00DE28A5">
      <w:pPr>
        <w:pStyle w:val="IASBSectionTitle2Ind"/>
      </w:pPr>
      <w:r w:rsidRPr="003766A0">
        <w:t>Application date</w:t>
      </w:r>
    </w:p>
    <w:p w14:paraId="7F56328D" w14:textId="4E619860" w:rsidR="00DE28A5" w:rsidRDefault="00DE28A5" w:rsidP="00DE28A5">
      <w:pPr>
        <w:pStyle w:val="IASBNormal"/>
      </w:pPr>
      <w:r w:rsidRPr="003766A0">
        <w:t xml:space="preserve">This Standard applies to </w:t>
      </w:r>
      <w:r>
        <w:t xml:space="preserve">annual </w:t>
      </w:r>
      <w:r w:rsidRPr="003766A0">
        <w:t xml:space="preserve">periods </w:t>
      </w:r>
      <w:r>
        <w:t xml:space="preserve">beginning </w:t>
      </w:r>
      <w:r w:rsidRPr="003766A0">
        <w:t xml:space="preserve">on or </w:t>
      </w:r>
      <w:r>
        <w:t>after 1 January 2024</w:t>
      </w:r>
      <w:r w:rsidRPr="003766A0">
        <w:t xml:space="preserve">, with </w:t>
      </w:r>
      <w:r>
        <w:t xml:space="preserve">earlier application </w:t>
      </w:r>
      <w:r w:rsidRPr="003766A0">
        <w:t xml:space="preserve">permitted. </w:t>
      </w:r>
    </w:p>
    <w:p w14:paraId="28DE53D2" w14:textId="77777777" w:rsidR="00DE28A5" w:rsidRDefault="00DE28A5" w:rsidP="00DE28A5">
      <w:pPr>
        <w:pStyle w:val="IASBNormal"/>
        <w:spacing w:after="0"/>
      </w:pPr>
    </w:p>
    <w:p w14:paraId="744257DB" w14:textId="77777777" w:rsidR="00DE28A5" w:rsidRDefault="00DE28A5" w:rsidP="00DE28A5">
      <w:pPr>
        <w:pStyle w:val="IASBNormal"/>
        <w:spacing w:after="0"/>
        <w:sectPr w:rsidR="00DE28A5">
          <w:footerReference w:type="default" r:id="rId20"/>
          <w:footnotePr>
            <w:numRestart w:val="eachSect"/>
          </w:footnotePr>
          <w:pgSz w:w="11907" w:h="16840" w:code="9"/>
          <w:pgMar w:top="1418" w:right="1418" w:bottom="1418" w:left="1418" w:header="709" w:footer="709" w:gutter="0"/>
          <w:paperSrc w:first="7" w:other="7"/>
          <w:cols w:space="720"/>
          <w:docGrid w:linePitch="65"/>
        </w:sectPr>
      </w:pPr>
    </w:p>
    <w:p w14:paraId="30317215" w14:textId="5581185E" w:rsidR="00DE28A5" w:rsidRPr="003766A0" w:rsidRDefault="00DE28A5" w:rsidP="00DE28A5">
      <w:pPr>
        <w:pStyle w:val="ConvSectionTitle"/>
      </w:pPr>
      <w:r w:rsidRPr="003766A0">
        <w:lastRenderedPageBreak/>
        <w:t>Accounting Standard AASB </w:t>
      </w:r>
      <w:r>
        <w:t>2023-</w:t>
      </w:r>
      <w:r w:rsidR="001B730D">
        <w:t>3</w:t>
      </w:r>
    </w:p>
    <w:p w14:paraId="73F25D7A" w14:textId="4E6C50DB" w:rsidR="00DE28A5" w:rsidRPr="003766A0" w:rsidRDefault="00DE28A5" w:rsidP="00DE28A5">
      <w:pPr>
        <w:pStyle w:val="BodyText"/>
        <w:rPr>
          <w:lang w:eastAsia="en-AU"/>
        </w:rPr>
      </w:pPr>
      <w:r w:rsidRPr="003766A0">
        <w:rPr>
          <w:lang w:eastAsia="en-AU"/>
        </w:rPr>
        <w:t xml:space="preserve">The Australian Accounting Standards Board makes Accounting Standard AASB </w:t>
      </w:r>
      <w:r>
        <w:rPr>
          <w:lang w:eastAsia="en-AU"/>
        </w:rPr>
        <w:t>2023-</w:t>
      </w:r>
      <w:r w:rsidR="001B730D">
        <w:rPr>
          <w:lang w:eastAsia="en-AU"/>
        </w:rPr>
        <w:t>3</w:t>
      </w:r>
      <w:r w:rsidRPr="003766A0">
        <w:rPr>
          <w:lang w:eastAsia="en-AU"/>
        </w:rPr>
        <w:t xml:space="preserve"> </w:t>
      </w:r>
      <w:r w:rsidRPr="003766A0">
        <w:rPr>
          <w:i/>
          <w:lang w:eastAsia="en-AU"/>
        </w:rPr>
        <w:t>Amendments to Australian Accounting Standard</w:t>
      </w:r>
      <w:r>
        <w:rPr>
          <w:i/>
          <w:lang w:eastAsia="en-AU"/>
        </w:rPr>
        <w:t>s</w:t>
      </w:r>
      <w:r w:rsidRPr="003766A0">
        <w:rPr>
          <w:i/>
          <w:lang w:eastAsia="en-AU"/>
        </w:rPr>
        <w:t xml:space="preserve"> – </w:t>
      </w:r>
      <w:r>
        <w:rPr>
          <w:i/>
          <w:lang w:eastAsia="en-AU"/>
        </w:rPr>
        <w:t xml:space="preserve">Disclosure of Non-current Liabilities with Covenants: Tier 2 </w:t>
      </w:r>
      <w:r w:rsidRPr="003766A0">
        <w:rPr>
          <w:lang w:eastAsia="en-AU"/>
        </w:rPr>
        <w:t>under section</w:t>
      </w:r>
      <w:r>
        <w:rPr>
          <w:lang w:eastAsia="en-AU"/>
        </w:rPr>
        <w:t xml:space="preserve"> </w:t>
      </w:r>
      <w:r w:rsidRPr="003766A0">
        <w:rPr>
          <w:lang w:eastAsia="en-AU"/>
        </w:rPr>
        <w:t xml:space="preserve">334 of the </w:t>
      </w:r>
      <w:r w:rsidRPr="002222AA">
        <w:rPr>
          <w:i/>
          <w:lang w:eastAsia="en-AU"/>
        </w:rPr>
        <w:t>Corporations Act 2001</w:t>
      </w:r>
      <w:r w:rsidRPr="003766A0">
        <w:rPr>
          <w:lang w:eastAsia="en-AU"/>
        </w:rPr>
        <w:t>.</w:t>
      </w:r>
    </w:p>
    <w:p w14:paraId="33F906F5" w14:textId="77777777" w:rsidR="00DE28A5" w:rsidRPr="003766A0" w:rsidRDefault="00DE28A5" w:rsidP="00DE28A5">
      <w:pPr>
        <w:pStyle w:val="BodyText"/>
        <w:spacing w:after="0"/>
        <w:jc w:val="right"/>
        <w:rPr>
          <w:lang w:eastAsia="en-AU"/>
        </w:rPr>
      </w:pPr>
      <w:bookmarkStart w:id="11" w:name="_Hlk136962031"/>
      <w:r>
        <w:rPr>
          <w:lang w:eastAsia="en-AU"/>
        </w:rPr>
        <w:t>Keith Kendall</w:t>
      </w:r>
    </w:p>
    <w:p w14:paraId="738CC5BC" w14:textId="204E0799" w:rsidR="00DE28A5" w:rsidRPr="003766A0" w:rsidRDefault="00DE28A5" w:rsidP="00DE28A5">
      <w:pPr>
        <w:pStyle w:val="BodyText"/>
        <w:tabs>
          <w:tab w:val="left" w:pos="191"/>
          <w:tab w:val="right" w:pos="9071"/>
        </w:tabs>
        <w:jc w:val="left"/>
        <w:rPr>
          <w:lang w:eastAsia="en-AU"/>
        </w:rPr>
      </w:pPr>
      <w:r w:rsidRPr="003766A0">
        <w:rPr>
          <w:lang w:eastAsia="en-AU"/>
        </w:rPr>
        <w:t xml:space="preserve">Dated </w:t>
      </w:r>
      <w:r w:rsidR="000E1D7A">
        <w:rPr>
          <w:lang w:eastAsia="en-AU"/>
        </w:rPr>
        <w:t>22 June 2023</w:t>
      </w:r>
      <w:r>
        <w:rPr>
          <w:lang w:eastAsia="en-AU"/>
        </w:rPr>
        <w:tab/>
      </w:r>
      <w:r w:rsidRPr="003766A0">
        <w:rPr>
          <w:lang w:eastAsia="en-AU"/>
        </w:rPr>
        <w:t>Chair – AASB</w:t>
      </w:r>
    </w:p>
    <w:bookmarkEnd w:id="11"/>
    <w:p w14:paraId="7A8AAA3D" w14:textId="72608C9A" w:rsidR="00DE28A5" w:rsidRPr="003766A0" w:rsidRDefault="00DE28A5" w:rsidP="00DE28A5">
      <w:pPr>
        <w:pStyle w:val="ConvSectionTitle"/>
        <w:spacing w:after="0"/>
      </w:pPr>
      <w:r w:rsidRPr="003766A0">
        <w:t>Accounting Standard AASB </w:t>
      </w:r>
      <w:r>
        <w:t>2023-</w:t>
      </w:r>
      <w:r w:rsidR="000E1D7A">
        <w:t>3</w:t>
      </w:r>
    </w:p>
    <w:p w14:paraId="34B1EA8F" w14:textId="77777777" w:rsidR="00DE28A5" w:rsidRPr="003766A0" w:rsidRDefault="00DE28A5" w:rsidP="00DE28A5">
      <w:pPr>
        <w:pStyle w:val="ConvSectionTitle"/>
        <w:spacing w:before="0" w:after="0"/>
        <w:rPr>
          <w:i/>
        </w:rPr>
      </w:pPr>
      <w:r w:rsidRPr="00375316">
        <w:rPr>
          <w:i/>
        </w:rPr>
        <w:t xml:space="preserve">Amendments to Australian Accounting Standards – Disclosure of </w:t>
      </w:r>
      <w:r>
        <w:rPr>
          <w:i/>
        </w:rPr>
        <w:t>Non-current Liabilities with Covenants</w:t>
      </w:r>
      <w:r w:rsidRPr="00375316">
        <w:rPr>
          <w:i/>
        </w:rPr>
        <w:t xml:space="preserve">: Tier 2 </w:t>
      </w:r>
    </w:p>
    <w:p w14:paraId="2880484B" w14:textId="77777777" w:rsidR="00DE28A5" w:rsidRPr="003766A0" w:rsidRDefault="00DE28A5" w:rsidP="00DE28A5">
      <w:pPr>
        <w:pStyle w:val="IASBSectionTitle1NonInd"/>
      </w:pPr>
      <w:r w:rsidRPr="003766A0">
        <w:t>Objective</w:t>
      </w:r>
    </w:p>
    <w:p w14:paraId="5C621EA4" w14:textId="77777777" w:rsidR="00DE28A5" w:rsidRDefault="00DE28A5" w:rsidP="00DE28A5">
      <w:pPr>
        <w:pStyle w:val="NumPlain1"/>
        <w:numPr>
          <w:ilvl w:val="0"/>
          <w:numId w:val="14"/>
        </w:numPr>
        <w:ind w:left="782" w:hanging="782"/>
      </w:pPr>
      <w:r>
        <w:t xml:space="preserve">This Standard amends AASB 1060 </w:t>
      </w:r>
      <w:r w:rsidRPr="000D01AA">
        <w:rPr>
          <w:i/>
        </w:rPr>
        <w:t>General Purpose Financial Statements – Simplified Disclosures for For-Profit and Not-for-Profit Tier 2 Entities</w:t>
      </w:r>
      <w:r>
        <w:rPr>
          <w:i/>
        </w:rPr>
        <w:t xml:space="preserve"> </w:t>
      </w:r>
      <w:r>
        <w:rPr>
          <w:iCs/>
        </w:rPr>
        <w:t>(March 2020) to</w:t>
      </w:r>
      <w:r>
        <w:t>:</w:t>
      </w:r>
    </w:p>
    <w:p w14:paraId="3B3E58AA" w14:textId="392A17CF" w:rsidR="00DE28A5" w:rsidRDefault="00DE28A5" w:rsidP="00DE28A5">
      <w:pPr>
        <w:pStyle w:val="NumPlain2"/>
        <w:tabs>
          <w:tab w:val="clear" w:pos="1021"/>
        </w:tabs>
        <w:ind w:left="1564" w:hanging="782"/>
      </w:pPr>
      <w:r>
        <w:t xml:space="preserve">clarify that a liability is classified as non-current if an entity has the right at the reporting date to defer settlement of the liability for at least twelve months after the reporting date; </w:t>
      </w:r>
    </w:p>
    <w:p w14:paraId="61DC387D" w14:textId="14B56857" w:rsidR="00DE28A5" w:rsidRDefault="00DE28A5" w:rsidP="00DE28A5">
      <w:pPr>
        <w:pStyle w:val="NumPlain2"/>
        <w:tabs>
          <w:tab w:val="clear" w:pos="1021"/>
        </w:tabs>
        <w:ind w:left="1564" w:hanging="782"/>
      </w:pPr>
      <w:r>
        <w:t>clarify the reference to settlement of a liability by the issue of equity instruments in classifying liabilities; and</w:t>
      </w:r>
    </w:p>
    <w:p w14:paraId="586FFF3B" w14:textId="77777777" w:rsidR="00DE28A5" w:rsidRDefault="00DE28A5" w:rsidP="00DE28A5">
      <w:pPr>
        <w:pStyle w:val="NumPlain2"/>
        <w:tabs>
          <w:tab w:val="clear" w:pos="1021"/>
        </w:tabs>
        <w:ind w:left="1564" w:hanging="782"/>
      </w:pPr>
      <w:r>
        <w:t xml:space="preserve">require the disclosure of information that enables users of the financial statements to understand the risk that non-current liabilities with covenants could become repayable within twelve months. </w:t>
      </w:r>
    </w:p>
    <w:p w14:paraId="5B9F62E2" w14:textId="77777777" w:rsidR="00DE28A5" w:rsidRPr="003766A0" w:rsidRDefault="00DE28A5" w:rsidP="00DE28A5">
      <w:pPr>
        <w:pStyle w:val="NumPlain1"/>
        <w:numPr>
          <w:ilvl w:val="0"/>
          <w:numId w:val="0"/>
        </w:numPr>
        <w:ind w:left="782"/>
      </w:pPr>
      <w:r>
        <w:t xml:space="preserve">These amendments reflect the issuance of </w:t>
      </w:r>
      <w:r>
        <w:rPr>
          <w:iCs/>
        </w:rPr>
        <w:t xml:space="preserve">AASB 2020-1 </w:t>
      </w:r>
      <w:r w:rsidRPr="008A0120">
        <w:rPr>
          <w:i/>
          <w:iCs/>
        </w:rPr>
        <w:t>Amendments to Australian Accounting Standards</w:t>
      </w:r>
      <w:r>
        <w:rPr>
          <w:i/>
          <w:iCs/>
        </w:rPr>
        <w:t xml:space="preserve"> </w:t>
      </w:r>
      <w:r w:rsidRPr="008A0120">
        <w:rPr>
          <w:i/>
          <w:iCs/>
        </w:rPr>
        <w:t xml:space="preserve">– </w:t>
      </w:r>
      <w:r>
        <w:rPr>
          <w:i/>
          <w:iCs/>
        </w:rPr>
        <w:t>Classification of Liabilities as Current or Non-</w:t>
      </w:r>
      <w:r w:rsidRPr="00827491">
        <w:rPr>
          <w:i/>
          <w:iCs/>
        </w:rPr>
        <w:t>Current</w:t>
      </w:r>
      <w:r>
        <w:t xml:space="preserve"> (March 2020) and </w:t>
      </w:r>
      <w:r w:rsidRPr="00827491">
        <w:t>AASB</w:t>
      </w:r>
      <w:r>
        <w:t xml:space="preserve"> 2022-6 </w:t>
      </w:r>
      <w:r w:rsidRPr="008A0120">
        <w:rPr>
          <w:i/>
          <w:iCs/>
        </w:rPr>
        <w:t>Amendments to Australian Accounting Standards –</w:t>
      </w:r>
      <w:r>
        <w:rPr>
          <w:i/>
          <w:iCs/>
        </w:rPr>
        <w:t xml:space="preserve"> Non-current Liabilities with Covenants </w:t>
      </w:r>
      <w:r>
        <w:t>(December 2022).</w:t>
      </w:r>
    </w:p>
    <w:p w14:paraId="0CA159E3" w14:textId="77777777" w:rsidR="00DE28A5" w:rsidRPr="003766A0" w:rsidRDefault="00DE28A5" w:rsidP="00DE28A5">
      <w:pPr>
        <w:pStyle w:val="IASBSectionTitle1NonInd"/>
      </w:pPr>
      <w:r w:rsidRPr="003766A0">
        <w:t>Application</w:t>
      </w:r>
    </w:p>
    <w:p w14:paraId="25020E84" w14:textId="77777777" w:rsidR="00DE28A5" w:rsidRPr="00AF67E2" w:rsidRDefault="00DE28A5" w:rsidP="00DE28A5">
      <w:pPr>
        <w:pStyle w:val="NumPlain1"/>
        <w:numPr>
          <w:ilvl w:val="0"/>
          <w:numId w:val="14"/>
        </w:numPr>
        <w:ind w:left="782" w:hanging="782"/>
      </w:pPr>
      <w:r w:rsidRPr="000761D8">
        <w:t xml:space="preserve">The amendments set out in this Standard apply to entities and financial statements in accordance with the application of </w:t>
      </w:r>
      <w:r>
        <w:t xml:space="preserve">AASB 1060 </w:t>
      </w:r>
      <w:r w:rsidRPr="000761D8">
        <w:t>set out in AASB 1057</w:t>
      </w:r>
      <w:r>
        <w:t xml:space="preserve"> </w:t>
      </w:r>
      <w:r w:rsidRPr="00B049EB">
        <w:rPr>
          <w:i/>
          <w:iCs/>
        </w:rPr>
        <w:t>Application of Australian Accounting Standards</w:t>
      </w:r>
      <w:r w:rsidRPr="002473F7">
        <w:rPr>
          <w:iCs/>
        </w:rPr>
        <w:t>.</w:t>
      </w:r>
    </w:p>
    <w:p w14:paraId="5AF3A881" w14:textId="3DCBFAE4" w:rsidR="00DE28A5" w:rsidRPr="003766A0" w:rsidRDefault="00DE28A5" w:rsidP="00DE28A5">
      <w:pPr>
        <w:pStyle w:val="NumPlain1"/>
        <w:numPr>
          <w:ilvl w:val="0"/>
          <w:numId w:val="14"/>
        </w:numPr>
        <w:ind w:left="782" w:hanging="782"/>
      </w:pPr>
      <w:r w:rsidRPr="003766A0">
        <w:t xml:space="preserve">This Standard applies to annual periods </w:t>
      </w:r>
      <w:r>
        <w:t xml:space="preserve">beginning </w:t>
      </w:r>
      <w:r w:rsidRPr="003766A0">
        <w:t xml:space="preserve">on or after </w:t>
      </w:r>
      <w:r>
        <w:t>1 January 2024</w:t>
      </w:r>
      <w:bookmarkStart w:id="12" w:name="EarlyYesPara"/>
      <w:r>
        <w:t xml:space="preserve">. </w:t>
      </w:r>
      <w:r w:rsidRPr="003766A0">
        <w:t xml:space="preserve">This Standard may be applied to annual periods </w:t>
      </w:r>
      <w:r>
        <w:t xml:space="preserve">beginning </w:t>
      </w:r>
      <w:r w:rsidRPr="003766A0">
        <w:t xml:space="preserve">before </w:t>
      </w:r>
      <w:r>
        <w:t>1 January 2024.</w:t>
      </w:r>
    </w:p>
    <w:p w14:paraId="509452CD" w14:textId="77777777" w:rsidR="00DE28A5" w:rsidRPr="003766A0" w:rsidRDefault="00DE28A5" w:rsidP="00DE28A5">
      <w:pPr>
        <w:pStyle w:val="NumPlain1"/>
        <w:numPr>
          <w:ilvl w:val="0"/>
          <w:numId w:val="14"/>
        </w:numPr>
        <w:ind w:left="782" w:hanging="782"/>
      </w:pPr>
      <w:r w:rsidRPr="003766A0">
        <w:t>This Standard uses underlining, striking out and other typographical material to identify the amendments to</w:t>
      </w:r>
      <w:r>
        <w:t xml:space="preserve"> AASB 1060</w:t>
      </w:r>
      <w:r w:rsidRPr="003766A0">
        <w:t xml:space="preserve">, in order to make the amendments more understandable. However, the amendments made by this Standard do not include that underlining, striking out or other typographical material. Amended paragraphs are shown with deleted text struck through and </w:t>
      </w:r>
      <w:r>
        <w:t>new text underlined.</w:t>
      </w:r>
    </w:p>
    <w:bookmarkEnd w:id="12"/>
    <w:p w14:paraId="65395890" w14:textId="77777777" w:rsidR="00DE28A5" w:rsidRPr="003766A0" w:rsidRDefault="00DE28A5" w:rsidP="00DE28A5">
      <w:pPr>
        <w:pStyle w:val="IASBSectionTitle1NonInd"/>
        <w:rPr>
          <w:i/>
        </w:rPr>
      </w:pPr>
      <w:r w:rsidRPr="003766A0">
        <w:t>Amendments to AASB 10</w:t>
      </w:r>
      <w:r>
        <w:t>60</w:t>
      </w:r>
      <w:r w:rsidRPr="003766A0">
        <w:t xml:space="preserve"> </w:t>
      </w:r>
    </w:p>
    <w:p w14:paraId="64078133" w14:textId="4F3B841E" w:rsidR="00DE28A5" w:rsidRPr="00DA09CA" w:rsidRDefault="00DE28A5" w:rsidP="00DE28A5">
      <w:pPr>
        <w:pStyle w:val="NumPlain1"/>
        <w:numPr>
          <w:ilvl w:val="0"/>
          <w:numId w:val="14"/>
        </w:numPr>
        <w:ind w:left="782" w:hanging="782"/>
      </w:pPr>
      <w:r w:rsidRPr="00DA09CA">
        <w:t>Paragraph</w:t>
      </w:r>
      <w:r>
        <w:t xml:space="preserve"> 40 is </w:t>
      </w:r>
      <w:r w:rsidRPr="00DA09CA">
        <w:t>amended</w:t>
      </w:r>
      <w:r w:rsidR="004920F8">
        <w:t>. P</w:t>
      </w:r>
      <w:r w:rsidRPr="002B3547">
        <w:t>aragraph</w:t>
      </w:r>
      <w:r w:rsidR="00263702">
        <w:t>s 4</w:t>
      </w:r>
      <w:r w:rsidR="00C9249D">
        <w:t>1</w:t>
      </w:r>
      <w:r w:rsidR="00263702">
        <w:t>A and</w:t>
      </w:r>
      <w:r w:rsidRPr="002B3547">
        <w:t xml:space="preserve"> </w:t>
      </w:r>
      <w:r w:rsidRPr="00192BAF">
        <w:t>47A</w:t>
      </w:r>
      <w:r w:rsidRPr="002B3547">
        <w:t xml:space="preserve"> </w:t>
      </w:r>
      <w:r w:rsidR="004920F8">
        <w:t>are</w:t>
      </w:r>
      <w:r w:rsidR="004920F8" w:rsidRPr="002B3547">
        <w:t xml:space="preserve"> </w:t>
      </w:r>
      <w:r w:rsidRPr="002B3547">
        <w:t>added</w:t>
      </w:r>
      <w:r>
        <w:t xml:space="preserve">. </w:t>
      </w:r>
      <w:r w:rsidRPr="000476BE">
        <w:t>Deleted text is struck through and new text is underlined</w:t>
      </w:r>
      <w:r>
        <w:t>.</w:t>
      </w:r>
      <w:r w:rsidR="00C2501E">
        <w:t xml:space="preserve"> Paragraph 41 is not amended but is included for reference.</w:t>
      </w:r>
    </w:p>
    <w:p w14:paraId="0EF46928" w14:textId="77777777" w:rsidR="00DE28A5" w:rsidRPr="00155974" w:rsidRDefault="00DE28A5" w:rsidP="00DE28A5">
      <w:pPr>
        <w:pStyle w:val="IASBSectionTitle2Ind"/>
        <w:ind w:left="1565"/>
        <w:rPr>
          <w:lang w:eastAsia="en-AU"/>
        </w:rPr>
      </w:pPr>
      <w:r w:rsidRPr="00155974">
        <w:rPr>
          <w:lang w:eastAsia="en-AU"/>
        </w:rPr>
        <w:t>Statement of Financial Position</w:t>
      </w:r>
      <w:r w:rsidRPr="00B04696">
        <w:rPr>
          <w:sz w:val="22"/>
          <w:szCs w:val="22"/>
          <w:vertAlign w:val="superscript"/>
          <w:lang w:eastAsia="en-AU"/>
        </w:rPr>
        <w:t>3</w:t>
      </w:r>
    </w:p>
    <w:p w14:paraId="5172DF06" w14:textId="77777777" w:rsidR="00DE28A5" w:rsidRDefault="00DE28A5" w:rsidP="00DE28A5">
      <w:pPr>
        <w:pStyle w:val="NumPlain1"/>
        <w:numPr>
          <w:ilvl w:val="0"/>
          <w:numId w:val="0"/>
        </w:numPr>
        <w:ind w:left="782"/>
      </w:pPr>
      <w:r>
        <w:t>…</w:t>
      </w:r>
    </w:p>
    <w:p w14:paraId="3EE2CB90" w14:textId="77777777" w:rsidR="00DE28A5" w:rsidRPr="00155974" w:rsidRDefault="00DE28A5" w:rsidP="00DE28A5">
      <w:pPr>
        <w:pStyle w:val="IASBSectionTitle3Ind"/>
        <w:ind w:left="1565"/>
        <w:outlineLvl w:val="1"/>
        <w:rPr>
          <w:lang w:eastAsia="en-AU"/>
        </w:rPr>
      </w:pPr>
      <w:r w:rsidRPr="00155974">
        <w:rPr>
          <w:lang w:eastAsia="en-AU"/>
        </w:rPr>
        <w:t>Current liabilities</w:t>
      </w:r>
    </w:p>
    <w:p w14:paraId="1DA819BF" w14:textId="77777777" w:rsidR="00DE28A5" w:rsidRPr="002739DB" w:rsidRDefault="00DE28A5" w:rsidP="00DE28A5">
      <w:pPr>
        <w:pStyle w:val="IASBNormalnpara"/>
        <w:ind w:left="1564"/>
        <w:rPr>
          <w:bCs/>
          <w:lang w:val="en-AU"/>
        </w:rPr>
      </w:pPr>
      <w:r w:rsidRPr="002739DB">
        <w:rPr>
          <w:bCs/>
          <w:lang w:val="en-AU"/>
        </w:rPr>
        <w:t>40</w:t>
      </w:r>
      <w:r w:rsidRPr="002739DB">
        <w:rPr>
          <w:bCs/>
          <w:lang w:val="en-AU"/>
        </w:rPr>
        <w:tab/>
        <w:t>An entity shall classify a liability as current when:</w:t>
      </w:r>
    </w:p>
    <w:p w14:paraId="54F08456" w14:textId="77777777" w:rsidR="00DE28A5" w:rsidRPr="002739DB" w:rsidRDefault="00DE28A5" w:rsidP="00DE28A5">
      <w:pPr>
        <w:pStyle w:val="IASBNormalnparaL1"/>
        <w:ind w:left="2346"/>
        <w:rPr>
          <w:bCs/>
          <w:lang w:val="en-AU"/>
        </w:rPr>
      </w:pPr>
      <w:r w:rsidRPr="002739DB">
        <w:rPr>
          <w:bCs/>
          <w:lang w:val="en-AU"/>
        </w:rPr>
        <w:t>(a)</w:t>
      </w:r>
      <w:r w:rsidRPr="002739DB">
        <w:rPr>
          <w:bCs/>
          <w:lang w:val="en-AU"/>
        </w:rPr>
        <w:tab/>
        <w:t>it expects to settle the liability in the entity’s normal operating cycle;</w:t>
      </w:r>
    </w:p>
    <w:p w14:paraId="2A11A9D1" w14:textId="77777777" w:rsidR="00DE28A5" w:rsidRPr="002739DB" w:rsidRDefault="00DE28A5" w:rsidP="00DE28A5">
      <w:pPr>
        <w:pStyle w:val="IASBNormalnparaL1"/>
        <w:ind w:left="2346"/>
        <w:rPr>
          <w:bCs/>
          <w:lang w:val="en-AU"/>
        </w:rPr>
      </w:pPr>
      <w:r w:rsidRPr="002739DB">
        <w:rPr>
          <w:bCs/>
          <w:lang w:val="en-AU"/>
        </w:rPr>
        <w:t>(b)</w:t>
      </w:r>
      <w:r w:rsidRPr="002739DB">
        <w:rPr>
          <w:bCs/>
          <w:lang w:val="en-AU"/>
        </w:rPr>
        <w:tab/>
        <w:t>it holds the liability primarily for the purpose of trading;</w:t>
      </w:r>
    </w:p>
    <w:p w14:paraId="02AC70D9" w14:textId="77777777" w:rsidR="00DE28A5" w:rsidRPr="002739DB" w:rsidRDefault="00DE28A5" w:rsidP="00DE28A5">
      <w:pPr>
        <w:pStyle w:val="IASBNormalnparaL1"/>
        <w:ind w:left="2346"/>
        <w:rPr>
          <w:bCs/>
          <w:lang w:val="en-AU"/>
        </w:rPr>
      </w:pPr>
      <w:r w:rsidRPr="002739DB">
        <w:rPr>
          <w:bCs/>
          <w:lang w:val="en-AU"/>
        </w:rPr>
        <w:lastRenderedPageBreak/>
        <w:t>(c)</w:t>
      </w:r>
      <w:r w:rsidRPr="002739DB">
        <w:rPr>
          <w:bCs/>
          <w:lang w:val="en-AU"/>
        </w:rPr>
        <w:tab/>
        <w:t>the liability is due to be settled within twelve months after the reporting date; or</w:t>
      </w:r>
    </w:p>
    <w:p w14:paraId="2C71F7F8" w14:textId="650F0CFD" w:rsidR="00DE28A5" w:rsidRPr="002739DB" w:rsidRDefault="00DE28A5" w:rsidP="00DE28A5">
      <w:pPr>
        <w:pStyle w:val="IASBNormalnparaL1"/>
        <w:ind w:left="2346"/>
        <w:rPr>
          <w:bCs/>
          <w:szCs w:val="19"/>
          <w:lang w:val="en-AU"/>
        </w:rPr>
      </w:pPr>
      <w:r w:rsidRPr="002739DB">
        <w:rPr>
          <w:bCs/>
          <w:lang w:val="en-AU"/>
        </w:rPr>
        <w:t>(d)</w:t>
      </w:r>
      <w:r w:rsidRPr="002739DB">
        <w:rPr>
          <w:bCs/>
          <w:lang w:val="en-AU"/>
        </w:rPr>
        <w:tab/>
      </w:r>
      <w:r w:rsidRPr="002739DB">
        <w:rPr>
          <w:bCs/>
          <w:szCs w:val="19"/>
          <w:lang w:val="en-AU"/>
        </w:rPr>
        <w:t xml:space="preserve">the entity does not have </w:t>
      </w:r>
      <w:proofErr w:type="gramStart"/>
      <w:r w:rsidRPr="002739DB">
        <w:rPr>
          <w:bCs/>
          <w:szCs w:val="19"/>
          <w:u w:val="single"/>
          <w:lang w:val="en-AU"/>
        </w:rPr>
        <w:t>the</w:t>
      </w:r>
      <w:r w:rsidR="004F4B09" w:rsidRPr="004F4B09">
        <w:rPr>
          <w:bCs/>
          <w:szCs w:val="19"/>
          <w:lang w:val="en-AU"/>
        </w:rPr>
        <w:t xml:space="preserve"> </w:t>
      </w:r>
      <w:r w:rsidRPr="002739DB">
        <w:rPr>
          <w:bCs/>
          <w:strike/>
          <w:szCs w:val="19"/>
          <w:lang w:val="en-AU"/>
        </w:rPr>
        <w:t>an</w:t>
      </w:r>
      <w:proofErr w:type="gramEnd"/>
      <w:r w:rsidRPr="002739DB">
        <w:rPr>
          <w:bCs/>
          <w:strike/>
          <w:szCs w:val="19"/>
          <w:lang w:val="en-AU"/>
        </w:rPr>
        <w:t xml:space="preserve"> unconditional</w:t>
      </w:r>
      <w:r w:rsidRPr="002739DB">
        <w:rPr>
          <w:bCs/>
          <w:szCs w:val="19"/>
          <w:lang w:val="en-AU"/>
        </w:rPr>
        <w:t xml:space="preserve"> right </w:t>
      </w:r>
      <w:r w:rsidRPr="002739DB">
        <w:rPr>
          <w:bCs/>
          <w:szCs w:val="19"/>
          <w:u w:val="single"/>
          <w:lang w:val="en-AU"/>
        </w:rPr>
        <w:t>at the reporting date</w:t>
      </w:r>
      <w:r w:rsidRPr="002739DB">
        <w:rPr>
          <w:bCs/>
          <w:szCs w:val="19"/>
          <w:lang w:val="en-AU"/>
        </w:rPr>
        <w:t xml:space="preserve"> to defer settlement of the liability for at least twelve months after </w:t>
      </w:r>
      <w:r w:rsidRPr="002739DB">
        <w:rPr>
          <w:bCs/>
          <w:szCs w:val="19"/>
          <w:u w:val="single"/>
          <w:lang w:val="en-AU"/>
        </w:rPr>
        <w:t>the</w:t>
      </w:r>
      <w:r w:rsidRPr="002739DB">
        <w:rPr>
          <w:bCs/>
          <w:szCs w:val="19"/>
          <w:lang w:val="en-AU"/>
        </w:rPr>
        <w:t xml:space="preserve"> reporting date.</w:t>
      </w:r>
      <w:r w:rsidRPr="00066BFE">
        <w:rPr>
          <w:strike/>
          <w:szCs w:val="19"/>
          <w:lang w:val="en-AU"/>
        </w:rPr>
        <w:t xml:space="preserve"> Terms of a liability that could, at the option of the counterparty, result in its settlement by </w:t>
      </w:r>
      <w:r w:rsidRPr="00343ECE">
        <w:rPr>
          <w:strike/>
          <w:szCs w:val="19"/>
          <w:lang w:val="en-AU"/>
        </w:rPr>
        <w:t>the issue of equity instruments do not affect its classification</w:t>
      </w:r>
      <w:r w:rsidRPr="00066BFE">
        <w:rPr>
          <w:strike/>
          <w:szCs w:val="19"/>
          <w:lang w:val="en-AU"/>
        </w:rPr>
        <w:t>.</w:t>
      </w:r>
      <w:r w:rsidRPr="002739DB">
        <w:rPr>
          <w:bCs/>
          <w:szCs w:val="19"/>
          <w:lang w:val="en-AU"/>
        </w:rPr>
        <w:t xml:space="preserve"> </w:t>
      </w:r>
    </w:p>
    <w:p w14:paraId="2B42B559" w14:textId="77777777" w:rsidR="00DE28A5" w:rsidRPr="002739DB" w:rsidRDefault="00DE28A5" w:rsidP="00DE28A5">
      <w:pPr>
        <w:pStyle w:val="IASBNormalnparaL1"/>
        <w:ind w:left="2346"/>
        <w:rPr>
          <w:bCs/>
          <w:lang w:val="en-AU"/>
        </w:rPr>
      </w:pPr>
      <w:r w:rsidRPr="002739DB">
        <w:rPr>
          <w:bCs/>
          <w:szCs w:val="19"/>
          <w:lang w:val="en-AU"/>
        </w:rPr>
        <w:t xml:space="preserve">[Based on </w:t>
      </w:r>
      <w:r w:rsidRPr="002739DB">
        <w:rPr>
          <w:bCs/>
          <w:i/>
          <w:iCs/>
          <w:szCs w:val="19"/>
          <w:lang w:val="en-AU"/>
        </w:rPr>
        <w:t>IFRS for SMEs</w:t>
      </w:r>
      <w:r w:rsidRPr="002739DB">
        <w:rPr>
          <w:bCs/>
          <w:szCs w:val="19"/>
          <w:lang w:val="en-AU"/>
        </w:rPr>
        <w:t xml:space="preserve"> Standard paragraph 4.7]</w:t>
      </w:r>
    </w:p>
    <w:p w14:paraId="1734BE69" w14:textId="105A7EDA" w:rsidR="00265218" w:rsidRPr="000357FA" w:rsidRDefault="000357FA" w:rsidP="000357FA">
      <w:pPr>
        <w:pStyle w:val="NumPlain2"/>
        <w:numPr>
          <w:ilvl w:val="0"/>
          <w:numId w:val="0"/>
        </w:numPr>
        <w:autoSpaceDE w:val="0"/>
        <w:autoSpaceDN w:val="0"/>
        <w:adjustRightInd w:val="0"/>
        <w:ind w:left="1564" w:hanging="782"/>
        <w:rPr>
          <w:bCs/>
          <w:szCs w:val="19"/>
        </w:rPr>
      </w:pPr>
      <w:r w:rsidRPr="000357FA">
        <w:rPr>
          <w:bCs/>
          <w:szCs w:val="19"/>
        </w:rPr>
        <w:t>41</w:t>
      </w:r>
      <w:r w:rsidR="00E52924">
        <w:rPr>
          <w:bCs/>
          <w:szCs w:val="19"/>
        </w:rPr>
        <w:tab/>
      </w:r>
      <w:r w:rsidRPr="000357FA">
        <w:rPr>
          <w:bCs/>
          <w:szCs w:val="19"/>
        </w:rPr>
        <w:t>An entity shall classify all other liabilities as non-current. [</w:t>
      </w:r>
      <w:r w:rsidRPr="00C73CAB">
        <w:rPr>
          <w:i/>
          <w:szCs w:val="19"/>
        </w:rPr>
        <w:t>IFRS for SMEs</w:t>
      </w:r>
      <w:r w:rsidRPr="000357FA">
        <w:rPr>
          <w:bCs/>
          <w:szCs w:val="19"/>
        </w:rPr>
        <w:t xml:space="preserve"> Standard paragraph 4.8] </w:t>
      </w:r>
    </w:p>
    <w:p w14:paraId="5697D78C" w14:textId="5E2D9EDF" w:rsidR="00C44C8F" w:rsidRPr="00066BFE" w:rsidRDefault="00C44C8F" w:rsidP="00DE28A5">
      <w:pPr>
        <w:pStyle w:val="NumPlain2"/>
        <w:numPr>
          <w:ilvl w:val="0"/>
          <w:numId w:val="0"/>
        </w:numPr>
        <w:autoSpaceDE w:val="0"/>
        <w:autoSpaceDN w:val="0"/>
        <w:adjustRightInd w:val="0"/>
        <w:ind w:left="1564" w:hanging="782"/>
        <w:rPr>
          <w:bCs/>
          <w:szCs w:val="19"/>
          <w:u w:val="single"/>
        </w:rPr>
      </w:pPr>
      <w:r w:rsidRPr="00066BFE">
        <w:rPr>
          <w:bCs/>
          <w:szCs w:val="19"/>
          <w:u w:val="single"/>
        </w:rPr>
        <w:t>4</w:t>
      </w:r>
      <w:r w:rsidR="00265218">
        <w:rPr>
          <w:bCs/>
          <w:szCs w:val="19"/>
          <w:u w:val="single"/>
        </w:rPr>
        <w:t>1</w:t>
      </w:r>
      <w:r w:rsidRPr="00066BFE">
        <w:rPr>
          <w:bCs/>
          <w:szCs w:val="19"/>
          <w:u w:val="single"/>
        </w:rPr>
        <w:t>A</w:t>
      </w:r>
      <w:r w:rsidRPr="00263702">
        <w:rPr>
          <w:bCs/>
          <w:szCs w:val="19"/>
        </w:rPr>
        <w:tab/>
      </w:r>
      <w:r w:rsidRPr="00066BFE">
        <w:rPr>
          <w:bCs/>
          <w:szCs w:val="19"/>
          <w:u w:val="single"/>
        </w:rPr>
        <w:t xml:space="preserve">Terms of a liability that could, at the option of the counterparty, result in its settlement by </w:t>
      </w:r>
      <w:r w:rsidRPr="00D16493">
        <w:rPr>
          <w:bCs/>
          <w:szCs w:val="19"/>
          <w:u w:val="single"/>
        </w:rPr>
        <w:t>the transfer of the entity’s own equity instruments do not affect its classification as current or non-current if, applying AASB</w:t>
      </w:r>
      <w:r w:rsidR="00E55F03">
        <w:rPr>
          <w:bCs/>
          <w:szCs w:val="19"/>
          <w:u w:val="single"/>
        </w:rPr>
        <w:t xml:space="preserve"> </w:t>
      </w:r>
      <w:r w:rsidRPr="00D16493">
        <w:rPr>
          <w:bCs/>
          <w:szCs w:val="19"/>
          <w:u w:val="single"/>
        </w:rPr>
        <w:t xml:space="preserve">132 </w:t>
      </w:r>
      <w:r w:rsidRPr="00D16493">
        <w:rPr>
          <w:bCs/>
          <w:i/>
          <w:szCs w:val="19"/>
          <w:u w:val="single"/>
        </w:rPr>
        <w:t>Financial Instruments: Presentation</w:t>
      </w:r>
      <w:r w:rsidRPr="00D16493">
        <w:rPr>
          <w:bCs/>
          <w:szCs w:val="19"/>
          <w:u w:val="single"/>
        </w:rPr>
        <w:t>, the entity classifies the option as an equity instrument, recognising it separately from the liability as an equity component of a compound financial instrument</w:t>
      </w:r>
      <w:r w:rsidRPr="00066BFE">
        <w:rPr>
          <w:bCs/>
          <w:szCs w:val="19"/>
          <w:u w:val="single"/>
        </w:rPr>
        <w:t>.</w:t>
      </w:r>
    </w:p>
    <w:p w14:paraId="3933D00E" w14:textId="2B757271" w:rsidR="00DE28A5" w:rsidRDefault="00DE28A5" w:rsidP="00DE28A5">
      <w:pPr>
        <w:pStyle w:val="NumPlain2"/>
        <w:numPr>
          <w:ilvl w:val="0"/>
          <w:numId w:val="0"/>
        </w:numPr>
        <w:autoSpaceDE w:val="0"/>
        <w:autoSpaceDN w:val="0"/>
        <w:adjustRightInd w:val="0"/>
        <w:ind w:left="1564" w:hanging="782"/>
        <w:rPr>
          <w:bCs/>
          <w:szCs w:val="19"/>
        </w:rPr>
      </w:pPr>
      <w:r>
        <w:rPr>
          <w:bCs/>
          <w:szCs w:val="19"/>
        </w:rPr>
        <w:t>…</w:t>
      </w:r>
    </w:p>
    <w:p w14:paraId="13C16FD2" w14:textId="77777777" w:rsidR="00DE28A5" w:rsidRPr="00155974" w:rsidRDefault="00DE28A5" w:rsidP="00DE28A5">
      <w:pPr>
        <w:pStyle w:val="IASBSectionTitle3Ind"/>
        <w:ind w:left="1565"/>
        <w:outlineLvl w:val="1"/>
        <w:rPr>
          <w:lang w:eastAsia="en-AU"/>
        </w:rPr>
      </w:pPr>
      <w:r w:rsidRPr="00155974">
        <w:rPr>
          <w:lang w:eastAsia="en-AU"/>
        </w:rPr>
        <w:t>Information to be presented either in the statement of financial position or in the notes</w:t>
      </w:r>
    </w:p>
    <w:p w14:paraId="7EEB90BE" w14:textId="77777777" w:rsidR="00DE28A5" w:rsidRPr="002739DB" w:rsidRDefault="00DE28A5" w:rsidP="00DE28A5">
      <w:pPr>
        <w:pStyle w:val="Default"/>
        <w:spacing w:before="100" w:after="100"/>
        <w:ind w:left="1564" w:hanging="782"/>
        <w:jc w:val="both"/>
        <w:rPr>
          <w:sz w:val="19"/>
          <w:szCs w:val="19"/>
        </w:rPr>
      </w:pPr>
      <w:r w:rsidRPr="002739DB">
        <w:rPr>
          <w:sz w:val="19"/>
          <w:szCs w:val="19"/>
        </w:rPr>
        <w:t>…</w:t>
      </w:r>
    </w:p>
    <w:p w14:paraId="1580012E" w14:textId="02565182" w:rsidR="003A3CE5" w:rsidRDefault="00DE28A5" w:rsidP="003A3CE5">
      <w:pPr>
        <w:pStyle w:val="Default"/>
        <w:spacing w:before="100" w:after="100"/>
        <w:ind w:left="1564" w:hanging="782"/>
        <w:jc w:val="both"/>
        <w:rPr>
          <w:sz w:val="19"/>
          <w:szCs w:val="19"/>
          <w:u w:val="single"/>
        </w:rPr>
      </w:pPr>
      <w:r>
        <w:rPr>
          <w:sz w:val="19"/>
          <w:szCs w:val="19"/>
          <w:u w:val="single"/>
        </w:rPr>
        <w:t>47</w:t>
      </w:r>
      <w:r w:rsidRPr="00166289">
        <w:rPr>
          <w:sz w:val="19"/>
          <w:szCs w:val="19"/>
          <w:u w:val="single"/>
        </w:rPr>
        <w:t>A</w:t>
      </w:r>
      <w:r w:rsidRPr="00166289">
        <w:rPr>
          <w:sz w:val="19"/>
          <w:szCs w:val="19"/>
        </w:rPr>
        <w:tab/>
      </w:r>
      <w:r w:rsidR="003A3CE5" w:rsidRPr="00192BAF">
        <w:rPr>
          <w:sz w:val="19"/>
          <w:szCs w:val="19"/>
          <w:u w:val="single"/>
        </w:rPr>
        <w:t>In applying paragraph 40</w:t>
      </w:r>
      <w:r w:rsidR="003A3CE5" w:rsidRPr="002B3547">
        <w:rPr>
          <w:sz w:val="19"/>
          <w:szCs w:val="19"/>
          <w:u w:val="single"/>
        </w:rPr>
        <w:t>, an entity might classify liabilities arising from loan arrangements as non</w:t>
      </w:r>
      <w:r w:rsidR="003A3CE5">
        <w:rPr>
          <w:sz w:val="19"/>
          <w:szCs w:val="19"/>
          <w:u w:val="single"/>
        </w:rPr>
        <w:noBreakHyphen/>
      </w:r>
      <w:r w:rsidR="003A3CE5" w:rsidRPr="002B3547">
        <w:rPr>
          <w:sz w:val="19"/>
          <w:szCs w:val="19"/>
          <w:u w:val="single"/>
        </w:rPr>
        <w:t>current when the entity’s</w:t>
      </w:r>
      <w:r w:rsidR="003A3CE5" w:rsidRPr="00166289">
        <w:rPr>
          <w:sz w:val="19"/>
          <w:szCs w:val="19"/>
          <w:u w:val="single"/>
        </w:rPr>
        <w:t xml:space="preserve"> right to defer settlement of those liabilities is subject to the entity complying with covenants within twelve months after the reporting </w:t>
      </w:r>
      <w:r w:rsidR="003A3CE5">
        <w:rPr>
          <w:sz w:val="19"/>
          <w:szCs w:val="19"/>
          <w:u w:val="single"/>
        </w:rPr>
        <w:t>date</w:t>
      </w:r>
      <w:r w:rsidR="003A3CE5" w:rsidRPr="00166289">
        <w:rPr>
          <w:sz w:val="19"/>
          <w:szCs w:val="19"/>
          <w:u w:val="single"/>
        </w:rPr>
        <w:t xml:space="preserve">. In such situations, the entity shall disclose information in the notes that enables users of financial statements to understand the risk that the liabilities could become repayable within twelve months </w:t>
      </w:r>
      <w:r w:rsidR="003A3CE5" w:rsidRPr="00577F5F">
        <w:rPr>
          <w:sz w:val="19"/>
          <w:szCs w:val="19"/>
          <w:u w:val="single"/>
        </w:rPr>
        <w:t>after the reporting date</w:t>
      </w:r>
      <w:r w:rsidR="003A3CE5" w:rsidRPr="002739DB">
        <w:rPr>
          <w:sz w:val="19"/>
          <w:szCs w:val="19"/>
          <w:u w:val="single"/>
        </w:rPr>
        <w:t xml:space="preserve">, </w:t>
      </w:r>
      <w:r w:rsidR="003A3CE5" w:rsidRPr="00DA4F3C">
        <w:rPr>
          <w:sz w:val="19"/>
          <w:szCs w:val="19"/>
          <w:u w:val="single"/>
        </w:rPr>
        <w:t>including</w:t>
      </w:r>
      <w:r w:rsidR="003A3CE5">
        <w:rPr>
          <w:sz w:val="19"/>
          <w:szCs w:val="19"/>
          <w:u w:val="single"/>
        </w:rPr>
        <w:t>:</w:t>
      </w:r>
    </w:p>
    <w:p w14:paraId="6AB9F483" w14:textId="77777777" w:rsidR="003A3CE5" w:rsidRDefault="003A3CE5" w:rsidP="003A3CE5">
      <w:pPr>
        <w:pStyle w:val="NumPlain3"/>
        <w:numPr>
          <w:ilvl w:val="2"/>
          <w:numId w:val="2"/>
        </w:numPr>
        <w:tabs>
          <w:tab w:val="num" w:pos="1560"/>
        </w:tabs>
        <w:spacing w:after="0"/>
        <w:ind w:left="2347" w:hanging="782"/>
        <w:rPr>
          <w:bCs/>
          <w:szCs w:val="19"/>
          <w:u w:val="single"/>
        </w:rPr>
      </w:pPr>
      <w:r w:rsidRPr="00DC7509">
        <w:rPr>
          <w:bCs/>
          <w:szCs w:val="19"/>
          <w:u w:val="single"/>
        </w:rPr>
        <w:t>information about the covenants (including the nature of the covenants and when the entity is required to comply with them) and the carrying amount of related liabilities</w:t>
      </w:r>
      <w:r>
        <w:rPr>
          <w:bCs/>
          <w:szCs w:val="19"/>
          <w:u w:val="single"/>
        </w:rPr>
        <w:t>; and</w:t>
      </w:r>
    </w:p>
    <w:p w14:paraId="7AE62545" w14:textId="77777777" w:rsidR="003A3CE5" w:rsidRPr="00080C52" w:rsidRDefault="003A3CE5" w:rsidP="003A3CE5">
      <w:pPr>
        <w:pStyle w:val="NumPlain3"/>
        <w:numPr>
          <w:ilvl w:val="2"/>
          <w:numId w:val="2"/>
        </w:numPr>
        <w:tabs>
          <w:tab w:val="num" w:pos="2410"/>
        </w:tabs>
        <w:spacing w:after="0"/>
        <w:ind w:left="2347" w:hanging="782"/>
        <w:rPr>
          <w:bCs/>
          <w:szCs w:val="19"/>
          <w:u w:val="single"/>
        </w:rPr>
      </w:pPr>
      <w:r w:rsidRPr="00251621">
        <w:rPr>
          <w:bCs/>
          <w:szCs w:val="19"/>
          <w:u w:val="single"/>
        </w:rPr>
        <w:t xml:space="preserve">facts and circumstances, if any, that indicate the entity may have difficulty </w:t>
      </w:r>
      <w:r>
        <w:rPr>
          <w:bCs/>
          <w:szCs w:val="19"/>
          <w:u w:val="single"/>
        </w:rPr>
        <w:t xml:space="preserve">complying </w:t>
      </w:r>
      <w:r w:rsidRPr="00251621">
        <w:rPr>
          <w:bCs/>
          <w:szCs w:val="19"/>
          <w:u w:val="single"/>
        </w:rPr>
        <w:t>with the covenants</w:t>
      </w:r>
      <w:r w:rsidRPr="005732F4">
        <w:rPr>
          <w:b/>
          <w:u w:val="single"/>
        </w:rPr>
        <w:t xml:space="preserve"> </w:t>
      </w:r>
      <w:r>
        <w:rPr>
          <w:b/>
          <w:u w:val="single"/>
        </w:rPr>
        <w:t>–</w:t>
      </w:r>
      <w:r w:rsidRPr="005732F4">
        <w:rPr>
          <w:b/>
          <w:u w:val="single"/>
        </w:rPr>
        <w:t xml:space="preserve"> </w:t>
      </w:r>
      <w:r w:rsidRPr="00251621">
        <w:rPr>
          <w:bCs/>
          <w:szCs w:val="19"/>
          <w:u w:val="single"/>
        </w:rPr>
        <w:t>for example, the entity having acted during or after the reporting period to avoid or mitigate a potential breach. Such facts and circumstances could also include the fact that the entity would not have complied with the covenants if they were to be assessed for compliance based on the entity’s circumstances at the reporting date.</w:t>
      </w:r>
    </w:p>
    <w:p w14:paraId="23910EAD" w14:textId="77777777" w:rsidR="00DE28A5" w:rsidRPr="003766A0" w:rsidRDefault="00DE28A5" w:rsidP="00DE28A5">
      <w:pPr>
        <w:pStyle w:val="IASBSectionTitle1NonInd"/>
      </w:pPr>
      <w:r w:rsidRPr="003766A0">
        <w:t>Commencement of the legislative instrument</w:t>
      </w:r>
    </w:p>
    <w:p w14:paraId="0EECC5D6" w14:textId="1D65DE69" w:rsidR="00DE28A5" w:rsidRDefault="00DE28A5" w:rsidP="00DE28A5">
      <w:pPr>
        <w:pStyle w:val="NumPlain1"/>
        <w:numPr>
          <w:ilvl w:val="0"/>
          <w:numId w:val="14"/>
        </w:numPr>
        <w:ind w:left="782" w:hanging="782"/>
      </w:pPr>
      <w:r w:rsidRPr="003766A0">
        <w:t xml:space="preserve">For legal purposes, this legislative instrument commences on </w:t>
      </w:r>
      <w:r>
        <w:t>31 December 2023</w:t>
      </w:r>
      <w:r w:rsidRPr="003766A0">
        <w:t>.</w:t>
      </w:r>
    </w:p>
    <w:p w14:paraId="2C6E650E" w14:textId="77777777" w:rsidR="00DE28A5" w:rsidRDefault="00DE28A5" w:rsidP="00DE28A5">
      <w:pPr>
        <w:pStyle w:val="NumPlain1"/>
        <w:numPr>
          <w:ilvl w:val="0"/>
          <w:numId w:val="0"/>
        </w:numPr>
        <w:spacing w:before="0" w:after="0"/>
      </w:pPr>
    </w:p>
    <w:p w14:paraId="22279A69" w14:textId="77777777" w:rsidR="00DE28A5" w:rsidRPr="003766A0" w:rsidRDefault="00DE28A5" w:rsidP="00DE28A5">
      <w:pPr>
        <w:pStyle w:val="NumPlain1"/>
        <w:numPr>
          <w:ilvl w:val="0"/>
          <w:numId w:val="0"/>
        </w:numPr>
        <w:spacing w:before="0" w:after="0"/>
        <w:sectPr w:rsidR="00DE28A5" w:rsidRPr="003766A0">
          <w:footerReference w:type="default" r:id="rId21"/>
          <w:footnotePr>
            <w:numStart w:val="3"/>
          </w:footnotePr>
          <w:pgSz w:w="11907" w:h="16840" w:code="9"/>
          <w:pgMar w:top="1418" w:right="1418" w:bottom="1418" w:left="1418" w:header="709" w:footer="709" w:gutter="0"/>
          <w:paperSrc w:first="7" w:other="7"/>
          <w:cols w:space="720"/>
          <w:docGrid w:linePitch="65"/>
        </w:sectPr>
      </w:pPr>
    </w:p>
    <w:p w14:paraId="645B7D31" w14:textId="77777777" w:rsidR="00DE28A5" w:rsidRDefault="00DE28A5" w:rsidP="00DE28A5">
      <w:pPr>
        <w:pStyle w:val="ConvSectionTitle"/>
        <w:jc w:val="both"/>
      </w:pPr>
      <w:r w:rsidRPr="003766A0">
        <w:lastRenderedPageBreak/>
        <w:t>Basis for Conclusions</w:t>
      </w:r>
    </w:p>
    <w:p w14:paraId="24DEB2D8" w14:textId="6CD62367" w:rsidR="00DE28A5" w:rsidRPr="003766A0" w:rsidRDefault="00DE28A5" w:rsidP="00DE28A5">
      <w:pPr>
        <w:pStyle w:val="AppendixNote"/>
        <w:spacing w:before="100" w:after="100"/>
      </w:pPr>
      <w:r w:rsidRPr="003766A0">
        <w:t>This Basis for Conclusions accompanies, but is not part of, AASB</w:t>
      </w:r>
      <w:r>
        <w:t xml:space="preserve"> </w:t>
      </w:r>
      <w:r>
        <w:rPr>
          <w:iCs w:val="0"/>
        </w:rPr>
        <w:t>2023-</w:t>
      </w:r>
      <w:r w:rsidR="001B730D">
        <w:rPr>
          <w:iCs w:val="0"/>
        </w:rPr>
        <w:t>3</w:t>
      </w:r>
      <w:r w:rsidRPr="003766A0">
        <w:rPr>
          <w:iCs w:val="0"/>
        </w:rPr>
        <w:t xml:space="preserve"> </w:t>
      </w:r>
      <w:r w:rsidRPr="00375316">
        <w:rPr>
          <w:i w:val="0"/>
          <w:iCs w:val="0"/>
        </w:rPr>
        <w:t xml:space="preserve">Amendments to Australian Accounting Standards – Disclosure of </w:t>
      </w:r>
      <w:r>
        <w:rPr>
          <w:i w:val="0"/>
          <w:iCs w:val="0"/>
        </w:rPr>
        <w:t>Non-current Liabilities with Covenants</w:t>
      </w:r>
      <w:r w:rsidRPr="00375316">
        <w:rPr>
          <w:i w:val="0"/>
          <w:iCs w:val="0"/>
        </w:rPr>
        <w:t>: Tier 2</w:t>
      </w:r>
      <w:r w:rsidRPr="003766A0">
        <w:rPr>
          <w:i w:val="0"/>
        </w:rPr>
        <w:t>.</w:t>
      </w:r>
    </w:p>
    <w:p w14:paraId="0E7FCD7B" w14:textId="77777777" w:rsidR="00DE28A5" w:rsidRPr="003766A0" w:rsidRDefault="00DE28A5" w:rsidP="00DE28A5">
      <w:pPr>
        <w:pStyle w:val="IASBSectionTitle1NonInd"/>
        <w:jc w:val="both"/>
      </w:pPr>
      <w:r w:rsidRPr="003766A0">
        <w:t>Introduction</w:t>
      </w:r>
    </w:p>
    <w:p w14:paraId="57FAA653" w14:textId="57CBAC0A" w:rsidR="00DE28A5" w:rsidRPr="003766A0" w:rsidRDefault="00DE28A5" w:rsidP="00DE28A5">
      <w:pPr>
        <w:pStyle w:val="NumBC1"/>
        <w:numPr>
          <w:ilvl w:val="0"/>
          <w:numId w:val="12"/>
        </w:numPr>
        <w:ind w:left="782" w:hanging="782"/>
      </w:pPr>
      <w:r w:rsidRPr="003766A0">
        <w:rPr>
          <w:iCs/>
        </w:rPr>
        <w:t>This Basis for Conclusions summarises the Australian Accounting Standards Board’s considerations in</w:t>
      </w:r>
      <w:r w:rsidRPr="003766A0">
        <w:t xml:space="preserve"> reaching the conclusions in this </w:t>
      </w:r>
      <w:r w:rsidR="002C1A5D">
        <w:t>Standard</w:t>
      </w:r>
      <w:r w:rsidRPr="003766A0">
        <w:t xml:space="preserve">. It sets out the reasons why the Board developed the </w:t>
      </w:r>
      <w:r w:rsidR="002C1A5D">
        <w:t>Standard</w:t>
      </w:r>
      <w:r w:rsidRPr="003766A0">
        <w:t xml:space="preserve">, the approach taken to developing the </w:t>
      </w:r>
      <w:r w:rsidR="002C1A5D">
        <w:t xml:space="preserve">Standard </w:t>
      </w:r>
      <w:r w:rsidRPr="003766A0">
        <w:t xml:space="preserve">and the bases for the key decisions made. In making decisions, individual Board members gave greater weight to some factors than to others. </w:t>
      </w:r>
    </w:p>
    <w:p w14:paraId="45CB924C" w14:textId="77777777" w:rsidR="00DE28A5" w:rsidRPr="003766A0" w:rsidRDefault="00DE28A5" w:rsidP="00DE28A5">
      <w:pPr>
        <w:pStyle w:val="IASBSectionTitle1NonInd"/>
        <w:jc w:val="both"/>
        <w:rPr>
          <w:iCs/>
        </w:rPr>
      </w:pPr>
      <w:r w:rsidRPr="003766A0">
        <w:t xml:space="preserve">Reasons for </w:t>
      </w:r>
      <w:r>
        <w:t>proposing these amendments</w:t>
      </w:r>
    </w:p>
    <w:p w14:paraId="2DB846C7" w14:textId="77777777" w:rsidR="00DE28A5" w:rsidRPr="00F81FB4" w:rsidRDefault="00DE28A5" w:rsidP="00DE28A5">
      <w:pPr>
        <w:pStyle w:val="NumBC1"/>
        <w:numPr>
          <w:ilvl w:val="0"/>
          <w:numId w:val="12"/>
        </w:numPr>
        <w:ind w:left="782" w:hanging="782"/>
      </w:pPr>
      <w:r>
        <w:rPr>
          <w:iCs/>
        </w:rPr>
        <w:t xml:space="preserve">The Board issued AASB 2020-1 </w:t>
      </w:r>
      <w:r w:rsidRPr="008A0120">
        <w:rPr>
          <w:i/>
          <w:iCs/>
        </w:rPr>
        <w:t>Amendments to Australian Accounting Standards</w:t>
      </w:r>
      <w:r>
        <w:rPr>
          <w:i/>
          <w:iCs/>
        </w:rPr>
        <w:t xml:space="preserve"> </w:t>
      </w:r>
      <w:r w:rsidRPr="008A0120">
        <w:rPr>
          <w:i/>
          <w:iCs/>
        </w:rPr>
        <w:t xml:space="preserve">– </w:t>
      </w:r>
      <w:r>
        <w:rPr>
          <w:i/>
          <w:iCs/>
        </w:rPr>
        <w:t>Classification of Liabilities as Current or Non-</w:t>
      </w:r>
      <w:r w:rsidRPr="00827491">
        <w:rPr>
          <w:i/>
          <w:iCs/>
        </w:rPr>
        <w:t>Current</w:t>
      </w:r>
      <w:r>
        <w:t xml:space="preserve"> in March 2020 and </w:t>
      </w:r>
      <w:r w:rsidRPr="00827491">
        <w:t>AASB</w:t>
      </w:r>
      <w:r>
        <w:t xml:space="preserve"> 2022-6 </w:t>
      </w:r>
      <w:r w:rsidRPr="008A0120">
        <w:rPr>
          <w:i/>
          <w:iCs/>
        </w:rPr>
        <w:t>Amendments to Australian Accounting Standards –</w:t>
      </w:r>
      <w:r>
        <w:rPr>
          <w:i/>
          <w:iCs/>
        </w:rPr>
        <w:t xml:space="preserve"> Non-current Liabilities with Covenants</w:t>
      </w:r>
      <w:r>
        <w:t xml:space="preserve"> in December 2022. These Standards amended AASB 101 </w:t>
      </w:r>
      <w:r>
        <w:rPr>
          <w:i/>
          <w:iCs/>
        </w:rPr>
        <w:t>Presentation of Financial Statements</w:t>
      </w:r>
      <w:r>
        <w:t xml:space="preserve"> to improve the information an entity provides in its financial statements about liabilities arising from loan arrangements for which the entity’s right to defer settlement of those liabilities for at least twelve months after the reporting period is subject to the entity complying with conditions specified in the loan arrangement (often referred to as ‘covenants’). AASB 2022-6 also amended an example in AASB Practice Statement 2 </w:t>
      </w:r>
      <w:r>
        <w:rPr>
          <w:i/>
          <w:iCs/>
        </w:rPr>
        <w:t>Making Materiality Judgements</w:t>
      </w:r>
      <w:r>
        <w:t xml:space="preserve"> regarding assessing whether information about covenants is material for disclosure.</w:t>
      </w:r>
    </w:p>
    <w:p w14:paraId="117FF99E" w14:textId="77777777" w:rsidR="00DE28A5" w:rsidRDefault="00DE28A5" w:rsidP="00DE28A5">
      <w:pPr>
        <w:pStyle w:val="NumBC1"/>
        <w:numPr>
          <w:ilvl w:val="0"/>
          <w:numId w:val="12"/>
        </w:numPr>
        <w:ind w:left="782" w:hanging="782"/>
      </w:pPr>
      <w:r>
        <w:t>The amendments made by AASB 2020-1 and AASB 2022-6 principally affect the classification and disclosure of current and non-current liabilities for entities applying Tier 1 reporting requirements.</w:t>
      </w:r>
      <w:r>
        <w:rPr>
          <w:rStyle w:val="FootnoteReference"/>
        </w:rPr>
        <w:footnoteReference w:id="2"/>
      </w:r>
      <w:r>
        <w:t xml:space="preserve"> It is appropriate for the Board to consider making similar amendments to the Tier 2 Standard AASB 1060 </w:t>
      </w:r>
      <w:r w:rsidRPr="0038635E">
        <w:rPr>
          <w:i/>
          <w:iCs/>
        </w:rPr>
        <w:t>General Purpose Financial Statements – Simplified Disclosures for For-Profit and Not-for-Profit Tier 2 Entities</w:t>
      </w:r>
      <w:r>
        <w:t xml:space="preserve"> to ensure consistency in the terminology and presentation requirements across Australian Accounting Standards.</w:t>
      </w:r>
    </w:p>
    <w:p w14:paraId="73F5F303" w14:textId="04E14673" w:rsidR="009C6EFC" w:rsidRPr="003766A0" w:rsidRDefault="009C6EFC" w:rsidP="009C6EFC">
      <w:pPr>
        <w:pStyle w:val="IASBSectionTitle1NonInd"/>
        <w:jc w:val="both"/>
        <w:rPr>
          <w:iCs/>
        </w:rPr>
      </w:pPr>
      <w:r>
        <w:t>Issue of Exposure Draft ED 323</w:t>
      </w:r>
    </w:p>
    <w:p w14:paraId="0C23C387" w14:textId="2300B408" w:rsidR="007C3586" w:rsidRDefault="007C3586" w:rsidP="007C3586">
      <w:pPr>
        <w:pStyle w:val="NumBC1"/>
        <w:numPr>
          <w:ilvl w:val="0"/>
          <w:numId w:val="12"/>
        </w:numPr>
        <w:ind w:left="782" w:hanging="782"/>
      </w:pPr>
      <w:r>
        <w:t xml:space="preserve">The Board’s proposals with respect to the amendments finalised in this Standard were exposed for public comment in </w:t>
      </w:r>
      <w:r w:rsidR="00860C35">
        <w:t xml:space="preserve">March </w:t>
      </w:r>
      <w:r>
        <w:t>202</w:t>
      </w:r>
      <w:r w:rsidR="00860C35">
        <w:t>3</w:t>
      </w:r>
      <w:r>
        <w:t xml:space="preserve"> through Exposure Draft ED 3</w:t>
      </w:r>
      <w:r w:rsidR="00860C35">
        <w:t>23</w:t>
      </w:r>
      <w:r>
        <w:t xml:space="preserve"> </w:t>
      </w:r>
      <w:r w:rsidRPr="00DD3FCD">
        <w:rPr>
          <w:i/>
          <w:iCs/>
        </w:rPr>
        <w:t xml:space="preserve">Disclosure of </w:t>
      </w:r>
      <w:r w:rsidR="00860C35" w:rsidRPr="00DD3FCD">
        <w:rPr>
          <w:i/>
          <w:iCs/>
        </w:rPr>
        <w:t>Non-current Liabilities with Covenants</w:t>
      </w:r>
      <w:r w:rsidRPr="00DD3FCD">
        <w:rPr>
          <w:i/>
          <w:iCs/>
        </w:rPr>
        <w:t xml:space="preserve"> – Proposed Amendments to Tier 2</w:t>
      </w:r>
      <w:r>
        <w:t xml:space="preserve">. </w:t>
      </w:r>
    </w:p>
    <w:p w14:paraId="196C2F7A" w14:textId="78B6C3E4" w:rsidR="009C6EFC" w:rsidRDefault="007C3586" w:rsidP="007C3586">
      <w:pPr>
        <w:pStyle w:val="NumBC1"/>
        <w:numPr>
          <w:ilvl w:val="0"/>
          <w:numId w:val="12"/>
        </w:numPr>
        <w:ind w:left="782" w:hanging="782"/>
      </w:pPr>
      <w:r>
        <w:t>The significant issues considered by the Board in developing ED 32</w:t>
      </w:r>
      <w:r w:rsidR="00034BDC">
        <w:t>3</w:t>
      </w:r>
      <w:r>
        <w:t xml:space="preserve"> are addressed in the following section.</w:t>
      </w:r>
    </w:p>
    <w:p w14:paraId="7597D426" w14:textId="77777777" w:rsidR="00DE28A5" w:rsidRPr="005E2A73" w:rsidRDefault="00DE28A5" w:rsidP="00B00708">
      <w:pPr>
        <w:pStyle w:val="IASBSectionTitle2Ind"/>
      </w:pPr>
      <w:r w:rsidRPr="005E2A73">
        <w:t>Relevance of the amendments to AASB 1060</w:t>
      </w:r>
    </w:p>
    <w:p w14:paraId="5CB2A705" w14:textId="77777777" w:rsidR="00DE28A5" w:rsidRDefault="00DE28A5" w:rsidP="00DE28A5">
      <w:pPr>
        <w:pStyle w:val="NumBC1"/>
        <w:numPr>
          <w:ilvl w:val="0"/>
          <w:numId w:val="12"/>
        </w:numPr>
        <w:ind w:left="782" w:hanging="782"/>
      </w:pPr>
      <w:r>
        <w:t xml:space="preserve">The </w:t>
      </w:r>
      <w:r w:rsidRPr="00373390">
        <w:rPr>
          <w:i/>
          <w:iCs/>
        </w:rPr>
        <w:t>AASB For-Profit Entity Standard-Setting Framework</w:t>
      </w:r>
      <w:r>
        <w:t xml:space="preserve"> and the </w:t>
      </w:r>
      <w:r w:rsidRPr="00373390">
        <w:rPr>
          <w:i/>
          <w:iCs/>
        </w:rPr>
        <w:t>AASB Not-for-Profit Entity Standard-Setting Framework</w:t>
      </w:r>
      <w:r>
        <w:rPr>
          <w:i/>
          <w:iCs/>
        </w:rPr>
        <w:t xml:space="preserve"> </w:t>
      </w:r>
      <w:r>
        <w:t xml:space="preserve">outline the approach adopted by the Board for considering whether to add to or amend disclosure requirements in AASB 1060 when the IASB makes amendments to full IFRS Standards. </w:t>
      </w:r>
    </w:p>
    <w:p w14:paraId="4CBE5657" w14:textId="168609FA" w:rsidR="00DE28A5" w:rsidRDefault="00DE28A5" w:rsidP="00DE28A5">
      <w:pPr>
        <w:pStyle w:val="NumBC1"/>
        <w:numPr>
          <w:ilvl w:val="0"/>
          <w:numId w:val="12"/>
        </w:numPr>
        <w:ind w:left="782" w:hanging="782"/>
      </w:pPr>
      <w:bookmarkStart w:id="13" w:name="_Ref127516442"/>
      <w:r>
        <w:t xml:space="preserve">Applying this approach, </w:t>
      </w:r>
      <w:r w:rsidR="00A51DF8">
        <w:t xml:space="preserve">ED 323 </w:t>
      </w:r>
      <w:r>
        <w:t>propose</w:t>
      </w:r>
      <w:r w:rsidR="00A51DF8">
        <w:t>d</w:t>
      </w:r>
      <w:r>
        <w:t xml:space="preserve"> that in relation to the amendments made by AASB 2020-1 and AASB 2022-6 to AASB 101:</w:t>
      </w:r>
      <w:bookmarkEnd w:id="13"/>
    </w:p>
    <w:p w14:paraId="3D03142F" w14:textId="77777777" w:rsidR="00DE28A5" w:rsidRDefault="00DE28A5" w:rsidP="00AD2FB7">
      <w:pPr>
        <w:pStyle w:val="NumPlain3"/>
        <w:numPr>
          <w:ilvl w:val="2"/>
          <w:numId w:val="22"/>
        </w:numPr>
        <w:ind w:left="1564" w:hanging="782"/>
      </w:pPr>
      <w:r>
        <w:t xml:space="preserve">where AASB 1060 contains a corresponding paragraph, AASB 1060 should be updated in a similar manner. If the corresponding paragraph in AASB 1060 (paragraph 40) is not updated, entities may interpret and apply the requirements of AASB 1060 differently from the corresponding requirements in AASB 101; </w:t>
      </w:r>
    </w:p>
    <w:p w14:paraId="3A2A1AFA" w14:textId="01D9E998" w:rsidR="00DE28A5" w:rsidRDefault="00DE28A5" w:rsidP="00066BFE">
      <w:pPr>
        <w:pStyle w:val="NumPlain3"/>
        <w:numPr>
          <w:ilvl w:val="2"/>
          <w:numId w:val="1"/>
        </w:numPr>
        <w:ind w:left="1564" w:hanging="782"/>
      </w:pPr>
      <w:bookmarkStart w:id="14" w:name="_Ref127531467"/>
      <w:r>
        <w:t xml:space="preserve">AASB 1060 should be updated in relation to the new disclosure requirements added to AASB 101 if the disclosure is of particular relevance in the Australian environment or addresses a matter of public policy since the amendments to AASB 101 do not introduce significant recognition and </w:t>
      </w:r>
      <w:r>
        <w:lastRenderedPageBreak/>
        <w:t xml:space="preserve">measurement differences. The rationale for </w:t>
      </w:r>
      <w:r w:rsidR="00B67830">
        <w:t>proposing to</w:t>
      </w:r>
      <w:r>
        <w:t xml:space="preserve"> add paragraph 47A to AASB 1060 is further detailed in paragraph </w:t>
      </w:r>
      <w:r w:rsidR="00186EB1">
        <w:fldChar w:fldCharType="begin"/>
      </w:r>
      <w:r w:rsidR="00186EB1">
        <w:instrText xml:space="preserve"> REF _Ref135823203 \r \h </w:instrText>
      </w:r>
      <w:r w:rsidR="00186EB1">
        <w:fldChar w:fldCharType="separate"/>
      </w:r>
      <w:r w:rsidR="00E30738">
        <w:t>BC8</w:t>
      </w:r>
      <w:r w:rsidR="00186EB1">
        <w:fldChar w:fldCharType="end"/>
      </w:r>
      <w:r>
        <w:t>; and</w:t>
      </w:r>
      <w:bookmarkEnd w:id="14"/>
      <w:r>
        <w:t xml:space="preserve"> </w:t>
      </w:r>
    </w:p>
    <w:p w14:paraId="7C59C2BB" w14:textId="259B06F9" w:rsidR="00DE28A5" w:rsidRDefault="00DE28A5" w:rsidP="00066BFE">
      <w:pPr>
        <w:pStyle w:val="NumPlain3"/>
        <w:numPr>
          <w:ilvl w:val="2"/>
          <w:numId w:val="1"/>
        </w:numPr>
        <w:ind w:left="1564" w:hanging="782"/>
      </w:pPr>
      <w:bookmarkStart w:id="15" w:name="_Ref135826913"/>
      <w:r>
        <w:t xml:space="preserve">where guidance paragraphs were added to AASB 101, these paragraphs </w:t>
      </w:r>
      <w:r w:rsidR="009F07D1">
        <w:t xml:space="preserve">should not be </w:t>
      </w:r>
      <w:r>
        <w:t xml:space="preserve">added to AASB 1060. When developing AASB 1060, the Board was aware that replacing certain Standards with sections in AASB 1060 also removed some of the guidance included in those Standards, where such guidance was also not included in the </w:t>
      </w:r>
      <w:r w:rsidRPr="0083797C">
        <w:rPr>
          <w:i/>
          <w:iCs/>
        </w:rPr>
        <w:t>International Financial Reporting Standard for Small and Medium-sized Entities</w:t>
      </w:r>
      <w:r>
        <w:t xml:space="preserve"> (</w:t>
      </w:r>
      <w:r w:rsidRPr="0083797C">
        <w:rPr>
          <w:i/>
          <w:iCs/>
        </w:rPr>
        <w:t>IFRS for SMEs</w:t>
      </w:r>
      <w:r>
        <w:t xml:space="preserve"> Standard). However, to maintain the simplicity of the disclosure requirements in AASB 1060, the Board considered this preferable to considering on a case-by-case basis which guidance should be included and which could be omitted.</w:t>
      </w:r>
      <w:r>
        <w:rPr>
          <w:rStyle w:val="FootnoteReference"/>
        </w:rPr>
        <w:footnoteReference w:id="3"/>
      </w:r>
      <w:r>
        <w:t xml:space="preserve"> Although the Board was unable to follow that approach in this case as the </w:t>
      </w:r>
      <w:r w:rsidRPr="0083797C">
        <w:rPr>
          <w:i/>
          <w:iCs/>
        </w:rPr>
        <w:t>IFRS for SMEs</w:t>
      </w:r>
      <w:r>
        <w:t xml:space="preserve"> Standard was last updated by the IASB in 2015, prior to the 2020 and 2022 amendments, on balance the Board considered that including the additional guidance paragraphs in AASB 1060 was not necessary. The Board noted that AASB 1060 paragraph 2 permits an entity applying AASB 1060 to refer to the guidance in other Australian Accounting Standards (including AASB 101) when helpful.</w:t>
      </w:r>
      <w:bookmarkEnd w:id="15"/>
    </w:p>
    <w:p w14:paraId="1A907EF1" w14:textId="67663FC9" w:rsidR="00DE28A5" w:rsidRPr="003766A0" w:rsidRDefault="00DE28A5" w:rsidP="00DE28A5">
      <w:pPr>
        <w:pStyle w:val="NumBC1"/>
        <w:numPr>
          <w:ilvl w:val="0"/>
          <w:numId w:val="12"/>
        </w:numPr>
        <w:ind w:left="782" w:hanging="782"/>
      </w:pPr>
      <w:bookmarkStart w:id="16" w:name="_Ref135823203"/>
      <w:r>
        <w:t xml:space="preserve">When applying the approach outlined in paragraph </w:t>
      </w:r>
      <w:r w:rsidR="00D65F01">
        <w:fldChar w:fldCharType="begin"/>
      </w:r>
      <w:r w:rsidR="00D65F01">
        <w:instrText xml:space="preserve"> REF _Ref127516442 \r \h </w:instrText>
      </w:r>
      <w:r w:rsidR="00D65F01">
        <w:fldChar w:fldCharType="separate"/>
      </w:r>
      <w:r w:rsidR="00E30738">
        <w:t>BC7</w:t>
      </w:r>
      <w:r w:rsidR="00D65F01">
        <w:fldChar w:fldCharType="end"/>
      </w:r>
      <w:r w:rsidR="00D65F01">
        <w:fldChar w:fldCharType="begin"/>
      </w:r>
      <w:r w:rsidR="00D65F01">
        <w:instrText xml:space="preserve"> REF _Ref127531467 \r \h </w:instrText>
      </w:r>
      <w:r w:rsidR="00D65F01">
        <w:fldChar w:fldCharType="separate"/>
      </w:r>
      <w:r w:rsidR="00E30738">
        <w:t>(b)</w:t>
      </w:r>
      <w:r w:rsidR="00D65F01">
        <w:fldChar w:fldCharType="end"/>
      </w:r>
      <w:r>
        <w:t xml:space="preserve"> to proposed paragraph 47A (corresponding to AASB 101 paragraph 76ZA(a)), the Board considered that the </w:t>
      </w:r>
      <w:r w:rsidRPr="00DF275A">
        <w:t>disclosure</w:t>
      </w:r>
      <w:r>
        <w:t>s</w:t>
      </w:r>
      <w:r w:rsidRPr="00DF275A">
        <w:t xml:space="preserve"> would </w:t>
      </w:r>
      <w:r>
        <w:t xml:space="preserve">provide </w:t>
      </w:r>
      <w:r w:rsidRPr="00DF275A">
        <w:t xml:space="preserve">useful </w:t>
      </w:r>
      <w:r>
        <w:t xml:space="preserve">information </w:t>
      </w:r>
      <w:r w:rsidRPr="00DF275A">
        <w:t xml:space="preserve">to </w:t>
      </w:r>
      <w:r>
        <w:t xml:space="preserve">the </w:t>
      </w:r>
      <w:r w:rsidRPr="00DF275A">
        <w:t xml:space="preserve">users of </w:t>
      </w:r>
      <w:r>
        <w:t xml:space="preserve">Tier 2 </w:t>
      </w:r>
      <w:r w:rsidRPr="00DF275A">
        <w:t xml:space="preserve">financial statements because it would allow them to understand the nature of the </w:t>
      </w:r>
      <w:r>
        <w:t xml:space="preserve">entity’s </w:t>
      </w:r>
      <w:r w:rsidRPr="00DF275A">
        <w:t xml:space="preserve">covenants and the risk that a liability classified as non-current could nonetheless be repayable within twelve months. </w:t>
      </w:r>
      <w:r w:rsidR="00260A7D">
        <w:t xml:space="preserve">The </w:t>
      </w:r>
      <w:r>
        <w:t xml:space="preserve">Board considers that users of the financial statements of Tier 2 entities are </w:t>
      </w:r>
      <w:r w:rsidRPr="00DF275A">
        <w:t>particular</w:t>
      </w:r>
      <w:r>
        <w:t>ly</w:t>
      </w:r>
      <w:r w:rsidRPr="00DF275A">
        <w:t xml:space="preserve"> interest</w:t>
      </w:r>
      <w:r>
        <w:t>ed</w:t>
      </w:r>
      <w:r w:rsidRPr="00DF275A">
        <w:t xml:space="preserve"> in information about an entity</w:t>
      </w:r>
      <w:r>
        <w:t>’</w:t>
      </w:r>
      <w:r w:rsidRPr="00DF275A">
        <w:t>s short-term cash flows and obligations, commitments, or contingencies, whether or not recognised as liabilities</w:t>
      </w:r>
      <w:r>
        <w:t>,</w:t>
      </w:r>
      <w:r w:rsidRPr="00DF275A">
        <w:t xml:space="preserve"> and </w:t>
      </w:r>
      <w:r w:rsidRPr="00252EFC">
        <w:t>liquidity and solvency.</w:t>
      </w:r>
      <w:r w:rsidRPr="00252EFC">
        <w:rPr>
          <w:rStyle w:val="FootnoteReference"/>
        </w:rPr>
        <w:footnoteReference w:id="4"/>
      </w:r>
      <w:r w:rsidRPr="00252EFC">
        <w:t xml:space="preserve"> </w:t>
      </w:r>
      <w:bookmarkEnd w:id="16"/>
    </w:p>
    <w:p w14:paraId="34629288" w14:textId="78D8D1D3" w:rsidR="00DE28A5" w:rsidRDefault="00DE28A5" w:rsidP="00DE28A5">
      <w:pPr>
        <w:pStyle w:val="NumBC1"/>
        <w:numPr>
          <w:ilvl w:val="0"/>
          <w:numId w:val="12"/>
        </w:numPr>
        <w:ind w:left="782" w:hanging="782"/>
      </w:pPr>
      <w:r>
        <w:t xml:space="preserve">No changes to AASB 1060 </w:t>
      </w:r>
      <w:r w:rsidR="009B327C">
        <w:t>were</w:t>
      </w:r>
      <w:r>
        <w:t xml:space="preserve"> </w:t>
      </w:r>
      <w:r w:rsidR="00EE4C27">
        <w:t xml:space="preserve">proposed </w:t>
      </w:r>
      <w:r>
        <w:t>in relation to the amendments made to AASB Practice Statement 2. This is because AASB Practice Statement 2 provides non-mandatory guidance to all entities on making materiality judgements when preparing general purpose financial statements in accordance with Australian Accounting Standards. AASB 1060 does not include any guidance corresponding explicitly with that in AASB Practice Statement 2.</w:t>
      </w:r>
    </w:p>
    <w:p w14:paraId="449C40F9" w14:textId="4EA10BA1" w:rsidR="00DE28A5" w:rsidRPr="00CE4088" w:rsidRDefault="00624E5B" w:rsidP="00066BFE">
      <w:pPr>
        <w:pStyle w:val="IASBSectionTitle1NonInd"/>
        <w:jc w:val="both"/>
        <w:rPr>
          <w:lang w:val="en-AU"/>
        </w:rPr>
      </w:pPr>
      <w:r w:rsidRPr="00CE4088">
        <w:rPr>
          <w:lang w:val="en-AU"/>
        </w:rPr>
        <w:t>Finalisation of ED 32</w:t>
      </w:r>
      <w:r w:rsidR="00C722FF" w:rsidRPr="00CE4088">
        <w:rPr>
          <w:lang w:val="en-AU"/>
        </w:rPr>
        <w:t>3</w:t>
      </w:r>
      <w:r w:rsidRPr="00CE4088">
        <w:rPr>
          <w:lang w:val="en-AU"/>
        </w:rPr>
        <w:t xml:space="preserve"> proposals</w:t>
      </w:r>
    </w:p>
    <w:p w14:paraId="0CC501C3" w14:textId="77777777" w:rsidR="00F15859" w:rsidRDefault="00A0751C" w:rsidP="00A0751C">
      <w:pPr>
        <w:pStyle w:val="NumBC1"/>
        <w:numPr>
          <w:ilvl w:val="0"/>
          <w:numId w:val="12"/>
        </w:numPr>
        <w:ind w:left="782" w:hanging="782"/>
      </w:pPr>
      <w:r>
        <w:t xml:space="preserve">Following the consultation period, and after considering the comments received, the Board decided to proceed with issuing this Standard, with minimal changes from the proposals in ED 323. </w:t>
      </w:r>
    </w:p>
    <w:p w14:paraId="3ED3422C" w14:textId="77777777" w:rsidR="00653A06" w:rsidRPr="00066BFE" w:rsidRDefault="00653A06" w:rsidP="00B00708">
      <w:pPr>
        <w:pStyle w:val="IASBSectionTitle2Ind"/>
      </w:pPr>
      <w:r w:rsidRPr="00066BFE">
        <w:t>Feedback from respondents on ED 32</w:t>
      </w:r>
      <w:r>
        <w:t>3</w:t>
      </w:r>
    </w:p>
    <w:p w14:paraId="499E574B" w14:textId="4EE64547" w:rsidR="00653A06" w:rsidRDefault="00653A06" w:rsidP="00653A06">
      <w:pPr>
        <w:pStyle w:val="NumBC1"/>
        <w:numPr>
          <w:ilvl w:val="0"/>
          <w:numId w:val="12"/>
        </w:numPr>
        <w:ind w:left="782" w:hanging="782"/>
      </w:pPr>
      <w:r>
        <w:t xml:space="preserve">The Board received </w:t>
      </w:r>
      <w:r w:rsidR="002435B3">
        <w:t xml:space="preserve">four </w:t>
      </w:r>
      <w:r>
        <w:t>formal comment letters on ED 323 and informal feedback from targeted outreach activities. The feedback received indicated that, in general, all respondents were supportive of the proposals. However, some respondents provided additional feedback:</w:t>
      </w:r>
    </w:p>
    <w:p w14:paraId="5A87B2C2" w14:textId="1925E6D0" w:rsidR="00653A06" w:rsidRDefault="00653A06" w:rsidP="00653A06">
      <w:pPr>
        <w:pStyle w:val="NumPlain3"/>
        <w:numPr>
          <w:ilvl w:val="2"/>
          <w:numId w:val="17"/>
        </w:numPr>
        <w:ind w:left="1564" w:hanging="782"/>
      </w:pPr>
      <w:r>
        <w:t>one stakeholder suggested the Board consider including in AASB</w:t>
      </w:r>
      <w:r w:rsidR="007B0AD5">
        <w:t> </w:t>
      </w:r>
      <w:r>
        <w:t xml:space="preserve">1060 </w:t>
      </w:r>
      <w:r w:rsidR="00260A7D">
        <w:t xml:space="preserve">certain guidance paragraphs </w:t>
      </w:r>
      <w:r>
        <w:t xml:space="preserve">that </w:t>
      </w:r>
      <w:r w:rsidR="00260A7D">
        <w:t xml:space="preserve">had been </w:t>
      </w:r>
      <w:r>
        <w:t xml:space="preserve">added to AASB 101. In their view, </w:t>
      </w:r>
      <w:r w:rsidRPr="0091287F">
        <w:t>paragraph</w:t>
      </w:r>
      <w:r>
        <w:t>s</w:t>
      </w:r>
      <w:r w:rsidRPr="0091287F">
        <w:t xml:space="preserve"> 72B and 75A </w:t>
      </w:r>
      <w:r>
        <w:t>of AASB 101 provide</w:t>
      </w:r>
      <w:r w:rsidRPr="0091287F">
        <w:t xml:space="preserve"> </w:t>
      </w:r>
      <w:r>
        <w:t xml:space="preserve">the most </w:t>
      </w:r>
      <w:r w:rsidRPr="0091287F">
        <w:t xml:space="preserve">useful </w:t>
      </w:r>
      <w:r>
        <w:t>guidance for preparers when determining</w:t>
      </w:r>
      <w:r w:rsidRPr="0091287F">
        <w:t xml:space="preserve"> </w:t>
      </w:r>
      <w:r>
        <w:t xml:space="preserve">whether a </w:t>
      </w:r>
      <w:r w:rsidRPr="0091287F">
        <w:t>liability is current or non-current.</w:t>
      </w:r>
      <w:r>
        <w:t xml:space="preserve"> The stakeholder was concerned that if these guidance paragraphs were not included in AASB 1060, </w:t>
      </w:r>
      <w:r w:rsidRPr="006E002A">
        <w:t>Tier</w:t>
      </w:r>
      <w:r w:rsidR="007B0AD5">
        <w:t> </w:t>
      </w:r>
      <w:r w:rsidRPr="006E002A">
        <w:t xml:space="preserve">2 </w:t>
      </w:r>
      <w:r>
        <w:t>entities</w:t>
      </w:r>
      <w:r w:rsidRPr="006E002A">
        <w:t xml:space="preserve"> might not be aware of the useful guidance or </w:t>
      </w:r>
      <w:r>
        <w:t xml:space="preserve">would have </w:t>
      </w:r>
      <w:r w:rsidRPr="006E002A">
        <w:t xml:space="preserve">to refer to AASB 101 for </w:t>
      </w:r>
      <w:r>
        <w:t xml:space="preserve">the </w:t>
      </w:r>
      <w:r w:rsidRPr="006E002A">
        <w:t>guidance</w:t>
      </w:r>
      <w:r>
        <w:t>; and</w:t>
      </w:r>
    </w:p>
    <w:p w14:paraId="22E1A681" w14:textId="5E3B9236" w:rsidR="00653A06" w:rsidRDefault="00653A06" w:rsidP="00653A06">
      <w:pPr>
        <w:pStyle w:val="NumPlain3"/>
        <w:numPr>
          <w:ilvl w:val="2"/>
          <w:numId w:val="1"/>
        </w:numPr>
        <w:ind w:left="1564" w:hanging="782"/>
      </w:pPr>
      <w:r>
        <w:t xml:space="preserve">one stakeholder suggested the Board reconsider the proposed amendments to paragraph 40(d) and relocate the statement about counterparty </w:t>
      </w:r>
      <w:r w:rsidR="007B0AD5">
        <w:t xml:space="preserve">equity </w:t>
      </w:r>
      <w:r>
        <w:t xml:space="preserve">conversion options to a separate paragraph. In their view, the amendment proposed </w:t>
      </w:r>
      <w:r w:rsidR="00AA5E2C">
        <w:t xml:space="preserve">to paragraph 40(d) </w:t>
      </w:r>
      <w:r>
        <w:t xml:space="preserve">in ED 323 </w:t>
      </w:r>
      <w:r w:rsidR="007B0AD5">
        <w:t xml:space="preserve">implied </w:t>
      </w:r>
      <w:r w:rsidRPr="00AD6781">
        <w:t xml:space="preserve">that the </w:t>
      </w:r>
      <w:r>
        <w:t xml:space="preserve">statement is </w:t>
      </w:r>
      <w:r w:rsidRPr="00AD6781">
        <w:t xml:space="preserve">relevant to paragraph 40(d) </w:t>
      </w:r>
      <w:r w:rsidR="007B0AD5">
        <w:t xml:space="preserve">but </w:t>
      </w:r>
      <w:r w:rsidRPr="00AD6781">
        <w:t xml:space="preserve">not </w:t>
      </w:r>
      <w:r w:rsidR="007B0AD5">
        <w:t xml:space="preserve">to </w:t>
      </w:r>
      <w:r>
        <w:t xml:space="preserve">paragraphs </w:t>
      </w:r>
      <w:r w:rsidRPr="00AD6781">
        <w:t>40(a) and 40(c)</w:t>
      </w:r>
      <w:r>
        <w:t xml:space="preserve">. </w:t>
      </w:r>
      <w:r w:rsidR="007B0AD5">
        <w:t xml:space="preserve">They considered that </w:t>
      </w:r>
      <w:r w:rsidR="00574E24">
        <w:t>t</w:t>
      </w:r>
      <w:r>
        <w:t xml:space="preserve">he amendment proposed in ED 323 </w:t>
      </w:r>
      <w:r w:rsidR="0029409D">
        <w:t>would be</w:t>
      </w:r>
      <w:r w:rsidR="007B0AD5">
        <w:t xml:space="preserve"> </w:t>
      </w:r>
      <w:r>
        <w:t xml:space="preserve">inconsistent with the amendments made </w:t>
      </w:r>
      <w:r w:rsidR="007B0AD5">
        <w:t xml:space="preserve">to </w:t>
      </w:r>
      <w:r>
        <w:t xml:space="preserve">AASB 101, which relocated the statement about counterparty conversion options to a separate paragraph, </w:t>
      </w:r>
      <w:r w:rsidR="008C3DDE">
        <w:t>paragraph </w:t>
      </w:r>
      <w:r>
        <w:t>76B.</w:t>
      </w:r>
    </w:p>
    <w:p w14:paraId="45BD572A" w14:textId="67B128F5" w:rsidR="00653A06" w:rsidRDefault="00653A06" w:rsidP="00653A06">
      <w:pPr>
        <w:pStyle w:val="NumBC1"/>
        <w:numPr>
          <w:ilvl w:val="0"/>
          <w:numId w:val="12"/>
        </w:numPr>
        <w:ind w:left="782" w:hanging="782"/>
      </w:pPr>
      <w:r>
        <w:t xml:space="preserve">The Board considered the </w:t>
      </w:r>
      <w:r w:rsidR="00574E24">
        <w:t xml:space="preserve">feedback </w:t>
      </w:r>
      <w:r>
        <w:t>and decided:</w:t>
      </w:r>
    </w:p>
    <w:p w14:paraId="7B690399" w14:textId="7D8DB138" w:rsidR="00574E24" w:rsidRDefault="00653A06" w:rsidP="00574E24">
      <w:pPr>
        <w:pStyle w:val="NumPlain3"/>
        <w:numPr>
          <w:ilvl w:val="2"/>
          <w:numId w:val="19"/>
        </w:numPr>
        <w:ind w:left="1564" w:hanging="782"/>
      </w:pPr>
      <w:r>
        <w:t xml:space="preserve">not to add </w:t>
      </w:r>
      <w:r w:rsidR="00C45093">
        <w:t xml:space="preserve">the </w:t>
      </w:r>
      <w:r>
        <w:t xml:space="preserve">guidance </w:t>
      </w:r>
      <w:r w:rsidR="00C45093">
        <w:t xml:space="preserve">contained in </w:t>
      </w:r>
      <w:r>
        <w:t xml:space="preserve">paragraphs 72B and 75A of AASB 101 to AASB 1060. </w:t>
      </w:r>
      <w:r w:rsidR="00745242">
        <w:t xml:space="preserve">The </w:t>
      </w:r>
      <w:r>
        <w:t>Board confirmed its view that guidance paragraphs added to AASB 101 should not be added to AASB 1060; and</w:t>
      </w:r>
    </w:p>
    <w:p w14:paraId="3B2B1EFB" w14:textId="3FD4B8BD" w:rsidR="00653A06" w:rsidRDefault="00653A06" w:rsidP="00DD3FCD">
      <w:pPr>
        <w:pStyle w:val="NumPlain3"/>
        <w:numPr>
          <w:ilvl w:val="2"/>
          <w:numId w:val="19"/>
        </w:numPr>
        <w:ind w:left="1564" w:hanging="782"/>
      </w:pPr>
      <w:r>
        <w:lastRenderedPageBreak/>
        <w:t xml:space="preserve">to relocate </w:t>
      </w:r>
      <w:r w:rsidRPr="00387149">
        <w:t xml:space="preserve">the statement about counterparty conversion options from paragraph 40(d) </w:t>
      </w:r>
      <w:r>
        <w:t xml:space="preserve">to a new </w:t>
      </w:r>
      <w:r w:rsidRPr="00387149">
        <w:t>paragraph</w:t>
      </w:r>
      <w:r>
        <w:t>, paragraph 4</w:t>
      </w:r>
      <w:r w:rsidR="000B39D4">
        <w:t>1</w:t>
      </w:r>
      <w:r>
        <w:t xml:space="preserve">A, for consistency with the amendments made </w:t>
      </w:r>
      <w:r w:rsidR="00745242">
        <w:t xml:space="preserve">to </w:t>
      </w:r>
      <w:r>
        <w:t>AASB 101</w:t>
      </w:r>
      <w:r w:rsidRPr="00F7497F">
        <w:t>.</w:t>
      </w:r>
      <w:r>
        <w:t xml:space="preserve"> </w:t>
      </w:r>
    </w:p>
    <w:p w14:paraId="054E61B1" w14:textId="08C6E52C" w:rsidR="0057784E" w:rsidRDefault="0057784E" w:rsidP="00066BFE">
      <w:pPr>
        <w:pStyle w:val="IASBSectionTitle1NonInd"/>
        <w:jc w:val="both"/>
      </w:pPr>
      <w:r>
        <w:t>Effective date</w:t>
      </w:r>
    </w:p>
    <w:p w14:paraId="397699B1" w14:textId="0AB7C106" w:rsidR="001C553E" w:rsidRPr="005732F4" w:rsidRDefault="0057784E" w:rsidP="00066BFE">
      <w:pPr>
        <w:pStyle w:val="NumBC1"/>
        <w:numPr>
          <w:ilvl w:val="0"/>
          <w:numId w:val="12"/>
        </w:numPr>
        <w:ind w:left="782" w:hanging="782"/>
      </w:pPr>
      <w:r>
        <w:t xml:space="preserve">To ensure consistency between the amendments in this Standard </w:t>
      </w:r>
      <w:r w:rsidR="00745242">
        <w:t xml:space="preserve">for Tier 2 </w:t>
      </w:r>
      <w:r w:rsidR="00E55F03">
        <w:t xml:space="preserve">reporting requirements </w:t>
      </w:r>
      <w:r>
        <w:t>and the amendments made in AASB 202</w:t>
      </w:r>
      <w:r w:rsidR="00853758">
        <w:t>0</w:t>
      </w:r>
      <w:r w:rsidR="00853758">
        <w:noBreakHyphen/>
        <w:t>1</w:t>
      </w:r>
      <w:r w:rsidR="008138B4">
        <w:t xml:space="preserve"> and AASB 2022-6</w:t>
      </w:r>
      <w:r w:rsidR="00745242">
        <w:t xml:space="preserve"> for Tier 1 reporting requirements</w:t>
      </w:r>
      <w:r>
        <w:t>, the Board decided that this Standard would be effective for annual periods beginning on or after 1 January 202</w:t>
      </w:r>
      <w:r w:rsidR="008138B4">
        <w:t>4</w:t>
      </w:r>
      <w:r>
        <w:t>, with earlier application permitted.</w:t>
      </w:r>
    </w:p>
    <w:sectPr w:rsidR="001C553E" w:rsidRPr="005732F4">
      <w:footerReference w:type="default" r:id="rId22"/>
      <w:footnotePr>
        <w:numRestart w:val="eachSect"/>
      </w:footnotePr>
      <w:pgSz w:w="11907" w:h="16840" w:code="9"/>
      <w:pgMar w:top="1418" w:right="1418" w:bottom="1418" w:left="1418" w:header="709" w:footer="709" w:gutter="0"/>
      <w:paperSrc w:first="7" w:other="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AA5A" w14:textId="77777777" w:rsidR="005508B3" w:rsidRDefault="005508B3">
      <w:r>
        <w:separator/>
      </w:r>
    </w:p>
  </w:endnote>
  <w:endnote w:type="continuationSeparator" w:id="0">
    <w:p w14:paraId="70566020" w14:textId="77777777" w:rsidR="005508B3" w:rsidRDefault="005508B3">
      <w:r>
        <w:continuationSeparator/>
      </w:r>
    </w:p>
  </w:endnote>
  <w:endnote w:type="continuationNotice" w:id="1">
    <w:p w14:paraId="2C20A514" w14:textId="77777777" w:rsidR="005508B3" w:rsidRDefault="00550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9C4F" w14:textId="77777777" w:rsidR="00366A8A" w:rsidRDefault="0036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03CB" w14:textId="77777777" w:rsidR="00366A8A" w:rsidRDefault="00366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D547" w14:textId="77777777" w:rsidR="00366A8A" w:rsidRDefault="00366A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34C5" w14:textId="327F0D1E" w:rsidR="00A96702" w:rsidRDefault="00A96702">
    <w:pPr>
      <w:pStyle w:val="Footer"/>
      <w:rPr>
        <w:b/>
      </w:rPr>
    </w:pPr>
    <w:r>
      <w:rPr>
        <w:b/>
      </w:rPr>
      <w:t xml:space="preserve">AASB </w:t>
    </w:r>
    <w:r w:rsidR="002E3355">
      <w:rPr>
        <w:b/>
      </w:rPr>
      <w:fldChar w:fldCharType="begin"/>
    </w:r>
    <w:r w:rsidR="002E3355">
      <w:rPr>
        <w:b/>
      </w:rPr>
      <w:instrText xml:space="preserve"> REF \* charformat DocNo </w:instrText>
    </w:r>
    <w:r w:rsidR="002E3355">
      <w:rPr>
        <w:b/>
      </w:rPr>
      <w:fldChar w:fldCharType="separate"/>
    </w:r>
    <w:r w:rsidR="00E30738" w:rsidRPr="00E30738">
      <w:rPr>
        <w:b/>
      </w:rPr>
      <w:t>2023-3</w:t>
    </w:r>
    <w:r w:rsidR="002E3355">
      <w:rPr>
        <w:b/>
      </w:rPr>
      <w:fldChar w:fldCharType="end"/>
    </w:r>
    <w:r>
      <w:rPr>
        <w:b/>
      </w:rPr>
      <w:tab/>
    </w:r>
    <w:r>
      <w:fldChar w:fldCharType="begin"/>
    </w:r>
    <w:r>
      <w:instrText>PAGE</w:instrText>
    </w:r>
    <w:r>
      <w:fldChar w:fldCharType="separate"/>
    </w:r>
    <w:r w:rsidR="001C553E">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6564" w14:textId="67766DA2" w:rsidR="00DE28A5" w:rsidRDefault="00DE28A5">
    <w:pPr>
      <w:pStyle w:val="Footer"/>
      <w:rPr>
        <w:b/>
      </w:rPr>
    </w:pPr>
    <w:r>
      <w:rPr>
        <w:b/>
      </w:rPr>
      <w:t xml:space="preserve">AASB </w:t>
    </w:r>
    <w:r>
      <w:rPr>
        <w:b/>
      </w:rPr>
      <w:fldChar w:fldCharType="begin"/>
    </w:r>
    <w:r>
      <w:rPr>
        <w:b/>
      </w:rPr>
      <w:instrText xml:space="preserve"> REF \* charformat DocNo </w:instrText>
    </w:r>
    <w:r>
      <w:rPr>
        <w:b/>
      </w:rPr>
      <w:fldChar w:fldCharType="separate"/>
    </w:r>
    <w:r w:rsidR="00E30738" w:rsidRPr="00E30738">
      <w:rPr>
        <w:b/>
      </w:rPr>
      <w:t>2023-3</w:t>
    </w:r>
    <w:r>
      <w:rPr>
        <w:b/>
      </w:rPr>
      <w:fldChar w:fldCharType="end"/>
    </w:r>
    <w:r>
      <w:rPr>
        <w:b/>
      </w:rPr>
      <w:tab/>
    </w:r>
    <w:r>
      <w:fldChar w:fldCharType="begin"/>
    </w:r>
    <w:r>
      <w:instrText>PAGE</w:instrText>
    </w:r>
    <w:r>
      <w:fldChar w:fldCharType="separate"/>
    </w:r>
    <w:r>
      <w:rPr>
        <w:noProof/>
      </w:rPr>
      <w:t>8</w:t>
    </w:r>
    <w:r>
      <w:fldChar w:fldCharType="end"/>
    </w:r>
    <w:r>
      <w:tab/>
    </w:r>
    <w:r>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2E3E" w14:textId="70323BAB" w:rsidR="00DE28A5" w:rsidRDefault="00DE28A5">
    <w:pPr>
      <w:pStyle w:val="Footer"/>
      <w:rPr>
        <w:b/>
      </w:rPr>
    </w:pPr>
    <w:r>
      <w:rPr>
        <w:b/>
      </w:rPr>
      <w:t xml:space="preserve">AASB </w:t>
    </w:r>
    <w:r>
      <w:rPr>
        <w:b/>
      </w:rPr>
      <w:fldChar w:fldCharType="begin"/>
    </w:r>
    <w:r>
      <w:rPr>
        <w:b/>
      </w:rPr>
      <w:instrText xml:space="preserve"> REF \* charformat DocNo </w:instrText>
    </w:r>
    <w:r>
      <w:rPr>
        <w:b/>
      </w:rPr>
      <w:fldChar w:fldCharType="separate"/>
    </w:r>
    <w:r w:rsidR="00E30738" w:rsidRPr="00E30738">
      <w:rPr>
        <w:b/>
      </w:rPr>
      <w:t>2023-3</w:t>
    </w:r>
    <w:r>
      <w:rPr>
        <w:b/>
      </w:rPr>
      <w:fldChar w:fldCharType="end"/>
    </w:r>
    <w:r>
      <w:rPr>
        <w:b/>
      </w:rPr>
      <w:tab/>
    </w:r>
    <w:r>
      <w:fldChar w:fldCharType="begin"/>
    </w:r>
    <w:r>
      <w:instrText>PAGE</w:instrText>
    </w:r>
    <w:r>
      <w:fldChar w:fldCharType="separate"/>
    </w:r>
    <w:r>
      <w:rPr>
        <w:noProof/>
      </w:rPr>
      <w:t>9</w:t>
    </w:r>
    <w:r>
      <w:fldChar w:fldCharType="end"/>
    </w:r>
    <w:r>
      <w:tab/>
    </w:r>
    <w:r>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E4EA" w14:textId="4DDC0769" w:rsidR="00DE28A5" w:rsidRDefault="00DE28A5">
    <w:pPr>
      <w:pStyle w:val="Footer"/>
      <w:rPr>
        <w:b/>
      </w:rPr>
    </w:pPr>
    <w:r>
      <w:rPr>
        <w:b/>
      </w:rPr>
      <w:t xml:space="preserve">AASB </w:t>
    </w:r>
    <w:r>
      <w:rPr>
        <w:b/>
      </w:rPr>
      <w:fldChar w:fldCharType="begin"/>
    </w:r>
    <w:r>
      <w:rPr>
        <w:b/>
      </w:rPr>
      <w:instrText xml:space="preserve"> REF \* charformat DocNo </w:instrText>
    </w:r>
    <w:r>
      <w:rPr>
        <w:b/>
      </w:rPr>
      <w:fldChar w:fldCharType="separate"/>
    </w:r>
    <w:r w:rsidR="00E30738" w:rsidRPr="00E30738">
      <w:rPr>
        <w:b/>
      </w:rPr>
      <w:t>2023-3</w:t>
    </w:r>
    <w:r>
      <w:rPr>
        <w:b/>
      </w:rPr>
      <w:fldChar w:fldCharType="end"/>
    </w:r>
    <w:r>
      <w:rPr>
        <w:b/>
      </w:rPr>
      <w:tab/>
    </w:r>
    <w:r>
      <w:fldChar w:fldCharType="begin"/>
    </w:r>
    <w:r>
      <w:instrText>PAGE</w:instrText>
    </w:r>
    <w:r>
      <w:fldChar w:fldCharType="separate"/>
    </w:r>
    <w:r>
      <w:rPr>
        <w:noProof/>
      </w:rPr>
      <w:t>14</w:t>
    </w:r>
    <w:r>
      <w:fldChar w:fldCharType="end"/>
    </w:r>
    <w:r>
      <w:tab/>
    </w:r>
    <w:r>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B0A" w14:textId="06FB4E5F" w:rsidR="00525F84" w:rsidRDefault="00DE28A5">
    <w:pPr>
      <w:pStyle w:val="Footer"/>
      <w:rPr>
        <w:b/>
      </w:rPr>
    </w:pPr>
    <w:r>
      <w:rPr>
        <w:b/>
      </w:rPr>
      <w:t xml:space="preserve">AASB </w:t>
    </w:r>
    <w:r>
      <w:rPr>
        <w:b/>
      </w:rPr>
      <w:fldChar w:fldCharType="begin"/>
    </w:r>
    <w:r>
      <w:rPr>
        <w:b/>
      </w:rPr>
      <w:instrText xml:space="preserve"> REF \* charformat DocNo </w:instrText>
    </w:r>
    <w:r>
      <w:rPr>
        <w:b/>
      </w:rPr>
      <w:fldChar w:fldCharType="separate"/>
    </w:r>
    <w:r w:rsidR="00E30738" w:rsidRPr="00E30738">
      <w:rPr>
        <w:b/>
      </w:rPr>
      <w:t>2023-3</w:t>
    </w:r>
    <w:r>
      <w:rPr>
        <w:b/>
      </w:rPr>
      <w:fldChar w:fldCharType="end"/>
    </w:r>
    <w:r>
      <w:rPr>
        <w:b/>
      </w:rPr>
      <w:tab/>
    </w:r>
    <w:r>
      <w:fldChar w:fldCharType="begin"/>
    </w:r>
    <w:r>
      <w:instrText>PAGE</w:instrText>
    </w:r>
    <w:r>
      <w:fldChar w:fldCharType="separate"/>
    </w:r>
    <w:r>
      <w:rPr>
        <w:noProof/>
      </w:rPr>
      <w:t>23</w:t>
    </w:r>
    <w:r>
      <w:fldChar w:fldCharType="end"/>
    </w:r>
    <w:r>
      <w:tab/>
    </w:r>
    <w:r>
      <w:rPr>
        <w:b/>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D600" w14:textId="77777777" w:rsidR="005508B3" w:rsidRDefault="005508B3">
      <w:r>
        <w:separator/>
      </w:r>
    </w:p>
  </w:footnote>
  <w:footnote w:type="continuationSeparator" w:id="0">
    <w:p w14:paraId="226F3E0E" w14:textId="77777777" w:rsidR="005508B3" w:rsidRDefault="005508B3">
      <w:r>
        <w:continuationSeparator/>
      </w:r>
    </w:p>
  </w:footnote>
  <w:footnote w:type="continuationNotice" w:id="1">
    <w:p w14:paraId="13549186" w14:textId="77777777" w:rsidR="005508B3" w:rsidRDefault="005508B3"/>
  </w:footnote>
  <w:footnote w:id="2">
    <w:p w14:paraId="39757AEE" w14:textId="77777777" w:rsidR="00DE28A5" w:rsidRDefault="00DE28A5" w:rsidP="00DD3FCD">
      <w:pPr>
        <w:pStyle w:val="FootnoteText"/>
        <w:ind w:left="284" w:hanging="284"/>
      </w:pPr>
      <w:r w:rsidRPr="00066BFE">
        <w:rPr>
          <w:rStyle w:val="FootnoteReference"/>
          <w:vertAlign w:val="baseline"/>
        </w:rPr>
        <w:footnoteRef/>
      </w:r>
      <w:r w:rsidRPr="0087249E">
        <w:t xml:space="preserve"> </w:t>
      </w:r>
      <w:r w:rsidRPr="0087249E">
        <w:tab/>
      </w:r>
      <w:r w:rsidRPr="00EE0188">
        <w:t>AASB</w:t>
      </w:r>
      <w:r>
        <w:t xml:space="preserve"> 1053 </w:t>
      </w:r>
      <w:r w:rsidRPr="00560F69">
        <w:rPr>
          <w:i/>
          <w:iCs/>
        </w:rPr>
        <w:t>Application of Tiers of Australian Accounting Standards</w:t>
      </w:r>
      <w:r>
        <w:t xml:space="preserve"> outlines that Australian Accounting Standards consist of two tiers of reporting requirements for preparing general purpose financial statements: </w:t>
      </w:r>
    </w:p>
    <w:p w14:paraId="6AF9DA92" w14:textId="77777777" w:rsidR="00DE28A5" w:rsidRDefault="00DE28A5" w:rsidP="00066BFE">
      <w:pPr>
        <w:pStyle w:val="FootnoteText"/>
        <w:ind w:left="284" w:firstLine="0"/>
      </w:pPr>
      <w:r>
        <w:t xml:space="preserve">(a)  Tier 1: Australian Accounting Standards; and </w:t>
      </w:r>
    </w:p>
    <w:p w14:paraId="0E42F247" w14:textId="77777777" w:rsidR="00DE28A5" w:rsidRDefault="00DE28A5" w:rsidP="00DE28A5">
      <w:pPr>
        <w:pStyle w:val="FootnoteText"/>
        <w:ind w:left="283" w:firstLine="0"/>
      </w:pPr>
      <w:r>
        <w:t>(b)  Tier 2: Australian Accounting Standards – Simplified Disclosures.</w:t>
      </w:r>
    </w:p>
  </w:footnote>
  <w:footnote w:id="3">
    <w:p w14:paraId="39553C2D" w14:textId="77777777" w:rsidR="00DE28A5" w:rsidRPr="003C3497" w:rsidRDefault="00DE28A5" w:rsidP="00DE28A5">
      <w:pPr>
        <w:pStyle w:val="FootnoteText"/>
        <w:rPr>
          <w:lang w:val="en-US"/>
        </w:rPr>
      </w:pPr>
      <w:r w:rsidRPr="00DD3FCD">
        <w:rPr>
          <w:rStyle w:val="FootnoteReference"/>
          <w:vertAlign w:val="baseline"/>
        </w:rPr>
        <w:footnoteRef/>
      </w:r>
      <w:r w:rsidRPr="003C3497">
        <w:rPr>
          <w:rStyle w:val="FootnoteReference"/>
          <w:vertAlign w:val="baseline"/>
        </w:rPr>
        <w:t xml:space="preserve"> </w:t>
      </w:r>
      <w:r w:rsidRPr="003C3497">
        <w:rPr>
          <w:rStyle w:val="FootnoteReference"/>
          <w:vertAlign w:val="baseline"/>
        </w:rPr>
        <w:tab/>
        <w:t>A</w:t>
      </w:r>
      <w:r w:rsidRPr="003C3497">
        <w:t>ASB 1060 paragraph BC55.</w:t>
      </w:r>
    </w:p>
  </w:footnote>
  <w:footnote w:id="4">
    <w:p w14:paraId="15F24E89" w14:textId="77777777" w:rsidR="00DE28A5" w:rsidRPr="00066BFE" w:rsidRDefault="00DE28A5" w:rsidP="00DE28A5">
      <w:pPr>
        <w:pStyle w:val="FootnoteText"/>
        <w:rPr>
          <w:rStyle w:val="FootnoteReference"/>
          <w:sz w:val="19"/>
          <w:vertAlign w:val="baseline"/>
        </w:rPr>
      </w:pPr>
      <w:r w:rsidRPr="00DD3FCD">
        <w:rPr>
          <w:rStyle w:val="FootnoteReference"/>
          <w:vertAlign w:val="baseline"/>
        </w:rPr>
        <w:footnoteRef/>
      </w:r>
      <w:r w:rsidRPr="00066BFE">
        <w:rPr>
          <w:rStyle w:val="FootnoteReference"/>
          <w:vertAlign w:val="baseline"/>
        </w:rPr>
        <w:t xml:space="preserve"> </w:t>
      </w:r>
      <w:r w:rsidRPr="00066BFE">
        <w:rPr>
          <w:rStyle w:val="FootnoteReference"/>
          <w:vertAlign w:val="baseline"/>
        </w:rPr>
        <w:tab/>
        <w:t>AASB 1060 paragraph BC41</w:t>
      </w:r>
      <w:r w:rsidRPr="00A9385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6A32" w14:textId="77777777" w:rsidR="00366A8A" w:rsidRDefault="00366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05C5" w14:textId="77777777" w:rsidR="00366A8A" w:rsidRDefault="00366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630B" w14:textId="77777777" w:rsidR="00366A8A" w:rsidRDefault="00366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87842C3"/>
    <w:multiLevelType w:val="hybridMultilevel"/>
    <w:tmpl w:val="EF6A72F2"/>
    <w:lvl w:ilvl="0" w:tplc="1D4EBE58">
      <w:start w:val="1"/>
      <w:numFmt w:val="decimal"/>
      <w:lvlText w:val="BC%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5BA7EA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15:restartNumberingAfterBreak="0">
    <w:nsid w:val="36B1626F"/>
    <w:multiLevelType w:val="multilevel"/>
    <w:tmpl w:val="000ADBB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BC6225"/>
    <w:multiLevelType w:val="hybridMultilevel"/>
    <w:tmpl w:val="B13CBF6C"/>
    <w:lvl w:ilvl="0" w:tplc="246811D6">
      <w:start w:val="1"/>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542243"/>
    <w:multiLevelType w:val="multilevel"/>
    <w:tmpl w:val="1A80FF42"/>
    <w:lvl w:ilvl="0">
      <w:start w:val="1"/>
      <w:numFmt w:val="lowerLetter"/>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Letter"/>
      <w:lvlText w:val="(%3)"/>
      <w:lvlJc w:val="left"/>
      <w:pPr>
        <w:ind w:left="1381" w:hanging="360"/>
      </w:pPr>
      <w:rPr>
        <w:rFonts w:hint="default"/>
        <w:u w:val="none"/>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2"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170919">
    <w:abstractNumId w:val="10"/>
  </w:num>
  <w:num w:numId="2" w16cid:durableId="17135367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442790">
    <w:abstractNumId w:val="12"/>
  </w:num>
  <w:num w:numId="4" w16cid:durableId="1983653527">
    <w:abstractNumId w:val="2"/>
  </w:num>
  <w:num w:numId="5" w16cid:durableId="1305743434">
    <w:abstractNumId w:val="3"/>
  </w:num>
  <w:num w:numId="6" w16cid:durableId="1342046863">
    <w:abstractNumId w:val="11"/>
  </w:num>
  <w:num w:numId="7" w16cid:durableId="1442648032">
    <w:abstractNumId w:val="4"/>
  </w:num>
  <w:num w:numId="8" w16cid:durableId="1232616062">
    <w:abstractNumId w:val="6"/>
  </w:num>
  <w:num w:numId="9" w16cid:durableId="1973976735">
    <w:abstractNumId w:val="1"/>
  </w:num>
  <w:num w:numId="10" w16cid:durableId="1073551081">
    <w:abstractNumId w:val="0"/>
  </w:num>
  <w:num w:numId="11" w16cid:durableId="1590890177">
    <w:abstractNumId w:val="8"/>
  </w:num>
  <w:num w:numId="12" w16cid:durableId="1325209819">
    <w:abstractNumId w:val="5"/>
  </w:num>
  <w:num w:numId="13" w16cid:durableId="801310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549872">
    <w:abstractNumId w:val="9"/>
  </w:num>
  <w:num w:numId="15" w16cid:durableId="1774400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961294">
    <w:abstractNumId w:val="10"/>
  </w:num>
  <w:num w:numId="17" w16cid:durableId="104008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8296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1298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9649593">
    <w:abstractNumId w:val="7"/>
  </w:num>
  <w:num w:numId="21" w16cid:durableId="623314271">
    <w:abstractNumId w:val="10"/>
  </w:num>
  <w:num w:numId="22" w16cid:durableId="1272974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yNTA0MDMxtzRU0lEKTi0uzszPAykwNK0FAHwUi1ItAAAA"/>
  </w:docVars>
  <w:rsids>
    <w:rsidRoot w:val="00723FD0"/>
    <w:rsid w:val="0000292B"/>
    <w:rsid w:val="00007EB9"/>
    <w:rsid w:val="00013D06"/>
    <w:rsid w:val="000154D0"/>
    <w:rsid w:val="00017931"/>
    <w:rsid w:val="00021542"/>
    <w:rsid w:val="00027B50"/>
    <w:rsid w:val="00027E8B"/>
    <w:rsid w:val="00027F99"/>
    <w:rsid w:val="00031B4B"/>
    <w:rsid w:val="00034BDC"/>
    <w:rsid w:val="000357FA"/>
    <w:rsid w:val="000372A7"/>
    <w:rsid w:val="000377D9"/>
    <w:rsid w:val="00040C54"/>
    <w:rsid w:val="0004455B"/>
    <w:rsid w:val="00056F12"/>
    <w:rsid w:val="00061DCE"/>
    <w:rsid w:val="000625F2"/>
    <w:rsid w:val="00062893"/>
    <w:rsid w:val="00065FFD"/>
    <w:rsid w:val="00066BFE"/>
    <w:rsid w:val="00074133"/>
    <w:rsid w:val="000812F8"/>
    <w:rsid w:val="00090A6F"/>
    <w:rsid w:val="00095640"/>
    <w:rsid w:val="00095900"/>
    <w:rsid w:val="00096027"/>
    <w:rsid w:val="000960E8"/>
    <w:rsid w:val="0009709E"/>
    <w:rsid w:val="000B39D4"/>
    <w:rsid w:val="000B4874"/>
    <w:rsid w:val="000B733C"/>
    <w:rsid w:val="000C080B"/>
    <w:rsid w:val="000C3EB0"/>
    <w:rsid w:val="000C74D1"/>
    <w:rsid w:val="000D00E7"/>
    <w:rsid w:val="000D1DAF"/>
    <w:rsid w:val="000D7B40"/>
    <w:rsid w:val="000E1D7A"/>
    <w:rsid w:val="000E4EB0"/>
    <w:rsid w:val="000E521E"/>
    <w:rsid w:val="000F03FC"/>
    <w:rsid w:val="000F1062"/>
    <w:rsid w:val="000F30B0"/>
    <w:rsid w:val="000F64CC"/>
    <w:rsid w:val="00107672"/>
    <w:rsid w:val="00110B96"/>
    <w:rsid w:val="001162C5"/>
    <w:rsid w:val="001206CF"/>
    <w:rsid w:val="0012208F"/>
    <w:rsid w:val="001239A5"/>
    <w:rsid w:val="00123C73"/>
    <w:rsid w:val="00134A70"/>
    <w:rsid w:val="001373D7"/>
    <w:rsid w:val="0014043E"/>
    <w:rsid w:val="00140C57"/>
    <w:rsid w:val="001423A2"/>
    <w:rsid w:val="00142480"/>
    <w:rsid w:val="00150156"/>
    <w:rsid w:val="001662B8"/>
    <w:rsid w:val="00167112"/>
    <w:rsid w:val="00171F51"/>
    <w:rsid w:val="001761C6"/>
    <w:rsid w:val="00181403"/>
    <w:rsid w:val="001864D4"/>
    <w:rsid w:val="00186EB1"/>
    <w:rsid w:val="0019286F"/>
    <w:rsid w:val="001978E7"/>
    <w:rsid w:val="001A0C8F"/>
    <w:rsid w:val="001B325B"/>
    <w:rsid w:val="001B33A5"/>
    <w:rsid w:val="001B60EC"/>
    <w:rsid w:val="001B730D"/>
    <w:rsid w:val="001C225F"/>
    <w:rsid w:val="001C5299"/>
    <w:rsid w:val="001C553E"/>
    <w:rsid w:val="001D4D39"/>
    <w:rsid w:val="001E24B3"/>
    <w:rsid w:val="001E38A3"/>
    <w:rsid w:val="001E65B2"/>
    <w:rsid w:val="001E75C2"/>
    <w:rsid w:val="001F78DF"/>
    <w:rsid w:val="00207690"/>
    <w:rsid w:val="002104AE"/>
    <w:rsid w:val="00212BE4"/>
    <w:rsid w:val="0022022E"/>
    <w:rsid w:val="00233840"/>
    <w:rsid w:val="00234BA4"/>
    <w:rsid w:val="00236A18"/>
    <w:rsid w:val="002420A0"/>
    <w:rsid w:val="002435B3"/>
    <w:rsid w:val="002459D5"/>
    <w:rsid w:val="0024767E"/>
    <w:rsid w:val="00253EEA"/>
    <w:rsid w:val="00254B16"/>
    <w:rsid w:val="00260A7D"/>
    <w:rsid w:val="00261FC9"/>
    <w:rsid w:val="00263702"/>
    <w:rsid w:val="00265218"/>
    <w:rsid w:val="00267458"/>
    <w:rsid w:val="00272A36"/>
    <w:rsid w:val="00276BC5"/>
    <w:rsid w:val="00280663"/>
    <w:rsid w:val="0028086D"/>
    <w:rsid w:val="00281B3D"/>
    <w:rsid w:val="002822D1"/>
    <w:rsid w:val="00283482"/>
    <w:rsid w:val="00285B97"/>
    <w:rsid w:val="00287125"/>
    <w:rsid w:val="0029409D"/>
    <w:rsid w:val="0029647E"/>
    <w:rsid w:val="002A11DB"/>
    <w:rsid w:val="002A201D"/>
    <w:rsid w:val="002A58E9"/>
    <w:rsid w:val="002A5D1D"/>
    <w:rsid w:val="002A7B1B"/>
    <w:rsid w:val="002B1B9B"/>
    <w:rsid w:val="002B7803"/>
    <w:rsid w:val="002C1A5D"/>
    <w:rsid w:val="002D4856"/>
    <w:rsid w:val="002D72C1"/>
    <w:rsid w:val="002E3355"/>
    <w:rsid w:val="002E4387"/>
    <w:rsid w:val="002E60A8"/>
    <w:rsid w:val="002E649F"/>
    <w:rsid w:val="002F1CD0"/>
    <w:rsid w:val="002F78B0"/>
    <w:rsid w:val="00303294"/>
    <w:rsid w:val="003073EC"/>
    <w:rsid w:val="00307F26"/>
    <w:rsid w:val="003133D3"/>
    <w:rsid w:val="0031606C"/>
    <w:rsid w:val="003251D8"/>
    <w:rsid w:val="0033581C"/>
    <w:rsid w:val="0034243B"/>
    <w:rsid w:val="00343678"/>
    <w:rsid w:val="00343ECE"/>
    <w:rsid w:val="00347206"/>
    <w:rsid w:val="00360799"/>
    <w:rsid w:val="00364543"/>
    <w:rsid w:val="00364B30"/>
    <w:rsid w:val="00365F61"/>
    <w:rsid w:val="00366A8A"/>
    <w:rsid w:val="00367DC9"/>
    <w:rsid w:val="00377B8D"/>
    <w:rsid w:val="00382796"/>
    <w:rsid w:val="00383E4C"/>
    <w:rsid w:val="00387149"/>
    <w:rsid w:val="0039009E"/>
    <w:rsid w:val="00397432"/>
    <w:rsid w:val="003A09D1"/>
    <w:rsid w:val="003A1C62"/>
    <w:rsid w:val="003A3314"/>
    <w:rsid w:val="003A3CE5"/>
    <w:rsid w:val="003A488F"/>
    <w:rsid w:val="003A7795"/>
    <w:rsid w:val="003B02F3"/>
    <w:rsid w:val="003B0CAA"/>
    <w:rsid w:val="003B0E71"/>
    <w:rsid w:val="003B0E8A"/>
    <w:rsid w:val="003B424C"/>
    <w:rsid w:val="003B6633"/>
    <w:rsid w:val="003C1A82"/>
    <w:rsid w:val="003C3497"/>
    <w:rsid w:val="003D0B87"/>
    <w:rsid w:val="003D1DD4"/>
    <w:rsid w:val="003E0A68"/>
    <w:rsid w:val="003E1900"/>
    <w:rsid w:val="003E29BA"/>
    <w:rsid w:val="003E597F"/>
    <w:rsid w:val="0040098B"/>
    <w:rsid w:val="00401ECA"/>
    <w:rsid w:val="004067C9"/>
    <w:rsid w:val="004067EE"/>
    <w:rsid w:val="004150BD"/>
    <w:rsid w:val="0041540B"/>
    <w:rsid w:val="004224AB"/>
    <w:rsid w:val="00422E4D"/>
    <w:rsid w:val="004238AA"/>
    <w:rsid w:val="0042591B"/>
    <w:rsid w:val="00426876"/>
    <w:rsid w:val="00430396"/>
    <w:rsid w:val="004329D4"/>
    <w:rsid w:val="00434D86"/>
    <w:rsid w:val="00436A2D"/>
    <w:rsid w:val="00440340"/>
    <w:rsid w:val="004412DE"/>
    <w:rsid w:val="00442985"/>
    <w:rsid w:val="0044702C"/>
    <w:rsid w:val="004539D3"/>
    <w:rsid w:val="00460FBB"/>
    <w:rsid w:val="004628B9"/>
    <w:rsid w:val="00466C55"/>
    <w:rsid w:val="00470CE9"/>
    <w:rsid w:val="00471295"/>
    <w:rsid w:val="004715E2"/>
    <w:rsid w:val="004730E5"/>
    <w:rsid w:val="0047683E"/>
    <w:rsid w:val="0048155F"/>
    <w:rsid w:val="00487CF6"/>
    <w:rsid w:val="004920F8"/>
    <w:rsid w:val="004961F8"/>
    <w:rsid w:val="004A417F"/>
    <w:rsid w:val="004A491B"/>
    <w:rsid w:val="004B038C"/>
    <w:rsid w:val="004B1857"/>
    <w:rsid w:val="004B5B4B"/>
    <w:rsid w:val="004B736C"/>
    <w:rsid w:val="004C1FD8"/>
    <w:rsid w:val="004C5BDE"/>
    <w:rsid w:val="004C6D68"/>
    <w:rsid w:val="004D1C94"/>
    <w:rsid w:val="004D3809"/>
    <w:rsid w:val="004D4D1C"/>
    <w:rsid w:val="004D67C0"/>
    <w:rsid w:val="004F0398"/>
    <w:rsid w:val="004F3BDB"/>
    <w:rsid w:val="004F3FC2"/>
    <w:rsid w:val="004F4B09"/>
    <w:rsid w:val="004F55FE"/>
    <w:rsid w:val="00500E80"/>
    <w:rsid w:val="00504A34"/>
    <w:rsid w:val="00507D9C"/>
    <w:rsid w:val="00507ED2"/>
    <w:rsid w:val="00511C34"/>
    <w:rsid w:val="005166B2"/>
    <w:rsid w:val="005175E7"/>
    <w:rsid w:val="00525AB3"/>
    <w:rsid w:val="00525F84"/>
    <w:rsid w:val="005319EA"/>
    <w:rsid w:val="00532410"/>
    <w:rsid w:val="0053452C"/>
    <w:rsid w:val="005352C9"/>
    <w:rsid w:val="00535EC5"/>
    <w:rsid w:val="005508B3"/>
    <w:rsid w:val="00552AAF"/>
    <w:rsid w:val="0056274D"/>
    <w:rsid w:val="005655CE"/>
    <w:rsid w:val="00571989"/>
    <w:rsid w:val="00572F44"/>
    <w:rsid w:val="005732F4"/>
    <w:rsid w:val="00574E24"/>
    <w:rsid w:val="005758D4"/>
    <w:rsid w:val="0057673C"/>
    <w:rsid w:val="00577065"/>
    <w:rsid w:val="0057784E"/>
    <w:rsid w:val="0058004D"/>
    <w:rsid w:val="00580BC4"/>
    <w:rsid w:val="00590051"/>
    <w:rsid w:val="005938B4"/>
    <w:rsid w:val="005A2514"/>
    <w:rsid w:val="005A5207"/>
    <w:rsid w:val="005A580C"/>
    <w:rsid w:val="005A6AC7"/>
    <w:rsid w:val="005B146F"/>
    <w:rsid w:val="005C5D54"/>
    <w:rsid w:val="005C7309"/>
    <w:rsid w:val="005D02F8"/>
    <w:rsid w:val="005D67AC"/>
    <w:rsid w:val="005D7D81"/>
    <w:rsid w:val="005E6BE4"/>
    <w:rsid w:val="00602261"/>
    <w:rsid w:val="00607C80"/>
    <w:rsid w:val="00624E5B"/>
    <w:rsid w:val="006252B9"/>
    <w:rsid w:val="00625A6C"/>
    <w:rsid w:val="00627669"/>
    <w:rsid w:val="006318E9"/>
    <w:rsid w:val="00641282"/>
    <w:rsid w:val="00642ABF"/>
    <w:rsid w:val="00652DF8"/>
    <w:rsid w:val="00653390"/>
    <w:rsid w:val="00653536"/>
    <w:rsid w:val="00653A06"/>
    <w:rsid w:val="0066591C"/>
    <w:rsid w:val="00672B12"/>
    <w:rsid w:val="006843E5"/>
    <w:rsid w:val="00687B51"/>
    <w:rsid w:val="006904E0"/>
    <w:rsid w:val="006965C2"/>
    <w:rsid w:val="006A3AE9"/>
    <w:rsid w:val="006A40E5"/>
    <w:rsid w:val="006A6209"/>
    <w:rsid w:val="006A6D64"/>
    <w:rsid w:val="006B0649"/>
    <w:rsid w:val="006B0CD6"/>
    <w:rsid w:val="006C01DF"/>
    <w:rsid w:val="006C1DD1"/>
    <w:rsid w:val="006C2E37"/>
    <w:rsid w:val="006D055E"/>
    <w:rsid w:val="006D05AF"/>
    <w:rsid w:val="006D0CAD"/>
    <w:rsid w:val="006D0DF4"/>
    <w:rsid w:val="006D134A"/>
    <w:rsid w:val="006D4700"/>
    <w:rsid w:val="006D602D"/>
    <w:rsid w:val="006D7679"/>
    <w:rsid w:val="006E002A"/>
    <w:rsid w:val="006E03A1"/>
    <w:rsid w:val="006E2C39"/>
    <w:rsid w:val="006E3853"/>
    <w:rsid w:val="006F16BF"/>
    <w:rsid w:val="006F260A"/>
    <w:rsid w:val="006F643B"/>
    <w:rsid w:val="00702AF4"/>
    <w:rsid w:val="00714340"/>
    <w:rsid w:val="007219F7"/>
    <w:rsid w:val="00723FD0"/>
    <w:rsid w:val="007333C2"/>
    <w:rsid w:val="00733EB6"/>
    <w:rsid w:val="007345D7"/>
    <w:rsid w:val="00737714"/>
    <w:rsid w:val="0074129B"/>
    <w:rsid w:val="00742E4B"/>
    <w:rsid w:val="00745242"/>
    <w:rsid w:val="007455F0"/>
    <w:rsid w:val="00747EA0"/>
    <w:rsid w:val="0075001B"/>
    <w:rsid w:val="00751F6A"/>
    <w:rsid w:val="00752B60"/>
    <w:rsid w:val="007554ED"/>
    <w:rsid w:val="00755C10"/>
    <w:rsid w:val="00755E40"/>
    <w:rsid w:val="00756FF6"/>
    <w:rsid w:val="00760C9C"/>
    <w:rsid w:val="0076127E"/>
    <w:rsid w:val="00761E43"/>
    <w:rsid w:val="00765858"/>
    <w:rsid w:val="00765CC0"/>
    <w:rsid w:val="007674E1"/>
    <w:rsid w:val="0078116B"/>
    <w:rsid w:val="00792790"/>
    <w:rsid w:val="007943AA"/>
    <w:rsid w:val="007971C7"/>
    <w:rsid w:val="00797AF8"/>
    <w:rsid w:val="007A4381"/>
    <w:rsid w:val="007A6785"/>
    <w:rsid w:val="007A6BC3"/>
    <w:rsid w:val="007B0AD5"/>
    <w:rsid w:val="007C3586"/>
    <w:rsid w:val="007D3C50"/>
    <w:rsid w:val="007E2EA9"/>
    <w:rsid w:val="007E48C7"/>
    <w:rsid w:val="007F1D3D"/>
    <w:rsid w:val="0080656F"/>
    <w:rsid w:val="008114E2"/>
    <w:rsid w:val="00812637"/>
    <w:rsid w:val="00813227"/>
    <w:rsid w:val="008138B4"/>
    <w:rsid w:val="008201B0"/>
    <w:rsid w:val="00820794"/>
    <w:rsid w:val="0082379E"/>
    <w:rsid w:val="0082408C"/>
    <w:rsid w:val="00831497"/>
    <w:rsid w:val="00832A74"/>
    <w:rsid w:val="00834DDD"/>
    <w:rsid w:val="008350A1"/>
    <w:rsid w:val="00836150"/>
    <w:rsid w:val="00842334"/>
    <w:rsid w:val="008452E6"/>
    <w:rsid w:val="00845835"/>
    <w:rsid w:val="00845897"/>
    <w:rsid w:val="008459E8"/>
    <w:rsid w:val="00845EDF"/>
    <w:rsid w:val="00852487"/>
    <w:rsid w:val="00853758"/>
    <w:rsid w:val="00860C35"/>
    <w:rsid w:val="008617AB"/>
    <w:rsid w:val="008622B9"/>
    <w:rsid w:val="00864ADE"/>
    <w:rsid w:val="00867FB0"/>
    <w:rsid w:val="0087088D"/>
    <w:rsid w:val="00871A12"/>
    <w:rsid w:val="00871E96"/>
    <w:rsid w:val="00876884"/>
    <w:rsid w:val="00877237"/>
    <w:rsid w:val="008801A1"/>
    <w:rsid w:val="00881BBE"/>
    <w:rsid w:val="00883360"/>
    <w:rsid w:val="00894FD5"/>
    <w:rsid w:val="00895809"/>
    <w:rsid w:val="008A16EB"/>
    <w:rsid w:val="008A6182"/>
    <w:rsid w:val="008B0C50"/>
    <w:rsid w:val="008B1D94"/>
    <w:rsid w:val="008B2744"/>
    <w:rsid w:val="008B4C8D"/>
    <w:rsid w:val="008B643A"/>
    <w:rsid w:val="008B6DD3"/>
    <w:rsid w:val="008C0D73"/>
    <w:rsid w:val="008C1C4A"/>
    <w:rsid w:val="008C3DDE"/>
    <w:rsid w:val="008C60B1"/>
    <w:rsid w:val="008C6BD0"/>
    <w:rsid w:val="008C77F5"/>
    <w:rsid w:val="008D2000"/>
    <w:rsid w:val="008D2894"/>
    <w:rsid w:val="008D2EBD"/>
    <w:rsid w:val="008E7EF2"/>
    <w:rsid w:val="008F0A81"/>
    <w:rsid w:val="008F3914"/>
    <w:rsid w:val="008F3EBA"/>
    <w:rsid w:val="008F4AC5"/>
    <w:rsid w:val="008F5963"/>
    <w:rsid w:val="0090548E"/>
    <w:rsid w:val="0091287F"/>
    <w:rsid w:val="00912BEF"/>
    <w:rsid w:val="00923261"/>
    <w:rsid w:val="00923D5C"/>
    <w:rsid w:val="009256B7"/>
    <w:rsid w:val="00934622"/>
    <w:rsid w:val="00937BD3"/>
    <w:rsid w:val="0094534B"/>
    <w:rsid w:val="00952F06"/>
    <w:rsid w:val="00957CF1"/>
    <w:rsid w:val="00961950"/>
    <w:rsid w:val="00970C7A"/>
    <w:rsid w:val="009721DB"/>
    <w:rsid w:val="00972BFA"/>
    <w:rsid w:val="00980DFF"/>
    <w:rsid w:val="0098318F"/>
    <w:rsid w:val="00987881"/>
    <w:rsid w:val="009962B8"/>
    <w:rsid w:val="009965BA"/>
    <w:rsid w:val="009B14BD"/>
    <w:rsid w:val="009B2F14"/>
    <w:rsid w:val="009B327C"/>
    <w:rsid w:val="009B37FC"/>
    <w:rsid w:val="009B6535"/>
    <w:rsid w:val="009C2479"/>
    <w:rsid w:val="009C6EFC"/>
    <w:rsid w:val="009D06F8"/>
    <w:rsid w:val="009D471F"/>
    <w:rsid w:val="009D73F1"/>
    <w:rsid w:val="009D7529"/>
    <w:rsid w:val="009E05D5"/>
    <w:rsid w:val="009E0D2E"/>
    <w:rsid w:val="009E2900"/>
    <w:rsid w:val="009E69ED"/>
    <w:rsid w:val="009F07D1"/>
    <w:rsid w:val="00A02674"/>
    <w:rsid w:val="00A05041"/>
    <w:rsid w:val="00A0570F"/>
    <w:rsid w:val="00A05971"/>
    <w:rsid w:val="00A0751C"/>
    <w:rsid w:val="00A13F82"/>
    <w:rsid w:val="00A1611D"/>
    <w:rsid w:val="00A16664"/>
    <w:rsid w:val="00A22E0D"/>
    <w:rsid w:val="00A27564"/>
    <w:rsid w:val="00A351FD"/>
    <w:rsid w:val="00A35A89"/>
    <w:rsid w:val="00A41ED3"/>
    <w:rsid w:val="00A4223E"/>
    <w:rsid w:val="00A423D2"/>
    <w:rsid w:val="00A4532F"/>
    <w:rsid w:val="00A47FA2"/>
    <w:rsid w:val="00A5079A"/>
    <w:rsid w:val="00A51A7E"/>
    <w:rsid w:val="00A51DF8"/>
    <w:rsid w:val="00A5370C"/>
    <w:rsid w:val="00A55F4F"/>
    <w:rsid w:val="00A60E50"/>
    <w:rsid w:val="00A6237D"/>
    <w:rsid w:val="00A64802"/>
    <w:rsid w:val="00A64C0A"/>
    <w:rsid w:val="00A748BA"/>
    <w:rsid w:val="00A83862"/>
    <w:rsid w:val="00A8486C"/>
    <w:rsid w:val="00A923CF"/>
    <w:rsid w:val="00A93857"/>
    <w:rsid w:val="00A951CD"/>
    <w:rsid w:val="00A96702"/>
    <w:rsid w:val="00A97EB2"/>
    <w:rsid w:val="00AA14A9"/>
    <w:rsid w:val="00AA5E2C"/>
    <w:rsid w:val="00AB6349"/>
    <w:rsid w:val="00AB780A"/>
    <w:rsid w:val="00AC13AD"/>
    <w:rsid w:val="00AC4315"/>
    <w:rsid w:val="00AC73E1"/>
    <w:rsid w:val="00AD1D12"/>
    <w:rsid w:val="00AD2FB7"/>
    <w:rsid w:val="00AD42DA"/>
    <w:rsid w:val="00AD6781"/>
    <w:rsid w:val="00AF08B3"/>
    <w:rsid w:val="00AF3912"/>
    <w:rsid w:val="00AF61B8"/>
    <w:rsid w:val="00B00708"/>
    <w:rsid w:val="00B065EC"/>
    <w:rsid w:val="00B110AD"/>
    <w:rsid w:val="00B123BE"/>
    <w:rsid w:val="00B156D6"/>
    <w:rsid w:val="00B16904"/>
    <w:rsid w:val="00B173D4"/>
    <w:rsid w:val="00B271BA"/>
    <w:rsid w:val="00B32691"/>
    <w:rsid w:val="00B3429E"/>
    <w:rsid w:val="00B4079B"/>
    <w:rsid w:val="00B636DC"/>
    <w:rsid w:val="00B64FCD"/>
    <w:rsid w:val="00B672B3"/>
    <w:rsid w:val="00B67830"/>
    <w:rsid w:val="00B70BEF"/>
    <w:rsid w:val="00B73E3D"/>
    <w:rsid w:val="00B74237"/>
    <w:rsid w:val="00B76848"/>
    <w:rsid w:val="00B77428"/>
    <w:rsid w:val="00B77941"/>
    <w:rsid w:val="00B822FF"/>
    <w:rsid w:val="00B82F15"/>
    <w:rsid w:val="00B92BD5"/>
    <w:rsid w:val="00BA3AB4"/>
    <w:rsid w:val="00BA4622"/>
    <w:rsid w:val="00BA5104"/>
    <w:rsid w:val="00BA64A1"/>
    <w:rsid w:val="00BA6DC3"/>
    <w:rsid w:val="00BB4C9F"/>
    <w:rsid w:val="00BB7C33"/>
    <w:rsid w:val="00BB7EE4"/>
    <w:rsid w:val="00BC0794"/>
    <w:rsid w:val="00BC0D5D"/>
    <w:rsid w:val="00BE0E8B"/>
    <w:rsid w:val="00BE2F68"/>
    <w:rsid w:val="00BE38FC"/>
    <w:rsid w:val="00BE6717"/>
    <w:rsid w:val="00BF2122"/>
    <w:rsid w:val="00BF27CB"/>
    <w:rsid w:val="00BF6738"/>
    <w:rsid w:val="00C03C7B"/>
    <w:rsid w:val="00C15955"/>
    <w:rsid w:val="00C2131A"/>
    <w:rsid w:val="00C231DF"/>
    <w:rsid w:val="00C2501E"/>
    <w:rsid w:val="00C3493B"/>
    <w:rsid w:val="00C37458"/>
    <w:rsid w:val="00C41899"/>
    <w:rsid w:val="00C438DD"/>
    <w:rsid w:val="00C43CD1"/>
    <w:rsid w:val="00C44C8F"/>
    <w:rsid w:val="00C45020"/>
    <w:rsid w:val="00C45093"/>
    <w:rsid w:val="00C5022C"/>
    <w:rsid w:val="00C53F20"/>
    <w:rsid w:val="00C552FD"/>
    <w:rsid w:val="00C60FCF"/>
    <w:rsid w:val="00C63573"/>
    <w:rsid w:val="00C65F0E"/>
    <w:rsid w:val="00C722FF"/>
    <w:rsid w:val="00C727B3"/>
    <w:rsid w:val="00C73CAB"/>
    <w:rsid w:val="00C74248"/>
    <w:rsid w:val="00C74FC5"/>
    <w:rsid w:val="00C81632"/>
    <w:rsid w:val="00C85A2D"/>
    <w:rsid w:val="00C9249D"/>
    <w:rsid w:val="00C95D8A"/>
    <w:rsid w:val="00C96FBE"/>
    <w:rsid w:val="00CA11F2"/>
    <w:rsid w:val="00CA61C5"/>
    <w:rsid w:val="00CB413B"/>
    <w:rsid w:val="00CB5398"/>
    <w:rsid w:val="00CB719A"/>
    <w:rsid w:val="00CC1DF4"/>
    <w:rsid w:val="00CC6FCD"/>
    <w:rsid w:val="00CD5D1C"/>
    <w:rsid w:val="00CE04D1"/>
    <w:rsid w:val="00CE2F8C"/>
    <w:rsid w:val="00CE4088"/>
    <w:rsid w:val="00CF1772"/>
    <w:rsid w:val="00CF75CA"/>
    <w:rsid w:val="00CF7B67"/>
    <w:rsid w:val="00D00FD5"/>
    <w:rsid w:val="00D16493"/>
    <w:rsid w:val="00D316C1"/>
    <w:rsid w:val="00D415BF"/>
    <w:rsid w:val="00D468ED"/>
    <w:rsid w:val="00D46E31"/>
    <w:rsid w:val="00D51FCF"/>
    <w:rsid w:val="00D52086"/>
    <w:rsid w:val="00D53401"/>
    <w:rsid w:val="00D54F5C"/>
    <w:rsid w:val="00D62560"/>
    <w:rsid w:val="00D65F01"/>
    <w:rsid w:val="00D67336"/>
    <w:rsid w:val="00D74038"/>
    <w:rsid w:val="00D74C6A"/>
    <w:rsid w:val="00D74D12"/>
    <w:rsid w:val="00D77664"/>
    <w:rsid w:val="00D83CDA"/>
    <w:rsid w:val="00D84EEA"/>
    <w:rsid w:val="00D92968"/>
    <w:rsid w:val="00D92A36"/>
    <w:rsid w:val="00D942EB"/>
    <w:rsid w:val="00D94692"/>
    <w:rsid w:val="00D95245"/>
    <w:rsid w:val="00D96A64"/>
    <w:rsid w:val="00D96B32"/>
    <w:rsid w:val="00DA0496"/>
    <w:rsid w:val="00DA2119"/>
    <w:rsid w:val="00DA2A7B"/>
    <w:rsid w:val="00DA381B"/>
    <w:rsid w:val="00DA7CDB"/>
    <w:rsid w:val="00DB00CD"/>
    <w:rsid w:val="00DB7208"/>
    <w:rsid w:val="00DC7E1B"/>
    <w:rsid w:val="00DD1DDC"/>
    <w:rsid w:val="00DD3718"/>
    <w:rsid w:val="00DD3FCD"/>
    <w:rsid w:val="00DD7E7A"/>
    <w:rsid w:val="00DE28A5"/>
    <w:rsid w:val="00DE4E51"/>
    <w:rsid w:val="00DE5077"/>
    <w:rsid w:val="00DE6288"/>
    <w:rsid w:val="00DF1E0E"/>
    <w:rsid w:val="00DF39E3"/>
    <w:rsid w:val="00DF6CE0"/>
    <w:rsid w:val="00DF75B1"/>
    <w:rsid w:val="00E033B7"/>
    <w:rsid w:val="00E06C2F"/>
    <w:rsid w:val="00E12A23"/>
    <w:rsid w:val="00E12F57"/>
    <w:rsid w:val="00E220BD"/>
    <w:rsid w:val="00E24399"/>
    <w:rsid w:val="00E274C6"/>
    <w:rsid w:val="00E30738"/>
    <w:rsid w:val="00E37B8D"/>
    <w:rsid w:val="00E41399"/>
    <w:rsid w:val="00E4178F"/>
    <w:rsid w:val="00E46E8D"/>
    <w:rsid w:val="00E52924"/>
    <w:rsid w:val="00E55F03"/>
    <w:rsid w:val="00E60B5E"/>
    <w:rsid w:val="00E63279"/>
    <w:rsid w:val="00E65DDF"/>
    <w:rsid w:val="00E74BD5"/>
    <w:rsid w:val="00E7592A"/>
    <w:rsid w:val="00E76E9B"/>
    <w:rsid w:val="00E839DA"/>
    <w:rsid w:val="00E90B4F"/>
    <w:rsid w:val="00E915E3"/>
    <w:rsid w:val="00E9325C"/>
    <w:rsid w:val="00E93A30"/>
    <w:rsid w:val="00E94DA2"/>
    <w:rsid w:val="00E96D45"/>
    <w:rsid w:val="00E97B4B"/>
    <w:rsid w:val="00EA62DA"/>
    <w:rsid w:val="00EB2001"/>
    <w:rsid w:val="00EB4197"/>
    <w:rsid w:val="00EB4756"/>
    <w:rsid w:val="00EC0F31"/>
    <w:rsid w:val="00EC2520"/>
    <w:rsid w:val="00EC4AFD"/>
    <w:rsid w:val="00ED0067"/>
    <w:rsid w:val="00ED06E4"/>
    <w:rsid w:val="00ED557A"/>
    <w:rsid w:val="00EE2509"/>
    <w:rsid w:val="00EE3D03"/>
    <w:rsid w:val="00EE4C27"/>
    <w:rsid w:val="00EE57D2"/>
    <w:rsid w:val="00EE70F7"/>
    <w:rsid w:val="00EE72D1"/>
    <w:rsid w:val="00EE740D"/>
    <w:rsid w:val="00EF3A49"/>
    <w:rsid w:val="00F03163"/>
    <w:rsid w:val="00F13C5A"/>
    <w:rsid w:val="00F14BDB"/>
    <w:rsid w:val="00F15859"/>
    <w:rsid w:val="00F163E8"/>
    <w:rsid w:val="00F22AF2"/>
    <w:rsid w:val="00F25C8E"/>
    <w:rsid w:val="00F2677A"/>
    <w:rsid w:val="00F268B7"/>
    <w:rsid w:val="00F27D29"/>
    <w:rsid w:val="00F32775"/>
    <w:rsid w:val="00F35311"/>
    <w:rsid w:val="00F35AF9"/>
    <w:rsid w:val="00F424C9"/>
    <w:rsid w:val="00F50A87"/>
    <w:rsid w:val="00F606E0"/>
    <w:rsid w:val="00F6250E"/>
    <w:rsid w:val="00F66B41"/>
    <w:rsid w:val="00F704C3"/>
    <w:rsid w:val="00F70811"/>
    <w:rsid w:val="00F73463"/>
    <w:rsid w:val="00F7497F"/>
    <w:rsid w:val="00F82A0E"/>
    <w:rsid w:val="00F862E7"/>
    <w:rsid w:val="00F8693D"/>
    <w:rsid w:val="00F87FEF"/>
    <w:rsid w:val="00F933DD"/>
    <w:rsid w:val="00F970FB"/>
    <w:rsid w:val="00F97E52"/>
    <w:rsid w:val="00FA072F"/>
    <w:rsid w:val="00FA2335"/>
    <w:rsid w:val="00FB39CB"/>
    <w:rsid w:val="00FB6955"/>
    <w:rsid w:val="00FB6EEB"/>
    <w:rsid w:val="00FC1F99"/>
    <w:rsid w:val="00FC2254"/>
    <w:rsid w:val="00FC30DA"/>
    <w:rsid w:val="00FC3C08"/>
    <w:rsid w:val="00FC64EE"/>
    <w:rsid w:val="00FD00D8"/>
    <w:rsid w:val="00FD16E4"/>
    <w:rsid w:val="00FD3BAA"/>
    <w:rsid w:val="00FD42DA"/>
    <w:rsid w:val="00FD651F"/>
    <w:rsid w:val="00FE31DC"/>
    <w:rsid w:val="00FF36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28A4A"/>
  <w15:docId w15:val="{EC55364E-4F49-A74E-82DC-8EDA01DE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0"/>
        <w:numId w:val="0"/>
      </w:numPr>
    </w:pPr>
  </w:style>
  <w:style w:type="paragraph" w:customStyle="1" w:styleId="NumPlain4">
    <w:name w:val="Num Plain4"/>
    <w:basedOn w:val="NumPlain3"/>
    <w:rsid w:val="00426876"/>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customStyle="1" w:styleId="HeaderChar">
    <w:name w:val="Header Char"/>
    <w:basedOn w:val="DefaultParagraphFont"/>
    <w:link w:val="Header"/>
    <w:uiPriority w:val="99"/>
    <w:rsid w:val="00883360"/>
    <w:rPr>
      <w:sz w:val="19"/>
      <w:lang w:eastAsia="en-US"/>
    </w:rPr>
  </w:style>
  <w:style w:type="paragraph" w:customStyle="1" w:styleId="IASBNormalnpara">
    <w:name w:val="IASB Normal npara"/>
    <w:basedOn w:val="Normal"/>
    <w:rsid w:val="00A4532F"/>
    <w:pPr>
      <w:spacing w:before="100"/>
      <w:ind w:left="782" w:hanging="782"/>
    </w:pPr>
    <w:rPr>
      <w:lang w:val="en-US"/>
    </w:rPr>
  </w:style>
  <w:style w:type="paragraph" w:customStyle="1" w:styleId="IASBSectionTitle1NonInd">
    <w:name w:val="IASB Section Title 1 NonInd"/>
    <w:basedOn w:val="Normal"/>
    <w:link w:val="IASBSectionTitle1NonIndChar"/>
    <w:uiPriority w:val="8"/>
    <w:rsid w:val="00A4532F"/>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A4532F"/>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uiPriority w:val="8"/>
    <w:qFormat/>
    <w:rsid w:val="00A4532F"/>
    <w:pPr>
      <w:keepNext/>
      <w:keepLines/>
      <w:spacing w:before="240" w:after="200"/>
      <w:ind w:left="782"/>
      <w:jc w:val="left"/>
    </w:pPr>
    <w:rPr>
      <w:rFonts w:ascii="Arial" w:hAnsi="Arial" w:cs="Arial"/>
      <w:b/>
      <w:sz w:val="22"/>
      <w:lang w:val="en-US"/>
    </w:rPr>
  </w:style>
  <w:style w:type="paragraph" w:customStyle="1" w:styleId="IASBSectionTitle4Ind">
    <w:name w:val="IASB Section Title 4 Ind"/>
    <w:basedOn w:val="Normal"/>
    <w:rsid w:val="00A4532F"/>
    <w:pPr>
      <w:keepNext/>
      <w:keepLines/>
      <w:spacing w:before="300" w:after="200"/>
      <w:ind w:left="782"/>
      <w:jc w:val="left"/>
    </w:pPr>
    <w:rPr>
      <w:rFonts w:ascii="Arial" w:hAnsi="Arial" w:cs="Arial"/>
      <w:i/>
      <w:sz w:val="22"/>
      <w:lang w:val="en-US"/>
    </w:rPr>
  </w:style>
  <w:style w:type="paragraph" w:customStyle="1" w:styleId="IASBNormalnparaL1">
    <w:name w:val="IASB Normal nparaL1"/>
    <w:basedOn w:val="IASBNormalnpara"/>
    <w:rsid w:val="00A4532F"/>
    <w:pPr>
      <w:ind w:left="1564"/>
    </w:pPr>
  </w:style>
  <w:style w:type="paragraph" w:customStyle="1" w:styleId="IASBNormalnparaP">
    <w:name w:val="IASB Normal nparaP"/>
    <w:basedOn w:val="Normal"/>
    <w:rsid w:val="00A4532F"/>
    <w:pPr>
      <w:tabs>
        <w:tab w:val="left" w:pos="4253"/>
      </w:tabs>
      <w:spacing w:before="100" w:after="100"/>
      <w:ind w:left="782"/>
    </w:pPr>
    <w:rPr>
      <w:lang w:val="en-US"/>
    </w:rPr>
  </w:style>
  <w:style w:type="paragraph" w:customStyle="1" w:styleId="IASBTableArial">
    <w:name w:val="IASB Table Arial"/>
    <w:basedOn w:val="Normal"/>
    <w:rsid w:val="00A4532F"/>
    <w:pPr>
      <w:spacing w:before="120"/>
      <w:jc w:val="left"/>
    </w:pPr>
    <w:rPr>
      <w:rFonts w:ascii="Arial" w:hAnsi="Arial"/>
      <w:sz w:val="18"/>
      <w:lang w:val="en-GB" w:eastAsia="en-GB"/>
    </w:rPr>
  </w:style>
  <w:style w:type="character" w:styleId="CommentReference">
    <w:name w:val="annotation reference"/>
    <w:basedOn w:val="DefaultParagraphFont"/>
    <w:semiHidden/>
    <w:unhideWhenUsed/>
    <w:rsid w:val="003E597F"/>
    <w:rPr>
      <w:sz w:val="16"/>
      <w:szCs w:val="16"/>
    </w:rPr>
  </w:style>
  <w:style w:type="paragraph" w:styleId="CommentText">
    <w:name w:val="annotation text"/>
    <w:basedOn w:val="Normal"/>
    <w:link w:val="CommentTextChar"/>
    <w:unhideWhenUsed/>
    <w:rsid w:val="003E597F"/>
    <w:rPr>
      <w:sz w:val="20"/>
    </w:rPr>
  </w:style>
  <w:style w:type="character" w:customStyle="1" w:styleId="CommentTextChar">
    <w:name w:val="Comment Text Char"/>
    <w:basedOn w:val="DefaultParagraphFont"/>
    <w:link w:val="CommentText"/>
    <w:rsid w:val="003E597F"/>
    <w:rPr>
      <w:lang w:eastAsia="en-US"/>
    </w:rPr>
  </w:style>
  <w:style w:type="paragraph" w:styleId="CommentSubject">
    <w:name w:val="annotation subject"/>
    <w:basedOn w:val="CommentText"/>
    <w:next w:val="CommentText"/>
    <w:link w:val="CommentSubjectChar"/>
    <w:semiHidden/>
    <w:unhideWhenUsed/>
    <w:rsid w:val="003E597F"/>
    <w:rPr>
      <w:b/>
      <w:bCs/>
    </w:rPr>
  </w:style>
  <w:style w:type="character" w:customStyle="1" w:styleId="CommentSubjectChar">
    <w:name w:val="Comment Subject Char"/>
    <w:basedOn w:val="CommentTextChar"/>
    <w:link w:val="CommentSubject"/>
    <w:semiHidden/>
    <w:rsid w:val="003E597F"/>
    <w:rPr>
      <w:b/>
      <w:bCs/>
      <w:lang w:eastAsia="en-US"/>
    </w:rPr>
  </w:style>
  <w:style w:type="paragraph" w:styleId="Revision">
    <w:name w:val="Revision"/>
    <w:hidden/>
    <w:uiPriority w:val="99"/>
    <w:semiHidden/>
    <w:rsid w:val="00007EB9"/>
    <w:rPr>
      <w:sz w:val="19"/>
      <w:lang w:eastAsia="en-US"/>
    </w:rPr>
  </w:style>
  <w:style w:type="paragraph" w:customStyle="1" w:styleId="IASBTableNormal">
    <w:name w:val="IASB Table Normal"/>
    <w:basedOn w:val="Normal"/>
    <w:rsid w:val="00A05971"/>
    <w:pPr>
      <w:spacing w:before="80" w:after="60"/>
      <w:jc w:val="left"/>
    </w:pPr>
    <w:rPr>
      <w:lang w:val="en-GB" w:eastAsia="en-GB"/>
    </w:rPr>
  </w:style>
  <w:style w:type="character" w:styleId="Mention">
    <w:name w:val="Mention"/>
    <w:basedOn w:val="DefaultParagraphFont"/>
    <w:uiPriority w:val="99"/>
    <w:unhideWhenUsed/>
    <w:rsid w:val="002E649F"/>
    <w:rPr>
      <w:color w:val="2B579A"/>
      <w:shd w:val="clear" w:color="auto" w:fill="E1DFDD"/>
    </w:rPr>
  </w:style>
  <w:style w:type="character" w:customStyle="1" w:styleId="FooterChar">
    <w:name w:val="Footer Char"/>
    <w:basedOn w:val="DefaultParagraphFont"/>
    <w:link w:val="Footer"/>
    <w:rsid w:val="00DE28A5"/>
    <w:rPr>
      <w:sz w:val="19"/>
      <w:lang w:eastAsia="en-US"/>
    </w:rPr>
  </w:style>
  <w:style w:type="character" w:customStyle="1" w:styleId="IASBSectionTitle1NonIndChar">
    <w:name w:val="IASB Section Title 1 NonInd Char"/>
    <w:basedOn w:val="DefaultParagraphFont"/>
    <w:link w:val="IASBSectionTitle1NonInd"/>
    <w:uiPriority w:val="8"/>
    <w:rsid w:val="00DE28A5"/>
    <w:rPr>
      <w:rFonts w:ascii="Arial" w:hAnsi="Arial" w:cs="Arial"/>
      <w:b/>
      <w:sz w:val="26"/>
      <w:lang w:val="en-US" w:eastAsia="en-US"/>
    </w:rPr>
  </w:style>
  <w:style w:type="character" w:styleId="FootnoteReference">
    <w:name w:val="footnote reference"/>
    <w:basedOn w:val="DefaultParagraphFont"/>
    <w:uiPriority w:val="5"/>
    <w:rsid w:val="00DE28A5"/>
    <w:rPr>
      <w:vertAlign w:val="superscript"/>
    </w:rPr>
  </w:style>
  <w:style w:type="character" w:customStyle="1" w:styleId="FootnoteTextChar">
    <w:name w:val="Footnote Text Char"/>
    <w:basedOn w:val="DefaultParagraphFont"/>
    <w:link w:val="FootnoteText"/>
    <w:rsid w:val="00DE28A5"/>
    <w:rPr>
      <w:sz w:val="16"/>
      <w:lang w:eastAsia="en-US"/>
    </w:rPr>
  </w:style>
  <w:style w:type="paragraph" w:customStyle="1" w:styleId="IASBNormal">
    <w:name w:val="IASB Normal"/>
    <w:link w:val="IASBNormalChar"/>
    <w:uiPriority w:val="8"/>
    <w:rsid w:val="00DE28A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DE28A5"/>
    <w:rPr>
      <w:sz w:val="19"/>
      <w:lang w:eastAsia="en-US"/>
    </w:rPr>
  </w:style>
  <w:style w:type="paragraph" w:customStyle="1" w:styleId="ConvSectionTitle">
    <w:name w:val="Conv Section Title"/>
    <w:basedOn w:val="IASBSectionTitle1NonInd"/>
    <w:uiPriority w:val="9"/>
    <w:qFormat/>
    <w:rsid w:val="00DE28A5"/>
    <w:pPr>
      <w:pBdr>
        <w:bottom w:val="none" w:sz="0" w:space="0" w:color="auto"/>
      </w:pBdr>
      <w:outlineLvl w:val="0"/>
    </w:pPr>
    <w:rPr>
      <w:lang w:val="en-AU"/>
    </w:rPr>
  </w:style>
  <w:style w:type="paragraph" w:customStyle="1" w:styleId="Default">
    <w:name w:val="Default"/>
    <w:rsid w:val="00DE28A5"/>
    <w:pPr>
      <w:autoSpaceDE w:val="0"/>
      <w:autoSpaceDN w:val="0"/>
      <w:adjustRightInd w:val="0"/>
    </w:pPr>
    <w:rPr>
      <w:color w:val="000000"/>
      <w:sz w:val="24"/>
      <w:szCs w:val="24"/>
    </w:rPr>
  </w:style>
  <w:style w:type="paragraph" w:styleId="BodyText">
    <w:name w:val="Body Text"/>
    <w:basedOn w:val="Normal"/>
    <w:link w:val="BodyTextChar"/>
    <w:unhideWhenUsed/>
    <w:rsid w:val="00DE28A5"/>
    <w:pPr>
      <w:spacing w:after="120"/>
    </w:pPr>
  </w:style>
  <w:style w:type="character" w:customStyle="1" w:styleId="BodyTextChar">
    <w:name w:val="Body Text Char"/>
    <w:basedOn w:val="DefaultParagraphFont"/>
    <w:link w:val="BodyText"/>
    <w:rsid w:val="00DE28A5"/>
    <w:rPr>
      <w:sz w:val="19"/>
      <w:lang w:eastAsia="en-US"/>
    </w:rPr>
  </w:style>
  <w:style w:type="paragraph" w:customStyle="1" w:styleId="IASBSectionTitle3NonInd">
    <w:name w:val="IASB Section Title 3 NonInd"/>
    <w:basedOn w:val="Normal"/>
    <w:rsid w:val="00DE28A5"/>
    <w:pPr>
      <w:keepNext/>
      <w:keepLines/>
      <w:spacing w:before="300" w:after="200"/>
      <w:jc w:val="left"/>
    </w:pPr>
    <w:rPr>
      <w:rFonts w:ascii="Arial" w:hAnsi="Arial" w:cs="Arial"/>
      <w:b/>
      <w:sz w:val="22"/>
      <w:lang w:val="en-US"/>
    </w:rPr>
  </w:style>
  <w:style w:type="paragraph" w:styleId="NormalWeb">
    <w:name w:val="Normal (Web)"/>
    <w:basedOn w:val="Normal"/>
    <w:uiPriority w:val="99"/>
    <w:unhideWhenUsed/>
    <w:rsid w:val="000357FA"/>
    <w:pPr>
      <w:spacing w:before="100" w:beforeAutospacing="1" w:after="100" w:afterAutospacing="1"/>
      <w:jc w:val="left"/>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0057">
      <w:bodyDiv w:val="1"/>
      <w:marLeft w:val="0"/>
      <w:marRight w:val="0"/>
      <w:marTop w:val="0"/>
      <w:marBottom w:val="0"/>
      <w:divBdr>
        <w:top w:val="none" w:sz="0" w:space="0" w:color="auto"/>
        <w:left w:val="none" w:sz="0" w:space="0" w:color="auto"/>
        <w:bottom w:val="none" w:sz="0" w:space="0" w:color="auto"/>
        <w:right w:val="none" w:sz="0" w:space="0" w:color="auto"/>
      </w:divBdr>
      <w:divsChild>
        <w:div w:id="756680511">
          <w:marLeft w:val="0"/>
          <w:marRight w:val="0"/>
          <w:marTop w:val="0"/>
          <w:marBottom w:val="0"/>
          <w:divBdr>
            <w:top w:val="none" w:sz="0" w:space="0" w:color="auto"/>
            <w:left w:val="none" w:sz="0" w:space="0" w:color="auto"/>
            <w:bottom w:val="none" w:sz="0" w:space="0" w:color="auto"/>
            <w:right w:val="none" w:sz="0" w:space="0" w:color="auto"/>
          </w:divBdr>
          <w:divsChild>
            <w:div w:id="344017166">
              <w:marLeft w:val="0"/>
              <w:marRight w:val="0"/>
              <w:marTop w:val="0"/>
              <w:marBottom w:val="0"/>
              <w:divBdr>
                <w:top w:val="none" w:sz="0" w:space="0" w:color="auto"/>
                <w:left w:val="none" w:sz="0" w:space="0" w:color="auto"/>
                <w:bottom w:val="none" w:sz="0" w:space="0" w:color="auto"/>
                <w:right w:val="none" w:sz="0" w:space="0" w:color="auto"/>
              </w:divBdr>
              <w:divsChild>
                <w:div w:id="9884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3199">
      <w:bodyDiv w:val="1"/>
      <w:marLeft w:val="0"/>
      <w:marRight w:val="0"/>
      <w:marTop w:val="0"/>
      <w:marBottom w:val="0"/>
      <w:divBdr>
        <w:top w:val="none" w:sz="0" w:space="0" w:color="auto"/>
        <w:left w:val="none" w:sz="0" w:space="0" w:color="auto"/>
        <w:bottom w:val="none" w:sz="0" w:space="0" w:color="auto"/>
        <w:right w:val="none" w:sz="0" w:space="0" w:color="auto"/>
      </w:divBdr>
      <w:divsChild>
        <w:div w:id="144705975">
          <w:marLeft w:val="0"/>
          <w:marRight w:val="0"/>
          <w:marTop w:val="0"/>
          <w:marBottom w:val="0"/>
          <w:divBdr>
            <w:top w:val="none" w:sz="0" w:space="0" w:color="auto"/>
            <w:left w:val="none" w:sz="0" w:space="0" w:color="auto"/>
            <w:bottom w:val="none" w:sz="0" w:space="0" w:color="auto"/>
            <w:right w:val="none" w:sz="0" w:space="0" w:color="auto"/>
          </w:divBdr>
          <w:divsChild>
            <w:div w:id="312562701">
              <w:marLeft w:val="0"/>
              <w:marRight w:val="0"/>
              <w:marTop w:val="0"/>
              <w:marBottom w:val="0"/>
              <w:divBdr>
                <w:top w:val="none" w:sz="0" w:space="0" w:color="auto"/>
                <w:left w:val="none" w:sz="0" w:space="0" w:color="auto"/>
                <w:bottom w:val="none" w:sz="0" w:space="0" w:color="auto"/>
                <w:right w:val="none" w:sz="0" w:space="0" w:color="auto"/>
              </w:divBdr>
              <w:divsChild>
                <w:div w:id="21069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19014">
      <w:bodyDiv w:val="1"/>
      <w:marLeft w:val="0"/>
      <w:marRight w:val="0"/>
      <w:marTop w:val="0"/>
      <w:marBottom w:val="0"/>
      <w:divBdr>
        <w:top w:val="none" w:sz="0" w:space="0" w:color="auto"/>
        <w:left w:val="none" w:sz="0" w:space="0" w:color="auto"/>
        <w:bottom w:val="none" w:sz="0" w:space="0" w:color="auto"/>
        <w:right w:val="none" w:sz="0" w:space="0" w:color="auto"/>
      </w:divBdr>
      <w:divsChild>
        <w:div w:id="296300303">
          <w:marLeft w:val="0"/>
          <w:marRight w:val="0"/>
          <w:marTop w:val="0"/>
          <w:marBottom w:val="0"/>
          <w:divBdr>
            <w:top w:val="none" w:sz="0" w:space="0" w:color="auto"/>
            <w:left w:val="none" w:sz="0" w:space="0" w:color="auto"/>
            <w:bottom w:val="none" w:sz="0" w:space="0" w:color="auto"/>
            <w:right w:val="none" w:sz="0" w:space="0" w:color="auto"/>
          </w:divBdr>
          <w:divsChild>
            <w:div w:id="391467201">
              <w:marLeft w:val="0"/>
              <w:marRight w:val="0"/>
              <w:marTop w:val="0"/>
              <w:marBottom w:val="0"/>
              <w:divBdr>
                <w:top w:val="none" w:sz="0" w:space="0" w:color="auto"/>
                <w:left w:val="none" w:sz="0" w:space="0" w:color="auto"/>
                <w:bottom w:val="none" w:sz="0" w:space="0" w:color="auto"/>
                <w:right w:val="none" w:sz="0" w:space="0" w:color="auto"/>
              </w:divBdr>
              <w:divsChild>
                <w:div w:id="5050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rney\AUSTRALIAN%20ACCOUNTING%20STANDARDS%20-%20AUDITING%20AND%20ASSURANCE%20STANDARDS%20BOARD\OfficeTemplates%20-%20Documents\Templates\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936B5-B67E-4F48-8FC7-30BA74319331}">
  <ds:schemaRefs>
    <ds:schemaRef ds:uri="http://schemas.openxmlformats.org/officeDocument/2006/bibliography"/>
  </ds:schemaRefs>
</ds:datastoreItem>
</file>

<file path=customXml/itemProps2.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3.xml><?xml version="1.0" encoding="utf-8"?>
<ds:datastoreItem xmlns:ds="http://schemas.openxmlformats.org/officeDocument/2006/customXml" ds:itemID="{30DE2E35-0955-47ED-B855-2960DFA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821C3-00EA-46A5-8D5F-F5FD41216991}">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4e2d1ddd-4ff2-4144-ad72-d941cc701c35"/>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AmendingIFRS</Template>
  <TotalTime>0</TotalTime>
  <Pages>9</Pages>
  <Words>2511</Words>
  <Characters>13942</Characters>
  <Application>Microsoft Office Word</Application>
  <DocSecurity>0</DocSecurity>
  <Lines>580</Lines>
  <Paragraphs>365</Paragraphs>
  <ScaleCrop>false</ScaleCrop>
  <HeadingPairs>
    <vt:vector size="2" baseType="variant">
      <vt:variant>
        <vt:lpstr>Title</vt:lpstr>
      </vt:variant>
      <vt:variant>
        <vt:i4>1</vt:i4>
      </vt:variant>
    </vt:vector>
  </HeadingPairs>
  <TitlesOfParts>
    <vt:vector size="1" baseType="lpstr">
      <vt:lpstr>AASB 2023-3 (6/23)</vt:lpstr>
    </vt:vector>
  </TitlesOfParts>
  <Company>Australian Accounting Standards Board</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2023-3 Non-current Liabilities with Covenants</dc:title>
  <dc:subject/>
  <dc:creator>.</dc:creator>
  <cp:keywords/>
  <cp:lastModifiedBy>Kimberley Carney</cp:lastModifiedBy>
  <cp:revision>2</cp:revision>
  <cp:lastPrinted>2023-06-27T03:35:00Z</cp:lastPrinted>
  <dcterms:created xsi:type="dcterms:W3CDTF">2023-06-27T03:37:00Z</dcterms:created>
  <dcterms:modified xsi:type="dcterms:W3CDTF">2023-06-27T03:37:00Z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bbf939f530dfe676bdf5b73a818f535a25d4de187fb2710d85a91358b643ec59</vt:lpwstr>
  </property>
  <property fmtid="{D5CDD505-2E9C-101B-9397-08002B2CF9AE}" pid="4" name="SecurityClassification">
    <vt:lpwstr>Official</vt:lpwstr>
  </property>
</Properties>
</file>