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15914" w:rsidRPr="005F1388" w:rsidRDefault="00DA186E" w:rsidP="00715914">
      <w:pPr>
        <w:rPr>
          <w:sz w:val="28"/>
        </w:rPr>
      </w:pPr>
      <w:r>
        <w:rPr>
          <w:noProof/>
          <w:lang w:eastAsia="en-AU"/>
        </w:rPr>
        <w:drawing>
          <wp:inline distT="0" distB="0" distL="0" distR="0" wp14:anchorId="301FCE73" wp14:editId="4F3FD7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A37501D" w14:textId="77777777" w:rsidR="00715914" w:rsidRPr="00E500D4" w:rsidRDefault="00715914" w:rsidP="00715914">
      <w:pPr>
        <w:rPr>
          <w:sz w:val="19"/>
        </w:rPr>
      </w:pPr>
    </w:p>
    <w:p w14:paraId="70A617A5" w14:textId="2CC30E46" w:rsidR="00554826" w:rsidRPr="00BE2FC9" w:rsidRDefault="00D07CE0" w:rsidP="729FC022">
      <w:pPr>
        <w:pStyle w:val="ShortT"/>
      </w:pPr>
      <w:bookmarkStart w:id="0" w:name="_Hlk71724890"/>
      <w:r>
        <w:t>Automatic M</w:t>
      </w:r>
      <w:r w:rsidR="003E5EC7">
        <w:t>utual Recognition (New South Wales) (Exemption—</w:t>
      </w:r>
      <w:r w:rsidR="001A1469">
        <w:t>Various</w:t>
      </w:r>
      <w:r w:rsidR="003E5EC7">
        <w:t xml:space="preserve">) Declaration </w:t>
      </w:r>
      <w:r w:rsidRPr="00C35DE4">
        <w:t>202</w:t>
      </w:r>
      <w:r w:rsidR="007B042D">
        <w:t>3</w:t>
      </w:r>
    </w:p>
    <w:p w14:paraId="341476F2" w14:textId="319203C0" w:rsidR="00554826" w:rsidRPr="00DA182D" w:rsidRDefault="00554826" w:rsidP="00554826">
      <w:pPr>
        <w:pStyle w:val="SignCoverPageStart"/>
        <w:spacing w:before="240"/>
        <w:ind w:right="91"/>
      </w:pPr>
      <w:r>
        <w:t xml:space="preserve">I, the Honourable </w:t>
      </w:r>
      <w:r w:rsidR="007B042D">
        <w:t>Daniel Mookhey</w:t>
      </w:r>
      <w:r>
        <w:t>, Treasurer of New South Wales, make the following</w:t>
      </w:r>
      <w:r w:rsidR="00D07CE0">
        <w:t xml:space="preserve"> declaration</w:t>
      </w:r>
      <w:r>
        <w:t>.</w:t>
      </w:r>
    </w:p>
    <w:p w14:paraId="288D8103" w14:textId="4F1A9B97" w:rsidR="00554826" w:rsidRPr="00001A63" w:rsidRDefault="00554826" w:rsidP="00554826">
      <w:pPr>
        <w:keepNext/>
        <w:spacing w:before="300" w:line="240" w:lineRule="atLeast"/>
        <w:ind w:right="397"/>
        <w:jc w:val="both"/>
        <w:rPr>
          <w:szCs w:val="22"/>
        </w:rPr>
      </w:pPr>
      <w:r w:rsidRPr="00751CF3">
        <w:rPr>
          <w:szCs w:val="22"/>
        </w:rPr>
        <w:t>Dated</w:t>
      </w:r>
      <w:r w:rsidR="0017024B" w:rsidRPr="00751CF3">
        <w:rPr>
          <w:szCs w:val="22"/>
        </w:rPr>
        <w:t>:</w:t>
      </w:r>
      <w:r w:rsidR="001F6C04" w:rsidRPr="00751CF3">
        <w:rPr>
          <w:szCs w:val="22"/>
        </w:rPr>
        <w:t xml:space="preserve"> </w:t>
      </w:r>
      <w:r w:rsidR="00751CF3" w:rsidRPr="00751CF3">
        <w:rPr>
          <w:szCs w:val="22"/>
        </w:rPr>
        <w:t>23</w:t>
      </w:r>
      <w:r w:rsidR="0017024B" w:rsidRPr="00751CF3">
        <w:rPr>
          <w:szCs w:val="22"/>
        </w:rPr>
        <w:t xml:space="preserve"> June 202</w:t>
      </w:r>
      <w:r w:rsidR="007B042D" w:rsidRPr="00751CF3">
        <w:rPr>
          <w:szCs w:val="22"/>
        </w:rPr>
        <w:t>3</w:t>
      </w:r>
      <w:r w:rsidRPr="00001A63">
        <w:rPr>
          <w:szCs w:val="22"/>
        </w:rPr>
        <w:tab/>
      </w:r>
      <w:r w:rsidRPr="00001A63">
        <w:rPr>
          <w:szCs w:val="22"/>
        </w:rPr>
        <w:tab/>
      </w:r>
      <w:r>
        <w:rPr>
          <w:szCs w:val="22"/>
        </w:rPr>
        <w:tab/>
      </w:r>
      <w:r w:rsidRPr="00001A63">
        <w:rPr>
          <w:szCs w:val="22"/>
        </w:rPr>
        <w:tab/>
      </w:r>
    </w:p>
    <w:p w14:paraId="4987DC77" w14:textId="2CEA86E9" w:rsidR="00554826" w:rsidRPr="00C35DE4" w:rsidRDefault="00554826" w:rsidP="729FC022">
      <w:pPr>
        <w:keepNext/>
        <w:tabs>
          <w:tab w:val="left" w:pos="3402"/>
        </w:tabs>
        <w:spacing w:before="1440" w:line="300" w:lineRule="atLeast"/>
        <w:ind w:right="397"/>
        <w:rPr>
          <w:b/>
          <w:bCs/>
        </w:rPr>
      </w:pPr>
      <w:r w:rsidRPr="00C35DE4">
        <w:t xml:space="preserve">The Honourable </w:t>
      </w:r>
      <w:r w:rsidR="007B042D">
        <w:t>Daniel Mookhey MLC</w:t>
      </w:r>
      <w:r w:rsidRPr="00C35DE4">
        <w:t xml:space="preserve"> </w:t>
      </w:r>
    </w:p>
    <w:p w14:paraId="3436FE52" w14:textId="4438B568" w:rsidR="729FC022" w:rsidRPr="00C35DE4" w:rsidRDefault="729FC022" w:rsidP="729FC022">
      <w:pPr>
        <w:pStyle w:val="SignCoverPageEnd"/>
        <w:ind w:right="91"/>
        <w:rPr>
          <w:szCs w:val="24"/>
        </w:rPr>
      </w:pPr>
      <w:r w:rsidRPr="00C35DE4">
        <w:rPr>
          <w:sz w:val="22"/>
          <w:szCs w:val="22"/>
        </w:rPr>
        <w:t xml:space="preserve">Treasurer of New South Wales </w:t>
      </w:r>
    </w:p>
    <w:p w14:paraId="5DAB6C7B" w14:textId="77777777" w:rsidR="00554826" w:rsidRDefault="00554826" w:rsidP="00554826"/>
    <w:p w14:paraId="02EB378F" w14:textId="77777777" w:rsidR="00554826" w:rsidRPr="00ED79B6" w:rsidRDefault="00554826" w:rsidP="00554826"/>
    <w:bookmarkEnd w:id="0"/>
    <w:p w14:paraId="6A05A809" w14:textId="77777777" w:rsidR="00F6696E" w:rsidRDefault="00F6696E" w:rsidP="00F6696E"/>
    <w:p w14:paraId="5A39BBE3" w14:textId="77777777" w:rsidR="00F6696E" w:rsidRDefault="00F6696E" w:rsidP="00F6696E">
      <w:pPr>
        <w:sectPr w:rsidR="00F6696E" w:rsidSect="00F6696E">
          <w:headerReference w:type="even" r:id="rId13"/>
          <w:headerReference w:type="default" r:id="rId14"/>
          <w:footerReference w:type="even" r:id="rId15"/>
          <w:footerReference w:type="default" r:id="rId16"/>
          <w:footerReference w:type="first" r:id="rId17"/>
          <w:type w:val="continuous"/>
          <w:pgSz w:w="11907" w:h="16839" w:code="9"/>
          <w:pgMar w:top="2234" w:right="1797" w:bottom="1440" w:left="1797" w:header="720" w:footer="989" w:gutter="0"/>
          <w:pgNumType w:start="1"/>
          <w:cols w:space="708"/>
          <w:titlePg/>
          <w:docGrid w:linePitch="360"/>
        </w:sectPr>
      </w:pPr>
    </w:p>
    <w:p w14:paraId="406425CA" w14:textId="77777777" w:rsidR="007500C8" w:rsidRDefault="00715914" w:rsidP="00715914">
      <w:pPr>
        <w:outlineLvl w:val="0"/>
        <w:rPr>
          <w:sz w:val="36"/>
        </w:rPr>
      </w:pPr>
      <w:bookmarkStart w:id="1" w:name="_Hlk71724986"/>
      <w:r w:rsidRPr="007A1328">
        <w:rPr>
          <w:sz w:val="36"/>
        </w:rPr>
        <w:lastRenderedPageBreak/>
        <w:t>Contents</w:t>
      </w:r>
    </w:p>
    <w:p w14:paraId="5CB14E0E" w14:textId="2AD7BB0D" w:rsidR="00ED7D07" w:rsidRDefault="00B418CB">
      <w:pPr>
        <w:pStyle w:val="TOC5"/>
        <w:rPr>
          <w:rFonts w:asciiTheme="minorHAnsi" w:eastAsiaTheme="minorEastAsia" w:hAnsiTheme="minorHAnsi" w:cstheme="minorBidi"/>
          <w:noProof/>
          <w:kern w:val="0"/>
          <w:sz w:val="22"/>
          <w:szCs w:val="22"/>
          <w:lang w:eastAsia="zh-CN"/>
        </w:rPr>
      </w:pPr>
      <w:r>
        <w:fldChar w:fldCharType="begin"/>
      </w:r>
      <w:r>
        <w:instrText xml:space="preserve"> TOC \o "1-9" </w:instrText>
      </w:r>
      <w:r>
        <w:fldChar w:fldCharType="separate"/>
      </w:r>
      <w:r w:rsidR="00ED7D07">
        <w:rPr>
          <w:noProof/>
        </w:rPr>
        <w:t>1  Name</w:t>
      </w:r>
      <w:r w:rsidR="00ED7D07">
        <w:rPr>
          <w:noProof/>
        </w:rPr>
        <w:tab/>
      </w:r>
      <w:r w:rsidR="00ED7D07">
        <w:rPr>
          <w:noProof/>
        </w:rPr>
        <w:fldChar w:fldCharType="begin"/>
      </w:r>
      <w:r w:rsidR="00ED7D07">
        <w:rPr>
          <w:noProof/>
        </w:rPr>
        <w:instrText xml:space="preserve"> PAGEREF _Toc138328980 \h </w:instrText>
      </w:r>
      <w:r w:rsidR="00ED7D07">
        <w:rPr>
          <w:noProof/>
        </w:rPr>
      </w:r>
      <w:r w:rsidR="00ED7D07">
        <w:rPr>
          <w:noProof/>
        </w:rPr>
        <w:fldChar w:fldCharType="separate"/>
      </w:r>
      <w:r w:rsidR="00ED7D07">
        <w:rPr>
          <w:noProof/>
        </w:rPr>
        <w:t>1</w:t>
      </w:r>
      <w:r w:rsidR="00ED7D07">
        <w:rPr>
          <w:noProof/>
        </w:rPr>
        <w:fldChar w:fldCharType="end"/>
      </w:r>
    </w:p>
    <w:p w14:paraId="190C4794" w14:textId="2432ACAC" w:rsidR="00ED7D07" w:rsidRDefault="00ED7D07">
      <w:pPr>
        <w:pStyle w:val="TOC5"/>
        <w:rPr>
          <w:rFonts w:asciiTheme="minorHAnsi" w:eastAsiaTheme="minorEastAsia" w:hAnsiTheme="minorHAnsi" w:cstheme="minorBidi"/>
          <w:noProof/>
          <w:kern w:val="0"/>
          <w:sz w:val="22"/>
          <w:szCs w:val="22"/>
          <w:lang w:eastAsia="zh-CN"/>
        </w:rPr>
      </w:pPr>
      <w:r>
        <w:rPr>
          <w:noProof/>
        </w:rPr>
        <w:t>2  Commencement</w:t>
      </w:r>
      <w:r>
        <w:rPr>
          <w:noProof/>
        </w:rPr>
        <w:tab/>
      </w:r>
      <w:r>
        <w:rPr>
          <w:noProof/>
        </w:rPr>
        <w:fldChar w:fldCharType="begin"/>
      </w:r>
      <w:r>
        <w:rPr>
          <w:noProof/>
        </w:rPr>
        <w:instrText xml:space="preserve"> PAGEREF _Toc138328981 \h </w:instrText>
      </w:r>
      <w:r>
        <w:rPr>
          <w:noProof/>
        </w:rPr>
      </w:r>
      <w:r>
        <w:rPr>
          <w:noProof/>
        </w:rPr>
        <w:fldChar w:fldCharType="separate"/>
      </w:r>
      <w:r>
        <w:rPr>
          <w:noProof/>
        </w:rPr>
        <w:t>1</w:t>
      </w:r>
      <w:r>
        <w:rPr>
          <w:noProof/>
        </w:rPr>
        <w:fldChar w:fldCharType="end"/>
      </w:r>
    </w:p>
    <w:p w14:paraId="0722C01A" w14:textId="6061CEBD" w:rsidR="00ED7D07" w:rsidRDefault="00ED7D07">
      <w:pPr>
        <w:pStyle w:val="TOC5"/>
        <w:rPr>
          <w:rFonts w:asciiTheme="minorHAnsi" w:eastAsiaTheme="minorEastAsia" w:hAnsiTheme="minorHAnsi" w:cstheme="minorBidi"/>
          <w:noProof/>
          <w:kern w:val="0"/>
          <w:sz w:val="22"/>
          <w:szCs w:val="22"/>
          <w:lang w:eastAsia="zh-CN"/>
        </w:rPr>
      </w:pPr>
      <w:r>
        <w:rPr>
          <w:noProof/>
        </w:rPr>
        <w:t>3  Authority</w:t>
      </w:r>
      <w:r>
        <w:rPr>
          <w:noProof/>
        </w:rPr>
        <w:tab/>
      </w:r>
      <w:r>
        <w:rPr>
          <w:noProof/>
        </w:rPr>
        <w:fldChar w:fldCharType="begin"/>
      </w:r>
      <w:r>
        <w:rPr>
          <w:noProof/>
        </w:rPr>
        <w:instrText xml:space="preserve"> PAGEREF _Toc138328982 \h </w:instrText>
      </w:r>
      <w:r>
        <w:rPr>
          <w:noProof/>
        </w:rPr>
      </w:r>
      <w:r>
        <w:rPr>
          <w:noProof/>
        </w:rPr>
        <w:fldChar w:fldCharType="separate"/>
      </w:r>
      <w:r>
        <w:rPr>
          <w:noProof/>
        </w:rPr>
        <w:t>1</w:t>
      </w:r>
      <w:r>
        <w:rPr>
          <w:noProof/>
        </w:rPr>
        <w:fldChar w:fldCharType="end"/>
      </w:r>
    </w:p>
    <w:p w14:paraId="5B3055EC" w14:textId="373A2ADB" w:rsidR="00ED7D07" w:rsidRDefault="00ED7D07">
      <w:pPr>
        <w:pStyle w:val="TOC5"/>
        <w:rPr>
          <w:rFonts w:asciiTheme="minorHAnsi" w:eastAsiaTheme="minorEastAsia" w:hAnsiTheme="minorHAnsi" w:cstheme="minorBidi"/>
          <w:noProof/>
          <w:kern w:val="0"/>
          <w:sz w:val="22"/>
          <w:szCs w:val="22"/>
          <w:lang w:eastAsia="zh-CN"/>
        </w:rPr>
      </w:pPr>
      <w:r>
        <w:rPr>
          <w:noProof/>
        </w:rPr>
        <w:t>4  Simplified outline of this instrument</w:t>
      </w:r>
      <w:r>
        <w:rPr>
          <w:noProof/>
        </w:rPr>
        <w:tab/>
      </w:r>
      <w:r>
        <w:rPr>
          <w:noProof/>
        </w:rPr>
        <w:fldChar w:fldCharType="begin"/>
      </w:r>
      <w:r>
        <w:rPr>
          <w:noProof/>
        </w:rPr>
        <w:instrText xml:space="preserve"> PAGEREF _Toc138328983 \h </w:instrText>
      </w:r>
      <w:r>
        <w:rPr>
          <w:noProof/>
        </w:rPr>
      </w:r>
      <w:r>
        <w:rPr>
          <w:noProof/>
        </w:rPr>
        <w:fldChar w:fldCharType="separate"/>
      </w:r>
      <w:r>
        <w:rPr>
          <w:noProof/>
        </w:rPr>
        <w:t>1</w:t>
      </w:r>
      <w:r>
        <w:rPr>
          <w:noProof/>
        </w:rPr>
        <w:fldChar w:fldCharType="end"/>
      </w:r>
    </w:p>
    <w:p w14:paraId="685D2C94" w14:textId="5A809041" w:rsidR="00ED7D07" w:rsidRDefault="00ED7D07">
      <w:pPr>
        <w:pStyle w:val="TOC5"/>
        <w:rPr>
          <w:rFonts w:asciiTheme="minorHAnsi" w:eastAsiaTheme="minorEastAsia" w:hAnsiTheme="minorHAnsi" w:cstheme="minorBidi"/>
          <w:noProof/>
          <w:kern w:val="0"/>
          <w:sz w:val="22"/>
          <w:szCs w:val="22"/>
          <w:lang w:eastAsia="zh-CN"/>
        </w:rPr>
      </w:pPr>
      <w:r>
        <w:rPr>
          <w:noProof/>
        </w:rPr>
        <w:t>5  Definitions</w:t>
      </w:r>
      <w:r>
        <w:rPr>
          <w:noProof/>
        </w:rPr>
        <w:tab/>
      </w:r>
      <w:r>
        <w:rPr>
          <w:noProof/>
        </w:rPr>
        <w:fldChar w:fldCharType="begin"/>
      </w:r>
      <w:r>
        <w:rPr>
          <w:noProof/>
        </w:rPr>
        <w:instrText xml:space="preserve"> PAGEREF _Toc138328984 \h </w:instrText>
      </w:r>
      <w:r>
        <w:rPr>
          <w:noProof/>
        </w:rPr>
      </w:r>
      <w:r>
        <w:rPr>
          <w:noProof/>
        </w:rPr>
        <w:fldChar w:fldCharType="separate"/>
      </w:r>
      <w:r>
        <w:rPr>
          <w:noProof/>
        </w:rPr>
        <w:t>1</w:t>
      </w:r>
      <w:r>
        <w:rPr>
          <w:noProof/>
        </w:rPr>
        <w:fldChar w:fldCharType="end"/>
      </w:r>
    </w:p>
    <w:p w14:paraId="59840E8B" w14:textId="7E412765" w:rsidR="00ED7D07" w:rsidRDefault="00ED7D07">
      <w:pPr>
        <w:pStyle w:val="TOC5"/>
        <w:rPr>
          <w:rFonts w:asciiTheme="minorHAnsi" w:eastAsiaTheme="minorEastAsia" w:hAnsiTheme="minorHAnsi" w:cstheme="minorBidi"/>
          <w:noProof/>
          <w:kern w:val="0"/>
          <w:sz w:val="22"/>
          <w:szCs w:val="22"/>
          <w:lang w:eastAsia="zh-CN"/>
        </w:rPr>
      </w:pPr>
      <w:r>
        <w:rPr>
          <w:noProof/>
        </w:rPr>
        <w:t>6  Exemptions</w:t>
      </w:r>
      <w:r>
        <w:rPr>
          <w:noProof/>
        </w:rPr>
        <w:tab/>
      </w:r>
      <w:r>
        <w:rPr>
          <w:noProof/>
        </w:rPr>
        <w:fldChar w:fldCharType="begin"/>
      </w:r>
      <w:r>
        <w:rPr>
          <w:noProof/>
        </w:rPr>
        <w:instrText xml:space="preserve"> PAGEREF _Toc138328985 \h </w:instrText>
      </w:r>
      <w:r>
        <w:rPr>
          <w:noProof/>
        </w:rPr>
      </w:r>
      <w:r>
        <w:rPr>
          <w:noProof/>
        </w:rPr>
        <w:fldChar w:fldCharType="separate"/>
      </w:r>
      <w:r>
        <w:rPr>
          <w:noProof/>
        </w:rPr>
        <w:t>2</w:t>
      </w:r>
      <w:r>
        <w:rPr>
          <w:noProof/>
        </w:rPr>
        <w:fldChar w:fldCharType="end"/>
      </w:r>
    </w:p>
    <w:p w14:paraId="3A2ED019" w14:textId="4D8F47D1" w:rsidR="00ED7D07" w:rsidRDefault="00ED7D07">
      <w:pPr>
        <w:pStyle w:val="TOC5"/>
        <w:rPr>
          <w:rFonts w:asciiTheme="minorHAnsi" w:eastAsiaTheme="minorEastAsia" w:hAnsiTheme="minorHAnsi" w:cstheme="minorBidi"/>
          <w:noProof/>
          <w:kern w:val="0"/>
          <w:sz w:val="22"/>
          <w:szCs w:val="22"/>
          <w:lang w:eastAsia="zh-CN"/>
        </w:rPr>
      </w:pPr>
      <w:r>
        <w:rPr>
          <w:noProof/>
        </w:rPr>
        <w:t>7 Sunset</w:t>
      </w:r>
      <w:r>
        <w:rPr>
          <w:noProof/>
        </w:rPr>
        <w:tab/>
      </w:r>
      <w:r>
        <w:rPr>
          <w:noProof/>
        </w:rPr>
        <w:fldChar w:fldCharType="begin"/>
      </w:r>
      <w:r>
        <w:rPr>
          <w:noProof/>
        </w:rPr>
        <w:instrText xml:space="preserve"> PAGEREF _Toc138328986 \h </w:instrText>
      </w:r>
      <w:r>
        <w:rPr>
          <w:noProof/>
        </w:rPr>
      </w:r>
      <w:r>
        <w:rPr>
          <w:noProof/>
        </w:rPr>
        <w:fldChar w:fldCharType="separate"/>
      </w:r>
      <w:r>
        <w:rPr>
          <w:noProof/>
        </w:rPr>
        <w:t>7</w:t>
      </w:r>
      <w:r>
        <w:rPr>
          <w:noProof/>
        </w:rPr>
        <w:fldChar w:fldCharType="end"/>
      </w:r>
    </w:p>
    <w:p w14:paraId="30F2349C" w14:textId="48A33D36" w:rsidR="00ED7D07" w:rsidRDefault="00ED7D07">
      <w:pPr>
        <w:pStyle w:val="TOC5"/>
        <w:rPr>
          <w:rFonts w:asciiTheme="minorHAnsi" w:eastAsiaTheme="minorEastAsia" w:hAnsiTheme="minorHAnsi" w:cstheme="minorBidi"/>
          <w:noProof/>
          <w:kern w:val="0"/>
          <w:sz w:val="22"/>
          <w:szCs w:val="22"/>
          <w:lang w:eastAsia="zh-CN"/>
        </w:rPr>
      </w:pPr>
      <w:r>
        <w:rPr>
          <w:noProof/>
        </w:rPr>
        <w:t>8 Repeals</w:t>
      </w:r>
      <w:r>
        <w:rPr>
          <w:noProof/>
        </w:rPr>
        <w:tab/>
      </w:r>
      <w:r>
        <w:rPr>
          <w:noProof/>
        </w:rPr>
        <w:fldChar w:fldCharType="begin"/>
      </w:r>
      <w:r>
        <w:rPr>
          <w:noProof/>
        </w:rPr>
        <w:instrText xml:space="preserve"> PAGEREF _Toc138328987 \h </w:instrText>
      </w:r>
      <w:r>
        <w:rPr>
          <w:noProof/>
        </w:rPr>
      </w:r>
      <w:r>
        <w:rPr>
          <w:noProof/>
        </w:rPr>
        <w:fldChar w:fldCharType="separate"/>
      </w:r>
      <w:r>
        <w:rPr>
          <w:noProof/>
        </w:rPr>
        <w:t>7</w:t>
      </w:r>
      <w:r>
        <w:rPr>
          <w:noProof/>
        </w:rPr>
        <w:fldChar w:fldCharType="end"/>
      </w:r>
    </w:p>
    <w:p w14:paraId="56D9233B" w14:textId="1CF434E2" w:rsidR="00ED7D07" w:rsidRDefault="00ED7D07">
      <w:pPr>
        <w:pStyle w:val="TOC6"/>
        <w:rPr>
          <w:rFonts w:asciiTheme="minorHAnsi" w:eastAsiaTheme="minorEastAsia" w:hAnsiTheme="minorHAnsi" w:cstheme="minorBidi"/>
          <w:b w:val="0"/>
          <w:noProof/>
          <w:kern w:val="0"/>
          <w:sz w:val="22"/>
          <w:szCs w:val="22"/>
          <w:lang w:eastAsia="zh-CN"/>
        </w:rPr>
      </w:pPr>
      <w:r>
        <w:rPr>
          <w:noProof/>
        </w:rPr>
        <w:t>Schedule 1—Repeals</w:t>
      </w:r>
      <w:r>
        <w:rPr>
          <w:noProof/>
        </w:rPr>
        <w:tab/>
      </w:r>
      <w:r>
        <w:rPr>
          <w:noProof/>
        </w:rPr>
        <w:fldChar w:fldCharType="begin"/>
      </w:r>
      <w:r>
        <w:rPr>
          <w:noProof/>
        </w:rPr>
        <w:instrText xml:space="preserve"> PAGEREF _Toc138328988 \h </w:instrText>
      </w:r>
      <w:r>
        <w:rPr>
          <w:noProof/>
        </w:rPr>
      </w:r>
      <w:r>
        <w:rPr>
          <w:noProof/>
        </w:rPr>
        <w:fldChar w:fldCharType="separate"/>
      </w:r>
      <w:r>
        <w:rPr>
          <w:noProof/>
        </w:rPr>
        <w:t>7</w:t>
      </w:r>
      <w:r>
        <w:rPr>
          <w:noProof/>
        </w:rPr>
        <w:fldChar w:fldCharType="end"/>
      </w:r>
    </w:p>
    <w:p w14:paraId="41C8F396" w14:textId="507C5304" w:rsidR="00F6696E" w:rsidRPr="00BD6D40" w:rsidRDefault="00B418CB" w:rsidP="00F6696E">
      <w:pPr>
        <w:outlineLvl w:val="0"/>
        <w:rPr>
          <w:b/>
          <w:bCs/>
        </w:rPr>
      </w:pPr>
      <w:r>
        <w:fldChar w:fldCharType="end"/>
      </w:r>
    </w:p>
    <w:bookmarkEnd w:id="1"/>
    <w:p w14:paraId="72A3D3EC" w14:textId="77777777" w:rsidR="00F6696E" w:rsidRPr="00A802BC" w:rsidRDefault="00F6696E" w:rsidP="00F6696E">
      <w:pPr>
        <w:outlineLvl w:val="0"/>
        <w:rPr>
          <w:sz w:val="20"/>
        </w:rPr>
      </w:pPr>
    </w:p>
    <w:p w14:paraId="0D0B940D" w14:textId="77777777" w:rsidR="00F6696E" w:rsidRDefault="00F6696E" w:rsidP="00F6696E">
      <w:pPr>
        <w:sectPr w:rsidR="00F6696E" w:rsidSect="008648A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0A6E700E" w14:textId="77777777" w:rsidR="00554826" w:rsidRPr="00554826" w:rsidRDefault="00554826" w:rsidP="00554826">
      <w:pPr>
        <w:pStyle w:val="ActHead5"/>
      </w:pPr>
      <w:bookmarkStart w:id="2" w:name="_Toc138328980"/>
      <w:bookmarkStart w:id="3" w:name="_Hlk71724957"/>
      <w:r w:rsidRPr="00554826">
        <w:lastRenderedPageBreak/>
        <w:t>1  Name</w:t>
      </w:r>
      <w:bookmarkEnd w:id="2"/>
    </w:p>
    <w:p w14:paraId="3EA25C74" w14:textId="0A224E64" w:rsidR="00554826" w:rsidRDefault="00554826" w:rsidP="00554826">
      <w:pPr>
        <w:pStyle w:val="subsection"/>
      </w:pPr>
      <w:r w:rsidRPr="009C2562">
        <w:tab/>
      </w:r>
      <w:r w:rsidRPr="009C2562">
        <w:tab/>
        <w:t xml:space="preserve">This </w:t>
      </w:r>
      <w:r>
        <w:t xml:space="preserve">instrument </w:t>
      </w:r>
      <w:r w:rsidRPr="009C2562">
        <w:t xml:space="preserve">is the </w:t>
      </w:r>
      <w:bookmarkStart w:id="4" w:name="BKCheck15B_3"/>
      <w:bookmarkEnd w:id="4"/>
      <w:r w:rsidR="00D07CE0">
        <w:t>Automatic Mutual Recognition (</w:t>
      </w:r>
      <w:r w:rsidR="00C45743" w:rsidRPr="00C45743">
        <w:t>New South Wales</w:t>
      </w:r>
      <w:r w:rsidR="00D07CE0" w:rsidRPr="00C45743">
        <w:t>)</w:t>
      </w:r>
      <w:r w:rsidR="00D07CE0" w:rsidRPr="00D07CE0">
        <w:t xml:space="preserve"> </w:t>
      </w:r>
      <w:r w:rsidR="00D07CE0" w:rsidRPr="003E5EC7">
        <w:t>(Exemption—</w:t>
      </w:r>
      <w:r w:rsidR="001A1469">
        <w:t>Various</w:t>
      </w:r>
      <w:r w:rsidR="00D07CE0" w:rsidRPr="003E5EC7">
        <w:t xml:space="preserve">) Declaration </w:t>
      </w:r>
      <w:r w:rsidR="00BC01AA">
        <w:t>2023</w:t>
      </w:r>
    </w:p>
    <w:p w14:paraId="22D91C5F" w14:textId="77777777" w:rsidR="00554826" w:rsidRPr="00554826" w:rsidRDefault="00554826" w:rsidP="00554826">
      <w:pPr>
        <w:pStyle w:val="ActHead5"/>
      </w:pPr>
      <w:bookmarkStart w:id="5" w:name="_Toc138328981"/>
      <w:r w:rsidRPr="00554826">
        <w:t>2  Commencement</w:t>
      </w:r>
      <w:bookmarkEnd w:id="5"/>
    </w:p>
    <w:p w14:paraId="0ABB8890" w14:textId="77777777"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0E27B00A"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573EFF4B" w14:textId="77777777" w:rsidTr="008648A8">
        <w:trPr>
          <w:tblHeader/>
        </w:trPr>
        <w:tc>
          <w:tcPr>
            <w:tcW w:w="8364" w:type="dxa"/>
            <w:gridSpan w:val="3"/>
            <w:tcBorders>
              <w:top w:val="single" w:sz="12" w:space="0" w:color="auto"/>
              <w:bottom w:val="single" w:sz="6" w:space="0" w:color="auto"/>
            </w:tcBorders>
            <w:shd w:val="clear" w:color="auto" w:fill="auto"/>
            <w:hideMark/>
          </w:tcPr>
          <w:p w14:paraId="4284AF6E" w14:textId="77777777" w:rsidR="003767E2" w:rsidRPr="003422B4" w:rsidRDefault="003767E2" w:rsidP="008648A8">
            <w:pPr>
              <w:pStyle w:val="TableHeading"/>
            </w:pPr>
            <w:r w:rsidRPr="003422B4">
              <w:t>Commencement information</w:t>
            </w:r>
          </w:p>
        </w:tc>
      </w:tr>
      <w:tr w:rsidR="003767E2" w:rsidRPr="003422B4" w14:paraId="608F1057" w14:textId="77777777" w:rsidTr="008648A8">
        <w:trPr>
          <w:tblHeader/>
        </w:trPr>
        <w:tc>
          <w:tcPr>
            <w:tcW w:w="2127" w:type="dxa"/>
            <w:tcBorders>
              <w:top w:val="single" w:sz="6" w:space="0" w:color="auto"/>
              <w:bottom w:val="single" w:sz="6" w:space="0" w:color="auto"/>
            </w:tcBorders>
            <w:shd w:val="clear" w:color="auto" w:fill="auto"/>
            <w:hideMark/>
          </w:tcPr>
          <w:p w14:paraId="4F495683" w14:textId="77777777" w:rsidR="003767E2" w:rsidRPr="003422B4" w:rsidRDefault="003767E2" w:rsidP="008648A8">
            <w:pPr>
              <w:pStyle w:val="TableHeading"/>
            </w:pPr>
            <w:r w:rsidRPr="003422B4">
              <w:t>Column 1</w:t>
            </w:r>
          </w:p>
        </w:tc>
        <w:tc>
          <w:tcPr>
            <w:tcW w:w="4394" w:type="dxa"/>
            <w:tcBorders>
              <w:top w:val="single" w:sz="6" w:space="0" w:color="auto"/>
              <w:bottom w:val="single" w:sz="6" w:space="0" w:color="auto"/>
            </w:tcBorders>
            <w:shd w:val="clear" w:color="auto" w:fill="auto"/>
            <w:hideMark/>
          </w:tcPr>
          <w:p w14:paraId="2A9BEA77" w14:textId="77777777" w:rsidR="003767E2" w:rsidRPr="003422B4" w:rsidRDefault="003767E2" w:rsidP="008648A8">
            <w:pPr>
              <w:pStyle w:val="TableHeading"/>
            </w:pPr>
            <w:r w:rsidRPr="003422B4">
              <w:t>Column 2</w:t>
            </w:r>
          </w:p>
        </w:tc>
        <w:tc>
          <w:tcPr>
            <w:tcW w:w="1843" w:type="dxa"/>
            <w:tcBorders>
              <w:top w:val="single" w:sz="6" w:space="0" w:color="auto"/>
              <w:bottom w:val="single" w:sz="6" w:space="0" w:color="auto"/>
            </w:tcBorders>
            <w:shd w:val="clear" w:color="auto" w:fill="auto"/>
            <w:hideMark/>
          </w:tcPr>
          <w:p w14:paraId="768C9D84" w14:textId="77777777" w:rsidR="003767E2" w:rsidRPr="003422B4" w:rsidRDefault="003767E2" w:rsidP="008648A8">
            <w:pPr>
              <w:pStyle w:val="TableHeading"/>
            </w:pPr>
            <w:r w:rsidRPr="003422B4">
              <w:t>Column 3</w:t>
            </w:r>
          </w:p>
        </w:tc>
      </w:tr>
      <w:tr w:rsidR="003767E2" w:rsidRPr="003422B4" w14:paraId="6F6DF90F" w14:textId="77777777" w:rsidTr="008648A8">
        <w:trPr>
          <w:tblHeader/>
        </w:trPr>
        <w:tc>
          <w:tcPr>
            <w:tcW w:w="2127" w:type="dxa"/>
            <w:tcBorders>
              <w:top w:val="single" w:sz="6" w:space="0" w:color="auto"/>
              <w:bottom w:val="single" w:sz="12" w:space="0" w:color="auto"/>
            </w:tcBorders>
            <w:shd w:val="clear" w:color="auto" w:fill="auto"/>
            <w:hideMark/>
          </w:tcPr>
          <w:p w14:paraId="7133F4DD" w14:textId="77777777" w:rsidR="003767E2" w:rsidRPr="003422B4" w:rsidRDefault="003767E2" w:rsidP="008648A8">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0214138C" w14:textId="77777777" w:rsidR="003767E2" w:rsidRPr="003422B4" w:rsidRDefault="003767E2" w:rsidP="008648A8">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5C6E2FC9" w14:textId="77777777" w:rsidR="003767E2" w:rsidRPr="003422B4" w:rsidRDefault="003767E2" w:rsidP="008648A8">
            <w:pPr>
              <w:pStyle w:val="TableHeading"/>
            </w:pPr>
            <w:r w:rsidRPr="003422B4">
              <w:t>Date/Details</w:t>
            </w:r>
          </w:p>
        </w:tc>
      </w:tr>
      <w:tr w:rsidR="003767E2" w:rsidRPr="003422B4" w14:paraId="0C678D88" w14:textId="77777777" w:rsidTr="008648A8">
        <w:tc>
          <w:tcPr>
            <w:tcW w:w="2127" w:type="dxa"/>
            <w:tcBorders>
              <w:top w:val="single" w:sz="12" w:space="0" w:color="auto"/>
              <w:bottom w:val="single" w:sz="12" w:space="0" w:color="auto"/>
            </w:tcBorders>
            <w:shd w:val="clear" w:color="auto" w:fill="auto"/>
            <w:hideMark/>
          </w:tcPr>
          <w:p w14:paraId="3A44EF99" w14:textId="77777777" w:rsidR="003767E2" w:rsidRPr="003A6229" w:rsidRDefault="003767E2" w:rsidP="008648A8">
            <w:pPr>
              <w:pStyle w:val="Tabletext"/>
              <w:rPr>
                <w:i/>
              </w:rPr>
            </w:pPr>
            <w:r w:rsidRPr="003422B4">
              <w:t xml:space="preserve">1.  </w:t>
            </w:r>
            <w:r w:rsidR="00D07CE0">
              <w:t>The whole of this instrument</w:t>
            </w:r>
          </w:p>
        </w:tc>
        <w:tc>
          <w:tcPr>
            <w:tcW w:w="4394" w:type="dxa"/>
            <w:tcBorders>
              <w:top w:val="single" w:sz="12" w:space="0" w:color="auto"/>
              <w:bottom w:val="single" w:sz="12" w:space="0" w:color="auto"/>
            </w:tcBorders>
            <w:shd w:val="clear" w:color="auto" w:fill="auto"/>
            <w:hideMark/>
          </w:tcPr>
          <w:p w14:paraId="20BBDB35" w14:textId="61260235" w:rsidR="003767E2" w:rsidRPr="00302DF0" w:rsidRDefault="00CC6FD5" w:rsidP="008648A8">
            <w:pPr>
              <w:pStyle w:val="Tabletext"/>
            </w:pPr>
            <w:r>
              <w:t>1 July 202</w:t>
            </w:r>
            <w:r w:rsidR="00BC01AA">
              <w:t>3</w:t>
            </w:r>
          </w:p>
        </w:tc>
        <w:tc>
          <w:tcPr>
            <w:tcW w:w="1843" w:type="dxa"/>
            <w:tcBorders>
              <w:top w:val="single" w:sz="12" w:space="0" w:color="auto"/>
              <w:bottom w:val="single" w:sz="12" w:space="0" w:color="auto"/>
            </w:tcBorders>
            <w:shd w:val="clear" w:color="auto" w:fill="auto"/>
          </w:tcPr>
          <w:p w14:paraId="192F78D4" w14:textId="0A2F87B8" w:rsidR="003767E2" w:rsidRPr="00302DF0" w:rsidRDefault="0012749A" w:rsidP="008648A8">
            <w:pPr>
              <w:pStyle w:val="Tabletext"/>
            </w:pPr>
            <w:r>
              <w:t>1 July 202</w:t>
            </w:r>
            <w:r w:rsidR="00BC01AA">
              <w:t>3</w:t>
            </w:r>
          </w:p>
        </w:tc>
      </w:tr>
    </w:tbl>
    <w:p w14:paraId="4F21137E"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153C677E" w14:textId="77777777" w:rsidR="003767E2"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4F02BB83" w14:textId="77777777" w:rsidR="00554826" w:rsidRPr="00554826" w:rsidRDefault="00554826" w:rsidP="00554826">
      <w:pPr>
        <w:pStyle w:val="ActHead5"/>
      </w:pPr>
      <w:bookmarkStart w:id="6" w:name="_Toc138328982"/>
      <w:r w:rsidRPr="00554826">
        <w:t>3  Authority</w:t>
      </w:r>
      <w:bookmarkEnd w:id="6"/>
    </w:p>
    <w:p w14:paraId="7ED456B0" w14:textId="77777777" w:rsidR="00554826" w:rsidRPr="009C2562" w:rsidRDefault="00554826" w:rsidP="00554826">
      <w:pPr>
        <w:pStyle w:val="subsection"/>
      </w:pPr>
      <w:r w:rsidRPr="009C2562">
        <w:tab/>
      </w:r>
      <w:r w:rsidRPr="009C2562">
        <w:tab/>
        <w:t>This instrument is made under</w:t>
      </w:r>
      <w:r w:rsidR="00D07CE0">
        <w:t xml:space="preserve"> section 42S of the </w:t>
      </w:r>
      <w:r w:rsidR="00D07CE0" w:rsidRPr="001838C2">
        <w:rPr>
          <w:i/>
        </w:rPr>
        <w:t>Mutual Recognition Act 1992</w:t>
      </w:r>
      <w:r w:rsidR="00D07CE0">
        <w:t xml:space="preserve"> of the Commonwealth.</w:t>
      </w:r>
    </w:p>
    <w:p w14:paraId="3BC13F87" w14:textId="77777777" w:rsidR="008648A8" w:rsidRDefault="00AE5AFE" w:rsidP="00554826">
      <w:pPr>
        <w:pStyle w:val="ActHead5"/>
      </w:pPr>
      <w:bookmarkStart w:id="7" w:name="_Toc138328983"/>
      <w:r>
        <w:t>4</w:t>
      </w:r>
      <w:r w:rsidR="008648A8">
        <w:t xml:space="preserve">  Simplified outline of this instrument</w:t>
      </w:r>
      <w:bookmarkEnd w:id="7"/>
    </w:p>
    <w:p w14:paraId="5C92C1E4" w14:textId="77777777" w:rsidR="008648A8" w:rsidRDefault="008648A8" w:rsidP="008648A8">
      <w:pPr>
        <w:pStyle w:val="SOText"/>
      </w:pPr>
      <w:r>
        <w:t xml:space="preserve">The purpose of this instrument is to exempt </w:t>
      </w:r>
      <w:r w:rsidR="00AE5AFE">
        <w:t>registration</w:t>
      </w:r>
      <w:r w:rsidR="008400C3">
        <w:t xml:space="preserve">s </w:t>
      </w:r>
      <w:r w:rsidR="008400C3" w:rsidRPr="008400C3">
        <w:t>for occupation</w:t>
      </w:r>
      <w:r w:rsidR="008400C3">
        <w:t>s,</w:t>
      </w:r>
      <w:r w:rsidR="008400C3" w:rsidRPr="008400C3">
        <w:t xml:space="preserve"> or for activit</w:t>
      </w:r>
      <w:r w:rsidR="008400C3">
        <w:t>ies</w:t>
      </w:r>
      <w:r w:rsidR="008400C3" w:rsidRPr="008400C3">
        <w:t xml:space="preserve"> covered by occupation</w:t>
      </w:r>
      <w:r w:rsidR="008400C3">
        <w:t>s,</w:t>
      </w:r>
      <w:r w:rsidR="00AE5AFE">
        <w:t xml:space="preserve"> from the automatic deemed registration provisions of the </w:t>
      </w:r>
      <w:r w:rsidR="00AE5AFE">
        <w:rPr>
          <w:i/>
        </w:rPr>
        <w:t>Mutual Recognition Act 1992</w:t>
      </w:r>
      <w:r w:rsidR="00AE5AFE">
        <w:t xml:space="preserve"> of the Commonwealth.</w:t>
      </w:r>
    </w:p>
    <w:p w14:paraId="43D53BF0" w14:textId="657B3018" w:rsidR="00AE5AFE" w:rsidRDefault="00AE5AFE" w:rsidP="008648A8">
      <w:pPr>
        <w:pStyle w:val="SOText"/>
      </w:pPr>
      <w:r>
        <w:t>This instrument has effect only in</w:t>
      </w:r>
      <w:r w:rsidR="00302DF0">
        <w:t xml:space="preserve"> relation to</w:t>
      </w:r>
      <w:r>
        <w:t xml:space="preserve"> </w:t>
      </w:r>
      <w:r w:rsidR="005C5878">
        <w:t>New South Wales</w:t>
      </w:r>
      <w:r>
        <w:t>.</w:t>
      </w:r>
    </w:p>
    <w:p w14:paraId="76414D23" w14:textId="5C7656DD" w:rsidR="0063033C" w:rsidRDefault="00D60929" w:rsidP="008648A8">
      <w:pPr>
        <w:pStyle w:val="SOText"/>
      </w:pPr>
      <w:r>
        <w:t>This instrument is repealed at the end of 30 June 202</w:t>
      </w:r>
      <w:r w:rsidR="007E23E9">
        <w:t>4</w:t>
      </w:r>
      <w:r>
        <w:t xml:space="preserve">.  </w:t>
      </w:r>
    </w:p>
    <w:p w14:paraId="3C9775F3" w14:textId="77777777" w:rsidR="00554826" w:rsidRPr="00554826" w:rsidRDefault="00AE5AFE" w:rsidP="00554826">
      <w:pPr>
        <w:pStyle w:val="ActHead5"/>
      </w:pPr>
      <w:bookmarkStart w:id="8" w:name="_Toc138328984"/>
      <w:r>
        <w:t>5</w:t>
      </w:r>
      <w:r w:rsidR="00554826" w:rsidRPr="00554826">
        <w:t xml:space="preserve">  Definitions</w:t>
      </w:r>
      <w:bookmarkEnd w:id="8"/>
    </w:p>
    <w:p w14:paraId="5DF7F40F" w14:textId="77777777" w:rsidR="00554826" w:rsidRPr="009C2562" w:rsidRDefault="00554826" w:rsidP="00554826">
      <w:pPr>
        <w:pStyle w:val="subsection"/>
      </w:pPr>
      <w:r w:rsidRPr="009C2562">
        <w:tab/>
      </w:r>
      <w:r w:rsidRPr="009C2562">
        <w:tab/>
        <w:t>In this instrument:</w:t>
      </w:r>
    </w:p>
    <w:p w14:paraId="01D7C6B9" w14:textId="77777777" w:rsidR="00554826" w:rsidRDefault="00D07CE0" w:rsidP="00554826">
      <w:pPr>
        <w:pStyle w:val="Definition"/>
      </w:pPr>
      <w:r w:rsidRPr="001838C2">
        <w:rPr>
          <w:b/>
          <w:i/>
        </w:rPr>
        <w:t>Act</w:t>
      </w:r>
      <w:r>
        <w:t xml:space="preserve"> means the </w:t>
      </w:r>
      <w:r w:rsidRPr="001838C2">
        <w:rPr>
          <w:i/>
        </w:rPr>
        <w:t>Mutual Recognition Act 1992</w:t>
      </w:r>
      <w:r>
        <w:t xml:space="preserve"> of the Commonwealth.</w:t>
      </w:r>
    </w:p>
    <w:p w14:paraId="20FFA273" w14:textId="77777777" w:rsidR="00CC3839" w:rsidRDefault="00BF5BE5" w:rsidP="00CC3839">
      <w:pPr>
        <w:pStyle w:val="ActHead5"/>
      </w:pPr>
      <w:bookmarkStart w:id="9" w:name="_Toc70614175"/>
      <w:bookmarkStart w:id="10" w:name="_Toc138328985"/>
      <w:bookmarkStart w:id="11" w:name="_Toc71626647"/>
      <w:bookmarkStart w:id="12" w:name="_Hlk71126127"/>
      <w:bookmarkStart w:id="13" w:name="_Toc454781205"/>
      <w:r>
        <w:lastRenderedPageBreak/>
        <w:t>6</w:t>
      </w:r>
      <w:r w:rsidR="00CC3839">
        <w:t xml:space="preserve">  Exemption</w:t>
      </w:r>
      <w:bookmarkEnd w:id="9"/>
      <w:r>
        <w:t>s</w:t>
      </w:r>
      <w:bookmarkEnd w:id="10"/>
    </w:p>
    <w:p w14:paraId="7A466871" w14:textId="1449A191" w:rsidR="00BF5BE5" w:rsidRDefault="00CC3839" w:rsidP="00CC3839">
      <w:pPr>
        <w:pStyle w:val="subsection"/>
      </w:pPr>
      <w:r>
        <w:tab/>
        <w:t>(1)</w:t>
      </w:r>
      <w:r>
        <w:tab/>
        <w:t xml:space="preserve">For the purposes of paragraph 42S(1)(a) of the Act, </w:t>
      </w:r>
      <w:r w:rsidR="00BF5BE5">
        <w:t xml:space="preserve">a registration in column 1 of the table in subsection (3) of this section is excluded from the operation of automatic deemed registration in </w:t>
      </w:r>
      <w:r w:rsidR="001946A6">
        <w:t>New South Wales</w:t>
      </w:r>
      <w:r w:rsidR="00BF5BE5">
        <w:t>.</w:t>
      </w:r>
    </w:p>
    <w:p w14:paraId="00BD9F7E" w14:textId="77777777" w:rsidR="00BF5BE5" w:rsidRDefault="00BF5BE5" w:rsidP="00BF5BE5">
      <w:pPr>
        <w:pStyle w:val="subsection"/>
      </w:pPr>
      <w:r>
        <w:tab/>
        <w:t>(2)</w:t>
      </w:r>
      <w:r>
        <w:tab/>
        <w:t xml:space="preserve">For the purposes of subsection 42S(2) of the Act, column 2 of the table in subsection (3) of this section sets out a statement of the risk </w:t>
      </w:r>
      <w:r w:rsidRPr="00BF5BE5">
        <w:t>to consumer protection, the environment, animal welfare or the health or safety of workers or the public</w:t>
      </w:r>
      <w:r>
        <w:t xml:space="preserve"> in relation to each registration in column 1.</w:t>
      </w:r>
    </w:p>
    <w:p w14:paraId="6EC622F5" w14:textId="1E58848E" w:rsidR="00D3099A" w:rsidRDefault="00BF5BE5" w:rsidP="00763E89">
      <w:pPr>
        <w:pStyle w:val="subsection"/>
      </w:pPr>
      <w:r>
        <w:tab/>
        <w:t>(3)</w:t>
      </w:r>
      <w:r>
        <w:tab/>
        <w:t>The table is as follows:</w:t>
      </w:r>
      <w:bookmarkEnd w:id="3"/>
      <w:bookmarkEnd w:id="11"/>
      <w:bookmarkEnd w:id="12"/>
      <w:bookmarkEnd w:id="13"/>
    </w:p>
    <w:p w14:paraId="42380FC8" w14:textId="77777777" w:rsidR="00D3099A" w:rsidRDefault="00D3099A" w:rsidP="00D3099A">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3099A" w:rsidRPr="00B148F8" w14:paraId="68DF5490" w14:textId="77777777" w:rsidTr="5E8F5DEE">
        <w:trPr>
          <w:tblHeader/>
        </w:trPr>
        <w:tc>
          <w:tcPr>
            <w:tcW w:w="8312" w:type="dxa"/>
            <w:gridSpan w:val="3"/>
            <w:tcBorders>
              <w:top w:val="single" w:sz="12" w:space="0" w:color="auto"/>
              <w:bottom w:val="single" w:sz="6" w:space="0" w:color="auto"/>
            </w:tcBorders>
            <w:shd w:val="clear" w:color="auto" w:fill="auto"/>
          </w:tcPr>
          <w:p w14:paraId="7BC25261" w14:textId="77777777" w:rsidR="00D3099A" w:rsidRPr="00B148F8" w:rsidRDefault="00D3099A" w:rsidP="00A30081">
            <w:pPr>
              <w:pStyle w:val="TableHeading"/>
            </w:pPr>
            <w:r w:rsidRPr="00B148F8">
              <w:t>Exemptions for the purposes of paragraph 42S(1)(a)</w:t>
            </w:r>
          </w:p>
        </w:tc>
      </w:tr>
      <w:tr w:rsidR="00D3099A" w:rsidRPr="00B148F8" w14:paraId="7E2940EC" w14:textId="77777777" w:rsidTr="5E8F5DEE">
        <w:trPr>
          <w:tblHeader/>
        </w:trPr>
        <w:tc>
          <w:tcPr>
            <w:tcW w:w="714" w:type="dxa"/>
            <w:tcBorders>
              <w:top w:val="single" w:sz="6" w:space="0" w:color="auto"/>
              <w:bottom w:val="single" w:sz="12" w:space="0" w:color="auto"/>
            </w:tcBorders>
            <w:shd w:val="clear" w:color="auto" w:fill="auto"/>
          </w:tcPr>
          <w:p w14:paraId="5ABC05EE" w14:textId="77777777" w:rsidR="00D3099A" w:rsidRPr="00B148F8" w:rsidRDefault="00D3099A" w:rsidP="00A30081">
            <w:pPr>
              <w:pStyle w:val="TableHeading"/>
            </w:pPr>
          </w:p>
          <w:p w14:paraId="7A3C71B2" w14:textId="77777777" w:rsidR="00D3099A" w:rsidRPr="00B148F8" w:rsidRDefault="00D3099A" w:rsidP="00A30081">
            <w:pPr>
              <w:pStyle w:val="TableHeading"/>
            </w:pPr>
            <w:r w:rsidRPr="00B148F8">
              <w:t>Item</w:t>
            </w:r>
          </w:p>
        </w:tc>
        <w:tc>
          <w:tcPr>
            <w:tcW w:w="3799" w:type="dxa"/>
            <w:tcBorders>
              <w:top w:val="single" w:sz="6" w:space="0" w:color="auto"/>
              <w:bottom w:val="single" w:sz="12" w:space="0" w:color="auto"/>
            </w:tcBorders>
            <w:shd w:val="clear" w:color="auto" w:fill="auto"/>
          </w:tcPr>
          <w:p w14:paraId="7BE2ABA0" w14:textId="77777777" w:rsidR="00D3099A" w:rsidRPr="00B148F8" w:rsidRDefault="00D3099A" w:rsidP="00A30081">
            <w:pPr>
              <w:pStyle w:val="TableHeading"/>
            </w:pPr>
            <w:r w:rsidRPr="00B148F8">
              <w:t>Column 1</w:t>
            </w:r>
          </w:p>
          <w:p w14:paraId="41DF23F8" w14:textId="77777777" w:rsidR="00D3099A" w:rsidRPr="00B148F8" w:rsidRDefault="00D3099A" w:rsidP="00A30081">
            <w:pPr>
              <w:pStyle w:val="TableHeading"/>
            </w:pPr>
            <w:r w:rsidRPr="00B148F8">
              <w:t>Registration</w:t>
            </w:r>
          </w:p>
        </w:tc>
        <w:tc>
          <w:tcPr>
            <w:tcW w:w="3799" w:type="dxa"/>
            <w:tcBorders>
              <w:top w:val="single" w:sz="6" w:space="0" w:color="auto"/>
              <w:bottom w:val="single" w:sz="12" w:space="0" w:color="auto"/>
            </w:tcBorders>
            <w:shd w:val="clear" w:color="auto" w:fill="auto"/>
          </w:tcPr>
          <w:p w14:paraId="2873AAE6" w14:textId="77777777" w:rsidR="00D3099A" w:rsidRPr="00B148F8" w:rsidRDefault="00D3099A" w:rsidP="00A30081">
            <w:pPr>
              <w:pStyle w:val="TableHeading"/>
            </w:pPr>
            <w:r w:rsidRPr="00B148F8">
              <w:t>Column 2</w:t>
            </w:r>
          </w:p>
          <w:p w14:paraId="7870102B" w14:textId="77777777" w:rsidR="00D3099A" w:rsidRPr="00B148F8" w:rsidRDefault="00D3099A" w:rsidP="00A30081">
            <w:pPr>
              <w:pStyle w:val="TableHeading"/>
            </w:pPr>
            <w:r w:rsidRPr="00B148F8">
              <w:t>Statement of risk</w:t>
            </w:r>
          </w:p>
        </w:tc>
      </w:tr>
      <w:tr w:rsidR="00D3099A" w:rsidRPr="00B148F8" w14:paraId="29F829D5" w14:textId="77777777" w:rsidTr="5E8F5DEE">
        <w:tc>
          <w:tcPr>
            <w:tcW w:w="714" w:type="dxa"/>
            <w:tcBorders>
              <w:bottom w:val="single" w:sz="2" w:space="0" w:color="auto"/>
            </w:tcBorders>
            <w:shd w:val="clear" w:color="auto" w:fill="auto"/>
          </w:tcPr>
          <w:p w14:paraId="6B70DE1D" w14:textId="77777777" w:rsidR="00D3099A" w:rsidRPr="00B148F8" w:rsidRDefault="00D3099A" w:rsidP="00A30081">
            <w:pPr>
              <w:pStyle w:val="Tabletext"/>
              <w:numPr>
                <w:ilvl w:val="0"/>
                <w:numId w:val="14"/>
              </w:numPr>
            </w:pPr>
          </w:p>
        </w:tc>
        <w:tc>
          <w:tcPr>
            <w:tcW w:w="3799" w:type="dxa"/>
            <w:tcBorders>
              <w:bottom w:val="single" w:sz="2" w:space="0" w:color="auto"/>
            </w:tcBorders>
            <w:shd w:val="clear" w:color="auto" w:fill="auto"/>
          </w:tcPr>
          <w:p w14:paraId="6405DE24" w14:textId="529CC4A4" w:rsidR="00D3099A" w:rsidRPr="00B148F8" w:rsidRDefault="57899658" w:rsidP="5E8F5DEE">
            <w:pPr>
              <w:pStyle w:val="Tabletext"/>
            </w:pPr>
            <w:r w:rsidRPr="00B148F8">
              <w:t>C</w:t>
            </w:r>
            <w:r w:rsidR="7C9251A9" w:rsidRPr="00B148F8">
              <w:t xml:space="preserve">ontractor </w:t>
            </w:r>
            <w:r w:rsidR="1369029E" w:rsidRPr="00B148F8">
              <w:t xml:space="preserve">licence </w:t>
            </w:r>
            <w:r w:rsidR="6D503B0C" w:rsidRPr="00B148F8">
              <w:t xml:space="preserve">and supervisor certificate </w:t>
            </w:r>
            <w:r w:rsidR="48E4FED8" w:rsidRPr="00B148F8">
              <w:t xml:space="preserve">for general building work </w:t>
            </w:r>
            <w:r w:rsidR="1369029E" w:rsidRPr="00B148F8">
              <w:t>under</w:t>
            </w:r>
            <w:r w:rsidR="6D503B0C" w:rsidRPr="00B148F8">
              <w:t xml:space="preserve"> </w:t>
            </w:r>
            <w:r w:rsidR="65AA8F0C" w:rsidRPr="00B148F8">
              <w:t xml:space="preserve">the </w:t>
            </w:r>
            <w:r w:rsidR="65AA8F0C" w:rsidRPr="00B148F8">
              <w:rPr>
                <w:i/>
                <w:iCs/>
              </w:rPr>
              <w:t>Home</w:t>
            </w:r>
            <w:r w:rsidR="1369029E" w:rsidRPr="00B148F8">
              <w:rPr>
                <w:i/>
                <w:iCs/>
              </w:rPr>
              <w:t xml:space="preserve"> Building Act 1989</w:t>
            </w:r>
            <w:r w:rsidR="008E2DA7" w:rsidRPr="00B148F8">
              <w:rPr>
                <w:i/>
                <w:iCs/>
              </w:rPr>
              <w:t xml:space="preserve"> </w:t>
            </w:r>
            <w:r w:rsidR="008E2DA7" w:rsidRPr="00B148F8">
              <w:t>(NSW)</w:t>
            </w:r>
            <w:r w:rsidR="00CB5FBD" w:rsidRPr="00B148F8">
              <w:t xml:space="preserve"> </w:t>
            </w:r>
          </w:p>
        </w:tc>
        <w:tc>
          <w:tcPr>
            <w:tcW w:w="3799" w:type="dxa"/>
            <w:tcBorders>
              <w:bottom w:val="single" w:sz="2" w:space="0" w:color="auto"/>
            </w:tcBorders>
            <w:shd w:val="clear" w:color="auto" w:fill="auto"/>
          </w:tcPr>
          <w:p w14:paraId="50280297" w14:textId="7DEF89F5" w:rsidR="00D3099A" w:rsidRPr="00B148F8" w:rsidRDefault="00F76182" w:rsidP="00A30081">
            <w:pPr>
              <w:pStyle w:val="Tabletext"/>
            </w:pPr>
            <w:r w:rsidRPr="00B148F8">
              <w:t>Significant risk to consumer protection and the public safety</w:t>
            </w:r>
            <w:r w:rsidR="00A379AA" w:rsidRPr="00B148F8">
              <w:t>.</w:t>
            </w:r>
            <w:r w:rsidR="009A663E" w:rsidRPr="00B148F8">
              <w:t xml:space="preserve"> The building and construction sector in NSW is subject to additional requirements and protections.</w:t>
            </w:r>
            <w:r w:rsidR="00085578" w:rsidRPr="00B148F8">
              <w:t xml:space="preserve"> </w:t>
            </w:r>
            <w:r w:rsidR="00085578" w:rsidRPr="00B148F8">
              <w:rPr>
                <w:rFonts w:eastAsiaTheme="minorHAnsi" w:cstheme="minorBidi"/>
                <w:shd w:val="clear" w:color="auto" w:fill="FFFFFF"/>
              </w:rPr>
              <w:t>Building failures result in costs to homeowners in remedying defects and an increased risk to safety for people living with non-compliant building work.</w:t>
            </w:r>
            <w:r w:rsidR="000E423A" w:rsidRPr="00B148F8">
              <w:t xml:space="preserve"> </w:t>
            </w:r>
            <w:r w:rsidRPr="00B148F8">
              <w:t xml:space="preserve">The NSW Government and consumers need to have confidence in the building and construction sector. </w:t>
            </w:r>
            <w:r w:rsidR="00A379AA" w:rsidRPr="00B148F8">
              <w:t xml:space="preserve"> </w:t>
            </w:r>
          </w:p>
        </w:tc>
      </w:tr>
      <w:tr w:rsidR="00C7662D" w:rsidRPr="00B148F8" w14:paraId="1D44C70A" w14:textId="77777777" w:rsidTr="5E8F5DEE">
        <w:tc>
          <w:tcPr>
            <w:tcW w:w="714" w:type="dxa"/>
            <w:tcBorders>
              <w:bottom w:val="single" w:sz="2" w:space="0" w:color="auto"/>
            </w:tcBorders>
            <w:shd w:val="clear" w:color="auto" w:fill="auto"/>
          </w:tcPr>
          <w:p w14:paraId="7FBA4767" w14:textId="77777777" w:rsidR="00C7662D" w:rsidRPr="00B148F8" w:rsidRDefault="00C7662D" w:rsidP="00A30081">
            <w:pPr>
              <w:pStyle w:val="Tabletext"/>
              <w:numPr>
                <w:ilvl w:val="0"/>
                <w:numId w:val="14"/>
              </w:numPr>
            </w:pPr>
          </w:p>
        </w:tc>
        <w:tc>
          <w:tcPr>
            <w:tcW w:w="3799" w:type="dxa"/>
            <w:tcBorders>
              <w:bottom w:val="single" w:sz="2" w:space="0" w:color="auto"/>
            </w:tcBorders>
            <w:shd w:val="clear" w:color="auto" w:fill="auto"/>
          </w:tcPr>
          <w:p w14:paraId="285230CE" w14:textId="282BF2AF" w:rsidR="00C7662D" w:rsidRPr="00B148F8" w:rsidRDefault="005B6FFC" w:rsidP="00A30081">
            <w:pPr>
              <w:pStyle w:val="Tabletext"/>
            </w:pPr>
            <w:r w:rsidRPr="00B148F8">
              <w:t xml:space="preserve">Contractor licence and supervisor certificate </w:t>
            </w:r>
            <w:r w:rsidR="00376208" w:rsidRPr="00B148F8">
              <w:t>for the e</w:t>
            </w:r>
            <w:r w:rsidR="00BC0F90" w:rsidRPr="00B148F8">
              <w:t xml:space="preserve">rection </w:t>
            </w:r>
            <w:r w:rsidR="007D52A2" w:rsidRPr="00B148F8">
              <w:t>of prefab</w:t>
            </w:r>
            <w:r w:rsidR="00F46E2E" w:rsidRPr="00B148F8">
              <w:t xml:space="preserve">ricated </w:t>
            </w:r>
            <w:r w:rsidR="00323820" w:rsidRPr="00B148F8">
              <w:t>metal</w:t>
            </w:r>
            <w:r w:rsidRPr="00B148F8">
              <w:t xml:space="preserve">-framed home additions and </w:t>
            </w:r>
            <w:r w:rsidR="00376208" w:rsidRPr="00B148F8">
              <w:t xml:space="preserve">structures </w:t>
            </w:r>
            <w:r w:rsidR="007D52A2" w:rsidRPr="00B148F8">
              <w:t>under</w:t>
            </w:r>
            <w:r w:rsidR="00376208" w:rsidRPr="00B148F8">
              <w:t xml:space="preserve"> the</w:t>
            </w:r>
            <w:r w:rsidR="007D52A2" w:rsidRPr="00B148F8">
              <w:t xml:space="preserve"> </w:t>
            </w:r>
            <w:r w:rsidR="007D52A2" w:rsidRPr="00B148F8">
              <w:rPr>
                <w:i/>
                <w:iCs/>
              </w:rPr>
              <w:t>Home Building Act 1989</w:t>
            </w:r>
            <w:r w:rsidR="008E2DA7" w:rsidRPr="00B148F8">
              <w:rPr>
                <w:i/>
                <w:iCs/>
              </w:rPr>
              <w:t xml:space="preserve"> </w:t>
            </w:r>
            <w:r w:rsidR="008E2DA7" w:rsidRPr="00B148F8">
              <w:t>(NSW)</w:t>
            </w:r>
            <w:r w:rsidR="000E0C4A" w:rsidRPr="00B148F8">
              <w:t xml:space="preserve"> </w:t>
            </w:r>
          </w:p>
        </w:tc>
        <w:tc>
          <w:tcPr>
            <w:tcW w:w="3799" w:type="dxa"/>
            <w:tcBorders>
              <w:bottom w:val="single" w:sz="2" w:space="0" w:color="auto"/>
            </w:tcBorders>
            <w:shd w:val="clear" w:color="auto" w:fill="auto"/>
          </w:tcPr>
          <w:p w14:paraId="7427285F" w14:textId="1B3FB0F0" w:rsidR="00C7662D" w:rsidRPr="00B148F8" w:rsidRDefault="00F76182" w:rsidP="00FF22D8">
            <w:pPr>
              <w:pStyle w:val="Tabletext"/>
            </w:pPr>
            <w:r w:rsidRPr="00B148F8">
              <w:t>Significant risk to consumer protection and the public safety.</w:t>
            </w:r>
            <w:r w:rsidR="00FF22D8" w:rsidRPr="00B148F8">
              <w:t xml:space="preserve"> The building and construction sector in NSW is subject to additional requirements and protections. </w:t>
            </w:r>
            <w:r w:rsidR="00085578" w:rsidRPr="00B148F8">
              <w:rPr>
                <w:rFonts w:eastAsiaTheme="minorHAnsi" w:cstheme="minorBidi"/>
                <w:shd w:val="clear" w:color="auto" w:fill="FFFFFF"/>
              </w:rPr>
              <w:t xml:space="preserve">Building failures result in costs to homeowners in remedying defects and an increased risk to safety for people living with non-compliant building work. </w:t>
            </w:r>
            <w:r w:rsidRPr="00B148F8">
              <w:t xml:space="preserve">The NSW Government and consumers need to have confidence in the building and construction sector. </w:t>
            </w:r>
          </w:p>
        </w:tc>
      </w:tr>
      <w:tr w:rsidR="00D3099A" w:rsidRPr="00B148F8" w14:paraId="1F50F584" w14:textId="77777777" w:rsidTr="5E8F5DEE">
        <w:tc>
          <w:tcPr>
            <w:tcW w:w="714" w:type="dxa"/>
            <w:tcBorders>
              <w:top w:val="single" w:sz="2" w:space="0" w:color="auto"/>
              <w:bottom w:val="single" w:sz="2" w:space="0" w:color="auto"/>
            </w:tcBorders>
            <w:shd w:val="clear" w:color="auto" w:fill="auto"/>
          </w:tcPr>
          <w:p w14:paraId="30699517" w14:textId="77777777" w:rsidR="00D3099A" w:rsidRPr="00B148F8" w:rsidRDefault="00D3099A" w:rsidP="00A30081">
            <w:pPr>
              <w:pStyle w:val="Tabletext"/>
              <w:numPr>
                <w:ilvl w:val="0"/>
                <w:numId w:val="14"/>
              </w:numPr>
            </w:pPr>
          </w:p>
        </w:tc>
        <w:tc>
          <w:tcPr>
            <w:tcW w:w="3799" w:type="dxa"/>
            <w:tcBorders>
              <w:top w:val="single" w:sz="2" w:space="0" w:color="auto"/>
              <w:bottom w:val="single" w:sz="2" w:space="0" w:color="auto"/>
            </w:tcBorders>
            <w:shd w:val="clear" w:color="auto" w:fill="auto"/>
          </w:tcPr>
          <w:p w14:paraId="5D895C7C" w14:textId="2441B68D" w:rsidR="00D3099A" w:rsidRPr="00D479BA" w:rsidRDefault="00D3099A" w:rsidP="00A30081">
            <w:pPr>
              <w:pStyle w:val="Tabletext"/>
            </w:pPr>
            <w:r w:rsidRPr="00D479BA">
              <w:t xml:space="preserve">Consulting radiation expert accreditation under the </w:t>
            </w:r>
            <w:r w:rsidRPr="00D479BA">
              <w:rPr>
                <w:i/>
                <w:iCs/>
              </w:rPr>
              <w:t>Radiation Control Act 1990</w:t>
            </w:r>
            <w:r w:rsidR="008E2DA7" w:rsidRPr="00D479BA">
              <w:rPr>
                <w:i/>
                <w:iCs/>
              </w:rPr>
              <w:t xml:space="preserve"> </w:t>
            </w:r>
            <w:r w:rsidR="008E2DA7" w:rsidRPr="00D479BA">
              <w:t>(NSW)</w:t>
            </w:r>
          </w:p>
        </w:tc>
        <w:tc>
          <w:tcPr>
            <w:tcW w:w="3799" w:type="dxa"/>
            <w:tcBorders>
              <w:top w:val="single" w:sz="2" w:space="0" w:color="auto"/>
              <w:bottom w:val="single" w:sz="2" w:space="0" w:color="auto"/>
            </w:tcBorders>
            <w:shd w:val="clear" w:color="auto" w:fill="auto"/>
          </w:tcPr>
          <w:p w14:paraId="79ADE5AC" w14:textId="7573A4ED" w:rsidR="00D3099A" w:rsidRPr="00D479BA" w:rsidRDefault="2DBBDAB4" w:rsidP="00A30081">
            <w:pPr>
              <w:pStyle w:val="Tabletext"/>
            </w:pPr>
            <w:r w:rsidRPr="00D479BA">
              <w:t xml:space="preserve">Significant risk to consumer protection and health and safety of workers and patients through unintended exposure to radiation due to equipment being incorrectly serviced and calibrated. There are large differences in accreditation, terminology, operating conditions and activities across the jurisdictions, which in many cases do not provide equivalent protection as that in NSW. The NSW Government and consumers need to have confidence that consulting radiation experts from other </w:t>
            </w:r>
            <w:r w:rsidRPr="00D479BA">
              <w:lastRenderedPageBreak/>
              <w:t>jurisdictions understand specific NSW laws and processes to ensure equipment that uses radiation is correctly assessed, calibrated and maintained.</w:t>
            </w:r>
          </w:p>
        </w:tc>
      </w:tr>
      <w:tr w:rsidR="00A2410D" w:rsidRPr="00B148F8" w14:paraId="597C4FE8" w14:textId="77777777" w:rsidTr="5E8F5DEE">
        <w:tc>
          <w:tcPr>
            <w:tcW w:w="714" w:type="dxa"/>
            <w:tcBorders>
              <w:top w:val="single" w:sz="2" w:space="0" w:color="auto"/>
              <w:bottom w:val="single" w:sz="2" w:space="0" w:color="auto"/>
            </w:tcBorders>
            <w:shd w:val="clear" w:color="auto" w:fill="auto"/>
          </w:tcPr>
          <w:p w14:paraId="7FE79082" w14:textId="77777777" w:rsidR="00A2410D" w:rsidRPr="00B148F8"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719FB6F9" w14:textId="75D60F7F" w:rsidR="00A2410D" w:rsidRPr="00D479BA" w:rsidRDefault="00A2410D" w:rsidP="00A2410D">
            <w:pPr>
              <w:pStyle w:val="Tabletext"/>
            </w:pPr>
            <w:r w:rsidRPr="00D479BA">
              <w:t xml:space="preserve">Site auditor accreditation under the </w:t>
            </w:r>
            <w:r w:rsidRPr="00D479BA">
              <w:rPr>
                <w:i/>
                <w:iCs/>
              </w:rPr>
              <w:t>Contaminated Land Management Act 1997</w:t>
            </w:r>
            <w:r w:rsidR="008E2DA7" w:rsidRPr="00D479BA">
              <w:rPr>
                <w:i/>
                <w:iCs/>
              </w:rPr>
              <w:t xml:space="preserve"> </w:t>
            </w:r>
            <w:r w:rsidR="008E2DA7" w:rsidRPr="00D479BA">
              <w:t>(NSW)</w:t>
            </w:r>
          </w:p>
        </w:tc>
        <w:tc>
          <w:tcPr>
            <w:tcW w:w="3799" w:type="dxa"/>
            <w:tcBorders>
              <w:top w:val="single" w:sz="2" w:space="0" w:color="auto"/>
              <w:bottom w:val="single" w:sz="2" w:space="0" w:color="auto"/>
            </w:tcBorders>
            <w:shd w:val="clear" w:color="auto" w:fill="auto"/>
          </w:tcPr>
          <w:p w14:paraId="173B5017" w14:textId="2230AFD1" w:rsidR="00A2410D" w:rsidRPr="00D479BA" w:rsidRDefault="2DBBDAB4" w:rsidP="00A2410D">
            <w:pPr>
              <w:pStyle w:val="Tabletext"/>
            </w:pPr>
            <w:r w:rsidRPr="00D479BA">
              <w:rPr>
                <w:rFonts w:cs="Arial"/>
              </w:rPr>
              <w:t>Significant risk to consumer protection, the environment and public health as an incorrect assessment of the nature and extent of land contamination may be illegal, costly to rectify and result in adverse impacts on public health and the environment. There are technical, policy and legislative requirements that are specific to NSW. The NSW Government and consumers need to have confidence that site auditors from other jurisdictions understand specific NSW laws and processes to ensure audits and assessments are conducted correctly.</w:t>
            </w:r>
          </w:p>
        </w:tc>
      </w:tr>
      <w:tr w:rsidR="00A2410D" w:rsidRPr="00B148F8" w14:paraId="4829B901" w14:textId="77777777" w:rsidTr="5E8F5DEE">
        <w:tc>
          <w:tcPr>
            <w:tcW w:w="714" w:type="dxa"/>
            <w:tcBorders>
              <w:top w:val="single" w:sz="2" w:space="0" w:color="auto"/>
              <w:bottom w:val="single" w:sz="2" w:space="0" w:color="auto"/>
            </w:tcBorders>
            <w:shd w:val="clear" w:color="auto" w:fill="auto"/>
          </w:tcPr>
          <w:p w14:paraId="1112510C" w14:textId="77777777" w:rsidR="00A2410D" w:rsidRPr="00B148F8"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06BC0411" w14:textId="01398BE6" w:rsidR="00A2410D" w:rsidRPr="00B148F8" w:rsidRDefault="00864F4F" w:rsidP="00A2410D">
            <w:pPr>
              <w:pStyle w:val="Tabletext"/>
            </w:pPr>
            <w:r>
              <w:t>P</w:t>
            </w:r>
            <w:r w:rsidR="00452949" w:rsidRPr="00B148F8">
              <w:t>yrotechnician’s</w:t>
            </w:r>
            <w:r w:rsidR="00B36CF7" w:rsidRPr="00B148F8">
              <w:t xml:space="preserve"> licences </w:t>
            </w:r>
            <w:r w:rsidR="00877704" w:rsidRPr="00B148F8">
              <w:t xml:space="preserve">under the </w:t>
            </w:r>
            <w:r w:rsidR="00453213" w:rsidRPr="00B148F8">
              <w:rPr>
                <w:i/>
                <w:iCs/>
              </w:rPr>
              <w:t>Explosives Act 2003</w:t>
            </w:r>
            <w:r w:rsidR="008A0909" w:rsidRPr="00B148F8">
              <w:t xml:space="preserve"> </w:t>
            </w:r>
            <w:r w:rsidR="008E2DA7" w:rsidRPr="00B148F8">
              <w:t>(NSW)</w:t>
            </w:r>
            <w:r w:rsidR="00CE211E" w:rsidRPr="00B148F8">
              <w:t xml:space="preserve"> </w:t>
            </w:r>
          </w:p>
        </w:tc>
        <w:tc>
          <w:tcPr>
            <w:tcW w:w="3799" w:type="dxa"/>
            <w:tcBorders>
              <w:top w:val="single" w:sz="2" w:space="0" w:color="auto"/>
              <w:bottom w:val="single" w:sz="2" w:space="0" w:color="auto"/>
            </w:tcBorders>
            <w:shd w:val="clear" w:color="auto" w:fill="auto"/>
          </w:tcPr>
          <w:p w14:paraId="75F4B752" w14:textId="4460FDDB" w:rsidR="00A2410D" w:rsidRPr="00B148F8" w:rsidRDefault="004800EE" w:rsidP="00A2410D">
            <w:pPr>
              <w:pStyle w:val="Tabletext"/>
            </w:pPr>
            <w:r w:rsidRPr="00B148F8">
              <w:t>S</w:t>
            </w:r>
            <w:r w:rsidR="00642C37" w:rsidRPr="00B148F8">
              <w:t>ignificant risk to public safety</w:t>
            </w:r>
            <w:r w:rsidRPr="00B148F8">
              <w:t xml:space="preserve"> as</w:t>
            </w:r>
            <w:r w:rsidR="00F04EB6" w:rsidRPr="00B148F8">
              <w:t xml:space="preserve"> </w:t>
            </w:r>
            <w:r w:rsidR="00642C37" w:rsidRPr="00B148F8">
              <w:t>NSW Police</w:t>
            </w:r>
            <w:r w:rsidR="008268A0" w:rsidRPr="00B148F8">
              <w:t xml:space="preserve"> Force</w:t>
            </w:r>
            <w:r w:rsidR="00642C37" w:rsidRPr="00B148F8">
              <w:t xml:space="preserve"> </w:t>
            </w:r>
            <w:r w:rsidR="000D4A60" w:rsidRPr="00B148F8">
              <w:t xml:space="preserve">needs to </w:t>
            </w:r>
            <w:r w:rsidR="007C0A26" w:rsidRPr="00B148F8">
              <w:t xml:space="preserve">retain the </w:t>
            </w:r>
            <w:r w:rsidR="00272B54" w:rsidRPr="00B148F8">
              <w:t xml:space="preserve">authority </w:t>
            </w:r>
            <w:r w:rsidR="007C0A26" w:rsidRPr="00B148F8">
              <w:t xml:space="preserve">to </w:t>
            </w:r>
            <w:r w:rsidR="00642C37" w:rsidRPr="00B148F8">
              <w:t xml:space="preserve">conduct probity checks </w:t>
            </w:r>
            <w:r w:rsidR="00272B54" w:rsidRPr="00B148F8">
              <w:t xml:space="preserve">on operators entering NSW </w:t>
            </w:r>
            <w:r w:rsidR="00642C37" w:rsidRPr="00B148F8">
              <w:t>and restrict access to persons deemed unsuitable</w:t>
            </w:r>
            <w:r w:rsidR="00BD4796" w:rsidRPr="00B148F8">
              <w:t>.</w:t>
            </w:r>
          </w:p>
        </w:tc>
      </w:tr>
      <w:tr w:rsidR="001C61D6" w:rsidRPr="00B148F8" w14:paraId="18F7E526" w14:textId="77777777" w:rsidTr="5E8F5DEE">
        <w:tc>
          <w:tcPr>
            <w:tcW w:w="714" w:type="dxa"/>
            <w:tcBorders>
              <w:top w:val="single" w:sz="2" w:space="0" w:color="auto"/>
              <w:bottom w:val="single" w:sz="2" w:space="0" w:color="auto"/>
            </w:tcBorders>
            <w:shd w:val="clear" w:color="auto" w:fill="auto"/>
          </w:tcPr>
          <w:p w14:paraId="5AFD5CBE" w14:textId="77777777" w:rsidR="001C61D6" w:rsidRPr="00B148F8" w:rsidRDefault="001C61D6"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14CBBC01" w14:textId="4123B06B" w:rsidR="009728A5" w:rsidRPr="00B148F8" w:rsidRDefault="009728A5" w:rsidP="009728A5">
            <w:pPr>
              <w:pStyle w:val="Tabletext"/>
            </w:pPr>
            <w:r w:rsidRPr="00B148F8">
              <w:t xml:space="preserve">Registration or recognition within the meaning of the </w:t>
            </w:r>
            <w:r w:rsidRPr="00B148F8">
              <w:rPr>
                <w:i/>
                <w:iCs/>
              </w:rPr>
              <w:t>Design and Building Practitioners Act 2020</w:t>
            </w:r>
            <w:r w:rsidRPr="00B148F8">
              <w:t xml:space="preserve"> (NSW):</w:t>
            </w:r>
          </w:p>
          <w:p w14:paraId="66F82503" w14:textId="77777777" w:rsidR="009728A5" w:rsidRPr="00B148F8" w:rsidRDefault="009728A5" w:rsidP="009728A5">
            <w:pPr>
              <w:pStyle w:val="CommentText"/>
              <w:numPr>
                <w:ilvl w:val="0"/>
                <w:numId w:val="21"/>
              </w:numPr>
              <w:ind w:left="360"/>
            </w:pPr>
            <w:r w:rsidRPr="00B148F8">
              <w:t xml:space="preserve">Design practitioner - fire systems (all classes) </w:t>
            </w:r>
          </w:p>
          <w:p w14:paraId="58B0DC33" w14:textId="77777777" w:rsidR="009728A5" w:rsidRPr="00B148F8" w:rsidRDefault="009728A5" w:rsidP="009728A5">
            <w:pPr>
              <w:pStyle w:val="CommentText"/>
              <w:numPr>
                <w:ilvl w:val="0"/>
                <w:numId w:val="21"/>
              </w:numPr>
              <w:ind w:left="360"/>
            </w:pPr>
            <w:r w:rsidRPr="00B148F8">
              <w:t xml:space="preserve">Design practitioner – fire safety engineering </w:t>
            </w:r>
          </w:p>
          <w:p w14:paraId="4B57F0BB" w14:textId="74F015E7" w:rsidR="00417A90" w:rsidRPr="00B148F8" w:rsidRDefault="009728A5" w:rsidP="00F0420B">
            <w:pPr>
              <w:pStyle w:val="CommentText"/>
              <w:numPr>
                <w:ilvl w:val="0"/>
                <w:numId w:val="21"/>
              </w:numPr>
              <w:ind w:left="360"/>
            </w:pPr>
            <w:r w:rsidRPr="00B148F8">
              <w:t>Professional engineer – fire safet</w:t>
            </w:r>
            <w:r w:rsidR="00BC03E2" w:rsidRPr="00B148F8">
              <w:t>y;</w:t>
            </w:r>
          </w:p>
          <w:p w14:paraId="1006AB6E" w14:textId="77777777" w:rsidR="00943AA4" w:rsidRPr="00B148F8" w:rsidRDefault="00943AA4" w:rsidP="00943AA4">
            <w:pPr>
              <w:pStyle w:val="CommentText"/>
              <w:ind w:left="360"/>
            </w:pPr>
          </w:p>
          <w:p w14:paraId="0D2AAC06" w14:textId="67D7720D" w:rsidR="00417A90" w:rsidRPr="00B148F8" w:rsidRDefault="00F0420B" w:rsidP="00943AA4">
            <w:pPr>
              <w:pStyle w:val="CommentText"/>
            </w:pPr>
            <w:r w:rsidRPr="00B148F8">
              <w:t>Registered certifiers</w:t>
            </w:r>
            <w:r w:rsidR="00725D05" w:rsidRPr="00B148F8">
              <w:t xml:space="preserve"> </w:t>
            </w:r>
            <w:r w:rsidR="00943AA4" w:rsidRPr="00B148F8">
              <w:t xml:space="preserve">– fire safety </w:t>
            </w:r>
            <w:r w:rsidR="00725D05" w:rsidRPr="00B148F8">
              <w:t xml:space="preserve">and accredited </w:t>
            </w:r>
            <w:r w:rsidR="00943AA4" w:rsidRPr="00B148F8">
              <w:t>practitioner</w:t>
            </w:r>
            <w:r w:rsidRPr="00B148F8">
              <w:t xml:space="preserve"> – fire safety under </w:t>
            </w:r>
            <w:r w:rsidR="00E85206">
              <w:t xml:space="preserve">the </w:t>
            </w:r>
            <w:r w:rsidRPr="00B148F8">
              <w:rPr>
                <w:i/>
                <w:iCs/>
              </w:rPr>
              <w:t>Building and Development Certifiers Act 2018</w:t>
            </w:r>
            <w:r w:rsidRPr="00B148F8">
              <w:t xml:space="preserve"> (NSW);  </w:t>
            </w:r>
          </w:p>
          <w:p w14:paraId="44DBC741" w14:textId="382561EE" w:rsidR="00FD31D1" w:rsidRPr="00B148F8" w:rsidRDefault="00F0420B" w:rsidP="000057C3">
            <w:pPr>
              <w:pStyle w:val="Tabletext"/>
              <w:rPr>
                <w:i/>
                <w:iCs/>
              </w:rPr>
            </w:pPr>
            <w:r w:rsidRPr="00B148F8">
              <w:t xml:space="preserve">Licences and certificates for water plumbing – fire protection and fire sprinkler systems under the </w:t>
            </w:r>
            <w:r w:rsidRPr="00B148F8">
              <w:rPr>
                <w:i/>
                <w:iCs/>
              </w:rPr>
              <w:t xml:space="preserve">Home Building Act 1989 </w:t>
            </w:r>
            <w:r w:rsidRPr="00B148F8">
              <w:t xml:space="preserve">(NSW) </w:t>
            </w:r>
          </w:p>
        </w:tc>
        <w:tc>
          <w:tcPr>
            <w:tcW w:w="3799" w:type="dxa"/>
            <w:tcBorders>
              <w:top w:val="single" w:sz="2" w:space="0" w:color="auto"/>
              <w:bottom w:val="single" w:sz="2" w:space="0" w:color="auto"/>
            </w:tcBorders>
            <w:shd w:val="clear" w:color="auto" w:fill="auto"/>
          </w:tcPr>
          <w:p w14:paraId="7543D9E9" w14:textId="3F7ABA67" w:rsidR="001C61D6" w:rsidRPr="00B148F8" w:rsidRDefault="000E639E" w:rsidP="00A2410D">
            <w:pPr>
              <w:pStyle w:val="Tabletext"/>
            </w:pPr>
            <w:r w:rsidRPr="00B148F8">
              <w:t xml:space="preserve">Significant risk to </w:t>
            </w:r>
            <w:r w:rsidR="00CB4F99" w:rsidRPr="00B148F8">
              <w:t>consumer and the</w:t>
            </w:r>
            <w:r w:rsidRPr="00B148F8">
              <w:t xml:space="preserve"> </w:t>
            </w:r>
            <w:r w:rsidR="00CB4F99" w:rsidRPr="00B148F8">
              <w:t>healt</w:t>
            </w:r>
            <w:r w:rsidR="006C6E9D" w:rsidRPr="00B148F8">
              <w:t xml:space="preserve">h and safety of the public. </w:t>
            </w:r>
          </w:p>
          <w:p w14:paraId="3E77E779" w14:textId="2FD65987" w:rsidR="001C61D6" w:rsidRPr="00B148F8" w:rsidRDefault="5209EF70" w:rsidP="00902A39">
            <w:pPr>
              <w:pStyle w:val="Tabletext"/>
              <w:rPr>
                <w:color w:val="000000" w:themeColor="text1"/>
              </w:rPr>
            </w:pPr>
            <w:r w:rsidRPr="00B148F8">
              <w:t>The NSW Government and consumers need to have confidence in the building and construction sector.</w:t>
            </w:r>
          </w:p>
        </w:tc>
      </w:tr>
      <w:tr w:rsidR="00A2410D" w:rsidRPr="00B148F8" w14:paraId="2636093B" w14:textId="77777777" w:rsidTr="5E8F5DEE">
        <w:tc>
          <w:tcPr>
            <w:tcW w:w="714" w:type="dxa"/>
            <w:tcBorders>
              <w:top w:val="single" w:sz="2" w:space="0" w:color="auto"/>
              <w:bottom w:val="single" w:sz="2" w:space="0" w:color="auto"/>
            </w:tcBorders>
            <w:shd w:val="clear" w:color="auto" w:fill="auto"/>
          </w:tcPr>
          <w:p w14:paraId="03AB2AB7" w14:textId="77777777" w:rsidR="00A2410D" w:rsidRPr="00B148F8"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58926FAB" w14:textId="17B8A9BC" w:rsidR="00A2410D" w:rsidRPr="00B148F8" w:rsidRDefault="008A0909" w:rsidP="00A2410D">
            <w:pPr>
              <w:pStyle w:val="Tabletext"/>
            </w:pPr>
            <w:r w:rsidRPr="00B148F8">
              <w:t>Licen</w:t>
            </w:r>
            <w:r w:rsidR="007A2113">
              <w:t>ces</w:t>
            </w:r>
            <w:r w:rsidRPr="00B148F8">
              <w:t xml:space="preserve"> and registration schemes </w:t>
            </w:r>
            <w:r w:rsidR="007A62C4" w:rsidRPr="00B148F8">
              <w:t xml:space="preserve">under </w:t>
            </w:r>
            <w:r w:rsidR="00E85206">
              <w:t xml:space="preserve">the </w:t>
            </w:r>
            <w:r w:rsidR="007A62C4" w:rsidRPr="00B148F8">
              <w:rPr>
                <w:i/>
                <w:iCs/>
              </w:rPr>
              <w:t>G</w:t>
            </w:r>
            <w:r w:rsidR="00647A5F" w:rsidRPr="00B148F8">
              <w:rPr>
                <w:i/>
                <w:iCs/>
              </w:rPr>
              <w:t xml:space="preserve">reyhound </w:t>
            </w:r>
            <w:r w:rsidR="007A62C4" w:rsidRPr="00B148F8">
              <w:rPr>
                <w:i/>
                <w:iCs/>
              </w:rPr>
              <w:t>R</w:t>
            </w:r>
            <w:r w:rsidR="00647A5F" w:rsidRPr="00B148F8">
              <w:rPr>
                <w:i/>
                <w:iCs/>
              </w:rPr>
              <w:t>acing</w:t>
            </w:r>
            <w:r w:rsidR="007A62C4" w:rsidRPr="00B148F8">
              <w:rPr>
                <w:i/>
                <w:iCs/>
              </w:rPr>
              <w:t xml:space="preserve"> Act 2017</w:t>
            </w:r>
            <w:r w:rsidR="008E1D50" w:rsidRPr="00B148F8">
              <w:t xml:space="preserve"> </w:t>
            </w:r>
            <w:r w:rsidR="008E2DA7" w:rsidRPr="00B148F8">
              <w:t>(NSW)</w:t>
            </w:r>
          </w:p>
        </w:tc>
        <w:tc>
          <w:tcPr>
            <w:tcW w:w="3799" w:type="dxa"/>
            <w:tcBorders>
              <w:top w:val="single" w:sz="2" w:space="0" w:color="auto"/>
              <w:bottom w:val="single" w:sz="2" w:space="0" w:color="auto"/>
            </w:tcBorders>
            <w:shd w:val="clear" w:color="auto" w:fill="auto"/>
          </w:tcPr>
          <w:p w14:paraId="04D2CE03" w14:textId="24134127" w:rsidR="00A2410D" w:rsidRPr="00B148F8" w:rsidRDefault="00501F36" w:rsidP="00CD4538">
            <w:pPr>
              <w:pStyle w:val="Tabletext"/>
            </w:pPr>
            <w:r w:rsidRPr="00B148F8">
              <w:t>S</w:t>
            </w:r>
            <w:r w:rsidR="006A7EE5" w:rsidRPr="00B148F8">
              <w:t xml:space="preserve">ignificant risk to </w:t>
            </w:r>
            <w:r w:rsidR="00D52E05" w:rsidRPr="00B148F8">
              <w:t>consumer protection and animal welfare</w:t>
            </w:r>
            <w:r w:rsidR="002935DA" w:rsidRPr="00B148F8">
              <w:t xml:space="preserve"> as t</w:t>
            </w:r>
            <w:r w:rsidR="00FC02C1" w:rsidRPr="00B148F8">
              <w:t xml:space="preserve">he NSW racing controlling bodies </w:t>
            </w:r>
            <w:r w:rsidR="008017DE" w:rsidRPr="00B148F8">
              <w:t xml:space="preserve">are </w:t>
            </w:r>
            <w:r w:rsidR="00127B35" w:rsidRPr="00B148F8">
              <w:t>unable conduct a probity assessment which</w:t>
            </w:r>
            <w:r w:rsidR="002935DA" w:rsidRPr="00B148F8">
              <w:t xml:space="preserve"> </w:t>
            </w:r>
            <w:r w:rsidR="004E241C" w:rsidRPr="00B148F8">
              <w:t xml:space="preserve">could lead to criminal elements, including </w:t>
            </w:r>
            <w:r w:rsidR="00452AC3" w:rsidRPr="00B148F8">
              <w:t xml:space="preserve">organised crime, money laundering, race fixing and illicit or performance enhancing human and </w:t>
            </w:r>
            <w:r w:rsidR="00452AC3" w:rsidRPr="00B148F8">
              <w:lastRenderedPageBreak/>
              <w:t>equine drug use. N</w:t>
            </w:r>
            <w:r w:rsidR="008268A0" w:rsidRPr="00B148F8">
              <w:t>ew S</w:t>
            </w:r>
            <w:r w:rsidR="00816BBF" w:rsidRPr="00B148F8">
              <w:t>outh Wales</w:t>
            </w:r>
            <w:r w:rsidR="00452AC3" w:rsidRPr="00B148F8">
              <w:t xml:space="preserve"> </w:t>
            </w:r>
            <w:r w:rsidR="00B84DDC" w:rsidRPr="00B148F8">
              <w:t xml:space="preserve">has </w:t>
            </w:r>
            <w:r w:rsidR="00E22685" w:rsidRPr="00B148F8">
              <w:t xml:space="preserve">a </w:t>
            </w:r>
            <w:r w:rsidR="00B84DDC" w:rsidRPr="00B148F8">
              <w:t xml:space="preserve">statutory obligation to </w:t>
            </w:r>
            <w:r w:rsidR="00E22685" w:rsidRPr="00B148F8">
              <w:t>assess an applicant’s fitness taking into account</w:t>
            </w:r>
            <w:r w:rsidR="00127B35" w:rsidRPr="00B148F8">
              <w:t xml:space="preserve"> </w:t>
            </w:r>
            <w:r w:rsidR="00CD4538" w:rsidRPr="00B148F8">
              <w:t xml:space="preserve">a broader list of </w:t>
            </w:r>
            <w:r w:rsidR="00AC50C0" w:rsidRPr="00B148F8">
              <w:t xml:space="preserve">criminal </w:t>
            </w:r>
            <w:r w:rsidR="00127B35" w:rsidRPr="00B148F8">
              <w:t>convictions</w:t>
            </w:r>
            <w:r w:rsidR="00E22685" w:rsidRPr="00B148F8">
              <w:t xml:space="preserve"> than other jurisdictions. </w:t>
            </w:r>
          </w:p>
        </w:tc>
      </w:tr>
      <w:tr w:rsidR="00C4654D" w:rsidRPr="00B148F8" w14:paraId="31E533A6" w14:textId="77777777" w:rsidTr="5E8F5DEE">
        <w:tc>
          <w:tcPr>
            <w:tcW w:w="714" w:type="dxa"/>
            <w:tcBorders>
              <w:top w:val="single" w:sz="2" w:space="0" w:color="auto"/>
              <w:bottom w:val="single" w:sz="2" w:space="0" w:color="auto"/>
            </w:tcBorders>
            <w:shd w:val="clear" w:color="auto" w:fill="auto"/>
          </w:tcPr>
          <w:p w14:paraId="67FFCF1E" w14:textId="77777777" w:rsidR="00C4654D" w:rsidRPr="00B148F8" w:rsidRDefault="00C4654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5BB99254" w14:textId="22544719" w:rsidR="00C4654D" w:rsidRPr="00B148F8" w:rsidRDefault="007A62C4" w:rsidP="00A2410D">
            <w:pPr>
              <w:pStyle w:val="Tabletext"/>
            </w:pPr>
            <w:r w:rsidRPr="00B148F8">
              <w:t>Licen</w:t>
            </w:r>
            <w:r w:rsidR="007A2113">
              <w:t>ces</w:t>
            </w:r>
            <w:r w:rsidRPr="00B148F8">
              <w:t xml:space="preserve"> and registration schemes under </w:t>
            </w:r>
            <w:r w:rsidR="00E85206">
              <w:t xml:space="preserve">the </w:t>
            </w:r>
            <w:r w:rsidRPr="00B148F8">
              <w:rPr>
                <w:i/>
                <w:iCs/>
              </w:rPr>
              <w:t>Harness Racing Act 2009</w:t>
            </w:r>
            <w:r w:rsidR="008E2DA7" w:rsidRPr="00B148F8">
              <w:rPr>
                <w:i/>
                <w:iCs/>
              </w:rPr>
              <w:t xml:space="preserve"> </w:t>
            </w:r>
            <w:r w:rsidR="008E2DA7" w:rsidRPr="00B148F8">
              <w:t>(NSW)</w:t>
            </w:r>
          </w:p>
        </w:tc>
        <w:tc>
          <w:tcPr>
            <w:tcW w:w="3799" w:type="dxa"/>
            <w:tcBorders>
              <w:top w:val="single" w:sz="2" w:space="0" w:color="auto"/>
              <w:bottom w:val="single" w:sz="2" w:space="0" w:color="auto"/>
            </w:tcBorders>
            <w:shd w:val="clear" w:color="auto" w:fill="auto"/>
          </w:tcPr>
          <w:p w14:paraId="792F97F3" w14:textId="4A484583" w:rsidR="00C4654D" w:rsidRPr="00B148F8" w:rsidRDefault="003A13E9" w:rsidP="00CD4538">
            <w:pPr>
              <w:pStyle w:val="Tabletext"/>
            </w:pPr>
            <w:r w:rsidRPr="00B148F8">
              <w:rPr>
                <w:rStyle w:val="normaltextrun"/>
                <w:shd w:val="clear" w:color="auto" w:fill="FFFFFF"/>
              </w:rPr>
              <w:t>Significant risk to consumer protection, health and safety of workers in the harness racing industry, and animal welfare as</w:t>
            </w:r>
            <w:r w:rsidR="00922D6F">
              <w:rPr>
                <w:rStyle w:val="normaltextrun"/>
                <w:shd w:val="clear" w:color="auto" w:fill="FFFFFF"/>
              </w:rPr>
              <w:t xml:space="preserve">, </w:t>
            </w:r>
            <w:r w:rsidRPr="00B148F8">
              <w:rPr>
                <w:rStyle w:val="normaltextrun"/>
                <w:shd w:val="clear" w:color="auto" w:fill="FFFFFF"/>
              </w:rPr>
              <w:t>without an exemption to AMR</w:t>
            </w:r>
            <w:r w:rsidR="00922D6F">
              <w:rPr>
                <w:rStyle w:val="normaltextrun"/>
                <w:shd w:val="clear" w:color="auto" w:fill="FFFFFF"/>
              </w:rPr>
              <w:t>,</w:t>
            </w:r>
            <w:r w:rsidRPr="00B148F8">
              <w:rPr>
                <w:rStyle w:val="normaltextrun"/>
                <w:shd w:val="clear" w:color="auto" w:fill="FFFFFF"/>
              </w:rPr>
              <w:t xml:space="preserve"> the NSW harness racing controlling body would be unable to conduct an appropriate probity assessment. There is a substantial risk that this would lead to criminal elements, including organised crime, money laundering, race fixing and illicit or performance enhancing human and equine drug use infiltrating the sport in NSW</w:t>
            </w:r>
            <w:r w:rsidR="003F6B11">
              <w:rPr>
                <w:rStyle w:val="normaltextrun"/>
                <w:shd w:val="clear" w:color="auto" w:fill="FFFFFF"/>
              </w:rPr>
              <w:t>,</w:t>
            </w:r>
            <w:r w:rsidRPr="00B148F8">
              <w:rPr>
                <w:rStyle w:val="normaltextrun"/>
                <w:shd w:val="clear" w:color="auto" w:fill="FFFFFF"/>
              </w:rPr>
              <w:t xml:space="preserve"> increas</w:t>
            </w:r>
            <w:r w:rsidR="003F6B11">
              <w:rPr>
                <w:rStyle w:val="normaltextrun"/>
                <w:shd w:val="clear" w:color="auto" w:fill="FFFFFF"/>
              </w:rPr>
              <w:t>e</w:t>
            </w:r>
            <w:r w:rsidRPr="00B148F8">
              <w:rPr>
                <w:rStyle w:val="normaltextrun"/>
                <w:shd w:val="clear" w:color="auto" w:fill="FFFFFF"/>
              </w:rPr>
              <w:t xml:space="preserve"> safety and animal welfare concerns, and reduc</w:t>
            </w:r>
            <w:r w:rsidR="003F6B11">
              <w:rPr>
                <w:rStyle w:val="normaltextrun"/>
                <w:shd w:val="clear" w:color="auto" w:fill="FFFFFF"/>
              </w:rPr>
              <w:t>e</w:t>
            </w:r>
            <w:r w:rsidRPr="00B148F8">
              <w:rPr>
                <w:rStyle w:val="normaltextrun"/>
                <w:shd w:val="clear" w:color="auto" w:fill="FFFFFF"/>
              </w:rPr>
              <w:t xml:space="preserve"> consumer confidence. Harness Racing NSW has a statutory obligation to assess an applicant’s fitness and propriety to a more rigorous and higher standard than other Australian jurisdictions. </w:t>
            </w:r>
            <w:r w:rsidRPr="00B148F8">
              <w:rPr>
                <w:rStyle w:val="eop"/>
                <w:shd w:val="clear" w:color="auto" w:fill="FFFFFF"/>
              </w:rPr>
              <w:t> </w:t>
            </w:r>
          </w:p>
        </w:tc>
      </w:tr>
      <w:tr w:rsidR="00C4654D" w:rsidRPr="00B148F8" w14:paraId="3FEDC664" w14:textId="77777777" w:rsidTr="5E8F5DEE">
        <w:tc>
          <w:tcPr>
            <w:tcW w:w="714" w:type="dxa"/>
            <w:tcBorders>
              <w:top w:val="single" w:sz="2" w:space="0" w:color="auto"/>
              <w:bottom w:val="single" w:sz="2" w:space="0" w:color="auto"/>
            </w:tcBorders>
            <w:shd w:val="clear" w:color="auto" w:fill="auto"/>
          </w:tcPr>
          <w:p w14:paraId="5864E6C2" w14:textId="77777777" w:rsidR="00C4654D" w:rsidRPr="00B148F8" w:rsidRDefault="00C4654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31F576F2" w14:textId="519F9292" w:rsidR="00C4654D" w:rsidRPr="00B148F8" w:rsidRDefault="007A62C4" w:rsidP="00A2410D">
            <w:pPr>
              <w:pStyle w:val="Tabletext"/>
            </w:pPr>
            <w:r w:rsidRPr="00B148F8">
              <w:t>Licen</w:t>
            </w:r>
            <w:r w:rsidR="007A2113">
              <w:t>ces</w:t>
            </w:r>
            <w:r w:rsidRPr="00B148F8">
              <w:t xml:space="preserve"> and registration schemes under </w:t>
            </w:r>
            <w:r w:rsidR="00E85206">
              <w:t xml:space="preserve">the </w:t>
            </w:r>
            <w:r w:rsidRPr="00B148F8">
              <w:rPr>
                <w:i/>
                <w:iCs/>
              </w:rPr>
              <w:t>Thoroughbred Racing Act 1996</w:t>
            </w:r>
            <w:r w:rsidR="008E2DA7" w:rsidRPr="00B148F8">
              <w:rPr>
                <w:i/>
                <w:iCs/>
              </w:rPr>
              <w:t xml:space="preserve"> </w:t>
            </w:r>
            <w:r w:rsidR="008E2DA7" w:rsidRPr="00B148F8">
              <w:t>(NSW)</w:t>
            </w:r>
          </w:p>
        </w:tc>
        <w:tc>
          <w:tcPr>
            <w:tcW w:w="3799" w:type="dxa"/>
            <w:tcBorders>
              <w:top w:val="single" w:sz="2" w:space="0" w:color="auto"/>
              <w:bottom w:val="single" w:sz="2" w:space="0" w:color="auto"/>
            </w:tcBorders>
            <w:shd w:val="clear" w:color="auto" w:fill="auto"/>
          </w:tcPr>
          <w:p w14:paraId="30E0ECEB" w14:textId="305E00D1" w:rsidR="00C4654D" w:rsidRPr="00B148F8" w:rsidRDefault="000169FD" w:rsidP="00CD4538">
            <w:pPr>
              <w:pStyle w:val="Tabletext"/>
            </w:pPr>
            <w:r w:rsidRPr="00B148F8">
              <w:t>S</w:t>
            </w:r>
            <w:r w:rsidR="007A62C4" w:rsidRPr="00B148F8">
              <w:t xml:space="preserve">ignificant risk to consumer protection and animal welfare as the NSW racing controlling bodies </w:t>
            </w:r>
            <w:r w:rsidR="0009153B" w:rsidRPr="00B148F8">
              <w:t>are</w:t>
            </w:r>
            <w:r w:rsidR="007A62C4" w:rsidRPr="00B148F8">
              <w:t xml:space="preserve"> unable conduct a probity assessment which could lead to criminal elements, including organised crime, money laundering, race fixing and illicit or performance enhancing human and equine drug use. NSW has a statutory obligation to assess an applicant’s fitness taking into account a broader list of criminal convictions than other jurisdictions.</w:t>
            </w:r>
          </w:p>
        </w:tc>
      </w:tr>
      <w:tr w:rsidR="00A725B0" w:rsidRPr="00B148F8" w14:paraId="761E1132" w14:textId="77777777" w:rsidTr="5E8F5DEE">
        <w:tc>
          <w:tcPr>
            <w:tcW w:w="714" w:type="dxa"/>
            <w:tcBorders>
              <w:top w:val="single" w:sz="2" w:space="0" w:color="auto"/>
              <w:bottom w:val="single" w:sz="2" w:space="0" w:color="auto"/>
            </w:tcBorders>
            <w:shd w:val="clear" w:color="auto" w:fill="auto"/>
          </w:tcPr>
          <w:p w14:paraId="7DE44DE9" w14:textId="77777777" w:rsidR="00A725B0" w:rsidRPr="00B148F8" w:rsidRDefault="00A725B0"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3A8DD370" w14:textId="66F4B59D" w:rsidR="00A725B0" w:rsidRPr="00B148F8" w:rsidRDefault="00B5304B" w:rsidP="00A2410D">
            <w:pPr>
              <w:pStyle w:val="Tabletext"/>
            </w:pPr>
            <w:r w:rsidRPr="00B148F8">
              <w:t>Special Employee</w:t>
            </w:r>
            <w:r w:rsidR="00A725B0" w:rsidRPr="00B148F8">
              <w:t xml:space="preserve"> licence</w:t>
            </w:r>
            <w:r w:rsidRPr="00B148F8">
              <w:t xml:space="preserve"> </w:t>
            </w:r>
            <w:r w:rsidR="00A725B0" w:rsidRPr="00B148F8">
              <w:t xml:space="preserve">under </w:t>
            </w:r>
            <w:r w:rsidR="00447616" w:rsidRPr="00B148F8">
              <w:t xml:space="preserve">Part 4 of </w:t>
            </w:r>
            <w:r w:rsidR="00A725B0" w:rsidRPr="00B148F8">
              <w:t xml:space="preserve">the </w:t>
            </w:r>
            <w:r w:rsidR="00A725B0" w:rsidRPr="00B148F8">
              <w:rPr>
                <w:i/>
                <w:iCs/>
              </w:rPr>
              <w:t>Casino Control Act 1992</w:t>
            </w:r>
            <w:r w:rsidR="008E2DA7" w:rsidRPr="00B148F8">
              <w:rPr>
                <w:i/>
                <w:iCs/>
              </w:rPr>
              <w:t xml:space="preserve"> </w:t>
            </w:r>
            <w:r w:rsidR="008E2DA7" w:rsidRPr="00B148F8">
              <w:t>(NSW)</w:t>
            </w:r>
          </w:p>
        </w:tc>
        <w:tc>
          <w:tcPr>
            <w:tcW w:w="3799" w:type="dxa"/>
            <w:tcBorders>
              <w:top w:val="single" w:sz="2" w:space="0" w:color="auto"/>
              <w:bottom w:val="single" w:sz="2" w:space="0" w:color="auto"/>
            </w:tcBorders>
            <w:shd w:val="clear" w:color="auto" w:fill="auto"/>
          </w:tcPr>
          <w:p w14:paraId="6DF549D3" w14:textId="1B03974F" w:rsidR="00A725B0" w:rsidRPr="00B148F8" w:rsidRDefault="005B6D87" w:rsidP="00A2410D">
            <w:pPr>
              <w:pStyle w:val="Tabletext"/>
            </w:pPr>
            <w:r w:rsidRPr="00B148F8">
              <w:t>S</w:t>
            </w:r>
            <w:r w:rsidR="00A725B0" w:rsidRPr="00B148F8">
              <w:t>ignificant risk to consumer protection as the regulator is unable to undertake probity check</w:t>
            </w:r>
            <w:r w:rsidRPr="00B148F8">
              <w:t>s</w:t>
            </w:r>
            <w:r w:rsidR="00DF35F3" w:rsidRPr="00B148F8">
              <w:t xml:space="preserve">. This </w:t>
            </w:r>
            <w:r w:rsidR="00A725B0" w:rsidRPr="00B148F8">
              <w:t>could lead to individuals being allowed to operate that engage in money laundering and associated criminal activity, and potential theft and fraud.</w:t>
            </w:r>
          </w:p>
        </w:tc>
      </w:tr>
      <w:tr w:rsidR="00A2410D" w:rsidRPr="00B148F8" w14:paraId="68B7EDBA" w14:textId="77777777" w:rsidTr="5E8F5DEE">
        <w:tc>
          <w:tcPr>
            <w:tcW w:w="714" w:type="dxa"/>
            <w:tcBorders>
              <w:top w:val="single" w:sz="2" w:space="0" w:color="auto"/>
              <w:bottom w:val="single" w:sz="2" w:space="0" w:color="auto"/>
            </w:tcBorders>
            <w:shd w:val="clear" w:color="auto" w:fill="auto"/>
          </w:tcPr>
          <w:p w14:paraId="2D53E6BB" w14:textId="77777777" w:rsidR="00A2410D" w:rsidRPr="00B148F8"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06C758F2" w14:textId="47B35D22" w:rsidR="00A2410D" w:rsidRPr="00B148F8" w:rsidRDefault="005741A6" w:rsidP="00A2410D">
            <w:pPr>
              <w:pStyle w:val="Tabletext"/>
            </w:pPr>
            <w:r w:rsidRPr="00B148F8">
              <w:t xml:space="preserve">Licences and certificates for </w:t>
            </w:r>
            <w:r w:rsidR="00CC39B6" w:rsidRPr="00B148F8">
              <w:t xml:space="preserve">mechanical services and </w:t>
            </w:r>
            <w:r w:rsidRPr="00B148F8">
              <w:t>m</w:t>
            </w:r>
            <w:r w:rsidR="008A0909" w:rsidRPr="00B148F8">
              <w:t>edical gas</w:t>
            </w:r>
            <w:r w:rsidR="00CC39B6" w:rsidRPr="00B148F8">
              <w:t xml:space="preserve"> work, </w:t>
            </w:r>
            <w:r w:rsidR="00B36FFC" w:rsidRPr="00B148F8">
              <w:t>medical gas technician work, medical gas fitting</w:t>
            </w:r>
            <w:r w:rsidR="00CF5F71" w:rsidRPr="00B148F8">
              <w:t xml:space="preserve"> </w:t>
            </w:r>
            <w:r w:rsidR="00C04E4A" w:rsidRPr="00B148F8">
              <w:t xml:space="preserve">work </w:t>
            </w:r>
            <w:r w:rsidR="00CF5F71" w:rsidRPr="00B148F8">
              <w:t>under</w:t>
            </w:r>
            <w:r w:rsidR="00E85206">
              <w:t xml:space="preserve"> the</w:t>
            </w:r>
            <w:r w:rsidR="00CF5F71" w:rsidRPr="00B148F8">
              <w:t xml:space="preserve"> </w:t>
            </w:r>
            <w:r w:rsidR="00CF5F71" w:rsidRPr="00B148F8">
              <w:rPr>
                <w:i/>
                <w:iCs/>
              </w:rPr>
              <w:t>Home Building Act 1989</w:t>
            </w:r>
            <w:r w:rsidR="00A72222" w:rsidRPr="00B148F8">
              <w:t xml:space="preserve"> </w:t>
            </w:r>
            <w:r w:rsidR="008E2DA7" w:rsidRPr="00B148F8">
              <w:t>(NSW)</w:t>
            </w:r>
          </w:p>
        </w:tc>
        <w:tc>
          <w:tcPr>
            <w:tcW w:w="3799" w:type="dxa"/>
            <w:tcBorders>
              <w:top w:val="single" w:sz="2" w:space="0" w:color="auto"/>
              <w:bottom w:val="single" w:sz="2" w:space="0" w:color="auto"/>
            </w:tcBorders>
            <w:shd w:val="clear" w:color="auto" w:fill="auto"/>
          </w:tcPr>
          <w:p w14:paraId="59E3D42F" w14:textId="71C6DF06" w:rsidR="00A2410D" w:rsidRPr="00B148F8" w:rsidRDefault="00DF35F3" w:rsidP="00A2410D">
            <w:pPr>
              <w:pStyle w:val="Tabletext"/>
            </w:pPr>
            <w:r w:rsidRPr="00B148F8">
              <w:t>S</w:t>
            </w:r>
            <w:r w:rsidR="0045649D" w:rsidRPr="00B148F8">
              <w:t xml:space="preserve">ignificant risk to consumers </w:t>
            </w:r>
            <w:r w:rsidR="00660306" w:rsidRPr="00B148F8">
              <w:t xml:space="preserve">and </w:t>
            </w:r>
            <w:r w:rsidR="009E2BCA">
              <w:t xml:space="preserve">the </w:t>
            </w:r>
            <w:r w:rsidRPr="00B148F8">
              <w:t xml:space="preserve">health and safety of the </w:t>
            </w:r>
            <w:r w:rsidR="00660306" w:rsidRPr="00B148F8">
              <w:t>public.</w:t>
            </w:r>
          </w:p>
          <w:p w14:paraId="28ABFA8E" w14:textId="3DDAD174" w:rsidR="00B751B5" w:rsidRPr="00B148F8" w:rsidRDefault="00B751B5" w:rsidP="00F12554">
            <w:pPr>
              <w:pStyle w:val="Tabletext"/>
            </w:pPr>
            <w:r w:rsidRPr="00B148F8">
              <w:t>The risks of improper medical gas work</w:t>
            </w:r>
            <w:r w:rsidR="00C04E4A" w:rsidRPr="00B148F8">
              <w:t xml:space="preserve"> can lead to loss of life</w:t>
            </w:r>
            <w:r w:rsidR="00F12554" w:rsidRPr="00B148F8">
              <w:t xml:space="preserve">. </w:t>
            </w:r>
            <w:r w:rsidRPr="00B148F8">
              <w:t>A new framework for medical gas w</w:t>
            </w:r>
            <w:r w:rsidR="009C42B2" w:rsidRPr="00B148F8">
              <w:t>as</w:t>
            </w:r>
            <w:r w:rsidRPr="00B148F8">
              <w:t xml:space="preserve"> implemented </w:t>
            </w:r>
            <w:r w:rsidR="000E037B" w:rsidRPr="00B148F8">
              <w:t xml:space="preserve">in New South Wales </w:t>
            </w:r>
            <w:r w:rsidRPr="00B148F8">
              <w:t>to ensure that medical gas work is done to a high standard and safe</w:t>
            </w:r>
            <w:r w:rsidR="00F12554" w:rsidRPr="00B148F8">
              <w:t>t</w:t>
            </w:r>
            <w:r w:rsidRPr="00B148F8">
              <w:t xml:space="preserve">y. Interstate </w:t>
            </w:r>
            <w:r w:rsidRPr="00B148F8">
              <w:lastRenderedPageBreak/>
              <w:t xml:space="preserve">licence holders would not have the relevant expertise to work in </w:t>
            </w:r>
            <w:r w:rsidR="00DA5A2E" w:rsidRPr="00B148F8">
              <w:t>New South Wales.</w:t>
            </w:r>
          </w:p>
        </w:tc>
      </w:tr>
      <w:tr w:rsidR="00A2410D" w:rsidRPr="00B148F8" w14:paraId="05D5D584" w14:textId="77777777" w:rsidTr="5E8F5DEE">
        <w:tc>
          <w:tcPr>
            <w:tcW w:w="714" w:type="dxa"/>
            <w:tcBorders>
              <w:top w:val="single" w:sz="2" w:space="0" w:color="auto"/>
              <w:bottom w:val="single" w:sz="2" w:space="0" w:color="auto"/>
            </w:tcBorders>
            <w:shd w:val="clear" w:color="auto" w:fill="auto"/>
          </w:tcPr>
          <w:p w14:paraId="7327F818" w14:textId="77777777" w:rsidR="00A2410D" w:rsidRPr="00B148F8"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5F65B6C4" w14:textId="295E12B5" w:rsidR="00A2410D" w:rsidRPr="00B148F8" w:rsidRDefault="00E0614A" w:rsidP="00A2410D">
            <w:pPr>
              <w:pStyle w:val="Tabletext"/>
            </w:pPr>
            <w:r>
              <w:t>Practising certificate required</w:t>
            </w:r>
            <w:r w:rsidR="008E3658" w:rsidRPr="00B148F8">
              <w:t xml:space="preserve"> </w:t>
            </w:r>
            <w:r w:rsidR="0092237B" w:rsidRPr="00B148F8">
              <w:t xml:space="preserve">under Schedule </w:t>
            </w:r>
            <w:r w:rsidR="00447C9E" w:rsidRPr="00B148F8">
              <w:t>10</w:t>
            </w:r>
            <w:r w:rsidR="0026600A" w:rsidRPr="00B148F8">
              <w:t xml:space="preserve"> (</w:t>
            </w:r>
            <w:r w:rsidR="0026600A" w:rsidRPr="00B148F8">
              <w:rPr>
                <w:i/>
                <w:iCs/>
              </w:rPr>
              <w:t>Statutory functions at mines</w:t>
            </w:r>
            <w:r w:rsidR="0026600A" w:rsidRPr="00B148F8">
              <w:t>)</w:t>
            </w:r>
            <w:r w:rsidR="00447C9E" w:rsidRPr="00B148F8">
              <w:t xml:space="preserve"> of the </w:t>
            </w:r>
            <w:r w:rsidR="00447C9E" w:rsidRPr="00B148F8">
              <w:rPr>
                <w:i/>
                <w:iCs/>
              </w:rPr>
              <w:t>Work Health and Safety (Mines and Petroleum Sites) Regulation 20</w:t>
            </w:r>
            <w:r w:rsidR="00FB0CCC">
              <w:rPr>
                <w:i/>
                <w:iCs/>
              </w:rPr>
              <w:t>22</w:t>
            </w:r>
            <w:r w:rsidR="008E2DA7" w:rsidRPr="00B148F8">
              <w:rPr>
                <w:i/>
                <w:iCs/>
              </w:rPr>
              <w:t xml:space="preserve"> </w:t>
            </w:r>
            <w:r w:rsidR="008E2DA7" w:rsidRPr="00B148F8">
              <w:t>(NSW)</w:t>
            </w:r>
          </w:p>
        </w:tc>
        <w:tc>
          <w:tcPr>
            <w:tcW w:w="3799" w:type="dxa"/>
            <w:tcBorders>
              <w:top w:val="single" w:sz="2" w:space="0" w:color="auto"/>
              <w:bottom w:val="single" w:sz="2" w:space="0" w:color="auto"/>
            </w:tcBorders>
            <w:shd w:val="clear" w:color="auto" w:fill="auto"/>
          </w:tcPr>
          <w:p w14:paraId="5C88D532" w14:textId="4264E2BD" w:rsidR="008E3658" w:rsidRPr="00B148F8" w:rsidRDefault="008E3658" w:rsidP="004A2364">
            <w:pPr>
              <w:pStyle w:val="Tabletext"/>
            </w:pPr>
            <w:r w:rsidRPr="00B148F8">
              <w:t xml:space="preserve">Significant risk to </w:t>
            </w:r>
            <w:r w:rsidR="00F34952">
              <w:t xml:space="preserve">the </w:t>
            </w:r>
            <w:r w:rsidR="005843EE" w:rsidRPr="00B148F8">
              <w:t xml:space="preserve">health and safety of workers and the public. </w:t>
            </w:r>
          </w:p>
          <w:p w14:paraId="5C215564" w14:textId="190076EF" w:rsidR="00A2410D" w:rsidRPr="00B148F8" w:rsidRDefault="000F7A85" w:rsidP="004A2364">
            <w:pPr>
              <w:pStyle w:val="Tabletext"/>
            </w:pPr>
            <w:r w:rsidRPr="00B148F8">
              <w:t xml:space="preserve">It is important for all </w:t>
            </w:r>
            <w:r w:rsidR="006B61CA">
              <w:t>practising certificate holders</w:t>
            </w:r>
            <w:r w:rsidR="006B61CA" w:rsidRPr="00B148F8">
              <w:t xml:space="preserve"> </w:t>
            </w:r>
            <w:r w:rsidRPr="00B148F8">
              <w:t>to</w:t>
            </w:r>
            <w:r w:rsidR="004A2364" w:rsidRPr="00B148F8">
              <w:t xml:space="preserve"> undertake maintenance of competence requirements</w:t>
            </w:r>
            <w:r w:rsidR="00D271EB" w:rsidRPr="00B148F8">
              <w:t xml:space="preserve"> specific to NSW mines</w:t>
            </w:r>
            <w:r w:rsidR="00E36296" w:rsidRPr="00B148F8">
              <w:t xml:space="preserve"> to ensure the safety</w:t>
            </w:r>
            <w:r w:rsidR="006B61CA">
              <w:t xml:space="preserve"> and health</w:t>
            </w:r>
            <w:r w:rsidR="00E36296" w:rsidRPr="00B148F8">
              <w:t xml:space="preserve"> of workers</w:t>
            </w:r>
            <w:r w:rsidR="006B61CA">
              <w:t xml:space="preserve"> and the public</w:t>
            </w:r>
            <w:r w:rsidR="00E36296" w:rsidRPr="00B148F8">
              <w:t>.</w:t>
            </w:r>
            <w:r w:rsidR="004A2364" w:rsidRPr="00B148F8">
              <w:t xml:space="preserve"> </w:t>
            </w:r>
          </w:p>
        </w:tc>
      </w:tr>
      <w:tr w:rsidR="00A2410D" w:rsidRPr="00B148F8" w14:paraId="5FDB9DFC" w14:textId="77777777" w:rsidTr="5E8F5DEE">
        <w:tc>
          <w:tcPr>
            <w:tcW w:w="714" w:type="dxa"/>
            <w:tcBorders>
              <w:top w:val="single" w:sz="2" w:space="0" w:color="auto"/>
              <w:bottom w:val="single" w:sz="2" w:space="0" w:color="auto"/>
            </w:tcBorders>
            <w:shd w:val="clear" w:color="auto" w:fill="auto"/>
          </w:tcPr>
          <w:p w14:paraId="776CE9EA" w14:textId="77777777" w:rsidR="00A2410D" w:rsidRPr="00B148F8"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2856A25B" w14:textId="2904DD90" w:rsidR="00A2410D" w:rsidRPr="00B148F8" w:rsidRDefault="00A72222" w:rsidP="00A2410D">
            <w:pPr>
              <w:pStyle w:val="Tabletext"/>
            </w:pPr>
            <w:r w:rsidRPr="00B148F8">
              <w:t xml:space="preserve">Surveyor – Mining </w:t>
            </w:r>
            <w:r w:rsidR="0092237B" w:rsidRPr="00B148F8">
              <w:t xml:space="preserve">under </w:t>
            </w:r>
            <w:r w:rsidR="00E85206">
              <w:t xml:space="preserve">the </w:t>
            </w:r>
            <w:r w:rsidR="0092237B" w:rsidRPr="00B148F8">
              <w:rPr>
                <w:i/>
                <w:iCs/>
              </w:rPr>
              <w:t>Surveying and Spatial Information Act 2002</w:t>
            </w:r>
            <w:r w:rsidR="008E2DA7" w:rsidRPr="00B148F8">
              <w:rPr>
                <w:i/>
                <w:iCs/>
              </w:rPr>
              <w:t xml:space="preserve"> </w:t>
            </w:r>
            <w:r w:rsidR="008E2DA7" w:rsidRPr="00B148F8">
              <w:t>(NSW)</w:t>
            </w:r>
          </w:p>
        </w:tc>
        <w:tc>
          <w:tcPr>
            <w:tcW w:w="3799" w:type="dxa"/>
            <w:tcBorders>
              <w:top w:val="single" w:sz="2" w:space="0" w:color="auto"/>
              <w:bottom w:val="single" w:sz="2" w:space="0" w:color="auto"/>
            </w:tcBorders>
            <w:shd w:val="clear" w:color="auto" w:fill="auto"/>
          </w:tcPr>
          <w:p w14:paraId="5277C94A" w14:textId="736DDC17" w:rsidR="00D2170B" w:rsidRPr="00B148F8" w:rsidRDefault="009C7488" w:rsidP="004A2364">
            <w:pPr>
              <w:pStyle w:val="Tabletext"/>
            </w:pPr>
            <w:r w:rsidRPr="00B148F8">
              <w:t>S</w:t>
            </w:r>
            <w:r w:rsidR="00D2170B" w:rsidRPr="00B148F8">
              <w:t>ignificant health and safety risk for mining surveyors working in underground coal mines.</w:t>
            </w:r>
          </w:p>
          <w:p w14:paraId="1E9F49B6" w14:textId="7CEC2F6D" w:rsidR="00A2410D" w:rsidRPr="00B148F8" w:rsidRDefault="009C7488" w:rsidP="00A2410D">
            <w:pPr>
              <w:pStyle w:val="Tabletext"/>
            </w:pPr>
            <w:r w:rsidRPr="00B148F8">
              <w:t>The a</w:t>
            </w:r>
            <w:r w:rsidR="00D2170B" w:rsidRPr="00B148F8">
              <w:t xml:space="preserve">ssessments of mine surveyors for underground work are not done to the same standards in other jurisdictions. </w:t>
            </w:r>
          </w:p>
        </w:tc>
      </w:tr>
      <w:tr w:rsidR="00A2410D" w:rsidRPr="00B148F8" w14:paraId="6AB65066" w14:textId="77777777" w:rsidTr="5E8F5DEE">
        <w:tc>
          <w:tcPr>
            <w:tcW w:w="714" w:type="dxa"/>
            <w:tcBorders>
              <w:top w:val="single" w:sz="2" w:space="0" w:color="auto"/>
              <w:bottom w:val="single" w:sz="2" w:space="0" w:color="auto"/>
            </w:tcBorders>
            <w:shd w:val="clear" w:color="auto" w:fill="auto"/>
          </w:tcPr>
          <w:p w14:paraId="0748C8B5" w14:textId="77777777" w:rsidR="00A2410D" w:rsidRPr="00B148F8" w:rsidRDefault="00A2410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0E487A69" w14:textId="21473D89" w:rsidR="00A2410D" w:rsidRPr="00B148F8" w:rsidRDefault="00DA12C3" w:rsidP="00A2410D">
            <w:pPr>
              <w:pStyle w:val="Tabletext"/>
            </w:pPr>
            <w:r>
              <w:t>Licen</w:t>
            </w:r>
            <w:r w:rsidR="007A2113">
              <w:t>ces</w:t>
            </w:r>
            <w:r w:rsidR="00B15E72" w:rsidRPr="00B148F8">
              <w:t xml:space="preserve"> under </w:t>
            </w:r>
            <w:r w:rsidR="00E85206">
              <w:t xml:space="preserve">the </w:t>
            </w:r>
            <w:r w:rsidR="00B15E72" w:rsidRPr="00B148F8">
              <w:rPr>
                <w:i/>
                <w:iCs/>
              </w:rPr>
              <w:t>Tattoo Parlour</w:t>
            </w:r>
            <w:r w:rsidR="00301C24" w:rsidRPr="00B148F8">
              <w:rPr>
                <w:i/>
                <w:iCs/>
              </w:rPr>
              <w:t>s Act 2012</w:t>
            </w:r>
            <w:r w:rsidR="008E2DA7" w:rsidRPr="00B148F8">
              <w:rPr>
                <w:i/>
                <w:iCs/>
              </w:rPr>
              <w:t xml:space="preserve"> </w:t>
            </w:r>
            <w:r w:rsidR="008E2DA7" w:rsidRPr="00B148F8">
              <w:t>(NSW)</w:t>
            </w:r>
          </w:p>
        </w:tc>
        <w:tc>
          <w:tcPr>
            <w:tcW w:w="3799" w:type="dxa"/>
            <w:tcBorders>
              <w:top w:val="single" w:sz="2" w:space="0" w:color="auto"/>
              <w:bottom w:val="single" w:sz="2" w:space="0" w:color="auto"/>
            </w:tcBorders>
            <w:shd w:val="clear" w:color="auto" w:fill="auto"/>
          </w:tcPr>
          <w:p w14:paraId="0D8CB988" w14:textId="295BA02D" w:rsidR="00A2410D" w:rsidRPr="00B148F8" w:rsidRDefault="00893641" w:rsidP="00A2410D">
            <w:pPr>
              <w:pStyle w:val="Tabletext"/>
            </w:pPr>
            <w:r w:rsidRPr="00B148F8">
              <w:t>S</w:t>
            </w:r>
            <w:r w:rsidR="00887995" w:rsidRPr="00B148F8">
              <w:t xml:space="preserve">ignificant risk to </w:t>
            </w:r>
            <w:r w:rsidR="002B107F" w:rsidRPr="00B148F8">
              <w:t xml:space="preserve">the safety of the public </w:t>
            </w:r>
            <w:r w:rsidR="009F412C" w:rsidRPr="00B148F8">
              <w:t xml:space="preserve">as the NSW Police </w:t>
            </w:r>
            <w:r w:rsidR="006A5A82" w:rsidRPr="00B148F8">
              <w:t xml:space="preserve">Force </w:t>
            </w:r>
            <w:r w:rsidR="009F412C" w:rsidRPr="00B148F8">
              <w:t xml:space="preserve">is unable </w:t>
            </w:r>
            <w:r w:rsidR="003A1523" w:rsidRPr="00B148F8">
              <w:t xml:space="preserve">to </w:t>
            </w:r>
            <w:r w:rsidR="009F412C" w:rsidRPr="00B148F8">
              <w:t>conduct a probity assessment</w:t>
            </w:r>
            <w:r w:rsidR="00A744DB" w:rsidRPr="00B148F8">
              <w:t xml:space="preserve"> which </w:t>
            </w:r>
            <w:r w:rsidR="00E87C30" w:rsidRPr="00B148F8">
              <w:t xml:space="preserve">looks at previous convictions and affiliations with organised </w:t>
            </w:r>
            <w:r w:rsidR="00DE056F" w:rsidRPr="00B148F8">
              <w:t xml:space="preserve">motorcycle gangs and serious organised </w:t>
            </w:r>
            <w:r w:rsidR="00E87C30" w:rsidRPr="00B148F8">
              <w:t>crime</w:t>
            </w:r>
            <w:r w:rsidR="00DE056F" w:rsidRPr="00B148F8">
              <w:t>.</w:t>
            </w:r>
          </w:p>
        </w:tc>
      </w:tr>
      <w:tr w:rsidR="00151CFA" w:rsidRPr="00B148F8" w14:paraId="706EB71F" w14:textId="77777777" w:rsidTr="5E8F5DEE">
        <w:tc>
          <w:tcPr>
            <w:tcW w:w="714" w:type="dxa"/>
            <w:tcBorders>
              <w:top w:val="single" w:sz="2" w:space="0" w:color="auto"/>
              <w:bottom w:val="single" w:sz="2" w:space="0" w:color="auto"/>
            </w:tcBorders>
            <w:shd w:val="clear" w:color="auto" w:fill="auto"/>
          </w:tcPr>
          <w:p w14:paraId="4E2A58A6" w14:textId="77777777" w:rsidR="00151CFA" w:rsidRPr="00B148F8" w:rsidRDefault="00151CFA"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4997AC86" w14:textId="28EA1330" w:rsidR="00151CFA" w:rsidRPr="00B148F8" w:rsidRDefault="0072373A" w:rsidP="00BD6D40">
            <w:pPr>
              <w:spacing w:line="240" w:lineRule="auto"/>
              <w:textAlignment w:val="baseline"/>
              <w:rPr>
                <w:rFonts w:ascii="Segoe UI" w:hAnsi="Segoe UI" w:cs="Segoe UI"/>
                <w:sz w:val="20"/>
              </w:rPr>
            </w:pPr>
            <w:r w:rsidRPr="00B148F8">
              <w:rPr>
                <w:rFonts w:eastAsia="Times New Roman" w:cs="Times New Roman"/>
                <w:sz w:val="20"/>
                <w:lang w:eastAsia="en-AU"/>
              </w:rPr>
              <w:t>Licen</w:t>
            </w:r>
            <w:r w:rsidR="007A2113">
              <w:rPr>
                <w:rFonts w:eastAsia="Times New Roman" w:cs="Times New Roman"/>
                <w:sz w:val="20"/>
                <w:lang w:eastAsia="en-AU"/>
              </w:rPr>
              <w:t>ces</w:t>
            </w:r>
            <w:r w:rsidR="00E85206">
              <w:rPr>
                <w:rFonts w:eastAsia="Times New Roman" w:cs="Times New Roman"/>
                <w:sz w:val="20"/>
                <w:lang w:eastAsia="en-AU"/>
              </w:rPr>
              <w:t>,</w:t>
            </w:r>
            <w:r w:rsidRPr="00B148F8">
              <w:rPr>
                <w:rFonts w:eastAsia="Times New Roman" w:cs="Times New Roman"/>
                <w:sz w:val="20"/>
                <w:lang w:eastAsia="en-AU"/>
              </w:rPr>
              <w:t xml:space="preserve"> certificates, and accreditations under the </w:t>
            </w:r>
            <w:r w:rsidRPr="00B148F8">
              <w:rPr>
                <w:rFonts w:eastAsia="Times New Roman" w:cs="Times New Roman"/>
                <w:i/>
                <w:iCs/>
                <w:sz w:val="20"/>
                <w:lang w:eastAsia="en-AU"/>
              </w:rPr>
              <w:t xml:space="preserve">Property </w:t>
            </w:r>
            <w:r w:rsidR="002C4D47" w:rsidRPr="00B148F8">
              <w:rPr>
                <w:rFonts w:eastAsia="Times New Roman" w:cs="Times New Roman"/>
                <w:i/>
                <w:iCs/>
                <w:sz w:val="20"/>
                <w:lang w:eastAsia="en-AU"/>
              </w:rPr>
              <w:t>and</w:t>
            </w:r>
            <w:r w:rsidRPr="00B148F8">
              <w:rPr>
                <w:rFonts w:eastAsia="Times New Roman" w:cs="Times New Roman"/>
                <w:i/>
                <w:iCs/>
                <w:sz w:val="20"/>
                <w:lang w:eastAsia="en-AU"/>
              </w:rPr>
              <w:t xml:space="preserve"> Stock Agents Act 2002</w:t>
            </w:r>
            <w:r w:rsidRPr="00B148F8">
              <w:rPr>
                <w:rFonts w:eastAsia="Times New Roman" w:cs="Times New Roman"/>
                <w:sz w:val="20"/>
                <w:lang w:eastAsia="en-AU"/>
              </w:rPr>
              <w:t> (NSW)</w:t>
            </w:r>
          </w:p>
        </w:tc>
        <w:tc>
          <w:tcPr>
            <w:tcW w:w="3799" w:type="dxa"/>
            <w:tcBorders>
              <w:top w:val="single" w:sz="2" w:space="0" w:color="auto"/>
              <w:bottom w:val="single" w:sz="2" w:space="0" w:color="auto"/>
            </w:tcBorders>
            <w:shd w:val="clear" w:color="auto" w:fill="auto"/>
          </w:tcPr>
          <w:p w14:paraId="5AC270D0" w14:textId="02F1F54B" w:rsidR="00151CFA" w:rsidRPr="00B148F8" w:rsidRDefault="004C15FC" w:rsidP="00A2410D">
            <w:pPr>
              <w:pStyle w:val="Tabletext"/>
            </w:pPr>
            <w:r w:rsidRPr="00B148F8">
              <w:t xml:space="preserve">Significant risk to consumer protection. </w:t>
            </w:r>
            <w:r w:rsidR="001C1123" w:rsidRPr="00B148F8">
              <w:t xml:space="preserve">Currently, the regulator </w:t>
            </w:r>
            <w:r w:rsidRPr="00B148F8">
              <w:t xml:space="preserve">cannot prescribe an amount for ADR operators to contribute to the compensation funds, nor is there a means for operators to make these payments. This will mean that ADR operators are unable to comply with their obligations and </w:t>
            </w:r>
            <w:r w:rsidR="00E23F24" w:rsidRPr="00B148F8">
              <w:t>public protection requirements</w:t>
            </w:r>
            <w:r w:rsidRPr="00B148F8">
              <w:t xml:space="preserve"> will not be met.</w:t>
            </w:r>
          </w:p>
        </w:tc>
      </w:tr>
      <w:tr w:rsidR="00151CFA" w:rsidRPr="00B148F8" w14:paraId="0C794522" w14:textId="77777777" w:rsidTr="5E8F5DEE">
        <w:tc>
          <w:tcPr>
            <w:tcW w:w="714" w:type="dxa"/>
            <w:tcBorders>
              <w:top w:val="single" w:sz="2" w:space="0" w:color="auto"/>
              <w:bottom w:val="single" w:sz="2" w:space="0" w:color="auto"/>
            </w:tcBorders>
            <w:shd w:val="clear" w:color="auto" w:fill="auto"/>
          </w:tcPr>
          <w:p w14:paraId="29BD7992" w14:textId="77777777" w:rsidR="00151CFA" w:rsidRPr="00B148F8" w:rsidRDefault="00151CFA"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1EDDFEB9" w14:textId="36EED98D" w:rsidR="0072373A" w:rsidRPr="00B148F8" w:rsidRDefault="0072373A" w:rsidP="0072373A">
            <w:pPr>
              <w:spacing w:line="240" w:lineRule="auto"/>
              <w:textAlignment w:val="baseline"/>
              <w:rPr>
                <w:rFonts w:ascii="Segoe UI" w:hAnsi="Segoe UI" w:cs="Segoe UI"/>
                <w:sz w:val="20"/>
              </w:rPr>
            </w:pPr>
            <w:r w:rsidRPr="00B148F8">
              <w:rPr>
                <w:rFonts w:eastAsia="Times New Roman" w:cs="Times New Roman"/>
                <w:sz w:val="20"/>
                <w:lang w:eastAsia="en-AU"/>
              </w:rPr>
              <w:t>Licen</w:t>
            </w:r>
            <w:r w:rsidR="006E7775">
              <w:rPr>
                <w:rFonts w:eastAsia="Times New Roman" w:cs="Times New Roman"/>
                <w:sz w:val="20"/>
                <w:lang w:eastAsia="en-AU"/>
              </w:rPr>
              <w:t>ces</w:t>
            </w:r>
            <w:r w:rsidRPr="00B148F8">
              <w:rPr>
                <w:rFonts w:eastAsia="Times New Roman" w:cs="Times New Roman"/>
                <w:sz w:val="20"/>
                <w:lang w:eastAsia="en-AU"/>
              </w:rPr>
              <w:t xml:space="preserve"> and certificates under the </w:t>
            </w:r>
            <w:r w:rsidRPr="00B148F8">
              <w:rPr>
                <w:rFonts w:eastAsia="Times New Roman" w:cs="Times New Roman"/>
                <w:i/>
                <w:iCs/>
                <w:sz w:val="20"/>
                <w:lang w:eastAsia="en-AU"/>
              </w:rPr>
              <w:t>Motor Dealers and Repairers Act 2013</w:t>
            </w:r>
            <w:r w:rsidRPr="00B148F8">
              <w:rPr>
                <w:rFonts w:eastAsia="Times New Roman" w:cs="Times New Roman"/>
                <w:sz w:val="20"/>
                <w:lang w:eastAsia="en-AU"/>
              </w:rPr>
              <w:t> (NSW)</w:t>
            </w:r>
          </w:p>
          <w:p w14:paraId="64ED90A2" w14:textId="77777777" w:rsidR="00151CFA" w:rsidRPr="00B148F8" w:rsidRDefault="00151CFA" w:rsidP="00A2410D">
            <w:pPr>
              <w:pStyle w:val="Tabletext"/>
            </w:pPr>
          </w:p>
        </w:tc>
        <w:tc>
          <w:tcPr>
            <w:tcW w:w="3799" w:type="dxa"/>
            <w:tcBorders>
              <w:top w:val="single" w:sz="2" w:space="0" w:color="auto"/>
              <w:bottom w:val="single" w:sz="2" w:space="0" w:color="auto"/>
            </w:tcBorders>
            <w:shd w:val="clear" w:color="auto" w:fill="auto"/>
          </w:tcPr>
          <w:p w14:paraId="08D27258" w14:textId="79B0D08E" w:rsidR="00151CFA" w:rsidRPr="00B148F8" w:rsidRDefault="004C15FC" w:rsidP="00A2410D">
            <w:pPr>
              <w:pStyle w:val="Tabletext"/>
            </w:pPr>
            <w:r w:rsidRPr="00B148F8">
              <w:t xml:space="preserve">Significant risk to consumer protection. Currently, </w:t>
            </w:r>
            <w:r w:rsidR="001C1123" w:rsidRPr="00B148F8">
              <w:t>the regulator</w:t>
            </w:r>
            <w:r w:rsidRPr="00B148F8">
              <w:t xml:space="preserve"> cannot prescribe an amount for ADR operators to contribute to the compensation funds, nor is there a means for operators to make these payments. This will mean that ADR operators are unable to comply with their obligations and </w:t>
            </w:r>
            <w:r w:rsidR="00E23F24" w:rsidRPr="00B148F8">
              <w:t>public protection requirements</w:t>
            </w:r>
            <w:r w:rsidRPr="00B148F8">
              <w:t xml:space="preserve"> will not be met.</w:t>
            </w:r>
          </w:p>
        </w:tc>
      </w:tr>
      <w:tr w:rsidR="00BA042C" w:rsidRPr="00B148F8" w14:paraId="60A07691" w14:textId="77777777" w:rsidTr="5E8F5DEE">
        <w:tc>
          <w:tcPr>
            <w:tcW w:w="714" w:type="dxa"/>
            <w:tcBorders>
              <w:top w:val="single" w:sz="2" w:space="0" w:color="auto"/>
              <w:bottom w:val="single" w:sz="2" w:space="0" w:color="auto"/>
            </w:tcBorders>
            <w:shd w:val="clear" w:color="auto" w:fill="auto"/>
          </w:tcPr>
          <w:p w14:paraId="5393E98F" w14:textId="77777777" w:rsidR="00BA042C" w:rsidRPr="00B148F8" w:rsidRDefault="00BA042C"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6C73EC09" w14:textId="5F83B1B3" w:rsidR="00BA042C" w:rsidRPr="00B148F8" w:rsidRDefault="00BB3647" w:rsidP="0072373A">
            <w:pPr>
              <w:spacing w:line="240" w:lineRule="auto"/>
              <w:textAlignment w:val="baseline"/>
              <w:rPr>
                <w:rFonts w:eastAsia="Times New Roman" w:cs="Times New Roman"/>
                <w:sz w:val="20"/>
                <w:lang w:eastAsia="en-AU"/>
              </w:rPr>
            </w:pPr>
            <w:r w:rsidRPr="00B148F8">
              <w:rPr>
                <w:rFonts w:eastAsia="Times New Roman" w:cs="Times New Roman"/>
                <w:sz w:val="20"/>
                <w:lang w:eastAsia="en-AU"/>
              </w:rPr>
              <w:t>Licen</w:t>
            </w:r>
            <w:r w:rsidR="006E7775">
              <w:rPr>
                <w:rFonts w:eastAsia="Times New Roman" w:cs="Times New Roman"/>
                <w:sz w:val="20"/>
                <w:lang w:eastAsia="en-AU"/>
              </w:rPr>
              <w:t>ces</w:t>
            </w:r>
            <w:r w:rsidRPr="00B148F8">
              <w:rPr>
                <w:rFonts w:eastAsia="Times New Roman" w:cs="Times New Roman"/>
                <w:sz w:val="20"/>
                <w:lang w:eastAsia="en-AU"/>
              </w:rPr>
              <w:t xml:space="preserve"> under the </w:t>
            </w:r>
            <w:r w:rsidRPr="00B148F8">
              <w:rPr>
                <w:rFonts w:eastAsia="Times New Roman" w:cs="Times New Roman"/>
                <w:i/>
                <w:iCs/>
                <w:sz w:val="20"/>
                <w:lang w:eastAsia="en-AU"/>
              </w:rPr>
              <w:t xml:space="preserve">Conveyancers Licensing Act 2003 </w:t>
            </w:r>
            <w:r w:rsidRPr="00B148F8">
              <w:rPr>
                <w:rFonts w:eastAsia="Times New Roman" w:cs="Times New Roman"/>
                <w:sz w:val="20"/>
                <w:lang w:eastAsia="en-AU"/>
              </w:rPr>
              <w:t>(NSW)</w:t>
            </w:r>
          </w:p>
        </w:tc>
        <w:tc>
          <w:tcPr>
            <w:tcW w:w="3799" w:type="dxa"/>
            <w:tcBorders>
              <w:top w:val="single" w:sz="2" w:space="0" w:color="auto"/>
              <w:bottom w:val="single" w:sz="2" w:space="0" w:color="auto"/>
            </w:tcBorders>
            <w:shd w:val="clear" w:color="auto" w:fill="auto"/>
          </w:tcPr>
          <w:p w14:paraId="36331459" w14:textId="639F9101" w:rsidR="00BA042C" w:rsidRPr="00B148F8" w:rsidRDefault="00995598" w:rsidP="00A2410D">
            <w:pPr>
              <w:pStyle w:val="Tabletext"/>
            </w:pPr>
            <w:r w:rsidRPr="00B148F8">
              <w:t xml:space="preserve">Significant risk to consumer protection. Conveyancers’ compensation fund contributions are set by referral to the </w:t>
            </w:r>
            <w:r w:rsidRPr="00B148F8">
              <w:rPr>
                <w:i/>
                <w:iCs/>
              </w:rPr>
              <w:t>Property &amp; Stock Agents Act 2002</w:t>
            </w:r>
            <w:r w:rsidRPr="00B148F8">
              <w:t xml:space="preserve"> (NSW). Currently, the regulator cannot prescribe an amount for ADR operators to contribute to </w:t>
            </w:r>
            <w:r w:rsidRPr="00B148F8">
              <w:lastRenderedPageBreak/>
              <w:t>the compensation funds, nor is there a means for operators to make these payments. This will mean that ADR operators are unable to comply with their obligations and public protection requirement</w:t>
            </w:r>
            <w:r w:rsidR="00C838FF">
              <w:t>s</w:t>
            </w:r>
            <w:r w:rsidRPr="00B148F8">
              <w:t xml:space="preserve"> will not be met.</w:t>
            </w:r>
          </w:p>
        </w:tc>
      </w:tr>
      <w:tr w:rsidR="00EF7A7D" w:rsidRPr="00B148F8" w14:paraId="6F12369B" w14:textId="77777777" w:rsidTr="5E8F5DEE">
        <w:tc>
          <w:tcPr>
            <w:tcW w:w="714" w:type="dxa"/>
            <w:tcBorders>
              <w:top w:val="single" w:sz="2" w:space="0" w:color="auto"/>
              <w:bottom w:val="single" w:sz="2" w:space="0" w:color="auto"/>
            </w:tcBorders>
            <w:shd w:val="clear" w:color="auto" w:fill="auto"/>
          </w:tcPr>
          <w:p w14:paraId="2AC50C24" w14:textId="77777777" w:rsidR="00EF7A7D" w:rsidRPr="00B148F8" w:rsidRDefault="00EF7A7D" w:rsidP="00A2410D">
            <w:pPr>
              <w:pStyle w:val="Tabletext"/>
              <w:numPr>
                <w:ilvl w:val="0"/>
                <w:numId w:val="14"/>
              </w:numPr>
            </w:pPr>
          </w:p>
        </w:tc>
        <w:tc>
          <w:tcPr>
            <w:tcW w:w="3799" w:type="dxa"/>
            <w:tcBorders>
              <w:top w:val="single" w:sz="2" w:space="0" w:color="auto"/>
              <w:bottom w:val="single" w:sz="2" w:space="0" w:color="auto"/>
            </w:tcBorders>
            <w:shd w:val="clear" w:color="auto" w:fill="auto"/>
          </w:tcPr>
          <w:p w14:paraId="646F8376" w14:textId="456257FF" w:rsidR="00EF7A7D" w:rsidRPr="00B148F8" w:rsidRDefault="0076360A" w:rsidP="0072373A">
            <w:pPr>
              <w:spacing w:line="240" w:lineRule="auto"/>
              <w:textAlignment w:val="baseline"/>
              <w:rPr>
                <w:rFonts w:eastAsia="Times New Roman" w:cs="Times New Roman"/>
                <w:sz w:val="20"/>
                <w:lang w:eastAsia="en-AU"/>
              </w:rPr>
            </w:pPr>
            <w:r w:rsidRPr="00B148F8">
              <w:rPr>
                <w:rFonts w:eastAsia="Times New Roman" w:cs="Times New Roman"/>
                <w:sz w:val="20"/>
                <w:lang w:eastAsia="en-AU"/>
              </w:rPr>
              <w:t xml:space="preserve">Licences and certificates for electrical wiring, air-conditioning and refrigeration work under the </w:t>
            </w:r>
            <w:r w:rsidRPr="00B148F8">
              <w:rPr>
                <w:i/>
                <w:iCs/>
                <w:sz w:val="20"/>
              </w:rPr>
              <w:t>Home Building Act 1989</w:t>
            </w:r>
            <w:r w:rsidRPr="00B148F8">
              <w:rPr>
                <w:sz w:val="20"/>
              </w:rPr>
              <w:t xml:space="preserve"> (NSW)</w:t>
            </w:r>
          </w:p>
        </w:tc>
        <w:tc>
          <w:tcPr>
            <w:tcW w:w="3799" w:type="dxa"/>
            <w:tcBorders>
              <w:top w:val="single" w:sz="2" w:space="0" w:color="auto"/>
              <w:bottom w:val="single" w:sz="2" w:space="0" w:color="auto"/>
            </w:tcBorders>
            <w:shd w:val="clear" w:color="auto" w:fill="auto"/>
          </w:tcPr>
          <w:p w14:paraId="25134386" w14:textId="42EC38A1" w:rsidR="00EF7A7D" w:rsidRPr="00B148F8" w:rsidRDefault="00852E69" w:rsidP="00A2410D">
            <w:pPr>
              <w:pStyle w:val="Tabletext"/>
            </w:pPr>
            <w:r w:rsidRPr="00B148F8">
              <w:t>Significant risk to the safety of consumers, workers, and the public. Licensing bodies and regulators will be unable to verify or validate interstate workers’ skills, knowledge and understanding against NSW standards and regulations. Failure to understand or comply with the relevant legislation can result in potential dire consequences, including equipment failure, fires, electrical shock, and death.</w:t>
            </w:r>
          </w:p>
        </w:tc>
      </w:tr>
      <w:tr w:rsidR="009B4DF3" w:rsidRPr="00B148F8" w14:paraId="68D6046F" w14:textId="77777777" w:rsidTr="5E8F5DEE">
        <w:tc>
          <w:tcPr>
            <w:tcW w:w="714" w:type="dxa"/>
            <w:tcBorders>
              <w:top w:val="single" w:sz="2" w:space="0" w:color="auto"/>
              <w:bottom w:val="single" w:sz="2" w:space="0" w:color="auto"/>
            </w:tcBorders>
            <w:shd w:val="clear" w:color="auto" w:fill="auto"/>
          </w:tcPr>
          <w:p w14:paraId="2E90E828" w14:textId="77777777" w:rsidR="009B4DF3" w:rsidRPr="00B148F8" w:rsidRDefault="009B4DF3" w:rsidP="009B4DF3">
            <w:pPr>
              <w:pStyle w:val="Tabletext"/>
              <w:numPr>
                <w:ilvl w:val="0"/>
                <w:numId w:val="14"/>
              </w:numPr>
            </w:pPr>
          </w:p>
        </w:tc>
        <w:tc>
          <w:tcPr>
            <w:tcW w:w="3799" w:type="dxa"/>
            <w:tcBorders>
              <w:top w:val="single" w:sz="2" w:space="0" w:color="auto"/>
              <w:bottom w:val="single" w:sz="2" w:space="0" w:color="auto"/>
            </w:tcBorders>
            <w:shd w:val="clear" w:color="auto" w:fill="auto"/>
          </w:tcPr>
          <w:p w14:paraId="082707B9" w14:textId="152F4B6C" w:rsidR="009B4DF3" w:rsidRPr="00B148F8" w:rsidRDefault="009B4DF3" w:rsidP="009B4DF3">
            <w:pPr>
              <w:spacing w:line="240" w:lineRule="auto"/>
              <w:textAlignment w:val="baseline"/>
              <w:rPr>
                <w:rFonts w:eastAsia="Times New Roman" w:cs="Times New Roman"/>
                <w:sz w:val="20"/>
                <w:lang w:eastAsia="en-AU"/>
              </w:rPr>
            </w:pPr>
            <w:r w:rsidRPr="005D14AC">
              <w:rPr>
                <w:rFonts w:eastAsia="Times New Roman" w:cs="Times New Roman"/>
                <w:sz w:val="20"/>
                <w:lang w:eastAsia="en-AU"/>
              </w:rPr>
              <w:t xml:space="preserve">Registration under the </w:t>
            </w:r>
            <w:r w:rsidRPr="005D14AC">
              <w:rPr>
                <w:rFonts w:eastAsia="Times New Roman" w:cs="Times New Roman"/>
                <w:i/>
                <w:iCs/>
                <w:sz w:val="20"/>
                <w:lang w:eastAsia="en-AU"/>
              </w:rPr>
              <w:t xml:space="preserve">Combat Sports Act 2013 </w:t>
            </w:r>
            <w:r w:rsidRPr="006D0B54">
              <w:rPr>
                <w:rFonts w:eastAsia="Times New Roman" w:cs="Times New Roman"/>
                <w:sz w:val="20"/>
                <w:lang w:eastAsia="en-AU"/>
              </w:rPr>
              <w:t>(NSW)</w:t>
            </w:r>
          </w:p>
        </w:tc>
        <w:tc>
          <w:tcPr>
            <w:tcW w:w="3799" w:type="dxa"/>
            <w:tcBorders>
              <w:top w:val="single" w:sz="2" w:space="0" w:color="auto"/>
              <w:bottom w:val="single" w:sz="2" w:space="0" w:color="auto"/>
            </w:tcBorders>
            <w:shd w:val="clear" w:color="auto" w:fill="auto"/>
          </w:tcPr>
          <w:p w14:paraId="526D36D7" w14:textId="77777777" w:rsidR="009B4DF3" w:rsidRDefault="009B4DF3" w:rsidP="006D0B54">
            <w:pPr>
              <w:spacing w:line="240" w:lineRule="auto"/>
              <w:textAlignment w:val="baseline"/>
              <w:rPr>
                <w:rFonts w:eastAsia="Times New Roman" w:cs="Times New Roman"/>
                <w:i/>
                <w:iCs/>
                <w:sz w:val="20"/>
                <w:lang w:eastAsia="en-AU"/>
              </w:rPr>
            </w:pPr>
            <w:r w:rsidRPr="0031479D">
              <w:rPr>
                <w:rFonts w:eastAsia="Times New Roman" w:cs="Times New Roman"/>
                <w:sz w:val="20"/>
                <w:lang w:eastAsia="en-AU"/>
              </w:rPr>
              <w:t>Significant risk</w:t>
            </w:r>
            <w:r>
              <w:rPr>
                <w:rFonts w:eastAsia="Times New Roman" w:cs="Times New Roman"/>
                <w:sz w:val="20"/>
                <w:lang w:eastAsia="en-AU"/>
              </w:rPr>
              <w:t>s</w:t>
            </w:r>
            <w:r w:rsidRPr="0031479D">
              <w:rPr>
                <w:rFonts w:eastAsia="Times New Roman" w:cs="Times New Roman"/>
                <w:sz w:val="20"/>
                <w:lang w:eastAsia="en-AU"/>
              </w:rPr>
              <w:t xml:space="preserve"> </w:t>
            </w:r>
            <w:r>
              <w:rPr>
                <w:rFonts w:eastAsia="Times New Roman" w:cs="Times New Roman"/>
                <w:sz w:val="20"/>
                <w:lang w:eastAsia="en-AU"/>
              </w:rPr>
              <w:t xml:space="preserve">to </w:t>
            </w:r>
            <w:r w:rsidRPr="0031479D">
              <w:rPr>
                <w:rFonts w:eastAsia="Times New Roman" w:cs="Times New Roman"/>
                <w:sz w:val="20"/>
                <w:lang w:eastAsia="en-AU"/>
              </w:rPr>
              <w:t xml:space="preserve">consumer protection, </w:t>
            </w:r>
            <w:r>
              <w:rPr>
                <w:rFonts w:eastAsia="Times New Roman" w:cs="Times New Roman"/>
                <w:sz w:val="20"/>
                <w:lang w:eastAsia="en-AU"/>
              </w:rPr>
              <w:t xml:space="preserve">combatant </w:t>
            </w:r>
            <w:r w:rsidRPr="0031479D">
              <w:rPr>
                <w:rFonts w:eastAsia="Times New Roman" w:cs="Times New Roman"/>
                <w:sz w:val="20"/>
                <w:lang w:eastAsia="en-AU"/>
              </w:rPr>
              <w:t>health and safety</w:t>
            </w:r>
            <w:r>
              <w:rPr>
                <w:rFonts w:eastAsia="Times New Roman" w:cs="Times New Roman"/>
                <w:sz w:val="20"/>
                <w:lang w:eastAsia="en-AU"/>
              </w:rPr>
              <w:t xml:space="preserve">, and </w:t>
            </w:r>
            <w:r w:rsidRPr="0031479D">
              <w:rPr>
                <w:rFonts w:eastAsia="Times New Roman" w:cs="Times New Roman"/>
                <w:sz w:val="20"/>
                <w:lang w:eastAsia="en-AU"/>
              </w:rPr>
              <w:t>public safety</w:t>
            </w:r>
            <w:r w:rsidRPr="005D14AC">
              <w:rPr>
                <w:rFonts w:eastAsia="Times New Roman" w:cs="Times New Roman"/>
                <w:i/>
                <w:iCs/>
                <w:sz w:val="20"/>
                <w:lang w:eastAsia="en-AU"/>
              </w:rPr>
              <w:t xml:space="preserve">.  </w:t>
            </w:r>
          </w:p>
          <w:p w14:paraId="5C5FF8BB" w14:textId="42DDB052" w:rsidR="009B4DF3" w:rsidRPr="00B148F8" w:rsidRDefault="009B4DF3" w:rsidP="009B4DF3">
            <w:pPr>
              <w:pStyle w:val="Tabletext"/>
            </w:pPr>
            <w:r>
              <w:t xml:space="preserve">The </w:t>
            </w:r>
            <w:r w:rsidRPr="0031479D">
              <w:t xml:space="preserve">Combat Sports Authority </w:t>
            </w:r>
            <w:r>
              <w:t>(NSW)</w:t>
            </w:r>
            <w:r w:rsidRPr="0031479D">
              <w:t xml:space="preserve"> and </w:t>
            </w:r>
            <w:r>
              <w:t xml:space="preserve">the </w:t>
            </w:r>
            <w:r w:rsidRPr="0031479D">
              <w:t>NSW Police Force</w:t>
            </w:r>
            <w:r>
              <w:t xml:space="preserve"> would have reduced ability to </w:t>
            </w:r>
            <w:r w:rsidRPr="00F21856">
              <w:t xml:space="preserve">properly supervise and regulate </w:t>
            </w:r>
            <w:r>
              <w:t>c</w:t>
            </w:r>
            <w:r w:rsidRPr="00F21856">
              <w:t xml:space="preserve">ombat </w:t>
            </w:r>
            <w:r>
              <w:t>s</w:t>
            </w:r>
            <w:r w:rsidRPr="00F21856">
              <w:t>port industry activity in NSW</w:t>
            </w:r>
            <w:r>
              <w:t xml:space="preserve"> through </w:t>
            </w:r>
            <w:r w:rsidRPr="00F21856">
              <w:t>combatant and industry participant probity assessments</w:t>
            </w:r>
            <w:r>
              <w:t>. This could pose a health and safety risk to combatants, and damage public perceptions of the field’s integrity and increase the likelihood of organised crime infiltration.</w:t>
            </w:r>
          </w:p>
        </w:tc>
      </w:tr>
      <w:tr w:rsidR="00B97BBA" w:rsidRPr="00B148F8" w14:paraId="1A9F8AE3" w14:textId="77777777" w:rsidTr="5E8F5DEE">
        <w:tc>
          <w:tcPr>
            <w:tcW w:w="714" w:type="dxa"/>
            <w:tcBorders>
              <w:top w:val="single" w:sz="2" w:space="0" w:color="auto"/>
              <w:bottom w:val="single" w:sz="2" w:space="0" w:color="auto"/>
            </w:tcBorders>
            <w:shd w:val="clear" w:color="auto" w:fill="auto"/>
          </w:tcPr>
          <w:p w14:paraId="255B26C4" w14:textId="77777777" w:rsidR="00B97BBA" w:rsidRPr="00B148F8" w:rsidRDefault="00B97BBA" w:rsidP="009B4DF3">
            <w:pPr>
              <w:pStyle w:val="Tabletext"/>
              <w:numPr>
                <w:ilvl w:val="0"/>
                <w:numId w:val="14"/>
              </w:numPr>
            </w:pPr>
          </w:p>
        </w:tc>
        <w:tc>
          <w:tcPr>
            <w:tcW w:w="3799" w:type="dxa"/>
            <w:tcBorders>
              <w:top w:val="single" w:sz="2" w:space="0" w:color="auto"/>
              <w:bottom w:val="single" w:sz="2" w:space="0" w:color="auto"/>
            </w:tcBorders>
            <w:shd w:val="clear" w:color="auto" w:fill="auto"/>
          </w:tcPr>
          <w:p w14:paraId="34EAE7F3" w14:textId="11EE259D" w:rsidR="00B97BBA" w:rsidRPr="00915C6C" w:rsidRDefault="001A4AA9" w:rsidP="009B4DF3">
            <w:pPr>
              <w:spacing w:line="240" w:lineRule="auto"/>
              <w:textAlignment w:val="baseline"/>
              <w:rPr>
                <w:rFonts w:eastAsia="Times New Roman" w:cs="Times New Roman"/>
                <w:sz w:val="20"/>
                <w:lang w:eastAsia="en-AU"/>
              </w:rPr>
            </w:pPr>
            <w:r>
              <w:rPr>
                <w:rFonts w:eastAsia="Times New Roman" w:cs="Times New Roman"/>
                <w:sz w:val="20"/>
                <w:lang w:eastAsia="en-AU"/>
              </w:rPr>
              <w:t>Licen</w:t>
            </w:r>
            <w:r w:rsidR="006E7775">
              <w:rPr>
                <w:rFonts w:eastAsia="Times New Roman" w:cs="Times New Roman"/>
                <w:sz w:val="20"/>
                <w:lang w:eastAsia="en-AU"/>
              </w:rPr>
              <w:t>ces</w:t>
            </w:r>
            <w:r w:rsidR="00EC136E">
              <w:rPr>
                <w:rFonts w:eastAsia="Times New Roman" w:cs="Times New Roman"/>
                <w:sz w:val="20"/>
                <w:lang w:eastAsia="en-AU"/>
              </w:rPr>
              <w:t xml:space="preserve"> under the </w:t>
            </w:r>
            <w:r w:rsidR="00EC136E" w:rsidRPr="006D0B54">
              <w:rPr>
                <w:rFonts w:eastAsia="Times New Roman" w:cs="Times New Roman"/>
                <w:i/>
                <w:iCs/>
                <w:sz w:val="20"/>
                <w:lang w:eastAsia="en-AU"/>
              </w:rPr>
              <w:t>Pawnbrokers and Second-hand Dealers Act 1996</w:t>
            </w:r>
            <w:r w:rsidR="00915C6C">
              <w:rPr>
                <w:rFonts w:eastAsia="Times New Roman" w:cs="Times New Roman"/>
                <w:sz w:val="20"/>
                <w:lang w:eastAsia="en-AU"/>
              </w:rPr>
              <w:t xml:space="preserve"> (NSW)</w:t>
            </w:r>
          </w:p>
        </w:tc>
        <w:tc>
          <w:tcPr>
            <w:tcW w:w="3799" w:type="dxa"/>
            <w:tcBorders>
              <w:top w:val="single" w:sz="2" w:space="0" w:color="auto"/>
              <w:bottom w:val="single" w:sz="2" w:space="0" w:color="auto"/>
            </w:tcBorders>
            <w:shd w:val="clear" w:color="auto" w:fill="auto"/>
          </w:tcPr>
          <w:p w14:paraId="43AAF302" w14:textId="7825AE35" w:rsidR="00311F77" w:rsidRDefault="00306F7F" w:rsidP="000E58E2">
            <w:pPr>
              <w:spacing w:line="240" w:lineRule="auto"/>
              <w:textAlignment w:val="baseline"/>
              <w:rPr>
                <w:rFonts w:eastAsia="Times New Roman" w:cs="Times New Roman"/>
                <w:sz w:val="20"/>
                <w:lang w:eastAsia="en-AU"/>
              </w:rPr>
            </w:pPr>
            <w:r>
              <w:rPr>
                <w:rFonts w:eastAsia="Times New Roman" w:cs="Times New Roman"/>
                <w:sz w:val="20"/>
                <w:lang w:eastAsia="en-AU"/>
              </w:rPr>
              <w:t>S</w:t>
            </w:r>
            <w:r w:rsidR="000E58E2" w:rsidRPr="000E58E2">
              <w:rPr>
                <w:rFonts w:eastAsia="Times New Roman" w:cs="Times New Roman"/>
                <w:sz w:val="20"/>
                <w:lang w:eastAsia="en-AU"/>
              </w:rPr>
              <w:t>ignificant risk to consumer protection</w:t>
            </w:r>
            <w:r>
              <w:rPr>
                <w:rFonts w:eastAsia="Times New Roman" w:cs="Times New Roman"/>
                <w:sz w:val="20"/>
                <w:lang w:eastAsia="en-AU"/>
              </w:rPr>
              <w:t xml:space="preserve">. </w:t>
            </w:r>
            <w:r w:rsidR="00104831">
              <w:rPr>
                <w:rFonts w:eastAsia="Times New Roman" w:cs="Times New Roman"/>
                <w:sz w:val="20"/>
                <w:lang w:eastAsia="en-AU"/>
              </w:rPr>
              <w:t xml:space="preserve">Currently, </w:t>
            </w:r>
            <w:r w:rsidR="00EE0483">
              <w:rPr>
                <w:rFonts w:eastAsia="Times New Roman" w:cs="Times New Roman"/>
                <w:sz w:val="20"/>
                <w:lang w:eastAsia="en-AU"/>
              </w:rPr>
              <w:t>ADR operators are unable to</w:t>
            </w:r>
            <w:r w:rsidR="00E52DC0">
              <w:rPr>
                <w:rFonts w:eastAsia="Times New Roman" w:cs="Times New Roman"/>
                <w:sz w:val="20"/>
                <w:lang w:eastAsia="en-AU"/>
              </w:rPr>
              <w:t xml:space="preserve"> access the reporting portal </w:t>
            </w:r>
            <w:r w:rsidR="008E4FAC">
              <w:rPr>
                <w:rFonts w:eastAsia="Times New Roman" w:cs="Times New Roman"/>
                <w:sz w:val="20"/>
                <w:lang w:eastAsia="en-AU"/>
              </w:rPr>
              <w:t>for Pawnbrokers and Second</w:t>
            </w:r>
            <w:r w:rsidR="005326EA">
              <w:rPr>
                <w:rFonts w:eastAsia="Times New Roman" w:cs="Times New Roman"/>
                <w:sz w:val="20"/>
                <w:lang w:eastAsia="en-AU"/>
              </w:rPr>
              <w:t>-</w:t>
            </w:r>
            <w:r w:rsidR="008E4FAC">
              <w:rPr>
                <w:rFonts w:eastAsia="Times New Roman" w:cs="Times New Roman"/>
                <w:sz w:val="20"/>
                <w:lang w:eastAsia="en-AU"/>
              </w:rPr>
              <w:t xml:space="preserve">hand dealers monitored by </w:t>
            </w:r>
            <w:r w:rsidR="00481DAF">
              <w:rPr>
                <w:rFonts w:eastAsia="Times New Roman" w:cs="Times New Roman"/>
                <w:sz w:val="20"/>
                <w:lang w:eastAsia="en-AU"/>
              </w:rPr>
              <w:t xml:space="preserve">the </w:t>
            </w:r>
            <w:r w:rsidR="008E4FAC">
              <w:rPr>
                <w:rFonts w:eastAsia="Times New Roman" w:cs="Times New Roman"/>
                <w:sz w:val="20"/>
                <w:lang w:eastAsia="en-AU"/>
              </w:rPr>
              <w:t>NSW Police</w:t>
            </w:r>
            <w:r w:rsidR="00AD5C80">
              <w:rPr>
                <w:rFonts w:eastAsia="Times New Roman" w:cs="Times New Roman"/>
                <w:sz w:val="20"/>
                <w:lang w:eastAsia="en-AU"/>
              </w:rPr>
              <w:t xml:space="preserve"> Force</w:t>
            </w:r>
            <w:r w:rsidR="008E4FAC">
              <w:rPr>
                <w:rFonts w:eastAsia="Times New Roman" w:cs="Times New Roman"/>
                <w:sz w:val="20"/>
                <w:lang w:eastAsia="en-AU"/>
              </w:rPr>
              <w:t xml:space="preserve">. </w:t>
            </w:r>
          </w:p>
          <w:p w14:paraId="0961C3D2" w14:textId="77777777" w:rsidR="00AD5C80" w:rsidRDefault="00AD5C80" w:rsidP="000E58E2">
            <w:pPr>
              <w:spacing w:line="240" w:lineRule="auto"/>
              <w:textAlignment w:val="baseline"/>
              <w:rPr>
                <w:rFonts w:eastAsia="Times New Roman" w:cs="Times New Roman"/>
                <w:sz w:val="20"/>
                <w:lang w:eastAsia="en-AU"/>
              </w:rPr>
            </w:pPr>
            <w:r w:rsidRPr="00B606C7">
              <w:rPr>
                <w:rFonts w:eastAsia="Times New Roman" w:cs="Times New Roman"/>
                <w:sz w:val="20"/>
                <w:lang w:eastAsia="en-AU"/>
              </w:rPr>
              <w:t xml:space="preserve">This will mean that ADR operators are unable to comply with their </w:t>
            </w:r>
            <w:r>
              <w:rPr>
                <w:rFonts w:eastAsia="Times New Roman" w:cs="Times New Roman"/>
                <w:sz w:val="20"/>
                <w:lang w:eastAsia="en-AU"/>
              </w:rPr>
              <w:t xml:space="preserve">mandatory </w:t>
            </w:r>
            <w:r w:rsidRPr="00B606C7">
              <w:rPr>
                <w:rFonts w:eastAsia="Times New Roman" w:cs="Times New Roman"/>
                <w:sz w:val="20"/>
                <w:lang w:eastAsia="en-AU"/>
              </w:rPr>
              <w:t>obligations</w:t>
            </w:r>
            <w:r>
              <w:rPr>
                <w:rFonts w:eastAsia="Times New Roman" w:cs="Times New Roman"/>
                <w:sz w:val="20"/>
                <w:lang w:eastAsia="en-AU"/>
              </w:rPr>
              <w:t xml:space="preserve">. </w:t>
            </w:r>
          </w:p>
          <w:p w14:paraId="0AA447B2" w14:textId="5BDE7C7C" w:rsidR="00311F77" w:rsidRDefault="00311F77" w:rsidP="000E58E2">
            <w:pPr>
              <w:spacing w:line="240" w:lineRule="auto"/>
              <w:textAlignment w:val="baseline"/>
              <w:rPr>
                <w:rFonts w:eastAsia="Times New Roman" w:cs="Times New Roman"/>
                <w:sz w:val="20"/>
                <w:lang w:eastAsia="en-AU"/>
              </w:rPr>
            </w:pPr>
            <w:r>
              <w:rPr>
                <w:rFonts w:eastAsia="Times New Roman" w:cs="Times New Roman"/>
                <w:sz w:val="20"/>
                <w:lang w:eastAsia="en-AU"/>
              </w:rPr>
              <w:t>F</w:t>
            </w:r>
            <w:r w:rsidRPr="000E58E2">
              <w:rPr>
                <w:rFonts w:eastAsia="Times New Roman" w:cs="Times New Roman"/>
                <w:sz w:val="20"/>
                <w:lang w:eastAsia="en-AU"/>
              </w:rPr>
              <w:t xml:space="preserve">ailure to keep proper records will </w:t>
            </w:r>
            <w:r w:rsidR="00AD5C80">
              <w:rPr>
                <w:rFonts w:eastAsia="Times New Roman" w:cs="Times New Roman"/>
                <w:sz w:val="20"/>
                <w:lang w:eastAsia="en-AU"/>
              </w:rPr>
              <w:t xml:space="preserve">also </w:t>
            </w:r>
            <w:r w:rsidRPr="000E58E2">
              <w:rPr>
                <w:rFonts w:eastAsia="Times New Roman" w:cs="Times New Roman"/>
                <w:sz w:val="20"/>
                <w:lang w:eastAsia="en-AU"/>
              </w:rPr>
              <w:t xml:space="preserve">impede police investigation </w:t>
            </w:r>
            <w:r>
              <w:rPr>
                <w:rFonts w:eastAsia="Times New Roman" w:cs="Times New Roman"/>
                <w:sz w:val="20"/>
                <w:lang w:eastAsia="en-AU"/>
              </w:rPr>
              <w:t xml:space="preserve">and may </w:t>
            </w:r>
            <w:r w:rsidR="00C2438D" w:rsidRPr="000E58E2">
              <w:rPr>
                <w:rFonts w:eastAsia="Times New Roman" w:cs="Times New Roman"/>
                <w:sz w:val="20"/>
                <w:lang w:eastAsia="en-AU"/>
              </w:rPr>
              <w:t>impact on recovery of stolen goods.</w:t>
            </w:r>
          </w:p>
          <w:p w14:paraId="32D11857" w14:textId="1BBB2918" w:rsidR="00B97BBA" w:rsidRPr="0031479D" w:rsidRDefault="00602D45" w:rsidP="00C2438D">
            <w:pPr>
              <w:spacing w:line="240" w:lineRule="auto"/>
              <w:textAlignment w:val="baseline"/>
              <w:rPr>
                <w:rFonts w:eastAsia="Times New Roman" w:cs="Times New Roman"/>
                <w:sz w:val="20"/>
                <w:lang w:eastAsia="en-AU"/>
              </w:rPr>
            </w:pPr>
            <w:r>
              <w:rPr>
                <w:rFonts w:eastAsia="Times New Roman" w:cs="Times New Roman"/>
                <w:sz w:val="20"/>
                <w:lang w:eastAsia="en-AU"/>
              </w:rPr>
              <w:br/>
            </w:r>
          </w:p>
        </w:tc>
      </w:tr>
    </w:tbl>
    <w:p w14:paraId="3ABD103E" w14:textId="77777777" w:rsidR="00D3099A" w:rsidRDefault="00D3099A" w:rsidP="00D3099A">
      <w:pPr>
        <w:pStyle w:val="Tabletext"/>
      </w:pPr>
    </w:p>
    <w:p w14:paraId="301600B0" w14:textId="797BA7DC" w:rsidR="00D3099A" w:rsidRDefault="00D3099A" w:rsidP="00033FEB">
      <w:pPr>
        <w:pStyle w:val="subsection"/>
      </w:pPr>
      <w:r>
        <w:tab/>
      </w:r>
    </w:p>
    <w:p w14:paraId="54196ED5" w14:textId="77777777" w:rsidR="00ED7D07" w:rsidRDefault="00ED7D07" w:rsidP="00ED7D07">
      <w:pPr>
        <w:pStyle w:val="ActHead5"/>
      </w:pPr>
      <w:bookmarkStart w:id="14" w:name="_Toc138234983"/>
      <w:bookmarkStart w:id="15" w:name="_Toc138328986"/>
      <w:r>
        <w:lastRenderedPageBreak/>
        <w:t>7 Sunset</w:t>
      </w:r>
      <w:bookmarkEnd w:id="14"/>
      <w:bookmarkEnd w:id="15"/>
    </w:p>
    <w:p w14:paraId="6EBDC94D" w14:textId="77777777" w:rsidR="00ED7D07" w:rsidRDefault="00ED7D07" w:rsidP="00ED7D07">
      <w:pPr>
        <w:pStyle w:val="subsection"/>
      </w:pPr>
      <w:r>
        <w:t>The whole of this instrument is repealed at the end of 30 June 2024.</w:t>
      </w:r>
    </w:p>
    <w:p w14:paraId="01E08CB5" w14:textId="77777777" w:rsidR="00ED7D07" w:rsidRDefault="00ED7D07" w:rsidP="00ED7D07">
      <w:pPr>
        <w:pStyle w:val="ActHead5"/>
      </w:pPr>
      <w:bookmarkStart w:id="16" w:name="_Toc138234984"/>
      <w:bookmarkStart w:id="17" w:name="_Toc138328987"/>
      <w:r>
        <w:t>8 Repeals</w:t>
      </w:r>
      <w:bookmarkEnd w:id="16"/>
      <w:bookmarkEnd w:id="17"/>
    </w:p>
    <w:p w14:paraId="1E82A771" w14:textId="77777777" w:rsidR="00ED7D07" w:rsidRDefault="00ED7D07" w:rsidP="00ED7D07">
      <w:pPr>
        <w:pStyle w:val="subsection"/>
        <w:tabs>
          <w:tab w:val="clear" w:pos="1021"/>
        </w:tabs>
        <w:ind w:left="0" w:firstLine="0"/>
      </w:pPr>
      <w:r>
        <w:t xml:space="preserve">Each instrument that is specified in Schedule 1 is repealed as set out in the applicable items in that Schedule. </w:t>
      </w:r>
    </w:p>
    <w:p w14:paraId="155E4990" w14:textId="77777777" w:rsidR="00ED7D07" w:rsidRDefault="00ED7D07" w:rsidP="00ED7D07">
      <w:pPr>
        <w:pStyle w:val="subsection"/>
      </w:pPr>
    </w:p>
    <w:p w14:paraId="5D38C392" w14:textId="77777777" w:rsidR="00ED7D07" w:rsidRPr="00E27C6A" w:rsidRDefault="00ED7D07" w:rsidP="00ED7D07">
      <w:pPr>
        <w:pStyle w:val="ActHead6"/>
        <w:spacing w:after="120"/>
        <w:rPr>
          <w:sz w:val="28"/>
          <w:szCs w:val="28"/>
        </w:rPr>
      </w:pPr>
      <w:bookmarkStart w:id="18" w:name="_Toc128062209"/>
      <w:bookmarkStart w:id="19" w:name="_Toc138234985"/>
      <w:bookmarkStart w:id="20" w:name="_Toc138328988"/>
      <w:r w:rsidRPr="00E27C6A">
        <w:rPr>
          <w:sz w:val="28"/>
          <w:szCs w:val="28"/>
        </w:rPr>
        <w:t>Schedule 1—Repeals</w:t>
      </w:r>
      <w:bookmarkEnd w:id="18"/>
      <w:bookmarkEnd w:id="19"/>
      <w:bookmarkEnd w:id="20"/>
    </w:p>
    <w:p w14:paraId="65B3A2F6" w14:textId="77777777" w:rsidR="00ED7D07" w:rsidRPr="00E27C6A" w:rsidRDefault="00ED7D07" w:rsidP="00ED7D07">
      <w:pPr>
        <w:pStyle w:val="ItemHead"/>
        <w:spacing w:before="0" w:after="120"/>
        <w:rPr>
          <w:rFonts w:cs="Arial"/>
          <w:szCs w:val="24"/>
        </w:rPr>
      </w:pPr>
    </w:p>
    <w:p w14:paraId="377F98ED" w14:textId="77777777" w:rsidR="00ED7D07" w:rsidRPr="00142927" w:rsidRDefault="00ED7D07" w:rsidP="00ED7D07">
      <w:pPr>
        <w:pStyle w:val="ItemHead"/>
        <w:spacing w:before="0" w:after="120"/>
        <w:rPr>
          <w:rFonts w:cs="Arial"/>
          <w:szCs w:val="24"/>
        </w:rPr>
      </w:pPr>
      <w:r w:rsidRPr="00E27C6A">
        <w:rPr>
          <w:rFonts w:cs="Arial"/>
          <w:szCs w:val="24"/>
        </w:rPr>
        <w:t>1</w:t>
      </w:r>
      <w:r w:rsidRPr="00E27C6A">
        <w:rPr>
          <w:rFonts w:cs="Arial"/>
          <w:szCs w:val="24"/>
        </w:rPr>
        <w:tab/>
        <w:t>Automatic Mutual Recognition (New South Wales) (Exemption – Various) Declaration 2022 (No. 2)</w:t>
      </w:r>
    </w:p>
    <w:p w14:paraId="351A829B" w14:textId="77777777" w:rsidR="00ED7D07" w:rsidRPr="00D311B0" w:rsidRDefault="00ED7D07" w:rsidP="00ED7D07">
      <w:pPr>
        <w:pStyle w:val="ItemHead"/>
        <w:spacing w:before="0" w:after="120"/>
        <w:rPr>
          <w:rFonts w:ascii="Times New Roman" w:hAnsi="Times New Roman"/>
          <w:b w:val="0"/>
          <w:bCs/>
          <w:sz w:val="22"/>
          <w:szCs w:val="22"/>
        </w:rPr>
      </w:pPr>
      <w:r w:rsidRPr="00D311B0">
        <w:rPr>
          <w:rFonts w:cs="Arial"/>
          <w:szCs w:val="24"/>
        </w:rPr>
        <w:tab/>
      </w:r>
      <w:r w:rsidRPr="00D311B0">
        <w:rPr>
          <w:rFonts w:ascii="Times New Roman" w:hAnsi="Times New Roman"/>
          <w:b w:val="0"/>
          <w:bCs/>
          <w:sz w:val="22"/>
          <w:szCs w:val="22"/>
        </w:rPr>
        <w:t xml:space="preserve">Repeal the </w:t>
      </w:r>
      <w:r>
        <w:rPr>
          <w:rFonts w:ascii="Times New Roman" w:hAnsi="Times New Roman"/>
          <w:b w:val="0"/>
          <w:bCs/>
          <w:sz w:val="22"/>
          <w:szCs w:val="22"/>
        </w:rPr>
        <w:t>whole of this instrument.</w:t>
      </w:r>
    </w:p>
    <w:p w14:paraId="55114B39" w14:textId="77777777" w:rsidR="00ED7D07" w:rsidRDefault="00ED7D07" w:rsidP="00ED7D07">
      <w:pPr>
        <w:spacing w:after="120"/>
      </w:pPr>
    </w:p>
    <w:p w14:paraId="137FBE86" w14:textId="77777777" w:rsidR="00ED7D07" w:rsidRPr="00142927" w:rsidRDefault="00ED7D07" w:rsidP="00ED7D07">
      <w:pPr>
        <w:pStyle w:val="ItemHead"/>
        <w:spacing w:before="0" w:after="120"/>
        <w:rPr>
          <w:rFonts w:cs="Arial"/>
          <w:szCs w:val="24"/>
        </w:rPr>
      </w:pPr>
      <w:bookmarkStart w:id="21" w:name="_Hlk138233626"/>
      <w:r>
        <w:rPr>
          <w:rFonts w:cs="Arial"/>
          <w:szCs w:val="24"/>
        </w:rPr>
        <w:t>2</w:t>
      </w:r>
      <w:r w:rsidRPr="00116EE4">
        <w:rPr>
          <w:rFonts w:cs="Arial"/>
          <w:szCs w:val="24"/>
        </w:rPr>
        <w:tab/>
        <w:t>Automatic Mutual Recognition (New South Wales) (Exemption</w:t>
      </w:r>
      <w:r>
        <w:rPr>
          <w:rFonts w:cs="Arial"/>
          <w:szCs w:val="24"/>
        </w:rPr>
        <w:t>s</w:t>
      </w:r>
      <w:r w:rsidRPr="00116EE4">
        <w:rPr>
          <w:rFonts w:cs="Arial"/>
          <w:szCs w:val="24"/>
        </w:rPr>
        <w:t xml:space="preserve"> – </w:t>
      </w:r>
      <w:r>
        <w:rPr>
          <w:rFonts w:cs="Arial"/>
          <w:szCs w:val="24"/>
        </w:rPr>
        <w:t>Combat Sports</w:t>
      </w:r>
      <w:r w:rsidRPr="00116EE4">
        <w:rPr>
          <w:rFonts w:cs="Arial"/>
          <w:szCs w:val="24"/>
        </w:rPr>
        <w:t>) Declaration 2022</w:t>
      </w:r>
    </w:p>
    <w:p w14:paraId="26BCD4FA" w14:textId="77777777" w:rsidR="00ED7D07" w:rsidRPr="00D311B0" w:rsidRDefault="00ED7D07" w:rsidP="00ED7D07">
      <w:pPr>
        <w:pStyle w:val="ItemHead"/>
        <w:spacing w:before="0" w:after="120"/>
        <w:rPr>
          <w:rFonts w:ascii="Times New Roman" w:hAnsi="Times New Roman"/>
          <w:b w:val="0"/>
          <w:bCs/>
          <w:sz w:val="22"/>
          <w:szCs w:val="22"/>
        </w:rPr>
      </w:pPr>
      <w:r w:rsidRPr="00D311B0">
        <w:rPr>
          <w:rFonts w:cs="Arial"/>
          <w:szCs w:val="24"/>
        </w:rPr>
        <w:tab/>
      </w:r>
      <w:r w:rsidRPr="00D311B0">
        <w:rPr>
          <w:rFonts w:ascii="Times New Roman" w:hAnsi="Times New Roman"/>
          <w:b w:val="0"/>
          <w:bCs/>
          <w:sz w:val="22"/>
          <w:szCs w:val="22"/>
        </w:rPr>
        <w:t xml:space="preserve">Repeal the </w:t>
      </w:r>
      <w:r>
        <w:rPr>
          <w:rFonts w:ascii="Times New Roman" w:hAnsi="Times New Roman"/>
          <w:b w:val="0"/>
          <w:bCs/>
          <w:sz w:val="22"/>
          <w:szCs w:val="22"/>
        </w:rPr>
        <w:t>whole of this instrument.</w:t>
      </w:r>
    </w:p>
    <w:bookmarkEnd w:id="21"/>
    <w:p w14:paraId="196C377A" w14:textId="77777777" w:rsidR="00ED7D07" w:rsidRDefault="00ED7D07" w:rsidP="00033FEB">
      <w:pPr>
        <w:pStyle w:val="subsection"/>
        <w:rPr>
          <w:szCs w:val="22"/>
        </w:rPr>
      </w:pPr>
    </w:p>
    <w:sectPr w:rsidR="00ED7D07" w:rsidSect="008C2EAC">
      <w:headerReference w:type="even" r:id="rId23"/>
      <w:headerReference w:type="default" r:id="rId24"/>
      <w:footerReference w:type="even" r:id="rId25"/>
      <w:footerReference w:type="default" r:id="rId2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E8FE1" w14:textId="77777777" w:rsidR="00604225" w:rsidRDefault="00604225" w:rsidP="00715914">
      <w:pPr>
        <w:spacing w:line="240" w:lineRule="auto"/>
      </w:pPr>
      <w:r>
        <w:separator/>
      </w:r>
    </w:p>
  </w:endnote>
  <w:endnote w:type="continuationSeparator" w:id="0">
    <w:p w14:paraId="0FFA3CF4" w14:textId="77777777" w:rsidR="00604225" w:rsidRDefault="00604225" w:rsidP="00715914">
      <w:pPr>
        <w:spacing w:line="240" w:lineRule="auto"/>
      </w:pPr>
      <w:r>
        <w:continuationSeparator/>
      </w:r>
    </w:p>
  </w:endnote>
  <w:endnote w:type="continuationNotice" w:id="1">
    <w:p w14:paraId="5C88E167" w14:textId="77777777" w:rsidR="00604225" w:rsidRDefault="006042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D185F" w14:paraId="7A17CF35" w14:textId="77777777" w:rsidTr="00B33709">
      <w:tc>
        <w:tcPr>
          <w:tcW w:w="709" w:type="dxa"/>
          <w:tcBorders>
            <w:top w:val="nil"/>
            <w:left w:val="nil"/>
            <w:bottom w:val="nil"/>
            <w:right w:val="nil"/>
          </w:tcBorders>
        </w:tcPr>
        <w:p w14:paraId="40BEE5A7" w14:textId="77777777" w:rsidR="000D185F" w:rsidRDefault="000D185F"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C0B66E4" w14:textId="77777777" w:rsidR="000D185F" w:rsidRPr="004E1307" w:rsidRDefault="000D185F"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1383" w:type="dxa"/>
          <w:tcBorders>
            <w:top w:val="nil"/>
            <w:left w:val="nil"/>
            <w:bottom w:val="nil"/>
            <w:right w:val="nil"/>
          </w:tcBorders>
        </w:tcPr>
        <w:p w14:paraId="680A4E5D" w14:textId="77777777" w:rsidR="000D185F" w:rsidRDefault="000D185F" w:rsidP="00A369E3">
          <w:pPr>
            <w:spacing w:line="0" w:lineRule="atLeast"/>
            <w:jc w:val="right"/>
            <w:rPr>
              <w:sz w:val="18"/>
            </w:rPr>
          </w:pPr>
        </w:p>
      </w:tc>
    </w:tr>
    <w:tr w:rsidR="000D185F" w14:paraId="19219836"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6FEF7D" w14:textId="77777777" w:rsidR="000D185F" w:rsidRDefault="000D185F" w:rsidP="00A369E3">
          <w:pPr>
            <w:jc w:val="right"/>
            <w:rPr>
              <w:sz w:val="18"/>
            </w:rPr>
          </w:pPr>
        </w:p>
      </w:tc>
    </w:tr>
  </w:tbl>
  <w:p w14:paraId="7194DBDC" w14:textId="77777777" w:rsidR="000D185F" w:rsidRPr="00ED79B6" w:rsidRDefault="000D185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0D185F" w:rsidRPr="00E33C1C" w:rsidRDefault="000D185F"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0D185F" w14:paraId="13760F61" w14:textId="77777777" w:rsidTr="00A369E3">
      <w:tc>
        <w:tcPr>
          <w:tcW w:w="1384" w:type="dxa"/>
          <w:tcBorders>
            <w:top w:val="nil"/>
            <w:left w:val="nil"/>
            <w:bottom w:val="nil"/>
            <w:right w:val="nil"/>
          </w:tcBorders>
        </w:tcPr>
        <w:p w14:paraId="07547A01" w14:textId="77777777" w:rsidR="000D185F" w:rsidRDefault="000D185F" w:rsidP="00A369E3">
          <w:pPr>
            <w:spacing w:line="0" w:lineRule="atLeast"/>
            <w:rPr>
              <w:sz w:val="18"/>
            </w:rPr>
          </w:pPr>
        </w:p>
      </w:tc>
      <w:tc>
        <w:tcPr>
          <w:tcW w:w="6379" w:type="dxa"/>
          <w:tcBorders>
            <w:top w:val="nil"/>
            <w:left w:val="nil"/>
            <w:bottom w:val="nil"/>
            <w:right w:val="nil"/>
          </w:tcBorders>
        </w:tcPr>
        <w:p w14:paraId="7692FBF5" w14:textId="77777777" w:rsidR="000D185F" w:rsidRDefault="000D185F"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709" w:type="dxa"/>
          <w:tcBorders>
            <w:top w:val="nil"/>
            <w:left w:val="nil"/>
            <w:bottom w:val="nil"/>
            <w:right w:val="nil"/>
          </w:tcBorders>
        </w:tcPr>
        <w:p w14:paraId="4590CB77" w14:textId="77777777" w:rsidR="000D185F" w:rsidRDefault="000D185F"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D185F" w14:paraId="5043CB0F"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7459315" w14:textId="77777777" w:rsidR="000D185F" w:rsidRDefault="000D185F" w:rsidP="00A369E3">
          <w:pPr>
            <w:rPr>
              <w:sz w:val="18"/>
            </w:rPr>
          </w:pPr>
        </w:p>
      </w:tc>
    </w:tr>
  </w:tbl>
  <w:p w14:paraId="6537F28F" w14:textId="77777777" w:rsidR="000D185F" w:rsidRPr="00ED79B6" w:rsidRDefault="000D185F"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0D185F" w:rsidRPr="00E33C1C" w:rsidRDefault="000D185F"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D185F" w14:paraId="34CE0A41" w14:textId="77777777" w:rsidTr="00B33709">
      <w:tc>
        <w:tcPr>
          <w:tcW w:w="1384" w:type="dxa"/>
          <w:tcBorders>
            <w:top w:val="nil"/>
            <w:left w:val="nil"/>
            <w:bottom w:val="nil"/>
            <w:right w:val="nil"/>
          </w:tcBorders>
        </w:tcPr>
        <w:p w14:paraId="62EBF3C5" w14:textId="77777777" w:rsidR="000D185F" w:rsidRDefault="000D185F" w:rsidP="00A369E3">
          <w:pPr>
            <w:spacing w:line="0" w:lineRule="atLeast"/>
            <w:rPr>
              <w:sz w:val="18"/>
            </w:rPr>
          </w:pPr>
        </w:p>
      </w:tc>
      <w:tc>
        <w:tcPr>
          <w:tcW w:w="6379" w:type="dxa"/>
          <w:tcBorders>
            <w:top w:val="nil"/>
            <w:left w:val="nil"/>
            <w:bottom w:val="nil"/>
            <w:right w:val="nil"/>
          </w:tcBorders>
        </w:tcPr>
        <w:p w14:paraId="6D98A12B" w14:textId="77777777" w:rsidR="000D185F" w:rsidRDefault="000D185F" w:rsidP="00A369E3">
          <w:pPr>
            <w:spacing w:line="0" w:lineRule="atLeast"/>
            <w:jc w:val="center"/>
            <w:rPr>
              <w:sz w:val="18"/>
            </w:rPr>
          </w:pPr>
        </w:p>
      </w:tc>
      <w:tc>
        <w:tcPr>
          <w:tcW w:w="709" w:type="dxa"/>
          <w:tcBorders>
            <w:top w:val="nil"/>
            <w:left w:val="nil"/>
            <w:bottom w:val="nil"/>
            <w:right w:val="nil"/>
          </w:tcBorders>
        </w:tcPr>
        <w:p w14:paraId="2946DB82" w14:textId="77777777" w:rsidR="000D185F" w:rsidRDefault="000D185F" w:rsidP="00A369E3">
          <w:pPr>
            <w:spacing w:line="0" w:lineRule="atLeast"/>
            <w:jc w:val="right"/>
            <w:rPr>
              <w:sz w:val="18"/>
            </w:rPr>
          </w:pPr>
        </w:p>
      </w:tc>
    </w:tr>
  </w:tbl>
  <w:p w14:paraId="5997CC1D" w14:textId="77777777" w:rsidR="000D185F" w:rsidRPr="00ED79B6" w:rsidRDefault="000D185F"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05D2"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6DC2E8DA" w14:textId="77777777" w:rsidTr="008648A8">
      <w:tc>
        <w:tcPr>
          <w:tcW w:w="365" w:type="pct"/>
        </w:tcPr>
        <w:p w14:paraId="74E21C83" w14:textId="77777777"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30A83831" w14:textId="77777777"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Automatic Mutual Recognition (name of State or Territory) (Exemption—Registration) Declaration Year</w:t>
          </w:r>
          <w:r w:rsidRPr="004E1307">
            <w:rPr>
              <w:i/>
              <w:sz w:val="18"/>
            </w:rPr>
            <w:fldChar w:fldCharType="end"/>
          </w:r>
        </w:p>
      </w:tc>
      <w:tc>
        <w:tcPr>
          <w:tcW w:w="947" w:type="pct"/>
        </w:tcPr>
        <w:p w14:paraId="463F29E8" w14:textId="77777777" w:rsidR="000D185F" w:rsidRDefault="000D185F" w:rsidP="008648A8">
          <w:pPr>
            <w:spacing w:line="0" w:lineRule="atLeast"/>
            <w:jc w:val="right"/>
            <w:rPr>
              <w:sz w:val="18"/>
            </w:rPr>
          </w:pPr>
        </w:p>
      </w:tc>
    </w:tr>
    <w:tr w:rsidR="000D185F" w14:paraId="3B7B4B86" w14:textId="77777777" w:rsidTr="008648A8">
      <w:tc>
        <w:tcPr>
          <w:tcW w:w="5000" w:type="pct"/>
          <w:gridSpan w:val="3"/>
        </w:tcPr>
        <w:p w14:paraId="3A0FF5F2" w14:textId="77777777" w:rsidR="000D185F" w:rsidRDefault="000D185F" w:rsidP="008648A8">
          <w:pPr>
            <w:jc w:val="right"/>
            <w:rPr>
              <w:sz w:val="18"/>
            </w:rPr>
          </w:pPr>
        </w:p>
      </w:tc>
    </w:tr>
  </w:tbl>
  <w:p w14:paraId="5630AD66" w14:textId="77777777" w:rsidR="000D185F" w:rsidRPr="00ED79B6" w:rsidRDefault="000D185F" w:rsidP="008648A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9E20"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26BA8C1C" w14:textId="77777777" w:rsidTr="008648A8">
      <w:tc>
        <w:tcPr>
          <w:tcW w:w="947" w:type="pct"/>
        </w:tcPr>
        <w:p w14:paraId="70DF9E56" w14:textId="77777777" w:rsidR="000D185F" w:rsidRDefault="000D185F" w:rsidP="008648A8">
          <w:pPr>
            <w:spacing w:line="0" w:lineRule="atLeast"/>
            <w:rPr>
              <w:sz w:val="18"/>
            </w:rPr>
          </w:pPr>
        </w:p>
      </w:tc>
      <w:tc>
        <w:tcPr>
          <w:tcW w:w="3688" w:type="pct"/>
        </w:tcPr>
        <w:p w14:paraId="05BAAECF" w14:textId="355D6DBE"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11429">
            <w:rPr>
              <w:i/>
              <w:noProof/>
              <w:sz w:val="18"/>
            </w:rPr>
            <w:t>Automatic Mutual Recognition (New South Wales) (Exemption—Various) Declaration 2023</w:t>
          </w:r>
          <w:r w:rsidRPr="004E1307">
            <w:rPr>
              <w:i/>
              <w:sz w:val="18"/>
            </w:rPr>
            <w:fldChar w:fldCharType="end"/>
          </w:r>
        </w:p>
      </w:tc>
      <w:tc>
        <w:tcPr>
          <w:tcW w:w="365" w:type="pct"/>
        </w:tcPr>
        <w:p w14:paraId="2CF2821D" w14:textId="77777777"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0D185F" w14:paraId="44E871BC" w14:textId="77777777" w:rsidTr="008648A8">
      <w:tc>
        <w:tcPr>
          <w:tcW w:w="5000" w:type="pct"/>
          <w:gridSpan w:val="3"/>
        </w:tcPr>
        <w:p w14:paraId="144A5D23" w14:textId="77777777" w:rsidR="000D185F" w:rsidRDefault="000D185F" w:rsidP="008648A8">
          <w:pPr>
            <w:rPr>
              <w:sz w:val="18"/>
            </w:rPr>
          </w:pPr>
        </w:p>
      </w:tc>
    </w:tr>
  </w:tbl>
  <w:p w14:paraId="738610EB" w14:textId="77777777" w:rsidR="000D185F" w:rsidRPr="00ED79B6" w:rsidRDefault="000D185F" w:rsidP="008648A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379"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D185F" w14:paraId="4C2C482C" w14:textId="77777777" w:rsidTr="008648A8">
      <w:tc>
        <w:tcPr>
          <w:tcW w:w="365" w:type="pct"/>
        </w:tcPr>
        <w:p w14:paraId="5258BE6D" w14:textId="77777777" w:rsidR="000D185F" w:rsidRDefault="000D185F" w:rsidP="008648A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4DAC447B" w14:textId="13D42D4E"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11429">
            <w:rPr>
              <w:i/>
              <w:noProof/>
              <w:sz w:val="18"/>
            </w:rPr>
            <w:t>Automatic Mutual Recognition (New South Wales) (Exemption—Various) Declaration 2023</w:t>
          </w:r>
          <w:r w:rsidRPr="004E1307">
            <w:rPr>
              <w:i/>
              <w:sz w:val="18"/>
            </w:rPr>
            <w:fldChar w:fldCharType="end"/>
          </w:r>
        </w:p>
      </w:tc>
      <w:tc>
        <w:tcPr>
          <w:tcW w:w="947" w:type="pct"/>
        </w:tcPr>
        <w:p w14:paraId="3FE9F23F" w14:textId="77777777" w:rsidR="000D185F" w:rsidRDefault="000D185F" w:rsidP="008648A8">
          <w:pPr>
            <w:spacing w:line="0" w:lineRule="atLeast"/>
            <w:jc w:val="right"/>
            <w:rPr>
              <w:sz w:val="18"/>
            </w:rPr>
          </w:pPr>
        </w:p>
      </w:tc>
    </w:tr>
    <w:tr w:rsidR="000D185F" w14:paraId="1F72F646" w14:textId="77777777" w:rsidTr="008648A8">
      <w:tc>
        <w:tcPr>
          <w:tcW w:w="5000" w:type="pct"/>
          <w:gridSpan w:val="3"/>
        </w:tcPr>
        <w:p w14:paraId="08CE6F91" w14:textId="77777777" w:rsidR="000D185F" w:rsidRDefault="000D185F" w:rsidP="008648A8">
          <w:pPr>
            <w:jc w:val="right"/>
            <w:rPr>
              <w:sz w:val="18"/>
            </w:rPr>
          </w:pPr>
        </w:p>
      </w:tc>
    </w:tr>
  </w:tbl>
  <w:p w14:paraId="61CDCEAD" w14:textId="77777777" w:rsidR="000D185F" w:rsidRPr="00ED79B6" w:rsidRDefault="000D185F" w:rsidP="008648A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8F9B" w14:textId="77777777" w:rsidR="000D185F" w:rsidRPr="002B0EA5" w:rsidRDefault="000D185F" w:rsidP="008648A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D185F" w14:paraId="26BBB4A7" w14:textId="77777777" w:rsidTr="009A2A12">
      <w:trPr>
        <w:trHeight w:val="709"/>
      </w:trPr>
      <w:tc>
        <w:tcPr>
          <w:tcW w:w="947" w:type="pct"/>
        </w:tcPr>
        <w:p w14:paraId="238601FE" w14:textId="77777777" w:rsidR="000D185F" w:rsidRDefault="000D185F" w:rsidP="008648A8">
          <w:pPr>
            <w:spacing w:line="0" w:lineRule="atLeast"/>
            <w:rPr>
              <w:sz w:val="18"/>
            </w:rPr>
          </w:pPr>
        </w:p>
      </w:tc>
      <w:tc>
        <w:tcPr>
          <w:tcW w:w="3688" w:type="pct"/>
        </w:tcPr>
        <w:p w14:paraId="178A347C" w14:textId="1595B236" w:rsidR="000D185F" w:rsidRDefault="000D185F" w:rsidP="008648A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11429">
            <w:rPr>
              <w:i/>
              <w:noProof/>
              <w:sz w:val="18"/>
            </w:rPr>
            <w:t>Automatic Mutual Recognition (New South Wales) (Exemption—Various) Declaration 2023</w:t>
          </w:r>
          <w:r w:rsidRPr="004E1307">
            <w:rPr>
              <w:i/>
              <w:sz w:val="18"/>
            </w:rPr>
            <w:fldChar w:fldCharType="end"/>
          </w:r>
        </w:p>
      </w:tc>
      <w:tc>
        <w:tcPr>
          <w:tcW w:w="365" w:type="pct"/>
        </w:tcPr>
        <w:p w14:paraId="253FD184" w14:textId="77777777" w:rsidR="000D185F" w:rsidRDefault="000D185F" w:rsidP="008648A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0D185F" w14:paraId="0F3CABC7" w14:textId="77777777" w:rsidTr="008648A8">
      <w:tc>
        <w:tcPr>
          <w:tcW w:w="5000" w:type="pct"/>
          <w:gridSpan w:val="3"/>
        </w:tcPr>
        <w:p w14:paraId="5B08B5D1" w14:textId="77777777" w:rsidR="000D185F" w:rsidRDefault="000D185F" w:rsidP="008648A8">
          <w:pPr>
            <w:rPr>
              <w:sz w:val="18"/>
            </w:rPr>
          </w:pPr>
        </w:p>
      </w:tc>
    </w:tr>
  </w:tbl>
  <w:p w14:paraId="16DEB4AB" w14:textId="77777777" w:rsidR="000D185F" w:rsidRPr="00ED79B6" w:rsidRDefault="000D185F" w:rsidP="008648A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3881" w14:textId="77777777" w:rsidR="00604225" w:rsidRDefault="00604225" w:rsidP="00715914">
      <w:pPr>
        <w:spacing w:line="240" w:lineRule="auto"/>
      </w:pPr>
      <w:r>
        <w:separator/>
      </w:r>
    </w:p>
  </w:footnote>
  <w:footnote w:type="continuationSeparator" w:id="0">
    <w:p w14:paraId="398B263D" w14:textId="77777777" w:rsidR="00604225" w:rsidRDefault="00604225" w:rsidP="00715914">
      <w:pPr>
        <w:spacing w:line="240" w:lineRule="auto"/>
      </w:pPr>
      <w:r>
        <w:continuationSeparator/>
      </w:r>
    </w:p>
  </w:footnote>
  <w:footnote w:type="continuationNotice" w:id="1">
    <w:p w14:paraId="77BC9CCD" w14:textId="77777777" w:rsidR="00604225" w:rsidRDefault="006042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2C0D" w14:textId="77777777" w:rsidR="000D185F" w:rsidRPr="005F1388" w:rsidRDefault="000D185F"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245A" w14:textId="77777777" w:rsidR="000D185F" w:rsidRPr="005F1388" w:rsidRDefault="000D185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1919" w14:textId="77777777" w:rsidR="000D185F" w:rsidRPr="00ED79B6" w:rsidRDefault="000D185F" w:rsidP="008648A8">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D3C" w14:textId="77777777" w:rsidR="000D185F" w:rsidRPr="00ED79B6" w:rsidRDefault="000D185F" w:rsidP="008648A8">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77777777" w:rsidR="000D185F" w:rsidRPr="00ED79B6" w:rsidRDefault="000D185F"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BE67" w14:textId="77777777" w:rsidR="000D185F" w:rsidRDefault="000D185F" w:rsidP="00715914">
    <w:pPr>
      <w:rPr>
        <w:sz w:val="20"/>
      </w:rPr>
    </w:pPr>
  </w:p>
  <w:p w14:paraId="36FEB5B0" w14:textId="77777777" w:rsidR="000D185F" w:rsidRDefault="000D185F" w:rsidP="00715914">
    <w:pPr>
      <w:rPr>
        <w:sz w:val="20"/>
      </w:rPr>
    </w:pPr>
  </w:p>
  <w:p w14:paraId="30D7AA69" w14:textId="77777777" w:rsidR="000D185F" w:rsidRPr="007A1328" w:rsidRDefault="000D185F" w:rsidP="00715914">
    <w:pPr>
      <w:rPr>
        <w:sz w:val="20"/>
      </w:rPr>
    </w:pPr>
  </w:p>
  <w:p w14:paraId="7196D064" w14:textId="77777777" w:rsidR="000D185F" w:rsidRPr="007A1328" w:rsidRDefault="000D185F" w:rsidP="00715914">
    <w:pPr>
      <w:rPr>
        <w:b/>
        <w:sz w:val="24"/>
      </w:rPr>
    </w:pPr>
  </w:p>
  <w:p w14:paraId="34FF1C98" w14:textId="77777777" w:rsidR="000D185F" w:rsidRPr="007A1328" w:rsidRDefault="000D185F"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076" w14:textId="77777777" w:rsidR="000D185F" w:rsidRPr="007A1328" w:rsidRDefault="000D185F" w:rsidP="00715914">
    <w:pPr>
      <w:jc w:val="right"/>
      <w:rPr>
        <w:sz w:val="20"/>
      </w:rPr>
    </w:pPr>
  </w:p>
  <w:p w14:paraId="2BA226A1" w14:textId="77777777" w:rsidR="000D185F" w:rsidRPr="007A1328" w:rsidRDefault="000D185F" w:rsidP="00715914">
    <w:pPr>
      <w:jc w:val="right"/>
      <w:rPr>
        <w:sz w:val="20"/>
      </w:rPr>
    </w:pPr>
  </w:p>
  <w:p w14:paraId="17AD93B2" w14:textId="77777777" w:rsidR="000D185F" w:rsidRPr="007A1328" w:rsidRDefault="000D185F" w:rsidP="00715914">
    <w:pPr>
      <w:jc w:val="right"/>
      <w:rPr>
        <w:sz w:val="20"/>
      </w:rPr>
    </w:pPr>
  </w:p>
  <w:p w14:paraId="0DE4B5B7" w14:textId="77777777" w:rsidR="000D185F" w:rsidRPr="007A1328" w:rsidRDefault="000D185F" w:rsidP="00715914">
    <w:pPr>
      <w:jc w:val="right"/>
      <w:rPr>
        <w:b/>
        <w:sz w:val="24"/>
      </w:rPr>
    </w:pPr>
  </w:p>
  <w:p w14:paraId="66204FF1" w14:textId="77777777" w:rsidR="000D185F" w:rsidRPr="007A1328" w:rsidRDefault="000D185F"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60097"/>
    <w:multiLevelType w:val="hybridMultilevel"/>
    <w:tmpl w:val="C0562A10"/>
    <w:lvl w:ilvl="0" w:tplc="1B784AE6">
      <w:start w:val="1"/>
      <w:numFmt w:val="bullet"/>
      <w:lvlText w:val="•"/>
      <w:lvlJc w:val="left"/>
      <w:pPr>
        <w:tabs>
          <w:tab w:val="num" w:pos="720"/>
        </w:tabs>
        <w:ind w:left="720" w:hanging="360"/>
      </w:pPr>
      <w:rPr>
        <w:rFonts w:ascii="Arial" w:hAnsi="Arial" w:hint="default"/>
      </w:rPr>
    </w:lvl>
    <w:lvl w:ilvl="1" w:tplc="CF0EE688" w:tentative="1">
      <w:start w:val="1"/>
      <w:numFmt w:val="bullet"/>
      <w:lvlText w:val="•"/>
      <w:lvlJc w:val="left"/>
      <w:pPr>
        <w:tabs>
          <w:tab w:val="num" w:pos="1440"/>
        </w:tabs>
        <w:ind w:left="1440" w:hanging="360"/>
      </w:pPr>
      <w:rPr>
        <w:rFonts w:ascii="Arial" w:hAnsi="Arial" w:hint="default"/>
      </w:rPr>
    </w:lvl>
    <w:lvl w:ilvl="2" w:tplc="A45AB612" w:tentative="1">
      <w:start w:val="1"/>
      <w:numFmt w:val="bullet"/>
      <w:lvlText w:val="•"/>
      <w:lvlJc w:val="left"/>
      <w:pPr>
        <w:tabs>
          <w:tab w:val="num" w:pos="2160"/>
        </w:tabs>
        <w:ind w:left="2160" w:hanging="360"/>
      </w:pPr>
      <w:rPr>
        <w:rFonts w:ascii="Arial" w:hAnsi="Arial" w:hint="default"/>
      </w:rPr>
    </w:lvl>
    <w:lvl w:ilvl="3" w:tplc="6E343E7A" w:tentative="1">
      <w:start w:val="1"/>
      <w:numFmt w:val="bullet"/>
      <w:lvlText w:val="•"/>
      <w:lvlJc w:val="left"/>
      <w:pPr>
        <w:tabs>
          <w:tab w:val="num" w:pos="2880"/>
        </w:tabs>
        <w:ind w:left="2880" w:hanging="360"/>
      </w:pPr>
      <w:rPr>
        <w:rFonts w:ascii="Arial" w:hAnsi="Arial" w:hint="default"/>
      </w:rPr>
    </w:lvl>
    <w:lvl w:ilvl="4" w:tplc="448AE9CC" w:tentative="1">
      <w:start w:val="1"/>
      <w:numFmt w:val="bullet"/>
      <w:lvlText w:val="•"/>
      <w:lvlJc w:val="left"/>
      <w:pPr>
        <w:tabs>
          <w:tab w:val="num" w:pos="3600"/>
        </w:tabs>
        <w:ind w:left="3600" w:hanging="360"/>
      </w:pPr>
      <w:rPr>
        <w:rFonts w:ascii="Arial" w:hAnsi="Arial" w:hint="default"/>
      </w:rPr>
    </w:lvl>
    <w:lvl w:ilvl="5" w:tplc="FFB0A67A" w:tentative="1">
      <w:start w:val="1"/>
      <w:numFmt w:val="bullet"/>
      <w:lvlText w:val="•"/>
      <w:lvlJc w:val="left"/>
      <w:pPr>
        <w:tabs>
          <w:tab w:val="num" w:pos="4320"/>
        </w:tabs>
        <w:ind w:left="4320" w:hanging="360"/>
      </w:pPr>
      <w:rPr>
        <w:rFonts w:ascii="Arial" w:hAnsi="Arial" w:hint="default"/>
      </w:rPr>
    </w:lvl>
    <w:lvl w:ilvl="6" w:tplc="466C29BC" w:tentative="1">
      <w:start w:val="1"/>
      <w:numFmt w:val="bullet"/>
      <w:lvlText w:val="•"/>
      <w:lvlJc w:val="left"/>
      <w:pPr>
        <w:tabs>
          <w:tab w:val="num" w:pos="5040"/>
        </w:tabs>
        <w:ind w:left="5040" w:hanging="360"/>
      </w:pPr>
      <w:rPr>
        <w:rFonts w:ascii="Arial" w:hAnsi="Arial" w:hint="default"/>
      </w:rPr>
    </w:lvl>
    <w:lvl w:ilvl="7" w:tplc="96222752" w:tentative="1">
      <w:start w:val="1"/>
      <w:numFmt w:val="bullet"/>
      <w:lvlText w:val="•"/>
      <w:lvlJc w:val="left"/>
      <w:pPr>
        <w:tabs>
          <w:tab w:val="num" w:pos="5760"/>
        </w:tabs>
        <w:ind w:left="5760" w:hanging="360"/>
      </w:pPr>
      <w:rPr>
        <w:rFonts w:ascii="Arial" w:hAnsi="Arial" w:hint="default"/>
      </w:rPr>
    </w:lvl>
    <w:lvl w:ilvl="8" w:tplc="BD2492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B316E"/>
    <w:multiLevelType w:val="hybridMultilevel"/>
    <w:tmpl w:val="7B76E2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C91192"/>
    <w:multiLevelType w:val="hybridMultilevel"/>
    <w:tmpl w:val="6AE0A356"/>
    <w:lvl w:ilvl="0" w:tplc="CAB64E60">
      <w:start w:val="1"/>
      <w:numFmt w:val="bullet"/>
      <w:lvlText w:val="•"/>
      <w:lvlJc w:val="left"/>
      <w:pPr>
        <w:tabs>
          <w:tab w:val="num" w:pos="720"/>
        </w:tabs>
        <w:ind w:left="720" w:hanging="360"/>
      </w:pPr>
      <w:rPr>
        <w:rFonts w:ascii="Arial" w:hAnsi="Arial" w:hint="default"/>
      </w:rPr>
    </w:lvl>
    <w:lvl w:ilvl="1" w:tplc="11843A2C" w:tentative="1">
      <w:start w:val="1"/>
      <w:numFmt w:val="bullet"/>
      <w:lvlText w:val="•"/>
      <w:lvlJc w:val="left"/>
      <w:pPr>
        <w:tabs>
          <w:tab w:val="num" w:pos="1440"/>
        </w:tabs>
        <w:ind w:left="1440" w:hanging="360"/>
      </w:pPr>
      <w:rPr>
        <w:rFonts w:ascii="Arial" w:hAnsi="Arial" w:hint="default"/>
      </w:rPr>
    </w:lvl>
    <w:lvl w:ilvl="2" w:tplc="2E862AC6" w:tentative="1">
      <w:start w:val="1"/>
      <w:numFmt w:val="bullet"/>
      <w:lvlText w:val="•"/>
      <w:lvlJc w:val="left"/>
      <w:pPr>
        <w:tabs>
          <w:tab w:val="num" w:pos="2160"/>
        </w:tabs>
        <w:ind w:left="2160" w:hanging="360"/>
      </w:pPr>
      <w:rPr>
        <w:rFonts w:ascii="Arial" w:hAnsi="Arial" w:hint="default"/>
      </w:rPr>
    </w:lvl>
    <w:lvl w:ilvl="3" w:tplc="616AB60C" w:tentative="1">
      <w:start w:val="1"/>
      <w:numFmt w:val="bullet"/>
      <w:lvlText w:val="•"/>
      <w:lvlJc w:val="left"/>
      <w:pPr>
        <w:tabs>
          <w:tab w:val="num" w:pos="2880"/>
        </w:tabs>
        <w:ind w:left="2880" w:hanging="360"/>
      </w:pPr>
      <w:rPr>
        <w:rFonts w:ascii="Arial" w:hAnsi="Arial" w:hint="default"/>
      </w:rPr>
    </w:lvl>
    <w:lvl w:ilvl="4" w:tplc="7A767C2A" w:tentative="1">
      <w:start w:val="1"/>
      <w:numFmt w:val="bullet"/>
      <w:lvlText w:val="•"/>
      <w:lvlJc w:val="left"/>
      <w:pPr>
        <w:tabs>
          <w:tab w:val="num" w:pos="3600"/>
        </w:tabs>
        <w:ind w:left="3600" w:hanging="360"/>
      </w:pPr>
      <w:rPr>
        <w:rFonts w:ascii="Arial" w:hAnsi="Arial" w:hint="default"/>
      </w:rPr>
    </w:lvl>
    <w:lvl w:ilvl="5" w:tplc="EA94BC30" w:tentative="1">
      <w:start w:val="1"/>
      <w:numFmt w:val="bullet"/>
      <w:lvlText w:val="•"/>
      <w:lvlJc w:val="left"/>
      <w:pPr>
        <w:tabs>
          <w:tab w:val="num" w:pos="4320"/>
        </w:tabs>
        <w:ind w:left="4320" w:hanging="360"/>
      </w:pPr>
      <w:rPr>
        <w:rFonts w:ascii="Arial" w:hAnsi="Arial" w:hint="default"/>
      </w:rPr>
    </w:lvl>
    <w:lvl w:ilvl="6" w:tplc="244CFE96" w:tentative="1">
      <w:start w:val="1"/>
      <w:numFmt w:val="bullet"/>
      <w:lvlText w:val="•"/>
      <w:lvlJc w:val="left"/>
      <w:pPr>
        <w:tabs>
          <w:tab w:val="num" w:pos="5040"/>
        </w:tabs>
        <w:ind w:left="5040" w:hanging="360"/>
      </w:pPr>
      <w:rPr>
        <w:rFonts w:ascii="Arial" w:hAnsi="Arial" w:hint="default"/>
      </w:rPr>
    </w:lvl>
    <w:lvl w:ilvl="7" w:tplc="69E62A26" w:tentative="1">
      <w:start w:val="1"/>
      <w:numFmt w:val="bullet"/>
      <w:lvlText w:val="•"/>
      <w:lvlJc w:val="left"/>
      <w:pPr>
        <w:tabs>
          <w:tab w:val="num" w:pos="5760"/>
        </w:tabs>
        <w:ind w:left="5760" w:hanging="360"/>
      </w:pPr>
      <w:rPr>
        <w:rFonts w:ascii="Arial" w:hAnsi="Arial" w:hint="default"/>
      </w:rPr>
    </w:lvl>
    <w:lvl w:ilvl="8" w:tplc="4AE6C5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81D3DC1"/>
    <w:multiLevelType w:val="hybridMultilevel"/>
    <w:tmpl w:val="A016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E7337"/>
    <w:multiLevelType w:val="hybridMultilevel"/>
    <w:tmpl w:val="2F9244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52C1791C"/>
    <w:multiLevelType w:val="hybridMultilevel"/>
    <w:tmpl w:val="03564B98"/>
    <w:lvl w:ilvl="0" w:tplc="9354643E">
      <w:start w:val="1"/>
      <w:numFmt w:val="bullet"/>
      <w:lvlText w:val="•"/>
      <w:lvlJc w:val="left"/>
      <w:pPr>
        <w:tabs>
          <w:tab w:val="num" w:pos="720"/>
        </w:tabs>
        <w:ind w:left="720" w:hanging="360"/>
      </w:pPr>
      <w:rPr>
        <w:rFonts w:ascii="Arial" w:hAnsi="Arial" w:hint="default"/>
      </w:rPr>
    </w:lvl>
    <w:lvl w:ilvl="1" w:tplc="27043720" w:tentative="1">
      <w:start w:val="1"/>
      <w:numFmt w:val="bullet"/>
      <w:lvlText w:val="•"/>
      <w:lvlJc w:val="left"/>
      <w:pPr>
        <w:tabs>
          <w:tab w:val="num" w:pos="1440"/>
        </w:tabs>
        <w:ind w:left="1440" w:hanging="360"/>
      </w:pPr>
      <w:rPr>
        <w:rFonts w:ascii="Arial" w:hAnsi="Arial" w:hint="default"/>
      </w:rPr>
    </w:lvl>
    <w:lvl w:ilvl="2" w:tplc="2EE08E34" w:tentative="1">
      <w:start w:val="1"/>
      <w:numFmt w:val="bullet"/>
      <w:lvlText w:val="•"/>
      <w:lvlJc w:val="left"/>
      <w:pPr>
        <w:tabs>
          <w:tab w:val="num" w:pos="2160"/>
        </w:tabs>
        <w:ind w:left="2160" w:hanging="360"/>
      </w:pPr>
      <w:rPr>
        <w:rFonts w:ascii="Arial" w:hAnsi="Arial" w:hint="default"/>
      </w:rPr>
    </w:lvl>
    <w:lvl w:ilvl="3" w:tplc="C2EA2C08" w:tentative="1">
      <w:start w:val="1"/>
      <w:numFmt w:val="bullet"/>
      <w:lvlText w:val="•"/>
      <w:lvlJc w:val="left"/>
      <w:pPr>
        <w:tabs>
          <w:tab w:val="num" w:pos="2880"/>
        </w:tabs>
        <w:ind w:left="2880" w:hanging="360"/>
      </w:pPr>
      <w:rPr>
        <w:rFonts w:ascii="Arial" w:hAnsi="Arial" w:hint="default"/>
      </w:rPr>
    </w:lvl>
    <w:lvl w:ilvl="4" w:tplc="AAF61DC2" w:tentative="1">
      <w:start w:val="1"/>
      <w:numFmt w:val="bullet"/>
      <w:lvlText w:val="•"/>
      <w:lvlJc w:val="left"/>
      <w:pPr>
        <w:tabs>
          <w:tab w:val="num" w:pos="3600"/>
        </w:tabs>
        <w:ind w:left="3600" w:hanging="360"/>
      </w:pPr>
      <w:rPr>
        <w:rFonts w:ascii="Arial" w:hAnsi="Arial" w:hint="default"/>
      </w:rPr>
    </w:lvl>
    <w:lvl w:ilvl="5" w:tplc="F22414B0" w:tentative="1">
      <w:start w:val="1"/>
      <w:numFmt w:val="bullet"/>
      <w:lvlText w:val="•"/>
      <w:lvlJc w:val="left"/>
      <w:pPr>
        <w:tabs>
          <w:tab w:val="num" w:pos="4320"/>
        </w:tabs>
        <w:ind w:left="4320" w:hanging="360"/>
      </w:pPr>
      <w:rPr>
        <w:rFonts w:ascii="Arial" w:hAnsi="Arial" w:hint="default"/>
      </w:rPr>
    </w:lvl>
    <w:lvl w:ilvl="6" w:tplc="E84EBD0A" w:tentative="1">
      <w:start w:val="1"/>
      <w:numFmt w:val="bullet"/>
      <w:lvlText w:val="•"/>
      <w:lvlJc w:val="left"/>
      <w:pPr>
        <w:tabs>
          <w:tab w:val="num" w:pos="5040"/>
        </w:tabs>
        <w:ind w:left="5040" w:hanging="360"/>
      </w:pPr>
      <w:rPr>
        <w:rFonts w:ascii="Arial" w:hAnsi="Arial" w:hint="default"/>
      </w:rPr>
    </w:lvl>
    <w:lvl w:ilvl="7" w:tplc="BDAAA65E" w:tentative="1">
      <w:start w:val="1"/>
      <w:numFmt w:val="bullet"/>
      <w:lvlText w:val="•"/>
      <w:lvlJc w:val="left"/>
      <w:pPr>
        <w:tabs>
          <w:tab w:val="num" w:pos="5760"/>
        </w:tabs>
        <w:ind w:left="5760" w:hanging="360"/>
      </w:pPr>
      <w:rPr>
        <w:rFonts w:ascii="Arial" w:hAnsi="Arial" w:hint="default"/>
      </w:rPr>
    </w:lvl>
    <w:lvl w:ilvl="8" w:tplc="FDFC4D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530817"/>
    <w:multiLevelType w:val="hybridMultilevel"/>
    <w:tmpl w:val="2E0282B4"/>
    <w:lvl w:ilvl="0" w:tplc="CC78A3F6">
      <w:start w:val="1"/>
      <w:numFmt w:val="bullet"/>
      <w:lvlText w:val="•"/>
      <w:lvlJc w:val="left"/>
      <w:pPr>
        <w:tabs>
          <w:tab w:val="num" w:pos="720"/>
        </w:tabs>
        <w:ind w:left="720" w:hanging="360"/>
      </w:pPr>
      <w:rPr>
        <w:rFonts w:ascii="Arial" w:hAnsi="Arial" w:hint="default"/>
      </w:rPr>
    </w:lvl>
    <w:lvl w:ilvl="1" w:tplc="B6D477DA" w:tentative="1">
      <w:start w:val="1"/>
      <w:numFmt w:val="bullet"/>
      <w:lvlText w:val="•"/>
      <w:lvlJc w:val="left"/>
      <w:pPr>
        <w:tabs>
          <w:tab w:val="num" w:pos="1440"/>
        </w:tabs>
        <w:ind w:left="1440" w:hanging="360"/>
      </w:pPr>
      <w:rPr>
        <w:rFonts w:ascii="Arial" w:hAnsi="Arial" w:hint="default"/>
      </w:rPr>
    </w:lvl>
    <w:lvl w:ilvl="2" w:tplc="6CFA1926" w:tentative="1">
      <w:start w:val="1"/>
      <w:numFmt w:val="bullet"/>
      <w:lvlText w:val="•"/>
      <w:lvlJc w:val="left"/>
      <w:pPr>
        <w:tabs>
          <w:tab w:val="num" w:pos="2160"/>
        </w:tabs>
        <w:ind w:left="2160" w:hanging="360"/>
      </w:pPr>
      <w:rPr>
        <w:rFonts w:ascii="Arial" w:hAnsi="Arial" w:hint="default"/>
      </w:rPr>
    </w:lvl>
    <w:lvl w:ilvl="3" w:tplc="4D66D6BE" w:tentative="1">
      <w:start w:val="1"/>
      <w:numFmt w:val="bullet"/>
      <w:lvlText w:val="•"/>
      <w:lvlJc w:val="left"/>
      <w:pPr>
        <w:tabs>
          <w:tab w:val="num" w:pos="2880"/>
        </w:tabs>
        <w:ind w:left="2880" w:hanging="360"/>
      </w:pPr>
      <w:rPr>
        <w:rFonts w:ascii="Arial" w:hAnsi="Arial" w:hint="default"/>
      </w:rPr>
    </w:lvl>
    <w:lvl w:ilvl="4" w:tplc="C7AA7D56" w:tentative="1">
      <w:start w:val="1"/>
      <w:numFmt w:val="bullet"/>
      <w:lvlText w:val="•"/>
      <w:lvlJc w:val="left"/>
      <w:pPr>
        <w:tabs>
          <w:tab w:val="num" w:pos="3600"/>
        </w:tabs>
        <w:ind w:left="3600" w:hanging="360"/>
      </w:pPr>
      <w:rPr>
        <w:rFonts w:ascii="Arial" w:hAnsi="Arial" w:hint="default"/>
      </w:rPr>
    </w:lvl>
    <w:lvl w:ilvl="5" w:tplc="A828A922" w:tentative="1">
      <w:start w:val="1"/>
      <w:numFmt w:val="bullet"/>
      <w:lvlText w:val="•"/>
      <w:lvlJc w:val="left"/>
      <w:pPr>
        <w:tabs>
          <w:tab w:val="num" w:pos="4320"/>
        </w:tabs>
        <w:ind w:left="4320" w:hanging="360"/>
      </w:pPr>
      <w:rPr>
        <w:rFonts w:ascii="Arial" w:hAnsi="Arial" w:hint="default"/>
      </w:rPr>
    </w:lvl>
    <w:lvl w:ilvl="6" w:tplc="24F8A8D6" w:tentative="1">
      <w:start w:val="1"/>
      <w:numFmt w:val="bullet"/>
      <w:lvlText w:val="•"/>
      <w:lvlJc w:val="left"/>
      <w:pPr>
        <w:tabs>
          <w:tab w:val="num" w:pos="5040"/>
        </w:tabs>
        <w:ind w:left="5040" w:hanging="360"/>
      </w:pPr>
      <w:rPr>
        <w:rFonts w:ascii="Arial" w:hAnsi="Arial" w:hint="default"/>
      </w:rPr>
    </w:lvl>
    <w:lvl w:ilvl="7" w:tplc="C9F2D422" w:tentative="1">
      <w:start w:val="1"/>
      <w:numFmt w:val="bullet"/>
      <w:lvlText w:val="•"/>
      <w:lvlJc w:val="left"/>
      <w:pPr>
        <w:tabs>
          <w:tab w:val="num" w:pos="5760"/>
        </w:tabs>
        <w:ind w:left="5760" w:hanging="360"/>
      </w:pPr>
      <w:rPr>
        <w:rFonts w:ascii="Arial" w:hAnsi="Arial" w:hint="default"/>
      </w:rPr>
    </w:lvl>
    <w:lvl w:ilvl="8" w:tplc="D81A11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C17DDD"/>
    <w:multiLevelType w:val="hybridMultilevel"/>
    <w:tmpl w:val="AD7E4496"/>
    <w:lvl w:ilvl="0" w:tplc="8EDAA70A">
      <w:start w:val="1"/>
      <w:numFmt w:val="bullet"/>
      <w:lvlText w:val="•"/>
      <w:lvlJc w:val="left"/>
      <w:pPr>
        <w:tabs>
          <w:tab w:val="num" w:pos="720"/>
        </w:tabs>
        <w:ind w:left="720" w:hanging="360"/>
      </w:pPr>
      <w:rPr>
        <w:rFonts w:ascii="Arial" w:hAnsi="Arial" w:hint="default"/>
      </w:rPr>
    </w:lvl>
    <w:lvl w:ilvl="1" w:tplc="C1046A54" w:tentative="1">
      <w:start w:val="1"/>
      <w:numFmt w:val="bullet"/>
      <w:lvlText w:val="•"/>
      <w:lvlJc w:val="left"/>
      <w:pPr>
        <w:tabs>
          <w:tab w:val="num" w:pos="1440"/>
        </w:tabs>
        <w:ind w:left="1440" w:hanging="360"/>
      </w:pPr>
      <w:rPr>
        <w:rFonts w:ascii="Arial" w:hAnsi="Arial" w:hint="default"/>
      </w:rPr>
    </w:lvl>
    <w:lvl w:ilvl="2" w:tplc="9ABA8292" w:tentative="1">
      <w:start w:val="1"/>
      <w:numFmt w:val="bullet"/>
      <w:lvlText w:val="•"/>
      <w:lvlJc w:val="left"/>
      <w:pPr>
        <w:tabs>
          <w:tab w:val="num" w:pos="2160"/>
        </w:tabs>
        <w:ind w:left="2160" w:hanging="360"/>
      </w:pPr>
      <w:rPr>
        <w:rFonts w:ascii="Arial" w:hAnsi="Arial" w:hint="default"/>
      </w:rPr>
    </w:lvl>
    <w:lvl w:ilvl="3" w:tplc="B6ECFA02" w:tentative="1">
      <w:start w:val="1"/>
      <w:numFmt w:val="bullet"/>
      <w:lvlText w:val="•"/>
      <w:lvlJc w:val="left"/>
      <w:pPr>
        <w:tabs>
          <w:tab w:val="num" w:pos="2880"/>
        </w:tabs>
        <w:ind w:left="2880" w:hanging="360"/>
      </w:pPr>
      <w:rPr>
        <w:rFonts w:ascii="Arial" w:hAnsi="Arial" w:hint="default"/>
      </w:rPr>
    </w:lvl>
    <w:lvl w:ilvl="4" w:tplc="CF5C87CE" w:tentative="1">
      <w:start w:val="1"/>
      <w:numFmt w:val="bullet"/>
      <w:lvlText w:val="•"/>
      <w:lvlJc w:val="left"/>
      <w:pPr>
        <w:tabs>
          <w:tab w:val="num" w:pos="3600"/>
        </w:tabs>
        <w:ind w:left="3600" w:hanging="360"/>
      </w:pPr>
      <w:rPr>
        <w:rFonts w:ascii="Arial" w:hAnsi="Arial" w:hint="default"/>
      </w:rPr>
    </w:lvl>
    <w:lvl w:ilvl="5" w:tplc="5E08C8A0" w:tentative="1">
      <w:start w:val="1"/>
      <w:numFmt w:val="bullet"/>
      <w:lvlText w:val="•"/>
      <w:lvlJc w:val="left"/>
      <w:pPr>
        <w:tabs>
          <w:tab w:val="num" w:pos="4320"/>
        </w:tabs>
        <w:ind w:left="4320" w:hanging="360"/>
      </w:pPr>
      <w:rPr>
        <w:rFonts w:ascii="Arial" w:hAnsi="Arial" w:hint="default"/>
      </w:rPr>
    </w:lvl>
    <w:lvl w:ilvl="6" w:tplc="36A82944" w:tentative="1">
      <w:start w:val="1"/>
      <w:numFmt w:val="bullet"/>
      <w:lvlText w:val="•"/>
      <w:lvlJc w:val="left"/>
      <w:pPr>
        <w:tabs>
          <w:tab w:val="num" w:pos="5040"/>
        </w:tabs>
        <w:ind w:left="5040" w:hanging="360"/>
      </w:pPr>
      <w:rPr>
        <w:rFonts w:ascii="Arial" w:hAnsi="Arial" w:hint="default"/>
      </w:rPr>
    </w:lvl>
    <w:lvl w:ilvl="7" w:tplc="709814AE" w:tentative="1">
      <w:start w:val="1"/>
      <w:numFmt w:val="bullet"/>
      <w:lvlText w:val="•"/>
      <w:lvlJc w:val="left"/>
      <w:pPr>
        <w:tabs>
          <w:tab w:val="num" w:pos="5760"/>
        </w:tabs>
        <w:ind w:left="5760" w:hanging="360"/>
      </w:pPr>
      <w:rPr>
        <w:rFonts w:ascii="Arial" w:hAnsi="Arial" w:hint="default"/>
      </w:rPr>
    </w:lvl>
    <w:lvl w:ilvl="8" w:tplc="9CB67C7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0A3FBA"/>
    <w:multiLevelType w:val="hybridMultilevel"/>
    <w:tmpl w:val="2320F9E2"/>
    <w:lvl w:ilvl="0" w:tplc="F2845236">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1532728">
    <w:abstractNumId w:val="9"/>
  </w:num>
  <w:num w:numId="2" w16cid:durableId="124274964">
    <w:abstractNumId w:val="7"/>
  </w:num>
  <w:num w:numId="3" w16cid:durableId="1605264430">
    <w:abstractNumId w:val="6"/>
  </w:num>
  <w:num w:numId="4" w16cid:durableId="1802844937">
    <w:abstractNumId w:val="5"/>
  </w:num>
  <w:num w:numId="5" w16cid:durableId="1776636997">
    <w:abstractNumId w:val="4"/>
  </w:num>
  <w:num w:numId="6" w16cid:durableId="1570849880">
    <w:abstractNumId w:val="8"/>
  </w:num>
  <w:num w:numId="7" w16cid:durableId="1910000918">
    <w:abstractNumId w:val="3"/>
  </w:num>
  <w:num w:numId="8" w16cid:durableId="681902343">
    <w:abstractNumId w:val="2"/>
  </w:num>
  <w:num w:numId="9" w16cid:durableId="5256940">
    <w:abstractNumId w:val="1"/>
  </w:num>
  <w:num w:numId="10" w16cid:durableId="1552692435">
    <w:abstractNumId w:val="0"/>
  </w:num>
  <w:num w:numId="11" w16cid:durableId="1269972197">
    <w:abstractNumId w:val="15"/>
  </w:num>
  <w:num w:numId="12" w16cid:durableId="278991014">
    <w:abstractNumId w:val="11"/>
  </w:num>
  <w:num w:numId="13" w16cid:durableId="1858621339">
    <w:abstractNumId w:val="13"/>
  </w:num>
  <w:num w:numId="14" w16cid:durableId="672531854">
    <w:abstractNumId w:val="12"/>
  </w:num>
  <w:num w:numId="15" w16cid:durableId="1767462080">
    <w:abstractNumId w:val="10"/>
  </w:num>
  <w:num w:numId="16" w16cid:durableId="1736391903">
    <w:abstractNumId w:val="14"/>
  </w:num>
  <w:num w:numId="17" w16cid:durableId="1467892158">
    <w:abstractNumId w:val="19"/>
  </w:num>
  <w:num w:numId="18" w16cid:durableId="964238388">
    <w:abstractNumId w:val="20"/>
  </w:num>
  <w:num w:numId="19" w16cid:durableId="2010937046">
    <w:abstractNumId w:val="18"/>
  </w:num>
  <w:num w:numId="20" w16cid:durableId="1571767482">
    <w:abstractNumId w:val="17"/>
  </w:num>
  <w:num w:numId="21" w16cid:durableId="133373131">
    <w:abstractNumId w:val="16"/>
  </w:num>
  <w:num w:numId="22" w16cid:durableId="7700541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EA"/>
    <w:rsid w:val="00004174"/>
    <w:rsid w:val="00004470"/>
    <w:rsid w:val="000057C3"/>
    <w:rsid w:val="000136AF"/>
    <w:rsid w:val="000169FD"/>
    <w:rsid w:val="00017264"/>
    <w:rsid w:val="000258B1"/>
    <w:rsid w:val="000301D5"/>
    <w:rsid w:val="00033F2C"/>
    <w:rsid w:val="00033FEB"/>
    <w:rsid w:val="000342F1"/>
    <w:rsid w:val="00040A89"/>
    <w:rsid w:val="00040B08"/>
    <w:rsid w:val="000437C1"/>
    <w:rsid w:val="00043A89"/>
    <w:rsid w:val="000440F1"/>
    <w:rsid w:val="0004455A"/>
    <w:rsid w:val="00050BCA"/>
    <w:rsid w:val="0005365D"/>
    <w:rsid w:val="000614BF"/>
    <w:rsid w:val="00063B40"/>
    <w:rsid w:val="000648E3"/>
    <w:rsid w:val="0006709C"/>
    <w:rsid w:val="00074376"/>
    <w:rsid w:val="00085578"/>
    <w:rsid w:val="00091323"/>
    <w:rsid w:val="0009153B"/>
    <w:rsid w:val="00093A58"/>
    <w:rsid w:val="000978F5"/>
    <w:rsid w:val="000B15CD"/>
    <w:rsid w:val="000B35EB"/>
    <w:rsid w:val="000B59FF"/>
    <w:rsid w:val="000C5195"/>
    <w:rsid w:val="000D05EF"/>
    <w:rsid w:val="000D185F"/>
    <w:rsid w:val="000D4A60"/>
    <w:rsid w:val="000E037B"/>
    <w:rsid w:val="000E0C4A"/>
    <w:rsid w:val="000E2261"/>
    <w:rsid w:val="000E423A"/>
    <w:rsid w:val="000E58E2"/>
    <w:rsid w:val="000E639E"/>
    <w:rsid w:val="000E78B7"/>
    <w:rsid w:val="000F21C1"/>
    <w:rsid w:val="000F7A85"/>
    <w:rsid w:val="00104679"/>
    <w:rsid w:val="00104831"/>
    <w:rsid w:val="0010745C"/>
    <w:rsid w:val="001161A1"/>
    <w:rsid w:val="00122BAE"/>
    <w:rsid w:val="001233D1"/>
    <w:rsid w:val="00123678"/>
    <w:rsid w:val="00125E6C"/>
    <w:rsid w:val="0012749A"/>
    <w:rsid w:val="00127B35"/>
    <w:rsid w:val="00132CEB"/>
    <w:rsid w:val="001339B0"/>
    <w:rsid w:val="00137A9F"/>
    <w:rsid w:val="00142B62"/>
    <w:rsid w:val="00143AF1"/>
    <w:rsid w:val="001441B7"/>
    <w:rsid w:val="001516CB"/>
    <w:rsid w:val="00151CFA"/>
    <w:rsid w:val="00152336"/>
    <w:rsid w:val="0015249E"/>
    <w:rsid w:val="00157B8B"/>
    <w:rsid w:val="00161CF6"/>
    <w:rsid w:val="00166C2F"/>
    <w:rsid w:val="0017024B"/>
    <w:rsid w:val="00173ED1"/>
    <w:rsid w:val="00177102"/>
    <w:rsid w:val="001809D7"/>
    <w:rsid w:val="00184536"/>
    <w:rsid w:val="00191347"/>
    <w:rsid w:val="001939E1"/>
    <w:rsid w:val="001946A6"/>
    <w:rsid w:val="00194C3E"/>
    <w:rsid w:val="00195382"/>
    <w:rsid w:val="001A1469"/>
    <w:rsid w:val="001A34C5"/>
    <w:rsid w:val="001A4AA9"/>
    <w:rsid w:val="001B2CB6"/>
    <w:rsid w:val="001C1123"/>
    <w:rsid w:val="001C61C5"/>
    <w:rsid w:val="001C61D6"/>
    <w:rsid w:val="001C69C4"/>
    <w:rsid w:val="001D37EF"/>
    <w:rsid w:val="001D424C"/>
    <w:rsid w:val="001E3590"/>
    <w:rsid w:val="001E7407"/>
    <w:rsid w:val="001F5D5E"/>
    <w:rsid w:val="001F6219"/>
    <w:rsid w:val="001F6C04"/>
    <w:rsid w:val="001F6CD4"/>
    <w:rsid w:val="0020624A"/>
    <w:rsid w:val="00206C4D"/>
    <w:rsid w:val="00207BCB"/>
    <w:rsid w:val="002124B4"/>
    <w:rsid w:val="00215AF1"/>
    <w:rsid w:val="00220E2B"/>
    <w:rsid w:val="00221E01"/>
    <w:rsid w:val="002321E8"/>
    <w:rsid w:val="00232984"/>
    <w:rsid w:val="0024010F"/>
    <w:rsid w:val="00240749"/>
    <w:rsid w:val="00240D84"/>
    <w:rsid w:val="002425BF"/>
    <w:rsid w:val="00243018"/>
    <w:rsid w:val="002564A4"/>
    <w:rsid w:val="002648EB"/>
    <w:rsid w:val="0026600A"/>
    <w:rsid w:val="0026736C"/>
    <w:rsid w:val="00272B54"/>
    <w:rsid w:val="0027591B"/>
    <w:rsid w:val="00281171"/>
    <w:rsid w:val="00281303"/>
    <w:rsid w:val="00281308"/>
    <w:rsid w:val="002844A4"/>
    <w:rsid w:val="00284719"/>
    <w:rsid w:val="00284B2B"/>
    <w:rsid w:val="00285498"/>
    <w:rsid w:val="002857E8"/>
    <w:rsid w:val="00290307"/>
    <w:rsid w:val="002935DA"/>
    <w:rsid w:val="00297ECB"/>
    <w:rsid w:val="002A34E9"/>
    <w:rsid w:val="002A37E0"/>
    <w:rsid w:val="002A3C42"/>
    <w:rsid w:val="002A7BCF"/>
    <w:rsid w:val="002B107F"/>
    <w:rsid w:val="002B5C03"/>
    <w:rsid w:val="002C3FD1"/>
    <w:rsid w:val="002C4D47"/>
    <w:rsid w:val="002C4DCA"/>
    <w:rsid w:val="002D043A"/>
    <w:rsid w:val="002D266B"/>
    <w:rsid w:val="002D456B"/>
    <w:rsid w:val="002D6224"/>
    <w:rsid w:val="002E0181"/>
    <w:rsid w:val="002F0A3E"/>
    <w:rsid w:val="00301C24"/>
    <w:rsid w:val="00302DF0"/>
    <w:rsid w:val="00304F8B"/>
    <w:rsid w:val="00306F7F"/>
    <w:rsid w:val="00311429"/>
    <w:rsid w:val="00311F77"/>
    <w:rsid w:val="00323820"/>
    <w:rsid w:val="00323AD9"/>
    <w:rsid w:val="0033370F"/>
    <w:rsid w:val="00335BC6"/>
    <w:rsid w:val="003415D3"/>
    <w:rsid w:val="0034251D"/>
    <w:rsid w:val="00344338"/>
    <w:rsid w:val="00344701"/>
    <w:rsid w:val="00346161"/>
    <w:rsid w:val="00352B0F"/>
    <w:rsid w:val="00356A65"/>
    <w:rsid w:val="00357891"/>
    <w:rsid w:val="00360459"/>
    <w:rsid w:val="00363F87"/>
    <w:rsid w:val="00366EC2"/>
    <w:rsid w:val="00370714"/>
    <w:rsid w:val="00374ABA"/>
    <w:rsid w:val="00376208"/>
    <w:rsid w:val="003767E2"/>
    <w:rsid w:val="0038049F"/>
    <w:rsid w:val="003805F2"/>
    <w:rsid w:val="00384D0A"/>
    <w:rsid w:val="00387B10"/>
    <w:rsid w:val="00392200"/>
    <w:rsid w:val="00392F19"/>
    <w:rsid w:val="00395075"/>
    <w:rsid w:val="003960AD"/>
    <w:rsid w:val="003A13E9"/>
    <w:rsid w:val="003A1523"/>
    <w:rsid w:val="003A17DC"/>
    <w:rsid w:val="003B3C5B"/>
    <w:rsid w:val="003B5DA5"/>
    <w:rsid w:val="003C2759"/>
    <w:rsid w:val="003C6231"/>
    <w:rsid w:val="003D0BFE"/>
    <w:rsid w:val="003D3EF3"/>
    <w:rsid w:val="003D5700"/>
    <w:rsid w:val="003E2B6E"/>
    <w:rsid w:val="003E341B"/>
    <w:rsid w:val="003E4D00"/>
    <w:rsid w:val="003E5EC7"/>
    <w:rsid w:val="003F6B11"/>
    <w:rsid w:val="00400EA1"/>
    <w:rsid w:val="0040473E"/>
    <w:rsid w:val="004116CD"/>
    <w:rsid w:val="00414FB2"/>
    <w:rsid w:val="00417A90"/>
    <w:rsid w:val="00417EB9"/>
    <w:rsid w:val="00423864"/>
    <w:rsid w:val="00424CA9"/>
    <w:rsid w:val="004276DF"/>
    <w:rsid w:val="00431E9B"/>
    <w:rsid w:val="00433E29"/>
    <w:rsid w:val="00435251"/>
    <w:rsid w:val="004379E3"/>
    <w:rsid w:val="0044015E"/>
    <w:rsid w:val="0044291A"/>
    <w:rsid w:val="00447616"/>
    <w:rsid w:val="00447C9E"/>
    <w:rsid w:val="00452949"/>
    <w:rsid w:val="00452AC3"/>
    <w:rsid w:val="00453213"/>
    <w:rsid w:val="00454643"/>
    <w:rsid w:val="0045597F"/>
    <w:rsid w:val="0045649D"/>
    <w:rsid w:val="00467661"/>
    <w:rsid w:val="00472DBE"/>
    <w:rsid w:val="00474A19"/>
    <w:rsid w:val="00475116"/>
    <w:rsid w:val="00477830"/>
    <w:rsid w:val="004800EE"/>
    <w:rsid w:val="00481DAF"/>
    <w:rsid w:val="00485404"/>
    <w:rsid w:val="00487764"/>
    <w:rsid w:val="00491475"/>
    <w:rsid w:val="00496F97"/>
    <w:rsid w:val="004A2364"/>
    <w:rsid w:val="004B2336"/>
    <w:rsid w:val="004B383E"/>
    <w:rsid w:val="004B3998"/>
    <w:rsid w:val="004B6C48"/>
    <w:rsid w:val="004C15FC"/>
    <w:rsid w:val="004C1AF6"/>
    <w:rsid w:val="004C4E59"/>
    <w:rsid w:val="004C6809"/>
    <w:rsid w:val="004D3B65"/>
    <w:rsid w:val="004D4F0B"/>
    <w:rsid w:val="004D721B"/>
    <w:rsid w:val="004E063A"/>
    <w:rsid w:val="004E1307"/>
    <w:rsid w:val="004E241C"/>
    <w:rsid w:val="004E7BEC"/>
    <w:rsid w:val="004F664C"/>
    <w:rsid w:val="00501F36"/>
    <w:rsid w:val="00505D3D"/>
    <w:rsid w:val="00506AF6"/>
    <w:rsid w:val="00516B8D"/>
    <w:rsid w:val="005303C8"/>
    <w:rsid w:val="005326EA"/>
    <w:rsid w:val="00535225"/>
    <w:rsid w:val="00537FBC"/>
    <w:rsid w:val="0054018D"/>
    <w:rsid w:val="00541E64"/>
    <w:rsid w:val="00543584"/>
    <w:rsid w:val="0054660F"/>
    <w:rsid w:val="0054669B"/>
    <w:rsid w:val="00546701"/>
    <w:rsid w:val="0055376C"/>
    <w:rsid w:val="00554826"/>
    <w:rsid w:val="00562877"/>
    <w:rsid w:val="00563C30"/>
    <w:rsid w:val="005708D4"/>
    <w:rsid w:val="005741A6"/>
    <w:rsid w:val="00581212"/>
    <w:rsid w:val="005843EE"/>
    <w:rsid w:val="00584811"/>
    <w:rsid w:val="00585784"/>
    <w:rsid w:val="005922EA"/>
    <w:rsid w:val="00593AA6"/>
    <w:rsid w:val="00594161"/>
    <w:rsid w:val="00594749"/>
    <w:rsid w:val="005A65D5"/>
    <w:rsid w:val="005B0568"/>
    <w:rsid w:val="005B4067"/>
    <w:rsid w:val="005B6D87"/>
    <w:rsid w:val="005B6FFC"/>
    <w:rsid w:val="005C3F41"/>
    <w:rsid w:val="005C5878"/>
    <w:rsid w:val="005D0656"/>
    <w:rsid w:val="005D1D92"/>
    <w:rsid w:val="005D2D09"/>
    <w:rsid w:val="005D4224"/>
    <w:rsid w:val="005D4D00"/>
    <w:rsid w:val="005E562C"/>
    <w:rsid w:val="005E58C4"/>
    <w:rsid w:val="005F6969"/>
    <w:rsid w:val="00600219"/>
    <w:rsid w:val="00602D45"/>
    <w:rsid w:val="00604225"/>
    <w:rsid w:val="00604F2A"/>
    <w:rsid w:val="00604FED"/>
    <w:rsid w:val="00606674"/>
    <w:rsid w:val="00606FC6"/>
    <w:rsid w:val="00610223"/>
    <w:rsid w:val="00620076"/>
    <w:rsid w:val="00627E0A"/>
    <w:rsid w:val="0063033C"/>
    <w:rsid w:val="006367E2"/>
    <w:rsid w:val="00642C37"/>
    <w:rsid w:val="00645E02"/>
    <w:rsid w:val="006467FB"/>
    <w:rsid w:val="00647A5F"/>
    <w:rsid w:val="0065488B"/>
    <w:rsid w:val="00660306"/>
    <w:rsid w:val="00670EA1"/>
    <w:rsid w:val="00671162"/>
    <w:rsid w:val="00676EA5"/>
    <w:rsid w:val="00677CC2"/>
    <w:rsid w:val="00677D7C"/>
    <w:rsid w:val="0068178E"/>
    <w:rsid w:val="00682541"/>
    <w:rsid w:val="0068744B"/>
    <w:rsid w:val="006905DE"/>
    <w:rsid w:val="0069207B"/>
    <w:rsid w:val="00695262"/>
    <w:rsid w:val="006A154F"/>
    <w:rsid w:val="006A25B1"/>
    <w:rsid w:val="006A437B"/>
    <w:rsid w:val="006A5A82"/>
    <w:rsid w:val="006A7EE5"/>
    <w:rsid w:val="006B1B91"/>
    <w:rsid w:val="006B3BD9"/>
    <w:rsid w:val="006B5789"/>
    <w:rsid w:val="006B5C31"/>
    <w:rsid w:val="006B61CA"/>
    <w:rsid w:val="006C30C5"/>
    <w:rsid w:val="006C6E9D"/>
    <w:rsid w:val="006C7F8C"/>
    <w:rsid w:val="006D0B54"/>
    <w:rsid w:val="006D256E"/>
    <w:rsid w:val="006D2586"/>
    <w:rsid w:val="006D678B"/>
    <w:rsid w:val="006E2E1C"/>
    <w:rsid w:val="006E6246"/>
    <w:rsid w:val="006E69C2"/>
    <w:rsid w:val="006E6DCC"/>
    <w:rsid w:val="006E7775"/>
    <w:rsid w:val="006F318F"/>
    <w:rsid w:val="006F41A1"/>
    <w:rsid w:val="006F4482"/>
    <w:rsid w:val="0070017E"/>
    <w:rsid w:val="00700B2C"/>
    <w:rsid w:val="00701660"/>
    <w:rsid w:val="007050A2"/>
    <w:rsid w:val="00711524"/>
    <w:rsid w:val="00711DEA"/>
    <w:rsid w:val="00713084"/>
    <w:rsid w:val="00714F20"/>
    <w:rsid w:val="0071520F"/>
    <w:rsid w:val="0071590F"/>
    <w:rsid w:val="00715914"/>
    <w:rsid w:val="00720E47"/>
    <w:rsid w:val="0072147A"/>
    <w:rsid w:val="0072373A"/>
    <w:rsid w:val="00723791"/>
    <w:rsid w:val="00723D03"/>
    <w:rsid w:val="0072423B"/>
    <w:rsid w:val="00725D05"/>
    <w:rsid w:val="00731E00"/>
    <w:rsid w:val="00731E66"/>
    <w:rsid w:val="007440B7"/>
    <w:rsid w:val="007500C8"/>
    <w:rsid w:val="00751CF3"/>
    <w:rsid w:val="00756272"/>
    <w:rsid w:val="00762C83"/>
    <w:rsid w:val="00762D38"/>
    <w:rsid w:val="0076360A"/>
    <w:rsid w:val="00763E89"/>
    <w:rsid w:val="007715C9"/>
    <w:rsid w:val="00771613"/>
    <w:rsid w:val="00774EDD"/>
    <w:rsid w:val="007757EC"/>
    <w:rsid w:val="007810B5"/>
    <w:rsid w:val="00782007"/>
    <w:rsid w:val="00783E89"/>
    <w:rsid w:val="00793915"/>
    <w:rsid w:val="007A2113"/>
    <w:rsid w:val="007A2D6A"/>
    <w:rsid w:val="007A62C4"/>
    <w:rsid w:val="007A62F5"/>
    <w:rsid w:val="007A73E7"/>
    <w:rsid w:val="007B042D"/>
    <w:rsid w:val="007B4265"/>
    <w:rsid w:val="007B4EAF"/>
    <w:rsid w:val="007C0A26"/>
    <w:rsid w:val="007C2253"/>
    <w:rsid w:val="007D3A9F"/>
    <w:rsid w:val="007D52A2"/>
    <w:rsid w:val="007D7911"/>
    <w:rsid w:val="007E163D"/>
    <w:rsid w:val="007E23E9"/>
    <w:rsid w:val="007E48EF"/>
    <w:rsid w:val="007E667A"/>
    <w:rsid w:val="007E7902"/>
    <w:rsid w:val="007F28C9"/>
    <w:rsid w:val="007F51B2"/>
    <w:rsid w:val="008017DE"/>
    <w:rsid w:val="008040DD"/>
    <w:rsid w:val="00806AD5"/>
    <w:rsid w:val="008117E9"/>
    <w:rsid w:val="00816BBF"/>
    <w:rsid w:val="0082042E"/>
    <w:rsid w:val="00820806"/>
    <w:rsid w:val="00820887"/>
    <w:rsid w:val="00824498"/>
    <w:rsid w:val="008268A0"/>
    <w:rsid w:val="00826BD1"/>
    <w:rsid w:val="00830254"/>
    <w:rsid w:val="00831A47"/>
    <w:rsid w:val="0083381F"/>
    <w:rsid w:val="008344D0"/>
    <w:rsid w:val="008400C3"/>
    <w:rsid w:val="0085254A"/>
    <w:rsid w:val="00852E69"/>
    <w:rsid w:val="00853B74"/>
    <w:rsid w:val="00854D0B"/>
    <w:rsid w:val="00856A31"/>
    <w:rsid w:val="00857638"/>
    <w:rsid w:val="00857C02"/>
    <w:rsid w:val="00860B4E"/>
    <w:rsid w:val="00862ADF"/>
    <w:rsid w:val="008648A8"/>
    <w:rsid w:val="00864F4F"/>
    <w:rsid w:val="00867210"/>
    <w:rsid w:val="00867B37"/>
    <w:rsid w:val="00870AD2"/>
    <w:rsid w:val="0087213A"/>
    <w:rsid w:val="008754D0"/>
    <w:rsid w:val="008756B9"/>
    <w:rsid w:val="00875D13"/>
    <w:rsid w:val="008773EC"/>
    <w:rsid w:val="00877704"/>
    <w:rsid w:val="0088398D"/>
    <w:rsid w:val="008855C9"/>
    <w:rsid w:val="00886456"/>
    <w:rsid w:val="00887995"/>
    <w:rsid w:val="00891392"/>
    <w:rsid w:val="00893641"/>
    <w:rsid w:val="00894E82"/>
    <w:rsid w:val="00896176"/>
    <w:rsid w:val="00896DF8"/>
    <w:rsid w:val="008A0909"/>
    <w:rsid w:val="008A1473"/>
    <w:rsid w:val="008A46E1"/>
    <w:rsid w:val="008A4AA7"/>
    <w:rsid w:val="008A4F43"/>
    <w:rsid w:val="008B2706"/>
    <w:rsid w:val="008B3C0B"/>
    <w:rsid w:val="008C2EAC"/>
    <w:rsid w:val="008C50FF"/>
    <w:rsid w:val="008D0EE0"/>
    <w:rsid w:val="008D2742"/>
    <w:rsid w:val="008D7FF1"/>
    <w:rsid w:val="008E0027"/>
    <w:rsid w:val="008E1D50"/>
    <w:rsid w:val="008E2DA7"/>
    <w:rsid w:val="008E3658"/>
    <w:rsid w:val="008E4FAC"/>
    <w:rsid w:val="008E6067"/>
    <w:rsid w:val="008F4042"/>
    <w:rsid w:val="008F54E7"/>
    <w:rsid w:val="008F6EF0"/>
    <w:rsid w:val="00902A39"/>
    <w:rsid w:val="00903422"/>
    <w:rsid w:val="009121C9"/>
    <w:rsid w:val="00915C6C"/>
    <w:rsid w:val="0092237B"/>
    <w:rsid w:val="00922D6F"/>
    <w:rsid w:val="009254C3"/>
    <w:rsid w:val="00932377"/>
    <w:rsid w:val="0093373A"/>
    <w:rsid w:val="00933FF0"/>
    <w:rsid w:val="00941236"/>
    <w:rsid w:val="00943256"/>
    <w:rsid w:val="00943AA4"/>
    <w:rsid w:val="00943FD5"/>
    <w:rsid w:val="00947D5A"/>
    <w:rsid w:val="009532A5"/>
    <w:rsid w:val="009545BD"/>
    <w:rsid w:val="00955BAF"/>
    <w:rsid w:val="00964CF0"/>
    <w:rsid w:val="0097058D"/>
    <w:rsid w:val="009728A5"/>
    <w:rsid w:val="009767D9"/>
    <w:rsid w:val="00977806"/>
    <w:rsid w:val="00980F58"/>
    <w:rsid w:val="00982242"/>
    <w:rsid w:val="00983E1A"/>
    <w:rsid w:val="009868E9"/>
    <w:rsid w:val="009900A3"/>
    <w:rsid w:val="00991E48"/>
    <w:rsid w:val="00995598"/>
    <w:rsid w:val="00997CAA"/>
    <w:rsid w:val="009A2A12"/>
    <w:rsid w:val="009A4455"/>
    <w:rsid w:val="009A4B52"/>
    <w:rsid w:val="009A663E"/>
    <w:rsid w:val="009B0A76"/>
    <w:rsid w:val="009B0E4C"/>
    <w:rsid w:val="009B4DF3"/>
    <w:rsid w:val="009C04FA"/>
    <w:rsid w:val="009C3413"/>
    <w:rsid w:val="009C42B2"/>
    <w:rsid w:val="009C7488"/>
    <w:rsid w:val="009D3CBC"/>
    <w:rsid w:val="009E2BCA"/>
    <w:rsid w:val="009E573B"/>
    <w:rsid w:val="009E66BA"/>
    <w:rsid w:val="009F1B05"/>
    <w:rsid w:val="009F412C"/>
    <w:rsid w:val="00A0441E"/>
    <w:rsid w:val="00A12128"/>
    <w:rsid w:val="00A2103E"/>
    <w:rsid w:val="00A22C98"/>
    <w:rsid w:val="00A231E2"/>
    <w:rsid w:val="00A2410D"/>
    <w:rsid w:val="00A30081"/>
    <w:rsid w:val="00A33E2A"/>
    <w:rsid w:val="00A369E3"/>
    <w:rsid w:val="00A379AA"/>
    <w:rsid w:val="00A405F1"/>
    <w:rsid w:val="00A40BB5"/>
    <w:rsid w:val="00A43B76"/>
    <w:rsid w:val="00A524B0"/>
    <w:rsid w:val="00A57600"/>
    <w:rsid w:val="00A62D3F"/>
    <w:rsid w:val="00A64455"/>
    <w:rsid w:val="00A64912"/>
    <w:rsid w:val="00A709F5"/>
    <w:rsid w:val="00A70A74"/>
    <w:rsid w:val="00A72222"/>
    <w:rsid w:val="00A725B0"/>
    <w:rsid w:val="00A744DB"/>
    <w:rsid w:val="00A75FE9"/>
    <w:rsid w:val="00A76A23"/>
    <w:rsid w:val="00A81B4A"/>
    <w:rsid w:val="00A87802"/>
    <w:rsid w:val="00A95001"/>
    <w:rsid w:val="00A97624"/>
    <w:rsid w:val="00AA7C96"/>
    <w:rsid w:val="00AB2596"/>
    <w:rsid w:val="00AB4262"/>
    <w:rsid w:val="00AC50C0"/>
    <w:rsid w:val="00AD2E8C"/>
    <w:rsid w:val="00AD53CC"/>
    <w:rsid w:val="00AD5641"/>
    <w:rsid w:val="00AD5C80"/>
    <w:rsid w:val="00AE5AFE"/>
    <w:rsid w:val="00AE6FEF"/>
    <w:rsid w:val="00AF06CF"/>
    <w:rsid w:val="00AF5F25"/>
    <w:rsid w:val="00B00C3A"/>
    <w:rsid w:val="00B06025"/>
    <w:rsid w:val="00B07CDB"/>
    <w:rsid w:val="00B148F8"/>
    <w:rsid w:val="00B15E72"/>
    <w:rsid w:val="00B16A31"/>
    <w:rsid w:val="00B17DFD"/>
    <w:rsid w:val="00B234CA"/>
    <w:rsid w:val="00B25306"/>
    <w:rsid w:val="00B27831"/>
    <w:rsid w:val="00B308FE"/>
    <w:rsid w:val="00B33709"/>
    <w:rsid w:val="00B33B3C"/>
    <w:rsid w:val="00B35F88"/>
    <w:rsid w:val="00B36392"/>
    <w:rsid w:val="00B36CF7"/>
    <w:rsid w:val="00B36FFC"/>
    <w:rsid w:val="00B4071B"/>
    <w:rsid w:val="00B418CB"/>
    <w:rsid w:val="00B41C51"/>
    <w:rsid w:val="00B4265F"/>
    <w:rsid w:val="00B456E0"/>
    <w:rsid w:val="00B47444"/>
    <w:rsid w:val="00B50ADC"/>
    <w:rsid w:val="00B5304B"/>
    <w:rsid w:val="00B566B1"/>
    <w:rsid w:val="00B568EA"/>
    <w:rsid w:val="00B606C7"/>
    <w:rsid w:val="00B62EE8"/>
    <w:rsid w:val="00B63834"/>
    <w:rsid w:val="00B65C3A"/>
    <w:rsid w:val="00B66094"/>
    <w:rsid w:val="00B66EBC"/>
    <w:rsid w:val="00B719BF"/>
    <w:rsid w:val="00B751B5"/>
    <w:rsid w:val="00B80199"/>
    <w:rsid w:val="00B83204"/>
    <w:rsid w:val="00B84DDC"/>
    <w:rsid w:val="00B850EF"/>
    <w:rsid w:val="00B856E7"/>
    <w:rsid w:val="00B97BBA"/>
    <w:rsid w:val="00BA042C"/>
    <w:rsid w:val="00BA220B"/>
    <w:rsid w:val="00BA3A57"/>
    <w:rsid w:val="00BA3B22"/>
    <w:rsid w:val="00BB1533"/>
    <w:rsid w:val="00BB3647"/>
    <w:rsid w:val="00BB4E1A"/>
    <w:rsid w:val="00BC015E"/>
    <w:rsid w:val="00BC01AA"/>
    <w:rsid w:val="00BC03E2"/>
    <w:rsid w:val="00BC0F90"/>
    <w:rsid w:val="00BC76AC"/>
    <w:rsid w:val="00BD0ECB"/>
    <w:rsid w:val="00BD4796"/>
    <w:rsid w:val="00BD6D40"/>
    <w:rsid w:val="00BE1D35"/>
    <w:rsid w:val="00BE2155"/>
    <w:rsid w:val="00BE2FC9"/>
    <w:rsid w:val="00BE3BD5"/>
    <w:rsid w:val="00BE719A"/>
    <w:rsid w:val="00BE720A"/>
    <w:rsid w:val="00BF0D73"/>
    <w:rsid w:val="00BF2465"/>
    <w:rsid w:val="00BF3F05"/>
    <w:rsid w:val="00BF5BE5"/>
    <w:rsid w:val="00C04E4A"/>
    <w:rsid w:val="00C16619"/>
    <w:rsid w:val="00C206EE"/>
    <w:rsid w:val="00C20A6A"/>
    <w:rsid w:val="00C220E0"/>
    <w:rsid w:val="00C2438D"/>
    <w:rsid w:val="00C25326"/>
    <w:rsid w:val="00C25E7F"/>
    <w:rsid w:val="00C2746F"/>
    <w:rsid w:val="00C323D6"/>
    <w:rsid w:val="00C324A0"/>
    <w:rsid w:val="00C32EBC"/>
    <w:rsid w:val="00C35DE4"/>
    <w:rsid w:val="00C42096"/>
    <w:rsid w:val="00C42BF8"/>
    <w:rsid w:val="00C45743"/>
    <w:rsid w:val="00C4654D"/>
    <w:rsid w:val="00C50043"/>
    <w:rsid w:val="00C5026D"/>
    <w:rsid w:val="00C51911"/>
    <w:rsid w:val="00C53578"/>
    <w:rsid w:val="00C7505A"/>
    <w:rsid w:val="00C7573B"/>
    <w:rsid w:val="00C7662D"/>
    <w:rsid w:val="00C838FF"/>
    <w:rsid w:val="00C90210"/>
    <w:rsid w:val="00C9515F"/>
    <w:rsid w:val="00C97A54"/>
    <w:rsid w:val="00CA0B82"/>
    <w:rsid w:val="00CA3B2F"/>
    <w:rsid w:val="00CA4C8A"/>
    <w:rsid w:val="00CA5B23"/>
    <w:rsid w:val="00CB0C0A"/>
    <w:rsid w:val="00CB149C"/>
    <w:rsid w:val="00CB4F99"/>
    <w:rsid w:val="00CB5FBD"/>
    <w:rsid w:val="00CB602E"/>
    <w:rsid w:val="00CB7E90"/>
    <w:rsid w:val="00CC054A"/>
    <w:rsid w:val="00CC0AEB"/>
    <w:rsid w:val="00CC3839"/>
    <w:rsid w:val="00CC39B6"/>
    <w:rsid w:val="00CC6FD5"/>
    <w:rsid w:val="00CD4538"/>
    <w:rsid w:val="00CE051D"/>
    <w:rsid w:val="00CE1335"/>
    <w:rsid w:val="00CE211E"/>
    <w:rsid w:val="00CE493D"/>
    <w:rsid w:val="00CF07FA"/>
    <w:rsid w:val="00CF0BB2"/>
    <w:rsid w:val="00CF3EE8"/>
    <w:rsid w:val="00CF508A"/>
    <w:rsid w:val="00CF5F71"/>
    <w:rsid w:val="00D0699E"/>
    <w:rsid w:val="00D07CE0"/>
    <w:rsid w:val="00D13441"/>
    <w:rsid w:val="00D150E7"/>
    <w:rsid w:val="00D2170B"/>
    <w:rsid w:val="00D271EB"/>
    <w:rsid w:val="00D3099A"/>
    <w:rsid w:val="00D33462"/>
    <w:rsid w:val="00D3701B"/>
    <w:rsid w:val="00D479BA"/>
    <w:rsid w:val="00D52DC2"/>
    <w:rsid w:val="00D52E05"/>
    <w:rsid w:val="00D53BCC"/>
    <w:rsid w:val="00D54C9E"/>
    <w:rsid w:val="00D55379"/>
    <w:rsid w:val="00D563C6"/>
    <w:rsid w:val="00D60929"/>
    <w:rsid w:val="00D64F66"/>
    <w:rsid w:val="00D6537E"/>
    <w:rsid w:val="00D70DFB"/>
    <w:rsid w:val="00D751E6"/>
    <w:rsid w:val="00D766DF"/>
    <w:rsid w:val="00D77A4C"/>
    <w:rsid w:val="00D8206C"/>
    <w:rsid w:val="00D90FCD"/>
    <w:rsid w:val="00D91F10"/>
    <w:rsid w:val="00D97F23"/>
    <w:rsid w:val="00DA12C3"/>
    <w:rsid w:val="00DA186E"/>
    <w:rsid w:val="00DA4116"/>
    <w:rsid w:val="00DA5A2E"/>
    <w:rsid w:val="00DB251C"/>
    <w:rsid w:val="00DB4630"/>
    <w:rsid w:val="00DB6719"/>
    <w:rsid w:val="00DC4F88"/>
    <w:rsid w:val="00DC582B"/>
    <w:rsid w:val="00DC6A38"/>
    <w:rsid w:val="00DE056F"/>
    <w:rsid w:val="00DE107C"/>
    <w:rsid w:val="00DE3C6D"/>
    <w:rsid w:val="00DE421A"/>
    <w:rsid w:val="00DF2388"/>
    <w:rsid w:val="00DF35F3"/>
    <w:rsid w:val="00E0123B"/>
    <w:rsid w:val="00E03961"/>
    <w:rsid w:val="00E05704"/>
    <w:rsid w:val="00E0614A"/>
    <w:rsid w:val="00E11381"/>
    <w:rsid w:val="00E12FDB"/>
    <w:rsid w:val="00E164D9"/>
    <w:rsid w:val="00E20DDA"/>
    <w:rsid w:val="00E22685"/>
    <w:rsid w:val="00E23F24"/>
    <w:rsid w:val="00E262D6"/>
    <w:rsid w:val="00E31FC3"/>
    <w:rsid w:val="00E338EF"/>
    <w:rsid w:val="00E36296"/>
    <w:rsid w:val="00E40AB3"/>
    <w:rsid w:val="00E4423D"/>
    <w:rsid w:val="00E44503"/>
    <w:rsid w:val="00E46552"/>
    <w:rsid w:val="00E52DC0"/>
    <w:rsid w:val="00E53E1F"/>
    <w:rsid w:val="00E544BB"/>
    <w:rsid w:val="00E563D5"/>
    <w:rsid w:val="00E623F0"/>
    <w:rsid w:val="00E649E7"/>
    <w:rsid w:val="00E6659D"/>
    <w:rsid w:val="00E667F0"/>
    <w:rsid w:val="00E66945"/>
    <w:rsid w:val="00E67DDA"/>
    <w:rsid w:val="00E740BE"/>
    <w:rsid w:val="00E74DC7"/>
    <w:rsid w:val="00E76AE7"/>
    <w:rsid w:val="00E8075A"/>
    <w:rsid w:val="00E85206"/>
    <w:rsid w:val="00E867CF"/>
    <w:rsid w:val="00E87C30"/>
    <w:rsid w:val="00E90BCF"/>
    <w:rsid w:val="00E940D8"/>
    <w:rsid w:val="00E94D5E"/>
    <w:rsid w:val="00EA31A6"/>
    <w:rsid w:val="00EA7100"/>
    <w:rsid w:val="00EA7F9F"/>
    <w:rsid w:val="00EB1274"/>
    <w:rsid w:val="00EB21AF"/>
    <w:rsid w:val="00EB46FA"/>
    <w:rsid w:val="00EC136E"/>
    <w:rsid w:val="00ED2BB6"/>
    <w:rsid w:val="00ED34E1"/>
    <w:rsid w:val="00ED3B8D"/>
    <w:rsid w:val="00ED7D07"/>
    <w:rsid w:val="00EE0483"/>
    <w:rsid w:val="00EE2C0B"/>
    <w:rsid w:val="00EE591C"/>
    <w:rsid w:val="00EE5E36"/>
    <w:rsid w:val="00EF2E3A"/>
    <w:rsid w:val="00EF4C14"/>
    <w:rsid w:val="00EF4D47"/>
    <w:rsid w:val="00EF7A7D"/>
    <w:rsid w:val="00F02C7C"/>
    <w:rsid w:val="00F0420B"/>
    <w:rsid w:val="00F04EB6"/>
    <w:rsid w:val="00F072A7"/>
    <w:rsid w:val="00F078DC"/>
    <w:rsid w:val="00F1159E"/>
    <w:rsid w:val="00F12554"/>
    <w:rsid w:val="00F1670F"/>
    <w:rsid w:val="00F2478E"/>
    <w:rsid w:val="00F24CAE"/>
    <w:rsid w:val="00F2512E"/>
    <w:rsid w:val="00F270B0"/>
    <w:rsid w:val="00F32BA8"/>
    <w:rsid w:val="00F32EE0"/>
    <w:rsid w:val="00F34215"/>
    <w:rsid w:val="00F34952"/>
    <w:rsid w:val="00F349F1"/>
    <w:rsid w:val="00F42F9A"/>
    <w:rsid w:val="00F4350D"/>
    <w:rsid w:val="00F46E2E"/>
    <w:rsid w:val="00F479C4"/>
    <w:rsid w:val="00F567F7"/>
    <w:rsid w:val="00F6696E"/>
    <w:rsid w:val="00F71B32"/>
    <w:rsid w:val="00F73BD6"/>
    <w:rsid w:val="00F76182"/>
    <w:rsid w:val="00F83989"/>
    <w:rsid w:val="00F85099"/>
    <w:rsid w:val="00F9379C"/>
    <w:rsid w:val="00F951AD"/>
    <w:rsid w:val="00F954C1"/>
    <w:rsid w:val="00F9632C"/>
    <w:rsid w:val="00FA0AEF"/>
    <w:rsid w:val="00FA1E52"/>
    <w:rsid w:val="00FA2676"/>
    <w:rsid w:val="00FA2DD3"/>
    <w:rsid w:val="00FA35F6"/>
    <w:rsid w:val="00FA6953"/>
    <w:rsid w:val="00FB0CCC"/>
    <w:rsid w:val="00FB5A08"/>
    <w:rsid w:val="00FC02C1"/>
    <w:rsid w:val="00FC6A80"/>
    <w:rsid w:val="00FC9E7A"/>
    <w:rsid w:val="00FD31D1"/>
    <w:rsid w:val="00FE4688"/>
    <w:rsid w:val="00FE4D4B"/>
    <w:rsid w:val="00FE7555"/>
    <w:rsid w:val="00FF22D8"/>
    <w:rsid w:val="00FF4E8E"/>
    <w:rsid w:val="00FF519A"/>
    <w:rsid w:val="00FF5704"/>
    <w:rsid w:val="00FF5FCC"/>
    <w:rsid w:val="0265BF9A"/>
    <w:rsid w:val="03FAE9F3"/>
    <w:rsid w:val="05F56A33"/>
    <w:rsid w:val="0CB936D3"/>
    <w:rsid w:val="0E9FEF38"/>
    <w:rsid w:val="129224C9"/>
    <w:rsid w:val="1369029E"/>
    <w:rsid w:val="15C7C9BA"/>
    <w:rsid w:val="165B69ED"/>
    <w:rsid w:val="1791FBEF"/>
    <w:rsid w:val="1AA3E6E4"/>
    <w:rsid w:val="1C3941EB"/>
    <w:rsid w:val="1C9DB1C0"/>
    <w:rsid w:val="1DDB87A6"/>
    <w:rsid w:val="1E296CA2"/>
    <w:rsid w:val="21B76501"/>
    <w:rsid w:val="21BCAE02"/>
    <w:rsid w:val="27FE8FA2"/>
    <w:rsid w:val="292627D3"/>
    <w:rsid w:val="2C5DC895"/>
    <w:rsid w:val="2D88B1DD"/>
    <w:rsid w:val="2DBBDAB4"/>
    <w:rsid w:val="2DE07099"/>
    <w:rsid w:val="2F92BDC4"/>
    <w:rsid w:val="2FF03E1A"/>
    <w:rsid w:val="31B9A96F"/>
    <w:rsid w:val="33F2C6E0"/>
    <w:rsid w:val="34861A74"/>
    <w:rsid w:val="35AC48FC"/>
    <w:rsid w:val="367F877C"/>
    <w:rsid w:val="37467FD2"/>
    <w:rsid w:val="3C0A4F66"/>
    <w:rsid w:val="3C5EB46A"/>
    <w:rsid w:val="3C8586C2"/>
    <w:rsid w:val="3D9C34B8"/>
    <w:rsid w:val="3E7C3EB7"/>
    <w:rsid w:val="3EEA5756"/>
    <w:rsid w:val="403BEA5E"/>
    <w:rsid w:val="4078D41A"/>
    <w:rsid w:val="4823B445"/>
    <w:rsid w:val="4846FC43"/>
    <w:rsid w:val="484C3103"/>
    <w:rsid w:val="48E4FED8"/>
    <w:rsid w:val="4BAFB201"/>
    <w:rsid w:val="4CC07E3F"/>
    <w:rsid w:val="518C7441"/>
    <w:rsid w:val="5209EF70"/>
    <w:rsid w:val="523D80D1"/>
    <w:rsid w:val="548D3138"/>
    <w:rsid w:val="550C56EE"/>
    <w:rsid w:val="55569447"/>
    <w:rsid w:val="57899658"/>
    <w:rsid w:val="5CAADDB6"/>
    <w:rsid w:val="5E8F5DEE"/>
    <w:rsid w:val="62B13D05"/>
    <w:rsid w:val="65AA8F0C"/>
    <w:rsid w:val="65B96D12"/>
    <w:rsid w:val="683C2672"/>
    <w:rsid w:val="692A0787"/>
    <w:rsid w:val="6AA3268D"/>
    <w:rsid w:val="6CE61CA5"/>
    <w:rsid w:val="6D503B0C"/>
    <w:rsid w:val="702D9ED7"/>
    <w:rsid w:val="715191D3"/>
    <w:rsid w:val="724D7AEE"/>
    <w:rsid w:val="729FC022"/>
    <w:rsid w:val="735F78CA"/>
    <w:rsid w:val="74319D9E"/>
    <w:rsid w:val="747AACCF"/>
    <w:rsid w:val="77AACAF5"/>
    <w:rsid w:val="7835B9BE"/>
    <w:rsid w:val="7A72FE4F"/>
    <w:rsid w:val="7C9251A9"/>
    <w:rsid w:val="7CD4A57B"/>
    <w:rsid w:val="7DA878E6"/>
    <w:rsid w:val="7E2638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6A49B"/>
  <w15:docId w15:val="{18F40F54-BC58-49C0-8EFD-1601093F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373A"/>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ActHead5Char">
    <w:name w:val="ActHead 5 Char"/>
    <w:aliases w:val="s Char"/>
    <w:link w:val="ActHead5"/>
    <w:rsid w:val="00D07CE0"/>
    <w:rPr>
      <w:rFonts w:eastAsia="Times New Roman" w:cs="Times New Roman"/>
      <w:b/>
      <w:kern w:val="28"/>
      <w:sz w:val="24"/>
      <w:lang w:eastAsia="en-AU"/>
    </w:rPr>
  </w:style>
  <w:style w:type="character" w:styleId="Hyperlink">
    <w:name w:val="Hyperlink"/>
    <w:basedOn w:val="DefaultParagraphFont"/>
    <w:uiPriority w:val="99"/>
    <w:unhideWhenUsed/>
    <w:rsid w:val="00AE5AFE"/>
    <w:rPr>
      <w:color w:val="0000FF" w:themeColor="hyperlink"/>
      <w:u w:val="single"/>
    </w:rPr>
  </w:style>
  <w:style w:type="character" w:styleId="UnresolvedMention">
    <w:name w:val="Unresolved Mention"/>
    <w:basedOn w:val="DefaultParagraphFont"/>
    <w:uiPriority w:val="99"/>
    <w:semiHidden/>
    <w:unhideWhenUsed/>
    <w:rsid w:val="00AE5AFE"/>
    <w:rPr>
      <w:color w:val="605E5C"/>
      <w:shd w:val="clear" w:color="auto" w:fill="E1DFDD"/>
    </w:rPr>
  </w:style>
  <w:style w:type="character" w:styleId="CommentReference">
    <w:name w:val="annotation reference"/>
    <w:basedOn w:val="DefaultParagraphFont"/>
    <w:uiPriority w:val="99"/>
    <w:semiHidden/>
    <w:unhideWhenUsed/>
    <w:rsid w:val="00387B10"/>
    <w:rPr>
      <w:sz w:val="16"/>
      <w:szCs w:val="16"/>
    </w:rPr>
  </w:style>
  <w:style w:type="paragraph" w:styleId="CommentText">
    <w:name w:val="annotation text"/>
    <w:basedOn w:val="Normal"/>
    <w:link w:val="CommentTextChar"/>
    <w:uiPriority w:val="99"/>
    <w:unhideWhenUsed/>
    <w:rsid w:val="00387B10"/>
    <w:pPr>
      <w:spacing w:line="240" w:lineRule="auto"/>
    </w:pPr>
    <w:rPr>
      <w:sz w:val="20"/>
    </w:rPr>
  </w:style>
  <w:style w:type="character" w:customStyle="1" w:styleId="CommentTextChar">
    <w:name w:val="Comment Text Char"/>
    <w:basedOn w:val="DefaultParagraphFont"/>
    <w:link w:val="CommentText"/>
    <w:uiPriority w:val="99"/>
    <w:rsid w:val="00387B10"/>
  </w:style>
  <w:style w:type="paragraph" w:styleId="CommentSubject">
    <w:name w:val="annotation subject"/>
    <w:basedOn w:val="CommentText"/>
    <w:next w:val="CommentText"/>
    <w:link w:val="CommentSubjectChar"/>
    <w:uiPriority w:val="99"/>
    <w:semiHidden/>
    <w:unhideWhenUsed/>
    <w:rsid w:val="00387B10"/>
    <w:rPr>
      <w:b/>
      <w:bCs/>
    </w:rPr>
  </w:style>
  <w:style w:type="character" w:customStyle="1" w:styleId="CommentSubjectChar">
    <w:name w:val="Comment Subject Char"/>
    <w:basedOn w:val="CommentTextChar"/>
    <w:link w:val="CommentSubject"/>
    <w:uiPriority w:val="99"/>
    <w:semiHidden/>
    <w:rsid w:val="00387B10"/>
    <w:rPr>
      <w:b/>
      <w:bCs/>
    </w:rPr>
  </w:style>
  <w:style w:type="paragraph" w:styleId="ListParagraph">
    <w:name w:val="List Paragraph"/>
    <w:basedOn w:val="Normal"/>
    <w:uiPriority w:val="34"/>
    <w:qFormat/>
    <w:rsid w:val="00CA4C8A"/>
    <w:pPr>
      <w:spacing w:after="160" w:line="256" w:lineRule="auto"/>
      <w:ind w:left="720"/>
      <w:contextualSpacing/>
    </w:pPr>
    <w:rPr>
      <w:rFonts w:asciiTheme="minorHAnsi" w:hAnsiTheme="minorHAnsi"/>
      <w:szCs w:val="22"/>
    </w:rPr>
  </w:style>
  <w:style w:type="character" w:customStyle="1" w:styleId="normaltextrun">
    <w:name w:val="normaltextrun"/>
    <w:basedOn w:val="DefaultParagraphFont"/>
    <w:rsid w:val="00894E82"/>
  </w:style>
  <w:style w:type="character" w:customStyle="1" w:styleId="eop">
    <w:name w:val="eop"/>
    <w:basedOn w:val="DefaultParagraphFont"/>
    <w:rsid w:val="003A13E9"/>
  </w:style>
  <w:style w:type="paragraph" w:styleId="Revision">
    <w:name w:val="Revision"/>
    <w:hidden/>
    <w:uiPriority w:val="99"/>
    <w:semiHidden/>
    <w:rsid w:val="00D77A4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2919">
      <w:bodyDiv w:val="1"/>
      <w:marLeft w:val="0"/>
      <w:marRight w:val="0"/>
      <w:marTop w:val="0"/>
      <w:marBottom w:val="0"/>
      <w:divBdr>
        <w:top w:val="none" w:sz="0" w:space="0" w:color="auto"/>
        <w:left w:val="none" w:sz="0" w:space="0" w:color="auto"/>
        <w:bottom w:val="none" w:sz="0" w:space="0" w:color="auto"/>
        <w:right w:val="none" w:sz="0" w:space="0" w:color="auto"/>
      </w:divBdr>
    </w:div>
    <w:div w:id="143935079">
      <w:bodyDiv w:val="1"/>
      <w:marLeft w:val="0"/>
      <w:marRight w:val="0"/>
      <w:marTop w:val="0"/>
      <w:marBottom w:val="0"/>
      <w:divBdr>
        <w:top w:val="none" w:sz="0" w:space="0" w:color="auto"/>
        <w:left w:val="none" w:sz="0" w:space="0" w:color="auto"/>
        <w:bottom w:val="none" w:sz="0" w:space="0" w:color="auto"/>
        <w:right w:val="none" w:sz="0" w:space="0" w:color="auto"/>
      </w:divBdr>
      <w:divsChild>
        <w:div w:id="328675612">
          <w:marLeft w:val="274"/>
          <w:marRight w:val="0"/>
          <w:marTop w:val="120"/>
          <w:marBottom w:val="120"/>
          <w:divBdr>
            <w:top w:val="none" w:sz="0" w:space="0" w:color="auto"/>
            <w:left w:val="none" w:sz="0" w:space="0" w:color="auto"/>
            <w:bottom w:val="none" w:sz="0" w:space="0" w:color="auto"/>
            <w:right w:val="none" w:sz="0" w:space="0" w:color="auto"/>
          </w:divBdr>
        </w:div>
      </w:divsChild>
    </w:div>
    <w:div w:id="151801126">
      <w:bodyDiv w:val="1"/>
      <w:marLeft w:val="0"/>
      <w:marRight w:val="0"/>
      <w:marTop w:val="0"/>
      <w:marBottom w:val="0"/>
      <w:divBdr>
        <w:top w:val="none" w:sz="0" w:space="0" w:color="auto"/>
        <w:left w:val="none" w:sz="0" w:space="0" w:color="auto"/>
        <w:bottom w:val="none" w:sz="0" w:space="0" w:color="auto"/>
        <w:right w:val="none" w:sz="0" w:space="0" w:color="auto"/>
      </w:divBdr>
      <w:divsChild>
        <w:div w:id="1928926643">
          <w:marLeft w:val="274"/>
          <w:marRight w:val="0"/>
          <w:marTop w:val="120"/>
          <w:marBottom w:val="120"/>
          <w:divBdr>
            <w:top w:val="none" w:sz="0" w:space="0" w:color="auto"/>
            <w:left w:val="none" w:sz="0" w:space="0" w:color="auto"/>
            <w:bottom w:val="none" w:sz="0" w:space="0" w:color="auto"/>
            <w:right w:val="none" w:sz="0" w:space="0" w:color="auto"/>
          </w:divBdr>
        </w:div>
      </w:divsChild>
    </w:div>
    <w:div w:id="205721937">
      <w:bodyDiv w:val="1"/>
      <w:marLeft w:val="0"/>
      <w:marRight w:val="0"/>
      <w:marTop w:val="0"/>
      <w:marBottom w:val="0"/>
      <w:divBdr>
        <w:top w:val="none" w:sz="0" w:space="0" w:color="auto"/>
        <w:left w:val="none" w:sz="0" w:space="0" w:color="auto"/>
        <w:bottom w:val="none" w:sz="0" w:space="0" w:color="auto"/>
        <w:right w:val="none" w:sz="0" w:space="0" w:color="auto"/>
      </w:divBdr>
    </w:div>
    <w:div w:id="264652647">
      <w:bodyDiv w:val="1"/>
      <w:marLeft w:val="0"/>
      <w:marRight w:val="0"/>
      <w:marTop w:val="0"/>
      <w:marBottom w:val="0"/>
      <w:divBdr>
        <w:top w:val="none" w:sz="0" w:space="0" w:color="auto"/>
        <w:left w:val="none" w:sz="0" w:space="0" w:color="auto"/>
        <w:bottom w:val="none" w:sz="0" w:space="0" w:color="auto"/>
        <w:right w:val="none" w:sz="0" w:space="0" w:color="auto"/>
      </w:divBdr>
      <w:divsChild>
        <w:div w:id="1884292292">
          <w:marLeft w:val="0"/>
          <w:marRight w:val="0"/>
          <w:marTop w:val="0"/>
          <w:marBottom w:val="0"/>
          <w:divBdr>
            <w:top w:val="none" w:sz="0" w:space="0" w:color="auto"/>
            <w:left w:val="none" w:sz="0" w:space="0" w:color="auto"/>
            <w:bottom w:val="none" w:sz="0" w:space="0" w:color="auto"/>
            <w:right w:val="none" w:sz="0" w:space="0" w:color="auto"/>
          </w:divBdr>
          <w:divsChild>
            <w:div w:id="1436093971">
              <w:marLeft w:val="0"/>
              <w:marRight w:val="0"/>
              <w:marTop w:val="0"/>
              <w:marBottom w:val="0"/>
              <w:divBdr>
                <w:top w:val="none" w:sz="0" w:space="0" w:color="auto"/>
                <w:left w:val="none" w:sz="0" w:space="0" w:color="auto"/>
                <w:bottom w:val="none" w:sz="0" w:space="0" w:color="auto"/>
                <w:right w:val="none" w:sz="0" w:space="0" w:color="auto"/>
              </w:divBdr>
            </w:div>
          </w:divsChild>
        </w:div>
        <w:div w:id="610628779">
          <w:marLeft w:val="0"/>
          <w:marRight w:val="0"/>
          <w:marTop w:val="0"/>
          <w:marBottom w:val="0"/>
          <w:divBdr>
            <w:top w:val="none" w:sz="0" w:space="0" w:color="auto"/>
            <w:left w:val="none" w:sz="0" w:space="0" w:color="auto"/>
            <w:bottom w:val="none" w:sz="0" w:space="0" w:color="auto"/>
            <w:right w:val="none" w:sz="0" w:space="0" w:color="auto"/>
          </w:divBdr>
          <w:divsChild>
            <w:div w:id="1249537624">
              <w:marLeft w:val="0"/>
              <w:marRight w:val="0"/>
              <w:marTop w:val="0"/>
              <w:marBottom w:val="0"/>
              <w:divBdr>
                <w:top w:val="none" w:sz="0" w:space="0" w:color="auto"/>
                <w:left w:val="none" w:sz="0" w:space="0" w:color="auto"/>
                <w:bottom w:val="none" w:sz="0" w:space="0" w:color="auto"/>
                <w:right w:val="none" w:sz="0" w:space="0" w:color="auto"/>
              </w:divBdr>
            </w:div>
            <w:div w:id="151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6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571701727">
          <w:marLeft w:val="0"/>
          <w:marRight w:val="0"/>
          <w:marTop w:val="0"/>
          <w:marBottom w:val="0"/>
          <w:divBdr>
            <w:top w:val="none" w:sz="0" w:space="0" w:color="auto"/>
            <w:left w:val="none" w:sz="0" w:space="0" w:color="auto"/>
            <w:bottom w:val="none" w:sz="0" w:space="0" w:color="auto"/>
            <w:right w:val="none" w:sz="0" w:space="0" w:color="auto"/>
          </w:divBdr>
          <w:divsChild>
            <w:div w:id="1392970234">
              <w:marLeft w:val="0"/>
              <w:marRight w:val="0"/>
              <w:marTop w:val="0"/>
              <w:marBottom w:val="0"/>
              <w:divBdr>
                <w:top w:val="none" w:sz="0" w:space="0" w:color="auto"/>
                <w:left w:val="none" w:sz="0" w:space="0" w:color="auto"/>
                <w:bottom w:val="none" w:sz="0" w:space="0" w:color="auto"/>
                <w:right w:val="none" w:sz="0" w:space="0" w:color="auto"/>
              </w:divBdr>
            </w:div>
            <w:div w:id="12008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6358">
      <w:bodyDiv w:val="1"/>
      <w:marLeft w:val="0"/>
      <w:marRight w:val="0"/>
      <w:marTop w:val="0"/>
      <w:marBottom w:val="0"/>
      <w:divBdr>
        <w:top w:val="none" w:sz="0" w:space="0" w:color="auto"/>
        <w:left w:val="none" w:sz="0" w:space="0" w:color="auto"/>
        <w:bottom w:val="none" w:sz="0" w:space="0" w:color="auto"/>
        <w:right w:val="none" w:sz="0" w:space="0" w:color="auto"/>
      </w:divBdr>
      <w:divsChild>
        <w:div w:id="1356231278">
          <w:marLeft w:val="274"/>
          <w:marRight w:val="0"/>
          <w:marTop w:val="120"/>
          <w:marBottom w:val="120"/>
          <w:divBdr>
            <w:top w:val="none" w:sz="0" w:space="0" w:color="auto"/>
            <w:left w:val="none" w:sz="0" w:space="0" w:color="auto"/>
            <w:bottom w:val="none" w:sz="0" w:space="0" w:color="auto"/>
            <w:right w:val="none" w:sz="0" w:space="0" w:color="auto"/>
          </w:divBdr>
        </w:div>
        <w:div w:id="1374963678">
          <w:marLeft w:val="274"/>
          <w:marRight w:val="0"/>
          <w:marTop w:val="120"/>
          <w:marBottom w:val="120"/>
          <w:divBdr>
            <w:top w:val="none" w:sz="0" w:space="0" w:color="auto"/>
            <w:left w:val="none" w:sz="0" w:space="0" w:color="auto"/>
            <w:bottom w:val="none" w:sz="0" w:space="0" w:color="auto"/>
            <w:right w:val="none" w:sz="0" w:space="0" w:color="auto"/>
          </w:divBdr>
        </w:div>
      </w:divsChild>
    </w:div>
    <w:div w:id="1058939862">
      <w:bodyDiv w:val="1"/>
      <w:marLeft w:val="0"/>
      <w:marRight w:val="0"/>
      <w:marTop w:val="0"/>
      <w:marBottom w:val="0"/>
      <w:divBdr>
        <w:top w:val="none" w:sz="0" w:space="0" w:color="auto"/>
        <w:left w:val="none" w:sz="0" w:space="0" w:color="auto"/>
        <w:bottom w:val="none" w:sz="0" w:space="0" w:color="auto"/>
        <w:right w:val="none" w:sz="0" w:space="0" w:color="auto"/>
      </w:divBdr>
    </w:div>
    <w:div w:id="1065108566">
      <w:bodyDiv w:val="1"/>
      <w:marLeft w:val="0"/>
      <w:marRight w:val="0"/>
      <w:marTop w:val="0"/>
      <w:marBottom w:val="0"/>
      <w:divBdr>
        <w:top w:val="none" w:sz="0" w:space="0" w:color="auto"/>
        <w:left w:val="none" w:sz="0" w:space="0" w:color="auto"/>
        <w:bottom w:val="none" w:sz="0" w:space="0" w:color="auto"/>
        <w:right w:val="none" w:sz="0" w:space="0" w:color="auto"/>
      </w:divBdr>
      <w:divsChild>
        <w:div w:id="1582988532">
          <w:marLeft w:val="274"/>
          <w:marRight w:val="0"/>
          <w:marTop w:val="120"/>
          <w:marBottom w:val="120"/>
          <w:divBdr>
            <w:top w:val="none" w:sz="0" w:space="0" w:color="auto"/>
            <w:left w:val="none" w:sz="0" w:space="0" w:color="auto"/>
            <w:bottom w:val="none" w:sz="0" w:space="0" w:color="auto"/>
            <w:right w:val="none" w:sz="0" w:space="0" w:color="auto"/>
          </w:divBdr>
        </w:div>
        <w:div w:id="1668898474">
          <w:marLeft w:val="274"/>
          <w:marRight w:val="0"/>
          <w:marTop w:val="120"/>
          <w:marBottom w:val="120"/>
          <w:divBdr>
            <w:top w:val="none" w:sz="0" w:space="0" w:color="auto"/>
            <w:left w:val="none" w:sz="0" w:space="0" w:color="auto"/>
            <w:bottom w:val="none" w:sz="0" w:space="0" w:color="auto"/>
            <w:right w:val="none" w:sz="0" w:space="0" w:color="auto"/>
          </w:divBdr>
        </w:div>
      </w:divsChild>
    </w:div>
    <w:div w:id="1281301629">
      <w:bodyDiv w:val="1"/>
      <w:marLeft w:val="0"/>
      <w:marRight w:val="0"/>
      <w:marTop w:val="0"/>
      <w:marBottom w:val="0"/>
      <w:divBdr>
        <w:top w:val="none" w:sz="0" w:space="0" w:color="auto"/>
        <w:left w:val="none" w:sz="0" w:space="0" w:color="auto"/>
        <w:bottom w:val="none" w:sz="0" w:space="0" w:color="auto"/>
        <w:right w:val="none" w:sz="0" w:space="0" w:color="auto"/>
      </w:divBdr>
      <w:divsChild>
        <w:div w:id="531462641">
          <w:marLeft w:val="274"/>
          <w:marRight w:val="0"/>
          <w:marTop w:val="120"/>
          <w:marBottom w:val="120"/>
          <w:divBdr>
            <w:top w:val="none" w:sz="0" w:space="0" w:color="auto"/>
            <w:left w:val="none" w:sz="0" w:space="0" w:color="auto"/>
            <w:bottom w:val="none" w:sz="0" w:space="0" w:color="auto"/>
            <w:right w:val="none" w:sz="0" w:space="0" w:color="auto"/>
          </w:divBdr>
        </w:div>
        <w:div w:id="2128230683">
          <w:marLeft w:val="274"/>
          <w:marRight w:val="0"/>
          <w:marTop w:val="120"/>
          <w:marBottom w:val="120"/>
          <w:divBdr>
            <w:top w:val="none" w:sz="0" w:space="0" w:color="auto"/>
            <w:left w:val="none" w:sz="0" w:space="0" w:color="auto"/>
            <w:bottom w:val="none" w:sz="0" w:space="0" w:color="auto"/>
            <w:right w:val="none" w:sz="0" w:space="0" w:color="auto"/>
          </w:divBdr>
        </w:div>
      </w:divsChild>
    </w:div>
    <w:div w:id="1867790699">
      <w:bodyDiv w:val="1"/>
      <w:marLeft w:val="0"/>
      <w:marRight w:val="0"/>
      <w:marTop w:val="0"/>
      <w:marBottom w:val="0"/>
      <w:divBdr>
        <w:top w:val="none" w:sz="0" w:space="0" w:color="auto"/>
        <w:left w:val="none" w:sz="0" w:space="0" w:color="auto"/>
        <w:bottom w:val="none" w:sz="0" w:space="0" w:color="auto"/>
        <w:right w:val="none" w:sz="0" w:space="0" w:color="auto"/>
      </w:divBdr>
      <w:divsChild>
        <w:div w:id="171378656">
          <w:marLeft w:val="0"/>
          <w:marRight w:val="0"/>
          <w:marTop w:val="0"/>
          <w:marBottom w:val="0"/>
          <w:divBdr>
            <w:top w:val="none" w:sz="0" w:space="0" w:color="auto"/>
            <w:left w:val="none" w:sz="0" w:space="0" w:color="auto"/>
            <w:bottom w:val="none" w:sz="0" w:space="0" w:color="auto"/>
            <w:right w:val="none" w:sz="0" w:space="0" w:color="auto"/>
          </w:divBdr>
        </w:div>
        <w:div w:id="359822824">
          <w:marLeft w:val="0"/>
          <w:marRight w:val="0"/>
          <w:marTop w:val="0"/>
          <w:marBottom w:val="0"/>
          <w:divBdr>
            <w:top w:val="none" w:sz="0" w:space="0" w:color="auto"/>
            <w:left w:val="none" w:sz="0" w:space="0" w:color="auto"/>
            <w:bottom w:val="none" w:sz="0" w:space="0" w:color="auto"/>
            <w:right w:val="none" w:sz="0" w:space="0" w:color="auto"/>
          </w:divBdr>
        </w:div>
        <w:div w:id="488903595">
          <w:marLeft w:val="0"/>
          <w:marRight w:val="0"/>
          <w:marTop w:val="0"/>
          <w:marBottom w:val="0"/>
          <w:divBdr>
            <w:top w:val="none" w:sz="0" w:space="0" w:color="auto"/>
            <w:left w:val="none" w:sz="0" w:space="0" w:color="auto"/>
            <w:bottom w:val="none" w:sz="0" w:space="0" w:color="auto"/>
            <w:right w:val="none" w:sz="0" w:space="0" w:color="auto"/>
          </w:divBdr>
        </w:div>
        <w:div w:id="741635802">
          <w:marLeft w:val="0"/>
          <w:marRight w:val="0"/>
          <w:marTop w:val="0"/>
          <w:marBottom w:val="0"/>
          <w:divBdr>
            <w:top w:val="none" w:sz="0" w:space="0" w:color="auto"/>
            <w:left w:val="none" w:sz="0" w:space="0" w:color="auto"/>
            <w:bottom w:val="none" w:sz="0" w:space="0" w:color="auto"/>
            <w:right w:val="none" w:sz="0" w:space="0" w:color="auto"/>
          </w:divBdr>
        </w:div>
        <w:div w:id="982387685">
          <w:marLeft w:val="0"/>
          <w:marRight w:val="0"/>
          <w:marTop w:val="0"/>
          <w:marBottom w:val="0"/>
          <w:divBdr>
            <w:top w:val="none" w:sz="0" w:space="0" w:color="auto"/>
            <w:left w:val="none" w:sz="0" w:space="0" w:color="auto"/>
            <w:bottom w:val="none" w:sz="0" w:space="0" w:color="auto"/>
            <w:right w:val="none" w:sz="0" w:space="0" w:color="auto"/>
          </w:divBdr>
        </w:div>
        <w:div w:id="1124152230">
          <w:marLeft w:val="0"/>
          <w:marRight w:val="0"/>
          <w:marTop w:val="0"/>
          <w:marBottom w:val="0"/>
          <w:divBdr>
            <w:top w:val="none" w:sz="0" w:space="0" w:color="auto"/>
            <w:left w:val="none" w:sz="0" w:space="0" w:color="auto"/>
            <w:bottom w:val="none" w:sz="0" w:space="0" w:color="auto"/>
            <w:right w:val="none" w:sz="0" w:space="0" w:color="auto"/>
          </w:divBdr>
        </w:div>
        <w:div w:id="1337269948">
          <w:marLeft w:val="0"/>
          <w:marRight w:val="0"/>
          <w:marTop w:val="0"/>
          <w:marBottom w:val="0"/>
          <w:divBdr>
            <w:top w:val="none" w:sz="0" w:space="0" w:color="auto"/>
            <w:left w:val="none" w:sz="0" w:space="0" w:color="auto"/>
            <w:bottom w:val="none" w:sz="0" w:space="0" w:color="auto"/>
            <w:right w:val="none" w:sz="0" w:space="0" w:color="auto"/>
          </w:divBdr>
        </w:div>
      </w:divsChild>
    </w:div>
    <w:div w:id="1917475303">
      <w:bodyDiv w:val="1"/>
      <w:marLeft w:val="0"/>
      <w:marRight w:val="0"/>
      <w:marTop w:val="0"/>
      <w:marBottom w:val="0"/>
      <w:divBdr>
        <w:top w:val="none" w:sz="0" w:space="0" w:color="auto"/>
        <w:left w:val="none" w:sz="0" w:space="0" w:color="auto"/>
        <w:bottom w:val="none" w:sz="0" w:space="0" w:color="auto"/>
        <w:right w:val="none" w:sz="0" w:space="0" w:color="auto"/>
      </w:divBdr>
      <w:divsChild>
        <w:div w:id="630087602">
          <w:marLeft w:val="0"/>
          <w:marRight w:val="0"/>
          <w:marTop w:val="0"/>
          <w:marBottom w:val="0"/>
          <w:divBdr>
            <w:top w:val="none" w:sz="0" w:space="0" w:color="auto"/>
            <w:left w:val="none" w:sz="0" w:space="0" w:color="auto"/>
            <w:bottom w:val="none" w:sz="0" w:space="0" w:color="auto"/>
            <w:right w:val="none" w:sz="0" w:space="0" w:color="auto"/>
          </w:divBdr>
          <w:divsChild>
            <w:div w:id="1881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zelll\Downloads\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87dd7b-ad3b-4fa3-93b7-f1b6a40c259c">
      <Terms xmlns="http://schemas.microsoft.com/office/infopath/2007/PartnerControls"/>
    </lcf76f155ced4ddcb4097134ff3c332f>
    <Notes xmlns="2987dd7b-ad3b-4fa3-93b7-f1b6a40c259c" xsi:nil="true"/>
    <Year xmlns="2987dd7b-ad3b-4fa3-93b7-f1b6a40c259c" xsi:nil="true"/>
    <Reference_x0028_ifapplicable_x0029_ xmlns="2987dd7b-ad3b-4fa3-93b7-f1b6a40c259c" xsi:nil="true"/>
    <TaxCatchAll xmlns="9f0ac7ce-5f57-4ea0-9af7-01d4f3f1ccae" xsi:nil="true"/>
    <Author0 xmlns="2987dd7b-ad3b-4fa3-93b7-f1b6a40c25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DCB8243C0124689424FFB65F8BA1F" ma:contentTypeVersion="21" ma:contentTypeDescription="Create a new document." ma:contentTypeScope="" ma:versionID="2af545facc40f737546059599aa82d1a">
  <xsd:schema xmlns:xsd="http://www.w3.org/2001/XMLSchema" xmlns:xs="http://www.w3.org/2001/XMLSchema" xmlns:p="http://schemas.microsoft.com/office/2006/metadata/properties" xmlns:ns2="2987dd7b-ad3b-4fa3-93b7-f1b6a40c259c" xmlns:ns3="be10ce44-c66e-469b-8f9a-44f6cf8d73cc" xmlns:ns4="9f0ac7ce-5f57-4ea0-9af7-01d4f3f1ccae" targetNamespace="http://schemas.microsoft.com/office/2006/metadata/properties" ma:root="true" ma:fieldsID="7e2532db0ed220d7f337be785ba5321d" ns2:_="" ns3:_="" ns4:_="">
    <xsd:import namespace="2987dd7b-ad3b-4fa3-93b7-f1b6a40c259c"/>
    <xsd:import namespace="be10ce44-c66e-469b-8f9a-44f6cf8d73cc"/>
    <xsd:import namespace="9f0ac7ce-5f57-4ea0-9af7-01d4f3f1ccae"/>
    <xsd:element name="properties">
      <xsd:complexType>
        <xsd:sequence>
          <xsd:element name="documentManagement">
            <xsd:complexType>
              <xsd:all>
                <xsd:element ref="ns2:Author0" minOccurs="0"/>
                <xsd:element ref="ns2:Year" minOccurs="0"/>
                <xsd:element ref="ns2:Reference_x0028_ifapplicable_x0029_"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7dd7b-ad3b-4fa3-93b7-f1b6a40c259c" elementFormDefault="qualified">
    <xsd:import namespace="http://schemas.microsoft.com/office/2006/documentManagement/types"/>
    <xsd:import namespace="http://schemas.microsoft.com/office/infopath/2007/PartnerControls"/>
    <xsd:element name="Author0" ma:index="1" nillable="true" ma:displayName="Author" ma:description="The author of the literature" ma:format="Dropdown" ma:internalName="Author0" ma:readOnly="false">
      <xsd:simpleType>
        <xsd:restriction base="dms:Text">
          <xsd:maxLength value="255"/>
        </xsd:restriction>
      </xsd:simpleType>
    </xsd:element>
    <xsd:element name="Year" ma:index="2" nillable="true" ma:displayName="Year" ma:description="The year of publication" ma:format="Dropdown" ma:internalName="Year" ma:readOnly="false">
      <xsd:simpleType>
        <xsd:restriction base="dms:Text">
          <xsd:maxLength value="255"/>
        </xsd:restriction>
      </xsd:simpleType>
    </xsd:element>
    <xsd:element name="Reference_x0028_ifapplicable_x0029_" ma:index="3" nillable="true" ma:displayName="Reference (if applicable)" ma:description="A link to the original source or bibliographical reference, if applicable" ma:format="Dropdown" ma:internalName="Reference_x0028_ifapplicable_x0029_"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Notes" ma:index="17" nillable="true" ma:displayName="Notes" ma:description="Additional notes &#10;" ma:format="Dropdown" ma:internalName="Notes">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10ce44-c66e-469b-8f9a-44f6cf8d73c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4d52605-9d6b-4cdf-a1a2-e5f5c3e6a178}" ma:internalName="TaxCatchAll" ma:showField="CatchAllData" ma:web="be10ce44-c66e-469b-8f9a-44f6cf8d7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A8F43476EB784464BFCC994945052FE7" version="1.0.0">
  <systemFields>
    <field name="Objective-Id">
      <value order="0">A5884063</value>
    </field>
    <field name="Objective-Title">
      <value order="0">Attachment A2: Automatic Mutual Recognition (New South Wales) (Exemption - Various) Declaration 2022 (No. 2)</value>
    </field>
    <field name="Objective-Description">
      <value order="0"/>
    </field>
    <field name="Objective-CreationStamp">
      <value order="0">2022-06-09T19:45:00Z</value>
    </field>
    <field name="Objective-IsApproved">
      <value order="0">false</value>
    </field>
    <field name="Objective-IsPublished">
      <value order="0">false</value>
    </field>
    <field name="Objective-DatePublished">
      <value order="0"/>
    </field>
    <field name="Objective-ModificationStamp">
      <value order="0">2022-06-10T05:50:39Z</value>
    </field>
    <field name="Objective-Owner">
      <value order="0">Nathan Markovski</value>
    </field>
    <field name="Objective-Path">
      <value order="0">Objective Global Folder:1. Treasury:1. Information Management Structure (TR):ECONOMIC STRATEGY &amp; PRODUCTIVITY GROUP (ESP):02. Economic Strategy (ES):04. Regulatory Reform Branch:Policy Topics:Automatic Mutual Recognition and Mutual Recognition:TA22/XXX - AMR Significant Risk Exemptions and Notifications</value>
    </field>
    <field name="Objective-Parent">
      <value order="0">TA22/XXX - AMR Significant Risk Exemptions and Notifications</value>
    </field>
    <field name="Objective-State">
      <value order="0">Being Drafted</value>
    </field>
    <field name="Objective-VersionId">
      <value order="0">vA9866956</value>
    </field>
    <field name="Objective-Version">
      <value order="0">0.1</value>
    </field>
    <field name="Objective-VersionNumber">
      <value order="0">1</value>
    </field>
    <field name="Objective-VersionComment">
      <value order="0">First version</value>
    </field>
    <field name="Objective-FileNumber">
      <value order="0">T22/01355</value>
    </field>
    <field name="Objective-Classification">
      <value order="0">UNCLASSIFIED</value>
    </field>
    <field name="Objective-Caveats">
      <value order="0"/>
    </field>
  </systemFields>
  <catalogues>
    <catalogue name="Treasury Document Type Catalogue" type="type" ori="id:cA89">
      <field name="Objective-DLM">
        <value order="0">Sensitive:  NSW Government</value>
      </field>
      <field name="Objective-Security Classification">
        <value order="0">UNCLASSIFIED</value>
      </field>
      <field name="Objective-Vital Record">
        <value order="0">No</value>
      </field>
      <field name="Objective-GIPA">
        <value order="0">No</value>
      </field>
      <field name="Objective-Additional Search Tags">
        <value order="0"/>
      </field>
    </catalogue>
  </catalogues>
</metadata>
</file>

<file path=customXml/itemProps1.xml><?xml version="1.0" encoding="utf-8"?>
<ds:datastoreItem xmlns:ds="http://schemas.openxmlformats.org/officeDocument/2006/customXml" ds:itemID="{5396B56A-21EB-4317-9038-101702E12338}">
  <ds:schemaRefs>
    <ds:schemaRef ds:uri="be10ce44-c66e-469b-8f9a-44f6cf8d73cc"/>
    <ds:schemaRef ds:uri="http://purl.org/dc/terms/"/>
    <ds:schemaRef ds:uri="http://schemas.microsoft.com/office/infopath/2007/PartnerControls"/>
    <ds:schemaRef ds:uri="http://purl.org/dc/dcmitype/"/>
    <ds:schemaRef ds:uri="2987dd7b-ad3b-4fa3-93b7-f1b6a40c259c"/>
    <ds:schemaRef ds:uri="9f0ac7ce-5f57-4ea0-9af7-01d4f3f1ccae"/>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DDCDEC32-F969-48BB-A2B4-623D71F39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7dd7b-ad3b-4fa3-93b7-f1b6a40c259c"/>
    <ds:schemaRef ds:uri="be10ce44-c66e-469b-8f9a-44f6cf8d73cc"/>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82080-3A4F-44C0-82FD-69F4B9ADC697}">
  <ds:schemaRefs>
    <ds:schemaRef ds:uri="http://schemas.openxmlformats.org/officeDocument/2006/bibliography"/>
  </ds:schemaRefs>
</ds:datastoreItem>
</file>

<file path=customXml/itemProps4.xml><?xml version="1.0" encoding="utf-8"?>
<ds:datastoreItem xmlns:ds="http://schemas.openxmlformats.org/officeDocument/2006/customXml" ds:itemID="{44079D81-63BE-48DE-85B2-37A9F3E69AB6}">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0</TotalTime>
  <Pages>11</Pages>
  <Words>1994</Words>
  <Characters>11371</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Henzell, Linley</dc:creator>
  <cp:keywords/>
  <cp:lastModifiedBy>Nathan Markovski</cp:lastModifiedBy>
  <cp:revision>2</cp:revision>
  <cp:lastPrinted>2021-05-17T19:20:00Z</cp:lastPrinted>
  <dcterms:created xsi:type="dcterms:W3CDTF">2023-06-26T00:52:00Z</dcterms:created>
  <dcterms:modified xsi:type="dcterms:W3CDTF">2023-06-26T00:52:00Z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LM">
    <vt:lpwstr/>
  </property>
  <property fmtid="{D5CDD505-2E9C-101B-9397-08002B2CF9AE}" pid="4" name="ContentTypeId">
    <vt:lpwstr>0x0101000A7DCB8243C0124689424FFB65F8BA1F</vt:lpwstr>
  </property>
  <property fmtid="{D5CDD505-2E9C-101B-9397-08002B2CF9AE}" pid="5" name="Objective-Id">
    <vt:lpwstr>A5884063</vt:lpwstr>
  </property>
  <property fmtid="{D5CDD505-2E9C-101B-9397-08002B2CF9AE}" pid="6" name="Objective-Title">
    <vt:lpwstr>Attachment A2: Automatic Mutual Recognition (New South Wales) (Exemption - Various) Declaration 2022 (No. 2)</vt:lpwstr>
  </property>
  <property fmtid="{D5CDD505-2E9C-101B-9397-08002B2CF9AE}" pid="7" name="Objective-Description">
    <vt:lpwstr/>
  </property>
  <property fmtid="{D5CDD505-2E9C-101B-9397-08002B2CF9AE}" pid="8" name="Objective-CreationStamp">
    <vt:filetime>2022-06-09T19:45:00Z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2022-06-10T05:50:39Z</vt:filetime>
  </property>
  <property fmtid="{D5CDD505-2E9C-101B-9397-08002B2CF9AE}" pid="13" name="Objective-Owner">
    <vt:lpwstr>Nathan Markovski</vt:lpwstr>
  </property>
  <property fmtid="{D5CDD505-2E9C-101B-9397-08002B2CF9AE}" pid="14" name="Objective-Path">
    <vt:lpwstr>Objective Global Folder:1. Treasury:1. Information Management Structure (TR):ECONOMIC STRATEGY &amp; PRODUCTIVITY GROUP (ESP):02. Economic Strategy (ES):04. Regulatory Reform Branch:Policy Topics:Automatic Mutual Recognition and Mutual Recognition:TA22/XXX - AMR Significant Risk Exemptions and Notifications</vt:lpwstr>
  </property>
  <property fmtid="{D5CDD505-2E9C-101B-9397-08002B2CF9AE}" pid="15" name="Objective-Parent">
    <vt:lpwstr>TA22/XXX - AMR Significant Risk Exemptions and Notifications</vt:lpwstr>
  </property>
  <property fmtid="{D5CDD505-2E9C-101B-9397-08002B2CF9AE}" pid="16" name="Objective-State">
    <vt:lpwstr>Being Drafted</vt:lpwstr>
  </property>
  <property fmtid="{D5CDD505-2E9C-101B-9397-08002B2CF9AE}" pid="17" name="Objective-VersionId">
    <vt:lpwstr>vA9866956</vt:lpwstr>
  </property>
  <property fmtid="{D5CDD505-2E9C-101B-9397-08002B2CF9AE}" pid="18" name="Objective-Version">
    <vt:lpwstr>0.1</vt:lpwstr>
  </property>
  <property fmtid="{D5CDD505-2E9C-101B-9397-08002B2CF9AE}" pid="19" name="Objective-VersionNumber">
    <vt:r8>1</vt:r8>
  </property>
  <property fmtid="{D5CDD505-2E9C-101B-9397-08002B2CF9AE}" pid="20" name="Objective-VersionComment">
    <vt:lpwstr>First version</vt:lpwstr>
  </property>
  <property fmtid="{D5CDD505-2E9C-101B-9397-08002B2CF9AE}" pid="21" name="Objective-FileNumber">
    <vt:lpwstr>T22/01355</vt:lpwstr>
  </property>
  <property fmtid="{D5CDD505-2E9C-101B-9397-08002B2CF9AE}" pid="22" name="Objective-Classification">
    <vt:lpwstr>UNCLASSIFIED</vt:lpwstr>
  </property>
  <property fmtid="{D5CDD505-2E9C-101B-9397-08002B2CF9AE}" pid="23" name="Objective-Caveats">
    <vt:lpwstr/>
  </property>
  <property fmtid="{D5CDD505-2E9C-101B-9397-08002B2CF9AE}" pid="24" name="Objective-DLM">
    <vt:lpwstr>Sensitive:  NSW Government</vt:lpwstr>
  </property>
  <property fmtid="{D5CDD505-2E9C-101B-9397-08002B2CF9AE}" pid="25" name="Objective-Security Classification">
    <vt:lpwstr>UNCLASSIFIED</vt:lpwstr>
  </property>
  <property fmtid="{D5CDD505-2E9C-101B-9397-08002B2CF9AE}" pid="26" name="Objective-Vital Record">
    <vt:lpwstr>No</vt:lpwstr>
  </property>
  <property fmtid="{D5CDD505-2E9C-101B-9397-08002B2CF9AE}" pid="27" name="Objective-GIPA">
    <vt:lpwstr>No</vt:lpwstr>
  </property>
  <property fmtid="{D5CDD505-2E9C-101B-9397-08002B2CF9AE}" pid="28" name="Objective-Additional Search Tags">
    <vt:lpwstr/>
  </property>
  <property fmtid="{D5CDD505-2E9C-101B-9397-08002B2CF9AE}" pid="29" name="MediaServiceImageTags">
    <vt:lpwstr/>
  </property>
</Properties>
</file>