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5CEC5" w14:textId="77777777" w:rsidR="008D011C" w:rsidRPr="00F17CC6" w:rsidRDefault="00B64A53" w:rsidP="008D011C">
      <w:pPr>
        <w:pStyle w:val="LDBodytext"/>
        <w:rPr>
          <w:sz w:val="28"/>
        </w:rPr>
      </w:pPr>
      <w:r w:rsidRPr="008233F6"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2D86BB74" wp14:editId="68F8B643">
            <wp:extent cx="1247775" cy="914400"/>
            <wp:effectExtent l="0" t="0" r="9525" b="0"/>
            <wp:docPr id="2" name="Picture 2" descr="Commonwealth Coat of Arms" title="Federal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1E08" w14:textId="77777777" w:rsidR="008D011C" w:rsidRPr="000A3524" w:rsidRDefault="00145080" w:rsidP="008D011C">
      <w:pPr>
        <w:pStyle w:val="LDTitle"/>
      </w:pPr>
      <w:bookmarkStart w:id="0" w:name="LIN"/>
      <w:r>
        <w:t>LIN 23</w:t>
      </w:r>
      <w:r w:rsidRPr="007C5FDD">
        <w:t>/</w:t>
      </w:r>
      <w:r>
        <w:t>045</w:t>
      </w:r>
      <w:bookmarkEnd w:id="0"/>
    </w:p>
    <w:p w14:paraId="1E6ED0CE" w14:textId="45DF31D3" w:rsidR="009228CB" w:rsidRPr="009464C5" w:rsidRDefault="00145080" w:rsidP="000B14AD">
      <w:pPr>
        <w:pStyle w:val="LDDescription"/>
      </w:pPr>
      <w:bookmarkStart w:id="1" w:name="Title"/>
      <w:r w:rsidRPr="00145080">
        <w:t xml:space="preserve">Migration </w:t>
      </w:r>
      <w:r w:rsidR="0065156B">
        <w:t>(</w:t>
      </w:r>
      <w:r w:rsidRPr="00145080">
        <w:t xml:space="preserve">Specification of Income Threshold and Annual Earnings and Methodology of Annual Market Salary Rate) Amendment Instrument </w:t>
      </w:r>
      <w:r w:rsidR="00577DFB">
        <w:t>(</w:t>
      </w:r>
      <w:r w:rsidR="00577DFB" w:rsidRPr="00145080">
        <w:t>LIN 23/045</w:t>
      </w:r>
      <w:r w:rsidR="00577DFB">
        <w:t xml:space="preserve">) </w:t>
      </w:r>
      <w:r w:rsidRPr="00145080">
        <w:t>2023</w:t>
      </w:r>
      <w:bookmarkEnd w:id="1"/>
    </w:p>
    <w:p w14:paraId="1C4D4126" w14:textId="46027344" w:rsidR="00554826" w:rsidRDefault="00145080" w:rsidP="00365E41">
      <w:pPr>
        <w:pStyle w:val="LDBodytext"/>
      </w:pPr>
      <w:r w:rsidRPr="009464C5">
        <w:t xml:space="preserve">I, </w:t>
      </w:r>
      <w:r>
        <w:t>Andrew Giles</w:t>
      </w:r>
      <w:r w:rsidRPr="009464C5">
        <w:t xml:space="preserve">, </w:t>
      </w:r>
      <w:r>
        <w:t>Minister for Immigration, Citizenship and Multicultural Affairs</w:t>
      </w:r>
      <w:r w:rsidRPr="009464C5">
        <w:t>, make th</w:t>
      </w:r>
      <w:r>
        <w:t xml:space="preserve">is instrument under </w:t>
      </w:r>
      <w:r w:rsidR="001D027F">
        <w:t xml:space="preserve">paragraph </w:t>
      </w:r>
      <w:r>
        <w:t xml:space="preserve">2.72(15)(d) of the </w:t>
      </w:r>
      <w:r w:rsidRPr="00240D01">
        <w:rPr>
          <w:i/>
        </w:rPr>
        <w:t>Migration Regulations 1994</w:t>
      </w:r>
      <w:r>
        <w:t xml:space="preserve"> </w:t>
      </w:r>
      <w:r w:rsidRPr="00145080">
        <w:t>(</w:t>
      </w:r>
      <w:r w:rsidRPr="00106806">
        <w:t>the</w:t>
      </w:r>
      <w:r w:rsidRPr="00240D01">
        <w:rPr>
          <w:b/>
          <w:i/>
        </w:rPr>
        <w:t xml:space="preserve"> </w:t>
      </w:r>
      <w:r>
        <w:rPr>
          <w:b/>
          <w:i/>
        </w:rPr>
        <w:t xml:space="preserve">Migration </w:t>
      </w:r>
      <w:r w:rsidRPr="00240D01">
        <w:rPr>
          <w:b/>
          <w:i/>
        </w:rPr>
        <w:t>Regulations</w:t>
      </w:r>
      <w:r w:rsidRPr="00145080">
        <w:t>)</w:t>
      </w:r>
      <w:r w:rsidRPr="00145080">
        <w:rPr>
          <w:i/>
        </w:rPr>
        <w:t>.</w:t>
      </w:r>
    </w:p>
    <w:p w14:paraId="5AC90384" w14:textId="0FA68D55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3A4AC6">
        <w:rPr>
          <w:szCs w:val="22"/>
        </w:rPr>
        <w:t xml:space="preserve"> 27 June </w:t>
      </w:r>
      <w:r w:rsidR="001D68EA">
        <w:rPr>
          <w:szCs w:val="22"/>
        </w:rPr>
        <w:t>2023</w:t>
      </w:r>
    </w:p>
    <w:p w14:paraId="6C98C3B1" w14:textId="1B3B0033" w:rsidR="003B3646" w:rsidRPr="000E7118" w:rsidRDefault="003B3646" w:rsidP="000E7118">
      <w:pPr>
        <w:pStyle w:val="LDSign"/>
      </w:pPr>
    </w:p>
    <w:p w14:paraId="3B9852A4" w14:textId="77777777" w:rsidR="00145080" w:rsidRPr="00145080" w:rsidRDefault="00145080" w:rsidP="00145080">
      <w:pPr>
        <w:pStyle w:val="LDSecHead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2" w:name="_Toc454512517"/>
      <w:bookmarkStart w:id="3" w:name="_Toc454512513"/>
      <w:r w:rsidRPr="00145080">
        <w:rPr>
          <w:rFonts w:ascii="Times New Roman" w:eastAsia="Times New Roman" w:hAnsi="Times New Roman" w:cs="Times New Roman"/>
          <w:b w:val="0"/>
          <w:sz w:val="24"/>
          <w:szCs w:val="24"/>
        </w:rPr>
        <w:t>The Hon. Andrew Giles</w:t>
      </w:r>
    </w:p>
    <w:p w14:paraId="5DA72270" w14:textId="52E2129D" w:rsidR="007235A0" w:rsidRDefault="00145080" w:rsidP="00145080">
      <w:pPr>
        <w:pStyle w:val="LDSecHead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45080">
        <w:rPr>
          <w:rFonts w:ascii="Times New Roman" w:eastAsia="Times New Roman" w:hAnsi="Times New Roman" w:cs="Times New Roman"/>
          <w:b w:val="0"/>
          <w:sz w:val="24"/>
          <w:szCs w:val="24"/>
        </w:rPr>
        <w:t>Minister for Immigration, Citizenship and Multicultural Affairs</w:t>
      </w:r>
    </w:p>
    <w:p w14:paraId="45F0EF08" w14:textId="4D1350D6" w:rsidR="00AF4283" w:rsidRDefault="00AF4283" w:rsidP="00AF4283">
      <w:pPr>
        <w:pStyle w:val="LDSec1"/>
      </w:pPr>
    </w:p>
    <w:p w14:paraId="7910FEE0" w14:textId="77777777" w:rsidR="00AF4283" w:rsidRPr="00AF4283" w:rsidRDefault="00AF4283" w:rsidP="00AF4283">
      <w:pPr>
        <w:pStyle w:val="LDSec1"/>
      </w:pPr>
    </w:p>
    <w:p w14:paraId="6FE0F9C0" w14:textId="42E72657" w:rsidR="003B3646" w:rsidRPr="00F17CC6" w:rsidRDefault="00DD628E" w:rsidP="000B14AD">
      <w:pPr>
        <w:pStyle w:val="LDSecHead"/>
      </w:pPr>
      <w:bookmarkStart w:id="4" w:name="_Toc31201286"/>
      <w:r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4"/>
    </w:p>
    <w:p w14:paraId="24DA3D80" w14:textId="13C9F0F9" w:rsidR="00145080" w:rsidRDefault="002A6DA8" w:rsidP="0065156B">
      <w:pPr>
        <w:pStyle w:val="LDSec1"/>
        <w:keepNext/>
      </w:pPr>
      <w:r>
        <w:tab/>
      </w:r>
      <w:r w:rsidR="0065156B">
        <w:tab/>
      </w:r>
      <w:r w:rsidR="00145080" w:rsidRPr="00F17CC6">
        <w:t>This instrument is the</w:t>
      </w:r>
      <w:r w:rsidR="00145080">
        <w:t xml:space="preserve"> </w:t>
      </w:r>
      <w:r w:rsidR="00145080" w:rsidRPr="0065156B">
        <w:rPr>
          <w:i/>
        </w:rPr>
        <w:t xml:space="preserve">Migration (Specification of Income Threshold and Annual Earnings and Methodology of Annual Market Salary Rate) Amendment Instrument </w:t>
      </w:r>
      <w:r w:rsidR="0065156B" w:rsidRPr="0065156B">
        <w:rPr>
          <w:i/>
        </w:rPr>
        <w:t xml:space="preserve">(LIN 23/045) </w:t>
      </w:r>
      <w:r w:rsidR="00145080" w:rsidRPr="0065156B">
        <w:rPr>
          <w:i/>
        </w:rPr>
        <w:t>2023</w:t>
      </w:r>
      <w:r w:rsidR="00145080">
        <w:t>.</w:t>
      </w:r>
    </w:p>
    <w:p w14:paraId="481BEA9B" w14:textId="4DDF0B76" w:rsidR="003B3646" w:rsidRPr="007E11B9" w:rsidRDefault="00DD628E" w:rsidP="000B14AD">
      <w:pPr>
        <w:pStyle w:val="LDSecHead"/>
      </w:pPr>
      <w:bookmarkStart w:id="5" w:name="_Toc454512514"/>
      <w:bookmarkStart w:id="6" w:name="_Toc31201287"/>
      <w:r>
        <w:t>2</w:t>
      </w:r>
      <w:r w:rsidR="000B14AD">
        <w:tab/>
      </w:r>
      <w:r w:rsidR="003B3646" w:rsidRPr="00F17CC6">
        <w:t>Commencement</w:t>
      </w:r>
      <w:bookmarkEnd w:id="5"/>
      <w:bookmarkEnd w:id="6"/>
    </w:p>
    <w:p w14:paraId="72041326" w14:textId="77777777" w:rsidR="003B3646" w:rsidRPr="00F17CC6" w:rsidRDefault="000B14AD" w:rsidP="000B14AD">
      <w:pPr>
        <w:pStyle w:val="LDSec1"/>
      </w:pPr>
      <w:bookmarkStart w:id="7" w:name="_Toc454512515"/>
      <w:r>
        <w:tab/>
      </w:r>
      <w:r>
        <w:tab/>
      </w:r>
      <w:r w:rsidR="00145080" w:rsidRPr="00F17CC6">
        <w:t xml:space="preserve">This instrument commences </w:t>
      </w:r>
      <w:r w:rsidR="00145080">
        <w:t>on 1 July 2023.</w:t>
      </w:r>
    </w:p>
    <w:p w14:paraId="215F86A7" w14:textId="7FE9EEF8" w:rsidR="003B3646" w:rsidRPr="00F17CC6" w:rsidRDefault="00DD628E" w:rsidP="000B14AD">
      <w:pPr>
        <w:pStyle w:val="LDSecHead"/>
      </w:pPr>
      <w:bookmarkStart w:id="8" w:name="_Toc454512516"/>
      <w:bookmarkStart w:id="9" w:name="_Toc31201288"/>
      <w:bookmarkEnd w:id="7"/>
      <w:r>
        <w:t>3</w:t>
      </w:r>
      <w:r w:rsidR="000B14AD">
        <w:tab/>
      </w:r>
      <w:bookmarkEnd w:id="8"/>
      <w:bookmarkEnd w:id="9"/>
      <w:r w:rsidR="007235A0">
        <w:t>Amendment</w:t>
      </w:r>
    </w:p>
    <w:p w14:paraId="68BD733B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145080">
        <w:t>Schedule 1 amends</w:t>
      </w:r>
      <w:r w:rsidR="00145080" w:rsidRPr="00BC5259">
        <w:t xml:space="preserve"> </w:t>
      </w:r>
      <w:r w:rsidR="00145080" w:rsidRPr="00D600ED">
        <w:rPr>
          <w:i/>
          <w:iCs/>
          <w:color w:val="000000"/>
          <w:shd w:val="clear" w:color="auto" w:fill="FFFFFF"/>
        </w:rPr>
        <w:t>Migration (IMMI 18/033: Specification of Income Threshold and Annual Earnings and Methodology of Annual Market Salary Rate) Instrument 2018.</w:t>
      </w:r>
    </w:p>
    <w:p w14:paraId="46FA91F9" w14:textId="77777777" w:rsidR="007235A0" w:rsidRDefault="007235A0" w:rsidP="007235A0">
      <w:pPr>
        <w:pStyle w:val="LDSchedule"/>
      </w:pPr>
      <w:bookmarkStart w:id="10" w:name="_Toc31201296"/>
      <w:bookmarkEnd w:id="2"/>
    </w:p>
    <w:p w14:paraId="4A4A3C12" w14:textId="77777777" w:rsidR="002D6354" w:rsidRDefault="002D6354">
      <w:pPr>
        <w:spacing w:line="240" w:lineRule="auto"/>
        <w:rPr>
          <w:rFonts w:ascii="Arial" w:eastAsia="Times New Roman" w:hAnsi="Arial" w:cs="Times New Roman"/>
          <w:b/>
          <w:sz w:val="28"/>
          <w:szCs w:val="24"/>
        </w:rPr>
      </w:pPr>
      <w:r>
        <w:br w:type="page"/>
      </w:r>
      <w:bookmarkStart w:id="11" w:name="_GoBack"/>
      <w:bookmarkEnd w:id="11"/>
    </w:p>
    <w:p w14:paraId="15BEDABF" w14:textId="15E26799" w:rsidR="00A252F1" w:rsidRDefault="00A252F1" w:rsidP="007235A0">
      <w:pPr>
        <w:pStyle w:val="LDSchedule"/>
      </w:pPr>
      <w:r>
        <w:lastRenderedPageBreak/>
        <w:t xml:space="preserve">Schedule </w:t>
      </w:r>
      <w:r w:rsidR="00DD628E">
        <w:t>1</w:t>
      </w:r>
      <w:r>
        <w:tab/>
      </w:r>
      <w:bookmarkEnd w:id="10"/>
      <w:r w:rsidR="00C21F16">
        <w:t>Amendment</w:t>
      </w:r>
    </w:p>
    <w:p w14:paraId="55DA8A55" w14:textId="77777777" w:rsidR="00A252F1" w:rsidRDefault="00A252F1" w:rsidP="007235A0">
      <w:pPr>
        <w:pStyle w:val="LDSchedref"/>
      </w:pPr>
      <w:r w:rsidRPr="00A252F1">
        <w:t>(s.</w:t>
      </w:r>
      <w:r w:rsidR="007235A0">
        <w:t>3</w:t>
      </w:r>
      <w:r w:rsidRPr="00A252F1">
        <w:t>)</w:t>
      </w:r>
    </w:p>
    <w:p w14:paraId="3BF9BA84" w14:textId="568F0B94" w:rsidR="007235A0" w:rsidRDefault="007235A0" w:rsidP="007235A0">
      <w:pPr>
        <w:pStyle w:val="LDAmendHeading"/>
      </w:pPr>
      <w:r>
        <w:t>[</w:t>
      </w:r>
      <w:r w:rsidR="00DD628E">
        <w:rPr>
          <w:noProof/>
        </w:rPr>
        <w:t>1</w:t>
      </w:r>
      <w:r w:rsidR="00145080">
        <w:t>]</w:t>
      </w:r>
      <w:r w:rsidR="00145080">
        <w:tab/>
        <w:t>Section 6</w:t>
      </w:r>
    </w:p>
    <w:p w14:paraId="76753969" w14:textId="77777777" w:rsidR="007235A0" w:rsidRPr="002D6EEE" w:rsidRDefault="007235A0" w:rsidP="007235A0">
      <w:pPr>
        <w:pStyle w:val="LDAmendInstruction"/>
      </w:pPr>
      <w:r w:rsidRPr="002D6EEE">
        <w:t>omit</w:t>
      </w:r>
    </w:p>
    <w:p w14:paraId="0A285AB9" w14:textId="7544D0A7" w:rsidR="00145080" w:rsidRDefault="0065156B" w:rsidP="00145080">
      <w:pPr>
        <w:pStyle w:val="LDAmendText"/>
      </w:pPr>
      <w:r>
        <w:t>AUD 53</w:t>
      </w:r>
      <w:r w:rsidR="00AF4283">
        <w:t>,</w:t>
      </w:r>
      <w:r w:rsidR="00145080">
        <w:t>900</w:t>
      </w:r>
      <w:r w:rsidR="00BC5259">
        <w:t>.</w:t>
      </w:r>
    </w:p>
    <w:p w14:paraId="492D1C23" w14:textId="77777777" w:rsidR="007235A0" w:rsidRDefault="007235A0" w:rsidP="007235A0">
      <w:pPr>
        <w:pStyle w:val="LDAmendInstruction"/>
      </w:pPr>
      <w:r>
        <w:t>insert</w:t>
      </w:r>
    </w:p>
    <w:p w14:paraId="629D35A4" w14:textId="7608A9B9" w:rsidR="00145080" w:rsidRDefault="00145080" w:rsidP="00145080">
      <w:pPr>
        <w:pStyle w:val="LDAmendText"/>
      </w:pPr>
      <w:r>
        <w:t>AUD 70</w:t>
      </w:r>
      <w:r w:rsidR="00AF4283">
        <w:t>,</w:t>
      </w:r>
      <w:r>
        <w:t>000</w:t>
      </w:r>
      <w:r w:rsidR="00BC5259">
        <w:t>.</w:t>
      </w:r>
    </w:p>
    <w:p w14:paraId="441FC6FE" w14:textId="751AA120" w:rsidR="007235A0" w:rsidRPr="007235A0" w:rsidRDefault="007235A0" w:rsidP="00145080">
      <w:pPr>
        <w:pStyle w:val="LDAmendHeading"/>
      </w:pPr>
      <w:r>
        <w:t>[</w:t>
      </w:r>
      <w:r w:rsidR="00DD628E">
        <w:rPr>
          <w:noProof/>
        </w:rPr>
        <w:t>2</w:t>
      </w:r>
      <w:r>
        <w:t>]</w:t>
      </w:r>
      <w:r>
        <w:tab/>
      </w:r>
      <w:r w:rsidR="002A6DA8">
        <w:t>After</w:t>
      </w:r>
      <w:r w:rsidR="00145080">
        <w:t xml:space="preserve"> </w:t>
      </w:r>
      <w:r w:rsidR="00BC5259">
        <w:t>section 9</w:t>
      </w:r>
    </w:p>
    <w:p w14:paraId="1221E621" w14:textId="77777777" w:rsidR="007235A0" w:rsidRDefault="007235A0" w:rsidP="007235A0">
      <w:pPr>
        <w:pStyle w:val="LDAmendInstruction"/>
      </w:pPr>
      <w:r>
        <w:t>insert</w:t>
      </w:r>
    </w:p>
    <w:p w14:paraId="39862A06" w14:textId="5ECCD9E7" w:rsidR="00145080" w:rsidRPr="005713F2" w:rsidRDefault="00145080" w:rsidP="00145080">
      <w:pPr>
        <w:pStyle w:val="LDSecHead"/>
      </w:pPr>
      <w:r w:rsidRPr="005713F2">
        <w:t>10</w:t>
      </w:r>
      <w:r>
        <w:tab/>
      </w:r>
      <w:r w:rsidRPr="005713F2">
        <w:t xml:space="preserve">Application of the </w:t>
      </w:r>
      <w:r w:rsidRPr="00046599">
        <w:rPr>
          <w:i/>
        </w:rPr>
        <w:t>Migration (Specification of Income Threshold and Annual Earnings and Methodology of Annual Market Salary Rate) Amendment Instrument</w:t>
      </w:r>
      <w:r w:rsidR="002A6DA8" w:rsidRPr="002A6DA8">
        <w:rPr>
          <w:i/>
        </w:rPr>
        <w:t xml:space="preserve"> </w:t>
      </w:r>
      <w:r w:rsidR="002A6DA8">
        <w:rPr>
          <w:i/>
        </w:rPr>
        <w:t>(</w:t>
      </w:r>
      <w:r w:rsidR="002A6DA8" w:rsidRPr="00046599">
        <w:rPr>
          <w:i/>
        </w:rPr>
        <w:t>LIN 23/045</w:t>
      </w:r>
      <w:r w:rsidR="002A6DA8">
        <w:rPr>
          <w:i/>
        </w:rPr>
        <w:t>)</w:t>
      </w:r>
      <w:r w:rsidRPr="00046599">
        <w:rPr>
          <w:i/>
        </w:rPr>
        <w:t xml:space="preserve"> 2023</w:t>
      </w:r>
    </w:p>
    <w:p w14:paraId="6B06FE32" w14:textId="1EB3F937" w:rsidR="007235A0" w:rsidRDefault="00E96D51" w:rsidP="00145080">
      <w:pPr>
        <w:pStyle w:val="LDAmendText"/>
      </w:pPr>
      <w:r>
        <w:t xml:space="preserve">The amendments made by </w:t>
      </w:r>
      <w:r w:rsidR="00145080">
        <w:t xml:space="preserve">Schedule 1 to the </w:t>
      </w:r>
      <w:r w:rsidR="00145080" w:rsidRPr="005713F2">
        <w:rPr>
          <w:rStyle w:val="LDItal"/>
        </w:rPr>
        <w:t>Migration (Specification of Income Threshold and Annual Earnings and Methodology of Annual Market Salary Rate) Amendment Instrument</w:t>
      </w:r>
      <w:r w:rsidR="00A11B06">
        <w:rPr>
          <w:rStyle w:val="LDItal"/>
        </w:rPr>
        <w:t xml:space="preserve"> (LIN 23/045</w:t>
      </w:r>
      <w:r w:rsidR="00A11B06" w:rsidRPr="005713F2">
        <w:rPr>
          <w:rStyle w:val="LDItal"/>
        </w:rPr>
        <w:t>)</w:t>
      </w:r>
      <w:r w:rsidR="00145080" w:rsidRPr="005713F2">
        <w:rPr>
          <w:rStyle w:val="LDItal"/>
        </w:rPr>
        <w:t xml:space="preserve"> 2023 </w:t>
      </w:r>
      <w:r>
        <w:rPr>
          <w:rStyle w:val="LDItal"/>
          <w:i w:val="0"/>
        </w:rPr>
        <w:t>apply</w:t>
      </w:r>
      <w:r w:rsidRPr="00145080">
        <w:rPr>
          <w:rStyle w:val="LDItal"/>
          <w:i w:val="0"/>
        </w:rPr>
        <w:t xml:space="preserve"> </w:t>
      </w:r>
      <w:r w:rsidR="00145080" w:rsidRPr="00145080">
        <w:rPr>
          <w:rStyle w:val="LDItal"/>
          <w:i w:val="0"/>
        </w:rPr>
        <w:t xml:space="preserve">to an application for approval of a nomination made after </w:t>
      </w:r>
      <w:r w:rsidR="00A11B06">
        <w:rPr>
          <w:rStyle w:val="LDItal"/>
          <w:i w:val="0"/>
        </w:rPr>
        <w:t>30 June 2023</w:t>
      </w:r>
      <w:r w:rsidR="00145080">
        <w:rPr>
          <w:rStyle w:val="LDItal"/>
          <w:i w:val="0"/>
        </w:rPr>
        <w:t>.</w:t>
      </w:r>
    </w:p>
    <w:p w14:paraId="0652B216" w14:textId="77777777" w:rsidR="00C562C7" w:rsidRDefault="00C562C7" w:rsidP="00C562C7">
      <w:pPr>
        <w:pStyle w:val="LDLine"/>
      </w:pPr>
    </w:p>
    <w:sectPr w:rsidR="00C562C7" w:rsidSect="008D01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A457" w14:textId="77777777" w:rsidR="00145080" w:rsidRDefault="00145080" w:rsidP="00715914">
      <w:pPr>
        <w:spacing w:line="240" w:lineRule="auto"/>
      </w:pPr>
      <w:r>
        <w:separator/>
      </w:r>
    </w:p>
    <w:p w14:paraId="18827D11" w14:textId="77777777" w:rsidR="00145080" w:rsidRDefault="00145080"/>
    <w:p w14:paraId="6104B863" w14:textId="77777777" w:rsidR="00145080" w:rsidRDefault="00145080"/>
  </w:endnote>
  <w:endnote w:type="continuationSeparator" w:id="0">
    <w:p w14:paraId="005C200A" w14:textId="77777777" w:rsidR="00145080" w:rsidRDefault="00145080" w:rsidP="00715914">
      <w:pPr>
        <w:spacing w:line="240" w:lineRule="auto"/>
      </w:pPr>
      <w:r>
        <w:continuationSeparator/>
      </w:r>
    </w:p>
    <w:p w14:paraId="6945C971" w14:textId="77777777" w:rsidR="00145080" w:rsidRDefault="00145080"/>
    <w:p w14:paraId="354DDB87" w14:textId="77777777" w:rsidR="00145080" w:rsidRDefault="00145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8CAA" w14:textId="77777777" w:rsidR="00627CD9" w:rsidRDefault="00627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8D0F7" w14:textId="7B7255E6" w:rsidR="00494305" w:rsidRPr="00106806" w:rsidRDefault="00494305" w:rsidP="00494305">
    <w:pPr>
      <w:pStyle w:val="LDFooter"/>
      <w:rPr>
        <w:i/>
      </w:rPr>
    </w:pPr>
    <w:r w:rsidRPr="00A36076">
      <w:rPr>
        <w:rStyle w:val="LDItal"/>
      </w:rPr>
      <w:fldChar w:fldCharType="begin"/>
    </w:r>
    <w:r w:rsidRPr="00A11B06">
      <w:rPr>
        <w:rStyle w:val="LDItal"/>
      </w:rPr>
      <w:instrText xml:space="preserve"> REF Title \h  \* MERGEFORMAT </w:instrText>
    </w:r>
    <w:r w:rsidRPr="00A36076">
      <w:rPr>
        <w:rStyle w:val="LDItal"/>
      </w:rPr>
    </w:r>
    <w:r w:rsidRPr="00A36076">
      <w:rPr>
        <w:rStyle w:val="LDItal"/>
      </w:rPr>
      <w:fldChar w:fldCharType="separate"/>
    </w:r>
    <w:r w:rsidR="00E051FD" w:rsidRPr="00E051FD">
      <w:rPr>
        <w:rStyle w:val="LDItal"/>
        <w:bCs/>
        <w:lang w:val="en-US"/>
      </w:rPr>
      <w:t xml:space="preserve">Migration (Specification </w:t>
    </w:r>
    <w:r w:rsidR="00E051FD" w:rsidRPr="00E051FD">
      <w:rPr>
        <w:rStyle w:val="LDItal"/>
      </w:rPr>
      <w:t>of Income Threshold and Annual Earnings and Methodology of Annual Market Salary Rate)</w:t>
    </w:r>
    <w:r w:rsidR="00E051FD" w:rsidRPr="00E051FD">
      <w:rPr>
        <w:i/>
      </w:rPr>
      <w:t xml:space="preserve"> Amendment Instrument (LIN 23/045) 2023</w:t>
    </w:r>
    <w:r w:rsidRPr="00A36076">
      <w:rPr>
        <w:rStyle w:val="LDItal"/>
      </w:rPr>
      <w:fldChar w:fldCharType="end"/>
    </w:r>
  </w:p>
  <w:p w14:paraId="30C565EE" w14:textId="04749BDA" w:rsidR="00B714F2" w:rsidRPr="007C5FDD" w:rsidRDefault="00494305" w:rsidP="00494305">
    <w:pPr>
      <w:pStyle w:val="LDFooter"/>
      <w:tabs>
        <w:tab w:val="right" w:pos="9639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33A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9CECA" w14:textId="77777777" w:rsidR="00627CD9" w:rsidRDefault="00627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AE83D" w14:textId="77777777" w:rsidR="00145080" w:rsidRDefault="00145080" w:rsidP="00715914">
      <w:pPr>
        <w:spacing w:line="240" w:lineRule="auto"/>
      </w:pPr>
      <w:r>
        <w:separator/>
      </w:r>
    </w:p>
    <w:p w14:paraId="03FC7043" w14:textId="77777777" w:rsidR="00145080" w:rsidRDefault="00145080"/>
    <w:p w14:paraId="066B76D0" w14:textId="77777777" w:rsidR="00145080" w:rsidRDefault="00145080"/>
  </w:footnote>
  <w:footnote w:type="continuationSeparator" w:id="0">
    <w:p w14:paraId="6531B5D9" w14:textId="77777777" w:rsidR="00145080" w:rsidRDefault="00145080" w:rsidP="00715914">
      <w:pPr>
        <w:spacing w:line="240" w:lineRule="auto"/>
      </w:pPr>
      <w:r>
        <w:continuationSeparator/>
      </w:r>
    </w:p>
    <w:p w14:paraId="3F1A4104" w14:textId="77777777" w:rsidR="00145080" w:rsidRDefault="00145080"/>
    <w:p w14:paraId="6D3D019B" w14:textId="77777777" w:rsidR="00145080" w:rsidRDefault="001450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268D" w14:textId="77777777" w:rsidR="00627CD9" w:rsidRDefault="00627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B5792" w14:textId="77777777" w:rsidR="00627CD9" w:rsidRDefault="00627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BFA1" w14:textId="77777777" w:rsidR="00627CD9" w:rsidRDefault="00627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B3C03"/>
    <w:multiLevelType w:val="hybridMultilevel"/>
    <w:tmpl w:val="FC923822"/>
    <w:lvl w:ilvl="0" w:tplc="64BA8CFC">
      <w:start w:val="1"/>
      <w:numFmt w:val="decimal"/>
      <w:lvlText w:val="(%1)"/>
      <w:lvlJc w:val="left"/>
      <w:pPr>
        <w:ind w:left="145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75" w:hanging="360"/>
      </w:pPr>
    </w:lvl>
    <w:lvl w:ilvl="2" w:tplc="0C09001B" w:tentative="1">
      <w:start w:val="1"/>
      <w:numFmt w:val="lowerRoman"/>
      <w:lvlText w:val="%3."/>
      <w:lvlJc w:val="right"/>
      <w:pPr>
        <w:ind w:left="2895" w:hanging="180"/>
      </w:pPr>
    </w:lvl>
    <w:lvl w:ilvl="3" w:tplc="0C09000F" w:tentative="1">
      <w:start w:val="1"/>
      <w:numFmt w:val="decimal"/>
      <w:lvlText w:val="%4."/>
      <w:lvlJc w:val="left"/>
      <w:pPr>
        <w:ind w:left="3615" w:hanging="360"/>
      </w:pPr>
    </w:lvl>
    <w:lvl w:ilvl="4" w:tplc="0C090019" w:tentative="1">
      <w:start w:val="1"/>
      <w:numFmt w:val="lowerLetter"/>
      <w:lvlText w:val="%5."/>
      <w:lvlJc w:val="left"/>
      <w:pPr>
        <w:ind w:left="4335" w:hanging="360"/>
      </w:pPr>
    </w:lvl>
    <w:lvl w:ilvl="5" w:tplc="0C09001B" w:tentative="1">
      <w:start w:val="1"/>
      <w:numFmt w:val="lowerRoman"/>
      <w:lvlText w:val="%6."/>
      <w:lvlJc w:val="right"/>
      <w:pPr>
        <w:ind w:left="5055" w:hanging="180"/>
      </w:pPr>
    </w:lvl>
    <w:lvl w:ilvl="6" w:tplc="0C09000F" w:tentative="1">
      <w:start w:val="1"/>
      <w:numFmt w:val="decimal"/>
      <w:lvlText w:val="%7."/>
      <w:lvlJc w:val="left"/>
      <w:pPr>
        <w:ind w:left="5775" w:hanging="360"/>
      </w:pPr>
    </w:lvl>
    <w:lvl w:ilvl="7" w:tplc="0C090019" w:tentative="1">
      <w:start w:val="1"/>
      <w:numFmt w:val="lowerLetter"/>
      <w:lvlText w:val="%8."/>
      <w:lvlJc w:val="left"/>
      <w:pPr>
        <w:ind w:left="6495" w:hanging="360"/>
      </w:pPr>
    </w:lvl>
    <w:lvl w:ilvl="8" w:tplc="0C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20"/>
  </w:num>
  <w:num w:numId="18">
    <w:abstractNumId w:val="22"/>
  </w:num>
  <w:num w:numId="19">
    <w:abstractNumId w:val="10"/>
  </w:num>
  <w:num w:numId="20">
    <w:abstractNumId w:val="25"/>
  </w:num>
  <w:num w:numId="21">
    <w:abstractNumId w:val="18"/>
  </w:num>
  <w:num w:numId="22">
    <w:abstractNumId w:val="21"/>
  </w:num>
  <w:num w:numId="23">
    <w:abstractNumId w:val="23"/>
  </w:num>
  <w:num w:numId="24">
    <w:abstractNumId w:val="24"/>
  </w:num>
  <w:num w:numId="25">
    <w:abstractNumId w:val="1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80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354B"/>
    <w:rsid w:val="000F5B84"/>
    <w:rsid w:val="001031F5"/>
    <w:rsid w:val="00106806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45080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027F"/>
    <w:rsid w:val="001D37EF"/>
    <w:rsid w:val="001D681A"/>
    <w:rsid w:val="001D68EA"/>
    <w:rsid w:val="001D729F"/>
    <w:rsid w:val="001E3590"/>
    <w:rsid w:val="001E48E3"/>
    <w:rsid w:val="001E7407"/>
    <w:rsid w:val="001F5B44"/>
    <w:rsid w:val="001F5D5E"/>
    <w:rsid w:val="001F6109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6DA8"/>
    <w:rsid w:val="002A7BCF"/>
    <w:rsid w:val="002C3FD1"/>
    <w:rsid w:val="002D043A"/>
    <w:rsid w:val="002D266B"/>
    <w:rsid w:val="002D43A4"/>
    <w:rsid w:val="002D6224"/>
    <w:rsid w:val="002D6354"/>
    <w:rsid w:val="002D67E8"/>
    <w:rsid w:val="002F5727"/>
    <w:rsid w:val="003040B2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A4AC6"/>
    <w:rsid w:val="003B3646"/>
    <w:rsid w:val="003C12FE"/>
    <w:rsid w:val="003C6231"/>
    <w:rsid w:val="003C7F9F"/>
    <w:rsid w:val="003D0BFE"/>
    <w:rsid w:val="003D34D7"/>
    <w:rsid w:val="003D4259"/>
    <w:rsid w:val="003D5700"/>
    <w:rsid w:val="003D79D2"/>
    <w:rsid w:val="003E183E"/>
    <w:rsid w:val="003E341B"/>
    <w:rsid w:val="003E4D00"/>
    <w:rsid w:val="003F28BC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5DF9"/>
    <w:rsid w:val="00477830"/>
    <w:rsid w:val="00480BB0"/>
    <w:rsid w:val="00487764"/>
    <w:rsid w:val="00490D54"/>
    <w:rsid w:val="00494305"/>
    <w:rsid w:val="004951EF"/>
    <w:rsid w:val="00496F97"/>
    <w:rsid w:val="004A23DC"/>
    <w:rsid w:val="004A7042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77DFB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CD9"/>
    <w:rsid w:val="00627E0A"/>
    <w:rsid w:val="006303E3"/>
    <w:rsid w:val="006504D5"/>
    <w:rsid w:val="0065156B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B674F"/>
    <w:rsid w:val="006C30C5"/>
    <w:rsid w:val="006C5CDD"/>
    <w:rsid w:val="006C7F8C"/>
    <w:rsid w:val="006D25C3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11C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16E0"/>
    <w:rsid w:val="009A7C1F"/>
    <w:rsid w:val="009B7A3C"/>
    <w:rsid w:val="009C215C"/>
    <w:rsid w:val="009C3413"/>
    <w:rsid w:val="009D0C05"/>
    <w:rsid w:val="009E09B1"/>
    <w:rsid w:val="009F13F4"/>
    <w:rsid w:val="009F49B2"/>
    <w:rsid w:val="009F69F1"/>
    <w:rsid w:val="00A0441E"/>
    <w:rsid w:val="00A06CA5"/>
    <w:rsid w:val="00A11B06"/>
    <w:rsid w:val="00A12128"/>
    <w:rsid w:val="00A127E7"/>
    <w:rsid w:val="00A1712A"/>
    <w:rsid w:val="00A22C98"/>
    <w:rsid w:val="00A231E2"/>
    <w:rsid w:val="00A252F1"/>
    <w:rsid w:val="00A36076"/>
    <w:rsid w:val="00A369E3"/>
    <w:rsid w:val="00A57600"/>
    <w:rsid w:val="00A64396"/>
    <w:rsid w:val="00A64912"/>
    <w:rsid w:val="00A70A74"/>
    <w:rsid w:val="00A72548"/>
    <w:rsid w:val="00A73CA8"/>
    <w:rsid w:val="00A75A0B"/>
    <w:rsid w:val="00A75FE9"/>
    <w:rsid w:val="00A800DE"/>
    <w:rsid w:val="00A8241B"/>
    <w:rsid w:val="00A903F9"/>
    <w:rsid w:val="00A94216"/>
    <w:rsid w:val="00AA2CB1"/>
    <w:rsid w:val="00AA7A1C"/>
    <w:rsid w:val="00AD53CC"/>
    <w:rsid w:val="00AD5641"/>
    <w:rsid w:val="00AD7A13"/>
    <w:rsid w:val="00AE6A5E"/>
    <w:rsid w:val="00AE7C80"/>
    <w:rsid w:val="00AF06CF"/>
    <w:rsid w:val="00AF4283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4A53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5259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1F16"/>
    <w:rsid w:val="00C25E7F"/>
    <w:rsid w:val="00C2746F"/>
    <w:rsid w:val="00C323D6"/>
    <w:rsid w:val="00C324A0"/>
    <w:rsid w:val="00C33AA6"/>
    <w:rsid w:val="00C42BF8"/>
    <w:rsid w:val="00C50043"/>
    <w:rsid w:val="00C562C7"/>
    <w:rsid w:val="00C73B6F"/>
    <w:rsid w:val="00C7573B"/>
    <w:rsid w:val="00C96352"/>
    <w:rsid w:val="00C96D4F"/>
    <w:rsid w:val="00C97A54"/>
    <w:rsid w:val="00CA36E6"/>
    <w:rsid w:val="00CA5B23"/>
    <w:rsid w:val="00CB602E"/>
    <w:rsid w:val="00CB7E90"/>
    <w:rsid w:val="00CC6838"/>
    <w:rsid w:val="00CC77B2"/>
    <w:rsid w:val="00CD0A7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00ED"/>
    <w:rsid w:val="00D6537E"/>
    <w:rsid w:val="00D706D1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D628E"/>
    <w:rsid w:val="00DE08BC"/>
    <w:rsid w:val="00DE107C"/>
    <w:rsid w:val="00DF2388"/>
    <w:rsid w:val="00E051FD"/>
    <w:rsid w:val="00E05704"/>
    <w:rsid w:val="00E05CB5"/>
    <w:rsid w:val="00E13901"/>
    <w:rsid w:val="00E14961"/>
    <w:rsid w:val="00E16885"/>
    <w:rsid w:val="00E23301"/>
    <w:rsid w:val="00E33196"/>
    <w:rsid w:val="00E338EF"/>
    <w:rsid w:val="00E544BB"/>
    <w:rsid w:val="00E5543F"/>
    <w:rsid w:val="00E5722B"/>
    <w:rsid w:val="00E6260D"/>
    <w:rsid w:val="00E74DC7"/>
    <w:rsid w:val="00E8075A"/>
    <w:rsid w:val="00E85F33"/>
    <w:rsid w:val="00E91D70"/>
    <w:rsid w:val="00E940D8"/>
    <w:rsid w:val="00E94D5E"/>
    <w:rsid w:val="00E96D51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382E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2B6C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subsection">
    <w:name w:val="subsection"/>
    <w:aliases w:val="ss,Subsection"/>
    <w:basedOn w:val="Normal"/>
    <w:link w:val="subsectionChar"/>
    <w:rsid w:val="00145080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145080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F5E7.C3E0A6C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942C-BE75-4961-B740-C391AA1C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2023-06-28T05:09:00Z</dcterms:created>
  <dcterms:modified xsi:type="dcterms:W3CDTF">2023-06-28T05:09:00Z</dcterms:modified>
  <cp:contentStatus/>
</cp:coreProperties>
</file>