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C1B4F" w14:textId="77777777" w:rsidR="001F2A16" w:rsidRPr="00A720B4" w:rsidRDefault="001F2A16" w:rsidP="00A720B4">
      <w:pPr>
        <w:pStyle w:val="Header"/>
        <w:pBdr>
          <w:top w:val="single" w:sz="4" w:space="1" w:color="auto"/>
          <w:bottom w:val="single" w:sz="4" w:space="1" w:color="auto"/>
        </w:pBdr>
        <w:tabs>
          <w:tab w:val="clear" w:pos="4153"/>
          <w:tab w:val="clear" w:pos="8306"/>
        </w:tabs>
        <w:spacing w:after="360"/>
        <w:jc w:val="center"/>
        <w:rPr>
          <w:rFonts w:ascii="Arial" w:hAnsi="Arial" w:cs="Arial"/>
          <w:sz w:val="34"/>
          <w:szCs w:val="34"/>
        </w:rPr>
      </w:pPr>
      <w:r w:rsidRPr="00A720B4">
        <w:rPr>
          <w:rFonts w:ascii="Arial" w:hAnsi="Arial" w:cs="Arial"/>
          <w:sz w:val="34"/>
          <w:szCs w:val="34"/>
        </w:rPr>
        <w:t>Explanatory Statement</w:t>
      </w:r>
    </w:p>
    <w:p w14:paraId="6B8F7B13" w14:textId="18CC6C4E" w:rsidR="009371D0" w:rsidRPr="00A720B4" w:rsidRDefault="006C27F8" w:rsidP="00A720B4">
      <w:pPr>
        <w:pStyle w:val="Header"/>
        <w:pBdr>
          <w:top w:val="single" w:sz="4" w:space="1" w:color="auto"/>
          <w:bottom w:val="single" w:sz="4" w:space="1" w:color="auto"/>
        </w:pBdr>
        <w:tabs>
          <w:tab w:val="clear" w:pos="4153"/>
          <w:tab w:val="clear" w:pos="8306"/>
        </w:tabs>
        <w:jc w:val="center"/>
        <w:rPr>
          <w:rFonts w:ascii="Arial" w:hAnsi="Arial" w:cs="Arial"/>
          <w:sz w:val="34"/>
          <w:szCs w:val="34"/>
        </w:rPr>
      </w:pPr>
      <w:bookmarkStart w:id="0" w:name="_Hlk131508226"/>
      <w:r w:rsidRPr="00A720B4">
        <w:rPr>
          <w:rFonts w:ascii="Arial" w:hAnsi="Arial" w:cs="Arial"/>
          <w:sz w:val="34"/>
          <w:szCs w:val="34"/>
        </w:rPr>
        <w:t>Taxation Administration (Reporting by Electronic Distribution Platform Operators) Legislative Instrument 2023</w:t>
      </w:r>
    </w:p>
    <w:bookmarkEnd w:id="0"/>
    <w:p w14:paraId="15AC1B52" w14:textId="5B65CDA8" w:rsidR="0099555F" w:rsidRPr="00A720B4" w:rsidRDefault="0099555F" w:rsidP="00A720B4">
      <w:pPr>
        <w:pStyle w:val="Header"/>
        <w:tabs>
          <w:tab w:val="clear" w:pos="4153"/>
          <w:tab w:val="clear" w:pos="8306"/>
        </w:tabs>
        <w:jc w:val="center"/>
        <w:rPr>
          <w:rFonts w:ascii="Arial" w:hAnsi="Arial" w:cs="Arial"/>
          <w:sz w:val="22"/>
          <w:szCs w:val="22"/>
        </w:rPr>
      </w:pPr>
    </w:p>
    <w:p w14:paraId="15AC1B53" w14:textId="77777777" w:rsidR="001F2A16" w:rsidRPr="00A720B4" w:rsidRDefault="001F2A16" w:rsidP="00A720B4">
      <w:pPr>
        <w:pStyle w:val="Header"/>
        <w:tabs>
          <w:tab w:val="clear" w:pos="4153"/>
          <w:tab w:val="clear" w:pos="8306"/>
        </w:tabs>
        <w:jc w:val="center"/>
        <w:rPr>
          <w:rFonts w:ascii="Arial" w:hAnsi="Arial" w:cs="Arial"/>
          <w:sz w:val="22"/>
          <w:szCs w:val="22"/>
        </w:rPr>
      </w:pPr>
    </w:p>
    <w:p w14:paraId="15AC1B54" w14:textId="72E1D7FF" w:rsidR="00486653" w:rsidRPr="00A720B4" w:rsidRDefault="00486653" w:rsidP="00A720B4">
      <w:pPr>
        <w:pStyle w:val="Heading2"/>
      </w:pPr>
      <w:r w:rsidRPr="00A720B4">
        <w:t xml:space="preserve">General </w:t>
      </w:r>
      <w:r w:rsidR="00C620E9" w:rsidRPr="00A720B4">
        <w:t>o</w:t>
      </w:r>
      <w:r w:rsidRPr="00A720B4">
        <w:t xml:space="preserve">utline of </w:t>
      </w:r>
      <w:r w:rsidR="00C620E9" w:rsidRPr="00A720B4">
        <w:t>i</w:t>
      </w:r>
      <w:r w:rsidRPr="00A720B4">
        <w:t>nstrument</w:t>
      </w:r>
    </w:p>
    <w:p w14:paraId="2FD032FF" w14:textId="342A02BD" w:rsidR="006C27F8" w:rsidRPr="00A720B4" w:rsidRDefault="006C27F8" w:rsidP="00A720B4">
      <w:pPr>
        <w:numPr>
          <w:ilvl w:val="0"/>
          <w:numId w:val="9"/>
        </w:numPr>
        <w:spacing w:after="120"/>
        <w:ind w:left="709" w:hanging="709"/>
        <w:rPr>
          <w:rFonts w:ascii="Arial" w:hAnsi="Arial" w:cs="Arial"/>
          <w:sz w:val="22"/>
          <w:szCs w:val="22"/>
        </w:rPr>
      </w:pPr>
      <w:r w:rsidRPr="00A720B4">
        <w:rPr>
          <w:rFonts w:ascii="Arial" w:hAnsi="Arial" w:cs="Arial"/>
          <w:sz w:val="22"/>
          <w:szCs w:val="22"/>
        </w:rPr>
        <w:t xml:space="preserve">This instrument is made under subsection 396-55(a)(ii) </w:t>
      </w:r>
      <w:r w:rsidR="004C675C" w:rsidRPr="00A720B4">
        <w:rPr>
          <w:rFonts w:ascii="Arial" w:hAnsi="Arial" w:cs="Arial"/>
          <w:sz w:val="22"/>
          <w:szCs w:val="22"/>
        </w:rPr>
        <w:t>in</w:t>
      </w:r>
      <w:r w:rsidRPr="00A720B4">
        <w:rPr>
          <w:rFonts w:ascii="Arial" w:hAnsi="Arial" w:cs="Arial"/>
          <w:sz w:val="22"/>
          <w:szCs w:val="22"/>
        </w:rPr>
        <w:t xml:space="preserve"> Schedule 1 to the</w:t>
      </w:r>
      <w:r w:rsidR="004D6230" w:rsidRPr="00A720B4">
        <w:rPr>
          <w:rFonts w:ascii="Arial" w:hAnsi="Arial" w:cs="Arial"/>
          <w:sz w:val="22"/>
          <w:szCs w:val="22"/>
        </w:rPr>
        <w:t xml:space="preserve"> </w:t>
      </w:r>
      <w:r w:rsidRPr="00A720B4">
        <w:rPr>
          <w:rStyle w:val="Emphasis"/>
          <w:rFonts w:ascii="Arial" w:hAnsi="Arial" w:cs="Arial"/>
          <w:sz w:val="22"/>
          <w:szCs w:val="22"/>
        </w:rPr>
        <w:t>Taxation Administration Act 1953</w:t>
      </w:r>
      <w:r w:rsidR="004D6230" w:rsidRPr="00A720B4">
        <w:rPr>
          <w:rFonts w:ascii="Arial" w:hAnsi="Arial" w:cs="Arial"/>
          <w:sz w:val="22"/>
          <w:szCs w:val="22"/>
        </w:rPr>
        <w:t xml:space="preserve"> </w:t>
      </w:r>
      <w:r w:rsidRPr="00A720B4">
        <w:rPr>
          <w:rFonts w:ascii="Arial" w:hAnsi="Arial" w:cs="Arial"/>
          <w:sz w:val="22"/>
          <w:szCs w:val="22"/>
        </w:rPr>
        <w:t>(</w:t>
      </w:r>
      <w:r w:rsidR="006549BD" w:rsidRPr="00A720B4">
        <w:rPr>
          <w:rFonts w:ascii="Arial" w:hAnsi="Arial" w:cs="Arial"/>
          <w:sz w:val="22"/>
          <w:szCs w:val="22"/>
        </w:rPr>
        <w:t>the Act</w:t>
      </w:r>
      <w:r w:rsidRPr="00A720B4">
        <w:rPr>
          <w:rFonts w:ascii="Arial" w:hAnsi="Arial" w:cs="Arial"/>
          <w:sz w:val="22"/>
          <w:szCs w:val="22"/>
        </w:rPr>
        <w:t>).</w:t>
      </w:r>
    </w:p>
    <w:p w14:paraId="614124E5" w14:textId="4AB7EC7E" w:rsidR="006C27F8" w:rsidRPr="00A720B4" w:rsidRDefault="006C27F8" w:rsidP="00A720B4">
      <w:pPr>
        <w:numPr>
          <w:ilvl w:val="0"/>
          <w:numId w:val="9"/>
        </w:numPr>
        <w:spacing w:after="120"/>
        <w:ind w:left="709" w:hanging="709"/>
        <w:rPr>
          <w:rFonts w:ascii="Arial" w:hAnsi="Arial" w:cs="Arial"/>
          <w:sz w:val="22"/>
          <w:szCs w:val="22"/>
        </w:rPr>
      </w:pPr>
      <w:r w:rsidRPr="00A720B4">
        <w:rPr>
          <w:rFonts w:ascii="Arial" w:hAnsi="Arial" w:cs="Arial"/>
          <w:sz w:val="22"/>
          <w:szCs w:val="22"/>
        </w:rPr>
        <w:t xml:space="preserve">Under table item 15 in section 396-55 in Schedule 1 to the </w:t>
      </w:r>
      <w:r w:rsidR="006549BD" w:rsidRPr="00A720B4">
        <w:rPr>
          <w:rFonts w:ascii="Arial" w:hAnsi="Arial" w:cs="Arial"/>
          <w:sz w:val="22"/>
          <w:szCs w:val="22"/>
        </w:rPr>
        <w:t>Act</w:t>
      </w:r>
      <w:r w:rsidRPr="00A720B4">
        <w:rPr>
          <w:rFonts w:ascii="Arial" w:hAnsi="Arial" w:cs="Arial"/>
          <w:sz w:val="22"/>
          <w:szCs w:val="22"/>
        </w:rPr>
        <w:t xml:space="preserve">, operators of electronic distribution platforms </w:t>
      </w:r>
      <w:r w:rsidR="00883B15" w:rsidRPr="00A720B4">
        <w:rPr>
          <w:rFonts w:ascii="Arial" w:hAnsi="Arial" w:cs="Arial"/>
          <w:sz w:val="22"/>
          <w:szCs w:val="22"/>
        </w:rPr>
        <w:t>are</w:t>
      </w:r>
      <w:r w:rsidRPr="00A720B4">
        <w:rPr>
          <w:rFonts w:ascii="Arial" w:hAnsi="Arial" w:cs="Arial"/>
          <w:sz w:val="22"/>
          <w:szCs w:val="22"/>
        </w:rPr>
        <w:t xml:space="preserve"> required to report information about certain </w:t>
      </w:r>
      <w:r w:rsidR="00DB1313" w:rsidRPr="00A720B4">
        <w:rPr>
          <w:rFonts w:ascii="Arial" w:hAnsi="Arial" w:cs="Arial"/>
          <w:sz w:val="22"/>
          <w:szCs w:val="22"/>
        </w:rPr>
        <w:t>supplie</w:t>
      </w:r>
      <w:r w:rsidRPr="00A720B4">
        <w:rPr>
          <w:rFonts w:ascii="Arial" w:hAnsi="Arial" w:cs="Arial"/>
          <w:sz w:val="22"/>
          <w:szCs w:val="22"/>
        </w:rPr>
        <w:t>s made through their platforms to the Australian Taxation Office (ATO).</w:t>
      </w:r>
    </w:p>
    <w:p w14:paraId="1B31513E" w14:textId="228939B0" w:rsidR="006C27F8" w:rsidRPr="00A720B4" w:rsidRDefault="006C27F8" w:rsidP="00A720B4">
      <w:pPr>
        <w:numPr>
          <w:ilvl w:val="0"/>
          <w:numId w:val="9"/>
        </w:numPr>
        <w:spacing w:after="120"/>
        <w:ind w:left="709" w:hanging="709"/>
        <w:rPr>
          <w:rFonts w:ascii="Arial" w:hAnsi="Arial" w:cs="Arial"/>
          <w:sz w:val="22"/>
          <w:szCs w:val="22"/>
        </w:rPr>
      </w:pPr>
      <w:r w:rsidRPr="00A720B4">
        <w:rPr>
          <w:rFonts w:ascii="Arial" w:hAnsi="Arial" w:cs="Arial"/>
          <w:sz w:val="22"/>
          <w:szCs w:val="22"/>
        </w:rPr>
        <w:t xml:space="preserve">This instrument </w:t>
      </w:r>
      <w:r w:rsidR="00D65B2C" w:rsidRPr="00A720B4">
        <w:rPr>
          <w:rFonts w:ascii="Arial" w:hAnsi="Arial" w:cs="Arial"/>
          <w:sz w:val="22"/>
          <w:szCs w:val="22"/>
        </w:rPr>
        <w:t xml:space="preserve">replaces </w:t>
      </w:r>
      <w:r w:rsidRPr="00A720B4">
        <w:rPr>
          <w:rFonts w:ascii="Arial" w:hAnsi="Arial" w:cs="Arial"/>
          <w:sz w:val="22"/>
          <w:szCs w:val="22"/>
        </w:rPr>
        <w:t>the default annual reporting period with six-monthly reporting period</w:t>
      </w:r>
      <w:r w:rsidR="00D65B2C" w:rsidRPr="00A720B4">
        <w:rPr>
          <w:rFonts w:ascii="Arial" w:hAnsi="Arial" w:cs="Arial"/>
          <w:sz w:val="22"/>
          <w:szCs w:val="22"/>
        </w:rPr>
        <w:t>s</w:t>
      </w:r>
      <w:r w:rsidRPr="00A720B4">
        <w:rPr>
          <w:rFonts w:ascii="Arial" w:hAnsi="Arial" w:cs="Arial"/>
          <w:sz w:val="22"/>
          <w:szCs w:val="22"/>
        </w:rPr>
        <w:t xml:space="preserve">. The </w:t>
      </w:r>
      <w:r w:rsidR="006549BD" w:rsidRPr="00A720B4">
        <w:rPr>
          <w:rFonts w:ascii="Arial" w:hAnsi="Arial" w:cs="Arial"/>
          <w:sz w:val="22"/>
          <w:szCs w:val="22"/>
        </w:rPr>
        <w:t xml:space="preserve">substituted </w:t>
      </w:r>
      <w:r w:rsidRPr="00A720B4">
        <w:rPr>
          <w:rFonts w:ascii="Arial" w:hAnsi="Arial" w:cs="Arial"/>
          <w:sz w:val="22"/>
          <w:szCs w:val="22"/>
        </w:rPr>
        <w:t>reporting periods will be from 1 January to 30 June, and 1 July to 31</w:t>
      </w:r>
      <w:r w:rsidR="00FD46A5" w:rsidRPr="00A720B4">
        <w:rPr>
          <w:rFonts w:ascii="Arial" w:hAnsi="Arial" w:cs="Arial"/>
          <w:sz w:val="22"/>
          <w:szCs w:val="22"/>
        </w:rPr>
        <w:t> </w:t>
      </w:r>
      <w:r w:rsidRPr="00A720B4">
        <w:rPr>
          <w:rFonts w:ascii="Arial" w:hAnsi="Arial" w:cs="Arial"/>
          <w:sz w:val="22"/>
          <w:szCs w:val="22"/>
        </w:rPr>
        <w:t>December, in each calendar year.</w:t>
      </w:r>
    </w:p>
    <w:p w14:paraId="4E066827" w14:textId="6AE8B051" w:rsidR="006C27F8" w:rsidRPr="00A720B4" w:rsidRDefault="006C27F8" w:rsidP="00A720B4">
      <w:pPr>
        <w:numPr>
          <w:ilvl w:val="0"/>
          <w:numId w:val="9"/>
        </w:numPr>
        <w:spacing w:after="120"/>
        <w:ind w:left="709" w:hanging="709"/>
        <w:rPr>
          <w:rStyle w:val="Emphasis"/>
          <w:rFonts w:ascii="Arial" w:hAnsi="Arial" w:cs="Arial"/>
          <w:i w:val="0"/>
          <w:iCs w:val="0"/>
          <w:sz w:val="22"/>
          <w:szCs w:val="22"/>
        </w:rPr>
      </w:pPr>
      <w:r w:rsidRPr="00A720B4">
        <w:rPr>
          <w:rFonts w:ascii="Arial" w:hAnsi="Arial" w:cs="Arial"/>
          <w:sz w:val="22"/>
          <w:szCs w:val="22"/>
        </w:rPr>
        <w:t>This instrument is a legislative instrument for the purposes of the</w:t>
      </w:r>
      <w:r w:rsidR="004D6230" w:rsidRPr="00A720B4">
        <w:rPr>
          <w:rFonts w:ascii="Arial" w:hAnsi="Arial" w:cs="Arial"/>
          <w:sz w:val="22"/>
          <w:szCs w:val="22"/>
        </w:rPr>
        <w:t xml:space="preserve"> </w:t>
      </w:r>
      <w:r w:rsidRPr="00A720B4">
        <w:rPr>
          <w:rStyle w:val="Emphasis"/>
          <w:rFonts w:ascii="Arial" w:hAnsi="Arial" w:cs="Arial"/>
          <w:sz w:val="22"/>
          <w:szCs w:val="22"/>
        </w:rPr>
        <w:t>Legislation Act 2003.</w:t>
      </w:r>
    </w:p>
    <w:p w14:paraId="7BC10E88" w14:textId="6354A124" w:rsidR="001B1810" w:rsidRPr="00A720B4" w:rsidRDefault="001B1810" w:rsidP="00A720B4">
      <w:pPr>
        <w:numPr>
          <w:ilvl w:val="0"/>
          <w:numId w:val="9"/>
        </w:numPr>
        <w:spacing w:after="120"/>
        <w:ind w:left="709" w:hanging="709"/>
        <w:rPr>
          <w:rFonts w:ascii="Arial" w:hAnsi="Arial" w:cs="Arial"/>
          <w:sz w:val="22"/>
          <w:szCs w:val="22"/>
        </w:rPr>
      </w:pPr>
      <w:r w:rsidRPr="00A720B4">
        <w:rPr>
          <w:rFonts w:ascii="Arial" w:hAnsi="Arial" w:cs="Arial"/>
          <w:sz w:val="22"/>
          <w:szCs w:val="22"/>
        </w:rPr>
        <w:t xml:space="preserve">Under subsection 33(3) of the </w:t>
      </w:r>
      <w:r w:rsidRPr="00A720B4">
        <w:rPr>
          <w:rFonts w:ascii="Arial" w:hAnsi="Arial" w:cs="Arial"/>
          <w:i/>
          <w:sz w:val="22"/>
          <w:szCs w:val="22"/>
        </w:rPr>
        <w:t>Acts Interpretation Act 1901</w:t>
      </w:r>
      <w:r w:rsidRPr="00A720B4">
        <w:rPr>
          <w:rFonts w:ascii="Arial" w:hAnsi="Arial" w:cs="Arial"/>
          <w:sz w:val="22"/>
          <w:szCs w:val="22"/>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677D1C31" w14:textId="77777777" w:rsidR="00522C25" w:rsidRPr="00A720B4" w:rsidRDefault="00522C25" w:rsidP="00A720B4">
      <w:pPr>
        <w:spacing w:after="120"/>
        <w:rPr>
          <w:rFonts w:ascii="Arial" w:hAnsi="Arial" w:cs="Arial"/>
          <w:sz w:val="22"/>
          <w:szCs w:val="22"/>
        </w:rPr>
      </w:pPr>
    </w:p>
    <w:p w14:paraId="139D34DF" w14:textId="043E5CDC" w:rsidR="002241FA" w:rsidRPr="00A720B4" w:rsidRDefault="002241FA" w:rsidP="00A720B4">
      <w:pPr>
        <w:pStyle w:val="Heading2"/>
      </w:pPr>
      <w:r w:rsidRPr="00A720B4">
        <w:t>Date of effect</w:t>
      </w:r>
    </w:p>
    <w:p w14:paraId="1CAB083C" w14:textId="77777777" w:rsidR="000022AF" w:rsidRPr="00A720B4" w:rsidRDefault="006C27F8" w:rsidP="00A720B4">
      <w:pPr>
        <w:numPr>
          <w:ilvl w:val="0"/>
          <w:numId w:val="9"/>
        </w:numPr>
        <w:spacing w:after="120"/>
        <w:ind w:left="709" w:hanging="709"/>
        <w:rPr>
          <w:rFonts w:ascii="Arial" w:hAnsi="Arial" w:cs="Arial"/>
          <w:sz w:val="22"/>
          <w:szCs w:val="22"/>
        </w:rPr>
      </w:pPr>
      <w:r w:rsidRPr="00A720B4">
        <w:rPr>
          <w:rFonts w:ascii="Arial" w:hAnsi="Arial" w:cs="Arial"/>
          <w:sz w:val="22"/>
          <w:szCs w:val="22"/>
        </w:rPr>
        <w:t>This instrument commences on the day after it is registered on the Federal Register of Legislation. It has effect from different dates, depending on the type of transaction. It applies to transactions entered into on or after:</w:t>
      </w:r>
    </w:p>
    <w:p w14:paraId="018A5004" w14:textId="0CF883D4" w:rsidR="006C27F8" w:rsidRPr="00A720B4" w:rsidRDefault="006C27F8" w:rsidP="00A720B4">
      <w:pPr>
        <w:numPr>
          <w:ilvl w:val="0"/>
          <w:numId w:val="10"/>
        </w:numPr>
        <w:spacing w:after="120"/>
        <w:ind w:left="1418" w:hanging="709"/>
        <w:rPr>
          <w:rFonts w:ascii="Arial" w:hAnsi="Arial" w:cs="Arial"/>
          <w:sz w:val="22"/>
          <w:szCs w:val="22"/>
        </w:rPr>
      </w:pPr>
      <w:r w:rsidRPr="00A720B4">
        <w:rPr>
          <w:rFonts w:ascii="Arial" w:hAnsi="Arial" w:cs="Arial"/>
          <w:sz w:val="22"/>
          <w:szCs w:val="22"/>
        </w:rPr>
        <w:t xml:space="preserve">1 July 2023, for transactions that relate to a supply of taxi travel (within the meaning of the </w:t>
      </w:r>
      <w:r w:rsidR="004D6230" w:rsidRPr="00A720B4">
        <w:rPr>
          <w:rFonts w:ascii="Arial" w:hAnsi="Arial" w:cs="Arial"/>
          <w:i/>
          <w:iCs/>
          <w:sz w:val="22"/>
          <w:szCs w:val="22"/>
        </w:rPr>
        <w:t>A New Tax System (Goods and Services Tax</w:t>
      </w:r>
      <w:r w:rsidR="00962F7D" w:rsidRPr="00A720B4">
        <w:rPr>
          <w:rFonts w:ascii="Arial" w:hAnsi="Arial" w:cs="Arial"/>
          <w:i/>
          <w:iCs/>
          <w:sz w:val="22"/>
          <w:szCs w:val="22"/>
        </w:rPr>
        <w:t>)</w:t>
      </w:r>
      <w:r w:rsidR="004D6230" w:rsidRPr="00A720B4">
        <w:rPr>
          <w:rFonts w:ascii="Arial" w:hAnsi="Arial" w:cs="Arial"/>
          <w:i/>
          <w:iCs/>
          <w:sz w:val="22"/>
          <w:szCs w:val="22"/>
        </w:rPr>
        <w:t xml:space="preserve"> Act</w:t>
      </w:r>
      <w:r w:rsidR="00962F7D" w:rsidRPr="00A720B4">
        <w:rPr>
          <w:rFonts w:ascii="Arial" w:hAnsi="Arial" w:cs="Arial"/>
          <w:i/>
          <w:iCs/>
          <w:sz w:val="22"/>
          <w:szCs w:val="22"/>
        </w:rPr>
        <w:t xml:space="preserve"> 1999</w:t>
      </w:r>
      <w:r w:rsidR="004D6230" w:rsidRPr="00A720B4">
        <w:rPr>
          <w:rFonts w:ascii="Arial" w:hAnsi="Arial" w:cs="Arial"/>
          <w:sz w:val="22"/>
          <w:szCs w:val="22"/>
        </w:rPr>
        <w:t xml:space="preserve"> (</w:t>
      </w:r>
      <w:r w:rsidRPr="00A720B4">
        <w:rPr>
          <w:rFonts w:ascii="Arial" w:hAnsi="Arial" w:cs="Arial"/>
          <w:sz w:val="22"/>
          <w:szCs w:val="22"/>
        </w:rPr>
        <w:t>GST Act)</w:t>
      </w:r>
    </w:p>
    <w:p w14:paraId="6D3A8E02" w14:textId="77777777" w:rsidR="006C27F8" w:rsidRPr="00A720B4" w:rsidRDefault="006C27F8" w:rsidP="00A720B4">
      <w:pPr>
        <w:numPr>
          <w:ilvl w:val="0"/>
          <w:numId w:val="10"/>
        </w:numPr>
        <w:spacing w:after="120"/>
        <w:ind w:left="1418" w:hanging="709"/>
        <w:rPr>
          <w:rFonts w:ascii="Arial" w:hAnsi="Arial" w:cs="Arial"/>
          <w:sz w:val="22"/>
          <w:szCs w:val="22"/>
        </w:rPr>
      </w:pPr>
      <w:r w:rsidRPr="00A720B4">
        <w:rPr>
          <w:rFonts w:ascii="Arial" w:hAnsi="Arial" w:cs="Arial"/>
          <w:sz w:val="22"/>
          <w:szCs w:val="22"/>
        </w:rPr>
        <w:t>1 July 2023, for transactions that relate to a supply of short-term accommodation, and</w:t>
      </w:r>
    </w:p>
    <w:p w14:paraId="55BF8178" w14:textId="068603E9" w:rsidR="006C27F8" w:rsidRPr="00A720B4" w:rsidRDefault="003603D4" w:rsidP="00A720B4">
      <w:pPr>
        <w:numPr>
          <w:ilvl w:val="0"/>
          <w:numId w:val="10"/>
        </w:numPr>
        <w:spacing w:after="120"/>
        <w:ind w:left="1418" w:hanging="709"/>
        <w:rPr>
          <w:rFonts w:ascii="Arial" w:hAnsi="Arial" w:cs="Arial"/>
          <w:sz w:val="22"/>
          <w:szCs w:val="22"/>
        </w:rPr>
      </w:pPr>
      <w:r w:rsidRPr="00A720B4">
        <w:rPr>
          <w:rFonts w:ascii="Arial" w:hAnsi="Arial" w:cs="Arial"/>
          <w:sz w:val="22"/>
          <w:szCs w:val="22"/>
        </w:rPr>
        <w:t>1</w:t>
      </w:r>
      <w:r w:rsidR="006C27F8" w:rsidRPr="00A720B4">
        <w:rPr>
          <w:rFonts w:ascii="Arial" w:hAnsi="Arial" w:cs="Arial"/>
          <w:sz w:val="22"/>
          <w:szCs w:val="22"/>
        </w:rPr>
        <w:t xml:space="preserve"> July 2024, for all other transactions to be reported under item 15 of the table in section 396-55 </w:t>
      </w:r>
      <w:r w:rsidR="00304999" w:rsidRPr="00A720B4">
        <w:rPr>
          <w:rFonts w:ascii="Arial" w:hAnsi="Arial" w:cs="Arial"/>
          <w:sz w:val="22"/>
          <w:szCs w:val="22"/>
        </w:rPr>
        <w:t>in</w:t>
      </w:r>
      <w:r w:rsidR="006C27F8" w:rsidRPr="00A720B4">
        <w:rPr>
          <w:rFonts w:ascii="Arial" w:hAnsi="Arial" w:cs="Arial"/>
          <w:sz w:val="22"/>
          <w:szCs w:val="22"/>
        </w:rPr>
        <w:t xml:space="preserve"> Schedule 1 to the </w:t>
      </w:r>
      <w:r w:rsidR="00CF6113" w:rsidRPr="00A720B4">
        <w:rPr>
          <w:rFonts w:ascii="Arial" w:hAnsi="Arial" w:cs="Arial"/>
          <w:sz w:val="22"/>
          <w:szCs w:val="22"/>
        </w:rPr>
        <w:t>Act</w:t>
      </w:r>
      <w:r w:rsidR="006C27F8" w:rsidRPr="00A720B4">
        <w:rPr>
          <w:rFonts w:ascii="Arial" w:hAnsi="Arial" w:cs="Arial"/>
          <w:sz w:val="22"/>
          <w:szCs w:val="22"/>
        </w:rPr>
        <w:t>.</w:t>
      </w:r>
    </w:p>
    <w:p w14:paraId="15AC1B6B" w14:textId="77777777" w:rsidR="00486653" w:rsidRPr="00A720B4" w:rsidRDefault="00486653" w:rsidP="00A720B4">
      <w:pPr>
        <w:spacing w:after="120"/>
        <w:rPr>
          <w:rFonts w:ascii="Arial" w:hAnsi="Arial" w:cs="Arial"/>
          <w:sz w:val="22"/>
          <w:szCs w:val="22"/>
        </w:rPr>
      </w:pPr>
    </w:p>
    <w:p w14:paraId="15AC1B6C" w14:textId="7524AC44" w:rsidR="00486653" w:rsidRPr="00A720B4" w:rsidRDefault="00055318" w:rsidP="00A720B4">
      <w:pPr>
        <w:pStyle w:val="Heading2"/>
      </w:pPr>
      <w:r w:rsidRPr="00A720B4">
        <w:t xml:space="preserve">Effect </w:t>
      </w:r>
      <w:r w:rsidR="00486653" w:rsidRPr="00A720B4">
        <w:t>of this instrument</w:t>
      </w:r>
    </w:p>
    <w:p w14:paraId="3EA7B04D" w14:textId="2ED0DD35" w:rsidR="00FD46A5" w:rsidRPr="00A720B4" w:rsidRDefault="006C27F8" w:rsidP="00A720B4">
      <w:pPr>
        <w:numPr>
          <w:ilvl w:val="0"/>
          <w:numId w:val="9"/>
        </w:numPr>
        <w:spacing w:after="120"/>
        <w:ind w:left="709" w:hanging="709"/>
        <w:rPr>
          <w:rFonts w:ascii="Arial" w:hAnsi="Arial" w:cs="Arial"/>
          <w:sz w:val="22"/>
          <w:szCs w:val="22"/>
        </w:rPr>
      </w:pPr>
      <w:r w:rsidRPr="00A720B4">
        <w:rPr>
          <w:rFonts w:ascii="Arial" w:hAnsi="Arial" w:cs="Arial"/>
          <w:sz w:val="22"/>
          <w:szCs w:val="22"/>
        </w:rPr>
        <w:t xml:space="preserve">Item 15 of the table in section 396-55 </w:t>
      </w:r>
      <w:r w:rsidR="00304999" w:rsidRPr="00A720B4">
        <w:rPr>
          <w:rFonts w:ascii="Arial" w:hAnsi="Arial" w:cs="Arial"/>
          <w:sz w:val="22"/>
          <w:szCs w:val="22"/>
        </w:rPr>
        <w:t>in</w:t>
      </w:r>
      <w:r w:rsidRPr="00A720B4">
        <w:rPr>
          <w:rFonts w:ascii="Arial" w:hAnsi="Arial" w:cs="Arial"/>
          <w:sz w:val="22"/>
          <w:szCs w:val="22"/>
        </w:rPr>
        <w:t xml:space="preserve"> Schedule 1 to the </w:t>
      </w:r>
      <w:r w:rsidR="006549BD" w:rsidRPr="00A720B4">
        <w:rPr>
          <w:rFonts w:ascii="Arial" w:hAnsi="Arial" w:cs="Arial"/>
          <w:sz w:val="22"/>
          <w:szCs w:val="22"/>
        </w:rPr>
        <w:t xml:space="preserve">Act </w:t>
      </w:r>
      <w:r w:rsidRPr="00A720B4">
        <w:rPr>
          <w:rFonts w:ascii="Arial" w:hAnsi="Arial" w:cs="Arial"/>
          <w:sz w:val="22"/>
          <w:szCs w:val="22"/>
        </w:rPr>
        <w:t xml:space="preserve">requires an operator of </w:t>
      </w:r>
      <w:r w:rsidR="00C1311F" w:rsidRPr="00A720B4">
        <w:rPr>
          <w:rFonts w:ascii="Arial" w:hAnsi="Arial" w:cs="Arial"/>
          <w:sz w:val="22"/>
          <w:szCs w:val="22"/>
        </w:rPr>
        <w:t xml:space="preserve">an </w:t>
      </w:r>
      <w:r w:rsidR="005D300D" w:rsidRPr="00A720B4">
        <w:rPr>
          <w:rFonts w:ascii="Arial" w:hAnsi="Arial" w:cs="Arial"/>
          <w:sz w:val="22"/>
          <w:szCs w:val="22"/>
        </w:rPr>
        <w:t xml:space="preserve">electronic distribution platform (EDP) </w:t>
      </w:r>
      <w:r w:rsidRPr="00A720B4">
        <w:rPr>
          <w:rFonts w:ascii="Arial" w:hAnsi="Arial" w:cs="Arial"/>
          <w:sz w:val="22"/>
          <w:szCs w:val="22"/>
        </w:rPr>
        <w:t>within the meaning of the</w:t>
      </w:r>
      <w:r w:rsidR="004D6230" w:rsidRPr="00A720B4">
        <w:rPr>
          <w:rFonts w:ascii="Arial" w:hAnsi="Arial" w:cs="Arial"/>
          <w:sz w:val="22"/>
          <w:szCs w:val="22"/>
        </w:rPr>
        <w:t xml:space="preserve"> </w:t>
      </w:r>
      <w:r w:rsidRPr="00A720B4">
        <w:rPr>
          <w:rFonts w:ascii="Arial" w:hAnsi="Arial" w:cs="Arial"/>
          <w:sz w:val="22"/>
          <w:szCs w:val="22"/>
        </w:rPr>
        <w:t xml:space="preserve">GST Act </w:t>
      </w:r>
      <w:r w:rsidR="00C1311F" w:rsidRPr="00A720B4">
        <w:rPr>
          <w:rFonts w:ascii="Arial" w:hAnsi="Arial" w:cs="Arial"/>
          <w:sz w:val="22"/>
          <w:szCs w:val="22"/>
        </w:rPr>
        <w:t>(</w:t>
      </w:r>
      <w:r w:rsidRPr="00A720B4">
        <w:rPr>
          <w:rFonts w:ascii="Arial" w:hAnsi="Arial" w:cs="Arial"/>
          <w:sz w:val="22"/>
          <w:szCs w:val="22"/>
        </w:rPr>
        <w:t xml:space="preserve">but disregarding paragraph 84-70(1)(c) of that Act) to </w:t>
      </w:r>
      <w:r w:rsidR="00DD3B42" w:rsidRPr="00A720B4">
        <w:rPr>
          <w:rFonts w:ascii="Arial" w:hAnsi="Arial" w:cs="Arial"/>
          <w:sz w:val="22"/>
          <w:szCs w:val="22"/>
        </w:rPr>
        <w:t xml:space="preserve">prepare a </w:t>
      </w:r>
      <w:r w:rsidRPr="00A720B4">
        <w:rPr>
          <w:rFonts w:ascii="Arial" w:hAnsi="Arial" w:cs="Arial"/>
          <w:sz w:val="22"/>
          <w:szCs w:val="22"/>
        </w:rPr>
        <w:t xml:space="preserve">report </w:t>
      </w:r>
      <w:r w:rsidR="00DD3B42" w:rsidRPr="00A720B4">
        <w:rPr>
          <w:rFonts w:ascii="Arial" w:hAnsi="Arial" w:cs="Arial"/>
          <w:sz w:val="22"/>
          <w:szCs w:val="22"/>
        </w:rPr>
        <w:t xml:space="preserve">about </w:t>
      </w:r>
      <w:r w:rsidR="00203890" w:rsidRPr="00A720B4">
        <w:rPr>
          <w:rFonts w:ascii="Arial" w:hAnsi="Arial" w:cs="Arial"/>
          <w:sz w:val="22"/>
          <w:szCs w:val="22"/>
        </w:rPr>
        <w:t xml:space="preserve">specified </w:t>
      </w:r>
      <w:r w:rsidR="00DD3B42" w:rsidRPr="00A720B4">
        <w:rPr>
          <w:rFonts w:ascii="Arial" w:hAnsi="Arial" w:cs="Arial"/>
          <w:sz w:val="22"/>
          <w:szCs w:val="22"/>
        </w:rPr>
        <w:t xml:space="preserve">transactions </w:t>
      </w:r>
      <w:r w:rsidR="00DB1313" w:rsidRPr="00A720B4">
        <w:rPr>
          <w:rFonts w:ascii="Arial" w:hAnsi="Arial" w:cs="Arial"/>
          <w:sz w:val="22"/>
          <w:szCs w:val="22"/>
        </w:rPr>
        <w:t xml:space="preserve">made through that </w:t>
      </w:r>
      <w:r w:rsidR="005D300D" w:rsidRPr="00A720B4">
        <w:rPr>
          <w:rFonts w:ascii="Arial" w:hAnsi="Arial" w:cs="Arial"/>
          <w:sz w:val="22"/>
          <w:szCs w:val="22"/>
        </w:rPr>
        <w:t xml:space="preserve">EDP. The default period </w:t>
      </w:r>
      <w:r w:rsidR="00A66489" w:rsidRPr="00A720B4">
        <w:rPr>
          <w:rFonts w:ascii="Arial" w:hAnsi="Arial" w:cs="Arial"/>
          <w:sz w:val="22"/>
          <w:szCs w:val="22"/>
        </w:rPr>
        <w:t xml:space="preserve">for </w:t>
      </w:r>
      <w:r w:rsidR="005D300D" w:rsidRPr="00A720B4">
        <w:rPr>
          <w:rFonts w:ascii="Arial" w:hAnsi="Arial" w:cs="Arial"/>
          <w:sz w:val="22"/>
          <w:szCs w:val="22"/>
        </w:rPr>
        <w:t>which a report must be prepared is a financial year.</w:t>
      </w:r>
    </w:p>
    <w:p w14:paraId="1168E830" w14:textId="40784AB8" w:rsidR="00B042EE" w:rsidRPr="00A720B4" w:rsidRDefault="00A66489" w:rsidP="00A720B4">
      <w:pPr>
        <w:numPr>
          <w:ilvl w:val="0"/>
          <w:numId w:val="9"/>
        </w:numPr>
        <w:spacing w:after="120"/>
        <w:ind w:left="709" w:hanging="709"/>
        <w:rPr>
          <w:rFonts w:ascii="Arial" w:hAnsi="Arial" w:cs="Arial"/>
          <w:sz w:val="22"/>
          <w:szCs w:val="22"/>
        </w:rPr>
      </w:pPr>
      <w:r w:rsidRPr="00A720B4">
        <w:rPr>
          <w:rFonts w:ascii="Arial" w:hAnsi="Arial" w:cs="Arial"/>
          <w:sz w:val="22"/>
          <w:szCs w:val="22"/>
        </w:rPr>
        <w:t>Subp</w:t>
      </w:r>
      <w:r w:rsidR="00B042EE" w:rsidRPr="00A720B4">
        <w:rPr>
          <w:rFonts w:ascii="Arial" w:hAnsi="Arial" w:cs="Arial"/>
          <w:sz w:val="22"/>
          <w:szCs w:val="22"/>
        </w:rPr>
        <w:t xml:space="preserve">aragraph 396-55(a)(ii) in Schedule 1 to the Act allows the Commissioner to specify, by legislative instrument, </w:t>
      </w:r>
      <w:r w:rsidR="00D65B2C" w:rsidRPr="00A720B4">
        <w:rPr>
          <w:rFonts w:ascii="Arial" w:hAnsi="Arial" w:cs="Arial"/>
          <w:sz w:val="22"/>
          <w:szCs w:val="22"/>
        </w:rPr>
        <w:t xml:space="preserve">an alternate </w:t>
      </w:r>
      <w:r w:rsidR="00B042EE" w:rsidRPr="00A720B4">
        <w:rPr>
          <w:rFonts w:ascii="Arial" w:hAnsi="Arial" w:cs="Arial"/>
          <w:sz w:val="22"/>
          <w:szCs w:val="22"/>
        </w:rPr>
        <w:t xml:space="preserve">period </w:t>
      </w:r>
      <w:r w:rsidRPr="00A720B4">
        <w:rPr>
          <w:rFonts w:ascii="Arial" w:hAnsi="Arial" w:cs="Arial"/>
          <w:sz w:val="22"/>
          <w:szCs w:val="22"/>
        </w:rPr>
        <w:t xml:space="preserve">for </w:t>
      </w:r>
      <w:r w:rsidR="00B042EE" w:rsidRPr="00A720B4">
        <w:rPr>
          <w:rFonts w:ascii="Arial" w:hAnsi="Arial" w:cs="Arial"/>
          <w:sz w:val="22"/>
          <w:szCs w:val="22"/>
        </w:rPr>
        <w:t>which a report must be prepared (the reporting period).</w:t>
      </w:r>
    </w:p>
    <w:p w14:paraId="16FE7A32" w14:textId="433880D3" w:rsidR="00DD3B42" w:rsidRPr="00A720B4" w:rsidRDefault="00DD3B42" w:rsidP="00A720B4">
      <w:pPr>
        <w:numPr>
          <w:ilvl w:val="0"/>
          <w:numId w:val="9"/>
        </w:numPr>
        <w:spacing w:after="120"/>
        <w:ind w:left="709" w:hanging="709"/>
        <w:rPr>
          <w:rFonts w:ascii="Arial" w:hAnsi="Arial" w:cs="Arial"/>
          <w:sz w:val="22"/>
          <w:szCs w:val="22"/>
        </w:rPr>
      </w:pPr>
      <w:r w:rsidRPr="00A720B4">
        <w:rPr>
          <w:rFonts w:ascii="Arial" w:hAnsi="Arial" w:cs="Arial"/>
          <w:sz w:val="22"/>
          <w:szCs w:val="22"/>
        </w:rPr>
        <w:t xml:space="preserve">This legislative instrument </w:t>
      </w:r>
      <w:r w:rsidR="00B042EE" w:rsidRPr="00A720B4">
        <w:rPr>
          <w:rFonts w:ascii="Arial" w:hAnsi="Arial" w:cs="Arial"/>
          <w:sz w:val="22"/>
          <w:szCs w:val="22"/>
        </w:rPr>
        <w:t xml:space="preserve">changes </w:t>
      </w:r>
      <w:r w:rsidRPr="00A720B4">
        <w:rPr>
          <w:rFonts w:ascii="Arial" w:hAnsi="Arial" w:cs="Arial"/>
          <w:sz w:val="22"/>
          <w:szCs w:val="22"/>
        </w:rPr>
        <w:t xml:space="preserve">the default reporting period to require operators of an EDP to </w:t>
      </w:r>
      <w:r w:rsidR="005D300D" w:rsidRPr="00A720B4">
        <w:rPr>
          <w:rFonts w:ascii="Arial" w:hAnsi="Arial" w:cs="Arial"/>
          <w:sz w:val="22"/>
          <w:szCs w:val="22"/>
        </w:rPr>
        <w:t>prepare</w:t>
      </w:r>
      <w:r w:rsidR="00B042EE" w:rsidRPr="00A720B4">
        <w:rPr>
          <w:rFonts w:ascii="Arial" w:hAnsi="Arial" w:cs="Arial"/>
          <w:sz w:val="22"/>
          <w:szCs w:val="22"/>
        </w:rPr>
        <w:t xml:space="preserve"> a</w:t>
      </w:r>
      <w:r w:rsidR="005D300D" w:rsidRPr="00A720B4">
        <w:rPr>
          <w:rFonts w:ascii="Arial" w:hAnsi="Arial" w:cs="Arial"/>
          <w:sz w:val="22"/>
          <w:szCs w:val="22"/>
        </w:rPr>
        <w:t xml:space="preserve"> </w:t>
      </w:r>
      <w:r w:rsidRPr="00A720B4">
        <w:rPr>
          <w:rFonts w:ascii="Arial" w:hAnsi="Arial" w:cs="Arial"/>
          <w:sz w:val="22"/>
          <w:szCs w:val="22"/>
        </w:rPr>
        <w:t>report every six months. The substituted reporting periods are the two six-</w:t>
      </w:r>
      <w:r w:rsidRPr="00A720B4">
        <w:rPr>
          <w:rFonts w:ascii="Arial" w:hAnsi="Arial" w:cs="Arial"/>
          <w:sz w:val="22"/>
          <w:szCs w:val="22"/>
        </w:rPr>
        <w:lastRenderedPageBreak/>
        <w:t>month periods from 1 January to 30 June, and from 1 July to 31 December</w:t>
      </w:r>
      <w:r w:rsidR="00D65B2C" w:rsidRPr="00A720B4">
        <w:rPr>
          <w:rFonts w:ascii="Arial" w:hAnsi="Arial" w:cs="Arial"/>
          <w:sz w:val="22"/>
          <w:szCs w:val="22"/>
        </w:rPr>
        <w:t>, in each calendar year.</w:t>
      </w:r>
    </w:p>
    <w:p w14:paraId="0FA974AA" w14:textId="48B3A076" w:rsidR="006C27F8" w:rsidRPr="00A720B4" w:rsidRDefault="00DD3B42" w:rsidP="00A720B4">
      <w:pPr>
        <w:numPr>
          <w:ilvl w:val="0"/>
          <w:numId w:val="9"/>
        </w:numPr>
        <w:spacing w:after="120"/>
        <w:ind w:left="709" w:hanging="709"/>
        <w:rPr>
          <w:rFonts w:ascii="Arial" w:hAnsi="Arial" w:cs="Arial"/>
          <w:sz w:val="22"/>
          <w:szCs w:val="22"/>
        </w:rPr>
      </w:pPr>
      <w:r w:rsidRPr="00A720B4">
        <w:rPr>
          <w:rFonts w:ascii="Arial" w:hAnsi="Arial" w:cs="Arial"/>
          <w:sz w:val="22"/>
          <w:szCs w:val="22"/>
        </w:rPr>
        <w:t>EDP operators who</w:t>
      </w:r>
      <w:r w:rsidR="006C27F8" w:rsidRPr="00A720B4">
        <w:rPr>
          <w:rFonts w:ascii="Arial" w:hAnsi="Arial" w:cs="Arial"/>
          <w:sz w:val="22"/>
          <w:szCs w:val="22"/>
        </w:rPr>
        <w:t xml:space="preserve"> are required to</w:t>
      </w:r>
      <w:r w:rsidR="00B042EE" w:rsidRPr="00A720B4">
        <w:rPr>
          <w:rFonts w:ascii="Arial" w:hAnsi="Arial" w:cs="Arial"/>
          <w:sz w:val="22"/>
          <w:szCs w:val="22"/>
        </w:rPr>
        <w:t xml:space="preserve"> prepare a</w:t>
      </w:r>
      <w:r w:rsidR="006C27F8" w:rsidRPr="00A720B4">
        <w:rPr>
          <w:rFonts w:ascii="Arial" w:hAnsi="Arial" w:cs="Arial"/>
          <w:sz w:val="22"/>
          <w:szCs w:val="22"/>
        </w:rPr>
        <w:t xml:space="preserve"> report </w:t>
      </w:r>
      <w:r w:rsidR="00B042EE" w:rsidRPr="00A720B4">
        <w:rPr>
          <w:rFonts w:ascii="Arial" w:hAnsi="Arial" w:cs="Arial"/>
          <w:sz w:val="22"/>
          <w:szCs w:val="22"/>
        </w:rPr>
        <w:t xml:space="preserve">in relation to a period must give that report to the </w:t>
      </w:r>
      <w:r w:rsidR="006C27F8" w:rsidRPr="00A720B4">
        <w:rPr>
          <w:rFonts w:ascii="Arial" w:hAnsi="Arial" w:cs="Arial"/>
          <w:sz w:val="22"/>
          <w:szCs w:val="22"/>
        </w:rPr>
        <w:t>Commissioner</w:t>
      </w:r>
      <w:r w:rsidR="004D6230" w:rsidRPr="00A720B4">
        <w:rPr>
          <w:rFonts w:ascii="Arial" w:hAnsi="Arial" w:cs="Arial"/>
          <w:sz w:val="22"/>
          <w:szCs w:val="22"/>
        </w:rPr>
        <w:t xml:space="preserve"> </w:t>
      </w:r>
      <w:r w:rsidR="00C326FB" w:rsidRPr="00A720B4">
        <w:rPr>
          <w:rFonts w:ascii="Arial" w:hAnsi="Arial" w:cs="Arial"/>
          <w:sz w:val="22"/>
          <w:szCs w:val="22"/>
        </w:rPr>
        <w:t xml:space="preserve">by the 31st day after the end of that reporting period. </w:t>
      </w:r>
      <w:r w:rsidR="00B042EE" w:rsidRPr="00A720B4">
        <w:rPr>
          <w:rFonts w:ascii="Arial" w:hAnsi="Arial" w:cs="Arial"/>
          <w:sz w:val="22"/>
          <w:szCs w:val="22"/>
        </w:rPr>
        <w:t>This instrument does not change the date by which a report must be given to the Commissioner.</w:t>
      </w:r>
      <w:r w:rsidR="00203890" w:rsidRPr="00A720B4">
        <w:rPr>
          <w:rFonts w:ascii="Arial" w:hAnsi="Arial" w:cs="Arial"/>
          <w:sz w:val="22"/>
          <w:szCs w:val="22"/>
        </w:rPr>
        <w:t xml:space="preserve"> </w:t>
      </w:r>
      <w:r w:rsidR="00B042EE" w:rsidRPr="00A720B4">
        <w:rPr>
          <w:rFonts w:ascii="Arial" w:hAnsi="Arial" w:cs="Arial"/>
          <w:sz w:val="22"/>
          <w:szCs w:val="22"/>
        </w:rPr>
        <w:t xml:space="preserve">For the avoidance of doubt, EDP operators </w:t>
      </w:r>
      <w:r w:rsidR="00203890" w:rsidRPr="00A720B4">
        <w:rPr>
          <w:rFonts w:ascii="Arial" w:hAnsi="Arial" w:cs="Arial"/>
          <w:sz w:val="22"/>
          <w:szCs w:val="22"/>
        </w:rPr>
        <w:t xml:space="preserve">will be required to give a report to the Commissioner at the end of each reporting period. </w:t>
      </w:r>
    </w:p>
    <w:p w14:paraId="72ED617D" w14:textId="461FF0E2" w:rsidR="006C27F8" w:rsidRPr="00A720B4" w:rsidRDefault="006C27F8" w:rsidP="00A720B4">
      <w:pPr>
        <w:numPr>
          <w:ilvl w:val="0"/>
          <w:numId w:val="9"/>
        </w:numPr>
        <w:spacing w:after="120"/>
        <w:ind w:left="709" w:hanging="709"/>
        <w:rPr>
          <w:rFonts w:ascii="Arial" w:hAnsi="Arial" w:cs="Arial"/>
          <w:sz w:val="22"/>
          <w:szCs w:val="22"/>
        </w:rPr>
      </w:pPr>
      <w:r w:rsidRPr="00A720B4">
        <w:rPr>
          <w:rFonts w:ascii="Arial" w:hAnsi="Arial" w:cs="Arial"/>
          <w:sz w:val="22"/>
          <w:szCs w:val="22"/>
        </w:rPr>
        <w:t xml:space="preserve">This instrument does not affect any other reporting requirements that reporting entities may have under section 396-55 </w:t>
      </w:r>
      <w:r w:rsidR="00304999" w:rsidRPr="00A720B4">
        <w:rPr>
          <w:rFonts w:ascii="Arial" w:hAnsi="Arial" w:cs="Arial"/>
          <w:sz w:val="22"/>
          <w:szCs w:val="22"/>
        </w:rPr>
        <w:t>in</w:t>
      </w:r>
      <w:r w:rsidRPr="00A720B4">
        <w:rPr>
          <w:rFonts w:ascii="Arial" w:hAnsi="Arial" w:cs="Arial"/>
          <w:sz w:val="22"/>
          <w:szCs w:val="22"/>
        </w:rPr>
        <w:t xml:space="preserve"> Schedule 1 to the </w:t>
      </w:r>
      <w:r w:rsidR="0042027C" w:rsidRPr="00A720B4">
        <w:rPr>
          <w:rFonts w:ascii="Arial" w:hAnsi="Arial" w:cs="Arial"/>
          <w:sz w:val="22"/>
          <w:szCs w:val="22"/>
        </w:rPr>
        <w:t>Act</w:t>
      </w:r>
      <w:r w:rsidRPr="00A720B4">
        <w:rPr>
          <w:rFonts w:ascii="Arial" w:hAnsi="Arial" w:cs="Arial"/>
          <w:sz w:val="22"/>
          <w:szCs w:val="22"/>
        </w:rPr>
        <w:t>.</w:t>
      </w:r>
    </w:p>
    <w:p w14:paraId="6E499093" w14:textId="1F8C68EB" w:rsidR="00FD0AF2" w:rsidRPr="00A720B4" w:rsidRDefault="00FD0AF2" w:rsidP="00A720B4">
      <w:pPr>
        <w:spacing w:after="120"/>
        <w:rPr>
          <w:rFonts w:ascii="Arial" w:hAnsi="Arial" w:cs="Arial"/>
          <w:sz w:val="22"/>
          <w:szCs w:val="22"/>
        </w:rPr>
      </w:pPr>
    </w:p>
    <w:p w14:paraId="528AF1A9" w14:textId="3067B547" w:rsidR="00C620E9" w:rsidRPr="00A720B4" w:rsidRDefault="00640CC2" w:rsidP="00A720B4">
      <w:pPr>
        <w:pStyle w:val="Heading2"/>
      </w:pPr>
      <w:r w:rsidRPr="00A720B4">
        <w:t>Compliance cost assessment</w:t>
      </w:r>
    </w:p>
    <w:p w14:paraId="15AC1B72" w14:textId="4718C920" w:rsidR="00493CA7" w:rsidRPr="00A720B4" w:rsidRDefault="00B4674D" w:rsidP="00A720B4">
      <w:pPr>
        <w:numPr>
          <w:ilvl w:val="0"/>
          <w:numId w:val="9"/>
        </w:numPr>
        <w:spacing w:after="120"/>
        <w:ind w:left="709" w:hanging="709"/>
        <w:rPr>
          <w:rFonts w:ascii="Arial" w:hAnsi="Arial" w:cs="Arial"/>
          <w:sz w:val="22"/>
          <w:szCs w:val="22"/>
        </w:rPr>
      </w:pPr>
      <w:r w:rsidRPr="00A720B4">
        <w:rPr>
          <w:rFonts w:ascii="Arial" w:hAnsi="Arial" w:cs="Arial"/>
          <w:sz w:val="22"/>
          <w:szCs w:val="22"/>
        </w:rPr>
        <w:t>Compliance cost impact: Minor – There will be no additional impacts as the instrument is minor and machinery in nature OBPR23-03880.</w:t>
      </w:r>
    </w:p>
    <w:p w14:paraId="78A7E339" w14:textId="77777777" w:rsidR="00FD0AF2" w:rsidRPr="00A720B4" w:rsidRDefault="00FD0AF2" w:rsidP="00A720B4">
      <w:pPr>
        <w:spacing w:after="120"/>
        <w:rPr>
          <w:rFonts w:ascii="Arial" w:hAnsi="Arial" w:cs="Arial"/>
          <w:sz w:val="22"/>
          <w:szCs w:val="22"/>
        </w:rPr>
      </w:pPr>
    </w:p>
    <w:p w14:paraId="15AC1B73" w14:textId="77777777" w:rsidR="00486653" w:rsidRPr="00A720B4" w:rsidRDefault="00486653" w:rsidP="00A720B4">
      <w:pPr>
        <w:pStyle w:val="Heading2"/>
      </w:pPr>
      <w:r w:rsidRPr="00A720B4">
        <w:t>Background</w:t>
      </w:r>
    </w:p>
    <w:p w14:paraId="25346BA2" w14:textId="1DC31631" w:rsidR="0048504C" w:rsidRPr="00A720B4" w:rsidRDefault="0048504C" w:rsidP="00A720B4">
      <w:pPr>
        <w:numPr>
          <w:ilvl w:val="0"/>
          <w:numId w:val="9"/>
        </w:numPr>
        <w:spacing w:after="120"/>
        <w:ind w:left="709" w:hanging="709"/>
        <w:rPr>
          <w:rFonts w:ascii="Arial" w:hAnsi="Arial" w:cs="Arial"/>
          <w:sz w:val="22"/>
          <w:szCs w:val="22"/>
        </w:rPr>
      </w:pPr>
      <w:r w:rsidRPr="00A720B4">
        <w:rPr>
          <w:rFonts w:ascii="Arial" w:hAnsi="Arial" w:cs="Arial"/>
          <w:sz w:val="22"/>
          <w:szCs w:val="22"/>
        </w:rPr>
        <w:t xml:space="preserve">This instrument has been developed to ensure </w:t>
      </w:r>
      <w:r w:rsidR="002241FA" w:rsidRPr="00A720B4">
        <w:rPr>
          <w:rFonts w:ascii="Arial" w:hAnsi="Arial" w:cs="Arial"/>
          <w:sz w:val="22"/>
          <w:szCs w:val="22"/>
        </w:rPr>
        <w:t>t</w:t>
      </w:r>
      <w:r w:rsidR="00D33E69" w:rsidRPr="00A720B4">
        <w:rPr>
          <w:rFonts w:ascii="Arial" w:hAnsi="Arial" w:cs="Arial"/>
          <w:sz w:val="22"/>
          <w:szCs w:val="22"/>
        </w:rPr>
        <w:t xml:space="preserve">hat </w:t>
      </w:r>
      <w:r w:rsidRPr="00A720B4">
        <w:rPr>
          <w:rFonts w:ascii="Arial" w:hAnsi="Arial" w:cs="Arial"/>
          <w:sz w:val="22"/>
          <w:szCs w:val="22"/>
        </w:rPr>
        <w:t xml:space="preserve">the ATO can </w:t>
      </w:r>
      <w:r w:rsidR="006549BD" w:rsidRPr="00A720B4">
        <w:rPr>
          <w:rFonts w:ascii="Arial" w:hAnsi="Arial" w:cs="Arial"/>
          <w:sz w:val="22"/>
          <w:szCs w:val="22"/>
        </w:rPr>
        <w:t xml:space="preserve">more effectively </w:t>
      </w:r>
      <w:r w:rsidRPr="00A720B4">
        <w:rPr>
          <w:rFonts w:ascii="Arial" w:hAnsi="Arial" w:cs="Arial"/>
          <w:sz w:val="22"/>
          <w:szCs w:val="22"/>
        </w:rPr>
        <w:t xml:space="preserve">support participants in the sharing economy </w:t>
      </w:r>
      <w:r w:rsidR="00304999" w:rsidRPr="00A720B4">
        <w:rPr>
          <w:rFonts w:ascii="Arial" w:hAnsi="Arial" w:cs="Arial"/>
          <w:sz w:val="22"/>
          <w:szCs w:val="22"/>
        </w:rPr>
        <w:t xml:space="preserve">to </w:t>
      </w:r>
      <w:r w:rsidRPr="00A720B4">
        <w:rPr>
          <w:rFonts w:ascii="Arial" w:hAnsi="Arial" w:cs="Arial"/>
          <w:sz w:val="22"/>
          <w:szCs w:val="22"/>
        </w:rPr>
        <w:t>pay the correct amount of tax on any income they earn</w:t>
      </w:r>
      <w:r w:rsidR="00AD7BD4" w:rsidRPr="00A720B4">
        <w:rPr>
          <w:rFonts w:ascii="Arial" w:hAnsi="Arial" w:cs="Arial"/>
          <w:sz w:val="22"/>
          <w:szCs w:val="22"/>
        </w:rPr>
        <w:t>.</w:t>
      </w:r>
    </w:p>
    <w:p w14:paraId="0621A4EC" w14:textId="60372AC5" w:rsidR="0048504C" w:rsidRPr="00A720B4" w:rsidRDefault="0048504C" w:rsidP="00A720B4">
      <w:pPr>
        <w:numPr>
          <w:ilvl w:val="0"/>
          <w:numId w:val="9"/>
        </w:numPr>
        <w:spacing w:after="120"/>
        <w:ind w:left="709" w:hanging="709"/>
        <w:rPr>
          <w:rFonts w:ascii="Arial" w:hAnsi="Arial" w:cs="Arial"/>
          <w:sz w:val="22"/>
          <w:szCs w:val="22"/>
        </w:rPr>
      </w:pPr>
      <w:r w:rsidRPr="00A720B4">
        <w:rPr>
          <w:rFonts w:ascii="Arial" w:hAnsi="Arial" w:cs="Arial"/>
          <w:sz w:val="22"/>
          <w:szCs w:val="22"/>
        </w:rPr>
        <w:t xml:space="preserve">The ATO can better support taxpayers </w:t>
      </w:r>
      <w:r w:rsidR="00A66489" w:rsidRPr="00A720B4">
        <w:rPr>
          <w:rFonts w:ascii="Arial" w:hAnsi="Arial" w:cs="Arial"/>
          <w:sz w:val="22"/>
          <w:szCs w:val="22"/>
        </w:rPr>
        <w:t xml:space="preserve">to </w:t>
      </w:r>
      <w:r w:rsidRPr="00A720B4">
        <w:rPr>
          <w:rFonts w:ascii="Arial" w:hAnsi="Arial" w:cs="Arial"/>
          <w:sz w:val="22"/>
          <w:szCs w:val="22"/>
        </w:rPr>
        <w:t>meet their tax obligations when data is received prior to the lodgment of income tax returns and activity statements. This enables early engagement and education strategies to make it easier for taxpayers to get things right and promote behavioural change</w:t>
      </w:r>
      <w:r w:rsidR="005B144E" w:rsidRPr="00A720B4">
        <w:rPr>
          <w:rFonts w:ascii="Arial" w:hAnsi="Arial" w:cs="Arial"/>
          <w:sz w:val="22"/>
          <w:szCs w:val="22"/>
        </w:rPr>
        <w:t>.</w:t>
      </w:r>
    </w:p>
    <w:p w14:paraId="6711EFA7" w14:textId="3DEE9D9F" w:rsidR="0048504C" w:rsidRPr="00A720B4" w:rsidRDefault="0048504C" w:rsidP="00A720B4">
      <w:pPr>
        <w:numPr>
          <w:ilvl w:val="0"/>
          <w:numId w:val="9"/>
        </w:numPr>
        <w:spacing w:after="120"/>
        <w:ind w:left="709" w:hanging="709"/>
        <w:rPr>
          <w:rFonts w:ascii="Arial" w:hAnsi="Arial" w:cs="Arial"/>
          <w:sz w:val="22"/>
          <w:szCs w:val="22"/>
        </w:rPr>
      </w:pPr>
      <w:r w:rsidRPr="00A720B4">
        <w:rPr>
          <w:rFonts w:ascii="Arial" w:hAnsi="Arial" w:cs="Arial"/>
          <w:sz w:val="22"/>
          <w:szCs w:val="22"/>
        </w:rPr>
        <w:t>Early engagement is important for the sharing economy as some participants may not be fully aware of their tax obligations.</w:t>
      </w:r>
    </w:p>
    <w:p w14:paraId="3623D6A6" w14:textId="1A0F76FA" w:rsidR="0048504C" w:rsidRPr="00A720B4" w:rsidRDefault="0048504C" w:rsidP="00A720B4">
      <w:pPr>
        <w:numPr>
          <w:ilvl w:val="0"/>
          <w:numId w:val="9"/>
        </w:numPr>
        <w:spacing w:after="120"/>
        <w:ind w:left="709" w:hanging="709"/>
        <w:rPr>
          <w:rFonts w:ascii="Arial" w:hAnsi="Arial" w:cs="Arial"/>
          <w:sz w:val="22"/>
          <w:szCs w:val="22"/>
        </w:rPr>
      </w:pPr>
      <w:r w:rsidRPr="00A720B4">
        <w:rPr>
          <w:rFonts w:ascii="Arial" w:hAnsi="Arial" w:cs="Arial"/>
          <w:sz w:val="22"/>
          <w:szCs w:val="22"/>
        </w:rPr>
        <w:t xml:space="preserve">More frequent reporting will also enable the ATO to </w:t>
      </w:r>
      <w:r w:rsidR="008C180E" w:rsidRPr="00A720B4">
        <w:rPr>
          <w:rFonts w:ascii="Arial" w:hAnsi="Arial" w:cs="Arial"/>
          <w:sz w:val="22"/>
          <w:szCs w:val="22"/>
        </w:rPr>
        <w:t>identify and consider strategies to address deliberate non-compliance and ensure a level playing field for all sharing economy participants more effectively</w:t>
      </w:r>
      <w:r w:rsidRPr="00A720B4">
        <w:rPr>
          <w:rFonts w:ascii="Arial" w:hAnsi="Arial" w:cs="Arial"/>
          <w:sz w:val="22"/>
          <w:szCs w:val="22"/>
        </w:rPr>
        <w:t>.</w:t>
      </w:r>
    </w:p>
    <w:p w14:paraId="17EE773F" w14:textId="3914CD63" w:rsidR="0048504C" w:rsidRPr="00A720B4" w:rsidRDefault="0048504C" w:rsidP="00A720B4">
      <w:pPr>
        <w:numPr>
          <w:ilvl w:val="0"/>
          <w:numId w:val="9"/>
        </w:numPr>
        <w:spacing w:after="120"/>
        <w:ind w:left="709" w:hanging="709"/>
        <w:rPr>
          <w:rFonts w:ascii="Arial" w:hAnsi="Arial" w:cs="Arial"/>
          <w:sz w:val="22"/>
          <w:szCs w:val="22"/>
        </w:rPr>
      </w:pPr>
      <w:r w:rsidRPr="00A720B4">
        <w:rPr>
          <w:rFonts w:ascii="Arial" w:hAnsi="Arial" w:cs="Arial"/>
          <w:sz w:val="22"/>
          <w:szCs w:val="22"/>
        </w:rPr>
        <w:t xml:space="preserve">Six-monthly reporting appropriately balances the need for, and benefits of, more regular reporting </w:t>
      </w:r>
      <w:r w:rsidR="002241FA" w:rsidRPr="00A720B4">
        <w:rPr>
          <w:rFonts w:ascii="Arial" w:hAnsi="Arial" w:cs="Arial"/>
          <w:sz w:val="22"/>
          <w:szCs w:val="22"/>
        </w:rPr>
        <w:t xml:space="preserve">against </w:t>
      </w:r>
      <w:r w:rsidR="008C180E" w:rsidRPr="00A720B4">
        <w:rPr>
          <w:rFonts w:ascii="Arial" w:hAnsi="Arial" w:cs="Arial"/>
          <w:sz w:val="22"/>
          <w:szCs w:val="22"/>
        </w:rPr>
        <w:t xml:space="preserve">the </w:t>
      </w:r>
      <w:r w:rsidRPr="00A720B4">
        <w:rPr>
          <w:rFonts w:ascii="Arial" w:hAnsi="Arial" w:cs="Arial"/>
          <w:sz w:val="22"/>
          <w:szCs w:val="22"/>
        </w:rPr>
        <w:t>increase in the reporting burden imposed on electronic distribution platform operators.</w:t>
      </w:r>
    </w:p>
    <w:p w14:paraId="5274886A" w14:textId="2FB9FA52" w:rsidR="00BC0D3A" w:rsidRPr="00A720B4" w:rsidRDefault="00203890" w:rsidP="00A720B4">
      <w:pPr>
        <w:numPr>
          <w:ilvl w:val="0"/>
          <w:numId w:val="9"/>
        </w:numPr>
        <w:spacing w:after="120"/>
        <w:ind w:left="709" w:hanging="709"/>
        <w:rPr>
          <w:rFonts w:ascii="Arial" w:hAnsi="Arial" w:cs="Arial"/>
          <w:sz w:val="22"/>
          <w:szCs w:val="22"/>
        </w:rPr>
      </w:pPr>
      <w:r w:rsidRPr="00A720B4">
        <w:rPr>
          <w:rFonts w:ascii="Arial" w:hAnsi="Arial" w:cs="Arial"/>
          <w:sz w:val="22"/>
          <w:szCs w:val="22"/>
        </w:rPr>
        <w:t>R</w:t>
      </w:r>
      <w:r w:rsidR="00BC0D3A" w:rsidRPr="00A720B4">
        <w:rPr>
          <w:rFonts w:ascii="Arial" w:hAnsi="Arial" w:cs="Arial"/>
          <w:sz w:val="22"/>
          <w:szCs w:val="22"/>
        </w:rPr>
        <w:t>educing the time lag between transactions occurring and the receipt of data enables the ATO to more effectively work with platform operators to improve their data collection, validation and reporting practices, increasing efficiency over time.</w:t>
      </w:r>
    </w:p>
    <w:p w14:paraId="5BA22C5D" w14:textId="77777777" w:rsidR="00BC0D3A" w:rsidRPr="00A720B4" w:rsidRDefault="00BC0D3A" w:rsidP="00A720B4">
      <w:pPr>
        <w:numPr>
          <w:ilvl w:val="0"/>
          <w:numId w:val="9"/>
        </w:numPr>
        <w:spacing w:after="120"/>
        <w:ind w:left="709" w:hanging="709"/>
        <w:rPr>
          <w:rFonts w:ascii="Arial" w:hAnsi="Arial" w:cs="Arial"/>
          <w:sz w:val="22"/>
          <w:szCs w:val="22"/>
        </w:rPr>
      </w:pPr>
      <w:r w:rsidRPr="00A720B4">
        <w:rPr>
          <w:rFonts w:ascii="Arial" w:hAnsi="Arial" w:cs="Arial"/>
          <w:sz w:val="22"/>
          <w:szCs w:val="22"/>
        </w:rPr>
        <w:t>This also aligns data reporting frequency under the regime with reporting requirements under existing ATO data collection arrangements for the sharing economy.</w:t>
      </w:r>
    </w:p>
    <w:p w14:paraId="15AC1B76" w14:textId="28CE2A00" w:rsidR="00486653" w:rsidRPr="00A720B4" w:rsidRDefault="00486653" w:rsidP="00A720B4">
      <w:pPr>
        <w:spacing w:after="120"/>
        <w:rPr>
          <w:rFonts w:ascii="Arial" w:hAnsi="Arial" w:cs="Arial"/>
          <w:sz w:val="22"/>
          <w:szCs w:val="22"/>
        </w:rPr>
      </w:pPr>
    </w:p>
    <w:p w14:paraId="15AC1B77" w14:textId="77777777" w:rsidR="00486653" w:rsidRPr="00A720B4" w:rsidRDefault="00E10B37" w:rsidP="00A720B4">
      <w:pPr>
        <w:pStyle w:val="Heading2"/>
      </w:pPr>
      <w:r w:rsidRPr="00A720B4">
        <w:t>Consultation</w:t>
      </w:r>
    </w:p>
    <w:p w14:paraId="50F1787E" w14:textId="42F5747D" w:rsidR="009D0990" w:rsidRPr="00A720B4" w:rsidRDefault="009D0990" w:rsidP="00A720B4">
      <w:pPr>
        <w:numPr>
          <w:ilvl w:val="0"/>
          <w:numId w:val="9"/>
        </w:numPr>
        <w:spacing w:after="120"/>
        <w:ind w:left="709" w:right="-285" w:hanging="709"/>
        <w:rPr>
          <w:rFonts w:ascii="Arial" w:hAnsi="Arial" w:cs="Arial"/>
          <w:sz w:val="22"/>
          <w:szCs w:val="22"/>
        </w:rPr>
      </w:pPr>
      <w:r w:rsidRPr="00A720B4">
        <w:rPr>
          <w:rFonts w:ascii="Arial" w:hAnsi="Arial" w:cs="Arial"/>
          <w:sz w:val="22"/>
          <w:szCs w:val="22"/>
        </w:rPr>
        <w:t xml:space="preserve">Subsection 17(1) of the </w:t>
      </w:r>
      <w:r w:rsidRPr="00A720B4">
        <w:rPr>
          <w:rFonts w:ascii="Arial" w:hAnsi="Arial" w:cs="Arial"/>
          <w:i/>
          <w:iCs/>
          <w:sz w:val="22"/>
          <w:szCs w:val="22"/>
        </w:rPr>
        <w:t>Legislation Act 2003</w:t>
      </w:r>
      <w:r w:rsidRPr="00A720B4">
        <w:rPr>
          <w:rFonts w:ascii="Arial" w:hAnsi="Arial" w:cs="Arial"/>
          <w:sz w:val="22"/>
          <w:szCs w:val="22"/>
        </w:rPr>
        <w:t xml:space="preserve"> requires that a rule-maker undertake an appropriate level of consultation before making a legislative instrument.</w:t>
      </w:r>
    </w:p>
    <w:p w14:paraId="3CF20B01" w14:textId="3F70A0A8" w:rsidR="00DB1313" w:rsidRPr="00A720B4" w:rsidRDefault="009D0990" w:rsidP="00A720B4">
      <w:pPr>
        <w:numPr>
          <w:ilvl w:val="0"/>
          <w:numId w:val="9"/>
        </w:numPr>
        <w:spacing w:after="120"/>
        <w:ind w:left="709" w:right="-285" w:hanging="709"/>
        <w:rPr>
          <w:rFonts w:ascii="Arial" w:hAnsi="Arial" w:cs="Arial"/>
          <w:sz w:val="22"/>
          <w:szCs w:val="22"/>
        </w:rPr>
      </w:pPr>
      <w:r w:rsidRPr="00A720B4">
        <w:rPr>
          <w:rFonts w:ascii="Arial" w:hAnsi="Arial" w:cs="Arial"/>
          <w:sz w:val="22"/>
          <w:szCs w:val="22"/>
        </w:rPr>
        <w:t>B</w:t>
      </w:r>
      <w:r w:rsidR="00DB1313" w:rsidRPr="00A720B4">
        <w:rPr>
          <w:rFonts w:ascii="Arial" w:hAnsi="Arial" w:cs="Arial"/>
          <w:sz w:val="22"/>
          <w:szCs w:val="22"/>
        </w:rPr>
        <w:t xml:space="preserve">road public consultation was undertaken </w:t>
      </w:r>
      <w:r w:rsidRPr="00A720B4">
        <w:rPr>
          <w:rFonts w:ascii="Arial" w:hAnsi="Arial" w:cs="Arial"/>
          <w:sz w:val="22"/>
          <w:szCs w:val="22"/>
        </w:rPr>
        <w:t xml:space="preserve">on this instrument from </w:t>
      </w:r>
      <w:r w:rsidR="00DB1313" w:rsidRPr="00A720B4">
        <w:rPr>
          <w:rFonts w:ascii="Arial" w:hAnsi="Arial" w:cs="Arial"/>
          <w:sz w:val="22"/>
          <w:szCs w:val="22"/>
        </w:rPr>
        <w:t>1 December 2022 to 3</w:t>
      </w:r>
      <w:r w:rsidR="001B1810" w:rsidRPr="00A720B4">
        <w:rPr>
          <w:rFonts w:ascii="Arial" w:hAnsi="Arial" w:cs="Arial"/>
          <w:sz w:val="22"/>
          <w:szCs w:val="22"/>
        </w:rPr>
        <w:t> </w:t>
      </w:r>
      <w:r w:rsidR="00DB1313" w:rsidRPr="00A720B4">
        <w:rPr>
          <w:rFonts w:ascii="Arial" w:hAnsi="Arial" w:cs="Arial"/>
          <w:sz w:val="22"/>
          <w:szCs w:val="22"/>
        </w:rPr>
        <w:t>February 2023.</w:t>
      </w:r>
      <w:r w:rsidR="00237225" w:rsidRPr="00A720B4">
        <w:rPr>
          <w:rFonts w:ascii="Arial" w:hAnsi="Arial" w:cs="Arial"/>
          <w:sz w:val="22"/>
          <w:szCs w:val="22"/>
        </w:rPr>
        <w:t xml:space="preserve"> The ATO has also incorporated consultation on a bi</w:t>
      </w:r>
      <w:r w:rsidR="00A66489" w:rsidRPr="00A720B4">
        <w:rPr>
          <w:rFonts w:ascii="Arial" w:hAnsi="Arial" w:cs="Arial"/>
          <w:sz w:val="22"/>
          <w:szCs w:val="22"/>
        </w:rPr>
        <w:t>-</w:t>
      </w:r>
      <w:r w:rsidR="00237225" w:rsidRPr="00A720B4">
        <w:rPr>
          <w:rFonts w:ascii="Arial" w:hAnsi="Arial" w:cs="Arial"/>
          <w:sz w:val="22"/>
          <w:szCs w:val="22"/>
        </w:rPr>
        <w:t>annual reporting period in all previous public consultation on the Sharing Economy Reporting Regime.</w:t>
      </w:r>
    </w:p>
    <w:p w14:paraId="553DE3C2" w14:textId="7244EC9F" w:rsidR="00B37FDF" w:rsidRPr="00A720B4" w:rsidRDefault="009D0990" w:rsidP="00A720B4">
      <w:pPr>
        <w:numPr>
          <w:ilvl w:val="0"/>
          <w:numId w:val="9"/>
        </w:numPr>
        <w:spacing w:after="120"/>
        <w:ind w:left="709" w:hanging="709"/>
        <w:rPr>
          <w:rFonts w:ascii="Arial" w:hAnsi="Arial" w:cs="Arial"/>
          <w:sz w:val="22"/>
          <w:szCs w:val="22"/>
        </w:rPr>
      </w:pPr>
      <w:r w:rsidRPr="00A720B4">
        <w:rPr>
          <w:rFonts w:ascii="Arial" w:hAnsi="Arial" w:cs="Arial"/>
          <w:sz w:val="22"/>
          <w:szCs w:val="22"/>
        </w:rPr>
        <w:t>The draft instrument and draft explanatory statement w</w:t>
      </w:r>
      <w:r w:rsidR="00A66489" w:rsidRPr="00A720B4">
        <w:rPr>
          <w:rFonts w:ascii="Arial" w:hAnsi="Arial" w:cs="Arial"/>
          <w:sz w:val="22"/>
          <w:szCs w:val="22"/>
        </w:rPr>
        <w:t>ere</w:t>
      </w:r>
      <w:r w:rsidRPr="00A720B4">
        <w:rPr>
          <w:rFonts w:ascii="Arial" w:hAnsi="Arial" w:cs="Arial"/>
          <w:sz w:val="22"/>
          <w:szCs w:val="22"/>
        </w:rPr>
        <w:t xml:space="preserve"> published to the ATO Legal database. Publication was advertised via the ‘What’s new’ page on that website, and via the ‘Open Consultation’ page on ato.gov.au. Major tax and superannuation publishers and associations monitor these pages and include the details in the daily and weekly alerts and </w:t>
      </w:r>
      <w:r w:rsidRPr="00A720B4">
        <w:rPr>
          <w:rFonts w:ascii="Arial" w:hAnsi="Arial" w:cs="Arial"/>
          <w:sz w:val="22"/>
          <w:szCs w:val="22"/>
        </w:rPr>
        <w:lastRenderedPageBreak/>
        <w:t xml:space="preserve">newsletters to their subscribers and members. </w:t>
      </w:r>
      <w:r w:rsidR="000F3819" w:rsidRPr="00A720B4">
        <w:rPr>
          <w:rFonts w:ascii="Arial" w:hAnsi="Arial" w:cs="Arial"/>
          <w:sz w:val="22"/>
          <w:szCs w:val="22"/>
        </w:rPr>
        <w:t xml:space="preserve">The ATO also contacted EDP operators and industry representatives </w:t>
      </w:r>
      <w:r w:rsidR="0078370C" w:rsidRPr="00A720B4">
        <w:rPr>
          <w:rFonts w:ascii="Arial" w:hAnsi="Arial" w:cs="Arial"/>
          <w:sz w:val="22"/>
          <w:szCs w:val="22"/>
        </w:rPr>
        <w:t xml:space="preserve">previously involved in public consultation and </w:t>
      </w:r>
      <w:r w:rsidR="000F3819" w:rsidRPr="00A720B4">
        <w:rPr>
          <w:rFonts w:ascii="Arial" w:hAnsi="Arial" w:cs="Arial"/>
          <w:sz w:val="22"/>
          <w:szCs w:val="22"/>
        </w:rPr>
        <w:t>invited them to provide comment.</w:t>
      </w:r>
    </w:p>
    <w:p w14:paraId="2DAFF74E" w14:textId="5936809A" w:rsidR="00A9785A" w:rsidRPr="00A720B4" w:rsidRDefault="00A66489" w:rsidP="00A720B4">
      <w:pPr>
        <w:numPr>
          <w:ilvl w:val="0"/>
          <w:numId w:val="9"/>
        </w:numPr>
        <w:spacing w:after="120"/>
        <w:ind w:left="709" w:hanging="709"/>
        <w:rPr>
          <w:rFonts w:ascii="Arial" w:hAnsi="Arial" w:cs="Arial"/>
          <w:sz w:val="22"/>
          <w:szCs w:val="22"/>
        </w:rPr>
      </w:pPr>
      <w:r w:rsidRPr="00A720B4">
        <w:rPr>
          <w:rFonts w:ascii="Arial" w:hAnsi="Arial" w:cs="Arial"/>
          <w:sz w:val="22"/>
          <w:szCs w:val="22"/>
        </w:rPr>
        <w:t xml:space="preserve">The ATO received comments via the consultation process </w:t>
      </w:r>
      <w:r w:rsidR="00D92A75" w:rsidRPr="00A720B4">
        <w:rPr>
          <w:rFonts w:ascii="Arial" w:hAnsi="Arial" w:cs="Arial"/>
          <w:sz w:val="22"/>
          <w:szCs w:val="22"/>
        </w:rPr>
        <w:t xml:space="preserve">about </w:t>
      </w:r>
      <w:r w:rsidR="009A47E8" w:rsidRPr="00A720B4">
        <w:rPr>
          <w:rFonts w:ascii="Arial" w:hAnsi="Arial" w:cs="Arial"/>
          <w:sz w:val="22"/>
          <w:szCs w:val="22"/>
        </w:rPr>
        <w:t xml:space="preserve">a perceived additional </w:t>
      </w:r>
      <w:r w:rsidR="00A9785A" w:rsidRPr="00A720B4">
        <w:rPr>
          <w:rFonts w:ascii="Arial" w:hAnsi="Arial" w:cs="Arial"/>
          <w:sz w:val="22"/>
          <w:szCs w:val="22"/>
        </w:rPr>
        <w:t xml:space="preserve">administrative </w:t>
      </w:r>
      <w:r w:rsidR="0078370C" w:rsidRPr="00A720B4">
        <w:rPr>
          <w:rFonts w:ascii="Arial" w:hAnsi="Arial" w:cs="Arial"/>
          <w:sz w:val="22"/>
          <w:szCs w:val="22"/>
        </w:rPr>
        <w:t>burden</w:t>
      </w:r>
      <w:r w:rsidRPr="00A720B4">
        <w:rPr>
          <w:rFonts w:ascii="Arial" w:hAnsi="Arial" w:cs="Arial"/>
          <w:sz w:val="22"/>
          <w:szCs w:val="22"/>
        </w:rPr>
        <w:t xml:space="preserve"> that would be</w:t>
      </w:r>
      <w:r w:rsidR="0078370C" w:rsidRPr="00A720B4">
        <w:rPr>
          <w:rFonts w:ascii="Arial" w:hAnsi="Arial" w:cs="Arial"/>
          <w:sz w:val="22"/>
          <w:szCs w:val="22"/>
        </w:rPr>
        <w:t xml:space="preserve"> imposed by </w:t>
      </w:r>
      <w:r w:rsidR="00625E89" w:rsidRPr="00A720B4">
        <w:rPr>
          <w:rFonts w:ascii="Arial" w:hAnsi="Arial" w:cs="Arial"/>
          <w:sz w:val="22"/>
          <w:szCs w:val="22"/>
        </w:rPr>
        <w:t xml:space="preserve">a </w:t>
      </w:r>
      <w:r w:rsidR="00D92A75" w:rsidRPr="00A720B4">
        <w:rPr>
          <w:rFonts w:ascii="Arial" w:hAnsi="Arial" w:cs="Arial"/>
          <w:sz w:val="22"/>
          <w:szCs w:val="22"/>
        </w:rPr>
        <w:t xml:space="preserve">change in the </w:t>
      </w:r>
      <w:r w:rsidR="0078370C" w:rsidRPr="00A720B4">
        <w:rPr>
          <w:rFonts w:ascii="Arial" w:hAnsi="Arial" w:cs="Arial"/>
          <w:sz w:val="22"/>
          <w:szCs w:val="22"/>
        </w:rPr>
        <w:t>reporting</w:t>
      </w:r>
      <w:r w:rsidR="00D92A75" w:rsidRPr="00A720B4">
        <w:rPr>
          <w:rFonts w:ascii="Arial" w:hAnsi="Arial" w:cs="Arial"/>
          <w:sz w:val="22"/>
          <w:szCs w:val="22"/>
        </w:rPr>
        <w:t xml:space="preserve"> frequency</w:t>
      </w:r>
      <w:r w:rsidR="00A9785A" w:rsidRPr="00A720B4">
        <w:rPr>
          <w:rFonts w:ascii="Arial" w:hAnsi="Arial" w:cs="Arial"/>
          <w:sz w:val="22"/>
          <w:szCs w:val="22"/>
        </w:rPr>
        <w:t xml:space="preserve">, </w:t>
      </w:r>
      <w:r w:rsidR="009A47E8" w:rsidRPr="00A720B4">
        <w:rPr>
          <w:rFonts w:ascii="Arial" w:hAnsi="Arial" w:cs="Arial"/>
          <w:sz w:val="22"/>
          <w:szCs w:val="22"/>
        </w:rPr>
        <w:t xml:space="preserve">as well as comments about the fact </w:t>
      </w:r>
      <w:r w:rsidRPr="00A720B4">
        <w:rPr>
          <w:rFonts w:ascii="Arial" w:hAnsi="Arial" w:cs="Arial"/>
          <w:sz w:val="22"/>
          <w:szCs w:val="22"/>
        </w:rPr>
        <w:t xml:space="preserve">that there would only be a limited period of time </w:t>
      </w:r>
      <w:r w:rsidR="00A9785A" w:rsidRPr="00A720B4">
        <w:rPr>
          <w:rFonts w:ascii="Arial" w:hAnsi="Arial" w:cs="Arial"/>
          <w:sz w:val="22"/>
          <w:szCs w:val="22"/>
        </w:rPr>
        <w:t xml:space="preserve">between </w:t>
      </w:r>
      <w:r w:rsidRPr="00A720B4">
        <w:rPr>
          <w:rFonts w:ascii="Arial" w:hAnsi="Arial" w:cs="Arial"/>
          <w:sz w:val="22"/>
          <w:szCs w:val="22"/>
        </w:rPr>
        <w:t xml:space="preserve">when the </w:t>
      </w:r>
      <w:r w:rsidR="00A9785A" w:rsidRPr="00A720B4">
        <w:rPr>
          <w:rFonts w:ascii="Arial" w:hAnsi="Arial" w:cs="Arial"/>
          <w:sz w:val="22"/>
          <w:szCs w:val="22"/>
        </w:rPr>
        <w:t xml:space="preserve">instrument </w:t>
      </w:r>
      <w:r w:rsidRPr="00A720B4">
        <w:rPr>
          <w:rFonts w:ascii="Arial" w:hAnsi="Arial" w:cs="Arial"/>
          <w:sz w:val="22"/>
          <w:szCs w:val="22"/>
        </w:rPr>
        <w:t>was made and</w:t>
      </w:r>
      <w:r w:rsidR="009A47E8" w:rsidRPr="00A720B4">
        <w:rPr>
          <w:rFonts w:ascii="Arial" w:hAnsi="Arial" w:cs="Arial"/>
          <w:sz w:val="22"/>
          <w:szCs w:val="22"/>
        </w:rPr>
        <w:t xml:space="preserve"> when</w:t>
      </w:r>
      <w:r w:rsidRPr="00A720B4">
        <w:rPr>
          <w:rFonts w:ascii="Arial" w:hAnsi="Arial" w:cs="Arial"/>
          <w:sz w:val="22"/>
          <w:szCs w:val="22"/>
        </w:rPr>
        <w:t xml:space="preserve"> it would start to take effect (</w:t>
      </w:r>
      <w:r w:rsidR="00237225" w:rsidRPr="00A720B4">
        <w:rPr>
          <w:rFonts w:ascii="Arial" w:hAnsi="Arial" w:cs="Arial"/>
          <w:sz w:val="22"/>
          <w:szCs w:val="22"/>
        </w:rPr>
        <w:t>from 1 July 2023</w:t>
      </w:r>
      <w:r w:rsidRPr="00A720B4">
        <w:rPr>
          <w:rFonts w:ascii="Arial" w:hAnsi="Arial" w:cs="Arial"/>
          <w:sz w:val="22"/>
          <w:szCs w:val="22"/>
        </w:rPr>
        <w:t xml:space="preserve">, </w:t>
      </w:r>
      <w:r w:rsidR="00237225" w:rsidRPr="00A720B4">
        <w:rPr>
          <w:rFonts w:ascii="Arial" w:hAnsi="Arial" w:cs="Arial"/>
          <w:sz w:val="22"/>
          <w:szCs w:val="22"/>
        </w:rPr>
        <w:t>for certain transactions).</w:t>
      </w:r>
    </w:p>
    <w:p w14:paraId="3BA9FD83" w14:textId="1AF08311" w:rsidR="00237225" w:rsidRPr="00A720B4" w:rsidRDefault="00CB0462" w:rsidP="00A720B4">
      <w:pPr>
        <w:numPr>
          <w:ilvl w:val="0"/>
          <w:numId w:val="9"/>
        </w:numPr>
        <w:spacing w:after="120"/>
        <w:ind w:left="709" w:hanging="709"/>
        <w:rPr>
          <w:rFonts w:ascii="Arial" w:hAnsi="Arial" w:cs="Arial"/>
          <w:sz w:val="22"/>
          <w:szCs w:val="22"/>
        </w:rPr>
      </w:pPr>
      <w:r w:rsidRPr="00A720B4">
        <w:rPr>
          <w:rFonts w:ascii="Arial" w:hAnsi="Arial" w:cs="Arial"/>
          <w:sz w:val="22"/>
          <w:szCs w:val="22"/>
        </w:rPr>
        <w:t>No changes have been made to the legislative instrument as a result of public consultation</w:t>
      </w:r>
      <w:r w:rsidR="009A47E8" w:rsidRPr="00A720B4">
        <w:rPr>
          <w:rFonts w:ascii="Arial" w:hAnsi="Arial" w:cs="Arial"/>
          <w:sz w:val="22"/>
          <w:szCs w:val="22"/>
        </w:rPr>
        <w:t>.</w:t>
      </w:r>
      <w:r w:rsidRPr="00A720B4">
        <w:rPr>
          <w:rFonts w:ascii="Arial" w:hAnsi="Arial" w:cs="Arial"/>
          <w:sz w:val="22"/>
          <w:szCs w:val="22"/>
        </w:rPr>
        <w:t xml:space="preserve"> </w:t>
      </w:r>
      <w:r w:rsidR="009A47E8" w:rsidRPr="00A720B4">
        <w:rPr>
          <w:rFonts w:ascii="Arial" w:hAnsi="Arial" w:cs="Arial"/>
          <w:sz w:val="22"/>
          <w:szCs w:val="22"/>
        </w:rPr>
        <w:t>H</w:t>
      </w:r>
      <w:r w:rsidRPr="00A720B4">
        <w:rPr>
          <w:rFonts w:ascii="Arial" w:hAnsi="Arial" w:cs="Arial"/>
          <w:sz w:val="22"/>
          <w:szCs w:val="22"/>
        </w:rPr>
        <w:t>owever</w:t>
      </w:r>
      <w:r w:rsidR="009A47E8" w:rsidRPr="00A720B4">
        <w:rPr>
          <w:rFonts w:ascii="Arial" w:hAnsi="Arial" w:cs="Arial"/>
          <w:sz w:val="22"/>
          <w:szCs w:val="22"/>
        </w:rPr>
        <w:t>,</w:t>
      </w:r>
      <w:r w:rsidRPr="00A720B4">
        <w:rPr>
          <w:rFonts w:ascii="Arial" w:hAnsi="Arial" w:cs="Arial"/>
          <w:sz w:val="22"/>
          <w:szCs w:val="22"/>
        </w:rPr>
        <w:t xml:space="preserve"> t</w:t>
      </w:r>
      <w:r w:rsidR="00962F7D" w:rsidRPr="00A720B4">
        <w:rPr>
          <w:rFonts w:ascii="Arial" w:hAnsi="Arial" w:cs="Arial"/>
          <w:sz w:val="22"/>
          <w:szCs w:val="22"/>
        </w:rPr>
        <w:t xml:space="preserve">he ATO has incorporated </w:t>
      </w:r>
      <w:r w:rsidR="003601B5" w:rsidRPr="00A720B4">
        <w:rPr>
          <w:rFonts w:ascii="Arial" w:hAnsi="Arial" w:cs="Arial"/>
          <w:sz w:val="22"/>
          <w:szCs w:val="22"/>
        </w:rPr>
        <w:t xml:space="preserve">consideration of </w:t>
      </w:r>
      <w:r w:rsidR="00962F7D" w:rsidRPr="00A720B4">
        <w:rPr>
          <w:rFonts w:ascii="Arial" w:hAnsi="Arial" w:cs="Arial"/>
          <w:sz w:val="22"/>
          <w:szCs w:val="22"/>
        </w:rPr>
        <w:t>these</w:t>
      </w:r>
      <w:r w:rsidR="00A625A4" w:rsidRPr="00A720B4">
        <w:rPr>
          <w:rFonts w:ascii="Arial" w:hAnsi="Arial" w:cs="Arial"/>
          <w:sz w:val="22"/>
          <w:szCs w:val="22"/>
        </w:rPr>
        <w:t xml:space="preserve"> comments into </w:t>
      </w:r>
      <w:r w:rsidRPr="00A720B4">
        <w:rPr>
          <w:rFonts w:ascii="Arial" w:hAnsi="Arial" w:cs="Arial"/>
          <w:sz w:val="22"/>
          <w:szCs w:val="22"/>
        </w:rPr>
        <w:t xml:space="preserve">the </w:t>
      </w:r>
      <w:r w:rsidR="009A2AD9" w:rsidRPr="00A720B4">
        <w:rPr>
          <w:rFonts w:ascii="Arial" w:hAnsi="Arial" w:cs="Arial"/>
          <w:sz w:val="22"/>
          <w:szCs w:val="22"/>
        </w:rPr>
        <w:t xml:space="preserve">overall </w:t>
      </w:r>
      <w:r w:rsidR="00A625A4" w:rsidRPr="00A720B4">
        <w:rPr>
          <w:rFonts w:ascii="Arial" w:hAnsi="Arial" w:cs="Arial"/>
          <w:sz w:val="22"/>
          <w:szCs w:val="22"/>
        </w:rPr>
        <w:t>implementation</w:t>
      </w:r>
      <w:r w:rsidR="00A9785A" w:rsidRPr="00A720B4">
        <w:rPr>
          <w:rFonts w:ascii="Arial" w:hAnsi="Arial" w:cs="Arial"/>
          <w:sz w:val="22"/>
          <w:szCs w:val="22"/>
        </w:rPr>
        <w:t xml:space="preserve"> of the reporting regime</w:t>
      </w:r>
      <w:r w:rsidR="00A625A4" w:rsidRPr="00A720B4">
        <w:rPr>
          <w:rFonts w:ascii="Arial" w:hAnsi="Arial" w:cs="Arial"/>
          <w:sz w:val="22"/>
          <w:szCs w:val="22"/>
        </w:rPr>
        <w:t xml:space="preserve"> and will continue to </w:t>
      </w:r>
      <w:r w:rsidR="00A9785A" w:rsidRPr="00A720B4">
        <w:rPr>
          <w:rFonts w:ascii="Arial" w:hAnsi="Arial" w:cs="Arial"/>
          <w:sz w:val="22"/>
          <w:szCs w:val="22"/>
        </w:rPr>
        <w:t xml:space="preserve">engage </w:t>
      </w:r>
      <w:r w:rsidR="00A625A4" w:rsidRPr="00A720B4">
        <w:rPr>
          <w:rFonts w:ascii="Arial" w:hAnsi="Arial" w:cs="Arial"/>
          <w:sz w:val="22"/>
          <w:szCs w:val="22"/>
        </w:rPr>
        <w:t xml:space="preserve">with </w:t>
      </w:r>
      <w:r w:rsidRPr="00A720B4">
        <w:rPr>
          <w:rFonts w:ascii="Arial" w:hAnsi="Arial" w:cs="Arial"/>
          <w:sz w:val="22"/>
          <w:szCs w:val="22"/>
        </w:rPr>
        <w:t xml:space="preserve">and assist </w:t>
      </w:r>
      <w:r w:rsidR="00A625A4" w:rsidRPr="00A720B4">
        <w:rPr>
          <w:rFonts w:ascii="Arial" w:hAnsi="Arial" w:cs="Arial"/>
          <w:sz w:val="22"/>
          <w:szCs w:val="22"/>
        </w:rPr>
        <w:t xml:space="preserve">EDP operators </w:t>
      </w:r>
      <w:r w:rsidR="00A9785A" w:rsidRPr="00A720B4">
        <w:rPr>
          <w:rFonts w:ascii="Arial" w:hAnsi="Arial" w:cs="Arial"/>
          <w:sz w:val="22"/>
          <w:szCs w:val="22"/>
        </w:rPr>
        <w:t xml:space="preserve">to </w:t>
      </w:r>
      <w:r w:rsidRPr="00A720B4">
        <w:rPr>
          <w:rFonts w:ascii="Arial" w:hAnsi="Arial" w:cs="Arial"/>
          <w:sz w:val="22"/>
          <w:szCs w:val="22"/>
        </w:rPr>
        <w:t>ensure that they can meet their reporting obligations</w:t>
      </w:r>
      <w:r w:rsidR="008D439A" w:rsidRPr="00A720B4">
        <w:rPr>
          <w:rFonts w:ascii="Arial" w:hAnsi="Arial" w:cs="Arial"/>
          <w:sz w:val="22"/>
          <w:szCs w:val="22"/>
        </w:rPr>
        <w:t>.</w:t>
      </w:r>
    </w:p>
    <w:p w14:paraId="49D44A96" w14:textId="77777777" w:rsidR="00522C25" w:rsidRPr="00A720B4" w:rsidRDefault="00522C25" w:rsidP="00A720B4">
      <w:pPr>
        <w:spacing w:after="120"/>
        <w:rPr>
          <w:rFonts w:ascii="Arial" w:hAnsi="Arial" w:cs="Arial"/>
          <w:sz w:val="22"/>
          <w:szCs w:val="22"/>
        </w:rPr>
      </w:pPr>
    </w:p>
    <w:p w14:paraId="1F3E1AF7" w14:textId="77777777" w:rsidR="00522C25" w:rsidRPr="00A720B4" w:rsidRDefault="00522C25" w:rsidP="00A720B4">
      <w:pPr>
        <w:spacing w:after="120"/>
        <w:rPr>
          <w:rFonts w:ascii="Arial" w:hAnsi="Arial" w:cs="Arial"/>
          <w:sz w:val="22"/>
          <w:szCs w:val="22"/>
        </w:rPr>
      </w:pPr>
    </w:p>
    <w:p w14:paraId="26760E94" w14:textId="77777777" w:rsidR="00522C25" w:rsidRPr="00A720B4" w:rsidRDefault="00522C25" w:rsidP="00A720B4">
      <w:pPr>
        <w:spacing w:after="120"/>
        <w:rPr>
          <w:rFonts w:ascii="Arial" w:hAnsi="Arial" w:cs="Arial"/>
          <w:sz w:val="22"/>
          <w:szCs w:val="22"/>
        </w:rPr>
      </w:pPr>
    </w:p>
    <w:p w14:paraId="69FE8C27" w14:textId="2C9D37E5" w:rsidR="009371D0" w:rsidRPr="00A720B4" w:rsidRDefault="007E0A01" w:rsidP="00A720B4">
      <w:pPr>
        <w:pStyle w:val="Heading3"/>
        <w:spacing w:before="0"/>
        <w:rPr>
          <w:i/>
          <w:sz w:val="20"/>
          <w:szCs w:val="20"/>
        </w:rPr>
      </w:pPr>
      <w:r w:rsidRPr="00A720B4">
        <w:rPr>
          <w:i/>
          <w:sz w:val="20"/>
          <w:szCs w:val="20"/>
        </w:rPr>
        <w:t>Legislative references</w:t>
      </w:r>
    </w:p>
    <w:p w14:paraId="1537D1E9" w14:textId="2C818F0E" w:rsidR="001B1810" w:rsidRPr="00A720B4" w:rsidRDefault="001B1810" w:rsidP="00A720B4">
      <w:pPr>
        <w:rPr>
          <w:rStyle w:val="Emphasis"/>
          <w:rFonts w:ascii="Arial" w:hAnsi="Arial" w:cs="Arial"/>
          <w:sz w:val="20"/>
          <w:shd w:val="clear" w:color="auto" w:fill="FFFFFF"/>
        </w:rPr>
      </w:pPr>
      <w:r w:rsidRPr="00A720B4">
        <w:rPr>
          <w:rStyle w:val="Emphasis"/>
          <w:rFonts w:ascii="Arial" w:hAnsi="Arial" w:cs="Arial"/>
          <w:sz w:val="20"/>
          <w:shd w:val="clear" w:color="auto" w:fill="FFFFFF"/>
        </w:rPr>
        <w:t>Acts Interpretation Act 1901</w:t>
      </w:r>
    </w:p>
    <w:p w14:paraId="74D265C7" w14:textId="36F94E26" w:rsidR="00101CD5" w:rsidRPr="00A720B4" w:rsidRDefault="0048504C" w:rsidP="00A720B4">
      <w:pPr>
        <w:rPr>
          <w:rFonts w:ascii="Arial" w:hAnsi="Arial" w:cs="Arial"/>
          <w:sz w:val="20"/>
        </w:rPr>
      </w:pPr>
      <w:r w:rsidRPr="00A720B4">
        <w:rPr>
          <w:rStyle w:val="Emphasis"/>
          <w:rFonts w:ascii="Arial" w:hAnsi="Arial" w:cs="Arial"/>
          <w:sz w:val="20"/>
          <w:shd w:val="clear" w:color="auto" w:fill="FFFFFF"/>
        </w:rPr>
        <w:t>A</w:t>
      </w:r>
      <w:r w:rsidRPr="00A720B4">
        <w:rPr>
          <w:rStyle w:val="Emphasis"/>
          <w:rFonts w:ascii="Arial" w:hAnsi="Arial" w:cs="Arial"/>
          <w:sz w:val="20"/>
        </w:rPr>
        <w:t xml:space="preserve"> New </w:t>
      </w:r>
      <w:r w:rsidRPr="00A720B4">
        <w:rPr>
          <w:rStyle w:val="Emphasis"/>
          <w:rFonts w:ascii="Arial" w:hAnsi="Arial" w:cs="Arial"/>
          <w:sz w:val="20"/>
          <w:shd w:val="clear" w:color="auto" w:fill="FFFFFF"/>
        </w:rPr>
        <w:t>Tax System (Goods and Services Tax) Act 1999</w:t>
      </w:r>
    </w:p>
    <w:p w14:paraId="1A923950" w14:textId="75BCA8C5" w:rsidR="0048504C" w:rsidRPr="00A720B4" w:rsidRDefault="0048504C" w:rsidP="00A720B4">
      <w:pPr>
        <w:rPr>
          <w:rStyle w:val="Emphasis"/>
          <w:rFonts w:ascii="Arial" w:hAnsi="Arial" w:cs="Arial"/>
          <w:sz w:val="20"/>
          <w:shd w:val="clear" w:color="auto" w:fill="FFFFFF"/>
        </w:rPr>
      </w:pPr>
      <w:r w:rsidRPr="00A720B4">
        <w:rPr>
          <w:rStyle w:val="Emphasis"/>
          <w:rFonts w:ascii="Arial" w:hAnsi="Arial" w:cs="Arial"/>
          <w:sz w:val="20"/>
          <w:shd w:val="clear" w:color="auto" w:fill="FFFFFF"/>
        </w:rPr>
        <w:t>Human Rights (</w:t>
      </w:r>
      <w:r w:rsidRPr="00A720B4">
        <w:rPr>
          <w:rStyle w:val="Emphasis"/>
          <w:rFonts w:ascii="Arial" w:hAnsi="Arial" w:cs="Arial"/>
          <w:sz w:val="20"/>
        </w:rPr>
        <w:t>Parliament</w:t>
      </w:r>
      <w:r w:rsidRPr="00A720B4">
        <w:rPr>
          <w:rStyle w:val="Emphasis"/>
          <w:rFonts w:ascii="Arial" w:hAnsi="Arial" w:cs="Arial"/>
          <w:sz w:val="20"/>
          <w:shd w:val="clear" w:color="auto" w:fill="FFFFFF"/>
        </w:rPr>
        <w:t>ary Scrutiny) Act 2011</w:t>
      </w:r>
    </w:p>
    <w:p w14:paraId="7914366D" w14:textId="3A9E7B78" w:rsidR="0048504C" w:rsidRPr="00A720B4" w:rsidRDefault="0048504C" w:rsidP="00A720B4">
      <w:pPr>
        <w:rPr>
          <w:rFonts w:ascii="Arial" w:hAnsi="Arial" w:cs="Arial"/>
          <w:sz w:val="20"/>
        </w:rPr>
      </w:pPr>
      <w:r w:rsidRPr="00A720B4">
        <w:rPr>
          <w:rStyle w:val="Emphasis"/>
          <w:rFonts w:ascii="Arial" w:hAnsi="Arial" w:cs="Arial"/>
          <w:sz w:val="20"/>
          <w:shd w:val="clear" w:color="auto" w:fill="FFFFFF"/>
        </w:rPr>
        <w:t>Legislation Act 2003</w:t>
      </w:r>
    </w:p>
    <w:p w14:paraId="149B6354" w14:textId="58515CF5" w:rsidR="0048504C" w:rsidRPr="00A720B4" w:rsidRDefault="0048504C" w:rsidP="00A720B4">
      <w:pPr>
        <w:rPr>
          <w:rFonts w:ascii="Arial" w:hAnsi="Arial" w:cs="Arial"/>
          <w:sz w:val="20"/>
        </w:rPr>
      </w:pPr>
      <w:r w:rsidRPr="00A720B4">
        <w:rPr>
          <w:rStyle w:val="Emphasis"/>
          <w:rFonts w:ascii="Arial" w:hAnsi="Arial" w:cs="Arial"/>
          <w:sz w:val="20"/>
          <w:shd w:val="clear" w:color="auto" w:fill="FFFFFF"/>
        </w:rPr>
        <w:t>Taxation Administration Act 1953</w:t>
      </w:r>
    </w:p>
    <w:p w14:paraId="15AC1BA6" w14:textId="071C8BC4" w:rsidR="00101CD5" w:rsidRPr="00A720B4" w:rsidRDefault="00101CD5" w:rsidP="00A720B4">
      <w:pPr>
        <w:spacing w:after="120"/>
        <w:rPr>
          <w:rFonts w:ascii="Arial" w:hAnsi="Arial" w:cs="Arial"/>
          <w:sz w:val="22"/>
          <w:szCs w:val="22"/>
        </w:rPr>
      </w:pPr>
      <w:r w:rsidRPr="00A720B4">
        <w:rPr>
          <w:rFonts w:ascii="Arial" w:hAnsi="Arial" w:cs="Arial"/>
          <w:sz w:val="22"/>
          <w:szCs w:val="22"/>
        </w:rPr>
        <w:br w:type="page"/>
      </w:r>
    </w:p>
    <w:p w14:paraId="15AC1BAB" w14:textId="08BC1495" w:rsidR="00526403" w:rsidRPr="00A720B4" w:rsidRDefault="00526403" w:rsidP="00A720B4">
      <w:pPr>
        <w:spacing w:after="120"/>
      </w:pPr>
    </w:p>
    <w:p w14:paraId="15AC1BAC" w14:textId="6B4B8273" w:rsidR="00333567" w:rsidRPr="00A720B4" w:rsidRDefault="00E53399" w:rsidP="00A720B4">
      <w:pPr>
        <w:pStyle w:val="Heading3"/>
        <w:spacing w:before="0" w:after="120"/>
        <w:jc w:val="center"/>
        <w:rPr>
          <w:sz w:val="24"/>
        </w:rPr>
      </w:pPr>
      <w:r w:rsidRPr="00A720B4">
        <w:rPr>
          <w:sz w:val="24"/>
        </w:rPr>
        <w:t xml:space="preserve">Statement of compatibility </w:t>
      </w:r>
      <w:r w:rsidR="00C11D03" w:rsidRPr="00A720B4">
        <w:rPr>
          <w:sz w:val="24"/>
        </w:rPr>
        <w:t>with Human Rights</w:t>
      </w:r>
    </w:p>
    <w:p w14:paraId="15AC1BAD" w14:textId="4AD858FB" w:rsidR="00E53399" w:rsidRPr="00A720B4" w:rsidRDefault="004F5EB1" w:rsidP="00A720B4">
      <w:pPr>
        <w:autoSpaceDE w:val="0"/>
        <w:autoSpaceDN w:val="0"/>
        <w:adjustRightInd w:val="0"/>
        <w:spacing w:after="120"/>
        <w:rPr>
          <w:rFonts w:ascii="Arial" w:hAnsi="Arial" w:cs="Arial"/>
        </w:rPr>
      </w:pPr>
      <w:r w:rsidRPr="00A720B4">
        <w:rPr>
          <w:rFonts w:ascii="Arial" w:hAnsi="Arial" w:cs="Arial"/>
          <w:sz w:val="22"/>
        </w:rPr>
        <w:t>P</w:t>
      </w:r>
      <w:r w:rsidR="00E53399" w:rsidRPr="00A720B4">
        <w:rPr>
          <w:rFonts w:ascii="Arial" w:hAnsi="Arial" w:cs="Arial"/>
          <w:sz w:val="22"/>
        </w:rPr>
        <w:t xml:space="preserve">repared in accordance with Part 3 of the </w:t>
      </w:r>
      <w:r w:rsidR="00E53399" w:rsidRPr="00A720B4">
        <w:rPr>
          <w:rFonts w:ascii="Arial" w:hAnsi="Arial" w:cs="Arial"/>
          <w:i/>
          <w:sz w:val="22"/>
        </w:rPr>
        <w:t>Human Rights (Parliamentary Scrutiny) Act 2011</w:t>
      </w:r>
    </w:p>
    <w:p w14:paraId="15AC1BAE" w14:textId="68DA81E7" w:rsidR="00D77015" w:rsidRPr="00A720B4" w:rsidRDefault="00D77015" w:rsidP="00A720B4">
      <w:pPr>
        <w:spacing w:after="120"/>
        <w:rPr>
          <w:rFonts w:ascii="Arial" w:hAnsi="Arial" w:cs="Arial"/>
          <w:sz w:val="22"/>
          <w:szCs w:val="22"/>
        </w:rPr>
      </w:pPr>
    </w:p>
    <w:p w14:paraId="5D2AD966" w14:textId="77777777" w:rsidR="00AD7BD4" w:rsidRPr="00A720B4" w:rsidRDefault="00AD7BD4" w:rsidP="00A720B4">
      <w:pPr>
        <w:pStyle w:val="Heading2"/>
        <w:jc w:val="center"/>
      </w:pPr>
      <w:r w:rsidRPr="00A720B4">
        <w:t>Taxation Administration (Reporting by Electronic Distribution Platform Operators) Legislative Instrument 2023</w:t>
      </w:r>
    </w:p>
    <w:p w14:paraId="54F9AC2D" w14:textId="5E22C284" w:rsidR="009371D0" w:rsidRPr="00A720B4" w:rsidRDefault="00075B58" w:rsidP="00A720B4">
      <w:pPr>
        <w:autoSpaceDE w:val="0"/>
        <w:autoSpaceDN w:val="0"/>
        <w:adjustRightInd w:val="0"/>
        <w:spacing w:after="120"/>
        <w:rPr>
          <w:rFonts w:ascii="Arial" w:hAnsi="Arial" w:cs="Arial"/>
          <w:sz w:val="22"/>
        </w:rPr>
      </w:pPr>
      <w:r w:rsidRPr="00A720B4">
        <w:rPr>
          <w:rFonts w:ascii="Arial" w:hAnsi="Arial" w:cs="Arial"/>
          <w:sz w:val="22"/>
        </w:rPr>
        <w:t xml:space="preserve">This </w:t>
      </w:r>
      <w:r w:rsidR="003B547B" w:rsidRPr="00A720B4">
        <w:rPr>
          <w:rFonts w:ascii="Arial" w:hAnsi="Arial" w:cs="Arial"/>
          <w:sz w:val="22"/>
        </w:rPr>
        <w:t>l</w:t>
      </w:r>
      <w:r w:rsidRPr="00A720B4">
        <w:rPr>
          <w:rFonts w:ascii="Arial" w:hAnsi="Arial" w:cs="Arial"/>
          <w:sz w:val="22"/>
        </w:rPr>
        <w:t xml:space="preserve">egislative </w:t>
      </w:r>
      <w:r w:rsidR="003B547B" w:rsidRPr="00A720B4">
        <w:rPr>
          <w:rFonts w:ascii="Arial" w:hAnsi="Arial" w:cs="Arial"/>
          <w:sz w:val="22"/>
        </w:rPr>
        <w:t>i</w:t>
      </w:r>
      <w:r w:rsidRPr="00A720B4">
        <w:rPr>
          <w:rFonts w:ascii="Arial" w:hAnsi="Arial" w:cs="Arial"/>
          <w:sz w:val="22"/>
        </w:rPr>
        <w:t xml:space="preserve">nstrument is compatible with the human rights and freedoms recognised or declared in the international instruments listed in section 3 of the </w:t>
      </w:r>
      <w:r w:rsidRPr="00A720B4">
        <w:rPr>
          <w:rFonts w:ascii="Arial" w:hAnsi="Arial" w:cs="Arial"/>
          <w:i/>
          <w:sz w:val="22"/>
        </w:rPr>
        <w:t>Human Righ</w:t>
      </w:r>
      <w:r w:rsidR="00101CD5" w:rsidRPr="00A720B4">
        <w:rPr>
          <w:rFonts w:ascii="Arial" w:hAnsi="Arial" w:cs="Arial"/>
          <w:i/>
          <w:sz w:val="22"/>
        </w:rPr>
        <w:t>ts (Parliamentary Scrutiny) Act </w:t>
      </w:r>
      <w:r w:rsidRPr="00A720B4">
        <w:rPr>
          <w:rFonts w:ascii="Arial" w:hAnsi="Arial" w:cs="Arial"/>
          <w:i/>
          <w:sz w:val="22"/>
        </w:rPr>
        <w:t>2011.</w:t>
      </w:r>
    </w:p>
    <w:p w14:paraId="15AC1BB2" w14:textId="6553A54F" w:rsidR="00075B58" w:rsidRPr="00A720B4" w:rsidRDefault="00075B58" w:rsidP="00A720B4">
      <w:pPr>
        <w:spacing w:after="120"/>
        <w:rPr>
          <w:rFonts w:ascii="Arial" w:hAnsi="Arial" w:cs="Arial"/>
          <w:sz w:val="22"/>
          <w:szCs w:val="22"/>
        </w:rPr>
      </w:pPr>
    </w:p>
    <w:p w14:paraId="15AC1BB3" w14:textId="2377D27B" w:rsidR="00075B58" w:rsidRPr="00A720B4" w:rsidRDefault="00075B58" w:rsidP="00A720B4">
      <w:pPr>
        <w:pStyle w:val="Heading2"/>
      </w:pPr>
      <w:r w:rsidRPr="00A720B4">
        <w:t xml:space="preserve">Overview of </w:t>
      </w:r>
      <w:r w:rsidR="007E0A01" w:rsidRPr="00A720B4">
        <w:t xml:space="preserve">the </w:t>
      </w:r>
      <w:r w:rsidR="003B547B" w:rsidRPr="00A720B4">
        <w:t>l</w:t>
      </w:r>
      <w:r w:rsidRPr="00A720B4">
        <w:t xml:space="preserve">egislative </w:t>
      </w:r>
      <w:r w:rsidR="003B547B" w:rsidRPr="00A720B4">
        <w:t>i</w:t>
      </w:r>
      <w:r w:rsidRPr="00A720B4">
        <w:t>nstrument</w:t>
      </w:r>
    </w:p>
    <w:p w14:paraId="478D9389" w14:textId="6EB424D2" w:rsidR="0048504C" w:rsidRPr="00A720B4" w:rsidRDefault="002241FA" w:rsidP="00A720B4">
      <w:pPr>
        <w:pStyle w:val="indentlevel0"/>
        <w:shd w:val="clear" w:color="auto" w:fill="FFFFFF"/>
        <w:spacing w:before="0" w:beforeAutospacing="0" w:after="120" w:afterAutospacing="0"/>
        <w:rPr>
          <w:rFonts w:ascii="Arial" w:hAnsi="Arial" w:cs="Arial"/>
          <w:sz w:val="22"/>
          <w:szCs w:val="22"/>
        </w:rPr>
      </w:pPr>
      <w:r w:rsidRPr="00A720B4">
        <w:rPr>
          <w:rFonts w:ascii="Arial" w:hAnsi="Arial" w:cs="Arial"/>
          <w:sz w:val="22"/>
          <w:szCs w:val="22"/>
        </w:rPr>
        <w:t>O</w:t>
      </w:r>
      <w:r w:rsidR="0048504C" w:rsidRPr="00A720B4">
        <w:rPr>
          <w:rFonts w:ascii="Arial" w:hAnsi="Arial" w:cs="Arial"/>
          <w:sz w:val="22"/>
          <w:szCs w:val="22"/>
        </w:rPr>
        <w:t xml:space="preserve">perators of </w:t>
      </w:r>
      <w:r w:rsidR="000A0A1F" w:rsidRPr="00A720B4">
        <w:rPr>
          <w:rFonts w:ascii="Arial" w:hAnsi="Arial" w:cs="Arial"/>
          <w:sz w:val="22"/>
          <w:szCs w:val="22"/>
        </w:rPr>
        <w:t>electronic distribution platforms (</w:t>
      </w:r>
      <w:r w:rsidR="00BC0D3A" w:rsidRPr="00A720B4">
        <w:rPr>
          <w:rFonts w:ascii="Arial" w:hAnsi="Arial" w:cs="Arial"/>
          <w:sz w:val="22"/>
          <w:szCs w:val="22"/>
        </w:rPr>
        <w:t>EDPs</w:t>
      </w:r>
      <w:r w:rsidR="000A0A1F" w:rsidRPr="00A720B4">
        <w:rPr>
          <w:rFonts w:ascii="Arial" w:hAnsi="Arial" w:cs="Arial"/>
          <w:sz w:val="22"/>
          <w:szCs w:val="22"/>
        </w:rPr>
        <w:t>)</w:t>
      </w:r>
      <w:r w:rsidR="0048504C" w:rsidRPr="00A720B4">
        <w:rPr>
          <w:rFonts w:ascii="Arial" w:hAnsi="Arial" w:cs="Arial"/>
          <w:sz w:val="22"/>
          <w:szCs w:val="22"/>
        </w:rPr>
        <w:t xml:space="preserve"> </w:t>
      </w:r>
      <w:r w:rsidRPr="00A720B4">
        <w:rPr>
          <w:rFonts w:ascii="Arial" w:hAnsi="Arial" w:cs="Arial"/>
          <w:sz w:val="22"/>
          <w:szCs w:val="22"/>
        </w:rPr>
        <w:t>are</w:t>
      </w:r>
      <w:r w:rsidR="0048504C" w:rsidRPr="00A720B4">
        <w:rPr>
          <w:rFonts w:ascii="Arial" w:hAnsi="Arial" w:cs="Arial"/>
          <w:sz w:val="22"/>
          <w:szCs w:val="22"/>
        </w:rPr>
        <w:t xml:space="preserve"> required to report information about certain transactions made through their platforms to the Australian Taxation Office (ATO).</w:t>
      </w:r>
    </w:p>
    <w:p w14:paraId="1D61D0EE" w14:textId="3458398B" w:rsidR="0048504C" w:rsidRPr="00A720B4" w:rsidRDefault="0048504C" w:rsidP="00A720B4">
      <w:pPr>
        <w:pStyle w:val="indentlevel0"/>
        <w:shd w:val="clear" w:color="auto" w:fill="FFFFFF"/>
        <w:spacing w:before="0" w:beforeAutospacing="0" w:after="120" w:afterAutospacing="0"/>
        <w:rPr>
          <w:rFonts w:ascii="Arial" w:hAnsi="Arial" w:cs="Arial"/>
          <w:sz w:val="22"/>
          <w:szCs w:val="22"/>
        </w:rPr>
      </w:pPr>
      <w:r w:rsidRPr="00A720B4">
        <w:rPr>
          <w:rFonts w:ascii="Arial" w:hAnsi="Arial" w:cs="Arial"/>
          <w:sz w:val="22"/>
          <w:szCs w:val="22"/>
        </w:rPr>
        <w:t>This instrument substitutes the default annual reporting period with an alternate six-monthly reporting period. The reporting periods will be from 1 January to 30 June, and 1 July to 31</w:t>
      </w:r>
      <w:r w:rsidR="00FD46A5" w:rsidRPr="00A720B4">
        <w:rPr>
          <w:rFonts w:ascii="Arial" w:hAnsi="Arial" w:cs="Arial"/>
          <w:sz w:val="22"/>
          <w:szCs w:val="22"/>
        </w:rPr>
        <w:t> </w:t>
      </w:r>
      <w:r w:rsidRPr="00A720B4">
        <w:rPr>
          <w:rFonts w:ascii="Arial" w:hAnsi="Arial" w:cs="Arial"/>
          <w:sz w:val="22"/>
          <w:szCs w:val="22"/>
        </w:rPr>
        <w:t>December</w:t>
      </w:r>
      <w:r w:rsidR="009A47E8" w:rsidRPr="00A720B4">
        <w:rPr>
          <w:rFonts w:ascii="Arial" w:hAnsi="Arial" w:cs="Arial"/>
          <w:sz w:val="22"/>
          <w:szCs w:val="22"/>
        </w:rPr>
        <w:t>, each year</w:t>
      </w:r>
      <w:r w:rsidRPr="00A720B4">
        <w:rPr>
          <w:rFonts w:ascii="Arial" w:hAnsi="Arial" w:cs="Arial"/>
          <w:sz w:val="22"/>
          <w:szCs w:val="22"/>
        </w:rPr>
        <w:t xml:space="preserve">. </w:t>
      </w:r>
      <w:r w:rsidR="009A47E8" w:rsidRPr="00A720B4">
        <w:rPr>
          <w:rFonts w:ascii="Arial" w:hAnsi="Arial" w:cs="Arial"/>
          <w:sz w:val="22"/>
          <w:szCs w:val="22"/>
        </w:rPr>
        <w:t xml:space="preserve">A </w:t>
      </w:r>
      <w:r w:rsidRPr="00A720B4">
        <w:rPr>
          <w:rFonts w:ascii="Arial" w:hAnsi="Arial" w:cs="Arial"/>
          <w:sz w:val="22"/>
          <w:szCs w:val="22"/>
        </w:rPr>
        <w:t>report is required to be given to the ATO within 31 days of the end of each reporting period.</w:t>
      </w:r>
    </w:p>
    <w:p w14:paraId="15AC1BB5" w14:textId="77777777" w:rsidR="00075B58" w:rsidRPr="00A720B4" w:rsidRDefault="00075B58" w:rsidP="00A720B4">
      <w:pPr>
        <w:spacing w:after="120"/>
        <w:rPr>
          <w:rFonts w:ascii="Arial" w:hAnsi="Arial" w:cs="Arial"/>
          <w:sz w:val="22"/>
          <w:szCs w:val="22"/>
        </w:rPr>
      </w:pPr>
    </w:p>
    <w:p w14:paraId="15AC1BB6" w14:textId="77777777" w:rsidR="00075B58" w:rsidRPr="00A720B4" w:rsidRDefault="00075B58" w:rsidP="00A720B4">
      <w:pPr>
        <w:pStyle w:val="Heading2"/>
      </w:pPr>
      <w:r w:rsidRPr="00A720B4">
        <w:t>Human rights implications</w:t>
      </w:r>
    </w:p>
    <w:p w14:paraId="15AC1BB8" w14:textId="27B370F5" w:rsidR="00075B58" w:rsidRPr="00A720B4" w:rsidRDefault="00075B58" w:rsidP="00A720B4">
      <w:pPr>
        <w:spacing w:after="120"/>
        <w:rPr>
          <w:rFonts w:ascii="Arial" w:hAnsi="Arial" w:cs="Arial"/>
          <w:bCs/>
          <w:sz w:val="22"/>
          <w:szCs w:val="22"/>
        </w:rPr>
      </w:pPr>
      <w:r w:rsidRPr="00A720B4">
        <w:rPr>
          <w:rFonts w:ascii="Arial" w:hAnsi="Arial" w:cs="Arial"/>
          <w:sz w:val="22"/>
        </w:rPr>
        <w:t xml:space="preserve">This </w:t>
      </w:r>
      <w:r w:rsidR="003B547B" w:rsidRPr="00A720B4">
        <w:rPr>
          <w:rFonts w:ascii="Arial" w:hAnsi="Arial" w:cs="Arial"/>
          <w:sz w:val="22"/>
        </w:rPr>
        <w:t>l</w:t>
      </w:r>
      <w:r w:rsidRPr="00A720B4">
        <w:rPr>
          <w:rFonts w:ascii="Arial" w:hAnsi="Arial" w:cs="Arial"/>
          <w:sz w:val="22"/>
        </w:rPr>
        <w:t xml:space="preserve">egislative </w:t>
      </w:r>
      <w:r w:rsidR="003B547B" w:rsidRPr="00A720B4">
        <w:rPr>
          <w:rFonts w:ascii="Arial" w:hAnsi="Arial" w:cs="Arial"/>
          <w:sz w:val="22"/>
        </w:rPr>
        <w:t>i</w:t>
      </w:r>
      <w:r w:rsidRPr="00A720B4">
        <w:rPr>
          <w:rFonts w:ascii="Arial" w:hAnsi="Arial" w:cs="Arial"/>
          <w:sz w:val="22"/>
        </w:rPr>
        <w:t xml:space="preserve">nstrument does not engage any of the applicable rights or freedoms. </w:t>
      </w:r>
      <w:r w:rsidR="000022AF" w:rsidRPr="00A720B4">
        <w:rPr>
          <w:rFonts w:ascii="Arial" w:hAnsi="Arial" w:cs="Arial"/>
          <w:sz w:val="22"/>
          <w:szCs w:val="22"/>
          <w:shd w:val="clear" w:color="auto" w:fill="FFFFFF"/>
        </w:rPr>
        <w:t>It only operates to increase the reporting frequency of information required, with a move from annual to bi-annual reporting. The increased reporting frequency will better enable the ATO able to assist taxpayers in meeting their tax obligations while ensuring a level playing field.</w:t>
      </w:r>
    </w:p>
    <w:p w14:paraId="29EF0E68" w14:textId="77777777" w:rsidR="000022AF" w:rsidRPr="00A720B4" w:rsidRDefault="000022AF" w:rsidP="00A720B4">
      <w:pPr>
        <w:spacing w:after="120"/>
        <w:rPr>
          <w:rFonts w:ascii="Arial" w:hAnsi="Arial" w:cs="Arial"/>
          <w:bCs/>
          <w:sz w:val="22"/>
          <w:szCs w:val="22"/>
        </w:rPr>
      </w:pPr>
    </w:p>
    <w:p w14:paraId="15AC1BB9" w14:textId="77777777" w:rsidR="00075B58" w:rsidRPr="00A720B4" w:rsidRDefault="00075B58" w:rsidP="00A720B4">
      <w:pPr>
        <w:pStyle w:val="Heading2"/>
      </w:pPr>
      <w:r w:rsidRPr="00A720B4">
        <w:t>Conclusion</w:t>
      </w:r>
    </w:p>
    <w:p w14:paraId="0E5D9E29" w14:textId="5DDBDF38" w:rsidR="00101CD5" w:rsidRPr="00A720B4" w:rsidRDefault="00075B58" w:rsidP="00A720B4">
      <w:pPr>
        <w:spacing w:after="120"/>
        <w:rPr>
          <w:rFonts w:ascii="Arial" w:hAnsi="Arial" w:cs="Arial"/>
          <w:sz w:val="22"/>
          <w:szCs w:val="22"/>
        </w:rPr>
      </w:pPr>
      <w:r w:rsidRPr="00A720B4">
        <w:rPr>
          <w:rFonts w:ascii="Arial" w:hAnsi="Arial" w:cs="Arial"/>
          <w:sz w:val="22"/>
          <w:szCs w:val="22"/>
        </w:rPr>
        <w:t xml:space="preserve">This </w:t>
      </w:r>
      <w:r w:rsidR="003B547B" w:rsidRPr="00A720B4">
        <w:rPr>
          <w:rFonts w:ascii="Arial" w:hAnsi="Arial" w:cs="Arial"/>
          <w:sz w:val="22"/>
          <w:szCs w:val="22"/>
        </w:rPr>
        <w:t>l</w:t>
      </w:r>
      <w:r w:rsidRPr="00A720B4">
        <w:rPr>
          <w:rFonts w:ascii="Arial" w:hAnsi="Arial" w:cs="Arial"/>
          <w:sz w:val="22"/>
          <w:szCs w:val="22"/>
        </w:rPr>
        <w:t xml:space="preserve">egislative </w:t>
      </w:r>
      <w:r w:rsidR="003B547B" w:rsidRPr="00A720B4">
        <w:rPr>
          <w:rFonts w:ascii="Arial" w:hAnsi="Arial" w:cs="Arial"/>
          <w:sz w:val="22"/>
          <w:szCs w:val="22"/>
        </w:rPr>
        <w:t>i</w:t>
      </w:r>
      <w:r w:rsidRPr="00A720B4">
        <w:rPr>
          <w:rFonts w:ascii="Arial" w:hAnsi="Arial" w:cs="Arial"/>
          <w:sz w:val="22"/>
          <w:szCs w:val="22"/>
        </w:rPr>
        <w:t>nstrument is compatible with human rights as it does not raise any human rights issues.</w:t>
      </w:r>
    </w:p>
    <w:sectPr w:rsidR="00101CD5" w:rsidRPr="00A720B4" w:rsidSect="00081520">
      <w:headerReference w:type="default" r:id="rId8"/>
      <w:headerReference w:type="first" r:id="rId9"/>
      <w:pgSz w:w="11906" w:h="16838" w:code="9"/>
      <w:pgMar w:top="1440" w:right="1133" w:bottom="1358" w:left="993"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3811A" w14:textId="77777777" w:rsidR="00153F82" w:rsidRDefault="00153F82">
      <w:r>
        <w:separator/>
      </w:r>
    </w:p>
  </w:endnote>
  <w:endnote w:type="continuationSeparator" w:id="0">
    <w:p w14:paraId="26C60470" w14:textId="77777777" w:rsidR="00153F82" w:rsidRDefault="00153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6509F" w14:textId="77777777" w:rsidR="00153F82" w:rsidRDefault="00153F82">
      <w:r>
        <w:separator/>
      </w:r>
    </w:p>
  </w:footnote>
  <w:footnote w:type="continuationSeparator" w:id="0">
    <w:p w14:paraId="436AF51A" w14:textId="77777777" w:rsidR="00153F82" w:rsidRDefault="00153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1BCD" w14:textId="77777777" w:rsidR="00587C50" w:rsidRDefault="00587C50" w:rsidP="001828A4">
    <w:pPr>
      <w:pStyle w:val="Header"/>
      <w:tabs>
        <w:tab w:val="clear" w:pos="4153"/>
        <w:tab w:val="clear" w:pos="8306"/>
        <w:tab w:val="center" w:pos="1418"/>
        <w:tab w:val="right" w:pos="878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1BCF" w14:textId="77777777" w:rsidR="00587C50" w:rsidRDefault="003D0CBA" w:rsidP="001828A4">
    <w:pPr>
      <w:pStyle w:val="Header"/>
      <w:tabs>
        <w:tab w:val="clear" w:pos="4153"/>
        <w:tab w:val="clear" w:pos="8306"/>
      </w:tabs>
      <w:rPr>
        <w:rFonts w:ascii="Arial" w:hAnsi="Arial" w:cs="Arial"/>
        <w:sz w:val="20"/>
      </w:rPr>
    </w:pPr>
    <w:r>
      <w:rPr>
        <w:noProof/>
      </w:rPr>
      <w:drawing>
        <wp:inline distT="0" distB="0" distL="0" distR="0" wp14:anchorId="15AC1BD1" wp14:editId="7E403F57">
          <wp:extent cx="2413635" cy="701675"/>
          <wp:effectExtent l="0" t="0" r="5715" b="3175"/>
          <wp:docPr id="3" name="Picture 1"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The ATO logo containing the Federal Government crest and the words Australian Taxation Off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15AC1BD0" w14:textId="77777777" w:rsidR="00CC1833" w:rsidRPr="001A6644" w:rsidRDefault="00CC1833" w:rsidP="00767CE8">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1DFB"/>
    <w:multiLevelType w:val="hybridMultilevel"/>
    <w:tmpl w:val="DEF26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4A22BF"/>
    <w:multiLevelType w:val="hybridMultilevel"/>
    <w:tmpl w:val="49863234"/>
    <w:lvl w:ilvl="0" w:tplc="32A070A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CF167C1"/>
    <w:multiLevelType w:val="hybridMultilevel"/>
    <w:tmpl w:val="2A986F26"/>
    <w:lvl w:ilvl="0" w:tplc="4A38B6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1636461"/>
    <w:multiLevelType w:val="hybridMultilevel"/>
    <w:tmpl w:val="5C7EC624"/>
    <w:lvl w:ilvl="0" w:tplc="7348F0E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CA8178D"/>
    <w:multiLevelType w:val="hybridMultilevel"/>
    <w:tmpl w:val="768C5DE4"/>
    <w:lvl w:ilvl="0" w:tplc="02224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EC93244"/>
    <w:multiLevelType w:val="hybridMultilevel"/>
    <w:tmpl w:val="34CE43CE"/>
    <w:lvl w:ilvl="0" w:tplc="FFFFFFFF">
      <w:start w:val="1"/>
      <w:numFmt w:val="decimal"/>
      <w:lvlText w:val="%1."/>
      <w:lvlJc w:val="left"/>
      <w:pPr>
        <w:ind w:left="720" w:hanging="360"/>
      </w:pPr>
      <w:rPr>
        <w:rFonts w:hint="default"/>
        <w:i w:val="0"/>
        <w:iCs w:val="0"/>
        <w:color w:val="auto"/>
        <w:sz w:val="22"/>
        <w:szCs w:val="22"/>
      </w:rPr>
    </w:lvl>
    <w:lvl w:ilvl="1" w:tplc="C2ACD91E">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DBC2D9C"/>
    <w:multiLevelType w:val="hybridMultilevel"/>
    <w:tmpl w:val="D8966B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72876695"/>
    <w:multiLevelType w:val="hybridMultilevel"/>
    <w:tmpl w:val="8046762E"/>
    <w:lvl w:ilvl="0" w:tplc="BC080E52">
      <w:start w:val="2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675470E"/>
    <w:multiLevelType w:val="hybridMultilevel"/>
    <w:tmpl w:val="6A28FBE4"/>
    <w:lvl w:ilvl="0" w:tplc="32A070A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789F4472"/>
    <w:multiLevelType w:val="hybridMultilevel"/>
    <w:tmpl w:val="803A9E7E"/>
    <w:lvl w:ilvl="0" w:tplc="24CAE5BA">
      <w:start w:val="1"/>
      <w:numFmt w:val="decimal"/>
      <w:lvlText w:val="%1."/>
      <w:lvlJc w:val="left"/>
      <w:pPr>
        <w:ind w:left="1069" w:hanging="360"/>
      </w:pPr>
      <w:rPr>
        <w:rFonts w:hint="default"/>
        <w:i w:val="0"/>
        <w:iCs w:val="0"/>
        <w:color w:val="auto"/>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9"/>
  </w:num>
  <w:num w:numId="3">
    <w:abstractNumId w:val="5"/>
  </w:num>
  <w:num w:numId="4">
    <w:abstractNumId w:val="0"/>
  </w:num>
  <w:num w:numId="5">
    <w:abstractNumId w:val="6"/>
  </w:num>
  <w:num w:numId="6">
    <w:abstractNumId w:val="1"/>
  </w:num>
  <w:num w:numId="7">
    <w:abstractNumId w:val="8"/>
  </w:num>
  <w:num w:numId="8">
    <w:abstractNumId w:val="7"/>
  </w:num>
  <w:num w:numId="9">
    <w:abstractNumId w:val="3"/>
  </w:num>
  <w:num w:numId="1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18"/>
    <w:rsid w:val="000022AF"/>
    <w:rsid w:val="000117B2"/>
    <w:rsid w:val="0001796D"/>
    <w:rsid w:val="00017BF0"/>
    <w:rsid w:val="0002568B"/>
    <w:rsid w:val="00043FA7"/>
    <w:rsid w:val="00044383"/>
    <w:rsid w:val="00046B6E"/>
    <w:rsid w:val="000552E8"/>
    <w:rsid w:val="00055318"/>
    <w:rsid w:val="00056585"/>
    <w:rsid w:val="0005674F"/>
    <w:rsid w:val="00056C6A"/>
    <w:rsid w:val="00065C6E"/>
    <w:rsid w:val="00072E6E"/>
    <w:rsid w:val="00073F1B"/>
    <w:rsid w:val="00075B58"/>
    <w:rsid w:val="000803A2"/>
    <w:rsid w:val="00081520"/>
    <w:rsid w:val="00095A75"/>
    <w:rsid w:val="000A0A1F"/>
    <w:rsid w:val="000B11DD"/>
    <w:rsid w:val="000B1785"/>
    <w:rsid w:val="000C390A"/>
    <w:rsid w:val="000C77DD"/>
    <w:rsid w:val="000E295B"/>
    <w:rsid w:val="000E45A0"/>
    <w:rsid w:val="000F009D"/>
    <w:rsid w:val="000F3819"/>
    <w:rsid w:val="00101CD5"/>
    <w:rsid w:val="00107460"/>
    <w:rsid w:val="00112415"/>
    <w:rsid w:val="0013678D"/>
    <w:rsid w:val="00140A34"/>
    <w:rsid w:val="00145A3D"/>
    <w:rsid w:val="00146ED8"/>
    <w:rsid w:val="00153F82"/>
    <w:rsid w:val="0015657B"/>
    <w:rsid w:val="00156AA9"/>
    <w:rsid w:val="0016163C"/>
    <w:rsid w:val="00167202"/>
    <w:rsid w:val="001828A4"/>
    <w:rsid w:val="001A3BE2"/>
    <w:rsid w:val="001B1810"/>
    <w:rsid w:val="001C35E7"/>
    <w:rsid w:val="001C4578"/>
    <w:rsid w:val="001D02E6"/>
    <w:rsid w:val="001F0184"/>
    <w:rsid w:val="001F28A6"/>
    <w:rsid w:val="001F2A16"/>
    <w:rsid w:val="001F6921"/>
    <w:rsid w:val="001F7C3E"/>
    <w:rsid w:val="00201969"/>
    <w:rsid w:val="00203890"/>
    <w:rsid w:val="0021222C"/>
    <w:rsid w:val="00213FA5"/>
    <w:rsid w:val="0021496E"/>
    <w:rsid w:val="00222AFB"/>
    <w:rsid w:val="002241FA"/>
    <w:rsid w:val="00237225"/>
    <w:rsid w:val="0023733A"/>
    <w:rsid w:val="0024044F"/>
    <w:rsid w:val="00240CFB"/>
    <w:rsid w:val="00245D00"/>
    <w:rsid w:val="00257F2D"/>
    <w:rsid w:val="00262F9F"/>
    <w:rsid w:val="00266D2D"/>
    <w:rsid w:val="00272EAB"/>
    <w:rsid w:val="0027331F"/>
    <w:rsid w:val="00285E76"/>
    <w:rsid w:val="002878F6"/>
    <w:rsid w:val="002949C3"/>
    <w:rsid w:val="002A10A4"/>
    <w:rsid w:val="002A26FE"/>
    <w:rsid w:val="002B1423"/>
    <w:rsid w:val="002F1257"/>
    <w:rsid w:val="00304999"/>
    <w:rsid w:val="00310C61"/>
    <w:rsid w:val="003171B3"/>
    <w:rsid w:val="0032559D"/>
    <w:rsid w:val="00331616"/>
    <w:rsid w:val="00333567"/>
    <w:rsid w:val="00344575"/>
    <w:rsid w:val="0035113C"/>
    <w:rsid w:val="00354525"/>
    <w:rsid w:val="003601B5"/>
    <w:rsid w:val="003601DA"/>
    <w:rsid w:val="003603D4"/>
    <w:rsid w:val="00374385"/>
    <w:rsid w:val="00380CC4"/>
    <w:rsid w:val="003B547B"/>
    <w:rsid w:val="003C0686"/>
    <w:rsid w:val="003D08CF"/>
    <w:rsid w:val="003D0CBA"/>
    <w:rsid w:val="003D0F6A"/>
    <w:rsid w:val="003D4BA8"/>
    <w:rsid w:val="003E2380"/>
    <w:rsid w:val="003E5269"/>
    <w:rsid w:val="00405394"/>
    <w:rsid w:val="004066E4"/>
    <w:rsid w:val="0040680B"/>
    <w:rsid w:val="00407361"/>
    <w:rsid w:val="00417C55"/>
    <w:rsid w:val="0042027C"/>
    <w:rsid w:val="00424A7B"/>
    <w:rsid w:val="00425531"/>
    <w:rsid w:val="004447C1"/>
    <w:rsid w:val="00446AA8"/>
    <w:rsid w:val="0045590D"/>
    <w:rsid w:val="0046211F"/>
    <w:rsid w:val="0046787B"/>
    <w:rsid w:val="0048504C"/>
    <w:rsid w:val="00486653"/>
    <w:rsid w:val="00493CA7"/>
    <w:rsid w:val="004A5FDA"/>
    <w:rsid w:val="004C675C"/>
    <w:rsid w:val="004D098C"/>
    <w:rsid w:val="004D24A9"/>
    <w:rsid w:val="004D41FE"/>
    <w:rsid w:val="004D6230"/>
    <w:rsid w:val="004D6FE1"/>
    <w:rsid w:val="004E5357"/>
    <w:rsid w:val="004F4A07"/>
    <w:rsid w:val="004F5EB1"/>
    <w:rsid w:val="004F6887"/>
    <w:rsid w:val="005030AD"/>
    <w:rsid w:val="0051249C"/>
    <w:rsid w:val="0051725A"/>
    <w:rsid w:val="005176E7"/>
    <w:rsid w:val="00520330"/>
    <w:rsid w:val="00522C25"/>
    <w:rsid w:val="00524B6B"/>
    <w:rsid w:val="00526403"/>
    <w:rsid w:val="00534FB5"/>
    <w:rsid w:val="00540BCC"/>
    <w:rsid w:val="005413EE"/>
    <w:rsid w:val="005460A5"/>
    <w:rsid w:val="00587443"/>
    <w:rsid w:val="00587C50"/>
    <w:rsid w:val="005917F3"/>
    <w:rsid w:val="005B0ACD"/>
    <w:rsid w:val="005B144E"/>
    <w:rsid w:val="005B50A2"/>
    <w:rsid w:val="005C3408"/>
    <w:rsid w:val="005D1EE0"/>
    <w:rsid w:val="005D300D"/>
    <w:rsid w:val="005D611B"/>
    <w:rsid w:val="005F013A"/>
    <w:rsid w:val="005F1ACE"/>
    <w:rsid w:val="005F256D"/>
    <w:rsid w:val="0060183A"/>
    <w:rsid w:val="00603110"/>
    <w:rsid w:val="00611C8E"/>
    <w:rsid w:val="00624954"/>
    <w:rsid w:val="00625E89"/>
    <w:rsid w:val="006302F7"/>
    <w:rsid w:val="00631F30"/>
    <w:rsid w:val="00640CC2"/>
    <w:rsid w:val="00642420"/>
    <w:rsid w:val="00646158"/>
    <w:rsid w:val="006513F4"/>
    <w:rsid w:val="006549BD"/>
    <w:rsid w:val="0066622C"/>
    <w:rsid w:val="00666487"/>
    <w:rsid w:val="00673B37"/>
    <w:rsid w:val="006945EA"/>
    <w:rsid w:val="006B5470"/>
    <w:rsid w:val="006C27F8"/>
    <w:rsid w:val="006D0138"/>
    <w:rsid w:val="006D447F"/>
    <w:rsid w:val="006D6F52"/>
    <w:rsid w:val="006F15DE"/>
    <w:rsid w:val="00701495"/>
    <w:rsid w:val="00701718"/>
    <w:rsid w:val="00710359"/>
    <w:rsid w:val="00712FFF"/>
    <w:rsid w:val="00722DBF"/>
    <w:rsid w:val="00730DC5"/>
    <w:rsid w:val="00733F7F"/>
    <w:rsid w:val="00735157"/>
    <w:rsid w:val="0075697B"/>
    <w:rsid w:val="0076271C"/>
    <w:rsid w:val="00767CE8"/>
    <w:rsid w:val="00775490"/>
    <w:rsid w:val="0078370C"/>
    <w:rsid w:val="00795D0C"/>
    <w:rsid w:val="00797F42"/>
    <w:rsid w:val="007A55BA"/>
    <w:rsid w:val="007A690D"/>
    <w:rsid w:val="007C1FBD"/>
    <w:rsid w:val="007C54B3"/>
    <w:rsid w:val="007C5C8E"/>
    <w:rsid w:val="007E0A01"/>
    <w:rsid w:val="007E0B93"/>
    <w:rsid w:val="007E22F5"/>
    <w:rsid w:val="007E276F"/>
    <w:rsid w:val="007F25F3"/>
    <w:rsid w:val="007F4901"/>
    <w:rsid w:val="00826DEB"/>
    <w:rsid w:val="00832A78"/>
    <w:rsid w:val="00836B02"/>
    <w:rsid w:val="008467D4"/>
    <w:rsid w:val="00850FB0"/>
    <w:rsid w:val="0085238E"/>
    <w:rsid w:val="00853428"/>
    <w:rsid w:val="008540EA"/>
    <w:rsid w:val="00863043"/>
    <w:rsid w:val="00866A00"/>
    <w:rsid w:val="008702A6"/>
    <w:rsid w:val="00873997"/>
    <w:rsid w:val="008757CE"/>
    <w:rsid w:val="0088392C"/>
    <w:rsid w:val="00883B15"/>
    <w:rsid w:val="00897C0E"/>
    <w:rsid w:val="00897E31"/>
    <w:rsid w:val="008A046F"/>
    <w:rsid w:val="008A28AE"/>
    <w:rsid w:val="008A405A"/>
    <w:rsid w:val="008A6A6A"/>
    <w:rsid w:val="008B650A"/>
    <w:rsid w:val="008B787C"/>
    <w:rsid w:val="008C180E"/>
    <w:rsid w:val="008C3898"/>
    <w:rsid w:val="008C66CC"/>
    <w:rsid w:val="008D439A"/>
    <w:rsid w:val="008F483C"/>
    <w:rsid w:val="0090566D"/>
    <w:rsid w:val="00910595"/>
    <w:rsid w:val="00910756"/>
    <w:rsid w:val="00912D61"/>
    <w:rsid w:val="009249B2"/>
    <w:rsid w:val="00924BF4"/>
    <w:rsid w:val="009322D7"/>
    <w:rsid w:val="00932BDE"/>
    <w:rsid w:val="009371D0"/>
    <w:rsid w:val="00950199"/>
    <w:rsid w:val="00962F7D"/>
    <w:rsid w:val="00967725"/>
    <w:rsid w:val="009735ED"/>
    <w:rsid w:val="0098195F"/>
    <w:rsid w:val="00983AF9"/>
    <w:rsid w:val="00985904"/>
    <w:rsid w:val="009902F8"/>
    <w:rsid w:val="00993BB8"/>
    <w:rsid w:val="0099555F"/>
    <w:rsid w:val="009955D2"/>
    <w:rsid w:val="009A22A1"/>
    <w:rsid w:val="009A2AD9"/>
    <w:rsid w:val="009A47E8"/>
    <w:rsid w:val="009B3A1B"/>
    <w:rsid w:val="009B6332"/>
    <w:rsid w:val="009B70D4"/>
    <w:rsid w:val="009C0912"/>
    <w:rsid w:val="009C48E3"/>
    <w:rsid w:val="009C7443"/>
    <w:rsid w:val="009D0990"/>
    <w:rsid w:val="009D6694"/>
    <w:rsid w:val="009F0300"/>
    <w:rsid w:val="009F46E5"/>
    <w:rsid w:val="00A00383"/>
    <w:rsid w:val="00A167A8"/>
    <w:rsid w:val="00A21F0A"/>
    <w:rsid w:val="00A26011"/>
    <w:rsid w:val="00A506C2"/>
    <w:rsid w:val="00A549C0"/>
    <w:rsid w:val="00A625A4"/>
    <w:rsid w:val="00A62886"/>
    <w:rsid w:val="00A66489"/>
    <w:rsid w:val="00A720B4"/>
    <w:rsid w:val="00A74C38"/>
    <w:rsid w:val="00A77D24"/>
    <w:rsid w:val="00A77F38"/>
    <w:rsid w:val="00A8572F"/>
    <w:rsid w:val="00A93E07"/>
    <w:rsid w:val="00A9785A"/>
    <w:rsid w:val="00A979CF"/>
    <w:rsid w:val="00AA4DF8"/>
    <w:rsid w:val="00AB780C"/>
    <w:rsid w:val="00AC2448"/>
    <w:rsid w:val="00AD0B0B"/>
    <w:rsid w:val="00AD5ADE"/>
    <w:rsid w:val="00AD7BD4"/>
    <w:rsid w:val="00AE7138"/>
    <w:rsid w:val="00AF4CAF"/>
    <w:rsid w:val="00B042EE"/>
    <w:rsid w:val="00B117BA"/>
    <w:rsid w:val="00B15F23"/>
    <w:rsid w:val="00B16508"/>
    <w:rsid w:val="00B20D87"/>
    <w:rsid w:val="00B21BCC"/>
    <w:rsid w:val="00B24053"/>
    <w:rsid w:val="00B31550"/>
    <w:rsid w:val="00B37FDF"/>
    <w:rsid w:val="00B4674D"/>
    <w:rsid w:val="00B578AC"/>
    <w:rsid w:val="00B62F06"/>
    <w:rsid w:val="00B6433F"/>
    <w:rsid w:val="00B64CF5"/>
    <w:rsid w:val="00B76C9B"/>
    <w:rsid w:val="00B823A1"/>
    <w:rsid w:val="00B8428B"/>
    <w:rsid w:val="00B91DAE"/>
    <w:rsid w:val="00BA41F5"/>
    <w:rsid w:val="00BB3C9C"/>
    <w:rsid w:val="00BC0D3A"/>
    <w:rsid w:val="00BF4822"/>
    <w:rsid w:val="00BF626A"/>
    <w:rsid w:val="00C01D22"/>
    <w:rsid w:val="00C104B6"/>
    <w:rsid w:val="00C10F02"/>
    <w:rsid w:val="00C114F4"/>
    <w:rsid w:val="00C11D03"/>
    <w:rsid w:val="00C1311F"/>
    <w:rsid w:val="00C20FB1"/>
    <w:rsid w:val="00C31967"/>
    <w:rsid w:val="00C326FB"/>
    <w:rsid w:val="00C32712"/>
    <w:rsid w:val="00C34C96"/>
    <w:rsid w:val="00C371DE"/>
    <w:rsid w:val="00C409AE"/>
    <w:rsid w:val="00C4143E"/>
    <w:rsid w:val="00C42D50"/>
    <w:rsid w:val="00C54DF8"/>
    <w:rsid w:val="00C60B49"/>
    <w:rsid w:val="00C620E9"/>
    <w:rsid w:val="00C7440A"/>
    <w:rsid w:val="00C865ED"/>
    <w:rsid w:val="00C8775A"/>
    <w:rsid w:val="00CA0877"/>
    <w:rsid w:val="00CA157B"/>
    <w:rsid w:val="00CA6B59"/>
    <w:rsid w:val="00CB0462"/>
    <w:rsid w:val="00CB3B6C"/>
    <w:rsid w:val="00CB54FF"/>
    <w:rsid w:val="00CB6F69"/>
    <w:rsid w:val="00CB75F1"/>
    <w:rsid w:val="00CC1833"/>
    <w:rsid w:val="00CC189F"/>
    <w:rsid w:val="00CC3368"/>
    <w:rsid w:val="00CD206E"/>
    <w:rsid w:val="00CF19C4"/>
    <w:rsid w:val="00CF2B0A"/>
    <w:rsid w:val="00CF6113"/>
    <w:rsid w:val="00D13C04"/>
    <w:rsid w:val="00D20A78"/>
    <w:rsid w:val="00D278BA"/>
    <w:rsid w:val="00D33E69"/>
    <w:rsid w:val="00D40454"/>
    <w:rsid w:val="00D4059C"/>
    <w:rsid w:val="00D53D8F"/>
    <w:rsid w:val="00D61C76"/>
    <w:rsid w:val="00D65B2C"/>
    <w:rsid w:val="00D77015"/>
    <w:rsid w:val="00D92A75"/>
    <w:rsid w:val="00D92B48"/>
    <w:rsid w:val="00D969EA"/>
    <w:rsid w:val="00DA4F15"/>
    <w:rsid w:val="00DB1313"/>
    <w:rsid w:val="00DB1693"/>
    <w:rsid w:val="00DD3B42"/>
    <w:rsid w:val="00DD5B07"/>
    <w:rsid w:val="00DE6821"/>
    <w:rsid w:val="00DF2022"/>
    <w:rsid w:val="00DF34BE"/>
    <w:rsid w:val="00DF5D59"/>
    <w:rsid w:val="00E0529B"/>
    <w:rsid w:val="00E10B37"/>
    <w:rsid w:val="00E239E4"/>
    <w:rsid w:val="00E36A38"/>
    <w:rsid w:val="00E4433C"/>
    <w:rsid w:val="00E53399"/>
    <w:rsid w:val="00E55F58"/>
    <w:rsid w:val="00E608A4"/>
    <w:rsid w:val="00E768A9"/>
    <w:rsid w:val="00E77995"/>
    <w:rsid w:val="00E87099"/>
    <w:rsid w:val="00EA28E6"/>
    <w:rsid w:val="00ED1F3B"/>
    <w:rsid w:val="00EF78C4"/>
    <w:rsid w:val="00F04CD7"/>
    <w:rsid w:val="00F23E15"/>
    <w:rsid w:val="00F244A2"/>
    <w:rsid w:val="00F35064"/>
    <w:rsid w:val="00F374D8"/>
    <w:rsid w:val="00F44C3E"/>
    <w:rsid w:val="00F539FB"/>
    <w:rsid w:val="00F5684D"/>
    <w:rsid w:val="00F57AB6"/>
    <w:rsid w:val="00F6480F"/>
    <w:rsid w:val="00F64868"/>
    <w:rsid w:val="00F65F8C"/>
    <w:rsid w:val="00F70C2E"/>
    <w:rsid w:val="00F7308E"/>
    <w:rsid w:val="00F7430F"/>
    <w:rsid w:val="00F84DF2"/>
    <w:rsid w:val="00F85C88"/>
    <w:rsid w:val="00F86713"/>
    <w:rsid w:val="00F932E0"/>
    <w:rsid w:val="00F96D28"/>
    <w:rsid w:val="00FB7701"/>
    <w:rsid w:val="00FC40F0"/>
    <w:rsid w:val="00FC6D3B"/>
    <w:rsid w:val="00FD0129"/>
    <w:rsid w:val="00FD0AF2"/>
    <w:rsid w:val="00FD46A5"/>
    <w:rsid w:val="00FE17ED"/>
    <w:rsid w:val="00FE7EB8"/>
    <w:rsid w:val="00FF43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AC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7BD4"/>
    <w:rPr>
      <w:sz w:val="24"/>
    </w:rPr>
  </w:style>
  <w:style w:type="paragraph" w:styleId="Heading2">
    <w:name w:val="heading 2"/>
    <w:basedOn w:val="Normal"/>
    <w:next w:val="Normal"/>
    <w:qFormat/>
    <w:rsid w:val="00240CFB"/>
    <w:pPr>
      <w:keepNext/>
      <w:spacing w:after="120"/>
      <w:outlineLvl w:val="1"/>
    </w:pPr>
    <w:rPr>
      <w:rFonts w:ascii="Arial" w:hAnsi="Arial" w:cs="Arial"/>
      <w:b/>
      <w:sz w:val="22"/>
      <w:szCs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uiPriority w:val="99"/>
    <w:semiHidden/>
    <w:rsid w:val="00A26011"/>
    <w:rPr>
      <w:sz w:val="16"/>
      <w:szCs w:val="16"/>
    </w:rPr>
  </w:style>
  <w:style w:type="paragraph" w:styleId="CommentText">
    <w:name w:val="annotation text"/>
    <w:basedOn w:val="Normal"/>
    <w:link w:val="CommentTextChar"/>
    <w:uiPriority w:val="99"/>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character" w:customStyle="1" w:styleId="HeaderChar">
    <w:name w:val="Header Char"/>
    <w:basedOn w:val="DefaultParagraphFont"/>
    <w:link w:val="Header"/>
    <w:rsid w:val="00AC2448"/>
    <w:rPr>
      <w:sz w:val="24"/>
    </w:rPr>
  </w:style>
  <w:style w:type="character" w:customStyle="1" w:styleId="CommentTextChar">
    <w:name w:val="Comment Text Char"/>
    <w:basedOn w:val="DefaultParagraphFont"/>
    <w:link w:val="CommentText"/>
    <w:uiPriority w:val="99"/>
    <w:semiHidden/>
    <w:rsid w:val="00640CC2"/>
  </w:style>
  <w:style w:type="paragraph" w:customStyle="1" w:styleId="indentlevel0">
    <w:name w:val="indentlevel0"/>
    <w:basedOn w:val="Normal"/>
    <w:rsid w:val="006C27F8"/>
    <w:pPr>
      <w:spacing w:before="100" w:beforeAutospacing="1" w:after="100" w:afterAutospacing="1"/>
    </w:pPr>
    <w:rPr>
      <w:szCs w:val="24"/>
    </w:rPr>
  </w:style>
  <w:style w:type="character" w:styleId="Emphasis">
    <w:name w:val="Emphasis"/>
    <w:basedOn w:val="DefaultParagraphFont"/>
    <w:uiPriority w:val="20"/>
    <w:qFormat/>
    <w:rsid w:val="006C27F8"/>
    <w:rPr>
      <w:i/>
      <w:iCs/>
    </w:rPr>
  </w:style>
  <w:style w:type="paragraph" w:styleId="Revision">
    <w:name w:val="Revision"/>
    <w:hidden/>
    <w:uiPriority w:val="99"/>
    <w:semiHidden/>
    <w:rsid w:val="0030499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65194">
      <w:bodyDiv w:val="1"/>
      <w:marLeft w:val="0"/>
      <w:marRight w:val="0"/>
      <w:marTop w:val="0"/>
      <w:marBottom w:val="0"/>
      <w:divBdr>
        <w:top w:val="none" w:sz="0" w:space="0" w:color="auto"/>
        <w:left w:val="none" w:sz="0" w:space="0" w:color="auto"/>
        <w:bottom w:val="none" w:sz="0" w:space="0" w:color="auto"/>
        <w:right w:val="none" w:sz="0" w:space="0" w:color="auto"/>
      </w:divBdr>
    </w:div>
    <w:div w:id="366806547">
      <w:bodyDiv w:val="1"/>
      <w:marLeft w:val="0"/>
      <w:marRight w:val="0"/>
      <w:marTop w:val="0"/>
      <w:marBottom w:val="0"/>
      <w:divBdr>
        <w:top w:val="none" w:sz="0" w:space="0" w:color="auto"/>
        <w:left w:val="none" w:sz="0" w:space="0" w:color="auto"/>
        <w:bottom w:val="none" w:sz="0" w:space="0" w:color="auto"/>
        <w:right w:val="none" w:sz="0" w:space="0" w:color="auto"/>
      </w:divBdr>
    </w:div>
    <w:div w:id="984242822">
      <w:bodyDiv w:val="1"/>
      <w:marLeft w:val="0"/>
      <w:marRight w:val="0"/>
      <w:marTop w:val="0"/>
      <w:marBottom w:val="0"/>
      <w:divBdr>
        <w:top w:val="none" w:sz="0" w:space="0" w:color="auto"/>
        <w:left w:val="none" w:sz="0" w:space="0" w:color="auto"/>
        <w:bottom w:val="none" w:sz="0" w:space="0" w:color="auto"/>
        <w:right w:val="none" w:sz="0" w:space="0" w:color="auto"/>
      </w:divBdr>
    </w:div>
    <w:div w:id="1051224636">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114254097">
      <w:bodyDiv w:val="1"/>
      <w:marLeft w:val="0"/>
      <w:marRight w:val="0"/>
      <w:marTop w:val="0"/>
      <w:marBottom w:val="0"/>
      <w:divBdr>
        <w:top w:val="none" w:sz="0" w:space="0" w:color="auto"/>
        <w:left w:val="none" w:sz="0" w:space="0" w:color="auto"/>
        <w:bottom w:val="none" w:sz="0" w:space="0" w:color="auto"/>
        <w:right w:val="none" w:sz="0" w:space="0" w:color="auto"/>
      </w:divBdr>
    </w:div>
    <w:div w:id="1492023205">
      <w:bodyDiv w:val="1"/>
      <w:marLeft w:val="0"/>
      <w:marRight w:val="0"/>
      <w:marTop w:val="0"/>
      <w:marBottom w:val="0"/>
      <w:divBdr>
        <w:top w:val="none" w:sz="0" w:space="0" w:color="auto"/>
        <w:left w:val="none" w:sz="0" w:space="0" w:color="auto"/>
        <w:bottom w:val="none" w:sz="0" w:space="0" w:color="auto"/>
        <w:right w:val="none" w:sz="0" w:space="0" w:color="auto"/>
      </w:divBdr>
    </w:div>
    <w:div w:id="1568223711">
      <w:bodyDiv w:val="1"/>
      <w:marLeft w:val="0"/>
      <w:marRight w:val="0"/>
      <w:marTop w:val="0"/>
      <w:marBottom w:val="0"/>
      <w:divBdr>
        <w:top w:val="none" w:sz="0" w:space="0" w:color="auto"/>
        <w:left w:val="none" w:sz="0" w:space="0" w:color="auto"/>
        <w:bottom w:val="none" w:sz="0" w:space="0" w:color="auto"/>
        <w:right w:val="none" w:sz="0" w:space="0" w:color="auto"/>
      </w:divBdr>
    </w:div>
    <w:div w:id="1895459346">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54540-4688-4A8B-A2F6-C5AAB7255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1228</Words>
  <Characters>7002</Characters>
  <Application>Microsoft Office Word</Application>
  <DocSecurity>0</DocSecurity>
  <Lines>58</Lines>
  <Paragraphs>16</Paragraphs>
  <ScaleCrop>false</ScaleCrop>
  <Company/>
  <LinksUpToDate>false</LinksUpToDate>
  <CharactersWithSpaces>8214</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2023-06-23T00:12:00Z</dcterms:created>
  <dcterms:modified xsi:type="dcterms:W3CDTF">2023-06-23T00:12:00Z</dcterms:modified>
</cp:coreProperties>
</file>