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5142" w14:textId="383CBFC4" w:rsidR="00B569E4" w:rsidRPr="00924169" w:rsidRDefault="00B569E4" w:rsidP="00082C1D">
      <w:pPr>
        <w:pStyle w:val="Header"/>
        <w:pBdr>
          <w:top w:val="single" w:sz="4" w:space="1" w:color="auto"/>
          <w:bottom w:val="single" w:sz="4" w:space="1" w:color="auto"/>
        </w:pBdr>
        <w:tabs>
          <w:tab w:val="left" w:pos="720"/>
        </w:tabs>
        <w:spacing w:after="240"/>
        <w:jc w:val="center"/>
        <w:rPr>
          <w:sz w:val="34"/>
          <w:szCs w:val="34"/>
        </w:rPr>
      </w:pPr>
      <w:r w:rsidRPr="00924169">
        <w:rPr>
          <w:sz w:val="34"/>
          <w:szCs w:val="34"/>
        </w:rPr>
        <w:t>Explanatory Statement</w:t>
      </w:r>
    </w:p>
    <w:p w14:paraId="42D608A6" w14:textId="1C0709AA" w:rsidR="00B569E4" w:rsidRPr="00924169" w:rsidRDefault="00B569E4" w:rsidP="00082C1D">
      <w:pPr>
        <w:pStyle w:val="Header"/>
        <w:pBdr>
          <w:top w:val="single" w:sz="4" w:space="1" w:color="auto"/>
          <w:bottom w:val="single" w:sz="4" w:space="1" w:color="auto"/>
        </w:pBdr>
        <w:tabs>
          <w:tab w:val="left" w:pos="720"/>
        </w:tabs>
        <w:jc w:val="center"/>
        <w:rPr>
          <w:sz w:val="34"/>
          <w:szCs w:val="34"/>
        </w:rPr>
      </w:pPr>
      <w:r w:rsidRPr="00924169">
        <w:rPr>
          <w:sz w:val="34"/>
          <w:szCs w:val="34"/>
        </w:rPr>
        <w:t xml:space="preserve">Taxation Administration </w:t>
      </w:r>
      <w:r w:rsidR="00F94885" w:rsidRPr="00924169">
        <w:rPr>
          <w:sz w:val="34"/>
          <w:szCs w:val="34"/>
        </w:rPr>
        <w:t>(Single Touch Payroll</w:t>
      </w:r>
      <w:r w:rsidR="005E6C7D" w:rsidRPr="00924169">
        <w:t xml:space="preserve"> </w:t>
      </w:r>
      <w:r w:rsidR="008F16E0" w:rsidRPr="00924169">
        <w:br/>
      </w:r>
      <w:r w:rsidR="005E6C7D" w:rsidRPr="00924169">
        <w:rPr>
          <w:sz w:val="34"/>
          <w:szCs w:val="34"/>
        </w:rPr>
        <w:t>Reporting Exemption for</w:t>
      </w:r>
      <w:r w:rsidR="00F94885" w:rsidRPr="00924169">
        <w:rPr>
          <w:sz w:val="34"/>
          <w:szCs w:val="34"/>
        </w:rPr>
        <w:t xml:space="preserve"> Withholding Payer Number</w:t>
      </w:r>
      <w:r w:rsidR="005E6C7D" w:rsidRPr="00924169">
        <w:rPr>
          <w:sz w:val="34"/>
          <w:szCs w:val="34"/>
        </w:rPr>
        <w:t xml:space="preserve"> Holders</w:t>
      </w:r>
      <w:r w:rsidR="00F94885" w:rsidRPr="00924169">
        <w:rPr>
          <w:sz w:val="34"/>
          <w:szCs w:val="34"/>
        </w:rPr>
        <w:t xml:space="preserve">) </w:t>
      </w:r>
      <w:r w:rsidR="005E6C7D" w:rsidRPr="00924169">
        <w:rPr>
          <w:sz w:val="34"/>
          <w:szCs w:val="34"/>
        </w:rPr>
        <w:t xml:space="preserve">Instrument </w:t>
      </w:r>
      <w:r w:rsidR="00F94885" w:rsidRPr="00924169">
        <w:rPr>
          <w:sz w:val="34"/>
          <w:szCs w:val="34"/>
        </w:rPr>
        <w:t>2023</w:t>
      </w:r>
    </w:p>
    <w:p w14:paraId="15AC1B53" w14:textId="77777777" w:rsidR="001F2A16" w:rsidRPr="00924169" w:rsidRDefault="001F2A16" w:rsidP="009214A4">
      <w:pPr>
        <w:pStyle w:val="Header"/>
        <w:tabs>
          <w:tab w:val="clear" w:pos="4153"/>
          <w:tab w:val="clear" w:pos="8306"/>
        </w:tabs>
        <w:jc w:val="center"/>
        <w:rPr>
          <w:szCs w:val="24"/>
        </w:rPr>
      </w:pPr>
    </w:p>
    <w:p w14:paraId="15AC1B54" w14:textId="69CE603F" w:rsidR="00486653" w:rsidRPr="00924169" w:rsidRDefault="00486653" w:rsidP="00A14587">
      <w:pPr>
        <w:pStyle w:val="Heading2"/>
      </w:pPr>
      <w:r w:rsidRPr="00924169">
        <w:t xml:space="preserve">General </w:t>
      </w:r>
      <w:r w:rsidR="00E72446" w:rsidRPr="00924169">
        <w:t>o</w:t>
      </w:r>
      <w:r w:rsidRPr="00924169">
        <w:t xml:space="preserve">utline of </w:t>
      </w:r>
      <w:r w:rsidR="00E72446" w:rsidRPr="00924169">
        <w:t>i</w:t>
      </w:r>
      <w:r w:rsidRPr="00924169">
        <w:t>nstrument</w:t>
      </w:r>
    </w:p>
    <w:p w14:paraId="15AC1B56" w14:textId="3073C574" w:rsidR="00486653" w:rsidRPr="00924169" w:rsidRDefault="00486653" w:rsidP="00A14587">
      <w:pPr>
        <w:numPr>
          <w:ilvl w:val="0"/>
          <w:numId w:val="1"/>
        </w:numPr>
        <w:tabs>
          <w:tab w:val="clear" w:pos="360"/>
        </w:tabs>
        <w:rPr>
          <w:szCs w:val="22"/>
        </w:rPr>
      </w:pPr>
      <w:r w:rsidRPr="00924169">
        <w:rPr>
          <w:szCs w:val="22"/>
        </w:rPr>
        <w:t>This instrument is made under</w:t>
      </w:r>
      <w:r w:rsidR="00271762" w:rsidRPr="00924169">
        <w:rPr>
          <w:szCs w:val="22"/>
        </w:rPr>
        <w:t xml:space="preserve"> subsection</w:t>
      </w:r>
      <w:r w:rsidR="00E72446" w:rsidRPr="00924169">
        <w:rPr>
          <w:szCs w:val="22"/>
        </w:rPr>
        <w:t xml:space="preserve"> </w:t>
      </w:r>
      <w:r w:rsidR="00271762" w:rsidRPr="00924169">
        <w:rPr>
          <w:szCs w:val="22"/>
        </w:rPr>
        <w:t>389</w:t>
      </w:r>
      <w:r w:rsidR="00E72446" w:rsidRPr="00924169">
        <w:rPr>
          <w:szCs w:val="22"/>
        </w:rPr>
        <w:noBreakHyphen/>
      </w:r>
      <w:r w:rsidR="00271762" w:rsidRPr="00924169">
        <w:rPr>
          <w:szCs w:val="22"/>
        </w:rPr>
        <w:t xml:space="preserve">10(1) </w:t>
      </w:r>
      <w:r w:rsidR="000D43E3" w:rsidRPr="00924169">
        <w:rPr>
          <w:szCs w:val="22"/>
        </w:rPr>
        <w:t>in</w:t>
      </w:r>
      <w:r w:rsidR="00271762" w:rsidRPr="00924169">
        <w:rPr>
          <w:szCs w:val="22"/>
        </w:rPr>
        <w:t xml:space="preserve"> Schedule 1 to the </w:t>
      </w:r>
      <w:r w:rsidR="00271762" w:rsidRPr="00924169">
        <w:rPr>
          <w:i/>
          <w:iCs/>
          <w:szCs w:val="22"/>
        </w:rPr>
        <w:t>Taxation Administration Act</w:t>
      </w:r>
      <w:r w:rsidR="00E72446" w:rsidRPr="00924169">
        <w:rPr>
          <w:i/>
          <w:iCs/>
          <w:szCs w:val="22"/>
        </w:rPr>
        <w:t> 1953</w:t>
      </w:r>
      <w:r w:rsidR="00271762" w:rsidRPr="00924169">
        <w:rPr>
          <w:i/>
          <w:iCs/>
          <w:szCs w:val="22"/>
        </w:rPr>
        <w:t xml:space="preserve"> </w:t>
      </w:r>
      <w:r w:rsidR="00271762" w:rsidRPr="00924169">
        <w:rPr>
          <w:iCs/>
          <w:szCs w:val="22"/>
        </w:rPr>
        <w:t>(TAA)</w:t>
      </w:r>
      <w:r w:rsidR="00271762" w:rsidRPr="00924169">
        <w:rPr>
          <w:szCs w:val="22"/>
        </w:rPr>
        <w:t>.</w:t>
      </w:r>
    </w:p>
    <w:p w14:paraId="75AB6486" w14:textId="01009C09" w:rsidR="009371D0" w:rsidRPr="00924169" w:rsidRDefault="00271762" w:rsidP="00A14587">
      <w:pPr>
        <w:numPr>
          <w:ilvl w:val="0"/>
          <w:numId w:val="1"/>
        </w:numPr>
        <w:tabs>
          <w:tab w:val="clear" w:pos="360"/>
        </w:tabs>
        <w:rPr>
          <w:szCs w:val="22"/>
        </w:rPr>
      </w:pPr>
      <w:r w:rsidRPr="00924169">
        <w:rPr>
          <w:szCs w:val="22"/>
        </w:rPr>
        <w:t xml:space="preserve">This instrument exempts entities that do not have an Australian </w:t>
      </w:r>
      <w:r w:rsidR="00C606A3" w:rsidRPr="00924169">
        <w:rPr>
          <w:szCs w:val="22"/>
        </w:rPr>
        <w:t>b</w:t>
      </w:r>
      <w:r w:rsidRPr="00924169">
        <w:rPr>
          <w:szCs w:val="22"/>
        </w:rPr>
        <w:t xml:space="preserve">usiness </w:t>
      </w:r>
      <w:r w:rsidR="00C606A3" w:rsidRPr="00924169">
        <w:rPr>
          <w:szCs w:val="22"/>
        </w:rPr>
        <w:t>n</w:t>
      </w:r>
      <w:r w:rsidRPr="00924169">
        <w:rPr>
          <w:szCs w:val="22"/>
        </w:rPr>
        <w:t xml:space="preserve">umber (ABN) but instead have a </w:t>
      </w:r>
      <w:r w:rsidR="00E41774" w:rsidRPr="00924169">
        <w:rPr>
          <w:szCs w:val="22"/>
        </w:rPr>
        <w:t>W</w:t>
      </w:r>
      <w:r w:rsidRPr="00924169">
        <w:rPr>
          <w:szCs w:val="22"/>
        </w:rPr>
        <w:t xml:space="preserve">ithholding </w:t>
      </w:r>
      <w:r w:rsidR="00C606A3" w:rsidRPr="00924169">
        <w:rPr>
          <w:szCs w:val="22"/>
        </w:rPr>
        <w:t>p</w:t>
      </w:r>
      <w:r w:rsidRPr="00924169">
        <w:rPr>
          <w:szCs w:val="22"/>
        </w:rPr>
        <w:t xml:space="preserve">ayer </w:t>
      </w:r>
      <w:r w:rsidR="00C606A3" w:rsidRPr="00924169">
        <w:rPr>
          <w:szCs w:val="22"/>
        </w:rPr>
        <w:t>n</w:t>
      </w:r>
      <w:r w:rsidRPr="00924169">
        <w:rPr>
          <w:szCs w:val="22"/>
        </w:rPr>
        <w:t>umber (WPN) from Single Touch Payroll (STP)</w:t>
      </w:r>
      <w:r w:rsidR="008A23C7" w:rsidRPr="00924169">
        <w:rPr>
          <w:szCs w:val="22"/>
        </w:rPr>
        <w:t xml:space="preserve"> reporting</w:t>
      </w:r>
      <w:r w:rsidRPr="00924169">
        <w:rPr>
          <w:szCs w:val="22"/>
        </w:rPr>
        <w:t>.</w:t>
      </w:r>
    </w:p>
    <w:p w14:paraId="15AC1B5F" w14:textId="742A4A84" w:rsidR="00486653" w:rsidRPr="00924169" w:rsidRDefault="00486653" w:rsidP="00A14587">
      <w:pPr>
        <w:numPr>
          <w:ilvl w:val="0"/>
          <w:numId w:val="1"/>
        </w:numPr>
        <w:tabs>
          <w:tab w:val="clear" w:pos="360"/>
        </w:tabs>
        <w:rPr>
          <w:szCs w:val="22"/>
        </w:rPr>
      </w:pPr>
      <w:r w:rsidRPr="00924169">
        <w:rPr>
          <w:szCs w:val="22"/>
        </w:rPr>
        <w:t xml:space="preserve">The instrument is a legislative instrument for the purposes of the </w:t>
      </w:r>
      <w:r w:rsidR="00C4143E" w:rsidRPr="00924169">
        <w:rPr>
          <w:i/>
          <w:szCs w:val="22"/>
        </w:rPr>
        <w:t xml:space="preserve">Legislation </w:t>
      </w:r>
      <w:r w:rsidRPr="00924169">
        <w:rPr>
          <w:i/>
          <w:szCs w:val="22"/>
        </w:rPr>
        <w:t>Act</w:t>
      </w:r>
      <w:r w:rsidR="00E72446" w:rsidRPr="00924169">
        <w:rPr>
          <w:i/>
          <w:szCs w:val="22"/>
        </w:rPr>
        <w:t> 2003</w:t>
      </w:r>
      <w:r w:rsidRPr="00924169">
        <w:rPr>
          <w:szCs w:val="22"/>
        </w:rPr>
        <w:t>.</w:t>
      </w:r>
    </w:p>
    <w:p w14:paraId="15AC1B62" w14:textId="0D9592FB" w:rsidR="006302F7" w:rsidRPr="00924169" w:rsidRDefault="00B31550" w:rsidP="00A14587">
      <w:pPr>
        <w:numPr>
          <w:ilvl w:val="0"/>
          <w:numId w:val="1"/>
        </w:numPr>
        <w:tabs>
          <w:tab w:val="clear" w:pos="360"/>
        </w:tabs>
        <w:rPr>
          <w:szCs w:val="22"/>
        </w:rPr>
      </w:pPr>
      <w:r w:rsidRPr="00924169">
        <w:rPr>
          <w:szCs w:val="22"/>
        </w:rPr>
        <w:t xml:space="preserve">Under subsection 33(3) of the </w:t>
      </w:r>
      <w:r w:rsidRPr="00924169">
        <w:rPr>
          <w:i/>
          <w:szCs w:val="22"/>
        </w:rPr>
        <w:t>Acts Interpretation Act</w:t>
      </w:r>
      <w:r w:rsidR="00E72446" w:rsidRPr="00924169">
        <w:rPr>
          <w:i/>
          <w:szCs w:val="22"/>
        </w:rPr>
        <w:t> 1901</w:t>
      </w:r>
      <w:r w:rsidRPr="00924169">
        <w:rPr>
          <w:szCs w:val="22"/>
        </w:rPr>
        <w:t>, where an Act confers a power to make, grant or issue any instrument of a legislative or administrative character (including rules, regulations or by</w:t>
      </w:r>
      <w:r w:rsidR="00E72446" w:rsidRPr="00924169">
        <w:rPr>
          <w:szCs w:val="22"/>
        </w:rPr>
        <w:noBreakHyphen/>
      </w:r>
      <w:r w:rsidRPr="00924169">
        <w:rPr>
          <w:szCs w:val="22"/>
        </w:rPr>
        <w:t>laws) the power shall be construed as including a power exercisable in the like manner and subject to the like conditions (if any) to repeal, rescind, revoke, amend, or vary any such instrument.</w:t>
      </w:r>
    </w:p>
    <w:p w14:paraId="3E345351" w14:textId="77777777" w:rsidR="00B569E4" w:rsidRPr="00924169" w:rsidRDefault="00B569E4" w:rsidP="00A14587">
      <w:pPr>
        <w:rPr>
          <w:szCs w:val="22"/>
        </w:rPr>
      </w:pPr>
    </w:p>
    <w:p w14:paraId="15AC1B63" w14:textId="77777777" w:rsidR="001D02E6" w:rsidRPr="00924169" w:rsidRDefault="001D02E6" w:rsidP="00A14587">
      <w:pPr>
        <w:pStyle w:val="Heading2"/>
      </w:pPr>
      <w:r w:rsidRPr="00924169">
        <w:t>Date of effect</w:t>
      </w:r>
    </w:p>
    <w:p w14:paraId="15AC1B65" w14:textId="4F61552C" w:rsidR="00222AFB" w:rsidRPr="00924169" w:rsidRDefault="00222AFB" w:rsidP="00A14587">
      <w:pPr>
        <w:numPr>
          <w:ilvl w:val="0"/>
          <w:numId w:val="1"/>
        </w:numPr>
        <w:tabs>
          <w:tab w:val="clear" w:pos="360"/>
        </w:tabs>
        <w:rPr>
          <w:szCs w:val="22"/>
        </w:rPr>
      </w:pPr>
      <w:r w:rsidRPr="00924169">
        <w:rPr>
          <w:szCs w:val="22"/>
        </w:rPr>
        <w:t>This instrument commences on</w:t>
      </w:r>
      <w:r w:rsidR="00271762" w:rsidRPr="00924169">
        <w:rPr>
          <w:szCs w:val="22"/>
        </w:rPr>
        <w:t xml:space="preserve"> </w:t>
      </w:r>
      <w:r w:rsidR="00E72446" w:rsidRPr="00924169">
        <w:rPr>
          <w:szCs w:val="22"/>
        </w:rPr>
        <w:t>1 Jul</w:t>
      </w:r>
      <w:r w:rsidR="00271762" w:rsidRPr="00924169">
        <w:rPr>
          <w:szCs w:val="22"/>
        </w:rPr>
        <w:t>y</w:t>
      </w:r>
      <w:r w:rsidR="00E72446" w:rsidRPr="00924169">
        <w:rPr>
          <w:szCs w:val="22"/>
        </w:rPr>
        <w:t> 202</w:t>
      </w:r>
      <w:r w:rsidR="00F94885" w:rsidRPr="00924169">
        <w:rPr>
          <w:szCs w:val="22"/>
        </w:rPr>
        <w:t>3</w:t>
      </w:r>
      <w:r w:rsidRPr="00924169">
        <w:rPr>
          <w:szCs w:val="22"/>
        </w:rPr>
        <w:t>.</w:t>
      </w:r>
    </w:p>
    <w:p w14:paraId="6FA74194" w14:textId="77777777" w:rsidR="00E3038D" w:rsidRPr="00924169" w:rsidRDefault="00E3038D" w:rsidP="00A14587">
      <w:pPr>
        <w:rPr>
          <w:szCs w:val="22"/>
        </w:rPr>
      </w:pPr>
    </w:p>
    <w:p w14:paraId="15AC1B6C" w14:textId="7ECFEC98" w:rsidR="00486653" w:rsidRPr="00924169" w:rsidRDefault="008A23C7" w:rsidP="00A14587">
      <w:pPr>
        <w:pStyle w:val="Heading2"/>
      </w:pPr>
      <w:r w:rsidRPr="00924169">
        <w:t>E</w:t>
      </w:r>
      <w:r w:rsidR="00486653" w:rsidRPr="00924169">
        <w:t>ffect of this instrument</w:t>
      </w:r>
    </w:p>
    <w:p w14:paraId="7B99258F" w14:textId="7BFEC3F7" w:rsidR="007D596B" w:rsidRPr="00924169" w:rsidRDefault="007D596B" w:rsidP="00A14587">
      <w:pPr>
        <w:keepNext/>
        <w:numPr>
          <w:ilvl w:val="0"/>
          <w:numId w:val="1"/>
        </w:numPr>
        <w:tabs>
          <w:tab w:val="clear" w:pos="360"/>
        </w:tabs>
        <w:rPr>
          <w:szCs w:val="22"/>
        </w:rPr>
      </w:pPr>
      <w:r w:rsidRPr="00924169">
        <w:rPr>
          <w:szCs w:val="22"/>
        </w:rPr>
        <w:t>This instrument provides an exemption</w:t>
      </w:r>
      <w:r w:rsidR="00F94885" w:rsidRPr="00924169">
        <w:rPr>
          <w:szCs w:val="22"/>
        </w:rPr>
        <w:t xml:space="preserve"> from STP reporting</w:t>
      </w:r>
      <w:r w:rsidRPr="00924169">
        <w:rPr>
          <w:szCs w:val="22"/>
        </w:rPr>
        <w:t xml:space="preserve"> to any entity that:</w:t>
      </w:r>
    </w:p>
    <w:p w14:paraId="2CB8BD6A" w14:textId="364943A1" w:rsidR="00E72446" w:rsidRPr="00924169" w:rsidRDefault="00F94885" w:rsidP="00A14587">
      <w:pPr>
        <w:numPr>
          <w:ilvl w:val="1"/>
          <w:numId w:val="2"/>
        </w:numPr>
        <w:ind w:left="1418" w:hanging="709"/>
        <w:rPr>
          <w:szCs w:val="22"/>
        </w:rPr>
      </w:pPr>
      <w:r w:rsidRPr="00924169">
        <w:rPr>
          <w:szCs w:val="22"/>
        </w:rPr>
        <w:t xml:space="preserve">would </w:t>
      </w:r>
      <w:r w:rsidR="009214EF" w:rsidRPr="00924169">
        <w:rPr>
          <w:szCs w:val="22"/>
        </w:rPr>
        <w:t xml:space="preserve">otherwise </w:t>
      </w:r>
      <w:r w:rsidRPr="00924169">
        <w:rPr>
          <w:szCs w:val="22"/>
        </w:rPr>
        <w:t>be required to notify the Commissioner of</w:t>
      </w:r>
      <w:r w:rsidR="00E72446" w:rsidRPr="00924169">
        <w:rPr>
          <w:szCs w:val="22"/>
        </w:rPr>
        <w:t xml:space="preserve"> an amount referred to in </w:t>
      </w:r>
      <w:r w:rsidR="008A23C7" w:rsidRPr="00924169">
        <w:rPr>
          <w:szCs w:val="22"/>
        </w:rPr>
        <w:t>c</w:t>
      </w:r>
      <w:r w:rsidR="00E72446" w:rsidRPr="00924169">
        <w:rPr>
          <w:szCs w:val="22"/>
        </w:rPr>
        <w:t>olumn 1 of the table in subsection 389</w:t>
      </w:r>
      <w:r w:rsidR="00E72446" w:rsidRPr="00924169">
        <w:rPr>
          <w:szCs w:val="22"/>
        </w:rPr>
        <w:noBreakHyphen/>
        <w:t xml:space="preserve">5(1) </w:t>
      </w:r>
      <w:r w:rsidR="000D43E3" w:rsidRPr="00924169">
        <w:rPr>
          <w:szCs w:val="22"/>
        </w:rPr>
        <w:t>in</w:t>
      </w:r>
      <w:r w:rsidR="00E72446" w:rsidRPr="00924169">
        <w:rPr>
          <w:szCs w:val="22"/>
        </w:rPr>
        <w:t xml:space="preserve"> Schedule 1 </w:t>
      </w:r>
      <w:r w:rsidR="000D43E3" w:rsidRPr="00924169">
        <w:rPr>
          <w:szCs w:val="22"/>
        </w:rPr>
        <w:t>to</w:t>
      </w:r>
      <w:r w:rsidR="00E72446" w:rsidRPr="00924169">
        <w:rPr>
          <w:szCs w:val="22"/>
        </w:rPr>
        <w:t xml:space="preserve"> the TAA</w:t>
      </w:r>
    </w:p>
    <w:p w14:paraId="46476845" w14:textId="77777777" w:rsidR="00E72446" w:rsidRPr="00924169" w:rsidRDefault="00E72446" w:rsidP="00A14587">
      <w:pPr>
        <w:numPr>
          <w:ilvl w:val="1"/>
          <w:numId w:val="2"/>
        </w:numPr>
        <w:ind w:left="1418" w:hanging="709"/>
        <w:rPr>
          <w:szCs w:val="22"/>
        </w:rPr>
      </w:pPr>
      <w:r w:rsidRPr="00924169">
        <w:rPr>
          <w:szCs w:val="22"/>
        </w:rPr>
        <w:t>does not have an ABN, and</w:t>
      </w:r>
    </w:p>
    <w:p w14:paraId="3DC59318" w14:textId="073A5C28" w:rsidR="00A26DC4" w:rsidRPr="00924169" w:rsidRDefault="00E72446" w:rsidP="00A14587">
      <w:pPr>
        <w:numPr>
          <w:ilvl w:val="1"/>
          <w:numId w:val="2"/>
        </w:numPr>
        <w:ind w:left="1418" w:hanging="709"/>
        <w:rPr>
          <w:szCs w:val="22"/>
        </w:rPr>
      </w:pPr>
      <w:r w:rsidRPr="00924169">
        <w:rPr>
          <w:szCs w:val="22"/>
        </w:rPr>
        <w:t xml:space="preserve">has been assigned a WPN </w:t>
      </w:r>
      <w:r w:rsidR="008A23C7" w:rsidRPr="00924169">
        <w:rPr>
          <w:szCs w:val="22"/>
        </w:rPr>
        <w:t xml:space="preserve">by the Australian Taxation Office (ATO) </w:t>
      </w:r>
      <w:r w:rsidRPr="00924169">
        <w:rPr>
          <w:szCs w:val="22"/>
        </w:rPr>
        <w:t xml:space="preserve">for the purposes of </w:t>
      </w:r>
      <w:r w:rsidR="00C606A3" w:rsidRPr="00924169">
        <w:rPr>
          <w:szCs w:val="22"/>
        </w:rPr>
        <w:t>p</w:t>
      </w:r>
      <w:r w:rsidRPr="00924169">
        <w:rPr>
          <w:szCs w:val="22"/>
        </w:rPr>
        <w:t xml:space="preserve">ay </w:t>
      </w:r>
      <w:r w:rsidR="008A23C7" w:rsidRPr="00924169">
        <w:rPr>
          <w:szCs w:val="22"/>
        </w:rPr>
        <w:t>a</w:t>
      </w:r>
      <w:r w:rsidRPr="00924169">
        <w:rPr>
          <w:szCs w:val="22"/>
        </w:rPr>
        <w:t xml:space="preserve">s </w:t>
      </w:r>
      <w:r w:rsidR="008A23C7" w:rsidRPr="00924169">
        <w:rPr>
          <w:szCs w:val="22"/>
        </w:rPr>
        <w:t>y</w:t>
      </w:r>
      <w:r w:rsidRPr="00924169">
        <w:rPr>
          <w:szCs w:val="22"/>
        </w:rPr>
        <w:t xml:space="preserve">ou </w:t>
      </w:r>
      <w:r w:rsidR="008A23C7" w:rsidRPr="00924169">
        <w:rPr>
          <w:szCs w:val="22"/>
        </w:rPr>
        <w:t>g</w:t>
      </w:r>
      <w:r w:rsidRPr="00924169">
        <w:rPr>
          <w:szCs w:val="22"/>
        </w:rPr>
        <w:t xml:space="preserve">o </w:t>
      </w:r>
      <w:r w:rsidR="00E41774" w:rsidRPr="00924169">
        <w:rPr>
          <w:szCs w:val="22"/>
        </w:rPr>
        <w:t xml:space="preserve">(PAYG) </w:t>
      </w:r>
      <w:r w:rsidRPr="00924169">
        <w:rPr>
          <w:szCs w:val="22"/>
        </w:rPr>
        <w:t>withholding.</w:t>
      </w:r>
    </w:p>
    <w:p w14:paraId="57EE6F85" w14:textId="32FA9CDF" w:rsidR="007D596B" w:rsidRPr="00924169" w:rsidRDefault="007D596B" w:rsidP="00A14587">
      <w:pPr>
        <w:numPr>
          <w:ilvl w:val="0"/>
          <w:numId w:val="1"/>
        </w:numPr>
        <w:tabs>
          <w:tab w:val="clear" w:pos="360"/>
        </w:tabs>
        <w:rPr>
          <w:szCs w:val="22"/>
        </w:rPr>
      </w:pPr>
      <w:r w:rsidRPr="00924169">
        <w:rPr>
          <w:szCs w:val="22"/>
        </w:rPr>
        <w:t>Entities within this class will be exempt from the requirement to report under section</w:t>
      </w:r>
      <w:r w:rsidR="00E72446" w:rsidRPr="00924169">
        <w:rPr>
          <w:szCs w:val="22"/>
        </w:rPr>
        <w:t xml:space="preserve"> </w:t>
      </w:r>
      <w:r w:rsidRPr="00924169">
        <w:rPr>
          <w:szCs w:val="22"/>
        </w:rPr>
        <w:t>389</w:t>
      </w:r>
      <w:r w:rsidR="00E72446" w:rsidRPr="00924169">
        <w:rPr>
          <w:szCs w:val="22"/>
        </w:rPr>
        <w:noBreakHyphen/>
      </w:r>
      <w:r w:rsidRPr="00924169">
        <w:rPr>
          <w:szCs w:val="22"/>
        </w:rPr>
        <w:t xml:space="preserve">5 </w:t>
      </w:r>
      <w:r w:rsidR="00C838F3" w:rsidRPr="00924169">
        <w:rPr>
          <w:szCs w:val="22"/>
        </w:rPr>
        <w:t>in</w:t>
      </w:r>
      <w:r w:rsidRPr="00924169">
        <w:rPr>
          <w:szCs w:val="22"/>
        </w:rPr>
        <w:t xml:space="preserve"> Schedule 1 </w:t>
      </w:r>
      <w:r w:rsidR="00924169" w:rsidRPr="00924169">
        <w:rPr>
          <w:szCs w:val="22"/>
        </w:rPr>
        <w:t>to</w:t>
      </w:r>
      <w:r w:rsidRPr="00924169">
        <w:rPr>
          <w:szCs w:val="22"/>
        </w:rPr>
        <w:t xml:space="preserve"> the TAA.</w:t>
      </w:r>
    </w:p>
    <w:p w14:paraId="0F72D884" w14:textId="0577433F" w:rsidR="00F94885" w:rsidRPr="00924169" w:rsidRDefault="00F94885" w:rsidP="00A14587">
      <w:pPr>
        <w:numPr>
          <w:ilvl w:val="0"/>
          <w:numId w:val="1"/>
        </w:numPr>
        <w:tabs>
          <w:tab w:val="clear" w:pos="360"/>
        </w:tabs>
        <w:ind w:right="-143"/>
        <w:rPr>
          <w:szCs w:val="22"/>
        </w:rPr>
      </w:pPr>
      <w:r w:rsidRPr="00924169">
        <w:rPr>
          <w:szCs w:val="22"/>
        </w:rPr>
        <w:t xml:space="preserve">The effect of this instrument is to renew the existing exemption provided for by the </w:t>
      </w:r>
      <w:r w:rsidRPr="00924169">
        <w:rPr>
          <w:i/>
          <w:iCs/>
          <w:szCs w:val="22"/>
        </w:rPr>
        <w:t xml:space="preserve">Taxation Administration – Single Touch Payroll – </w:t>
      </w:r>
      <w:proofErr w:type="gramStart"/>
      <w:r w:rsidRPr="00924169">
        <w:rPr>
          <w:i/>
          <w:iCs/>
          <w:szCs w:val="22"/>
        </w:rPr>
        <w:t>2021-22 and 2022-23 years</w:t>
      </w:r>
      <w:proofErr w:type="gramEnd"/>
      <w:r w:rsidRPr="00924169">
        <w:rPr>
          <w:i/>
          <w:iCs/>
          <w:szCs w:val="22"/>
        </w:rPr>
        <w:t xml:space="preserve"> Withholding Payer Number Exemption 2021 </w:t>
      </w:r>
      <w:r w:rsidRPr="00924169">
        <w:rPr>
          <w:szCs w:val="22"/>
        </w:rPr>
        <w:t>(F2022L00016).</w:t>
      </w:r>
      <w:r w:rsidR="009214EF" w:rsidRPr="00924169">
        <w:rPr>
          <w:szCs w:val="22"/>
        </w:rPr>
        <w:t xml:space="preserve"> That existing exemption is due to end on 30 June 2023.</w:t>
      </w:r>
      <w:r w:rsidR="00CE3F9C">
        <w:rPr>
          <w:szCs w:val="22"/>
        </w:rPr>
        <w:t xml:space="preserve"> </w:t>
      </w:r>
      <w:r w:rsidR="00230FB4">
        <w:rPr>
          <w:szCs w:val="22"/>
        </w:rPr>
        <w:t>Under this instrument, this</w:t>
      </w:r>
      <w:r w:rsidR="00CE3F9C">
        <w:rPr>
          <w:szCs w:val="22"/>
        </w:rPr>
        <w:t xml:space="preserve"> exemption will</w:t>
      </w:r>
      <w:r w:rsidR="00230FB4">
        <w:rPr>
          <w:szCs w:val="22"/>
        </w:rPr>
        <w:t xml:space="preserve"> be extended to</w:t>
      </w:r>
      <w:r w:rsidR="00CE3F9C">
        <w:rPr>
          <w:szCs w:val="22"/>
        </w:rPr>
        <w:t xml:space="preserve"> ensure entities within the class are not required to report</w:t>
      </w:r>
      <w:r w:rsidR="00230FB4">
        <w:rPr>
          <w:szCs w:val="22"/>
        </w:rPr>
        <w:t xml:space="preserve"> until</w:t>
      </w:r>
      <w:r w:rsidR="00CE3F9C">
        <w:rPr>
          <w:szCs w:val="22"/>
        </w:rPr>
        <w:t xml:space="preserve"> </w:t>
      </w:r>
      <w:r w:rsidR="00230FB4">
        <w:rPr>
          <w:szCs w:val="22"/>
        </w:rPr>
        <w:t>after</w:t>
      </w:r>
      <w:r w:rsidR="00CE3F9C">
        <w:rPr>
          <w:szCs w:val="22"/>
        </w:rPr>
        <w:t xml:space="preserve"> 30 June 203</w:t>
      </w:r>
      <w:r w:rsidR="00230FB4">
        <w:rPr>
          <w:szCs w:val="22"/>
        </w:rPr>
        <w:t xml:space="preserve">3, at which point </w:t>
      </w:r>
      <w:r w:rsidR="00441F4C">
        <w:rPr>
          <w:szCs w:val="22"/>
        </w:rPr>
        <w:t>a further</w:t>
      </w:r>
      <w:r w:rsidR="00230FB4">
        <w:rPr>
          <w:szCs w:val="22"/>
        </w:rPr>
        <w:t xml:space="preserve"> extension of the exemption may be considered</w:t>
      </w:r>
      <w:r w:rsidR="00CE3F9C">
        <w:rPr>
          <w:szCs w:val="22"/>
        </w:rPr>
        <w:t xml:space="preserve">. </w:t>
      </w:r>
    </w:p>
    <w:p w14:paraId="346FBE9F" w14:textId="4DB549ED" w:rsidR="007D596B" w:rsidRPr="00924169" w:rsidRDefault="007D596B" w:rsidP="00A14587">
      <w:pPr>
        <w:numPr>
          <w:ilvl w:val="0"/>
          <w:numId w:val="1"/>
        </w:numPr>
        <w:tabs>
          <w:tab w:val="clear" w:pos="360"/>
        </w:tabs>
        <w:ind w:right="-143"/>
        <w:rPr>
          <w:szCs w:val="22"/>
        </w:rPr>
      </w:pPr>
      <w:r w:rsidRPr="00924169">
        <w:rPr>
          <w:szCs w:val="22"/>
        </w:rPr>
        <w:t>Any entity covered by this exemption may still choose to report under STP in accordance with Division</w:t>
      </w:r>
      <w:r w:rsidR="00E72446" w:rsidRPr="00924169">
        <w:rPr>
          <w:szCs w:val="22"/>
        </w:rPr>
        <w:t xml:space="preserve"> </w:t>
      </w:r>
      <w:r w:rsidRPr="00924169">
        <w:rPr>
          <w:szCs w:val="22"/>
        </w:rPr>
        <w:t xml:space="preserve">389 </w:t>
      </w:r>
      <w:r w:rsidR="000D43E3" w:rsidRPr="00924169">
        <w:rPr>
          <w:szCs w:val="22"/>
        </w:rPr>
        <w:t>in</w:t>
      </w:r>
      <w:r w:rsidRPr="00924169">
        <w:rPr>
          <w:szCs w:val="22"/>
        </w:rPr>
        <w:t xml:space="preserve"> Schedule 1 </w:t>
      </w:r>
      <w:r w:rsidR="000D43E3" w:rsidRPr="00924169">
        <w:rPr>
          <w:szCs w:val="22"/>
        </w:rPr>
        <w:t>of</w:t>
      </w:r>
      <w:r w:rsidRPr="00924169">
        <w:rPr>
          <w:szCs w:val="22"/>
        </w:rPr>
        <w:t xml:space="preserve"> the TAA</w:t>
      </w:r>
      <w:r w:rsidR="008A23C7" w:rsidRPr="00924169">
        <w:rPr>
          <w:szCs w:val="22"/>
        </w:rPr>
        <w:t>,</w:t>
      </w:r>
      <w:r w:rsidRPr="00924169">
        <w:rPr>
          <w:szCs w:val="22"/>
        </w:rPr>
        <w:t xml:space="preserve"> notwithstanding the exemption provided by this instrument.</w:t>
      </w:r>
    </w:p>
    <w:p w14:paraId="5038E32D" w14:textId="77777777" w:rsidR="00A14587" w:rsidRPr="00924169" w:rsidRDefault="00A14587" w:rsidP="00A14587">
      <w:pPr>
        <w:rPr>
          <w:szCs w:val="22"/>
        </w:rPr>
      </w:pPr>
    </w:p>
    <w:p w14:paraId="6573734C" w14:textId="7504B24B" w:rsidR="00A26DC4" w:rsidRPr="00924169" w:rsidRDefault="00640CC2" w:rsidP="00A14587">
      <w:pPr>
        <w:pStyle w:val="Heading2"/>
      </w:pPr>
      <w:r w:rsidRPr="00924169">
        <w:lastRenderedPageBreak/>
        <w:t>Compliance cost assessment</w:t>
      </w:r>
    </w:p>
    <w:p w14:paraId="112B73BE" w14:textId="5360EF5A" w:rsidR="00F94885" w:rsidRPr="00924169" w:rsidRDefault="00D64990" w:rsidP="00162F68">
      <w:pPr>
        <w:numPr>
          <w:ilvl w:val="0"/>
          <w:numId w:val="1"/>
        </w:numPr>
        <w:tabs>
          <w:tab w:val="clear" w:pos="360"/>
        </w:tabs>
        <w:rPr>
          <w:szCs w:val="22"/>
        </w:rPr>
      </w:pPr>
      <w:r w:rsidRPr="00924169">
        <w:rPr>
          <w:szCs w:val="22"/>
        </w:rPr>
        <w:t>Compliance cost impact: Minor – There will be no additional impacts as the instrument is minor and machinery in nature OIA23-04854</w:t>
      </w:r>
      <w:r w:rsidR="00A14587" w:rsidRPr="00924169">
        <w:rPr>
          <w:szCs w:val="22"/>
        </w:rPr>
        <w:t>.</w:t>
      </w:r>
    </w:p>
    <w:p w14:paraId="48CB2F74" w14:textId="77777777" w:rsidR="00924169" w:rsidRPr="00924169" w:rsidRDefault="00924169" w:rsidP="00924169">
      <w:pPr>
        <w:rPr>
          <w:szCs w:val="22"/>
        </w:rPr>
      </w:pPr>
    </w:p>
    <w:p w14:paraId="15AC1B73" w14:textId="31701FF9" w:rsidR="00486653" w:rsidRPr="00924169" w:rsidRDefault="00486653" w:rsidP="00A14587">
      <w:pPr>
        <w:pStyle w:val="Heading2"/>
      </w:pPr>
      <w:r w:rsidRPr="00924169">
        <w:t>Background</w:t>
      </w:r>
    </w:p>
    <w:p w14:paraId="5AC61651" w14:textId="229AA5D1" w:rsidR="00913EAA" w:rsidRPr="00924169" w:rsidRDefault="00913EAA" w:rsidP="00A14587">
      <w:pPr>
        <w:numPr>
          <w:ilvl w:val="0"/>
          <w:numId w:val="1"/>
        </w:numPr>
        <w:tabs>
          <w:tab w:val="clear" w:pos="360"/>
        </w:tabs>
        <w:rPr>
          <w:szCs w:val="22"/>
        </w:rPr>
      </w:pPr>
      <w:r w:rsidRPr="00924169">
        <w:rPr>
          <w:szCs w:val="22"/>
        </w:rPr>
        <w:t xml:space="preserve">Some </w:t>
      </w:r>
      <w:r w:rsidR="00241108" w:rsidRPr="00924169">
        <w:rPr>
          <w:szCs w:val="22"/>
        </w:rPr>
        <w:t>employers</w:t>
      </w:r>
      <w:r w:rsidRPr="00924169">
        <w:rPr>
          <w:szCs w:val="22"/>
        </w:rPr>
        <w:t xml:space="preserve"> are required to participate in the PAYG withholding system but are not entitled to hold an ABN.</w:t>
      </w:r>
      <w:r w:rsidR="00241108" w:rsidRPr="00924169">
        <w:rPr>
          <w:szCs w:val="22"/>
        </w:rPr>
        <w:t xml:space="preserve"> Typical examples of these</w:t>
      </w:r>
      <w:r w:rsidR="008A23C7" w:rsidRPr="00924169">
        <w:rPr>
          <w:szCs w:val="22"/>
        </w:rPr>
        <w:t xml:space="preserve"> types of</w:t>
      </w:r>
      <w:r w:rsidR="00241108" w:rsidRPr="00924169">
        <w:rPr>
          <w:szCs w:val="22"/>
        </w:rPr>
        <w:t xml:space="preserve"> entities are:</w:t>
      </w:r>
    </w:p>
    <w:p w14:paraId="3D876DB8" w14:textId="77777777" w:rsidR="00A14587" w:rsidRPr="00924169" w:rsidRDefault="008C49FC" w:rsidP="00A14587">
      <w:pPr>
        <w:numPr>
          <w:ilvl w:val="0"/>
          <w:numId w:val="5"/>
        </w:numPr>
        <w:ind w:left="1418" w:hanging="709"/>
        <w:rPr>
          <w:szCs w:val="22"/>
        </w:rPr>
      </w:pPr>
      <w:r w:rsidRPr="00924169">
        <w:rPr>
          <w:szCs w:val="22"/>
        </w:rPr>
        <w:t>i</w:t>
      </w:r>
      <w:r w:rsidR="00241108" w:rsidRPr="00924169">
        <w:rPr>
          <w:szCs w:val="22"/>
        </w:rPr>
        <w:t xml:space="preserve">ndividuals who engage staff in a domestic capacity, such as nannies, </w:t>
      </w:r>
      <w:proofErr w:type="gramStart"/>
      <w:r w:rsidR="00241108" w:rsidRPr="00924169">
        <w:rPr>
          <w:szCs w:val="22"/>
        </w:rPr>
        <w:t>cleaners</w:t>
      </w:r>
      <w:proofErr w:type="gramEnd"/>
      <w:r w:rsidR="00241108" w:rsidRPr="00924169">
        <w:rPr>
          <w:szCs w:val="22"/>
        </w:rPr>
        <w:t xml:space="preserve"> or gardeners</w:t>
      </w:r>
      <w:r w:rsidR="008A23C7" w:rsidRPr="00924169">
        <w:rPr>
          <w:szCs w:val="22"/>
        </w:rPr>
        <w:t>, and</w:t>
      </w:r>
    </w:p>
    <w:p w14:paraId="0AF88ACD" w14:textId="2EB6FFFE" w:rsidR="00241108" w:rsidRPr="00924169" w:rsidRDefault="008C49FC" w:rsidP="00A14587">
      <w:pPr>
        <w:numPr>
          <w:ilvl w:val="0"/>
          <w:numId w:val="5"/>
        </w:numPr>
        <w:ind w:left="1418" w:hanging="709"/>
        <w:rPr>
          <w:szCs w:val="22"/>
        </w:rPr>
      </w:pPr>
      <w:r w:rsidRPr="00924169">
        <w:rPr>
          <w:szCs w:val="22"/>
        </w:rPr>
        <w:t>i</w:t>
      </w:r>
      <w:r w:rsidR="00241108" w:rsidRPr="00924169">
        <w:rPr>
          <w:szCs w:val="22"/>
        </w:rPr>
        <w:t>ndividuals who engage support workers under a National Disability Insurance Scheme (NDIS) self-managed care plan.</w:t>
      </w:r>
    </w:p>
    <w:p w14:paraId="35B090DC" w14:textId="2D74654C" w:rsidR="00E41774" w:rsidRPr="00924169" w:rsidRDefault="00E41774" w:rsidP="00A14587">
      <w:pPr>
        <w:numPr>
          <w:ilvl w:val="0"/>
          <w:numId w:val="1"/>
        </w:numPr>
        <w:tabs>
          <w:tab w:val="clear" w:pos="360"/>
        </w:tabs>
        <w:rPr>
          <w:szCs w:val="22"/>
        </w:rPr>
      </w:pPr>
      <w:r w:rsidRPr="00924169">
        <w:rPr>
          <w:szCs w:val="22"/>
        </w:rPr>
        <w:t>As these employers are not entitled to an ABN, the ATO assign</w:t>
      </w:r>
      <w:r w:rsidR="00EA6849" w:rsidRPr="00924169">
        <w:rPr>
          <w:szCs w:val="22"/>
        </w:rPr>
        <w:t>s</w:t>
      </w:r>
      <w:r w:rsidRPr="00924169">
        <w:rPr>
          <w:szCs w:val="22"/>
        </w:rPr>
        <w:t xml:space="preserve"> them a WPN as an identifier at the time they register for PAYG withholding.</w:t>
      </w:r>
    </w:p>
    <w:p w14:paraId="6F80B5FB" w14:textId="5DB0AC7F" w:rsidR="00121CE0" w:rsidRPr="00924169" w:rsidRDefault="00E41774" w:rsidP="00A14587">
      <w:pPr>
        <w:numPr>
          <w:ilvl w:val="0"/>
          <w:numId w:val="1"/>
        </w:numPr>
        <w:tabs>
          <w:tab w:val="clear" w:pos="360"/>
        </w:tabs>
        <w:rPr>
          <w:szCs w:val="22"/>
        </w:rPr>
      </w:pPr>
      <w:r w:rsidRPr="00924169">
        <w:rPr>
          <w:szCs w:val="22"/>
        </w:rPr>
        <w:t>STP reporting is required by employers under s</w:t>
      </w:r>
      <w:r w:rsidR="00121CE0" w:rsidRPr="00924169">
        <w:rPr>
          <w:szCs w:val="22"/>
        </w:rPr>
        <w:t>ection</w:t>
      </w:r>
      <w:r w:rsidR="00E72446" w:rsidRPr="00924169">
        <w:rPr>
          <w:szCs w:val="22"/>
        </w:rPr>
        <w:t xml:space="preserve"> </w:t>
      </w:r>
      <w:r w:rsidR="00121CE0" w:rsidRPr="00924169">
        <w:rPr>
          <w:szCs w:val="22"/>
        </w:rPr>
        <w:t>389</w:t>
      </w:r>
      <w:r w:rsidR="00E72446" w:rsidRPr="00924169">
        <w:rPr>
          <w:szCs w:val="22"/>
        </w:rPr>
        <w:noBreakHyphen/>
      </w:r>
      <w:r w:rsidR="00121CE0" w:rsidRPr="00924169">
        <w:rPr>
          <w:szCs w:val="22"/>
        </w:rPr>
        <w:t xml:space="preserve">5 </w:t>
      </w:r>
      <w:r w:rsidR="000D43E3" w:rsidRPr="00924169">
        <w:rPr>
          <w:szCs w:val="22"/>
        </w:rPr>
        <w:t>in</w:t>
      </w:r>
      <w:r w:rsidR="00121CE0" w:rsidRPr="00924169">
        <w:rPr>
          <w:szCs w:val="22"/>
        </w:rPr>
        <w:t xml:space="preserve"> Schedule 1 </w:t>
      </w:r>
      <w:r w:rsidR="000D43E3" w:rsidRPr="00924169">
        <w:rPr>
          <w:szCs w:val="22"/>
        </w:rPr>
        <w:t>of</w:t>
      </w:r>
      <w:r w:rsidR="00C606A3" w:rsidRPr="00924169">
        <w:rPr>
          <w:szCs w:val="22"/>
        </w:rPr>
        <w:t xml:space="preserve"> </w:t>
      </w:r>
      <w:r w:rsidR="00121CE0" w:rsidRPr="00924169">
        <w:rPr>
          <w:szCs w:val="22"/>
        </w:rPr>
        <w:t>the TAA</w:t>
      </w:r>
      <w:r w:rsidRPr="00924169">
        <w:rPr>
          <w:szCs w:val="22"/>
        </w:rPr>
        <w:t xml:space="preserve"> in respect of certain amounts.</w:t>
      </w:r>
      <w:r w:rsidR="00121CE0" w:rsidRPr="00924169">
        <w:rPr>
          <w:szCs w:val="22"/>
        </w:rPr>
        <w:t xml:space="preserve"> </w:t>
      </w:r>
      <w:r w:rsidRPr="00924169">
        <w:rPr>
          <w:szCs w:val="22"/>
        </w:rPr>
        <w:t>The law applies this obligation to employers regardless of whether they are an ABN or WPN holder.</w:t>
      </w:r>
    </w:p>
    <w:p w14:paraId="14D47175" w14:textId="77777777" w:rsidR="00A14587" w:rsidRPr="00924169" w:rsidRDefault="00E41774" w:rsidP="00A14587">
      <w:pPr>
        <w:numPr>
          <w:ilvl w:val="0"/>
          <w:numId w:val="1"/>
        </w:numPr>
        <w:tabs>
          <w:tab w:val="clear" w:pos="360"/>
        </w:tabs>
        <w:rPr>
          <w:szCs w:val="22"/>
        </w:rPr>
      </w:pPr>
      <w:r w:rsidRPr="00924169">
        <w:rPr>
          <w:szCs w:val="22"/>
        </w:rPr>
        <w:t>STP reporting works by sending tax and super information digitally from an STP-enabled payroll or accounting software solution to the ATO.</w:t>
      </w:r>
    </w:p>
    <w:p w14:paraId="0701151D" w14:textId="0F88F966" w:rsidR="00AE448F" w:rsidRPr="00924169" w:rsidRDefault="00AE448F" w:rsidP="00A14587">
      <w:pPr>
        <w:numPr>
          <w:ilvl w:val="0"/>
          <w:numId w:val="1"/>
        </w:numPr>
        <w:tabs>
          <w:tab w:val="clear" w:pos="360"/>
        </w:tabs>
        <w:rPr>
          <w:szCs w:val="22"/>
        </w:rPr>
      </w:pPr>
      <w:r w:rsidRPr="00924169">
        <w:rPr>
          <w:szCs w:val="22"/>
        </w:rPr>
        <w:t xml:space="preserve">To lodge through STP, an employer needs to obtain and manage digital credentials </w:t>
      </w:r>
      <w:r w:rsidR="00EA6849" w:rsidRPr="00924169">
        <w:rPr>
          <w:szCs w:val="22"/>
        </w:rPr>
        <w:t xml:space="preserve">that </w:t>
      </w:r>
      <w:r w:rsidRPr="00924169">
        <w:rPr>
          <w:szCs w:val="22"/>
        </w:rPr>
        <w:t xml:space="preserve">allow them to interact with </w:t>
      </w:r>
      <w:r w:rsidR="00EA6849" w:rsidRPr="00924169">
        <w:rPr>
          <w:szCs w:val="22"/>
        </w:rPr>
        <w:t xml:space="preserve">the </w:t>
      </w:r>
      <w:r w:rsidRPr="00924169">
        <w:rPr>
          <w:szCs w:val="22"/>
        </w:rPr>
        <w:t xml:space="preserve">ATO through authenticated </w:t>
      </w:r>
      <w:proofErr w:type="gramStart"/>
      <w:r w:rsidRPr="00924169">
        <w:rPr>
          <w:szCs w:val="22"/>
        </w:rPr>
        <w:t>channels</w:t>
      </w:r>
      <w:r w:rsidR="008E6DB6" w:rsidRPr="00924169">
        <w:rPr>
          <w:szCs w:val="22"/>
        </w:rPr>
        <w:t>,</w:t>
      </w:r>
      <w:r w:rsidRPr="00924169">
        <w:rPr>
          <w:szCs w:val="22"/>
        </w:rPr>
        <w:t xml:space="preserve"> or</w:t>
      </w:r>
      <w:proofErr w:type="gramEnd"/>
      <w:r w:rsidRPr="00924169">
        <w:rPr>
          <w:szCs w:val="22"/>
        </w:rPr>
        <w:t xml:space="preserve"> engage support from a registered agent. Using these options may result in prohibitive costs for some categories of WPN holder</w:t>
      </w:r>
      <w:r w:rsidR="00EA6849" w:rsidRPr="00924169">
        <w:rPr>
          <w:szCs w:val="22"/>
        </w:rPr>
        <w:t>s</w:t>
      </w:r>
      <w:r w:rsidRPr="00924169">
        <w:rPr>
          <w:szCs w:val="22"/>
        </w:rPr>
        <w:t xml:space="preserve">, such as individuals who engage support workers under </w:t>
      </w:r>
      <w:proofErr w:type="gramStart"/>
      <w:r w:rsidRPr="00924169">
        <w:rPr>
          <w:szCs w:val="22"/>
        </w:rPr>
        <w:t>an</w:t>
      </w:r>
      <w:proofErr w:type="gramEnd"/>
      <w:r w:rsidRPr="00924169">
        <w:rPr>
          <w:szCs w:val="22"/>
        </w:rPr>
        <w:t xml:space="preserve"> NDIS self-managed care plan, due to the frequency with which STP reporting is required.</w:t>
      </w:r>
    </w:p>
    <w:p w14:paraId="1501F229" w14:textId="57A6612A" w:rsidR="00452EDF" w:rsidRPr="00924169" w:rsidRDefault="00452EDF" w:rsidP="00A14587">
      <w:pPr>
        <w:numPr>
          <w:ilvl w:val="0"/>
          <w:numId w:val="1"/>
        </w:numPr>
        <w:tabs>
          <w:tab w:val="clear" w:pos="360"/>
        </w:tabs>
        <w:rPr>
          <w:szCs w:val="22"/>
        </w:rPr>
      </w:pPr>
      <w:r w:rsidRPr="00924169">
        <w:rPr>
          <w:szCs w:val="22"/>
        </w:rPr>
        <w:t>Subsection 389</w:t>
      </w:r>
      <w:r w:rsidRPr="00924169">
        <w:rPr>
          <w:szCs w:val="22"/>
        </w:rPr>
        <w:noBreakHyphen/>
        <w:t xml:space="preserve">10(1) </w:t>
      </w:r>
      <w:r w:rsidR="000D43E3" w:rsidRPr="00924169">
        <w:rPr>
          <w:szCs w:val="22"/>
        </w:rPr>
        <w:t>in</w:t>
      </w:r>
      <w:r w:rsidRPr="00924169">
        <w:rPr>
          <w:szCs w:val="22"/>
        </w:rPr>
        <w:t xml:space="preserve"> Schedule 1 to the TAA allows the Commissioner of Taxation to exempt</w:t>
      </w:r>
      <w:r w:rsidR="008C49FC" w:rsidRPr="00924169">
        <w:rPr>
          <w:szCs w:val="22"/>
        </w:rPr>
        <w:t>,</w:t>
      </w:r>
      <w:r w:rsidRPr="00924169">
        <w:rPr>
          <w:szCs w:val="22"/>
        </w:rPr>
        <w:t xml:space="preserve"> by way of legislative instrument</w:t>
      </w:r>
      <w:r w:rsidR="008C49FC" w:rsidRPr="00924169">
        <w:rPr>
          <w:szCs w:val="22"/>
        </w:rPr>
        <w:t>,</w:t>
      </w:r>
      <w:r w:rsidRPr="00924169">
        <w:rPr>
          <w:szCs w:val="22"/>
        </w:rPr>
        <w:t xml:space="preserve"> a class of entities from reporting under STP.</w:t>
      </w:r>
    </w:p>
    <w:p w14:paraId="0C56C419" w14:textId="59E41B70" w:rsidR="00452EDF" w:rsidRPr="00924169" w:rsidRDefault="00452EDF" w:rsidP="00A14587">
      <w:pPr>
        <w:numPr>
          <w:ilvl w:val="0"/>
          <w:numId w:val="1"/>
        </w:numPr>
        <w:tabs>
          <w:tab w:val="clear" w:pos="360"/>
        </w:tabs>
        <w:rPr>
          <w:szCs w:val="22"/>
        </w:rPr>
      </w:pPr>
      <w:r w:rsidRPr="00924169">
        <w:rPr>
          <w:szCs w:val="22"/>
        </w:rPr>
        <w:t>The exemption provided by this instrument will provide greater flexibility to WPN holders by allowing them to choose whether they:</w:t>
      </w:r>
    </w:p>
    <w:p w14:paraId="019BCE5F" w14:textId="651EE5E5" w:rsidR="00452EDF" w:rsidRPr="00924169" w:rsidRDefault="00452EDF" w:rsidP="00A14587">
      <w:pPr>
        <w:numPr>
          <w:ilvl w:val="0"/>
          <w:numId w:val="6"/>
        </w:numPr>
        <w:ind w:left="1418" w:hanging="709"/>
        <w:rPr>
          <w:szCs w:val="22"/>
        </w:rPr>
      </w:pPr>
      <w:r w:rsidRPr="00924169">
        <w:rPr>
          <w:szCs w:val="22"/>
        </w:rPr>
        <w:t>adopt STP reporting by engaging a registered agent to lodge on their behalf, or</w:t>
      </w:r>
    </w:p>
    <w:p w14:paraId="15AC1B76" w14:textId="65055B2D" w:rsidR="00486653" w:rsidRPr="00924169" w:rsidRDefault="00452EDF" w:rsidP="00A14587">
      <w:pPr>
        <w:numPr>
          <w:ilvl w:val="0"/>
          <w:numId w:val="6"/>
        </w:numPr>
        <w:ind w:left="1418" w:hanging="709"/>
        <w:rPr>
          <w:szCs w:val="22"/>
        </w:rPr>
      </w:pPr>
      <w:r w:rsidRPr="00924169">
        <w:rPr>
          <w:szCs w:val="22"/>
        </w:rPr>
        <w:t xml:space="preserve">continue to use their existing </w:t>
      </w:r>
      <w:r w:rsidR="008C49FC" w:rsidRPr="00924169">
        <w:rPr>
          <w:szCs w:val="22"/>
        </w:rPr>
        <w:t>non-STP reporting</w:t>
      </w:r>
      <w:r w:rsidRPr="00924169">
        <w:rPr>
          <w:szCs w:val="22"/>
        </w:rPr>
        <w:t xml:space="preserve"> channel.</w:t>
      </w:r>
    </w:p>
    <w:p w14:paraId="1987BEA4" w14:textId="77777777" w:rsidR="00EA6849" w:rsidRPr="00924169" w:rsidRDefault="00EA6849" w:rsidP="00A14587">
      <w:pPr>
        <w:rPr>
          <w:szCs w:val="22"/>
        </w:rPr>
      </w:pPr>
    </w:p>
    <w:p w14:paraId="15AC1B77" w14:textId="77777777" w:rsidR="00486653" w:rsidRPr="00924169" w:rsidRDefault="00E10B37" w:rsidP="00A14587">
      <w:pPr>
        <w:pStyle w:val="Heading2"/>
      </w:pPr>
      <w:r w:rsidRPr="00924169">
        <w:t>Consultation</w:t>
      </w:r>
    </w:p>
    <w:p w14:paraId="76A4AEC3" w14:textId="77777777" w:rsidR="00A14587" w:rsidRPr="00924169" w:rsidRDefault="008A23C7" w:rsidP="00924169">
      <w:pPr>
        <w:numPr>
          <w:ilvl w:val="0"/>
          <w:numId w:val="1"/>
        </w:numPr>
        <w:tabs>
          <w:tab w:val="clear" w:pos="360"/>
        </w:tabs>
      </w:pPr>
      <w:r w:rsidRPr="00924169">
        <w:t xml:space="preserve">Subsection 17(1) of the </w:t>
      </w:r>
      <w:r w:rsidRPr="00924169">
        <w:rPr>
          <w:i/>
          <w:iCs/>
        </w:rPr>
        <w:t>Legislation Act 2003</w:t>
      </w:r>
      <w:r w:rsidRPr="00924169">
        <w:t xml:space="preserve"> requires the Commissioner to be satisfied that appropriate and reasonably practicable consultation has been undertaken before they make a legislative instrument.</w:t>
      </w:r>
    </w:p>
    <w:p w14:paraId="78963D1B" w14:textId="03DCC960" w:rsidR="00736EC5" w:rsidRPr="00924169" w:rsidRDefault="007F75BC" w:rsidP="00924169">
      <w:pPr>
        <w:numPr>
          <w:ilvl w:val="0"/>
          <w:numId w:val="1"/>
        </w:numPr>
        <w:tabs>
          <w:tab w:val="clear" w:pos="360"/>
        </w:tabs>
      </w:pPr>
      <w:r w:rsidRPr="00924169">
        <w:t xml:space="preserve">Broad public consultation </w:t>
      </w:r>
      <w:r w:rsidRPr="00924169">
        <w:rPr>
          <w:color w:val="000000" w:themeColor="text1"/>
        </w:rPr>
        <w:t>was undertaken on this instrument</w:t>
      </w:r>
      <w:r w:rsidRPr="00924169">
        <w:t xml:space="preserve"> from 27 March 2023 to 2</w:t>
      </w:r>
      <w:r w:rsidR="00736EC5" w:rsidRPr="00924169">
        <w:t>1</w:t>
      </w:r>
      <w:r w:rsidR="00924169">
        <w:t> </w:t>
      </w:r>
      <w:r w:rsidR="00736EC5" w:rsidRPr="00924169">
        <w:t>April</w:t>
      </w:r>
      <w:r w:rsidR="00924169">
        <w:t> </w:t>
      </w:r>
      <w:r w:rsidRPr="00924169">
        <w:t xml:space="preserve">2023. </w:t>
      </w:r>
      <w:r w:rsidRPr="00924169">
        <w:rPr>
          <w:color w:val="000000" w:themeColor="text1"/>
        </w:rPr>
        <w:t xml:space="preserve">The draft instrument and draft explanatory statement were published to the ATO Legal database. Publication was advertised via the ‘What’s new’ page on that website, and via the ‘Open Consultation’ page on ato.gov.au. Major tax and superannuation publishers and associations monitor these pages and include the details in the daily and weekly alerts and newsletters to their subscribers and members. </w:t>
      </w:r>
      <w:r w:rsidR="00736EC5" w:rsidRPr="00924169">
        <w:rPr>
          <w:color w:val="000000" w:themeColor="text1"/>
        </w:rPr>
        <w:t>No</w:t>
      </w:r>
      <w:r w:rsidR="00722985">
        <w:rPr>
          <w:color w:val="000000" w:themeColor="text1"/>
        </w:rPr>
        <w:t xml:space="preserve"> submissions or</w:t>
      </w:r>
      <w:r w:rsidR="00736EC5" w:rsidRPr="00924169">
        <w:rPr>
          <w:color w:val="000000" w:themeColor="text1"/>
        </w:rPr>
        <w:t xml:space="preserve"> comments were received </w:t>
      </w:r>
      <w:r w:rsidR="00722985">
        <w:rPr>
          <w:color w:val="000000" w:themeColor="text1"/>
        </w:rPr>
        <w:t xml:space="preserve">during </w:t>
      </w:r>
      <w:r w:rsidR="00561B67">
        <w:rPr>
          <w:color w:val="000000" w:themeColor="text1"/>
        </w:rPr>
        <w:t xml:space="preserve">public </w:t>
      </w:r>
      <w:r w:rsidR="00722985">
        <w:rPr>
          <w:color w:val="000000" w:themeColor="text1"/>
        </w:rPr>
        <w:t>consultation</w:t>
      </w:r>
      <w:r w:rsidR="00736EC5" w:rsidRPr="00924169">
        <w:rPr>
          <w:color w:val="000000" w:themeColor="text1"/>
        </w:rPr>
        <w:t>.</w:t>
      </w:r>
    </w:p>
    <w:p w14:paraId="02BE7C4E" w14:textId="3DDC7711" w:rsidR="00910595" w:rsidRPr="00924169" w:rsidRDefault="00910595" w:rsidP="00A14587">
      <w:pPr>
        <w:rPr>
          <w:szCs w:val="22"/>
        </w:rPr>
      </w:pPr>
    </w:p>
    <w:p w14:paraId="4DD09181" w14:textId="5A23C264" w:rsidR="00631358" w:rsidRPr="00924169" w:rsidRDefault="00631358" w:rsidP="00A14587">
      <w:pPr>
        <w:rPr>
          <w:szCs w:val="22"/>
        </w:rPr>
      </w:pPr>
    </w:p>
    <w:p w14:paraId="69FE8C27" w14:textId="77777777" w:rsidR="009371D0" w:rsidRPr="00924169" w:rsidRDefault="007E0A01" w:rsidP="00A14587">
      <w:pPr>
        <w:pStyle w:val="Heading3"/>
        <w:spacing w:before="0"/>
        <w:rPr>
          <w:i/>
          <w:sz w:val="20"/>
          <w:szCs w:val="20"/>
        </w:rPr>
      </w:pPr>
      <w:r w:rsidRPr="00924169">
        <w:rPr>
          <w:i/>
          <w:sz w:val="20"/>
          <w:szCs w:val="20"/>
        </w:rPr>
        <w:t>Legislative references</w:t>
      </w:r>
    </w:p>
    <w:p w14:paraId="3198C367" w14:textId="435ED47C" w:rsidR="00121CE0" w:rsidRPr="00924169" w:rsidRDefault="00121CE0" w:rsidP="00A14587">
      <w:pPr>
        <w:spacing w:after="0"/>
        <w:rPr>
          <w:i/>
          <w:sz w:val="20"/>
        </w:rPr>
      </w:pPr>
      <w:r w:rsidRPr="00924169">
        <w:rPr>
          <w:i/>
          <w:sz w:val="20"/>
        </w:rPr>
        <w:t>Acts Interpretation Act</w:t>
      </w:r>
      <w:r w:rsidR="00E72446" w:rsidRPr="00924169">
        <w:rPr>
          <w:i/>
          <w:sz w:val="20"/>
        </w:rPr>
        <w:t> 1901</w:t>
      </w:r>
    </w:p>
    <w:p w14:paraId="4C8D086E" w14:textId="548CFD5A" w:rsidR="00121CE0" w:rsidRPr="00924169" w:rsidRDefault="00121CE0" w:rsidP="00A14587">
      <w:pPr>
        <w:spacing w:after="0"/>
        <w:rPr>
          <w:i/>
          <w:sz w:val="20"/>
        </w:rPr>
      </w:pPr>
      <w:r w:rsidRPr="00924169">
        <w:rPr>
          <w:i/>
          <w:sz w:val="20"/>
        </w:rPr>
        <w:t>Human Rights (Parliamentary Scrutiny) Act</w:t>
      </w:r>
      <w:r w:rsidR="00E72446" w:rsidRPr="00924169">
        <w:rPr>
          <w:i/>
          <w:sz w:val="20"/>
        </w:rPr>
        <w:t> 2011</w:t>
      </w:r>
    </w:p>
    <w:p w14:paraId="577D9425" w14:textId="4CEB8E26" w:rsidR="00C838F3" w:rsidRPr="00924169" w:rsidRDefault="00C838F3" w:rsidP="00A14587">
      <w:pPr>
        <w:spacing w:after="0"/>
        <w:rPr>
          <w:i/>
          <w:sz w:val="20"/>
        </w:rPr>
      </w:pPr>
      <w:r w:rsidRPr="00924169">
        <w:rPr>
          <w:i/>
          <w:sz w:val="20"/>
        </w:rPr>
        <w:lastRenderedPageBreak/>
        <w:t>Income Tax Assessment Act 1997</w:t>
      </w:r>
    </w:p>
    <w:p w14:paraId="59893EC6" w14:textId="1939BFBE" w:rsidR="00121CE0" w:rsidRPr="00924169" w:rsidRDefault="00121CE0" w:rsidP="00A14587">
      <w:pPr>
        <w:spacing w:after="0"/>
        <w:rPr>
          <w:i/>
          <w:sz w:val="20"/>
        </w:rPr>
      </w:pPr>
      <w:r w:rsidRPr="00924169">
        <w:rPr>
          <w:i/>
          <w:sz w:val="20"/>
        </w:rPr>
        <w:t>Legislation Act</w:t>
      </w:r>
      <w:r w:rsidR="00E72446" w:rsidRPr="00924169">
        <w:rPr>
          <w:i/>
          <w:sz w:val="20"/>
        </w:rPr>
        <w:t> 2003</w:t>
      </w:r>
    </w:p>
    <w:p w14:paraId="15AC1BA6" w14:textId="075A67B1" w:rsidR="00101CD5" w:rsidRPr="00924169" w:rsidRDefault="00121CE0" w:rsidP="00A14587">
      <w:pPr>
        <w:spacing w:after="0"/>
        <w:rPr>
          <w:szCs w:val="22"/>
        </w:rPr>
      </w:pPr>
      <w:r w:rsidRPr="00924169">
        <w:rPr>
          <w:i/>
          <w:sz w:val="20"/>
        </w:rPr>
        <w:t>Taxation Administration Act</w:t>
      </w:r>
      <w:r w:rsidR="00E72446" w:rsidRPr="00924169">
        <w:rPr>
          <w:i/>
          <w:sz w:val="20"/>
        </w:rPr>
        <w:t> 1953</w:t>
      </w:r>
      <w:r w:rsidR="00101CD5" w:rsidRPr="00924169">
        <w:rPr>
          <w:szCs w:val="22"/>
        </w:rPr>
        <w:br w:type="page"/>
      </w:r>
    </w:p>
    <w:p w14:paraId="15AC1BAB" w14:textId="08BC1495" w:rsidR="00526403" w:rsidRPr="00924169" w:rsidRDefault="00526403" w:rsidP="00A14587">
      <w:pPr>
        <w:rPr>
          <w:szCs w:val="22"/>
        </w:rPr>
      </w:pPr>
    </w:p>
    <w:p w14:paraId="15AC1BAC" w14:textId="6B4B8273" w:rsidR="00333567" w:rsidRPr="00924169" w:rsidRDefault="00E53399" w:rsidP="00A14587">
      <w:pPr>
        <w:pStyle w:val="Heading3"/>
        <w:spacing w:before="0" w:after="120"/>
        <w:jc w:val="center"/>
        <w:rPr>
          <w:sz w:val="22"/>
          <w:szCs w:val="22"/>
        </w:rPr>
      </w:pPr>
      <w:r w:rsidRPr="00924169">
        <w:rPr>
          <w:sz w:val="22"/>
          <w:szCs w:val="22"/>
        </w:rPr>
        <w:t xml:space="preserve">Statement of compatibility </w:t>
      </w:r>
      <w:r w:rsidR="00C11D03" w:rsidRPr="00924169">
        <w:rPr>
          <w:sz w:val="22"/>
          <w:szCs w:val="22"/>
        </w:rPr>
        <w:t>with Human Rights</w:t>
      </w:r>
    </w:p>
    <w:p w14:paraId="15AC1BAD" w14:textId="59D3D608" w:rsidR="00E53399" w:rsidRPr="00924169" w:rsidRDefault="004F5EB1" w:rsidP="00A14587">
      <w:pPr>
        <w:autoSpaceDE w:val="0"/>
        <w:autoSpaceDN w:val="0"/>
        <w:adjustRightInd w:val="0"/>
        <w:rPr>
          <w:szCs w:val="22"/>
        </w:rPr>
      </w:pPr>
      <w:r w:rsidRPr="00924169">
        <w:rPr>
          <w:szCs w:val="22"/>
        </w:rPr>
        <w:t>P</w:t>
      </w:r>
      <w:r w:rsidR="00E53399" w:rsidRPr="00924169">
        <w:rPr>
          <w:szCs w:val="22"/>
        </w:rPr>
        <w:t xml:space="preserve">repared in accordance with Part 3 of the </w:t>
      </w:r>
      <w:r w:rsidR="00E53399" w:rsidRPr="00924169">
        <w:rPr>
          <w:i/>
          <w:szCs w:val="22"/>
        </w:rPr>
        <w:t>Human Rights (Parliamentary Scrutiny) Act</w:t>
      </w:r>
      <w:r w:rsidR="00E72446" w:rsidRPr="00924169">
        <w:rPr>
          <w:i/>
          <w:szCs w:val="22"/>
        </w:rPr>
        <w:t> 2011</w:t>
      </w:r>
    </w:p>
    <w:p w14:paraId="15AC1BAE" w14:textId="68DA81E7" w:rsidR="00D77015" w:rsidRPr="00924169" w:rsidRDefault="00D77015" w:rsidP="00A14587">
      <w:pPr>
        <w:rPr>
          <w:szCs w:val="22"/>
        </w:rPr>
      </w:pPr>
    </w:p>
    <w:p w14:paraId="4337E17D" w14:textId="0B79A307" w:rsidR="00121CE0" w:rsidRPr="00924169" w:rsidRDefault="00121CE0" w:rsidP="00A14587">
      <w:pPr>
        <w:pStyle w:val="Heading2"/>
        <w:jc w:val="center"/>
        <w:rPr>
          <w:i/>
        </w:rPr>
      </w:pPr>
      <w:r w:rsidRPr="00924169">
        <w:rPr>
          <w:i/>
        </w:rPr>
        <w:t xml:space="preserve">Taxation Administration </w:t>
      </w:r>
      <w:r w:rsidR="00452EDF" w:rsidRPr="00924169">
        <w:rPr>
          <w:i/>
        </w:rPr>
        <w:t xml:space="preserve">(Single Touch Payroll </w:t>
      </w:r>
      <w:r w:rsidR="000225F1" w:rsidRPr="00924169">
        <w:rPr>
          <w:i/>
        </w:rPr>
        <w:t xml:space="preserve">Reporting Exemption for </w:t>
      </w:r>
      <w:r w:rsidR="00452EDF" w:rsidRPr="00924169">
        <w:rPr>
          <w:i/>
        </w:rPr>
        <w:t>Withholding Payer Number</w:t>
      </w:r>
      <w:r w:rsidR="000225F1" w:rsidRPr="00924169">
        <w:rPr>
          <w:i/>
        </w:rPr>
        <w:t xml:space="preserve"> Holder</w:t>
      </w:r>
      <w:r w:rsidR="00452EDF" w:rsidRPr="00924169">
        <w:rPr>
          <w:i/>
        </w:rPr>
        <w:t xml:space="preserve">s) </w:t>
      </w:r>
      <w:r w:rsidR="000225F1" w:rsidRPr="00924169">
        <w:rPr>
          <w:i/>
        </w:rPr>
        <w:t xml:space="preserve">Instrument </w:t>
      </w:r>
      <w:r w:rsidR="00452EDF" w:rsidRPr="00924169">
        <w:rPr>
          <w:i/>
        </w:rPr>
        <w:t>2023</w:t>
      </w:r>
    </w:p>
    <w:p w14:paraId="54F9AC2D" w14:textId="357EDD4D" w:rsidR="009371D0" w:rsidRPr="00924169" w:rsidRDefault="00075B58" w:rsidP="00A14587">
      <w:pPr>
        <w:autoSpaceDE w:val="0"/>
        <w:autoSpaceDN w:val="0"/>
        <w:adjustRightInd w:val="0"/>
        <w:rPr>
          <w:szCs w:val="22"/>
        </w:rPr>
      </w:pPr>
      <w:r w:rsidRPr="00924169">
        <w:rPr>
          <w:szCs w:val="22"/>
        </w:rPr>
        <w:t xml:space="preserve">This </w:t>
      </w:r>
      <w:r w:rsidR="00D77F1F" w:rsidRPr="00924169">
        <w:rPr>
          <w:szCs w:val="22"/>
        </w:rPr>
        <w:t>l</w:t>
      </w:r>
      <w:r w:rsidRPr="00924169">
        <w:rPr>
          <w:szCs w:val="22"/>
        </w:rPr>
        <w:t xml:space="preserve">egislative </w:t>
      </w:r>
      <w:r w:rsidR="00D77F1F" w:rsidRPr="00924169">
        <w:rPr>
          <w:szCs w:val="22"/>
        </w:rPr>
        <w:t>i</w:t>
      </w:r>
      <w:r w:rsidRPr="00924169">
        <w:rPr>
          <w:szCs w:val="22"/>
        </w:rPr>
        <w:t xml:space="preserve">nstrument is compatible with the human rights and freedoms recognised or declared in the international instruments listed in section 3 of the </w:t>
      </w:r>
      <w:r w:rsidRPr="00924169">
        <w:rPr>
          <w:i/>
          <w:szCs w:val="22"/>
        </w:rPr>
        <w:t>Human Righ</w:t>
      </w:r>
      <w:r w:rsidR="00101CD5" w:rsidRPr="00924169">
        <w:rPr>
          <w:i/>
          <w:szCs w:val="22"/>
        </w:rPr>
        <w:t>ts (Parliamentary Scrutiny) Act</w:t>
      </w:r>
      <w:r w:rsidR="00E72446" w:rsidRPr="00924169">
        <w:rPr>
          <w:i/>
          <w:szCs w:val="22"/>
        </w:rPr>
        <w:t> 2011</w:t>
      </w:r>
      <w:r w:rsidRPr="00924169">
        <w:rPr>
          <w:i/>
          <w:szCs w:val="22"/>
        </w:rPr>
        <w:t>.</w:t>
      </w:r>
    </w:p>
    <w:p w14:paraId="15AC1BB2" w14:textId="6553A54F" w:rsidR="00075B58" w:rsidRPr="00924169" w:rsidRDefault="00075B58" w:rsidP="00A14587">
      <w:pPr>
        <w:rPr>
          <w:szCs w:val="22"/>
        </w:rPr>
      </w:pPr>
    </w:p>
    <w:p w14:paraId="15AC1BB3" w14:textId="2B287213" w:rsidR="00075B58" w:rsidRPr="00924169" w:rsidRDefault="00075B58" w:rsidP="00A14587">
      <w:pPr>
        <w:pStyle w:val="Heading2"/>
      </w:pPr>
      <w:r w:rsidRPr="00924169">
        <w:t xml:space="preserve">Overview of </w:t>
      </w:r>
      <w:r w:rsidR="007E0A01" w:rsidRPr="00924169">
        <w:t xml:space="preserve">the </w:t>
      </w:r>
      <w:r w:rsidR="00D77F1F" w:rsidRPr="00924169">
        <w:t>l</w:t>
      </w:r>
      <w:r w:rsidRPr="00924169">
        <w:t xml:space="preserve">egislative </w:t>
      </w:r>
      <w:r w:rsidR="00D77F1F" w:rsidRPr="00924169">
        <w:t>i</w:t>
      </w:r>
      <w:r w:rsidRPr="00924169">
        <w:t>nstrument</w:t>
      </w:r>
    </w:p>
    <w:p w14:paraId="15AC1BB5" w14:textId="15D6A035" w:rsidR="00075B58" w:rsidRPr="00924169" w:rsidRDefault="00452EDF" w:rsidP="00A14587">
      <w:pPr>
        <w:rPr>
          <w:szCs w:val="22"/>
        </w:rPr>
      </w:pPr>
      <w:r w:rsidRPr="00924169">
        <w:rPr>
          <w:szCs w:val="22"/>
        </w:rPr>
        <w:t>This instrument provides</w:t>
      </w:r>
      <w:r w:rsidR="00121CE0" w:rsidRPr="00924169">
        <w:rPr>
          <w:szCs w:val="22"/>
        </w:rPr>
        <w:t xml:space="preserve"> an exemption to entities that have a </w:t>
      </w:r>
      <w:r w:rsidR="008C49FC" w:rsidRPr="00924169">
        <w:rPr>
          <w:szCs w:val="22"/>
        </w:rPr>
        <w:t>W</w:t>
      </w:r>
      <w:r w:rsidR="00121CE0" w:rsidRPr="00924169">
        <w:rPr>
          <w:szCs w:val="22"/>
        </w:rPr>
        <w:t xml:space="preserve">ithholding </w:t>
      </w:r>
      <w:r w:rsidR="008C49FC" w:rsidRPr="00924169">
        <w:rPr>
          <w:szCs w:val="22"/>
        </w:rPr>
        <w:t>P</w:t>
      </w:r>
      <w:r w:rsidR="00121CE0" w:rsidRPr="00924169">
        <w:rPr>
          <w:szCs w:val="22"/>
        </w:rPr>
        <w:t xml:space="preserve">ayer </w:t>
      </w:r>
      <w:r w:rsidR="008C49FC" w:rsidRPr="00924169">
        <w:rPr>
          <w:szCs w:val="22"/>
        </w:rPr>
        <w:t>N</w:t>
      </w:r>
      <w:r w:rsidR="00121CE0" w:rsidRPr="00924169">
        <w:rPr>
          <w:szCs w:val="22"/>
        </w:rPr>
        <w:t xml:space="preserve">umber (WPN) from reporting under Single Touch Payroll (STP) </w:t>
      </w:r>
      <w:r w:rsidR="008A23C7" w:rsidRPr="00924169">
        <w:rPr>
          <w:szCs w:val="22"/>
        </w:rPr>
        <w:t>legislative framework</w:t>
      </w:r>
      <w:r w:rsidR="00121CE0" w:rsidRPr="00924169">
        <w:rPr>
          <w:szCs w:val="22"/>
        </w:rPr>
        <w:t>.</w:t>
      </w:r>
    </w:p>
    <w:p w14:paraId="66414AE2" w14:textId="77777777" w:rsidR="00121CE0" w:rsidRPr="00924169" w:rsidRDefault="00121CE0" w:rsidP="00A14587">
      <w:pPr>
        <w:rPr>
          <w:szCs w:val="22"/>
        </w:rPr>
      </w:pPr>
    </w:p>
    <w:p w14:paraId="15AC1BB6" w14:textId="6C3FCA50" w:rsidR="00075B58" w:rsidRPr="00924169" w:rsidRDefault="00075B58" w:rsidP="00A14587">
      <w:pPr>
        <w:pStyle w:val="Heading2"/>
      </w:pPr>
      <w:r w:rsidRPr="00924169">
        <w:t>Human rights implications</w:t>
      </w:r>
    </w:p>
    <w:p w14:paraId="4BF4ACCA" w14:textId="52B00D8F" w:rsidR="00121CE0" w:rsidRPr="00924169" w:rsidRDefault="00075B58" w:rsidP="00A14587">
      <w:pPr>
        <w:rPr>
          <w:szCs w:val="22"/>
        </w:rPr>
      </w:pPr>
      <w:r w:rsidRPr="00924169">
        <w:rPr>
          <w:szCs w:val="22"/>
        </w:rPr>
        <w:t xml:space="preserve">This </w:t>
      </w:r>
      <w:r w:rsidR="00D77F1F" w:rsidRPr="00924169">
        <w:rPr>
          <w:szCs w:val="22"/>
        </w:rPr>
        <w:t>l</w:t>
      </w:r>
      <w:r w:rsidRPr="00924169">
        <w:rPr>
          <w:szCs w:val="22"/>
        </w:rPr>
        <w:t xml:space="preserve">egislative </w:t>
      </w:r>
      <w:r w:rsidR="00D77F1F" w:rsidRPr="00924169">
        <w:rPr>
          <w:szCs w:val="22"/>
        </w:rPr>
        <w:t>i</w:t>
      </w:r>
      <w:r w:rsidRPr="00924169">
        <w:rPr>
          <w:szCs w:val="22"/>
        </w:rPr>
        <w:t>nstrument does not engage any of the applicable rights or freedoms</w:t>
      </w:r>
      <w:r w:rsidR="00CD7C46" w:rsidRPr="00924169">
        <w:rPr>
          <w:szCs w:val="22"/>
        </w:rPr>
        <w:t>. It only provides certain entities with an exemption from a reporting requirement and</w:t>
      </w:r>
      <w:r w:rsidR="00121CE0" w:rsidRPr="00924169">
        <w:rPr>
          <w:szCs w:val="22"/>
        </w:rPr>
        <w:t xml:space="preserve"> is of a minor or machinery nature</w:t>
      </w:r>
      <w:r w:rsidR="008C49FC" w:rsidRPr="00924169">
        <w:rPr>
          <w:szCs w:val="22"/>
        </w:rPr>
        <w:t>.</w:t>
      </w:r>
    </w:p>
    <w:p w14:paraId="15AC1BB8" w14:textId="0495AB8F" w:rsidR="00075B58" w:rsidRPr="00924169" w:rsidRDefault="00075B58" w:rsidP="00A14587">
      <w:pPr>
        <w:rPr>
          <w:szCs w:val="22"/>
        </w:rPr>
      </w:pPr>
    </w:p>
    <w:p w14:paraId="15AC1BB9" w14:textId="77777777" w:rsidR="00075B58" w:rsidRPr="00924169" w:rsidRDefault="00075B58" w:rsidP="00A14587">
      <w:pPr>
        <w:pStyle w:val="Heading2"/>
      </w:pPr>
      <w:r w:rsidRPr="00924169">
        <w:t>Conclusion</w:t>
      </w:r>
    </w:p>
    <w:p w14:paraId="15AC1BBA" w14:textId="2CDA31DB" w:rsidR="00075B58" w:rsidRPr="00A14587" w:rsidRDefault="00075B58" w:rsidP="00A14587">
      <w:pPr>
        <w:rPr>
          <w:szCs w:val="22"/>
        </w:rPr>
      </w:pPr>
      <w:r w:rsidRPr="00924169">
        <w:rPr>
          <w:szCs w:val="22"/>
        </w:rPr>
        <w:t xml:space="preserve">This </w:t>
      </w:r>
      <w:r w:rsidR="00D77F1F" w:rsidRPr="00924169">
        <w:rPr>
          <w:szCs w:val="22"/>
        </w:rPr>
        <w:t>l</w:t>
      </w:r>
      <w:r w:rsidRPr="00924169">
        <w:rPr>
          <w:szCs w:val="22"/>
        </w:rPr>
        <w:t xml:space="preserve">egislative </w:t>
      </w:r>
      <w:r w:rsidR="00D77F1F" w:rsidRPr="00924169">
        <w:rPr>
          <w:szCs w:val="22"/>
        </w:rPr>
        <w:t>i</w:t>
      </w:r>
      <w:r w:rsidRPr="00924169">
        <w:rPr>
          <w:szCs w:val="22"/>
        </w:rPr>
        <w:t>nstrument is compatible with human rights as it does not raise any human rights issues.</w:t>
      </w:r>
    </w:p>
    <w:sectPr w:rsidR="00075B58" w:rsidRPr="00A14587" w:rsidSect="00081520">
      <w:headerReference w:type="default" r:id="rId9"/>
      <w:headerReference w:type="first" r:id="rId10"/>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5DC0" w14:textId="77777777" w:rsidR="00D3520B" w:rsidRDefault="00D3520B">
      <w:r>
        <w:separator/>
      </w:r>
    </w:p>
  </w:endnote>
  <w:endnote w:type="continuationSeparator" w:id="0">
    <w:p w14:paraId="5AC044DF" w14:textId="77777777" w:rsidR="00D3520B" w:rsidRDefault="00D3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2CA4" w14:textId="77777777" w:rsidR="00D3520B" w:rsidRDefault="00D3520B">
      <w:r>
        <w:separator/>
      </w:r>
    </w:p>
  </w:footnote>
  <w:footnote w:type="continuationSeparator" w:id="0">
    <w:p w14:paraId="1C86AB84" w14:textId="77777777" w:rsidR="00D3520B" w:rsidRDefault="00D3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77777777"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Default="003D0CBA" w:rsidP="001828A4">
    <w:pPr>
      <w:pStyle w:val="Header"/>
      <w:tabs>
        <w:tab w:val="clear" w:pos="4153"/>
        <w:tab w:val="clear" w:pos="8306"/>
      </w:tabs>
      <w:rPr>
        <w:sz w:val="20"/>
      </w:rPr>
    </w:pPr>
    <w:r w:rsidRPr="00082C1D">
      <w:rPr>
        <w:noProof/>
      </w:rPr>
      <w:drawing>
        <wp:inline distT="0" distB="0" distL="0" distR="0" wp14:anchorId="15AC1BD1" wp14:editId="0561E5E8">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3683C48"/>
    <w:multiLevelType w:val="hybridMultilevel"/>
    <w:tmpl w:val="9F32AF82"/>
    <w:lvl w:ilvl="0" w:tplc="A1B8AF14">
      <w:start w:val="6"/>
      <w:numFmt w:val="decimal"/>
      <w:lvlText w:val="%1."/>
      <w:lvlJc w:val="left"/>
      <w:pPr>
        <w:tabs>
          <w:tab w:val="num" w:pos="720"/>
        </w:tabs>
        <w:ind w:left="720" w:hanging="360"/>
      </w:pPr>
      <w:rPr>
        <w:rFonts w:ascii="Arial" w:hAnsi="Arial" w:cs="Arial" w:hint="default"/>
        <w:sz w:val="22"/>
        <w:szCs w:val="22"/>
      </w:rPr>
    </w:lvl>
    <w:lvl w:ilvl="1" w:tplc="02224C8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E10813"/>
    <w:multiLevelType w:val="hybridMultilevel"/>
    <w:tmpl w:val="C41ABF04"/>
    <w:lvl w:ilvl="0" w:tplc="02224C8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236309"/>
    <w:multiLevelType w:val="hybridMultilevel"/>
    <w:tmpl w:val="C41ABF04"/>
    <w:lvl w:ilvl="0" w:tplc="02224C8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CC3903"/>
    <w:multiLevelType w:val="hybridMultilevel"/>
    <w:tmpl w:val="305A7D7C"/>
    <w:lvl w:ilvl="0" w:tplc="BD6C4B5A">
      <w:start w:val="1"/>
      <w:numFmt w:val="decimal"/>
      <w:lvlText w:val="%1."/>
      <w:lvlJc w:val="left"/>
      <w:pPr>
        <w:tabs>
          <w:tab w:val="num" w:pos="360"/>
        </w:tabs>
        <w:ind w:left="0" w:firstLine="0"/>
      </w:pPr>
      <w:rPr>
        <w:rFonts w:ascii="Arial" w:hAnsi="Arial" w:cs="Arial" w:hint="default"/>
        <w:i w:val="0"/>
        <w:iCs/>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CED3EE9"/>
    <w:multiLevelType w:val="hybridMultilevel"/>
    <w:tmpl w:val="51F0F11C"/>
    <w:lvl w:ilvl="0" w:tplc="A006AE86">
      <w:start w:val="1"/>
      <w:numFmt w:val="bullet"/>
      <w:lvlText w:val=""/>
      <w:lvlJc w:val="left"/>
      <w:pPr>
        <w:ind w:left="1134"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25FA"/>
    <w:rsid w:val="000117B2"/>
    <w:rsid w:val="0001796D"/>
    <w:rsid w:val="00017BF0"/>
    <w:rsid w:val="000225F1"/>
    <w:rsid w:val="0002568B"/>
    <w:rsid w:val="00025F17"/>
    <w:rsid w:val="00042DFA"/>
    <w:rsid w:val="00043FA7"/>
    <w:rsid w:val="000552E8"/>
    <w:rsid w:val="00056585"/>
    <w:rsid w:val="000566A1"/>
    <w:rsid w:val="0005674F"/>
    <w:rsid w:val="0006032A"/>
    <w:rsid w:val="00065C6E"/>
    <w:rsid w:val="00072E6E"/>
    <w:rsid w:val="00073F1B"/>
    <w:rsid w:val="00075B58"/>
    <w:rsid w:val="00076400"/>
    <w:rsid w:val="00081520"/>
    <w:rsid w:val="00082C1D"/>
    <w:rsid w:val="000856A8"/>
    <w:rsid w:val="000A2BB4"/>
    <w:rsid w:val="000A603B"/>
    <w:rsid w:val="000B11DD"/>
    <w:rsid w:val="000B1785"/>
    <w:rsid w:val="000C390A"/>
    <w:rsid w:val="000C77DD"/>
    <w:rsid w:val="000D43E3"/>
    <w:rsid w:val="000E295B"/>
    <w:rsid w:val="000E45A0"/>
    <w:rsid w:val="00101CD5"/>
    <w:rsid w:val="0010618F"/>
    <w:rsid w:val="00107460"/>
    <w:rsid w:val="001077AC"/>
    <w:rsid w:val="00112415"/>
    <w:rsid w:val="00121CE0"/>
    <w:rsid w:val="0013678D"/>
    <w:rsid w:val="00140A34"/>
    <w:rsid w:val="00142838"/>
    <w:rsid w:val="00146ED8"/>
    <w:rsid w:val="00160859"/>
    <w:rsid w:val="00167202"/>
    <w:rsid w:val="001828A4"/>
    <w:rsid w:val="00195A97"/>
    <w:rsid w:val="001A16DD"/>
    <w:rsid w:val="001A3BE2"/>
    <w:rsid w:val="001B2F87"/>
    <w:rsid w:val="001C35E7"/>
    <w:rsid w:val="001C4578"/>
    <w:rsid w:val="001D02E6"/>
    <w:rsid w:val="001F0184"/>
    <w:rsid w:val="001F28A6"/>
    <w:rsid w:val="001F2A16"/>
    <w:rsid w:val="001F6921"/>
    <w:rsid w:val="001F7C3E"/>
    <w:rsid w:val="0020147F"/>
    <w:rsid w:val="00201969"/>
    <w:rsid w:val="0021222C"/>
    <w:rsid w:val="00213FA5"/>
    <w:rsid w:val="0021496E"/>
    <w:rsid w:val="00222AFB"/>
    <w:rsid w:val="00230FB4"/>
    <w:rsid w:val="0023733A"/>
    <w:rsid w:val="0024044F"/>
    <w:rsid w:val="00240CFB"/>
    <w:rsid w:val="00241108"/>
    <w:rsid w:val="00245D00"/>
    <w:rsid w:val="00257F2D"/>
    <w:rsid w:val="00262F9F"/>
    <w:rsid w:val="00266D2D"/>
    <w:rsid w:val="00271762"/>
    <w:rsid w:val="0027331F"/>
    <w:rsid w:val="002816C7"/>
    <w:rsid w:val="00285E76"/>
    <w:rsid w:val="002949C3"/>
    <w:rsid w:val="002A10A4"/>
    <w:rsid w:val="002A26FE"/>
    <w:rsid w:val="002A3BD2"/>
    <w:rsid w:val="002B1423"/>
    <w:rsid w:val="002B1D32"/>
    <w:rsid w:val="002C275C"/>
    <w:rsid w:val="002C5A9A"/>
    <w:rsid w:val="002F1257"/>
    <w:rsid w:val="00310C61"/>
    <w:rsid w:val="00316E1C"/>
    <w:rsid w:val="003171B3"/>
    <w:rsid w:val="0032559D"/>
    <w:rsid w:val="00331616"/>
    <w:rsid w:val="00333567"/>
    <w:rsid w:val="00344575"/>
    <w:rsid w:val="0035113C"/>
    <w:rsid w:val="00354525"/>
    <w:rsid w:val="00374385"/>
    <w:rsid w:val="00380CC4"/>
    <w:rsid w:val="003A70E7"/>
    <w:rsid w:val="003C0686"/>
    <w:rsid w:val="003C40C8"/>
    <w:rsid w:val="003D08CF"/>
    <w:rsid w:val="003D0CBA"/>
    <w:rsid w:val="003D0F6A"/>
    <w:rsid w:val="003D4BA8"/>
    <w:rsid w:val="003E39B6"/>
    <w:rsid w:val="003E5269"/>
    <w:rsid w:val="00402D12"/>
    <w:rsid w:val="00405394"/>
    <w:rsid w:val="004066E4"/>
    <w:rsid w:val="0040680B"/>
    <w:rsid w:val="00407361"/>
    <w:rsid w:val="00417C55"/>
    <w:rsid w:val="00424A7B"/>
    <w:rsid w:val="00430C4A"/>
    <w:rsid w:val="00441F4C"/>
    <w:rsid w:val="00442C28"/>
    <w:rsid w:val="004447C1"/>
    <w:rsid w:val="00446AA8"/>
    <w:rsid w:val="00451A97"/>
    <w:rsid w:val="00452EDF"/>
    <w:rsid w:val="0045590D"/>
    <w:rsid w:val="0046211F"/>
    <w:rsid w:val="0046787B"/>
    <w:rsid w:val="00471431"/>
    <w:rsid w:val="00484FB3"/>
    <w:rsid w:val="00486653"/>
    <w:rsid w:val="00493CA7"/>
    <w:rsid w:val="004A1F6F"/>
    <w:rsid w:val="004A311D"/>
    <w:rsid w:val="004A5FDA"/>
    <w:rsid w:val="004C033C"/>
    <w:rsid w:val="004C16D9"/>
    <w:rsid w:val="004D098C"/>
    <w:rsid w:val="004D24A9"/>
    <w:rsid w:val="004D41FE"/>
    <w:rsid w:val="004E5357"/>
    <w:rsid w:val="004F4A07"/>
    <w:rsid w:val="004F5EB1"/>
    <w:rsid w:val="004F6887"/>
    <w:rsid w:val="005030AD"/>
    <w:rsid w:val="00503677"/>
    <w:rsid w:val="0051249C"/>
    <w:rsid w:val="005176E7"/>
    <w:rsid w:val="00520330"/>
    <w:rsid w:val="00524B6B"/>
    <w:rsid w:val="00526403"/>
    <w:rsid w:val="00532C07"/>
    <w:rsid w:val="00534DD7"/>
    <w:rsid w:val="00537352"/>
    <w:rsid w:val="005413EE"/>
    <w:rsid w:val="0054770C"/>
    <w:rsid w:val="00556A84"/>
    <w:rsid w:val="00561B67"/>
    <w:rsid w:val="00582D58"/>
    <w:rsid w:val="00587443"/>
    <w:rsid w:val="00587C50"/>
    <w:rsid w:val="005917F3"/>
    <w:rsid w:val="005B0ACD"/>
    <w:rsid w:val="005B0BA8"/>
    <w:rsid w:val="005B50A2"/>
    <w:rsid w:val="005B7939"/>
    <w:rsid w:val="005C00B7"/>
    <w:rsid w:val="005C0250"/>
    <w:rsid w:val="005C3408"/>
    <w:rsid w:val="005D215A"/>
    <w:rsid w:val="005D611B"/>
    <w:rsid w:val="005E6C7D"/>
    <w:rsid w:val="005F1ACE"/>
    <w:rsid w:val="005F256D"/>
    <w:rsid w:val="0060183A"/>
    <w:rsid w:val="00603110"/>
    <w:rsid w:val="00606E19"/>
    <w:rsid w:val="00611C8E"/>
    <w:rsid w:val="006302F7"/>
    <w:rsid w:val="00631358"/>
    <w:rsid w:val="00631F30"/>
    <w:rsid w:val="00640CC2"/>
    <w:rsid w:val="00641505"/>
    <w:rsid w:val="00642420"/>
    <w:rsid w:val="00646158"/>
    <w:rsid w:val="006513F4"/>
    <w:rsid w:val="00651E6B"/>
    <w:rsid w:val="00652E76"/>
    <w:rsid w:val="006629F4"/>
    <w:rsid w:val="0066622C"/>
    <w:rsid w:val="00666487"/>
    <w:rsid w:val="00673B37"/>
    <w:rsid w:val="006945EA"/>
    <w:rsid w:val="006B5470"/>
    <w:rsid w:val="006D0138"/>
    <w:rsid w:val="006D6F52"/>
    <w:rsid w:val="006F2FFD"/>
    <w:rsid w:val="007008DE"/>
    <w:rsid w:val="00701718"/>
    <w:rsid w:val="00710359"/>
    <w:rsid w:val="00710C70"/>
    <w:rsid w:val="00712FFF"/>
    <w:rsid w:val="00722985"/>
    <w:rsid w:val="00722DBF"/>
    <w:rsid w:val="00724D6F"/>
    <w:rsid w:val="007338F3"/>
    <w:rsid w:val="00735157"/>
    <w:rsid w:val="00736EC5"/>
    <w:rsid w:val="0076271C"/>
    <w:rsid w:val="00767CE8"/>
    <w:rsid w:val="00775490"/>
    <w:rsid w:val="00777AFB"/>
    <w:rsid w:val="0078107D"/>
    <w:rsid w:val="00795D0C"/>
    <w:rsid w:val="00797F42"/>
    <w:rsid w:val="007A55BA"/>
    <w:rsid w:val="007B1CF2"/>
    <w:rsid w:val="007C1FBD"/>
    <w:rsid w:val="007C54B3"/>
    <w:rsid w:val="007C5C8E"/>
    <w:rsid w:val="007D21D3"/>
    <w:rsid w:val="007D596B"/>
    <w:rsid w:val="007E0A01"/>
    <w:rsid w:val="007E22F5"/>
    <w:rsid w:val="007F1DDD"/>
    <w:rsid w:val="007F25F3"/>
    <w:rsid w:val="007F4901"/>
    <w:rsid w:val="007F6319"/>
    <w:rsid w:val="007F75BC"/>
    <w:rsid w:val="00826DEB"/>
    <w:rsid w:val="00832A78"/>
    <w:rsid w:val="00836B02"/>
    <w:rsid w:val="0084356D"/>
    <w:rsid w:val="008467D4"/>
    <w:rsid w:val="00850FB0"/>
    <w:rsid w:val="0085238E"/>
    <w:rsid w:val="00853428"/>
    <w:rsid w:val="0085400C"/>
    <w:rsid w:val="008540EA"/>
    <w:rsid w:val="00866A00"/>
    <w:rsid w:val="008702A6"/>
    <w:rsid w:val="008757CE"/>
    <w:rsid w:val="0088392C"/>
    <w:rsid w:val="008956FB"/>
    <w:rsid w:val="00897C0E"/>
    <w:rsid w:val="00897E31"/>
    <w:rsid w:val="008A046F"/>
    <w:rsid w:val="008A23C7"/>
    <w:rsid w:val="008A405A"/>
    <w:rsid w:val="008A6A6A"/>
    <w:rsid w:val="008B650A"/>
    <w:rsid w:val="008B787C"/>
    <w:rsid w:val="008C3898"/>
    <w:rsid w:val="008C49FC"/>
    <w:rsid w:val="008C66CC"/>
    <w:rsid w:val="008D087F"/>
    <w:rsid w:val="008E4319"/>
    <w:rsid w:val="008E6DB6"/>
    <w:rsid w:val="008F16E0"/>
    <w:rsid w:val="008F47B1"/>
    <w:rsid w:val="008F483C"/>
    <w:rsid w:val="00910595"/>
    <w:rsid w:val="00910756"/>
    <w:rsid w:val="00912D61"/>
    <w:rsid w:val="00913EAA"/>
    <w:rsid w:val="009214A4"/>
    <w:rsid w:val="009214EF"/>
    <w:rsid w:val="00922E69"/>
    <w:rsid w:val="00924169"/>
    <w:rsid w:val="009322D7"/>
    <w:rsid w:val="00932BDE"/>
    <w:rsid w:val="0093327C"/>
    <w:rsid w:val="00934936"/>
    <w:rsid w:val="009371D0"/>
    <w:rsid w:val="00965665"/>
    <w:rsid w:val="00967725"/>
    <w:rsid w:val="0098195F"/>
    <w:rsid w:val="00986061"/>
    <w:rsid w:val="009902F8"/>
    <w:rsid w:val="00993BB8"/>
    <w:rsid w:val="0099555F"/>
    <w:rsid w:val="00995C6C"/>
    <w:rsid w:val="009A22A1"/>
    <w:rsid w:val="009B3A1B"/>
    <w:rsid w:val="009B6332"/>
    <w:rsid w:val="009C0912"/>
    <w:rsid w:val="009C28C0"/>
    <w:rsid w:val="009C7443"/>
    <w:rsid w:val="009D6694"/>
    <w:rsid w:val="009F0300"/>
    <w:rsid w:val="009F61A2"/>
    <w:rsid w:val="00A10B42"/>
    <w:rsid w:val="00A113E8"/>
    <w:rsid w:val="00A14587"/>
    <w:rsid w:val="00A15460"/>
    <w:rsid w:val="00A167A8"/>
    <w:rsid w:val="00A21F0A"/>
    <w:rsid w:val="00A26011"/>
    <w:rsid w:val="00A26DC4"/>
    <w:rsid w:val="00A34B34"/>
    <w:rsid w:val="00A361A9"/>
    <w:rsid w:val="00A47AE8"/>
    <w:rsid w:val="00A506C2"/>
    <w:rsid w:val="00A574E8"/>
    <w:rsid w:val="00A60B5C"/>
    <w:rsid w:val="00A62886"/>
    <w:rsid w:val="00A74C38"/>
    <w:rsid w:val="00A77D24"/>
    <w:rsid w:val="00A84752"/>
    <w:rsid w:val="00A8572F"/>
    <w:rsid w:val="00A93E07"/>
    <w:rsid w:val="00A95C93"/>
    <w:rsid w:val="00A97861"/>
    <w:rsid w:val="00A979CF"/>
    <w:rsid w:val="00AA4DF8"/>
    <w:rsid w:val="00AB780C"/>
    <w:rsid w:val="00AC2448"/>
    <w:rsid w:val="00AD01D7"/>
    <w:rsid w:val="00AD0B0B"/>
    <w:rsid w:val="00AD1AFA"/>
    <w:rsid w:val="00AD21AE"/>
    <w:rsid w:val="00AD5ADE"/>
    <w:rsid w:val="00AE448F"/>
    <w:rsid w:val="00AE7138"/>
    <w:rsid w:val="00AF4CAF"/>
    <w:rsid w:val="00B117BA"/>
    <w:rsid w:val="00B15F23"/>
    <w:rsid w:val="00B16508"/>
    <w:rsid w:val="00B20D87"/>
    <w:rsid w:val="00B24053"/>
    <w:rsid w:val="00B31550"/>
    <w:rsid w:val="00B45462"/>
    <w:rsid w:val="00B5368D"/>
    <w:rsid w:val="00B569E4"/>
    <w:rsid w:val="00B578AC"/>
    <w:rsid w:val="00B62F06"/>
    <w:rsid w:val="00B6433F"/>
    <w:rsid w:val="00B64CF5"/>
    <w:rsid w:val="00B7445C"/>
    <w:rsid w:val="00B76C9B"/>
    <w:rsid w:val="00B823A1"/>
    <w:rsid w:val="00B8428B"/>
    <w:rsid w:val="00BA41F5"/>
    <w:rsid w:val="00BA7716"/>
    <w:rsid w:val="00BB3C9C"/>
    <w:rsid w:val="00BC08E9"/>
    <w:rsid w:val="00BC1694"/>
    <w:rsid w:val="00BF37BC"/>
    <w:rsid w:val="00BF4822"/>
    <w:rsid w:val="00C01D22"/>
    <w:rsid w:val="00C104B6"/>
    <w:rsid w:val="00C10F02"/>
    <w:rsid w:val="00C114F4"/>
    <w:rsid w:val="00C11D03"/>
    <w:rsid w:val="00C31967"/>
    <w:rsid w:val="00C34C96"/>
    <w:rsid w:val="00C371DE"/>
    <w:rsid w:val="00C409AE"/>
    <w:rsid w:val="00C4143E"/>
    <w:rsid w:val="00C42D50"/>
    <w:rsid w:val="00C54DF8"/>
    <w:rsid w:val="00C606A3"/>
    <w:rsid w:val="00C60B49"/>
    <w:rsid w:val="00C7440A"/>
    <w:rsid w:val="00C83276"/>
    <w:rsid w:val="00C838F3"/>
    <w:rsid w:val="00C865ED"/>
    <w:rsid w:val="00C8775A"/>
    <w:rsid w:val="00C9259C"/>
    <w:rsid w:val="00C97C5A"/>
    <w:rsid w:val="00CA0877"/>
    <w:rsid w:val="00CA3E63"/>
    <w:rsid w:val="00CA6B59"/>
    <w:rsid w:val="00CB2016"/>
    <w:rsid w:val="00CB3B6C"/>
    <w:rsid w:val="00CB6807"/>
    <w:rsid w:val="00CB75F1"/>
    <w:rsid w:val="00CC1833"/>
    <w:rsid w:val="00CC189F"/>
    <w:rsid w:val="00CC3368"/>
    <w:rsid w:val="00CD4E37"/>
    <w:rsid w:val="00CD7C46"/>
    <w:rsid w:val="00CE3F9C"/>
    <w:rsid w:val="00CF17CE"/>
    <w:rsid w:val="00CF19C4"/>
    <w:rsid w:val="00CF2017"/>
    <w:rsid w:val="00CF2B0A"/>
    <w:rsid w:val="00D07575"/>
    <w:rsid w:val="00D13C04"/>
    <w:rsid w:val="00D20A78"/>
    <w:rsid w:val="00D278BA"/>
    <w:rsid w:val="00D3520B"/>
    <w:rsid w:val="00D35578"/>
    <w:rsid w:val="00D40454"/>
    <w:rsid w:val="00D4059C"/>
    <w:rsid w:val="00D52F4C"/>
    <w:rsid w:val="00D53D8F"/>
    <w:rsid w:val="00D61C76"/>
    <w:rsid w:val="00D64990"/>
    <w:rsid w:val="00D77015"/>
    <w:rsid w:val="00D77F1F"/>
    <w:rsid w:val="00D92B48"/>
    <w:rsid w:val="00DA087B"/>
    <w:rsid w:val="00DA2FD2"/>
    <w:rsid w:val="00DB1693"/>
    <w:rsid w:val="00DD0369"/>
    <w:rsid w:val="00DD5B07"/>
    <w:rsid w:val="00DE6821"/>
    <w:rsid w:val="00DF11FA"/>
    <w:rsid w:val="00DF19AC"/>
    <w:rsid w:val="00DF2022"/>
    <w:rsid w:val="00DF34BE"/>
    <w:rsid w:val="00DF5D59"/>
    <w:rsid w:val="00E10B37"/>
    <w:rsid w:val="00E1299A"/>
    <w:rsid w:val="00E239E4"/>
    <w:rsid w:val="00E3038D"/>
    <w:rsid w:val="00E36A38"/>
    <w:rsid w:val="00E41774"/>
    <w:rsid w:val="00E53399"/>
    <w:rsid w:val="00E535F3"/>
    <w:rsid w:val="00E654C8"/>
    <w:rsid w:val="00E71BB4"/>
    <w:rsid w:val="00E72446"/>
    <w:rsid w:val="00E77995"/>
    <w:rsid w:val="00E87099"/>
    <w:rsid w:val="00E95D03"/>
    <w:rsid w:val="00EA28E6"/>
    <w:rsid w:val="00EA6849"/>
    <w:rsid w:val="00EB0453"/>
    <w:rsid w:val="00ED0637"/>
    <w:rsid w:val="00EE341A"/>
    <w:rsid w:val="00EF78C4"/>
    <w:rsid w:val="00F02B4C"/>
    <w:rsid w:val="00F02DAB"/>
    <w:rsid w:val="00F04CD7"/>
    <w:rsid w:val="00F23E15"/>
    <w:rsid w:val="00F244A2"/>
    <w:rsid w:val="00F31943"/>
    <w:rsid w:val="00F35064"/>
    <w:rsid w:val="00F374D8"/>
    <w:rsid w:val="00F539FB"/>
    <w:rsid w:val="00F5684D"/>
    <w:rsid w:val="00F57AB6"/>
    <w:rsid w:val="00F6480F"/>
    <w:rsid w:val="00F64868"/>
    <w:rsid w:val="00F70C2E"/>
    <w:rsid w:val="00F84DF2"/>
    <w:rsid w:val="00F86713"/>
    <w:rsid w:val="00F932E0"/>
    <w:rsid w:val="00F94885"/>
    <w:rsid w:val="00FA5FEA"/>
    <w:rsid w:val="00FB7701"/>
    <w:rsid w:val="00FC1D8E"/>
    <w:rsid w:val="00FC40F0"/>
    <w:rsid w:val="00FC6D3B"/>
    <w:rsid w:val="00FD0129"/>
    <w:rsid w:val="00FD6624"/>
    <w:rsid w:val="00FE17ED"/>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90FCDEB2-06B9-4809-A5E8-A5FD883A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pPr>
      <w:spacing w:after="120"/>
    </w:pPr>
    <w:rPr>
      <w:rFonts w:ascii="Arial" w:hAnsi="Arial" w:cs="Arial"/>
      <w:sz w:val="22"/>
    </w:rPr>
  </w:style>
  <w:style w:type="paragraph" w:styleId="Heading2">
    <w:name w:val="heading 2"/>
    <w:basedOn w:val="Normal"/>
    <w:next w:val="Normal"/>
    <w:qFormat/>
    <w:rsid w:val="00240CFB"/>
    <w:pPr>
      <w:keepNext/>
      <w:outlineLvl w:val="1"/>
    </w:pPr>
    <w:rPr>
      <w:b/>
      <w:szCs w:val="22"/>
    </w:rPr>
  </w:style>
  <w:style w:type="paragraph" w:styleId="Heading3">
    <w:name w:val="heading 3"/>
    <w:basedOn w:val="Normal"/>
    <w:next w:val="Normal"/>
    <w:qFormat/>
    <w:rsid w:val="00E5339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styleId="UnresolvedMention">
    <w:name w:val="Unresolved Mention"/>
    <w:basedOn w:val="DefaultParagraphFont"/>
    <w:uiPriority w:val="99"/>
    <w:semiHidden/>
    <w:unhideWhenUsed/>
    <w:rsid w:val="00D35578"/>
    <w:rPr>
      <w:color w:val="605E5C"/>
      <w:shd w:val="clear" w:color="auto" w:fill="E1DFDD"/>
    </w:rPr>
  </w:style>
  <w:style w:type="paragraph" w:styleId="Revision">
    <w:name w:val="Revision"/>
    <w:hidden/>
    <w:uiPriority w:val="99"/>
    <w:semiHidden/>
    <w:rsid w:val="00DD036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7191">
      <w:bodyDiv w:val="1"/>
      <w:marLeft w:val="0"/>
      <w:marRight w:val="0"/>
      <w:marTop w:val="0"/>
      <w:marBottom w:val="0"/>
      <w:divBdr>
        <w:top w:val="none" w:sz="0" w:space="0" w:color="auto"/>
        <w:left w:val="none" w:sz="0" w:space="0" w:color="auto"/>
        <w:bottom w:val="none" w:sz="0" w:space="0" w:color="auto"/>
        <w:right w:val="none" w:sz="0" w:space="0" w:color="auto"/>
      </w:divBdr>
    </w:div>
    <w:div w:id="724447446">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408382473">
      <w:bodyDiv w:val="1"/>
      <w:marLeft w:val="0"/>
      <w:marRight w:val="0"/>
      <w:marTop w:val="0"/>
      <w:marBottom w:val="0"/>
      <w:divBdr>
        <w:top w:val="none" w:sz="0" w:space="0" w:color="auto"/>
        <w:left w:val="none" w:sz="0" w:space="0" w:color="auto"/>
        <w:bottom w:val="none" w:sz="0" w:space="0" w:color="auto"/>
        <w:right w:val="none" w:sz="0" w:space="0" w:color="auto"/>
      </w:divBdr>
    </w:div>
    <w:div w:id="1680230178">
      <w:bodyDiv w:val="1"/>
      <w:marLeft w:val="0"/>
      <w:marRight w:val="0"/>
      <w:marTop w:val="0"/>
      <w:marBottom w:val="0"/>
      <w:divBdr>
        <w:top w:val="none" w:sz="0" w:space="0" w:color="auto"/>
        <w:left w:val="none" w:sz="0" w:space="0" w:color="auto"/>
        <w:bottom w:val="none" w:sz="0" w:space="0" w:color="auto"/>
        <w:right w:val="none" w:sz="0" w:space="0" w:color="auto"/>
      </w:divBdr>
    </w:div>
    <w:div w:id="1869294060">
      <w:bodyDiv w:val="1"/>
      <w:marLeft w:val="0"/>
      <w:marRight w:val="0"/>
      <w:marTop w:val="0"/>
      <w:marBottom w:val="0"/>
      <w:divBdr>
        <w:top w:val="none" w:sz="0" w:space="0" w:color="auto"/>
        <w:left w:val="none" w:sz="0" w:space="0" w:color="auto"/>
        <w:bottom w:val="none" w:sz="0" w:space="0" w:color="auto"/>
        <w:right w:val="none" w:sz="0" w:space="0" w:color="auto"/>
      </w:divBdr>
    </w:div>
    <w:div w:id="1996834659">
      <w:bodyDiv w:val="1"/>
      <w:marLeft w:val="0"/>
      <w:marRight w:val="0"/>
      <w:marTop w:val="0"/>
      <w:marBottom w:val="0"/>
      <w:divBdr>
        <w:top w:val="none" w:sz="0" w:space="0" w:color="auto"/>
        <w:left w:val="none" w:sz="0" w:space="0" w:color="auto"/>
        <w:bottom w:val="none" w:sz="0" w:space="0" w:color="auto"/>
        <w:right w:val="none" w:sz="0" w:space="0" w:color="auto"/>
      </w:divBdr>
    </w:div>
    <w:div w:id="1999186278">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 w:id="21266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B523-521B-4F01-8DAB-0EC284B7888D}">
  <ds:schemaRefs>
    <ds:schemaRef ds:uri="office.server.policy"/>
  </ds:schemaRefs>
</ds:datastoreItem>
</file>

<file path=customXml/itemProps2.xml><?xml version="1.0" encoding="utf-8"?>
<ds:datastoreItem xmlns:ds="http://schemas.openxmlformats.org/officeDocument/2006/customXml" ds:itemID="{46F643D7-82D0-42C4-BCFC-71851A6C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Kelly</dc:creator>
  <cp:lastModifiedBy>Rebecca Legh</cp:lastModifiedBy>
  <cp:revision>3</cp:revision>
  <dcterms:created xsi:type="dcterms:W3CDTF">2023-06-05T04:13:00Z</dcterms:created>
  <dcterms:modified xsi:type="dcterms:W3CDTF">2023-06-09T00:09:00Z</dcterms:modified>
</cp:coreProperties>
</file>