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BBBB" w14:textId="6B3D37F6" w:rsidR="00704A20" w:rsidRDefault="003C5833" w:rsidP="00704A20">
      <w:pPr>
        <w:spacing w:after="220" w:line="240" w:lineRule="auto"/>
        <w:jc w:val="center"/>
        <w:rPr>
          <w:rFonts w:ascii="Times New Roman" w:hAnsi="Times New Roman"/>
          <w:b/>
          <w:sz w:val="24"/>
          <w:szCs w:val="24"/>
          <w:u w:val="single"/>
        </w:rPr>
      </w:pPr>
      <w:r>
        <w:rPr>
          <w:rFonts w:ascii="Times New Roman" w:hAnsi="Times New Roman"/>
          <w:b/>
          <w:sz w:val="24"/>
          <w:szCs w:val="24"/>
          <w:u w:val="single"/>
        </w:rPr>
        <w:t>SAFETY,</w:t>
      </w:r>
      <w:r w:rsidRPr="00F36CE5">
        <w:rPr>
          <w:rFonts w:ascii="Times New Roman" w:hAnsi="Times New Roman"/>
          <w:b/>
          <w:sz w:val="24"/>
          <w:szCs w:val="24"/>
          <w:u w:val="single"/>
        </w:rPr>
        <w:t xml:space="preserve"> REHABILITATION AND COMPENSATION</w:t>
      </w:r>
      <w:r w:rsidR="008A1E2B">
        <w:rPr>
          <w:rFonts w:ascii="Times New Roman" w:hAnsi="Times New Roman"/>
          <w:b/>
          <w:sz w:val="24"/>
          <w:szCs w:val="24"/>
          <w:u w:val="single"/>
        </w:rPr>
        <w:t xml:space="preserve"> DIRECTIONS AMENDMENT INSTRUMENT 202</w:t>
      </w:r>
      <w:r w:rsidR="0099177E">
        <w:rPr>
          <w:rFonts w:ascii="Times New Roman" w:hAnsi="Times New Roman"/>
          <w:b/>
          <w:sz w:val="24"/>
          <w:szCs w:val="24"/>
          <w:u w:val="single"/>
        </w:rPr>
        <w:t>3</w:t>
      </w:r>
    </w:p>
    <w:p w14:paraId="42AC8EEE" w14:textId="77777777" w:rsidR="008A1E2B" w:rsidRPr="00704A20" w:rsidRDefault="008A1E2B" w:rsidP="00704A20">
      <w:pPr>
        <w:spacing w:after="220" w:line="240" w:lineRule="auto"/>
        <w:jc w:val="center"/>
        <w:rPr>
          <w:rFonts w:ascii="Times New Roman" w:hAnsi="Times New Roman"/>
          <w:b/>
          <w:sz w:val="24"/>
          <w:szCs w:val="24"/>
          <w:u w:val="single"/>
        </w:rPr>
      </w:pPr>
    </w:p>
    <w:p w14:paraId="78F2B4FE" w14:textId="77777777" w:rsidR="003C5833" w:rsidRPr="00F36CE5" w:rsidRDefault="003C5833" w:rsidP="003C5833">
      <w:pPr>
        <w:spacing w:after="220" w:line="240" w:lineRule="auto"/>
        <w:jc w:val="center"/>
        <w:rPr>
          <w:rFonts w:ascii="Times New Roman" w:hAnsi="Times New Roman"/>
          <w:b/>
          <w:sz w:val="24"/>
          <w:szCs w:val="24"/>
          <w:u w:val="single"/>
        </w:rPr>
      </w:pPr>
      <w:r w:rsidRPr="00F36CE5">
        <w:rPr>
          <w:rFonts w:ascii="Times New Roman" w:hAnsi="Times New Roman"/>
          <w:b/>
          <w:sz w:val="24"/>
          <w:szCs w:val="24"/>
          <w:u w:val="single"/>
        </w:rPr>
        <w:t>EXPLANATORY STATEMENT</w:t>
      </w:r>
    </w:p>
    <w:p w14:paraId="12168018" w14:textId="77777777" w:rsidR="003C5833" w:rsidRPr="009D2A47" w:rsidRDefault="003C5833" w:rsidP="003C5833">
      <w:pPr>
        <w:spacing w:after="220" w:line="240" w:lineRule="auto"/>
        <w:jc w:val="center"/>
        <w:rPr>
          <w:rFonts w:ascii="Times New Roman" w:hAnsi="Times New Roman"/>
          <w:b/>
          <w:u w:val="single"/>
        </w:rPr>
      </w:pPr>
    </w:p>
    <w:p w14:paraId="043CCA1A" w14:textId="17E16406" w:rsidR="003C5833" w:rsidRPr="00C04ACC" w:rsidRDefault="003C5833" w:rsidP="003C5833">
      <w:pPr>
        <w:spacing w:after="220" w:line="240" w:lineRule="auto"/>
        <w:jc w:val="center"/>
        <w:rPr>
          <w:rFonts w:ascii="Times New Roman" w:hAnsi="Times New Roman"/>
        </w:rPr>
      </w:pPr>
      <w:r w:rsidRPr="00C04ACC">
        <w:rPr>
          <w:rFonts w:ascii="Times New Roman" w:hAnsi="Times New Roman"/>
        </w:rPr>
        <w:t xml:space="preserve">Issued by </w:t>
      </w:r>
      <w:r>
        <w:rPr>
          <w:rFonts w:ascii="Times New Roman" w:hAnsi="Times New Roman"/>
        </w:rPr>
        <w:t xml:space="preserve">authority of </w:t>
      </w:r>
      <w:r w:rsidR="00F32E8A" w:rsidRPr="00C04ACC">
        <w:rPr>
          <w:rFonts w:ascii="Times New Roman" w:hAnsi="Times New Roman"/>
        </w:rPr>
        <w:t xml:space="preserve">the </w:t>
      </w:r>
      <w:r w:rsidRPr="00C04ACC">
        <w:rPr>
          <w:rFonts w:ascii="Times New Roman" w:hAnsi="Times New Roman"/>
          <w:lang w:val="en"/>
        </w:rPr>
        <w:t xml:space="preserve">Minister for </w:t>
      </w:r>
      <w:r w:rsidR="0099177E">
        <w:rPr>
          <w:rFonts w:ascii="Times New Roman" w:hAnsi="Times New Roman"/>
          <w:lang w:val="en"/>
        </w:rPr>
        <w:t>Employment and Workplace Relations</w:t>
      </w:r>
      <w:r>
        <w:rPr>
          <w:rFonts w:ascii="Times New Roman" w:hAnsi="Times New Roman"/>
          <w:lang w:val="en"/>
        </w:rPr>
        <w:t xml:space="preserve"> </w:t>
      </w:r>
    </w:p>
    <w:p w14:paraId="2B21EF75" w14:textId="5CE51306" w:rsidR="003C5833" w:rsidRPr="00C04ACC" w:rsidRDefault="003C5833" w:rsidP="003C5833">
      <w:pPr>
        <w:spacing w:after="220" w:line="240" w:lineRule="auto"/>
        <w:jc w:val="center"/>
        <w:rPr>
          <w:rFonts w:ascii="Times New Roman" w:hAnsi="Times New Roman"/>
          <w:i/>
        </w:rPr>
      </w:pPr>
      <w:r>
        <w:rPr>
          <w:rFonts w:ascii="Times New Roman" w:hAnsi="Times New Roman"/>
          <w:lang w:val="en"/>
        </w:rPr>
        <w:t xml:space="preserve">under </w:t>
      </w:r>
      <w:r w:rsidR="008A1E2B">
        <w:rPr>
          <w:rFonts w:ascii="Times New Roman" w:hAnsi="Times New Roman"/>
        </w:rPr>
        <w:t xml:space="preserve">sections 89D and 101 </w:t>
      </w:r>
      <w:r>
        <w:rPr>
          <w:rFonts w:ascii="Times New Roman" w:hAnsi="Times New Roman"/>
        </w:rPr>
        <w:t xml:space="preserve">of the </w:t>
      </w:r>
      <w:r>
        <w:rPr>
          <w:rFonts w:ascii="Times New Roman" w:hAnsi="Times New Roman"/>
          <w:i/>
        </w:rPr>
        <w:t xml:space="preserve">Safety, </w:t>
      </w:r>
      <w:r w:rsidRPr="00C04ACC">
        <w:rPr>
          <w:rFonts w:ascii="Times New Roman" w:hAnsi="Times New Roman"/>
          <w:i/>
        </w:rPr>
        <w:t>Rehabili</w:t>
      </w:r>
      <w:r>
        <w:rPr>
          <w:rFonts w:ascii="Times New Roman" w:hAnsi="Times New Roman"/>
          <w:i/>
        </w:rPr>
        <w:t>tation and Compensation Act 1988</w:t>
      </w:r>
    </w:p>
    <w:p w14:paraId="4FEC3531" w14:textId="77777777" w:rsidR="003C5833" w:rsidRDefault="003C5833" w:rsidP="003C5833">
      <w:pPr>
        <w:spacing w:line="240" w:lineRule="auto"/>
        <w:contextualSpacing/>
        <w:rPr>
          <w:rFonts w:ascii="Times New Roman" w:eastAsia="Times New Roman" w:hAnsi="Times New Roman"/>
          <w:b/>
          <w:caps/>
          <w:sz w:val="24"/>
          <w:szCs w:val="24"/>
        </w:rPr>
      </w:pPr>
    </w:p>
    <w:p w14:paraId="33C182E6" w14:textId="77777777" w:rsidR="003C5833" w:rsidRDefault="003C5833" w:rsidP="003C5833">
      <w:pPr>
        <w:spacing w:line="240" w:lineRule="auto"/>
        <w:contextualSpacing/>
        <w:rPr>
          <w:rFonts w:ascii="Times New Roman" w:eastAsia="Times New Roman" w:hAnsi="Times New Roman"/>
          <w:b/>
          <w:sz w:val="24"/>
          <w:szCs w:val="24"/>
        </w:rPr>
      </w:pPr>
      <w:r w:rsidRPr="005F108B">
        <w:rPr>
          <w:rFonts w:ascii="Times New Roman" w:eastAsia="Times New Roman" w:hAnsi="Times New Roman"/>
          <w:b/>
          <w:caps/>
          <w:sz w:val="24"/>
          <w:szCs w:val="24"/>
        </w:rPr>
        <w:t>Purpose and operation of the Instrument</w:t>
      </w:r>
    </w:p>
    <w:p w14:paraId="21C79330" w14:textId="77777777" w:rsidR="003C5833" w:rsidRDefault="003C5833" w:rsidP="003C5833">
      <w:pPr>
        <w:spacing w:line="240" w:lineRule="auto"/>
        <w:contextualSpacing/>
        <w:rPr>
          <w:rFonts w:ascii="Times New Roman" w:eastAsia="Times New Roman" w:hAnsi="Times New Roman"/>
          <w:lang w:eastAsia="en-AU"/>
        </w:rPr>
      </w:pPr>
    </w:p>
    <w:p w14:paraId="6365B2B1" w14:textId="77777777" w:rsidR="008A1E2B" w:rsidRPr="008A1E2B" w:rsidRDefault="008A1E2B" w:rsidP="008A1E2B">
      <w:pPr>
        <w:shd w:val="clear" w:color="auto" w:fill="FFFFFF"/>
        <w:spacing w:line="240" w:lineRule="auto"/>
        <w:rPr>
          <w:rFonts w:eastAsia="Times New Roman" w:cs="Calibri"/>
          <w:color w:val="000000"/>
          <w:lang w:eastAsia="en-AU"/>
        </w:rPr>
      </w:pPr>
      <w:r w:rsidRPr="008A1E2B">
        <w:rPr>
          <w:rFonts w:ascii="Times New Roman" w:eastAsia="Times New Roman" w:hAnsi="Times New Roman"/>
          <w:color w:val="000000"/>
          <w:lang w:eastAsia="en-AU"/>
        </w:rPr>
        <w:t>The </w:t>
      </w:r>
      <w:r w:rsidRPr="008A1E2B">
        <w:rPr>
          <w:rFonts w:ascii="Times New Roman" w:eastAsia="Times New Roman" w:hAnsi="Times New Roman"/>
          <w:i/>
          <w:iCs/>
          <w:color w:val="000000"/>
          <w:lang w:eastAsia="en-AU"/>
        </w:rPr>
        <w:t>Safety, Rehabilitation and Compensation Act 1988 </w:t>
      </w:r>
      <w:r w:rsidRPr="008A1E2B">
        <w:rPr>
          <w:rFonts w:ascii="Times New Roman" w:eastAsia="Times New Roman" w:hAnsi="Times New Roman"/>
          <w:color w:val="000000"/>
          <w:lang w:eastAsia="en-AU"/>
        </w:rPr>
        <w:t>(SRC Act) establishes the Commonwealth workers’ compensation and rehabilitation scheme for employees of the Commonwealth, Commonwealth authorities and licensed corporations.</w:t>
      </w:r>
    </w:p>
    <w:p w14:paraId="4F851E98" w14:textId="77777777" w:rsidR="008A1E2B" w:rsidRPr="008A1E2B" w:rsidRDefault="008A1E2B" w:rsidP="008A1E2B">
      <w:pPr>
        <w:shd w:val="clear" w:color="auto" w:fill="FFFFFF"/>
        <w:spacing w:line="240" w:lineRule="auto"/>
        <w:rPr>
          <w:rFonts w:eastAsia="Times New Roman" w:cs="Calibri"/>
          <w:color w:val="000000"/>
          <w:lang w:eastAsia="en-AU"/>
        </w:rPr>
      </w:pPr>
      <w:r w:rsidRPr="008A1E2B">
        <w:rPr>
          <w:rFonts w:ascii="Times New Roman" w:eastAsia="Times New Roman" w:hAnsi="Times New Roman"/>
          <w:color w:val="000000"/>
          <w:lang w:eastAsia="en-AU"/>
        </w:rPr>
        <w:t xml:space="preserve">The Safety, Rehabilitation and Compensation Commission (the Commission) is established by the SRC Act. The Commission has </w:t>
      </w:r>
      <w:proofErr w:type="gramStart"/>
      <w:r w:rsidRPr="008A1E2B">
        <w:rPr>
          <w:rFonts w:ascii="Times New Roman" w:eastAsia="Times New Roman" w:hAnsi="Times New Roman"/>
          <w:color w:val="000000"/>
          <w:lang w:eastAsia="en-AU"/>
        </w:rPr>
        <w:t>a number of</w:t>
      </w:r>
      <w:proofErr w:type="gramEnd"/>
      <w:r w:rsidRPr="008A1E2B">
        <w:rPr>
          <w:rFonts w:ascii="Times New Roman" w:eastAsia="Times New Roman" w:hAnsi="Times New Roman"/>
          <w:color w:val="000000"/>
          <w:lang w:eastAsia="en-AU"/>
        </w:rPr>
        <w:t xml:space="preserve"> functions and powers under the SRC Act, including the granting of licences to eligible applicants under Part VIII of the Act.</w:t>
      </w:r>
    </w:p>
    <w:p w14:paraId="594E51E4" w14:textId="77777777" w:rsidR="00605616" w:rsidRPr="00871AA7" w:rsidRDefault="008A1E2B" w:rsidP="008A1E2B">
      <w:pPr>
        <w:shd w:val="clear" w:color="auto" w:fill="FFFFFF"/>
        <w:spacing w:line="240" w:lineRule="auto"/>
        <w:rPr>
          <w:rFonts w:ascii="Times New Roman" w:eastAsia="Times New Roman" w:hAnsi="Times New Roman"/>
          <w:color w:val="000000"/>
          <w:lang w:val="en" w:eastAsia="en-AU"/>
        </w:rPr>
      </w:pPr>
      <w:r w:rsidRPr="008A1E2B">
        <w:rPr>
          <w:rFonts w:ascii="Times New Roman" w:eastAsia="Times New Roman" w:hAnsi="Times New Roman"/>
          <w:color w:val="000000"/>
          <w:lang w:eastAsia="en-AU"/>
        </w:rPr>
        <w:t>Pursuant to section 89D of the SRC Act, the Minister may </w:t>
      </w:r>
      <w:r w:rsidRPr="008A1E2B">
        <w:rPr>
          <w:rFonts w:ascii="Times New Roman" w:eastAsia="Times New Roman" w:hAnsi="Times New Roman"/>
          <w:color w:val="000000"/>
          <w:lang w:val="en" w:eastAsia="en-AU"/>
        </w:rPr>
        <w:t>give a direction to the Commission with respect to the performance of its functions and the exercise of its powers under the SRC Act. Section 101 of the SRC Act provides that the Minister's power to give directions to the Commission under section 89D of the SRC Act extends to directions concerning any matter relating to the grant of licences under Part VIII of the Act.</w:t>
      </w:r>
      <w:r w:rsidR="00605616" w:rsidRPr="00871AA7">
        <w:rPr>
          <w:rFonts w:ascii="Times New Roman" w:eastAsia="Times New Roman" w:hAnsi="Times New Roman"/>
          <w:color w:val="000000"/>
          <w:lang w:val="en" w:eastAsia="en-AU"/>
        </w:rPr>
        <w:t xml:space="preserve"> </w:t>
      </w:r>
    </w:p>
    <w:p w14:paraId="5B17AC30" w14:textId="6A8E297F" w:rsidR="008A1E2B" w:rsidRPr="00871AA7" w:rsidRDefault="00605616" w:rsidP="004D2511">
      <w:pPr>
        <w:shd w:val="clear" w:color="auto" w:fill="FFFFFF"/>
        <w:spacing w:line="240" w:lineRule="auto"/>
        <w:rPr>
          <w:rFonts w:ascii="Times New Roman" w:hAnsi="Times New Roman"/>
          <w:iCs/>
          <w:color w:val="000000"/>
          <w:shd w:val="clear" w:color="auto" w:fill="FFFFFF"/>
        </w:rPr>
      </w:pPr>
      <w:r w:rsidRPr="00871AA7">
        <w:rPr>
          <w:rFonts w:ascii="Times New Roman" w:eastAsia="Times New Roman" w:hAnsi="Times New Roman"/>
          <w:color w:val="000000"/>
          <w:lang w:val="en" w:eastAsia="en-AU"/>
        </w:rPr>
        <w:t xml:space="preserve">On and from </w:t>
      </w:r>
      <w:r w:rsidR="004D2511" w:rsidRPr="00871AA7">
        <w:rPr>
          <w:rFonts w:ascii="Times New Roman" w:eastAsia="Times New Roman" w:hAnsi="Times New Roman"/>
          <w:color w:val="000000"/>
          <w:lang w:val="en" w:eastAsia="en-AU"/>
        </w:rPr>
        <w:t>28 March 201</w:t>
      </w:r>
      <w:r w:rsidR="002C381F">
        <w:rPr>
          <w:rFonts w:ascii="Times New Roman" w:eastAsia="Times New Roman" w:hAnsi="Times New Roman"/>
          <w:color w:val="000000"/>
          <w:lang w:val="en" w:eastAsia="en-AU"/>
        </w:rPr>
        <w:t>9</w:t>
      </w:r>
      <w:r w:rsidR="004D2511" w:rsidRPr="00871AA7">
        <w:rPr>
          <w:rFonts w:ascii="Times New Roman" w:eastAsia="Times New Roman" w:hAnsi="Times New Roman"/>
          <w:color w:val="000000"/>
          <w:lang w:val="en" w:eastAsia="en-AU"/>
        </w:rPr>
        <w:t xml:space="preserve">, the Commission has been subject to the Ministerial directions contained in the </w:t>
      </w:r>
      <w:r w:rsidR="004D2511" w:rsidRPr="00871AA7">
        <w:rPr>
          <w:rFonts w:ascii="Times New Roman" w:eastAsia="Times New Roman" w:hAnsi="Times New Roman"/>
          <w:i/>
          <w:color w:val="000000"/>
          <w:lang w:val="en" w:eastAsia="en-AU"/>
        </w:rPr>
        <w:t xml:space="preserve">Safety, Rehabilitation and Compensation Directions 2019 </w:t>
      </w:r>
      <w:r w:rsidR="0096577C" w:rsidRPr="00871AA7">
        <w:rPr>
          <w:rFonts w:ascii="Times New Roman" w:eastAsia="Times New Roman" w:hAnsi="Times New Roman"/>
          <w:color w:val="000000"/>
          <w:lang w:val="en" w:eastAsia="en-AU"/>
        </w:rPr>
        <w:t xml:space="preserve">(the </w:t>
      </w:r>
      <w:r w:rsidR="002E52BB" w:rsidRPr="00871AA7">
        <w:rPr>
          <w:rFonts w:ascii="Times New Roman" w:eastAsia="Times New Roman" w:hAnsi="Times New Roman"/>
          <w:color w:val="000000"/>
          <w:lang w:val="en" w:eastAsia="en-AU"/>
        </w:rPr>
        <w:t xml:space="preserve">2019 </w:t>
      </w:r>
      <w:r w:rsidR="0096577C" w:rsidRPr="00871AA7">
        <w:rPr>
          <w:rFonts w:ascii="Times New Roman" w:eastAsia="Times New Roman" w:hAnsi="Times New Roman"/>
          <w:color w:val="000000"/>
          <w:lang w:val="en" w:eastAsia="en-AU"/>
        </w:rPr>
        <w:t>Directions)</w:t>
      </w:r>
      <w:r w:rsidR="0096577C" w:rsidRPr="00871AA7">
        <w:rPr>
          <w:rFonts w:ascii="Times New Roman" w:hAnsi="Times New Roman"/>
          <w:iCs/>
          <w:color w:val="000000"/>
          <w:shd w:val="clear" w:color="auto" w:fill="FFFFFF"/>
        </w:rPr>
        <w:t xml:space="preserve">. </w:t>
      </w:r>
      <w:r w:rsidR="0099177E">
        <w:rPr>
          <w:rFonts w:ascii="Times New Roman" w:hAnsi="Times New Roman"/>
          <w:iCs/>
          <w:color w:val="000000"/>
          <w:shd w:val="clear" w:color="auto" w:fill="FFFFFF"/>
        </w:rPr>
        <w:t xml:space="preserve"> The 2019 Directions were amended from 8 April 2022 by the </w:t>
      </w:r>
      <w:r w:rsidR="0099177E" w:rsidRPr="00871AA7">
        <w:rPr>
          <w:rFonts w:ascii="Times New Roman" w:hAnsi="Times New Roman"/>
          <w:i/>
          <w:iCs/>
          <w:color w:val="000000"/>
          <w:shd w:val="clear" w:color="auto" w:fill="FFFFFF"/>
        </w:rPr>
        <w:t xml:space="preserve">Safety, Rehabilitation and Compensation </w:t>
      </w:r>
      <w:r w:rsidR="0099177E">
        <w:rPr>
          <w:rFonts w:ascii="Times New Roman" w:hAnsi="Times New Roman"/>
          <w:i/>
          <w:iCs/>
          <w:color w:val="000000"/>
          <w:shd w:val="clear" w:color="auto" w:fill="FFFFFF"/>
        </w:rPr>
        <w:t>Directions Amendment Instrument</w:t>
      </w:r>
      <w:r w:rsidR="0099177E" w:rsidRPr="00871AA7">
        <w:rPr>
          <w:rFonts w:ascii="Times New Roman" w:hAnsi="Times New Roman"/>
          <w:i/>
          <w:iCs/>
          <w:color w:val="000000"/>
          <w:shd w:val="clear" w:color="auto" w:fill="FFFFFF"/>
        </w:rPr>
        <w:t xml:space="preserve"> 20</w:t>
      </w:r>
      <w:r w:rsidR="0099177E">
        <w:rPr>
          <w:rFonts w:ascii="Times New Roman" w:hAnsi="Times New Roman"/>
          <w:i/>
          <w:iCs/>
          <w:color w:val="000000"/>
          <w:shd w:val="clear" w:color="auto" w:fill="FFFFFF"/>
        </w:rPr>
        <w:t>22</w:t>
      </w:r>
      <w:r w:rsidR="0099177E" w:rsidRPr="00871AA7">
        <w:rPr>
          <w:rFonts w:ascii="Times New Roman" w:hAnsi="Times New Roman"/>
          <w:iCs/>
          <w:color w:val="000000"/>
          <w:shd w:val="clear" w:color="auto" w:fill="FFFFFF"/>
        </w:rPr>
        <w:t xml:space="preserve">. </w:t>
      </w:r>
      <w:r w:rsidR="0099177E">
        <w:rPr>
          <w:rFonts w:ascii="Times New Roman" w:hAnsi="Times New Roman"/>
          <w:iCs/>
          <w:color w:val="000000"/>
          <w:shd w:val="clear" w:color="auto" w:fill="FFFFFF"/>
        </w:rPr>
        <w:t xml:space="preserve"> </w:t>
      </w:r>
    </w:p>
    <w:p w14:paraId="474A5BEA" w14:textId="23BB738B" w:rsidR="008773CF" w:rsidRDefault="0096577C" w:rsidP="004D2511">
      <w:pPr>
        <w:shd w:val="clear" w:color="auto" w:fill="FFFFFF"/>
        <w:spacing w:line="240" w:lineRule="auto"/>
        <w:rPr>
          <w:rFonts w:ascii="Times New Roman" w:hAnsi="Times New Roman"/>
          <w:iCs/>
          <w:color w:val="000000"/>
          <w:shd w:val="clear" w:color="auto" w:fill="FFFFFF"/>
        </w:rPr>
      </w:pPr>
      <w:r w:rsidRPr="00871AA7">
        <w:rPr>
          <w:rFonts w:ascii="Times New Roman" w:hAnsi="Times New Roman"/>
          <w:iCs/>
          <w:color w:val="000000"/>
          <w:shd w:val="clear" w:color="auto" w:fill="FFFFFF"/>
        </w:rPr>
        <w:t xml:space="preserve">This instrument amends the </w:t>
      </w:r>
      <w:r w:rsidR="002E52BB" w:rsidRPr="00871AA7">
        <w:rPr>
          <w:rFonts w:ascii="Times New Roman" w:hAnsi="Times New Roman"/>
          <w:iCs/>
          <w:color w:val="000000"/>
          <w:shd w:val="clear" w:color="auto" w:fill="FFFFFF"/>
        </w:rPr>
        <w:t xml:space="preserve">2019 </w:t>
      </w:r>
      <w:r w:rsidRPr="00871AA7">
        <w:rPr>
          <w:rFonts w:ascii="Times New Roman" w:hAnsi="Times New Roman"/>
          <w:iCs/>
          <w:color w:val="000000"/>
          <w:shd w:val="clear" w:color="auto" w:fill="FFFFFF"/>
        </w:rPr>
        <w:t xml:space="preserve">Directions to </w:t>
      </w:r>
      <w:r w:rsidR="00A91C65" w:rsidRPr="00871AA7">
        <w:rPr>
          <w:rFonts w:ascii="Times New Roman" w:hAnsi="Times New Roman"/>
          <w:iCs/>
          <w:color w:val="000000"/>
          <w:shd w:val="clear" w:color="auto" w:fill="FFFFFF"/>
        </w:rPr>
        <w:t xml:space="preserve">introduce </w:t>
      </w:r>
      <w:r w:rsidR="008773CF">
        <w:rPr>
          <w:rFonts w:ascii="Times New Roman" w:hAnsi="Times New Roman"/>
          <w:iCs/>
          <w:color w:val="000000"/>
          <w:shd w:val="clear" w:color="auto" w:fill="FFFFFF"/>
        </w:rPr>
        <w:t>a</w:t>
      </w:r>
      <w:r w:rsidR="00A91C65" w:rsidRPr="00871AA7">
        <w:rPr>
          <w:rFonts w:ascii="Times New Roman" w:hAnsi="Times New Roman"/>
          <w:iCs/>
          <w:color w:val="000000"/>
          <w:shd w:val="clear" w:color="auto" w:fill="FFFFFF"/>
        </w:rPr>
        <w:t xml:space="preserve"> </w:t>
      </w:r>
      <w:r w:rsidR="008773CF">
        <w:rPr>
          <w:rFonts w:ascii="Times New Roman" w:hAnsi="Times New Roman"/>
          <w:iCs/>
          <w:color w:val="000000"/>
          <w:shd w:val="clear" w:color="auto" w:fill="FFFFFF"/>
        </w:rPr>
        <w:t xml:space="preserve">new </w:t>
      </w:r>
      <w:r w:rsidR="00A91C65" w:rsidRPr="00871AA7">
        <w:rPr>
          <w:rFonts w:ascii="Times New Roman" w:hAnsi="Times New Roman"/>
          <w:iCs/>
          <w:color w:val="000000"/>
          <w:shd w:val="clear" w:color="auto" w:fill="FFFFFF"/>
        </w:rPr>
        <w:t>direction</w:t>
      </w:r>
      <w:r w:rsidR="008773CF">
        <w:rPr>
          <w:rFonts w:ascii="Times New Roman" w:hAnsi="Times New Roman"/>
          <w:iCs/>
          <w:color w:val="000000"/>
          <w:shd w:val="clear" w:color="auto" w:fill="FFFFFF"/>
        </w:rPr>
        <w:t>.  The new direction requires that</w:t>
      </w:r>
      <w:r w:rsidR="00A91C65" w:rsidRPr="00871AA7">
        <w:rPr>
          <w:rFonts w:ascii="Times New Roman" w:hAnsi="Times New Roman"/>
          <w:iCs/>
          <w:color w:val="000000"/>
          <w:shd w:val="clear" w:color="auto" w:fill="FFFFFF"/>
        </w:rPr>
        <w:t xml:space="preserve"> </w:t>
      </w:r>
      <w:r w:rsidR="008773CF">
        <w:rPr>
          <w:rFonts w:ascii="Times New Roman" w:hAnsi="Times New Roman"/>
          <w:iCs/>
          <w:color w:val="000000"/>
          <w:shd w:val="clear" w:color="auto" w:fill="FFFFFF"/>
        </w:rPr>
        <w:t xml:space="preserve">in determining an application for a </w:t>
      </w:r>
      <w:r w:rsidR="0021295A">
        <w:rPr>
          <w:rFonts w:ascii="Times New Roman" w:hAnsi="Times New Roman"/>
          <w:iCs/>
          <w:color w:val="000000"/>
          <w:shd w:val="clear" w:color="auto" w:fill="FFFFFF"/>
        </w:rPr>
        <w:t xml:space="preserve">new </w:t>
      </w:r>
      <w:r w:rsidR="008773CF">
        <w:rPr>
          <w:rFonts w:ascii="Times New Roman" w:hAnsi="Times New Roman"/>
          <w:iCs/>
          <w:color w:val="000000"/>
          <w:shd w:val="clear" w:color="auto" w:fill="FFFFFF"/>
        </w:rPr>
        <w:t>licence under s 104 of the SRC Act, the</w:t>
      </w:r>
      <w:r w:rsidR="0099177E">
        <w:rPr>
          <w:rFonts w:ascii="Times New Roman" w:hAnsi="Times New Roman"/>
          <w:iCs/>
          <w:color w:val="000000"/>
          <w:shd w:val="clear" w:color="auto" w:fill="FFFFFF"/>
        </w:rPr>
        <w:t xml:space="preserve"> primary criteria to be considered by the Commission </w:t>
      </w:r>
      <w:r w:rsidR="008773CF">
        <w:rPr>
          <w:rFonts w:ascii="Times New Roman" w:hAnsi="Times New Roman"/>
          <w:iCs/>
          <w:color w:val="000000"/>
          <w:shd w:val="clear" w:color="auto" w:fill="FFFFFF"/>
        </w:rPr>
        <w:t>is whether it is satisfied, on reasonable grounds, that:</w:t>
      </w:r>
    </w:p>
    <w:p w14:paraId="6D6A3A31" w14:textId="29A6CB0A" w:rsidR="008773CF" w:rsidRPr="008773CF" w:rsidRDefault="008773CF" w:rsidP="008773CF">
      <w:pPr>
        <w:numPr>
          <w:ilvl w:val="0"/>
          <w:numId w:val="11"/>
        </w:numPr>
        <w:shd w:val="clear" w:color="auto" w:fill="FFFFFF"/>
        <w:rPr>
          <w:rFonts w:ascii="Times New Roman" w:hAnsi="Times New Roman"/>
          <w:iCs/>
          <w:color w:val="000000"/>
          <w:shd w:val="clear" w:color="auto" w:fill="FFFFFF"/>
        </w:rPr>
      </w:pPr>
      <w:r w:rsidRPr="008773CF">
        <w:rPr>
          <w:rFonts w:ascii="Times New Roman" w:hAnsi="Times New Roman"/>
          <w:iCs/>
          <w:color w:val="000000"/>
          <w:shd w:val="clear" w:color="auto" w:fill="FFFFFF"/>
        </w:rPr>
        <w:t xml:space="preserve">the </w:t>
      </w:r>
      <w:r>
        <w:rPr>
          <w:rFonts w:ascii="Times New Roman" w:hAnsi="Times New Roman"/>
          <w:iCs/>
          <w:color w:val="000000"/>
          <w:shd w:val="clear" w:color="auto" w:fill="FFFFFF"/>
        </w:rPr>
        <w:t xml:space="preserve">licence </w:t>
      </w:r>
      <w:r w:rsidRPr="008773CF">
        <w:rPr>
          <w:rFonts w:ascii="Times New Roman" w:hAnsi="Times New Roman"/>
          <w:iCs/>
          <w:color w:val="000000"/>
          <w:shd w:val="clear" w:color="auto" w:fill="FFFFFF"/>
        </w:rPr>
        <w:t xml:space="preserve">applicant is a member of a corporate group in which </w:t>
      </w:r>
      <w:proofErr w:type="gramStart"/>
      <w:r w:rsidRPr="008773CF">
        <w:rPr>
          <w:rFonts w:ascii="Times New Roman" w:hAnsi="Times New Roman"/>
          <w:iCs/>
          <w:color w:val="000000"/>
          <w:shd w:val="clear" w:color="auto" w:fill="FFFFFF"/>
        </w:rPr>
        <w:t>a majority of</w:t>
      </w:r>
      <w:proofErr w:type="gramEnd"/>
      <w:r w:rsidRPr="008773CF">
        <w:rPr>
          <w:rFonts w:ascii="Times New Roman" w:hAnsi="Times New Roman"/>
          <w:iCs/>
          <w:color w:val="000000"/>
          <w:shd w:val="clear" w:color="auto" w:fill="FFFFFF"/>
        </w:rPr>
        <w:t xml:space="preserve"> employees in the corporate group are, at the time of the application, covered by the Act; and</w:t>
      </w:r>
    </w:p>
    <w:p w14:paraId="0D8A4A6D" w14:textId="77777777" w:rsidR="008773CF" w:rsidRDefault="008773CF" w:rsidP="008773CF">
      <w:pPr>
        <w:numPr>
          <w:ilvl w:val="0"/>
          <w:numId w:val="11"/>
        </w:numPr>
        <w:shd w:val="clear" w:color="auto" w:fill="FFFFFF"/>
        <w:spacing w:line="240" w:lineRule="auto"/>
        <w:rPr>
          <w:rFonts w:ascii="Times New Roman" w:hAnsi="Times New Roman"/>
          <w:iCs/>
          <w:color w:val="000000"/>
          <w:shd w:val="clear" w:color="auto" w:fill="FFFFFF"/>
        </w:rPr>
      </w:pPr>
      <w:r w:rsidRPr="008773CF">
        <w:rPr>
          <w:rFonts w:ascii="Times New Roman" w:hAnsi="Times New Roman"/>
          <w:iCs/>
          <w:color w:val="000000"/>
          <w:shd w:val="clear" w:color="auto" w:fill="FFFFFF"/>
        </w:rPr>
        <w:t>the licence would not result in an overall reduction in workers’ compensation entitlements for the employees of the applicant to be covered by the Act.</w:t>
      </w:r>
    </w:p>
    <w:p w14:paraId="27316843" w14:textId="48C4F90B" w:rsidR="00583477" w:rsidRDefault="00583477" w:rsidP="00583477">
      <w:pPr>
        <w:shd w:val="clear" w:color="auto" w:fill="FFFFFF"/>
        <w:spacing w:line="240" w:lineRule="auto"/>
        <w:rPr>
          <w:rFonts w:ascii="Times New Roman" w:hAnsi="Times New Roman"/>
          <w:iCs/>
          <w:color w:val="000000"/>
          <w:shd w:val="clear" w:color="auto" w:fill="FFFFFF"/>
        </w:rPr>
      </w:pPr>
      <w:r>
        <w:rPr>
          <w:rFonts w:ascii="Times New Roman" w:hAnsi="Times New Roman"/>
          <w:iCs/>
          <w:color w:val="000000"/>
          <w:shd w:val="clear" w:color="auto" w:fill="FFFFFF"/>
        </w:rPr>
        <w:t xml:space="preserve">To avoid doubt, new direction </w:t>
      </w:r>
      <w:r w:rsidR="00454A28">
        <w:rPr>
          <w:rFonts w:ascii="Times New Roman" w:hAnsi="Times New Roman"/>
          <w:iCs/>
          <w:color w:val="000000"/>
          <w:shd w:val="clear" w:color="auto" w:fill="FFFFFF"/>
        </w:rPr>
        <w:t xml:space="preserve">7A </w:t>
      </w:r>
      <w:r w:rsidR="007D16EC">
        <w:rPr>
          <w:rFonts w:ascii="Times New Roman" w:hAnsi="Times New Roman"/>
          <w:iCs/>
          <w:color w:val="000000"/>
          <w:shd w:val="clear" w:color="auto" w:fill="FFFFFF"/>
        </w:rPr>
        <w:t>does not apply to applications to extend or vary licences under s</w:t>
      </w:r>
      <w:r w:rsidR="009B1AC2">
        <w:rPr>
          <w:rFonts w:ascii="Times New Roman" w:hAnsi="Times New Roman"/>
          <w:iCs/>
          <w:color w:val="000000"/>
          <w:shd w:val="clear" w:color="auto" w:fill="FFFFFF"/>
        </w:rPr>
        <w:t> </w:t>
      </w:r>
      <w:r w:rsidR="007D16EC">
        <w:rPr>
          <w:rFonts w:ascii="Times New Roman" w:hAnsi="Times New Roman"/>
          <w:iCs/>
          <w:color w:val="000000"/>
          <w:shd w:val="clear" w:color="auto" w:fill="FFFFFF"/>
        </w:rPr>
        <w:t>105 of the SRC Act.</w:t>
      </w:r>
    </w:p>
    <w:p w14:paraId="753CE7E2" w14:textId="53DC000A" w:rsidR="00B2094E" w:rsidRPr="008773CF" w:rsidRDefault="00B2094E" w:rsidP="00583477">
      <w:pPr>
        <w:shd w:val="clear" w:color="auto" w:fill="FFFFFF"/>
        <w:spacing w:line="240" w:lineRule="auto"/>
        <w:rPr>
          <w:rFonts w:ascii="Times New Roman" w:hAnsi="Times New Roman"/>
          <w:iCs/>
          <w:color w:val="000000"/>
          <w:shd w:val="clear" w:color="auto" w:fill="FFFFFF"/>
        </w:rPr>
      </w:pPr>
      <w:r>
        <w:rPr>
          <w:rFonts w:ascii="Times New Roman" w:hAnsi="Times New Roman"/>
          <w:iCs/>
          <w:color w:val="000000"/>
          <w:shd w:val="clear" w:color="auto" w:fill="FFFFFF"/>
        </w:rPr>
        <w:t>Th</w:t>
      </w:r>
      <w:r w:rsidR="00A2692E">
        <w:rPr>
          <w:rFonts w:ascii="Times New Roman" w:hAnsi="Times New Roman"/>
          <w:iCs/>
          <w:color w:val="000000"/>
          <w:shd w:val="clear" w:color="auto" w:fill="FFFFFF"/>
        </w:rPr>
        <w:t>is</w:t>
      </w:r>
      <w:r>
        <w:rPr>
          <w:rFonts w:ascii="Times New Roman" w:hAnsi="Times New Roman"/>
          <w:iCs/>
          <w:color w:val="000000"/>
          <w:shd w:val="clear" w:color="auto" w:fill="FFFFFF"/>
        </w:rPr>
        <w:t xml:space="preserve"> new direction applies </w:t>
      </w:r>
      <w:r w:rsidR="00C81928">
        <w:rPr>
          <w:rFonts w:ascii="Times New Roman" w:hAnsi="Times New Roman"/>
          <w:iCs/>
          <w:color w:val="000000"/>
          <w:shd w:val="clear" w:color="auto" w:fill="FFFFFF"/>
        </w:rPr>
        <w:t xml:space="preserve">from the date of </w:t>
      </w:r>
      <w:r w:rsidR="003E31D9">
        <w:rPr>
          <w:rFonts w:ascii="Times New Roman" w:hAnsi="Times New Roman"/>
          <w:iCs/>
          <w:color w:val="000000"/>
          <w:shd w:val="clear" w:color="auto" w:fill="FFFFFF"/>
        </w:rPr>
        <w:t xml:space="preserve">the </w:t>
      </w:r>
      <w:r w:rsidR="00C81928">
        <w:rPr>
          <w:rFonts w:ascii="Times New Roman" w:hAnsi="Times New Roman"/>
          <w:iCs/>
          <w:color w:val="000000"/>
          <w:shd w:val="clear" w:color="auto" w:fill="FFFFFF"/>
        </w:rPr>
        <w:t xml:space="preserve">commencement of this instrument </w:t>
      </w:r>
      <w:r>
        <w:rPr>
          <w:rFonts w:ascii="Times New Roman" w:hAnsi="Times New Roman"/>
          <w:iCs/>
          <w:color w:val="000000"/>
          <w:shd w:val="clear" w:color="auto" w:fill="FFFFFF"/>
        </w:rPr>
        <w:t>to</w:t>
      </w:r>
      <w:r w:rsidR="009B1AC2">
        <w:rPr>
          <w:rFonts w:ascii="Times New Roman" w:hAnsi="Times New Roman"/>
          <w:iCs/>
          <w:color w:val="000000"/>
          <w:shd w:val="clear" w:color="auto" w:fill="FFFFFF"/>
        </w:rPr>
        <w:t xml:space="preserve"> the Commission’s determination </w:t>
      </w:r>
      <w:r w:rsidR="00C81928">
        <w:rPr>
          <w:rFonts w:ascii="Times New Roman" w:hAnsi="Times New Roman"/>
          <w:iCs/>
          <w:color w:val="000000"/>
          <w:shd w:val="clear" w:color="auto" w:fill="FFFFFF"/>
        </w:rPr>
        <w:t xml:space="preserve">under s 104 of the SRC Act </w:t>
      </w:r>
      <w:r w:rsidR="002C2F7B">
        <w:rPr>
          <w:rFonts w:ascii="Times New Roman" w:hAnsi="Times New Roman"/>
          <w:iCs/>
          <w:color w:val="000000"/>
          <w:shd w:val="clear" w:color="auto" w:fill="FFFFFF"/>
        </w:rPr>
        <w:t xml:space="preserve">of </w:t>
      </w:r>
      <w:r w:rsidR="001355AF">
        <w:rPr>
          <w:rFonts w:ascii="Times New Roman" w:hAnsi="Times New Roman"/>
          <w:iCs/>
          <w:color w:val="000000"/>
          <w:shd w:val="clear" w:color="auto" w:fill="FFFFFF"/>
        </w:rPr>
        <w:t>each</w:t>
      </w:r>
      <w:r w:rsidR="002C2F7B">
        <w:rPr>
          <w:rFonts w:ascii="Times New Roman" w:hAnsi="Times New Roman"/>
          <w:iCs/>
          <w:color w:val="000000"/>
          <w:shd w:val="clear" w:color="auto" w:fill="FFFFFF"/>
        </w:rPr>
        <w:t xml:space="preserve"> application for a licence</w:t>
      </w:r>
      <w:r w:rsidR="00AA53F8">
        <w:rPr>
          <w:rFonts w:ascii="Times New Roman" w:hAnsi="Times New Roman"/>
          <w:iCs/>
          <w:color w:val="000000"/>
          <w:shd w:val="clear" w:color="auto" w:fill="FFFFFF"/>
        </w:rPr>
        <w:t xml:space="preserve">, </w:t>
      </w:r>
      <w:r w:rsidR="00913CC5">
        <w:rPr>
          <w:rFonts w:ascii="Times New Roman" w:hAnsi="Times New Roman"/>
          <w:iCs/>
          <w:color w:val="000000"/>
          <w:shd w:val="clear" w:color="auto" w:fill="FFFFFF"/>
        </w:rPr>
        <w:t>irrespective of the date of the application.</w:t>
      </w:r>
      <w:r w:rsidR="0077435D">
        <w:rPr>
          <w:rFonts w:ascii="Times New Roman" w:hAnsi="Times New Roman"/>
          <w:iCs/>
          <w:color w:val="000000"/>
          <w:shd w:val="clear" w:color="auto" w:fill="FFFFFF"/>
        </w:rPr>
        <w:t xml:space="preserve"> </w:t>
      </w:r>
    </w:p>
    <w:p w14:paraId="061200B1" w14:textId="77777777" w:rsidR="00182D29" w:rsidRDefault="00182D29" w:rsidP="00182D29">
      <w:pPr>
        <w:spacing w:line="240" w:lineRule="auto"/>
        <w:contextualSpacing/>
        <w:rPr>
          <w:rFonts w:ascii="Times New Roman" w:eastAsia="Times New Roman" w:hAnsi="Times New Roman"/>
          <w:b/>
          <w:sz w:val="24"/>
          <w:szCs w:val="24"/>
        </w:rPr>
      </w:pPr>
      <w:r>
        <w:rPr>
          <w:rFonts w:ascii="Times New Roman" w:eastAsia="Times New Roman" w:hAnsi="Times New Roman"/>
          <w:b/>
          <w:caps/>
          <w:sz w:val="24"/>
          <w:szCs w:val="24"/>
        </w:rPr>
        <w:t xml:space="preserve">CONSULTATION </w:t>
      </w:r>
    </w:p>
    <w:p w14:paraId="7BB1356D" w14:textId="77777777" w:rsidR="00182D29" w:rsidRDefault="00182D29" w:rsidP="00F33B22">
      <w:pPr>
        <w:autoSpaceDE w:val="0"/>
        <w:autoSpaceDN w:val="0"/>
        <w:adjustRightInd w:val="0"/>
        <w:spacing w:before="120" w:after="120" w:line="240" w:lineRule="auto"/>
        <w:contextualSpacing/>
        <w:rPr>
          <w:rFonts w:ascii="Times New Roman" w:eastAsia="Times New Roman" w:hAnsi="Times New Roman"/>
          <w:lang w:eastAsia="en-AU"/>
        </w:rPr>
      </w:pPr>
    </w:p>
    <w:p w14:paraId="6C7E21CA" w14:textId="05AB2CA7" w:rsidR="008A1E2B" w:rsidRDefault="00182D29" w:rsidP="00182D29">
      <w:pPr>
        <w:autoSpaceDE w:val="0"/>
        <w:autoSpaceDN w:val="0"/>
        <w:adjustRightInd w:val="0"/>
        <w:spacing w:before="120" w:after="120" w:line="240" w:lineRule="auto"/>
        <w:contextualSpacing/>
        <w:rPr>
          <w:rFonts w:ascii="Times New Roman" w:eastAsia="Times New Roman" w:hAnsi="Times New Roman"/>
          <w:color w:val="000000"/>
          <w:lang w:eastAsia="en-AU"/>
        </w:rPr>
      </w:pPr>
      <w:r w:rsidRPr="00B85EFA">
        <w:rPr>
          <w:rFonts w:ascii="Times New Roman" w:eastAsia="Times New Roman" w:hAnsi="Times New Roman"/>
          <w:color w:val="000000"/>
          <w:lang w:eastAsia="en-AU"/>
        </w:rPr>
        <w:t xml:space="preserve">Consultation was undertaken with </w:t>
      </w:r>
      <w:r w:rsidR="008F1D7E">
        <w:rPr>
          <w:rFonts w:ascii="Times New Roman" w:eastAsia="Times New Roman" w:hAnsi="Times New Roman"/>
          <w:color w:val="000000"/>
          <w:lang w:eastAsia="en-AU"/>
        </w:rPr>
        <w:t>the Commission</w:t>
      </w:r>
      <w:r w:rsidR="00FF75A2">
        <w:rPr>
          <w:rFonts w:ascii="Times New Roman" w:eastAsia="Times New Roman" w:hAnsi="Times New Roman"/>
          <w:color w:val="000000"/>
          <w:lang w:eastAsia="en-AU"/>
        </w:rPr>
        <w:t xml:space="preserve"> members</w:t>
      </w:r>
      <w:r w:rsidR="008F1D7E">
        <w:rPr>
          <w:rFonts w:ascii="Times New Roman" w:eastAsia="Times New Roman" w:hAnsi="Times New Roman"/>
          <w:color w:val="000000"/>
          <w:lang w:eastAsia="en-AU"/>
        </w:rPr>
        <w:t>, the Safety, Rehabilitation and Compensation Licensee</w:t>
      </w:r>
      <w:r w:rsidR="00341EC1">
        <w:rPr>
          <w:rFonts w:ascii="Times New Roman" w:eastAsia="Times New Roman" w:hAnsi="Times New Roman"/>
          <w:color w:val="000000"/>
          <w:lang w:eastAsia="en-AU"/>
        </w:rPr>
        <w:t>s</w:t>
      </w:r>
      <w:r w:rsidR="008F1D7E">
        <w:rPr>
          <w:rFonts w:ascii="Times New Roman" w:eastAsia="Times New Roman" w:hAnsi="Times New Roman"/>
          <w:color w:val="000000"/>
          <w:lang w:eastAsia="en-AU"/>
        </w:rPr>
        <w:t xml:space="preserve"> Association</w:t>
      </w:r>
      <w:r w:rsidR="00AB428D">
        <w:rPr>
          <w:rFonts w:ascii="Times New Roman" w:eastAsia="Times New Roman" w:hAnsi="Times New Roman"/>
          <w:color w:val="000000"/>
          <w:lang w:eastAsia="en-AU"/>
        </w:rPr>
        <w:t xml:space="preserve"> and its members, Comcare</w:t>
      </w:r>
      <w:r w:rsidR="008F1D7E">
        <w:rPr>
          <w:rFonts w:ascii="Times New Roman" w:eastAsia="Times New Roman" w:hAnsi="Times New Roman"/>
          <w:color w:val="000000"/>
          <w:lang w:eastAsia="en-AU"/>
        </w:rPr>
        <w:t xml:space="preserve">, </w:t>
      </w:r>
      <w:r w:rsidR="00341EC1">
        <w:rPr>
          <w:rFonts w:ascii="Times New Roman" w:eastAsia="Times New Roman" w:hAnsi="Times New Roman"/>
          <w:color w:val="000000"/>
          <w:lang w:eastAsia="en-AU"/>
        </w:rPr>
        <w:t xml:space="preserve">Healthscope Operations Pty Ltd, </w:t>
      </w:r>
      <w:r w:rsidR="004817F0">
        <w:rPr>
          <w:rFonts w:ascii="Times New Roman" w:eastAsia="Times New Roman" w:hAnsi="Times New Roman"/>
          <w:color w:val="000000"/>
          <w:lang w:eastAsia="en-AU"/>
        </w:rPr>
        <w:lastRenderedPageBreak/>
        <w:t>IPEC Pty Ltd, Toll Transport</w:t>
      </w:r>
      <w:r w:rsidR="001945D7">
        <w:rPr>
          <w:rFonts w:ascii="Times New Roman" w:eastAsia="Times New Roman" w:hAnsi="Times New Roman"/>
          <w:color w:val="000000"/>
          <w:lang w:eastAsia="en-AU"/>
        </w:rPr>
        <w:t xml:space="preserve"> Pty Ltd, </w:t>
      </w:r>
      <w:r w:rsidR="0010593B">
        <w:rPr>
          <w:rFonts w:ascii="Times New Roman" w:eastAsia="Times New Roman" w:hAnsi="Times New Roman"/>
          <w:color w:val="000000"/>
          <w:lang w:eastAsia="en-AU"/>
        </w:rPr>
        <w:t>Ventia Australia Pty Ltd</w:t>
      </w:r>
      <w:r w:rsidR="00C0554D">
        <w:rPr>
          <w:rFonts w:ascii="Times New Roman" w:eastAsia="Times New Roman" w:hAnsi="Times New Roman"/>
          <w:color w:val="000000"/>
          <w:lang w:eastAsia="en-AU"/>
        </w:rPr>
        <w:t>,</w:t>
      </w:r>
      <w:r w:rsidR="0010593B">
        <w:rPr>
          <w:rFonts w:ascii="Times New Roman" w:eastAsia="Times New Roman" w:hAnsi="Times New Roman"/>
          <w:color w:val="000000"/>
          <w:lang w:eastAsia="en-AU"/>
        </w:rPr>
        <w:t xml:space="preserve"> Wilson Parking Australia 1992 Pty Ltd</w:t>
      </w:r>
      <w:r w:rsidR="00C0554D">
        <w:rPr>
          <w:rFonts w:ascii="Times New Roman" w:eastAsia="Times New Roman" w:hAnsi="Times New Roman"/>
          <w:color w:val="000000"/>
          <w:lang w:eastAsia="en-AU"/>
        </w:rPr>
        <w:t xml:space="preserve"> and John Holland</w:t>
      </w:r>
      <w:r w:rsidR="007E227B">
        <w:rPr>
          <w:rFonts w:ascii="Times New Roman" w:eastAsia="Times New Roman" w:hAnsi="Times New Roman"/>
          <w:color w:val="000000"/>
          <w:lang w:eastAsia="en-AU"/>
        </w:rPr>
        <w:t xml:space="preserve"> Group Pty Ltd</w:t>
      </w:r>
      <w:r w:rsidRPr="00B85EFA">
        <w:rPr>
          <w:rFonts w:ascii="Times New Roman" w:eastAsia="Times New Roman" w:hAnsi="Times New Roman"/>
          <w:color w:val="000000"/>
          <w:lang w:eastAsia="en-AU"/>
        </w:rPr>
        <w:t>.</w:t>
      </w:r>
      <w:r w:rsidR="007E227B">
        <w:rPr>
          <w:rFonts w:ascii="Times New Roman" w:eastAsia="Times New Roman" w:hAnsi="Times New Roman"/>
          <w:color w:val="000000"/>
          <w:lang w:eastAsia="en-AU"/>
        </w:rPr>
        <w:t xml:space="preserve">  </w:t>
      </w:r>
      <w:r w:rsidR="00707503">
        <w:rPr>
          <w:rFonts w:ascii="Times New Roman" w:eastAsia="Times New Roman" w:hAnsi="Times New Roman"/>
          <w:color w:val="000000"/>
          <w:lang w:eastAsia="en-AU"/>
        </w:rPr>
        <w:t>Those that were consulted</w:t>
      </w:r>
      <w:r w:rsidR="00A91C65" w:rsidRPr="00A91C65">
        <w:rPr>
          <w:rFonts w:ascii="Times New Roman" w:eastAsia="Times New Roman" w:hAnsi="Times New Roman"/>
          <w:color w:val="000000"/>
          <w:lang w:eastAsia="en-AU"/>
        </w:rPr>
        <w:t xml:space="preserve"> were provided with </w:t>
      </w:r>
      <w:r w:rsidR="00064764">
        <w:rPr>
          <w:rFonts w:ascii="Times New Roman" w:eastAsia="Times New Roman" w:hAnsi="Times New Roman"/>
          <w:color w:val="000000"/>
          <w:lang w:eastAsia="en-AU"/>
        </w:rPr>
        <w:t>an outline</w:t>
      </w:r>
      <w:r w:rsidR="00A91C65" w:rsidRPr="00A91C65">
        <w:rPr>
          <w:rFonts w:ascii="Times New Roman" w:eastAsia="Times New Roman" w:hAnsi="Times New Roman"/>
          <w:color w:val="000000"/>
          <w:lang w:eastAsia="en-AU"/>
        </w:rPr>
        <w:t xml:space="preserve"> of th</w:t>
      </w:r>
      <w:r w:rsidR="00CC6EBC">
        <w:rPr>
          <w:rFonts w:ascii="Times New Roman" w:eastAsia="Times New Roman" w:hAnsi="Times New Roman"/>
          <w:color w:val="000000"/>
          <w:lang w:eastAsia="en-AU"/>
        </w:rPr>
        <w:t>e</w:t>
      </w:r>
      <w:r w:rsidR="00A91C65" w:rsidRPr="00A91C65">
        <w:rPr>
          <w:rFonts w:ascii="Times New Roman" w:eastAsia="Times New Roman" w:hAnsi="Times New Roman"/>
          <w:color w:val="000000"/>
          <w:lang w:eastAsia="en-AU"/>
        </w:rPr>
        <w:t xml:space="preserve"> instrument and were invited to provide feedback. </w:t>
      </w:r>
      <w:r w:rsidR="00015190">
        <w:rPr>
          <w:rFonts w:ascii="Times New Roman" w:eastAsia="Times New Roman" w:hAnsi="Times New Roman"/>
          <w:color w:val="000000"/>
          <w:lang w:eastAsia="en-AU"/>
        </w:rPr>
        <w:t xml:space="preserve"> </w:t>
      </w:r>
      <w:r w:rsidR="00A91C65" w:rsidRPr="00A91C65">
        <w:rPr>
          <w:rFonts w:ascii="Times New Roman" w:eastAsia="Times New Roman" w:hAnsi="Times New Roman"/>
          <w:color w:val="000000"/>
          <w:lang w:eastAsia="en-AU"/>
        </w:rPr>
        <w:t xml:space="preserve">Where appropriate, feedback received </w:t>
      </w:r>
      <w:r w:rsidR="00A91C65">
        <w:rPr>
          <w:rFonts w:ascii="Times New Roman" w:eastAsia="Times New Roman" w:hAnsi="Times New Roman"/>
          <w:color w:val="000000"/>
          <w:lang w:eastAsia="en-AU"/>
        </w:rPr>
        <w:t xml:space="preserve">during </w:t>
      </w:r>
      <w:r w:rsidR="00A91C65" w:rsidRPr="00A91C65">
        <w:rPr>
          <w:rFonts w:ascii="Times New Roman" w:eastAsia="Times New Roman" w:hAnsi="Times New Roman"/>
          <w:color w:val="000000"/>
          <w:lang w:eastAsia="en-AU"/>
        </w:rPr>
        <w:t>the consultation process has been incorporated into the instrument</w:t>
      </w:r>
      <w:r w:rsidR="00015190">
        <w:rPr>
          <w:rFonts w:ascii="Times New Roman" w:eastAsia="Times New Roman" w:hAnsi="Times New Roman"/>
          <w:color w:val="000000"/>
          <w:lang w:eastAsia="en-AU"/>
        </w:rPr>
        <w:t xml:space="preserve"> and this statement</w:t>
      </w:r>
      <w:r w:rsidR="00064764">
        <w:rPr>
          <w:rFonts w:ascii="Times New Roman" w:eastAsia="Times New Roman" w:hAnsi="Times New Roman"/>
          <w:color w:val="000000"/>
          <w:lang w:eastAsia="en-AU"/>
        </w:rPr>
        <w:t>.</w:t>
      </w:r>
    </w:p>
    <w:p w14:paraId="3DE32FEE" w14:textId="77777777" w:rsidR="008A1E2B" w:rsidRDefault="008A1E2B" w:rsidP="00182D29">
      <w:pPr>
        <w:autoSpaceDE w:val="0"/>
        <w:autoSpaceDN w:val="0"/>
        <w:adjustRightInd w:val="0"/>
        <w:spacing w:before="120" w:after="120" w:line="240" w:lineRule="auto"/>
        <w:contextualSpacing/>
        <w:rPr>
          <w:rFonts w:ascii="Times New Roman" w:eastAsia="Times New Roman" w:hAnsi="Times New Roman"/>
          <w:color w:val="000000"/>
          <w:lang w:eastAsia="en-AU"/>
        </w:rPr>
      </w:pPr>
    </w:p>
    <w:p w14:paraId="2E32BFC3" w14:textId="4C127AF0" w:rsidR="00182D29" w:rsidRDefault="00182D29" w:rsidP="00712700">
      <w:pPr>
        <w:keepNext/>
        <w:spacing w:line="240" w:lineRule="auto"/>
        <w:contextualSpacing/>
        <w:rPr>
          <w:rFonts w:ascii="Times New Roman" w:eastAsia="Times New Roman" w:hAnsi="Times New Roman"/>
          <w:b/>
          <w:sz w:val="24"/>
          <w:szCs w:val="24"/>
        </w:rPr>
      </w:pPr>
      <w:r>
        <w:rPr>
          <w:rFonts w:ascii="Times New Roman" w:eastAsia="Times New Roman" w:hAnsi="Times New Roman"/>
          <w:b/>
          <w:caps/>
          <w:sz w:val="24"/>
          <w:szCs w:val="24"/>
        </w:rPr>
        <w:t>REGULAT</w:t>
      </w:r>
      <w:r w:rsidR="00712700">
        <w:rPr>
          <w:rFonts w:ascii="Times New Roman" w:eastAsia="Times New Roman" w:hAnsi="Times New Roman"/>
          <w:b/>
          <w:caps/>
          <w:sz w:val="24"/>
          <w:szCs w:val="24"/>
        </w:rPr>
        <w:t>ORY</w:t>
      </w:r>
      <w:r>
        <w:rPr>
          <w:rFonts w:ascii="Times New Roman" w:eastAsia="Times New Roman" w:hAnsi="Times New Roman"/>
          <w:b/>
          <w:caps/>
          <w:sz w:val="24"/>
          <w:szCs w:val="24"/>
        </w:rPr>
        <w:t xml:space="preserve"> IMPACT STATEMENT </w:t>
      </w:r>
    </w:p>
    <w:p w14:paraId="20242C8D" w14:textId="77777777" w:rsidR="00712700" w:rsidRPr="00712700" w:rsidRDefault="00712700" w:rsidP="00712700">
      <w:pPr>
        <w:keepNext/>
        <w:spacing w:line="240" w:lineRule="auto"/>
        <w:contextualSpacing/>
        <w:rPr>
          <w:rFonts w:ascii="Times New Roman" w:eastAsia="Times New Roman" w:hAnsi="Times New Roman"/>
          <w:b/>
          <w:sz w:val="24"/>
          <w:szCs w:val="24"/>
        </w:rPr>
      </w:pPr>
    </w:p>
    <w:p w14:paraId="0325D04B" w14:textId="1E4ABB8D" w:rsidR="00F53F6A" w:rsidRDefault="00C24492" w:rsidP="00F33B22">
      <w:pPr>
        <w:autoSpaceDE w:val="0"/>
        <w:autoSpaceDN w:val="0"/>
        <w:adjustRightInd w:val="0"/>
        <w:spacing w:before="120" w:after="120" w:line="240" w:lineRule="auto"/>
        <w:contextualSpacing/>
        <w:rPr>
          <w:rFonts w:ascii="Times New Roman" w:eastAsia="Times New Roman" w:hAnsi="Times New Roman"/>
          <w:lang w:eastAsia="en-AU"/>
        </w:rPr>
      </w:pPr>
      <w:r w:rsidRPr="008F1D7E">
        <w:rPr>
          <w:rFonts w:ascii="Times New Roman" w:eastAsia="Times New Roman" w:hAnsi="Times New Roman"/>
          <w:lang w:eastAsia="en-AU"/>
        </w:rPr>
        <w:t xml:space="preserve">The Office of </w:t>
      </w:r>
      <w:r w:rsidR="00FF7851" w:rsidRPr="008F1D7E">
        <w:rPr>
          <w:rFonts w:ascii="Times New Roman" w:eastAsia="Times New Roman" w:hAnsi="Times New Roman"/>
          <w:lang w:eastAsia="en-AU"/>
        </w:rPr>
        <w:t>Impact Analysis</w:t>
      </w:r>
      <w:r w:rsidRPr="008F1D7E">
        <w:rPr>
          <w:rFonts w:ascii="Times New Roman" w:eastAsia="Times New Roman" w:hAnsi="Times New Roman"/>
          <w:lang w:eastAsia="en-AU"/>
        </w:rPr>
        <w:t xml:space="preserve"> </w:t>
      </w:r>
      <w:r w:rsidR="00F53F6A" w:rsidRPr="008F1D7E">
        <w:rPr>
          <w:rFonts w:ascii="Times New Roman" w:eastAsia="Times New Roman" w:hAnsi="Times New Roman"/>
          <w:lang w:eastAsia="en-AU"/>
        </w:rPr>
        <w:t>was consulted regarding this instrument and indicated tha</w:t>
      </w:r>
      <w:r w:rsidR="00E2066C" w:rsidRPr="008F1D7E">
        <w:rPr>
          <w:rFonts w:ascii="Times New Roman" w:eastAsia="Times New Roman" w:hAnsi="Times New Roman"/>
          <w:lang w:eastAsia="en-AU"/>
        </w:rPr>
        <w:t>t a Regulatory Impact Statement was not required (</w:t>
      </w:r>
      <w:r w:rsidR="008F1D7E" w:rsidRPr="008F1D7E">
        <w:rPr>
          <w:rFonts w:ascii="Times New Roman" w:eastAsia="Times New Roman" w:hAnsi="Times New Roman"/>
          <w:lang w:eastAsia="en-AU"/>
        </w:rPr>
        <w:t>OIA23-04533</w:t>
      </w:r>
      <w:r w:rsidR="00E2066C" w:rsidRPr="008F1D7E">
        <w:rPr>
          <w:rFonts w:ascii="Times New Roman" w:eastAsia="Times New Roman" w:hAnsi="Times New Roman"/>
          <w:lang w:eastAsia="en-AU"/>
        </w:rPr>
        <w:t>).</w:t>
      </w:r>
    </w:p>
    <w:p w14:paraId="4AEE9C99" w14:textId="77777777" w:rsidR="00F53F6A" w:rsidRDefault="00F53F6A" w:rsidP="00182D29">
      <w:pPr>
        <w:autoSpaceDE w:val="0"/>
        <w:autoSpaceDN w:val="0"/>
        <w:adjustRightInd w:val="0"/>
        <w:spacing w:before="120" w:after="120" w:line="240" w:lineRule="auto"/>
        <w:contextualSpacing/>
        <w:rPr>
          <w:rFonts w:ascii="Times New Roman" w:eastAsia="Times New Roman" w:hAnsi="Times New Roman"/>
        </w:rPr>
      </w:pPr>
    </w:p>
    <w:p w14:paraId="71412643" w14:textId="249E263C" w:rsidR="00182D29" w:rsidRDefault="00182D29" w:rsidP="00182D29">
      <w:pPr>
        <w:autoSpaceDE w:val="0"/>
        <w:autoSpaceDN w:val="0"/>
        <w:adjustRightInd w:val="0"/>
        <w:spacing w:before="120" w:after="120" w:line="240" w:lineRule="auto"/>
        <w:contextualSpacing/>
        <w:rPr>
          <w:rFonts w:ascii="Times New Roman" w:eastAsia="Times New Roman" w:hAnsi="Times New Roman"/>
          <w:lang w:eastAsia="en-AU"/>
        </w:rPr>
      </w:pPr>
      <w:r w:rsidRPr="00157E7E">
        <w:rPr>
          <w:rFonts w:ascii="Times New Roman" w:eastAsia="Times New Roman" w:hAnsi="Times New Roman"/>
          <w:lang w:eastAsia="en-AU"/>
        </w:rPr>
        <w:t>Th</w:t>
      </w:r>
      <w:r>
        <w:rPr>
          <w:rFonts w:ascii="Times New Roman" w:eastAsia="Times New Roman" w:hAnsi="Times New Roman"/>
          <w:lang w:eastAsia="en-AU"/>
        </w:rPr>
        <w:t>e</w:t>
      </w:r>
      <w:r w:rsidRPr="00157E7E">
        <w:rPr>
          <w:rFonts w:ascii="Times New Roman" w:eastAsia="Times New Roman" w:hAnsi="Times New Roman"/>
          <w:lang w:eastAsia="en-AU"/>
        </w:rPr>
        <w:t xml:space="preserve"> </w:t>
      </w:r>
      <w:r w:rsidR="00706C40">
        <w:rPr>
          <w:rFonts w:ascii="Times New Roman" w:eastAsia="Times New Roman" w:hAnsi="Times New Roman"/>
          <w:lang w:eastAsia="en-AU"/>
        </w:rPr>
        <w:t>instrument</w:t>
      </w:r>
      <w:r w:rsidRPr="00157E7E">
        <w:rPr>
          <w:rFonts w:ascii="Times New Roman" w:eastAsia="Times New Roman" w:hAnsi="Times New Roman"/>
          <w:lang w:eastAsia="en-AU"/>
        </w:rPr>
        <w:t xml:space="preserve"> takes effect on the day after it is registered on the Federal Register of Legislation. </w:t>
      </w:r>
    </w:p>
    <w:p w14:paraId="6B65D23F" w14:textId="77777777" w:rsidR="00182D29" w:rsidRDefault="00182D29" w:rsidP="00182D29">
      <w:pPr>
        <w:autoSpaceDE w:val="0"/>
        <w:autoSpaceDN w:val="0"/>
        <w:adjustRightInd w:val="0"/>
        <w:spacing w:before="120" w:after="120" w:line="240" w:lineRule="auto"/>
        <w:contextualSpacing/>
        <w:rPr>
          <w:rFonts w:ascii="Times New Roman" w:eastAsia="Times New Roman" w:hAnsi="Times New Roman"/>
          <w:lang w:eastAsia="en-AU"/>
        </w:rPr>
      </w:pPr>
    </w:p>
    <w:p w14:paraId="5880807F" w14:textId="77777777" w:rsidR="00706C40" w:rsidRDefault="00706C40" w:rsidP="00706C40">
      <w:pPr>
        <w:autoSpaceDE w:val="0"/>
        <w:autoSpaceDN w:val="0"/>
        <w:adjustRightInd w:val="0"/>
        <w:spacing w:before="120" w:after="120" w:line="240" w:lineRule="auto"/>
        <w:contextualSpacing/>
        <w:rPr>
          <w:rFonts w:ascii="Times New Roman" w:eastAsia="Times New Roman" w:hAnsi="Times New Roman"/>
        </w:rPr>
      </w:pPr>
      <w:r>
        <w:rPr>
          <w:rFonts w:ascii="Times New Roman" w:eastAsia="Times New Roman" w:hAnsi="Times New Roman"/>
          <w:lang w:eastAsia="en-AU"/>
        </w:rPr>
        <w:t>This instrument</w:t>
      </w:r>
      <w:r w:rsidRPr="00157E7E">
        <w:rPr>
          <w:rFonts w:ascii="Times New Roman" w:eastAsia="Times New Roman" w:hAnsi="Times New Roman"/>
          <w:lang w:eastAsia="en-AU"/>
        </w:rPr>
        <w:t xml:space="preserve"> is a legislative instrument for the purposes of the </w:t>
      </w:r>
      <w:r w:rsidRPr="00157E7E">
        <w:rPr>
          <w:rFonts w:ascii="Times New Roman" w:eastAsia="Times New Roman" w:hAnsi="Times New Roman"/>
          <w:i/>
          <w:lang w:eastAsia="en-AU"/>
        </w:rPr>
        <w:t xml:space="preserve">Legislation Act </w:t>
      </w:r>
      <w:proofErr w:type="gramStart"/>
      <w:r w:rsidRPr="00157E7E">
        <w:rPr>
          <w:rFonts w:ascii="Times New Roman" w:eastAsia="Times New Roman" w:hAnsi="Times New Roman"/>
          <w:i/>
          <w:lang w:eastAsia="en-AU"/>
        </w:rPr>
        <w:t>2003</w:t>
      </w:r>
      <w:r>
        <w:rPr>
          <w:rFonts w:ascii="Times New Roman" w:eastAsia="Times New Roman" w:hAnsi="Times New Roman"/>
        </w:rPr>
        <w:t>, but</w:t>
      </w:r>
      <w:proofErr w:type="gramEnd"/>
      <w:r>
        <w:rPr>
          <w:rFonts w:ascii="Times New Roman" w:eastAsia="Times New Roman" w:hAnsi="Times New Roman"/>
        </w:rPr>
        <w:t xml:space="preserve"> is not subject to disallowance (see item 2 of section 9 of the </w:t>
      </w:r>
      <w:r w:rsidRPr="00F5558D">
        <w:rPr>
          <w:rFonts w:ascii="Times New Roman" w:eastAsia="Times New Roman" w:hAnsi="Times New Roman"/>
          <w:i/>
          <w:iCs/>
        </w:rPr>
        <w:t>Legislation (Exemptions and Other Matters) Regulation 2015</w:t>
      </w:r>
      <w:r>
        <w:rPr>
          <w:rFonts w:ascii="Times New Roman" w:eastAsia="Times New Roman" w:hAnsi="Times New Roman"/>
        </w:rPr>
        <w:t xml:space="preserve">) or sunsetting (see item 3 of section 11 of the </w:t>
      </w:r>
      <w:r w:rsidRPr="00F5558D">
        <w:rPr>
          <w:rFonts w:ascii="Times New Roman" w:eastAsia="Times New Roman" w:hAnsi="Times New Roman"/>
          <w:i/>
          <w:iCs/>
        </w:rPr>
        <w:t>Legislation (Exemptions and Other Matters) Regulation 2015</w:t>
      </w:r>
      <w:r>
        <w:rPr>
          <w:rFonts w:ascii="Times New Roman" w:eastAsia="Times New Roman" w:hAnsi="Times New Roman"/>
        </w:rPr>
        <w:t>).</w:t>
      </w:r>
    </w:p>
    <w:p w14:paraId="585DA54F" w14:textId="77777777" w:rsidR="008773CF" w:rsidRDefault="008773CF" w:rsidP="00182D29">
      <w:pPr>
        <w:autoSpaceDE w:val="0"/>
        <w:autoSpaceDN w:val="0"/>
        <w:adjustRightInd w:val="0"/>
        <w:spacing w:before="120" w:after="120" w:line="240" w:lineRule="auto"/>
        <w:contextualSpacing/>
        <w:rPr>
          <w:rFonts w:ascii="Times New Roman" w:eastAsia="Times New Roman" w:hAnsi="Times New Roman"/>
          <w:lang w:eastAsia="en-AU"/>
        </w:rPr>
      </w:pPr>
    </w:p>
    <w:p w14:paraId="75B1FF0D" w14:textId="77777777" w:rsidR="00182D29" w:rsidRPr="00BB254A" w:rsidRDefault="00182D29" w:rsidP="00182D29">
      <w:pPr>
        <w:autoSpaceDE w:val="0"/>
        <w:autoSpaceDN w:val="0"/>
        <w:adjustRightInd w:val="0"/>
        <w:spacing w:before="120" w:after="120" w:line="240" w:lineRule="auto"/>
        <w:contextualSpacing/>
        <w:rPr>
          <w:rFonts w:ascii="Times New Roman" w:eastAsia="Times New Roman" w:hAnsi="Times New Roman"/>
          <w:sz w:val="24"/>
          <w:szCs w:val="24"/>
          <w:lang w:eastAsia="en-AU"/>
        </w:rPr>
      </w:pPr>
      <w:r w:rsidRPr="00CB6AA4">
        <w:rPr>
          <w:rFonts w:ascii="Times New Roman" w:hAnsi="Times New Roman"/>
          <w:sz w:val="24"/>
          <w:szCs w:val="24"/>
        </w:rPr>
        <w:t>S</w:t>
      </w:r>
      <w:r w:rsidRPr="00CB6AA4">
        <w:rPr>
          <w:rFonts w:ascii="Times New Roman" w:eastAsia="Times New Roman" w:hAnsi="Times New Roman"/>
          <w:b/>
          <w:bCs/>
          <w:sz w:val="24"/>
          <w:szCs w:val="24"/>
          <w:lang w:eastAsia="en-AU"/>
        </w:rPr>
        <w:t>TATEMENT OF COMPATIBILITY WITH HUMAN RIGHTS</w:t>
      </w:r>
    </w:p>
    <w:p w14:paraId="48927B7A" w14:textId="77777777" w:rsidR="00182D29" w:rsidRDefault="00182D29" w:rsidP="00182D29">
      <w:pPr>
        <w:spacing w:after="220" w:line="240" w:lineRule="auto"/>
        <w:contextualSpacing/>
        <w:rPr>
          <w:rFonts w:ascii="Times New Roman" w:hAnsi="Times New Roman"/>
          <w:i/>
        </w:rPr>
      </w:pPr>
    </w:p>
    <w:p w14:paraId="3697C493" w14:textId="22DC06BC" w:rsidR="00343B6A" w:rsidRPr="00157E7E" w:rsidRDefault="00343B6A" w:rsidP="00182D29">
      <w:pPr>
        <w:spacing w:after="220" w:line="240" w:lineRule="auto"/>
        <w:contextualSpacing/>
        <w:rPr>
          <w:rFonts w:ascii="Times New Roman" w:hAnsi="Times New Roman"/>
        </w:rPr>
      </w:pPr>
      <w:r w:rsidRPr="00157E7E">
        <w:rPr>
          <w:rFonts w:ascii="Times New Roman" w:hAnsi="Times New Roman"/>
          <w:i/>
        </w:rPr>
        <w:t>Prepared in accordance with Part 3 of the Human Rights (Parliamentary Scrutiny) Act 2011</w:t>
      </w:r>
      <w:r w:rsidR="00FF75A2">
        <w:rPr>
          <w:rFonts w:ascii="Times New Roman" w:hAnsi="Times New Roman"/>
          <w:i/>
        </w:rPr>
        <w:t>.</w:t>
      </w:r>
    </w:p>
    <w:p w14:paraId="775CF94A" w14:textId="682550F5" w:rsidR="00343B6A" w:rsidRPr="00182D29" w:rsidRDefault="00343B6A" w:rsidP="00182D29">
      <w:pPr>
        <w:pStyle w:val="subsection"/>
        <w:spacing w:before="120"/>
        <w:ind w:left="0" w:firstLine="0"/>
        <w:contextualSpacing/>
        <w:rPr>
          <w:b/>
          <w:color w:val="000000"/>
        </w:rPr>
      </w:pPr>
      <w:r w:rsidRPr="00157E7E">
        <w:rPr>
          <w:b/>
          <w:color w:val="000000"/>
        </w:rPr>
        <w:t>Safety</w:t>
      </w:r>
      <w:r w:rsidR="0027419B" w:rsidRPr="00157E7E">
        <w:rPr>
          <w:b/>
          <w:color w:val="000000"/>
        </w:rPr>
        <w:t>,</w:t>
      </w:r>
      <w:r w:rsidRPr="00157E7E">
        <w:rPr>
          <w:b/>
          <w:color w:val="000000"/>
        </w:rPr>
        <w:t xml:space="preserve"> </w:t>
      </w:r>
      <w:r w:rsidR="004F3D44" w:rsidRPr="00157E7E">
        <w:rPr>
          <w:b/>
          <w:color w:val="000000"/>
        </w:rPr>
        <w:t>Rehabilitation and Compensation</w:t>
      </w:r>
      <w:r w:rsidR="00182D29">
        <w:rPr>
          <w:b/>
          <w:color w:val="000000"/>
        </w:rPr>
        <w:t xml:space="preserve"> </w:t>
      </w:r>
      <w:r w:rsidR="00E2066C">
        <w:rPr>
          <w:b/>
        </w:rPr>
        <w:t xml:space="preserve">Directions Amendment Instrument </w:t>
      </w:r>
      <w:r w:rsidR="001C33A5">
        <w:rPr>
          <w:b/>
        </w:rPr>
        <w:t>202</w:t>
      </w:r>
      <w:r w:rsidR="008773CF">
        <w:rPr>
          <w:b/>
        </w:rPr>
        <w:t>3</w:t>
      </w:r>
    </w:p>
    <w:p w14:paraId="44D48D6F" w14:textId="77777777" w:rsidR="004F3D44" w:rsidRPr="00157E7E" w:rsidRDefault="004F3D44" w:rsidP="00182D29">
      <w:pPr>
        <w:pStyle w:val="subsection"/>
        <w:spacing w:before="0"/>
        <w:contextualSpacing/>
        <w:jc w:val="center"/>
        <w:rPr>
          <w:b/>
          <w:szCs w:val="22"/>
        </w:rPr>
      </w:pPr>
    </w:p>
    <w:p w14:paraId="2942B76A" w14:textId="77777777" w:rsidR="00343B6A" w:rsidRPr="00157E7E" w:rsidRDefault="00343B6A" w:rsidP="00182D29">
      <w:pPr>
        <w:spacing w:after="220" w:line="240" w:lineRule="auto"/>
        <w:contextualSpacing/>
        <w:rPr>
          <w:rFonts w:ascii="Times New Roman" w:hAnsi="Times New Roman"/>
        </w:rPr>
      </w:pPr>
      <w:r w:rsidRPr="00157E7E">
        <w:rPr>
          <w:rFonts w:ascii="Times New Roman" w:hAnsi="Times New Roman"/>
        </w:rPr>
        <w:t xml:space="preserve">This Legislative Instrument is compatible with the human rights and freedoms recognised or declared in the international instruments listed in section 3 of the </w:t>
      </w:r>
      <w:r w:rsidRPr="00157E7E">
        <w:rPr>
          <w:rFonts w:ascii="Times New Roman" w:hAnsi="Times New Roman"/>
          <w:i/>
        </w:rPr>
        <w:t>Human Rights (Parliamentary Scrutiny) Act 2011</w:t>
      </w:r>
      <w:r w:rsidRPr="00157E7E">
        <w:rPr>
          <w:rFonts w:ascii="Times New Roman" w:hAnsi="Times New Roman"/>
        </w:rPr>
        <w:t>.</w:t>
      </w:r>
    </w:p>
    <w:p w14:paraId="7F831A0C" w14:textId="77777777" w:rsidR="00182D29" w:rsidRDefault="00182D29" w:rsidP="00182D29">
      <w:pPr>
        <w:spacing w:after="220" w:line="240" w:lineRule="auto"/>
        <w:contextualSpacing/>
        <w:rPr>
          <w:rFonts w:ascii="Times New Roman" w:hAnsi="Times New Roman"/>
          <w:b/>
        </w:rPr>
      </w:pPr>
    </w:p>
    <w:p w14:paraId="638B3592" w14:textId="77777777" w:rsidR="00343B6A" w:rsidRPr="00157E7E" w:rsidRDefault="00343B6A" w:rsidP="00182D29">
      <w:pPr>
        <w:spacing w:after="220" w:line="240" w:lineRule="auto"/>
        <w:contextualSpacing/>
        <w:rPr>
          <w:rFonts w:ascii="Times New Roman" w:hAnsi="Times New Roman"/>
          <w:b/>
        </w:rPr>
      </w:pPr>
      <w:r w:rsidRPr="00157E7E">
        <w:rPr>
          <w:rFonts w:ascii="Times New Roman" w:hAnsi="Times New Roman"/>
          <w:b/>
        </w:rPr>
        <w:t>Overview of the Legislative Instrument</w:t>
      </w:r>
    </w:p>
    <w:p w14:paraId="6E92FB93" w14:textId="77777777" w:rsidR="00182D29" w:rsidRDefault="00182D29" w:rsidP="00182D29">
      <w:pPr>
        <w:spacing w:after="220" w:line="240" w:lineRule="auto"/>
        <w:contextualSpacing/>
        <w:rPr>
          <w:rFonts w:ascii="Times New Roman" w:eastAsia="Times New Roman" w:hAnsi="Times New Roman"/>
          <w:lang w:eastAsia="en-AU"/>
        </w:rPr>
      </w:pPr>
    </w:p>
    <w:p w14:paraId="351B30AD" w14:textId="77777777" w:rsidR="00E2066C" w:rsidRPr="008A1E2B" w:rsidRDefault="00E2066C" w:rsidP="00E2066C">
      <w:pPr>
        <w:shd w:val="clear" w:color="auto" w:fill="FFFFFF"/>
        <w:spacing w:line="240" w:lineRule="auto"/>
        <w:rPr>
          <w:rFonts w:eastAsia="Times New Roman" w:cs="Calibri"/>
          <w:color w:val="000000"/>
          <w:lang w:eastAsia="en-AU"/>
        </w:rPr>
      </w:pPr>
      <w:r w:rsidRPr="008A1E2B">
        <w:rPr>
          <w:rFonts w:ascii="Times New Roman" w:eastAsia="Times New Roman" w:hAnsi="Times New Roman"/>
          <w:color w:val="000000"/>
          <w:lang w:eastAsia="en-AU"/>
        </w:rPr>
        <w:t>The </w:t>
      </w:r>
      <w:r w:rsidRPr="008A1E2B">
        <w:rPr>
          <w:rFonts w:ascii="Times New Roman" w:eastAsia="Times New Roman" w:hAnsi="Times New Roman"/>
          <w:i/>
          <w:iCs/>
          <w:color w:val="000000"/>
          <w:lang w:eastAsia="en-AU"/>
        </w:rPr>
        <w:t>Safety, Rehabilitation and Compensation Act 1988 </w:t>
      </w:r>
      <w:r w:rsidRPr="008A1E2B">
        <w:rPr>
          <w:rFonts w:ascii="Times New Roman" w:eastAsia="Times New Roman" w:hAnsi="Times New Roman"/>
          <w:color w:val="000000"/>
          <w:lang w:eastAsia="en-AU"/>
        </w:rPr>
        <w:t>(SRC Act) establishes the Commonwealth workers’ compensation and rehabilitation scheme for employees of the Commonwealth, Commonwealth authorities and licensed corporations.</w:t>
      </w:r>
    </w:p>
    <w:p w14:paraId="6F271E68" w14:textId="77777777" w:rsidR="00E2066C" w:rsidRPr="008A1E2B" w:rsidRDefault="00E2066C" w:rsidP="00E2066C">
      <w:pPr>
        <w:shd w:val="clear" w:color="auto" w:fill="FFFFFF"/>
        <w:spacing w:line="240" w:lineRule="auto"/>
        <w:rPr>
          <w:rFonts w:eastAsia="Times New Roman" w:cs="Calibri"/>
          <w:color w:val="000000"/>
          <w:lang w:eastAsia="en-AU"/>
        </w:rPr>
      </w:pPr>
      <w:r w:rsidRPr="008A1E2B">
        <w:rPr>
          <w:rFonts w:ascii="Times New Roman" w:eastAsia="Times New Roman" w:hAnsi="Times New Roman"/>
          <w:color w:val="000000"/>
          <w:lang w:eastAsia="en-AU"/>
        </w:rPr>
        <w:t xml:space="preserve">The Safety, Rehabilitation and Compensation Commission (the Commission) is established by the SRC Act. The Commission has </w:t>
      </w:r>
      <w:proofErr w:type="gramStart"/>
      <w:r w:rsidRPr="008A1E2B">
        <w:rPr>
          <w:rFonts w:ascii="Times New Roman" w:eastAsia="Times New Roman" w:hAnsi="Times New Roman"/>
          <w:color w:val="000000"/>
          <w:lang w:eastAsia="en-AU"/>
        </w:rPr>
        <w:t>a number of</w:t>
      </w:r>
      <w:proofErr w:type="gramEnd"/>
      <w:r w:rsidRPr="008A1E2B">
        <w:rPr>
          <w:rFonts w:ascii="Times New Roman" w:eastAsia="Times New Roman" w:hAnsi="Times New Roman"/>
          <w:color w:val="000000"/>
          <w:lang w:eastAsia="en-AU"/>
        </w:rPr>
        <w:t xml:space="preserve"> functions and powers under the SRC Act, including the granting of licences to eligible applicants under Part VIII of the Act.</w:t>
      </w:r>
    </w:p>
    <w:p w14:paraId="4AC67983" w14:textId="77777777" w:rsidR="00E2066C" w:rsidRPr="00871AA7" w:rsidRDefault="00E2066C" w:rsidP="00E2066C">
      <w:pPr>
        <w:shd w:val="clear" w:color="auto" w:fill="FFFFFF"/>
        <w:spacing w:line="240" w:lineRule="auto"/>
        <w:rPr>
          <w:rFonts w:ascii="Times New Roman" w:eastAsia="Times New Roman" w:hAnsi="Times New Roman"/>
          <w:color w:val="000000"/>
          <w:lang w:val="en" w:eastAsia="en-AU"/>
        </w:rPr>
      </w:pPr>
      <w:r w:rsidRPr="008A1E2B">
        <w:rPr>
          <w:rFonts w:ascii="Times New Roman" w:eastAsia="Times New Roman" w:hAnsi="Times New Roman"/>
          <w:color w:val="000000"/>
          <w:lang w:eastAsia="en-AU"/>
        </w:rPr>
        <w:t>Pursuant to section 89D of the SRC Act, the Minister may </w:t>
      </w:r>
      <w:r w:rsidRPr="008A1E2B">
        <w:rPr>
          <w:rFonts w:ascii="Times New Roman" w:eastAsia="Times New Roman" w:hAnsi="Times New Roman"/>
          <w:color w:val="000000"/>
          <w:lang w:val="en" w:eastAsia="en-AU"/>
        </w:rPr>
        <w:t>give a direction to the Commission with respect to the performance of its functions and the exercise of its powers under the SRC Act. Section 101 of the SRC Act provides that the Minister's power to give directions to the Commission under section 89D of the SRC Act extends to directions concerning any matter relating to the grant of licences under Part VIII of the Act.</w:t>
      </w:r>
      <w:r w:rsidRPr="00871AA7">
        <w:rPr>
          <w:rFonts w:ascii="Times New Roman" w:eastAsia="Times New Roman" w:hAnsi="Times New Roman"/>
          <w:color w:val="000000"/>
          <w:lang w:val="en" w:eastAsia="en-AU"/>
        </w:rPr>
        <w:t xml:space="preserve"> </w:t>
      </w:r>
    </w:p>
    <w:p w14:paraId="6C582B0B" w14:textId="77777777" w:rsidR="008773CF" w:rsidRPr="00871AA7" w:rsidRDefault="008773CF" w:rsidP="008773CF">
      <w:pPr>
        <w:shd w:val="clear" w:color="auto" w:fill="FFFFFF"/>
        <w:spacing w:line="240" w:lineRule="auto"/>
        <w:rPr>
          <w:rFonts w:ascii="Times New Roman" w:hAnsi="Times New Roman"/>
          <w:iCs/>
          <w:color w:val="000000"/>
          <w:shd w:val="clear" w:color="auto" w:fill="FFFFFF"/>
        </w:rPr>
      </w:pPr>
      <w:r w:rsidRPr="00871AA7">
        <w:rPr>
          <w:rFonts w:ascii="Times New Roman" w:eastAsia="Times New Roman" w:hAnsi="Times New Roman"/>
          <w:color w:val="000000"/>
          <w:lang w:val="en" w:eastAsia="en-AU"/>
        </w:rPr>
        <w:t>On and from 28 March 201</w:t>
      </w:r>
      <w:r>
        <w:rPr>
          <w:rFonts w:ascii="Times New Roman" w:eastAsia="Times New Roman" w:hAnsi="Times New Roman"/>
          <w:color w:val="000000"/>
          <w:lang w:val="en" w:eastAsia="en-AU"/>
        </w:rPr>
        <w:t>9</w:t>
      </w:r>
      <w:r w:rsidRPr="00871AA7">
        <w:rPr>
          <w:rFonts w:ascii="Times New Roman" w:eastAsia="Times New Roman" w:hAnsi="Times New Roman"/>
          <w:color w:val="000000"/>
          <w:lang w:val="en" w:eastAsia="en-AU"/>
        </w:rPr>
        <w:t xml:space="preserve">, the Commission has been subject to the Ministerial directions contained in the </w:t>
      </w:r>
      <w:r w:rsidRPr="00871AA7">
        <w:rPr>
          <w:rFonts w:ascii="Times New Roman" w:eastAsia="Times New Roman" w:hAnsi="Times New Roman"/>
          <w:i/>
          <w:color w:val="000000"/>
          <w:lang w:val="en" w:eastAsia="en-AU"/>
        </w:rPr>
        <w:t xml:space="preserve">Safety, Rehabilitation and Compensation Directions 2019 </w:t>
      </w:r>
      <w:r w:rsidRPr="00871AA7">
        <w:rPr>
          <w:rFonts w:ascii="Times New Roman" w:eastAsia="Times New Roman" w:hAnsi="Times New Roman"/>
          <w:color w:val="000000"/>
          <w:lang w:val="en" w:eastAsia="en-AU"/>
        </w:rPr>
        <w:t>(the 2019 Directions)</w:t>
      </w:r>
      <w:r w:rsidRPr="00871AA7">
        <w:rPr>
          <w:rFonts w:ascii="Times New Roman" w:hAnsi="Times New Roman"/>
          <w:iCs/>
          <w:color w:val="000000"/>
          <w:shd w:val="clear" w:color="auto" w:fill="FFFFFF"/>
        </w:rPr>
        <w:t xml:space="preserve">. </w:t>
      </w:r>
      <w:r>
        <w:rPr>
          <w:rFonts w:ascii="Times New Roman" w:hAnsi="Times New Roman"/>
          <w:iCs/>
          <w:color w:val="000000"/>
          <w:shd w:val="clear" w:color="auto" w:fill="FFFFFF"/>
        </w:rPr>
        <w:t xml:space="preserve"> The 2019 Directions were amended from 8 April 2022 by the </w:t>
      </w:r>
      <w:r w:rsidRPr="00871AA7">
        <w:rPr>
          <w:rFonts w:ascii="Times New Roman" w:hAnsi="Times New Roman"/>
          <w:i/>
          <w:iCs/>
          <w:color w:val="000000"/>
          <w:shd w:val="clear" w:color="auto" w:fill="FFFFFF"/>
        </w:rPr>
        <w:t xml:space="preserve">Safety, Rehabilitation and Compensation </w:t>
      </w:r>
      <w:r>
        <w:rPr>
          <w:rFonts w:ascii="Times New Roman" w:hAnsi="Times New Roman"/>
          <w:i/>
          <w:iCs/>
          <w:color w:val="000000"/>
          <w:shd w:val="clear" w:color="auto" w:fill="FFFFFF"/>
        </w:rPr>
        <w:t>Directions Amendment Instrument</w:t>
      </w:r>
      <w:r w:rsidRPr="00871AA7">
        <w:rPr>
          <w:rFonts w:ascii="Times New Roman" w:hAnsi="Times New Roman"/>
          <w:i/>
          <w:iCs/>
          <w:color w:val="000000"/>
          <w:shd w:val="clear" w:color="auto" w:fill="FFFFFF"/>
        </w:rPr>
        <w:t xml:space="preserve"> 20</w:t>
      </w:r>
      <w:r>
        <w:rPr>
          <w:rFonts w:ascii="Times New Roman" w:hAnsi="Times New Roman"/>
          <w:i/>
          <w:iCs/>
          <w:color w:val="000000"/>
          <w:shd w:val="clear" w:color="auto" w:fill="FFFFFF"/>
        </w:rPr>
        <w:t>22</w:t>
      </w:r>
      <w:r w:rsidRPr="00871AA7">
        <w:rPr>
          <w:rFonts w:ascii="Times New Roman" w:hAnsi="Times New Roman"/>
          <w:iCs/>
          <w:color w:val="000000"/>
          <w:shd w:val="clear" w:color="auto" w:fill="FFFFFF"/>
        </w:rPr>
        <w:t xml:space="preserve">. </w:t>
      </w:r>
      <w:r>
        <w:rPr>
          <w:rFonts w:ascii="Times New Roman" w:hAnsi="Times New Roman"/>
          <w:iCs/>
          <w:color w:val="000000"/>
          <w:shd w:val="clear" w:color="auto" w:fill="FFFFFF"/>
        </w:rPr>
        <w:t xml:space="preserve"> </w:t>
      </w:r>
    </w:p>
    <w:p w14:paraId="0D783C10" w14:textId="5ECD8DAF" w:rsidR="008773CF" w:rsidRDefault="008773CF" w:rsidP="008773CF">
      <w:pPr>
        <w:shd w:val="clear" w:color="auto" w:fill="FFFFFF"/>
        <w:spacing w:line="240" w:lineRule="auto"/>
        <w:rPr>
          <w:rFonts w:ascii="Times New Roman" w:hAnsi="Times New Roman"/>
          <w:iCs/>
          <w:color w:val="000000"/>
          <w:shd w:val="clear" w:color="auto" w:fill="FFFFFF"/>
        </w:rPr>
      </w:pPr>
      <w:r w:rsidRPr="00871AA7">
        <w:rPr>
          <w:rFonts w:ascii="Times New Roman" w:hAnsi="Times New Roman"/>
          <w:iCs/>
          <w:color w:val="000000"/>
          <w:shd w:val="clear" w:color="auto" w:fill="FFFFFF"/>
        </w:rPr>
        <w:t xml:space="preserve">This instrument amends the 2019 Directions to introduce </w:t>
      </w:r>
      <w:r>
        <w:rPr>
          <w:rFonts w:ascii="Times New Roman" w:hAnsi="Times New Roman"/>
          <w:iCs/>
          <w:color w:val="000000"/>
          <w:shd w:val="clear" w:color="auto" w:fill="FFFFFF"/>
        </w:rPr>
        <w:t>a</w:t>
      </w:r>
      <w:r w:rsidRPr="00871AA7">
        <w:rPr>
          <w:rFonts w:ascii="Times New Roman" w:hAnsi="Times New Roman"/>
          <w:iCs/>
          <w:color w:val="000000"/>
          <w:shd w:val="clear" w:color="auto" w:fill="FFFFFF"/>
        </w:rPr>
        <w:t xml:space="preserve"> </w:t>
      </w:r>
      <w:r>
        <w:rPr>
          <w:rFonts w:ascii="Times New Roman" w:hAnsi="Times New Roman"/>
          <w:iCs/>
          <w:color w:val="000000"/>
          <w:shd w:val="clear" w:color="auto" w:fill="FFFFFF"/>
        </w:rPr>
        <w:t xml:space="preserve">new </w:t>
      </w:r>
      <w:r w:rsidRPr="00871AA7">
        <w:rPr>
          <w:rFonts w:ascii="Times New Roman" w:hAnsi="Times New Roman"/>
          <w:iCs/>
          <w:color w:val="000000"/>
          <w:shd w:val="clear" w:color="auto" w:fill="FFFFFF"/>
        </w:rPr>
        <w:t>direction</w:t>
      </w:r>
      <w:r>
        <w:rPr>
          <w:rFonts w:ascii="Times New Roman" w:hAnsi="Times New Roman"/>
          <w:iCs/>
          <w:color w:val="000000"/>
          <w:shd w:val="clear" w:color="auto" w:fill="FFFFFF"/>
        </w:rPr>
        <w:t>.  The new direction requires that</w:t>
      </w:r>
      <w:r w:rsidRPr="00871AA7">
        <w:rPr>
          <w:rFonts w:ascii="Times New Roman" w:hAnsi="Times New Roman"/>
          <w:iCs/>
          <w:color w:val="000000"/>
          <w:shd w:val="clear" w:color="auto" w:fill="FFFFFF"/>
        </w:rPr>
        <w:t xml:space="preserve"> </w:t>
      </w:r>
      <w:r>
        <w:rPr>
          <w:rFonts w:ascii="Times New Roman" w:hAnsi="Times New Roman"/>
          <w:iCs/>
          <w:color w:val="000000"/>
          <w:shd w:val="clear" w:color="auto" w:fill="FFFFFF"/>
        </w:rPr>
        <w:t xml:space="preserve">in determining an application for a </w:t>
      </w:r>
      <w:r w:rsidR="00EA4FFD">
        <w:rPr>
          <w:rFonts w:ascii="Times New Roman" w:hAnsi="Times New Roman"/>
          <w:iCs/>
          <w:color w:val="000000"/>
          <w:shd w:val="clear" w:color="auto" w:fill="FFFFFF"/>
        </w:rPr>
        <w:t xml:space="preserve">new </w:t>
      </w:r>
      <w:r>
        <w:rPr>
          <w:rFonts w:ascii="Times New Roman" w:hAnsi="Times New Roman"/>
          <w:iCs/>
          <w:color w:val="000000"/>
          <w:shd w:val="clear" w:color="auto" w:fill="FFFFFF"/>
        </w:rPr>
        <w:t>licence under s 104 of the SRC Act, the primary criteria to be considered by the Commission is whether it is satisfied, on reasonable grounds, that:</w:t>
      </w:r>
    </w:p>
    <w:p w14:paraId="7F4171C5" w14:textId="77777777" w:rsidR="008773CF" w:rsidRDefault="008773CF" w:rsidP="008773CF">
      <w:pPr>
        <w:numPr>
          <w:ilvl w:val="0"/>
          <w:numId w:val="13"/>
        </w:numPr>
        <w:shd w:val="clear" w:color="auto" w:fill="FFFFFF"/>
        <w:rPr>
          <w:rFonts w:ascii="Times New Roman" w:hAnsi="Times New Roman"/>
          <w:iCs/>
          <w:color w:val="000000"/>
          <w:shd w:val="clear" w:color="auto" w:fill="FFFFFF"/>
        </w:rPr>
      </w:pPr>
      <w:r w:rsidRPr="008773CF">
        <w:rPr>
          <w:rFonts w:ascii="Times New Roman" w:hAnsi="Times New Roman"/>
          <w:iCs/>
          <w:color w:val="000000"/>
          <w:shd w:val="clear" w:color="auto" w:fill="FFFFFF"/>
        </w:rPr>
        <w:t xml:space="preserve">the </w:t>
      </w:r>
      <w:r>
        <w:rPr>
          <w:rFonts w:ascii="Times New Roman" w:hAnsi="Times New Roman"/>
          <w:iCs/>
          <w:color w:val="000000"/>
          <w:shd w:val="clear" w:color="auto" w:fill="FFFFFF"/>
        </w:rPr>
        <w:t xml:space="preserve">licence </w:t>
      </w:r>
      <w:r w:rsidRPr="008773CF">
        <w:rPr>
          <w:rFonts w:ascii="Times New Roman" w:hAnsi="Times New Roman"/>
          <w:iCs/>
          <w:color w:val="000000"/>
          <w:shd w:val="clear" w:color="auto" w:fill="FFFFFF"/>
        </w:rPr>
        <w:t xml:space="preserve">applicant is a member of a corporate group in which </w:t>
      </w:r>
      <w:proofErr w:type="gramStart"/>
      <w:r w:rsidRPr="008773CF">
        <w:rPr>
          <w:rFonts w:ascii="Times New Roman" w:hAnsi="Times New Roman"/>
          <w:iCs/>
          <w:color w:val="000000"/>
          <w:shd w:val="clear" w:color="auto" w:fill="FFFFFF"/>
        </w:rPr>
        <w:t>a majority of</w:t>
      </w:r>
      <w:proofErr w:type="gramEnd"/>
      <w:r w:rsidRPr="008773CF">
        <w:rPr>
          <w:rFonts w:ascii="Times New Roman" w:hAnsi="Times New Roman"/>
          <w:iCs/>
          <w:color w:val="000000"/>
          <w:shd w:val="clear" w:color="auto" w:fill="FFFFFF"/>
        </w:rPr>
        <w:t xml:space="preserve"> employees in the corporate group are, at the time of the application, covered by the Act; and</w:t>
      </w:r>
    </w:p>
    <w:p w14:paraId="304BA0B3" w14:textId="035F6F67" w:rsidR="008773CF" w:rsidRDefault="008773CF" w:rsidP="008773CF">
      <w:pPr>
        <w:numPr>
          <w:ilvl w:val="0"/>
          <w:numId w:val="13"/>
        </w:numPr>
        <w:shd w:val="clear" w:color="auto" w:fill="FFFFFF"/>
        <w:rPr>
          <w:rFonts w:ascii="Times New Roman" w:hAnsi="Times New Roman"/>
          <w:iCs/>
          <w:color w:val="000000"/>
          <w:shd w:val="clear" w:color="auto" w:fill="FFFFFF"/>
        </w:rPr>
      </w:pPr>
      <w:r w:rsidRPr="008773CF">
        <w:rPr>
          <w:rFonts w:ascii="Times New Roman" w:hAnsi="Times New Roman"/>
          <w:iCs/>
          <w:color w:val="000000"/>
          <w:shd w:val="clear" w:color="auto" w:fill="FFFFFF"/>
        </w:rPr>
        <w:lastRenderedPageBreak/>
        <w:t>the licence would not result in an overall reduction in workers’ compensation entitlements for the employees of the applicant to be covered by the Act.</w:t>
      </w:r>
    </w:p>
    <w:p w14:paraId="0E1C1681" w14:textId="6C3C7A06" w:rsidR="00686F51" w:rsidRPr="008773CF" w:rsidRDefault="00686F51" w:rsidP="00686F51">
      <w:pPr>
        <w:shd w:val="clear" w:color="auto" w:fill="FFFFFF"/>
        <w:rPr>
          <w:rFonts w:ascii="Times New Roman" w:hAnsi="Times New Roman"/>
          <w:iCs/>
          <w:color w:val="000000"/>
          <w:shd w:val="clear" w:color="auto" w:fill="FFFFFF"/>
        </w:rPr>
      </w:pPr>
      <w:r>
        <w:rPr>
          <w:rFonts w:ascii="Times New Roman" w:hAnsi="Times New Roman"/>
          <w:iCs/>
          <w:color w:val="000000"/>
          <w:shd w:val="clear" w:color="auto" w:fill="FFFFFF"/>
        </w:rPr>
        <w:t>New direction 7A does not apply to applications to extend or vary licences under s 105 of the SRC Act.</w:t>
      </w:r>
    </w:p>
    <w:p w14:paraId="5E745AF7" w14:textId="77777777" w:rsidR="00343B6A" w:rsidRPr="00157E7E" w:rsidRDefault="00343B6A" w:rsidP="00182D29">
      <w:pPr>
        <w:spacing w:after="220" w:line="240" w:lineRule="auto"/>
        <w:contextualSpacing/>
        <w:rPr>
          <w:rFonts w:ascii="Times New Roman" w:hAnsi="Times New Roman"/>
          <w:b/>
        </w:rPr>
      </w:pPr>
      <w:r w:rsidRPr="00157E7E">
        <w:rPr>
          <w:rFonts w:ascii="Times New Roman" w:hAnsi="Times New Roman"/>
          <w:b/>
        </w:rPr>
        <w:t>Human rights implications</w:t>
      </w:r>
    </w:p>
    <w:p w14:paraId="108133B6" w14:textId="5244D075" w:rsidR="0040392D" w:rsidRPr="00157E7E" w:rsidRDefault="00FA63FA" w:rsidP="0040392D">
      <w:pPr>
        <w:pStyle w:val="Heading3"/>
        <w:spacing w:before="0" w:beforeAutospacing="0" w:after="220" w:afterAutospacing="0"/>
        <w:contextualSpacing/>
        <w:rPr>
          <w:b w:val="0"/>
          <w:sz w:val="22"/>
          <w:szCs w:val="22"/>
        </w:rPr>
      </w:pPr>
      <w:r>
        <w:rPr>
          <w:b w:val="0"/>
          <w:sz w:val="22"/>
          <w:szCs w:val="22"/>
        </w:rPr>
        <w:t xml:space="preserve">Article 7 of the </w:t>
      </w:r>
      <w:r w:rsidRPr="00157E7E">
        <w:rPr>
          <w:b w:val="0"/>
          <w:i/>
          <w:sz w:val="22"/>
          <w:szCs w:val="22"/>
        </w:rPr>
        <w:t>International Covenant on Economic, Social and Cultural Rights</w:t>
      </w:r>
      <w:r>
        <w:rPr>
          <w:b w:val="0"/>
          <w:i/>
          <w:sz w:val="22"/>
          <w:szCs w:val="22"/>
        </w:rPr>
        <w:t xml:space="preserve"> </w:t>
      </w:r>
      <w:r>
        <w:rPr>
          <w:b w:val="0"/>
          <w:iCs/>
          <w:sz w:val="22"/>
          <w:szCs w:val="22"/>
        </w:rPr>
        <w:t xml:space="preserve">(ICESCR) provides for the right </w:t>
      </w:r>
      <w:r w:rsidR="00C40DA5">
        <w:rPr>
          <w:b w:val="0"/>
          <w:iCs/>
          <w:sz w:val="22"/>
          <w:szCs w:val="22"/>
        </w:rPr>
        <w:t xml:space="preserve">of everyone to the enjoyment of just and favourable conditions of work.  </w:t>
      </w:r>
      <w:r w:rsidR="008467A5">
        <w:rPr>
          <w:b w:val="0"/>
          <w:iCs/>
          <w:sz w:val="22"/>
          <w:szCs w:val="22"/>
        </w:rPr>
        <w:t>Article 11 of the ICE</w:t>
      </w:r>
      <w:r w:rsidR="00C93F6B">
        <w:rPr>
          <w:b w:val="0"/>
          <w:iCs/>
          <w:sz w:val="22"/>
          <w:szCs w:val="22"/>
        </w:rPr>
        <w:t>SCR provides for the right of everyone to an adequate standard of living</w:t>
      </w:r>
      <w:r w:rsidR="0040392D">
        <w:rPr>
          <w:b w:val="0"/>
          <w:iCs/>
          <w:sz w:val="22"/>
          <w:szCs w:val="22"/>
        </w:rPr>
        <w:t xml:space="preserve">.  </w:t>
      </w:r>
      <w:r w:rsidR="0040392D" w:rsidRPr="00157E7E">
        <w:rPr>
          <w:b w:val="0"/>
          <w:sz w:val="22"/>
          <w:szCs w:val="22"/>
        </w:rPr>
        <w:t xml:space="preserve">Article 9 of the </w:t>
      </w:r>
      <w:r w:rsidR="0040392D">
        <w:rPr>
          <w:b w:val="0"/>
          <w:iCs/>
          <w:sz w:val="22"/>
          <w:szCs w:val="22"/>
        </w:rPr>
        <w:t xml:space="preserve">ICESCR </w:t>
      </w:r>
      <w:r w:rsidR="0040392D" w:rsidRPr="00157E7E">
        <w:rPr>
          <w:b w:val="0"/>
          <w:sz w:val="22"/>
          <w:szCs w:val="22"/>
        </w:rPr>
        <w:t>provides for the right of everyone to social security, including social insurance. General Comment 19 by the Committee on Economic, Social and Cultural Rights sets out the essential elements of the right to social security, including that ‘States parties should … ensure the protection of workers who are injured in the course of employment or other productive work’.</w:t>
      </w:r>
      <w:r w:rsidR="0040392D" w:rsidRPr="00157E7E">
        <w:rPr>
          <w:rStyle w:val="FootnoteReference"/>
          <w:b w:val="0"/>
          <w:sz w:val="22"/>
          <w:szCs w:val="22"/>
        </w:rPr>
        <w:footnoteReference w:id="1"/>
      </w:r>
    </w:p>
    <w:p w14:paraId="5A43570D" w14:textId="47A97B33" w:rsidR="00FA63FA" w:rsidRDefault="00FA63FA" w:rsidP="00182D29">
      <w:pPr>
        <w:pStyle w:val="Heading3"/>
        <w:spacing w:before="0" w:beforeAutospacing="0" w:after="220" w:afterAutospacing="0"/>
        <w:contextualSpacing/>
        <w:rPr>
          <w:b w:val="0"/>
          <w:sz w:val="22"/>
          <w:szCs w:val="22"/>
        </w:rPr>
      </w:pPr>
    </w:p>
    <w:p w14:paraId="39761D51" w14:textId="5A153923" w:rsidR="003E4E32" w:rsidRDefault="00343B6A" w:rsidP="00182D29">
      <w:pPr>
        <w:pStyle w:val="Heading3"/>
        <w:spacing w:before="0" w:beforeAutospacing="0" w:after="220" w:afterAutospacing="0"/>
        <w:contextualSpacing/>
        <w:rPr>
          <w:b w:val="0"/>
          <w:sz w:val="22"/>
          <w:szCs w:val="22"/>
        </w:rPr>
      </w:pPr>
      <w:r w:rsidRPr="00157E7E">
        <w:rPr>
          <w:b w:val="0"/>
          <w:sz w:val="22"/>
          <w:szCs w:val="22"/>
        </w:rPr>
        <w:t>Workers’ compensation legislation ensures the protection of injured workers by way of compensation payments, payment of medical expenses, permanent impairment benefits and other benefits, such as access to rehabilitation support</w:t>
      </w:r>
      <w:r w:rsidR="00780905">
        <w:rPr>
          <w:b w:val="0"/>
          <w:sz w:val="22"/>
          <w:szCs w:val="22"/>
        </w:rPr>
        <w:t>.  By doing so, it also</w:t>
      </w:r>
      <w:r w:rsidR="002C09A7">
        <w:rPr>
          <w:b w:val="0"/>
          <w:sz w:val="22"/>
          <w:szCs w:val="22"/>
        </w:rPr>
        <w:t xml:space="preserve"> supports the rights to </w:t>
      </w:r>
      <w:r w:rsidR="00B85205">
        <w:rPr>
          <w:b w:val="0"/>
          <w:sz w:val="22"/>
          <w:szCs w:val="22"/>
        </w:rPr>
        <w:t>just and favourable working conditions and to an adequate standard of living.</w:t>
      </w:r>
    </w:p>
    <w:p w14:paraId="64E20DB1" w14:textId="77777777" w:rsidR="00182D29" w:rsidRDefault="00182D29" w:rsidP="00182D29">
      <w:pPr>
        <w:pStyle w:val="Heading3"/>
        <w:spacing w:before="0" w:beforeAutospacing="0" w:after="220" w:afterAutospacing="0"/>
        <w:contextualSpacing/>
        <w:rPr>
          <w:b w:val="0"/>
          <w:sz w:val="22"/>
          <w:szCs w:val="22"/>
        </w:rPr>
      </w:pPr>
    </w:p>
    <w:p w14:paraId="5ED390CB" w14:textId="6B5E6AAB" w:rsidR="000A0723" w:rsidRDefault="00343B6A" w:rsidP="00182D29">
      <w:pPr>
        <w:pStyle w:val="Heading3"/>
        <w:spacing w:before="0" w:beforeAutospacing="0" w:after="220" w:afterAutospacing="0"/>
        <w:contextualSpacing/>
        <w:rPr>
          <w:b w:val="0"/>
          <w:sz w:val="22"/>
          <w:szCs w:val="22"/>
        </w:rPr>
      </w:pPr>
      <w:r w:rsidRPr="00157E7E">
        <w:rPr>
          <w:b w:val="0"/>
          <w:sz w:val="22"/>
          <w:szCs w:val="22"/>
        </w:rPr>
        <w:t>Th</w:t>
      </w:r>
      <w:r w:rsidR="002918A0">
        <w:rPr>
          <w:b w:val="0"/>
          <w:sz w:val="22"/>
          <w:szCs w:val="22"/>
        </w:rPr>
        <w:t>e</w:t>
      </w:r>
      <w:r w:rsidRPr="00157E7E">
        <w:rPr>
          <w:b w:val="0"/>
          <w:sz w:val="22"/>
          <w:szCs w:val="22"/>
        </w:rPr>
        <w:t xml:space="preserve"> </w:t>
      </w:r>
      <w:r w:rsidR="003E4E32">
        <w:rPr>
          <w:b w:val="0"/>
          <w:sz w:val="22"/>
          <w:szCs w:val="22"/>
        </w:rPr>
        <w:t>instrument</w:t>
      </w:r>
      <w:r w:rsidRPr="00157E7E">
        <w:rPr>
          <w:b w:val="0"/>
          <w:sz w:val="22"/>
          <w:szCs w:val="22"/>
        </w:rPr>
        <w:t xml:space="preserve"> engages</w:t>
      </w:r>
      <w:r w:rsidR="00713E33">
        <w:rPr>
          <w:b w:val="0"/>
          <w:sz w:val="22"/>
          <w:szCs w:val="22"/>
        </w:rPr>
        <w:t>,</w:t>
      </w:r>
      <w:r w:rsidRPr="00157E7E">
        <w:rPr>
          <w:b w:val="0"/>
          <w:sz w:val="22"/>
          <w:szCs w:val="22"/>
        </w:rPr>
        <w:t xml:space="preserve"> but d</w:t>
      </w:r>
      <w:r w:rsidR="003E4E32">
        <w:rPr>
          <w:b w:val="0"/>
          <w:sz w:val="22"/>
          <w:szCs w:val="22"/>
        </w:rPr>
        <w:t xml:space="preserve">oes not </w:t>
      </w:r>
      <w:r w:rsidR="003E4E32" w:rsidRPr="000A0723">
        <w:rPr>
          <w:b w:val="0"/>
          <w:sz w:val="22"/>
          <w:szCs w:val="22"/>
        </w:rPr>
        <w:t>limit</w:t>
      </w:r>
      <w:r w:rsidR="00713E33">
        <w:rPr>
          <w:b w:val="0"/>
          <w:sz w:val="22"/>
          <w:szCs w:val="22"/>
        </w:rPr>
        <w:t>,</w:t>
      </w:r>
      <w:r w:rsidR="003E4E32" w:rsidRPr="000A0723">
        <w:rPr>
          <w:b w:val="0"/>
          <w:sz w:val="22"/>
          <w:szCs w:val="22"/>
        </w:rPr>
        <w:t xml:space="preserve"> human rights. It</w:t>
      </w:r>
      <w:r w:rsidR="008D74CF" w:rsidRPr="000A0723">
        <w:rPr>
          <w:b w:val="0"/>
          <w:sz w:val="22"/>
          <w:szCs w:val="22"/>
        </w:rPr>
        <w:t>s effect is to direct</w:t>
      </w:r>
      <w:r w:rsidR="003E4E32" w:rsidRPr="000A0723">
        <w:rPr>
          <w:b w:val="0"/>
          <w:sz w:val="22"/>
          <w:szCs w:val="22"/>
        </w:rPr>
        <w:t xml:space="preserve"> the Commission to </w:t>
      </w:r>
      <w:r w:rsidR="000A0723" w:rsidRPr="000A0723">
        <w:rPr>
          <w:b w:val="0"/>
          <w:sz w:val="22"/>
          <w:szCs w:val="22"/>
        </w:rPr>
        <w:t xml:space="preserve">take as the primary criteria for consideration in determining an application for a licence under </w:t>
      </w:r>
      <w:r w:rsidR="00115D64" w:rsidRPr="000A0723">
        <w:rPr>
          <w:b w:val="0"/>
          <w:sz w:val="22"/>
          <w:szCs w:val="22"/>
        </w:rPr>
        <w:t xml:space="preserve">Part VIII </w:t>
      </w:r>
      <w:r w:rsidR="00115D64">
        <w:rPr>
          <w:b w:val="0"/>
          <w:sz w:val="22"/>
          <w:szCs w:val="22"/>
        </w:rPr>
        <w:t xml:space="preserve">of </w:t>
      </w:r>
      <w:r w:rsidR="000A0723" w:rsidRPr="000A0723">
        <w:rPr>
          <w:b w:val="0"/>
          <w:sz w:val="22"/>
          <w:szCs w:val="22"/>
        </w:rPr>
        <w:t>the SRC Act the</w:t>
      </w:r>
      <w:r w:rsidR="00B22485" w:rsidRPr="000A0723">
        <w:rPr>
          <w:b w:val="0"/>
          <w:sz w:val="22"/>
          <w:szCs w:val="22"/>
        </w:rPr>
        <w:t xml:space="preserve"> matters specified in the instrument</w:t>
      </w:r>
      <w:r w:rsidR="000A0723" w:rsidRPr="000A0723">
        <w:rPr>
          <w:b w:val="0"/>
          <w:sz w:val="22"/>
          <w:szCs w:val="22"/>
        </w:rPr>
        <w:t xml:space="preserve">.  The grant of a licence under of the SRC Act may affect which workers’ compensation scheme is applicable to certain </w:t>
      </w:r>
      <w:proofErr w:type="gramStart"/>
      <w:r w:rsidR="000A0723" w:rsidRPr="000A0723">
        <w:rPr>
          <w:b w:val="0"/>
          <w:sz w:val="22"/>
          <w:szCs w:val="22"/>
        </w:rPr>
        <w:t>employees, but</w:t>
      </w:r>
      <w:proofErr w:type="gramEnd"/>
      <w:r w:rsidR="000A0723" w:rsidRPr="000A0723">
        <w:rPr>
          <w:b w:val="0"/>
          <w:sz w:val="22"/>
          <w:szCs w:val="22"/>
        </w:rPr>
        <w:t xml:space="preserve"> does not </w:t>
      </w:r>
      <w:r w:rsidR="00D24A97">
        <w:rPr>
          <w:b w:val="0"/>
          <w:sz w:val="22"/>
          <w:szCs w:val="22"/>
        </w:rPr>
        <w:t>a</w:t>
      </w:r>
      <w:r w:rsidR="000A0723" w:rsidRPr="000A0723">
        <w:rPr>
          <w:b w:val="0"/>
          <w:sz w:val="22"/>
          <w:szCs w:val="22"/>
        </w:rPr>
        <w:t>ffect the right of the employee to workers’ compensation generally.</w:t>
      </w:r>
    </w:p>
    <w:p w14:paraId="003F96B9" w14:textId="77777777" w:rsidR="000A0723" w:rsidRDefault="000A0723" w:rsidP="00182D29">
      <w:pPr>
        <w:pStyle w:val="Heading3"/>
        <w:spacing w:before="0" w:beforeAutospacing="0" w:after="220" w:afterAutospacing="0"/>
        <w:contextualSpacing/>
        <w:rPr>
          <w:b w:val="0"/>
          <w:sz w:val="22"/>
          <w:szCs w:val="22"/>
        </w:rPr>
      </w:pPr>
    </w:p>
    <w:p w14:paraId="727998C1" w14:textId="74D06B26" w:rsidR="008D74CF" w:rsidRDefault="008D74CF" w:rsidP="00182D29">
      <w:pPr>
        <w:pStyle w:val="Heading3"/>
        <w:spacing w:before="0" w:beforeAutospacing="0" w:after="220" w:afterAutospacing="0"/>
        <w:contextualSpacing/>
        <w:rPr>
          <w:b w:val="0"/>
          <w:sz w:val="22"/>
          <w:szCs w:val="22"/>
        </w:rPr>
      </w:pPr>
      <w:r>
        <w:rPr>
          <w:b w:val="0"/>
          <w:sz w:val="22"/>
          <w:szCs w:val="22"/>
        </w:rPr>
        <w:t xml:space="preserve">Accordingly, the instrument </w:t>
      </w:r>
      <w:r w:rsidRPr="008D74CF">
        <w:rPr>
          <w:b w:val="0"/>
          <w:sz w:val="22"/>
          <w:szCs w:val="22"/>
        </w:rPr>
        <w:t xml:space="preserve">does not </w:t>
      </w:r>
      <w:r w:rsidR="00713E33">
        <w:rPr>
          <w:b w:val="0"/>
          <w:sz w:val="22"/>
          <w:szCs w:val="22"/>
        </w:rPr>
        <w:t>impinge upon the right</w:t>
      </w:r>
      <w:r w:rsidR="009F6FAC">
        <w:rPr>
          <w:b w:val="0"/>
          <w:sz w:val="22"/>
          <w:szCs w:val="22"/>
        </w:rPr>
        <w:t>s</w:t>
      </w:r>
      <w:r w:rsidR="00713E33">
        <w:rPr>
          <w:b w:val="0"/>
          <w:sz w:val="22"/>
          <w:szCs w:val="22"/>
        </w:rPr>
        <w:t xml:space="preserve"> to </w:t>
      </w:r>
      <w:r w:rsidR="009F6FAC">
        <w:rPr>
          <w:b w:val="0"/>
          <w:sz w:val="22"/>
          <w:szCs w:val="22"/>
        </w:rPr>
        <w:t xml:space="preserve">just and favourable working conditions and to an adequate standard of </w:t>
      </w:r>
      <w:proofErr w:type="gramStart"/>
      <w:r w:rsidR="009F6FAC">
        <w:rPr>
          <w:b w:val="0"/>
          <w:sz w:val="22"/>
          <w:szCs w:val="22"/>
        </w:rPr>
        <w:t>living</w:t>
      </w:r>
      <w:r w:rsidR="00A971B4">
        <w:rPr>
          <w:b w:val="0"/>
          <w:sz w:val="22"/>
          <w:szCs w:val="22"/>
        </w:rPr>
        <w:t>, and</w:t>
      </w:r>
      <w:proofErr w:type="gramEnd"/>
      <w:r w:rsidR="00A971B4">
        <w:rPr>
          <w:b w:val="0"/>
          <w:sz w:val="22"/>
          <w:szCs w:val="22"/>
        </w:rPr>
        <w:t xml:space="preserve"> does not limit the right to social security</w:t>
      </w:r>
      <w:r w:rsidR="009F6FAC">
        <w:rPr>
          <w:b w:val="0"/>
          <w:sz w:val="22"/>
          <w:szCs w:val="22"/>
        </w:rPr>
        <w:t>.</w:t>
      </w:r>
    </w:p>
    <w:p w14:paraId="1D78C2F5" w14:textId="77777777" w:rsidR="00343B6A" w:rsidRPr="00157E7E" w:rsidRDefault="00343B6A" w:rsidP="00182D29">
      <w:pPr>
        <w:keepNext/>
        <w:spacing w:after="220" w:line="240" w:lineRule="auto"/>
        <w:contextualSpacing/>
        <w:rPr>
          <w:rFonts w:ascii="Times New Roman" w:hAnsi="Times New Roman"/>
          <w:b/>
        </w:rPr>
      </w:pPr>
      <w:r w:rsidRPr="00157E7E">
        <w:rPr>
          <w:rFonts w:ascii="Times New Roman" w:hAnsi="Times New Roman"/>
          <w:b/>
        </w:rPr>
        <w:t>Conclusion</w:t>
      </w:r>
      <w:r w:rsidR="004F3D44" w:rsidRPr="00157E7E">
        <w:rPr>
          <w:rFonts w:ascii="Times New Roman" w:hAnsi="Times New Roman"/>
          <w:b/>
        </w:rPr>
        <w:t xml:space="preserve">  </w:t>
      </w:r>
    </w:p>
    <w:p w14:paraId="3CDBFEB4" w14:textId="77777777" w:rsidR="00B66B62" w:rsidRDefault="00B66B62" w:rsidP="00182D29">
      <w:pPr>
        <w:spacing w:after="220" w:line="240" w:lineRule="auto"/>
        <w:contextualSpacing/>
        <w:rPr>
          <w:rFonts w:ascii="Times New Roman" w:hAnsi="Times New Roman"/>
        </w:rPr>
      </w:pPr>
    </w:p>
    <w:p w14:paraId="5EC72717" w14:textId="1C8AB96F" w:rsidR="00343B6A" w:rsidRPr="00157E7E" w:rsidRDefault="00343B6A" w:rsidP="00182D29">
      <w:pPr>
        <w:spacing w:after="220" w:line="240" w:lineRule="auto"/>
        <w:contextualSpacing/>
        <w:rPr>
          <w:rFonts w:ascii="Times New Roman" w:hAnsi="Times New Roman"/>
        </w:rPr>
      </w:pPr>
      <w:r w:rsidRPr="00157E7E">
        <w:rPr>
          <w:rFonts w:ascii="Times New Roman" w:hAnsi="Times New Roman"/>
        </w:rPr>
        <w:t xml:space="preserve">The Legislative Instrument is compatible with human rights </w:t>
      </w:r>
      <w:r w:rsidR="00EE0C35">
        <w:rPr>
          <w:rFonts w:ascii="Times New Roman" w:hAnsi="Times New Roman"/>
        </w:rPr>
        <w:t xml:space="preserve">as it does not </w:t>
      </w:r>
      <w:r w:rsidR="00143AF8">
        <w:rPr>
          <w:rFonts w:ascii="Times New Roman" w:hAnsi="Times New Roman"/>
        </w:rPr>
        <w:t>limit</w:t>
      </w:r>
      <w:r w:rsidR="00EE0C35">
        <w:rPr>
          <w:rFonts w:ascii="Times New Roman" w:hAnsi="Times New Roman"/>
        </w:rPr>
        <w:t xml:space="preserve"> any human rights</w:t>
      </w:r>
      <w:r w:rsidRPr="00157E7E">
        <w:rPr>
          <w:rFonts w:ascii="Times New Roman" w:hAnsi="Times New Roman"/>
        </w:rPr>
        <w:t>.</w:t>
      </w:r>
    </w:p>
    <w:p w14:paraId="1933862F" w14:textId="77777777" w:rsidR="00B66B62" w:rsidRDefault="00B66B62" w:rsidP="00343B6A">
      <w:pPr>
        <w:spacing w:after="220"/>
        <w:jc w:val="center"/>
        <w:rPr>
          <w:rFonts w:ascii="Times New Roman" w:hAnsi="Times New Roman"/>
          <w:b/>
        </w:rPr>
      </w:pPr>
    </w:p>
    <w:p w14:paraId="68AF70F8" w14:textId="1D60D063" w:rsidR="00343B6A" w:rsidRPr="00157E7E" w:rsidRDefault="00745232" w:rsidP="00343B6A">
      <w:pPr>
        <w:spacing w:after="220"/>
        <w:jc w:val="center"/>
        <w:rPr>
          <w:rFonts w:ascii="Times New Roman" w:hAnsi="Times New Roman"/>
          <w:b/>
        </w:rPr>
      </w:pPr>
      <w:r>
        <w:rPr>
          <w:rFonts w:ascii="Times New Roman" w:hAnsi="Times New Roman"/>
          <w:b/>
        </w:rPr>
        <w:t>T</w:t>
      </w:r>
      <w:r w:rsidR="00C03121">
        <w:rPr>
          <w:rFonts w:ascii="Times New Roman" w:hAnsi="Times New Roman"/>
          <w:b/>
        </w:rPr>
        <w:t>he</w:t>
      </w:r>
      <w:r w:rsidR="00343B6A" w:rsidRPr="00157E7E">
        <w:rPr>
          <w:rFonts w:ascii="Times New Roman" w:hAnsi="Times New Roman"/>
          <w:b/>
        </w:rPr>
        <w:t xml:space="preserve"> Hon </w:t>
      </w:r>
      <w:r w:rsidR="0099177E">
        <w:rPr>
          <w:rFonts w:ascii="Times New Roman" w:hAnsi="Times New Roman"/>
          <w:b/>
        </w:rPr>
        <w:t>Tony Burke</w:t>
      </w:r>
      <w:r>
        <w:rPr>
          <w:rFonts w:ascii="Times New Roman" w:hAnsi="Times New Roman"/>
          <w:b/>
        </w:rPr>
        <w:t xml:space="preserve"> MP</w:t>
      </w:r>
    </w:p>
    <w:p w14:paraId="182E2B09" w14:textId="4D47AFE6" w:rsidR="00615F6C" w:rsidRPr="008D74CF" w:rsidRDefault="00F32E8A" w:rsidP="008D74CF">
      <w:pPr>
        <w:spacing w:after="220" w:line="240" w:lineRule="auto"/>
        <w:contextualSpacing/>
        <w:jc w:val="center"/>
        <w:rPr>
          <w:rFonts w:ascii="Times New Roman" w:hAnsi="Times New Roman"/>
          <w:lang w:val="en"/>
        </w:rPr>
      </w:pPr>
      <w:r w:rsidRPr="00C04ACC">
        <w:rPr>
          <w:rFonts w:ascii="Times New Roman" w:eastAsia="Times New Roman" w:hAnsi="Times New Roman"/>
          <w:bCs/>
          <w:lang w:eastAsia="en-AU"/>
        </w:rPr>
        <w:t xml:space="preserve">Minister </w:t>
      </w:r>
      <w:r w:rsidRPr="00C04ACC">
        <w:rPr>
          <w:rFonts w:ascii="Times New Roman" w:hAnsi="Times New Roman"/>
          <w:lang w:val="en"/>
        </w:rPr>
        <w:t xml:space="preserve">for </w:t>
      </w:r>
      <w:r w:rsidR="0099177E">
        <w:rPr>
          <w:rFonts w:ascii="Times New Roman" w:hAnsi="Times New Roman"/>
          <w:lang w:val="en"/>
        </w:rPr>
        <w:t>Employment and Workplace Relations</w:t>
      </w:r>
    </w:p>
    <w:p w14:paraId="3E35A873" w14:textId="77777777" w:rsidR="00615F6C" w:rsidRDefault="00615F6C" w:rsidP="00D8585C">
      <w:pPr>
        <w:pageBreakBefore/>
        <w:spacing w:after="220" w:line="240" w:lineRule="auto"/>
        <w:jc w:val="right"/>
        <w:rPr>
          <w:rFonts w:ascii="Times New Roman" w:hAnsi="Times New Roman"/>
          <w:b/>
          <w:sz w:val="24"/>
          <w:szCs w:val="24"/>
        </w:rPr>
      </w:pPr>
      <w:r w:rsidRPr="00521029">
        <w:rPr>
          <w:rFonts w:ascii="Times New Roman" w:hAnsi="Times New Roman"/>
          <w:b/>
          <w:sz w:val="24"/>
          <w:szCs w:val="24"/>
        </w:rPr>
        <w:lastRenderedPageBreak/>
        <w:t>Attachment A</w:t>
      </w:r>
    </w:p>
    <w:p w14:paraId="2B8C15C0" w14:textId="77777777" w:rsidR="00615F6C" w:rsidRPr="00BB254A" w:rsidRDefault="00615F6C" w:rsidP="00615F6C">
      <w:pPr>
        <w:spacing w:after="220" w:line="240" w:lineRule="auto"/>
        <w:rPr>
          <w:rFonts w:ascii="Times New Roman" w:hAnsi="Times New Roman"/>
          <w:b/>
          <w:sz w:val="24"/>
          <w:szCs w:val="24"/>
        </w:rPr>
      </w:pPr>
      <w:r>
        <w:rPr>
          <w:rFonts w:ascii="Times New Roman" w:hAnsi="Times New Roman"/>
          <w:b/>
          <w:sz w:val="24"/>
          <w:szCs w:val="24"/>
        </w:rPr>
        <w:t>NOTES ON SECTIONS</w:t>
      </w:r>
    </w:p>
    <w:p w14:paraId="382B35A6" w14:textId="77777777" w:rsidR="00615F6C" w:rsidRPr="00F36CE5" w:rsidRDefault="00615F6C" w:rsidP="00615F6C">
      <w:pPr>
        <w:spacing w:after="220" w:line="240" w:lineRule="auto"/>
        <w:rPr>
          <w:rFonts w:ascii="Times New Roman" w:hAnsi="Times New Roman"/>
          <w:b/>
        </w:rPr>
      </w:pPr>
      <w:r w:rsidRPr="00F36CE5">
        <w:rPr>
          <w:rFonts w:ascii="Times New Roman" w:hAnsi="Times New Roman"/>
          <w:b/>
        </w:rPr>
        <w:t>Section 1 – Name</w:t>
      </w:r>
    </w:p>
    <w:p w14:paraId="6CB60568" w14:textId="2CED3B6F" w:rsidR="00615F6C" w:rsidRPr="007913DA" w:rsidRDefault="00615F6C" w:rsidP="00615F6C">
      <w:pPr>
        <w:spacing w:after="220" w:line="240" w:lineRule="auto"/>
        <w:rPr>
          <w:rFonts w:ascii="Times New Roman" w:hAnsi="Times New Roman"/>
        </w:rPr>
      </w:pPr>
      <w:r w:rsidRPr="00CD26B5">
        <w:rPr>
          <w:rFonts w:ascii="Times New Roman" w:hAnsi="Times New Roman"/>
        </w:rPr>
        <w:t xml:space="preserve">Section 1 provides that the title of the instrument is the </w:t>
      </w:r>
      <w:r w:rsidR="007913DA" w:rsidRPr="007913DA">
        <w:rPr>
          <w:rFonts w:ascii="Times New Roman" w:hAnsi="Times New Roman"/>
          <w:i/>
        </w:rPr>
        <w:t>Safety, Rehabilitation and Compensation Directions Amendment Instrument 202</w:t>
      </w:r>
      <w:r w:rsidR="0099177E">
        <w:rPr>
          <w:rFonts w:ascii="Times New Roman" w:hAnsi="Times New Roman"/>
          <w:i/>
        </w:rPr>
        <w:t>3</w:t>
      </w:r>
      <w:r w:rsidR="007913DA">
        <w:rPr>
          <w:rFonts w:ascii="Times New Roman" w:hAnsi="Times New Roman"/>
        </w:rPr>
        <w:t>.</w:t>
      </w:r>
    </w:p>
    <w:p w14:paraId="1DFA5A66" w14:textId="77777777" w:rsidR="00615F6C" w:rsidRPr="00A007B6" w:rsidRDefault="00615F6C" w:rsidP="00615F6C">
      <w:pPr>
        <w:spacing w:after="220" w:line="240" w:lineRule="auto"/>
        <w:rPr>
          <w:rFonts w:ascii="Times New Roman" w:hAnsi="Times New Roman"/>
          <w:b/>
        </w:rPr>
      </w:pPr>
      <w:r w:rsidRPr="00A007B6">
        <w:rPr>
          <w:rFonts w:ascii="Times New Roman" w:hAnsi="Times New Roman"/>
          <w:b/>
        </w:rPr>
        <w:t xml:space="preserve">Section 2 – Commencement </w:t>
      </w:r>
    </w:p>
    <w:p w14:paraId="286AB906" w14:textId="77777777" w:rsidR="00615F6C" w:rsidRPr="00A007B6" w:rsidRDefault="00615F6C" w:rsidP="00615F6C">
      <w:pPr>
        <w:spacing w:after="220" w:line="240" w:lineRule="auto"/>
        <w:rPr>
          <w:rFonts w:ascii="Times New Roman" w:hAnsi="Times New Roman"/>
        </w:rPr>
      </w:pPr>
      <w:r w:rsidRPr="00A007B6">
        <w:rPr>
          <w:rFonts w:ascii="Times New Roman" w:hAnsi="Times New Roman"/>
        </w:rPr>
        <w:t>Section 2 provides that the instrument commences on the day after it is registered on the Federal Register of Legislation.</w:t>
      </w:r>
    </w:p>
    <w:p w14:paraId="2148D6FA" w14:textId="77777777" w:rsidR="00615F6C" w:rsidRPr="00A007B6" w:rsidRDefault="00615F6C" w:rsidP="00615F6C">
      <w:pPr>
        <w:spacing w:after="220" w:line="240" w:lineRule="auto"/>
        <w:rPr>
          <w:rFonts w:ascii="Times New Roman" w:hAnsi="Times New Roman"/>
          <w:b/>
        </w:rPr>
      </w:pPr>
      <w:r w:rsidRPr="00A007B6">
        <w:rPr>
          <w:rFonts w:ascii="Times New Roman" w:hAnsi="Times New Roman"/>
          <w:b/>
        </w:rPr>
        <w:t xml:space="preserve">Section 3 – Authority </w:t>
      </w:r>
    </w:p>
    <w:p w14:paraId="026BE65A" w14:textId="349D1B9D" w:rsidR="00615F6C" w:rsidRPr="00A007B6" w:rsidRDefault="00615F6C" w:rsidP="00615F6C">
      <w:pPr>
        <w:spacing w:after="220" w:line="240" w:lineRule="auto"/>
        <w:rPr>
          <w:rFonts w:ascii="Times New Roman" w:hAnsi="Times New Roman"/>
        </w:rPr>
      </w:pPr>
      <w:r w:rsidRPr="00A007B6">
        <w:rPr>
          <w:rFonts w:ascii="Times New Roman" w:hAnsi="Times New Roman"/>
        </w:rPr>
        <w:t xml:space="preserve">Section 3 provides that the instrument is made under </w:t>
      </w:r>
      <w:r w:rsidR="007913DA">
        <w:rPr>
          <w:rFonts w:ascii="Times New Roman" w:hAnsi="Times New Roman"/>
        </w:rPr>
        <w:t>sections 89D and 101</w:t>
      </w:r>
      <w:r>
        <w:rPr>
          <w:rFonts w:ascii="Times New Roman" w:hAnsi="Times New Roman"/>
        </w:rPr>
        <w:t xml:space="preserve"> of the </w:t>
      </w:r>
      <w:r w:rsidRPr="00CD26B5">
        <w:rPr>
          <w:rFonts w:ascii="Times New Roman" w:hAnsi="Times New Roman"/>
          <w:i/>
        </w:rPr>
        <w:t>Safety, Rehabilitation and Compensation</w:t>
      </w:r>
      <w:r>
        <w:rPr>
          <w:rFonts w:ascii="Times New Roman" w:hAnsi="Times New Roman"/>
          <w:i/>
        </w:rPr>
        <w:t xml:space="preserve"> Act 1988.</w:t>
      </w:r>
    </w:p>
    <w:p w14:paraId="0070C0A6" w14:textId="77777777" w:rsidR="00615F6C" w:rsidRPr="00A007B6" w:rsidRDefault="00615F6C" w:rsidP="00615F6C">
      <w:pPr>
        <w:spacing w:after="220" w:line="240" w:lineRule="auto"/>
        <w:rPr>
          <w:rFonts w:ascii="Times New Roman" w:hAnsi="Times New Roman"/>
          <w:b/>
        </w:rPr>
      </w:pPr>
      <w:r w:rsidRPr="00A007B6">
        <w:rPr>
          <w:rFonts w:ascii="Times New Roman" w:hAnsi="Times New Roman"/>
          <w:b/>
        </w:rPr>
        <w:t>Section 4 – Definitions</w:t>
      </w:r>
    </w:p>
    <w:p w14:paraId="009B4B65" w14:textId="77777777" w:rsidR="00615F6C" w:rsidRPr="00795953" w:rsidRDefault="00615F6C" w:rsidP="00615F6C">
      <w:pPr>
        <w:spacing w:after="220" w:line="240" w:lineRule="auto"/>
        <w:rPr>
          <w:rFonts w:ascii="Times New Roman" w:hAnsi="Times New Roman"/>
          <w:b/>
        </w:rPr>
      </w:pPr>
      <w:r>
        <w:rPr>
          <w:rFonts w:ascii="Times New Roman" w:hAnsi="Times New Roman"/>
        </w:rPr>
        <w:t>Section 4</w:t>
      </w:r>
      <w:r w:rsidRPr="00795953">
        <w:rPr>
          <w:rFonts w:ascii="Times New Roman" w:hAnsi="Times New Roman"/>
        </w:rPr>
        <w:t xml:space="preserve"> provides </w:t>
      </w:r>
      <w:r>
        <w:rPr>
          <w:rFonts w:ascii="Times New Roman" w:hAnsi="Times New Roman"/>
        </w:rPr>
        <w:t>the</w:t>
      </w:r>
      <w:r w:rsidRPr="00795953">
        <w:rPr>
          <w:rFonts w:ascii="Times New Roman" w:hAnsi="Times New Roman"/>
        </w:rPr>
        <w:t xml:space="preserve"> definitions of terms used in the instrument.</w:t>
      </w:r>
    </w:p>
    <w:p w14:paraId="60A816CF" w14:textId="474358C1" w:rsidR="00615F6C" w:rsidRPr="00A007B6" w:rsidRDefault="00615F6C" w:rsidP="00615F6C">
      <w:pPr>
        <w:spacing w:after="220" w:line="240" w:lineRule="auto"/>
        <w:rPr>
          <w:rFonts w:ascii="Times New Roman" w:hAnsi="Times New Roman"/>
          <w:b/>
        </w:rPr>
      </w:pPr>
      <w:r w:rsidRPr="00A007B6">
        <w:rPr>
          <w:rFonts w:ascii="Times New Roman" w:hAnsi="Times New Roman"/>
          <w:b/>
        </w:rPr>
        <w:t xml:space="preserve">Section 5 – </w:t>
      </w:r>
      <w:r w:rsidR="007913DA">
        <w:rPr>
          <w:rFonts w:ascii="Times New Roman" w:hAnsi="Times New Roman"/>
          <w:b/>
        </w:rPr>
        <w:t>Schedules</w:t>
      </w:r>
    </w:p>
    <w:p w14:paraId="2B7FE7F6" w14:textId="2A111E8E" w:rsidR="00615F6C" w:rsidRPr="00615F6C" w:rsidRDefault="00615F6C" w:rsidP="00615F6C">
      <w:pPr>
        <w:spacing w:after="220" w:line="240" w:lineRule="auto"/>
        <w:rPr>
          <w:rFonts w:ascii="Times New Roman" w:hAnsi="Times New Roman"/>
        </w:rPr>
      </w:pPr>
      <w:r>
        <w:rPr>
          <w:rFonts w:ascii="Times New Roman" w:hAnsi="Times New Roman"/>
        </w:rPr>
        <w:t>Section 5 provides that</w:t>
      </w:r>
      <w:r w:rsidR="007913DA">
        <w:rPr>
          <w:rFonts w:ascii="Times New Roman" w:hAnsi="Times New Roman"/>
        </w:rPr>
        <w:t xml:space="preserve"> each </w:t>
      </w:r>
      <w:r w:rsidR="007913DA" w:rsidRPr="007913DA">
        <w:rPr>
          <w:rFonts w:ascii="Times New Roman" w:hAnsi="Times New Roman"/>
        </w:rPr>
        <w:t>instrument that is specified in a Schedule to this instrument is amended or repealed as set out in the applicable items in the Schedule concerned, and any other item in a Schedule to this instrument has effect according to its terms</w:t>
      </w:r>
      <w:r w:rsidR="007913DA">
        <w:rPr>
          <w:rFonts w:ascii="Times New Roman" w:hAnsi="Times New Roman"/>
        </w:rPr>
        <w:t>.</w:t>
      </w:r>
    </w:p>
    <w:p w14:paraId="64F28F79" w14:textId="6317A088" w:rsidR="00615F6C" w:rsidRPr="00A007B6" w:rsidRDefault="007913DA" w:rsidP="00615F6C">
      <w:pPr>
        <w:spacing w:after="220" w:line="240" w:lineRule="auto"/>
        <w:rPr>
          <w:rFonts w:ascii="Times New Roman" w:hAnsi="Times New Roman"/>
          <w:b/>
        </w:rPr>
      </w:pPr>
      <w:r>
        <w:rPr>
          <w:rFonts w:ascii="Times New Roman" w:hAnsi="Times New Roman"/>
          <w:b/>
        </w:rPr>
        <w:t>Schedule 1</w:t>
      </w:r>
      <w:r w:rsidR="00615F6C" w:rsidRPr="00A007B6">
        <w:rPr>
          <w:rFonts w:ascii="Times New Roman" w:hAnsi="Times New Roman"/>
          <w:b/>
        </w:rPr>
        <w:t xml:space="preserve"> –</w:t>
      </w:r>
      <w:r w:rsidR="00615F6C">
        <w:rPr>
          <w:rFonts w:ascii="Times New Roman" w:hAnsi="Times New Roman"/>
          <w:b/>
        </w:rPr>
        <w:t xml:space="preserve"> </w:t>
      </w:r>
      <w:r>
        <w:rPr>
          <w:rFonts w:ascii="Times New Roman" w:hAnsi="Times New Roman"/>
          <w:b/>
        </w:rPr>
        <w:t>Amendments</w:t>
      </w:r>
    </w:p>
    <w:p w14:paraId="6DCDEC39" w14:textId="32EE60B2" w:rsidR="007913DA" w:rsidRDefault="008E4EC4" w:rsidP="00615F6C">
      <w:pPr>
        <w:spacing w:after="220" w:line="240" w:lineRule="auto"/>
        <w:rPr>
          <w:rFonts w:ascii="Times New Roman" w:hAnsi="Times New Roman"/>
        </w:rPr>
      </w:pPr>
      <w:r>
        <w:rPr>
          <w:rFonts w:ascii="Times New Roman" w:hAnsi="Times New Roman"/>
        </w:rPr>
        <w:t xml:space="preserve">Schedule 1 </w:t>
      </w:r>
      <w:r w:rsidRPr="00925229">
        <w:rPr>
          <w:rFonts w:ascii="Times New Roman" w:hAnsi="Times New Roman"/>
        </w:rPr>
        <w:t>to the instrument</w:t>
      </w:r>
      <w:r>
        <w:rPr>
          <w:rFonts w:ascii="Times New Roman" w:hAnsi="Times New Roman"/>
        </w:rPr>
        <w:t xml:space="preserve"> amends the </w:t>
      </w:r>
      <w:r w:rsidRPr="00764B4E">
        <w:rPr>
          <w:rFonts w:ascii="Times New Roman" w:eastAsia="Times New Roman" w:hAnsi="Times New Roman"/>
          <w:bCs/>
          <w:i/>
          <w:lang w:eastAsia="en-AU"/>
        </w:rPr>
        <w:t>Safety, Rehabilitation and Compensation</w:t>
      </w:r>
      <w:r>
        <w:rPr>
          <w:rFonts w:ascii="Times New Roman" w:eastAsia="Times New Roman" w:hAnsi="Times New Roman"/>
          <w:bCs/>
          <w:i/>
          <w:lang w:eastAsia="en-AU"/>
        </w:rPr>
        <w:t xml:space="preserve"> Directions 2019 </w:t>
      </w:r>
      <w:r>
        <w:rPr>
          <w:rFonts w:ascii="Times New Roman" w:eastAsia="Times New Roman" w:hAnsi="Times New Roman"/>
          <w:bCs/>
          <w:lang w:eastAsia="en-AU"/>
        </w:rPr>
        <w:t>as specified in the schedule.</w:t>
      </w:r>
    </w:p>
    <w:p w14:paraId="0FEC4138" w14:textId="77777777" w:rsidR="007913DA" w:rsidRDefault="007913DA" w:rsidP="00615F6C">
      <w:pPr>
        <w:spacing w:after="220" w:line="240" w:lineRule="auto"/>
        <w:rPr>
          <w:rFonts w:ascii="Times New Roman" w:hAnsi="Times New Roman"/>
        </w:rPr>
      </w:pPr>
    </w:p>
    <w:p w14:paraId="758EB438" w14:textId="77777777" w:rsidR="007913DA" w:rsidRDefault="007913DA" w:rsidP="00615F6C">
      <w:pPr>
        <w:spacing w:after="220" w:line="240" w:lineRule="auto"/>
        <w:rPr>
          <w:rFonts w:ascii="Times New Roman" w:hAnsi="Times New Roman"/>
        </w:rPr>
      </w:pPr>
    </w:p>
    <w:p w14:paraId="17DEA0D3" w14:textId="77777777" w:rsidR="00615F6C" w:rsidRPr="00157E7E" w:rsidRDefault="00615F6C" w:rsidP="00F32E8A">
      <w:pPr>
        <w:jc w:val="center"/>
        <w:rPr>
          <w:rFonts w:ascii="Times New Roman" w:hAnsi="Times New Roman"/>
        </w:rPr>
      </w:pPr>
    </w:p>
    <w:sectPr w:rsidR="00615F6C" w:rsidRPr="00157E7E">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BB9F" w14:textId="77777777" w:rsidR="00BA236D" w:rsidRDefault="00BA236D" w:rsidP="00343B6A">
      <w:pPr>
        <w:spacing w:after="0" w:line="240" w:lineRule="auto"/>
      </w:pPr>
      <w:r>
        <w:separator/>
      </w:r>
    </w:p>
  </w:endnote>
  <w:endnote w:type="continuationSeparator" w:id="0">
    <w:p w14:paraId="3EE16513" w14:textId="77777777" w:rsidR="00BA236D" w:rsidRDefault="00BA236D" w:rsidP="0034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6C28" w14:textId="705E788B" w:rsidR="00343B6A" w:rsidRPr="00D01AA8" w:rsidRDefault="00AC556D" w:rsidP="00502A97">
    <w:pPr>
      <w:tabs>
        <w:tab w:val="center" w:pos="4513"/>
        <w:tab w:val="right" w:pos="9026"/>
      </w:tabs>
      <w:spacing w:after="0" w:line="240" w:lineRule="auto"/>
      <w:jc w:val="center"/>
      <w:rPr>
        <w:rFonts w:ascii="Times New Roman" w:eastAsia="Times New Roman" w:hAnsi="Times New Roman"/>
        <w:lang w:eastAsia="en-AU"/>
      </w:rPr>
    </w:pPr>
    <w:r>
      <w:rPr>
        <w:rFonts w:ascii="Times New Roman" w:eastAsia="Times New Roman" w:hAnsi="Times New Roman"/>
        <w:noProof/>
        <w:lang w:eastAsia="en-AU"/>
      </w:rPr>
      <mc:AlternateContent>
        <mc:Choice Requires="wps">
          <w:drawing>
            <wp:anchor distT="0" distB="0" distL="114300" distR="114300" simplePos="0" relativeHeight="251660288" behindDoc="0" locked="0" layoutInCell="0" allowOverlap="1" wp14:anchorId="73436AD3" wp14:editId="2A499C6D">
              <wp:simplePos x="0" y="0"/>
              <wp:positionH relativeFrom="page">
                <wp:posOffset>0</wp:posOffset>
              </wp:positionH>
              <wp:positionV relativeFrom="page">
                <wp:posOffset>10248900</wp:posOffset>
              </wp:positionV>
              <wp:extent cx="7560310" cy="252095"/>
              <wp:effectExtent l="0" t="0" r="0" b="14605"/>
              <wp:wrapNone/>
              <wp:docPr id="2" name="MSIPCM895144ed8b510ce81a974a69" descr="{&quot;HashCode&quot;:1576649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F11C1" w14:textId="5ECB60DA" w:rsidR="00AC556D" w:rsidRPr="00AC556D" w:rsidRDefault="00AC556D" w:rsidP="00AC556D">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436AD3" id="_x0000_t202" coordsize="21600,21600" o:spt="202" path="m,l,21600r21600,l21600,xe">
              <v:stroke joinstyle="miter"/>
              <v:path gradientshapeok="t" o:connecttype="rect"/>
            </v:shapetype>
            <v:shape id="MSIPCM895144ed8b510ce81a974a69" o:spid="_x0000_s1027" type="#_x0000_t202" alt="{&quot;HashCode&quot;:1576649617,&quot;Height&quot;:841.0,&quot;Width&quot;:595.0,&quot;Placement&quot;:&quot;Footer&quot;,&quot;Index&quot;:&quot;Primary&quot;,&quot;Section&quot;:1,&quot;Top&quot;:0.0,&quot;Left&quot;:0.0}" style="position:absolute;left:0;text-align:left;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490F11C1" w14:textId="5ECB60DA" w:rsidR="00AC556D" w:rsidRPr="00AC556D" w:rsidRDefault="00AC556D" w:rsidP="00AC556D">
                    <w:pPr>
                      <w:spacing w:after="0"/>
                      <w:jc w:val="center"/>
                      <w:rPr>
                        <w:rFonts w:ascii="Arial" w:hAnsi="Arial" w:cs="Arial"/>
                        <w:color w:val="FF0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58E4" w14:textId="77777777" w:rsidR="00BA236D" w:rsidRDefault="00BA236D" w:rsidP="00343B6A">
      <w:pPr>
        <w:spacing w:after="0" w:line="240" w:lineRule="auto"/>
      </w:pPr>
      <w:r>
        <w:separator/>
      </w:r>
    </w:p>
  </w:footnote>
  <w:footnote w:type="continuationSeparator" w:id="0">
    <w:p w14:paraId="5E236CAA" w14:textId="77777777" w:rsidR="00BA236D" w:rsidRDefault="00BA236D" w:rsidP="00343B6A">
      <w:pPr>
        <w:spacing w:after="0" w:line="240" w:lineRule="auto"/>
      </w:pPr>
      <w:r>
        <w:continuationSeparator/>
      </w:r>
    </w:p>
  </w:footnote>
  <w:footnote w:id="1">
    <w:p w14:paraId="4BE82234" w14:textId="77777777" w:rsidR="0040392D" w:rsidRPr="00F72315" w:rsidRDefault="0040392D" w:rsidP="0040392D">
      <w:pPr>
        <w:pStyle w:val="FootnoteText"/>
        <w:rPr>
          <w:sz w:val="18"/>
          <w:szCs w:val="18"/>
        </w:rPr>
      </w:pPr>
      <w:r>
        <w:rPr>
          <w:rStyle w:val="FootnoteReference"/>
        </w:rPr>
        <w:footnoteRef/>
      </w:r>
      <w:r>
        <w:t xml:space="preserve"> </w:t>
      </w:r>
      <w:r w:rsidRPr="00F72315">
        <w:rPr>
          <w:sz w:val="18"/>
          <w:szCs w:val="18"/>
        </w:rPr>
        <w:t xml:space="preserve">Committee on Economic, Social and Cultural Rights, </w:t>
      </w:r>
      <w:r w:rsidRPr="00F72315">
        <w:rPr>
          <w:i/>
          <w:sz w:val="18"/>
          <w:szCs w:val="18"/>
        </w:rPr>
        <w:t>General Comment 19: The Right to Social Security (art. 9)</w:t>
      </w:r>
      <w:r w:rsidRPr="00F72315">
        <w:rPr>
          <w:sz w:val="18"/>
          <w:szCs w:val="18"/>
        </w:rPr>
        <w:t>, U.N. Doc E/C.12/GC/19 (2008),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180A" w14:textId="2FE93169" w:rsidR="00343B6A" w:rsidRPr="00926E9E" w:rsidRDefault="00AC556D" w:rsidP="00502A97">
    <w:pPr>
      <w:pStyle w:val="Heade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0" allowOverlap="1" wp14:anchorId="2019586C" wp14:editId="7024E878">
              <wp:simplePos x="0" y="0"/>
              <wp:positionH relativeFrom="page">
                <wp:posOffset>0</wp:posOffset>
              </wp:positionH>
              <wp:positionV relativeFrom="page">
                <wp:posOffset>190500</wp:posOffset>
              </wp:positionV>
              <wp:extent cx="7560310" cy="252095"/>
              <wp:effectExtent l="0" t="0" r="0" b="14605"/>
              <wp:wrapNone/>
              <wp:docPr id="1" name="MSIPCM800c46a9903475cf9ea6f508" descr="{&quot;HashCode&quot;:155251204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CAE367" w14:textId="2E72F18A" w:rsidR="00AC556D" w:rsidRPr="00AC556D" w:rsidRDefault="00AC556D" w:rsidP="00AC556D">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19586C" id="_x0000_t202" coordsize="21600,21600" o:spt="202" path="m,l,21600r21600,l21600,xe">
              <v:stroke joinstyle="miter"/>
              <v:path gradientshapeok="t" o:connecttype="rect"/>
            </v:shapetype>
            <v:shape id="MSIPCM800c46a9903475cf9ea6f508" o:spid="_x0000_s1026" type="#_x0000_t202" alt="{&quot;HashCode&quot;:1552512048,&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2CAE367" w14:textId="2E72F18A" w:rsidR="00AC556D" w:rsidRPr="00AC556D" w:rsidRDefault="00AC556D" w:rsidP="00AC556D">
                    <w:pPr>
                      <w:spacing w:after="0"/>
                      <w:jc w:val="center"/>
                      <w:rPr>
                        <w:rFonts w:ascii="Arial" w:hAnsi="Arial" w:cs="Arial"/>
                        <w:color w:val="FF0000"/>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248C" w14:textId="77777777" w:rsidR="00343B6A" w:rsidRDefault="00343B6A" w:rsidP="004557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00A25"/>
    <w:multiLevelType w:val="hybridMultilevel"/>
    <w:tmpl w:val="EB526AD0"/>
    <w:lvl w:ilvl="0" w:tplc="B6742948">
      <w:start w:val="1"/>
      <w:numFmt w:val="lowerLetter"/>
      <w:lvlText w:val="(%1)"/>
      <w:lvlJc w:val="left"/>
      <w:pPr>
        <w:ind w:left="720" w:hanging="360"/>
      </w:pPr>
      <w:rPr>
        <w:rFonts w:hint="default"/>
      </w:rPr>
    </w:lvl>
    <w:lvl w:ilvl="1" w:tplc="2E7A55C4" w:tentative="1">
      <w:start w:val="1"/>
      <w:numFmt w:val="lowerLetter"/>
      <w:lvlText w:val="%2."/>
      <w:lvlJc w:val="left"/>
      <w:pPr>
        <w:ind w:left="1440" w:hanging="360"/>
      </w:pPr>
    </w:lvl>
    <w:lvl w:ilvl="2" w:tplc="D318E728" w:tentative="1">
      <w:start w:val="1"/>
      <w:numFmt w:val="lowerRoman"/>
      <w:lvlText w:val="%3."/>
      <w:lvlJc w:val="right"/>
      <w:pPr>
        <w:ind w:left="2160" w:hanging="180"/>
      </w:pPr>
    </w:lvl>
    <w:lvl w:ilvl="3" w:tplc="95EAC33E" w:tentative="1">
      <w:start w:val="1"/>
      <w:numFmt w:val="decimal"/>
      <w:lvlText w:val="%4."/>
      <w:lvlJc w:val="left"/>
      <w:pPr>
        <w:ind w:left="2880" w:hanging="360"/>
      </w:pPr>
    </w:lvl>
    <w:lvl w:ilvl="4" w:tplc="9A4275D4" w:tentative="1">
      <w:start w:val="1"/>
      <w:numFmt w:val="lowerLetter"/>
      <w:lvlText w:val="%5."/>
      <w:lvlJc w:val="left"/>
      <w:pPr>
        <w:ind w:left="3600" w:hanging="360"/>
      </w:pPr>
    </w:lvl>
    <w:lvl w:ilvl="5" w:tplc="BCEE6C68" w:tentative="1">
      <w:start w:val="1"/>
      <w:numFmt w:val="lowerRoman"/>
      <w:lvlText w:val="%6."/>
      <w:lvlJc w:val="right"/>
      <w:pPr>
        <w:ind w:left="4320" w:hanging="180"/>
      </w:pPr>
    </w:lvl>
    <w:lvl w:ilvl="6" w:tplc="3D28B088" w:tentative="1">
      <w:start w:val="1"/>
      <w:numFmt w:val="decimal"/>
      <w:lvlText w:val="%7."/>
      <w:lvlJc w:val="left"/>
      <w:pPr>
        <w:ind w:left="5040" w:hanging="360"/>
      </w:pPr>
    </w:lvl>
    <w:lvl w:ilvl="7" w:tplc="EC12F648" w:tentative="1">
      <w:start w:val="1"/>
      <w:numFmt w:val="lowerLetter"/>
      <w:lvlText w:val="%8."/>
      <w:lvlJc w:val="left"/>
      <w:pPr>
        <w:ind w:left="5760" w:hanging="360"/>
      </w:pPr>
    </w:lvl>
    <w:lvl w:ilvl="8" w:tplc="DC08ABE6" w:tentative="1">
      <w:start w:val="1"/>
      <w:numFmt w:val="lowerRoman"/>
      <w:lvlText w:val="%9."/>
      <w:lvlJc w:val="right"/>
      <w:pPr>
        <w:ind w:left="6480" w:hanging="180"/>
      </w:pPr>
    </w:lvl>
  </w:abstractNum>
  <w:abstractNum w:abstractNumId="1" w15:restartNumberingAfterBreak="0">
    <w:nsid w:val="33F87F42"/>
    <w:multiLevelType w:val="hybridMultilevel"/>
    <w:tmpl w:val="B6485630"/>
    <w:lvl w:ilvl="0" w:tplc="63006ADA">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396B7B14"/>
    <w:multiLevelType w:val="hybridMultilevel"/>
    <w:tmpl w:val="95D492C8"/>
    <w:lvl w:ilvl="0" w:tplc="E81C06F2">
      <w:start w:val="4"/>
      <w:numFmt w:val="decimal"/>
      <w:lvlText w:val="%1"/>
      <w:lvlJc w:val="left"/>
      <w:pPr>
        <w:ind w:left="720" w:hanging="360"/>
      </w:pPr>
    </w:lvl>
    <w:lvl w:ilvl="1" w:tplc="F366541E">
      <w:start w:val="1"/>
      <w:numFmt w:val="lowerLetter"/>
      <w:lvlText w:val="%2."/>
      <w:lvlJc w:val="left"/>
      <w:pPr>
        <w:ind w:left="1440" w:hanging="360"/>
      </w:pPr>
    </w:lvl>
    <w:lvl w:ilvl="2" w:tplc="9C002B04">
      <w:start w:val="1"/>
      <w:numFmt w:val="lowerRoman"/>
      <w:lvlText w:val="%3."/>
      <w:lvlJc w:val="right"/>
      <w:pPr>
        <w:ind w:left="2160" w:hanging="180"/>
      </w:pPr>
    </w:lvl>
    <w:lvl w:ilvl="3" w:tplc="A12EDBAE">
      <w:start w:val="1"/>
      <w:numFmt w:val="decimal"/>
      <w:lvlText w:val="%4."/>
      <w:lvlJc w:val="left"/>
      <w:pPr>
        <w:ind w:left="2880" w:hanging="360"/>
      </w:pPr>
    </w:lvl>
    <w:lvl w:ilvl="4" w:tplc="1C52BE0A">
      <w:start w:val="1"/>
      <w:numFmt w:val="lowerLetter"/>
      <w:lvlText w:val="%5."/>
      <w:lvlJc w:val="left"/>
      <w:pPr>
        <w:ind w:left="3600" w:hanging="360"/>
      </w:pPr>
    </w:lvl>
    <w:lvl w:ilvl="5" w:tplc="2856AF5A">
      <w:start w:val="1"/>
      <w:numFmt w:val="lowerRoman"/>
      <w:lvlText w:val="%6."/>
      <w:lvlJc w:val="right"/>
      <w:pPr>
        <w:ind w:left="4320" w:hanging="180"/>
      </w:pPr>
    </w:lvl>
    <w:lvl w:ilvl="6" w:tplc="AE44DA6A">
      <w:start w:val="1"/>
      <w:numFmt w:val="decimal"/>
      <w:lvlText w:val="%7."/>
      <w:lvlJc w:val="left"/>
      <w:pPr>
        <w:ind w:left="5040" w:hanging="360"/>
      </w:pPr>
    </w:lvl>
    <w:lvl w:ilvl="7" w:tplc="9E6AF3DC">
      <w:start w:val="1"/>
      <w:numFmt w:val="lowerLetter"/>
      <w:lvlText w:val="%8."/>
      <w:lvlJc w:val="left"/>
      <w:pPr>
        <w:ind w:left="5760" w:hanging="360"/>
      </w:pPr>
    </w:lvl>
    <w:lvl w:ilvl="8" w:tplc="02E08F98">
      <w:start w:val="1"/>
      <w:numFmt w:val="lowerRoman"/>
      <w:lvlText w:val="%9."/>
      <w:lvlJc w:val="right"/>
      <w:pPr>
        <w:ind w:left="6480" w:hanging="180"/>
      </w:pPr>
    </w:lvl>
  </w:abstractNum>
  <w:abstractNum w:abstractNumId="3" w15:restartNumberingAfterBreak="0">
    <w:nsid w:val="3FE3251F"/>
    <w:multiLevelType w:val="hybridMultilevel"/>
    <w:tmpl w:val="AEC8CDF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40421CF"/>
    <w:multiLevelType w:val="hybridMultilevel"/>
    <w:tmpl w:val="6758185C"/>
    <w:lvl w:ilvl="0" w:tplc="E25A526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3D6A08"/>
    <w:multiLevelType w:val="hybridMultilevel"/>
    <w:tmpl w:val="B648563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4ACB186A"/>
    <w:multiLevelType w:val="hybridMultilevel"/>
    <w:tmpl w:val="8F7AC0F8"/>
    <w:lvl w:ilvl="0" w:tplc="C04810AE">
      <w:start w:val="1"/>
      <w:numFmt w:val="lowerLetter"/>
      <w:lvlText w:val="(%1)"/>
      <w:lvlJc w:val="left"/>
      <w:pPr>
        <w:tabs>
          <w:tab w:val="num" w:pos="360"/>
        </w:tabs>
        <w:ind w:left="360" w:hanging="360"/>
      </w:pPr>
      <w:rPr>
        <w:rFonts w:hint="default"/>
      </w:rPr>
    </w:lvl>
    <w:lvl w:ilvl="1" w:tplc="5748D0CC">
      <w:start w:val="1"/>
      <w:numFmt w:val="lowerLetter"/>
      <w:lvlText w:val="%2."/>
      <w:lvlJc w:val="left"/>
      <w:pPr>
        <w:tabs>
          <w:tab w:val="num" w:pos="1440"/>
        </w:tabs>
        <w:ind w:left="1440" w:hanging="360"/>
      </w:pPr>
    </w:lvl>
    <w:lvl w:ilvl="2" w:tplc="E354D27C">
      <w:start w:val="1"/>
      <w:numFmt w:val="lowerRoman"/>
      <w:lvlText w:val="%3."/>
      <w:lvlJc w:val="right"/>
      <w:pPr>
        <w:tabs>
          <w:tab w:val="num" w:pos="2160"/>
        </w:tabs>
        <w:ind w:left="2160" w:hanging="180"/>
      </w:pPr>
    </w:lvl>
    <w:lvl w:ilvl="3" w:tplc="7CBCD85A">
      <w:start w:val="1"/>
      <w:numFmt w:val="decimal"/>
      <w:lvlText w:val="%4."/>
      <w:lvlJc w:val="left"/>
      <w:pPr>
        <w:tabs>
          <w:tab w:val="num" w:pos="2880"/>
        </w:tabs>
        <w:ind w:left="2880" w:hanging="360"/>
      </w:pPr>
    </w:lvl>
    <w:lvl w:ilvl="4" w:tplc="B19E6A88">
      <w:start w:val="1"/>
      <w:numFmt w:val="lowerLetter"/>
      <w:lvlText w:val="%5."/>
      <w:lvlJc w:val="left"/>
      <w:pPr>
        <w:tabs>
          <w:tab w:val="num" w:pos="3600"/>
        </w:tabs>
        <w:ind w:left="3600" w:hanging="360"/>
      </w:pPr>
    </w:lvl>
    <w:lvl w:ilvl="5" w:tplc="6A8E409E">
      <w:start w:val="1"/>
      <w:numFmt w:val="lowerRoman"/>
      <w:lvlText w:val="%6."/>
      <w:lvlJc w:val="right"/>
      <w:pPr>
        <w:tabs>
          <w:tab w:val="num" w:pos="4320"/>
        </w:tabs>
        <w:ind w:left="4320" w:hanging="180"/>
      </w:pPr>
    </w:lvl>
    <w:lvl w:ilvl="6" w:tplc="7430B5C6">
      <w:start w:val="1"/>
      <w:numFmt w:val="decimal"/>
      <w:lvlText w:val="%7."/>
      <w:lvlJc w:val="left"/>
      <w:pPr>
        <w:tabs>
          <w:tab w:val="num" w:pos="5040"/>
        </w:tabs>
        <w:ind w:left="5040" w:hanging="360"/>
      </w:pPr>
    </w:lvl>
    <w:lvl w:ilvl="7" w:tplc="2612C4C8">
      <w:start w:val="1"/>
      <w:numFmt w:val="lowerLetter"/>
      <w:lvlText w:val="%8."/>
      <w:lvlJc w:val="left"/>
      <w:pPr>
        <w:tabs>
          <w:tab w:val="num" w:pos="5760"/>
        </w:tabs>
        <w:ind w:left="5760" w:hanging="360"/>
      </w:pPr>
    </w:lvl>
    <w:lvl w:ilvl="8" w:tplc="B3540D10">
      <w:start w:val="1"/>
      <w:numFmt w:val="lowerRoman"/>
      <w:lvlText w:val="%9."/>
      <w:lvlJc w:val="right"/>
      <w:pPr>
        <w:tabs>
          <w:tab w:val="num" w:pos="6480"/>
        </w:tabs>
        <w:ind w:left="6480" w:hanging="180"/>
      </w:pPr>
    </w:lvl>
  </w:abstractNum>
  <w:abstractNum w:abstractNumId="7" w15:restartNumberingAfterBreak="0">
    <w:nsid w:val="545A3F0C"/>
    <w:multiLevelType w:val="hybridMultilevel"/>
    <w:tmpl w:val="BA98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90460C"/>
    <w:multiLevelType w:val="hybridMultilevel"/>
    <w:tmpl w:val="FC62D6EE"/>
    <w:lvl w:ilvl="0" w:tplc="56E2A6FA">
      <w:start w:val="1"/>
      <w:numFmt w:val="lowerLetter"/>
      <w:lvlText w:val="(%1)"/>
      <w:lvlJc w:val="left"/>
      <w:pPr>
        <w:tabs>
          <w:tab w:val="num" w:pos="720"/>
        </w:tabs>
        <w:ind w:left="720" w:hanging="360"/>
      </w:pPr>
      <w:rPr>
        <w:rFonts w:hint="default"/>
      </w:rPr>
    </w:lvl>
    <w:lvl w:ilvl="1" w:tplc="34E23DEC">
      <w:start w:val="1"/>
      <w:numFmt w:val="lowerLetter"/>
      <w:lvlText w:val="%2."/>
      <w:lvlJc w:val="left"/>
      <w:pPr>
        <w:tabs>
          <w:tab w:val="num" w:pos="1440"/>
        </w:tabs>
        <w:ind w:left="1440" w:hanging="360"/>
      </w:pPr>
    </w:lvl>
    <w:lvl w:ilvl="2" w:tplc="DA627ABC">
      <w:start w:val="1"/>
      <w:numFmt w:val="lowerRoman"/>
      <w:lvlText w:val="%3."/>
      <w:lvlJc w:val="right"/>
      <w:pPr>
        <w:tabs>
          <w:tab w:val="num" w:pos="2160"/>
        </w:tabs>
        <w:ind w:left="2160" w:hanging="180"/>
      </w:pPr>
    </w:lvl>
    <w:lvl w:ilvl="3" w:tplc="FB08F2B2">
      <w:start w:val="1"/>
      <w:numFmt w:val="decimal"/>
      <w:lvlText w:val="%4."/>
      <w:lvlJc w:val="left"/>
      <w:pPr>
        <w:tabs>
          <w:tab w:val="num" w:pos="2880"/>
        </w:tabs>
        <w:ind w:left="2880" w:hanging="360"/>
      </w:pPr>
    </w:lvl>
    <w:lvl w:ilvl="4" w:tplc="5A9ECAB8">
      <w:start w:val="1"/>
      <w:numFmt w:val="lowerLetter"/>
      <w:lvlText w:val="%5."/>
      <w:lvlJc w:val="left"/>
      <w:pPr>
        <w:tabs>
          <w:tab w:val="num" w:pos="3600"/>
        </w:tabs>
        <w:ind w:left="3600" w:hanging="360"/>
      </w:pPr>
    </w:lvl>
    <w:lvl w:ilvl="5" w:tplc="791CC6B4">
      <w:start w:val="1"/>
      <w:numFmt w:val="lowerRoman"/>
      <w:lvlText w:val="%6."/>
      <w:lvlJc w:val="right"/>
      <w:pPr>
        <w:tabs>
          <w:tab w:val="num" w:pos="4320"/>
        </w:tabs>
        <w:ind w:left="4320" w:hanging="180"/>
      </w:pPr>
    </w:lvl>
    <w:lvl w:ilvl="6" w:tplc="7FEAAAB2">
      <w:start w:val="1"/>
      <w:numFmt w:val="decimal"/>
      <w:lvlText w:val="%7."/>
      <w:lvlJc w:val="left"/>
      <w:pPr>
        <w:tabs>
          <w:tab w:val="num" w:pos="5040"/>
        </w:tabs>
        <w:ind w:left="5040" w:hanging="360"/>
      </w:pPr>
    </w:lvl>
    <w:lvl w:ilvl="7" w:tplc="13B0BB80">
      <w:start w:val="1"/>
      <w:numFmt w:val="lowerLetter"/>
      <w:lvlText w:val="%8."/>
      <w:lvlJc w:val="left"/>
      <w:pPr>
        <w:tabs>
          <w:tab w:val="num" w:pos="5760"/>
        </w:tabs>
        <w:ind w:left="5760" w:hanging="360"/>
      </w:pPr>
    </w:lvl>
    <w:lvl w:ilvl="8" w:tplc="D24431C0">
      <w:start w:val="1"/>
      <w:numFmt w:val="lowerRoman"/>
      <w:lvlText w:val="%9."/>
      <w:lvlJc w:val="right"/>
      <w:pPr>
        <w:tabs>
          <w:tab w:val="num" w:pos="6480"/>
        </w:tabs>
        <w:ind w:left="6480" w:hanging="180"/>
      </w:pPr>
    </w:lvl>
  </w:abstractNum>
  <w:abstractNum w:abstractNumId="9" w15:restartNumberingAfterBreak="0">
    <w:nsid w:val="657A534E"/>
    <w:multiLevelType w:val="hybridMultilevel"/>
    <w:tmpl w:val="90D0DE1C"/>
    <w:lvl w:ilvl="0" w:tplc="05C0D3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865E73"/>
    <w:multiLevelType w:val="hybridMultilevel"/>
    <w:tmpl w:val="7A2EB7CC"/>
    <w:lvl w:ilvl="0" w:tplc="FEA6AE44">
      <w:start w:val="1"/>
      <w:numFmt w:val="lowerLetter"/>
      <w:lvlText w:val="(%1)"/>
      <w:lvlJc w:val="left"/>
      <w:pPr>
        <w:ind w:left="720" w:hanging="360"/>
      </w:pPr>
      <w:rPr>
        <w:rFonts w:hint="default"/>
      </w:rPr>
    </w:lvl>
    <w:lvl w:ilvl="1" w:tplc="E72E4F8A">
      <w:start w:val="1"/>
      <w:numFmt w:val="lowerLetter"/>
      <w:lvlText w:val="(%2)"/>
      <w:lvlJc w:val="left"/>
      <w:pPr>
        <w:ind w:left="1440" w:hanging="360"/>
      </w:pPr>
      <w:rPr>
        <w:rFonts w:hint="default"/>
      </w:rPr>
    </w:lvl>
    <w:lvl w:ilvl="2" w:tplc="E2522664" w:tentative="1">
      <w:start w:val="1"/>
      <w:numFmt w:val="lowerRoman"/>
      <w:lvlText w:val="%3."/>
      <w:lvlJc w:val="right"/>
      <w:pPr>
        <w:ind w:left="2160" w:hanging="180"/>
      </w:pPr>
    </w:lvl>
    <w:lvl w:ilvl="3" w:tplc="4656A36C" w:tentative="1">
      <w:start w:val="1"/>
      <w:numFmt w:val="decimal"/>
      <w:lvlText w:val="%4."/>
      <w:lvlJc w:val="left"/>
      <w:pPr>
        <w:ind w:left="2880" w:hanging="360"/>
      </w:pPr>
    </w:lvl>
    <w:lvl w:ilvl="4" w:tplc="FE26926C" w:tentative="1">
      <w:start w:val="1"/>
      <w:numFmt w:val="lowerLetter"/>
      <w:lvlText w:val="%5."/>
      <w:lvlJc w:val="left"/>
      <w:pPr>
        <w:ind w:left="3600" w:hanging="360"/>
      </w:pPr>
    </w:lvl>
    <w:lvl w:ilvl="5" w:tplc="C6D091F6" w:tentative="1">
      <w:start w:val="1"/>
      <w:numFmt w:val="lowerRoman"/>
      <w:lvlText w:val="%6."/>
      <w:lvlJc w:val="right"/>
      <w:pPr>
        <w:ind w:left="4320" w:hanging="180"/>
      </w:pPr>
    </w:lvl>
    <w:lvl w:ilvl="6" w:tplc="18D622A6" w:tentative="1">
      <w:start w:val="1"/>
      <w:numFmt w:val="decimal"/>
      <w:lvlText w:val="%7."/>
      <w:lvlJc w:val="left"/>
      <w:pPr>
        <w:ind w:left="5040" w:hanging="360"/>
      </w:pPr>
    </w:lvl>
    <w:lvl w:ilvl="7" w:tplc="B15EF6A2" w:tentative="1">
      <w:start w:val="1"/>
      <w:numFmt w:val="lowerLetter"/>
      <w:lvlText w:val="%8."/>
      <w:lvlJc w:val="left"/>
      <w:pPr>
        <w:ind w:left="5760" w:hanging="360"/>
      </w:pPr>
    </w:lvl>
    <w:lvl w:ilvl="8" w:tplc="435ECEBE" w:tentative="1">
      <w:start w:val="1"/>
      <w:numFmt w:val="lowerRoman"/>
      <w:lvlText w:val="%9."/>
      <w:lvlJc w:val="right"/>
      <w:pPr>
        <w:ind w:left="6480" w:hanging="180"/>
      </w:pPr>
    </w:lvl>
  </w:abstractNum>
  <w:abstractNum w:abstractNumId="11" w15:restartNumberingAfterBreak="0">
    <w:nsid w:val="78425AE4"/>
    <w:multiLevelType w:val="hybridMultilevel"/>
    <w:tmpl w:val="0D720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3C08DE"/>
    <w:multiLevelType w:val="hybridMultilevel"/>
    <w:tmpl w:val="90D0DE1C"/>
    <w:lvl w:ilvl="0" w:tplc="05C0D3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05631">
    <w:abstractNumId w:val="10"/>
  </w:num>
  <w:num w:numId="2" w16cid:durableId="281964195">
    <w:abstractNumId w:val="6"/>
  </w:num>
  <w:num w:numId="3" w16cid:durableId="1358001678">
    <w:abstractNumId w:val="8"/>
  </w:num>
  <w:num w:numId="4" w16cid:durableId="179315381">
    <w:abstractNumId w:val="0"/>
  </w:num>
  <w:num w:numId="5" w16cid:durableId="42862303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1719020">
    <w:abstractNumId w:val="4"/>
  </w:num>
  <w:num w:numId="7" w16cid:durableId="162625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9537780">
    <w:abstractNumId w:val="11"/>
  </w:num>
  <w:num w:numId="9" w16cid:durableId="204216320">
    <w:abstractNumId w:val="9"/>
  </w:num>
  <w:num w:numId="10" w16cid:durableId="615210870">
    <w:abstractNumId w:val="12"/>
  </w:num>
  <w:num w:numId="11" w16cid:durableId="1886066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5583357">
    <w:abstractNumId w:val="1"/>
  </w:num>
  <w:num w:numId="13" w16cid:durableId="36665604">
    <w:abstractNumId w:val="5"/>
  </w:num>
  <w:num w:numId="14" w16cid:durableId="1271548705">
    <w:abstractNumId w:val="3"/>
  </w:num>
  <w:num w:numId="15" w16cid:durableId="1764498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6A"/>
    <w:rsid w:val="00015190"/>
    <w:rsid w:val="00016C19"/>
    <w:rsid w:val="0002244C"/>
    <w:rsid w:val="000334C3"/>
    <w:rsid w:val="00033EB0"/>
    <w:rsid w:val="00064764"/>
    <w:rsid w:val="000A05C0"/>
    <w:rsid w:val="000A0723"/>
    <w:rsid w:val="000B39A2"/>
    <w:rsid w:val="0010593B"/>
    <w:rsid w:val="00115D64"/>
    <w:rsid w:val="001355AF"/>
    <w:rsid w:val="0013682F"/>
    <w:rsid w:val="00143AF8"/>
    <w:rsid w:val="00153C85"/>
    <w:rsid w:val="00157E7E"/>
    <w:rsid w:val="001614BF"/>
    <w:rsid w:val="00175CD2"/>
    <w:rsid w:val="00182D29"/>
    <w:rsid w:val="001848A4"/>
    <w:rsid w:val="001945D7"/>
    <w:rsid w:val="00196C11"/>
    <w:rsid w:val="001C33A5"/>
    <w:rsid w:val="001F3EDE"/>
    <w:rsid w:val="0021295A"/>
    <w:rsid w:val="00214170"/>
    <w:rsid w:val="00262EA1"/>
    <w:rsid w:val="00263ABF"/>
    <w:rsid w:val="0027419B"/>
    <w:rsid w:val="002918A0"/>
    <w:rsid w:val="002C09A7"/>
    <w:rsid w:val="002C2F7B"/>
    <w:rsid w:val="002C381F"/>
    <w:rsid w:val="002E52BB"/>
    <w:rsid w:val="002E6EC3"/>
    <w:rsid w:val="002E7A30"/>
    <w:rsid w:val="002F5096"/>
    <w:rsid w:val="00305E1B"/>
    <w:rsid w:val="003205F6"/>
    <w:rsid w:val="00341EC1"/>
    <w:rsid w:val="00343B6A"/>
    <w:rsid w:val="00362C6F"/>
    <w:rsid w:val="00373797"/>
    <w:rsid w:val="003B017C"/>
    <w:rsid w:val="003B1FAE"/>
    <w:rsid w:val="003C5833"/>
    <w:rsid w:val="003D198A"/>
    <w:rsid w:val="003D1A52"/>
    <w:rsid w:val="003E2E81"/>
    <w:rsid w:val="003E31D9"/>
    <w:rsid w:val="003E4C23"/>
    <w:rsid w:val="003E4E32"/>
    <w:rsid w:val="003F61C5"/>
    <w:rsid w:val="00400120"/>
    <w:rsid w:val="0040392D"/>
    <w:rsid w:val="00403FE5"/>
    <w:rsid w:val="00447E5F"/>
    <w:rsid w:val="0045159A"/>
    <w:rsid w:val="00454A28"/>
    <w:rsid w:val="00461CD4"/>
    <w:rsid w:val="00466259"/>
    <w:rsid w:val="004817F0"/>
    <w:rsid w:val="004851C6"/>
    <w:rsid w:val="004878C3"/>
    <w:rsid w:val="004A0AA6"/>
    <w:rsid w:val="004D2511"/>
    <w:rsid w:val="004E5053"/>
    <w:rsid w:val="004F117B"/>
    <w:rsid w:val="004F3D44"/>
    <w:rsid w:val="005416F5"/>
    <w:rsid w:val="00551DF7"/>
    <w:rsid w:val="00555147"/>
    <w:rsid w:val="00564CE4"/>
    <w:rsid w:val="00574570"/>
    <w:rsid w:val="00583477"/>
    <w:rsid w:val="00591077"/>
    <w:rsid w:val="00596787"/>
    <w:rsid w:val="005D0F96"/>
    <w:rsid w:val="005E1148"/>
    <w:rsid w:val="005E5E61"/>
    <w:rsid w:val="005F04CC"/>
    <w:rsid w:val="00605616"/>
    <w:rsid w:val="00606C6A"/>
    <w:rsid w:val="00615F6C"/>
    <w:rsid w:val="006302F0"/>
    <w:rsid w:val="006323A0"/>
    <w:rsid w:val="00637FD9"/>
    <w:rsid w:val="006434BC"/>
    <w:rsid w:val="0065474A"/>
    <w:rsid w:val="0066011E"/>
    <w:rsid w:val="0066740B"/>
    <w:rsid w:val="00686F51"/>
    <w:rsid w:val="007025BF"/>
    <w:rsid w:val="00702DA6"/>
    <w:rsid w:val="00704A20"/>
    <w:rsid w:val="00706C40"/>
    <w:rsid w:val="00707503"/>
    <w:rsid w:val="00712700"/>
    <w:rsid w:val="00713E33"/>
    <w:rsid w:val="00723FD4"/>
    <w:rsid w:val="007240D1"/>
    <w:rsid w:val="007350DB"/>
    <w:rsid w:val="00744517"/>
    <w:rsid w:val="00744E7A"/>
    <w:rsid w:val="00745232"/>
    <w:rsid w:val="00750AB4"/>
    <w:rsid w:val="00760EA7"/>
    <w:rsid w:val="0077435D"/>
    <w:rsid w:val="00780905"/>
    <w:rsid w:val="007913DA"/>
    <w:rsid w:val="007D16EC"/>
    <w:rsid w:val="007E227B"/>
    <w:rsid w:val="007E5979"/>
    <w:rsid w:val="007F3CF1"/>
    <w:rsid w:val="007F4F76"/>
    <w:rsid w:val="00806E08"/>
    <w:rsid w:val="008467A5"/>
    <w:rsid w:val="00871AA7"/>
    <w:rsid w:val="008773CF"/>
    <w:rsid w:val="00895EDC"/>
    <w:rsid w:val="008A1E2B"/>
    <w:rsid w:val="008C3AE6"/>
    <w:rsid w:val="008D74CF"/>
    <w:rsid w:val="008E4EC4"/>
    <w:rsid w:val="008F1D7E"/>
    <w:rsid w:val="008F28ED"/>
    <w:rsid w:val="008F7FB8"/>
    <w:rsid w:val="009027D2"/>
    <w:rsid w:val="00913CC5"/>
    <w:rsid w:val="00922B3B"/>
    <w:rsid w:val="00950F8C"/>
    <w:rsid w:val="00953173"/>
    <w:rsid w:val="009535D8"/>
    <w:rsid w:val="0096577C"/>
    <w:rsid w:val="0097523E"/>
    <w:rsid w:val="00983A4E"/>
    <w:rsid w:val="0099177E"/>
    <w:rsid w:val="009952C2"/>
    <w:rsid w:val="009B1AC2"/>
    <w:rsid w:val="009B2BDE"/>
    <w:rsid w:val="009D4779"/>
    <w:rsid w:val="009E5B6B"/>
    <w:rsid w:val="009F6FAC"/>
    <w:rsid w:val="00A1548C"/>
    <w:rsid w:val="00A2692E"/>
    <w:rsid w:val="00A271E0"/>
    <w:rsid w:val="00A4534D"/>
    <w:rsid w:val="00A502DF"/>
    <w:rsid w:val="00A91C65"/>
    <w:rsid w:val="00A971B4"/>
    <w:rsid w:val="00AA3B90"/>
    <w:rsid w:val="00AA53F8"/>
    <w:rsid w:val="00AB428D"/>
    <w:rsid w:val="00AB7D74"/>
    <w:rsid w:val="00AC3C47"/>
    <w:rsid w:val="00AC556D"/>
    <w:rsid w:val="00AE7699"/>
    <w:rsid w:val="00B2094E"/>
    <w:rsid w:val="00B2109F"/>
    <w:rsid w:val="00B22485"/>
    <w:rsid w:val="00B2610F"/>
    <w:rsid w:val="00B32D9E"/>
    <w:rsid w:val="00B61AC6"/>
    <w:rsid w:val="00B64B5B"/>
    <w:rsid w:val="00B65FCC"/>
    <w:rsid w:val="00B66B62"/>
    <w:rsid w:val="00B85205"/>
    <w:rsid w:val="00B85EFA"/>
    <w:rsid w:val="00B87ACC"/>
    <w:rsid w:val="00B9495E"/>
    <w:rsid w:val="00BA236D"/>
    <w:rsid w:val="00C005A0"/>
    <w:rsid w:val="00C03121"/>
    <w:rsid w:val="00C0554D"/>
    <w:rsid w:val="00C22039"/>
    <w:rsid w:val="00C24492"/>
    <w:rsid w:val="00C34794"/>
    <w:rsid w:val="00C40DA5"/>
    <w:rsid w:val="00C81928"/>
    <w:rsid w:val="00C86E23"/>
    <w:rsid w:val="00C93F6B"/>
    <w:rsid w:val="00CB16F4"/>
    <w:rsid w:val="00CB1C1B"/>
    <w:rsid w:val="00CB2EAC"/>
    <w:rsid w:val="00CC6EBC"/>
    <w:rsid w:val="00CE15F0"/>
    <w:rsid w:val="00D239CE"/>
    <w:rsid w:val="00D24A97"/>
    <w:rsid w:val="00D5292B"/>
    <w:rsid w:val="00D72D18"/>
    <w:rsid w:val="00D736BF"/>
    <w:rsid w:val="00D8585C"/>
    <w:rsid w:val="00D96594"/>
    <w:rsid w:val="00DA2D4D"/>
    <w:rsid w:val="00DA62C9"/>
    <w:rsid w:val="00DD2BDE"/>
    <w:rsid w:val="00DE0604"/>
    <w:rsid w:val="00DE54B9"/>
    <w:rsid w:val="00E12AF5"/>
    <w:rsid w:val="00E2066C"/>
    <w:rsid w:val="00E4439E"/>
    <w:rsid w:val="00E5285C"/>
    <w:rsid w:val="00E65DA9"/>
    <w:rsid w:val="00E83907"/>
    <w:rsid w:val="00E85E79"/>
    <w:rsid w:val="00EA4FFD"/>
    <w:rsid w:val="00EA5A73"/>
    <w:rsid w:val="00EA6F59"/>
    <w:rsid w:val="00EB4AD4"/>
    <w:rsid w:val="00ED13CF"/>
    <w:rsid w:val="00EE0C35"/>
    <w:rsid w:val="00F219F4"/>
    <w:rsid w:val="00F32E8A"/>
    <w:rsid w:val="00F33B22"/>
    <w:rsid w:val="00F53F6A"/>
    <w:rsid w:val="00F672D9"/>
    <w:rsid w:val="00F74F2E"/>
    <w:rsid w:val="00FA63FA"/>
    <w:rsid w:val="00FE1AEC"/>
    <w:rsid w:val="00FF75A2"/>
    <w:rsid w:val="00FF7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F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6A"/>
    <w:rPr>
      <w:rFonts w:ascii="Calibri" w:eastAsia="Calibri" w:hAnsi="Calibri" w:cs="Times New Roman"/>
    </w:rPr>
  </w:style>
  <w:style w:type="paragraph" w:styleId="Heading3">
    <w:name w:val="heading 3"/>
    <w:basedOn w:val="Normal"/>
    <w:link w:val="Heading3Char"/>
    <w:qFormat/>
    <w:rsid w:val="00343B6A"/>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B6A"/>
    <w:rPr>
      <w:rFonts w:ascii="Tahoma" w:hAnsi="Tahoma" w:cs="Tahoma"/>
      <w:sz w:val="16"/>
      <w:szCs w:val="16"/>
    </w:rPr>
  </w:style>
  <w:style w:type="character" w:customStyle="1" w:styleId="Heading3Char">
    <w:name w:val="Heading 3 Char"/>
    <w:basedOn w:val="DefaultParagraphFont"/>
    <w:link w:val="Heading3"/>
    <w:rsid w:val="00343B6A"/>
    <w:rPr>
      <w:rFonts w:ascii="Times New Roman" w:eastAsia="Times New Roman" w:hAnsi="Times New Roman" w:cs="Times New Roman"/>
      <w:b/>
      <w:bCs/>
      <w:sz w:val="27"/>
      <w:szCs w:val="27"/>
      <w:lang w:eastAsia="en-AU"/>
    </w:rPr>
  </w:style>
  <w:style w:type="paragraph" w:styleId="Header">
    <w:name w:val="header"/>
    <w:basedOn w:val="Normal"/>
    <w:link w:val="HeaderChar"/>
    <w:uiPriority w:val="99"/>
    <w:unhideWhenUsed/>
    <w:rsid w:val="00343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B6A"/>
    <w:rPr>
      <w:rFonts w:ascii="Calibri" w:eastAsia="Calibri" w:hAnsi="Calibri" w:cs="Times New Roman"/>
    </w:rPr>
  </w:style>
  <w:style w:type="paragraph" w:styleId="Footer">
    <w:name w:val="footer"/>
    <w:basedOn w:val="Normal"/>
    <w:link w:val="FooterChar"/>
    <w:uiPriority w:val="99"/>
    <w:unhideWhenUsed/>
    <w:rsid w:val="00343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B6A"/>
    <w:rPr>
      <w:rFonts w:ascii="Calibri" w:eastAsia="Calibri" w:hAnsi="Calibri" w:cs="Times New Roman"/>
    </w:rPr>
  </w:style>
  <w:style w:type="paragraph" w:styleId="ListParagraph">
    <w:name w:val="List Paragraph"/>
    <w:basedOn w:val="Normal"/>
    <w:uiPriority w:val="34"/>
    <w:qFormat/>
    <w:rsid w:val="00343B6A"/>
    <w:pPr>
      <w:ind w:left="720"/>
      <w:contextualSpacing/>
    </w:pPr>
  </w:style>
  <w:style w:type="paragraph" w:styleId="FootnoteText">
    <w:name w:val="footnote text"/>
    <w:basedOn w:val="Normal"/>
    <w:link w:val="FootnoteTextChar"/>
    <w:unhideWhenUsed/>
    <w:rsid w:val="00343B6A"/>
    <w:pPr>
      <w:spacing w:after="0" w:line="240" w:lineRule="auto"/>
    </w:pPr>
    <w:rPr>
      <w:sz w:val="20"/>
      <w:szCs w:val="20"/>
    </w:rPr>
  </w:style>
  <w:style w:type="character" w:customStyle="1" w:styleId="FootnoteTextChar">
    <w:name w:val="Footnote Text Char"/>
    <w:basedOn w:val="DefaultParagraphFont"/>
    <w:link w:val="FootnoteText"/>
    <w:rsid w:val="00343B6A"/>
    <w:rPr>
      <w:rFonts w:ascii="Calibri" w:eastAsia="Calibri" w:hAnsi="Calibri" w:cs="Times New Roman"/>
      <w:sz w:val="20"/>
      <w:szCs w:val="20"/>
    </w:rPr>
  </w:style>
  <w:style w:type="character" w:styleId="FootnoteReference">
    <w:name w:val="footnote reference"/>
    <w:basedOn w:val="DefaultParagraphFont"/>
    <w:unhideWhenUsed/>
    <w:rsid w:val="00343B6A"/>
    <w:rPr>
      <w:vertAlign w:val="superscript"/>
    </w:rPr>
  </w:style>
  <w:style w:type="character" w:styleId="CommentReference">
    <w:name w:val="annotation reference"/>
    <w:basedOn w:val="DefaultParagraphFont"/>
    <w:uiPriority w:val="99"/>
    <w:semiHidden/>
    <w:unhideWhenUsed/>
    <w:rsid w:val="00CB1C1B"/>
    <w:rPr>
      <w:sz w:val="16"/>
      <w:szCs w:val="16"/>
    </w:rPr>
  </w:style>
  <w:style w:type="paragraph" w:styleId="CommentText">
    <w:name w:val="annotation text"/>
    <w:basedOn w:val="Normal"/>
    <w:link w:val="CommentTextChar"/>
    <w:uiPriority w:val="99"/>
    <w:unhideWhenUsed/>
    <w:rsid w:val="00CB1C1B"/>
    <w:pPr>
      <w:spacing w:line="240" w:lineRule="auto"/>
    </w:pPr>
    <w:rPr>
      <w:sz w:val="20"/>
      <w:szCs w:val="20"/>
    </w:rPr>
  </w:style>
  <w:style w:type="character" w:customStyle="1" w:styleId="CommentTextChar">
    <w:name w:val="Comment Text Char"/>
    <w:basedOn w:val="DefaultParagraphFont"/>
    <w:link w:val="CommentText"/>
    <w:uiPriority w:val="99"/>
    <w:rsid w:val="00CB1C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1C1B"/>
    <w:rPr>
      <w:b/>
      <w:bCs/>
    </w:rPr>
  </w:style>
  <w:style w:type="character" w:customStyle="1" w:styleId="CommentSubjectChar">
    <w:name w:val="Comment Subject Char"/>
    <w:basedOn w:val="CommentTextChar"/>
    <w:link w:val="CommentSubject"/>
    <w:uiPriority w:val="99"/>
    <w:semiHidden/>
    <w:rsid w:val="00CB1C1B"/>
    <w:rPr>
      <w:rFonts w:ascii="Calibri" w:eastAsia="Calibri" w:hAnsi="Calibri" w:cs="Times New Roman"/>
      <w:b/>
      <w:bCs/>
      <w:sz w:val="20"/>
      <w:szCs w:val="20"/>
    </w:rPr>
  </w:style>
  <w:style w:type="character" w:styleId="Hyperlink">
    <w:name w:val="Hyperlink"/>
    <w:basedOn w:val="DefaultParagraphFont"/>
    <w:uiPriority w:val="99"/>
    <w:unhideWhenUsed/>
    <w:rsid w:val="00723FD4"/>
    <w:rPr>
      <w:color w:val="0000FF" w:themeColor="hyperlink"/>
      <w:u w:val="single"/>
    </w:rPr>
  </w:style>
  <w:style w:type="character" w:styleId="FollowedHyperlink">
    <w:name w:val="FollowedHyperlink"/>
    <w:basedOn w:val="DefaultParagraphFont"/>
    <w:uiPriority w:val="99"/>
    <w:semiHidden/>
    <w:unhideWhenUsed/>
    <w:rsid w:val="0027419B"/>
    <w:rPr>
      <w:color w:val="800080" w:themeColor="followedHyperlink"/>
      <w:u w:val="single"/>
    </w:rPr>
  </w:style>
  <w:style w:type="paragraph" w:customStyle="1" w:styleId="subsection">
    <w:name w:val="subsection"/>
    <w:aliases w:val="ss"/>
    <w:basedOn w:val="Normal"/>
    <w:link w:val="subsectionChar"/>
    <w:rsid w:val="0066011E"/>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66011E"/>
    <w:rPr>
      <w:rFonts w:ascii="Times New Roman" w:eastAsia="Times New Roman" w:hAnsi="Times New Roman" w:cs="Times New Roman"/>
      <w:szCs w:val="20"/>
      <w:lang w:eastAsia="en-AU"/>
    </w:rPr>
  </w:style>
  <w:style w:type="paragraph" w:customStyle="1" w:styleId="acthead5">
    <w:name w:val="acthead5"/>
    <w:basedOn w:val="Normal"/>
    <w:rsid w:val="00B61AC6"/>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
    <w:name w:val="charsectno"/>
    <w:basedOn w:val="DefaultParagraphFont"/>
    <w:rsid w:val="00B61AC6"/>
  </w:style>
  <w:style w:type="paragraph" w:customStyle="1" w:styleId="paragraph">
    <w:name w:val="paragraph"/>
    <w:basedOn w:val="Normal"/>
    <w:rsid w:val="00B61AC6"/>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091203">
      <w:bodyDiv w:val="1"/>
      <w:marLeft w:val="0"/>
      <w:marRight w:val="0"/>
      <w:marTop w:val="0"/>
      <w:marBottom w:val="0"/>
      <w:divBdr>
        <w:top w:val="none" w:sz="0" w:space="0" w:color="auto"/>
        <w:left w:val="none" w:sz="0" w:space="0" w:color="auto"/>
        <w:bottom w:val="none" w:sz="0" w:space="0" w:color="auto"/>
        <w:right w:val="none" w:sz="0" w:space="0" w:color="auto"/>
      </w:divBdr>
    </w:div>
    <w:div w:id="1812626351">
      <w:bodyDiv w:val="1"/>
      <w:marLeft w:val="0"/>
      <w:marRight w:val="0"/>
      <w:marTop w:val="0"/>
      <w:marBottom w:val="0"/>
      <w:divBdr>
        <w:top w:val="none" w:sz="0" w:space="0" w:color="auto"/>
        <w:left w:val="none" w:sz="0" w:space="0" w:color="auto"/>
        <w:bottom w:val="none" w:sz="0" w:space="0" w:color="auto"/>
        <w:right w:val="none" w:sz="0" w:space="0" w:color="auto"/>
      </w:divBdr>
    </w:div>
    <w:div w:id="196156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608BB04B8588846AA579DF8773BC863" ma:contentTypeVersion="" ma:contentTypeDescription="PDMS Document Site Content Type" ma:contentTypeScope="" ma:versionID="94e99ba9b4ee7a646018c29402bcf87b">
  <xsd:schema xmlns:xsd="http://www.w3.org/2001/XMLSchema" xmlns:xs="http://www.w3.org/2001/XMLSchema" xmlns:p="http://schemas.microsoft.com/office/2006/metadata/properties" xmlns:ns2="35B92E77-5AFA-4BC0-B97B-3102FB553A6D" targetNamespace="http://schemas.microsoft.com/office/2006/metadata/properties" ma:root="true" ma:fieldsID="9c3f6618356b86c81169988b23bce0d1" ns2:_="">
    <xsd:import namespace="35B92E77-5AFA-4BC0-B97B-3102FB553A6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2E77-5AFA-4BC0-B97B-3102FB553A6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5B92E77-5AFA-4BC0-B97B-3102FB553A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19E9-86A0-4CFA-87EC-128C92E72E1D}">
  <ds:schemaRefs>
    <ds:schemaRef ds:uri="http://schemas.microsoft.com/sharepoint/v3/contenttype/forms"/>
  </ds:schemaRefs>
</ds:datastoreItem>
</file>

<file path=customXml/itemProps2.xml><?xml version="1.0" encoding="utf-8"?>
<ds:datastoreItem xmlns:ds="http://schemas.openxmlformats.org/officeDocument/2006/customXml" ds:itemID="{202ED5E0-27B7-4F2F-B80F-C3A59264D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2E77-5AFA-4BC0-B97B-3102FB553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D673B-DD33-4B52-9F6E-70F11305FB6A}">
  <ds:schemaRef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35B92E77-5AFA-4BC0-B97B-3102FB553A6D"/>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532A714-7102-41E8-A049-D3FC0FF8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2023-06-09T01:40:00Z</dcterms:created>
  <dcterms:modified xsi:type="dcterms:W3CDTF">2023-06-09T01:58:00Z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0x010100266966F133664895A6EE3632470D45F500C608BB04B8588846AA579DF8773BC863</vt:lpwstr>
  </property>
  <property fmtid="{D5CDD505-2E9C-101B-9397-08002B2CF9AE}" pid="3" name="MSIP_Label_9a84cccb-c2b4-499e-b741-a58b9a78ae53_Enabled">
    <vt:lpwstr>true</vt:lpwstr>
  </property>
  <property fmtid="{D5CDD505-2E9C-101B-9397-08002B2CF9AE}" pid="4" name="MSIP_Label_9a84cccb-c2b4-499e-b741-a58b9a78ae53_SetDate">
    <vt:lpwstr>2023-06-09T01:39:59Z</vt:lpwstr>
  </property>
  <property fmtid="{D5CDD505-2E9C-101B-9397-08002B2CF9AE}" pid="5" name="MSIP_Label_9a84cccb-c2b4-499e-b741-a58b9a78ae53_Method">
    <vt:lpwstr>Privileged</vt:lpwstr>
  </property>
  <property fmtid="{D5CDD505-2E9C-101B-9397-08002B2CF9AE}" pid="6" name="MSIP_Label_9a84cccb-c2b4-499e-b741-a58b9a78ae53_Name">
    <vt:lpwstr>0bd831a0ed92</vt:lpwstr>
  </property>
  <property fmtid="{D5CDD505-2E9C-101B-9397-08002B2CF9AE}" pid="7" name="MSIP_Label_9a84cccb-c2b4-499e-b741-a58b9a78ae53_SiteId">
    <vt:lpwstr>dd0cfd15-4558-4b12-8bad-ea26984fc417</vt:lpwstr>
  </property>
  <property fmtid="{D5CDD505-2E9C-101B-9397-08002B2CF9AE}" pid="8" name="MSIP_Label_9a84cccb-c2b4-499e-b741-a58b9a78ae53_ActionId">
    <vt:lpwstr>a73fb453-e9df-459a-9daa-04e839e18a61</vt:lpwstr>
  </property>
  <property fmtid="{D5CDD505-2E9C-101B-9397-08002B2CF9AE}" pid="9" name="MSIP_Label_9a84cccb-c2b4-499e-b741-a58b9a78ae53_ContentBits">
    <vt:lpwstr>3</vt:lpwstr>
  </property>
</Properties>
</file>