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1BB7A006" w:rsidR="00B06E21" w:rsidRPr="00BC1E70" w:rsidRDefault="007A24DF"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Health</w:t>
      </w:r>
      <w:r w:rsidR="00973620">
        <w:rPr>
          <w:rFonts w:ascii="Times New Roman" w:hAnsi="Times New Roman" w:cs="Times New Roman"/>
          <w:b/>
          <w:sz w:val="24"/>
          <w:szCs w:val="24"/>
        </w:rPr>
        <w:t xml:space="preserve"> </w:t>
      </w:r>
      <w:r w:rsidR="007B2045">
        <w:rPr>
          <w:rFonts w:ascii="Times New Roman" w:hAnsi="Times New Roman" w:cs="Times New Roman"/>
          <w:b/>
          <w:sz w:val="24"/>
          <w:szCs w:val="24"/>
        </w:rPr>
        <w:t>I</w:t>
      </w:r>
      <w:r w:rsidR="00B06E21" w:rsidRPr="00BC1E70">
        <w:rPr>
          <w:rFonts w:ascii="Times New Roman" w:hAnsi="Times New Roman" w:cs="Times New Roman"/>
          <w:b/>
          <w:sz w:val="24"/>
          <w:szCs w:val="24"/>
        </w:rPr>
        <w:t>nsurance (prudential standard) determination</w:t>
      </w:r>
      <w:r>
        <w:rPr>
          <w:rFonts w:ascii="Times New Roman" w:hAnsi="Times New Roman" w:cs="Times New Roman"/>
          <w:b/>
          <w:sz w:val="24"/>
          <w:szCs w:val="24"/>
        </w:rPr>
        <w:t>s</w:t>
      </w:r>
      <w:r w:rsidR="00B06E21" w:rsidRPr="00BC1E70">
        <w:rPr>
          <w:rFonts w:ascii="Times New Roman" w:hAnsi="Times New Roman" w:cs="Times New Roman"/>
          <w:b/>
          <w:sz w:val="24"/>
          <w:szCs w:val="24"/>
        </w:rPr>
        <w:t xml:space="preserve"> No. </w:t>
      </w:r>
      <w:r w:rsidR="005A7DFC">
        <w:rPr>
          <w:rFonts w:ascii="Times New Roman" w:hAnsi="Times New Roman" w:cs="Times New Roman"/>
          <w:b/>
          <w:sz w:val="24"/>
          <w:szCs w:val="24"/>
        </w:rPr>
        <w:t>6</w:t>
      </w:r>
      <w:r w:rsidR="00073F77">
        <w:rPr>
          <w:rFonts w:ascii="Times New Roman" w:hAnsi="Times New Roman" w:cs="Times New Roman"/>
          <w:b/>
          <w:sz w:val="24"/>
          <w:szCs w:val="24"/>
        </w:rPr>
        <w:t xml:space="preserve"> </w:t>
      </w:r>
      <w:r>
        <w:rPr>
          <w:rFonts w:ascii="Times New Roman" w:hAnsi="Times New Roman" w:cs="Times New Roman"/>
          <w:b/>
          <w:sz w:val="24"/>
          <w:szCs w:val="24"/>
        </w:rPr>
        <w:t>of</w:t>
      </w:r>
      <w:r w:rsidR="00B06E21" w:rsidRPr="00BC1E70">
        <w:rPr>
          <w:rFonts w:ascii="Times New Roman" w:hAnsi="Times New Roman" w:cs="Times New Roman"/>
          <w:b/>
          <w:sz w:val="24"/>
          <w:szCs w:val="24"/>
        </w:rPr>
        <w:t xml:space="preserve"> 202</w:t>
      </w:r>
      <w:r w:rsidR="006A30FA">
        <w:rPr>
          <w:rFonts w:ascii="Times New Roman" w:hAnsi="Times New Roman" w:cs="Times New Roman"/>
          <w:b/>
          <w:sz w:val="24"/>
          <w:szCs w:val="24"/>
        </w:rPr>
        <w:t>3</w:t>
      </w:r>
    </w:p>
    <w:p w14:paraId="35F2A8B7"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6A0F4CFE" w:rsidR="00B06E21" w:rsidRPr="00D5162F" w:rsidRDefault="007A24DF"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Private Health Insurance (Prudential Supervision) Act</w:t>
      </w:r>
      <w:r w:rsidR="00B06E21" w:rsidRPr="00D5162F">
        <w:rPr>
          <w:rFonts w:ascii="Times New Roman" w:hAnsi="Times New Roman" w:cs="Times New Roman"/>
          <w:i/>
          <w:iCs/>
          <w:sz w:val="24"/>
          <w:szCs w:val="24"/>
        </w:rPr>
        <w:t xml:space="preserve"> </w:t>
      </w:r>
      <w:r>
        <w:rPr>
          <w:rFonts w:ascii="Times New Roman" w:hAnsi="Times New Roman" w:cs="Times New Roman"/>
          <w:i/>
          <w:iCs/>
          <w:sz w:val="24"/>
          <w:szCs w:val="24"/>
        </w:rPr>
        <w:t>2015</w:t>
      </w:r>
      <w:r w:rsidR="00B06E21" w:rsidRPr="00D5162F">
        <w:rPr>
          <w:rFonts w:ascii="Times New Roman" w:hAnsi="Times New Roman" w:cs="Times New Roman"/>
          <w:sz w:val="24"/>
          <w:szCs w:val="24"/>
        </w:rPr>
        <w:t xml:space="preserve">, </w:t>
      </w:r>
      <w:r>
        <w:rPr>
          <w:rFonts w:ascii="Times New Roman" w:hAnsi="Times New Roman" w:cs="Times New Roman"/>
          <w:sz w:val="24"/>
          <w:szCs w:val="24"/>
        </w:rPr>
        <w:t>sub</w:t>
      </w:r>
      <w:r w:rsidR="00B06E21" w:rsidRPr="00D5162F">
        <w:rPr>
          <w:rFonts w:ascii="Times New Roman" w:hAnsi="Times New Roman" w:cs="Times New Roman"/>
          <w:sz w:val="24"/>
          <w:szCs w:val="24"/>
        </w:rPr>
        <w:t xml:space="preserve">section </w:t>
      </w:r>
      <w:r>
        <w:rPr>
          <w:rFonts w:ascii="Times New Roman" w:hAnsi="Times New Roman" w:cs="Times New Roman"/>
          <w:sz w:val="24"/>
          <w:szCs w:val="24"/>
        </w:rPr>
        <w:t>92(1)</w:t>
      </w:r>
    </w:p>
    <w:p w14:paraId="65761EA3" w14:textId="754271E5" w:rsidR="001F4D45" w:rsidRDefault="001F4D45" w:rsidP="00000AD0">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 xml:space="preserve">subsection </w:t>
      </w:r>
      <w:r w:rsidR="007A24DF">
        <w:rPr>
          <w:rFonts w:ascii="Times New Roman" w:hAnsi="Times New Roman" w:cs="Times New Roman"/>
          <w:sz w:val="24"/>
          <w:szCs w:val="24"/>
          <w:shd w:val="clear" w:color="auto" w:fill="FFFFFF"/>
        </w:rPr>
        <w:t>92(1)</w:t>
      </w:r>
      <w:r w:rsidRPr="00AD2B38">
        <w:rPr>
          <w:rFonts w:ascii="Times New Roman" w:hAnsi="Times New Roman" w:cs="Times New Roman"/>
          <w:sz w:val="24"/>
          <w:szCs w:val="24"/>
          <w:shd w:val="clear" w:color="auto" w:fill="FFFFFF"/>
        </w:rPr>
        <w:t xml:space="preserve"> of the</w:t>
      </w:r>
      <w:r>
        <w:rPr>
          <w:rFonts w:ascii="Times New Roman" w:hAnsi="Times New Roman" w:cs="Times New Roman"/>
          <w:sz w:val="24"/>
          <w:szCs w:val="24"/>
          <w:shd w:val="clear" w:color="auto" w:fill="FFFFFF"/>
        </w:rPr>
        <w:t xml:space="preserve"> </w:t>
      </w:r>
      <w:r w:rsidR="007A24DF">
        <w:rPr>
          <w:rFonts w:ascii="Times New Roman" w:hAnsi="Times New Roman" w:cs="Times New Roman"/>
          <w:i/>
          <w:iCs/>
          <w:sz w:val="24"/>
          <w:szCs w:val="24"/>
          <w:shd w:val="clear" w:color="auto" w:fill="FFFFFF"/>
        </w:rPr>
        <w:t>Private Health Insurance (Prudential Supervision) Act 2015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007A24DF">
        <w:rPr>
          <w:rFonts w:ascii="Times New Roman" w:hAnsi="Times New Roman" w:cs="Times New Roman"/>
          <w:sz w:val="24"/>
          <w:szCs w:val="24"/>
          <w:shd w:val="clear" w:color="auto" w:fill="FFFFFF"/>
        </w:rPr>
        <w:t>private health insurers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 xml:space="preserve">Under subsection </w:t>
      </w:r>
      <w:r w:rsidR="004636CE">
        <w:rPr>
          <w:rFonts w:ascii="Times New Roman" w:hAnsi="Times New Roman" w:cs="Times New Roman"/>
          <w:sz w:val="24"/>
          <w:szCs w:val="24"/>
        </w:rPr>
        <w:t>92</w:t>
      </w:r>
      <w:r>
        <w:rPr>
          <w:rFonts w:ascii="Times New Roman" w:hAnsi="Times New Roman" w:cs="Times New Roman"/>
          <w:sz w:val="24"/>
          <w:szCs w:val="24"/>
        </w:rPr>
        <w:t xml:space="preserve">(5) of the Act, APRA may, in writing, vary or revoke a prudential standard. </w:t>
      </w:r>
    </w:p>
    <w:p w14:paraId="740CF691" w14:textId="590A7D18" w:rsidR="00903D57" w:rsidRPr="004460BE" w:rsidRDefault="004A6EA1" w:rsidP="00E53FB9">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On </w:t>
      </w:r>
      <w:r w:rsidR="00A0495A">
        <w:rPr>
          <w:rFonts w:ascii="Times New Roman" w:hAnsi="Times New Roman" w:cs="Times New Roman"/>
          <w:sz w:val="24"/>
          <w:szCs w:val="24"/>
        </w:rPr>
        <w:t>24 May 2023</w:t>
      </w:r>
      <w:r w:rsidR="00903D57">
        <w:rPr>
          <w:rFonts w:ascii="Times New Roman" w:hAnsi="Times New Roman" w:cs="Times New Roman"/>
          <w:sz w:val="24"/>
          <w:szCs w:val="24"/>
        </w:rPr>
        <w:t xml:space="preserve">, APRA </w:t>
      </w:r>
      <w:r w:rsidR="00885F78">
        <w:rPr>
          <w:rFonts w:ascii="Times New Roman" w:hAnsi="Times New Roman" w:cs="Times New Roman"/>
          <w:sz w:val="24"/>
          <w:szCs w:val="24"/>
        </w:rPr>
        <w:t>made H</w:t>
      </w:r>
      <w:r w:rsidR="004460BE" w:rsidRPr="004460BE">
        <w:rPr>
          <w:rFonts w:ascii="Times New Roman" w:hAnsi="Times New Roman" w:cs="Times New Roman"/>
          <w:sz w:val="24"/>
          <w:szCs w:val="24"/>
        </w:rPr>
        <w:t xml:space="preserve">ealth Insurance (prudential standard) determination No. 6 of 2023, which determines </w:t>
      </w:r>
      <w:r w:rsidR="004460BE" w:rsidRPr="004E22A8">
        <w:rPr>
          <w:rFonts w:ascii="Times New Roman" w:hAnsi="Times New Roman" w:cs="Times New Roman"/>
          <w:i/>
          <w:sz w:val="24"/>
          <w:szCs w:val="24"/>
        </w:rPr>
        <w:t xml:space="preserve">Prudential Standard HPS 117 Capital Adequacy: Asset </w:t>
      </w:r>
      <w:r w:rsidR="008B42A5">
        <w:rPr>
          <w:rFonts w:ascii="Times New Roman" w:hAnsi="Times New Roman" w:cs="Times New Roman"/>
          <w:i/>
          <w:sz w:val="24"/>
          <w:szCs w:val="24"/>
        </w:rPr>
        <w:t xml:space="preserve">Concentration </w:t>
      </w:r>
      <w:r w:rsidR="004460BE" w:rsidRPr="004E22A8">
        <w:rPr>
          <w:rFonts w:ascii="Times New Roman" w:hAnsi="Times New Roman" w:cs="Times New Roman"/>
          <w:i/>
          <w:sz w:val="24"/>
          <w:szCs w:val="24"/>
        </w:rPr>
        <w:t>Risk Charge</w:t>
      </w:r>
      <w:r w:rsidR="004460BE" w:rsidRPr="004460BE">
        <w:rPr>
          <w:rFonts w:ascii="Times New Roman" w:hAnsi="Times New Roman" w:cs="Times New Roman"/>
          <w:sz w:val="24"/>
          <w:szCs w:val="24"/>
        </w:rPr>
        <w:t xml:space="preserve"> </w:t>
      </w:r>
      <w:r w:rsidR="007E3348" w:rsidRPr="004460BE">
        <w:rPr>
          <w:rFonts w:ascii="Times New Roman" w:hAnsi="Times New Roman" w:cs="Times New Roman"/>
          <w:sz w:val="24"/>
          <w:szCs w:val="24"/>
        </w:rPr>
        <w:t xml:space="preserve">(HPS </w:t>
      </w:r>
      <w:r w:rsidR="00F2750E" w:rsidRPr="004460BE">
        <w:rPr>
          <w:rFonts w:ascii="Times New Roman" w:hAnsi="Times New Roman" w:cs="Times New Roman"/>
          <w:sz w:val="24"/>
          <w:szCs w:val="24"/>
        </w:rPr>
        <w:t>11</w:t>
      </w:r>
      <w:r w:rsidR="004460BE">
        <w:rPr>
          <w:rFonts w:ascii="Times New Roman" w:hAnsi="Times New Roman" w:cs="Times New Roman"/>
          <w:sz w:val="24"/>
          <w:szCs w:val="24"/>
        </w:rPr>
        <w:t>7</w:t>
      </w:r>
      <w:r w:rsidR="007E3348" w:rsidRPr="004460BE">
        <w:rPr>
          <w:rFonts w:ascii="Times New Roman" w:hAnsi="Times New Roman" w:cs="Times New Roman"/>
          <w:sz w:val="24"/>
          <w:szCs w:val="24"/>
        </w:rPr>
        <w:t>)</w:t>
      </w:r>
      <w:r w:rsidR="00E635EF" w:rsidRPr="004460BE">
        <w:rPr>
          <w:rFonts w:ascii="Times New Roman" w:hAnsi="Times New Roman" w:cs="Times New Roman"/>
          <w:sz w:val="24"/>
          <w:szCs w:val="24"/>
        </w:rPr>
        <w:t>.</w:t>
      </w:r>
    </w:p>
    <w:p w14:paraId="26B94029" w14:textId="77777777" w:rsidR="00E635EF" w:rsidRDefault="00E635EF" w:rsidP="00E635EF">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A06A6F">
        <w:rPr>
          <w:rFonts w:ascii="Times New Roman" w:hAnsi="Times New Roman" w:cs="Times New Roman"/>
          <w:sz w:val="24"/>
          <w:szCs w:val="24"/>
        </w:rPr>
        <w:t xml:space="preserve">The instrument commences on </w:t>
      </w:r>
      <w:r>
        <w:rPr>
          <w:rFonts w:ascii="Times New Roman" w:hAnsi="Times New Roman" w:cs="Times New Roman"/>
          <w:sz w:val="24"/>
          <w:szCs w:val="24"/>
        </w:rPr>
        <w:t>1 July 2023</w:t>
      </w:r>
      <w:r w:rsidRPr="00A06A6F">
        <w:rPr>
          <w:rFonts w:ascii="Times New Roman" w:hAnsi="Times New Roman" w:cs="Times New Roman"/>
          <w:sz w:val="24"/>
          <w:szCs w:val="24"/>
        </w:rPr>
        <w:t>.</w:t>
      </w:r>
    </w:p>
    <w:p w14:paraId="323FBD13" w14:textId="77777777" w:rsidR="001F4D45" w:rsidRPr="00BC1E70" w:rsidRDefault="001F4D45"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Pr="00D91D01">
        <w:rPr>
          <w:rFonts w:ascii="Times New Roman" w:hAnsi="Times New Roman" w:cs="Times New Roman"/>
          <w:b/>
          <w:sz w:val="24"/>
          <w:szCs w:val="24"/>
        </w:rPr>
        <w:t>Background</w:t>
      </w:r>
    </w:p>
    <w:p w14:paraId="0CF4F495" w14:textId="77777777" w:rsidR="007E3348"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 xml:space="preserve">Capital standards are an important tool to support the objectives of APRA’s prudential framework. They are intended to ensure that an insurer has sufficient financial resources available to meet its financial promises to policy holders despite adverse conditions. APRA’s capital standards determine the minimum regulatory capital requirement for an insurer, </w:t>
      </w:r>
      <w:proofErr w:type="gramStart"/>
      <w:r w:rsidRPr="002E36EB">
        <w:rPr>
          <w:rFonts w:ascii="Times New Roman" w:hAnsi="Times New Roman" w:cs="Times New Roman"/>
          <w:sz w:val="24"/>
          <w:szCs w:val="24"/>
        </w:rPr>
        <w:t>taking into</w:t>
      </w:r>
      <w:r w:rsidR="00390925">
        <w:rPr>
          <w:rFonts w:ascii="Times New Roman" w:hAnsi="Times New Roman" w:cs="Times New Roman"/>
          <w:sz w:val="24"/>
          <w:szCs w:val="24"/>
        </w:rPr>
        <w:t xml:space="preserve"> </w:t>
      </w:r>
      <w:r w:rsidRPr="002E36EB">
        <w:rPr>
          <w:rFonts w:ascii="Times New Roman" w:hAnsi="Times New Roman" w:cs="Times New Roman"/>
          <w:sz w:val="24"/>
          <w:szCs w:val="24"/>
        </w:rPr>
        <w:t>account</w:t>
      </w:r>
      <w:proofErr w:type="gramEnd"/>
      <w:r w:rsidRPr="002E36EB">
        <w:rPr>
          <w:rFonts w:ascii="Times New Roman" w:hAnsi="Times New Roman" w:cs="Times New Roman"/>
          <w:sz w:val="24"/>
          <w:szCs w:val="24"/>
        </w:rPr>
        <w:t xml:space="preserve"> the nature of the risks an insurer is exposed to in its business.</w:t>
      </w:r>
    </w:p>
    <w:p w14:paraId="5D9BF470" w14:textId="426E3B66" w:rsidR="002E36EB" w:rsidRPr="002E36EB" w:rsidRDefault="002E36EB" w:rsidP="00A540EB">
      <w:pPr>
        <w:rPr>
          <w:rFonts w:ascii="Times New Roman" w:hAnsi="Times New Roman" w:cs="Times New Roman"/>
          <w:sz w:val="24"/>
          <w:szCs w:val="24"/>
        </w:rPr>
      </w:pPr>
      <w:r w:rsidRPr="002E36EB">
        <w:rPr>
          <w:rFonts w:ascii="Times New Roman" w:hAnsi="Times New Roman" w:cs="Times New Roman"/>
          <w:sz w:val="24"/>
          <w:szCs w:val="24"/>
        </w:rPr>
        <w:t>Since assuming prudential regulatory responsibility for the private health insurance industry in 2015, APRA has progressively reviewed and updated the prudential policy framework. APRA’s review of the capital framework represents the third and final phase of that systematic process.</w:t>
      </w:r>
    </w:p>
    <w:p w14:paraId="42FD6193" w14:textId="29C99BB4" w:rsidR="002E36EB" w:rsidRPr="002E36EB" w:rsidRDefault="005126D2" w:rsidP="00A540EB">
      <w:pPr>
        <w:rPr>
          <w:rFonts w:ascii="Times New Roman" w:hAnsi="Times New Roman" w:cs="Times New Roman"/>
          <w:sz w:val="24"/>
          <w:szCs w:val="24"/>
        </w:rPr>
      </w:pPr>
      <w:r>
        <w:rPr>
          <w:rFonts w:ascii="Times New Roman" w:hAnsi="Times New Roman" w:cs="Times New Roman"/>
          <w:sz w:val="24"/>
          <w:szCs w:val="24"/>
        </w:rPr>
        <w:t>The review of the private health insurance capital framework revealed that, i</w:t>
      </w:r>
      <w:r w:rsidR="002E36EB" w:rsidRPr="002E36EB">
        <w:rPr>
          <w:rFonts w:ascii="Times New Roman" w:hAnsi="Times New Roman" w:cs="Times New Roman"/>
          <w:sz w:val="24"/>
          <w:szCs w:val="24"/>
        </w:rPr>
        <w:t xml:space="preserve">n </w:t>
      </w:r>
      <w:proofErr w:type="gramStart"/>
      <w:r w:rsidR="002E36EB" w:rsidRPr="002E36EB">
        <w:rPr>
          <w:rFonts w:ascii="Times New Roman" w:hAnsi="Times New Roman" w:cs="Times New Roman"/>
          <w:sz w:val="24"/>
          <w:szCs w:val="24"/>
        </w:rPr>
        <w:t>a number of</w:t>
      </w:r>
      <w:proofErr w:type="gramEnd"/>
      <w:r w:rsidR="002E36EB" w:rsidRPr="002E36EB">
        <w:rPr>
          <w:rFonts w:ascii="Times New Roman" w:hAnsi="Times New Roman" w:cs="Times New Roman"/>
          <w:sz w:val="24"/>
          <w:szCs w:val="24"/>
        </w:rPr>
        <w:t xml:space="preserve"> respects, the </w:t>
      </w:r>
      <w:r w:rsidR="0083348D">
        <w:rPr>
          <w:rFonts w:ascii="Times New Roman" w:hAnsi="Times New Roman" w:cs="Times New Roman"/>
          <w:sz w:val="24"/>
          <w:szCs w:val="24"/>
        </w:rPr>
        <w:t xml:space="preserve">former </w:t>
      </w:r>
      <w:r w:rsidR="002E36EB" w:rsidRPr="002E36EB">
        <w:rPr>
          <w:rFonts w:ascii="Times New Roman" w:hAnsi="Times New Roman" w:cs="Times New Roman"/>
          <w:sz w:val="24"/>
          <w:szCs w:val="24"/>
        </w:rPr>
        <w:t xml:space="preserve">capital framework </w:t>
      </w:r>
      <w:r w:rsidR="002E08F8">
        <w:rPr>
          <w:rFonts w:ascii="Times New Roman" w:hAnsi="Times New Roman" w:cs="Times New Roman"/>
          <w:sz w:val="24"/>
          <w:szCs w:val="24"/>
        </w:rPr>
        <w:t>was</w:t>
      </w:r>
      <w:r w:rsidR="002E36EB" w:rsidRPr="002E36EB">
        <w:rPr>
          <w:rFonts w:ascii="Times New Roman" w:hAnsi="Times New Roman" w:cs="Times New Roman"/>
          <w:sz w:val="24"/>
          <w:szCs w:val="24"/>
        </w:rPr>
        <w:t xml:space="preserve"> less robust than the requirements appl</w:t>
      </w:r>
      <w:r>
        <w:rPr>
          <w:rFonts w:ascii="Times New Roman" w:hAnsi="Times New Roman" w:cs="Times New Roman"/>
          <w:sz w:val="24"/>
          <w:szCs w:val="24"/>
        </w:rPr>
        <w:t>ied</w:t>
      </w:r>
      <w:r w:rsidR="002E36EB" w:rsidRPr="002E36EB">
        <w:rPr>
          <w:rFonts w:ascii="Times New Roman" w:hAnsi="Times New Roman" w:cs="Times New Roman"/>
          <w:sz w:val="24"/>
          <w:szCs w:val="24"/>
        </w:rPr>
        <w:t xml:space="preserve"> </w:t>
      </w:r>
      <w:r w:rsidR="0083348D">
        <w:rPr>
          <w:rFonts w:ascii="Times New Roman" w:hAnsi="Times New Roman" w:cs="Times New Roman"/>
          <w:sz w:val="24"/>
          <w:szCs w:val="24"/>
        </w:rPr>
        <w:t>to</w:t>
      </w:r>
      <w:r w:rsidR="002E36EB" w:rsidRPr="002E36EB">
        <w:rPr>
          <w:rFonts w:ascii="Times New Roman" w:hAnsi="Times New Roman" w:cs="Times New Roman"/>
          <w:sz w:val="24"/>
          <w:szCs w:val="24"/>
        </w:rPr>
        <w:t xml:space="preserve"> other </w:t>
      </w:r>
      <w:r w:rsidR="0083348D">
        <w:rPr>
          <w:rFonts w:ascii="Times New Roman" w:hAnsi="Times New Roman" w:cs="Times New Roman"/>
          <w:sz w:val="24"/>
          <w:szCs w:val="24"/>
        </w:rPr>
        <w:t xml:space="preserve">Australian </w:t>
      </w:r>
      <w:r w:rsidR="002E36EB" w:rsidRPr="002E36EB">
        <w:rPr>
          <w:rFonts w:ascii="Times New Roman" w:hAnsi="Times New Roman" w:cs="Times New Roman"/>
          <w:sz w:val="24"/>
          <w:szCs w:val="24"/>
        </w:rPr>
        <w:t xml:space="preserve">insurance sectors </w:t>
      </w:r>
      <w:r>
        <w:rPr>
          <w:rFonts w:ascii="Times New Roman" w:hAnsi="Times New Roman" w:cs="Times New Roman"/>
          <w:sz w:val="24"/>
          <w:szCs w:val="24"/>
        </w:rPr>
        <w:t>and</w:t>
      </w:r>
      <w:r w:rsidR="002E36EB" w:rsidRPr="002E36EB">
        <w:rPr>
          <w:rFonts w:ascii="Times New Roman" w:hAnsi="Times New Roman" w:cs="Times New Roman"/>
          <w:sz w:val="24"/>
          <w:szCs w:val="24"/>
        </w:rPr>
        <w:t xml:space="preserve"> d</w:t>
      </w:r>
      <w:r w:rsidR="002E08F8">
        <w:rPr>
          <w:rFonts w:ascii="Times New Roman" w:hAnsi="Times New Roman" w:cs="Times New Roman"/>
          <w:sz w:val="24"/>
          <w:szCs w:val="24"/>
        </w:rPr>
        <w:t>id</w:t>
      </w:r>
      <w:r w:rsidR="002E36EB" w:rsidRPr="002E36EB">
        <w:rPr>
          <w:rFonts w:ascii="Times New Roman" w:hAnsi="Times New Roman" w:cs="Times New Roman"/>
          <w:sz w:val="24"/>
          <w:szCs w:val="24"/>
        </w:rPr>
        <w:t xml:space="preserve"> not appropriately reflect the risks faced by insurers</w:t>
      </w:r>
      <w:r w:rsidR="002E08F8">
        <w:rPr>
          <w:rFonts w:ascii="Times New Roman" w:hAnsi="Times New Roman" w:cs="Times New Roman"/>
          <w:sz w:val="24"/>
          <w:szCs w:val="24"/>
        </w:rPr>
        <w:t xml:space="preserve">. </w:t>
      </w:r>
      <w:r w:rsidR="002E36EB" w:rsidRPr="002E36EB">
        <w:rPr>
          <w:rFonts w:ascii="Times New Roman" w:hAnsi="Times New Roman" w:cs="Times New Roman"/>
          <w:sz w:val="24"/>
          <w:szCs w:val="24"/>
        </w:rPr>
        <w:t> </w:t>
      </w:r>
    </w:p>
    <w:p w14:paraId="1B4FE542" w14:textId="0F1667E7" w:rsidR="00147586" w:rsidRDefault="002E08F8"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47586">
        <w:rPr>
          <w:rFonts w:ascii="Times New Roman" w:hAnsi="Times New Roman" w:cs="Times New Roman"/>
          <w:sz w:val="24"/>
          <w:szCs w:val="24"/>
        </w:rPr>
        <w:t xml:space="preserve">new </w:t>
      </w:r>
      <w:r w:rsidR="00A43831">
        <w:rPr>
          <w:rFonts w:ascii="Times New Roman" w:hAnsi="Times New Roman" w:cs="Times New Roman"/>
          <w:sz w:val="24"/>
          <w:szCs w:val="24"/>
        </w:rPr>
        <w:t xml:space="preserve">private health insurance </w:t>
      </w:r>
      <w:r w:rsidR="00147586">
        <w:rPr>
          <w:rFonts w:ascii="Times New Roman" w:hAnsi="Times New Roman" w:cs="Times New Roman"/>
          <w:sz w:val="24"/>
          <w:szCs w:val="24"/>
        </w:rPr>
        <w:t xml:space="preserve">capital framework seeks to address these concerns by ensuring there is an appropriate level of financial resilience and protection for policyholders through: </w:t>
      </w:r>
    </w:p>
    <w:p w14:paraId="4CBCC6D5" w14:textId="0000BC8D" w:rsidR="002E08F8" w:rsidRPr="00147586"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i</w:t>
      </w:r>
      <w:r w:rsidR="002E08F8" w:rsidRPr="00147586">
        <w:rPr>
          <w:rFonts w:ascii="Times New Roman" w:hAnsi="Times New Roman" w:cs="Times New Roman"/>
          <w:b/>
          <w:sz w:val="24"/>
          <w:szCs w:val="24"/>
        </w:rPr>
        <w:t>mprov</w:t>
      </w:r>
      <w:r w:rsidR="00147586" w:rsidRPr="00147586">
        <w:rPr>
          <w:rFonts w:ascii="Times New Roman" w:hAnsi="Times New Roman" w:cs="Times New Roman"/>
          <w:b/>
          <w:sz w:val="24"/>
          <w:szCs w:val="24"/>
        </w:rPr>
        <w:t>ed</w:t>
      </w:r>
      <w:r w:rsidR="002E08F8" w:rsidRPr="00147586">
        <w:rPr>
          <w:rFonts w:ascii="Times New Roman" w:hAnsi="Times New Roman" w:cs="Times New Roman"/>
          <w:sz w:val="24"/>
          <w:szCs w:val="24"/>
        </w:rPr>
        <w:t xml:space="preserve"> </w:t>
      </w:r>
      <w:r w:rsidR="00147586" w:rsidRPr="00A43831">
        <w:rPr>
          <w:rFonts w:ascii="Times New Roman" w:hAnsi="Times New Roman" w:cs="Times New Roman"/>
          <w:b/>
          <w:sz w:val="24"/>
          <w:szCs w:val="24"/>
        </w:rPr>
        <w:t>r</w:t>
      </w:r>
      <w:r w:rsidR="002E08F8" w:rsidRPr="00A43831">
        <w:rPr>
          <w:rFonts w:ascii="Times New Roman" w:hAnsi="Times New Roman" w:cs="Times New Roman"/>
          <w:b/>
          <w:sz w:val="24"/>
          <w:szCs w:val="24"/>
        </w:rPr>
        <w:t xml:space="preserve">isk </w:t>
      </w:r>
      <w:r w:rsidR="005126D2" w:rsidRPr="00A43831">
        <w:rPr>
          <w:rFonts w:ascii="Times New Roman" w:hAnsi="Times New Roman" w:cs="Times New Roman"/>
          <w:b/>
          <w:sz w:val="24"/>
          <w:szCs w:val="24"/>
        </w:rPr>
        <w:t>sensitivity</w:t>
      </w:r>
      <w:r w:rsidR="002E08F8" w:rsidRPr="00147586">
        <w:rPr>
          <w:rFonts w:ascii="Times New Roman" w:hAnsi="Times New Roman" w:cs="Times New Roman"/>
          <w:sz w:val="24"/>
          <w:szCs w:val="24"/>
        </w:rPr>
        <w:t xml:space="preserve"> of the capital standards </w:t>
      </w:r>
      <w:r w:rsidR="00147586">
        <w:rPr>
          <w:rFonts w:ascii="Times New Roman" w:hAnsi="Times New Roman" w:cs="Times New Roman"/>
          <w:sz w:val="24"/>
          <w:szCs w:val="24"/>
        </w:rPr>
        <w:t xml:space="preserve">to better reflect the risks faced by private health </w:t>
      </w:r>
      <w:proofErr w:type="gramStart"/>
      <w:r w:rsidR="00147586">
        <w:rPr>
          <w:rFonts w:ascii="Times New Roman" w:hAnsi="Times New Roman" w:cs="Times New Roman"/>
          <w:sz w:val="24"/>
          <w:szCs w:val="24"/>
        </w:rPr>
        <w:t>insurers</w:t>
      </w:r>
      <w:r w:rsidR="002E08F8" w:rsidRPr="00147586">
        <w:rPr>
          <w:rFonts w:ascii="Times New Roman" w:hAnsi="Times New Roman" w:cs="Times New Roman"/>
          <w:sz w:val="24"/>
          <w:szCs w:val="24"/>
        </w:rPr>
        <w:t>;</w:t>
      </w:r>
      <w:proofErr w:type="gramEnd"/>
    </w:p>
    <w:p w14:paraId="2EB2479A" w14:textId="585E7D23" w:rsidR="002E08F8" w:rsidRDefault="00A43831" w:rsidP="00A540EB">
      <w:pPr>
        <w:pStyle w:val="ListParagraph"/>
        <w:numPr>
          <w:ilvl w:val="0"/>
          <w:numId w:val="22"/>
        </w:numPr>
        <w:rPr>
          <w:rFonts w:ascii="Times New Roman" w:hAnsi="Times New Roman" w:cs="Times New Roman"/>
          <w:sz w:val="24"/>
          <w:szCs w:val="24"/>
        </w:rPr>
      </w:pPr>
      <w:r>
        <w:rPr>
          <w:rFonts w:ascii="Times New Roman" w:hAnsi="Times New Roman" w:cs="Times New Roman"/>
          <w:b/>
          <w:sz w:val="24"/>
          <w:szCs w:val="24"/>
        </w:rPr>
        <w:t>r</w:t>
      </w:r>
      <w:r w:rsidR="00147586" w:rsidRPr="00147586">
        <w:rPr>
          <w:rFonts w:ascii="Times New Roman" w:hAnsi="Times New Roman" w:cs="Times New Roman"/>
          <w:b/>
          <w:sz w:val="24"/>
          <w:szCs w:val="24"/>
        </w:rPr>
        <w:t>educed discretion</w:t>
      </w:r>
      <w:r w:rsidR="00147586">
        <w:rPr>
          <w:rFonts w:ascii="Times New Roman" w:hAnsi="Times New Roman" w:cs="Times New Roman"/>
          <w:sz w:val="24"/>
          <w:szCs w:val="24"/>
        </w:rPr>
        <w:t xml:space="preserve"> available to private health insurers to determine their capital requirements, </w:t>
      </w:r>
      <w:proofErr w:type="gramStart"/>
      <w:r w:rsidR="00147586">
        <w:rPr>
          <w:rFonts w:ascii="Times New Roman" w:hAnsi="Times New Roman" w:cs="Times New Roman"/>
          <w:sz w:val="24"/>
          <w:szCs w:val="24"/>
        </w:rPr>
        <w:t>so as to</w:t>
      </w:r>
      <w:proofErr w:type="gramEnd"/>
      <w:r w:rsidR="00147586">
        <w:rPr>
          <w:rFonts w:ascii="Times New Roman" w:hAnsi="Times New Roman" w:cs="Times New Roman"/>
          <w:sz w:val="24"/>
          <w:szCs w:val="24"/>
        </w:rPr>
        <w:t xml:space="preserve"> narrow the differences between insurers with similar business models and </w:t>
      </w:r>
      <w:r w:rsidR="00F914CA">
        <w:rPr>
          <w:rFonts w:ascii="Times New Roman" w:hAnsi="Times New Roman" w:cs="Times New Roman"/>
          <w:sz w:val="24"/>
          <w:szCs w:val="24"/>
        </w:rPr>
        <w:t>profiles</w:t>
      </w:r>
      <w:r>
        <w:rPr>
          <w:rFonts w:ascii="Times New Roman" w:hAnsi="Times New Roman" w:cs="Times New Roman"/>
          <w:sz w:val="24"/>
          <w:szCs w:val="24"/>
        </w:rPr>
        <w:t>; and</w:t>
      </w:r>
    </w:p>
    <w:p w14:paraId="5ABD5600" w14:textId="5916FD30" w:rsidR="002E08F8" w:rsidRDefault="00A43831" w:rsidP="00A540EB">
      <w:pPr>
        <w:pStyle w:val="ListParagraph"/>
        <w:numPr>
          <w:ilvl w:val="0"/>
          <w:numId w:val="22"/>
        </w:numPr>
        <w:rPr>
          <w:rFonts w:ascii="Times New Roman" w:hAnsi="Times New Roman" w:cs="Times New Roman"/>
          <w:sz w:val="24"/>
          <w:szCs w:val="24"/>
        </w:rPr>
      </w:pPr>
      <w:r w:rsidRPr="00A43831">
        <w:rPr>
          <w:rFonts w:ascii="Times New Roman" w:hAnsi="Times New Roman" w:cs="Times New Roman"/>
          <w:b/>
          <w:sz w:val="24"/>
          <w:szCs w:val="24"/>
        </w:rPr>
        <w:t>a</w:t>
      </w:r>
      <w:r w:rsidR="002E08F8" w:rsidRPr="00A43831">
        <w:rPr>
          <w:rFonts w:ascii="Times New Roman" w:hAnsi="Times New Roman" w:cs="Times New Roman"/>
          <w:b/>
          <w:sz w:val="24"/>
          <w:szCs w:val="24"/>
        </w:rPr>
        <w:t>lignment</w:t>
      </w:r>
      <w:r w:rsidR="002E08F8">
        <w:rPr>
          <w:rFonts w:ascii="Times New Roman" w:hAnsi="Times New Roman" w:cs="Times New Roman"/>
          <w:sz w:val="24"/>
          <w:szCs w:val="24"/>
        </w:rPr>
        <w:t xml:space="preserve"> with the </w:t>
      </w:r>
      <w:r>
        <w:rPr>
          <w:rFonts w:ascii="Times New Roman" w:hAnsi="Times New Roman" w:cs="Times New Roman"/>
          <w:sz w:val="24"/>
          <w:szCs w:val="24"/>
        </w:rPr>
        <w:t xml:space="preserve">structure of the life and general insurance capital framework, where appropriate. </w:t>
      </w:r>
      <w:r w:rsidR="002E08F8">
        <w:rPr>
          <w:rFonts w:ascii="Times New Roman" w:hAnsi="Times New Roman" w:cs="Times New Roman"/>
          <w:sz w:val="24"/>
          <w:szCs w:val="24"/>
        </w:rPr>
        <w:t xml:space="preserve"> </w:t>
      </w:r>
      <w:r>
        <w:rPr>
          <w:rFonts w:ascii="Times New Roman" w:hAnsi="Times New Roman" w:cs="Times New Roman"/>
          <w:sz w:val="24"/>
          <w:szCs w:val="24"/>
        </w:rPr>
        <w:t>This</w:t>
      </w:r>
      <w:r w:rsidR="002E08F8">
        <w:rPr>
          <w:rFonts w:ascii="Times New Roman" w:hAnsi="Times New Roman" w:cs="Times New Roman"/>
          <w:sz w:val="24"/>
          <w:szCs w:val="24"/>
        </w:rPr>
        <w:t xml:space="preserve"> reflects APRA’s overall approach to capital</w:t>
      </w:r>
      <w:r>
        <w:rPr>
          <w:rFonts w:ascii="Times New Roman" w:hAnsi="Times New Roman" w:cs="Times New Roman"/>
          <w:sz w:val="24"/>
          <w:szCs w:val="24"/>
        </w:rPr>
        <w:t xml:space="preserve"> quality and adequacy</w:t>
      </w:r>
      <w:r w:rsidR="005126D2">
        <w:rPr>
          <w:rFonts w:ascii="Times New Roman" w:hAnsi="Times New Roman" w:cs="Times New Roman"/>
          <w:sz w:val="24"/>
          <w:szCs w:val="24"/>
        </w:rPr>
        <w:t xml:space="preserve"> and is consistent with international best practice. </w:t>
      </w:r>
    </w:p>
    <w:p w14:paraId="61FBF09A" w14:textId="5EA88B64" w:rsidR="00390925" w:rsidRPr="00390925" w:rsidRDefault="00390925"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changes to the private health insurance capital framework also incorporate changes to APRA’s insurance capital framework due to the new accounting standard AASB 17 </w:t>
      </w:r>
      <w:r w:rsidR="0083348D">
        <w:rPr>
          <w:rFonts w:ascii="Times New Roman" w:hAnsi="Times New Roman" w:cs="Times New Roman"/>
          <w:sz w:val="24"/>
          <w:szCs w:val="24"/>
        </w:rPr>
        <w:t>Insurance</w:t>
      </w:r>
      <w:r>
        <w:rPr>
          <w:rFonts w:ascii="Times New Roman" w:hAnsi="Times New Roman" w:cs="Times New Roman"/>
          <w:sz w:val="24"/>
          <w:szCs w:val="24"/>
        </w:rPr>
        <w:t xml:space="preserve"> Contracts (AASB 17). This ensures alignment between he prudential and accounting </w:t>
      </w:r>
      <w:r>
        <w:rPr>
          <w:rFonts w:ascii="Times New Roman" w:hAnsi="Times New Roman" w:cs="Times New Roman"/>
          <w:sz w:val="24"/>
          <w:szCs w:val="24"/>
        </w:rPr>
        <w:lastRenderedPageBreak/>
        <w:t xml:space="preserve">requirements and reduces cost and complexity for industry from otherwise needing to manage and report on diverging frameworks. </w:t>
      </w:r>
    </w:p>
    <w:p w14:paraId="349A167C" w14:textId="4E824400" w:rsidR="00211AFD" w:rsidRDefault="00B670E9" w:rsidP="00A540EB">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 </w:t>
      </w:r>
    </w:p>
    <w:p w14:paraId="0A3F0BE4" w14:textId="3FA1BADC"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HPS</w:t>
      </w:r>
      <w:r w:rsidRPr="00BD5923">
        <w:rPr>
          <w:rFonts w:ascii="Times New Roman" w:hAnsi="Times New Roman" w:cs="Times New Roman"/>
          <w:sz w:val="24"/>
          <w:szCs w:val="24"/>
        </w:rPr>
        <w:t xml:space="preserve"> 117 sets out the method for calculating the Asset Concentration Risk Charge, the</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minimum amount of capital a </w:t>
      </w:r>
      <w:r>
        <w:rPr>
          <w:rFonts w:ascii="Times New Roman" w:hAnsi="Times New Roman" w:cs="Times New Roman"/>
          <w:sz w:val="24"/>
          <w:szCs w:val="24"/>
        </w:rPr>
        <w:t>private health insurer</w:t>
      </w:r>
      <w:r w:rsidRPr="00BD5923">
        <w:rPr>
          <w:rFonts w:ascii="Times New Roman" w:hAnsi="Times New Roman" w:cs="Times New Roman"/>
          <w:sz w:val="24"/>
          <w:szCs w:val="24"/>
        </w:rPr>
        <w:t xml:space="preserve"> must hold</w:t>
      </w:r>
      <w:r>
        <w:rPr>
          <w:rFonts w:ascii="Times New Roman" w:hAnsi="Times New Roman" w:cs="Times New Roman"/>
          <w:sz w:val="24"/>
          <w:szCs w:val="24"/>
        </w:rPr>
        <w:t xml:space="preserve"> </w:t>
      </w:r>
      <w:r w:rsidRPr="00BD5923">
        <w:rPr>
          <w:rFonts w:ascii="Times New Roman" w:hAnsi="Times New Roman" w:cs="Times New Roman"/>
          <w:sz w:val="24"/>
          <w:szCs w:val="24"/>
        </w:rPr>
        <w:t xml:space="preserve">against asset concentration risks. </w:t>
      </w:r>
    </w:p>
    <w:p w14:paraId="3AA0B74B" w14:textId="77777777"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p>
    <w:p w14:paraId="484C8F9C" w14:textId="2FB7D630" w:rsidR="002A6539" w:rsidRPr="00BD5923" w:rsidRDefault="002A6539" w:rsidP="002A6539">
      <w:pPr>
        <w:numPr>
          <w:ilvl w:val="0"/>
          <w:numId w:val="0"/>
        </w:numPr>
        <w:autoSpaceDE w:val="0"/>
        <w:autoSpaceDN w:val="0"/>
        <w:adjustRightInd w:val="0"/>
        <w:spacing w:after="0"/>
        <w:rPr>
          <w:rFonts w:ascii="Times New Roman" w:hAnsi="Times New Roman" w:cs="Times New Roman"/>
          <w:sz w:val="24"/>
          <w:szCs w:val="24"/>
        </w:rPr>
      </w:pPr>
      <w:r w:rsidRPr="00BD5923">
        <w:rPr>
          <w:rFonts w:ascii="Times New Roman" w:hAnsi="Times New Roman" w:cs="Times New Roman"/>
          <w:sz w:val="24"/>
          <w:szCs w:val="24"/>
        </w:rPr>
        <w:t>The Asset Concentration Risk Charge is one of the</w:t>
      </w:r>
      <w:r>
        <w:rPr>
          <w:rFonts w:ascii="Times New Roman" w:hAnsi="Times New Roman" w:cs="Times New Roman"/>
          <w:sz w:val="24"/>
          <w:szCs w:val="24"/>
        </w:rPr>
        <w:t xml:space="preserve"> </w:t>
      </w:r>
      <w:r w:rsidRPr="00BD5923">
        <w:rPr>
          <w:rFonts w:ascii="Times New Roman" w:hAnsi="Times New Roman" w:cs="Times New Roman"/>
          <w:sz w:val="24"/>
          <w:szCs w:val="24"/>
        </w:rPr>
        <w:t>components of the prescribed capital amount and</w:t>
      </w:r>
      <w:r>
        <w:rPr>
          <w:rFonts w:ascii="Times New Roman" w:hAnsi="Times New Roman" w:cs="Times New Roman"/>
          <w:sz w:val="24"/>
          <w:szCs w:val="24"/>
        </w:rPr>
        <w:t xml:space="preserve"> </w:t>
      </w:r>
      <w:r w:rsidRPr="00BD5923">
        <w:rPr>
          <w:rFonts w:ascii="Times New Roman" w:hAnsi="Times New Roman" w:cs="Times New Roman"/>
          <w:sz w:val="24"/>
          <w:szCs w:val="24"/>
        </w:rPr>
        <w:t>relates to the risk of a concentration in exposures to a particular asset, counterparty or</w:t>
      </w:r>
      <w:r>
        <w:rPr>
          <w:rFonts w:ascii="Times New Roman" w:hAnsi="Times New Roman" w:cs="Times New Roman"/>
          <w:sz w:val="24"/>
          <w:szCs w:val="24"/>
        </w:rPr>
        <w:t xml:space="preserve"> </w:t>
      </w:r>
      <w:r w:rsidRPr="00BD5923">
        <w:rPr>
          <w:rFonts w:ascii="Times New Roman" w:hAnsi="Times New Roman" w:cs="Times New Roman"/>
          <w:sz w:val="24"/>
          <w:szCs w:val="24"/>
        </w:rPr>
        <w:t>group of related counterparties resulting in adverse movements in the general</w:t>
      </w:r>
    </w:p>
    <w:p w14:paraId="3C2E214C" w14:textId="77777777" w:rsidR="002A6539" w:rsidRDefault="002A6539" w:rsidP="002A6539">
      <w:pPr>
        <w:numPr>
          <w:ilvl w:val="0"/>
          <w:numId w:val="0"/>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private health insurer’s</w:t>
      </w:r>
      <w:r w:rsidRPr="00BD5923">
        <w:rPr>
          <w:rFonts w:ascii="Times New Roman" w:hAnsi="Times New Roman" w:cs="Times New Roman"/>
          <w:sz w:val="24"/>
          <w:szCs w:val="24"/>
        </w:rPr>
        <w:t xml:space="preserve"> capital base.</w:t>
      </w:r>
    </w:p>
    <w:p w14:paraId="71877C82" w14:textId="77777777" w:rsidR="00267326" w:rsidRPr="00B929E5" w:rsidRDefault="00267326" w:rsidP="00267326">
      <w:pPr>
        <w:pStyle w:val="Heading5"/>
        <w:rPr>
          <w:rFonts w:ascii="Times New Roman" w:hAnsi="Times New Roman" w:cs="Times New Roman"/>
          <w:sz w:val="24"/>
          <w:szCs w:val="24"/>
        </w:rPr>
      </w:pPr>
      <w:bookmarkStart w:id="5" w:name="_Hlk135146695"/>
      <w:r w:rsidRPr="00B929E5">
        <w:rPr>
          <w:rFonts w:ascii="Times New Roman" w:hAnsi="Times New Roman" w:cs="Times New Roman"/>
          <w:sz w:val="24"/>
          <w:szCs w:val="24"/>
        </w:rPr>
        <w:t>Documents incorporated by reference</w:t>
      </w:r>
    </w:p>
    <w:p w14:paraId="75C075E5" w14:textId="77777777" w:rsidR="00267326" w:rsidRPr="00B929E5" w:rsidRDefault="00267326" w:rsidP="00267326">
      <w:pPr>
        <w:rPr>
          <w:rFonts w:ascii="Times New Roman" w:hAnsi="Times New Roman" w:cs="Times New Roman"/>
          <w:sz w:val="24"/>
          <w:szCs w:val="24"/>
        </w:rPr>
      </w:pPr>
      <w:r w:rsidRPr="00B929E5">
        <w:rPr>
          <w:rFonts w:ascii="Times New Roman" w:hAnsi="Times New Roman" w:cs="Times New Roman"/>
          <w:sz w:val="24"/>
          <w:szCs w:val="24"/>
        </w:rPr>
        <w:t xml:space="preserve">Under paragraph 14(1)(a) of the </w:t>
      </w:r>
      <w:r w:rsidRPr="00B929E5">
        <w:rPr>
          <w:rFonts w:ascii="Times New Roman" w:hAnsi="Times New Roman" w:cs="Times New Roman"/>
          <w:i/>
          <w:sz w:val="24"/>
          <w:szCs w:val="24"/>
        </w:rPr>
        <w:t>Legislation Act 2003</w:t>
      </w:r>
      <w:r w:rsidRPr="00B929E5">
        <w:rPr>
          <w:rFonts w:ascii="Times New Roman" w:hAnsi="Times New Roman" w:cs="Times New Roman"/>
          <w:sz w:val="24"/>
          <w:szCs w:val="24"/>
        </w:rPr>
        <w:t xml:space="preserve">, the prudential standard incorporates by reference as in force from time to time: </w:t>
      </w:r>
    </w:p>
    <w:p w14:paraId="7377B6F8" w14:textId="77777777" w:rsidR="00267326" w:rsidRPr="00B929E5" w:rsidRDefault="00267326" w:rsidP="00267326">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Acts of Parliament and associated delegated </w:t>
      </w:r>
      <w:proofErr w:type="gramStart"/>
      <w:r w:rsidRPr="00B929E5">
        <w:rPr>
          <w:rFonts w:ascii="Times New Roman" w:hAnsi="Times New Roman" w:cs="Times New Roman"/>
          <w:sz w:val="24"/>
          <w:szCs w:val="24"/>
        </w:rPr>
        <w:t>legislation;</w:t>
      </w:r>
      <w:proofErr w:type="gramEnd"/>
    </w:p>
    <w:p w14:paraId="52B32DC5" w14:textId="77777777" w:rsidR="00267326" w:rsidRPr="00B929E5" w:rsidRDefault="00267326" w:rsidP="00267326">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Prudential Standards determined by APRA under: </w:t>
      </w:r>
    </w:p>
    <w:p w14:paraId="3EEFCB23" w14:textId="77777777" w:rsidR="00267326" w:rsidRPr="00B929E5" w:rsidRDefault="00267326" w:rsidP="00267326">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11</w:t>
      </w:r>
      <w:proofErr w:type="gramStart"/>
      <w:r w:rsidRPr="00B929E5">
        <w:rPr>
          <w:rFonts w:ascii="Times New Roman" w:hAnsi="Times New Roman" w:cs="Times New Roman"/>
          <w:sz w:val="24"/>
          <w:szCs w:val="24"/>
        </w:rPr>
        <w:t>AF(</w:t>
      </w:r>
      <w:proofErr w:type="gramEnd"/>
      <w:r w:rsidRPr="00B929E5">
        <w:rPr>
          <w:rFonts w:ascii="Times New Roman" w:hAnsi="Times New Roman" w:cs="Times New Roman"/>
          <w:sz w:val="24"/>
          <w:szCs w:val="24"/>
        </w:rPr>
        <w:t>1) of the</w:t>
      </w:r>
      <w:r w:rsidRPr="00B929E5">
        <w:rPr>
          <w:rFonts w:ascii="Times New Roman" w:hAnsi="Times New Roman" w:cs="Times New Roman"/>
          <w:i/>
          <w:iCs/>
          <w:sz w:val="24"/>
          <w:szCs w:val="24"/>
        </w:rPr>
        <w:t> Banking Act 1959</w:t>
      </w:r>
      <w:r w:rsidRPr="00B929E5">
        <w:rPr>
          <w:rFonts w:ascii="Times New Roman" w:hAnsi="Times New Roman" w:cs="Times New Roman"/>
          <w:iCs/>
          <w:sz w:val="24"/>
          <w:szCs w:val="24"/>
        </w:rPr>
        <w:t>;</w:t>
      </w:r>
    </w:p>
    <w:p w14:paraId="1050DF20" w14:textId="77777777" w:rsidR="00267326" w:rsidRPr="00B929E5" w:rsidRDefault="00267326" w:rsidP="00267326">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32(1) of the </w:t>
      </w:r>
      <w:r w:rsidRPr="00B929E5">
        <w:rPr>
          <w:rFonts w:ascii="Times New Roman" w:hAnsi="Times New Roman" w:cs="Times New Roman"/>
          <w:i/>
          <w:iCs/>
          <w:sz w:val="24"/>
          <w:szCs w:val="24"/>
        </w:rPr>
        <w:t xml:space="preserve">Insurance Act </w:t>
      </w:r>
      <w:proofErr w:type="gramStart"/>
      <w:r w:rsidRPr="00B929E5">
        <w:rPr>
          <w:rFonts w:ascii="Times New Roman" w:hAnsi="Times New Roman" w:cs="Times New Roman"/>
          <w:i/>
          <w:iCs/>
          <w:sz w:val="24"/>
          <w:szCs w:val="24"/>
        </w:rPr>
        <w:t>1973</w:t>
      </w:r>
      <w:r w:rsidRPr="00B929E5">
        <w:rPr>
          <w:rFonts w:ascii="Times New Roman" w:hAnsi="Times New Roman" w:cs="Times New Roman"/>
          <w:sz w:val="24"/>
          <w:szCs w:val="24"/>
        </w:rPr>
        <w:t>;</w:t>
      </w:r>
      <w:proofErr w:type="gramEnd"/>
    </w:p>
    <w:p w14:paraId="098C8733" w14:textId="77777777" w:rsidR="00267326" w:rsidRPr="00B929E5" w:rsidRDefault="00267326" w:rsidP="00267326">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subsection 230</w:t>
      </w:r>
      <w:proofErr w:type="gramStart"/>
      <w:r w:rsidRPr="00B929E5">
        <w:rPr>
          <w:rFonts w:ascii="Times New Roman" w:hAnsi="Times New Roman" w:cs="Times New Roman"/>
          <w:sz w:val="24"/>
          <w:szCs w:val="24"/>
        </w:rPr>
        <w:t>A(</w:t>
      </w:r>
      <w:proofErr w:type="gramEnd"/>
      <w:r w:rsidRPr="00B929E5">
        <w:rPr>
          <w:rFonts w:ascii="Times New Roman" w:hAnsi="Times New Roman" w:cs="Times New Roman"/>
          <w:sz w:val="24"/>
          <w:szCs w:val="24"/>
        </w:rPr>
        <w:t>1) of the </w:t>
      </w:r>
      <w:r w:rsidRPr="00B929E5">
        <w:rPr>
          <w:rFonts w:ascii="Times New Roman" w:hAnsi="Times New Roman" w:cs="Times New Roman"/>
          <w:i/>
          <w:iCs/>
          <w:sz w:val="24"/>
          <w:szCs w:val="24"/>
        </w:rPr>
        <w:t>Life Insurance Act 1995</w:t>
      </w:r>
      <w:r w:rsidRPr="00B929E5">
        <w:rPr>
          <w:rFonts w:ascii="Times New Roman" w:hAnsi="Times New Roman" w:cs="Times New Roman"/>
          <w:iCs/>
          <w:sz w:val="24"/>
          <w:szCs w:val="24"/>
        </w:rPr>
        <w:t>; and</w:t>
      </w:r>
    </w:p>
    <w:p w14:paraId="6F2B6852" w14:textId="77777777" w:rsidR="00267326" w:rsidRPr="00B929E5" w:rsidRDefault="00267326" w:rsidP="00267326">
      <w:pPr>
        <w:numPr>
          <w:ilvl w:val="1"/>
          <w:numId w:val="24"/>
        </w:numPr>
        <w:rPr>
          <w:rFonts w:ascii="Times New Roman" w:hAnsi="Times New Roman" w:cs="Times New Roman"/>
          <w:sz w:val="24"/>
          <w:szCs w:val="24"/>
        </w:rPr>
      </w:pPr>
      <w:r w:rsidRPr="00B929E5">
        <w:rPr>
          <w:rFonts w:ascii="Times New Roman" w:hAnsi="Times New Roman" w:cs="Times New Roman"/>
          <w:sz w:val="24"/>
          <w:szCs w:val="24"/>
        </w:rPr>
        <w:t> subsection 92(1) of the </w:t>
      </w:r>
      <w:r w:rsidRPr="00B929E5">
        <w:rPr>
          <w:rFonts w:ascii="Times New Roman" w:hAnsi="Times New Roman" w:cs="Times New Roman"/>
          <w:i/>
          <w:iCs/>
          <w:sz w:val="24"/>
          <w:szCs w:val="24"/>
        </w:rPr>
        <w:t>Private Health Insurance (Prudential Supervision) Act 2015</w:t>
      </w:r>
      <w:r w:rsidRPr="00B929E5">
        <w:rPr>
          <w:rFonts w:ascii="Times New Roman" w:hAnsi="Times New Roman" w:cs="Times New Roman"/>
          <w:iCs/>
          <w:sz w:val="24"/>
          <w:szCs w:val="24"/>
        </w:rPr>
        <w:t>; and</w:t>
      </w:r>
    </w:p>
    <w:p w14:paraId="6F4E05DA" w14:textId="77777777" w:rsidR="00267326" w:rsidRPr="00B929E5" w:rsidRDefault="00267326" w:rsidP="00267326">
      <w:pPr>
        <w:numPr>
          <w:ilvl w:val="0"/>
          <w:numId w:val="24"/>
        </w:numPr>
        <w:rPr>
          <w:rFonts w:ascii="Times New Roman" w:hAnsi="Times New Roman" w:cs="Times New Roman"/>
          <w:sz w:val="24"/>
          <w:szCs w:val="24"/>
        </w:rPr>
      </w:pPr>
      <w:r w:rsidRPr="00B929E5">
        <w:rPr>
          <w:rFonts w:ascii="Times New Roman" w:hAnsi="Times New Roman" w:cs="Times New Roman"/>
          <w:sz w:val="24"/>
          <w:szCs w:val="24"/>
        </w:rPr>
        <w:t xml:space="preserve">Reporting Standards determined by APRA under subsection 13(1) of the </w:t>
      </w:r>
      <w:proofErr w:type="gramStart"/>
      <w:r w:rsidRPr="00B929E5">
        <w:rPr>
          <w:rFonts w:ascii="Times New Roman" w:hAnsi="Times New Roman" w:cs="Times New Roman"/>
          <w:sz w:val="24"/>
          <w:szCs w:val="24"/>
        </w:rPr>
        <w:t>Act</w:t>
      </w:r>
      <w:r w:rsidRPr="00B929E5">
        <w:rPr>
          <w:rFonts w:ascii="Times New Roman" w:hAnsi="Times New Roman" w:cs="Times New Roman"/>
          <w:iCs/>
          <w:sz w:val="24"/>
          <w:szCs w:val="24"/>
          <w:lang w:val="en-US"/>
        </w:rPr>
        <w:t>;</w:t>
      </w:r>
      <w:proofErr w:type="gramEnd"/>
    </w:p>
    <w:p w14:paraId="1F4363F9" w14:textId="77777777" w:rsidR="00267326" w:rsidRPr="00B929E5" w:rsidRDefault="00267326" w:rsidP="00267326">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Accounting Standards determined by the Australian Accounting Standards Board under section 334 of the </w:t>
      </w:r>
      <w:r w:rsidRPr="00B929E5">
        <w:rPr>
          <w:rFonts w:ascii="Times New Roman" w:hAnsi="Times New Roman" w:cs="Times New Roman"/>
          <w:i/>
          <w:iCs/>
          <w:sz w:val="24"/>
          <w:szCs w:val="24"/>
        </w:rPr>
        <w:t xml:space="preserve">Corporations Act 2001 </w:t>
      </w:r>
      <w:r w:rsidRPr="00B929E5">
        <w:rPr>
          <w:rFonts w:ascii="Times New Roman" w:hAnsi="Times New Roman" w:cs="Times New Roman"/>
          <w:sz w:val="24"/>
          <w:szCs w:val="24"/>
        </w:rPr>
        <w:t>(</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 and</w:t>
      </w:r>
    </w:p>
    <w:p w14:paraId="775F10F5" w14:textId="77777777" w:rsidR="00267326" w:rsidRPr="00B929E5" w:rsidRDefault="00267326" w:rsidP="00267326">
      <w:pPr>
        <w:numPr>
          <w:ilvl w:val="0"/>
          <w:numId w:val="24"/>
        </w:numPr>
        <w:rPr>
          <w:rFonts w:ascii="Times New Roman" w:hAnsi="Times New Roman" w:cs="Times New Roman"/>
          <w:i/>
          <w:iCs/>
          <w:sz w:val="24"/>
          <w:szCs w:val="24"/>
        </w:rPr>
      </w:pPr>
      <w:r w:rsidRPr="00B929E5">
        <w:rPr>
          <w:rFonts w:ascii="Times New Roman" w:hAnsi="Times New Roman" w:cs="Times New Roman"/>
          <w:sz w:val="24"/>
          <w:szCs w:val="24"/>
        </w:rPr>
        <w:t xml:space="preserve">the Australian Auditing Standards determined by the Auditing and Assurance Standards Board under section 336 of the </w:t>
      </w:r>
      <w:r w:rsidRPr="00B929E5">
        <w:rPr>
          <w:rFonts w:ascii="Times New Roman" w:hAnsi="Times New Roman" w:cs="Times New Roman"/>
          <w:i/>
          <w:sz w:val="24"/>
          <w:szCs w:val="24"/>
        </w:rPr>
        <w:t>Corporations Act 2001</w:t>
      </w:r>
      <w:r w:rsidRPr="00B929E5">
        <w:rPr>
          <w:rFonts w:ascii="Times New Roman" w:hAnsi="Times New Roman" w:cs="Times New Roman"/>
          <w:sz w:val="24"/>
          <w:szCs w:val="24"/>
        </w:rPr>
        <w:t xml:space="preserve"> (</w:t>
      </w:r>
      <w:proofErr w:type="spellStart"/>
      <w:r w:rsidRPr="00B929E5">
        <w:rPr>
          <w:rFonts w:ascii="Times New Roman" w:hAnsi="Times New Roman" w:cs="Times New Roman"/>
          <w:sz w:val="24"/>
          <w:szCs w:val="24"/>
        </w:rPr>
        <w:t>Cth</w:t>
      </w:r>
      <w:proofErr w:type="spellEnd"/>
      <w:r w:rsidRPr="00B929E5">
        <w:rPr>
          <w:rFonts w:ascii="Times New Roman" w:hAnsi="Times New Roman" w:cs="Times New Roman"/>
          <w:sz w:val="24"/>
          <w:szCs w:val="24"/>
        </w:rPr>
        <w:t>).</w:t>
      </w:r>
    </w:p>
    <w:p w14:paraId="151A8E7A" w14:textId="77777777" w:rsidR="00267326" w:rsidRPr="00B929E5" w:rsidRDefault="00267326" w:rsidP="0026732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These documents may be freely obtained at </w:t>
      </w:r>
      <w:hyperlink r:id="rId11" w:history="1">
        <w:r w:rsidRPr="00B929E5">
          <w:rPr>
            <w:rStyle w:val="Hyperlink"/>
            <w:rFonts w:ascii="Times New Roman" w:hAnsi="Times New Roman" w:cs="Times New Roman"/>
            <w:sz w:val="24"/>
            <w:szCs w:val="24"/>
          </w:rPr>
          <w:t>www.legislation.gov.au</w:t>
        </w:r>
      </w:hyperlink>
      <w:r w:rsidRPr="00B929E5">
        <w:rPr>
          <w:rFonts w:ascii="Times New Roman" w:hAnsi="Times New Roman" w:cs="Times New Roman"/>
          <w:sz w:val="24"/>
          <w:szCs w:val="24"/>
        </w:rPr>
        <w:t xml:space="preserve"> (all documents listed above except for Australian Accounting and Auditing Standards), </w:t>
      </w:r>
      <w:hyperlink r:id="rId12" w:history="1">
        <w:r w:rsidRPr="00B929E5">
          <w:rPr>
            <w:rStyle w:val="Hyperlink"/>
            <w:rFonts w:ascii="Times New Roman" w:hAnsi="Times New Roman" w:cs="Times New Roman"/>
            <w:sz w:val="24"/>
            <w:szCs w:val="24"/>
          </w:rPr>
          <w:t>https://www.aasb.gov.au/pronouncements/accounting-standards/</w:t>
        </w:r>
      </w:hyperlink>
      <w:r w:rsidRPr="00B929E5">
        <w:rPr>
          <w:rFonts w:ascii="Times New Roman" w:hAnsi="Times New Roman" w:cs="Times New Roman"/>
          <w:sz w:val="24"/>
          <w:szCs w:val="24"/>
        </w:rPr>
        <w:t xml:space="preserve"> (Australian Accounting Standards) and </w:t>
      </w:r>
      <w:hyperlink r:id="rId13" w:history="1">
        <w:r w:rsidRPr="00B929E5">
          <w:rPr>
            <w:rStyle w:val="Hyperlink"/>
            <w:rFonts w:ascii="Times New Roman" w:hAnsi="Times New Roman" w:cs="Times New Roman"/>
            <w:sz w:val="24"/>
            <w:szCs w:val="24"/>
          </w:rPr>
          <w:t>https://auasb.gov.au/standards-guidance/auasb-standards/auditing-standards/</w:t>
        </w:r>
      </w:hyperlink>
      <w:r w:rsidRPr="00B929E5">
        <w:rPr>
          <w:rFonts w:ascii="Times New Roman" w:hAnsi="Times New Roman" w:cs="Times New Roman"/>
          <w:sz w:val="24"/>
          <w:szCs w:val="24"/>
        </w:rPr>
        <w:t xml:space="preserve"> (Australian Auditing Standards).</w:t>
      </w:r>
    </w:p>
    <w:p w14:paraId="36D8A162" w14:textId="77777777" w:rsidR="00267326" w:rsidRPr="00B929E5" w:rsidRDefault="00267326" w:rsidP="00267326">
      <w:pPr>
        <w:pStyle w:val="Heading5"/>
        <w:rPr>
          <w:rFonts w:ascii="Times New Roman" w:hAnsi="Times New Roman" w:cs="Times New Roman"/>
          <w:sz w:val="24"/>
          <w:szCs w:val="24"/>
        </w:rPr>
      </w:pPr>
      <w:r w:rsidRPr="00B929E5">
        <w:rPr>
          <w:rFonts w:ascii="Times New Roman" w:hAnsi="Times New Roman" w:cs="Times New Roman"/>
          <w:sz w:val="24"/>
          <w:szCs w:val="24"/>
        </w:rPr>
        <w:t>Review of decisions</w:t>
      </w:r>
    </w:p>
    <w:p w14:paraId="2FB3F5E2" w14:textId="77777777" w:rsidR="00267326" w:rsidRPr="00B929E5" w:rsidRDefault="00267326" w:rsidP="0026732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There are several powers that may be exercised by APRA in prudential standards that involve an element of discretion, and which may impact the interests of the private health insurers to which the prudential standards apply. </w:t>
      </w:r>
    </w:p>
    <w:p w14:paraId="25ECAB4E" w14:textId="77777777" w:rsidR="00267326" w:rsidRPr="00B929E5" w:rsidRDefault="00267326" w:rsidP="00267326">
      <w:pPr>
        <w:numPr>
          <w:ilvl w:val="0"/>
          <w:numId w:val="0"/>
        </w:numPr>
        <w:rPr>
          <w:rFonts w:ascii="Times New Roman" w:hAnsi="Times New Roman" w:cs="Times New Roman"/>
          <w:sz w:val="24"/>
          <w:szCs w:val="24"/>
        </w:rPr>
      </w:pPr>
      <w:r w:rsidRPr="00B929E5">
        <w:rPr>
          <w:rFonts w:ascii="Times New Roman" w:hAnsi="Times New Roman" w:cs="Times New Roman"/>
          <w:sz w:val="24"/>
          <w:szCs w:val="24"/>
        </w:rPr>
        <w:t xml:space="preserve">Decisions made by APRA exercising those powers are not subject to merits review. APRA considers decisions made by APRA exercising discretions under its prudential standards should </w:t>
      </w:r>
      <w:r w:rsidRPr="00B929E5">
        <w:rPr>
          <w:rFonts w:ascii="Times New Roman" w:hAnsi="Times New Roman" w:cs="Times New Roman"/>
          <w:sz w:val="24"/>
          <w:szCs w:val="24"/>
        </w:rPr>
        <w:lastRenderedPageBreak/>
        <w:t>not be subject to merits review as they are financial decisions with a significant public interest element.</w:t>
      </w:r>
    </w:p>
    <w:p w14:paraId="03749EC4" w14:textId="77777777" w:rsidR="00267326" w:rsidRPr="00B929E5" w:rsidRDefault="00267326" w:rsidP="00267326">
      <w:pPr>
        <w:numPr>
          <w:ilvl w:val="0"/>
          <w:numId w:val="0"/>
        </w:numPr>
        <w:autoSpaceDE w:val="0"/>
        <w:autoSpaceDN w:val="0"/>
        <w:adjustRightInd w:val="0"/>
        <w:spacing w:after="0"/>
        <w:rPr>
          <w:rFonts w:ascii="Times New Roman" w:hAnsi="Times New Roman" w:cs="Times New Roman"/>
          <w:sz w:val="24"/>
          <w:szCs w:val="24"/>
        </w:rPr>
      </w:pPr>
      <w:r w:rsidRPr="00B929E5">
        <w:rPr>
          <w:rFonts w:ascii="Times New Roman" w:hAnsi="Times New Roman" w:cs="Times New Roman"/>
          <w:sz w:val="24"/>
          <w:szCs w:val="24"/>
        </w:rPr>
        <w:t xml:space="preserve">A breach of a prudential standard is also a breach of the Act, as the Act provides that a private health insurer must comply with the prudential standard. However, there are no penalties prescribed for such breaches. Instead, a private health insurer’s breach of a provision in the Act is grounds for APRA to make further, substantive decisions under the Act. </w:t>
      </w:r>
    </w:p>
    <w:bookmarkEnd w:id="5"/>
    <w:p w14:paraId="71F2146A" w14:textId="77777777" w:rsidR="00A06A6F" w:rsidRPr="00DD4451" w:rsidRDefault="00A06A6F" w:rsidP="00BD5923">
      <w:pPr>
        <w:numPr>
          <w:ilvl w:val="0"/>
          <w:numId w:val="0"/>
        </w:numPr>
        <w:autoSpaceDE w:val="0"/>
        <w:autoSpaceDN w:val="0"/>
        <w:adjustRightInd w:val="0"/>
        <w:spacing w:after="0"/>
        <w:jc w:val="left"/>
        <w:rPr>
          <w:rFonts w:ascii="Times New Roman" w:hAnsi="Times New Roman" w:cs="Times New Roman"/>
          <w:sz w:val="24"/>
          <w:szCs w:val="24"/>
        </w:rPr>
      </w:pP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20CFC957" w14:textId="0A9EB2A9" w:rsidR="001366BD" w:rsidRDefault="00947280" w:rsidP="00A540EB">
      <w:pPr>
        <w:numPr>
          <w:ilvl w:val="0"/>
          <w:numId w:val="0"/>
        </w:numPr>
        <w:rPr>
          <w:rFonts w:ascii="Times New Roman" w:hAnsi="Times New Roman" w:cs="Times New Roman"/>
          <w:sz w:val="24"/>
          <w:szCs w:val="24"/>
        </w:rPr>
      </w:pPr>
      <w:r w:rsidRPr="00947280">
        <w:rPr>
          <w:rFonts w:ascii="Times New Roman" w:hAnsi="Times New Roman" w:cs="Times New Roman"/>
          <w:sz w:val="24"/>
          <w:szCs w:val="24"/>
        </w:rPr>
        <w:t>Th</w:t>
      </w:r>
      <w:r w:rsidR="007E3348">
        <w:rPr>
          <w:rFonts w:ascii="Times New Roman" w:hAnsi="Times New Roman" w:cs="Times New Roman"/>
          <w:sz w:val="24"/>
          <w:szCs w:val="24"/>
        </w:rPr>
        <w:t xml:space="preserve">is and other prudential standards, forming the new private health insurance capital framework, </w:t>
      </w:r>
      <w:r w:rsidRPr="00947280">
        <w:rPr>
          <w:rFonts w:ascii="Times New Roman" w:hAnsi="Times New Roman" w:cs="Times New Roman"/>
          <w:sz w:val="24"/>
          <w:szCs w:val="24"/>
        </w:rPr>
        <w:t xml:space="preserve">are the product of extensive consultation with the industry and other key stakeholders. </w:t>
      </w:r>
      <w:r w:rsidR="001366BD">
        <w:rPr>
          <w:rFonts w:ascii="Times New Roman" w:hAnsi="Times New Roman" w:cs="Times New Roman"/>
          <w:sz w:val="24"/>
          <w:szCs w:val="24"/>
        </w:rPr>
        <w:t>Submissions were received from, and discussions held with</w:t>
      </w:r>
      <w:r w:rsidR="0083348D">
        <w:rPr>
          <w:rFonts w:ascii="Times New Roman" w:hAnsi="Times New Roman" w:cs="Times New Roman"/>
          <w:sz w:val="24"/>
          <w:szCs w:val="24"/>
        </w:rPr>
        <w:t>,</w:t>
      </w:r>
      <w:r w:rsidR="001366BD">
        <w:rPr>
          <w:rFonts w:ascii="Times New Roman" w:hAnsi="Times New Roman" w:cs="Times New Roman"/>
          <w:sz w:val="24"/>
          <w:szCs w:val="24"/>
        </w:rPr>
        <w:t xml:space="preserve"> private health insurers, industry bodies and other government agencies. </w:t>
      </w:r>
    </w:p>
    <w:p w14:paraId="3D80BDCB" w14:textId="78CF6178" w:rsidR="001366BD" w:rsidRDefault="001366BD" w:rsidP="00A540EB">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Submissions were largely supportive of </w:t>
      </w:r>
      <w:r w:rsidR="004A42FA">
        <w:rPr>
          <w:rFonts w:ascii="Times New Roman" w:hAnsi="Times New Roman" w:cs="Times New Roman"/>
          <w:sz w:val="24"/>
          <w:szCs w:val="24"/>
        </w:rPr>
        <w:t>aligning</w:t>
      </w:r>
      <w:r>
        <w:rPr>
          <w:rFonts w:ascii="Times New Roman" w:hAnsi="Times New Roman" w:cs="Times New Roman"/>
          <w:sz w:val="24"/>
          <w:szCs w:val="24"/>
        </w:rPr>
        <w:t xml:space="preserve"> the private health insurance capital framework with the requirements for life and general insurers. Key areas of feedback from submissions included the treatment of the deferred claims liability within the capital framework, the allowance for management actions, and the design of the insurance risk charge. </w:t>
      </w:r>
      <w:r w:rsidR="004A42FA">
        <w:rPr>
          <w:rFonts w:ascii="Times New Roman" w:hAnsi="Times New Roman" w:cs="Times New Roman"/>
          <w:sz w:val="24"/>
          <w:szCs w:val="24"/>
        </w:rPr>
        <w:t xml:space="preserve">Insurers also raised the scale </w:t>
      </w:r>
      <w:r w:rsidR="00070362">
        <w:rPr>
          <w:rFonts w:ascii="Times New Roman" w:hAnsi="Times New Roman" w:cs="Times New Roman"/>
          <w:sz w:val="24"/>
          <w:szCs w:val="24"/>
        </w:rPr>
        <w:t>o</w:t>
      </w:r>
      <w:r w:rsidR="004A42FA">
        <w:rPr>
          <w:rFonts w:ascii="Times New Roman" w:hAnsi="Times New Roman" w:cs="Times New Roman"/>
          <w:sz w:val="24"/>
          <w:szCs w:val="24"/>
        </w:rPr>
        <w:t xml:space="preserve">f the increase in minimum regulatory capital requirements and the impact this could have on premiums. </w:t>
      </w:r>
    </w:p>
    <w:p w14:paraId="01EE4B89" w14:textId="01D57A86" w:rsidR="004A42FA" w:rsidRDefault="004A42FA" w:rsidP="00A540EB">
      <w:pPr>
        <w:numPr>
          <w:ilvl w:val="0"/>
          <w:numId w:val="0"/>
        </w:numPr>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discussion and response papers were released during and following the consultation periods with draft standards accompanying the December 2021 response paper:</w:t>
      </w:r>
    </w:p>
    <w:p w14:paraId="75CA1F8C" w14:textId="7CAF6810" w:rsid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November 2018: Letter </w:t>
      </w:r>
      <w:r w:rsidRPr="004A42FA">
        <w:rPr>
          <w:rFonts w:ascii="Times New Roman" w:hAnsi="Times New Roman" w:cs="Times New Roman"/>
          <w:i/>
          <w:sz w:val="24"/>
          <w:szCs w:val="24"/>
        </w:rPr>
        <w:t xml:space="preserve">Roadmap for APRA’s review of the private health insurance capital </w:t>
      </w:r>
      <w:proofErr w:type="gramStart"/>
      <w:r w:rsidRPr="004A42FA">
        <w:rPr>
          <w:rFonts w:ascii="Times New Roman" w:hAnsi="Times New Roman" w:cs="Times New Roman"/>
          <w:i/>
          <w:sz w:val="24"/>
          <w:szCs w:val="24"/>
        </w:rPr>
        <w:t>framework</w:t>
      </w:r>
      <w:r>
        <w:rPr>
          <w:rFonts w:ascii="Times New Roman" w:hAnsi="Times New Roman" w:cs="Times New Roman"/>
          <w:sz w:val="24"/>
          <w:szCs w:val="24"/>
        </w:rPr>
        <w:t>;</w:t>
      </w:r>
      <w:proofErr w:type="gramEnd"/>
    </w:p>
    <w:p w14:paraId="23B5A14E" w14:textId="77777777" w:rsidR="004A42FA" w:rsidRPr="004A42FA" w:rsidRDefault="004A42FA" w:rsidP="00A540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December 2019: Discussion Paper </w:t>
      </w:r>
      <w:r w:rsidRPr="004A42FA">
        <w:rPr>
          <w:rFonts w:ascii="Times New Roman" w:hAnsi="Times New Roman" w:cs="Times New Roman"/>
          <w:i/>
          <w:sz w:val="24"/>
          <w:szCs w:val="24"/>
        </w:rPr>
        <w:t xml:space="preserve">Private Health Insurance Capital Standards </w:t>
      </w:r>
      <w:proofErr w:type="gramStart"/>
      <w:r w:rsidRPr="004A42FA">
        <w:rPr>
          <w:rFonts w:ascii="Times New Roman" w:hAnsi="Times New Roman" w:cs="Times New Roman"/>
          <w:i/>
          <w:sz w:val="24"/>
          <w:szCs w:val="24"/>
        </w:rPr>
        <w:t>Review</w:t>
      </w:r>
      <w:r>
        <w:rPr>
          <w:rFonts w:ascii="Times New Roman" w:hAnsi="Times New Roman" w:cs="Times New Roman"/>
          <w:i/>
          <w:sz w:val="24"/>
          <w:szCs w:val="24"/>
        </w:rPr>
        <w:t>;</w:t>
      </w:r>
      <w:proofErr w:type="gramEnd"/>
    </w:p>
    <w:p w14:paraId="6FC75CE6" w14:textId="2C5919BB" w:rsidR="00F0561E" w:rsidRDefault="004A42FA"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w:t>
      </w:r>
      <w:r w:rsidR="00F0561E">
        <w:rPr>
          <w:rFonts w:ascii="Times New Roman" w:hAnsi="Times New Roman" w:cs="Times New Roman"/>
          <w:sz w:val="24"/>
          <w:szCs w:val="24"/>
        </w:rPr>
        <w:t xml:space="preserve">Response Paper </w:t>
      </w:r>
      <w:r w:rsidR="00F0561E" w:rsidRPr="00F0561E">
        <w:rPr>
          <w:rFonts w:ascii="Times New Roman" w:hAnsi="Times New Roman" w:cs="Times New Roman"/>
          <w:i/>
          <w:sz w:val="24"/>
          <w:szCs w:val="24"/>
        </w:rPr>
        <w:t xml:space="preserve">A proposed new capital framework for Private Health </w:t>
      </w:r>
      <w:proofErr w:type="gramStart"/>
      <w:r w:rsidR="00F0561E" w:rsidRPr="00F0561E">
        <w:rPr>
          <w:rFonts w:ascii="Times New Roman" w:hAnsi="Times New Roman" w:cs="Times New Roman"/>
          <w:i/>
          <w:sz w:val="24"/>
          <w:szCs w:val="24"/>
        </w:rPr>
        <w:t>Insurance</w:t>
      </w:r>
      <w:r w:rsidR="00D8198D">
        <w:rPr>
          <w:rFonts w:ascii="Times New Roman" w:hAnsi="Times New Roman" w:cs="Times New Roman"/>
          <w:sz w:val="24"/>
          <w:szCs w:val="24"/>
        </w:rPr>
        <w:t>;</w:t>
      </w:r>
      <w:proofErr w:type="gramEnd"/>
    </w:p>
    <w:p w14:paraId="73CAB95E" w14:textId="713CE1E3"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Quantitative Impact </w:t>
      </w:r>
      <w:proofErr w:type="gramStart"/>
      <w:r>
        <w:rPr>
          <w:rFonts w:ascii="Times New Roman" w:hAnsi="Times New Roman" w:cs="Times New Roman"/>
          <w:sz w:val="24"/>
          <w:szCs w:val="24"/>
        </w:rPr>
        <w:t>Study</w:t>
      </w:r>
      <w:r w:rsidR="00D8198D">
        <w:rPr>
          <w:rFonts w:ascii="Times New Roman" w:hAnsi="Times New Roman" w:cs="Times New Roman"/>
          <w:sz w:val="24"/>
          <w:szCs w:val="24"/>
        </w:rPr>
        <w:t>;</w:t>
      </w:r>
      <w:proofErr w:type="gramEnd"/>
    </w:p>
    <w:p w14:paraId="4F03F369" w14:textId="47B2C231"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December 2021: Response Paper </w:t>
      </w:r>
      <w:r w:rsidRPr="00D8198D">
        <w:rPr>
          <w:rFonts w:ascii="Times New Roman" w:hAnsi="Times New Roman" w:cs="Times New Roman"/>
          <w:i/>
          <w:sz w:val="24"/>
          <w:szCs w:val="24"/>
        </w:rPr>
        <w:t xml:space="preserve">Integrating AASB 17 into the capital and reporting framework for insurers and updates to the LAGIC </w:t>
      </w:r>
      <w:proofErr w:type="gramStart"/>
      <w:r w:rsidRPr="00D8198D">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5CA9A284" w14:textId="2FD0AE0A" w:rsidR="00F0561E" w:rsidRPr="00F0561E"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April 2022: Letter </w:t>
      </w:r>
      <w:r w:rsidRPr="00F0561E">
        <w:rPr>
          <w:rFonts w:ascii="Times New Roman" w:hAnsi="Times New Roman" w:cs="Times New Roman"/>
          <w:i/>
          <w:sz w:val="24"/>
          <w:szCs w:val="24"/>
        </w:rPr>
        <w:t xml:space="preserve">Integrating AASB17 into the Capital and reporting framework for insurers and updates to private health insurer capital </w:t>
      </w:r>
      <w:proofErr w:type="gramStart"/>
      <w:r w:rsidRPr="00F0561E">
        <w:rPr>
          <w:rFonts w:ascii="Times New Roman" w:hAnsi="Times New Roman" w:cs="Times New Roman"/>
          <w:i/>
          <w:sz w:val="24"/>
          <w:szCs w:val="24"/>
        </w:rPr>
        <w:t>framework</w:t>
      </w:r>
      <w:r w:rsidR="00D8198D">
        <w:rPr>
          <w:rFonts w:ascii="Times New Roman" w:hAnsi="Times New Roman" w:cs="Times New Roman"/>
          <w:sz w:val="24"/>
          <w:szCs w:val="24"/>
        </w:rPr>
        <w:t>;</w:t>
      </w:r>
      <w:proofErr w:type="gramEnd"/>
    </w:p>
    <w:p w14:paraId="703821B9" w14:textId="1307CA4D" w:rsidR="004A42FA" w:rsidRDefault="00F0561E"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bookmarkStart w:id="6" w:name="_Hlk133239296"/>
      <w:r w:rsidRPr="00F0561E">
        <w:rPr>
          <w:rFonts w:ascii="Times New Roman" w:hAnsi="Times New Roman" w:cs="Times New Roman"/>
          <w:i/>
          <w:sz w:val="24"/>
          <w:szCs w:val="24"/>
        </w:rPr>
        <w:t>Finalising the review of the Private Health Insurance Capital Framework</w:t>
      </w:r>
      <w:bookmarkEnd w:id="6"/>
      <w:r w:rsidR="00D8198D">
        <w:rPr>
          <w:rFonts w:ascii="Times New Roman" w:hAnsi="Times New Roman" w:cs="Times New Roman"/>
          <w:sz w:val="24"/>
          <w:szCs w:val="24"/>
        </w:rPr>
        <w:t>; and</w:t>
      </w:r>
    </w:p>
    <w:p w14:paraId="73EA4559" w14:textId="4B374D85" w:rsidR="00D8198D" w:rsidRPr="00EB1A91" w:rsidRDefault="00D8198D" w:rsidP="00A540EB">
      <w:pPr>
        <w:pStyle w:val="ListParagraph"/>
        <w:numPr>
          <w:ilvl w:val="0"/>
          <w:numId w:val="23"/>
        </w:numPr>
        <w:rPr>
          <w:rFonts w:ascii="Times New Roman" w:hAnsi="Times New Roman" w:cs="Times New Roman"/>
          <w:i/>
          <w:sz w:val="24"/>
          <w:szCs w:val="24"/>
        </w:rPr>
      </w:pPr>
      <w:r>
        <w:rPr>
          <w:rFonts w:ascii="Times New Roman" w:hAnsi="Times New Roman" w:cs="Times New Roman"/>
          <w:sz w:val="24"/>
          <w:szCs w:val="24"/>
        </w:rPr>
        <w:t xml:space="preserve">September 2022: Response Paper </w:t>
      </w:r>
      <w:r w:rsidRPr="00D8198D">
        <w:rPr>
          <w:rFonts w:ascii="Times New Roman" w:hAnsi="Times New Roman" w:cs="Times New Roman"/>
          <w:i/>
          <w:sz w:val="24"/>
          <w:szCs w:val="24"/>
        </w:rPr>
        <w:t>Finalisation of the integration of AASB 17 into the capital and reporting frameworks for insurers and updates to the LAGIC framework</w:t>
      </w:r>
      <w:r>
        <w:rPr>
          <w:rFonts w:ascii="Times New Roman" w:hAnsi="Times New Roman" w:cs="Times New Roman"/>
          <w:sz w:val="24"/>
          <w:szCs w:val="24"/>
        </w:rPr>
        <w:t>.</w:t>
      </w:r>
    </w:p>
    <w:p w14:paraId="0CE224E7" w14:textId="77777777" w:rsidR="00EB1A91" w:rsidRDefault="00EB1A91" w:rsidP="00EB1A91">
      <w:pPr>
        <w:numPr>
          <w:ilvl w:val="0"/>
          <w:numId w:val="0"/>
        </w:numPr>
        <w:rPr>
          <w:rFonts w:ascii="Times New Roman" w:hAnsi="Times New Roman" w:cs="Times New Roman"/>
          <w:sz w:val="24"/>
          <w:szCs w:val="24"/>
          <w:highlight w:val="yellow"/>
        </w:rPr>
      </w:pPr>
      <w:r>
        <w:rPr>
          <w:rFonts w:ascii="Times New Roman" w:hAnsi="Times New Roman" w:cs="Times New Roman"/>
          <w:sz w:val="24"/>
          <w:szCs w:val="24"/>
        </w:rPr>
        <w:t>APRA is satisfied the consultation was appropriate and reasonably practicable.</w:t>
      </w:r>
    </w:p>
    <w:p w14:paraId="1D2864CC" w14:textId="6FA9D0F3" w:rsidR="00211AFD" w:rsidRPr="00A50B51" w:rsidRDefault="00B670E9" w:rsidP="00A540EB">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7" w:name="_Hlk127283454"/>
      <w:r w:rsidR="00BD64ED">
        <w:rPr>
          <w:rFonts w:ascii="Times New Roman" w:hAnsi="Times New Roman" w:cs="Times New Roman"/>
          <w:b/>
          <w:sz w:val="24"/>
          <w:szCs w:val="24"/>
        </w:rPr>
        <w:t>Impact Analysis (IA)</w:t>
      </w:r>
      <w:bookmarkEnd w:id="7"/>
    </w:p>
    <w:p w14:paraId="285FB9C9" w14:textId="35C5E56E" w:rsidR="006C6ED5" w:rsidRPr="00A50B51" w:rsidRDefault="009436D9" w:rsidP="00A540EB">
      <w:pPr>
        <w:numPr>
          <w:ilvl w:val="0"/>
          <w:numId w:val="0"/>
        </w:numPr>
        <w:rPr>
          <w:rFonts w:ascii="Times New Roman" w:hAnsi="Times New Roman" w:cs="Times New Roman"/>
          <w:sz w:val="24"/>
          <w:szCs w:val="24"/>
        </w:rPr>
      </w:pPr>
      <w:bookmarkStart w:id="8" w:name="_Hlk127283531"/>
      <w:r>
        <w:rPr>
          <w:rFonts w:ascii="Times New Roman" w:hAnsi="Times New Roman" w:cs="Times New Roman"/>
          <w:sz w:val="24"/>
          <w:szCs w:val="24"/>
        </w:rPr>
        <w:t xml:space="preserve">In making the </w:t>
      </w:r>
      <w:r w:rsidR="001509CD">
        <w:rPr>
          <w:rFonts w:ascii="Times New Roman" w:hAnsi="Times New Roman" w:cs="Times New Roman"/>
          <w:sz w:val="24"/>
          <w:szCs w:val="24"/>
        </w:rPr>
        <w:t>new</w:t>
      </w:r>
      <w:r w:rsidR="00AD57F5">
        <w:rPr>
          <w:rFonts w:ascii="Times New Roman" w:hAnsi="Times New Roman" w:cs="Times New Roman"/>
          <w:sz w:val="24"/>
          <w:szCs w:val="24"/>
        </w:rPr>
        <w:t xml:space="preserve"> </w:t>
      </w:r>
      <w:r w:rsidR="00464905">
        <w:rPr>
          <w:rFonts w:ascii="Times New Roman" w:hAnsi="Times New Roman" w:cs="Times New Roman"/>
          <w:sz w:val="24"/>
          <w:szCs w:val="24"/>
        </w:rPr>
        <w:t xml:space="preserve">prudential </w:t>
      </w:r>
      <w:r>
        <w:rPr>
          <w:rFonts w:ascii="Times New Roman" w:hAnsi="Times New Roman" w:cs="Times New Roman"/>
          <w:sz w:val="24"/>
          <w:szCs w:val="24"/>
        </w:rPr>
        <w:t xml:space="preserve">standards, </w:t>
      </w:r>
      <w:r w:rsidR="007E3348">
        <w:rPr>
          <w:rFonts w:ascii="Times New Roman" w:hAnsi="Times New Roman" w:cs="Times New Roman"/>
          <w:sz w:val="24"/>
          <w:szCs w:val="24"/>
        </w:rPr>
        <w:t xml:space="preserve">including HPS </w:t>
      </w:r>
      <w:r w:rsidR="00171373">
        <w:rPr>
          <w:rFonts w:ascii="Times New Roman" w:hAnsi="Times New Roman" w:cs="Times New Roman"/>
          <w:sz w:val="24"/>
          <w:szCs w:val="24"/>
        </w:rPr>
        <w:t>11</w:t>
      </w:r>
      <w:r w:rsidR="005A7DFC">
        <w:rPr>
          <w:rFonts w:ascii="Times New Roman" w:hAnsi="Times New Roman" w:cs="Times New Roman"/>
          <w:sz w:val="24"/>
          <w:szCs w:val="24"/>
        </w:rPr>
        <w:t>7</w:t>
      </w:r>
      <w:r w:rsidR="007E3348">
        <w:rPr>
          <w:rFonts w:ascii="Times New Roman" w:hAnsi="Times New Roman" w:cs="Times New Roman"/>
          <w:sz w:val="24"/>
          <w:szCs w:val="24"/>
        </w:rPr>
        <w:t xml:space="preserve">, </w:t>
      </w:r>
      <w:r>
        <w:rPr>
          <w:rFonts w:ascii="Times New Roman" w:hAnsi="Times New Roman" w:cs="Times New Roman"/>
          <w:sz w:val="24"/>
          <w:szCs w:val="24"/>
        </w:rPr>
        <w:t>APRA has followed a process which satisfies the</w:t>
      </w:r>
      <w:r w:rsidR="00BD64ED">
        <w:rPr>
          <w:rFonts w:ascii="Times New Roman" w:hAnsi="Times New Roman" w:cs="Times New Roman"/>
          <w:sz w:val="24"/>
          <w:szCs w:val="24"/>
        </w:rPr>
        <w:t xml:space="preserve"> requirements of the</w:t>
      </w:r>
      <w:r>
        <w:rPr>
          <w:rFonts w:ascii="Times New Roman" w:hAnsi="Times New Roman" w:cs="Times New Roman"/>
          <w:sz w:val="24"/>
          <w:szCs w:val="24"/>
        </w:rPr>
        <w:t xml:space="preserve"> Office of Impact </w:t>
      </w:r>
      <w:r w:rsidR="00BD64ED">
        <w:rPr>
          <w:rFonts w:ascii="Times New Roman" w:hAnsi="Times New Roman" w:cs="Times New Roman"/>
          <w:sz w:val="24"/>
          <w:szCs w:val="24"/>
        </w:rPr>
        <w:t>Analysis (OIA)</w:t>
      </w:r>
      <w:r>
        <w:rPr>
          <w:rFonts w:ascii="Times New Roman" w:hAnsi="Times New Roman" w:cs="Times New Roman"/>
          <w:sz w:val="24"/>
          <w:szCs w:val="24"/>
        </w:rPr>
        <w:t xml:space="preserve">. </w:t>
      </w:r>
      <w:r w:rsidR="0031227D">
        <w:rPr>
          <w:rFonts w:ascii="Times New Roman" w:hAnsi="Times New Roman" w:cs="Times New Roman"/>
          <w:sz w:val="24"/>
          <w:szCs w:val="24"/>
        </w:rPr>
        <w:t xml:space="preserve">APRA has </w:t>
      </w:r>
      <w:r w:rsidR="001509CD">
        <w:rPr>
          <w:rFonts w:ascii="Times New Roman" w:hAnsi="Times New Roman" w:cs="Times New Roman"/>
          <w:sz w:val="24"/>
          <w:szCs w:val="24"/>
        </w:rPr>
        <w:t>followed a similar process to that required for a Regulation Impact Statement (RIS) which satisfies the OIA’s requirements. APRA’s policy developme</w:t>
      </w:r>
      <w:r w:rsidR="0051662E">
        <w:rPr>
          <w:rFonts w:ascii="Times New Roman" w:hAnsi="Times New Roman" w:cs="Times New Roman"/>
          <w:sz w:val="24"/>
          <w:szCs w:val="24"/>
        </w:rPr>
        <w:t>nt</w:t>
      </w:r>
      <w:r w:rsidR="001509CD">
        <w:rPr>
          <w:rFonts w:ascii="Times New Roman" w:hAnsi="Times New Roman" w:cs="Times New Roman"/>
          <w:sz w:val="24"/>
          <w:szCs w:val="24"/>
        </w:rPr>
        <w:t xml:space="preserve"> process is evidenced in </w:t>
      </w:r>
      <w:r w:rsidR="0051662E">
        <w:rPr>
          <w:rFonts w:ascii="Times New Roman" w:hAnsi="Times New Roman" w:cs="Times New Roman"/>
          <w:sz w:val="24"/>
          <w:szCs w:val="24"/>
        </w:rPr>
        <w:t xml:space="preserve">Attachment A of </w:t>
      </w:r>
      <w:r w:rsidR="00E01F47">
        <w:rPr>
          <w:rFonts w:ascii="Times New Roman" w:hAnsi="Times New Roman" w:cs="Times New Roman"/>
          <w:sz w:val="24"/>
          <w:szCs w:val="24"/>
        </w:rPr>
        <w:t xml:space="preserve">the Response Paper </w:t>
      </w:r>
      <w:r w:rsidR="00E01F47" w:rsidRPr="00F0561E">
        <w:rPr>
          <w:rFonts w:ascii="Times New Roman" w:hAnsi="Times New Roman" w:cs="Times New Roman"/>
          <w:i/>
          <w:sz w:val="24"/>
          <w:szCs w:val="24"/>
        </w:rPr>
        <w:t>Finalising the review of the Private Health Insurance Capital Framework</w:t>
      </w:r>
      <w:r>
        <w:rPr>
          <w:rFonts w:ascii="Times New Roman" w:hAnsi="Times New Roman" w:cs="Times New Roman"/>
          <w:sz w:val="24"/>
          <w:szCs w:val="24"/>
        </w:rPr>
        <w:t>.</w:t>
      </w:r>
      <w:bookmarkEnd w:id="8"/>
      <w:r>
        <w:rPr>
          <w:rFonts w:ascii="Times New Roman" w:hAnsi="Times New Roman" w:cs="Times New Roman"/>
          <w:sz w:val="24"/>
          <w:szCs w:val="24"/>
        </w:rPr>
        <w:t xml:space="preserve"> </w:t>
      </w:r>
      <w:r w:rsidR="00E01F47">
        <w:rPr>
          <w:rFonts w:ascii="Times New Roman" w:hAnsi="Times New Roman" w:cs="Times New Roman"/>
          <w:sz w:val="24"/>
          <w:szCs w:val="24"/>
        </w:rPr>
        <w:t xml:space="preserve">An extract of Attachment A has been lodged as supporting material. </w:t>
      </w:r>
    </w:p>
    <w:p w14:paraId="476EB71B" w14:textId="17812B34" w:rsidR="00B670E9" w:rsidRPr="00DE1106" w:rsidRDefault="00B670E9" w:rsidP="00A540E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A540EB">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30AA901C" w:rsidR="00B670E9" w:rsidRPr="005921A3" w:rsidRDefault="00F914CA"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Health</w:t>
      </w:r>
      <w:r w:rsidR="00D979E0">
        <w:rPr>
          <w:rFonts w:ascii="Times New Roman" w:eastAsia="Times New Roman" w:hAnsi="Times New Roman" w:cs="Times New Roman"/>
          <w:b/>
          <w:sz w:val="24"/>
          <w:szCs w:val="24"/>
          <w:lang w:eastAsia="en-AU"/>
        </w:rPr>
        <w:t xml:space="preserve"> </w:t>
      </w:r>
      <w:r w:rsidR="001C7A1C">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5A7DFC">
        <w:rPr>
          <w:rFonts w:ascii="Times New Roman" w:eastAsia="Times New Roman" w:hAnsi="Times New Roman" w:cs="Times New Roman"/>
          <w:b/>
          <w:sz w:val="24"/>
          <w:szCs w:val="24"/>
          <w:lang w:eastAsia="en-AU"/>
        </w:rPr>
        <w:t>6</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383BDB97"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923828">
        <w:rPr>
          <w:rFonts w:ascii="Times New Roman" w:hAnsi="Times New Roman" w:cs="Times New Roman"/>
          <w:sz w:val="24"/>
          <w:szCs w:val="24"/>
        </w:rPr>
        <w:t>i</w:t>
      </w:r>
      <w:r w:rsidRPr="005921A3">
        <w:rPr>
          <w:rFonts w:ascii="Times New Roman" w:hAnsi="Times New Roman" w:cs="Times New Roman"/>
          <w:sz w:val="24"/>
          <w:szCs w:val="24"/>
        </w:rPr>
        <w:t>s Legislative Instrument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1404B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 xml:space="preserve">Overview of the </w:t>
      </w:r>
      <w:r w:rsidRPr="00444EFF">
        <w:rPr>
          <w:rFonts w:ascii="Times New Roman" w:hAnsi="Times New Roman" w:cs="Times New Roman"/>
          <w:b/>
          <w:sz w:val="24"/>
          <w:szCs w:val="24"/>
        </w:rPr>
        <w:t>Legislative</w:t>
      </w:r>
      <w:r w:rsidRPr="00BC1E70">
        <w:rPr>
          <w:rFonts w:ascii="Times New Roman" w:hAnsi="Times New Roman" w:cs="Times New Roman"/>
          <w:b/>
          <w:sz w:val="24"/>
          <w:szCs w:val="24"/>
        </w:rPr>
        <w:t xml:space="preserve"> Instrument</w:t>
      </w:r>
    </w:p>
    <w:p w14:paraId="3D85A43F" w14:textId="1772F629" w:rsidR="004E22A8" w:rsidRPr="004E22A8" w:rsidRDefault="00497D8A" w:rsidP="004E22A8">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w:t>
      </w:r>
      <w:r w:rsidR="005E202F">
        <w:rPr>
          <w:rFonts w:ascii="Times New Roman" w:hAnsi="Times New Roman" w:cs="Times New Roman"/>
          <w:sz w:val="24"/>
          <w:szCs w:val="24"/>
        </w:rPr>
        <w:t xml:space="preserve">to </w:t>
      </w:r>
      <w:r w:rsidR="005E202F" w:rsidRPr="005E202F">
        <w:rPr>
          <w:rFonts w:ascii="Times New Roman" w:hAnsi="Times New Roman" w:cs="Times New Roman"/>
          <w:sz w:val="24"/>
          <w:szCs w:val="24"/>
        </w:rPr>
        <w:t xml:space="preserve">determine </w:t>
      </w:r>
      <w:r w:rsidR="004E22A8" w:rsidRPr="004E22A8">
        <w:rPr>
          <w:rFonts w:ascii="Times New Roman" w:hAnsi="Times New Roman" w:cs="Times New Roman"/>
          <w:sz w:val="24"/>
          <w:szCs w:val="24"/>
        </w:rPr>
        <w:t xml:space="preserve">Prudential Standard HPS 117 Capital Adequacy: Asset </w:t>
      </w:r>
      <w:r w:rsidR="00F914CA">
        <w:rPr>
          <w:rFonts w:ascii="Times New Roman" w:hAnsi="Times New Roman" w:cs="Times New Roman"/>
          <w:sz w:val="24"/>
          <w:szCs w:val="24"/>
        </w:rPr>
        <w:t xml:space="preserve">Concentration </w:t>
      </w:r>
      <w:r w:rsidR="004E22A8" w:rsidRPr="004E22A8">
        <w:rPr>
          <w:rFonts w:ascii="Times New Roman" w:hAnsi="Times New Roman" w:cs="Times New Roman"/>
          <w:sz w:val="24"/>
          <w:szCs w:val="24"/>
        </w:rPr>
        <w:t>Risk Charge</w:t>
      </w:r>
      <w:r w:rsidR="004E22A8">
        <w:rPr>
          <w:rFonts w:ascii="Times New Roman" w:hAnsi="Times New Roman" w:cs="Times New Roman"/>
          <w:sz w:val="24"/>
          <w:szCs w:val="24"/>
        </w:rPr>
        <w:t>.</w:t>
      </w:r>
    </w:p>
    <w:p w14:paraId="010F0382" w14:textId="6DEF1058" w:rsidR="00B670E9" w:rsidRPr="00497D8A" w:rsidRDefault="00B670E9" w:rsidP="00944B87">
      <w:pPr>
        <w:numPr>
          <w:ilvl w:val="0"/>
          <w:numId w:val="0"/>
        </w:numPr>
        <w:shd w:val="clear" w:color="auto" w:fill="FFFFFF" w:themeFill="background1"/>
        <w:spacing w:before="100" w:beforeAutospacing="1" w:after="100" w:afterAutospacing="1"/>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327649EF"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923828">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92382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382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48CA7E4F"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3828">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92382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382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382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B96F" w14:textId="77777777" w:rsidR="00211AFD" w:rsidRPr="000D4EDE" w:rsidRDefault="00211AFD" w:rsidP="000D4EDE">
      <w:r>
        <w:separator/>
      </w:r>
    </w:p>
  </w:endnote>
  <w:endnote w:type="continuationSeparator" w:id="0">
    <w:p w14:paraId="7EBF1C68" w14:textId="77777777" w:rsidR="00211AFD" w:rsidRPr="000D4EDE" w:rsidRDefault="00211AFD" w:rsidP="000D4EDE">
      <w:r>
        <w:continuationSeparator/>
      </w:r>
    </w:p>
  </w:endnote>
  <w:endnote w:type="continuationNotice" w:id="1">
    <w:p w14:paraId="30CAE51F"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89CA" w14:textId="77777777" w:rsidR="00211AFD" w:rsidRPr="000D4EDE" w:rsidRDefault="00211AFD" w:rsidP="000D4EDE">
      <w:r>
        <w:separator/>
      </w:r>
    </w:p>
  </w:footnote>
  <w:footnote w:type="continuationSeparator" w:id="0">
    <w:p w14:paraId="33D80D26" w14:textId="77777777" w:rsidR="00211AFD" w:rsidRPr="000D4EDE" w:rsidRDefault="00211AFD" w:rsidP="000D4EDE">
      <w:r>
        <w:continuationSeparator/>
      </w:r>
    </w:p>
  </w:footnote>
  <w:footnote w:type="continuationNotice" w:id="1">
    <w:p w14:paraId="16BD0DC9"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4A04F0"/>
    <w:multiLevelType w:val="hybridMultilevel"/>
    <w:tmpl w:val="27040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ADF54BB"/>
    <w:multiLevelType w:val="hybridMultilevel"/>
    <w:tmpl w:val="9DF89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A411C86"/>
    <w:multiLevelType w:val="hybridMultilevel"/>
    <w:tmpl w:val="8A2AE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A04DFC"/>
    <w:multiLevelType w:val="hybridMultilevel"/>
    <w:tmpl w:val="FC1C6BA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84615684">
    <w:abstractNumId w:val="1"/>
  </w:num>
  <w:num w:numId="2" w16cid:durableId="568349451">
    <w:abstractNumId w:val="0"/>
  </w:num>
  <w:num w:numId="3" w16cid:durableId="1778407838">
    <w:abstractNumId w:val="6"/>
  </w:num>
  <w:num w:numId="4" w16cid:durableId="914782658">
    <w:abstractNumId w:val="15"/>
  </w:num>
  <w:num w:numId="5" w16cid:durableId="1761372901">
    <w:abstractNumId w:val="19"/>
  </w:num>
  <w:num w:numId="6" w16cid:durableId="1405184404">
    <w:abstractNumId w:val="14"/>
  </w:num>
  <w:num w:numId="7" w16cid:durableId="2129466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9"/>
  </w:num>
  <w:num w:numId="9" w16cid:durableId="515853906">
    <w:abstractNumId w:val="2"/>
  </w:num>
  <w:num w:numId="10" w16cid:durableId="708576632">
    <w:abstractNumId w:val="7"/>
  </w:num>
  <w:num w:numId="11" w16cid:durableId="2026320155">
    <w:abstractNumId w:val="5"/>
  </w:num>
  <w:num w:numId="12" w16cid:durableId="78983245">
    <w:abstractNumId w:val="4"/>
  </w:num>
  <w:num w:numId="13" w16cid:durableId="1316059326">
    <w:abstractNumId w:val="21"/>
  </w:num>
  <w:num w:numId="14" w16cid:durableId="535124421">
    <w:abstractNumId w:val="13"/>
  </w:num>
  <w:num w:numId="15" w16cid:durableId="2004428120">
    <w:abstractNumId w:val="8"/>
  </w:num>
  <w:num w:numId="16" w16cid:durableId="415321881">
    <w:abstractNumId w:val="10"/>
  </w:num>
  <w:num w:numId="17" w16cid:durableId="1934125761">
    <w:abstractNumId w:val="17"/>
  </w:num>
  <w:num w:numId="18" w16cid:durableId="1752727309">
    <w:abstractNumId w:val="18"/>
  </w:num>
  <w:num w:numId="19" w16cid:durableId="1788819044">
    <w:abstractNumId w:val="16"/>
  </w:num>
  <w:num w:numId="20" w16cid:durableId="531454864">
    <w:abstractNumId w:val="11"/>
  </w:num>
  <w:num w:numId="21" w16cid:durableId="1874464664">
    <w:abstractNumId w:val="22"/>
  </w:num>
  <w:num w:numId="22" w16cid:durableId="461339572">
    <w:abstractNumId w:val="20"/>
  </w:num>
  <w:num w:numId="23" w16cid:durableId="1718161298">
    <w:abstractNumId w:val="3"/>
  </w:num>
  <w:num w:numId="24" w16cid:durableId="19427604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0AD0"/>
    <w:rsid w:val="00004ED1"/>
    <w:rsid w:val="00005D98"/>
    <w:rsid w:val="00005F96"/>
    <w:rsid w:val="00007038"/>
    <w:rsid w:val="00007262"/>
    <w:rsid w:val="00010789"/>
    <w:rsid w:val="00011C96"/>
    <w:rsid w:val="000141B9"/>
    <w:rsid w:val="00020E4C"/>
    <w:rsid w:val="000329BB"/>
    <w:rsid w:val="00034A19"/>
    <w:rsid w:val="00036F9E"/>
    <w:rsid w:val="000413B3"/>
    <w:rsid w:val="000453D9"/>
    <w:rsid w:val="000573E5"/>
    <w:rsid w:val="00057B71"/>
    <w:rsid w:val="00065C04"/>
    <w:rsid w:val="0006638F"/>
    <w:rsid w:val="00070362"/>
    <w:rsid w:val="0007202C"/>
    <w:rsid w:val="00072B30"/>
    <w:rsid w:val="0007319C"/>
    <w:rsid w:val="000732AA"/>
    <w:rsid w:val="00073F77"/>
    <w:rsid w:val="000767DD"/>
    <w:rsid w:val="0008011A"/>
    <w:rsid w:val="00083B14"/>
    <w:rsid w:val="00084F8B"/>
    <w:rsid w:val="000851D0"/>
    <w:rsid w:val="00086D07"/>
    <w:rsid w:val="00086F71"/>
    <w:rsid w:val="00093915"/>
    <w:rsid w:val="000949AD"/>
    <w:rsid w:val="00095109"/>
    <w:rsid w:val="00096B0F"/>
    <w:rsid w:val="000A1A15"/>
    <w:rsid w:val="000A490E"/>
    <w:rsid w:val="000B04C5"/>
    <w:rsid w:val="000B2267"/>
    <w:rsid w:val="000B63CA"/>
    <w:rsid w:val="000B752A"/>
    <w:rsid w:val="000C14D9"/>
    <w:rsid w:val="000C15C7"/>
    <w:rsid w:val="000D4EDE"/>
    <w:rsid w:val="000D6EEB"/>
    <w:rsid w:val="000E2460"/>
    <w:rsid w:val="000E43AC"/>
    <w:rsid w:val="000E6E37"/>
    <w:rsid w:val="000F0E6F"/>
    <w:rsid w:val="000F2638"/>
    <w:rsid w:val="000F5821"/>
    <w:rsid w:val="001018A5"/>
    <w:rsid w:val="00106F56"/>
    <w:rsid w:val="00115A39"/>
    <w:rsid w:val="00117479"/>
    <w:rsid w:val="00123576"/>
    <w:rsid w:val="001241CB"/>
    <w:rsid w:val="00124B21"/>
    <w:rsid w:val="00127CB9"/>
    <w:rsid w:val="00132412"/>
    <w:rsid w:val="001327B8"/>
    <w:rsid w:val="0013471B"/>
    <w:rsid w:val="00134B76"/>
    <w:rsid w:val="001352D4"/>
    <w:rsid w:val="001366BD"/>
    <w:rsid w:val="00142132"/>
    <w:rsid w:val="001430F1"/>
    <w:rsid w:val="00147586"/>
    <w:rsid w:val="001509CD"/>
    <w:rsid w:val="001516B9"/>
    <w:rsid w:val="00153283"/>
    <w:rsid w:val="00154695"/>
    <w:rsid w:val="00155789"/>
    <w:rsid w:val="001579AD"/>
    <w:rsid w:val="00157C98"/>
    <w:rsid w:val="001647D1"/>
    <w:rsid w:val="00164F67"/>
    <w:rsid w:val="001653B6"/>
    <w:rsid w:val="00165BF6"/>
    <w:rsid w:val="00171373"/>
    <w:rsid w:val="00174B0F"/>
    <w:rsid w:val="0018235E"/>
    <w:rsid w:val="00184187"/>
    <w:rsid w:val="00191155"/>
    <w:rsid w:val="00192668"/>
    <w:rsid w:val="001A4EA4"/>
    <w:rsid w:val="001A664F"/>
    <w:rsid w:val="001B2DB7"/>
    <w:rsid w:val="001B3A9F"/>
    <w:rsid w:val="001C7A1C"/>
    <w:rsid w:val="001D0C02"/>
    <w:rsid w:val="001D3D43"/>
    <w:rsid w:val="001E0F51"/>
    <w:rsid w:val="001E55BF"/>
    <w:rsid w:val="001F0C8F"/>
    <w:rsid w:val="001F4D45"/>
    <w:rsid w:val="001F6E1A"/>
    <w:rsid w:val="001F780A"/>
    <w:rsid w:val="001F7917"/>
    <w:rsid w:val="00200613"/>
    <w:rsid w:val="00211AFD"/>
    <w:rsid w:val="00214883"/>
    <w:rsid w:val="002156F6"/>
    <w:rsid w:val="00220550"/>
    <w:rsid w:val="002206C7"/>
    <w:rsid w:val="00222497"/>
    <w:rsid w:val="002301A2"/>
    <w:rsid w:val="00236C2D"/>
    <w:rsid w:val="00237201"/>
    <w:rsid w:val="002374B7"/>
    <w:rsid w:val="00240126"/>
    <w:rsid w:val="00241D16"/>
    <w:rsid w:val="00242384"/>
    <w:rsid w:val="0024304D"/>
    <w:rsid w:val="00244826"/>
    <w:rsid w:val="00247ACA"/>
    <w:rsid w:val="0025287F"/>
    <w:rsid w:val="00252E6A"/>
    <w:rsid w:val="002540FC"/>
    <w:rsid w:val="00255A20"/>
    <w:rsid w:val="0025782A"/>
    <w:rsid w:val="00263414"/>
    <w:rsid w:val="002661A6"/>
    <w:rsid w:val="00266C23"/>
    <w:rsid w:val="00267326"/>
    <w:rsid w:val="00277D6C"/>
    <w:rsid w:val="00286EAD"/>
    <w:rsid w:val="00292A60"/>
    <w:rsid w:val="0029389B"/>
    <w:rsid w:val="00293B7A"/>
    <w:rsid w:val="002A1894"/>
    <w:rsid w:val="002A2188"/>
    <w:rsid w:val="002A36F2"/>
    <w:rsid w:val="002A6539"/>
    <w:rsid w:val="002A7D14"/>
    <w:rsid w:val="002B0913"/>
    <w:rsid w:val="002B28E4"/>
    <w:rsid w:val="002B2DD7"/>
    <w:rsid w:val="002B49A3"/>
    <w:rsid w:val="002B7504"/>
    <w:rsid w:val="002C0D97"/>
    <w:rsid w:val="002C0E2F"/>
    <w:rsid w:val="002C66D1"/>
    <w:rsid w:val="002C7065"/>
    <w:rsid w:val="002C7D73"/>
    <w:rsid w:val="002C7F4A"/>
    <w:rsid w:val="002D2804"/>
    <w:rsid w:val="002D317F"/>
    <w:rsid w:val="002D4B6C"/>
    <w:rsid w:val="002D5274"/>
    <w:rsid w:val="002D59E2"/>
    <w:rsid w:val="002E08F8"/>
    <w:rsid w:val="002E1EE3"/>
    <w:rsid w:val="002E36EB"/>
    <w:rsid w:val="002F0135"/>
    <w:rsid w:val="002F0C2C"/>
    <w:rsid w:val="00300655"/>
    <w:rsid w:val="00301BB1"/>
    <w:rsid w:val="00303D18"/>
    <w:rsid w:val="00307ADD"/>
    <w:rsid w:val="00307E55"/>
    <w:rsid w:val="0031227D"/>
    <w:rsid w:val="00312A66"/>
    <w:rsid w:val="003130CA"/>
    <w:rsid w:val="003163CB"/>
    <w:rsid w:val="00321180"/>
    <w:rsid w:val="0032180D"/>
    <w:rsid w:val="003306A5"/>
    <w:rsid w:val="0034059D"/>
    <w:rsid w:val="00355D40"/>
    <w:rsid w:val="00371AAC"/>
    <w:rsid w:val="00371F54"/>
    <w:rsid w:val="0037770C"/>
    <w:rsid w:val="00377C8B"/>
    <w:rsid w:val="00383A95"/>
    <w:rsid w:val="00385CA0"/>
    <w:rsid w:val="00390925"/>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E29C5"/>
    <w:rsid w:val="003E6BF6"/>
    <w:rsid w:val="003F02B6"/>
    <w:rsid w:val="003F0F0D"/>
    <w:rsid w:val="0040173E"/>
    <w:rsid w:val="0040345F"/>
    <w:rsid w:val="00413456"/>
    <w:rsid w:val="00425F01"/>
    <w:rsid w:val="00435339"/>
    <w:rsid w:val="004410DC"/>
    <w:rsid w:val="0044447D"/>
    <w:rsid w:val="0044482D"/>
    <w:rsid w:val="00444EFF"/>
    <w:rsid w:val="004460BE"/>
    <w:rsid w:val="00450C1B"/>
    <w:rsid w:val="00450C67"/>
    <w:rsid w:val="00457702"/>
    <w:rsid w:val="0046020A"/>
    <w:rsid w:val="00460CF7"/>
    <w:rsid w:val="004636CE"/>
    <w:rsid w:val="00463FA8"/>
    <w:rsid w:val="00464196"/>
    <w:rsid w:val="00464905"/>
    <w:rsid w:val="00466648"/>
    <w:rsid w:val="004712AF"/>
    <w:rsid w:val="00472CBC"/>
    <w:rsid w:val="004765B3"/>
    <w:rsid w:val="004808E2"/>
    <w:rsid w:val="004843CA"/>
    <w:rsid w:val="004857CE"/>
    <w:rsid w:val="00486B6D"/>
    <w:rsid w:val="00493DAA"/>
    <w:rsid w:val="00494335"/>
    <w:rsid w:val="00495A4C"/>
    <w:rsid w:val="004967A1"/>
    <w:rsid w:val="00497D8A"/>
    <w:rsid w:val="004A0FE7"/>
    <w:rsid w:val="004A42FA"/>
    <w:rsid w:val="004A6EA1"/>
    <w:rsid w:val="004B584E"/>
    <w:rsid w:val="004C1106"/>
    <w:rsid w:val="004C3BA2"/>
    <w:rsid w:val="004C6D4B"/>
    <w:rsid w:val="004C766B"/>
    <w:rsid w:val="004D115F"/>
    <w:rsid w:val="004D33E3"/>
    <w:rsid w:val="004D76C1"/>
    <w:rsid w:val="004D7C22"/>
    <w:rsid w:val="004E135F"/>
    <w:rsid w:val="004E2269"/>
    <w:rsid w:val="004E22A8"/>
    <w:rsid w:val="004E3925"/>
    <w:rsid w:val="004E451A"/>
    <w:rsid w:val="004F3339"/>
    <w:rsid w:val="004F72A2"/>
    <w:rsid w:val="004F78E5"/>
    <w:rsid w:val="005026D4"/>
    <w:rsid w:val="00503A51"/>
    <w:rsid w:val="00506774"/>
    <w:rsid w:val="00512309"/>
    <w:rsid w:val="005126D2"/>
    <w:rsid w:val="00514A0D"/>
    <w:rsid w:val="0051662E"/>
    <w:rsid w:val="00525C03"/>
    <w:rsid w:val="00530EDC"/>
    <w:rsid w:val="005405D5"/>
    <w:rsid w:val="00540FC6"/>
    <w:rsid w:val="00541D54"/>
    <w:rsid w:val="00542522"/>
    <w:rsid w:val="00543472"/>
    <w:rsid w:val="0054526E"/>
    <w:rsid w:val="00545CE1"/>
    <w:rsid w:val="00546297"/>
    <w:rsid w:val="005476B5"/>
    <w:rsid w:val="005528AA"/>
    <w:rsid w:val="0055496A"/>
    <w:rsid w:val="005549D7"/>
    <w:rsid w:val="005602DA"/>
    <w:rsid w:val="00562087"/>
    <w:rsid w:val="00564FF8"/>
    <w:rsid w:val="0056591A"/>
    <w:rsid w:val="005678FC"/>
    <w:rsid w:val="0057138A"/>
    <w:rsid w:val="00573327"/>
    <w:rsid w:val="00577D9B"/>
    <w:rsid w:val="00581ACB"/>
    <w:rsid w:val="005921A3"/>
    <w:rsid w:val="00592F64"/>
    <w:rsid w:val="005A3F63"/>
    <w:rsid w:val="005A59D0"/>
    <w:rsid w:val="005A7DFC"/>
    <w:rsid w:val="005B073E"/>
    <w:rsid w:val="005B227F"/>
    <w:rsid w:val="005B7801"/>
    <w:rsid w:val="005C1785"/>
    <w:rsid w:val="005C5891"/>
    <w:rsid w:val="005C641B"/>
    <w:rsid w:val="005D04CC"/>
    <w:rsid w:val="005D5FAE"/>
    <w:rsid w:val="005E202F"/>
    <w:rsid w:val="005E4BC9"/>
    <w:rsid w:val="005F29B7"/>
    <w:rsid w:val="00600281"/>
    <w:rsid w:val="00606EB5"/>
    <w:rsid w:val="00606FC8"/>
    <w:rsid w:val="00616C90"/>
    <w:rsid w:val="00617FDA"/>
    <w:rsid w:val="00620146"/>
    <w:rsid w:val="0062116F"/>
    <w:rsid w:val="00623FD7"/>
    <w:rsid w:val="00626087"/>
    <w:rsid w:val="00634E4C"/>
    <w:rsid w:val="00636B8B"/>
    <w:rsid w:val="00641EAA"/>
    <w:rsid w:val="006427FE"/>
    <w:rsid w:val="006506C1"/>
    <w:rsid w:val="00651203"/>
    <w:rsid w:val="006533FD"/>
    <w:rsid w:val="00657459"/>
    <w:rsid w:val="0065747A"/>
    <w:rsid w:val="00662E28"/>
    <w:rsid w:val="00663820"/>
    <w:rsid w:val="0066674D"/>
    <w:rsid w:val="00666A78"/>
    <w:rsid w:val="00670B59"/>
    <w:rsid w:val="00676C12"/>
    <w:rsid w:val="00682A74"/>
    <w:rsid w:val="00685D1F"/>
    <w:rsid w:val="00691C77"/>
    <w:rsid w:val="0069375D"/>
    <w:rsid w:val="0069407C"/>
    <w:rsid w:val="0069574E"/>
    <w:rsid w:val="006969C0"/>
    <w:rsid w:val="006A1921"/>
    <w:rsid w:val="006A1B8B"/>
    <w:rsid w:val="006A2303"/>
    <w:rsid w:val="006A2C82"/>
    <w:rsid w:val="006A30FA"/>
    <w:rsid w:val="006C6ED5"/>
    <w:rsid w:val="006D2A45"/>
    <w:rsid w:val="006D315C"/>
    <w:rsid w:val="006D71B8"/>
    <w:rsid w:val="006E4272"/>
    <w:rsid w:val="006E6E63"/>
    <w:rsid w:val="006F145A"/>
    <w:rsid w:val="006F27CB"/>
    <w:rsid w:val="006F359B"/>
    <w:rsid w:val="006F4067"/>
    <w:rsid w:val="006F4962"/>
    <w:rsid w:val="006F5865"/>
    <w:rsid w:val="00701EC6"/>
    <w:rsid w:val="00706179"/>
    <w:rsid w:val="007118A4"/>
    <w:rsid w:val="00714F78"/>
    <w:rsid w:val="007152B0"/>
    <w:rsid w:val="007170F7"/>
    <w:rsid w:val="00717589"/>
    <w:rsid w:val="00722F9F"/>
    <w:rsid w:val="007253B8"/>
    <w:rsid w:val="007301D0"/>
    <w:rsid w:val="00734E55"/>
    <w:rsid w:val="00736E7D"/>
    <w:rsid w:val="007509A6"/>
    <w:rsid w:val="00753F83"/>
    <w:rsid w:val="007541B0"/>
    <w:rsid w:val="0075469B"/>
    <w:rsid w:val="00755163"/>
    <w:rsid w:val="00756AAB"/>
    <w:rsid w:val="00757F63"/>
    <w:rsid w:val="007645AE"/>
    <w:rsid w:val="00764992"/>
    <w:rsid w:val="00765749"/>
    <w:rsid w:val="0077507F"/>
    <w:rsid w:val="00775AA0"/>
    <w:rsid w:val="007770FA"/>
    <w:rsid w:val="00791738"/>
    <w:rsid w:val="00791780"/>
    <w:rsid w:val="00792D37"/>
    <w:rsid w:val="0079398C"/>
    <w:rsid w:val="007A0EB7"/>
    <w:rsid w:val="007A24DF"/>
    <w:rsid w:val="007B1BE5"/>
    <w:rsid w:val="007B2045"/>
    <w:rsid w:val="007B2C90"/>
    <w:rsid w:val="007B6871"/>
    <w:rsid w:val="007B7899"/>
    <w:rsid w:val="007C08B1"/>
    <w:rsid w:val="007C2CC2"/>
    <w:rsid w:val="007C38BD"/>
    <w:rsid w:val="007C79AA"/>
    <w:rsid w:val="007D31DA"/>
    <w:rsid w:val="007D72C5"/>
    <w:rsid w:val="007E1D1C"/>
    <w:rsid w:val="007E3348"/>
    <w:rsid w:val="007E525D"/>
    <w:rsid w:val="007F0323"/>
    <w:rsid w:val="007F379E"/>
    <w:rsid w:val="007F471C"/>
    <w:rsid w:val="00800C90"/>
    <w:rsid w:val="008125F8"/>
    <w:rsid w:val="008208A8"/>
    <w:rsid w:val="00826012"/>
    <w:rsid w:val="0083348D"/>
    <w:rsid w:val="00834CE0"/>
    <w:rsid w:val="0084110F"/>
    <w:rsid w:val="00844B1D"/>
    <w:rsid w:val="00844F5C"/>
    <w:rsid w:val="00845843"/>
    <w:rsid w:val="00846D34"/>
    <w:rsid w:val="0085230C"/>
    <w:rsid w:val="008567D0"/>
    <w:rsid w:val="00863020"/>
    <w:rsid w:val="008633B5"/>
    <w:rsid w:val="008637EC"/>
    <w:rsid w:val="00864FA7"/>
    <w:rsid w:val="00870BC6"/>
    <w:rsid w:val="00873384"/>
    <w:rsid w:val="00875DAD"/>
    <w:rsid w:val="00877B84"/>
    <w:rsid w:val="00877E5F"/>
    <w:rsid w:val="0088036D"/>
    <w:rsid w:val="00881155"/>
    <w:rsid w:val="008823B8"/>
    <w:rsid w:val="00882892"/>
    <w:rsid w:val="00885A14"/>
    <w:rsid w:val="00885F78"/>
    <w:rsid w:val="0088689B"/>
    <w:rsid w:val="00890FA0"/>
    <w:rsid w:val="008947BF"/>
    <w:rsid w:val="008A0CBE"/>
    <w:rsid w:val="008A1CA8"/>
    <w:rsid w:val="008A214D"/>
    <w:rsid w:val="008A243F"/>
    <w:rsid w:val="008A6F4A"/>
    <w:rsid w:val="008A72D2"/>
    <w:rsid w:val="008A74A3"/>
    <w:rsid w:val="008B42A5"/>
    <w:rsid w:val="008B6868"/>
    <w:rsid w:val="008B6D24"/>
    <w:rsid w:val="008C34F7"/>
    <w:rsid w:val="008C499E"/>
    <w:rsid w:val="008C6A43"/>
    <w:rsid w:val="008D080C"/>
    <w:rsid w:val="008D1867"/>
    <w:rsid w:val="008D6437"/>
    <w:rsid w:val="008D6EDF"/>
    <w:rsid w:val="008E3EF5"/>
    <w:rsid w:val="008E712A"/>
    <w:rsid w:val="008F33B5"/>
    <w:rsid w:val="00901414"/>
    <w:rsid w:val="00901D54"/>
    <w:rsid w:val="00903D57"/>
    <w:rsid w:val="00905EF0"/>
    <w:rsid w:val="00906799"/>
    <w:rsid w:val="00906FDA"/>
    <w:rsid w:val="009136D0"/>
    <w:rsid w:val="00922193"/>
    <w:rsid w:val="00922C7C"/>
    <w:rsid w:val="00923828"/>
    <w:rsid w:val="00924152"/>
    <w:rsid w:val="0093194D"/>
    <w:rsid w:val="00934C3F"/>
    <w:rsid w:val="0093521A"/>
    <w:rsid w:val="009417AE"/>
    <w:rsid w:val="009436D9"/>
    <w:rsid w:val="00944B87"/>
    <w:rsid w:val="00945B3F"/>
    <w:rsid w:val="00947280"/>
    <w:rsid w:val="00950DCB"/>
    <w:rsid w:val="00952D47"/>
    <w:rsid w:val="00952D4C"/>
    <w:rsid w:val="00960246"/>
    <w:rsid w:val="009720E1"/>
    <w:rsid w:val="00973620"/>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1AAB"/>
    <w:rsid w:val="009C2198"/>
    <w:rsid w:val="009D2DDD"/>
    <w:rsid w:val="009E0C10"/>
    <w:rsid w:val="009E4116"/>
    <w:rsid w:val="009E529F"/>
    <w:rsid w:val="009F4D76"/>
    <w:rsid w:val="00A0495A"/>
    <w:rsid w:val="00A05129"/>
    <w:rsid w:val="00A06A6F"/>
    <w:rsid w:val="00A10DA6"/>
    <w:rsid w:val="00A151E9"/>
    <w:rsid w:val="00A1599B"/>
    <w:rsid w:val="00A15DBB"/>
    <w:rsid w:val="00A259F2"/>
    <w:rsid w:val="00A2758A"/>
    <w:rsid w:val="00A3147C"/>
    <w:rsid w:val="00A33802"/>
    <w:rsid w:val="00A34ADD"/>
    <w:rsid w:val="00A37162"/>
    <w:rsid w:val="00A37E51"/>
    <w:rsid w:val="00A401E1"/>
    <w:rsid w:val="00A43831"/>
    <w:rsid w:val="00A50B51"/>
    <w:rsid w:val="00A51E2D"/>
    <w:rsid w:val="00A5319F"/>
    <w:rsid w:val="00A533A9"/>
    <w:rsid w:val="00A53690"/>
    <w:rsid w:val="00A540EB"/>
    <w:rsid w:val="00A5530D"/>
    <w:rsid w:val="00A62D31"/>
    <w:rsid w:val="00A63380"/>
    <w:rsid w:val="00A63851"/>
    <w:rsid w:val="00A8129D"/>
    <w:rsid w:val="00A82188"/>
    <w:rsid w:val="00A865C7"/>
    <w:rsid w:val="00A909CC"/>
    <w:rsid w:val="00A964A5"/>
    <w:rsid w:val="00A96F09"/>
    <w:rsid w:val="00A96FAA"/>
    <w:rsid w:val="00A97E3B"/>
    <w:rsid w:val="00AA00CB"/>
    <w:rsid w:val="00AA20A1"/>
    <w:rsid w:val="00AA41F2"/>
    <w:rsid w:val="00AB039E"/>
    <w:rsid w:val="00AB1362"/>
    <w:rsid w:val="00AB4206"/>
    <w:rsid w:val="00AC1A02"/>
    <w:rsid w:val="00AC6B54"/>
    <w:rsid w:val="00AC7E54"/>
    <w:rsid w:val="00AD57F5"/>
    <w:rsid w:val="00AD72D9"/>
    <w:rsid w:val="00AE6A4E"/>
    <w:rsid w:val="00AE7B98"/>
    <w:rsid w:val="00AF129F"/>
    <w:rsid w:val="00AF2A72"/>
    <w:rsid w:val="00AF33ED"/>
    <w:rsid w:val="00B04467"/>
    <w:rsid w:val="00B06E21"/>
    <w:rsid w:val="00B12DC9"/>
    <w:rsid w:val="00B13F84"/>
    <w:rsid w:val="00B14604"/>
    <w:rsid w:val="00B15ABA"/>
    <w:rsid w:val="00B20FA0"/>
    <w:rsid w:val="00B24DD4"/>
    <w:rsid w:val="00B34339"/>
    <w:rsid w:val="00B40434"/>
    <w:rsid w:val="00B40B7D"/>
    <w:rsid w:val="00B42B2F"/>
    <w:rsid w:val="00B44900"/>
    <w:rsid w:val="00B467F6"/>
    <w:rsid w:val="00B472E1"/>
    <w:rsid w:val="00B52821"/>
    <w:rsid w:val="00B56C63"/>
    <w:rsid w:val="00B62B72"/>
    <w:rsid w:val="00B6576F"/>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5923"/>
    <w:rsid w:val="00BD64ED"/>
    <w:rsid w:val="00BD7B83"/>
    <w:rsid w:val="00BE1D1B"/>
    <w:rsid w:val="00BE625B"/>
    <w:rsid w:val="00BF17C6"/>
    <w:rsid w:val="00BF6F09"/>
    <w:rsid w:val="00C00FDA"/>
    <w:rsid w:val="00C01507"/>
    <w:rsid w:val="00C02EB9"/>
    <w:rsid w:val="00C0373C"/>
    <w:rsid w:val="00C04E4B"/>
    <w:rsid w:val="00C0599B"/>
    <w:rsid w:val="00C11531"/>
    <w:rsid w:val="00C11B56"/>
    <w:rsid w:val="00C13324"/>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6949"/>
    <w:rsid w:val="00C86A64"/>
    <w:rsid w:val="00C87DA0"/>
    <w:rsid w:val="00CA4E4D"/>
    <w:rsid w:val="00CA6FF9"/>
    <w:rsid w:val="00CA73DA"/>
    <w:rsid w:val="00CB04F1"/>
    <w:rsid w:val="00CB2C58"/>
    <w:rsid w:val="00CB2E3D"/>
    <w:rsid w:val="00CB4238"/>
    <w:rsid w:val="00CB5938"/>
    <w:rsid w:val="00CB5B27"/>
    <w:rsid w:val="00CC13F5"/>
    <w:rsid w:val="00CC1A64"/>
    <w:rsid w:val="00CC30A1"/>
    <w:rsid w:val="00CC34EB"/>
    <w:rsid w:val="00CC4C58"/>
    <w:rsid w:val="00CC64C8"/>
    <w:rsid w:val="00CC66EA"/>
    <w:rsid w:val="00CD1253"/>
    <w:rsid w:val="00CD3C17"/>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2602"/>
    <w:rsid w:val="00D64CB8"/>
    <w:rsid w:val="00D720AE"/>
    <w:rsid w:val="00D72FD8"/>
    <w:rsid w:val="00D8198D"/>
    <w:rsid w:val="00D91D01"/>
    <w:rsid w:val="00D92A45"/>
    <w:rsid w:val="00D96821"/>
    <w:rsid w:val="00D9697A"/>
    <w:rsid w:val="00D979E0"/>
    <w:rsid w:val="00DA2B14"/>
    <w:rsid w:val="00DA3023"/>
    <w:rsid w:val="00DA4C48"/>
    <w:rsid w:val="00DA727D"/>
    <w:rsid w:val="00DA7B27"/>
    <w:rsid w:val="00DB53A7"/>
    <w:rsid w:val="00DD170F"/>
    <w:rsid w:val="00DD4451"/>
    <w:rsid w:val="00DE0A8A"/>
    <w:rsid w:val="00DE1106"/>
    <w:rsid w:val="00DE1D50"/>
    <w:rsid w:val="00DE23EE"/>
    <w:rsid w:val="00DF2F12"/>
    <w:rsid w:val="00DF2F8B"/>
    <w:rsid w:val="00DF6837"/>
    <w:rsid w:val="00DF68E4"/>
    <w:rsid w:val="00DF6E54"/>
    <w:rsid w:val="00E01F47"/>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5E54"/>
    <w:rsid w:val="00E51672"/>
    <w:rsid w:val="00E51C2C"/>
    <w:rsid w:val="00E522FC"/>
    <w:rsid w:val="00E55EE5"/>
    <w:rsid w:val="00E57BB1"/>
    <w:rsid w:val="00E61784"/>
    <w:rsid w:val="00E625B3"/>
    <w:rsid w:val="00E635EF"/>
    <w:rsid w:val="00E63EB9"/>
    <w:rsid w:val="00E64743"/>
    <w:rsid w:val="00E7257D"/>
    <w:rsid w:val="00E728CB"/>
    <w:rsid w:val="00E7336F"/>
    <w:rsid w:val="00E74F3B"/>
    <w:rsid w:val="00E76262"/>
    <w:rsid w:val="00E84A6B"/>
    <w:rsid w:val="00E92385"/>
    <w:rsid w:val="00E93F74"/>
    <w:rsid w:val="00E96DEA"/>
    <w:rsid w:val="00EA1585"/>
    <w:rsid w:val="00EA48AE"/>
    <w:rsid w:val="00EB09E2"/>
    <w:rsid w:val="00EB1A91"/>
    <w:rsid w:val="00EB3904"/>
    <w:rsid w:val="00EB74A5"/>
    <w:rsid w:val="00EC41D2"/>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561E"/>
    <w:rsid w:val="00F06B06"/>
    <w:rsid w:val="00F06EE2"/>
    <w:rsid w:val="00F074DC"/>
    <w:rsid w:val="00F15632"/>
    <w:rsid w:val="00F17535"/>
    <w:rsid w:val="00F20949"/>
    <w:rsid w:val="00F24F8F"/>
    <w:rsid w:val="00F2750E"/>
    <w:rsid w:val="00F303B2"/>
    <w:rsid w:val="00F307E0"/>
    <w:rsid w:val="00F34D63"/>
    <w:rsid w:val="00F46414"/>
    <w:rsid w:val="00F57F7A"/>
    <w:rsid w:val="00F603DE"/>
    <w:rsid w:val="00F62D33"/>
    <w:rsid w:val="00F6301C"/>
    <w:rsid w:val="00F64AB3"/>
    <w:rsid w:val="00F655AA"/>
    <w:rsid w:val="00F6570B"/>
    <w:rsid w:val="00F66681"/>
    <w:rsid w:val="00F67615"/>
    <w:rsid w:val="00F76C98"/>
    <w:rsid w:val="00F804CD"/>
    <w:rsid w:val="00F80750"/>
    <w:rsid w:val="00F826F6"/>
    <w:rsid w:val="00F85F59"/>
    <w:rsid w:val="00F86538"/>
    <w:rsid w:val="00F86717"/>
    <w:rsid w:val="00F8691F"/>
    <w:rsid w:val="00F86DD4"/>
    <w:rsid w:val="00F914CA"/>
    <w:rsid w:val="00F97A15"/>
    <w:rsid w:val="00F97C7A"/>
    <w:rsid w:val="00FA0F7D"/>
    <w:rsid w:val="00FA2909"/>
    <w:rsid w:val="00FA3CEC"/>
    <w:rsid w:val="00FB4CF2"/>
    <w:rsid w:val="00FC071B"/>
    <w:rsid w:val="00FC4845"/>
    <w:rsid w:val="00FC6B03"/>
    <w:rsid w:val="00FD06D5"/>
    <w:rsid w:val="00FD28FF"/>
    <w:rsid w:val="00FD68A1"/>
    <w:rsid w:val="00FE0985"/>
    <w:rsid w:val="00FE1901"/>
    <w:rsid w:val="00FE2930"/>
    <w:rsid w:val="00FE419E"/>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C86949"/>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11085625">
      <w:bodyDiv w:val="1"/>
      <w:marLeft w:val="0"/>
      <w:marRight w:val="0"/>
      <w:marTop w:val="0"/>
      <w:marBottom w:val="0"/>
      <w:divBdr>
        <w:top w:val="none" w:sz="0" w:space="0" w:color="auto"/>
        <w:left w:val="none" w:sz="0" w:space="0" w:color="auto"/>
        <w:bottom w:val="none" w:sz="0" w:space="0" w:color="auto"/>
        <w:right w:val="none" w:sz="0" w:space="0" w:color="auto"/>
      </w:divBdr>
    </w:div>
    <w:div w:id="1617757456">
      <w:bodyDiv w:val="1"/>
      <w:marLeft w:val="0"/>
      <w:marRight w:val="0"/>
      <w:marTop w:val="0"/>
      <w:marBottom w:val="0"/>
      <w:divBdr>
        <w:top w:val="none" w:sz="0" w:space="0" w:color="auto"/>
        <w:left w:val="none" w:sz="0" w:space="0" w:color="auto"/>
        <w:bottom w:val="none" w:sz="0" w:space="0" w:color="auto"/>
        <w:right w:val="none" w:sz="0" w:space="0" w:color="auto"/>
      </w:divBdr>
    </w:div>
    <w:div w:id="165459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asb.gov.au/standards-guidance/auasb-standards/audit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39F2-5068-45BF-85CC-A816CCABDD3E}">
  <ds:schemaRefs>
    <ds:schemaRef ds:uri="79530295-9eea-494d-b82a-9ff74409eafc"/>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5664482d-1961-4d38-bfc2-b109b3418834"/>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A3F58020-AC05-4AC1-8389-D0823ED75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8298</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Eleanor Earl</dc:creator>
  <cp:keywords>[SEC=OFFICIAL]</cp:keywords>
  <dc:description/>
  <cp:lastModifiedBy>Toni Michalis</cp:lastModifiedBy>
  <cp:revision>2</cp:revision>
  <cp:lastPrinted>2014-02-02T12:10:00Z</cp:lastPrinted>
  <dcterms:created xsi:type="dcterms:W3CDTF">2023-05-31T11:01:00Z</dcterms:created>
  <dcterms:modified xsi:type="dcterms:W3CDTF">2023-05-31T11:01:00Z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FD9C6680C4D2912DC343AC0DA906DD4D</vt:lpwstr>
  </property>
  <property fmtid="{D5CDD505-2E9C-101B-9397-08002B2CF9AE}" pid="22" name="PM_Hash_Salt">
    <vt:lpwstr>39EBF29D37AD8B17B05DEBB363CC3087</vt:lpwstr>
  </property>
  <property fmtid="{D5CDD505-2E9C-101B-9397-08002B2CF9AE}" pid="23" name="PM_Hash_SHA1">
    <vt:lpwstr>0C9009C27F7CA3967655EC5D2BF6754895B60320</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0x010100E5E831F15EEA47429C4A0837D916ED91</vt:lpwstr>
  </property>
  <property fmtid="{D5CDD505-2E9C-101B-9397-08002B2CF9AE}" pid="27" name="APRAPeriod">
    <vt:lpwstr/>
  </property>
  <property fmtid="{D5CDD505-2E9C-101B-9397-08002B2CF9AE}" pid="28" name="APRAPRSG">
    <vt:lpwstr/>
  </property>
  <property fmtid="{D5CDD505-2E9C-101B-9397-08002B2CF9AE}" pid="29" name="APRAYear">
    <vt:lpwstr/>
  </property>
  <property fmtid="{D5CDD505-2E9C-101B-9397-08002B2CF9AE}" pid="30" name="APRAIndustry">
    <vt:lpwstr>14;#PHI|10657f9d-7e9a-e511-8d41-005056b54f10</vt:lpwstr>
  </property>
  <property fmtid="{D5CDD505-2E9C-101B-9397-08002B2CF9AE}" pid="31" name="_dlc_DocIdItemGuid">
    <vt:lpwstr>0d172230-06d0-44ca-9a6e-fc8c799de950</vt:lpwstr>
  </property>
  <property fmtid="{D5CDD505-2E9C-101B-9397-08002B2CF9AE}" pid="32" name="IsLocked">
    <vt:lpwstr>Yes</vt:lpwstr>
  </property>
  <property fmtid="{D5CDD505-2E9C-101B-9397-08002B2CF9AE}" pid="33" name="APRACostCentre">
    <vt:lpwstr/>
  </property>
  <property fmtid="{D5CDD505-2E9C-101B-9397-08002B2CF9AE}" pid="34" name="IT system type">
    <vt:lpwstr/>
  </property>
  <property fmtid="{D5CDD505-2E9C-101B-9397-08002B2CF9AE}" pid="35" name="APRACategory">
    <vt:lpwstr/>
  </property>
  <property fmtid="{D5CDD505-2E9C-101B-9397-08002B2CF9AE}" pid="36" name="APRADocumentType">
    <vt:lpwstr>91;#Note|a8212199-d195-4313-a455-11ff5a77bf8e</vt:lpwstr>
  </property>
  <property fmtid="{D5CDD505-2E9C-101B-9397-08002B2CF9AE}" pid="37" name="APRAStatus">
    <vt:lpwstr>1;#Draft|0e1556d2-3fe8-443a-ada7-3620563b46b3</vt:lpwstr>
  </property>
  <property fmtid="{D5CDD505-2E9C-101B-9397-08002B2CF9AE}" pid="38" name="APRAActivity">
    <vt:lpwstr>8;#Prudential policy development|4cf81ba0-32a2-4f8f-8216-9e632903331b</vt:lpwstr>
  </property>
  <property fmtid="{D5CDD505-2E9C-101B-9397-08002B2CF9AE}" pid="39" name="APRAEntityAdviceSupport">
    <vt:lpwstr/>
  </property>
  <property fmtid="{D5CDD505-2E9C-101B-9397-08002B2CF9AE}" pid="40" name="APRALegislation">
    <vt:lpwstr/>
  </property>
  <property fmtid="{D5CDD505-2E9C-101B-9397-08002B2CF9AE}" pid="41" name="APRAExternalOrganisation">
    <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SiteId">
    <vt:lpwstr>{0108aca2-193a-480a-9365-26eca985c6f0}</vt:lpwstr>
  </property>
  <property fmtid="{D5CDD505-2E9C-101B-9397-08002B2CF9AE}" pid="45" name="RecordPoint_ActiveItemListId">
    <vt:lpwstr>{8524f2be-f3e8-4e4e-b114-b0bf6497a529}</vt:lpwstr>
  </property>
  <property fmtid="{D5CDD505-2E9C-101B-9397-08002B2CF9AE}" pid="46" name="RecordPoint_ActiveItemUniqueId">
    <vt:lpwstr>{0d172230-06d0-44ca-9a6e-fc8c799de950}</vt:lpwstr>
  </property>
  <property fmtid="{D5CDD505-2E9C-101B-9397-08002B2CF9AE}" pid="47" name="RecordPoint_ActiveItemWebId">
    <vt:lpwstr>{b7c132af-ef8f-43c8-b784-c343c8358833}</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MSIP_Label_c0129afb-6481-4f92-bc9f-5a4a6346364d_Method">
    <vt:lpwstr>Privileged</vt:lpwstr>
  </property>
  <property fmtid="{D5CDD505-2E9C-101B-9397-08002B2CF9AE}" pid="53" name="PMHMAC">
    <vt:lpwstr>v=2022.1;a=SHA256;h=5BA09B9325A5F2B594619C4F6AFDA8CC9E339FDDB87718EE724A7A554340B275</vt:lpwstr>
  </property>
  <property fmtid="{D5CDD505-2E9C-101B-9397-08002B2CF9AE}" pid="54" name="MSIP_Label_c0129afb-6481-4f92-bc9f-5a4a6346364d_SetDate">
    <vt:lpwstr>2022-06-16T05:11:15Z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MSIP_Label_c0129afb-6481-4f92-bc9f-5a4a6346364d_ActionId">
    <vt:lpwstr>da794fb3011d4f9abc93312530a7d187</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ediaServiceImageTags">
    <vt:lpwstr/>
  </property>
</Properties>
</file>