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2E1B9457"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CD67C2">
        <w:rPr>
          <w:rFonts w:ascii="Times New Roman" w:hAnsi="Times New Roman" w:cs="Times New Roman"/>
          <w:b/>
          <w:sz w:val="24"/>
          <w:szCs w:val="24"/>
        </w:rPr>
        <w:t>13</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3EB19712"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On</w:t>
      </w:r>
      <w:r w:rsidR="007E1B51">
        <w:rPr>
          <w:rFonts w:ascii="Times New Roman" w:hAnsi="Times New Roman" w:cs="Times New Roman"/>
          <w:sz w:val="24"/>
          <w:szCs w:val="24"/>
        </w:rPr>
        <w:t xml:space="preserve"> 24 May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CD67C2">
        <w:rPr>
          <w:rFonts w:ascii="Times New Roman" w:hAnsi="Times New Roman" w:cs="Times New Roman"/>
          <w:sz w:val="24"/>
          <w:szCs w:val="24"/>
        </w:rPr>
        <w:t>N</w:t>
      </w:r>
      <w:r w:rsidRPr="000C4197">
        <w:rPr>
          <w:rFonts w:ascii="Times New Roman" w:hAnsi="Times New Roman" w:cs="Times New Roman"/>
          <w:sz w:val="24"/>
          <w:szCs w:val="24"/>
        </w:rPr>
        <w:t xml:space="preserve">o. </w:t>
      </w:r>
      <w:r w:rsidR="00CD67C2">
        <w:rPr>
          <w:rFonts w:ascii="Times New Roman" w:hAnsi="Times New Roman" w:cs="Times New Roman"/>
          <w:sz w:val="24"/>
          <w:szCs w:val="24"/>
        </w:rPr>
        <w:t>13</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4A042B" w:rsidRPr="004A042B">
        <w:rPr>
          <w:rFonts w:ascii="Times New Roman" w:hAnsi="Times New Roman" w:cs="Times New Roman"/>
          <w:i/>
          <w:sz w:val="24"/>
          <w:szCs w:val="24"/>
        </w:rPr>
        <w:t>Prudential Standard LPS 600 Statutory Funds</w:t>
      </w:r>
      <w:r w:rsidR="00D32F87">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891CFE">
        <w:rPr>
          <w:rFonts w:ascii="Times New Roman" w:hAnsi="Times New Roman" w:cs="Times New Roman"/>
          <w:sz w:val="24"/>
          <w:szCs w:val="24"/>
        </w:rPr>
        <w:t>1</w:t>
      </w:r>
      <w:r w:rsidR="00D10BC7">
        <w:rPr>
          <w:rFonts w:ascii="Times New Roman" w:hAnsi="Times New Roman" w:cs="Times New Roman"/>
          <w:sz w:val="24"/>
          <w:szCs w:val="24"/>
        </w:rPr>
        <w:t>5</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4A042B" w:rsidRPr="004A042B">
        <w:rPr>
          <w:rFonts w:ascii="Times New Roman" w:hAnsi="Times New Roman" w:cs="Times New Roman"/>
          <w:i/>
          <w:sz w:val="24"/>
          <w:szCs w:val="24"/>
        </w:rPr>
        <w:t xml:space="preserve">Prudential Standard LPS 600 Statutory Funds </w:t>
      </w:r>
      <w:r w:rsidRPr="000C4197">
        <w:rPr>
          <w:rFonts w:ascii="Times New Roman" w:hAnsi="Times New Roman" w:cs="Times New Roman"/>
          <w:sz w:val="24"/>
          <w:szCs w:val="24"/>
        </w:rPr>
        <w:t xml:space="preserve">(LPS </w:t>
      </w:r>
      <w:r w:rsidR="004A042B">
        <w:rPr>
          <w:rFonts w:ascii="Times New Roman" w:hAnsi="Times New Roman" w:cs="Times New Roman"/>
          <w:sz w:val="24"/>
          <w:szCs w:val="24"/>
        </w:rPr>
        <w:t>600</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3DD1FE85"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7E1B51">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6AA48AC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CD67C2">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02069921"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CD67C2">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CD67C2">
        <w:rPr>
          <w:rFonts w:ascii="Times New Roman" w:hAnsi="Times New Roman" w:cs="Times New Roman"/>
          <w:sz w:val="24"/>
          <w:szCs w:val="24"/>
        </w:rPr>
        <w:t xml:space="preserve">AASB 17 </w:t>
      </w:r>
      <w:r w:rsidRPr="00A516E7">
        <w:rPr>
          <w:rFonts w:ascii="Times New Roman" w:hAnsi="Times New Roman" w:cs="Times New Roman"/>
          <w:sz w:val="24"/>
          <w:szCs w:val="24"/>
        </w:rPr>
        <w:t>and APRA’s prudential framework.</w:t>
      </w:r>
    </w:p>
    <w:p w14:paraId="6F003B36" w14:textId="5F4BFCCF"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CD67C2">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7E537D17"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EF0DDB">
        <w:rPr>
          <w:color w:val="000000"/>
        </w:rPr>
        <w:t>600</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28217A2E" w14:textId="48B7AF0E" w:rsidR="00354D1D" w:rsidRPr="00365B6A" w:rsidRDefault="00A77ACC" w:rsidP="00354D1D">
      <w:pPr>
        <w:pStyle w:val="heading0"/>
        <w:shd w:val="clear" w:color="auto" w:fill="FFFFFF"/>
        <w:spacing w:before="0" w:beforeAutospacing="0" w:after="240" w:afterAutospacing="0"/>
        <w:jc w:val="both"/>
      </w:pPr>
      <w:r w:rsidRPr="00A77ACC">
        <w:rPr>
          <w:rFonts w:eastAsiaTheme="minorHAnsi"/>
          <w:color w:val="000000"/>
          <w:lang w:eastAsia="en-US"/>
        </w:rPr>
        <w:t>LPS 600 sets out requirements for the operations of statutory funds and any restructure of statutory funds, so that they are fair and equitable for policy owners.</w:t>
      </w:r>
      <w:bookmarkStart w:id="6" w:name="_Hlk135213529"/>
    </w:p>
    <w:p w14:paraId="2759114D" w14:textId="77777777" w:rsidR="00354D1D" w:rsidRPr="00B929E5" w:rsidRDefault="00354D1D" w:rsidP="00354D1D">
      <w:pPr>
        <w:pStyle w:val="Heading5"/>
        <w:rPr>
          <w:rFonts w:ascii="Times New Roman" w:hAnsi="Times New Roman" w:cs="Times New Roman"/>
          <w:sz w:val="24"/>
          <w:szCs w:val="24"/>
        </w:rPr>
      </w:pPr>
      <w:r w:rsidRPr="00B929E5">
        <w:rPr>
          <w:rFonts w:ascii="Times New Roman" w:hAnsi="Times New Roman" w:cs="Times New Roman"/>
          <w:sz w:val="24"/>
          <w:szCs w:val="24"/>
        </w:rPr>
        <w:t>Documents incorporated by reference</w:t>
      </w:r>
    </w:p>
    <w:p w14:paraId="1EF9819B" w14:textId="77777777" w:rsidR="00354D1D" w:rsidRPr="00B929E5" w:rsidRDefault="00354D1D" w:rsidP="00354D1D">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64EDC77C" w14:textId="77777777" w:rsidR="00354D1D" w:rsidRPr="00B929E5" w:rsidRDefault="00354D1D" w:rsidP="00354D1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110AD863" w14:textId="77777777" w:rsidR="00354D1D" w:rsidRPr="00B929E5" w:rsidRDefault="00354D1D" w:rsidP="00354D1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681BF680" w14:textId="77777777" w:rsidR="00354D1D" w:rsidRPr="00B929E5" w:rsidRDefault="00354D1D" w:rsidP="00354D1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13CC709B" w14:textId="77777777" w:rsidR="00354D1D" w:rsidRPr="00B929E5" w:rsidRDefault="00354D1D" w:rsidP="00354D1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508B790" w14:textId="77777777" w:rsidR="00354D1D" w:rsidRPr="00B929E5" w:rsidRDefault="00354D1D" w:rsidP="00354D1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5A76CD34" w14:textId="77777777" w:rsidR="00354D1D" w:rsidRPr="00B929E5" w:rsidRDefault="00354D1D" w:rsidP="00354D1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1AAB1F15" w14:textId="77777777" w:rsidR="00354D1D" w:rsidRPr="00B929E5" w:rsidRDefault="00354D1D" w:rsidP="00354D1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31D41E47" w14:textId="77777777" w:rsidR="00354D1D" w:rsidRPr="00B929E5" w:rsidRDefault="00354D1D" w:rsidP="00354D1D">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 and</w:t>
      </w:r>
    </w:p>
    <w:p w14:paraId="319A65BB" w14:textId="77777777" w:rsidR="00354D1D" w:rsidRPr="00B929E5" w:rsidRDefault="00354D1D" w:rsidP="00354D1D">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w:t>
      </w:r>
      <w:proofErr w:type="spellStart"/>
      <w:r w:rsidRPr="00B929E5">
        <w:rPr>
          <w:rFonts w:ascii="Times New Roman" w:hAnsi="Times New Roman" w:cs="Times New Roman"/>
          <w:sz w:val="24"/>
          <w:szCs w:val="24"/>
        </w:rPr>
        <w:t>Cth</w:t>
      </w:r>
      <w:proofErr w:type="spellEnd"/>
      <w:r w:rsidRPr="00B929E5">
        <w:rPr>
          <w:rFonts w:ascii="Times New Roman" w:hAnsi="Times New Roman" w:cs="Times New Roman"/>
          <w:sz w:val="24"/>
          <w:szCs w:val="24"/>
        </w:rPr>
        <w:t>).</w:t>
      </w:r>
    </w:p>
    <w:p w14:paraId="0B3D8BE8" w14:textId="77777777" w:rsidR="00354D1D" w:rsidRPr="00B929E5" w:rsidRDefault="00354D1D" w:rsidP="00354D1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532CF602" w14:textId="77777777" w:rsidR="00354D1D" w:rsidRPr="00B929E5" w:rsidRDefault="00354D1D" w:rsidP="00354D1D">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7EE68370" w14:textId="77777777" w:rsidR="00354D1D" w:rsidRPr="00B929E5" w:rsidRDefault="00354D1D" w:rsidP="00354D1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6C4D6249" w14:textId="77777777" w:rsidR="00354D1D" w:rsidRPr="00B929E5" w:rsidRDefault="00354D1D" w:rsidP="00354D1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6FC07B6F" w14:textId="49C37FC8" w:rsidR="00354D1D" w:rsidRDefault="00354D1D" w:rsidP="00354D1D">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p>
    <w:p w14:paraId="6C09F15F" w14:textId="77777777" w:rsidR="00354D1D" w:rsidRDefault="00354D1D" w:rsidP="00354D1D">
      <w:pPr>
        <w:numPr>
          <w:ilvl w:val="0"/>
          <w:numId w:val="0"/>
        </w:numPr>
        <w:autoSpaceDE w:val="0"/>
        <w:autoSpaceDN w:val="0"/>
        <w:adjustRightInd w:val="0"/>
        <w:spacing w:after="0"/>
        <w:rPr>
          <w:rFonts w:ascii="Times New Roman" w:hAnsi="Times New Roman" w:cs="Times New Roman"/>
          <w:sz w:val="24"/>
          <w:szCs w:val="24"/>
        </w:rPr>
      </w:pPr>
    </w:p>
    <w:bookmarkEnd w:id="6"/>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10373C5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CD67C2">
        <w:rPr>
          <w:rFonts w:ascii="Times New Roman" w:hAnsi="Times New Roman" w:cs="Times New Roman"/>
          <w:sz w:val="24"/>
          <w:szCs w:val="24"/>
        </w:rPr>
        <w:t>Letter issued</w:t>
      </w:r>
      <w:r w:rsidRPr="00A516E7">
        <w:rPr>
          <w:rFonts w:ascii="Times New Roman" w:hAnsi="Times New Roman" w:cs="Times New Roman"/>
          <w:sz w:val="24"/>
          <w:szCs w:val="24"/>
        </w:rPr>
        <w:t xml:space="preserve"> letter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20FA2E38"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w:t>
      </w:r>
      <w:r w:rsidR="00041A91" w:rsidRPr="00CD67C2">
        <w:rPr>
          <w:rFonts w:ascii="Times New Roman" w:hAnsi="Times New Roman" w:cs="Times New Roman"/>
          <w:sz w:val="24"/>
          <w:szCs w:val="24"/>
        </w:rPr>
        <w:t xml:space="preserve">to </w:t>
      </w:r>
      <w:r w:rsidR="00573D88" w:rsidRPr="00CD67C2">
        <w:rPr>
          <w:rFonts w:ascii="Times New Roman" w:hAnsi="Times New Roman" w:cs="Times New Roman"/>
          <w:i/>
          <w:sz w:val="24"/>
          <w:szCs w:val="24"/>
        </w:rPr>
        <w:t>Prudential Standard LPS 117 Capital Adequacy: Asset Concentration Risk Charge</w:t>
      </w:r>
      <w:r w:rsidR="00573D88" w:rsidRPr="00CD67C2">
        <w:rPr>
          <w:rFonts w:ascii="Times New Roman" w:hAnsi="Times New Roman" w:cs="Times New Roman"/>
          <w:sz w:val="24"/>
          <w:szCs w:val="24"/>
        </w:rPr>
        <w:t xml:space="preserve"> (</w:t>
      </w:r>
      <w:r w:rsidR="00041A91" w:rsidRPr="00CD67C2">
        <w:rPr>
          <w:rFonts w:ascii="Times New Roman" w:hAnsi="Times New Roman" w:cs="Times New Roman"/>
          <w:sz w:val="24"/>
          <w:szCs w:val="24"/>
        </w:rPr>
        <w:t>LPS 117</w:t>
      </w:r>
      <w:r w:rsidR="00573D88" w:rsidRPr="00CD67C2">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xml:space="preserve">. </w:t>
      </w:r>
      <w:r w:rsidR="00CD67C2">
        <w:rPr>
          <w:rFonts w:ascii="Times New Roman" w:hAnsi="Times New Roman" w:cs="Times New Roman"/>
          <w:sz w:val="24"/>
          <w:szCs w:val="24"/>
        </w:rPr>
        <w:t>As the standard was also affected by AASB 17 changes, it was later subsumed into the AASB 17 project</w:t>
      </w:r>
      <w:r w:rsidR="00CD67C2"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211BADB2"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247012">
        <w:rPr>
          <w:rFonts w:ascii="Times New Roman" w:eastAsia="Times New Roman" w:hAnsi="Times New Roman" w:cs="Times New Roman"/>
          <w:b/>
          <w:sz w:val="24"/>
          <w:szCs w:val="24"/>
          <w:lang w:eastAsia="en-AU"/>
        </w:rPr>
        <w:t>13</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14A17546"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EF0DDB" w:rsidRPr="00EF0DDB">
        <w:rPr>
          <w:rFonts w:ascii="Times New Roman" w:hAnsi="Times New Roman" w:cs="Times New Roman"/>
          <w:i/>
          <w:sz w:val="24"/>
          <w:szCs w:val="24"/>
        </w:rPr>
        <w:t>Prudential Standard LPS 600 Statutory Funds</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208274707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55B1"/>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1B90"/>
    <w:rsid w:val="00115A39"/>
    <w:rsid w:val="00117479"/>
    <w:rsid w:val="00123576"/>
    <w:rsid w:val="001241CB"/>
    <w:rsid w:val="00124B21"/>
    <w:rsid w:val="001327B8"/>
    <w:rsid w:val="0013471B"/>
    <w:rsid w:val="001352D4"/>
    <w:rsid w:val="0014033B"/>
    <w:rsid w:val="00140357"/>
    <w:rsid w:val="00155789"/>
    <w:rsid w:val="00157C98"/>
    <w:rsid w:val="001653B6"/>
    <w:rsid w:val="00165BF6"/>
    <w:rsid w:val="00174B0F"/>
    <w:rsid w:val="0018235E"/>
    <w:rsid w:val="001823E2"/>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0208"/>
    <w:rsid w:val="002124BB"/>
    <w:rsid w:val="002139BF"/>
    <w:rsid w:val="00214883"/>
    <w:rsid w:val="002156F6"/>
    <w:rsid w:val="00220550"/>
    <w:rsid w:val="002301A2"/>
    <w:rsid w:val="00236C2D"/>
    <w:rsid w:val="002374B7"/>
    <w:rsid w:val="00240126"/>
    <w:rsid w:val="00241D16"/>
    <w:rsid w:val="00242384"/>
    <w:rsid w:val="0024304D"/>
    <w:rsid w:val="00244826"/>
    <w:rsid w:val="00247012"/>
    <w:rsid w:val="00247ACA"/>
    <w:rsid w:val="00251E68"/>
    <w:rsid w:val="00252E6A"/>
    <w:rsid w:val="00254193"/>
    <w:rsid w:val="00255A20"/>
    <w:rsid w:val="0025782A"/>
    <w:rsid w:val="00263414"/>
    <w:rsid w:val="002661A6"/>
    <w:rsid w:val="00266C23"/>
    <w:rsid w:val="00272569"/>
    <w:rsid w:val="00274A9C"/>
    <w:rsid w:val="002777FB"/>
    <w:rsid w:val="00277D6C"/>
    <w:rsid w:val="00286EAD"/>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2180D"/>
    <w:rsid w:val="003306A5"/>
    <w:rsid w:val="00354D1D"/>
    <w:rsid w:val="00355D4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24CB8"/>
    <w:rsid w:val="00434EC9"/>
    <w:rsid w:val="00435339"/>
    <w:rsid w:val="004410DC"/>
    <w:rsid w:val="0044292A"/>
    <w:rsid w:val="0044447D"/>
    <w:rsid w:val="00450C67"/>
    <w:rsid w:val="00460CF7"/>
    <w:rsid w:val="00463FA8"/>
    <w:rsid w:val="00466648"/>
    <w:rsid w:val="00472CBC"/>
    <w:rsid w:val="004765B3"/>
    <w:rsid w:val="004843CA"/>
    <w:rsid w:val="00493DAA"/>
    <w:rsid w:val="00494335"/>
    <w:rsid w:val="00495A4C"/>
    <w:rsid w:val="004967A1"/>
    <w:rsid w:val="004A042B"/>
    <w:rsid w:val="004B584E"/>
    <w:rsid w:val="004C1106"/>
    <w:rsid w:val="004C2A20"/>
    <w:rsid w:val="004C6D4B"/>
    <w:rsid w:val="004C766B"/>
    <w:rsid w:val="004D33E3"/>
    <w:rsid w:val="004D69F4"/>
    <w:rsid w:val="004D76C1"/>
    <w:rsid w:val="004D7C22"/>
    <w:rsid w:val="004E2269"/>
    <w:rsid w:val="004E3938"/>
    <w:rsid w:val="004E451A"/>
    <w:rsid w:val="004F263D"/>
    <w:rsid w:val="004F3339"/>
    <w:rsid w:val="004F4400"/>
    <w:rsid w:val="004F72A2"/>
    <w:rsid w:val="004F78E5"/>
    <w:rsid w:val="005026D4"/>
    <w:rsid w:val="00503A51"/>
    <w:rsid w:val="00506774"/>
    <w:rsid w:val="00512309"/>
    <w:rsid w:val="00541D54"/>
    <w:rsid w:val="00542522"/>
    <w:rsid w:val="0054526E"/>
    <w:rsid w:val="00545CE1"/>
    <w:rsid w:val="005476B5"/>
    <w:rsid w:val="005549D7"/>
    <w:rsid w:val="005602DA"/>
    <w:rsid w:val="00562087"/>
    <w:rsid w:val="005678FC"/>
    <w:rsid w:val="0057138A"/>
    <w:rsid w:val="00573327"/>
    <w:rsid w:val="00573D88"/>
    <w:rsid w:val="00592F64"/>
    <w:rsid w:val="005A3F63"/>
    <w:rsid w:val="005A404F"/>
    <w:rsid w:val="005A59D0"/>
    <w:rsid w:val="005B073E"/>
    <w:rsid w:val="005B227F"/>
    <w:rsid w:val="005B7801"/>
    <w:rsid w:val="005C205B"/>
    <w:rsid w:val="005C5891"/>
    <w:rsid w:val="005D04CC"/>
    <w:rsid w:val="005D5FAE"/>
    <w:rsid w:val="005E4BC9"/>
    <w:rsid w:val="005E748D"/>
    <w:rsid w:val="005F29B7"/>
    <w:rsid w:val="0060508C"/>
    <w:rsid w:val="00606EB5"/>
    <w:rsid w:val="00606FC8"/>
    <w:rsid w:val="00610067"/>
    <w:rsid w:val="006120D3"/>
    <w:rsid w:val="00616C90"/>
    <w:rsid w:val="00617FDA"/>
    <w:rsid w:val="0062116F"/>
    <w:rsid w:val="00623FD7"/>
    <w:rsid w:val="00626087"/>
    <w:rsid w:val="00634E4C"/>
    <w:rsid w:val="00636B8B"/>
    <w:rsid w:val="00637CD3"/>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94BB6"/>
    <w:rsid w:val="007A0E83"/>
    <w:rsid w:val="007A0EB7"/>
    <w:rsid w:val="007A636F"/>
    <w:rsid w:val="007B6871"/>
    <w:rsid w:val="007B7899"/>
    <w:rsid w:val="007C08B1"/>
    <w:rsid w:val="007C2CC2"/>
    <w:rsid w:val="007C38BD"/>
    <w:rsid w:val="007C79AA"/>
    <w:rsid w:val="007D31DA"/>
    <w:rsid w:val="007D72C5"/>
    <w:rsid w:val="007E1B41"/>
    <w:rsid w:val="007E1B51"/>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1CFE"/>
    <w:rsid w:val="008947BF"/>
    <w:rsid w:val="008A0CBE"/>
    <w:rsid w:val="008A1CA8"/>
    <w:rsid w:val="008A214D"/>
    <w:rsid w:val="008A72D2"/>
    <w:rsid w:val="008A74A3"/>
    <w:rsid w:val="008B6868"/>
    <w:rsid w:val="008B6D24"/>
    <w:rsid w:val="008C21F0"/>
    <w:rsid w:val="008C34F7"/>
    <w:rsid w:val="008C6A43"/>
    <w:rsid w:val="008D080C"/>
    <w:rsid w:val="008D1867"/>
    <w:rsid w:val="008D6437"/>
    <w:rsid w:val="008D6EDF"/>
    <w:rsid w:val="008E3EF5"/>
    <w:rsid w:val="008F33B5"/>
    <w:rsid w:val="00901414"/>
    <w:rsid w:val="00906799"/>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9F221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877"/>
    <w:rsid w:val="00A62D31"/>
    <w:rsid w:val="00A63380"/>
    <w:rsid w:val="00A77ACC"/>
    <w:rsid w:val="00A8129D"/>
    <w:rsid w:val="00A82188"/>
    <w:rsid w:val="00A865C7"/>
    <w:rsid w:val="00A909CC"/>
    <w:rsid w:val="00A94D77"/>
    <w:rsid w:val="00A964A5"/>
    <w:rsid w:val="00A97E3B"/>
    <w:rsid w:val="00AA00CB"/>
    <w:rsid w:val="00AA20A1"/>
    <w:rsid w:val="00AA41F2"/>
    <w:rsid w:val="00AB039E"/>
    <w:rsid w:val="00AB4206"/>
    <w:rsid w:val="00AB4372"/>
    <w:rsid w:val="00AC67D3"/>
    <w:rsid w:val="00AC7E54"/>
    <w:rsid w:val="00AD3961"/>
    <w:rsid w:val="00AE6A4E"/>
    <w:rsid w:val="00AE7B98"/>
    <w:rsid w:val="00AF129F"/>
    <w:rsid w:val="00B12DC9"/>
    <w:rsid w:val="00B13F84"/>
    <w:rsid w:val="00B14604"/>
    <w:rsid w:val="00B15ABA"/>
    <w:rsid w:val="00B20FA0"/>
    <w:rsid w:val="00B24DD4"/>
    <w:rsid w:val="00B3001E"/>
    <w:rsid w:val="00B34339"/>
    <w:rsid w:val="00B36B03"/>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43AE0"/>
    <w:rsid w:val="00C52B08"/>
    <w:rsid w:val="00C62BF5"/>
    <w:rsid w:val="00C635AD"/>
    <w:rsid w:val="00C636DA"/>
    <w:rsid w:val="00C67E22"/>
    <w:rsid w:val="00C72271"/>
    <w:rsid w:val="00C72A17"/>
    <w:rsid w:val="00C81356"/>
    <w:rsid w:val="00C813CD"/>
    <w:rsid w:val="00C858D9"/>
    <w:rsid w:val="00C87DA0"/>
    <w:rsid w:val="00CA0381"/>
    <w:rsid w:val="00CA4E4D"/>
    <w:rsid w:val="00CA6F31"/>
    <w:rsid w:val="00CA6FF9"/>
    <w:rsid w:val="00CB4238"/>
    <w:rsid w:val="00CB5938"/>
    <w:rsid w:val="00CB5B27"/>
    <w:rsid w:val="00CC13F5"/>
    <w:rsid w:val="00CC1A64"/>
    <w:rsid w:val="00CC34EB"/>
    <w:rsid w:val="00CC66EA"/>
    <w:rsid w:val="00CD3C17"/>
    <w:rsid w:val="00CD67C2"/>
    <w:rsid w:val="00CE1F9C"/>
    <w:rsid w:val="00CE2E48"/>
    <w:rsid w:val="00CF0184"/>
    <w:rsid w:val="00CF1346"/>
    <w:rsid w:val="00CF55F6"/>
    <w:rsid w:val="00CF59E0"/>
    <w:rsid w:val="00CF6672"/>
    <w:rsid w:val="00D021F7"/>
    <w:rsid w:val="00D069C7"/>
    <w:rsid w:val="00D078A2"/>
    <w:rsid w:val="00D10BC7"/>
    <w:rsid w:val="00D13835"/>
    <w:rsid w:val="00D21053"/>
    <w:rsid w:val="00D21123"/>
    <w:rsid w:val="00D26BB7"/>
    <w:rsid w:val="00D32F8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42EBA"/>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0DDB"/>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778"/>
    <w:rsid w:val="00FA3CEC"/>
    <w:rsid w:val="00FA5F76"/>
    <w:rsid w:val="00FB4CF2"/>
    <w:rsid w:val="00FC4845"/>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3.xml><?xml version="1.0" encoding="utf-8"?>
<ds:datastoreItem xmlns:ds="http://schemas.openxmlformats.org/officeDocument/2006/customXml" ds:itemID="{AC01F831-6B11-4773-B7CD-3DD10957DFAE}">
  <ds:schemaRefs>
    <ds:schemaRef ds:uri="79530295-9eea-494d-b82a-9ff74409eafc"/>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5664482d-1961-4d38-bfc2-b109b3418834"/>
    <ds:schemaRef ds:uri="http://purl.org/dc/terms/"/>
    <ds:schemaRef ds:uri="http://purl.org/dc/elements/1.1/"/>
  </ds:schemaRefs>
</ds:datastoreItem>
</file>

<file path=customXml/itemProps4.xml><?xml version="1.0" encoding="utf-8"?>
<ds:datastoreItem xmlns:ds="http://schemas.openxmlformats.org/officeDocument/2006/customXml" ds:itemID="{1CE1ACEC-5663-458D-B86B-266ABEDF6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7697</Characters>
  <Application>Microsoft Office Word</Application>
  <DocSecurity>0</DocSecurity>
  <Lines>142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2023-05-31T11:30:00Z</dcterms:created>
  <dcterms:modified xsi:type="dcterms:W3CDTF">2023-05-31T11:30:00Z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v=2022.1;a=SHA256;h=2085A78C6877B896E730D1DF8397864B4C1536EC494F1BB6FCA22C5128A71812</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2A6C45EC282AC5602FBDDF2B7C5B55E3</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69360a7d67f2497abf3056f03513e066</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9D884C9965DECB9DD33CEDD770953E2D</vt:lpwstr>
  </property>
  <property fmtid="{D5CDD505-2E9C-101B-9397-08002B2CF9AE}" pid="33" name="PM_Hash_SHA1">
    <vt:lpwstr>4F79247814968F75526C43DE0722A973F37C7F20</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