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42D8" w14:textId="77777777" w:rsidR="00715914" w:rsidRPr="00CE103E" w:rsidRDefault="00001F57" w:rsidP="00B05CF4">
      <w:pPr>
        <w:rPr>
          <w:sz w:val="28"/>
        </w:rPr>
      </w:pPr>
      <w:bookmarkStart w:id="0" w:name="_GoBack"/>
      <w:r w:rsidRPr="002360A0">
        <w:rPr>
          <w:noProof/>
          <w:lang w:eastAsia="en-AU"/>
        </w:rPr>
        <w:drawing>
          <wp:inline distT="0" distB="0" distL="0" distR="0" wp14:anchorId="439899E1" wp14:editId="32186BBE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0E1E73" w14:textId="77777777" w:rsidR="00715914" w:rsidRPr="00CE103E" w:rsidRDefault="00715914" w:rsidP="00715914">
      <w:pPr>
        <w:rPr>
          <w:sz w:val="19"/>
        </w:rPr>
      </w:pPr>
    </w:p>
    <w:p w14:paraId="22B314A5" w14:textId="04009804" w:rsidR="00715914" w:rsidRPr="00470FCE" w:rsidRDefault="003B0F4A" w:rsidP="00715914">
      <w:pPr>
        <w:pStyle w:val="ShortT"/>
      </w:pPr>
      <w:r w:rsidRPr="00470FCE">
        <w:t>PGPA</w:t>
      </w:r>
      <w:r w:rsidR="00272035" w:rsidRPr="00470FCE">
        <w:t xml:space="preserve"> Act</w:t>
      </w:r>
      <w:r w:rsidRPr="00470FCE">
        <w:t xml:space="preserve"> </w:t>
      </w:r>
      <w:r w:rsidR="000C521A" w:rsidRPr="00470FCE">
        <w:t xml:space="preserve">Determination </w:t>
      </w:r>
      <w:r w:rsidRPr="00470FCE">
        <w:t>(</w:t>
      </w:r>
      <w:r w:rsidR="000C5CCE" w:rsidRPr="000C5CCE">
        <w:rPr>
          <w:iCs/>
          <w:szCs w:val="40"/>
        </w:rPr>
        <w:t>Indian Ocean, Jervis Bay and Norfolk Island</w:t>
      </w:r>
      <w:r w:rsidR="000C5CCE" w:rsidRPr="000C457C">
        <w:rPr>
          <w:i/>
          <w:sz w:val="18"/>
          <w:szCs w:val="18"/>
        </w:rPr>
        <w:t xml:space="preserve"> </w:t>
      </w:r>
      <w:r w:rsidR="00BB7FD7" w:rsidRPr="001610EF">
        <w:t>Territories</w:t>
      </w:r>
      <w:r w:rsidR="00214139" w:rsidRPr="001610EF">
        <w:t xml:space="preserve"> </w:t>
      </w:r>
      <w:r w:rsidRPr="001610EF">
        <w:t>Special Account</w:t>
      </w:r>
      <w:r w:rsidR="00E966CB" w:rsidRPr="001610EF">
        <w:t xml:space="preserve"> </w:t>
      </w:r>
      <w:r w:rsidR="00803BD2" w:rsidRPr="001610EF">
        <w:t>202</w:t>
      </w:r>
      <w:r w:rsidR="00214139" w:rsidRPr="001610EF">
        <w:t>3</w:t>
      </w:r>
      <w:r w:rsidRPr="00470FCE">
        <w:t>)</w:t>
      </w:r>
    </w:p>
    <w:p w14:paraId="4B2BC2F3" w14:textId="1185A2DB" w:rsidR="003B0F4A" w:rsidRPr="00CE103E" w:rsidRDefault="003B0F4A" w:rsidP="006A1137">
      <w:pPr>
        <w:pStyle w:val="SignCoverPageStart"/>
        <w:rPr>
          <w:szCs w:val="22"/>
        </w:rPr>
      </w:pPr>
      <w:r w:rsidRPr="00470FCE">
        <w:rPr>
          <w:szCs w:val="22"/>
        </w:rPr>
        <w:t>I,</w:t>
      </w:r>
      <w:r w:rsidR="00096FEC">
        <w:rPr>
          <w:szCs w:val="22"/>
        </w:rPr>
        <w:t xml:space="preserve"> </w:t>
      </w:r>
      <w:r w:rsidR="00263C87" w:rsidRPr="00F01B91">
        <w:rPr>
          <w:szCs w:val="22"/>
        </w:rPr>
        <w:t>KATY GALLAGHER</w:t>
      </w:r>
      <w:r w:rsidRPr="00470FCE">
        <w:rPr>
          <w:szCs w:val="22"/>
        </w:rPr>
        <w:t>, Minister for Finance, make the following</w:t>
      </w:r>
      <w:r w:rsidRPr="00CE103E">
        <w:rPr>
          <w:szCs w:val="22"/>
        </w:rPr>
        <w:t xml:space="preserve"> determination.</w:t>
      </w:r>
    </w:p>
    <w:p w14:paraId="68E2C947" w14:textId="69928007" w:rsidR="003B0F4A" w:rsidRPr="00CE103E" w:rsidRDefault="003B0F4A" w:rsidP="006A1137">
      <w:pPr>
        <w:keepNext/>
        <w:spacing w:before="300" w:line="240" w:lineRule="atLeast"/>
        <w:ind w:right="397"/>
        <w:jc w:val="both"/>
        <w:rPr>
          <w:szCs w:val="22"/>
        </w:rPr>
      </w:pPr>
      <w:r w:rsidRPr="00FE029D">
        <w:rPr>
          <w:szCs w:val="22"/>
        </w:rPr>
        <w:t>Dated</w:t>
      </w:r>
      <w:r w:rsidR="00A9199C" w:rsidRPr="00FE029D">
        <w:rPr>
          <w:szCs w:val="22"/>
        </w:rPr>
        <w:t xml:space="preserve">   </w:t>
      </w:r>
      <w:r w:rsidR="00FE029D">
        <w:rPr>
          <w:szCs w:val="22"/>
        </w:rPr>
        <w:t xml:space="preserve">     </w:t>
      </w:r>
      <w:r w:rsidR="00D04521">
        <w:rPr>
          <w:szCs w:val="22"/>
        </w:rPr>
        <w:t>25</w:t>
      </w:r>
      <w:r w:rsidR="00803BD2" w:rsidRPr="00FE029D">
        <w:rPr>
          <w:szCs w:val="22"/>
        </w:rPr>
        <w:t xml:space="preserve">  </w:t>
      </w:r>
      <w:r w:rsidR="00341062" w:rsidRPr="00FE029D">
        <w:rPr>
          <w:szCs w:val="22"/>
        </w:rPr>
        <w:t xml:space="preserve"> </w:t>
      </w:r>
      <w:r w:rsidR="00C50915" w:rsidRPr="00FE029D">
        <w:rPr>
          <w:szCs w:val="22"/>
        </w:rPr>
        <w:t xml:space="preserve">/ </w:t>
      </w:r>
      <w:r w:rsidR="00D04521">
        <w:rPr>
          <w:szCs w:val="22"/>
        </w:rPr>
        <w:t>05</w:t>
      </w:r>
      <w:r w:rsidR="00A9199C" w:rsidRPr="00FE029D">
        <w:rPr>
          <w:szCs w:val="22"/>
        </w:rPr>
        <w:t xml:space="preserve">  </w:t>
      </w:r>
      <w:r w:rsidR="00FB64F4">
        <w:rPr>
          <w:szCs w:val="22"/>
        </w:rPr>
        <w:t xml:space="preserve">  </w:t>
      </w:r>
      <w:r w:rsidR="00C50915" w:rsidRPr="00FE029D">
        <w:rPr>
          <w:szCs w:val="22"/>
        </w:rPr>
        <w:t xml:space="preserve"> / 20</w:t>
      </w:r>
      <w:bookmarkStart w:id="1" w:name="BKCheck15B_1"/>
      <w:bookmarkEnd w:id="1"/>
      <w:r w:rsidR="004753BC">
        <w:rPr>
          <w:szCs w:val="22"/>
        </w:rPr>
        <w:t>2</w:t>
      </w:r>
      <w:r w:rsidR="00214139">
        <w:rPr>
          <w:szCs w:val="22"/>
        </w:rPr>
        <w:t>3</w:t>
      </w:r>
    </w:p>
    <w:p w14:paraId="5F50A34D" w14:textId="024A2A19" w:rsidR="003B0F4A" w:rsidRPr="00CE103E" w:rsidRDefault="00263C87" w:rsidP="006A113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33959A23" w14:textId="77777777" w:rsidR="003B0F4A" w:rsidRPr="00CE103E" w:rsidRDefault="003B0F4A" w:rsidP="006A1137">
      <w:pPr>
        <w:pStyle w:val="SignCoverPageEnd"/>
        <w:rPr>
          <w:szCs w:val="22"/>
        </w:rPr>
      </w:pPr>
      <w:r w:rsidRPr="00CE103E">
        <w:rPr>
          <w:szCs w:val="22"/>
        </w:rPr>
        <w:t>Minister for Finance</w:t>
      </w:r>
    </w:p>
    <w:p w14:paraId="0D471067" w14:textId="77777777" w:rsidR="003B0F4A" w:rsidRPr="00CE103E" w:rsidRDefault="003B0F4A" w:rsidP="006A1137"/>
    <w:p w14:paraId="7A4CF12B" w14:textId="77777777" w:rsidR="003B0F4A" w:rsidRPr="00CE103E" w:rsidRDefault="003B0F4A" w:rsidP="003B0F4A"/>
    <w:p w14:paraId="74CCEFD6" w14:textId="77777777" w:rsidR="00715914" w:rsidRPr="00CE103E" w:rsidRDefault="00715914" w:rsidP="00715914">
      <w:pPr>
        <w:pStyle w:val="Header"/>
        <w:tabs>
          <w:tab w:val="clear" w:pos="4150"/>
          <w:tab w:val="clear" w:pos="8307"/>
        </w:tabs>
      </w:pPr>
      <w:r w:rsidRPr="00CE103E">
        <w:rPr>
          <w:rStyle w:val="CharChapNo"/>
        </w:rPr>
        <w:t xml:space="preserve"> </w:t>
      </w:r>
      <w:r w:rsidRPr="00CE103E">
        <w:rPr>
          <w:rStyle w:val="CharChapText"/>
        </w:rPr>
        <w:t xml:space="preserve"> </w:t>
      </w:r>
    </w:p>
    <w:p w14:paraId="7519D043" w14:textId="77777777" w:rsidR="00715914" w:rsidRPr="00CE103E" w:rsidRDefault="00715914" w:rsidP="00715914">
      <w:pPr>
        <w:pStyle w:val="Header"/>
        <w:tabs>
          <w:tab w:val="clear" w:pos="4150"/>
          <w:tab w:val="clear" w:pos="8307"/>
        </w:tabs>
      </w:pPr>
      <w:r w:rsidRPr="00CE103E">
        <w:rPr>
          <w:rStyle w:val="CharPartNo"/>
        </w:rPr>
        <w:t xml:space="preserve"> </w:t>
      </w:r>
      <w:r w:rsidRPr="00CE103E">
        <w:rPr>
          <w:rStyle w:val="CharPartText"/>
        </w:rPr>
        <w:t xml:space="preserve"> </w:t>
      </w:r>
    </w:p>
    <w:p w14:paraId="7A578D5A" w14:textId="77777777" w:rsidR="00715914" w:rsidRPr="00CE103E" w:rsidRDefault="00715914" w:rsidP="00715914">
      <w:pPr>
        <w:pStyle w:val="Header"/>
        <w:tabs>
          <w:tab w:val="clear" w:pos="4150"/>
          <w:tab w:val="clear" w:pos="8307"/>
        </w:tabs>
      </w:pPr>
      <w:r w:rsidRPr="00CE103E">
        <w:rPr>
          <w:rStyle w:val="CharDivNo"/>
        </w:rPr>
        <w:t xml:space="preserve"> </w:t>
      </w:r>
      <w:r w:rsidRPr="00CE103E">
        <w:rPr>
          <w:rStyle w:val="CharDivText"/>
        </w:rPr>
        <w:t xml:space="preserve"> </w:t>
      </w:r>
    </w:p>
    <w:p w14:paraId="0BD6AF02" w14:textId="77777777" w:rsidR="00715914" w:rsidRPr="00CE103E" w:rsidRDefault="00715914" w:rsidP="00715914">
      <w:pPr>
        <w:sectPr w:rsidR="00715914" w:rsidRPr="00CE103E" w:rsidSect="00CE103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6049633" w14:textId="77777777" w:rsidR="00F67BCA" w:rsidRPr="00CE103E" w:rsidRDefault="00715914" w:rsidP="00CE103E">
      <w:pPr>
        <w:rPr>
          <w:sz w:val="36"/>
        </w:rPr>
      </w:pPr>
      <w:r w:rsidRPr="00CE103E">
        <w:rPr>
          <w:sz w:val="36"/>
        </w:rPr>
        <w:lastRenderedPageBreak/>
        <w:t>Contents</w:t>
      </w:r>
    </w:p>
    <w:bookmarkStart w:id="2" w:name="BKCheck15B_2"/>
    <w:bookmarkEnd w:id="2"/>
    <w:p w14:paraId="3902FE64" w14:textId="52000757" w:rsidR="0085168A" w:rsidRPr="0092344D" w:rsidRDefault="008A6F80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5168A">
        <w:rPr>
          <w:noProof/>
        </w:rPr>
        <w:t>Part 1—Establishment</w:t>
      </w:r>
      <w:r w:rsidR="0085168A">
        <w:rPr>
          <w:noProof/>
        </w:rPr>
        <w:tab/>
      </w:r>
      <w:r w:rsidR="0085168A">
        <w:rPr>
          <w:noProof/>
        </w:rPr>
        <w:fldChar w:fldCharType="begin"/>
      </w:r>
      <w:r w:rsidR="0085168A">
        <w:rPr>
          <w:noProof/>
        </w:rPr>
        <w:instrText xml:space="preserve"> PAGEREF _Toc62127975 \h </w:instrText>
      </w:r>
      <w:r w:rsidR="0085168A">
        <w:rPr>
          <w:noProof/>
        </w:rPr>
      </w:r>
      <w:r w:rsidR="0085168A">
        <w:rPr>
          <w:noProof/>
        </w:rPr>
        <w:fldChar w:fldCharType="separate"/>
      </w:r>
      <w:r w:rsidR="00C85F16">
        <w:rPr>
          <w:noProof/>
        </w:rPr>
        <w:t>1</w:t>
      </w:r>
      <w:r w:rsidR="0085168A">
        <w:rPr>
          <w:noProof/>
        </w:rPr>
        <w:fldChar w:fldCharType="end"/>
      </w:r>
    </w:p>
    <w:p w14:paraId="42E61054" w14:textId="6C1FD4CF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1  Name</w:t>
      </w:r>
      <w:r w:rsidR="006825AC">
        <w:rPr>
          <w:noProof/>
        </w:rPr>
        <w:t>..........................</w:t>
      </w:r>
      <w:r w:rsidR="006825AC">
        <w:rPr>
          <w:noProof/>
        </w:rPr>
        <w:tab/>
        <w:t>....</w:t>
      </w:r>
      <w:r>
        <w:rPr>
          <w:noProof/>
        </w:rPr>
        <w:fldChar w:fldCharType="begin"/>
      </w:r>
      <w:r>
        <w:rPr>
          <w:noProof/>
        </w:rPr>
        <w:instrText xml:space="preserve"> PAGEREF _Toc62127976 \h </w:instrText>
      </w:r>
      <w:r>
        <w:rPr>
          <w:noProof/>
        </w:rPr>
      </w:r>
      <w:r>
        <w:rPr>
          <w:noProof/>
        </w:rPr>
        <w:fldChar w:fldCharType="separate"/>
      </w:r>
      <w:r w:rsidR="00C85F16">
        <w:rPr>
          <w:noProof/>
        </w:rPr>
        <w:t>1</w:t>
      </w:r>
      <w:r>
        <w:rPr>
          <w:noProof/>
        </w:rPr>
        <w:fldChar w:fldCharType="end"/>
      </w:r>
    </w:p>
    <w:p w14:paraId="0F0D43BB" w14:textId="0E4080E2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_Toc62127977 \h </w:instrText>
      </w:r>
      <w:r>
        <w:rPr>
          <w:noProof/>
        </w:rPr>
      </w:r>
      <w:r>
        <w:rPr>
          <w:noProof/>
        </w:rPr>
        <w:fldChar w:fldCharType="separate"/>
      </w:r>
      <w:r w:rsidR="00C85F16">
        <w:rPr>
          <w:noProof/>
        </w:rPr>
        <w:t>1</w:t>
      </w:r>
      <w:r>
        <w:rPr>
          <w:noProof/>
        </w:rPr>
        <w:fldChar w:fldCharType="end"/>
      </w:r>
    </w:p>
    <w:p w14:paraId="0AEC0EEA" w14:textId="335F1073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_Toc62127978 \h </w:instrText>
      </w:r>
      <w:r>
        <w:rPr>
          <w:noProof/>
        </w:rPr>
      </w:r>
      <w:r>
        <w:rPr>
          <w:noProof/>
        </w:rPr>
        <w:fldChar w:fldCharType="separate"/>
      </w:r>
      <w:r w:rsidR="00C85F16">
        <w:rPr>
          <w:noProof/>
        </w:rPr>
        <w:t>1</w:t>
      </w:r>
      <w:r>
        <w:rPr>
          <w:noProof/>
        </w:rPr>
        <w:fldChar w:fldCharType="end"/>
      </w:r>
    </w:p>
    <w:p w14:paraId="1D04E068" w14:textId="5CB87D34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_Toc62127979 \h </w:instrText>
      </w:r>
      <w:r>
        <w:rPr>
          <w:noProof/>
        </w:rPr>
      </w:r>
      <w:r>
        <w:rPr>
          <w:noProof/>
        </w:rPr>
        <w:fldChar w:fldCharType="separate"/>
      </w:r>
      <w:r w:rsidR="00C85F16">
        <w:rPr>
          <w:noProof/>
        </w:rPr>
        <w:t>1</w:t>
      </w:r>
      <w:r>
        <w:rPr>
          <w:noProof/>
        </w:rPr>
        <w:fldChar w:fldCharType="end"/>
      </w:r>
    </w:p>
    <w:p w14:paraId="5F21AE80" w14:textId="48E3D0EC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5  Establishment of the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_Toc62127980 \h </w:instrText>
      </w:r>
      <w:r>
        <w:rPr>
          <w:noProof/>
        </w:rPr>
      </w:r>
      <w:r>
        <w:rPr>
          <w:noProof/>
        </w:rPr>
        <w:fldChar w:fldCharType="separate"/>
      </w:r>
      <w:r w:rsidR="00C85F16">
        <w:rPr>
          <w:noProof/>
        </w:rPr>
        <w:t>2</w:t>
      </w:r>
      <w:r>
        <w:rPr>
          <w:noProof/>
        </w:rPr>
        <w:fldChar w:fldCharType="end"/>
      </w:r>
    </w:p>
    <w:p w14:paraId="2A305199" w14:textId="3D5959EE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6  Accountable authority responsible for the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_Toc62127981 \h </w:instrText>
      </w:r>
      <w:r>
        <w:rPr>
          <w:noProof/>
        </w:rPr>
      </w:r>
      <w:r>
        <w:rPr>
          <w:noProof/>
        </w:rPr>
        <w:fldChar w:fldCharType="separate"/>
      </w:r>
      <w:r w:rsidR="00C85F16">
        <w:rPr>
          <w:noProof/>
        </w:rPr>
        <w:t>2</w:t>
      </w:r>
      <w:r>
        <w:rPr>
          <w:noProof/>
        </w:rPr>
        <w:fldChar w:fldCharType="end"/>
      </w:r>
    </w:p>
    <w:p w14:paraId="1AB7200B" w14:textId="38FE0734" w:rsidR="0085168A" w:rsidRPr="0092344D" w:rsidRDefault="0085168A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Part 2—Special account credits and debits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_Toc62127982 \h </w:instrText>
      </w:r>
      <w:r>
        <w:rPr>
          <w:noProof/>
        </w:rPr>
      </w:r>
      <w:r>
        <w:rPr>
          <w:noProof/>
        </w:rPr>
        <w:fldChar w:fldCharType="separate"/>
      </w:r>
      <w:r w:rsidR="00C85F16">
        <w:rPr>
          <w:noProof/>
        </w:rPr>
        <w:t>2</w:t>
      </w:r>
      <w:r>
        <w:rPr>
          <w:noProof/>
        </w:rPr>
        <w:fldChar w:fldCharType="end"/>
      </w:r>
    </w:p>
    <w:p w14:paraId="7E550814" w14:textId="067680E9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7  Amounts that may be credited to the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_Toc62127983 \h </w:instrText>
      </w:r>
      <w:r>
        <w:rPr>
          <w:noProof/>
        </w:rPr>
      </w:r>
      <w:r>
        <w:rPr>
          <w:noProof/>
        </w:rPr>
        <w:fldChar w:fldCharType="separate"/>
      </w:r>
      <w:r w:rsidR="00C85F16">
        <w:rPr>
          <w:noProof/>
        </w:rPr>
        <w:t>2</w:t>
      </w:r>
      <w:r>
        <w:rPr>
          <w:noProof/>
        </w:rPr>
        <w:fldChar w:fldCharType="end"/>
      </w:r>
    </w:p>
    <w:p w14:paraId="1F23EF6A" w14:textId="1BF7C176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8  Purposes of the special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_Toc62127984 \h </w:instrText>
      </w:r>
      <w:r>
        <w:rPr>
          <w:noProof/>
        </w:rPr>
      </w:r>
      <w:r>
        <w:rPr>
          <w:noProof/>
        </w:rPr>
        <w:fldChar w:fldCharType="separate"/>
      </w:r>
      <w:r w:rsidR="00C85F16">
        <w:rPr>
          <w:noProof/>
        </w:rPr>
        <w:t>2</w:t>
      </w:r>
      <w:r>
        <w:rPr>
          <w:noProof/>
        </w:rPr>
        <w:fldChar w:fldCharType="end"/>
      </w:r>
    </w:p>
    <w:p w14:paraId="40A46AA2" w14:textId="60BBB823" w:rsidR="0085168A" w:rsidRPr="0092344D" w:rsidRDefault="0085168A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Part 3—Transitional, revocation and repeal provisions</w:t>
      </w:r>
      <w:r>
        <w:rPr>
          <w:noProof/>
        </w:rPr>
        <w:tab/>
      </w:r>
      <w:r w:rsidR="00643D11">
        <w:rPr>
          <w:noProof/>
        </w:rPr>
        <w:t>4</w:t>
      </w:r>
    </w:p>
    <w:p w14:paraId="7E9B9A5F" w14:textId="1442777E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9  Opening balance of the special account</w:t>
      </w:r>
      <w:r>
        <w:rPr>
          <w:noProof/>
        </w:rPr>
        <w:tab/>
      </w:r>
      <w:r w:rsidR="00643D11">
        <w:rPr>
          <w:noProof/>
        </w:rPr>
        <w:t>4</w:t>
      </w:r>
    </w:p>
    <w:p w14:paraId="327E2054" w14:textId="1752D31A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 xml:space="preserve">10  Revocation of </w:t>
      </w:r>
      <w:r w:rsidR="007033B4" w:rsidRPr="00643D11">
        <w:rPr>
          <w:noProof/>
        </w:rPr>
        <w:t>Territories</w:t>
      </w:r>
      <w:r w:rsidRPr="00643D11">
        <w:rPr>
          <w:noProof/>
        </w:rPr>
        <w:t xml:space="preserve"> instrument</w:t>
      </w:r>
      <w:r w:rsidR="00BB7FD7" w:rsidRPr="00643D11">
        <w:rPr>
          <w:noProof/>
        </w:rPr>
        <w:t>s</w:t>
      </w:r>
      <w:r>
        <w:rPr>
          <w:noProof/>
        </w:rPr>
        <w:tab/>
      </w:r>
      <w:r w:rsidR="00643D11">
        <w:rPr>
          <w:noProof/>
        </w:rPr>
        <w:t>4</w:t>
      </w:r>
    </w:p>
    <w:p w14:paraId="2BAB0D0F" w14:textId="49A3983A" w:rsidR="0085168A" w:rsidRPr="0092344D" w:rsidRDefault="0085168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11  Additional repeal provisions</w:t>
      </w:r>
      <w:r>
        <w:rPr>
          <w:noProof/>
        </w:rPr>
        <w:tab/>
      </w:r>
      <w:r w:rsidR="00643D11">
        <w:rPr>
          <w:noProof/>
        </w:rPr>
        <w:t>4</w:t>
      </w:r>
    </w:p>
    <w:p w14:paraId="5C20CA6B" w14:textId="77777777" w:rsidR="00670EA1" w:rsidRPr="00CE103E" w:rsidRDefault="008A6F80" w:rsidP="00715914">
      <w:r>
        <w:fldChar w:fldCharType="end"/>
      </w:r>
    </w:p>
    <w:p w14:paraId="71026022" w14:textId="77777777" w:rsidR="00670EA1" w:rsidRPr="00CE103E" w:rsidRDefault="00670EA1" w:rsidP="00715914">
      <w:pPr>
        <w:sectPr w:rsidR="00670EA1" w:rsidRPr="00CE103E" w:rsidSect="00CE103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2EDC76" w14:textId="77777777" w:rsidR="005447C7" w:rsidRPr="00470FCE" w:rsidRDefault="005447C7" w:rsidP="005447C7">
      <w:pPr>
        <w:pStyle w:val="ActHead2"/>
      </w:pPr>
      <w:bookmarkStart w:id="3" w:name="_Toc62127975"/>
      <w:r w:rsidRPr="00470FCE">
        <w:rPr>
          <w:rStyle w:val="CharPartNo"/>
        </w:rPr>
        <w:lastRenderedPageBreak/>
        <w:t>Part</w:t>
      </w:r>
      <w:r w:rsidR="00CE103E" w:rsidRPr="00470FCE">
        <w:rPr>
          <w:rStyle w:val="CharPartNo"/>
        </w:rPr>
        <w:t> </w:t>
      </w:r>
      <w:r w:rsidRPr="00470FCE">
        <w:rPr>
          <w:rStyle w:val="CharPartNo"/>
        </w:rPr>
        <w:t>1</w:t>
      </w:r>
      <w:r w:rsidRPr="00470FCE">
        <w:t>—</w:t>
      </w:r>
      <w:r w:rsidR="003C1E6E" w:rsidRPr="00470FCE">
        <w:rPr>
          <w:rStyle w:val="CharPartText"/>
        </w:rPr>
        <w:t>Establishment</w:t>
      </w:r>
      <w:bookmarkEnd w:id="3"/>
    </w:p>
    <w:p w14:paraId="37CC41C1" w14:textId="77777777" w:rsidR="005447C7" w:rsidRPr="00470FCE" w:rsidRDefault="005447C7" w:rsidP="005447C7">
      <w:pPr>
        <w:pStyle w:val="Header"/>
      </w:pPr>
      <w:r w:rsidRPr="00470FCE">
        <w:rPr>
          <w:rStyle w:val="CharDivNo"/>
        </w:rPr>
        <w:t xml:space="preserve"> </w:t>
      </w:r>
      <w:r w:rsidRPr="00470FCE">
        <w:rPr>
          <w:rStyle w:val="CharDivText"/>
        </w:rPr>
        <w:t xml:space="preserve"> </w:t>
      </w:r>
    </w:p>
    <w:p w14:paraId="32036D5F" w14:textId="77777777" w:rsidR="00715914" w:rsidRPr="00470FCE" w:rsidRDefault="00715914" w:rsidP="00715914">
      <w:pPr>
        <w:pStyle w:val="ActHead5"/>
      </w:pPr>
      <w:bookmarkStart w:id="4" w:name="_Toc62127976"/>
      <w:r w:rsidRPr="00470FCE">
        <w:rPr>
          <w:rStyle w:val="CharSectno"/>
        </w:rPr>
        <w:t>1</w:t>
      </w:r>
      <w:r w:rsidRPr="00470FCE">
        <w:t xml:space="preserve">  </w:t>
      </w:r>
      <w:r w:rsidR="00CE493D" w:rsidRPr="00470FCE">
        <w:t>Name</w:t>
      </w:r>
      <w:bookmarkEnd w:id="4"/>
    </w:p>
    <w:p w14:paraId="4887A157" w14:textId="0A598EF8" w:rsidR="00715914" w:rsidRPr="00470FCE" w:rsidRDefault="00715914" w:rsidP="00715914">
      <w:pPr>
        <w:pStyle w:val="subsection"/>
      </w:pPr>
      <w:r w:rsidRPr="00470FCE">
        <w:tab/>
      </w:r>
      <w:r w:rsidRPr="00470FCE">
        <w:tab/>
        <w:t>This</w:t>
      </w:r>
      <w:r w:rsidR="003B0F4A" w:rsidRPr="00470FCE">
        <w:t xml:space="preserve"> instrument</w:t>
      </w:r>
      <w:r w:rsidRPr="00470FCE">
        <w:t xml:space="preserve"> </w:t>
      </w:r>
      <w:r w:rsidR="00CE493D" w:rsidRPr="00470FCE">
        <w:t xml:space="preserve">is </w:t>
      </w:r>
      <w:r w:rsidR="00CE493D" w:rsidRPr="007C60A0">
        <w:t xml:space="preserve">the </w:t>
      </w:r>
      <w:bookmarkStart w:id="5" w:name="BKCheck15B_3"/>
      <w:bookmarkEnd w:id="5"/>
      <w:r w:rsidR="000C521A" w:rsidRPr="007C60A0">
        <w:rPr>
          <w:i/>
        </w:rPr>
        <w:t>PGPA Act Determination (</w:t>
      </w:r>
      <w:bookmarkStart w:id="6" w:name="_Hlk132905442"/>
      <w:r w:rsidR="000C457C">
        <w:rPr>
          <w:i/>
        </w:rPr>
        <w:t>Indian Ocean, Jervis Bay and Norfolk Island</w:t>
      </w:r>
      <w:bookmarkEnd w:id="6"/>
      <w:r w:rsidR="000C457C">
        <w:rPr>
          <w:i/>
        </w:rPr>
        <w:t xml:space="preserve"> </w:t>
      </w:r>
      <w:r w:rsidR="00BB7FD7" w:rsidRPr="001610EF">
        <w:rPr>
          <w:i/>
        </w:rPr>
        <w:t>Territories</w:t>
      </w:r>
      <w:r w:rsidR="00214139" w:rsidRPr="001610EF">
        <w:rPr>
          <w:i/>
        </w:rPr>
        <w:t xml:space="preserve"> </w:t>
      </w:r>
      <w:r w:rsidR="00D15CBB" w:rsidRPr="001610EF">
        <w:rPr>
          <w:i/>
        </w:rPr>
        <w:t xml:space="preserve">Special Account </w:t>
      </w:r>
      <w:r w:rsidR="004753BC" w:rsidRPr="001610EF">
        <w:rPr>
          <w:i/>
        </w:rPr>
        <w:t>202</w:t>
      </w:r>
      <w:r w:rsidR="00214139" w:rsidRPr="001610EF">
        <w:rPr>
          <w:i/>
        </w:rPr>
        <w:t>3</w:t>
      </w:r>
      <w:r w:rsidR="000C521A" w:rsidRPr="007C60A0">
        <w:rPr>
          <w:i/>
        </w:rPr>
        <w:t>)</w:t>
      </w:r>
      <w:r w:rsidRPr="00470FCE">
        <w:t>.</w:t>
      </w:r>
      <w:r w:rsidR="00DA5F6F" w:rsidRPr="00470FCE">
        <w:t xml:space="preserve"> </w:t>
      </w:r>
    </w:p>
    <w:p w14:paraId="1645598E" w14:textId="77777777" w:rsidR="000C521A" w:rsidRPr="00246399" w:rsidRDefault="000C521A" w:rsidP="000C521A">
      <w:pPr>
        <w:pStyle w:val="ActHead5"/>
        <w:rPr>
          <w:rStyle w:val="CharSectno"/>
        </w:rPr>
      </w:pPr>
      <w:bookmarkStart w:id="7" w:name="_Toc62127977"/>
      <w:r w:rsidRPr="00470FCE">
        <w:rPr>
          <w:rStyle w:val="CharSectno"/>
        </w:rPr>
        <w:t>2  Commencement</w:t>
      </w:r>
      <w:bookmarkEnd w:id="7"/>
    </w:p>
    <w:p w14:paraId="7D8952FB" w14:textId="77777777" w:rsidR="000C521A" w:rsidRPr="00CE103E" w:rsidRDefault="000C521A" w:rsidP="000C521A">
      <w:pPr>
        <w:pStyle w:val="subsection"/>
      </w:pPr>
      <w:r>
        <w:tab/>
        <w:t>(1)</w:t>
      </w:r>
      <w:r>
        <w:tab/>
      </w:r>
      <w:r w:rsidRPr="00CE103E">
        <w:t>Each provision of this</w:t>
      </w:r>
      <w:r w:rsidR="004D7DE7">
        <w:t xml:space="preserve"> instrument specified in column </w:t>
      </w:r>
      <w:r w:rsidRPr="00CE103E">
        <w:t>1 of the table commences, or is taken to have comme</w:t>
      </w:r>
      <w:r w:rsidR="004D7DE7">
        <w:t>nced, in accordance with column </w:t>
      </w:r>
      <w:r w:rsidRPr="00CE103E">
        <w:t>2 of the table</w:t>
      </w:r>
      <w:r w:rsidR="004D7DE7">
        <w:t>. Any other statement in column </w:t>
      </w:r>
      <w:r w:rsidRPr="00CE103E">
        <w:t>2 has effect according to its terms.</w:t>
      </w:r>
    </w:p>
    <w:p w14:paraId="18416272" w14:textId="77777777" w:rsidR="000C521A" w:rsidRPr="00CE103E" w:rsidRDefault="000C521A" w:rsidP="000C521A">
      <w:pPr>
        <w:pStyle w:val="Tabletext"/>
      </w:pPr>
    </w:p>
    <w:tbl>
      <w:tblPr>
        <w:tblW w:w="8216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68"/>
        <w:gridCol w:w="3661"/>
        <w:gridCol w:w="2687"/>
      </w:tblGrid>
      <w:tr w:rsidR="000C521A" w:rsidRPr="004257B1" w14:paraId="7207555E" w14:textId="77777777" w:rsidTr="00E760E5">
        <w:trPr>
          <w:trHeight w:val="263"/>
          <w:tblHeader/>
        </w:trPr>
        <w:tc>
          <w:tcPr>
            <w:tcW w:w="18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F6A5B40" w14:textId="77777777" w:rsidR="000C521A" w:rsidRPr="00CE103E" w:rsidRDefault="000C521A" w:rsidP="00E760E5">
            <w:pPr>
              <w:pStyle w:val="TableHeading"/>
            </w:pPr>
            <w:r w:rsidRPr="00CE103E">
              <w:t>Column 1</w:t>
            </w:r>
          </w:p>
        </w:tc>
        <w:tc>
          <w:tcPr>
            <w:tcW w:w="36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E3B63B1" w14:textId="77777777" w:rsidR="000C521A" w:rsidRPr="00CE103E" w:rsidRDefault="000C521A" w:rsidP="00E760E5">
            <w:pPr>
              <w:pStyle w:val="TableHeading"/>
            </w:pPr>
            <w:r w:rsidRPr="00CE103E">
              <w:t>Column 2</w:t>
            </w:r>
          </w:p>
        </w:tc>
        <w:tc>
          <w:tcPr>
            <w:tcW w:w="2687" w:type="dxa"/>
            <w:tcBorders>
              <w:top w:val="single" w:sz="2" w:space="0" w:color="auto"/>
              <w:bottom w:val="single" w:sz="2" w:space="0" w:color="auto"/>
            </w:tcBorders>
          </w:tcPr>
          <w:p w14:paraId="576C550A" w14:textId="77777777" w:rsidR="000C521A" w:rsidRPr="00CE103E" w:rsidRDefault="000C521A" w:rsidP="00E760E5">
            <w:pPr>
              <w:pStyle w:val="TableHeading"/>
            </w:pPr>
            <w:r w:rsidRPr="00CE103E">
              <w:t>Column 3</w:t>
            </w:r>
          </w:p>
        </w:tc>
      </w:tr>
      <w:tr w:rsidR="000C521A" w:rsidRPr="004257B1" w14:paraId="3E3629D8" w14:textId="77777777" w:rsidTr="00E760E5">
        <w:trPr>
          <w:trHeight w:val="256"/>
          <w:tblHeader/>
        </w:trPr>
        <w:tc>
          <w:tcPr>
            <w:tcW w:w="18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E62F734" w14:textId="77777777" w:rsidR="000C521A" w:rsidRPr="00CE103E" w:rsidRDefault="000C521A" w:rsidP="00E760E5">
            <w:pPr>
              <w:pStyle w:val="TableHeading"/>
            </w:pPr>
            <w:r w:rsidRPr="00CE103E">
              <w:t>Provisions</w:t>
            </w:r>
          </w:p>
        </w:tc>
        <w:tc>
          <w:tcPr>
            <w:tcW w:w="36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5B249B3" w14:textId="77777777" w:rsidR="000C521A" w:rsidRPr="00CE103E" w:rsidRDefault="000C521A" w:rsidP="00E760E5">
            <w:pPr>
              <w:pStyle w:val="TableHeading"/>
            </w:pPr>
            <w:r w:rsidRPr="00CE103E">
              <w:t>Commencement</w:t>
            </w:r>
          </w:p>
        </w:tc>
        <w:tc>
          <w:tcPr>
            <w:tcW w:w="2687" w:type="dxa"/>
            <w:tcBorders>
              <w:top w:val="single" w:sz="2" w:space="0" w:color="auto"/>
              <w:bottom w:val="single" w:sz="12" w:space="0" w:color="auto"/>
            </w:tcBorders>
          </w:tcPr>
          <w:p w14:paraId="33C240A1" w14:textId="77777777" w:rsidR="000C521A" w:rsidRPr="00CE103E" w:rsidRDefault="000C521A" w:rsidP="00E760E5">
            <w:pPr>
              <w:pStyle w:val="TableHeading"/>
            </w:pPr>
            <w:r w:rsidRPr="00CE103E">
              <w:t>Date/Details</w:t>
            </w:r>
          </w:p>
        </w:tc>
      </w:tr>
      <w:tr w:rsidR="000C521A" w:rsidRPr="004257B1" w14:paraId="5E58A418" w14:textId="77777777" w:rsidTr="003C1E6E">
        <w:trPr>
          <w:trHeight w:val="615"/>
        </w:trPr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F016A4" w14:textId="77777777" w:rsidR="000C521A" w:rsidRPr="00CE103E" w:rsidRDefault="000C521A" w:rsidP="00E760E5">
            <w:pPr>
              <w:pStyle w:val="Tabletext"/>
            </w:pPr>
            <w:r w:rsidRPr="00CE103E">
              <w:t>The whole of this instrument</w:t>
            </w:r>
          </w:p>
        </w:tc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A15CE2" w14:textId="770E53CE" w:rsidR="00C03949" w:rsidRPr="00CE103E" w:rsidRDefault="00E966CB" w:rsidP="004753BC">
            <w:pPr>
              <w:pStyle w:val="Tabletext"/>
            </w:pPr>
            <w:r>
              <w:t>T</w:t>
            </w:r>
            <w:r w:rsidRPr="00213422">
              <w:t xml:space="preserve">he </w:t>
            </w:r>
            <w:r w:rsidR="00D25529" w:rsidRPr="00D25529">
              <w:t xml:space="preserve">later of the </w:t>
            </w:r>
            <w:r w:rsidRPr="00213422">
              <w:t xml:space="preserve">day mentioned in </w:t>
            </w:r>
            <w:r>
              <w:t>paragraph</w:t>
            </w:r>
            <w:r w:rsidRPr="00213422">
              <w:t> </w:t>
            </w:r>
            <w:r w:rsidRPr="007C60A0">
              <w:t>79(5)(a)</w:t>
            </w:r>
            <w:r w:rsidRPr="00213422">
              <w:t xml:space="preserve"> of the Act</w:t>
            </w:r>
            <w:r w:rsidR="00D25529">
              <w:t xml:space="preserve"> </w:t>
            </w:r>
            <w:r w:rsidR="005F480F">
              <w:t>and</w:t>
            </w:r>
            <w:r w:rsidR="00D25529">
              <w:t xml:space="preserve"> </w:t>
            </w:r>
            <w:r w:rsidR="006D2FEF">
              <w:t>1 July</w:t>
            </w:r>
            <w:r w:rsidR="004753BC" w:rsidRPr="006D2FEF">
              <w:t> 202</w:t>
            </w:r>
            <w:r w:rsidR="00214139" w:rsidRPr="006D2FEF">
              <w:t>3</w:t>
            </w:r>
            <w:r w:rsidR="007B0E8C">
              <w:t xml:space="preserve">. </w:t>
            </w:r>
            <w:r w:rsidR="00D25529">
              <w:t xml:space="preserve"> </w:t>
            </w:r>
            <w:r>
              <w:br/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</w:tcBorders>
          </w:tcPr>
          <w:p w14:paraId="187512A3" w14:textId="77777777" w:rsidR="000C521A" w:rsidRPr="00CE103E" w:rsidRDefault="000C521A" w:rsidP="00E760E5">
            <w:pPr>
              <w:pStyle w:val="Tabletext"/>
            </w:pPr>
          </w:p>
        </w:tc>
      </w:tr>
    </w:tbl>
    <w:p w14:paraId="099C255B" w14:textId="77777777" w:rsidR="000C521A" w:rsidRPr="00CE103E" w:rsidRDefault="004D7DE7" w:rsidP="000C521A">
      <w:pPr>
        <w:pStyle w:val="subsection"/>
      </w:pPr>
      <w:r>
        <w:tab/>
        <w:t>(2)</w:t>
      </w:r>
      <w:r>
        <w:tab/>
        <w:t>Any information in column </w:t>
      </w:r>
      <w:r w:rsidR="000C521A" w:rsidRPr="00CE103E">
        <w:t>3 of the table is not part of this instrument. Information may be inserted in this column, or information in it may be edited, in any version of this instrument</w:t>
      </w:r>
      <w:r w:rsidR="000C521A">
        <w:t xml:space="preserve"> </w:t>
      </w:r>
      <w:r w:rsidR="000C521A" w:rsidRPr="00CE103E">
        <w:t>published</w:t>
      </w:r>
      <w:r w:rsidR="000C521A">
        <w:t xml:space="preserve"> on the Federal Register of Legislation</w:t>
      </w:r>
      <w:r w:rsidR="000C521A" w:rsidRPr="00CE103E">
        <w:t>.</w:t>
      </w:r>
    </w:p>
    <w:p w14:paraId="4651D878" w14:textId="77777777" w:rsidR="000C521A" w:rsidRPr="00CE103E" w:rsidRDefault="000C521A" w:rsidP="000C521A">
      <w:pPr>
        <w:pStyle w:val="ActHead5"/>
      </w:pPr>
      <w:bookmarkStart w:id="8" w:name="_Toc475974356"/>
      <w:bookmarkStart w:id="9" w:name="_Toc62127978"/>
      <w:r w:rsidRPr="00CE103E">
        <w:rPr>
          <w:rStyle w:val="CharSectno"/>
        </w:rPr>
        <w:t>3</w:t>
      </w:r>
      <w:r w:rsidRPr="00CE103E">
        <w:t xml:space="preserve">  Authority</w:t>
      </w:r>
      <w:bookmarkEnd w:id="8"/>
      <w:bookmarkEnd w:id="9"/>
    </w:p>
    <w:p w14:paraId="4CEA4737" w14:textId="77777777" w:rsidR="000C521A" w:rsidRPr="00CE103E" w:rsidRDefault="000C521A" w:rsidP="000C521A">
      <w:pPr>
        <w:pStyle w:val="subsection"/>
      </w:pPr>
      <w:r w:rsidRPr="00CE103E">
        <w:tab/>
      </w:r>
      <w:r w:rsidRPr="00CE103E">
        <w:tab/>
        <w:t>This instrument is made under subsection</w:t>
      </w:r>
      <w:r w:rsidR="0086159B">
        <w:t>s</w:t>
      </w:r>
      <w:r w:rsidRPr="00CE103E">
        <w:t> </w:t>
      </w:r>
      <w:r w:rsidRPr="007C60A0">
        <w:t>78(1)</w:t>
      </w:r>
      <w:r w:rsidR="00B67826" w:rsidRPr="007C60A0">
        <w:t xml:space="preserve"> </w:t>
      </w:r>
      <w:r w:rsidR="0086159B" w:rsidRPr="007C60A0">
        <w:t>and 78(3)</w:t>
      </w:r>
      <w:r w:rsidR="0086159B">
        <w:t xml:space="preserve"> </w:t>
      </w:r>
      <w:r w:rsidR="004D7DE7">
        <w:t>of the Act</w:t>
      </w:r>
      <w:r>
        <w:t>.</w:t>
      </w:r>
    </w:p>
    <w:p w14:paraId="52BAD7BB" w14:textId="77777777" w:rsidR="00501F7C" w:rsidRPr="00CE103E" w:rsidRDefault="00501F7C" w:rsidP="00501F7C">
      <w:pPr>
        <w:pStyle w:val="ActHead5"/>
      </w:pPr>
      <w:bookmarkStart w:id="10" w:name="_Toc62127979"/>
      <w:r w:rsidRPr="00CE103E">
        <w:rPr>
          <w:rStyle w:val="CharSectno"/>
        </w:rPr>
        <w:t>4</w:t>
      </w:r>
      <w:r w:rsidRPr="00CE103E">
        <w:t xml:space="preserve">  Definitions</w:t>
      </w:r>
      <w:bookmarkEnd w:id="10"/>
    </w:p>
    <w:p w14:paraId="64F2F719" w14:textId="77777777" w:rsidR="00501F7C" w:rsidRPr="00CE103E" w:rsidRDefault="00501F7C" w:rsidP="00501F7C">
      <w:pPr>
        <w:pStyle w:val="subsection"/>
      </w:pPr>
      <w:r w:rsidRPr="00CE103E">
        <w:tab/>
      </w:r>
      <w:r w:rsidRPr="00CE103E">
        <w:tab/>
        <w:t>In this instrument:</w:t>
      </w:r>
    </w:p>
    <w:p w14:paraId="212A1712" w14:textId="6E5A5D12" w:rsidR="00DD7846" w:rsidRDefault="008418C5" w:rsidP="0011243A">
      <w:pPr>
        <w:pStyle w:val="Definition"/>
      </w:pPr>
      <w:r>
        <w:rPr>
          <w:b/>
          <w:i/>
        </w:rPr>
        <w:t>Act</w:t>
      </w:r>
      <w:r w:rsidRPr="008418C5">
        <w:t xml:space="preserve"> </w:t>
      </w:r>
      <w:r w:rsidRPr="00CE103E">
        <w:t xml:space="preserve">means the </w:t>
      </w:r>
      <w:r w:rsidRPr="00CE103E">
        <w:rPr>
          <w:i/>
        </w:rPr>
        <w:t>Public Governance, Performance and Accountability Act 2013</w:t>
      </w:r>
      <w:r w:rsidRPr="00CE103E">
        <w:t>.</w:t>
      </w:r>
    </w:p>
    <w:p w14:paraId="1BB165CA" w14:textId="6526A95E" w:rsidR="00662AA0" w:rsidRPr="00662AA0" w:rsidRDefault="00662AA0" w:rsidP="0011243A">
      <w:pPr>
        <w:pStyle w:val="Definition"/>
      </w:pPr>
      <w:r>
        <w:rPr>
          <w:b/>
          <w:i/>
        </w:rPr>
        <w:t xml:space="preserve">Indian Ocean Territories </w:t>
      </w:r>
      <w:r w:rsidRPr="00DF6251">
        <w:rPr>
          <w:iCs/>
        </w:rPr>
        <w:t xml:space="preserve">means the external territories of </w:t>
      </w:r>
      <w:r w:rsidR="00B0069F" w:rsidRPr="00DF6251">
        <w:rPr>
          <w:iCs/>
        </w:rPr>
        <w:t>Christmas Island and the Cocos</w:t>
      </w:r>
      <w:r w:rsidR="00DF6251">
        <w:rPr>
          <w:iCs/>
        </w:rPr>
        <w:t xml:space="preserve"> </w:t>
      </w:r>
      <w:r w:rsidR="00B0069F" w:rsidRPr="00DF6251">
        <w:rPr>
          <w:iCs/>
        </w:rPr>
        <w:t>(Keeling) Islands, collectively</w:t>
      </w:r>
      <w:r w:rsidR="00B0069F">
        <w:rPr>
          <w:i/>
        </w:rPr>
        <w:t>.</w:t>
      </w:r>
    </w:p>
    <w:p w14:paraId="42E18414" w14:textId="568B9BC8" w:rsidR="000D53DC" w:rsidRPr="00470FCE" w:rsidRDefault="00BB7FD7" w:rsidP="000D53DC">
      <w:pPr>
        <w:pStyle w:val="Definition"/>
      </w:pPr>
      <w:r w:rsidRPr="00643D11">
        <w:rPr>
          <w:b/>
          <w:i/>
        </w:rPr>
        <w:t>Territories</w:t>
      </w:r>
      <w:r w:rsidR="000D53DC" w:rsidRPr="00643D11">
        <w:rPr>
          <w:b/>
          <w:i/>
        </w:rPr>
        <w:t xml:space="preserve"> instrument</w:t>
      </w:r>
      <w:r w:rsidRPr="00643D11">
        <w:rPr>
          <w:b/>
          <w:i/>
        </w:rPr>
        <w:t>s</w:t>
      </w:r>
      <w:r w:rsidR="000D53DC" w:rsidRPr="00470FCE">
        <w:rPr>
          <w:b/>
          <w:i/>
        </w:rPr>
        <w:t xml:space="preserve"> </w:t>
      </w:r>
      <w:r w:rsidR="000D53DC" w:rsidRPr="00470FCE">
        <w:t xml:space="preserve">means the </w:t>
      </w:r>
      <w:r w:rsidRPr="00BB7FD7">
        <w:rPr>
          <w:i/>
        </w:rPr>
        <w:t>PGPA Act (Indian Ocean Territories Special Account 2014 – Establishment) Determination 02</w:t>
      </w:r>
      <w:r>
        <w:rPr>
          <w:i/>
        </w:rPr>
        <w:t xml:space="preserve"> </w:t>
      </w:r>
      <w:r>
        <w:rPr>
          <w:iCs/>
        </w:rPr>
        <w:t xml:space="preserve">and the </w:t>
      </w:r>
      <w:r w:rsidRPr="00BB7FD7">
        <w:rPr>
          <w:i/>
        </w:rPr>
        <w:t>PGPA Act (Jervis Bay Territory Special Account 2014 – Establishment) Determination 03</w:t>
      </w:r>
      <w:r w:rsidR="000D53DC" w:rsidRPr="00470FCE">
        <w:t>.</w:t>
      </w:r>
    </w:p>
    <w:p w14:paraId="548F7B44" w14:textId="23FAD8EA" w:rsidR="0086159B" w:rsidRDefault="00EB6EA8" w:rsidP="0086159B">
      <w:pPr>
        <w:pStyle w:val="Definition"/>
        <w:rPr>
          <w:i/>
        </w:rPr>
      </w:pPr>
      <w:r w:rsidRPr="00643D11">
        <w:rPr>
          <w:b/>
          <w:i/>
        </w:rPr>
        <w:t>Territories Special Accounts 2014</w:t>
      </w:r>
      <w:r w:rsidR="00DE1B86" w:rsidRPr="00643D11">
        <w:rPr>
          <w:b/>
          <w:i/>
        </w:rPr>
        <w:t xml:space="preserve"> </w:t>
      </w:r>
      <w:r w:rsidR="0086159B" w:rsidRPr="00BB7FD7">
        <w:t xml:space="preserve">means the </w:t>
      </w:r>
      <w:r w:rsidR="00BB7FD7" w:rsidRPr="00BB7FD7">
        <w:rPr>
          <w:i/>
        </w:rPr>
        <w:t>Indian Ocean Territories Special Account 2014</w:t>
      </w:r>
      <w:r w:rsidR="00BB7FD7">
        <w:rPr>
          <w:i/>
        </w:rPr>
        <w:t xml:space="preserve"> </w:t>
      </w:r>
      <w:r w:rsidR="00BB7FD7">
        <w:rPr>
          <w:iCs/>
        </w:rPr>
        <w:t xml:space="preserve">and the </w:t>
      </w:r>
      <w:r w:rsidR="00BB7FD7" w:rsidRPr="00BB7FD7">
        <w:rPr>
          <w:i/>
        </w:rPr>
        <w:t>Jervis Bay Territory Special Account 2014</w:t>
      </w:r>
      <w:r w:rsidR="008B0B32" w:rsidRPr="00BB7FD7">
        <w:rPr>
          <w:i/>
        </w:rPr>
        <w:t xml:space="preserve"> </w:t>
      </w:r>
      <w:r w:rsidR="0086159B" w:rsidRPr="00BB7FD7">
        <w:t xml:space="preserve">established by the </w:t>
      </w:r>
      <w:r w:rsidR="00BB7FD7" w:rsidRPr="00643D11">
        <w:t>Territories</w:t>
      </w:r>
      <w:r w:rsidR="00DE1B86" w:rsidRPr="00643D11">
        <w:t xml:space="preserve"> instrument</w:t>
      </w:r>
      <w:r w:rsidR="00E93DC7" w:rsidRPr="00643D11">
        <w:t>s</w:t>
      </w:r>
      <w:r w:rsidR="0086159B" w:rsidRPr="00643D11">
        <w:rPr>
          <w:i/>
        </w:rPr>
        <w:t>.</w:t>
      </w:r>
      <w:r w:rsidR="0086159B" w:rsidRPr="00470FCE">
        <w:rPr>
          <w:i/>
        </w:rPr>
        <w:t xml:space="preserve"> </w:t>
      </w:r>
    </w:p>
    <w:p w14:paraId="7755AA2E" w14:textId="1707AC3F" w:rsidR="003B1CAF" w:rsidRPr="003B1CAF" w:rsidRDefault="003B1CAF" w:rsidP="0086159B">
      <w:pPr>
        <w:pStyle w:val="Definition"/>
        <w:rPr>
          <w:bCs/>
          <w:iCs/>
        </w:rPr>
      </w:pPr>
      <w:r>
        <w:rPr>
          <w:b/>
          <w:i/>
        </w:rPr>
        <w:t xml:space="preserve">the Department </w:t>
      </w:r>
      <w:r>
        <w:rPr>
          <w:bCs/>
          <w:iCs/>
        </w:rPr>
        <w:t xml:space="preserve">means the </w:t>
      </w:r>
      <w:r>
        <w:t>Department of Infrastructure, Transport, Regional Development, Communications and the Arts</w:t>
      </w:r>
      <w:r w:rsidRPr="00470FCE">
        <w:t>.</w:t>
      </w:r>
    </w:p>
    <w:p w14:paraId="75395DC0" w14:textId="54636868" w:rsidR="00AD7631" w:rsidRPr="00470FCE" w:rsidRDefault="00AD7631" w:rsidP="005B7F20">
      <w:pPr>
        <w:pStyle w:val="Definition"/>
      </w:pPr>
      <w:r w:rsidRPr="00470FCE">
        <w:rPr>
          <w:b/>
          <w:i/>
        </w:rPr>
        <w:t xml:space="preserve">the special account </w:t>
      </w:r>
      <w:r w:rsidRPr="00470FCE">
        <w:t xml:space="preserve">means the </w:t>
      </w:r>
      <w:r w:rsidR="00E650A4">
        <w:rPr>
          <w:i/>
        </w:rPr>
        <w:t>Indian Ocean, Jervis Bay and Norfolk Island</w:t>
      </w:r>
      <w:r w:rsidR="00E650A4" w:rsidRPr="001610EF">
        <w:rPr>
          <w:i/>
        </w:rPr>
        <w:t xml:space="preserve"> </w:t>
      </w:r>
      <w:r w:rsidR="00BB7FD7" w:rsidRPr="001610EF">
        <w:rPr>
          <w:i/>
        </w:rPr>
        <w:t>Territories</w:t>
      </w:r>
      <w:r w:rsidR="00962499" w:rsidRPr="001610EF">
        <w:rPr>
          <w:i/>
        </w:rPr>
        <w:t xml:space="preserve"> Special Account 2023</w:t>
      </w:r>
      <w:r w:rsidR="00803BD2" w:rsidRPr="00470FCE">
        <w:rPr>
          <w:i/>
        </w:rPr>
        <w:t xml:space="preserve"> </w:t>
      </w:r>
      <w:r w:rsidR="00C52497" w:rsidRPr="00470FCE">
        <w:t>established by this instrument</w:t>
      </w:r>
      <w:r w:rsidRPr="00470FCE">
        <w:t>.</w:t>
      </w:r>
    </w:p>
    <w:p w14:paraId="34CE9433" w14:textId="77777777" w:rsidR="003C1E6E" w:rsidRPr="00470FCE" w:rsidRDefault="003C1E6E" w:rsidP="003C1E6E">
      <w:pPr>
        <w:pStyle w:val="ActHead5"/>
      </w:pPr>
      <w:bookmarkStart w:id="11" w:name="_Toc62127980"/>
      <w:bookmarkStart w:id="12" w:name="_Toc499048314"/>
      <w:r w:rsidRPr="00470FCE">
        <w:rPr>
          <w:rStyle w:val="CharSectno"/>
        </w:rPr>
        <w:lastRenderedPageBreak/>
        <w:t>5</w:t>
      </w:r>
      <w:r w:rsidRPr="00470FCE">
        <w:t xml:space="preserve">  Establishment of the special account</w:t>
      </w:r>
      <w:bookmarkEnd w:id="11"/>
    </w:p>
    <w:p w14:paraId="74182F55" w14:textId="37CD73DD" w:rsidR="003C1E6E" w:rsidRPr="00470FCE" w:rsidRDefault="003C1E6E" w:rsidP="003C1E6E">
      <w:pPr>
        <w:pStyle w:val="subsection"/>
      </w:pPr>
      <w:r w:rsidRPr="00470FCE">
        <w:tab/>
      </w:r>
      <w:r w:rsidRPr="00470FCE">
        <w:tab/>
        <w:t xml:space="preserve">For </w:t>
      </w:r>
      <w:r w:rsidR="0088445A">
        <w:t>paragraph</w:t>
      </w:r>
      <w:r w:rsidR="0088445A" w:rsidRPr="00470FCE">
        <w:t> </w:t>
      </w:r>
      <w:r w:rsidRPr="007C60A0">
        <w:t>78(1)(a)</w:t>
      </w:r>
      <w:r w:rsidRPr="00470FCE">
        <w:t xml:space="preserve"> of the</w:t>
      </w:r>
      <w:r w:rsidRPr="00470FCE">
        <w:rPr>
          <w:i/>
        </w:rPr>
        <w:t xml:space="preserve"> </w:t>
      </w:r>
      <w:r w:rsidR="00641D5C" w:rsidRPr="00390038">
        <w:t>Act,</w:t>
      </w:r>
      <w:r w:rsidR="00641D5C">
        <w:rPr>
          <w:i/>
        </w:rPr>
        <w:t xml:space="preserve"> </w:t>
      </w:r>
      <w:r w:rsidR="00641D5C" w:rsidRPr="00B96AD2">
        <w:t>the</w:t>
      </w:r>
      <w:r w:rsidR="00641D5C" w:rsidRPr="00B96AD2">
        <w:rPr>
          <w:i/>
        </w:rPr>
        <w:t xml:space="preserve"> </w:t>
      </w:r>
      <w:r w:rsidR="00C62088" w:rsidRPr="009C3D7B">
        <w:rPr>
          <w:i/>
          <w:sz w:val="24"/>
          <w:szCs w:val="24"/>
        </w:rPr>
        <w:t>Indian Ocean, Jervis Bay and Norfolk Island</w:t>
      </w:r>
      <w:r w:rsidR="00C62088" w:rsidRPr="000366C3">
        <w:rPr>
          <w:i/>
          <w:sz w:val="24"/>
          <w:szCs w:val="24"/>
        </w:rPr>
        <w:t xml:space="preserve"> </w:t>
      </w:r>
      <w:r w:rsidR="00BB7FD7" w:rsidRPr="001610EF">
        <w:rPr>
          <w:i/>
        </w:rPr>
        <w:t>Territories</w:t>
      </w:r>
      <w:r w:rsidR="00962499" w:rsidRPr="001610EF">
        <w:rPr>
          <w:i/>
        </w:rPr>
        <w:t xml:space="preserve"> Special Account 2023</w:t>
      </w:r>
      <w:r w:rsidR="001F7FB2" w:rsidRPr="00B96AD2">
        <w:rPr>
          <w:i/>
        </w:rPr>
        <w:t xml:space="preserve"> </w:t>
      </w:r>
      <w:r w:rsidRPr="00B96AD2">
        <w:t>is established as a special</w:t>
      </w:r>
      <w:r w:rsidRPr="00470FCE">
        <w:t xml:space="preserve"> account.</w:t>
      </w:r>
    </w:p>
    <w:p w14:paraId="5EDCC2AB" w14:textId="77777777" w:rsidR="00F3295F" w:rsidRPr="00470FCE" w:rsidRDefault="003C1E6E" w:rsidP="00F3295F">
      <w:pPr>
        <w:pStyle w:val="ActHead5"/>
      </w:pPr>
      <w:bookmarkStart w:id="13" w:name="_Toc62127981"/>
      <w:r w:rsidRPr="00470FCE">
        <w:rPr>
          <w:rStyle w:val="CharSectno"/>
        </w:rPr>
        <w:t>6</w:t>
      </w:r>
      <w:r w:rsidR="00F3295F" w:rsidRPr="00470FCE">
        <w:t xml:space="preserve">  Accountable authority responsible for the special account</w:t>
      </w:r>
      <w:bookmarkEnd w:id="12"/>
      <w:bookmarkEnd w:id="13"/>
    </w:p>
    <w:p w14:paraId="644263EE" w14:textId="719D4E11" w:rsidR="00513149" w:rsidRPr="00470FCE" w:rsidRDefault="00F3295F" w:rsidP="006C1F26">
      <w:pPr>
        <w:pStyle w:val="subsection"/>
      </w:pPr>
      <w:r w:rsidRPr="00470FCE">
        <w:tab/>
      </w:r>
      <w:r w:rsidRPr="00470FCE">
        <w:tab/>
        <w:t xml:space="preserve">For </w:t>
      </w:r>
      <w:r w:rsidR="0088445A">
        <w:t>paragraph</w:t>
      </w:r>
      <w:r w:rsidR="0088445A" w:rsidRPr="00470FCE">
        <w:t> </w:t>
      </w:r>
      <w:r w:rsidRPr="007C60A0">
        <w:t>78(1)(d)</w:t>
      </w:r>
      <w:r w:rsidRPr="00470FCE">
        <w:t xml:space="preserve"> of the Act, the accountable authority responsible for the special account is </w:t>
      </w:r>
      <w:r w:rsidR="002D0590">
        <w:t xml:space="preserve">the Secretary of </w:t>
      </w:r>
      <w:r w:rsidRPr="00470FCE">
        <w:t>the</w:t>
      </w:r>
      <w:r w:rsidR="009A1A28">
        <w:t xml:space="preserve"> </w:t>
      </w:r>
      <w:r w:rsidR="00962499">
        <w:t>Department</w:t>
      </w:r>
      <w:r w:rsidR="00FB5693" w:rsidRPr="00470FCE">
        <w:t>.</w:t>
      </w:r>
    </w:p>
    <w:p w14:paraId="62009FB7" w14:textId="77777777" w:rsidR="00501F7C" w:rsidRPr="00CE103E" w:rsidRDefault="005447C7" w:rsidP="00513149">
      <w:pPr>
        <w:pStyle w:val="ActHead2"/>
      </w:pPr>
      <w:bookmarkStart w:id="14" w:name="f_Check_Lines_above"/>
      <w:bookmarkStart w:id="15" w:name="_Toc62127982"/>
      <w:bookmarkEnd w:id="14"/>
      <w:r w:rsidRPr="00470FCE">
        <w:rPr>
          <w:rStyle w:val="CharPartNo"/>
        </w:rPr>
        <w:t>Part</w:t>
      </w:r>
      <w:r w:rsidR="00CE103E" w:rsidRPr="00470FCE">
        <w:rPr>
          <w:rStyle w:val="CharPartNo"/>
        </w:rPr>
        <w:t> </w:t>
      </w:r>
      <w:r w:rsidRPr="00470FCE">
        <w:rPr>
          <w:rStyle w:val="CharPartNo"/>
        </w:rPr>
        <w:t>2</w:t>
      </w:r>
      <w:r w:rsidRPr="00470FCE">
        <w:t>—</w:t>
      </w:r>
      <w:r w:rsidR="003C1E6E" w:rsidRPr="00470FCE">
        <w:rPr>
          <w:rStyle w:val="CharPartText"/>
        </w:rPr>
        <w:t>S</w:t>
      </w:r>
      <w:r w:rsidRPr="00470FCE">
        <w:rPr>
          <w:rStyle w:val="CharPartText"/>
        </w:rPr>
        <w:t xml:space="preserve">pecial </w:t>
      </w:r>
      <w:r w:rsidR="00DA5F6F" w:rsidRPr="00470FCE">
        <w:rPr>
          <w:rStyle w:val="CharPartText"/>
        </w:rPr>
        <w:t>ac</w:t>
      </w:r>
      <w:r w:rsidRPr="00470FCE">
        <w:rPr>
          <w:rStyle w:val="CharPartText"/>
        </w:rPr>
        <w:t>count</w:t>
      </w:r>
      <w:r w:rsidR="003C1E6E" w:rsidRPr="00470FCE">
        <w:rPr>
          <w:rStyle w:val="CharPartText"/>
        </w:rPr>
        <w:t xml:space="preserve"> credits and debits</w:t>
      </w:r>
      <w:bookmarkEnd w:id="15"/>
    </w:p>
    <w:p w14:paraId="4CFC0BCB" w14:textId="77777777" w:rsidR="00DD0EE3" w:rsidRPr="00CE103E" w:rsidRDefault="00DD0EE3" w:rsidP="00DD0EE3">
      <w:pPr>
        <w:pStyle w:val="Header"/>
      </w:pPr>
      <w:r w:rsidRPr="00CE103E">
        <w:rPr>
          <w:rStyle w:val="CharDivNo"/>
        </w:rPr>
        <w:t xml:space="preserve"> </w:t>
      </w:r>
      <w:r w:rsidRPr="00CE103E">
        <w:rPr>
          <w:rStyle w:val="CharDivText"/>
        </w:rPr>
        <w:t xml:space="preserve"> </w:t>
      </w:r>
    </w:p>
    <w:p w14:paraId="7C5D3C31" w14:textId="77777777" w:rsidR="005447C7" w:rsidRPr="00CE103E" w:rsidRDefault="003C1E6E" w:rsidP="005447C7">
      <w:pPr>
        <w:pStyle w:val="ActHead5"/>
      </w:pPr>
      <w:bookmarkStart w:id="16" w:name="_Toc62127983"/>
      <w:r>
        <w:rPr>
          <w:rStyle w:val="CharSectno"/>
        </w:rPr>
        <w:t>7</w:t>
      </w:r>
      <w:r w:rsidR="005447C7" w:rsidRPr="00CE103E">
        <w:t xml:space="preserve">  Amounts </w:t>
      </w:r>
      <w:r w:rsidR="00C03949">
        <w:t xml:space="preserve">that may be </w:t>
      </w:r>
      <w:r w:rsidR="005447C7" w:rsidRPr="00CE103E">
        <w:t xml:space="preserve">credited to </w:t>
      </w:r>
      <w:r w:rsidR="006F51FF">
        <w:t xml:space="preserve">the </w:t>
      </w:r>
      <w:r w:rsidR="00455E1A">
        <w:t>special a</w:t>
      </w:r>
      <w:r w:rsidR="005447C7" w:rsidRPr="00CE103E">
        <w:t>ccount</w:t>
      </w:r>
      <w:bookmarkEnd w:id="16"/>
    </w:p>
    <w:p w14:paraId="1FDB0EA7" w14:textId="77777777" w:rsidR="005447C7" w:rsidRPr="00CE103E" w:rsidRDefault="005447C7" w:rsidP="005447C7">
      <w:pPr>
        <w:pStyle w:val="subsection"/>
      </w:pPr>
      <w:r w:rsidRPr="00CE103E">
        <w:tab/>
      </w:r>
      <w:r w:rsidRPr="00CE103E">
        <w:tab/>
        <w:t xml:space="preserve">For </w:t>
      </w:r>
      <w:r w:rsidR="0088445A">
        <w:t>paragraph</w:t>
      </w:r>
      <w:r w:rsidR="0088445A" w:rsidRPr="00CE103E">
        <w:t> </w:t>
      </w:r>
      <w:r w:rsidRPr="007C60A0">
        <w:t>78(1)(b)</w:t>
      </w:r>
      <w:r w:rsidRPr="00CE103E">
        <w:t xml:space="preserve"> of the Act, </w:t>
      </w:r>
      <w:r w:rsidR="009D4C29">
        <w:t>the following amounts</w:t>
      </w:r>
      <w:r w:rsidR="009A7429">
        <w:t xml:space="preserve"> </w:t>
      </w:r>
      <w:r w:rsidR="00CB1962">
        <w:t>may be credited to the special account</w:t>
      </w:r>
      <w:r w:rsidRPr="00CE103E">
        <w:t>:</w:t>
      </w:r>
    </w:p>
    <w:p w14:paraId="783F0662" w14:textId="1F65BF11" w:rsidR="00EB6EA8" w:rsidRDefault="001D058D" w:rsidP="00D4742A">
      <w:pPr>
        <w:pStyle w:val="paragraph"/>
        <w:numPr>
          <w:ilvl w:val="0"/>
          <w:numId w:val="27"/>
        </w:numPr>
        <w:spacing w:before="120"/>
        <w:ind w:left="1560" w:hanging="426"/>
      </w:pPr>
      <w:r w:rsidRPr="00962499">
        <w:t xml:space="preserve">amounts </w:t>
      </w:r>
      <w:r w:rsidR="00CA4FBE" w:rsidRPr="00CA4FBE">
        <w:t>received by the Commonwealth in relation to the provision, within the Indian Ocean Territories and Jervis Bay Territory, of:</w:t>
      </w:r>
    </w:p>
    <w:p w14:paraId="29D97AB6" w14:textId="0434F85D" w:rsidR="00A02416" w:rsidRDefault="00A02416" w:rsidP="00D4742A">
      <w:pPr>
        <w:pStyle w:val="paragraph"/>
        <w:numPr>
          <w:ilvl w:val="0"/>
          <w:numId w:val="32"/>
        </w:numPr>
        <w:spacing w:before="120"/>
      </w:pPr>
      <w:r>
        <w:t xml:space="preserve">services </w:t>
      </w:r>
      <w:r w:rsidR="00195D3A">
        <w:t>including but not limited to,</w:t>
      </w:r>
      <w:r w:rsidRPr="00EB6EA8">
        <w:t xml:space="preserve"> power, water, healthcare, and medical supplies</w:t>
      </w:r>
      <w:r>
        <w:t>;</w:t>
      </w:r>
    </w:p>
    <w:p w14:paraId="213285C7" w14:textId="51E651CF" w:rsidR="00A02416" w:rsidRDefault="00CA4FBE" w:rsidP="00CA4FBE">
      <w:pPr>
        <w:pStyle w:val="paragraph"/>
        <w:numPr>
          <w:ilvl w:val="0"/>
          <w:numId w:val="32"/>
        </w:numPr>
        <w:spacing w:before="120"/>
      </w:pPr>
      <w:r>
        <w:t>infrastructure including, but not limited to,</w:t>
      </w:r>
      <w:r w:rsidRPr="00EB6EA8">
        <w:t xml:space="preserve"> ports, airports and rental properties</w:t>
      </w:r>
      <w:r>
        <w:t>;</w:t>
      </w:r>
    </w:p>
    <w:p w14:paraId="12F2815C" w14:textId="77777777" w:rsidR="00CA4FBE" w:rsidRDefault="00CA4FBE" w:rsidP="00CA4FBE">
      <w:pPr>
        <w:pStyle w:val="paragraph"/>
        <w:numPr>
          <w:ilvl w:val="0"/>
          <w:numId w:val="27"/>
        </w:numPr>
        <w:spacing w:before="120"/>
        <w:ind w:left="1560" w:hanging="426"/>
      </w:pPr>
      <w:r w:rsidRPr="00962499">
        <w:t xml:space="preserve">amounts </w:t>
      </w:r>
      <w:r w:rsidRPr="00EB6EA8">
        <w:t>received by the Commonwealth in relation to</w:t>
      </w:r>
      <w:r>
        <w:t xml:space="preserve"> the following, within the Territory of Norfolk Island:</w:t>
      </w:r>
    </w:p>
    <w:p w14:paraId="7C595A58" w14:textId="6D59897B" w:rsidR="00CA4FBE" w:rsidRDefault="00CA4FBE" w:rsidP="00CA4FBE">
      <w:pPr>
        <w:pStyle w:val="paragraph"/>
        <w:numPr>
          <w:ilvl w:val="0"/>
          <w:numId w:val="37"/>
        </w:numPr>
        <w:spacing w:before="120"/>
      </w:pPr>
      <w:r>
        <w:t>the provision of services including, but not limited to,</w:t>
      </w:r>
      <w:r w:rsidRPr="00EB6EA8">
        <w:t xml:space="preserve"> power, water, healthcare, and medical supplies</w:t>
      </w:r>
      <w:r>
        <w:t>;</w:t>
      </w:r>
    </w:p>
    <w:p w14:paraId="2E39C5A5" w14:textId="49EF350F" w:rsidR="00D43F06" w:rsidRDefault="00D43F06" w:rsidP="00CA4FBE">
      <w:pPr>
        <w:pStyle w:val="paragraph"/>
        <w:numPr>
          <w:ilvl w:val="0"/>
          <w:numId w:val="37"/>
        </w:numPr>
        <w:spacing w:before="120"/>
      </w:pPr>
      <w:r>
        <w:t>the provision of infrastructure including, but not limited to, ports, airports and rental properties;</w:t>
      </w:r>
    </w:p>
    <w:p w14:paraId="0AEBDD74" w14:textId="17A59F48" w:rsidR="00CA4FBE" w:rsidRDefault="00CA4FBE" w:rsidP="00CA4FBE">
      <w:pPr>
        <w:pStyle w:val="paragraph"/>
        <w:numPr>
          <w:ilvl w:val="0"/>
          <w:numId w:val="37"/>
        </w:numPr>
        <w:spacing w:before="120"/>
      </w:pPr>
      <w:r w:rsidRPr="009E01F8">
        <w:t>the conduct and management of activities including, but not limited to, tourism</w:t>
      </w:r>
      <w:r w:rsidR="00742BF1">
        <w:t xml:space="preserve"> and the operation of</w:t>
      </w:r>
      <w:r w:rsidRPr="009E01F8">
        <w:t xml:space="preserve"> museums</w:t>
      </w:r>
      <w:r w:rsidR="00742BF1">
        <w:t xml:space="preserve"> and gift shops</w:t>
      </w:r>
      <w:r>
        <w:t xml:space="preserve">; </w:t>
      </w:r>
    </w:p>
    <w:p w14:paraId="159B6BCF" w14:textId="2B916D9C" w:rsidR="00CA4FBE" w:rsidRDefault="00C36748" w:rsidP="00CA4FBE">
      <w:pPr>
        <w:pStyle w:val="paragraph"/>
        <w:numPr>
          <w:ilvl w:val="0"/>
          <w:numId w:val="37"/>
        </w:numPr>
        <w:spacing w:before="120"/>
      </w:pPr>
      <w:r>
        <w:t>operating</w:t>
      </w:r>
      <w:r w:rsidR="00982A3F">
        <w:t>,</w:t>
      </w:r>
      <w:r>
        <w:t xml:space="preserve"> managing </w:t>
      </w:r>
      <w:r w:rsidR="00982A3F">
        <w:t xml:space="preserve">and </w:t>
      </w:r>
      <w:r w:rsidR="00CA4FBE" w:rsidRPr="00CA4FBE">
        <w:t>maintaining heritage facilities and sites and meeting the Commonwealth’s heritage obligations</w:t>
      </w:r>
      <w:r w:rsidR="00CA4FBE">
        <w:t>;</w:t>
      </w:r>
    </w:p>
    <w:p w14:paraId="62A0FE53" w14:textId="07EA31EF" w:rsidR="00CA4FBE" w:rsidRDefault="00CA4FBE" w:rsidP="00BB0957">
      <w:pPr>
        <w:pStyle w:val="paragraph"/>
        <w:numPr>
          <w:ilvl w:val="0"/>
          <w:numId w:val="27"/>
        </w:numPr>
        <w:spacing w:before="120"/>
        <w:ind w:left="1560" w:hanging="426"/>
      </w:pPr>
      <w:r>
        <w:t xml:space="preserve">amounts of donations, gifts, bequests and sponsorships received by the </w:t>
      </w:r>
      <w:r w:rsidRPr="00CA4FBE">
        <w:t>Commonwealth in</w:t>
      </w:r>
      <w:r w:rsidR="004D2E24">
        <w:t xml:space="preserve"> relation to the Territory of Norfolk Island;</w:t>
      </w:r>
    </w:p>
    <w:p w14:paraId="293518D2" w14:textId="62D6B9C1" w:rsidR="0045099A" w:rsidRDefault="00962499" w:rsidP="00BB0957">
      <w:pPr>
        <w:pStyle w:val="paragraph"/>
        <w:numPr>
          <w:ilvl w:val="0"/>
          <w:numId w:val="27"/>
        </w:numPr>
        <w:spacing w:before="120"/>
        <w:ind w:left="1560" w:hanging="426"/>
      </w:pPr>
      <w:r w:rsidRPr="00962499">
        <w:t>amounts received from any person for one or more purposes of the special account</w:t>
      </w:r>
      <w:r w:rsidR="00231834">
        <w:t>.</w:t>
      </w:r>
    </w:p>
    <w:p w14:paraId="0BE1F6C2" w14:textId="77777777" w:rsidR="00B8609A" w:rsidRPr="00AD7631" w:rsidRDefault="003C1E6E" w:rsidP="00AD7631">
      <w:pPr>
        <w:pStyle w:val="ActHead5"/>
        <w:rPr>
          <w:rStyle w:val="CharSectno"/>
        </w:rPr>
      </w:pPr>
      <w:bookmarkStart w:id="17" w:name="_Toc62127984"/>
      <w:r>
        <w:rPr>
          <w:rStyle w:val="CharSectno"/>
        </w:rPr>
        <w:t>8</w:t>
      </w:r>
      <w:r w:rsidR="00B8609A" w:rsidRPr="00AD7631">
        <w:rPr>
          <w:rStyle w:val="CharSectno"/>
        </w:rPr>
        <w:t xml:space="preserve">  Purposes of the </w:t>
      </w:r>
      <w:r w:rsidR="00455E1A" w:rsidRPr="00AD7631">
        <w:rPr>
          <w:rStyle w:val="CharSectno"/>
        </w:rPr>
        <w:t>special a</w:t>
      </w:r>
      <w:r w:rsidR="00B8609A" w:rsidRPr="00AD7631">
        <w:rPr>
          <w:rStyle w:val="CharSectno"/>
        </w:rPr>
        <w:t>ccount</w:t>
      </w:r>
      <w:bookmarkEnd w:id="17"/>
    </w:p>
    <w:p w14:paraId="76C43854" w14:textId="77777777" w:rsidR="00203427" w:rsidRPr="00CF6CDD" w:rsidRDefault="00C03949" w:rsidP="00C03949">
      <w:pPr>
        <w:pStyle w:val="subsection"/>
      </w:pPr>
      <w:r>
        <w:tab/>
      </w:r>
      <w:r>
        <w:tab/>
      </w:r>
      <w:r w:rsidR="00B8609A" w:rsidRPr="00CE103E">
        <w:t xml:space="preserve">For </w:t>
      </w:r>
      <w:r w:rsidR="0088445A">
        <w:t>paragraph</w:t>
      </w:r>
      <w:r w:rsidR="0006276B">
        <w:t xml:space="preserve"> </w:t>
      </w:r>
      <w:r w:rsidR="001B58AC" w:rsidRPr="007C60A0">
        <w:t>78(1)(c)</w:t>
      </w:r>
      <w:r w:rsidR="001B58AC">
        <w:t xml:space="preserve"> of the Act,</w:t>
      </w:r>
      <w:r w:rsidR="00C07C8E" w:rsidRPr="00CE103E">
        <w:t xml:space="preserve"> </w:t>
      </w:r>
      <w:r w:rsidR="0074323C">
        <w:t xml:space="preserve">the purposes of the special account, in </w:t>
      </w:r>
      <w:r w:rsidR="0074323C" w:rsidRPr="00CF6CDD">
        <w:t xml:space="preserve">relation to which </w:t>
      </w:r>
      <w:r w:rsidRPr="00CF6CDD">
        <w:t>amount</w:t>
      </w:r>
      <w:r w:rsidR="0074323C" w:rsidRPr="00CF6CDD">
        <w:t>s</w:t>
      </w:r>
      <w:r w:rsidR="00203427" w:rsidRPr="00CF6CDD">
        <w:t xml:space="preserve"> may</w:t>
      </w:r>
      <w:r w:rsidR="00B8609A" w:rsidRPr="00CF6CDD">
        <w:t xml:space="preserve"> </w:t>
      </w:r>
      <w:r w:rsidRPr="00CF6CDD">
        <w:t xml:space="preserve">be </w:t>
      </w:r>
      <w:r w:rsidR="00B8609A" w:rsidRPr="00CF6CDD">
        <w:t>debit</w:t>
      </w:r>
      <w:r w:rsidRPr="00CF6CDD">
        <w:t>ed</w:t>
      </w:r>
      <w:r w:rsidR="00B8609A" w:rsidRPr="00CF6CDD">
        <w:t xml:space="preserve"> from the </w:t>
      </w:r>
      <w:r w:rsidR="00455E1A" w:rsidRPr="00CF6CDD">
        <w:t>special a</w:t>
      </w:r>
      <w:r w:rsidR="00B8609A" w:rsidRPr="00CF6CDD">
        <w:t>ccount</w:t>
      </w:r>
      <w:r w:rsidR="0074323C" w:rsidRPr="00CF6CDD">
        <w:t>, are</w:t>
      </w:r>
      <w:r w:rsidRPr="00CF6CDD">
        <w:t>:</w:t>
      </w:r>
    </w:p>
    <w:p w14:paraId="3CD28AD3" w14:textId="1993471B" w:rsidR="00D4742A" w:rsidRDefault="003B1CAF" w:rsidP="00643D11">
      <w:pPr>
        <w:pStyle w:val="paragraph"/>
        <w:numPr>
          <w:ilvl w:val="0"/>
          <w:numId w:val="34"/>
        </w:numPr>
        <w:spacing w:before="120"/>
        <w:ind w:left="1560" w:hanging="426"/>
      </w:pPr>
      <w:r>
        <w:t xml:space="preserve">to </w:t>
      </w:r>
      <w:r w:rsidRPr="003B1CAF">
        <w:t xml:space="preserve">make payments </w:t>
      </w:r>
      <w:r w:rsidR="00D4742A" w:rsidRPr="00EB6EA8">
        <w:t xml:space="preserve">in relation to the provision, within the Indian Ocean Territories </w:t>
      </w:r>
      <w:r w:rsidR="00D4742A">
        <w:t xml:space="preserve">and </w:t>
      </w:r>
      <w:r w:rsidR="00D4742A" w:rsidRPr="00EB6EA8">
        <w:t>Jervis Bay Territory, of:</w:t>
      </w:r>
    </w:p>
    <w:p w14:paraId="742493BF" w14:textId="36A79BB9" w:rsidR="00D4742A" w:rsidRDefault="00D4742A" w:rsidP="009E01F8">
      <w:pPr>
        <w:pStyle w:val="paragraph"/>
        <w:numPr>
          <w:ilvl w:val="0"/>
          <w:numId w:val="36"/>
        </w:numPr>
        <w:spacing w:before="120"/>
      </w:pPr>
      <w:r w:rsidRPr="00EB6EA8">
        <w:t xml:space="preserve">services </w:t>
      </w:r>
      <w:r w:rsidR="00FA33E0">
        <w:t>including</w:t>
      </w:r>
      <w:r w:rsidR="005A2996">
        <w:t>,</w:t>
      </w:r>
      <w:r w:rsidR="000256EC">
        <w:t xml:space="preserve"> </w:t>
      </w:r>
      <w:r w:rsidR="00FA33E0">
        <w:t>but not limited to</w:t>
      </w:r>
      <w:r w:rsidR="000256EC">
        <w:t>,</w:t>
      </w:r>
      <w:r w:rsidRPr="00EB6EA8">
        <w:t xml:space="preserve"> power, water, healthcare, and medical supplies</w:t>
      </w:r>
      <w:r>
        <w:t>;</w:t>
      </w:r>
    </w:p>
    <w:p w14:paraId="3A44F116" w14:textId="296E081C" w:rsidR="00D4742A" w:rsidRPr="00CE103E" w:rsidRDefault="00D4742A" w:rsidP="009E01F8">
      <w:pPr>
        <w:pStyle w:val="paragraph"/>
        <w:numPr>
          <w:ilvl w:val="0"/>
          <w:numId w:val="36"/>
        </w:numPr>
        <w:spacing w:before="120"/>
      </w:pPr>
      <w:r w:rsidRPr="00EB6EA8">
        <w:lastRenderedPageBreak/>
        <w:t xml:space="preserve">infrastructure </w:t>
      </w:r>
      <w:r w:rsidR="000256EC">
        <w:t>including, but not limited to,</w:t>
      </w:r>
      <w:r w:rsidRPr="00EB6EA8">
        <w:t xml:space="preserve"> ports, airports and rental properties</w:t>
      </w:r>
      <w:r>
        <w:t>;</w:t>
      </w:r>
    </w:p>
    <w:p w14:paraId="0917C82C" w14:textId="7D39D729" w:rsidR="00D4742A" w:rsidRPr="00D4742A" w:rsidRDefault="003B1CAF" w:rsidP="00E14323">
      <w:pPr>
        <w:pStyle w:val="paragraph"/>
        <w:numPr>
          <w:ilvl w:val="0"/>
          <w:numId w:val="34"/>
        </w:numPr>
        <w:spacing w:before="120"/>
        <w:ind w:left="1560" w:hanging="426"/>
      </w:pPr>
      <w:r>
        <w:t>to make payments in relation to</w:t>
      </w:r>
      <w:r w:rsidR="008C34DC">
        <w:t xml:space="preserve"> the following</w:t>
      </w:r>
      <w:r w:rsidR="00D4742A">
        <w:t>,</w:t>
      </w:r>
      <w:r>
        <w:t xml:space="preserve"> </w:t>
      </w:r>
      <w:r w:rsidR="00E566DF">
        <w:t xml:space="preserve">within the </w:t>
      </w:r>
      <w:r w:rsidR="00DB29FE">
        <w:t>Territory of Norfolk Island</w:t>
      </w:r>
      <w:r w:rsidR="00E869E4">
        <w:t>:</w:t>
      </w:r>
      <w:r w:rsidR="001F20D0">
        <w:t xml:space="preserve"> </w:t>
      </w:r>
    </w:p>
    <w:p w14:paraId="799B4EAA" w14:textId="0724B010" w:rsidR="00E14323" w:rsidRDefault="00D4742A" w:rsidP="00D4742A">
      <w:pPr>
        <w:pStyle w:val="paragraph"/>
        <w:numPr>
          <w:ilvl w:val="0"/>
          <w:numId w:val="33"/>
        </w:numPr>
        <w:spacing w:before="120"/>
      </w:pPr>
      <w:r w:rsidRPr="00EB6EA8">
        <w:t>the provision</w:t>
      </w:r>
      <w:r>
        <w:t xml:space="preserve"> of</w:t>
      </w:r>
      <w:r w:rsidR="00E14323">
        <w:t xml:space="preserve"> </w:t>
      </w:r>
      <w:r>
        <w:t>services</w:t>
      </w:r>
      <w:r w:rsidRPr="00EB6EA8">
        <w:t xml:space="preserve">, </w:t>
      </w:r>
      <w:r w:rsidR="00FA33E0">
        <w:t>including</w:t>
      </w:r>
      <w:r w:rsidR="009D2558">
        <w:t xml:space="preserve">, </w:t>
      </w:r>
      <w:r w:rsidR="00FA33E0">
        <w:t>but not limited to</w:t>
      </w:r>
      <w:r w:rsidR="009D2558">
        <w:t>,</w:t>
      </w:r>
      <w:r w:rsidR="00E14323" w:rsidRPr="00EB6EA8">
        <w:t xml:space="preserve"> power, water, healthcare, and medical supplies</w:t>
      </w:r>
      <w:r w:rsidR="00253EC3">
        <w:t>;</w:t>
      </w:r>
    </w:p>
    <w:p w14:paraId="39E3E338" w14:textId="51B53BB8" w:rsidR="00954EE0" w:rsidRDefault="00954EE0" w:rsidP="00D4742A">
      <w:pPr>
        <w:pStyle w:val="paragraph"/>
        <w:numPr>
          <w:ilvl w:val="0"/>
          <w:numId w:val="33"/>
        </w:numPr>
        <w:spacing w:before="120"/>
      </w:pPr>
      <w:r>
        <w:t>the provision of infrastructure including, but not limited to, ports, airports and rental properties;</w:t>
      </w:r>
    </w:p>
    <w:p w14:paraId="1BC85029" w14:textId="1A3E0B25" w:rsidR="00E14323" w:rsidRDefault="00E14323" w:rsidP="00D4742A">
      <w:pPr>
        <w:pStyle w:val="paragraph"/>
        <w:numPr>
          <w:ilvl w:val="0"/>
          <w:numId w:val="33"/>
        </w:numPr>
        <w:spacing w:before="120"/>
      </w:pPr>
      <w:r>
        <w:t xml:space="preserve">the </w:t>
      </w:r>
      <w:r w:rsidR="00D4742A">
        <w:t>conduct and management of</w:t>
      </w:r>
      <w:r w:rsidR="00D4742A" w:rsidRPr="00EB6EA8">
        <w:t xml:space="preserve"> activities</w:t>
      </w:r>
      <w:r w:rsidR="00D4742A">
        <w:t xml:space="preserve"> </w:t>
      </w:r>
      <w:r w:rsidR="009D2558">
        <w:t xml:space="preserve">including, but not limited to, </w:t>
      </w:r>
      <w:r>
        <w:t>tourism</w:t>
      </w:r>
      <w:r w:rsidR="00954EE0">
        <w:t xml:space="preserve"> and the operation of</w:t>
      </w:r>
      <w:r>
        <w:t xml:space="preserve"> museum</w:t>
      </w:r>
      <w:r w:rsidR="00606EB3">
        <w:t>s</w:t>
      </w:r>
      <w:r w:rsidR="00954EE0">
        <w:t xml:space="preserve"> and gift shops</w:t>
      </w:r>
      <w:r w:rsidR="00253EC3">
        <w:t>;</w:t>
      </w:r>
    </w:p>
    <w:p w14:paraId="263C6DDD" w14:textId="40166FBD" w:rsidR="00AD7631" w:rsidRPr="0045099A" w:rsidRDefault="00E53586" w:rsidP="00253EC3">
      <w:pPr>
        <w:pStyle w:val="paragraph"/>
        <w:numPr>
          <w:ilvl w:val="0"/>
          <w:numId w:val="33"/>
        </w:numPr>
        <w:spacing w:before="120"/>
      </w:pPr>
      <w:r>
        <w:t xml:space="preserve">operating, managing </w:t>
      </w:r>
      <w:r w:rsidR="001735AF">
        <w:t>and</w:t>
      </w:r>
      <w:r>
        <w:t xml:space="preserve"> </w:t>
      </w:r>
      <w:r w:rsidR="00E14323">
        <w:t>maintain</w:t>
      </w:r>
      <w:r w:rsidR="00253EC3">
        <w:t>ing heritage facilities and</w:t>
      </w:r>
      <w:r w:rsidR="001B0E69">
        <w:t xml:space="preserve"> </w:t>
      </w:r>
      <w:r w:rsidR="00253EC3">
        <w:t>sites</w:t>
      </w:r>
      <w:r w:rsidR="00E14323">
        <w:t xml:space="preserve"> and meeting the Commonwealth’s heritage obligations</w:t>
      </w:r>
      <w:r w:rsidR="00C75888">
        <w:t>;</w:t>
      </w:r>
    </w:p>
    <w:p w14:paraId="327024EE" w14:textId="5D91D49A" w:rsidR="00AD7631" w:rsidRPr="00470FCE" w:rsidRDefault="002164F2" w:rsidP="00E14323">
      <w:pPr>
        <w:pStyle w:val="paragraph"/>
        <w:numPr>
          <w:ilvl w:val="0"/>
          <w:numId w:val="34"/>
        </w:numPr>
        <w:spacing w:before="120"/>
        <w:ind w:left="1560" w:hanging="426"/>
      </w:pPr>
      <w:r w:rsidRPr="00470FCE">
        <w:t xml:space="preserve">to </w:t>
      </w:r>
      <w:r w:rsidR="0045099A" w:rsidRPr="0045099A">
        <w:t xml:space="preserve">repay amounts where </w:t>
      </w:r>
      <w:r w:rsidR="00E566DF">
        <w:t xml:space="preserve">a court order, </w:t>
      </w:r>
      <w:r w:rsidR="0045099A" w:rsidRPr="0045099A">
        <w:t>Act or other law requires or permits the repayment of an amount received</w:t>
      </w:r>
      <w:r w:rsidR="00AD7631" w:rsidRPr="00470FCE">
        <w:t xml:space="preserve">; and  </w:t>
      </w:r>
    </w:p>
    <w:p w14:paraId="6CDA1735" w14:textId="61322B6E" w:rsidR="0086159B" w:rsidRDefault="00AD7631" w:rsidP="00E14323">
      <w:pPr>
        <w:pStyle w:val="paragraph"/>
        <w:numPr>
          <w:ilvl w:val="0"/>
          <w:numId w:val="34"/>
        </w:numPr>
        <w:spacing w:before="120"/>
        <w:ind w:left="1560" w:hanging="426"/>
      </w:pPr>
      <w:r>
        <w:t>to reduce the balance of the special account (and</w:t>
      </w:r>
      <w:r w:rsidR="00703090">
        <w:t>, therefore,</w:t>
      </w:r>
      <w:r>
        <w:t xml:space="preserve"> the available appropriation</w:t>
      </w:r>
      <w:r w:rsidR="0080305B">
        <w:t xml:space="preserve"> for the special account</w:t>
      </w:r>
      <w:r>
        <w:t>) without making a real or notional</w:t>
      </w:r>
      <w:r w:rsidR="009E01F8">
        <w:t xml:space="preserve"> </w:t>
      </w:r>
      <w:r>
        <w:t>payment.</w:t>
      </w:r>
    </w:p>
    <w:p w14:paraId="3E2D6DEF" w14:textId="77777777" w:rsidR="0045099A" w:rsidRDefault="0045099A" w:rsidP="00D4742A">
      <w:pPr>
        <w:pStyle w:val="paragraph"/>
        <w:spacing w:before="120"/>
        <w:ind w:left="1560" w:right="-476" w:hanging="426"/>
      </w:pPr>
    </w:p>
    <w:p w14:paraId="05B93A67" w14:textId="77777777" w:rsidR="0086159B" w:rsidRPr="00CE103E" w:rsidRDefault="0086159B" w:rsidP="0086159B">
      <w:pPr>
        <w:pStyle w:val="ActHead2"/>
        <w:pageBreakBefore/>
      </w:pPr>
      <w:bookmarkStart w:id="18" w:name="_Toc506393500"/>
      <w:bookmarkStart w:id="19" w:name="_Toc11677713"/>
      <w:bookmarkStart w:id="20" w:name="_Toc62127985"/>
      <w:r w:rsidRPr="00CE103E">
        <w:rPr>
          <w:rStyle w:val="CharPartNo"/>
        </w:rPr>
        <w:lastRenderedPageBreak/>
        <w:t>Part </w:t>
      </w:r>
      <w:r>
        <w:rPr>
          <w:rStyle w:val="CharPartNo"/>
        </w:rPr>
        <w:t>3</w:t>
      </w:r>
      <w:r w:rsidRPr="00CE103E">
        <w:t>—</w:t>
      </w:r>
      <w:r>
        <w:t>Transitional</w:t>
      </w:r>
      <w:r w:rsidR="0088445A">
        <w:t>, revocation</w:t>
      </w:r>
      <w:r>
        <w:t xml:space="preserve"> and repeal provisions</w:t>
      </w:r>
      <w:bookmarkEnd w:id="18"/>
      <w:bookmarkEnd w:id="19"/>
      <w:bookmarkEnd w:id="20"/>
    </w:p>
    <w:p w14:paraId="2E02357F" w14:textId="77777777" w:rsidR="0086159B" w:rsidRPr="00CE103E" w:rsidRDefault="0086159B" w:rsidP="0086159B">
      <w:pPr>
        <w:pStyle w:val="Header"/>
      </w:pPr>
      <w:r w:rsidRPr="00CE103E">
        <w:rPr>
          <w:rStyle w:val="CharDivNo"/>
        </w:rPr>
        <w:t xml:space="preserve"> </w:t>
      </w:r>
      <w:r w:rsidRPr="00CE103E">
        <w:rPr>
          <w:rStyle w:val="CharDivText"/>
        </w:rPr>
        <w:t xml:space="preserve"> </w:t>
      </w:r>
    </w:p>
    <w:p w14:paraId="25CB05D5" w14:textId="77777777" w:rsidR="0086159B" w:rsidRPr="00CE103E" w:rsidRDefault="0086159B" w:rsidP="0086159B">
      <w:pPr>
        <w:pStyle w:val="ActHead5"/>
      </w:pPr>
      <w:bookmarkStart w:id="21" w:name="_Toc499048322"/>
      <w:bookmarkStart w:id="22" w:name="_Toc506393501"/>
      <w:bookmarkStart w:id="23" w:name="_Toc11677714"/>
      <w:bookmarkStart w:id="24" w:name="_Toc62127986"/>
      <w:r>
        <w:rPr>
          <w:rStyle w:val="CharSectno"/>
        </w:rPr>
        <w:t>9</w:t>
      </w:r>
      <w:r w:rsidRPr="00CE103E">
        <w:t xml:space="preserve">  </w:t>
      </w:r>
      <w:r>
        <w:t>Opening balance of the special account</w:t>
      </w:r>
      <w:bookmarkEnd w:id="21"/>
      <w:bookmarkEnd w:id="22"/>
      <w:bookmarkEnd w:id="23"/>
      <w:bookmarkEnd w:id="24"/>
    </w:p>
    <w:p w14:paraId="78AB74CC" w14:textId="77777777" w:rsidR="0086159B" w:rsidRDefault="0086159B" w:rsidP="0086159B">
      <w:pPr>
        <w:pStyle w:val="subsection"/>
        <w:numPr>
          <w:ilvl w:val="0"/>
          <w:numId w:val="21"/>
        </w:numPr>
      </w:pPr>
      <w:r w:rsidRPr="00CE103E">
        <w:t xml:space="preserve">For </w:t>
      </w:r>
      <w:r w:rsidR="0088445A">
        <w:t>paragraph</w:t>
      </w:r>
      <w:r w:rsidR="0088445A" w:rsidRPr="00CE103E">
        <w:t> </w:t>
      </w:r>
      <w:r w:rsidRPr="007C60A0">
        <w:t>78(1)(b)</w:t>
      </w:r>
      <w:r w:rsidRPr="00CE103E">
        <w:t xml:space="preserve"> of the</w:t>
      </w:r>
      <w:r>
        <w:t xml:space="preserve"> </w:t>
      </w:r>
      <w:r w:rsidRPr="00CE103E">
        <w:t xml:space="preserve">Act, </w:t>
      </w:r>
      <w:r>
        <w:t>the amount in subsection 9(2) (</w:t>
      </w:r>
      <w:r w:rsidRPr="00443CCD">
        <w:rPr>
          <w:b/>
          <w:i/>
        </w:rPr>
        <w:t>opening balance</w:t>
      </w:r>
      <w:r>
        <w:t xml:space="preserve">) is required to be credited to the special account </w:t>
      </w:r>
      <w:r w:rsidR="0088445A">
        <w:t>immediately after</w:t>
      </w:r>
      <w:r>
        <w:t xml:space="preserve"> its establishment.</w:t>
      </w:r>
    </w:p>
    <w:p w14:paraId="64ACADB1" w14:textId="11BE84FE" w:rsidR="0086159B" w:rsidRDefault="0086159B" w:rsidP="0086159B">
      <w:pPr>
        <w:pStyle w:val="subsection"/>
        <w:numPr>
          <w:ilvl w:val="0"/>
          <w:numId w:val="21"/>
        </w:numPr>
      </w:pPr>
      <w:r w:rsidRPr="005D43BB">
        <w:t xml:space="preserve">The opening balance is equal to </w:t>
      </w:r>
      <w:r w:rsidRPr="00062E8C">
        <w:t xml:space="preserve">the </w:t>
      </w:r>
      <w:r w:rsidR="002A0ABF">
        <w:t xml:space="preserve">total of the </w:t>
      </w:r>
      <w:r w:rsidRPr="00062E8C">
        <w:t>amount</w:t>
      </w:r>
      <w:r w:rsidR="002A0ABF">
        <w:t>s</w:t>
      </w:r>
      <w:r w:rsidRPr="00062E8C">
        <w:t xml:space="preserve"> standing to the credit of </w:t>
      </w:r>
      <w:r w:rsidR="002A0ABF">
        <w:t xml:space="preserve">each of </w:t>
      </w:r>
      <w:r w:rsidRPr="00062E8C">
        <w:t xml:space="preserve">the </w:t>
      </w:r>
      <w:r w:rsidR="00E93DC7" w:rsidRPr="00643D11">
        <w:t>Territories Special Accounts 2014</w:t>
      </w:r>
      <w:r w:rsidRPr="00062E8C">
        <w:t xml:space="preserve"> immediately prior to the </w:t>
      </w:r>
      <w:r w:rsidR="00C52497">
        <w:t>commencement of this instrument</w:t>
      </w:r>
      <w:r>
        <w:t>.</w:t>
      </w:r>
    </w:p>
    <w:p w14:paraId="4F905B9B" w14:textId="27938538" w:rsidR="0086159B" w:rsidRPr="005D43BB" w:rsidRDefault="0086159B" w:rsidP="0086159B">
      <w:pPr>
        <w:pStyle w:val="ActHead5"/>
      </w:pPr>
      <w:bookmarkStart w:id="25" w:name="_Toc499048323"/>
      <w:bookmarkStart w:id="26" w:name="_Toc506393502"/>
      <w:bookmarkStart w:id="27" w:name="_Toc11677715"/>
      <w:bookmarkStart w:id="28" w:name="_Toc62127987"/>
      <w:r w:rsidRPr="005D43BB">
        <w:rPr>
          <w:rStyle w:val="CharSectno"/>
        </w:rPr>
        <w:t>10</w:t>
      </w:r>
      <w:r>
        <w:t xml:space="preserve">  </w:t>
      </w:r>
      <w:r w:rsidR="0088445A">
        <w:t xml:space="preserve">Revocation </w:t>
      </w:r>
      <w:r>
        <w:t xml:space="preserve">of </w:t>
      </w:r>
      <w:r w:rsidR="00E93DC7" w:rsidRPr="00643D11">
        <w:t>Territories instruments</w:t>
      </w:r>
      <w:bookmarkEnd w:id="25"/>
      <w:bookmarkEnd w:id="26"/>
      <w:bookmarkEnd w:id="27"/>
      <w:bookmarkEnd w:id="28"/>
    </w:p>
    <w:p w14:paraId="70173042" w14:textId="07C83FBE" w:rsidR="0086159B" w:rsidRDefault="0086159B" w:rsidP="0086159B">
      <w:pPr>
        <w:pStyle w:val="subsection"/>
      </w:pPr>
      <w:r w:rsidRPr="005D43BB">
        <w:tab/>
      </w:r>
      <w:r w:rsidRPr="005D43BB">
        <w:tab/>
        <w:t>For subsection </w:t>
      </w:r>
      <w:r w:rsidRPr="007C60A0">
        <w:t>78(3)</w:t>
      </w:r>
      <w:r w:rsidRPr="005D43BB">
        <w:t xml:space="preserve"> of the Act, the </w:t>
      </w:r>
      <w:r w:rsidR="00E93DC7" w:rsidRPr="00643D11">
        <w:t>Territories</w:t>
      </w:r>
      <w:r w:rsidRPr="00643D11">
        <w:t xml:space="preserve"> instrument</w:t>
      </w:r>
      <w:r w:rsidR="00E93DC7" w:rsidRPr="00643D11">
        <w:t>s</w:t>
      </w:r>
      <w:r w:rsidRPr="00643D11">
        <w:t xml:space="preserve"> </w:t>
      </w:r>
      <w:r w:rsidR="00E93DC7" w:rsidRPr="00643D11">
        <w:t>are</w:t>
      </w:r>
      <w:r w:rsidR="00022A28">
        <w:t xml:space="preserve"> </w:t>
      </w:r>
      <w:r w:rsidR="0088445A">
        <w:t>revoked</w:t>
      </w:r>
      <w:r>
        <w:t>.</w:t>
      </w:r>
    </w:p>
    <w:p w14:paraId="44A343D8" w14:textId="77777777" w:rsidR="0086159B" w:rsidRPr="005D43BB" w:rsidRDefault="0086159B" w:rsidP="0086159B">
      <w:pPr>
        <w:pStyle w:val="ActHead5"/>
      </w:pPr>
      <w:bookmarkStart w:id="29" w:name="_Toc506393503"/>
      <w:bookmarkStart w:id="30" w:name="_Toc11677716"/>
      <w:bookmarkStart w:id="31" w:name="_Toc62127988"/>
      <w:bookmarkStart w:id="32" w:name="_Toc499048324"/>
      <w:r w:rsidRPr="005D43BB">
        <w:rPr>
          <w:rStyle w:val="CharSectno"/>
        </w:rPr>
        <w:t>11</w:t>
      </w:r>
      <w:r w:rsidRPr="005D43BB">
        <w:t xml:space="preserve">  Additional repeal provisions</w:t>
      </w:r>
      <w:bookmarkEnd w:id="29"/>
      <w:bookmarkEnd w:id="30"/>
      <w:bookmarkEnd w:id="31"/>
      <w:r w:rsidRPr="005D43BB">
        <w:t xml:space="preserve"> </w:t>
      </w:r>
      <w:bookmarkEnd w:id="32"/>
    </w:p>
    <w:p w14:paraId="466E96A7" w14:textId="1104B320" w:rsidR="0086159B" w:rsidRPr="005D43BB" w:rsidRDefault="0086159B" w:rsidP="0086159B">
      <w:pPr>
        <w:pStyle w:val="subsection"/>
        <w:numPr>
          <w:ilvl w:val="0"/>
          <w:numId w:val="22"/>
        </w:numPr>
      </w:pPr>
      <w:r w:rsidRPr="005D43BB">
        <w:t>For subsection </w:t>
      </w:r>
      <w:r w:rsidRPr="007C60A0">
        <w:t>78(3)</w:t>
      </w:r>
      <w:r w:rsidRPr="005D43BB">
        <w:t xml:space="preserve"> of the Act, Part 3 of this instrument is repealed at the end of the seventh day after the </w:t>
      </w:r>
      <w:r w:rsidR="00022A28">
        <w:t xml:space="preserve">revocation </w:t>
      </w:r>
      <w:r w:rsidRPr="005D43BB">
        <w:t xml:space="preserve">of </w:t>
      </w:r>
      <w:r>
        <w:t xml:space="preserve">the </w:t>
      </w:r>
      <w:r w:rsidR="00E93DC7" w:rsidRPr="00643D11">
        <w:t>Territories instruments</w:t>
      </w:r>
      <w:r w:rsidR="00E93DC7">
        <w:t xml:space="preserve"> </w:t>
      </w:r>
      <w:r>
        <w:t>under section 10</w:t>
      </w:r>
      <w:r w:rsidRPr="005D43BB">
        <w:t xml:space="preserve"> (</w:t>
      </w:r>
      <w:r w:rsidRPr="005D43BB">
        <w:rPr>
          <w:b/>
          <w:i/>
        </w:rPr>
        <w:t>date of repeal</w:t>
      </w:r>
      <w:r w:rsidRPr="005D43BB">
        <w:t>).</w:t>
      </w:r>
    </w:p>
    <w:p w14:paraId="1B964EB3" w14:textId="77777777" w:rsidR="0086159B" w:rsidRPr="005D43BB" w:rsidRDefault="0086159B" w:rsidP="0086159B">
      <w:pPr>
        <w:pStyle w:val="subsection"/>
        <w:numPr>
          <w:ilvl w:val="0"/>
          <w:numId w:val="22"/>
        </w:numPr>
      </w:pPr>
      <w:r w:rsidRPr="005D43BB">
        <w:t xml:space="preserve">For subsection </w:t>
      </w:r>
      <w:r w:rsidRPr="007C60A0">
        <w:t>78(3)</w:t>
      </w:r>
      <w:r w:rsidRPr="005D43BB">
        <w:t xml:space="preserve"> of the Act, the following definitions in </w:t>
      </w:r>
      <w:r w:rsidR="00022A28">
        <w:t>section</w:t>
      </w:r>
      <w:r w:rsidR="00022A28" w:rsidRPr="005D43BB">
        <w:t> </w:t>
      </w:r>
      <w:r w:rsidRPr="005D43BB">
        <w:t>4 are repealed on the date of repeal:</w:t>
      </w:r>
    </w:p>
    <w:p w14:paraId="7055EE2F" w14:textId="615B7425" w:rsidR="00C52497" w:rsidRPr="00582CF2" w:rsidRDefault="00C52497" w:rsidP="00C52497">
      <w:pPr>
        <w:pStyle w:val="paragraph"/>
        <w:numPr>
          <w:ilvl w:val="0"/>
          <w:numId w:val="28"/>
        </w:numPr>
      </w:pPr>
      <w:r>
        <w:t xml:space="preserve">definition of </w:t>
      </w:r>
      <w:r w:rsidR="00E93DC7" w:rsidRPr="00643D11">
        <w:rPr>
          <w:i/>
          <w:iCs/>
        </w:rPr>
        <w:t>Territories instruments</w:t>
      </w:r>
      <w:r>
        <w:rPr>
          <w:i/>
        </w:rPr>
        <w:t>;</w:t>
      </w:r>
    </w:p>
    <w:p w14:paraId="2B9F7404" w14:textId="2A6025BD" w:rsidR="00582CF2" w:rsidRPr="00582CF2" w:rsidRDefault="00582CF2" w:rsidP="00FD4E77">
      <w:pPr>
        <w:pStyle w:val="paragraph"/>
        <w:numPr>
          <w:ilvl w:val="0"/>
          <w:numId w:val="28"/>
        </w:numPr>
      </w:pPr>
      <w:r>
        <w:t xml:space="preserve">definition of </w:t>
      </w:r>
      <w:r w:rsidR="00E93DC7" w:rsidRPr="00643D11">
        <w:rPr>
          <w:i/>
        </w:rPr>
        <w:t>Territories Special Accounts 2014</w:t>
      </w:r>
      <w:r w:rsidRPr="00643D11">
        <w:rPr>
          <w:i/>
        </w:rPr>
        <w:t>.</w:t>
      </w:r>
      <w:r>
        <w:rPr>
          <w:i/>
        </w:rPr>
        <w:t xml:space="preserve"> </w:t>
      </w:r>
    </w:p>
    <w:p w14:paraId="1F328982" w14:textId="77777777" w:rsidR="0086159B" w:rsidRPr="00CE103E" w:rsidRDefault="0086159B" w:rsidP="00582CF2">
      <w:pPr>
        <w:pStyle w:val="subsection"/>
        <w:numPr>
          <w:ilvl w:val="0"/>
          <w:numId w:val="22"/>
        </w:numPr>
      </w:pPr>
      <w:r w:rsidRPr="005D43BB">
        <w:t xml:space="preserve">Despite </w:t>
      </w:r>
      <w:r w:rsidR="00022A28">
        <w:t>subsection</w:t>
      </w:r>
      <w:r w:rsidRPr="005D43BB">
        <w:t> 11(1), the effects of Part 3 of this instrument remain in force after the date of repeal.</w:t>
      </w:r>
    </w:p>
    <w:p w14:paraId="70D201B6" w14:textId="77777777" w:rsidR="0086159B" w:rsidRDefault="0086159B" w:rsidP="0086159B">
      <w:pPr>
        <w:pStyle w:val="paragraph"/>
        <w:ind w:right="-476"/>
      </w:pPr>
    </w:p>
    <w:sectPr w:rsidR="0086159B" w:rsidSect="004977F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98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66E6B" w14:textId="77777777" w:rsidR="0080683F" w:rsidRDefault="0080683F" w:rsidP="00715914">
      <w:pPr>
        <w:spacing w:line="240" w:lineRule="auto"/>
      </w:pPr>
      <w:r>
        <w:separator/>
      </w:r>
    </w:p>
  </w:endnote>
  <w:endnote w:type="continuationSeparator" w:id="0">
    <w:p w14:paraId="50F86E91" w14:textId="77777777" w:rsidR="0080683F" w:rsidRDefault="0080683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6C3FC8" w:rsidRPr="004257B1" w14:paraId="3BE4A742" w14:textId="77777777" w:rsidTr="004257B1">
      <w:tc>
        <w:tcPr>
          <w:tcW w:w="8472" w:type="dxa"/>
          <w:shd w:val="clear" w:color="auto" w:fill="auto"/>
        </w:tcPr>
        <w:p w14:paraId="37B87EC9" w14:textId="77777777" w:rsidR="006C3FC8" w:rsidRPr="004257B1" w:rsidRDefault="006C3FC8" w:rsidP="004257B1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5D2E4D0" wp14:editId="26A0CDCA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BF4706" w14:textId="13F51C93" w:rsidR="006C3FC8" w:rsidRPr="00284719" w:rsidRDefault="006C3FC8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No DLM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shapetype w14:anchorId="25D2E4D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7" type="#_x0000_t202" style="position:absolute;left:0;text-align:left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kSXBZ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5CBF4706" w14:textId="13F51C93" w:rsidR="006C3FC8" w:rsidRPr="00284719" w:rsidRDefault="006C3FC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No DLM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4257B1">
            <w:rPr>
              <w:i/>
              <w:noProof/>
              <w:sz w:val="18"/>
            </w:rPr>
            <w:t>I17GN110.v03.docx</w:t>
          </w:r>
          <w:r w:rsidRPr="004257B1">
            <w:rPr>
              <w:i/>
              <w:sz w:val="18"/>
            </w:rPr>
            <w:t xml:space="preserve"> </w:t>
          </w:r>
          <w:r w:rsidRPr="004257B1">
            <w:rPr>
              <w:i/>
              <w:noProof/>
              <w:sz w:val="18"/>
            </w:rPr>
            <w:t>21/2/2017 10:16 AM</w:t>
          </w:r>
        </w:p>
      </w:tc>
    </w:tr>
  </w:tbl>
  <w:p w14:paraId="4DF15855" w14:textId="77777777" w:rsidR="006C3FC8" w:rsidRPr="007500C8" w:rsidRDefault="006C3FC8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E2607" w14:textId="77777777" w:rsidR="006C3FC8" w:rsidRDefault="006C3FC8" w:rsidP="007500C8">
    <w:pPr>
      <w:pStyle w:val="Footer"/>
    </w:pPr>
  </w:p>
  <w:p w14:paraId="5075A313" w14:textId="77777777" w:rsidR="006C3FC8" w:rsidRDefault="006C3FC8" w:rsidP="007500C8">
    <w:pPr>
      <w:pStyle w:val="Footer"/>
    </w:pPr>
  </w:p>
  <w:p w14:paraId="4BFDE326" w14:textId="77777777" w:rsidR="006C3FC8" w:rsidRPr="00375FA8" w:rsidRDefault="006C3FC8" w:rsidP="00375FA8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8C57" w14:textId="77777777" w:rsidR="006C3FC8" w:rsidRPr="00ED79B6" w:rsidRDefault="006C3FC8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4D9E" w14:textId="77777777" w:rsidR="006C3FC8" w:rsidRPr="00E33C1C" w:rsidRDefault="006C3F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DA632F" wp14:editId="661BED9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489D787" w14:textId="37DFF0FB" w:rsidR="006C3FC8" w:rsidRPr="00284719" w:rsidRDefault="006C3FC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No DLM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5DA632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7489D787" w14:textId="37DFF0FB" w:rsidR="006C3FC8" w:rsidRPr="00284719" w:rsidRDefault="006C3FC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No DLM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3FC8" w:rsidRPr="004257B1" w14:paraId="00AADE45" w14:textId="77777777" w:rsidTr="004257B1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887200" w14:textId="77777777" w:rsidR="006C3FC8" w:rsidRPr="004257B1" w:rsidRDefault="006C3FC8" w:rsidP="004257B1">
          <w:pPr>
            <w:spacing w:line="0" w:lineRule="atLeast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PAGE </w:instrText>
          </w:r>
          <w:r w:rsidRPr="004257B1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4257B1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8A4E68" w14:textId="6CB84CBF" w:rsidR="006C3FC8" w:rsidRPr="004257B1" w:rsidRDefault="006C3FC8" w:rsidP="004257B1">
          <w:pPr>
            <w:spacing w:line="0" w:lineRule="atLeast"/>
            <w:jc w:val="center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DOCPROPERTY ShortT </w:instrText>
          </w:r>
          <w:r w:rsidRPr="004257B1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4257B1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EEAE8C" w14:textId="77777777" w:rsidR="006C3FC8" w:rsidRPr="004257B1" w:rsidRDefault="006C3FC8" w:rsidP="004257B1">
          <w:pPr>
            <w:spacing w:line="0" w:lineRule="atLeast"/>
            <w:jc w:val="right"/>
            <w:rPr>
              <w:sz w:val="18"/>
            </w:rPr>
          </w:pPr>
        </w:p>
      </w:tc>
    </w:tr>
    <w:tr w:rsidR="006C3FC8" w:rsidRPr="004257B1" w14:paraId="2C77D142" w14:textId="77777777" w:rsidTr="004257B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361DB364" w14:textId="77777777" w:rsidR="006C3FC8" w:rsidRPr="004257B1" w:rsidRDefault="006C3FC8" w:rsidP="004257B1">
          <w:pPr>
            <w:jc w:val="right"/>
            <w:rPr>
              <w:sz w:val="18"/>
            </w:rPr>
          </w:pPr>
          <w:r w:rsidRPr="004257B1">
            <w:rPr>
              <w:i/>
              <w:noProof/>
              <w:sz w:val="18"/>
            </w:rPr>
            <w:t>I17GN110.v03.docx</w:t>
          </w:r>
          <w:r w:rsidRPr="004257B1">
            <w:rPr>
              <w:i/>
              <w:sz w:val="18"/>
            </w:rPr>
            <w:t xml:space="preserve"> </w:t>
          </w:r>
          <w:r w:rsidRPr="004257B1">
            <w:rPr>
              <w:i/>
              <w:noProof/>
              <w:sz w:val="18"/>
            </w:rPr>
            <w:t>21/2/2017 10:16 AM</w:t>
          </w:r>
        </w:p>
      </w:tc>
    </w:tr>
  </w:tbl>
  <w:p w14:paraId="0BA38C53" w14:textId="77777777" w:rsidR="006C3FC8" w:rsidRPr="00ED79B6" w:rsidRDefault="006C3F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9E7A" w14:textId="77777777" w:rsidR="006C3FC8" w:rsidRPr="00E33C1C" w:rsidRDefault="006C3F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C3FC8" w:rsidRPr="004257B1" w14:paraId="663007CA" w14:textId="77777777" w:rsidTr="004257B1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C25728" w14:textId="77777777" w:rsidR="006C3FC8" w:rsidRPr="004257B1" w:rsidRDefault="006C3FC8" w:rsidP="004257B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967325" w14:textId="15EE0E46" w:rsidR="006C3FC8" w:rsidRPr="00470FCE" w:rsidRDefault="006C3FC8" w:rsidP="00BC7AED">
          <w:pPr>
            <w:spacing w:line="0" w:lineRule="atLeast"/>
            <w:jc w:val="center"/>
            <w:rPr>
              <w:sz w:val="18"/>
            </w:rPr>
          </w:pPr>
          <w:r w:rsidRPr="00470FCE">
            <w:rPr>
              <w:i/>
              <w:sz w:val="18"/>
            </w:rPr>
            <w:t xml:space="preserve">PGPA Act </w:t>
          </w:r>
          <w:r w:rsidRPr="000C457C">
            <w:rPr>
              <w:i/>
              <w:sz w:val="18"/>
              <w:szCs w:val="18"/>
            </w:rPr>
            <w:t>Determination (Indian Ocean, Jervis Bay and Norfolk Island Territories</w:t>
          </w:r>
          <w:r w:rsidRPr="00E26A6A">
            <w:rPr>
              <w:i/>
              <w:sz w:val="18"/>
            </w:rPr>
            <w:t xml:space="preserve"> Special Account 2023</w:t>
          </w:r>
          <w:r w:rsidRPr="00470FCE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5CC3592" w14:textId="6F74DB7B" w:rsidR="006C3FC8" w:rsidRPr="004257B1" w:rsidRDefault="006C3FC8" w:rsidP="004257B1">
          <w:pPr>
            <w:spacing w:line="0" w:lineRule="atLeast"/>
            <w:jc w:val="right"/>
            <w:rPr>
              <w:sz w:val="18"/>
            </w:rPr>
          </w:pPr>
          <w:r w:rsidRPr="00470FCE">
            <w:rPr>
              <w:i/>
              <w:sz w:val="18"/>
            </w:rPr>
            <w:fldChar w:fldCharType="begin"/>
          </w:r>
          <w:r w:rsidRPr="00470FCE">
            <w:rPr>
              <w:i/>
              <w:sz w:val="18"/>
            </w:rPr>
            <w:instrText xml:space="preserve"> PAGE </w:instrText>
          </w:r>
          <w:r w:rsidRPr="00470FCE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470FCE">
            <w:rPr>
              <w:i/>
              <w:sz w:val="18"/>
            </w:rPr>
            <w:fldChar w:fldCharType="end"/>
          </w:r>
        </w:p>
      </w:tc>
    </w:tr>
  </w:tbl>
  <w:p w14:paraId="5BA7C3D9" w14:textId="77777777" w:rsidR="006C3FC8" w:rsidRDefault="006C3FC8" w:rsidP="007500C8">
    <w:pPr>
      <w:rPr>
        <w:i/>
        <w:sz w:val="18"/>
      </w:rPr>
    </w:pPr>
  </w:p>
  <w:p w14:paraId="4E113226" w14:textId="77777777" w:rsidR="006C3FC8" w:rsidRPr="00375FA8" w:rsidRDefault="006C3FC8" w:rsidP="00375FA8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4C642" w14:textId="77777777" w:rsidR="006C3FC8" w:rsidRPr="00E33C1C" w:rsidRDefault="006C3F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3FC8" w:rsidRPr="004257B1" w14:paraId="7CB34802" w14:textId="77777777" w:rsidTr="004A21C1">
      <w:trPr>
        <w:trHeight w:val="291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76AF43" w14:textId="6365B517" w:rsidR="006C3FC8" w:rsidRPr="004257B1" w:rsidRDefault="006C3FC8" w:rsidP="004257B1">
          <w:pPr>
            <w:spacing w:line="0" w:lineRule="atLeast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PAGE </w:instrText>
          </w:r>
          <w:r w:rsidRPr="004257B1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4257B1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2E7CA5" w14:textId="4613A15E" w:rsidR="006C3FC8" w:rsidRPr="00470FCE" w:rsidRDefault="006C3FC8" w:rsidP="00EC44A1">
          <w:pPr>
            <w:spacing w:line="0" w:lineRule="atLeast"/>
            <w:jc w:val="center"/>
            <w:rPr>
              <w:sz w:val="18"/>
            </w:rPr>
          </w:pPr>
          <w:r w:rsidRPr="00470FCE">
            <w:rPr>
              <w:i/>
              <w:sz w:val="18"/>
            </w:rPr>
            <w:t>PGPA Act Determination (</w:t>
          </w:r>
          <w:r w:rsidRPr="000C457C">
            <w:rPr>
              <w:i/>
              <w:sz w:val="18"/>
              <w:szCs w:val="18"/>
            </w:rPr>
            <w:t xml:space="preserve">Indian Ocean, Jervis Bay and Norfolk Island </w:t>
          </w:r>
          <w:r w:rsidRPr="00E26A6A">
            <w:rPr>
              <w:i/>
              <w:sz w:val="18"/>
            </w:rPr>
            <w:t>Territories Special Account 2023</w:t>
          </w:r>
          <w:r w:rsidRPr="00470FCE">
            <w:rPr>
              <w:i/>
              <w:sz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70C7F1" w14:textId="77777777" w:rsidR="006C3FC8" w:rsidRPr="004257B1" w:rsidRDefault="006C3FC8" w:rsidP="004257B1">
          <w:pPr>
            <w:spacing w:line="0" w:lineRule="atLeast"/>
            <w:jc w:val="right"/>
            <w:rPr>
              <w:sz w:val="18"/>
            </w:rPr>
          </w:pPr>
        </w:p>
      </w:tc>
    </w:tr>
  </w:tbl>
  <w:p w14:paraId="04DE5E4E" w14:textId="77777777" w:rsidR="006C3FC8" w:rsidRPr="00ED79B6" w:rsidRDefault="006C3FC8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06A2" w14:textId="77777777" w:rsidR="006C3FC8" w:rsidRPr="00E33C1C" w:rsidRDefault="006C3F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6C3FC8" w:rsidRPr="004257B1" w14:paraId="621F67BF" w14:textId="77777777" w:rsidTr="004257B1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4940E7" w14:textId="77777777" w:rsidR="006C3FC8" w:rsidRPr="004257B1" w:rsidRDefault="006C3FC8" w:rsidP="004257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4BC5C5" w14:textId="1F53356A" w:rsidR="006C3FC8" w:rsidRPr="00470FCE" w:rsidRDefault="006C3FC8" w:rsidP="00EC44A1">
          <w:pPr>
            <w:spacing w:line="0" w:lineRule="atLeast"/>
            <w:jc w:val="center"/>
            <w:rPr>
              <w:sz w:val="18"/>
            </w:rPr>
          </w:pPr>
          <w:r w:rsidRPr="00470FCE">
            <w:rPr>
              <w:i/>
              <w:sz w:val="18"/>
            </w:rPr>
            <w:t>PGPA Act Determination (</w:t>
          </w:r>
          <w:r w:rsidRPr="000C457C">
            <w:rPr>
              <w:i/>
              <w:sz w:val="18"/>
              <w:szCs w:val="18"/>
            </w:rPr>
            <w:t xml:space="preserve">Indian Ocean, Jervis Bay and Norfolk Island </w:t>
          </w:r>
          <w:r w:rsidRPr="00E26A6A">
            <w:rPr>
              <w:i/>
              <w:sz w:val="18"/>
            </w:rPr>
            <w:t>Territories Special Account 2023</w:t>
          </w:r>
          <w:r w:rsidRPr="00470FCE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EEE6F7" w14:textId="116F147B" w:rsidR="006C3FC8" w:rsidRPr="004257B1" w:rsidRDefault="006C3FC8" w:rsidP="004257B1">
          <w:pPr>
            <w:spacing w:line="0" w:lineRule="atLeast"/>
            <w:jc w:val="right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PAGE </w:instrText>
          </w:r>
          <w:r w:rsidRPr="004257B1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4257B1">
            <w:rPr>
              <w:i/>
              <w:sz w:val="18"/>
            </w:rPr>
            <w:fldChar w:fldCharType="end"/>
          </w:r>
        </w:p>
      </w:tc>
    </w:tr>
  </w:tbl>
  <w:p w14:paraId="69DBF84E" w14:textId="77777777" w:rsidR="006C3FC8" w:rsidRDefault="006C3FC8" w:rsidP="00472DBE">
    <w:pPr>
      <w:rPr>
        <w:i/>
        <w:sz w:val="18"/>
      </w:rPr>
    </w:pPr>
  </w:p>
  <w:p w14:paraId="36D1B415" w14:textId="77777777" w:rsidR="006C3FC8" w:rsidRPr="00375FA8" w:rsidRDefault="006C3FC8" w:rsidP="00375FA8">
    <w:pPr>
      <w:pStyle w:val="Footer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E1B3" w14:textId="77777777" w:rsidR="006C3FC8" w:rsidRPr="00E33C1C" w:rsidRDefault="006C3F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6C3FC8" w:rsidRPr="004257B1" w14:paraId="3F44EF8F" w14:textId="77777777" w:rsidTr="004257B1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997B2D" w14:textId="77777777" w:rsidR="006C3FC8" w:rsidRPr="004257B1" w:rsidRDefault="006C3FC8" w:rsidP="004257B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E173D98" w14:textId="267445B6" w:rsidR="006C3FC8" w:rsidRPr="004257B1" w:rsidRDefault="006C3FC8" w:rsidP="004257B1">
          <w:pPr>
            <w:spacing w:line="0" w:lineRule="atLeast"/>
            <w:jc w:val="center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DOCPROPERTY ShortT </w:instrText>
          </w:r>
          <w:r w:rsidRPr="004257B1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4257B1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A2DEA9" w14:textId="77777777" w:rsidR="006C3FC8" w:rsidRPr="004257B1" w:rsidRDefault="006C3FC8" w:rsidP="004257B1">
          <w:pPr>
            <w:spacing w:line="0" w:lineRule="atLeast"/>
            <w:jc w:val="right"/>
            <w:rPr>
              <w:sz w:val="18"/>
            </w:rPr>
          </w:pPr>
          <w:r w:rsidRPr="004257B1">
            <w:rPr>
              <w:i/>
              <w:sz w:val="18"/>
            </w:rPr>
            <w:fldChar w:fldCharType="begin"/>
          </w:r>
          <w:r w:rsidRPr="004257B1">
            <w:rPr>
              <w:i/>
              <w:sz w:val="18"/>
            </w:rPr>
            <w:instrText xml:space="preserve"> PAGE </w:instrText>
          </w:r>
          <w:r w:rsidRPr="004257B1">
            <w:rPr>
              <w:i/>
              <w:sz w:val="18"/>
            </w:rPr>
            <w:fldChar w:fldCharType="separate"/>
          </w:r>
          <w:r w:rsidRPr="004257B1">
            <w:rPr>
              <w:i/>
              <w:noProof/>
              <w:sz w:val="18"/>
            </w:rPr>
            <w:t>4</w:t>
          </w:r>
          <w:r w:rsidRPr="004257B1">
            <w:rPr>
              <w:i/>
              <w:sz w:val="18"/>
            </w:rPr>
            <w:fldChar w:fldCharType="end"/>
          </w:r>
        </w:p>
      </w:tc>
    </w:tr>
    <w:tr w:rsidR="006C3FC8" w:rsidRPr="004257B1" w14:paraId="6C90ED86" w14:textId="77777777" w:rsidTr="004257B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2A705A8" w14:textId="77777777" w:rsidR="006C3FC8" w:rsidRPr="004257B1" w:rsidRDefault="006C3FC8" w:rsidP="006A1137">
          <w:pPr>
            <w:rPr>
              <w:sz w:val="18"/>
            </w:rPr>
          </w:pPr>
          <w:r w:rsidRPr="004257B1">
            <w:rPr>
              <w:i/>
              <w:noProof/>
              <w:sz w:val="18"/>
            </w:rPr>
            <w:t>I17GN110.v03.docx</w:t>
          </w:r>
          <w:r w:rsidRPr="004257B1">
            <w:rPr>
              <w:i/>
              <w:sz w:val="18"/>
            </w:rPr>
            <w:t xml:space="preserve"> </w:t>
          </w:r>
          <w:r w:rsidRPr="004257B1">
            <w:rPr>
              <w:i/>
              <w:noProof/>
              <w:sz w:val="18"/>
            </w:rPr>
            <w:t>21/2/2017 10:16 AM</w:t>
          </w:r>
        </w:p>
      </w:tc>
    </w:tr>
  </w:tbl>
  <w:p w14:paraId="0EF51250" w14:textId="77777777" w:rsidR="006C3FC8" w:rsidRPr="00ED79B6" w:rsidRDefault="006C3F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2F522" w14:textId="77777777" w:rsidR="0080683F" w:rsidRDefault="0080683F" w:rsidP="00715914">
      <w:pPr>
        <w:spacing w:line="240" w:lineRule="auto"/>
      </w:pPr>
      <w:r>
        <w:separator/>
      </w:r>
    </w:p>
  </w:footnote>
  <w:footnote w:type="continuationSeparator" w:id="0">
    <w:p w14:paraId="03243C94" w14:textId="77777777" w:rsidR="0080683F" w:rsidRDefault="0080683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070BA" w14:textId="77777777" w:rsidR="006C3FC8" w:rsidRPr="005F1388" w:rsidRDefault="006C3FC8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A8D070" wp14:editId="55512A5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876D328" w14:textId="6FF0604E" w:rsidR="006C3FC8" w:rsidRPr="00284719" w:rsidRDefault="006C3FC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No DLM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6A8D07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876D328" w14:textId="6FF0604E" w:rsidR="006C3FC8" w:rsidRPr="00284719" w:rsidRDefault="006C3FC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No DLM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1B93B" w14:textId="77777777" w:rsidR="006C3FC8" w:rsidRPr="005F1388" w:rsidRDefault="006C3FC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F2AD" w14:textId="77777777" w:rsidR="006C3FC8" w:rsidRPr="005F1388" w:rsidRDefault="006C3FC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D2E5B" w14:textId="77777777" w:rsidR="006C3FC8" w:rsidRPr="00ED79B6" w:rsidRDefault="006C3FC8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038A24" wp14:editId="5CD72CB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BF8128E" w14:textId="25E87BFF" w:rsidR="006C3FC8" w:rsidRPr="00284719" w:rsidRDefault="006C3FC8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No DLM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2038A2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UfVgw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7BF8128E" w14:textId="25E87BFF" w:rsidR="006C3FC8" w:rsidRPr="00284719" w:rsidRDefault="006C3FC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No DLM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EEAA4" w14:textId="77777777" w:rsidR="006C3FC8" w:rsidRPr="00ED79B6" w:rsidRDefault="006C3FC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E3C0E" w14:textId="77777777" w:rsidR="006C3FC8" w:rsidRPr="00ED79B6" w:rsidRDefault="006C3FC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1C9DA" w14:textId="1173F896" w:rsidR="006C3FC8" w:rsidRDefault="006C3FC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07A94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</w:p>
  <w:p w14:paraId="22D98C83" w14:textId="77777777" w:rsidR="006C3FC8" w:rsidRPr="007A1328" w:rsidRDefault="006C3FC8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2081" w14:textId="0965916D" w:rsidR="006C3FC8" w:rsidRPr="007A1328" w:rsidRDefault="006C3FC8" w:rsidP="00715914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07A94">
      <w:rPr>
        <w:b/>
        <w:sz w:val="20"/>
      </w:rPr>
      <w:fldChar w:fldCharType="separate"/>
    </w:r>
    <w:r w:rsidR="00E07A94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4B54B779" w14:textId="77777777" w:rsidR="006C3FC8" w:rsidRPr="007A1328" w:rsidRDefault="006C3FC8" w:rsidP="00756272">
    <w:pPr>
      <w:pBdr>
        <w:bottom w:val="single" w:sz="6" w:space="1" w:color="auto"/>
      </w:pBdr>
      <w:spacing w:after="120"/>
      <w:jc w:val="right"/>
      <w:rPr>
        <w:sz w:val="24"/>
      </w:rPr>
    </w:pPr>
  </w:p>
  <w:p w14:paraId="0C0F8928" w14:textId="77777777" w:rsidR="006C3FC8" w:rsidRDefault="006C3FC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7F712" w14:textId="77777777" w:rsidR="006C3FC8" w:rsidRPr="007A1328" w:rsidRDefault="006C3FC8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DC63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AE50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446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38E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E82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064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46EA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621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2A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F03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9687D"/>
    <w:multiLevelType w:val="hybridMultilevel"/>
    <w:tmpl w:val="0C740B6E"/>
    <w:lvl w:ilvl="0" w:tplc="CCF21A4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C089D"/>
    <w:multiLevelType w:val="hybridMultilevel"/>
    <w:tmpl w:val="3398CA7A"/>
    <w:lvl w:ilvl="0" w:tplc="9E5E14BE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12550098"/>
    <w:multiLevelType w:val="hybridMultilevel"/>
    <w:tmpl w:val="CDBC4268"/>
    <w:lvl w:ilvl="0" w:tplc="6096BE4C">
      <w:start w:val="1"/>
      <w:numFmt w:val="lowerLetter"/>
      <w:lvlText w:val="(%1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4" w15:restartNumberingAfterBreak="0">
    <w:nsid w:val="139B46C2"/>
    <w:multiLevelType w:val="hybridMultilevel"/>
    <w:tmpl w:val="FCB42C14"/>
    <w:lvl w:ilvl="0" w:tplc="FFFFFFFF">
      <w:start w:val="1"/>
      <w:numFmt w:val="lowerRoman"/>
      <w:lvlText w:val="(%1)"/>
      <w:lvlJc w:val="left"/>
      <w:pPr>
        <w:ind w:left="237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36" w:hanging="360"/>
      </w:pPr>
    </w:lvl>
    <w:lvl w:ilvl="2" w:tplc="FFFFFFFF" w:tentative="1">
      <w:start w:val="1"/>
      <w:numFmt w:val="lowerRoman"/>
      <w:lvlText w:val="%3."/>
      <w:lvlJc w:val="right"/>
      <w:pPr>
        <w:ind w:left="3456" w:hanging="180"/>
      </w:pPr>
    </w:lvl>
    <w:lvl w:ilvl="3" w:tplc="FFFFFFFF" w:tentative="1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5" w15:restartNumberingAfterBreak="0">
    <w:nsid w:val="1EC81E79"/>
    <w:multiLevelType w:val="hybridMultilevel"/>
    <w:tmpl w:val="CB4E174A"/>
    <w:lvl w:ilvl="0" w:tplc="E1004F4A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6172" w:hanging="360"/>
      </w:pPr>
    </w:lvl>
    <w:lvl w:ilvl="2" w:tplc="0C09001B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 w15:restartNumberingAfterBreak="0">
    <w:nsid w:val="1F1E7CC5"/>
    <w:multiLevelType w:val="hybridMultilevel"/>
    <w:tmpl w:val="0C740B6E"/>
    <w:lvl w:ilvl="0" w:tplc="CCF21A4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 w15:restartNumberingAfterBreak="0">
    <w:nsid w:val="1FB519AE"/>
    <w:multiLevelType w:val="hybridMultilevel"/>
    <w:tmpl w:val="B12E9FF4"/>
    <w:lvl w:ilvl="0" w:tplc="58AE6E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174EC"/>
    <w:multiLevelType w:val="hybridMultilevel"/>
    <w:tmpl w:val="FCB42C14"/>
    <w:lvl w:ilvl="0" w:tplc="FFFFFFFF">
      <w:start w:val="1"/>
      <w:numFmt w:val="lowerRoman"/>
      <w:lvlText w:val="(%1)"/>
      <w:lvlJc w:val="left"/>
      <w:pPr>
        <w:ind w:left="237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36" w:hanging="360"/>
      </w:pPr>
    </w:lvl>
    <w:lvl w:ilvl="2" w:tplc="FFFFFFFF" w:tentative="1">
      <w:start w:val="1"/>
      <w:numFmt w:val="lowerRoman"/>
      <w:lvlText w:val="%3."/>
      <w:lvlJc w:val="right"/>
      <w:pPr>
        <w:ind w:left="3456" w:hanging="180"/>
      </w:pPr>
    </w:lvl>
    <w:lvl w:ilvl="3" w:tplc="FFFFFFFF" w:tentative="1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9" w15:restartNumberingAfterBreak="0">
    <w:nsid w:val="290447F5"/>
    <w:multiLevelType w:val="hybridMultilevel"/>
    <w:tmpl w:val="C00E7F4E"/>
    <w:lvl w:ilvl="0" w:tplc="E4F2986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335E6A6A"/>
    <w:multiLevelType w:val="hybridMultilevel"/>
    <w:tmpl w:val="5AF876A2"/>
    <w:lvl w:ilvl="0" w:tplc="3CD41802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361E6216"/>
    <w:multiLevelType w:val="hybridMultilevel"/>
    <w:tmpl w:val="FCB42C14"/>
    <w:lvl w:ilvl="0" w:tplc="FFFFFFFF">
      <w:start w:val="1"/>
      <w:numFmt w:val="lowerRoman"/>
      <w:lvlText w:val="(%1)"/>
      <w:lvlJc w:val="left"/>
      <w:pPr>
        <w:ind w:left="237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36" w:hanging="360"/>
      </w:pPr>
    </w:lvl>
    <w:lvl w:ilvl="2" w:tplc="FFFFFFFF" w:tentative="1">
      <w:start w:val="1"/>
      <w:numFmt w:val="lowerRoman"/>
      <w:lvlText w:val="%3."/>
      <w:lvlJc w:val="right"/>
      <w:pPr>
        <w:ind w:left="3456" w:hanging="180"/>
      </w:pPr>
    </w:lvl>
    <w:lvl w:ilvl="3" w:tplc="FFFFFFFF" w:tentative="1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2" w15:restartNumberingAfterBreak="0">
    <w:nsid w:val="36464C6D"/>
    <w:multiLevelType w:val="hybridMultilevel"/>
    <w:tmpl w:val="6F58F442"/>
    <w:lvl w:ilvl="0" w:tplc="2C04FDA0">
      <w:start w:val="1"/>
      <w:numFmt w:val="lowerRoman"/>
      <w:lvlText w:val="(%1)"/>
      <w:lvlJc w:val="left"/>
      <w:pPr>
        <w:ind w:left="237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6" w:hanging="360"/>
      </w:pPr>
    </w:lvl>
    <w:lvl w:ilvl="2" w:tplc="0C09001B" w:tentative="1">
      <w:start w:val="1"/>
      <w:numFmt w:val="lowerRoman"/>
      <w:lvlText w:val="%3."/>
      <w:lvlJc w:val="right"/>
      <w:pPr>
        <w:ind w:left="3456" w:hanging="180"/>
      </w:pPr>
    </w:lvl>
    <w:lvl w:ilvl="3" w:tplc="0C09000F" w:tentative="1">
      <w:start w:val="1"/>
      <w:numFmt w:val="decimal"/>
      <w:lvlText w:val="%4."/>
      <w:lvlJc w:val="left"/>
      <w:pPr>
        <w:ind w:left="4176" w:hanging="360"/>
      </w:pPr>
    </w:lvl>
    <w:lvl w:ilvl="4" w:tplc="0C090019" w:tentative="1">
      <w:start w:val="1"/>
      <w:numFmt w:val="lowerLetter"/>
      <w:lvlText w:val="%5."/>
      <w:lvlJc w:val="left"/>
      <w:pPr>
        <w:ind w:left="4896" w:hanging="360"/>
      </w:pPr>
    </w:lvl>
    <w:lvl w:ilvl="5" w:tplc="0C09001B" w:tentative="1">
      <w:start w:val="1"/>
      <w:numFmt w:val="lowerRoman"/>
      <w:lvlText w:val="%6."/>
      <w:lvlJc w:val="right"/>
      <w:pPr>
        <w:ind w:left="5616" w:hanging="180"/>
      </w:pPr>
    </w:lvl>
    <w:lvl w:ilvl="6" w:tplc="0C09000F" w:tentative="1">
      <w:start w:val="1"/>
      <w:numFmt w:val="decimal"/>
      <w:lvlText w:val="%7."/>
      <w:lvlJc w:val="left"/>
      <w:pPr>
        <w:ind w:left="6336" w:hanging="360"/>
      </w:pPr>
    </w:lvl>
    <w:lvl w:ilvl="7" w:tplc="0C090019" w:tentative="1">
      <w:start w:val="1"/>
      <w:numFmt w:val="lowerLetter"/>
      <w:lvlText w:val="%8."/>
      <w:lvlJc w:val="left"/>
      <w:pPr>
        <w:ind w:left="7056" w:hanging="360"/>
      </w:pPr>
    </w:lvl>
    <w:lvl w:ilvl="8" w:tplc="0C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CC6267A"/>
    <w:multiLevelType w:val="hybridMultilevel"/>
    <w:tmpl w:val="FCB42C14"/>
    <w:lvl w:ilvl="0" w:tplc="FFFFFFFF">
      <w:start w:val="1"/>
      <w:numFmt w:val="lowerRoman"/>
      <w:lvlText w:val="(%1)"/>
      <w:lvlJc w:val="left"/>
      <w:pPr>
        <w:ind w:left="237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36" w:hanging="360"/>
      </w:pPr>
    </w:lvl>
    <w:lvl w:ilvl="2" w:tplc="FFFFFFFF" w:tentative="1">
      <w:start w:val="1"/>
      <w:numFmt w:val="lowerRoman"/>
      <w:lvlText w:val="%3."/>
      <w:lvlJc w:val="right"/>
      <w:pPr>
        <w:ind w:left="3456" w:hanging="180"/>
      </w:pPr>
    </w:lvl>
    <w:lvl w:ilvl="3" w:tplc="FFFFFFFF" w:tentative="1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5" w15:restartNumberingAfterBreak="0">
    <w:nsid w:val="3D5B1C3E"/>
    <w:multiLevelType w:val="hybridMultilevel"/>
    <w:tmpl w:val="BFEC494C"/>
    <w:lvl w:ilvl="0" w:tplc="FBBC0C42">
      <w:start w:val="1"/>
      <w:numFmt w:val="lowerRoman"/>
      <w:lvlText w:val="(%1)"/>
      <w:lvlJc w:val="left"/>
      <w:pPr>
        <w:ind w:left="237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6" w:hanging="360"/>
      </w:pPr>
    </w:lvl>
    <w:lvl w:ilvl="2" w:tplc="0C09001B" w:tentative="1">
      <w:start w:val="1"/>
      <w:numFmt w:val="lowerRoman"/>
      <w:lvlText w:val="%3."/>
      <w:lvlJc w:val="right"/>
      <w:pPr>
        <w:ind w:left="3456" w:hanging="180"/>
      </w:pPr>
    </w:lvl>
    <w:lvl w:ilvl="3" w:tplc="0C09000F" w:tentative="1">
      <w:start w:val="1"/>
      <w:numFmt w:val="decimal"/>
      <w:lvlText w:val="%4."/>
      <w:lvlJc w:val="left"/>
      <w:pPr>
        <w:ind w:left="4176" w:hanging="360"/>
      </w:pPr>
    </w:lvl>
    <w:lvl w:ilvl="4" w:tplc="0C090019" w:tentative="1">
      <w:start w:val="1"/>
      <w:numFmt w:val="lowerLetter"/>
      <w:lvlText w:val="%5."/>
      <w:lvlJc w:val="left"/>
      <w:pPr>
        <w:ind w:left="4896" w:hanging="360"/>
      </w:pPr>
    </w:lvl>
    <w:lvl w:ilvl="5" w:tplc="0C09001B" w:tentative="1">
      <w:start w:val="1"/>
      <w:numFmt w:val="lowerRoman"/>
      <w:lvlText w:val="%6."/>
      <w:lvlJc w:val="right"/>
      <w:pPr>
        <w:ind w:left="5616" w:hanging="180"/>
      </w:pPr>
    </w:lvl>
    <w:lvl w:ilvl="6" w:tplc="0C09000F" w:tentative="1">
      <w:start w:val="1"/>
      <w:numFmt w:val="decimal"/>
      <w:lvlText w:val="%7."/>
      <w:lvlJc w:val="left"/>
      <w:pPr>
        <w:ind w:left="6336" w:hanging="360"/>
      </w:pPr>
    </w:lvl>
    <w:lvl w:ilvl="7" w:tplc="0C090019" w:tentative="1">
      <w:start w:val="1"/>
      <w:numFmt w:val="lowerLetter"/>
      <w:lvlText w:val="%8."/>
      <w:lvlJc w:val="left"/>
      <w:pPr>
        <w:ind w:left="7056" w:hanging="360"/>
      </w:pPr>
    </w:lvl>
    <w:lvl w:ilvl="8" w:tplc="0C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6" w15:restartNumberingAfterBreak="0">
    <w:nsid w:val="3E0A5246"/>
    <w:multiLevelType w:val="hybridMultilevel"/>
    <w:tmpl w:val="14486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24DC3"/>
    <w:multiLevelType w:val="hybridMultilevel"/>
    <w:tmpl w:val="1A62686E"/>
    <w:lvl w:ilvl="0" w:tplc="EC505310">
      <w:start w:val="1"/>
      <w:numFmt w:val="lowerLetter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4FB648F5"/>
    <w:multiLevelType w:val="hybridMultilevel"/>
    <w:tmpl w:val="9F807516"/>
    <w:lvl w:ilvl="0" w:tplc="FFFFFFFF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76" w:hanging="360"/>
      </w:pPr>
    </w:lvl>
    <w:lvl w:ilvl="2" w:tplc="FFFFFFFF" w:tentative="1">
      <w:start w:val="1"/>
      <w:numFmt w:val="lowerRoman"/>
      <w:lvlText w:val="%3."/>
      <w:lvlJc w:val="right"/>
      <w:pPr>
        <w:ind w:left="3096" w:hanging="180"/>
      </w:pPr>
    </w:lvl>
    <w:lvl w:ilvl="3" w:tplc="FFFFFFFF" w:tentative="1">
      <w:start w:val="1"/>
      <w:numFmt w:val="decimal"/>
      <w:lvlText w:val="%4."/>
      <w:lvlJc w:val="left"/>
      <w:pPr>
        <w:ind w:left="3816" w:hanging="360"/>
      </w:pPr>
    </w:lvl>
    <w:lvl w:ilvl="4" w:tplc="FFFFFFFF" w:tentative="1">
      <w:start w:val="1"/>
      <w:numFmt w:val="lowerLetter"/>
      <w:lvlText w:val="%5."/>
      <w:lvlJc w:val="left"/>
      <w:pPr>
        <w:ind w:left="4536" w:hanging="360"/>
      </w:pPr>
    </w:lvl>
    <w:lvl w:ilvl="5" w:tplc="FFFFFFFF" w:tentative="1">
      <w:start w:val="1"/>
      <w:numFmt w:val="lowerRoman"/>
      <w:lvlText w:val="%6."/>
      <w:lvlJc w:val="right"/>
      <w:pPr>
        <w:ind w:left="5256" w:hanging="180"/>
      </w:pPr>
    </w:lvl>
    <w:lvl w:ilvl="6" w:tplc="FFFFFFFF" w:tentative="1">
      <w:start w:val="1"/>
      <w:numFmt w:val="decimal"/>
      <w:lvlText w:val="%7."/>
      <w:lvlJc w:val="left"/>
      <w:pPr>
        <w:ind w:left="5976" w:hanging="360"/>
      </w:pPr>
    </w:lvl>
    <w:lvl w:ilvl="7" w:tplc="FFFFFFFF" w:tentative="1">
      <w:start w:val="1"/>
      <w:numFmt w:val="lowerLetter"/>
      <w:lvlText w:val="%8."/>
      <w:lvlJc w:val="left"/>
      <w:pPr>
        <w:ind w:left="6696" w:hanging="360"/>
      </w:pPr>
    </w:lvl>
    <w:lvl w:ilvl="8" w:tplc="FFFFFFFF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9" w15:restartNumberingAfterBreak="0">
    <w:nsid w:val="58796F72"/>
    <w:multiLevelType w:val="hybridMultilevel"/>
    <w:tmpl w:val="68609CE0"/>
    <w:lvl w:ilvl="0" w:tplc="F33CDBF4">
      <w:start w:val="1"/>
      <w:numFmt w:val="lowerLetter"/>
      <w:lvlText w:val="(%1)"/>
      <w:lvlJc w:val="left"/>
      <w:pPr>
        <w:tabs>
          <w:tab w:val="num" w:pos="1474"/>
        </w:tabs>
        <w:ind w:left="1474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1603C3"/>
    <w:multiLevelType w:val="hybridMultilevel"/>
    <w:tmpl w:val="C36CB788"/>
    <w:lvl w:ilvl="0" w:tplc="F33CDBF4">
      <w:start w:val="1"/>
      <w:numFmt w:val="lowerLetter"/>
      <w:lvlText w:val="(%1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1" w15:restartNumberingAfterBreak="0">
    <w:nsid w:val="616E1436"/>
    <w:multiLevelType w:val="hybridMultilevel"/>
    <w:tmpl w:val="C1600C1E"/>
    <w:lvl w:ilvl="0" w:tplc="ED240AEE">
      <w:start w:val="1"/>
      <w:numFmt w:val="lowerLetter"/>
      <w:lvlText w:val="(%1)"/>
      <w:lvlJc w:val="left"/>
      <w:pPr>
        <w:ind w:left="1695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671A22CE"/>
    <w:multiLevelType w:val="hybridMultilevel"/>
    <w:tmpl w:val="F4B0CA7A"/>
    <w:lvl w:ilvl="0" w:tplc="5B12231A">
      <w:start w:val="1"/>
      <w:numFmt w:val="lowerRoman"/>
      <w:lvlText w:val="(%1)"/>
      <w:lvlJc w:val="left"/>
      <w:pPr>
        <w:ind w:left="237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6" w:hanging="360"/>
      </w:pPr>
    </w:lvl>
    <w:lvl w:ilvl="2" w:tplc="0C09001B" w:tentative="1">
      <w:start w:val="1"/>
      <w:numFmt w:val="lowerRoman"/>
      <w:lvlText w:val="%3."/>
      <w:lvlJc w:val="right"/>
      <w:pPr>
        <w:ind w:left="3456" w:hanging="180"/>
      </w:pPr>
    </w:lvl>
    <w:lvl w:ilvl="3" w:tplc="0C09000F" w:tentative="1">
      <w:start w:val="1"/>
      <w:numFmt w:val="decimal"/>
      <w:lvlText w:val="%4."/>
      <w:lvlJc w:val="left"/>
      <w:pPr>
        <w:ind w:left="4176" w:hanging="360"/>
      </w:pPr>
    </w:lvl>
    <w:lvl w:ilvl="4" w:tplc="0C090019" w:tentative="1">
      <w:start w:val="1"/>
      <w:numFmt w:val="lowerLetter"/>
      <w:lvlText w:val="%5."/>
      <w:lvlJc w:val="left"/>
      <w:pPr>
        <w:ind w:left="4896" w:hanging="360"/>
      </w:pPr>
    </w:lvl>
    <w:lvl w:ilvl="5" w:tplc="0C09001B" w:tentative="1">
      <w:start w:val="1"/>
      <w:numFmt w:val="lowerRoman"/>
      <w:lvlText w:val="%6."/>
      <w:lvlJc w:val="right"/>
      <w:pPr>
        <w:ind w:left="5616" w:hanging="180"/>
      </w:pPr>
    </w:lvl>
    <w:lvl w:ilvl="6" w:tplc="0C09000F" w:tentative="1">
      <w:start w:val="1"/>
      <w:numFmt w:val="decimal"/>
      <w:lvlText w:val="%7."/>
      <w:lvlJc w:val="left"/>
      <w:pPr>
        <w:ind w:left="6336" w:hanging="360"/>
      </w:pPr>
    </w:lvl>
    <w:lvl w:ilvl="7" w:tplc="0C090019" w:tentative="1">
      <w:start w:val="1"/>
      <w:numFmt w:val="lowerLetter"/>
      <w:lvlText w:val="%8."/>
      <w:lvlJc w:val="left"/>
      <w:pPr>
        <w:ind w:left="7056" w:hanging="360"/>
      </w:pPr>
    </w:lvl>
    <w:lvl w:ilvl="8" w:tplc="0C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3" w15:restartNumberingAfterBreak="0">
    <w:nsid w:val="6C3E5988"/>
    <w:multiLevelType w:val="hybridMultilevel"/>
    <w:tmpl w:val="920ED192"/>
    <w:lvl w:ilvl="0" w:tplc="5300A80C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 w15:restartNumberingAfterBreak="0">
    <w:nsid w:val="728952E7"/>
    <w:multiLevelType w:val="hybridMultilevel"/>
    <w:tmpl w:val="FCB42C14"/>
    <w:lvl w:ilvl="0" w:tplc="5A560108">
      <w:start w:val="1"/>
      <w:numFmt w:val="lowerRoman"/>
      <w:lvlText w:val="(%1)"/>
      <w:lvlJc w:val="left"/>
      <w:pPr>
        <w:ind w:left="237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6" w:hanging="360"/>
      </w:pPr>
    </w:lvl>
    <w:lvl w:ilvl="2" w:tplc="0C09001B" w:tentative="1">
      <w:start w:val="1"/>
      <w:numFmt w:val="lowerRoman"/>
      <w:lvlText w:val="%3."/>
      <w:lvlJc w:val="right"/>
      <w:pPr>
        <w:ind w:left="3456" w:hanging="180"/>
      </w:pPr>
    </w:lvl>
    <w:lvl w:ilvl="3" w:tplc="0C09000F" w:tentative="1">
      <w:start w:val="1"/>
      <w:numFmt w:val="decimal"/>
      <w:lvlText w:val="%4."/>
      <w:lvlJc w:val="left"/>
      <w:pPr>
        <w:ind w:left="4176" w:hanging="360"/>
      </w:pPr>
    </w:lvl>
    <w:lvl w:ilvl="4" w:tplc="0C090019" w:tentative="1">
      <w:start w:val="1"/>
      <w:numFmt w:val="lowerLetter"/>
      <w:lvlText w:val="%5."/>
      <w:lvlJc w:val="left"/>
      <w:pPr>
        <w:ind w:left="4896" w:hanging="360"/>
      </w:pPr>
    </w:lvl>
    <w:lvl w:ilvl="5" w:tplc="0C09001B" w:tentative="1">
      <w:start w:val="1"/>
      <w:numFmt w:val="lowerRoman"/>
      <w:lvlText w:val="%6."/>
      <w:lvlJc w:val="right"/>
      <w:pPr>
        <w:ind w:left="5616" w:hanging="180"/>
      </w:pPr>
    </w:lvl>
    <w:lvl w:ilvl="6" w:tplc="0C09000F" w:tentative="1">
      <w:start w:val="1"/>
      <w:numFmt w:val="decimal"/>
      <w:lvlText w:val="%7."/>
      <w:lvlJc w:val="left"/>
      <w:pPr>
        <w:ind w:left="6336" w:hanging="360"/>
      </w:pPr>
    </w:lvl>
    <w:lvl w:ilvl="7" w:tplc="0C090019" w:tentative="1">
      <w:start w:val="1"/>
      <w:numFmt w:val="lowerLetter"/>
      <w:lvlText w:val="%8."/>
      <w:lvlJc w:val="left"/>
      <w:pPr>
        <w:ind w:left="7056" w:hanging="360"/>
      </w:pPr>
    </w:lvl>
    <w:lvl w:ilvl="8" w:tplc="0C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5" w15:restartNumberingAfterBreak="0">
    <w:nsid w:val="75B85291"/>
    <w:multiLevelType w:val="hybridMultilevel"/>
    <w:tmpl w:val="66621F8E"/>
    <w:lvl w:ilvl="0" w:tplc="BBC4E8CC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6" w15:restartNumberingAfterBreak="0">
    <w:nsid w:val="7A777401"/>
    <w:multiLevelType w:val="hybridMultilevel"/>
    <w:tmpl w:val="9F807516"/>
    <w:lvl w:ilvl="0" w:tplc="CDE8C218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30"/>
  </w:num>
  <w:num w:numId="14">
    <w:abstractNumId w:val="13"/>
  </w:num>
  <w:num w:numId="15">
    <w:abstractNumId w:val="33"/>
  </w:num>
  <w:num w:numId="16">
    <w:abstractNumId w:val="31"/>
  </w:num>
  <w:num w:numId="17">
    <w:abstractNumId w:val="35"/>
  </w:num>
  <w:num w:numId="18">
    <w:abstractNumId w:val="25"/>
  </w:num>
  <w:num w:numId="19">
    <w:abstractNumId w:val="29"/>
  </w:num>
  <w:num w:numId="20">
    <w:abstractNumId w:val="26"/>
  </w:num>
  <w:num w:numId="21">
    <w:abstractNumId w:val="19"/>
  </w:num>
  <w:num w:numId="22">
    <w:abstractNumId w:val="20"/>
  </w:num>
  <w:num w:numId="23">
    <w:abstractNumId w:val="27"/>
  </w:num>
  <w:num w:numId="24">
    <w:abstractNumId w:val="16"/>
  </w:num>
  <w:num w:numId="25">
    <w:abstractNumId w:val="12"/>
  </w:num>
  <w:num w:numId="26">
    <w:abstractNumId w:val="15"/>
  </w:num>
  <w:num w:numId="27">
    <w:abstractNumId w:val="36"/>
  </w:num>
  <w:num w:numId="28">
    <w:abstractNumId w:val="10"/>
  </w:num>
  <w:num w:numId="29">
    <w:abstractNumId w:val="32"/>
  </w:num>
  <w:num w:numId="30">
    <w:abstractNumId w:val="34"/>
  </w:num>
  <w:num w:numId="31">
    <w:abstractNumId w:val="22"/>
  </w:num>
  <w:num w:numId="32">
    <w:abstractNumId w:val="18"/>
  </w:num>
  <w:num w:numId="33">
    <w:abstractNumId w:val="14"/>
  </w:num>
  <w:num w:numId="34">
    <w:abstractNumId w:val="28"/>
  </w:num>
  <w:num w:numId="35">
    <w:abstractNumId w:val="17"/>
  </w:num>
  <w:num w:numId="36">
    <w:abstractNumId w:val="2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DateAndTime/>
  <w:embedTrueTypeFonts/>
  <w:saveSubsetFonts/>
  <w:proofState w:spelling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4A"/>
    <w:rsid w:val="00001F57"/>
    <w:rsid w:val="00004470"/>
    <w:rsid w:val="00010856"/>
    <w:rsid w:val="000136AF"/>
    <w:rsid w:val="000161D3"/>
    <w:rsid w:val="00016FB2"/>
    <w:rsid w:val="000202E0"/>
    <w:rsid w:val="00021296"/>
    <w:rsid w:val="00022A28"/>
    <w:rsid w:val="0002393C"/>
    <w:rsid w:val="000242DA"/>
    <w:rsid w:val="000256EC"/>
    <w:rsid w:val="000337C4"/>
    <w:rsid w:val="00034643"/>
    <w:rsid w:val="000358D6"/>
    <w:rsid w:val="00041A74"/>
    <w:rsid w:val="00042DF8"/>
    <w:rsid w:val="00042E98"/>
    <w:rsid w:val="00042F5F"/>
    <w:rsid w:val="000437C1"/>
    <w:rsid w:val="00043838"/>
    <w:rsid w:val="000518B9"/>
    <w:rsid w:val="00052EDC"/>
    <w:rsid w:val="0005365D"/>
    <w:rsid w:val="00060769"/>
    <w:rsid w:val="000614BF"/>
    <w:rsid w:val="0006276B"/>
    <w:rsid w:val="00067C3E"/>
    <w:rsid w:val="00084206"/>
    <w:rsid w:val="00091B5F"/>
    <w:rsid w:val="000927FE"/>
    <w:rsid w:val="00094A33"/>
    <w:rsid w:val="00096FEC"/>
    <w:rsid w:val="000B007E"/>
    <w:rsid w:val="000B0425"/>
    <w:rsid w:val="000B1AF8"/>
    <w:rsid w:val="000B58FA"/>
    <w:rsid w:val="000B6615"/>
    <w:rsid w:val="000B6BE1"/>
    <w:rsid w:val="000B7A40"/>
    <w:rsid w:val="000C457C"/>
    <w:rsid w:val="000C521A"/>
    <w:rsid w:val="000C5CCE"/>
    <w:rsid w:val="000D05EF"/>
    <w:rsid w:val="000D094B"/>
    <w:rsid w:val="000D3C39"/>
    <w:rsid w:val="000D4EC8"/>
    <w:rsid w:val="000D53DC"/>
    <w:rsid w:val="000D6047"/>
    <w:rsid w:val="000E1074"/>
    <w:rsid w:val="000E2261"/>
    <w:rsid w:val="000E4C42"/>
    <w:rsid w:val="000E5C93"/>
    <w:rsid w:val="000F21C1"/>
    <w:rsid w:val="000F2691"/>
    <w:rsid w:val="000F289C"/>
    <w:rsid w:val="001004C6"/>
    <w:rsid w:val="00104233"/>
    <w:rsid w:val="0010715B"/>
    <w:rsid w:val="0010745C"/>
    <w:rsid w:val="00107DB4"/>
    <w:rsid w:val="00111B52"/>
    <w:rsid w:val="0011243A"/>
    <w:rsid w:val="001144F7"/>
    <w:rsid w:val="00114752"/>
    <w:rsid w:val="00123EC9"/>
    <w:rsid w:val="001246C4"/>
    <w:rsid w:val="00127A13"/>
    <w:rsid w:val="00132CEB"/>
    <w:rsid w:val="00134B40"/>
    <w:rsid w:val="001351B6"/>
    <w:rsid w:val="0013566B"/>
    <w:rsid w:val="001409D4"/>
    <w:rsid w:val="00142B62"/>
    <w:rsid w:val="00144EBE"/>
    <w:rsid w:val="0014539C"/>
    <w:rsid w:val="00147664"/>
    <w:rsid w:val="00147D32"/>
    <w:rsid w:val="00154EE2"/>
    <w:rsid w:val="00157B8B"/>
    <w:rsid w:val="00157F11"/>
    <w:rsid w:val="001610EF"/>
    <w:rsid w:val="00161B64"/>
    <w:rsid w:val="001648DD"/>
    <w:rsid w:val="001669C1"/>
    <w:rsid w:val="00166C2F"/>
    <w:rsid w:val="001673E6"/>
    <w:rsid w:val="00171CE6"/>
    <w:rsid w:val="001735AF"/>
    <w:rsid w:val="00174428"/>
    <w:rsid w:val="00174AF7"/>
    <w:rsid w:val="00177ABD"/>
    <w:rsid w:val="001809D7"/>
    <w:rsid w:val="00191E96"/>
    <w:rsid w:val="001939E1"/>
    <w:rsid w:val="00194180"/>
    <w:rsid w:val="00194C3E"/>
    <w:rsid w:val="00195382"/>
    <w:rsid w:val="00195D3A"/>
    <w:rsid w:val="001A0E89"/>
    <w:rsid w:val="001A2BF0"/>
    <w:rsid w:val="001A3AA6"/>
    <w:rsid w:val="001A4F1A"/>
    <w:rsid w:val="001A64B4"/>
    <w:rsid w:val="001B0E69"/>
    <w:rsid w:val="001B1FA5"/>
    <w:rsid w:val="001B3A9E"/>
    <w:rsid w:val="001B58AC"/>
    <w:rsid w:val="001B6252"/>
    <w:rsid w:val="001B73F8"/>
    <w:rsid w:val="001C0434"/>
    <w:rsid w:val="001C61C5"/>
    <w:rsid w:val="001C69C4"/>
    <w:rsid w:val="001D058D"/>
    <w:rsid w:val="001D37EF"/>
    <w:rsid w:val="001D3BF1"/>
    <w:rsid w:val="001E10FB"/>
    <w:rsid w:val="001E3590"/>
    <w:rsid w:val="001E7407"/>
    <w:rsid w:val="001F20D0"/>
    <w:rsid w:val="001F2291"/>
    <w:rsid w:val="001F34BD"/>
    <w:rsid w:val="001F36FB"/>
    <w:rsid w:val="001F4046"/>
    <w:rsid w:val="001F5D5E"/>
    <w:rsid w:val="001F6219"/>
    <w:rsid w:val="001F6CD4"/>
    <w:rsid w:val="001F7FB2"/>
    <w:rsid w:val="00203427"/>
    <w:rsid w:val="00204269"/>
    <w:rsid w:val="002047A3"/>
    <w:rsid w:val="002062D9"/>
    <w:rsid w:val="00206C4D"/>
    <w:rsid w:val="0021053C"/>
    <w:rsid w:val="00214139"/>
    <w:rsid w:val="002143E6"/>
    <w:rsid w:val="00215AF1"/>
    <w:rsid w:val="002164F2"/>
    <w:rsid w:val="00216DB0"/>
    <w:rsid w:val="002231A3"/>
    <w:rsid w:val="0022321B"/>
    <w:rsid w:val="00223CED"/>
    <w:rsid w:val="0022618F"/>
    <w:rsid w:val="00231834"/>
    <w:rsid w:val="00231E65"/>
    <w:rsid w:val="002321E8"/>
    <w:rsid w:val="00235333"/>
    <w:rsid w:val="00235744"/>
    <w:rsid w:val="00236EEC"/>
    <w:rsid w:val="0024010F"/>
    <w:rsid w:val="00240749"/>
    <w:rsid w:val="00243018"/>
    <w:rsid w:val="00245EDC"/>
    <w:rsid w:val="00252171"/>
    <w:rsid w:val="00253EC3"/>
    <w:rsid w:val="002564A4"/>
    <w:rsid w:val="002600F1"/>
    <w:rsid w:val="0026141F"/>
    <w:rsid w:val="00261BE9"/>
    <w:rsid w:val="00263C87"/>
    <w:rsid w:val="00264FDD"/>
    <w:rsid w:val="0026553F"/>
    <w:rsid w:val="00265A8B"/>
    <w:rsid w:val="00266F7C"/>
    <w:rsid w:val="0026736C"/>
    <w:rsid w:val="00272035"/>
    <w:rsid w:val="00273886"/>
    <w:rsid w:val="002738A7"/>
    <w:rsid w:val="002768A3"/>
    <w:rsid w:val="002771F6"/>
    <w:rsid w:val="002805CA"/>
    <w:rsid w:val="00281308"/>
    <w:rsid w:val="00282F98"/>
    <w:rsid w:val="00284719"/>
    <w:rsid w:val="00294B40"/>
    <w:rsid w:val="00297ECB"/>
    <w:rsid w:val="002A0ABF"/>
    <w:rsid w:val="002A2329"/>
    <w:rsid w:val="002A4CF6"/>
    <w:rsid w:val="002A7BCF"/>
    <w:rsid w:val="002B0F3D"/>
    <w:rsid w:val="002B14E4"/>
    <w:rsid w:val="002B27EF"/>
    <w:rsid w:val="002B40AA"/>
    <w:rsid w:val="002C07DE"/>
    <w:rsid w:val="002D043A"/>
    <w:rsid w:val="002D0590"/>
    <w:rsid w:val="002D5AEA"/>
    <w:rsid w:val="002D5C32"/>
    <w:rsid w:val="002D5FD6"/>
    <w:rsid w:val="002D6224"/>
    <w:rsid w:val="002E271A"/>
    <w:rsid w:val="002E3F4B"/>
    <w:rsid w:val="002E6196"/>
    <w:rsid w:val="002F1DCF"/>
    <w:rsid w:val="002F44A4"/>
    <w:rsid w:val="002F713F"/>
    <w:rsid w:val="002F7A44"/>
    <w:rsid w:val="00301168"/>
    <w:rsid w:val="003026F7"/>
    <w:rsid w:val="00303A1C"/>
    <w:rsid w:val="00303EC6"/>
    <w:rsid w:val="00304288"/>
    <w:rsid w:val="00304364"/>
    <w:rsid w:val="00304F8B"/>
    <w:rsid w:val="003068F3"/>
    <w:rsid w:val="00306E95"/>
    <w:rsid w:val="00310F41"/>
    <w:rsid w:val="00312FE7"/>
    <w:rsid w:val="00313495"/>
    <w:rsid w:val="00320519"/>
    <w:rsid w:val="00323396"/>
    <w:rsid w:val="003354D2"/>
    <w:rsid w:val="00335BC6"/>
    <w:rsid w:val="00341062"/>
    <w:rsid w:val="003415D3"/>
    <w:rsid w:val="00342ECD"/>
    <w:rsid w:val="00344701"/>
    <w:rsid w:val="00346433"/>
    <w:rsid w:val="003478BB"/>
    <w:rsid w:val="00350434"/>
    <w:rsid w:val="003510A1"/>
    <w:rsid w:val="00352B0F"/>
    <w:rsid w:val="0035354E"/>
    <w:rsid w:val="00356690"/>
    <w:rsid w:val="00360459"/>
    <w:rsid w:val="003621C3"/>
    <w:rsid w:val="003636A4"/>
    <w:rsid w:val="003731B2"/>
    <w:rsid w:val="003732D2"/>
    <w:rsid w:val="00374FB9"/>
    <w:rsid w:val="00375FA8"/>
    <w:rsid w:val="003820BE"/>
    <w:rsid w:val="00382D91"/>
    <w:rsid w:val="00384D7D"/>
    <w:rsid w:val="00385D15"/>
    <w:rsid w:val="00386827"/>
    <w:rsid w:val="00390038"/>
    <w:rsid w:val="00393419"/>
    <w:rsid w:val="00395917"/>
    <w:rsid w:val="00396EFA"/>
    <w:rsid w:val="00397CED"/>
    <w:rsid w:val="003A6AC5"/>
    <w:rsid w:val="003A6F08"/>
    <w:rsid w:val="003B0F4A"/>
    <w:rsid w:val="003B1CAF"/>
    <w:rsid w:val="003B29C0"/>
    <w:rsid w:val="003B5C64"/>
    <w:rsid w:val="003B6870"/>
    <w:rsid w:val="003B6C94"/>
    <w:rsid w:val="003B7360"/>
    <w:rsid w:val="003C1E6E"/>
    <w:rsid w:val="003C46B2"/>
    <w:rsid w:val="003C5E8B"/>
    <w:rsid w:val="003C6231"/>
    <w:rsid w:val="003D0241"/>
    <w:rsid w:val="003D0BFE"/>
    <w:rsid w:val="003D2780"/>
    <w:rsid w:val="003D55D1"/>
    <w:rsid w:val="003D5700"/>
    <w:rsid w:val="003E10E9"/>
    <w:rsid w:val="003E32F2"/>
    <w:rsid w:val="003E341B"/>
    <w:rsid w:val="003E594D"/>
    <w:rsid w:val="003F1476"/>
    <w:rsid w:val="003F4C36"/>
    <w:rsid w:val="003F6166"/>
    <w:rsid w:val="003F6730"/>
    <w:rsid w:val="003F75E6"/>
    <w:rsid w:val="00402838"/>
    <w:rsid w:val="00405500"/>
    <w:rsid w:val="00406FEB"/>
    <w:rsid w:val="00410195"/>
    <w:rsid w:val="0041030E"/>
    <w:rsid w:val="004116CD"/>
    <w:rsid w:val="004144EC"/>
    <w:rsid w:val="00415EAF"/>
    <w:rsid w:val="004176B8"/>
    <w:rsid w:val="00417EB9"/>
    <w:rsid w:val="00421EB2"/>
    <w:rsid w:val="00423A40"/>
    <w:rsid w:val="00424CA9"/>
    <w:rsid w:val="004257B1"/>
    <w:rsid w:val="00431E9B"/>
    <w:rsid w:val="00432BDD"/>
    <w:rsid w:val="004379E3"/>
    <w:rsid w:val="0044015E"/>
    <w:rsid w:val="0044291A"/>
    <w:rsid w:val="00444ABD"/>
    <w:rsid w:val="00450302"/>
    <w:rsid w:val="0045099A"/>
    <w:rsid w:val="00455E1A"/>
    <w:rsid w:val="00456CB4"/>
    <w:rsid w:val="00461C81"/>
    <w:rsid w:val="00467661"/>
    <w:rsid w:val="00467FAA"/>
    <w:rsid w:val="004704ED"/>
    <w:rsid w:val="004705B7"/>
    <w:rsid w:val="00470FCE"/>
    <w:rsid w:val="0047133A"/>
    <w:rsid w:val="004728E2"/>
    <w:rsid w:val="00472DBE"/>
    <w:rsid w:val="00472EA8"/>
    <w:rsid w:val="00474A19"/>
    <w:rsid w:val="004753BC"/>
    <w:rsid w:val="00483A85"/>
    <w:rsid w:val="004903C7"/>
    <w:rsid w:val="00493A40"/>
    <w:rsid w:val="00493B41"/>
    <w:rsid w:val="0049539F"/>
    <w:rsid w:val="00496F97"/>
    <w:rsid w:val="004977FF"/>
    <w:rsid w:val="004A21C1"/>
    <w:rsid w:val="004B676C"/>
    <w:rsid w:val="004C014E"/>
    <w:rsid w:val="004C139B"/>
    <w:rsid w:val="004C2040"/>
    <w:rsid w:val="004C2CE6"/>
    <w:rsid w:val="004C6A72"/>
    <w:rsid w:val="004C6AE8"/>
    <w:rsid w:val="004D0417"/>
    <w:rsid w:val="004D2E24"/>
    <w:rsid w:val="004D31F0"/>
    <w:rsid w:val="004D491D"/>
    <w:rsid w:val="004D7DE7"/>
    <w:rsid w:val="004E063A"/>
    <w:rsid w:val="004E0FE1"/>
    <w:rsid w:val="004E11D1"/>
    <w:rsid w:val="004E27BF"/>
    <w:rsid w:val="004E7BEC"/>
    <w:rsid w:val="004F0263"/>
    <w:rsid w:val="004F02DC"/>
    <w:rsid w:val="004F0C81"/>
    <w:rsid w:val="00501B5B"/>
    <w:rsid w:val="00501F7C"/>
    <w:rsid w:val="005049BF"/>
    <w:rsid w:val="00505D3D"/>
    <w:rsid w:val="00506AF6"/>
    <w:rsid w:val="00507DF8"/>
    <w:rsid w:val="00513149"/>
    <w:rsid w:val="00516093"/>
    <w:rsid w:val="00516B8D"/>
    <w:rsid w:val="00535976"/>
    <w:rsid w:val="005363B5"/>
    <w:rsid w:val="00537A68"/>
    <w:rsid w:val="00537FBC"/>
    <w:rsid w:val="0054317A"/>
    <w:rsid w:val="005447C7"/>
    <w:rsid w:val="005450E1"/>
    <w:rsid w:val="005545CA"/>
    <w:rsid w:val="00554703"/>
    <w:rsid w:val="00554710"/>
    <w:rsid w:val="005574D1"/>
    <w:rsid w:val="0056581B"/>
    <w:rsid w:val="005661DE"/>
    <w:rsid w:val="005748B1"/>
    <w:rsid w:val="00576554"/>
    <w:rsid w:val="00577705"/>
    <w:rsid w:val="00582CF2"/>
    <w:rsid w:val="00584811"/>
    <w:rsid w:val="00585784"/>
    <w:rsid w:val="00593AA6"/>
    <w:rsid w:val="00594161"/>
    <w:rsid w:val="00594749"/>
    <w:rsid w:val="00595750"/>
    <w:rsid w:val="005A2996"/>
    <w:rsid w:val="005A3274"/>
    <w:rsid w:val="005A3A26"/>
    <w:rsid w:val="005A56E8"/>
    <w:rsid w:val="005B4067"/>
    <w:rsid w:val="005B4537"/>
    <w:rsid w:val="005B6709"/>
    <w:rsid w:val="005B6B80"/>
    <w:rsid w:val="005B7F20"/>
    <w:rsid w:val="005C3CBF"/>
    <w:rsid w:val="005C3DB5"/>
    <w:rsid w:val="005C3F41"/>
    <w:rsid w:val="005C524F"/>
    <w:rsid w:val="005D2D09"/>
    <w:rsid w:val="005D32E6"/>
    <w:rsid w:val="005D43BB"/>
    <w:rsid w:val="005D4FFE"/>
    <w:rsid w:val="005D79EF"/>
    <w:rsid w:val="005E1C81"/>
    <w:rsid w:val="005F2096"/>
    <w:rsid w:val="005F480F"/>
    <w:rsid w:val="005F71A2"/>
    <w:rsid w:val="00600219"/>
    <w:rsid w:val="00601F9A"/>
    <w:rsid w:val="00603DC4"/>
    <w:rsid w:val="00606EB3"/>
    <w:rsid w:val="0061266B"/>
    <w:rsid w:val="00612830"/>
    <w:rsid w:val="00612DF7"/>
    <w:rsid w:val="00613AAF"/>
    <w:rsid w:val="00614718"/>
    <w:rsid w:val="00620076"/>
    <w:rsid w:val="00621EC9"/>
    <w:rsid w:val="00622DF6"/>
    <w:rsid w:val="00624240"/>
    <w:rsid w:val="00626BCB"/>
    <w:rsid w:val="006312D8"/>
    <w:rsid w:val="00632A00"/>
    <w:rsid w:val="00634409"/>
    <w:rsid w:val="0063701C"/>
    <w:rsid w:val="00641C6E"/>
    <w:rsid w:val="00641D5C"/>
    <w:rsid w:val="0064222D"/>
    <w:rsid w:val="00642F87"/>
    <w:rsid w:val="00643400"/>
    <w:rsid w:val="00643D11"/>
    <w:rsid w:val="00647FF9"/>
    <w:rsid w:val="0065463F"/>
    <w:rsid w:val="00654FF2"/>
    <w:rsid w:val="0065789F"/>
    <w:rsid w:val="006605D9"/>
    <w:rsid w:val="00662AA0"/>
    <w:rsid w:val="00670772"/>
    <w:rsid w:val="00670EA1"/>
    <w:rsid w:val="00675E93"/>
    <w:rsid w:val="00677CC2"/>
    <w:rsid w:val="00680C60"/>
    <w:rsid w:val="006825AC"/>
    <w:rsid w:val="0068501B"/>
    <w:rsid w:val="00685BF7"/>
    <w:rsid w:val="006905DE"/>
    <w:rsid w:val="0069207B"/>
    <w:rsid w:val="00693D6A"/>
    <w:rsid w:val="00694BA1"/>
    <w:rsid w:val="006A07B1"/>
    <w:rsid w:val="006A1137"/>
    <w:rsid w:val="006A399C"/>
    <w:rsid w:val="006A7CD4"/>
    <w:rsid w:val="006B30EA"/>
    <w:rsid w:val="006B5789"/>
    <w:rsid w:val="006B5FCC"/>
    <w:rsid w:val="006B661B"/>
    <w:rsid w:val="006B79DC"/>
    <w:rsid w:val="006C0B42"/>
    <w:rsid w:val="006C1F26"/>
    <w:rsid w:val="006C30C5"/>
    <w:rsid w:val="006C3FC8"/>
    <w:rsid w:val="006C7858"/>
    <w:rsid w:val="006C7F8C"/>
    <w:rsid w:val="006D2FEF"/>
    <w:rsid w:val="006D5DC1"/>
    <w:rsid w:val="006E113D"/>
    <w:rsid w:val="006E2327"/>
    <w:rsid w:val="006E31CA"/>
    <w:rsid w:val="006E56E9"/>
    <w:rsid w:val="006E6246"/>
    <w:rsid w:val="006E7299"/>
    <w:rsid w:val="006F318F"/>
    <w:rsid w:val="006F4226"/>
    <w:rsid w:val="006F5104"/>
    <w:rsid w:val="006F51FF"/>
    <w:rsid w:val="0070017E"/>
    <w:rsid w:val="00700B2C"/>
    <w:rsid w:val="00703090"/>
    <w:rsid w:val="007033B4"/>
    <w:rsid w:val="007050A2"/>
    <w:rsid w:val="007104FE"/>
    <w:rsid w:val="00713084"/>
    <w:rsid w:val="00714F20"/>
    <w:rsid w:val="0071590F"/>
    <w:rsid w:val="00715914"/>
    <w:rsid w:val="0071735D"/>
    <w:rsid w:val="00717670"/>
    <w:rsid w:val="00720528"/>
    <w:rsid w:val="00722434"/>
    <w:rsid w:val="007229B4"/>
    <w:rsid w:val="00723075"/>
    <w:rsid w:val="007230A6"/>
    <w:rsid w:val="0073027F"/>
    <w:rsid w:val="00731D22"/>
    <w:rsid w:val="00731E00"/>
    <w:rsid w:val="00732174"/>
    <w:rsid w:val="007338C5"/>
    <w:rsid w:val="00735B7B"/>
    <w:rsid w:val="00735DD9"/>
    <w:rsid w:val="00736982"/>
    <w:rsid w:val="00742BF1"/>
    <w:rsid w:val="00742FFE"/>
    <w:rsid w:val="0074323C"/>
    <w:rsid w:val="00743AA2"/>
    <w:rsid w:val="007440B7"/>
    <w:rsid w:val="0074485F"/>
    <w:rsid w:val="007500C8"/>
    <w:rsid w:val="00751601"/>
    <w:rsid w:val="00756272"/>
    <w:rsid w:val="007604F8"/>
    <w:rsid w:val="00762445"/>
    <w:rsid w:val="0076681A"/>
    <w:rsid w:val="00766D59"/>
    <w:rsid w:val="007715C9"/>
    <w:rsid w:val="00771613"/>
    <w:rsid w:val="00774514"/>
    <w:rsid w:val="00774DC1"/>
    <w:rsid w:val="00774EDD"/>
    <w:rsid w:val="007757EC"/>
    <w:rsid w:val="00775E2C"/>
    <w:rsid w:val="0078038E"/>
    <w:rsid w:val="007816E9"/>
    <w:rsid w:val="00783E89"/>
    <w:rsid w:val="00792160"/>
    <w:rsid w:val="007931F3"/>
    <w:rsid w:val="00793915"/>
    <w:rsid w:val="007A47C0"/>
    <w:rsid w:val="007B0E8C"/>
    <w:rsid w:val="007B544A"/>
    <w:rsid w:val="007C2253"/>
    <w:rsid w:val="007C60A0"/>
    <w:rsid w:val="007D1855"/>
    <w:rsid w:val="007D5A63"/>
    <w:rsid w:val="007D6F9E"/>
    <w:rsid w:val="007D7B81"/>
    <w:rsid w:val="007E163D"/>
    <w:rsid w:val="007E25D2"/>
    <w:rsid w:val="007E3510"/>
    <w:rsid w:val="007E667A"/>
    <w:rsid w:val="007F28C9"/>
    <w:rsid w:val="007F2C73"/>
    <w:rsid w:val="0080305B"/>
    <w:rsid w:val="00803587"/>
    <w:rsid w:val="00803BD2"/>
    <w:rsid w:val="00806280"/>
    <w:rsid w:val="0080683F"/>
    <w:rsid w:val="008117E9"/>
    <w:rsid w:val="008124A0"/>
    <w:rsid w:val="00813C01"/>
    <w:rsid w:val="008140D5"/>
    <w:rsid w:val="0081582C"/>
    <w:rsid w:val="00815CDF"/>
    <w:rsid w:val="008229B1"/>
    <w:rsid w:val="00824498"/>
    <w:rsid w:val="008303BC"/>
    <w:rsid w:val="0083368E"/>
    <w:rsid w:val="008350DD"/>
    <w:rsid w:val="008418C5"/>
    <w:rsid w:val="00843FF2"/>
    <w:rsid w:val="00845326"/>
    <w:rsid w:val="00845B3A"/>
    <w:rsid w:val="00847444"/>
    <w:rsid w:val="0085168A"/>
    <w:rsid w:val="0085664F"/>
    <w:rsid w:val="00856A31"/>
    <w:rsid w:val="0086159B"/>
    <w:rsid w:val="00864B24"/>
    <w:rsid w:val="008650DD"/>
    <w:rsid w:val="00867B37"/>
    <w:rsid w:val="0087103D"/>
    <w:rsid w:val="008754D0"/>
    <w:rsid w:val="008756CB"/>
    <w:rsid w:val="008805F3"/>
    <w:rsid w:val="00880771"/>
    <w:rsid w:val="00883DA7"/>
    <w:rsid w:val="0088445A"/>
    <w:rsid w:val="008855C9"/>
    <w:rsid w:val="00886456"/>
    <w:rsid w:val="0089456C"/>
    <w:rsid w:val="0089591C"/>
    <w:rsid w:val="008A10C1"/>
    <w:rsid w:val="008A3606"/>
    <w:rsid w:val="008A46E1"/>
    <w:rsid w:val="008A4F43"/>
    <w:rsid w:val="008A6F80"/>
    <w:rsid w:val="008B0089"/>
    <w:rsid w:val="008B04C5"/>
    <w:rsid w:val="008B0B32"/>
    <w:rsid w:val="008B2706"/>
    <w:rsid w:val="008C172C"/>
    <w:rsid w:val="008C2D8E"/>
    <w:rsid w:val="008C3056"/>
    <w:rsid w:val="008C34DC"/>
    <w:rsid w:val="008C58B2"/>
    <w:rsid w:val="008C7D3A"/>
    <w:rsid w:val="008D094F"/>
    <w:rsid w:val="008D0EE0"/>
    <w:rsid w:val="008D72C1"/>
    <w:rsid w:val="008E10E1"/>
    <w:rsid w:val="008E4852"/>
    <w:rsid w:val="008E6067"/>
    <w:rsid w:val="008E7D2E"/>
    <w:rsid w:val="008F20AA"/>
    <w:rsid w:val="008F2450"/>
    <w:rsid w:val="008F3B8B"/>
    <w:rsid w:val="008F49F6"/>
    <w:rsid w:val="008F54E7"/>
    <w:rsid w:val="0090133B"/>
    <w:rsid w:val="00903422"/>
    <w:rsid w:val="00907DEE"/>
    <w:rsid w:val="00912DC7"/>
    <w:rsid w:val="009133F8"/>
    <w:rsid w:val="00915DF9"/>
    <w:rsid w:val="00921577"/>
    <w:rsid w:val="0092344D"/>
    <w:rsid w:val="009254C3"/>
    <w:rsid w:val="00926B0F"/>
    <w:rsid w:val="00932377"/>
    <w:rsid w:val="00933AA5"/>
    <w:rsid w:val="009360A9"/>
    <w:rsid w:val="00941B07"/>
    <w:rsid w:val="00947266"/>
    <w:rsid w:val="0094730A"/>
    <w:rsid w:val="00947D5A"/>
    <w:rsid w:val="009506AF"/>
    <w:rsid w:val="009532A5"/>
    <w:rsid w:val="009548F9"/>
    <w:rsid w:val="00954EE0"/>
    <w:rsid w:val="00957762"/>
    <w:rsid w:val="00962499"/>
    <w:rsid w:val="0097089D"/>
    <w:rsid w:val="009711B5"/>
    <w:rsid w:val="00972E92"/>
    <w:rsid w:val="00975713"/>
    <w:rsid w:val="00976187"/>
    <w:rsid w:val="00982242"/>
    <w:rsid w:val="00982A3F"/>
    <w:rsid w:val="0098394C"/>
    <w:rsid w:val="009868E9"/>
    <w:rsid w:val="00992309"/>
    <w:rsid w:val="009A1A28"/>
    <w:rsid w:val="009A1C32"/>
    <w:rsid w:val="009A2BC9"/>
    <w:rsid w:val="009A7429"/>
    <w:rsid w:val="009B1EE4"/>
    <w:rsid w:val="009B2A78"/>
    <w:rsid w:val="009B454F"/>
    <w:rsid w:val="009B5C35"/>
    <w:rsid w:val="009C1F93"/>
    <w:rsid w:val="009C4506"/>
    <w:rsid w:val="009C767A"/>
    <w:rsid w:val="009D07C4"/>
    <w:rsid w:val="009D2558"/>
    <w:rsid w:val="009D4C29"/>
    <w:rsid w:val="009D71FC"/>
    <w:rsid w:val="009D7D2F"/>
    <w:rsid w:val="009E01F8"/>
    <w:rsid w:val="009E5CFC"/>
    <w:rsid w:val="009F11CD"/>
    <w:rsid w:val="009F4E1C"/>
    <w:rsid w:val="00A01748"/>
    <w:rsid w:val="00A02416"/>
    <w:rsid w:val="00A0528F"/>
    <w:rsid w:val="00A0573C"/>
    <w:rsid w:val="00A0633C"/>
    <w:rsid w:val="00A079CB"/>
    <w:rsid w:val="00A11C9F"/>
    <w:rsid w:val="00A12128"/>
    <w:rsid w:val="00A22C98"/>
    <w:rsid w:val="00A231E2"/>
    <w:rsid w:val="00A26C61"/>
    <w:rsid w:val="00A27D12"/>
    <w:rsid w:val="00A36D69"/>
    <w:rsid w:val="00A3779A"/>
    <w:rsid w:val="00A40EEA"/>
    <w:rsid w:val="00A42F99"/>
    <w:rsid w:val="00A43F74"/>
    <w:rsid w:val="00A44328"/>
    <w:rsid w:val="00A522D0"/>
    <w:rsid w:val="00A5560D"/>
    <w:rsid w:val="00A57F2D"/>
    <w:rsid w:val="00A6161A"/>
    <w:rsid w:val="00A61E85"/>
    <w:rsid w:val="00A63883"/>
    <w:rsid w:val="00A64912"/>
    <w:rsid w:val="00A70A74"/>
    <w:rsid w:val="00A73557"/>
    <w:rsid w:val="00A775AA"/>
    <w:rsid w:val="00A84C68"/>
    <w:rsid w:val="00A9199C"/>
    <w:rsid w:val="00A96D06"/>
    <w:rsid w:val="00AA7BC5"/>
    <w:rsid w:val="00AB5AF2"/>
    <w:rsid w:val="00AC4C79"/>
    <w:rsid w:val="00AD5641"/>
    <w:rsid w:val="00AD7631"/>
    <w:rsid w:val="00AD7889"/>
    <w:rsid w:val="00AE6E37"/>
    <w:rsid w:val="00AF01A1"/>
    <w:rsid w:val="00AF021B"/>
    <w:rsid w:val="00AF06CF"/>
    <w:rsid w:val="00AF2111"/>
    <w:rsid w:val="00AF2CE5"/>
    <w:rsid w:val="00AF36FA"/>
    <w:rsid w:val="00AF48BE"/>
    <w:rsid w:val="00AF5FD2"/>
    <w:rsid w:val="00AF7BF0"/>
    <w:rsid w:val="00B0069F"/>
    <w:rsid w:val="00B02327"/>
    <w:rsid w:val="00B05CF4"/>
    <w:rsid w:val="00B07CDB"/>
    <w:rsid w:val="00B13BC7"/>
    <w:rsid w:val="00B16A31"/>
    <w:rsid w:val="00B17DFD"/>
    <w:rsid w:val="00B17ED9"/>
    <w:rsid w:val="00B240C6"/>
    <w:rsid w:val="00B24B9B"/>
    <w:rsid w:val="00B308FE"/>
    <w:rsid w:val="00B33709"/>
    <w:rsid w:val="00B33B3C"/>
    <w:rsid w:val="00B33BC9"/>
    <w:rsid w:val="00B4169A"/>
    <w:rsid w:val="00B4499F"/>
    <w:rsid w:val="00B45788"/>
    <w:rsid w:val="00B4677A"/>
    <w:rsid w:val="00B467BF"/>
    <w:rsid w:val="00B50ADC"/>
    <w:rsid w:val="00B553BD"/>
    <w:rsid w:val="00B566B1"/>
    <w:rsid w:val="00B63834"/>
    <w:rsid w:val="00B65662"/>
    <w:rsid w:val="00B67826"/>
    <w:rsid w:val="00B70394"/>
    <w:rsid w:val="00B72730"/>
    <w:rsid w:val="00B72734"/>
    <w:rsid w:val="00B77043"/>
    <w:rsid w:val="00B80199"/>
    <w:rsid w:val="00B83204"/>
    <w:rsid w:val="00B8609A"/>
    <w:rsid w:val="00B96AD2"/>
    <w:rsid w:val="00BA220B"/>
    <w:rsid w:val="00BA23F6"/>
    <w:rsid w:val="00BA3A57"/>
    <w:rsid w:val="00BA691F"/>
    <w:rsid w:val="00BA7C93"/>
    <w:rsid w:val="00BB0957"/>
    <w:rsid w:val="00BB3CB8"/>
    <w:rsid w:val="00BB3D3E"/>
    <w:rsid w:val="00BB4A7E"/>
    <w:rsid w:val="00BB4E1A"/>
    <w:rsid w:val="00BB5376"/>
    <w:rsid w:val="00BB7FD7"/>
    <w:rsid w:val="00BC015E"/>
    <w:rsid w:val="00BC2854"/>
    <w:rsid w:val="00BC6622"/>
    <w:rsid w:val="00BC6FE0"/>
    <w:rsid w:val="00BC76AC"/>
    <w:rsid w:val="00BC7AED"/>
    <w:rsid w:val="00BD0ECB"/>
    <w:rsid w:val="00BD28A9"/>
    <w:rsid w:val="00BD4C4A"/>
    <w:rsid w:val="00BE2155"/>
    <w:rsid w:val="00BE2213"/>
    <w:rsid w:val="00BE5F84"/>
    <w:rsid w:val="00BE719A"/>
    <w:rsid w:val="00BE720A"/>
    <w:rsid w:val="00BF0D73"/>
    <w:rsid w:val="00BF2465"/>
    <w:rsid w:val="00BF3418"/>
    <w:rsid w:val="00BF6215"/>
    <w:rsid w:val="00C03949"/>
    <w:rsid w:val="00C03A04"/>
    <w:rsid w:val="00C045E4"/>
    <w:rsid w:val="00C04A3A"/>
    <w:rsid w:val="00C07C8E"/>
    <w:rsid w:val="00C202D1"/>
    <w:rsid w:val="00C23E04"/>
    <w:rsid w:val="00C24EC6"/>
    <w:rsid w:val="00C25671"/>
    <w:rsid w:val="00C25E7F"/>
    <w:rsid w:val="00C27148"/>
    <w:rsid w:val="00C2746F"/>
    <w:rsid w:val="00C324A0"/>
    <w:rsid w:val="00C3300F"/>
    <w:rsid w:val="00C36748"/>
    <w:rsid w:val="00C36DA6"/>
    <w:rsid w:val="00C42B8D"/>
    <w:rsid w:val="00C42BF8"/>
    <w:rsid w:val="00C50043"/>
    <w:rsid w:val="00C506BC"/>
    <w:rsid w:val="00C50915"/>
    <w:rsid w:val="00C52497"/>
    <w:rsid w:val="00C53945"/>
    <w:rsid w:val="00C62088"/>
    <w:rsid w:val="00C63377"/>
    <w:rsid w:val="00C65B1E"/>
    <w:rsid w:val="00C67424"/>
    <w:rsid w:val="00C7392C"/>
    <w:rsid w:val="00C7573B"/>
    <w:rsid w:val="00C75888"/>
    <w:rsid w:val="00C77549"/>
    <w:rsid w:val="00C80007"/>
    <w:rsid w:val="00C80491"/>
    <w:rsid w:val="00C8526A"/>
    <w:rsid w:val="00C85F16"/>
    <w:rsid w:val="00C87FA2"/>
    <w:rsid w:val="00C93C03"/>
    <w:rsid w:val="00C9769E"/>
    <w:rsid w:val="00CA4F60"/>
    <w:rsid w:val="00CA4FBE"/>
    <w:rsid w:val="00CA6FCE"/>
    <w:rsid w:val="00CB1962"/>
    <w:rsid w:val="00CB1A66"/>
    <w:rsid w:val="00CB2C8E"/>
    <w:rsid w:val="00CB602E"/>
    <w:rsid w:val="00CD3B61"/>
    <w:rsid w:val="00CE051D"/>
    <w:rsid w:val="00CE0595"/>
    <w:rsid w:val="00CE103E"/>
    <w:rsid w:val="00CE10E5"/>
    <w:rsid w:val="00CE1335"/>
    <w:rsid w:val="00CE2807"/>
    <w:rsid w:val="00CE493D"/>
    <w:rsid w:val="00CF07FA"/>
    <w:rsid w:val="00CF0A58"/>
    <w:rsid w:val="00CF0BB2"/>
    <w:rsid w:val="00CF3EE8"/>
    <w:rsid w:val="00CF6CDD"/>
    <w:rsid w:val="00D04521"/>
    <w:rsid w:val="00D050E6"/>
    <w:rsid w:val="00D13441"/>
    <w:rsid w:val="00D1474E"/>
    <w:rsid w:val="00D150E7"/>
    <w:rsid w:val="00D15CBB"/>
    <w:rsid w:val="00D20506"/>
    <w:rsid w:val="00D20C05"/>
    <w:rsid w:val="00D24878"/>
    <w:rsid w:val="00D24FF9"/>
    <w:rsid w:val="00D25529"/>
    <w:rsid w:val="00D323B7"/>
    <w:rsid w:val="00D32F65"/>
    <w:rsid w:val="00D354C9"/>
    <w:rsid w:val="00D35628"/>
    <w:rsid w:val="00D35787"/>
    <w:rsid w:val="00D42A9A"/>
    <w:rsid w:val="00D43795"/>
    <w:rsid w:val="00D43D26"/>
    <w:rsid w:val="00D43F06"/>
    <w:rsid w:val="00D45BDB"/>
    <w:rsid w:val="00D4642C"/>
    <w:rsid w:val="00D4742A"/>
    <w:rsid w:val="00D506E3"/>
    <w:rsid w:val="00D52DC2"/>
    <w:rsid w:val="00D53BCC"/>
    <w:rsid w:val="00D5568E"/>
    <w:rsid w:val="00D577D9"/>
    <w:rsid w:val="00D65BCF"/>
    <w:rsid w:val="00D66D1C"/>
    <w:rsid w:val="00D70DFB"/>
    <w:rsid w:val="00D71CE2"/>
    <w:rsid w:val="00D762EA"/>
    <w:rsid w:val="00D766DF"/>
    <w:rsid w:val="00D76781"/>
    <w:rsid w:val="00D80E0E"/>
    <w:rsid w:val="00D861BC"/>
    <w:rsid w:val="00D87C84"/>
    <w:rsid w:val="00D90356"/>
    <w:rsid w:val="00D91C19"/>
    <w:rsid w:val="00D9596E"/>
    <w:rsid w:val="00D96941"/>
    <w:rsid w:val="00DA186E"/>
    <w:rsid w:val="00DA4116"/>
    <w:rsid w:val="00DA5807"/>
    <w:rsid w:val="00DA5F6F"/>
    <w:rsid w:val="00DA64C2"/>
    <w:rsid w:val="00DA7A63"/>
    <w:rsid w:val="00DB251C"/>
    <w:rsid w:val="00DB29FE"/>
    <w:rsid w:val="00DB4630"/>
    <w:rsid w:val="00DB78D8"/>
    <w:rsid w:val="00DC0A5F"/>
    <w:rsid w:val="00DC4F88"/>
    <w:rsid w:val="00DD0EE3"/>
    <w:rsid w:val="00DD760F"/>
    <w:rsid w:val="00DD7846"/>
    <w:rsid w:val="00DE1B86"/>
    <w:rsid w:val="00DE1F67"/>
    <w:rsid w:val="00DE4564"/>
    <w:rsid w:val="00DF236F"/>
    <w:rsid w:val="00DF6251"/>
    <w:rsid w:val="00DF7B57"/>
    <w:rsid w:val="00E04156"/>
    <w:rsid w:val="00E04C78"/>
    <w:rsid w:val="00E05704"/>
    <w:rsid w:val="00E07A94"/>
    <w:rsid w:val="00E11E44"/>
    <w:rsid w:val="00E11FE5"/>
    <w:rsid w:val="00E14323"/>
    <w:rsid w:val="00E14669"/>
    <w:rsid w:val="00E14D61"/>
    <w:rsid w:val="00E1674D"/>
    <w:rsid w:val="00E17310"/>
    <w:rsid w:val="00E176A0"/>
    <w:rsid w:val="00E22226"/>
    <w:rsid w:val="00E24020"/>
    <w:rsid w:val="00E26A6A"/>
    <w:rsid w:val="00E26E28"/>
    <w:rsid w:val="00E27962"/>
    <w:rsid w:val="00E30BD6"/>
    <w:rsid w:val="00E3270E"/>
    <w:rsid w:val="00E338EF"/>
    <w:rsid w:val="00E340D2"/>
    <w:rsid w:val="00E349BB"/>
    <w:rsid w:val="00E34C2B"/>
    <w:rsid w:val="00E34E0C"/>
    <w:rsid w:val="00E35250"/>
    <w:rsid w:val="00E50347"/>
    <w:rsid w:val="00E53586"/>
    <w:rsid w:val="00E544BB"/>
    <w:rsid w:val="00E566DF"/>
    <w:rsid w:val="00E622D7"/>
    <w:rsid w:val="00E650A4"/>
    <w:rsid w:val="00E662CB"/>
    <w:rsid w:val="00E662F0"/>
    <w:rsid w:val="00E67597"/>
    <w:rsid w:val="00E71F39"/>
    <w:rsid w:val="00E740FA"/>
    <w:rsid w:val="00E74DC7"/>
    <w:rsid w:val="00E75D85"/>
    <w:rsid w:val="00E760E5"/>
    <w:rsid w:val="00E764F0"/>
    <w:rsid w:val="00E8075A"/>
    <w:rsid w:val="00E81D6C"/>
    <w:rsid w:val="00E869E4"/>
    <w:rsid w:val="00E93DC7"/>
    <w:rsid w:val="00E93F23"/>
    <w:rsid w:val="00E94D5E"/>
    <w:rsid w:val="00E966CB"/>
    <w:rsid w:val="00EA318B"/>
    <w:rsid w:val="00EA7100"/>
    <w:rsid w:val="00EA7E2A"/>
    <w:rsid w:val="00EA7F9F"/>
    <w:rsid w:val="00EB072F"/>
    <w:rsid w:val="00EB0DA1"/>
    <w:rsid w:val="00EB1274"/>
    <w:rsid w:val="00EB2741"/>
    <w:rsid w:val="00EB6EA8"/>
    <w:rsid w:val="00EB733B"/>
    <w:rsid w:val="00EC1A3B"/>
    <w:rsid w:val="00EC44A1"/>
    <w:rsid w:val="00EC787F"/>
    <w:rsid w:val="00ED11A7"/>
    <w:rsid w:val="00ED2BB6"/>
    <w:rsid w:val="00ED34E1"/>
    <w:rsid w:val="00ED3B8D"/>
    <w:rsid w:val="00ED41A6"/>
    <w:rsid w:val="00EF2E3A"/>
    <w:rsid w:val="00EF513D"/>
    <w:rsid w:val="00EF6526"/>
    <w:rsid w:val="00F01B91"/>
    <w:rsid w:val="00F032A0"/>
    <w:rsid w:val="00F065A8"/>
    <w:rsid w:val="00F072A7"/>
    <w:rsid w:val="00F078DC"/>
    <w:rsid w:val="00F10B0E"/>
    <w:rsid w:val="00F113B2"/>
    <w:rsid w:val="00F113FA"/>
    <w:rsid w:val="00F14E9D"/>
    <w:rsid w:val="00F1604E"/>
    <w:rsid w:val="00F26AFB"/>
    <w:rsid w:val="00F2793C"/>
    <w:rsid w:val="00F3295F"/>
    <w:rsid w:val="00F32BA8"/>
    <w:rsid w:val="00F32EE5"/>
    <w:rsid w:val="00F349F1"/>
    <w:rsid w:val="00F41DF9"/>
    <w:rsid w:val="00F43199"/>
    <w:rsid w:val="00F4350D"/>
    <w:rsid w:val="00F4385F"/>
    <w:rsid w:val="00F46D07"/>
    <w:rsid w:val="00F50FEE"/>
    <w:rsid w:val="00F567F7"/>
    <w:rsid w:val="00F60699"/>
    <w:rsid w:val="00F6114A"/>
    <w:rsid w:val="00F61933"/>
    <w:rsid w:val="00F62036"/>
    <w:rsid w:val="00F656D9"/>
    <w:rsid w:val="00F65B52"/>
    <w:rsid w:val="00F67BCA"/>
    <w:rsid w:val="00F715E6"/>
    <w:rsid w:val="00F73B2D"/>
    <w:rsid w:val="00F73BD6"/>
    <w:rsid w:val="00F73C1C"/>
    <w:rsid w:val="00F75292"/>
    <w:rsid w:val="00F774D9"/>
    <w:rsid w:val="00F77E56"/>
    <w:rsid w:val="00F83989"/>
    <w:rsid w:val="00F83B25"/>
    <w:rsid w:val="00F85099"/>
    <w:rsid w:val="00F9379C"/>
    <w:rsid w:val="00F9632C"/>
    <w:rsid w:val="00FA1E52"/>
    <w:rsid w:val="00FA33E0"/>
    <w:rsid w:val="00FB05E9"/>
    <w:rsid w:val="00FB0EA8"/>
    <w:rsid w:val="00FB21CD"/>
    <w:rsid w:val="00FB5693"/>
    <w:rsid w:val="00FB5F88"/>
    <w:rsid w:val="00FB64F4"/>
    <w:rsid w:val="00FC2552"/>
    <w:rsid w:val="00FC28FB"/>
    <w:rsid w:val="00FC5001"/>
    <w:rsid w:val="00FD4E2A"/>
    <w:rsid w:val="00FD4E77"/>
    <w:rsid w:val="00FD7464"/>
    <w:rsid w:val="00FE029D"/>
    <w:rsid w:val="00FE3F14"/>
    <w:rsid w:val="00FE4688"/>
    <w:rsid w:val="00FF4C45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E3EE282"/>
  <w15:chartTrackingRefBased/>
  <w15:docId w15:val="{F055ACD9-BCE4-48FB-9A09-B50D8A1C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67826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F4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F4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F4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F4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F4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F4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F4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F4A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F4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103E"/>
  </w:style>
  <w:style w:type="paragraph" w:customStyle="1" w:styleId="OPCParaBase">
    <w:name w:val="OPCParaBase"/>
    <w:qFormat/>
    <w:rsid w:val="00CE103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CE10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10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10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10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10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10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10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10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10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10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103E"/>
  </w:style>
  <w:style w:type="paragraph" w:customStyle="1" w:styleId="Blocks">
    <w:name w:val="Blocks"/>
    <w:aliases w:val="bb"/>
    <w:basedOn w:val="OPCParaBase"/>
    <w:qFormat/>
    <w:rsid w:val="00CE10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1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10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103E"/>
    <w:rPr>
      <w:i/>
    </w:rPr>
  </w:style>
  <w:style w:type="paragraph" w:customStyle="1" w:styleId="BoxList">
    <w:name w:val="BoxList"/>
    <w:aliases w:val="bl"/>
    <w:basedOn w:val="BoxText"/>
    <w:qFormat/>
    <w:rsid w:val="00CE10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10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10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103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E103E"/>
  </w:style>
  <w:style w:type="character" w:customStyle="1" w:styleId="CharAmPartText">
    <w:name w:val="CharAmPartText"/>
    <w:basedOn w:val="OPCCharBase"/>
    <w:uiPriority w:val="1"/>
    <w:qFormat/>
    <w:rsid w:val="00CE103E"/>
  </w:style>
  <w:style w:type="character" w:customStyle="1" w:styleId="CharAmSchNo">
    <w:name w:val="CharAmSchNo"/>
    <w:basedOn w:val="OPCCharBase"/>
    <w:uiPriority w:val="1"/>
    <w:qFormat/>
    <w:rsid w:val="00CE103E"/>
  </w:style>
  <w:style w:type="character" w:customStyle="1" w:styleId="CharAmSchText">
    <w:name w:val="CharAmSchText"/>
    <w:basedOn w:val="OPCCharBase"/>
    <w:uiPriority w:val="1"/>
    <w:qFormat/>
    <w:rsid w:val="00CE103E"/>
  </w:style>
  <w:style w:type="character" w:customStyle="1" w:styleId="CharBoldItalic">
    <w:name w:val="CharBoldItalic"/>
    <w:uiPriority w:val="1"/>
    <w:qFormat/>
    <w:rsid w:val="00CE103E"/>
    <w:rPr>
      <w:b/>
      <w:i/>
    </w:rPr>
  </w:style>
  <w:style w:type="character" w:customStyle="1" w:styleId="CharChapNo">
    <w:name w:val="CharChapNo"/>
    <w:basedOn w:val="OPCCharBase"/>
    <w:qFormat/>
    <w:rsid w:val="00CE103E"/>
  </w:style>
  <w:style w:type="character" w:customStyle="1" w:styleId="CharChapText">
    <w:name w:val="CharChapText"/>
    <w:basedOn w:val="OPCCharBase"/>
    <w:qFormat/>
    <w:rsid w:val="00CE103E"/>
  </w:style>
  <w:style w:type="character" w:customStyle="1" w:styleId="CharDivNo">
    <w:name w:val="CharDivNo"/>
    <w:basedOn w:val="OPCCharBase"/>
    <w:qFormat/>
    <w:rsid w:val="00CE103E"/>
  </w:style>
  <w:style w:type="character" w:customStyle="1" w:styleId="CharDivText">
    <w:name w:val="CharDivText"/>
    <w:basedOn w:val="OPCCharBase"/>
    <w:qFormat/>
    <w:rsid w:val="00CE103E"/>
  </w:style>
  <w:style w:type="character" w:customStyle="1" w:styleId="CharItalic">
    <w:name w:val="CharItalic"/>
    <w:uiPriority w:val="1"/>
    <w:qFormat/>
    <w:rsid w:val="00CE103E"/>
    <w:rPr>
      <w:i/>
    </w:rPr>
  </w:style>
  <w:style w:type="character" w:customStyle="1" w:styleId="CharPartNo">
    <w:name w:val="CharPartNo"/>
    <w:basedOn w:val="OPCCharBase"/>
    <w:qFormat/>
    <w:rsid w:val="00CE103E"/>
  </w:style>
  <w:style w:type="character" w:customStyle="1" w:styleId="CharPartText">
    <w:name w:val="CharPartText"/>
    <w:basedOn w:val="OPCCharBase"/>
    <w:qFormat/>
    <w:rsid w:val="00CE103E"/>
  </w:style>
  <w:style w:type="character" w:customStyle="1" w:styleId="CharSectno">
    <w:name w:val="CharSectno"/>
    <w:basedOn w:val="OPCCharBase"/>
    <w:qFormat/>
    <w:rsid w:val="00CE103E"/>
  </w:style>
  <w:style w:type="character" w:customStyle="1" w:styleId="CharSubdNo">
    <w:name w:val="CharSubdNo"/>
    <w:basedOn w:val="OPCCharBase"/>
    <w:uiPriority w:val="1"/>
    <w:qFormat/>
    <w:rsid w:val="00CE103E"/>
  </w:style>
  <w:style w:type="character" w:customStyle="1" w:styleId="CharSubdText">
    <w:name w:val="CharSubdText"/>
    <w:basedOn w:val="OPCCharBase"/>
    <w:uiPriority w:val="1"/>
    <w:qFormat/>
    <w:rsid w:val="00CE103E"/>
  </w:style>
  <w:style w:type="paragraph" w:customStyle="1" w:styleId="CTA--">
    <w:name w:val="CTA --"/>
    <w:basedOn w:val="OPCParaBase"/>
    <w:next w:val="Normal"/>
    <w:rsid w:val="00CE10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10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10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10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10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10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10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10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10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10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10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10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10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10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10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103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E10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10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10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10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10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10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CE10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10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10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10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10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10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10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10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10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10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10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10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10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10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10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10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10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10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10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10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10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10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10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10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10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10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10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10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10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1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10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10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10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103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E103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103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103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E103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10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10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10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10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10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10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103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CE10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CE103E"/>
    <w:rPr>
      <w:sz w:val="16"/>
    </w:rPr>
  </w:style>
  <w:style w:type="table" w:customStyle="1" w:styleId="CFlag">
    <w:name w:val="CFlag"/>
    <w:basedOn w:val="TableNormal"/>
    <w:uiPriority w:val="99"/>
    <w:rsid w:val="00CE103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E10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0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103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103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103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10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103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103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E103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E103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E103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10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E103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10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10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10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10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10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10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10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E10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103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103E"/>
  </w:style>
  <w:style w:type="character" w:customStyle="1" w:styleId="CharSubPartNoCASA">
    <w:name w:val="CharSubPartNo(CASA)"/>
    <w:basedOn w:val="OPCCharBase"/>
    <w:uiPriority w:val="1"/>
    <w:rsid w:val="00CE103E"/>
  </w:style>
  <w:style w:type="paragraph" w:customStyle="1" w:styleId="ENoteTTIndentHeadingSub">
    <w:name w:val="ENoteTTIndentHeadingSub"/>
    <w:aliases w:val="enTTHis"/>
    <w:basedOn w:val="OPCParaBase"/>
    <w:rsid w:val="00CE10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10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10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103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10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CE1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CE103E"/>
    <w:rPr>
      <w:sz w:val="22"/>
    </w:rPr>
  </w:style>
  <w:style w:type="paragraph" w:customStyle="1" w:styleId="SOTextNote">
    <w:name w:val="SO TextNote"/>
    <w:aliases w:val="sont"/>
    <w:basedOn w:val="SOText"/>
    <w:qFormat/>
    <w:rsid w:val="00CE10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10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CE103E"/>
    <w:rPr>
      <w:sz w:val="22"/>
    </w:rPr>
  </w:style>
  <w:style w:type="paragraph" w:customStyle="1" w:styleId="FileName">
    <w:name w:val="FileName"/>
    <w:basedOn w:val="Normal"/>
    <w:rsid w:val="00CE103E"/>
  </w:style>
  <w:style w:type="paragraph" w:customStyle="1" w:styleId="TableHeading">
    <w:name w:val="TableHeading"/>
    <w:aliases w:val="th"/>
    <w:basedOn w:val="OPCParaBase"/>
    <w:next w:val="Tabletext"/>
    <w:rsid w:val="00CE103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103E"/>
    <w:rPr>
      <w:b/>
    </w:rPr>
  </w:style>
  <w:style w:type="character" w:customStyle="1" w:styleId="SOHeadBoldChar">
    <w:name w:val="SO HeadBold Char"/>
    <w:aliases w:val="sohb Char"/>
    <w:link w:val="SOHeadBold"/>
    <w:rsid w:val="00CE10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103E"/>
    <w:rPr>
      <w:i/>
    </w:rPr>
  </w:style>
  <w:style w:type="character" w:customStyle="1" w:styleId="SOHeadItalicChar">
    <w:name w:val="SO HeadItalic Char"/>
    <w:aliases w:val="sohi Char"/>
    <w:link w:val="SOHeadItalic"/>
    <w:rsid w:val="00CE10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103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CE10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10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CE10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10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CE103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103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3B0F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3B0F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3B0F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B0F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3B0F4A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3B0F4A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3B0F4A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3B0F4A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3B0F4A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3B0F4A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3B0F4A"/>
    <w:rPr>
      <w:rFonts w:ascii="Cambria" w:eastAsia="Times New Roman" w:hAnsi="Cambria" w:cs="Times New Roman"/>
      <w:i/>
      <w:iCs/>
      <w:color w:val="404040"/>
    </w:rPr>
  </w:style>
  <w:style w:type="character" w:styleId="CommentReference">
    <w:name w:val="annotation reference"/>
    <w:uiPriority w:val="99"/>
    <w:semiHidden/>
    <w:unhideWhenUsed/>
    <w:rsid w:val="001B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FA5"/>
    <w:rPr>
      <w:sz w:val="20"/>
    </w:rPr>
  </w:style>
  <w:style w:type="character" w:customStyle="1" w:styleId="CommentTextChar">
    <w:name w:val="Comment Text Char"/>
    <w:link w:val="CommentText"/>
    <w:uiPriority w:val="99"/>
    <w:rsid w:val="001B1F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F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FA5"/>
    <w:rPr>
      <w:b/>
      <w:bCs/>
      <w:lang w:eastAsia="en-US"/>
    </w:rPr>
  </w:style>
  <w:style w:type="paragraph" w:styleId="Revision">
    <w:name w:val="Revision"/>
    <w:hidden/>
    <w:uiPriority w:val="99"/>
    <w:semiHidden/>
    <w:rsid w:val="002600F1"/>
    <w:rPr>
      <w:sz w:val="22"/>
      <w:lang w:eastAsia="en-US"/>
    </w:rPr>
  </w:style>
  <w:style w:type="paragraph" w:customStyle="1" w:styleId="P1">
    <w:name w:val="P1"/>
    <w:aliases w:val="(a)"/>
    <w:basedOn w:val="Normal"/>
    <w:rsid w:val="006D5DC1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45099A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Notepara0">
    <w:name w:val="Note para"/>
    <w:basedOn w:val="Normal"/>
    <w:rsid w:val="0045099A"/>
    <w:pPr>
      <w:keepLines/>
      <w:spacing w:before="60" w:line="220" w:lineRule="exact"/>
      <w:ind w:left="1304" w:hanging="340"/>
      <w:jc w:val="both"/>
    </w:pPr>
    <w:rPr>
      <w:rFonts w:eastAsia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5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9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9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30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0" ma:contentTypeDescription="Create a new document." ma:contentTypeScope="" ma:versionID="b5099772d9a06e4a82505cbb6dc6ba37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431561e6c1ca3cc5aea55a526b032af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 D o c u m e n t s ! 4 7 9 0 4 5 3 3 . 5 < / d o c u m e n t i d >  
     < s e n d e r i d > M A C K I R < / s e n d e r i d >  
     < s e n d e r e m a i l > R O S E . M A C K I E @ A G S . G O V . A U < / s e n d e r e m a i l >  
     < l a s t m o d i f i e d > 2 0 2 3 - 0 5 - 1 0 T 1 6 : 5 1 : 0 0 . 0 0 0 0 0 0 0 + 1 0 : 0 0 < / l a s t m o d i f i e d >  
     < d a t a b a s e > D o c u m e n t s < / d a t a b a s e >  
 < / p r o p e r t i e s > 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2287-62B1-49C7-A721-4B3F36B57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73C13-EE3B-4624-8054-F6CECBC0E51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8FB6F9E-C666-4E59-A49A-39442E9882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8C9261-49DF-4B3F-83EC-A1ABAF4CB2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40E77B-F75D-49AF-8502-105A6949FD00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9BD98709-0FE1-4094-8D3A-B1410970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1029</Words>
  <Characters>5949</Characters>
  <Application>Microsoft Office Word</Application>
  <DocSecurity>2</DocSecurity>
  <PresentationFormat/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</dc:creator>
  <cp:keywords>[SEC=OFFICIAL]</cp:keywords>
  <dc:description/>
  <cp:lastModifiedBy>Douglas, Justin</cp:lastModifiedBy>
  <cp:revision>2</cp:revision>
  <cp:lastPrinted>2022-06-08T07:06:00Z</cp:lastPrinted>
  <dcterms:created xsi:type="dcterms:W3CDTF">2023-06-05T04:48:00Z</dcterms:created>
  <dcterms:modified xsi:type="dcterms:W3CDTF">2023-06-05T04:48:00Z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TitusGUID">
    <vt:lpwstr>a1a41fbe-c835-42e4-8a30-4225bb513424</vt:lpwstr>
  </property>
  <property fmtid="{D5CDD505-2E9C-101B-9397-08002B2CF9AE}" pid="7" name="SEC">
    <vt:lpwstr>UNCLASSIFIED</vt:lpwstr>
  </property>
  <property fmtid="{D5CDD505-2E9C-101B-9397-08002B2CF9AE}" pid="8" name="DLM">
    <vt:lpwstr>No DLM</vt:lpwstr>
  </property>
  <property fmtid="{D5CDD505-2E9C-101B-9397-08002B2CF9AE}" pid="9" name="WSFooter">
    <vt:lpwstr>40978441</vt:lpwstr>
  </property>
  <property fmtid="{D5CDD505-2E9C-101B-9397-08002B2CF9AE}" pid="10" name="PM_ProtectiveMarkingImage_Header">
    <vt:lpwstr>C:\Program Files\Common Files\janusNET Shared\janusSEAL\Images\DocumentSlashBlue.png</vt:lpwstr>
  </property>
  <property fmtid="{D5CDD505-2E9C-101B-9397-08002B2CF9AE}" pid="11" name="PM_Caveats_Count">
    <vt:lpwstr>0</vt:lpwstr>
  </property>
  <property fmtid="{D5CDD505-2E9C-101B-9397-08002B2CF9AE}" pid="12" name="PM_DisplayValueSecClassificationWithQualifier">
    <vt:lpwstr>OFFICIAL</vt:lpwstr>
  </property>
  <property fmtid="{D5CDD505-2E9C-101B-9397-08002B2CF9AE}" pid="13" name="PM_Qualifier">
    <vt:lpwstr/>
  </property>
  <property fmtid="{D5CDD505-2E9C-101B-9397-08002B2CF9AE}" pid="14" name="PM_SecurityClassification">
    <vt:lpwstr>OFFICIAL</vt:lpwstr>
  </property>
  <property fmtid="{D5CDD505-2E9C-101B-9397-08002B2CF9AE}" pid="15" name="PM_InsertionValue">
    <vt:lpwstr>OFFICIAL</vt:lpwstr>
  </property>
  <property fmtid="{D5CDD505-2E9C-101B-9397-08002B2CF9AE}" pid="16" name="PM_Originating_FileId">
    <vt:lpwstr>68D3CD70DBB74D168656AB59D6807473</vt:lpwstr>
  </property>
  <property fmtid="{D5CDD505-2E9C-101B-9397-08002B2CF9AE}" pid="17" name="PM_ProtectiveMarkingValue_Footer">
    <vt:lpwstr>OFFICIAL</vt:lpwstr>
  </property>
  <property fmtid="{D5CDD505-2E9C-101B-9397-08002B2CF9AE}" pid="18" name="PM_Originator_Hash_SHA1">
    <vt:lpwstr>039994763583E99430D3B9FE3FC58C409F58EC75</vt:lpwstr>
  </property>
  <property fmtid="{D5CDD505-2E9C-101B-9397-08002B2CF9AE}" pid="19" name="PM_OriginationTimeStamp">
    <vt:lpwstr>2023-03-01T00:12:17Z</vt:lpwstr>
  </property>
  <property fmtid="{D5CDD505-2E9C-101B-9397-08002B2CF9AE}" pid="20" name="PM_ProtectiveMarkingValue_Header">
    <vt:lpwstr>OFFICIAL</vt:lpwstr>
  </property>
  <property fmtid="{D5CDD505-2E9C-101B-9397-08002B2CF9AE}" pid="21" name="PM_ProtectiveMarkingImage_Footer">
    <vt:lpwstr>C:\Program Files\Common Files\janusNET Shared\janusSEAL\Images\DocumentSlashBlue.png</vt:lpwstr>
  </property>
  <property fmtid="{D5CDD505-2E9C-101B-9397-08002B2CF9AE}" pid="22" name="PM_Namespace">
    <vt:lpwstr>gov.au</vt:lpwstr>
  </property>
  <property fmtid="{D5CDD505-2E9C-101B-9397-08002B2CF9AE}" pid="23" name="PM_Version">
    <vt:lpwstr>2018.4</vt:lpwstr>
  </property>
  <property fmtid="{D5CDD505-2E9C-101B-9397-08002B2CF9AE}" pid="24" name="PM_Note">
    <vt:lpwstr/>
  </property>
  <property fmtid="{D5CDD505-2E9C-101B-9397-08002B2CF9AE}" pid="25" name="PM_Markers">
    <vt:lpwstr/>
  </property>
  <property fmtid="{D5CDD505-2E9C-101B-9397-08002B2CF9AE}" pid="26" name="PM_Display">
    <vt:lpwstr>OFFICIAL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Hash_Version">
    <vt:lpwstr>2022.1</vt:lpwstr>
  </property>
  <property fmtid="{D5CDD505-2E9C-101B-9397-08002B2CF9AE}" pid="29" name="PM_Hash_Salt_Prev">
    <vt:lpwstr>8EBBE00E309D9435CFBC0CA5C90EA194</vt:lpwstr>
  </property>
  <property fmtid="{D5CDD505-2E9C-101B-9397-08002B2CF9AE}" pid="30" name="PM_Hash_Salt">
    <vt:lpwstr>91C38C19C888669DCB1EF5FEDB3DF230</vt:lpwstr>
  </property>
  <property fmtid="{D5CDD505-2E9C-101B-9397-08002B2CF9AE}" pid="31" name="PM_Hash_SHA1">
    <vt:lpwstr>90A4CDDAD3D690F8533FF188AB325F37AB8B3867</vt:lpwstr>
  </property>
  <property fmtid="{D5CDD505-2E9C-101B-9397-08002B2CF9AE}" pid="32" name="MSIP_Label_87d6481e-ccdd-4ab6-8b26-05a0df5699e7_SetDate">
    <vt:lpwstr>2023-03-01T00:12:17Z</vt:lpwstr>
  </property>
  <property fmtid="{D5CDD505-2E9C-101B-9397-08002B2CF9AE}" pid="33" name="PM_OriginatorUserAccountName_SHA256">
    <vt:lpwstr>EA989CE55679298798C5F6D78188DDD4643AC16E9809D547F032035AC3755BF8</vt:lpwstr>
  </property>
  <property fmtid="{D5CDD505-2E9C-101B-9397-08002B2CF9AE}" pid="34" name="PM_OriginatorDomainName_SHA256">
    <vt:lpwstr>325440F6CA31C4C3BCE4433552DC42928CAAD3E2731ABE35FDE729ECEB763AF0</vt:lpwstr>
  </property>
  <property fmtid="{D5CDD505-2E9C-101B-9397-08002B2CF9AE}" pid="35" name="MSIP_Label_87d6481e-ccdd-4ab6-8b26-05a0df5699e7_Name">
    <vt:lpwstr>OFFICIAL</vt:lpwstr>
  </property>
  <property fmtid="{D5CDD505-2E9C-101B-9397-08002B2CF9AE}" pid="36" name="MSIP_Label_87d6481e-ccdd-4ab6-8b26-05a0df5699e7_SiteId">
    <vt:lpwstr>08954cee-4782-4ff6-9ad5-1997dccef4b0</vt:lpwstr>
  </property>
  <property fmtid="{D5CDD505-2E9C-101B-9397-08002B2CF9AE}" pid="37" name="MSIP_Label_87d6481e-ccdd-4ab6-8b26-05a0df5699e7_Enabled">
    <vt:lpwstr>true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  <property fmtid="{D5CDD505-2E9C-101B-9397-08002B2CF9AE}" pid="40" name="PMHMAC">
    <vt:lpwstr>v=2022.1;a=SHA256;h=7514A194C1AAFAE00050F9CDF5506A7D47DA8CDEBB8243608841D724F78E10CF</vt:lpwstr>
  </property>
  <property fmtid="{D5CDD505-2E9C-101B-9397-08002B2CF9AE}" pid="41" name="MSIP_Label_87d6481e-ccdd-4ab6-8b26-05a0df5699e7_Method">
    <vt:lpwstr>Privileged</vt:lpwstr>
  </property>
  <property fmtid="{D5CDD505-2E9C-101B-9397-08002B2CF9AE}" pid="42" name="MSIP_Label_87d6481e-ccdd-4ab6-8b26-05a0df5699e7_ContentBits">
    <vt:lpwstr>0</vt:lpwstr>
  </property>
  <property fmtid="{D5CDD505-2E9C-101B-9397-08002B2CF9AE}" pid="43" name="MSIP_Label_87d6481e-ccdd-4ab6-8b26-05a0df5699e7_ActionId">
    <vt:lpwstr>33485a7d26584b8ba5868b838290c239</vt:lpwstr>
  </property>
</Properties>
</file>